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footer1.xml" ContentType="application/vnd.openxmlformats-officedocument.wordprocessingml.footer+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2.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3.xml" ContentType="application/vnd.openxmlformats-officedocument.themeOverrid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8A8C05" w14:textId="77777777" w:rsidR="00EE145D" w:rsidRPr="00EE145D" w:rsidRDefault="00EE145D" w:rsidP="00EE145D">
      <w:pPr>
        <w:widowControl w:val="0"/>
        <w:autoSpaceDE w:val="0"/>
        <w:autoSpaceDN w:val="0"/>
        <w:spacing w:before="114"/>
        <w:rPr>
          <w:rFonts w:ascii="Times New Roman" w:eastAsia="Arial" w:cs="Arial"/>
          <w:kern w:val="0"/>
          <w:sz w:val="20"/>
          <w:szCs w:val="22"/>
          <w:lang w:val="en-US"/>
          <w14:ligatures w14:val="none"/>
        </w:rPr>
      </w:pPr>
    </w:p>
    <w:p w14:paraId="0B2A5B95" w14:textId="77777777" w:rsidR="00EE145D" w:rsidRPr="00D0306F" w:rsidRDefault="00EE145D" w:rsidP="00EE145D">
      <w:pPr>
        <w:widowControl w:val="0"/>
        <w:autoSpaceDE w:val="0"/>
        <w:autoSpaceDN w:val="0"/>
        <w:jc w:val="center"/>
        <w:rPr>
          <w:rFonts w:ascii="Times New Roman" w:eastAsia="Arial" w:cs="Arial"/>
          <w:kern w:val="0"/>
          <w:sz w:val="20"/>
          <w:szCs w:val="22"/>
          <w:lang w:val="en-US"/>
          <w14:ligatures w14:val="none"/>
        </w:rPr>
      </w:pPr>
      <w:r w:rsidRPr="00D0306F">
        <w:rPr>
          <w:rFonts w:ascii="Times New Roman" w:eastAsia="Arial" w:cs="Arial"/>
          <w:noProof/>
          <w:kern w:val="0"/>
          <w:sz w:val="20"/>
          <w:szCs w:val="22"/>
          <w:lang w:val="en-US"/>
          <w14:ligatures w14:val="none"/>
        </w:rPr>
        <w:drawing>
          <wp:inline distT="0" distB="0" distL="0" distR="0" wp14:anchorId="0585B7FD" wp14:editId="64F02C5A">
            <wp:extent cx="2410471" cy="771144"/>
            <wp:effectExtent l="0" t="0" r="0" b="0"/>
            <wp:docPr id="1425571769" name="Image 3" descr="Two mirrored purple heart-and-hands logos flank a central message. Each logo shows a purple heart above two open hands, surrounded by circular bilingual text in English and Welsh: “working together / gweithio’n well,” “always improving / gwella bob amser,” and “caring for each other / gofalu am ei gilydd.” Between the logos, bold text reads: “Caring for each other,” “Working together,” and “Always improving.”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25571769" name="Image 3" descr="Two mirrored purple heart-and-hands logos flank a central message. Each logo shows a purple heart above two open hands, surrounded by circular bilingual text in English and Welsh: “working together / gweithio’n well,” “always improving / gwella bob amser,” and “caring for each other / gofalu am ei gilydd.” Between the logos, bold text reads: “Caring for each other,” “Working together,” and “Always improving.” "/>
                    <pic:cNvPicPr/>
                  </pic:nvPicPr>
                  <pic:blipFill>
                    <a:blip r:embed="rId8" cstate="print"/>
                    <a:stretch>
                      <a:fillRect/>
                    </a:stretch>
                  </pic:blipFill>
                  <pic:spPr>
                    <a:xfrm>
                      <a:off x="0" y="0"/>
                      <a:ext cx="2410471" cy="771144"/>
                    </a:xfrm>
                    <a:prstGeom prst="rect">
                      <a:avLst/>
                    </a:prstGeom>
                  </pic:spPr>
                </pic:pic>
              </a:graphicData>
            </a:graphic>
          </wp:inline>
        </w:drawing>
      </w:r>
    </w:p>
    <w:p w14:paraId="50E55D0C" w14:textId="77777777" w:rsidR="001D3DA6" w:rsidRPr="00D0306F" w:rsidRDefault="001D3DA6" w:rsidP="00EE145D">
      <w:pPr>
        <w:widowControl w:val="0"/>
        <w:autoSpaceDE w:val="0"/>
        <w:autoSpaceDN w:val="0"/>
        <w:jc w:val="center"/>
        <w:rPr>
          <w:rFonts w:ascii="Times New Roman" w:eastAsia="Arial" w:cs="Arial"/>
          <w:kern w:val="0"/>
          <w:sz w:val="20"/>
          <w:szCs w:val="22"/>
          <w:lang w:val="en-US"/>
          <w14:ligatures w14:val="none"/>
        </w:rPr>
      </w:pPr>
    </w:p>
    <w:p w14:paraId="1BA803D5" w14:textId="222B84DF" w:rsidR="00EE145D" w:rsidRPr="00D0306F" w:rsidRDefault="00EE145D" w:rsidP="00BE43C1">
      <w:pPr>
        <w:widowControl w:val="0"/>
        <w:autoSpaceDE w:val="0"/>
        <w:autoSpaceDN w:val="0"/>
        <w:spacing w:before="46" w:line="259" w:lineRule="auto"/>
        <w:ind w:right="95"/>
        <w:jc w:val="center"/>
        <w:rPr>
          <w:rFonts w:eastAsia="Arial" w:cs="Arial"/>
          <w:b/>
          <w:spacing w:val="-2"/>
          <w:kern w:val="0"/>
          <w:sz w:val="52"/>
          <w:szCs w:val="52"/>
          <w:lang w:val="en-US"/>
          <w14:ligatures w14:val="none"/>
        </w:rPr>
      </w:pPr>
      <w:r w:rsidRPr="00D0306F">
        <w:rPr>
          <w:rFonts w:eastAsia="Arial" w:cs="Arial"/>
          <w:b/>
          <w:bCs/>
          <w:kern w:val="0"/>
          <w:sz w:val="52"/>
          <w:szCs w:val="52"/>
          <w:lang w:val="en-US"/>
          <w14:ligatures w14:val="none"/>
        </w:rPr>
        <w:t>Swansea</w:t>
      </w:r>
      <w:r w:rsidRPr="00D0306F">
        <w:rPr>
          <w:rFonts w:eastAsia="Arial" w:cs="Arial"/>
          <w:b/>
          <w:bCs/>
          <w:spacing w:val="-11"/>
          <w:kern w:val="0"/>
          <w:sz w:val="52"/>
          <w:szCs w:val="52"/>
          <w:lang w:val="en-US"/>
          <w14:ligatures w14:val="none"/>
        </w:rPr>
        <w:t xml:space="preserve"> </w:t>
      </w:r>
      <w:r w:rsidRPr="00D0306F">
        <w:rPr>
          <w:rFonts w:eastAsia="Arial" w:cs="Arial"/>
          <w:b/>
          <w:bCs/>
          <w:kern w:val="0"/>
          <w:sz w:val="52"/>
          <w:szCs w:val="52"/>
          <w:lang w:val="en-US"/>
          <w14:ligatures w14:val="none"/>
        </w:rPr>
        <w:t>Bay</w:t>
      </w:r>
      <w:r w:rsidRPr="00D0306F">
        <w:rPr>
          <w:rFonts w:eastAsia="Arial" w:cs="Arial"/>
          <w:b/>
          <w:bCs/>
          <w:spacing w:val="80"/>
          <w:kern w:val="0"/>
          <w:sz w:val="52"/>
          <w:szCs w:val="52"/>
          <w:lang w:val="en-US"/>
          <w14:ligatures w14:val="none"/>
        </w:rPr>
        <w:t xml:space="preserve"> </w:t>
      </w:r>
      <w:r w:rsidRPr="00D0306F">
        <w:rPr>
          <w:rFonts w:eastAsia="Arial" w:cs="Arial"/>
          <w:b/>
          <w:bCs/>
          <w:kern w:val="0"/>
          <w:sz w:val="52"/>
          <w:szCs w:val="52"/>
          <w:lang w:val="en-US"/>
          <w14:ligatures w14:val="none"/>
        </w:rPr>
        <w:t>University Health Board</w:t>
      </w:r>
      <w:r w:rsidR="00BE43C1" w:rsidRPr="00D0306F">
        <w:rPr>
          <w:rFonts w:eastAsia="Arial" w:cs="Arial"/>
          <w:b/>
          <w:bCs/>
          <w:kern w:val="0"/>
          <w:sz w:val="52"/>
          <w:szCs w:val="52"/>
          <w:lang w:val="en-US"/>
          <w14:ligatures w14:val="none"/>
        </w:rPr>
        <w:t xml:space="preserve"> </w:t>
      </w:r>
      <w:r w:rsidR="004D057F" w:rsidRPr="00D0306F">
        <w:rPr>
          <w:rFonts w:eastAsia="Arial" w:cs="Arial"/>
          <w:b/>
          <w:kern w:val="0"/>
          <w:sz w:val="52"/>
          <w:szCs w:val="52"/>
          <w:lang w:val="en-US"/>
          <w14:ligatures w14:val="none"/>
        </w:rPr>
        <w:t>p</w:t>
      </w:r>
      <w:r w:rsidRPr="00D0306F">
        <w:rPr>
          <w:rFonts w:eastAsia="Arial" w:cs="Arial"/>
          <w:b/>
          <w:kern w:val="0"/>
          <w:sz w:val="52"/>
          <w:szCs w:val="52"/>
          <w:lang w:val="en-US"/>
          <w14:ligatures w14:val="none"/>
        </w:rPr>
        <w:t>harmaceutical</w:t>
      </w:r>
      <w:r w:rsidRPr="00D0306F">
        <w:rPr>
          <w:rFonts w:eastAsia="Arial" w:cs="Arial"/>
          <w:b/>
          <w:spacing w:val="-34"/>
          <w:kern w:val="0"/>
          <w:sz w:val="52"/>
          <w:szCs w:val="52"/>
          <w:lang w:val="en-US"/>
          <w14:ligatures w14:val="none"/>
        </w:rPr>
        <w:t xml:space="preserve"> </w:t>
      </w:r>
      <w:r w:rsidR="004D057F" w:rsidRPr="00D0306F">
        <w:rPr>
          <w:rFonts w:eastAsia="Arial" w:cs="Arial"/>
          <w:b/>
          <w:kern w:val="0"/>
          <w:sz w:val="52"/>
          <w:szCs w:val="52"/>
          <w:lang w:val="en-US"/>
          <w14:ligatures w14:val="none"/>
        </w:rPr>
        <w:t>n</w:t>
      </w:r>
      <w:r w:rsidRPr="00D0306F">
        <w:rPr>
          <w:rFonts w:eastAsia="Arial" w:cs="Arial"/>
          <w:b/>
          <w:kern w:val="0"/>
          <w:sz w:val="52"/>
          <w:szCs w:val="52"/>
          <w:lang w:val="en-US"/>
          <w14:ligatures w14:val="none"/>
        </w:rPr>
        <w:t xml:space="preserve">eeds </w:t>
      </w:r>
      <w:r w:rsidR="004D057F" w:rsidRPr="00D0306F">
        <w:rPr>
          <w:rFonts w:eastAsia="Arial" w:cs="Arial"/>
          <w:b/>
          <w:spacing w:val="-2"/>
          <w:kern w:val="0"/>
          <w:sz w:val="52"/>
          <w:szCs w:val="52"/>
          <w:lang w:val="en-US"/>
          <w14:ligatures w14:val="none"/>
        </w:rPr>
        <w:t>a</w:t>
      </w:r>
      <w:r w:rsidRPr="00D0306F">
        <w:rPr>
          <w:rFonts w:eastAsia="Arial" w:cs="Arial"/>
          <w:b/>
          <w:spacing w:val="-2"/>
          <w:kern w:val="0"/>
          <w:sz w:val="52"/>
          <w:szCs w:val="52"/>
          <w:lang w:val="en-US"/>
          <w14:ligatures w14:val="none"/>
        </w:rPr>
        <w:t>ssessment</w:t>
      </w:r>
    </w:p>
    <w:p w14:paraId="291653CE" w14:textId="77777777" w:rsidR="004259E4" w:rsidRPr="00D0306F" w:rsidRDefault="004259E4" w:rsidP="00BE43C1">
      <w:pPr>
        <w:widowControl w:val="0"/>
        <w:autoSpaceDE w:val="0"/>
        <w:autoSpaceDN w:val="0"/>
        <w:spacing w:before="46" w:line="259" w:lineRule="auto"/>
        <w:ind w:right="95"/>
        <w:jc w:val="center"/>
        <w:rPr>
          <w:rFonts w:eastAsia="Arial" w:cs="Arial"/>
          <w:b/>
          <w:spacing w:val="-2"/>
          <w:kern w:val="0"/>
          <w:sz w:val="52"/>
          <w:szCs w:val="52"/>
          <w:lang w:val="en-US"/>
          <w14:ligatures w14:val="none"/>
        </w:rPr>
      </w:pPr>
    </w:p>
    <w:p w14:paraId="0CD4BF8A" w14:textId="77777777" w:rsidR="004D057F" w:rsidRPr="00D0306F" w:rsidRDefault="004D057F" w:rsidP="004D057F">
      <w:pPr>
        <w:widowControl w:val="0"/>
        <w:autoSpaceDE w:val="0"/>
        <w:autoSpaceDN w:val="0"/>
        <w:spacing w:before="46" w:line="259" w:lineRule="auto"/>
        <w:ind w:right="95"/>
        <w:jc w:val="center"/>
        <w:rPr>
          <w:rFonts w:eastAsia="Arial" w:cs="Arial"/>
          <w:b/>
          <w:spacing w:val="-2"/>
          <w:kern w:val="0"/>
          <w:sz w:val="52"/>
          <w:szCs w:val="52"/>
          <w:lang w:val="en-US"/>
          <w14:ligatures w14:val="none"/>
        </w:rPr>
      </w:pPr>
      <w:r w:rsidRPr="00D0306F">
        <w:rPr>
          <w:rFonts w:eastAsia="Arial" w:cs="Arial"/>
          <w:b/>
          <w:spacing w:val="-2"/>
          <w:kern w:val="0"/>
          <w:sz w:val="52"/>
          <w:szCs w:val="52"/>
          <w:lang w:val="en-US"/>
          <w14:ligatures w14:val="none"/>
        </w:rPr>
        <w:t xml:space="preserve">Consultation draft </w:t>
      </w:r>
    </w:p>
    <w:p w14:paraId="1CBD3FDB" w14:textId="77777777" w:rsidR="004259E4" w:rsidRPr="00D0306F" w:rsidRDefault="004259E4" w:rsidP="004D057F">
      <w:pPr>
        <w:widowControl w:val="0"/>
        <w:autoSpaceDE w:val="0"/>
        <w:autoSpaceDN w:val="0"/>
        <w:spacing w:before="46" w:line="259" w:lineRule="auto"/>
        <w:ind w:right="95"/>
        <w:jc w:val="center"/>
        <w:rPr>
          <w:rFonts w:eastAsia="Arial" w:cs="Arial"/>
          <w:b/>
          <w:spacing w:val="-2"/>
          <w:kern w:val="0"/>
          <w:sz w:val="52"/>
          <w:szCs w:val="52"/>
          <w:lang w:val="en-US"/>
          <w14:ligatures w14:val="none"/>
        </w:rPr>
      </w:pPr>
    </w:p>
    <w:p w14:paraId="17A7C165" w14:textId="3F4D2016" w:rsidR="00EE145D" w:rsidRPr="00D0306F" w:rsidRDefault="001D3DA6" w:rsidP="004D057F">
      <w:pPr>
        <w:widowControl w:val="0"/>
        <w:autoSpaceDE w:val="0"/>
        <w:autoSpaceDN w:val="0"/>
        <w:spacing w:before="46" w:line="259" w:lineRule="auto"/>
        <w:ind w:right="95"/>
        <w:jc w:val="center"/>
        <w:rPr>
          <w:rFonts w:eastAsia="Arial" w:cs="Arial"/>
          <w:b/>
          <w:kern w:val="0"/>
          <w:sz w:val="36"/>
          <w:szCs w:val="36"/>
          <w:lang w:val="en-US"/>
          <w14:ligatures w14:val="none"/>
        </w:rPr>
      </w:pPr>
      <w:r w:rsidRPr="00D0306F">
        <w:rPr>
          <w:rFonts w:eastAsia="Arial" w:cs="Arial"/>
          <w:b/>
          <w:kern w:val="0"/>
          <w:sz w:val="36"/>
          <w:szCs w:val="36"/>
          <w:lang w:val="en-US"/>
          <w14:ligatures w14:val="none"/>
        </w:rPr>
        <w:t>May 2026</w:t>
      </w:r>
    </w:p>
    <w:p w14:paraId="19B31051" w14:textId="77777777" w:rsidR="00EE145D" w:rsidRPr="00D0306F" w:rsidRDefault="00EE145D" w:rsidP="00F030A0">
      <w:pPr>
        <w:widowControl w:val="0"/>
        <w:autoSpaceDE w:val="0"/>
        <w:autoSpaceDN w:val="0"/>
        <w:spacing w:before="11"/>
        <w:ind w:firstLine="142"/>
        <w:rPr>
          <w:rFonts w:eastAsia="Arial" w:cs="Arial"/>
          <w:b/>
          <w:kern w:val="0"/>
          <w:sz w:val="16"/>
          <w:szCs w:val="22"/>
          <w:lang w:val="en-US"/>
          <w14:ligatures w14:val="none"/>
        </w:rPr>
      </w:pPr>
      <w:r w:rsidRPr="00D0306F">
        <w:rPr>
          <w:rFonts w:eastAsia="Arial" w:cs="Arial"/>
          <w:b/>
          <w:noProof/>
          <w:kern w:val="0"/>
          <w:sz w:val="16"/>
          <w:szCs w:val="22"/>
          <w:lang w:val="en-US"/>
          <w14:ligatures w14:val="none"/>
        </w:rPr>
        <w:drawing>
          <wp:anchor distT="0" distB="0" distL="0" distR="0" simplePos="0" relativeHeight="251659264" behindDoc="1" locked="0" layoutInCell="1" allowOverlap="1" wp14:anchorId="180C7252" wp14:editId="16A40113">
            <wp:simplePos x="0" y="0"/>
            <wp:positionH relativeFrom="page">
              <wp:posOffset>723900</wp:posOffset>
            </wp:positionH>
            <wp:positionV relativeFrom="paragraph">
              <wp:posOffset>178435</wp:posOffset>
            </wp:positionV>
            <wp:extent cx="5996940" cy="4114800"/>
            <wp:effectExtent l="0" t="0" r="3810" b="0"/>
            <wp:wrapTopAndBottom/>
            <wp:docPr id="2101163422" name="Image 4" descr="Stylised aerial illustration of Swansea Beach and the curved seafront. Rows of buildings and roads line the shoreline, with hills rising in the background. Calm blue water stretches across the right side of the image under a bright sky with scattered clouds. The image uses a painterly, high-contrast artistic effect with vivid blue, purple, and gold tone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01163422" name="Image 4" descr="Stylised aerial illustration of Swansea Beach and the curved seafront. Rows of buildings and roads line the shoreline, with hills rising in the background. Calm blue water stretches across the right side of the image under a bright sky with scattered clouds. The image uses a painterly, high-contrast artistic effect with vivid blue, purple, and gold tones."/>
                    <pic:cNvPicPr/>
                  </pic:nvPicPr>
                  <pic:blipFill>
                    <a:blip r:embed="rId9" cstate="print"/>
                    <a:stretch>
                      <a:fillRect/>
                    </a:stretch>
                  </pic:blipFill>
                  <pic:spPr>
                    <a:xfrm>
                      <a:off x="0" y="0"/>
                      <a:ext cx="5996940" cy="4114800"/>
                    </a:xfrm>
                    <a:prstGeom prst="rect">
                      <a:avLst/>
                    </a:prstGeom>
                  </pic:spPr>
                </pic:pic>
              </a:graphicData>
            </a:graphic>
            <wp14:sizeRelH relativeFrom="margin">
              <wp14:pctWidth>0</wp14:pctWidth>
            </wp14:sizeRelH>
            <wp14:sizeRelV relativeFrom="margin">
              <wp14:pctHeight>0</wp14:pctHeight>
            </wp14:sizeRelV>
          </wp:anchor>
        </w:drawing>
      </w:r>
    </w:p>
    <w:p w14:paraId="069A8A80" w14:textId="23EF68CA" w:rsidR="00824B25" w:rsidRPr="00D0306F" w:rsidRDefault="00824B25" w:rsidP="00824B25">
      <w:pPr>
        <w:rPr>
          <w:rFonts w:ascii="Calibri" w:eastAsia="Times New Roman" w:hAnsi="Calibri" w:cs="Arial"/>
          <w:noProof/>
          <w:kern w:val="0"/>
          <w14:ligatures w14:val="none"/>
        </w:rPr>
      </w:pPr>
    </w:p>
    <w:p w14:paraId="6D87D97B" w14:textId="15E847E9" w:rsidR="00460384" w:rsidRPr="00D0306F" w:rsidRDefault="00FE388B" w:rsidP="004259E4">
      <w:pPr>
        <w:contextualSpacing/>
        <w:rPr>
          <w:rFonts w:ascii="Calibri" w:eastAsia="Times New Roman" w:hAnsi="Calibri" w:cs="Arial"/>
          <w:noProof/>
          <w:kern w:val="0"/>
          <w14:ligatures w14:val="none"/>
        </w:rPr>
      </w:pPr>
      <w:r w:rsidRPr="00D0306F">
        <w:rPr>
          <w:rFonts w:eastAsia="Times New Roman" w:cs="Arial"/>
          <w:kern w:val="0"/>
          <w:lang w:eastAsia="en-GB"/>
          <w14:ligatures w14:val="none"/>
        </w:rPr>
        <w:t>This document is available in Welsh / Mae’r ddogfen hon ar gael yn Gymraeg.</w:t>
      </w:r>
      <w:r w:rsidR="00460384" w:rsidRPr="00D0306F">
        <w:rPr>
          <w:rFonts w:ascii="Calibri" w:eastAsia="Times New Roman" w:hAnsi="Calibri" w:cs="Arial"/>
          <w:noProof/>
          <w:kern w:val="0"/>
          <w14:ligatures w14:val="none"/>
        </w:rPr>
        <w:br w:type="page"/>
      </w:r>
    </w:p>
    <w:sdt>
      <w:sdtPr>
        <w:rPr>
          <w:rFonts w:ascii="Arial" w:eastAsiaTheme="minorHAnsi" w:hAnsi="Arial" w:cs="Arial"/>
          <w:color w:val="auto"/>
          <w:kern w:val="2"/>
          <w:sz w:val="24"/>
          <w:szCs w:val="24"/>
          <w:lang w:eastAsia="en-US"/>
          <w14:ligatures w14:val="standardContextual"/>
        </w:rPr>
        <w:id w:val="-184293932"/>
        <w:docPartObj>
          <w:docPartGallery w:val="Table of Contents"/>
          <w:docPartUnique/>
        </w:docPartObj>
      </w:sdtPr>
      <w:sdtEndPr>
        <w:rPr>
          <w:rFonts w:cstheme="minorBidi"/>
          <w:b/>
          <w:bCs/>
        </w:rPr>
      </w:sdtEndPr>
      <w:sdtContent>
        <w:p w14:paraId="5D247F4E" w14:textId="0E840A0D" w:rsidR="00460384" w:rsidRPr="00D0306F" w:rsidRDefault="00460384">
          <w:pPr>
            <w:pStyle w:val="TOCHeading"/>
            <w:rPr>
              <w:rFonts w:ascii="Arial" w:hAnsi="Arial" w:cs="Arial"/>
              <w:b/>
              <w:bCs/>
              <w:color w:val="auto"/>
              <w:sz w:val="28"/>
              <w:szCs w:val="28"/>
            </w:rPr>
          </w:pPr>
          <w:r w:rsidRPr="00D0306F">
            <w:rPr>
              <w:rFonts w:ascii="Arial" w:hAnsi="Arial" w:cs="Arial"/>
              <w:b/>
              <w:bCs/>
              <w:color w:val="auto"/>
              <w:sz w:val="28"/>
              <w:szCs w:val="28"/>
            </w:rPr>
            <w:t>Contents</w:t>
          </w:r>
        </w:p>
        <w:p w14:paraId="53D4F169" w14:textId="77777777" w:rsidR="00460384" w:rsidRPr="00D0306F" w:rsidRDefault="00460384" w:rsidP="00460384">
          <w:pPr>
            <w:rPr>
              <w:lang w:eastAsia="en-GB"/>
            </w:rPr>
          </w:pPr>
        </w:p>
        <w:p w14:paraId="5AF450FC" w14:textId="70F0554E" w:rsidR="00C42203" w:rsidRDefault="00460384">
          <w:pPr>
            <w:pStyle w:val="TOC1"/>
            <w:tabs>
              <w:tab w:val="right" w:leader="dot" w:pos="9016"/>
            </w:tabs>
            <w:rPr>
              <w:rFonts w:asciiTheme="minorHAnsi" w:eastAsiaTheme="minorEastAsia" w:hAnsiTheme="minorHAnsi"/>
              <w:noProof/>
              <w:lang w:eastAsia="en-GB"/>
            </w:rPr>
          </w:pPr>
          <w:r w:rsidRPr="00D0306F">
            <w:rPr>
              <w:rFonts w:cs="Arial"/>
            </w:rPr>
            <w:fldChar w:fldCharType="begin"/>
          </w:r>
          <w:r w:rsidRPr="00D0306F">
            <w:rPr>
              <w:rFonts w:cs="Arial"/>
            </w:rPr>
            <w:instrText xml:space="preserve"> TOC \o "1-3" \h \z \u </w:instrText>
          </w:r>
          <w:r w:rsidRPr="00D0306F">
            <w:rPr>
              <w:rFonts w:cs="Arial"/>
            </w:rPr>
            <w:fldChar w:fldCharType="separate"/>
          </w:r>
          <w:hyperlink w:anchor="_Toc235185371" w:history="1">
            <w:r w:rsidR="00C42203" w:rsidRPr="00EF6D96">
              <w:rPr>
                <w:rStyle w:val="Hyperlink"/>
                <w:rFonts w:eastAsia="Aptos"/>
                <w:noProof/>
              </w:rPr>
              <w:t>Executive summary</w:t>
            </w:r>
            <w:r w:rsidR="00C42203">
              <w:rPr>
                <w:noProof/>
                <w:webHidden/>
              </w:rPr>
              <w:tab/>
            </w:r>
            <w:r w:rsidR="00C42203">
              <w:rPr>
                <w:noProof/>
                <w:webHidden/>
              </w:rPr>
              <w:fldChar w:fldCharType="begin"/>
            </w:r>
            <w:r w:rsidR="00C42203">
              <w:rPr>
                <w:noProof/>
                <w:webHidden/>
              </w:rPr>
              <w:instrText xml:space="preserve"> PAGEREF _Toc235185371 \h </w:instrText>
            </w:r>
            <w:r w:rsidR="00C42203">
              <w:rPr>
                <w:noProof/>
                <w:webHidden/>
              </w:rPr>
            </w:r>
            <w:r w:rsidR="00C42203">
              <w:rPr>
                <w:noProof/>
                <w:webHidden/>
              </w:rPr>
              <w:fldChar w:fldCharType="separate"/>
            </w:r>
            <w:r w:rsidR="00C42203">
              <w:rPr>
                <w:noProof/>
                <w:webHidden/>
              </w:rPr>
              <w:t>3</w:t>
            </w:r>
            <w:r w:rsidR="00C42203">
              <w:rPr>
                <w:noProof/>
                <w:webHidden/>
              </w:rPr>
              <w:fldChar w:fldCharType="end"/>
            </w:r>
          </w:hyperlink>
        </w:p>
        <w:p w14:paraId="69D3B8EC" w14:textId="24EFF790" w:rsidR="00C42203" w:rsidRDefault="00C42203">
          <w:pPr>
            <w:pStyle w:val="TOC1"/>
            <w:tabs>
              <w:tab w:val="right" w:leader="dot" w:pos="9016"/>
            </w:tabs>
            <w:rPr>
              <w:rFonts w:asciiTheme="minorHAnsi" w:eastAsiaTheme="minorEastAsia" w:hAnsiTheme="minorHAnsi"/>
              <w:noProof/>
              <w:lang w:eastAsia="en-GB"/>
            </w:rPr>
          </w:pPr>
          <w:hyperlink w:anchor="_Toc235185372" w:history="1">
            <w:r w:rsidRPr="00EF6D96">
              <w:rPr>
                <w:rStyle w:val="Hyperlink"/>
                <w:rFonts w:eastAsia="Aptos"/>
                <w:noProof/>
                <w:lang w:val="en-US"/>
              </w:rPr>
              <w:t>1 Introduction</w:t>
            </w:r>
            <w:r>
              <w:rPr>
                <w:noProof/>
                <w:webHidden/>
              </w:rPr>
              <w:tab/>
            </w:r>
            <w:r>
              <w:rPr>
                <w:noProof/>
                <w:webHidden/>
              </w:rPr>
              <w:fldChar w:fldCharType="begin"/>
            </w:r>
            <w:r>
              <w:rPr>
                <w:noProof/>
                <w:webHidden/>
              </w:rPr>
              <w:instrText xml:space="preserve"> PAGEREF _Toc235185372 \h </w:instrText>
            </w:r>
            <w:r>
              <w:rPr>
                <w:noProof/>
                <w:webHidden/>
              </w:rPr>
            </w:r>
            <w:r>
              <w:rPr>
                <w:noProof/>
                <w:webHidden/>
              </w:rPr>
              <w:fldChar w:fldCharType="separate"/>
            </w:r>
            <w:r>
              <w:rPr>
                <w:noProof/>
                <w:webHidden/>
              </w:rPr>
              <w:t>10</w:t>
            </w:r>
            <w:r>
              <w:rPr>
                <w:noProof/>
                <w:webHidden/>
              </w:rPr>
              <w:fldChar w:fldCharType="end"/>
            </w:r>
          </w:hyperlink>
        </w:p>
        <w:p w14:paraId="7A6A2CB8" w14:textId="30DFBC84" w:rsidR="00C42203" w:rsidRDefault="00C42203">
          <w:pPr>
            <w:pStyle w:val="TOC1"/>
            <w:tabs>
              <w:tab w:val="right" w:leader="dot" w:pos="9016"/>
            </w:tabs>
            <w:rPr>
              <w:rFonts w:asciiTheme="minorHAnsi" w:eastAsiaTheme="minorEastAsia" w:hAnsiTheme="minorHAnsi"/>
              <w:noProof/>
              <w:lang w:eastAsia="en-GB"/>
            </w:rPr>
          </w:pPr>
          <w:hyperlink w:anchor="_Toc235185373" w:history="1">
            <w:r w:rsidRPr="00EF6D96">
              <w:rPr>
                <w:rStyle w:val="Hyperlink"/>
                <w:rFonts w:eastAsia="Aptos"/>
                <w:noProof/>
              </w:rPr>
              <w:t>2 Overview of Swansea Bay University Health Board</w:t>
            </w:r>
            <w:r>
              <w:rPr>
                <w:noProof/>
                <w:webHidden/>
              </w:rPr>
              <w:tab/>
            </w:r>
            <w:r>
              <w:rPr>
                <w:noProof/>
                <w:webHidden/>
              </w:rPr>
              <w:fldChar w:fldCharType="begin"/>
            </w:r>
            <w:r>
              <w:rPr>
                <w:noProof/>
                <w:webHidden/>
              </w:rPr>
              <w:instrText xml:space="preserve"> PAGEREF _Toc235185373 \h </w:instrText>
            </w:r>
            <w:r>
              <w:rPr>
                <w:noProof/>
                <w:webHidden/>
              </w:rPr>
            </w:r>
            <w:r>
              <w:rPr>
                <w:noProof/>
                <w:webHidden/>
              </w:rPr>
              <w:fldChar w:fldCharType="separate"/>
            </w:r>
            <w:r>
              <w:rPr>
                <w:noProof/>
                <w:webHidden/>
              </w:rPr>
              <w:t>31</w:t>
            </w:r>
            <w:r>
              <w:rPr>
                <w:noProof/>
                <w:webHidden/>
              </w:rPr>
              <w:fldChar w:fldCharType="end"/>
            </w:r>
          </w:hyperlink>
        </w:p>
        <w:p w14:paraId="564279C4" w14:textId="0C913CAA" w:rsidR="00C42203" w:rsidRDefault="00C42203">
          <w:pPr>
            <w:pStyle w:val="TOC1"/>
            <w:tabs>
              <w:tab w:val="right" w:leader="dot" w:pos="9016"/>
            </w:tabs>
            <w:rPr>
              <w:rFonts w:asciiTheme="minorHAnsi" w:eastAsiaTheme="minorEastAsia" w:hAnsiTheme="minorHAnsi"/>
              <w:noProof/>
              <w:lang w:eastAsia="en-GB"/>
            </w:rPr>
          </w:pPr>
          <w:hyperlink w:anchor="_Toc235185374" w:history="1">
            <w:r w:rsidRPr="00EF6D96">
              <w:rPr>
                <w:rStyle w:val="Hyperlink"/>
                <w:noProof/>
              </w:rPr>
              <w:t>3 General health needs of Swansea Bay University Health Board</w:t>
            </w:r>
            <w:r>
              <w:rPr>
                <w:noProof/>
                <w:webHidden/>
              </w:rPr>
              <w:tab/>
            </w:r>
            <w:r>
              <w:rPr>
                <w:noProof/>
                <w:webHidden/>
              </w:rPr>
              <w:fldChar w:fldCharType="begin"/>
            </w:r>
            <w:r>
              <w:rPr>
                <w:noProof/>
                <w:webHidden/>
              </w:rPr>
              <w:instrText xml:space="preserve"> PAGEREF _Toc235185374 \h </w:instrText>
            </w:r>
            <w:r>
              <w:rPr>
                <w:noProof/>
                <w:webHidden/>
              </w:rPr>
            </w:r>
            <w:r>
              <w:rPr>
                <w:noProof/>
                <w:webHidden/>
              </w:rPr>
              <w:fldChar w:fldCharType="separate"/>
            </w:r>
            <w:r>
              <w:rPr>
                <w:noProof/>
                <w:webHidden/>
              </w:rPr>
              <w:t>55</w:t>
            </w:r>
            <w:r>
              <w:rPr>
                <w:noProof/>
                <w:webHidden/>
              </w:rPr>
              <w:fldChar w:fldCharType="end"/>
            </w:r>
          </w:hyperlink>
        </w:p>
        <w:p w14:paraId="4F4635D6" w14:textId="2650BD4A" w:rsidR="00C42203" w:rsidRDefault="00C42203">
          <w:pPr>
            <w:pStyle w:val="TOC1"/>
            <w:tabs>
              <w:tab w:val="right" w:leader="dot" w:pos="9016"/>
            </w:tabs>
            <w:rPr>
              <w:rFonts w:asciiTheme="minorHAnsi" w:eastAsiaTheme="minorEastAsia" w:hAnsiTheme="minorHAnsi"/>
              <w:noProof/>
              <w:lang w:eastAsia="en-GB"/>
            </w:rPr>
          </w:pPr>
          <w:hyperlink w:anchor="_Toc235185375" w:history="1">
            <w:r w:rsidRPr="00EF6D96">
              <w:rPr>
                <w:rStyle w:val="Hyperlink"/>
                <w:rFonts w:eastAsia="Aptos"/>
                <w:noProof/>
              </w:rPr>
              <w:t>4 Identified patient groups – particular health issues</w:t>
            </w:r>
            <w:r>
              <w:rPr>
                <w:noProof/>
                <w:webHidden/>
              </w:rPr>
              <w:tab/>
            </w:r>
            <w:r>
              <w:rPr>
                <w:noProof/>
                <w:webHidden/>
              </w:rPr>
              <w:fldChar w:fldCharType="begin"/>
            </w:r>
            <w:r>
              <w:rPr>
                <w:noProof/>
                <w:webHidden/>
              </w:rPr>
              <w:instrText xml:space="preserve"> PAGEREF _Toc235185375 \h </w:instrText>
            </w:r>
            <w:r>
              <w:rPr>
                <w:noProof/>
                <w:webHidden/>
              </w:rPr>
            </w:r>
            <w:r>
              <w:rPr>
                <w:noProof/>
                <w:webHidden/>
              </w:rPr>
              <w:fldChar w:fldCharType="separate"/>
            </w:r>
            <w:r>
              <w:rPr>
                <w:noProof/>
                <w:webHidden/>
              </w:rPr>
              <w:t>90</w:t>
            </w:r>
            <w:r>
              <w:rPr>
                <w:noProof/>
                <w:webHidden/>
              </w:rPr>
              <w:fldChar w:fldCharType="end"/>
            </w:r>
          </w:hyperlink>
        </w:p>
        <w:p w14:paraId="538C2038" w14:textId="623B68B7" w:rsidR="00C42203" w:rsidRDefault="00C42203">
          <w:pPr>
            <w:pStyle w:val="TOC1"/>
            <w:tabs>
              <w:tab w:val="right" w:leader="dot" w:pos="9016"/>
            </w:tabs>
            <w:rPr>
              <w:rFonts w:asciiTheme="minorHAnsi" w:eastAsiaTheme="minorEastAsia" w:hAnsiTheme="minorHAnsi"/>
              <w:noProof/>
              <w:lang w:eastAsia="en-GB"/>
            </w:rPr>
          </w:pPr>
          <w:hyperlink w:anchor="_Toc235185376" w:history="1">
            <w:r w:rsidRPr="00EF6D96">
              <w:rPr>
                <w:rStyle w:val="Hyperlink"/>
                <w:rFonts w:eastAsia="Aptos"/>
                <w:noProof/>
              </w:rPr>
              <w:t>5 Provision of pharmaceutical services</w:t>
            </w:r>
            <w:r>
              <w:rPr>
                <w:noProof/>
                <w:webHidden/>
              </w:rPr>
              <w:tab/>
            </w:r>
            <w:r>
              <w:rPr>
                <w:noProof/>
                <w:webHidden/>
              </w:rPr>
              <w:fldChar w:fldCharType="begin"/>
            </w:r>
            <w:r>
              <w:rPr>
                <w:noProof/>
                <w:webHidden/>
              </w:rPr>
              <w:instrText xml:space="preserve"> PAGEREF _Toc235185376 \h </w:instrText>
            </w:r>
            <w:r>
              <w:rPr>
                <w:noProof/>
                <w:webHidden/>
              </w:rPr>
            </w:r>
            <w:r>
              <w:rPr>
                <w:noProof/>
                <w:webHidden/>
              </w:rPr>
              <w:fldChar w:fldCharType="separate"/>
            </w:r>
            <w:r>
              <w:rPr>
                <w:noProof/>
                <w:webHidden/>
              </w:rPr>
              <w:t>125</w:t>
            </w:r>
            <w:r>
              <w:rPr>
                <w:noProof/>
                <w:webHidden/>
              </w:rPr>
              <w:fldChar w:fldCharType="end"/>
            </w:r>
          </w:hyperlink>
        </w:p>
        <w:p w14:paraId="41BCD724" w14:textId="3CC8A529" w:rsidR="00C42203" w:rsidRDefault="00C42203">
          <w:pPr>
            <w:pStyle w:val="TOC1"/>
            <w:tabs>
              <w:tab w:val="right" w:leader="dot" w:pos="9016"/>
            </w:tabs>
            <w:rPr>
              <w:rFonts w:asciiTheme="minorHAnsi" w:eastAsiaTheme="minorEastAsia" w:hAnsiTheme="minorHAnsi"/>
              <w:noProof/>
              <w:lang w:eastAsia="en-GB"/>
            </w:rPr>
          </w:pPr>
          <w:hyperlink w:anchor="_Toc235185377" w:history="1">
            <w:r w:rsidRPr="00EF6D96">
              <w:rPr>
                <w:rStyle w:val="Hyperlink"/>
                <w:rFonts w:eastAsia="Arial"/>
                <w:noProof/>
              </w:rPr>
              <w:t>6 Other NHS services</w:t>
            </w:r>
            <w:r>
              <w:rPr>
                <w:noProof/>
                <w:webHidden/>
              </w:rPr>
              <w:tab/>
            </w:r>
            <w:r>
              <w:rPr>
                <w:noProof/>
                <w:webHidden/>
              </w:rPr>
              <w:fldChar w:fldCharType="begin"/>
            </w:r>
            <w:r>
              <w:rPr>
                <w:noProof/>
                <w:webHidden/>
              </w:rPr>
              <w:instrText xml:space="preserve"> PAGEREF _Toc235185377 \h </w:instrText>
            </w:r>
            <w:r>
              <w:rPr>
                <w:noProof/>
                <w:webHidden/>
              </w:rPr>
            </w:r>
            <w:r>
              <w:rPr>
                <w:noProof/>
                <w:webHidden/>
              </w:rPr>
              <w:fldChar w:fldCharType="separate"/>
            </w:r>
            <w:r>
              <w:rPr>
                <w:noProof/>
                <w:webHidden/>
              </w:rPr>
              <w:t>143</w:t>
            </w:r>
            <w:r>
              <w:rPr>
                <w:noProof/>
                <w:webHidden/>
              </w:rPr>
              <w:fldChar w:fldCharType="end"/>
            </w:r>
          </w:hyperlink>
        </w:p>
        <w:p w14:paraId="04964EE8" w14:textId="7D8FCA4F" w:rsidR="00C42203" w:rsidRDefault="00C42203">
          <w:pPr>
            <w:pStyle w:val="TOC1"/>
            <w:tabs>
              <w:tab w:val="right" w:leader="dot" w:pos="9016"/>
            </w:tabs>
            <w:rPr>
              <w:rFonts w:asciiTheme="minorHAnsi" w:eastAsiaTheme="minorEastAsia" w:hAnsiTheme="minorHAnsi"/>
              <w:noProof/>
              <w:lang w:eastAsia="en-GB"/>
            </w:rPr>
          </w:pPr>
          <w:hyperlink w:anchor="_Toc235185378" w:history="1">
            <w:r w:rsidRPr="00EF6D96">
              <w:rPr>
                <w:rStyle w:val="Hyperlink"/>
                <w:rFonts w:eastAsia="Aptos"/>
                <w:noProof/>
              </w:rPr>
              <w:t>7 Health needs that can be met by pharmaceutical services</w:t>
            </w:r>
            <w:r>
              <w:rPr>
                <w:noProof/>
                <w:webHidden/>
              </w:rPr>
              <w:tab/>
            </w:r>
            <w:r>
              <w:rPr>
                <w:noProof/>
                <w:webHidden/>
              </w:rPr>
              <w:fldChar w:fldCharType="begin"/>
            </w:r>
            <w:r>
              <w:rPr>
                <w:noProof/>
                <w:webHidden/>
              </w:rPr>
              <w:instrText xml:space="preserve"> PAGEREF _Toc235185378 \h </w:instrText>
            </w:r>
            <w:r>
              <w:rPr>
                <w:noProof/>
                <w:webHidden/>
              </w:rPr>
            </w:r>
            <w:r>
              <w:rPr>
                <w:noProof/>
                <w:webHidden/>
              </w:rPr>
              <w:fldChar w:fldCharType="separate"/>
            </w:r>
            <w:r>
              <w:rPr>
                <w:noProof/>
                <w:webHidden/>
              </w:rPr>
              <w:t>152</w:t>
            </w:r>
            <w:r>
              <w:rPr>
                <w:noProof/>
                <w:webHidden/>
              </w:rPr>
              <w:fldChar w:fldCharType="end"/>
            </w:r>
          </w:hyperlink>
        </w:p>
        <w:p w14:paraId="155DD10F" w14:textId="11B7499B" w:rsidR="00C42203" w:rsidRDefault="00C42203">
          <w:pPr>
            <w:pStyle w:val="TOC1"/>
            <w:tabs>
              <w:tab w:val="right" w:leader="dot" w:pos="9016"/>
            </w:tabs>
            <w:rPr>
              <w:rFonts w:asciiTheme="minorHAnsi" w:eastAsiaTheme="minorEastAsia" w:hAnsiTheme="minorHAnsi"/>
              <w:noProof/>
              <w:lang w:eastAsia="en-GB"/>
            </w:rPr>
          </w:pPr>
          <w:hyperlink w:anchor="_Toc235185379" w:history="1">
            <w:r w:rsidRPr="00EF6D96">
              <w:rPr>
                <w:rStyle w:val="Hyperlink"/>
                <w:rFonts w:eastAsia="Aptos"/>
                <w:noProof/>
              </w:rPr>
              <w:t>8 Bay Health locality</w:t>
            </w:r>
            <w:r>
              <w:rPr>
                <w:noProof/>
                <w:webHidden/>
              </w:rPr>
              <w:tab/>
            </w:r>
            <w:r>
              <w:rPr>
                <w:noProof/>
                <w:webHidden/>
              </w:rPr>
              <w:fldChar w:fldCharType="begin"/>
            </w:r>
            <w:r>
              <w:rPr>
                <w:noProof/>
                <w:webHidden/>
              </w:rPr>
              <w:instrText xml:space="preserve"> PAGEREF _Toc235185379 \h </w:instrText>
            </w:r>
            <w:r>
              <w:rPr>
                <w:noProof/>
                <w:webHidden/>
              </w:rPr>
            </w:r>
            <w:r>
              <w:rPr>
                <w:noProof/>
                <w:webHidden/>
              </w:rPr>
              <w:fldChar w:fldCharType="separate"/>
            </w:r>
            <w:r>
              <w:rPr>
                <w:noProof/>
                <w:webHidden/>
              </w:rPr>
              <w:t>162</w:t>
            </w:r>
            <w:r>
              <w:rPr>
                <w:noProof/>
                <w:webHidden/>
              </w:rPr>
              <w:fldChar w:fldCharType="end"/>
            </w:r>
          </w:hyperlink>
        </w:p>
        <w:p w14:paraId="4B29D775" w14:textId="771E83B8" w:rsidR="00C42203" w:rsidRDefault="00C42203">
          <w:pPr>
            <w:pStyle w:val="TOC1"/>
            <w:tabs>
              <w:tab w:val="right" w:leader="dot" w:pos="9016"/>
            </w:tabs>
            <w:rPr>
              <w:rFonts w:asciiTheme="minorHAnsi" w:eastAsiaTheme="minorEastAsia" w:hAnsiTheme="minorHAnsi"/>
              <w:noProof/>
              <w:lang w:eastAsia="en-GB"/>
            </w:rPr>
          </w:pPr>
          <w:hyperlink w:anchor="_Toc235185380" w:history="1">
            <w:r w:rsidRPr="00EF6D96">
              <w:rPr>
                <w:rStyle w:val="Hyperlink"/>
                <w:rFonts w:eastAsia="Aptos"/>
                <w:noProof/>
              </w:rPr>
              <w:t>9 City Health locality</w:t>
            </w:r>
            <w:r>
              <w:rPr>
                <w:noProof/>
                <w:webHidden/>
              </w:rPr>
              <w:tab/>
            </w:r>
            <w:r>
              <w:rPr>
                <w:noProof/>
                <w:webHidden/>
              </w:rPr>
              <w:fldChar w:fldCharType="begin"/>
            </w:r>
            <w:r>
              <w:rPr>
                <w:noProof/>
                <w:webHidden/>
              </w:rPr>
              <w:instrText xml:space="preserve"> PAGEREF _Toc235185380 \h </w:instrText>
            </w:r>
            <w:r>
              <w:rPr>
                <w:noProof/>
                <w:webHidden/>
              </w:rPr>
            </w:r>
            <w:r>
              <w:rPr>
                <w:noProof/>
                <w:webHidden/>
              </w:rPr>
              <w:fldChar w:fldCharType="separate"/>
            </w:r>
            <w:r>
              <w:rPr>
                <w:noProof/>
                <w:webHidden/>
              </w:rPr>
              <w:t>180</w:t>
            </w:r>
            <w:r>
              <w:rPr>
                <w:noProof/>
                <w:webHidden/>
              </w:rPr>
              <w:fldChar w:fldCharType="end"/>
            </w:r>
          </w:hyperlink>
        </w:p>
        <w:p w14:paraId="1F3B8763" w14:textId="208CD32B" w:rsidR="00C42203" w:rsidRDefault="00C42203">
          <w:pPr>
            <w:pStyle w:val="TOC1"/>
            <w:tabs>
              <w:tab w:val="right" w:leader="dot" w:pos="9016"/>
            </w:tabs>
            <w:rPr>
              <w:rFonts w:asciiTheme="minorHAnsi" w:eastAsiaTheme="minorEastAsia" w:hAnsiTheme="minorHAnsi"/>
              <w:noProof/>
              <w:lang w:eastAsia="en-GB"/>
            </w:rPr>
          </w:pPr>
          <w:hyperlink w:anchor="_Toc235185381" w:history="1">
            <w:r w:rsidRPr="00EF6D96">
              <w:rPr>
                <w:rStyle w:val="Hyperlink"/>
                <w:rFonts w:eastAsia="Aptos"/>
                <w:noProof/>
              </w:rPr>
              <w:t>10 Cwmtawe locality</w:t>
            </w:r>
            <w:r>
              <w:rPr>
                <w:noProof/>
                <w:webHidden/>
              </w:rPr>
              <w:tab/>
            </w:r>
            <w:r>
              <w:rPr>
                <w:noProof/>
                <w:webHidden/>
              </w:rPr>
              <w:fldChar w:fldCharType="begin"/>
            </w:r>
            <w:r>
              <w:rPr>
                <w:noProof/>
                <w:webHidden/>
              </w:rPr>
              <w:instrText xml:space="preserve"> PAGEREF _Toc235185381 \h </w:instrText>
            </w:r>
            <w:r>
              <w:rPr>
                <w:noProof/>
                <w:webHidden/>
              </w:rPr>
            </w:r>
            <w:r>
              <w:rPr>
                <w:noProof/>
                <w:webHidden/>
              </w:rPr>
              <w:fldChar w:fldCharType="separate"/>
            </w:r>
            <w:r>
              <w:rPr>
                <w:noProof/>
                <w:webHidden/>
              </w:rPr>
              <w:t>197</w:t>
            </w:r>
            <w:r>
              <w:rPr>
                <w:noProof/>
                <w:webHidden/>
              </w:rPr>
              <w:fldChar w:fldCharType="end"/>
            </w:r>
          </w:hyperlink>
        </w:p>
        <w:p w14:paraId="49C59950" w14:textId="348BCF79" w:rsidR="00C42203" w:rsidRDefault="00C42203">
          <w:pPr>
            <w:pStyle w:val="TOC1"/>
            <w:tabs>
              <w:tab w:val="right" w:leader="dot" w:pos="9016"/>
            </w:tabs>
            <w:rPr>
              <w:rFonts w:asciiTheme="minorHAnsi" w:eastAsiaTheme="minorEastAsia" w:hAnsiTheme="minorHAnsi"/>
              <w:noProof/>
              <w:lang w:eastAsia="en-GB"/>
            </w:rPr>
          </w:pPr>
          <w:hyperlink w:anchor="_Toc235185382" w:history="1">
            <w:r w:rsidRPr="00EF6D96">
              <w:rPr>
                <w:rStyle w:val="Hyperlink"/>
                <w:rFonts w:eastAsia="Aptos"/>
                <w:noProof/>
              </w:rPr>
              <w:t>11 Llwchwr locality</w:t>
            </w:r>
            <w:r>
              <w:rPr>
                <w:noProof/>
                <w:webHidden/>
              </w:rPr>
              <w:tab/>
            </w:r>
            <w:r>
              <w:rPr>
                <w:noProof/>
                <w:webHidden/>
              </w:rPr>
              <w:fldChar w:fldCharType="begin"/>
            </w:r>
            <w:r>
              <w:rPr>
                <w:noProof/>
                <w:webHidden/>
              </w:rPr>
              <w:instrText xml:space="preserve"> PAGEREF _Toc235185382 \h </w:instrText>
            </w:r>
            <w:r>
              <w:rPr>
                <w:noProof/>
                <w:webHidden/>
              </w:rPr>
            </w:r>
            <w:r>
              <w:rPr>
                <w:noProof/>
                <w:webHidden/>
              </w:rPr>
              <w:fldChar w:fldCharType="separate"/>
            </w:r>
            <w:r>
              <w:rPr>
                <w:noProof/>
                <w:webHidden/>
              </w:rPr>
              <w:t>213</w:t>
            </w:r>
            <w:r>
              <w:rPr>
                <w:noProof/>
                <w:webHidden/>
              </w:rPr>
              <w:fldChar w:fldCharType="end"/>
            </w:r>
          </w:hyperlink>
        </w:p>
        <w:p w14:paraId="3C975C51" w14:textId="2E518FE9" w:rsidR="00C42203" w:rsidRDefault="00C42203">
          <w:pPr>
            <w:pStyle w:val="TOC1"/>
            <w:tabs>
              <w:tab w:val="right" w:leader="dot" w:pos="9016"/>
            </w:tabs>
            <w:rPr>
              <w:rFonts w:asciiTheme="minorHAnsi" w:eastAsiaTheme="minorEastAsia" w:hAnsiTheme="minorHAnsi"/>
              <w:noProof/>
              <w:lang w:eastAsia="en-GB"/>
            </w:rPr>
          </w:pPr>
          <w:hyperlink w:anchor="_Toc235185383" w:history="1">
            <w:r w:rsidRPr="00EF6D96">
              <w:rPr>
                <w:rStyle w:val="Hyperlink"/>
                <w:rFonts w:eastAsia="Aptos"/>
                <w:noProof/>
              </w:rPr>
              <w:t>12 Penderi locality</w:t>
            </w:r>
            <w:r>
              <w:rPr>
                <w:noProof/>
                <w:webHidden/>
              </w:rPr>
              <w:tab/>
            </w:r>
            <w:r>
              <w:rPr>
                <w:noProof/>
                <w:webHidden/>
              </w:rPr>
              <w:fldChar w:fldCharType="begin"/>
            </w:r>
            <w:r>
              <w:rPr>
                <w:noProof/>
                <w:webHidden/>
              </w:rPr>
              <w:instrText xml:space="preserve"> PAGEREF _Toc235185383 \h </w:instrText>
            </w:r>
            <w:r>
              <w:rPr>
                <w:noProof/>
                <w:webHidden/>
              </w:rPr>
            </w:r>
            <w:r>
              <w:rPr>
                <w:noProof/>
                <w:webHidden/>
              </w:rPr>
              <w:fldChar w:fldCharType="separate"/>
            </w:r>
            <w:r>
              <w:rPr>
                <w:noProof/>
                <w:webHidden/>
              </w:rPr>
              <w:t>230</w:t>
            </w:r>
            <w:r>
              <w:rPr>
                <w:noProof/>
                <w:webHidden/>
              </w:rPr>
              <w:fldChar w:fldCharType="end"/>
            </w:r>
          </w:hyperlink>
        </w:p>
        <w:p w14:paraId="15BD697E" w14:textId="1728C9E2" w:rsidR="00C42203" w:rsidRDefault="00C42203">
          <w:pPr>
            <w:pStyle w:val="TOC1"/>
            <w:tabs>
              <w:tab w:val="right" w:leader="dot" w:pos="9016"/>
            </w:tabs>
            <w:rPr>
              <w:rFonts w:asciiTheme="minorHAnsi" w:eastAsiaTheme="minorEastAsia" w:hAnsiTheme="minorHAnsi"/>
              <w:noProof/>
              <w:lang w:eastAsia="en-GB"/>
            </w:rPr>
          </w:pPr>
          <w:hyperlink w:anchor="_Toc235185384" w:history="1">
            <w:r w:rsidRPr="00EF6D96">
              <w:rPr>
                <w:rStyle w:val="Hyperlink"/>
                <w:rFonts w:eastAsia="Aptos"/>
                <w:noProof/>
              </w:rPr>
              <w:t>13 Afan locality</w:t>
            </w:r>
            <w:r>
              <w:rPr>
                <w:noProof/>
                <w:webHidden/>
              </w:rPr>
              <w:tab/>
            </w:r>
            <w:r>
              <w:rPr>
                <w:noProof/>
                <w:webHidden/>
              </w:rPr>
              <w:fldChar w:fldCharType="begin"/>
            </w:r>
            <w:r>
              <w:rPr>
                <w:noProof/>
                <w:webHidden/>
              </w:rPr>
              <w:instrText xml:space="preserve"> PAGEREF _Toc235185384 \h </w:instrText>
            </w:r>
            <w:r>
              <w:rPr>
                <w:noProof/>
                <w:webHidden/>
              </w:rPr>
            </w:r>
            <w:r>
              <w:rPr>
                <w:noProof/>
                <w:webHidden/>
              </w:rPr>
              <w:fldChar w:fldCharType="separate"/>
            </w:r>
            <w:r>
              <w:rPr>
                <w:noProof/>
                <w:webHidden/>
              </w:rPr>
              <w:t>247</w:t>
            </w:r>
            <w:r>
              <w:rPr>
                <w:noProof/>
                <w:webHidden/>
              </w:rPr>
              <w:fldChar w:fldCharType="end"/>
            </w:r>
          </w:hyperlink>
        </w:p>
        <w:p w14:paraId="1E84C6FD" w14:textId="21A66951" w:rsidR="00C42203" w:rsidRDefault="00C42203">
          <w:pPr>
            <w:pStyle w:val="TOC1"/>
            <w:tabs>
              <w:tab w:val="right" w:leader="dot" w:pos="9016"/>
            </w:tabs>
            <w:rPr>
              <w:rFonts w:asciiTheme="minorHAnsi" w:eastAsiaTheme="minorEastAsia" w:hAnsiTheme="minorHAnsi"/>
              <w:noProof/>
              <w:lang w:eastAsia="en-GB"/>
            </w:rPr>
          </w:pPr>
          <w:hyperlink w:anchor="_Toc235185385" w:history="1">
            <w:r w:rsidRPr="00EF6D96">
              <w:rPr>
                <w:rStyle w:val="Hyperlink"/>
                <w:rFonts w:eastAsia="Aptos"/>
                <w:noProof/>
              </w:rPr>
              <w:t>14 Neath locality</w:t>
            </w:r>
            <w:r>
              <w:rPr>
                <w:noProof/>
                <w:webHidden/>
              </w:rPr>
              <w:tab/>
            </w:r>
            <w:r>
              <w:rPr>
                <w:noProof/>
                <w:webHidden/>
              </w:rPr>
              <w:fldChar w:fldCharType="begin"/>
            </w:r>
            <w:r>
              <w:rPr>
                <w:noProof/>
                <w:webHidden/>
              </w:rPr>
              <w:instrText xml:space="preserve"> PAGEREF _Toc235185385 \h </w:instrText>
            </w:r>
            <w:r>
              <w:rPr>
                <w:noProof/>
                <w:webHidden/>
              </w:rPr>
            </w:r>
            <w:r>
              <w:rPr>
                <w:noProof/>
                <w:webHidden/>
              </w:rPr>
              <w:fldChar w:fldCharType="separate"/>
            </w:r>
            <w:r>
              <w:rPr>
                <w:noProof/>
                <w:webHidden/>
              </w:rPr>
              <w:t>266</w:t>
            </w:r>
            <w:r>
              <w:rPr>
                <w:noProof/>
                <w:webHidden/>
              </w:rPr>
              <w:fldChar w:fldCharType="end"/>
            </w:r>
          </w:hyperlink>
        </w:p>
        <w:p w14:paraId="66D2A4EF" w14:textId="28A19A61" w:rsidR="00C42203" w:rsidRDefault="00C42203">
          <w:pPr>
            <w:pStyle w:val="TOC1"/>
            <w:tabs>
              <w:tab w:val="right" w:leader="dot" w:pos="9016"/>
            </w:tabs>
            <w:rPr>
              <w:rFonts w:asciiTheme="minorHAnsi" w:eastAsiaTheme="minorEastAsia" w:hAnsiTheme="minorHAnsi"/>
              <w:noProof/>
              <w:lang w:eastAsia="en-GB"/>
            </w:rPr>
          </w:pPr>
          <w:hyperlink w:anchor="_Toc235185386" w:history="1">
            <w:r w:rsidRPr="00EF6D96">
              <w:rPr>
                <w:rStyle w:val="Hyperlink"/>
                <w:rFonts w:eastAsia="Aptos"/>
                <w:noProof/>
              </w:rPr>
              <w:t>15 Upper Valleys locality</w:t>
            </w:r>
            <w:r>
              <w:rPr>
                <w:noProof/>
                <w:webHidden/>
              </w:rPr>
              <w:tab/>
            </w:r>
            <w:r>
              <w:rPr>
                <w:noProof/>
                <w:webHidden/>
              </w:rPr>
              <w:fldChar w:fldCharType="begin"/>
            </w:r>
            <w:r>
              <w:rPr>
                <w:noProof/>
                <w:webHidden/>
              </w:rPr>
              <w:instrText xml:space="preserve"> PAGEREF _Toc235185386 \h </w:instrText>
            </w:r>
            <w:r>
              <w:rPr>
                <w:noProof/>
                <w:webHidden/>
              </w:rPr>
            </w:r>
            <w:r>
              <w:rPr>
                <w:noProof/>
                <w:webHidden/>
              </w:rPr>
              <w:fldChar w:fldCharType="separate"/>
            </w:r>
            <w:r>
              <w:rPr>
                <w:noProof/>
                <w:webHidden/>
              </w:rPr>
              <w:t>283</w:t>
            </w:r>
            <w:r>
              <w:rPr>
                <w:noProof/>
                <w:webHidden/>
              </w:rPr>
              <w:fldChar w:fldCharType="end"/>
            </w:r>
          </w:hyperlink>
        </w:p>
        <w:p w14:paraId="3A0E5A8A" w14:textId="04A31327" w:rsidR="00C42203" w:rsidRDefault="00C42203">
          <w:pPr>
            <w:pStyle w:val="TOC1"/>
            <w:tabs>
              <w:tab w:val="right" w:leader="dot" w:pos="9016"/>
            </w:tabs>
            <w:rPr>
              <w:rFonts w:asciiTheme="minorHAnsi" w:eastAsiaTheme="minorEastAsia" w:hAnsiTheme="minorHAnsi"/>
              <w:noProof/>
              <w:lang w:eastAsia="en-GB"/>
            </w:rPr>
          </w:pPr>
          <w:hyperlink w:anchor="_Toc235185387" w:history="1">
            <w:r w:rsidRPr="00EF6D96">
              <w:rPr>
                <w:rStyle w:val="Hyperlink"/>
                <w:rFonts w:eastAsia="Aptos"/>
                <w:noProof/>
              </w:rPr>
              <w:t>16 Conclusions - for the purpose of schedule 1 of the NHS (Pharmaceutical Services) (Wales) Regulations 2020</w:t>
            </w:r>
            <w:r>
              <w:rPr>
                <w:noProof/>
                <w:webHidden/>
              </w:rPr>
              <w:tab/>
            </w:r>
            <w:r>
              <w:rPr>
                <w:noProof/>
                <w:webHidden/>
              </w:rPr>
              <w:fldChar w:fldCharType="begin"/>
            </w:r>
            <w:r>
              <w:rPr>
                <w:noProof/>
                <w:webHidden/>
              </w:rPr>
              <w:instrText xml:space="preserve"> PAGEREF _Toc235185387 \h </w:instrText>
            </w:r>
            <w:r>
              <w:rPr>
                <w:noProof/>
                <w:webHidden/>
              </w:rPr>
            </w:r>
            <w:r>
              <w:rPr>
                <w:noProof/>
                <w:webHidden/>
              </w:rPr>
              <w:fldChar w:fldCharType="separate"/>
            </w:r>
            <w:r>
              <w:rPr>
                <w:noProof/>
                <w:webHidden/>
              </w:rPr>
              <w:t>301</w:t>
            </w:r>
            <w:r>
              <w:rPr>
                <w:noProof/>
                <w:webHidden/>
              </w:rPr>
              <w:fldChar w:fldCharType="end"/>
            </w:r>
          </w:hyperlink>
        </w:p>
        <w:p w14:paraId="53B42152" w14:textId="2578A045" w:rsidR="00C42203" w:rsidRDefault="00C42203">
          <w:pPr>
            <w:pStyle w:val="TOC1"/>
            <w:tabs>
              <w:tab w:val="right" w:leader="dot" w:pos="9016"/>
            </w:tabs>
            <w:rPr>
              <w:rFonts w:asciiTheme="minorHAnsi" w:eastAsiaTheme="minorEastAsia" w:hAnsiTheme="minorHAnsi"/>
              <w:noProof/>
              <w:lang w:eastAsia="en-GB"/>
            </w:rPr>
          </w:pPr>
          <w:hyperlink w:anchor="_Toc235185388" w:history="1">
            <w:r w:rsidRPr="00EF6D96">
              <w:rPr>
                <w:rStyle w:val="Hyperlink"/>
                <w:rFonts w:eastAsia="Aptos"/>
                <w:noProof/>
                <w:lang w:val="en-US"/>
              </w:rPr>
              <w:t>Appendix A – policy context and background papers</w:t>
            </w:r>
            <w:r>
              <w:rPr>
                <w:noProof/>
                <w:webHidden/>
              </w:rPr>
              <w:tab/>
            </w:r>
            <w:r>
              <w:rPr>
                <w:noProof/>
                <w:webHidden/>
              </w:rPr>
              <w:fldChar w:fldCharType="begin"/>
            </w:r>
            <w:r>
              <w:rPr>
                <w:noProof/>
                <w:webHidden/>
              </w:rPr>
              <w:instrText xml:space="preserve"> PAGEREF _Toc235185388 \h </w:instrText>
            </w:r>
            <w:r>
              <w:rPr>
                <w:noProof/>
                <w:webHidden/>
              </w:rPr>
            </w:r>
            <w:r>
              <w:rPr>
                <w:noProof/>
                <w:webHidden/>
              </w:rPr>
              <w:fldChar w:fldCharType="separate"/>
            </w:r>
            <w:r>
              <w:rPr>
                <w:noProof/>
                <w:webHidden/>
              </w:rPr>
              <w:t>309</w:t>
            </w:r>
            <w:r>
              <w:rPr>
                <w:noProof/>
                <w:webHidden/>
              </w:rPr>
              <w:fldChar w:fldCharType="end"/>
            </w:r>
          </w:hyperlink>
        </w:p>
        <w:p w14:paraId="406F21AD" w14:textId="53347831" w:rsidR="00C42203" w:rsidRDefault="00C42203">
          <w:pPr>
            <w:pStyle w:val="TOC1"/>
            <w:tabs>
              <w:tab w:val="right" w:leader="dot" w:pos="9016"/>
            </w:tabs>
            <w:rPr>
              <w:rFonts w:asciiTheme="minorHAnsi" w:eastAsiaTheme="minorEastAsia" w:hAnsiTheme="minorHAnsi"/>
              <w:noProof/>
              <w:lang w:eastAsia="en-GB"/>
            </w:rPr>
          </w:pPr>
          <w:hyperlink w:anchor="_Toc235185389" w:history="1">
            <w:r w:rsidRPr="00EF6D96">
              <w:rPr>
                <w:rStyle w:val="Hyperlink"/>
                <w:rFonts w:eastAsia="Aptos"/>
                <w:noProof/>
                <w:lang w:val="en-US"/>
              </w:rPr>
              <w:t>Appendix B – essential services</w:t>
            </w:r>
            <w:r>
              <w:rPr>
                <w:noProof/>
                <w:webHidden/>
              </w:rPr>
              <w:tab/>
            </w:r>
            <w:r>
              <w:rPr>
                <w:noProof/>
                <w:webHidden/>
              </w:rPr>
              <w:fldChar w:fldCharType="begin"/>
            </w:r>
            <w:r>
              <w:rPr>
                <w:noProof/>
                <w:webHidden/>
              </w:rPr>
              <w:instrText xml:space="preserve"> PAGEREF _Toc235185389 \h </w:instrText>
            </w:r>
            <w:r>
              <w:rPr>
                <w:noProof/>
                <w:webHidden/>
              </w:rPr>
            </w:r>
            <w:r>
              <w:rPr>
                <w:noProof/>
                <w:webHidden/>
              </w:rPr>
              <w:fldChar w:fldCharType="separate"/>
            </w:r>
            <w:r>
              <w:rPr>
                <w:noProof/>
                <w:webHidden/>
              </w:rPr>
              <w:t>313</w:t>
            </w:r>
            <w:r>
              <w:rPr>
                <w:noProof/>
                <w:webHidden/>
              </w:rPr>
              <w:fldChar w:fldCharType="end"/>
            </w:r>
          </w:hyperlink>
        </w:p>
        <w:p w14:paraId="026BD05B" w14:textId="505DBF73" w:rsidR="00C42203" w:rsidRDefault="00C42203">
          <w:pPr>
            <w:pStyle w:val="TOC1"/>
            <w:tabs>
              <w:tab w:val="right" w:leader="dot" w:pos="9016"/>
            </w:tabs>
            <w:rPr>
              <w:rFonts w:asciiTheme="minorHAnsi" w:eastAsiaTheme="minorEastAsia" w:hAnsiTheme="minorHAnsi"/>
              <w:noProof/>
              <w:lang w:eastAsia="en-GB"/>
            </w:rPr>
          </w:pPr>
          <w:hyperlink w:anchor="_Toc235185390" w:history="1">
            <w:r w:rsidRPr="00EF6D96">
              <w:rPr>
                <w:rStyle w:val="Hyperlink"/>
                <w:rFonts w:eastAsia="Aptos"/>
                <w:noProof/>
                <w:lang w:val="en-US"/>
              </w:rPr>
              <w:t>Appendix C – national community pharmacy and appliance contractor services</w:t>
            </w:r>
            <w:r>
              <w:rPr>
                <w:noProof/>
                <w:webHidden/>
              </w:rPr>
              <w:tab/>
            </w:r>
            <w:r>
              <w:rPr>
                <w:noProof/>
                <w:webHidden/>
              </w:rPr>
              <w:fldChar w:fldCharType="begin"/>
            </w:r>
            <w:r>
              <w:rPr>
                <w:noProof/>
                <w:webHidden/>
              </w:rPr>
              <w:instrText xml:space="preserve"> PAGEREF _Toc235185390 \h </w:instrText>
            </w:r>
            <w:r>
              <w:rPr>
                <w:noProof/>
                <w:webHidden/>
              </w:rPr>
            </w:r>
            <w:r>
              <w:rPr>
                <w:noProof/>
                <w:webHidden/>
              </w:rPr>
              <w:fldChar w:fldCharType="separate"/>
            </w:r>
            <w:r>
              <w:rPr>
                <w:noProof/>
                <w:webHidden/>
              </w:rPr>
              <w:t>316</w:t>
            </w:r>
            <w:r>
              <w:rPr>
                <w:noProof/>
                <w:webHidden/>
              </w:rPr>
              <w:fldChar w:fldCharType="end"/>
            </w:r>
          </w:hyperlink>
        </w:p>
        <w:p w14:paraId="7D24D2C0" w14:textId="4D0691F3" w:rsidR="00C42203" w:rsidRDefault="00C42203">
          <w:pPr>
            <w:pStyle w:val="TOC1"/>
            <w:tabs>
              <w:tab w:val="right" w:leader="dot" w:pos="9016"/>
            </w:tabs>
            <w:rPr>
              <w:rFonts w:asciiTheme="minorHAnsi" w:eastAsiaTheme="minorEastAsia" w:hAnsiTheme="minorHAnsi"/>
              <w:noProof/>
              <w:lang w:eastAsia="en-GB"/>
            </w:rPr>
          </w:pPr>
          <w:hyperlink w:anchor="_Toc235185391" w:history="1">
            <w:r w:rsidRPr="00EF6D96">
              <w:rPr>
                <w:rStyle w:val="Hyperlink"/>
                <w:rFonts w:eastAsia="Aptos"/>
                <w:noProof/>
                <w:lang w:val="en-US"/>
              </w:rPr>
              <w:t>Appendix D – additional clinical services</w:t>
            </w:r>
            <w:r>
              <w:rPr>
                <w:noProof/>
                <w:webHidden/>
              </w:rPr>
              <w:tab/>
            </w:r>
            <w:r>
              <w:rPr>
                <w:noProof/>
                <w:webHidden/>
              </w:rPr>
              <w:fldChar w:fldCharType="begin"/>
            </w:r>
            <w:r>
              <w:rPr>
                <w:noProof/>
                <w:webHidden/>
              </w:rPr>
              <w:instrText xml:space="preserve"> PAGEREF _Toc235185391 \h </w:instrText>
            </w:r>
            <w:r>
              <w:rPr>
                <w:noProof/>
                <w:webHidden/>
              </w:rPr>
            </w:r>
            <w:r>
              <w:rPr>
                <w:noProof/>
                <w:webHidden/>
              </w:rPr>
              <w:fldChar w:fldCharType="separate"/>
            </w:r>
            <w:r>
              <w:rPr>
                <w:noProof/>
                <w:webHidden/>
              </w:rPr>
              <w:t>321</w:t>
            </w:r>
            <w:r>
              <w:rPr>
                <w:noProof/>
                <w:webHidden/>
              </w:rPr>
              <w:fldChar w:fldCharType="end"/>
            </w:r>
          </w:hyperlink>
        </w:p>
        <w:p w14:paraId="08B60997" w14:textId="5D8B7575" w:rsidR="00C42203" w:rsidRDefault="00C42203">
          <w:pPr>
            <w:pStyle w:val="TOC1"/>
            <w:tabs>
              <w:tab w:val="right" w:leader="dot" w:pos="9016"/>
            </w:tabs>
            <w:rPr>
              <w:rFonts w:asciiTheme="minorHAnsi" w:eastAsiaTheme="minorEastAsia" w:hAnsiTheme="minorHAnsi"/>
              <w:noProof/>
              <w:lang w:eastAsia="en-GB"/>
            </w:rPr>
          </w:pPr>
          <w:hyperlink w:anchor="_Toc235185392" w:history="1">
            <w:r w:rsidRPr="00EF6D96">
              <w:rPr>
                <w:rStyle w:val="Hyperlink"/>
                <w:rFonts w:eastAsia="Aptos"/>
                <w:noProof/>
                <w:lang w:val="en-US"/>
              </w:rPr>
              <w:t>Appendix E – terms of service for dispensing appliance contractors</w:t>
            </w:r>
            <w:r>
              <w:rPr>
                <w:noProof/>
                <w:webHidden/>
              </w:rPr>
              <w:tab/>
            </w:r>
            <w:r>
              <w:rPr>
                <w:noProof/>
                <w:webHidden/>
              </w:rPr>
              <w:fldChar w:fldCharType="begin"/>
            </w:r>
            <w:r>
              <w:rPr>
                <w:noProof/>
                <w:webHidden/>
              </w:rPr>
              <w:instrText xml:space="preserve"> PAGEREF _Toc235185392 \h </w:instrText>
            </w:r>
            <w:r>
              <w:rPr>
                <w:noProof/>
                <w:webHidden/>
              </w:rPr>
            </w:r>
            <w:r>
              <w:rPr>
                <w:noProof/>
                <w:webHidden/>
              </w:rPr>
              <w:fldChar w:fldCharType="separate"/>
            </w:r>
            <w:r>
              <w:rPr>
                <w:noProof/>
                <w:webHidden/>
              </w:rPr>
              <w:t>325</w:t>
            </w:r>
            <w:r>
              <w:rPr>
                <w:noProof/>
                <w:webHidden/>
              </w:rPr>
              <w:fldChar w:fldCharType="end"/>
            </w:r>
          </w:hyperlink>
        </w:p>
        <w:p w14:paraId="4A9A9762" w14:textId="6A06EA17" w:rsidR="00C42203" w:rsidRDefault="00C42203">
          <w:pPr>
            <w:pStyle w:val="TOC1"/>
            <w:tabs>
              <w:tab w:val="right" w:leader="dot" w:pos="9016"/>
            </w:tabs>
            <w:rPr>
              <w:rFonts w:asciiTheme="minorHAnsi" w:eastAsiaTheme="minorEastAsia" w:hAnsiTheme="minorHAnsi"/>
              <w:noProof/>
              <w:lang w:eastAsia="en-GB"/>
            </w:rPr>
          </w:pPr>
          <w:hyperlink w:anchor="_Toc235185393" w:history="1">
            <w:r w:rsidRPr="00EF6D96">
              <w:rPr>
                <w:rStyle w:val="Hyperlink"/>
                <w:rFonts w:eastAsia="Arial"/>
                <w:noProof/>
                <w:lang w:val="en-US"/>
              </w:rPr>
              <w:t>Appendix</w:t>
            </w:r>
            <w:r w:rsidRPr="00EF6D96">
              <w:rPr>
                <w:rStyle w:val="Hyperlink"/>
                <w:rFonts w:eastAsia="Arial"/>
                <w:noProof/>
                <w:spacing w:val="-1"/>
                <w:lang w:val="en-US"/>
              </w:rPr>
              <w:t xml:space="preserve"> </w:t>
            </w:r>
            <w:r w:rsidRPr="00EF6D96">
              <w:rPr>
                <w:rStyle w:val="Hyperlink"/>
                <w:rFonts w:eastAsia="Arial"/>
                <w:noProof/>
                <w:lang w:val="en-US"/>
              </w:rPr>
              <w:t>F</w:t>
            </w:r>
            <w:r w:rsidRPr="00EF6D96">
              <w:rPr>
                <w:rStyle w:val="Hyperlink"/>
                <w:rFonts w:eastAsia="Arial"/>
                <w:noProof/>
                <w:spacing w:val="1"/>
                <w:lang w:val="en-US"/>
              </w:rPr>
              <w:t xml:space="preserve"> </w:t>
            </w:r>
            <w:r w:rsidRPr="00EF6D96">
              <w:rPr>
                <w:rStyle w:val="Hyperlink"/>
                <w:rFonts w:eastAsia="Arial"/>
                <w:noProof/>
                <w:lang w:val="en-US"/>
              </w:rPr>
              <w:t>– pharmaceutical needs assessment steering</w:t>
            </w:r>
            <w:r w:rsidRPr="00EF6D96">
              <w:rPr>
                <w:rStyle w:val="Hyperlink"/>
                <w:rFonts w:eastAsia="Arial"/>
                <w:noProof/>
                <w:spacing w:val="-1"/>
                <w:lang w:val="en-US"/>
              </w:rPr>
              <w:t xml:space="preserve"> </w:t>
            </w:r>
            <w:r w:rsidRPr="00EF6D96">
              <w:rPr>
                <w:rStyle w:val="Hyperlink"/>
                <w:rFonts w:eastAsia="Arial"/>
                <w:noProof/>
                <w:lang w:val="en-US"/>
              </w:rPr>
              <w:t xml:space="preserve">group </w:t>
            </w:r>
            <w:r w:rsidRPr="00EF6D96">
              <w:rPr>
                <w:rStyle w:val="Hyperlink"/>
                <w:rFonts w:eastAsia="Arial"/>
                <w:noProof/>
                <w:spacing w:val="-2"/>
                <w:lang w:val="en-US"/>
              </w:rPr>
              <w:t>membership</w:t>
            </w:r>
            <w:r>
              <w:rPr>
                <w:noProof/>
                <w:webHidden/>
              </w:rPr>
              <w:tab/>
            </w:r>
            <w:r>
              <w:rPr>
                <w:noProof/>
                <w:webHidden/>
              </w:rPr>
              <w:fldChar w:fldCharType="begin"/>
            </w:r>
            <w:r>
              <w:rPr>
                <w:noProof/>
                <w:webHidden/>
              </w:rPr>
              <w:instrText xml:space="preserve"> PAGEREF _Toc235185393 \h </w:instrText>
            </w:r>
            <w:r>
              <w:rPr>
                <w:noProof/>
                <w:webHidden/>
              </w:rPr>
            </w:r>
            <w:r>
              <w:rPr>
                <w:noProof/>
                <w:webHidden/>
              </w:rPr>
              <w:fldChar w:fldCharType="separate"/>
            </w:r>
            <w:r>
              <w:rPr>
                <w:noProof/>
                <w:webHidden/>
              </w:rPr>
              <w:t>328</w:t>
            </w:r>
            <w:r>
              <w:rPr>
                <w:noProof/>
                <w:webHidden/>
              </w:rPr>
              <w:fldChar w:fldCharType="end"/>
            </w:r>
          </w:hyperlink>
        </w:p>
        <w:p w14:paraId="27AE66EA" w14:textId="1DC2E0A8" w:rsidR="00C42203" w:rsidRDefault="00C42203">
          <w:pPr>
            <w:pStyle w:val="TOC1"/>
            <w:tabs>
              <w:tab w:val="right" w:leader="dot" w:pos="9016"/>
            </w:tabs>
            <w:rPr>
              <w:rFonts w:asciiTheme="minorHAnsi" w:eastAsiaTheme="minorEastAsia" w:hAnsiTheme="minorHAnsi"/>
              <w:noProof/>
              <w:lang w:eastAsia="en-GB"/>
            </w:rPr>
          </w:pPr>
          <w:hyperlink w:anchor="_Toc235185394" w:history="1">
            <w:r w:rsidRPr="00EF6D96">
              <w:rPr>
                <w:rStyle w:val="Hyperlink"/>
                <w:rFonts w:eastAsia="Arial"/>
                <w:noProof/>
                <w:lang w:val="en-US"/>
              </w:rPr>
              <w:t>Appendix</w:t>
            </w:r>
            <w:r w:rsidRPr="00EF6D96">
              <w:rPr>
                <w:rStyle w:val="Hyperlink"/>
                <w:rFonts w:eastAsia="Arial"/>
                <w:noProof/>
                <w:spacing w:val="-1"/>
                <w:lang w:val="en-US"/>
              </w:rPr>
              <w:t xml:space="preserve"> </w:t>
            </w:r>
            <w:r w:rsidRPr="00EF6D96">
              <w:rPr>
                <w:rStyle w:val="Hyperlink"/>
                <w:rFonts w:eastAsia="Arial"/>
                <w:noProof/>
                <w:lang w:val="en-US"/>
              </w:rPr>
              <w:t>G</w:t>
            </w:r>
            <w:r w:rsidRPr="00EF6D96">
              <w:rPr>
                <w:rStyle w:val="Hyperlink"/>
                <w:rFonts w:eastAsia="Arial"/>
                <w:noProof/>
                <w:spacing w:val="1"/>
                <w:lang w:val="en-US"/>
              </w:rPr>
              <w:t xml:space="preserve"> </w:t>
            </w:r>
            <w:r w:rsidRPr="00EF6D96">
              <w:rPr>
                <w:rStyle w:val="Hyperlink"/>
                <w:rFonts w:eastAsia="Arial"/>
                <w:noProof/>
                <w:lang w:val="en-US"/>
              </w:rPr>
              <w:t>– public engagement questionnaire</w:t>
            </w:r>
            <w:r>
              <w:rPr>
                <w:noProof/>
                <w:webHidden/>
              </w:rPr>
              <w:tab/>
            </w:r>
            <w:r>
              <w:rPr>
                <w:noProof/>
                <w:webHidden/>
              </w:rPr>
              <w:fldChar w:fldCharType="begin"/>
            </w:r>
            <w:r>
              <w:rPr>
                <w:noProof/>
                <w:webHidden/>
              </w:rPr>
              <w:instrText xml:space="preserve"> PAGEREF _Toc235185394 \h </w:instrText>
            </w:r>
            <w:r>
              <w:rPr>
                <w:noProof/>
                <w:webHidden/>
              </w:rPr>
            </w:r>
            <w:r>
              <w:rPr>
                <w:noProof/>
                <w:webHidden/>
              </w:rPr>
              <w:fldChar w:fldCharType="separate"/>
            </w:r>
            <w:r>
              <w:rPr>
                <w:noProof/>
                <w:webHidden/>
              </w:rPr>
              <w:t>329</w:t>
            </w:r>
            <w:r>
              <w:rPr>
                <w:noProof/>
                <w:webHidden/>
              </w:rPr>
              <w:fldChar w:fldCharType="end"/>
            </w:r>
          </w:hyperlink>
        </w:p>
        <w:p w14:paraId="68AEF074" w14:textId="437E3E66" w:rsidR="00C42203" w:rsidRDefault="00C42203">
          <w:pPr>
            <w:pStyle w:val="TOC1"/>
            <w:tabs>
              <w:tab w:val="right" w:leader="dot" w:pos="9016"/>
            </w:tabs>
            <w:rPr>
              <w:rFonts w:asciiTheme="minorHAnsi" w:eastAsiaTheme="minorEastAsia" w:hAnsiTheme="minorHAnsi"/>
              <w:noProof/>
              <w:lang w:eastAsia="en-GB"/>
            </w:rPr>
          </w:pPr>
          <w:hyperlink w:anchor="_Toc235185395" w:history="1">
            <w:r w:rsidRPr="00EF6D96">
              <w:rPr>
                <w:rStyle w:val="Hyperlink"/>
                <w:rFonts w:eastAsia="Aptos"/>
                <w:noProof/>
              </w:rPr>
              <w:t xml:space="preserve">Appendix H </w:t>
            </w:r>
            <w:r w:rsidRPr="00EF6D96">
              <w:rPr>
                <w:rStyle w:val="Hyperlink"/>
                <w:rFonts w:eastAsia="Arial"/>
                <w:noProof/>
                <w:lang w:val="en-US"/>
              </w:rPr>
              <w:t>–</w:t>
            </w:r>
            <w:r w:rsidRPr="00EF6D96">
              <w:rPr>
                <w:rStyle w:val="Hyperlink"/>
                <w:rFonts w:eastAsia="Aptos"/>
                <w:noProof/>
              </w:rPr>
              <w:t xml:space="preserve"> full results of the patient and public survey</w:t>
            </w:r>
            <w:r>
              <w:rPr>
                <w:noProof/>
                <w:webHidden/>
              </w:rPr>
              <w:tab/>
            </w:r>
            <w:r>
              <w:rPr>
                <w:noProof/>
                <w:webHidden/>
              </w:rPr>
              <w:fldChar w:fldCharType="begin"/>
            </w:r>
            <w:r>
              <w:rPr>
                <w:noProof/>
                <w:webHidden/>
              </w:rPr>
              <w:instrText xml:space="preserve"> PAGEREF _Toc235185395 \h </w:instrText>
            </w:r>
            <w:r>
              <w:rPr>
                <w:noProof/>
                <w:webHidden/>
              </w:rPr>
            </w:r>
            <w:r>
              <w:rPr>
                <w:noProof/>
                <w:webHidden/>
              </w:rPr>
              <w:fldChar w:fldCharType="separate"/>
            </w:r>
            <w:r>
              <w:rPr>
                <w:noProof/>
                <w:webHidden/>
              </w:rPr>
              <w:t>338</w:t>
            </w:r>
            <w:r>
              <w:rPr>
                <w:noProof/>
                <w:webHidden/>
              </w:rPr>
              <w:fldChar w:fldCharType="end"/>
            </w:r>
          </w:hyperlink>
        </w:p>
        <w:p w14:paraId="1A4B7CFE" w14:textId="4F3C47AB" w:rsidR="00C42203" w:rsidRDefault="00C42203">
          <w:pPr>
            <w:pStyle w:val="TOC1"/>
            <w:tabs>
              <w:tab w:val="right" w:leader="dot" w:pos="9016"/>
            </w:tabs>
            <w:rPr>
              <w:rFonts w:asciiTheme="minorHAnsi" w:eastAsiaTheme="minorEastAsia" w:hAnsiTheme="minorHAnsi"/>
              <w:noProof/>
              <w:lang w:eastAsia="en-GB"/>
            </w:rPr>
          </w:pPr>
          <w:hyperlink w:anchor="_Toc235185396" w:history="1">
            <w:r w:rsidRPr="00EF6D96">
              <w:rPr>
                <w:rStyle w:val="Hyperlink"/>
                <w:rFonts w:eastAsia="Aptos"/>
                <w:noProof/>
                <w:lang w:val="en-US"/>
              </w:rPr>
              <w:t>Appendix I – pharmacy contractor questionnaire</w:t>
            </w:r>
            <w:r>
              <w:rPr>
                <w:noProof/>
                <w:webHidden/>
              </w:rPr>
              <w:tab/>
            </w:r>
            <w:r>
              <w:rPr>
                <w:noProof/>
                <w:webHidden/>
              </w:rPr>
              <w:fldChar w:fldCharType="begin"/>
            </w:r>
            <w:r>
              <w:rPr>
                <w:noProof/>
                <w:webHidden/>
              </w:rPr>
              <w:instrText xml:space="preserve"> PAGEREF _Toc235185396 \h </w:instrText>
            </w:r>
            <w:r>
              <w:rPr>
                <w:noProof/>
                <w:webHidden/>
              </w:rPr>
            </w:r>
            <w:r>
              <w:rPr>
                <w:noProof/>
                <w:webHidden/>
              </w:rPr>
              <w:fldChar w:fldCharType="separate"/>
            </w:r>
            <w:r>
              <w:rPr>
                <w:noProof/>
                <w:webHidden/>
              </w:rPr>
              <w:t>371</w:t>
            </w:r>
            <w:r>
              <w:rPr>
                <w:noProof/>
                <w:webHidden/>
              </w:rPr>
              <w:fldChar w:fldCharType="end"/>
            </w:r>
          </w:hyperlink>
        </w:p>
        <w:p w14:paraId="5D06D07F" w14:textId="294108FC" w:rsidR="00C42203" w:rsidRDefault="00C42203">
          <w:pPr>
            <w:pStyle w:val="TOC1"/>
            <w:tabs>
              <w:tab w:val="right" w:leader="dot" w:pos="9016"/>
            </w:tabs>
            <w:rPr>
              <w:rFonts w:asciiTheme="minorHAnsi" w:eastAsiaTheme="minorEastAsia" w:hAnsiTheme="minorHAnsi"/>
              <w:noProof/>
              <w:lang w:eastAsia="en-GB"/>
            </w:rPr>
          </w:pPr>
          <w:hyperlink w:anchor="_Toc235185397" w:history="1">
            <w:r w:rsidRPr="00EF6D96">
              <w:rPr>
                <w:rStyle w:val="Hyperlink"/>
                <w:rFonts w:eastAsia="Aptos"/>
                <w:noProof/>
                <w:lang w:val="en-US"/>
              </w:rPr>
              <w:t>Appendix J – dispensing GP practice questionnaire</w:t>
            </w:r>
            <w:r>
              <w:rPr>
                <w:noProof/>
                <w:webHidden/>
              </w:rPr>
              <w:tab/>
            </w:r>
            <w:r>
              <w:rPr>
                <w:noProof/>
                <w:webHidden/>
              </w:rPr>
              <w:fldChar w:fldCharType="begin"/>
            </w:r>
            <w:r>
              <w:rPr>
                <w:noProof/>
                <w:webHidden/>
              </w:rPr>
              <w:instrText xml:space="preserve"> PAGEREF _Toc235185397 \h </w:instrText>
            </w:r>
            <w:r>
              <w:rPr>
                <w:noProof/>
                <w:webHidden/>
              </w:rPr>
            </w:r>
            <w:r>
              <w:rPr>
                <w:noProof/>
                <w:webHidden/>
              </w:rPr>
              <w:fldChar w:fldCharType="separate"/>
            </w:r>
            <w:r>
              <w:rPr>
                <w:noProof/>
                <w:webHidden/>
              </w:rPr>
              <w:t>375</w:t>
            </w:r>
            <w:r>
              <w:rPr>
                <w:noProof/>
                <w:webHidden/>
              </w:rPr>
              <w:fldChar w:fldCharType="end"/>
            </w:r>
          </w:hyperlink>
        </w:p>
        <w:p w14:paraId="69798920" w14:textId="79CC4E52" w:rsidR="00C42203" w:rsidRDefault="00C42203">
          <w:pPr>
            <w:pStyle w:val="TOC1"/>
            <w:tabs>
              <w:tab w:val="right" w:leader="dot" w:pos="9016"/>
            </w:tabs>
            <w:rPr>
              <w:rFonts w:asciiTheme="minorHAnsi" w:eastAsiaTheme="minorEastAsia" w:hAnsiTheme="minorHAnsi"/>
              <w:noProof/>
              <w:lang w:eastAsia="en-GB"/>
            </w:rPr>
          </w:pPr>
          <w:hyperlink w:anchor="_Toc235185398" w:history="1">
            <w:r w:rsidRPr="00EF6D96">
              <w:rPr>
                <w:rStyle w:val="Hyperlink"/>
                <w:rFonts w:eastAsia="Times New Roman"/>
                <w:noProof/>
              </w:rPr>
              <w:t>Appendix K – consultation report</w:t>
            </w:r>
            <w:r>
              <w:rPr>
                <w:noProof/>
                <w:webHidden/>
              </w:rPr>
              <w:tab/>
            </w:r>
            <w:r>
              <w:rPr>
                <w:noProof/>
                <w:webHidden/>
              </w:rPr>
              <w:fldChar w:fldCharType="begin"/>
            </w:r>
            <w:r>
              <w:rPr>
                <w:noProof/>
                <w:webHidden/>
              </w:rPr>
              <w:instrText xml:space="preserve"> PAGEREF _Toc235185398 \h </w:instrText>
            </w:r>
            <w:r>
              <w:rPr>
                <w:noProof/>
                <w:webHidden/>
              </w:rPr>
            </w:r>
            <w:r>
              <w:rPr>
                <w:noProof/>
                <w:webHidden/>
              </w:rPr>
              <w:fldChar w:fldCharType="separate"/>
            </w:r>
            <w:r>
              <w:rPr>
                <w:noProof/>
                <w:webHidden/>
              </w:rPr>
              <w:t>378</w:t>
            </w:r>
            <w:r>
              <w:rPr>
                <w:noProof/>
                <w:webHidden/>
              </w:rPr>
              <w:fldChar w:fldCharType="end"/>
            </w:r>
          </w:hyperlink>
        </w:p>
        <w:p w14:paraId="768E8D87" w14:textId="3B610294" w:rsidR="00C42203" w:rsidRDefault="00C42203">
          <w:pPr>
            <w:pStyle w:val="TOC1"/>
            <w:tabs>
              <w:tab w:val="right" w:leader="dot" w:pos="9016"/>
            </w:tabs>
            <w:rPr>
              <w:rFonts w:asciiTheme="minorHAnsi" w:eastAsiaTheme="minorEastAsia" w:hAnsiTheme="minorHAnsi"/>
              <w:noProof/>
              <w:lang w:eastAsia="en-GB"/>
            </w:rPr>
          </w:pPr>
          <w:hyperlink w:anchor="_Toc235185399" w:history="1">
            <w:r w:rsidRPr="00EF6D96">
              <w:rPr>
                <w:rStyle w:val="Hyperlink"/>
                <w:rFonts w:eastAsia="Times New Roman"/>
                <w:noProof/>
              </w:rPr>
              <w:t>Appendix L – pharmacy opening hours</w:t>
            </w:r>
            <w:r>
              <w:rPr>
                <w:noProof/>
                <w:webHidden/>
              </w:rPr>
              <w:tab/>
            </w:r>
            <w:r>
              <w:rPr>
                <w:noProof/>
                <w:webHidden/>
              </w:rPr>
              <w:fldChar w:fldCharType="begin"/>
            </w:r>
            <w:r>
              <w:rPr>
                <w:noProof/>
                <w:webHidden/>
              </w:rPr>
              <w:instrText xml:space="preserve"> PAGEREF _Toc235185399 \h </w:instrText>
            </w:r>
            <w:r>
              <w:rPr>
                <w:noProof/>
                <w:webHidden/>
              </w:rPr>
            </w:r>
            <w:r>
              <w:rPr>
                <w:noProof/>
                <w:webHidden/>
              </w:rPr>
              <w:fldChar w:fldCharType="separate"/>
            </w:r>
            <w:r>
              <w:rPr>
                <w:noProof/>
                <w:webHidden/>
              </w:rPr>
              <w:t>379</w:t>
            </w:r>
            <w:r>
              <w:rPr>
                <w:noProof/>
                <w:webHidden/>
              </w:rPr>
              <w:fldChar w:fldCharType="end"/>
            </w:r>
          </w:hyperlink>
        </w:p>
        <w:p w14:paraId="5C34B4AB" w14:textId="55D86C60" w:rsidR="00460384" w:rsidRPr="00D0306F" w:rsidRDefault="00460384">
          <w:r w:rsidRPr="00D0306F">
            <w:rPr>
              <w:rFonts w:cs="Arial"/>
              <w:b/>
              <w:bCs/>
            </w:rPr>
            <w:fldChar w:fldCharType="end"/>
          </w:r>
        </w:p>
      </w:sdtContent>
    </w:sdt>
    <w:p w14:paraId="08B32765" w14:textId="77777777" w:rsidR="00460384" w:rsidRPr="00D0306F" w:rsidRDefault="00460384" w:rsidP="00824B25">
      <w:pPr>
        <w:rPr>
          <w:rFonts w:ascii="Calibri" w:eastAsia="Times New Roman" w:hAnsi="Calibri" w:cs="Arial"/>
          <w:noProof/>
          <w:kern w:val="0"/>
          <w14:ligatures w14:val="none"/>
        </w:rPr>
      </w:pPr>
    </w:p>
    <w:p w14:paraId="71BFF330" w14:textId="7338AC55" w:rsidR="00824B25" w:rsidRPr="00D0306F" w:rsidRDefault="00824B25">
      <w:pPr>
        <w:spacing w:after="160" w:line="278" w:lineRule="auto"/>
      </w:pPr>
      <w:r w:rsidRPr="00D0306F">
        <w:br w:type="page"/>
      </w:r>
    </w:p>
    <w:p w14:paraId="2111D88A" w14:textId="77777777" w:rsidR="00824B25" w:rsidRPr="00D0306F" w:rsidRDefault="00824B25" w:rsidP="00824B25">
      <w:pPr>
        <w:pStyle w:val="Heading1"/>
        <w:rPr>
          <w:rFonts w:eastAsia="Aptos"/>
          <w:sz w:val="28"/>
          <w:szCs w:val="28"/>
        </w:rPr>
      </w:pPr>
      <w:bookmarkStart w:id="0" w:name="_Toc230764391"/>
      <w:bookmarkStart w:id="1" w:name="_Toc235185371"/>
      <w:r w:rsidRPr="00D0306F">
        <w:rPr>
          <w:rFonts w:eastAsia="Aptos"/>
          <w:sz w:val="28"/>
          <w:szCs w:val="28"/>
        </w:rPr>
        <w:lastRenderedPageBreak/>
        <w:t>Executive summary</w:t>
      </w:r>
      <w:bookmarkEnd w:id="0"/>
      <w:bookmarkEnd w:id="1"/>
    </w:p>
    <w:p w14:paraId="44ACEFCA" w14:textId="77777777" w:rsidR="00824B25" w:rsidRPr="00D0306F" w:rsidRDefault="00824B25" w:rsidP="00824B25">
      <w:pPr>
        <w:rPr>
          <w:rFonts w:eastAsia="Times New Roman" w:cs="Arial"/>
          <w:kern w:val="0"/>
          <w:lang w:eastAsia="en-GB"/>
          <w14:ligatures w14:val="none"/>
        </w:rPr>
      </w:pPr>
    </w:p>
    <w:p w14:paraId="3977E110" w14:textId="77777777" w:rsidR="00824B25" w:rsidRPr="00D0306F" w:rsidRDefault="00824B25" w:rsidP="00824B25">
      <w:pPr>
        <w:rPr>
          <w:rFonts w:eastAsia="Times New Roman" w:cs="Arial"/>
          <w:kern w:val="0"/>
          <w:lang w:eastAsia="en-GB"/>
          <w14:ligatures w14:val="none"/>
        </w:rPr>
      </w:pPr>
      <w:r w:rsidRPr="00D0306F">
        <w:rPr>
          <w:rFonts w:eastAsia="Times New Roman" w:cs="Arial"/>
          <w:kern w:val="0"/>
          <w:lang w:eastAsia="en-GB"/>
          <w14:ligatures w14:val="none"/>
        </w:rPr>
        <w:t>From 1 October 2021, Swansea Bay University Health Board has had a statutory responsibility to publish and keep up to date a statement of the needs for pharmaceutical services for the population in its area, referred to as a ‘pharmaceutical needs assessment’. This is the health board’s second pharmaceutical needs assessment, and its development has been overseen by a steering group of which Community Pharmacy Wales, Morgannwg Local Medical Committee and Llais were invited to be members.</w:t>
      </w:r>
      <w:r w:rsidRPr="00D0306F">
        <w:rPr>
          <w:rFonts w:eastAsia="Aptos" w:cs="Arial"/>
        </w:rPr>
        <w:t xml:space="preserve"> </w:t>
      </w:r>
    </w:p>
    <w:p w14:paraId="470203FF" w14:textId="77777777" w:rsidR="00824B25" w:rsidRPr="00D0306F" w:rsidRDefault="00824B25" w:rsidP="00824B25">
      <w:pPr>
        <w:rPr>
          <w:rFonts w:eastAsia="Times New Roman" w:cs="Arial"/>
          <w:kern w:val="0"/>
          <w:lang w:eastAsia="en-GB"/>
          <w14:ligatures w14:val="none"/>
        </w:rPr>
      </w:pPr>
    </w:p>
    <w:p w14:paraId="336017AB" w14:textId="77777777" w:rsidR="00824B25" w:rsidRPr="00D0306F" w:rsidRDefault="00824B25" w:rsidP="00824B25">
      <w:pPr>
        <w:autoSpaceDE w:val="0"/>
        <w:autoSpaceDN w:val="0"/>
        <w:adjustRightInd w:val="0"/>
        <w:rPr>
          <w:rFonts w:eastAsia="Calibri" w:cs="Arial"/>
          <w:color w:val="000000"/>
          <w:kern w:val="0"/>
          <w14:ligatures w14:val="none"/>
        </w:rPr>
      </w:pPr>
      <w:r w:rsidRPr="00D0306F">
        <w:rPr>
          <w:rFonts w:eastAsia="Calibri" w:cs="Arial"/>
          <w:color w:val="000000"/>
          <w:kern w:val="0"/>
          <w14:ligatures w14:val="none"/>
        </w:rPr>
        <w:t xml:space="preserve">The pharmaceutical needs assessment: </w:t>
      </w:r>
    </w:p>
    <w:p w14:paraId="0878C049" w14:textId="77777777" w:rsidR="00824B25" w:rsidRPr="00D0306F" w:rsidRDefault="00824B25" w:rsidP="00824B25">
      <w:pPr>
        <w:autoSpaceDE w:val="0"/>
        <w:autoSpaceDN w:val="0"/>
        <w:adjustRightInd w:val="0"/>
        <w:rPr>
          <w:rFonts w:eastAsia="Calibri" w:cs="Arial"/>
          <w:color w:val="000000"/>
          <w:kern w:val="0"/>
          <w14:ligatures w14:val="none"/>
        </w:rPr>
      </w:pPr>
    </w:p>
    <w:p w14:paraId="1B7556BC" w14:textId="77777777" w:rsidR="00824B25" w:rsidRPr="00D0306F" w:rsidRDefault="00824B25" w:rsidP="00824B25">
      <w:pPr>
        <w:numPr>
          <w:ilvl w:val="0"/>
          <w:numId w:val="1"/>
        </w:numPr>
        <w:autoSpaceDE w:val="0"/>
        <w:autoSpaceDN w:val="0"/>
        <w:adjustRightInd w:val="0"/>
        <w:contextualSpacing/>
        <w:rPr>
          <w:rFonts w:eastAsia="Calibri" w:cs="Arial"/>
          <w:color w:val="000000"/>
          <w:kern w:val="0"/>
          <w14:ligatures w14:val="none"/>
        </w:rPr>
      </w:pPr>
      <w:r w:rsidRPr="00D0306F">
        <w:rPr>
          <w:rFonts w:eastAsia="Calibri" w:cs="Arial"/>
          <w:color w:val="000000"/>
          <w:kern w:val="0"/>
          <w14:ligatures w14:val="none"/>
        </w:rPr>
        <w:t>Sets out the current health needs of the population and how they will change over the five-year lifetime of the document (1 October 2026 to 30 September 2031),</w:t>
      </w:r>
    </w:p>
    <w:p w14:paraId="7F8D3632" w14:textId="77777777" w:rsidR="00824B25" w:rsidRPr="00D0306F" w:rsidRDefault="00824B25" w:rsidP="00824B25">
      <w:pPr>
        <w:numPr>
          <w:ilvl w:val="0"/>
          <w:numId w:val="1"/>
        </w:numPr>
        <w:autoSpaceDE w:val="0"/>
        <w:autoSpaceDN w:val="0"/>
        <w:adjustRightInd w:val="0"/>
        <w:contextualSpacing/>
        <w:rPr>
          <w:rFonts w:eastAsia="Calibri" w:cs="Arial"/>
          <w:color w:val="000000"/>
          <w:kern w:val="0"/>
          <w14:ligatures w14:val="none"/>
        </w:rPr>
      </w:pPr>
      <w:r w:rsidRPr="00D0306F">
        <w:rPr>
          <w:rFonts w:eastAsia="Calibri" w:cs="Arial"/>
          <w:color w:val="000000"/>
          <w:kern w:val="0"/>
          <w14:ligatures w14:val="none"/>
        </w:rPr>
        <w:t>Describes the current provision of pharmaceutical services by pharmacies, dispensing appliance contractors and dispensing doctors both within and outside of the health board’s area,</w:t>
      </w:r>
    </w:p>
    <w:p w14:paraId="67651C70" w14:textId="77777777" w:rsidR="00824B25" w:rsidRPr="00D0306F" w:rsidRDefault="00824B25" w:rsidP="00824B25">
      <w:pPr>
        <w:numPr>
          <w:ilvl w:val="0"/>
          <w:numId w:val="1"/>
        </w:numPr>
        <w:autoSpaceDE w:val="0"/>
        <w:autoSpaceDN w:val="0"/>
        <w:adjustRightInd w:val="0"/>
        <w:contextualSpacing/>
        <w:rPr>
          <w:rFonts w:eastAsia="Calibri" w:cs="Arial"/>
          <w:color w:val="000000"/>
          <w:kern w:val="0"/>
          <w14:ligatures w14:val="none"/>
        </w:rPr>
      </w:pPr>
      <w:r w:rsidRPr="00D0306F">
        <w:rPr>
          <w:rFonts w:eastAsia="Calibri" w:cs="Arial"/>
          <w:color w:val="000000"/>
          <w:kern w:val="0"/>
          <w14:ligatures w14:val="none"/>
        </w:rPr>
        <w:t>Takes into account known changes that will arise during the lifetime of the document such as demographic changes, housing developments, regeneration projects, and changes to the location of other NHS service providers, and</w:t>
      </w:r>
    </w:p>
    <w:p w14:paraId="2D00F3B1" w14:textId="77777777" w:rsidR="00824B25" w:rsidRPr="00D0306F" w:rsidRDefault="00824B25" w:rsidP="00824B25">
      <w:pPr>
        <w:numPr>
          <w:ilvl w:val="0"/>
          <w:numId w:val="1"/>
        </w:numPr>
        <w:autoSpaceDE w:val="0"/>
        <w:autoSpaceDN w:val="0"/>
        <w:adjustRightInd w:val="0"/>
        <w:contextualSpacing/>
        <w:rPr>
          <w:rFonts w:eastAsia="Calibri" w:cs="Arial"/>
          <w:color w:val="000000"/>
          <w:kern w:val="0"/>
          <w14:ligatures w14:val="none"/>
        </w:rPr>
      </w:pPr>
      <w:r w:rsidRPr="00D0306F">
        <w:rPr>
          <w:rFonts w:eastAsia="Calibri" w:cs="Arial"/>
          <w:color w:val="000000"/>
          <w:kern w:val="0"/>
          <w14:ligatures w14:val="none"/>
        </w:rPr>
        <w:t>Identifies any current gaps in service provision and any that will arise during the lifetime of the document.</w:t>
      </w:r>
    </w:p>
    <w:p w14:paraId="1891A292" w14:textId="77777777" w:rsidR="00824B25" w:rsidRPr="00D0306F" w:rsidRDefault="00824B25" w:rsidP="00824B25">
      <w:pPr>
        <w:rPr>
          <w:rFonts w:eastAsia="Times New Roman" w:cs="Arial"/>
          <w:kern w:val="0"/>
          <w:lang w:eastAsia="en-GB"/>
          <w14:ligatures w14:val="none"/>
        </w:rPr>
      </w:pPr>
    </w:p>
    <w:p w14:paraId="261689A4" w14:textId="77777777" w:rsidR="00824B25" w:rsidRPr="00D0306F" w:rsidRDefault="00824B25" w:rsidP="00824B25">
      <w:pPr>
        <w:rPr>
          <w:rFonts w:eastAsia="Aptos" w:cs="Arial"/>
        </w:rPr>
      </w:pPr>
      <w:r w:rsidRPr="00D0306F">
        <w:rPr>
          <w:rFonts w:eastAsia="Times New Roman" w:cs="Arial"/>
          <w:kern w:val="0"/>
          <w:lang w:eastAsia="en-GB"/>
          <w14:ligatures w14:val="none"/>
        </w:rPr>
        <w:t>The pharmaceutical needs assessment will be used by the health board when considering whether or not to grant applications to join its pharmaceutical list or dispensing doctor list under The National Health Service (Pharmaceutical Services) (Wales) Regulations 2020. Decisions on such applications may be appealed to Welsh Ministers who will then also refer to the document when hearing any such appeal. It will also be used to inform decisions on applications for the relocation of existing pharmacy and dispensing doctor premises, applications to change pharmacy core opening hours, and in relation to the commissioning of new services from pharmacies.</w:t>
      </w:r>
    </w:p>
    <w:p w14:paraId="49AB20CF" w14:textId="77777777" w:rsidR="00824B25" w:rsidRPr="00D0306F" w:rsidRDefault="00824B25" w:rsidP="00824B25">
      <w:pPr>
        <w:rPr>
          <w:rFonts w:eastAsia="Aptos" w:cs="Arial"/>
        </w:rPr>
      </w:pPr>
    </w:p>
    <w:p w14:paraId="451682EF" w14:textId="77777777" w:rsidR="00824B25" w:rsidRPr="00D0306F" w:rsidRDefault="00824B25" w:rsidP="00824B25">
      <w:pPr>
        <w:rPr>
          <w:rFonts w:eastAsia="Aptos" w:cs="Arial"/>
          <w:b/>
          <w:bCs/>
        </w:rPr>
      </w:pPr>
      <w:r w:rsidRPr="00D0306F">
        <w:rPr>
          <w:rFonts w:eastAsia="Aptos" w:cs="Arial"/>
          <w:b/>
          <w:bCs/>
        </w:rPr>
        <w:t>The current provision of pharmaceutical services</w:t>
      </w:r>
    </w:p>
    <w:p w14:paraId="0BA9ED95" w14:textId="77777777" w:rsidR="00824B25" w:rsidRPr="00D0306F" w:rsidRDefault="00824B25" w:rsidP="00824B25">
      <w:pPr>
        <w:rPr>
          <w:rFonts w:eastAsia="Aptos" w:cs="Arial"/>
        </w:rPr>
      </w:pPr>
    </w:p>
    <w:p w14:paraId="110C300B" w14:textId="77777777" w:rsidR="00824B25" w:rsidRPr="00D0306F" w:rsidRDefault="00824B25" w:rsidP="00824B25">
      <w:pPr>
        <w:rPr>
          <w:rFonts w:eastAsia="Aptos" w:cs="Arial"/>
        </w:rPr>
      </w:pPr>
      <w:r w:rsidRPr="00D0306F">
        <w:rPr>
          <w:rFonts w:eastAsia="Aptos" w:cs="Arial"/>
        </w:rPr>
        <w:t>For the purposes of the pharmaceutical needs assessment, “pharmaceutical services” are defined by reference to the NHS Act (Wales) 2006 and the NHS Pharmaceutical Services (Wales) Regulations 2020.</w:t>
      </w:r>
    </w:p>
    <w:p w14:paraId="1B9BD158" w14:textId="77777777" w:rsidR="00824B25" w:rsidRPr="00D0306F" w:rsidRDefault="00824B25" w:rsidP="00824B25">
      <w:pPr>
        <w:rPr>
          <w:rFonts w:eastAsia="Aptos" w:cs="Arial"/>
        </w:rPr>
      </w:pPr>
    </w:p>
    <w:p w14:paraId="43BACB0D" w14:textId="77777777" w:rsidR="00824B25" w:rsidRPr="00D0306F" w:rsidRDefault="00824B25" w:rsidP="00824B25">
      <w:pPr>
        <w:rPr>
          <w:rFonts w:eastAsia="Aptos" w:cs="Arial"/>
        </w:rPr>
      </w:pPr>
      <w:r w:rsidRPr="00D0306F">
        <w:rPr>
          <w:rFonts w:eastAsia="Aptos" w:cs="Arial"/>
        </w:rPr>
        <w:t>The following services are provided by pharmacies and fall within the definition of “pharmaceutical services”.</w:t>
      </w:r>
    </w:p>
    <w:p w14:paraId="700C8065" w14:textId="77777777" w:rsidR="00824B25" w:rsidRPr="00D0306F" w:rsidRDefault="00824B25" w:rsidP="00824B25">
      <w:pPr>
        <w:rPr>
          <w:rFonts w:eastAsia="Aptos" w:cs="Arial"/>
        </w:rPr>
      </w:pPr>
    </w:p>
    <w:p w14:paraId="2AA69841" w14:textId="77777777" w:rsidR="00824B25" w:rsidRPr="00D0306F" w:rsidRDefault="00824B25" w:rsidP="00824B25">
      <w:pPr>
        <w:numPr>
          <w:ilvl w:val="0"/>
          <w:numId w:val="2"/>
        </w:numPr>
        <w:ind w:left="714" w:hanging="357"/>
        <w:contextualSpacing/>
        <w:rPr>
          <w:rFonts w:eastAsia="Aptos" w:cs="Arial"/>
        </w:rPr>
      </w:pPr>
      <w:r w:rsidRPr="00D0306F">
        <w:rPr>
          <w:rFonts w:eastAsia="Aptos" w:cs="Arial"/>
        </w:rPr>
        <w:t>Essential services – services which every pharmacy included in the health board’s pharmaceutical list must provide. They include the dispensing of medicines, promotion of healthy lifestyles, support for self-care and disposal of unwanted patient medication.</w:t>
      </w:r>
    </w:p>
    <w:p w14:paraId="542BCF4D" w14:textId="77777777" w:rsidR="00824B25" w:rsidRPr="00D0306F" w:rsidRDefault="00824B25" w:rsidP="00824B25">
      <w:pPr>
        <w:ind w:left="714"/>
        <w:contextualSpacing/>
        <w:rPr>
          <w:rFonts w:eastAsia="Aptos" w:cs="Arial"/>
        </w:rPr>
      </w:pPr>
    </w:p>
    <w:p w14:paraId="2FBCA713" w14:textId="7D1EC7FC" w:rsidR="00824B25" w:rsidRPr="00D0306F" w:rsidRDefault="00824B25" w:rsidP="00824B25">
      <w:pPr>
        <w:numPr>
          <w:ilvl w:val="0"/>
          <w:numId w:val="2"/>
        </w:numPr>
        <w:contextualSpacing/>
        <w:rPr>
          <w:rFonts w:eastAsia="Aptos" w:cs="Arial"/>
        </w:rPr>
      </w:pPr>
      <w:r w:rsidRPr="00D0306F">
        <w:rPr>
          <w:rFonts w:eastAsia="Aptos" w:cs="Arial"/>
        </w:rPr>
        <w:lastRenderedPageBreak/>
        <w:t>National community pharmacy and appliance contractor services - services that pharmacy contractors may choose to provide subject to specific accreditation and facilities. The current services are appliance use reviews, clinical community pharmacy service, discharge medicines review service, influenza vaccination, lateral flow test supply, pharmac</w:t>
      </w:r>
      <w:r w:rsidR="009162B8">
        <w:rPr>
          <w:rFonts w:eastAsia="Aptos" w:cs="Arial"/>
        </w:rPr>
        <w:t>ist</w:t>
      </w:r>
      <w:r w:rsidRPr="00D0306F">
        <w:rPr>
          <w:rFonts w:eastAsia="Aptos" w:cs="Arial"/>
        </w:rPr>
        <w:t xml:space="preserve"> independent prescribing service, and stoma appliance customisation.</w:t>
      </w:r>
    </w:p>
    <w:p w14:paraId="73623F2B" w14:textId="77777777" w:rsidR="00824B25" w:rsidRPr="00D0306F" w:rsidRDefault="00824B25" w:rsidP="00824B25">
      <w:pPr>
        <w:ind w:left="714"/>
        <w:contextualSpacing/>
        <w:rPr>
          <w:rFonts w:eastAsia="Aptos" w:cs="Arial"/>
        </w:rPr>
      </w:pPr>
    </w:p>
    <w:p w14:paraId="1B1E4876" w14:textId="7058080E" w:rsidR="00824B25" w:rsidRPr="00D0306F" w:rsidRDefault="00824B25" w:rsidP="00824B25">
      <w:pPr>
        <w:numPr>
          <w:ilvl w:val="0"/>
          <w:numId w:val="2"/>
        </w:numPr>
        <w:contextualSpacing/>
        <w:rPr>
          <w:rFonts w:eastAsia="Aptos" w:cs="Arial"/>
        </w:rPr>
      </w:pPr>
      <w:r w:rsidRPr="00D0306F">
        <w:rPr>
          <w:rFonts w:eastAsia="Aptos" w:cs="Arial"/>
        </w:rPr>
        <w:t xml:space="preserve">Additional clinical services - services that may be commissioned by health boards and the service specifications are drafted at health board or national level. These can be offered to all or selected pharmacies depending on the type of service and the need that it supports. Additional clinical services include the blood borne virus screening, care home support service - level 1 medicines management support visits, access to inhaler review service, needle and syringe programmes, and smoking </w:t>
      </w:r>
      <w:r w:rsidR="00B752FC" w:rsidRPr="00D0306F">
        <w:rPr>
          <w:rFonts w:eastAsia="Aptos" w:cs="Arial"/>
        </w:rPr>
        <w:t>cessation.</w:t>
      </w:r>
    </w:p>
    <w:p w14:paraId="73CEA9CF" w14:textId="77777777" w:rsidR="00824B25" w:rsidRPr="00D0306F" w:rsidRDefault="00824B25" w:rsidP="00824B25">
      <w:pPr>
        <w:rPr>
          <w:rFonts w:eastAsia="Aptos" w:cs="Arial"/>
        </w:rPr>
      </w:pPr>
    </w:p>
    <w:p w14:paraId="5A556D53" w14:textId="77777777" w:rsidR="00824B25" w:rsidRPr="00D0306F" w:rsidRDefault="00824B25" w:rsidP="00824B25">
      <w:pPr>
        <w:rPr>
          <w:rFonts w:eastAsia="Aptos" w:cs="Arial"/>
        </w:rPr>
      </w:pPr>
      <w:r w:rsidRPr="00D0306F">
        <w:rPr>
          <w:rFonts w:eastAsia="Aptos" w:cs="Arial"/>
        </w:rPr>
        <w:t>Dispensing appliance contractors provide similar services to the pharmacy essential services and may choose to provide the appliance use review and stoma appliance customisation services. There are no dispensing appliance contractors in the health board’s area.</w:t>
      </w:r>
    </w:p>
    <w:p w14:paraId="1A4FDE33" w14:textId="77777777" w:rsidR="00824B25" w:rsidRPr="00D0306F" w:rsidRDefault="00824B25" w:rsidP="00824B25">
      <w:pPr>
        <w:rPr>
          <w:rFonts w:eastAsia="Aptos" w:cs="Arial"/>
        </w:rPr>
      </w:pPr>
    </w:p>
    <w:p w14:paraId="050C043A" w14:textId="77777777" w:rsidR="00824B25" w:rsidRPr="00D0306F" w:rsidRDefault="00824B25" w:rsidP="00824B25">
      <w:pPr>
        <w:rPr>
          <w:rFonts w:eastAsia="Aptos" w:cs="Arial"/>
        </w:rPr>
      </w:pPr>
      <w:r w:rsidRPr="00D0306F">
        <w:rPr>
          <w:rFonts w:eastAsia="Aptos" w:cs="Arial"/>
        </w:rPr>
        <w:t>The dispensing service provided by some GP practices also falls within the definition of pharmaceutical services. Two practices dispense from premises in the health board’s area.</w:t>
      </w:r>
    </w:p>
    <w:p w14:paraId="390AD34D" w14:textId="77777777" w:rsidR="00824B25" w:rsidRPr="00D0306F" w:rsidRDefault="00824B25" w:rsidP="00824B25">
      <w:pPr>
        <w:rPr>
          <w:rFonts w:eastAsia="Aptos" w:cs="Arial"/>
        </w:rPr>
      </w:pPr>
    </w:p>
    <w:p w14:paraId="6F590D95" w14:textId="77777777" w:rsidR="00824B25" w:rsidRPr="00D0306F" w:rsidRDefault="00824B25" w:rsidP="00824B25">
      <w:pPr>
        <w:rPr>
          <w:rFonts w:eastAsia="Aptos" w:cs="Arial"/>
          <w:b/>
          <w:bCs/>
        </w:rPr>
      </w:pPr>
      <w:r w:rsidRPr="00D0306F">
        <w:rPr>
          <w:rFonts w:eastAsia="Aptos" w:cs="Arial"/>
          <w:b/>
          <w:bCs/>
        </w:rPr>
        <w:t>Essential services</w:t>
      </w:r>
    </w:p>
    <w:p w14:paraId="466AFA73" w14:textId="77777777" w:rsidR="00824B25" w:rsidRPr="00D0306F" w:rsidRDefault="00824B25" w:rsidP="00824B25">
      <w:pPr>
        <w:contextualSpacing/>
        <w:rPr>
          <w:rFonts w:eastAsia="Calibri" w:cs="Arial"/>
          <w:kern w:val="0"/>
          <w14:ligatures w14:val="none"/>
        </w:rPr>
      </w:pPr>
    </w:p>
    <w:p w14:paraId="1116E838" w14:textId="77777777" w:rsidR="00824B25" w:rsidRPr="00D0306F" w:rsidRDefault="00824B25" w:rsidP="00824B25">
      <w:pPr>
        <w:contextualSpacing/>
        <w:rPr>
          <w:rFonts w:eastAsia="Calibri" w:cs="Arial"/>
          <w:kern w:val="0"/>
          <w14:ligatures w14:val="none"/>
        </w:rPr>
      </w:pPr>
      <w:r w:rsidRPr="00D0306F">
        <w:rPr>
          <w:rFonts w:eastAsia="Calibri" w:cs="Arial"/>
          <w:kern w:val="0"/>
          <w14:ligatures w14:val="none"/>
        </w:rPr>
        <w:t xml:space="preserve">There are 90 pharmacies in Swansea Bay University Health Board all providing the full range of essential services. In 2024/25, 96.2% of all prescription items written by GP practices were dispensed by the pharmacies in the health board’s area, 96.0% in the first nine months of 2025/26. </w:t>
      </w:r>
    </w:p>
    <w:p w14:paraId="36D76909" w14:textId="77777777" w:rsidR="00824B25" w:rsidRPr="00D0306F" w:rsidRDefault="00824B25" w:rsidP="00824B25">
      <w:pPr>
        <w:contextualSpacing/>
        <w:rPr>
          <w:rFonts w:eastAsia="Calibri" w:cs="Arial"/>
          <w:kern w:val="0"/>
          <w14:ligatures w14:val="none"/>
        </w:rPr>
      </w:pPr>
    </w:p>
    <w:p w14:paraId="00E55D0F" w14:textId="77777777" w:rsidR="00824B25" w:rsidRPr="00D0306F" w:rsidRDefault="00824B25" w:rsidP="00824B25">
      <w:pPr>
        <w:contextualSpacing/>
        <w:rPr>
          <w:rFonts w:eastAsia="Calibri" w:cs="Arial"/>
          <w:kern w:val="0"/>
          <w14:ligatures w14:val="none"/>
        </w:rPr>
      </w:pPr>
      <w:r w:rsidRPr="00D0306F">
        <w:rPr>
          <w:rFonts w:eastAsia="Calibri" w:cs="Arial"/>
          <w:color w:val="000000"/>
          <w:kern w:val="0"/>
          <w14:ligatures w14:val="none"/>
        </w:rPr>
        <w:t xml:space="preserve">While there is good service provision within the health board area, some residents may choose to access pharmaceutical contractors outside of the health board’s area. In 2024/25, 2.4% of prescriptions were dispensed outside of the health board’s area (3.1% in the first nine months of 2025/26). Whilst many were dispensed by pharmacy or dispensing appliance contractors elsewhere in Wales, in 2024/25 0.9% of prescriptions were dispensed in England (0.7% in the first nine months of 2025/26), predominantly by dispensing appliance contractors. </w:t>
      </w:r>
    </w:p>
    <w:p w14:paraId="7A2FB34E" w14:textId="77777777" w:rsidR="00824B25" w:rsidRDefault="00824B25" w:rsidP="00824B25">
      <w:pPr>
        <w:rPr>
          <w:rFonts w:eastAsia="Aptos" w:cs="Arial"/>
        </w:rPr>
      </w:pPr>
    </w:p>
    <w:p w14:paraId="31DA1B81" w14:textId="175E007A" w:rsidR="000F1E23" w:rsidRDefault="000F1E23" w:rsidP="00824B25">
      <w:pPr>
        <w:rPr>
          <w:rFonts w:eastAsia="Calibri" w:cs="Arial"/>
          <w:color w:val="000000"/>
          <w:kern w:val="0"/>
          <w14:ligatures w14:val="none"/>
        </w:rPr>
      </w:pPr>
      <w:r>
        <w:rPr>
          <w:rFonts w:eastAsia="Calibri" w:cs="Arial"/>
          <w:color w:val="000000"/>
          <w:kern w:val="0"/>
          <w14:ligatures w14:val="none"/>
        </w:rPr>
        <w:t>The pharmacies provide</w:t>
      </w:r>
      <w:r w:rsidRPr="00207B61">
        <w:rPr>
          <w:rFonts w:eastAsia="Calibri" w:cs="Arial"/>
          <w:color w:val="000000"/>
          <w:kern w:val="0"/>
          <w14:ligatures w14:val="none"/>
        </w:rPr>
        <w:t xml:space="preserve"> pharmaceutical services to a population of 394,552, equating to 2.3 pharmacies per 10,000 population, the third highest ratio for health boards in Wales.</w:t>
      </w:r>
    </w:p>
    <w:p w14:paraId="65E096EF" w14:textId="77777777" w:rsidR="000F1E23" w:rsidRPr="00D0306F" w:rsidRDefault="000F1E23" w:rsidP="00824B25">
      <w:pPr>
        <w:rPr>
          <w:rFonts w:eastAsia="Aptos" w:cs="Arial"/>
        </w:rPr>
      </w:pPr>
    </w:p>
    <w:p w14:paraId="12FEB3A5" w14:textId="77777777" w:rsidR="00824B25" w:rsidRPr="00D0306F" w:rsidRDefault="00824B25" w:rsidP="00824B25">
      <w:pPr>
        <w:rPr>
          <w:rFonts w:eastAsia="Aptos" w:cs="Arial"/>
        </w:rPr>
      </w:pPr>
      <w:r w:rsidRPr="00D0306F">
        <w:rPr>
          <w:rFonts w:eastAsia="Aptos" w:cs="Arial"/>
        </w:rPr>
        <w:t>The residents of the health board are well served in relation to the number and location of pharmacies, and access to essential services is good with no gaps in the current provision of these services identified.</w:t>
      </w:r>
    </w:p>
    <w:p w14:paraId="6B46087D" w14:textId="77777777" w:rsidR="00AA5511" w:rsidRPr="00D0306F" w:rsidRDefault="00AA5511" w:rsidP="00824B25">
      <w:pPr>
        <w:rPr>
          <w:rFonts w:eastAsia="Aptos" w:cs="Arial"/>
        </w:rPr>
      </w:pPr>
    </w:p>
    <w:p w14:paraId="0AB993DE" w14:textId="77777777" w:rsidR="00824B25" w:rsidRPr="00D0306F" w:rsidRDefault="00824B25" w:rsidP="00824B25">
      <w:pPr>
        <w:rPr>
          <w:rFonts w:eastAsia="Aptos" w:cs="Arial"/>
        </w:rPr>
      </w:pPr>
      <w:r w:rsidRPr="00D0306F">
        <w:rPr>
          <w:rFonts w:eastAsia="Aptos" w:cs="Arial"/>
          <w:b/>
          <w:bCs/>
        </w:rPr>
        <w:t>National community pharmacy and appliance contractor services</w:t>
      </w:r>
    </w:p>
    <w:p w14:paraId="0C6A73CF" w14:textId="77777777" w:rsidR="00824B25" w:rsidRPr="00D0306F" w:rsidRDefault="00824B25" w:rsidP="00824B25">
      <w:pPr>
        <w:rPr>
          <w:rFonts w:eastAsia="Aptos" w:cs="Arial"/>
        </w:rPr>
      </w:pPr>
    </w:p>
    <w:p w14:paraId="2667D051" w14:textId="77777777" w:rsidR="00AA5511" w:rsidRDefault="00824B25" w:rsidP="00824B25">
      <w:pPr>
        <w:rPr>
          <w:rFonts w:eastAsia="Aptos" w:cs="Arial"/>
        </w:rPr>
      </w:pPr>
      <w:r w:rsidRPr="00D0306F">
        <w:rPr>
          <w:rFonts w:eastAsia="Aptos" w:cs="Arial"/>
        </w:rPr>
        <w:t>All the pharmacies provide the clinical community pharmacy service, and 89 provide</w:t>
      </w:r>
      <w:r w:rsidR="00AA5511">
        <w:rPr>
          <w:rFonts w:eastAsia="Aptos" w:cs="Arial"/>
        </w:rPr>
        <w:t xml:space="preserve"> </w:t>
      </w:r>
    </w:p>
    <w:p w14:paraId="6AE97C9A" w14:textId="77AF6B05" w:rsidR="00824B25" w:rsidRPr="00D0306F" w:rsidRDefault="00824B25" w:rsidP="00824B25">
      <w:pPr>
        <w:rPr>
          <w:rFonts w:eastAsia="Aptos" w:cs="Arial"/>
        </w:rPr>
      </w:pPr>
      <w:r w:rsidRPr="00D0306F">
        <w:rPr>
          <w:rFonts w:eastAsia="Aptos" w:cs="Arial"/>
        </w:rPr>
        <w:lastRenderedPageBreak/>
        <w:t xml:space="preserve">the discharge medicines review service. Whilst 85 of the pharmacies had signed up to provide the influenza vaccination service in 2025/26, only 80 of them had provided it by the end of October 2025. </w:t>
      </w:r>
    </w:p>
    <w:p w14:paraId="1A5E06D3" w14:textId="77777777" w:rsidR="00824B25" w:rsidRPr="00D0306F" w:rsidRDefault="00824B25" w:rsidP="00824B25">
      <w:pPr>
        <w:rPr>
          <w:rFonts w:eastAsia="Aptos" w:cs="Arial"/>
        </w:rPr>
      </w:pPr>
    </w:p>
    <w:p w14:paraId="24388F44" w14:textId="5C64B1D3" w:rsidR="00824B25" w:rsidRPr="00D0306F" w:rsidRDefault="00824B25" w:rsidP="00824B25">
      <w:pPr>
        <w:rPr>
          <w:rFonts w:eastAsia="Aptos" w:cs="Arial"/>
        </w:rPr>
      </w:pPr>
      <w:r w:rsidRPr="00D0306F">
        <w:rPr>
          <w:rFonts w:eastAsia="Aptos" w:cs="Arial"/>
        </w:rPr>
        <w:t>36 pharmacies provided the pharmac</w:t>
      </w:r>
      <w:r w:rsidR="009162B8">
        <w:rPr>
          <w:rFonts w:eastAsia="Aptos" w:cs="Arial"/>
        </w:rPr>
        <w:t>ist</w:t>
      </w:r>
      <w:r w:rsidRPr="00D0306F">
        <w:rPr>
          <w:rFonts w:eastAsia="Aptos" w:cs="Arial"/>
        </w:rPr>
        <w:t xml:space="preserve"> independent prescribing service in the first six months of 2025/26, however another nine had pharmacists undertaking the independent prescriber training in March 2026 and are due to start providing this service in 2026.</w:t>
      </w:r>
    </w:p>
    <w:p w14:paraId="28DCE98A" w14:textId="77777777" w:rsidR="00824B25" w:rsidRPr="00D0306F" w:rsidRDefault="00824B25" w:rsidP="00824B25">
      <w:pPr>
        <w:rPr>
          <w:rFonts w:eastAsia="Aptos" w:cs="Arial"/>
        </w:rPr>
      </w:pPr>
    </w:p>
    <w:p w14:paraId="3DF811B3" w14:textId="77777777" w:rsidR="00824B25" w:rsidRPr="00D0306F" w:rsidRDefault="00824B25" w:rsidP="00824B25">
      <w:pPr>
        <w:rPr>
          <w:rFonts w:eastAsia="Aptos" w:cs="Arial"/>
        </w:rPr>
      </w:pPr>
      <w:r w:rsidRPr="00D0306F">
        <w:rPr>
          <w:rFonts w:eastAsia="Aptos" w:cs="Arial"/>
        </w:rPr>
        <w:t>Fewer pharmacies provide the lateral flow test supply service, 24 in the first seven months of 2025/26. However, these tests may only be supplied to eligible patients which may explain the lower uptake of the service.</w:t>
      </w:r>
    </w:p>
    <w:p w14:paraId="70CBCD33" w14:textId="77777777" w:rsidR="00824B25" w:rsidRPr="00D0306F" w:rsidRDefault="00824B25" w:rsidP="00824B25">
      <w:pPr>
        <w:rPr>
          <w:rFonts w:eastAsia="Aptos" w:cs="Arial"/>
        </w:rPr>
      </w:pPr>
    </w:p>
    <w:p w14:paraId="558C212D" w14:textId="77777777" w:rsidR="00824B25" w:rsidRPr="00D0306F" w:rsidRDefault="00824B25" w:rsidP="00824B25">
      <w:pPr>
        <w:rPr>
          <w:rFonts w:eastAsia="Aptos" w:cs="Arial"/>
        </w:rPr>
      </w:pPr>
      <w:r w:rsidRPr="00D0306F">
        <w:rPr>
          <w:rFonts w:eastAsia="Aptos" w:cs="Arial"/>
        </w:rPr>
        <w:t>None of the pharmacies provide either the appliance use review or stoma appliance customisation service, however it is noted that prescriptions for appliances are dispensed by the dispensing appliance contractors in Cardiff and also in England.</w:t>
      </w:r>
    </w:p>
    <w:p w14:paraId="7BE19ABA" w14:textId="77777777" w:rsidR="00824B25" w:rsidRPr="00D0306F" w:rsidRDefault="00824B25" w:rsidP="00824B25">
      <w:pPr>
        <w:rPr>
          <w:rFonts w:eastAsia="Aptos" w:cs="Arial"/>
        </w:rPr>
      </w:pPr>
    </w:p>
    <w:p w14:paraId="18F9DA8B" w14:textId="77777777" w:rsidR="00824B25" w:rsidRPr="00D0306F" w:rsidRDefault="00824B25" w:rsidP="00824B25">
      <w:pPr>
        <w:rPr>
          <w:rFonts w:eastAsia="Aptos" w:cs="Arial"/>
        </w:rPr>
      </w:pPr>
      <w:r w:rsidRPr="00D0306F">
        <w:rPr>
          <w:rFonts w:eastAsia="Aptos" w:cs="Arial"/>
        </w:rPr>
        <w:t>Pharmacy contractors were asked if they have capacity to manage an increase in demand for pharmaceutical services and of the 90 pharmacies, 84 responded to this question.</w:t>
      </w:r>
    </w:p>
    <w:p w14:paraId="4441BB78" w14:textId="77777777" w:rsidR="00824B25" w:rsidRPr="00D0306F" w:rsidRDefault="00824B25" w:rsidP="00824B25">
      <w:pPr>
        <w:rPr>
          <w:rFonts w:eastAsia="Aptos" w:cs="Arial"/>
        </w:rPr>
      </w:pPr>
    </w:p>
    <w:p w14:paraId="28C1D48B" w14:textId="77777777" w:rsidR="00824B25" w:rsidRPr="00D0306F" w:rsidRDefault="00824B25" w:rsidP="00824B25">
      <w:pPr>
        <w:numPr>
          <w:ilvl w:val="0"/>
          <w:numId w:val="3"/>
        </w:numPr>
        <w:rPr>
          <w:rFonts w:eastAsia="Aptos" w:cs="Arial"/>
          <w:lang w:eastAsia="en-GB"/>
        </w:rPr>
      </w:pPr>
      <w:r w:rsidRPr="00D0306F">
        <w:rPr>
          <w:rFonts w:eastAsia="Aptos" w:cs="Arial"/>
          <w:lang w:eastAsia="en-GB"/>
        </w:rPr>
        <w:t>74 pharmacies said they have sufficient capacity within their premises to manage an increase in demand, six said they didn’t but could make adjustments, and three said they did not and would have difficulty in managing an increase in demand. These pharmacies are located in Bay, City and Cwmtawe clusters.</w:t>
      </w:r>
    </w:p>
    <w:p w14:paraId="2F03AC31" w14:textId="77777777" w:rsidR="00824B25" w:rsidRPr="00D0306F" w:rsidRDefault="00824B25" w:rsidP="00824B25">
      <w:pPr>
        <w:rPr>
          <w:rFonts w:eastAsia="Aptos" w:cs="Arial"/>
          <w:lang w:eastAsia="en-GB"/>
        </w:rPr>
      </w:pPr>
    </w:p>
    <w:p w14:paraId="3AF1A985" w14:textId="77777777" w:rsidR="00824B25" w:rsidRPr="00D0306F" w:rsidRDefault="00824B25" w:rsidP="00824B25">
      <w:pPr>
        <w:numPr>
          <w:ilvl w:val="0"/>
          <w:numId w:val="3"/>
        </w:numPr>
        <w:rPr>
          <w:rFonts w:eastAsia="Aptos" w:cs="Arial"/>
          <w:lang w:eastAsia="en-GB"/>
        </w:rPr>
      </w:pPr>
      <w:r w:rsidRPr="00D0306F">
        <w:rPr>
          <w:rFonts w:eastAsia="Aptos" w:cs="Arial"/>
          <w:lang w:eastAsia="en-GB"/>
        </w:rPr>
        <w:t>71 pharmacies said they have sufficient capacity within their staffing levels to manage an increase in demand, ten said they didn’t but could make adjustments, and two said they did not and would have difficulty in managing an increase in demand. These pharmacies are located in City and Upper Valleys, with the one in City also saying it doesn’t have capacity in its premises.</w:t>
      </w:r>
    </w:p>
    <w:p w14:paraId="6401255C" w14:textId="77777777" w:rsidR="00824B25" w:rsidRPr="00D0306F" w:rsidRDefault="00824B25" w:rsidP="00824B25">
      <w:pPr>
        <w:rPr>
          <w:rFonts w:eastAsia="Aptos" w:cs="Arial"/>
        </w:rPr>
      </w:pPr>
    </w:p>
    <w:p w14:paraId="1B0336A8" w14:textId="77777777" w:rsidR="00824B25" w:rsidRPr="00D0306F" w:rsidRDefault="00824B25" w:rsidP="00824B25">
      <w:pPr>
        <w:rPr>
          <w:rFonts w:eastAsia="Aptos" w:cs="Arial"/>
        </w:rPr>
      </w:pPr>
      <w:r w:rsidRPr="00D0306F">
        <w:rPr>
          <w:rFonts w:eastAsia="Aptos" w:cs="Arial"/>
        </w:rPr>
        <w:t>No gaps have been identified in the provision of these services, and none have been identified that may arise during the five-year life of this document.</w:t>
      </w:r>
    </w:p>
    <w:p w14:paraId="655484A6" w14:textId="77777777" w:rsidR="00824B25" w:rsidRPr="00D0306F" w:rsidRDefault="00824B25" w:rsidP="00824B25">
      <w:pPr>
        <w:rPr>
          <w:rFonts w:eastAsia="Aptos" w:cs="Arial"/>
        </w:rPr>
      </w:pPr>
      <w:r w:rsidRPr="00D0306F">
        <w:rPr>
          <w:rFonts w:eastAsia="Aptos" w:cs="Arial"/>
        </w:rPr>
        <w:t xml:space="preserve"> </w:t>
      </w:r>
    </w:p>
    <w:p w14:paraId="7671C84A" w14:textId="77777777" w:rsidR="00824B25" w:rsidRPr="00D0306F" w:rsidRDefault="00824B25" w:rsidP="00824B25">
      <w:pPr>
        <w:rPr>
          <w:rFonts w:eastAsia="Aptos" w:cs="Arial"/>
        </w:rPr>
      </w:pPr>
      <w:r w:rsidRPr="00D0306F">
        <w:rPr>
          <w:rFonts w:eastAsia="Aptos" w:cs="Arial"/>
          <w:b/>
          <w:bCs/>
        </w:rPr>
        <w:t>Additional clinical services</w:t>
      </w:r>
    </w:p>
    <w:p w14:paraId="061DC5FB" w14:textId="77777777" w:rsidR="00824B25" w:rsidRPr="00D0306F" w:rsidRDefault="00824B25" w:rsidP="00824B25">
      <w:pPr>
        <w:rPr>
          <w:rFonts w:eastAsia="Aptos" w:cs="Arial"/>
        </w:rPr>
      </w:pPr>
    </w:p>
    <w:p w14:paraId="3F40F4D7" w14:textId="77777777" w:rsidR="00824B25" w:rsidRPr="00D0306F" w:rsidRDefault="00824B25" w:rsidP="00824B25">
      <w:pPr>
        <w:rPr>
          <w:rFonts w:eastAsia="Aptos" w:cs="Arial"/>
        </w:rPr>
      </w:pPr>
      <w:r w:rsidRPr="00D0306F">
        <w:rPr>
          <w:rFonts w:eastAsia="Aptos" w:cs="Arial"/>
        </w:rPr>
        <w:t>The list of additional clinical services that may be commissioned from pharmacies is set out in The Pharmaceutical Services (Clinical Services) (Wales) Directions 2022, and health boards may commission them where there is an identified need. Some service specifications are agreed nationally; others are developed by individual health boards. The number of pharmacies that are commissioned to provide an additional clinical service will vary according to the service and the needs of the local population.</w:t>
      </w:r>
    </w:p>
    <w:p w14:paraId="39FDC0F6" w14:textId="77777777" w:rsidR="00824B25" w:rsidRPr="00D0306F" w:rsidRDefault="00824B25" w:rsidP="00824B25">
      <w:pPr>
        <w:rPr>
          <w:rFonts w:eastAsia="Aptos" w:cs="Arial"/>
        </w:rPr>
      </w:pPr>
    </w:p>
    <w:p w14:paraId="56E06393" w14:textId="77777777" w:rsidR="00824B25" w:rsidRPr="00D0306F" w:rsidRDefault="00824B25" w:rsidP="00824B25">
      <w:pPr>
        <w:rPr>
          <w:rFonts w:eastAsia="Aptos" w:cs="Arial"/>
        </w:rPr>
      </w:pPr>
      <w:r w:rsidRPr="00D0306F">
        <w:rPr>
          <w:rFonts w:eastAsia="Aptos" w:cs="Arial"/>
        </w:rPr>
        <w:t>The services that are commissioned by the health board are as follows.</w:t>
      </w:r>
    </w:p>
    <w:p w14:paraId="7958DFCE" w14:textId="77777777" w:rsidR="00824B25" w:rsidRPr="00D0306F" w:rsidRDefault="00824B25" w:rsidP="00824B25">
      <w:pPr>
        <w:rPr>
          <w:rFonts w:eastAsia="Aptos" w:cs="Arial"/>
        </w:rPr>
      </w:pPr>
    </w:p>
    <w:p w14:paraId="618EE722" w14:textId="77777777" w:rsidR="00824B25" w:rsidRPr="00D0306F" w:rsidRDefault="00824B25" w:rsidP="00824B25">
      <w:pPr>
        <w:numPr>
          <w:ilvl w:val="0"/>
          <w:numId w:val="4"/>
        </w:numPr>
        <w:contextualSpacing/>
        <w:rPr>
          <w:rFonts w:eastAsia="Aptos" w:cs="Arial"/>
        </w:rPr>
      </w:pPr>
      <w:r w:rsidRPr="00D0306F">
        <w:rPr>
          <w:rFonts w:eastAsia="Aptos" w:cs="Arial"/>
        </w:rPr>
        <w:t>Blood borne virus screening</w:t>
      </w:r>
    </w:p>
    <w:p w14:paraId="4245E296" w14:textId="77777777" w:rsidR="00824B25" w:rsidRPr="00D0306F" w:rsidRDefault="00824B25" w:rsidP="00824B25">
      <w:pPr>
        <w:numPr>
          <w:ilvl w:val="0"/>
          <w:numId w:val="4"/>
        </w:numPr>
        <w:contextualSpacing/>
        <w:rPr>
          <w:rFonts w:eastAsia="Aptos" w:cs="Arial"/>
        </w:rPr>
      </w:pPr>
      <w:r w:rsidRPr="00D0306F">
        <w:rPr>
          <w:rFonts w:eastAsia="Aptos" w:cs="Arial"/>
        </w:rPr>
        <w:lastRenderedPageBreak/>
        <w:t>Care home support service – level 1 medicines management support visits</w:t>
      </w:r>
    </w:p>
    <w:p w14:paraId="0E12692A" w14:textId="77777777" w:rsidR="00824B25" w:rsidRPr="00D0306F" w:rsidRDefault="00824B25" w:rsidP="00824B25">
      <w:pPr>
        <w:numPr>
          <w:ilvl w:val="0"/>
          <w:numId w:val="4"/>
        </w:numPr>
        <w:contextualSpacing/>
        <w:rPr>
          <w:rFonts w:eastAsia="Aptos" w:cs="Arial"/>
        </w:rPr>
      </w:pPr>
      <w:r w:rsidRPr="00D0306F">
        <w:rPr>
          <w:rFonts w:eastAsia="Aptos" w:cs="Arial"/>
        </w:rPr>
        <w:t>Inhaler review service</w:t>
      </w:r>
    </w:p>
    <w:p w14:paraId="73592D79" w14:textId="77777777" w:rsidR="00824B25" w:rsidRPr="00D0306F" w:rsidRDefault="00824B25" w:rsidP="00824B25">
      <w:pPr>
        <w:numPr>
          <w:ilvl w:val="0"/>
          <w:numId w:val="4"/>
        </w:numPr>
        <w:contextualSpacing/>
        <w:rPr>
          <w:rFonts w:eastAsia="Aptos" w:cs="Arial"/>
        </w:rPr>
      </w:pPr>
      <w:r w:rsidRPr="00D0306F">
        <w:rPr>
          <w:rFonts w:eastAsia="Aptos" w:cs="Arial"/>
        </w:rPr>
        <w:t>Medicines administration record service</w:t>
      </w:r>
    </w:p>
    <w:p w14:paraId="3F326428" w14:textId="77777777" w:rsidR="00824B25" w:rsidRPr="00D0306F" w:rsidRDefault="00824B25" w:rsidP="00824B25">
      <w:pPr>
        <w:numPr>
          <w:ilvl w:val="0"/>
          <w:numId w:val="4"/>
        </w:numPr>
        <w:contextualSpacing/>
        <w:rPr>
          <w:rFonts w:eastAsia="Aptos" w:cs="Arial"/>
        </w:rPr>
      </w:pPr>
      <w:r w:rsidRPr="00D0306F">
        <w:rPr>
          <w:rFonts w:eastAsia="Aptos" w:cs="Arial"/>
        </w:rPr>
        <w:t>Needle and syringe provision</w:t>
      </w:r>
    </w:p>
    <w:p w14:paraId="0B392D46" w14:textId="77777777" w:rsidR="00824B25" w:rsidRPr="00D0306F" w:rsidRDefault="00824B25" w:rsidP="00824B25">
      <w:pPr>
        <w:numPr>
          <w:ilvl w:val="0"/>
          <w:numId w:val="4"/>
        </w:numPr>
        <w:contextualSpacing/>
        <w:rPr>
          <w:rFonts w:eastAsia="Aptos" w:cs="Arial"/>
        </w:rPr>
      </w:pPr>
      <w:r w:rsidRPr="00D0306F">
        <w:rPr>
          <w:rFonts w:eastAsia="Aptos" w:cs="Arial"/>
        </w:rPr>
        <w:t>Help me quit @ pharmacy – levels 2 and 3</w:t>
      </w:r>
    </w:p>
    <w:p w14:paraId="2B8A88A2" w14:textId="77777777" w:rsidR="00824B25" w:rsidRPr="00D0306F" w:rsidRDefault="00824B25" w:rsidP="00824B25">
      <w:pPr>
        <w:numPr>
          <w:ilvl w:val="0"/>
          <w:numId w:val="4"/>
        </w:numPr>
        <w:contextualSpacing/>
        <w:rPr>
          <w:rFonts w:eastAsia="Aptos" w:cs="Arial"/>
        </w:rPr>
      </w:pPr>
      <w:r w:rsidRPr="00D0306F">
        <w:rPr>
          <w:rFonts w:eastAsia="Aptos" w:cs="Arial"/>
        </w:rPr>
        <w:t>Just in case service (palliative care drugs)</w:t>
      </w:r>
    </w:p>
    <w:p w14:paraId="7CA87D26" w14:textId="77777777" w:rsidR="00824B25" w:rsidRPr="00D0306F" w:rsidRDefault="00824B25" w:rsidP="00824B25">
      <w:pPr>
        <w:numPr>
          <w:ilvl w:val="0"/>
          <w:numId w:val="4"/>
        </w:numPr>
        <w:contextualSpacing/>
        <w:rPr>
          <w:rFonts w:eastAsia="Aptos" w:cs="Arial"/>
        </w:rPr>
      </w:pPr>
      <w:r w:rsidRPr="00D0306F">
        <w:rPr>
          <w:rFonts w:eastAsia="Aptos" w:cs="Arial"/>
        </w:rPr>
        <w:t>Supervised administration of medicines service</w:t>
      </w:r>
    </w:p>
    <w:p w14:paraId="66D613E3" w14:textId="77777777" w:rsidR="00824B25" w:rsidRPr="00D0306F" w:rsidRDefault="00824B25" w:rsidP="00824B25">
      <w:pPr>
        <w:numPr>
          <w:ilvl w:val="0"/>
          <w:numId w:val="4"/>
        </w:numPr>
        <w:contextualSpacing/>
        <w:rPr>
          <w:rFonts w:eastAsia="Aptos" w:cs="Arial"/>
        </w:rPr>
      </w:pPr>
      <w:r w:rsidRPr="00D0306F">
        <w:rPr>
          <w:rFonts w:eastAsia="Aptos" w:cs="Arial"/>
        </w:rPr>
        <w:t>Urgent medicines service.</w:t>
      </w:r>
    </w:p>
    <w:p w14:paraId="3DC5D9AF" w14:textId="77777777" w:rsidR="00824B25" w:rsidRPr="00D0306F" w:rsidRDefault="00824B25" w:rsidP="00824B25">
      <w:pPr>
        <w:rPr>
          <w:rFonts w:eastAsia="Aptos" w:cs="Arial"/>
        </w:rPr>
      </w:pPr>
    </w:p>
    <w:p w14:paraId="6A3CEFD4" w14:textId="77777777" w:rsidR="00824B25" w:rsidRPr="00D0306F" w:rsidRDefault="00824B25" w:rsidP="00824B25">
      <w:pPr>
        <w:rPr>
          <w:rFonts w:eastAsia="Aptos" w:cs="Arial"/>
        </w:rPr>
      </w:pPr>
      <w:r w:rsidRPr="00D0306F">
        <w:rPr>
          <w:rFonts w:eastAsia="Aptos" w:cs="Arial"/>
        </w:rPr>
        <w:t>The number of pharmacies commissioned to provide each service, and their location has been reviewed. The conclusion is that there are no current gaps in their provision, and no gaps will arise during the lifetime of this document.</w:t>
      </w:r>
    </w:p>
    <w:p w14:paraId="3EC98F60" w14:textId="77777777" w:rsidR="00824B25" w:rsidRPr="00D0306F" w:rsidRDefault="00824B25" w:rsidP="00824B25">
      <w:pPr>
        <w:rPr>
          <w:rFonts w:eastAsia="Aptos" w:cs="Arial"/>
        </w:rPr>
      </w:pPr>
    </w:p>
    <w:p w14:paraId="558E3D46" w14:textId="77777777" w:rsidR="00824B25" w:rsidRPr="00D0306F" w:rsidRDefault="00824B25" w:rsidP="00824B25">
      <w:pPr>
        <w:rPr>
          <w:rFonts w:eastAsia="Aptos" w:cs="Arial"/>
        </w:rPr>
      </w:pPr>
      <w:r w:rsidRPr="00D0306F">
        <w:rPr>
          <w:rFonts w:eastAsia="Aptos" w:cs="Arial"/>
          <w:b/>
          <w:bCs/>
        </w:rPr>
        <w:t>GP dispensing service</w:t>
      </w:r>
    </w:p>
    <w:p w14:paraId="4CD199BE" w14:textId="77777777" w:rsidR="00824B25" w:rsidRPr="00D0306F" w:rsidRDefault="00824B25" w:rsidP="00824B25">
      <w:pPr>
        <w:rPr>
          <w:rFonts w:eastAsia="Aptos" w:cs="Arial"/>
        </w:rPr>
      </w:pPr>
    </w:p>
    <w:p w14:paraId="2003FCC5" w14:textId="77777777" w:rsidR="00824B25" w:rsidRPr="00D0306F" w:rsidRDefault="00824B25" w:rsidP="00824B25">
      <w:pPr>
        <w:rPr>
          <w:rFonts w:eastAsia="Aptos" w:cs="Arial"/>
        </w:rPr>
      </w:pPr>
      <w:r w:rsidRPr="00D0306F">
        <w:rPr>
          <w:rFonts w:eastAsia="Aptos" w:cs="Arial"/>
        </w:rPr>
        <w:t>Two practices dispense to eligible patients from premises in the health board’s area - one of these practices is aligned to Cwm Taf Morgannwg University Health Board but dispenses from premises in Bryn.</w:t>
      </w:r>
    </w:p>
    <w:p w14:paraId="5404D6E0" w14:textId="77777777" w:rsidR="00824B25" w:rsidRPr="00D0306F" w:rsidRDefault="00824B25" w:rsidP="00824B25">
      <w:pPr>
        <w:rPr>
          <w:rFonts w:eastAsia="Aptos" w:cs="Arial"/>
        </w:rPr>
      </w:pPr>
    </w:p>
    <w:p w14:paraId="58B429E3" w14:textId="77777777" w:rsidR="00824B25" w:rsidRPr="00D0306F" w:rsidRDefault="00824B25" w:rsidP="00824B25">
      <w:pPr>
        <w:rPr>
          <w:rFonts w:eastAsia="Aptos" w:cs="Arial"/>
        </w:rPr>
      </w:pPr>
      <w:r w:rsidRPr="00D0306F">
        <w:rPr>
          <w:rFonts w:eastAsia="Aptos" w:cs="Arial"/>
        </w:rPr>
        <w:t>To be eligible for dispensing services patients must meet certain criteria. Briefly, an eligible patient is one that lives:</w:t>
      </w:r>
    </w:p>
    <w:p w14:paraId="69B322CF" w14:textId="77777777" w:rsidR="00824B25" w:rsidRPr="00D0306F" w:rsidRDefault="00824B25" w:rsidP="00824B25">
      <w:pPr>
        <w:rPr>
          <w:rFonts w:eastAsia="Aptos" w:cs="Arial"/>
        </w:rPr>
      </w:pPr>
    </w:p>
    <w:p w14:paraId="12B7D37E" w14:textId="77777777" w:rsidR="00824B25" w:rsidRPr="00D0306F" w:rsidRDefault="00824B25" w:rsidP="00824B25">
      <w:pPr>
        <w:numPr>
          <w:ilvl w:val="0"/>
          <w:numId w:val="5"/>
        </w:numPr>
        <w:contextualSpacing/>
        <w:rPr>
          <w:rFonts w:eastAsia="Aptos" w:cs="Arial"/>
        </w:rPr>
      </w:pPr>
      <w:r w:rsidRPr="00D0306F">
        <w:rPr>
          <w:rFonts w:eastAsia="Aptos" w:cs="Arial"/>
        </w:rPr>
        <w:t>in a “controlled locality” – an area which has been determined by the health board, as rural in character,</w:t>
      </w:r>
    </w:p>
    <w:p w14:paraId="31393D13" w14:textId="77777777" w:rsidR="00824B25" w:rsidRPr="00D0306F" w:rsidRDefault="00824B25" w:rsidP="00824B25">
      <w:pPr>
        <w:numPr>
          <w:ilvl w:val="0"/>
          <w:numId w:val="5"/>
        </w:numPr>
        <w:contextualSpacing/>
        <w:rPr>
          <w:rFonts w:eastAsia="Aptos" w:cs="Arial"/>
        </w:rPr>
      </w:pPr>
      <w:r w:rsidRPr="00D0306F">
        <w:rPr>
          <w:rFonts w:eastAsia="Aptos" w:cs="Arial"/>
        </w:rPr>
        <w:t>more than 1.6km from a pharmacy (measured as a straight line), and</w:t>
      </w:r>
    </w:p>
    <w:p w14:paraId="7BE8D37F" w14:textId="77777777" w:rsidR="00824B25" w:rsidRPr="00D0306F" w:rsidRDefault="00824B25" w:rsidP="00824B25">
      <w:pPr>
        <w:numPr>
          <w:ilvl w:val="0"/>
          <w:numId w:val="5"/>
        </w:numPr>
        <w:contextualSpacing/>
        <w:rPr>
          <w:rFonts w:eastAsia="Aptos" w:cs="Arial"/>
        </w:rPr>
      </w:pPr>
      <w:r w:rsidRPr="00D0306F">
        <w:rPr>
          <w:rFonts w:eastAsia="Aptos" w:cs="Arial"/>
        </w:rPr>
        <w:t>their GP practice has outline consent and premises approval to dispense to the area they live in.</w:t>
      </w:r>
    </w:p>
    <w:p w14:paraId="2E06A7EC" w14:textId="77777777" w:rsidR="00824B25" w:rsidRPr="00D0306F" w:rsidRDefault="00824B25" w:rsidP="00824B25">
      <w:pPr>
        <w:rPr>
          <w:rFonts w:eastAsia="Aptos" w:cs="Arial"/>
        </w:rPr>
      </w:pPr>
    </w:p>
    <w:p w14:paraId="5064DB14" w14:textId="77777777" w:rsidR="00824B25" w:rsidRPr="00D0306F" w:rsidRDefault="00824B25" w:rsidP="00824B25">
      <w:pPr>
        <w:rPr>
          <w:rFonts w:eastAsia="Aptos" w:cs="Arial"/>
        </w:rPr>
      </w:pPr>
      <w:r w:rsidRPr="00D0306F">
        <w:rPr>
          <w:rFonts w:eastAsia="Aptos" w:cs="Arial"/>
        </w:rPr>
        <w:t>There is also an option for patients to apply to the health board to be dispensed to by their GP practice. Such applications are granted where the patient can demonstrate that they would have serious difficulty in obtaining their drugs or appliances from a pharmacy because of distances or inadequacy of means of communication.</w:t>
      </w:r>
    </w:p>
    <w:p w14:paraId="48358002" w14:textId="77777777" w:rsidR="00824B25" w:rsidRPr="00D0306F" w:rsidRDefault="00824B25" w:rsidP="00824B25">
      <w:pPr>
        <w:rPr>
          <w:rFonts w:eastAsia="Aptos" w:cs="Arial"/>
        </w:rPr>
      </w:pPr>
    </w:p>
    <w:p w14:paraId="477C9C3A" w14:textId="77777777" w:rsidR="00824B25" w:rsidRPr="00D0306F" w:rsidRDefault="00824B25" w:rsidP="00824B25">
      <w:pPr>
        <w:rPr>
          <w:rFonts w:eastAsia="Aptos" w:cs="Arial"/>
          <w:b/>
          <w:bCs/>
        </w:rPr>
      </w:pPr>
      <w:r w:rsidRPr="00D0306F">
        <w:rPr>
          <w:rFonts w:eastAsia="Aptos" w:cs="Arial"/>
          <w:b/>
          <w:bCs/>
        </w:rPr>
        <w:t>The assessment process</w:t>
      </w:r>
    </w:p>
    <w:p w14:paraId="12822C33" w14:textId="77777777" w:rsidR="00824B25" w:rsidRPr="00D0306F" w:rsidRDefault="00824B25" w:rsidP="00824B25">
      <w:pPr>
        <w:rPr>
          <w:rFonts w:eastAsia="Aptos" w:cs="Arial"/>
        </w:rPr>
      </w:pPr>
    </w:p>
    <w:p w14:paraId="26E64CD0" w14:textId="77777777" w:rsidR="00824B25" w:rsidRPr="00D0306F" w:rsidRDefault="00824B25" w:rsidP="00824B25">
      <w:pPr>
        <w:rPr>
          <w:rFonts w:eastAsia="Aptos" w:cs="Arial"/>
        </w:rPr>
      </w:pPr>
      <w:r w:rsidRPr="00D0306F">
        <w:rPr>
          <w:rFonts w:eastAsia="Aptos" w:cs="Arial"/>
        </w:rPr>
        <w:t>As part of the process in developing this pharmaceutical needs assessment, the views of stakeholders were gathered. A public engagement questionnaire was promoted to the public for four weeks from 30 March to 27 April 2026. 119 responses were submitted which offered an indication of the public’s view on the pharmaceutical services available.</w:t>
      </w:r>
    </w:p>
    <w:p w14:paraId="6C1D8873" w14:textId="77777777" w:rsidR="00824B25" w:rsidRPr="00D0306F" w:rsidRDefault="00824B25" w:rsidP="00824B25">
      <w:pPr>
        <w:rPr>
          <w:rFonts w:eastAsia="Aptos" w:cs="Arial"/>
        </w:rPr>
      </w:pPr>
    </w:p>
    <w:p w14:paraId="44088928" w14:textId="77777777" w:rsidR="00824B25" w:rsidRPr="00D0306F" w:rsidRDefault="00824B25" w:rsidP="00824B25">
      <w:pPr>
        <w:rPr>
          <w:rFonts w:eastAsia="Aptos" w:cs="Arial"/>
          <w:lang w:val="en-US"/>
        </w:rPr>
      </w:pPr>
      <w:r w:rsidRPr="00D0306F">
        <w:rPr>
          <w:rFonts w:eastAsia="Aptos" w:cs="Arial"/>
          <w:lang w:val="en-US"/>
        </w:rPr>
        <w:t>The main points highlighted from the public engagement were as follows.</w:t>
      </w:r>
    </w:p>
    <w:p w14:paraId="1682943B" w14:textId="77777777" w:rsidR="00824B25" w:rsidRPr="00D0306F" w:rsidRDefault="00824B25" w:rsidP="00824B25">
      <w:pPr>
        <w:rPr>
          <w:rFonts w:eastAsia="Aptos" w:cs="Arial"/>
          <w:lang w:val="en-US"/>
        </w:rPr>
      </w:pPr>
    </w:p>
    <w:p w14:paraId="2A7D66F7" w14:textId="77777777" w:rsidR="00824B25" w:rsidRPr="00D0306F" w:rsidRDefault="00824B25" w:rsidP="00824B25">
      <w:pPr>
        <w:numPr>
          <w:ilvl w:val="0"/>
          <w:numId w:val="6"/>
        </w:numPr>
        <w:contextualSpacing/>
        <w:rPr>
          <w:rFonts w:eastAsia="Aptos" w:cs="Arial"/>
          <w:lang w:val="en-US"/>
        </w:rPr>
      </w:pPr>
      <w:r w:rsidRPr="00D0306F">
        <w:rPr>
          <w:rFonts w:eastAsia="Aptos" w:cs="Arial"/>
          <w:lang w:val="en-US"/>
        </w:rPr>
        <w:t>The most common reasons to visit a pharmacy were to collect a prescription, or to collect a prescription for someone else.</w:t>
      </w:r>
    </w:p>
    <w:p w14:paraId="27E3C8CE" w14:textId="77777777" w:rsidR="00824B25" w:rsidRPr="00D0306F" w:rsidRDefault="00824B25" w:rsidP="00824B25">
      <w:pPr>
        <w:numPr>
          <w:ilvl w:val="0"/>
          <w:numId w:val="6"/>
        </w:numPr>
        <w:contextualSpacing/>
        <w:rPr>
          <w:rFonts w:eastAsia="Aptos" w:cs="Arial"/>
          <w:lang w:val="en-US"/>
        </w:rPr>
      </w:pPr>
      <w:r w:rsidRPr="00D0306F">
        <w:rPr>
          <w:rFonts w:eastAsia="Aptos" w:cs="Arial"/>
          <w:lang w:val="en-US"/>
        </w:rPr>
        <w:t>Most people visit a pharmacy monthly/every four weeks.</w:t>
      </w:r>
    </w:p>
    <w:p w14:paraId="689B4DB7" w14:textId="77777777" w:rsidR="00824B25" w:rsidRPr="00D0306F" w:rsidRDefault="00824B25" w:rsidP="00824B25">
      <w:pPr>
        <w:numPr>
          <w:ilvl w:val="0"/>
          <w:numId w:val="6"/>
        </w:numPr>
        <w:contextualSpacing/>
        <w:rPr>
          <w:rFonts w:eastAsia="Aptos" w:cs="Arial"/>
          <w:lang w:val="en-US"/>
        </w:rPr>
      </w:pPr>
      <w:r w:rsidRPr="00D0306F">
        <w:rPr>
          <w:rFonts w:eastAsia="Aptos" w:cs="Arial"/>
          <w:lang w:val="en-US"/>
        </w:rPr>
        <w:t>35.3% of people did not have a preference as to the most convenient time to visit a pharmacy, 25.2% said between 9.00am and 12 noon, 17.7% said 6.00pm to 9.00pm, and 15.9% said 2.00pm to 6.00pm.</w:t>
      </w:r>
    </w:p>
    <w:p w14:paraId="29015F3E" w14:textId="77777777" w:rsidR="00824B25" w:rsidRPr="00D0306F" w:rsidRDefault="00824B25" w:rsidP="00824B25">
      <w:pPr>
        <w:numPr>
          <w:ilvl w:val="0"/>
          <w:numId w:val="6"/>
        </w:numPr>
        <w:contextualSpacing/>
        <w:rPr>
          <w:rFonts w:eastAsia="Aptos" w:cs="Arial"/>
          <w:lang w:val="en-US"/>
        </w:rPr>
      </w:pPr>
      <w:r w:rsidRPr="00D0306F">
        <w:rPr>
          <w:rFonts w:eastAsia="Aptos" w:cs="Arial"/>
          <w:lang w:val="en-US"/>
        </w:rPr>
        <w:lastRenderedPageBreak/>
        <w:t>47.1% of people did not have a preferred day to use a pharmacy. 26.1% said weekdays in general, and 10.9% said the weekends in general.</w:t>
      </w:r>
    </w:p>
    <w:p w14:paraId="34AF875E" w14:textId="77777777" w:rsidR="00824B25" w:rsidRPr="00D0306F" w:rsidRDefault="00824B25" w:rsidP="00824B25">
      <w:pPr>
        <w:numPr>
          <w:ilvl w:val="0"/>
          <w:numId w:val="6"/>
        </w:numPr>
        <w:contextualSpacing/>
        <w:rPr>
          <w:rFonts w:eastAsia="Aptos" w:cs="Arial"/>
          <w:lang w:val="en-US"/>
        </w:rPr>
      </w:pPr>
      <w:r w:rsidRPr="00D0306F">
        <w:rPr>
          <w:rFonts w:eastAsia="Aptos" w:cs="Arial"/>
          <w:lang w:val="en-US"/>
        </w:rPr>
        <w:t>63.0% of people prefer to use the same pharmacy, 33.6% said they use different pharmacies but prefer to use one most often.</w:t>
      </w:r>
    </w:p>
    <w:p w14:paraId="4CE903AE" w14:textId="77777777" w:rsidR="00824B25" w:rsidRPr="00D0306F" w:rsidRDefault="00824B25" w:rsidP="00824B25">
      <w:pPr>
        <w:numPr>
          <w:ilvl w:val="0"/>
          <w:numId w:val="6"/>
        </w:numPr>
        <w:rPr>
          <w:rFonts w:eastAsia="Aptos" w:cs="Arial"/>
          <w:lang w:eastAsia="en-GB"/>
        </w:rPr>
      </w:pPr>
      <w:r w:rsidRPr="00D0306F">
        <w:rPr>
          <w:rFonts w:eastAsia="Aptos" w:cs="Arial"/>
          <w:lang w:eastAsia="en-GB"/>
        </w:rPr>
        <w:t>The most popular reasons for choosing a pharmacy were close to home (67.2%) followed by the location of the pharmacy is easy to get to (48.7%),</w:t>
      </w:r>
      <w:r w:rsidRPr="00D0306F">
        <w:rPr>
          <w:rFonts w:eastAsia="Aptos" w:cs="Arial"/>
        </w:rPr>
        <w:t xml:space="preserve"> I like and trust the staff who work there </w:t>
      </w:r>
      <w:r w:rsidRPr="00D0306F">
        <w:rPr>
          <w:rFonts w:eastAsia="Aptos" w:cs="Arial"/>
          <w:lang w:eastAsia="en-GB"/>
        </w:rPr>
        <w:t>(43.7%, 52 responses) and close to my doctor (42.9%, 51 people).</w:t>
      </w:r>
    </w:p>
    <w:p w14:paraId="223EFE95" w14:textId="77777777" w:rsidR="00824B25" w:rsidRPr="00D0306F" w:rsidRDefault="00824B25" w:rsidP="00824B25">
      <w:pPr>
        <w:numPr>
          <w:ilvl w:val="0"/>
          <w:numId w:val="6"/>
        </w:numPr>
        <w:contextualSpacing/>
        <w:rPr>
          <w:rFonts w:eastAsia="Aptos" w:cs="Arial"/>
          <w:lang w:val="en-US"/>
        </w:rPr>
      </w:pPr>
      <w:r w:rsidRPr="00D0306F">
        <w:rPr>
          <w:rFonts w:eastAsia="Aptos" w:cs="Arial"/>
        </w:rPr>
        <w:t>The most popular ways of travelling to a pharmacy were by car (66.4%) and then on foot/wheelchair (26.9%).</w:t>
      </w:r>
    </w:p>
    <w:p w14:paraId="65B961D5" w14:textId="77777777" w:rsidR="00824B25" w:rsidRPr="00D0306F" w:rsidRDefault="00824B25" w:rsidP="00824B25">
      <w:pPr>
        <w:numPr>
          <w:ilvl w:val="0"/>
          <w:numId w:val="6"/>
        </w:numPr>
        <w:rPr>
          <w:rFonts w:eastAsia="Aptos" w:cs="Arial"/>
          <w:lang w:eastAsia="en-GB"/>
        </w:rPr>
      </w:pPr>
      <w:r w:rsidRPr="00D0306F">
        <w:rPr>
          <w:rFonts w:eastAsia="Aptos" w:cs="Arial"/>
          <w:lang w:eastAsia="en-GB"/>
        </w:rPr>
        <w:t>With regard to the amount of time it takes to travel to a pharmacy, for 96.6% of respondents the journey is less than twenty minutes.</w:t>
      </w:r>
    </w:p>
    <w:p w14:paraId="13EB2211" w14:textId="77777777" w:rsidR="00824B25" w:rsidRPr="00D0306F" w:rsidRDefault="00824B25" w:rsidP="00824B25">
      <w:pPr>
        <w:numPr>
          <w:ilvl w:val="0"/>
          <w:numId w:val="6"/>
        </w:numPr>
        <w:contextualSpacing/>
        <w:rPr>
          <w:rFonts w:eastAsia="Aptos" w:cs="Arial"/>
          <w:lang w:val="en-US"/>
        </w:rPr>
      </w:pPr>
      <w:r w:rsidRPr="00D0306F">
        <w:rPr>
          <w:rFonts w:eastAsia="Aptos" w:cs="Arial"/>
          <w:lang w:val="en-US"/>
        </w:rPr>
        <w:t>Influenza vaccination was the service most people were aware of, followed by the common ailments service, Covid vaccinations, help to stop smoking, and the contraception service.</w:t>
      </w:r>
    </w:p>
    <w:p w14:paraId="3E86990D" w14:textId="77777777" w:rsidR="00824B25" w:rsidRPr="00D0306F" w:rsidRDefault="00824B25" w:rsidP="00824B25">
      <w:pPr>
        <w:numPr>
          <w:ilvl w:val="0"/>
          <w:numId w:val="6"/>
        </w:numPr>
        <w:contextualSpacing/>
        <w:rPr>
          <w:rFonts w:eastAsia="Aptos" w:cs="Arial"/>
          <w:lang w:val="en-US"/>
        </w:rPr>
      </w:pPr>
      <w:r w:rsidRPr="00D0306F">
        <w:rPr>
          <w:rFonts w:eastAsia="Aptos" w:cs="Arial"/>
          <w:lang w:val="en-US"/>
        </w:rPr>
        <w:t>The most common services that people had used were the common ailments service, influenza vaccinations, and the pharmacist independent prescribing service.</w:t>
      </w:r>
    </w:p>
    <w:p w14:paraId="4CAA6E60" w14:textId="77777777" w:rsidR="00824B25" w:rsidRPr="00D0306F" w:rsidRDefault="00824B25" w:rsidP="00824B25">
      <w:pPr>
        <w:widowControl w:val="0"/>
        <w:tabs>
          <w:tab w:val="left" w:pos="2019"/>
        </w:tabs>
        <w:autoSpaceDE w:val="0"/>
        <w:autoSpaceDN w:val="0"/>
        <w:ind w:right="95"/>
        <w:rPr>
          <w:rFonts w:eastAsia="Aptos" w:cs="Arial"/>
        </w:rPr>
      </w:pPr>
    </w:p>
    <w:p w14:paraId="41592CDF" w14:textId="77777777" w:rsidR="00824B25" w:rsidRPr="00D0306F" w:rsidRDefault="00824B25" w:rsidP="00824B25">
      <w:pPr>
        <w:widowControl w:val="0"/>
        <w:tabs>
          <w:tab w:val="left" w:pos="2019"/>
        </w:tabs>
        <w:autoSpaceDE w:val="0"/>
        <w:autoSpaceDN w:val="0"/>
        <w:ind w:right="95"/>
        <w:rPr>
          <w:rFonts w:eastAsia="Aptos" w:cs="Arial"/>
        </w:rPr>
      </w:pPr>
      <w:r w:rsidRPr="00D0306F">
        <w:rPr>
          <w:rFonts w:eastAsia="Aptos" w:cs="Arial"/>
        </w:rPr>
        <w:t>Analysis</w:t>
      </w:r>
      <w:r w:rsidRPr="00D0306F">
        <w:rPr>
          <w:rFonts w:eastAsia="Aptos" w:cs="Arial"/>
          <w:spacing w:val="-5"/>
        </w:rPr>
        <w:t xml:space="preserve"> </w:t>
      </w:r>
      <w:r w:rsidRPr="00D0306F">
        <w:rPr>
          <w:rFonts w:eastAsia="Aptos" w:cs="Arial"/>
        </w:rPr>
        <w:t>of</w:t>
      </w:r>
      <w:r w:rsidRPr="00D0306F">
        <w:rPr>
          <w:rFonts w:eastAsia="Aptos" w:cs="Arial"/>
          <w:spacing w:val="-4"/>
        </w:rPr>
        <w:t xml:space="preserve"> </w:t>
      </w:r>
      <w:r w:rsidRPr="00D0306F">
        <w:rPr>
          <w:rFonts w:eastAsia="Aptos" w:cs="Arial"/>
        </w:rPr>
        <w:t>the</w:t>
      </w:r>
      <w:r w:rsidRPr="00D0306F">
        <w:rPr>
          <w:rFonts w:eastAsia="Aptos" w:cs="Arial"/>
          <w:spacing w:val="-10"/>
        </w:rPr>
        <w:t xml:space="preserve"> </w:t>
      </w:r>
      <w:r w:rsidRPr="00D0306F">
        <w:rPr>
          <w:rFonts w:eastAsia="Aptos" w:cs="Arial"/>
        </w:rPr>
        <w:t>responses</w:t>
      </w:r>
      <w:r w:rsidRPr="00D0306F">
        <w:rPr>
          <w:rFonts w:eastAsia="Aptos" w:cs="Arial"/>
          <w:spacing w:val="-7"/>
        </w:rPr>
        <w:t xml:space="preserve"> </w:t>
      </w:r>
      <w:r w:rsidRPr="00D0306F">
        <w:rPr>
          <w:rFonts w:eastAsia="Aptos" w:cs="Arial"/>
        </w:rPr>
        <w:t>from</w:t>
      </w:r>
      <w:r w:rsidRPr="00D0306F">
        <w:rPr>
          <w:rFonts w:eastAsia="Aptos" w:cs="Arial"/>
          <w:spacing w:val="-6"/>
        </w:rPr>
        <w:t xml:space="preserve"> </w:t>
      </w:r>
      <w:r w:rsidRPr="00D0306F">
        <w:rPr>
          <w:rFonts w:eastAsia="Aptos" w:cs="Arial"/>
        </w:rPr>
        <w:t>the</w:t>
      </w:r>
      <w:r w:rsidRPr="00D0306F">
        <w:rPr>
          <w:rFonts w:eastAsia="Aptos" w:cs="Arial"/>
          <w:spacing w:val="-8"/>
        </w:rPr>
        <w:t xml:space="preserve"> </w:t>
      </w:r>
      <w:r w:rsidRPr="00D0306F">
        <w:rPr>
          <w:rFonts w:eastAsia="Aptos" w:cs="Arial"/>
        </w:rPr>
        <w:t>public</w:t>
      </w:r>
      <w:r w:rsidRPr="00D0306F">
        <w:rPr>
          <w:rFonts w:eastAsia="Aptos" w:cs="Arial"/>
          <w:spacing w:val="-5"/>
        </w:rPr>
        <w:t xml:space="preserve"> </w:t>
      </w:r>
      <w:r w:rsidRPr="00D0306F">
        <w:rPr>
          <w:rFonts w:eastAsia="Aptos" w:cs="Arial"/>
        </w:rPr>
        <w:t>engagement</w:t>
      </w:r>
      <w:r w:rsidRPr="00D0306F">
        <w:rPr>
          <w:rFonts w:eastAsia="Aptos" w:cs="Arial"/>
          <w:spacing w:val="-6"/>
        </w:rPr>
        <w:t xml:space="preserve"> </w:t>
      </w:r>
      <w:r w:rsidRPr="00D0306F">
        <w:rPr>
          <w:rFonts w:eastAsia="Aptos" w:cs="Arial"/>
        </w:rPr>
        <w:t>exercise</w:t>
      </w:r>
      <w:r w:rsidRPr="00D0306F">
        <w:rPr>
          <w:rFonts w:eastAsia="Aptos" w:cs="Arial"/>
          <w:spacing w:val="-8"/>
        </w:rPr>
        <w:t xml:space="preserve"> </w:t>
      </w:r>
      <w:r w:rsidRPr="00D0306F">
        <w:rPr>
          <w:rFonts w:eastAsia="Aptos" w:cs="Arial"/>
        </w:rPr>
        <w:t>gives</w:t>
      </w:r>
      <w:r w:rsidRPr="00D0306F">
        <w:rPr>
          <w:rFonts w:eastAsia="Aptos" w:cs="Arial"/>
          <w:spacing w:val="-5"/>
        </w:rPr>
        <w:t xml:space="preserve"> </w:t>
      </w:r>
      <w:r w:rsidRPr="00D0306F">
        <w:rPr>
          <w:rFonts w:eastAsia="Aptos" w:cs="Arial"/>
        </w:rPr>
        <w:t>an</w:t>
      </w:r>
      <w:r w:rsidRPr="00D0306F">
        <w:rPr>
          <w:rFonts w:eastAsia="Aptos" w:cs="Arial"/>
          <w:spacing w:val="-8"/>
        </w:rPr>
        <w:t xml:space="preserve"> </w:t>
      </w:r>
      <w:r w:rsidRPr="00D0306F">
        <w:rPr>
          <w:rFonts w:eastAsia="Aptos" w:cs="Arial"/>
        </w:rPr>
        <w:t>indication</w:t>
      </w:r>
      <w:r w:rsidRPr="00D0306F">
        <w:rPr>
          <w:rFonts w:eastAsia="Aptos" w:cs="Arial"/>
          <w:spacing w:val="-5"/>
        </w:rPr>
        <w:t xml:space="preserve"> </w:t>
      </w:r>
      <w:r w:rsidRPr="00D0306F">
        <w:rPr>
          <w:rFonts w:eastAsia="Aptos" w:cs="Arial"/>
        </w:rPr>
        <w:t>that pharmacies and the services they offer are well regarded and valued by the public. Concerns were, however, raised regarding waiting times and queues, drugs shortages and the variability in experience.</w:t>
      </w:r>
    </w:p>
    <w:p w14:paraId="151B323E" w14:textId="77777777" w:rsidR="00824B25" w:rsidRPr="00D0306F" w:rsidRDefault="00824B25" w:rsidP="00824B25">
      <w:pPr>
        <w:widowControl w:val="0"/>
        <w:tabs>
          <w:tab w:val="left" w:pos="2019"/>
        </w:tabs>
        <w:autoSpaceDE w:val="0"/>
        <w:autoSpaceDN w:val="0"/>
        <w:ind w:right="95"/>
        <w:rPr>
          <w:rFonts w:eastAsia="Aptos" w:cs="Arial"/>
        </w:rPr>
      </w:pPr>
    </w:p>
    <w:p w14:paraId="4F633616" w14:textId="77777777" w:rsidR="00824B25" w:rsidRPr="00D0306F" w:rsidRDefault="00824B25" w:rsidP="00824B25">
      <w:pPr>
        <w:widowControl w:val="0"/>
        <w:tabs>
          <w:tab w:val="left" w:pos="2019"/>
        </w:tabs>
        <w:autoSpaceDE w:val="0"/>
        <w:autoSpaceDN w:val="0"/>
        <w:ind w:right="95"/>
        <w:rPr>
          <w:rFonts w:eastAsia="Aptos" w:cs="Arial"/>
        </w:rPr>
      </w:pPr>
      <w:r w:rsidRPr="00D0306F">
        <w:rPr>
          <w:rFonts w:eastAsia="Aptos" w:cs="Arial"/>
        </w:rPr>
        <w:t>The pharmacy contractors were asked to complete a questionnaire which covered areas such as the facilities available, the need for services not currently available in the area, and whether the pharmacy has sufficient capacity to meet an increasing demand for pharmaceutical services. 84 of the pharmacies completed the questionnaire.</w:t>
      </w:r>
    </w:p>
    <w:p w14:paraId="2C1EC15C" w14:textId="77777777" w:rsidR="00824B25" w:rsidRPr="00D0306F" w:rsidRDefault="00824B25" w:rsidP="00824B25">
      <w:pPr>
        <w:widowControl w:val="0"/>
        <w:tabs>
          <w:tab w:val="left" w:pos="2019"/>
        </w:tabs>
        <w:autoSpaceDE w:val="0"/>
        <w:autoSpaceDN w:val="0"/>
        <w:ind w:right="95"/>
        <w:rPr>
          <w:rFonts w:eastAsia="Aptos" w:cs="Arial"/>
        </w:rPr>
      </w:pPr>
    </w:p>
    <w:p w14:paraId="32ECB852" w14:textId="77777777" w:rsidR="00824B25" w:rsidRPr="00D0306F" w:rsidRDefault="00824B25" w:rsidP="00824B25">
      <w:pPr>
        <w:widowControl w:val="0"/>
        <w:numPr>
          <w:ilvl w:val="0"/>
          <w:numId w:val="6"/>
        </w:numPr>
        <w:tabs>
          <w:tab w:val="left" w:pos="2019"/>
        </w:tabs>
        <w:autoSpaceDE w:val="0"/>
        <w:autoSpaceDN w:val="0"/>
        <w:ind w:right="95"/>
        <w:contextualSpacing/>
        <w:rPr>
          <w:rFonts w:eastAsia="Aptos" w:cs="Arial"/>
        </w:rPr>
      </w:pPr>
      <w:r w:rsidRPr="00D0306F">
        <w:rPr>
          <w:rFonts w:eastAsia="Aptos" w:cs="Arial"/>
        </w:rPr>
        <w:t>75 of the pharmacies are wheelchair accessible, as are 73 of the consultation rooms.</w:t>
      </w:r>
    </w:p>
    <w:p w14:paraId="3E67E9B8" w14:textId="77777777" w:rsidR="00824B25" w:rsidRPr="00D0306F" w:rsidRDefault="00824B25" w:rsidP="00824B25">
      <w:pPr>
        <w:widowControl w:val="0"/>
        <w:numPr>
          <w:ilvl w:val="0"/>
          <w:numId w:val="6"/>
        </w:numPr>
        <w:tabs>
          <w:tab w:val="left" w:pos="2019"/>
        </w:tabs>
        <w:autoSpaceDE w:val="0"/>
        <w:autoSpaceDN w:val="0"/>
        <w:ind w:right="95"/>
        <w:contextualSpacing/>
        <w:rPr>
          <w:rFonts w:eastAsia="Aptos" w:cs="Arial"/>
        </w:rPr>
      </w:pPr>
      <w:r w:rsidRPr="00D0306F">
        <w:rPr>
          <w:rFonts w:eastAsia="Aptos" w:cs="Arial"/>
        </w:rPr>
        <w:t>83 pharmacies have a consultation area that meets the required standards. One failed to fully answer the question.</w:t>
      </w:r>
    </w:p>
    <w:p w14:paraId="337E2012" w14:textId="77777777" w:rsidR="00824B25" w:rsidRPr="00D0306F" w:rsidRDefault="00824B25" w:rsidP="00824B25">
      <w:pPr>
        <w:widowControl w:val="0"/>
        <w:numPr>
          <w:ilvl w:val="0"/>
          <w:numId w:val="6"/>
        </w:numPr>
        <w:tabs>
          <w:tab w:val="left" w:pos="2019"/>
        </w:tabs>
        <w:autoSpaceDE w:val="0"/>
        <w:autoSpaceDN w:val="0"/>
        <w:ind w:right="95"/>
        <w:contextualSpacing/>
        <w:rPr>
          <w:rFonts w:eastAsia="Aptos" w:cs="Arial"/>
        </w:rPr>
      </w:pPr>
      <w:r w:rsidRPr="00D0306F">
        <w:rPr>
          <w:rFonts w:eastAsia="Aptos" w:cs="Arial"/>
        </w:rPr>
        <w:t>37 pharmacies have Welsh speakers.</w:t>
      </w:r>
    </w:p>
    <w:p w14:paraId="08A11F6B" w14:textId="77777777" w:rsidR="00824B25" w:rsidRPr="00D0306F" w:rsidRDefault="00824B25" w:rsidP="00824B25">
      <w:pPr>
        <w:widowControl w:val="0"/>
        <w:numPr>
          <w:ilvl w:val="0"/>
          <w:numId w:val="6"/>
        </w:numPr>
        <w:tabs>
          <w:tab w:val="left" w:pos="2019"/>
        </w:tabs>
        <w:autoSpaceDE w:val="0"/>
        <w:autoSpaceDN w:val="0"/>
        <w:ind w:right="95"/>
        <w:contextualSpacing/>
        <w:rPr>
          <w:rFonts w:eastAsia="Aptos" w:cs="Arial"/>
        </w:rPr>
      </w:pPr>
      <w:r w:rsidRPr="00D0306F">
        <w:rPr>
          <w:rFonts w:eastAsia="Aptos" w:cs="Arial"/>
        </w:rPr>
        <w:t>12 pharmacies have an automated collection point allowing patients to collect their medicines at a time that is convenient for them.</w:t>
      </w:r>
    </w:p>
    <w:p w14:paraId="283F0D49" w14:textId="77777777" w:rsidR="00824B25" w:rsidRPr="00D0306F" w:rsidRDefault="00824B25" w:rsidP="00824B25">
      <w:pPr>
        <w:rPr>
          <w:rFonts w:eastAsia="Aptos" w:cs="Arial"/>
        </w:rPr>
      </w:pPr>
    </w:p>
    <w:p w14:paraId="15ED72F4" w14:textId="77777777" w:rsidR="00824B25" w:rsidRPr="00D0306F" w:rsidRDefault="00824B25" w:rsidP="00824B25">
      <w:pPr>
        <w:rPr>
          <w:rFonts w:eastAsia="Aptos" w:cs="Arial"/>
        </w:rPr>
      </w:pPr>
      <w:r w:rsidRPr="00D0306F">
        <w:rPr>
          <w:rFonts w:eastAsia="Aptos" w:cs="Arial"/>
        </w:rPr>
        <w:t>The responses to the questionnaire demonstrate that the pharmacies have a consultation room which is vital for the provision of an expanding range of clinical services. They also demonstrated that the majority of pharmacies have the capacity to manage an increase in demand for pharmaceutical services.</w:t>
      </w:r>
    </w:p>
    <w:p w14:paraId="515FAE6A" w14:textId="77777777" w:rsidR="00824B25" w:rsidRPr="00D0306F" w:rsidRDefault="00824B25" w:rsidP="00824B25">
      <w:pPr>
        <w:rPr>
          <w:rFonts w:eastAsia="Aptos" w:cs="Arial"/>
        </w:rPr>
      </w:pPr>
    </w:p>
    <w:p w14:paraId="5EB3060D" w14:textId="77777777" w:rsidR="00824B25" w:rsidRPr="00D0306F" w:rsidRDefault="00824B25" w:rsidP="00824B25">
      <w:pPr>
        <w:rPr>
          <w:rFonts w:eastAsia="Aptos" w:cs="Arial"/>
        </w:rPr>
      </w:pPr>
      <w:r w:rsidRPr="00D0306F">
        <w:rPr>
          <w:rFonts w:eastAsia="Aptos" w:cs="Arial"/>
        </w:rPr>
        <w:t>One dispensing GP Practice was invited to provide information via a questionnaire. Information on opening hours, pharmaceutical services and capacity was captured.</w:t>
      </w:r>
    </w:p>
    <w:p w14:paraId="14FC0FFE" w14:textId="77777777" w:rsidR="00824B25" w:rsidRPr="00D0306F" w:rsidRDefault="00824B25" w:rsidP="00824B25">
      <w:pPr>
        <w:rPr>
          <w:rFonts w:eastAsia="Aptos" w:cs="Arial"/>
        </w:rPr>
      </w:pPr>
    </w:p>
    <w:p w14:paraId="24FE5300" w14:textId="77777777" w:rsidR="00824B25" w:rsidRPr="00D0306F" w:rsidRDefault="00824B25" w:rsidP="00824B25">
      <w:pPr>
        <w:rPr>
          <w:rFonts w:eastAsia="Aptos" w:cs="Arial"/>
        </w:rPr>
      </w:pPr>
      <w:r w:rsidRPr="00D0306F">
        <w:rPr>
          <w:rFonts w:eastAsia="Aptos" w:cs="Arial"/>
        </w:rPr>
        <w:t xml:space="preserve">The number of patients that are dispensed to by the practice is fairly static due to the criteria set out in the regulations. As at December 2025, the number of patients registered as dispensing patients with the practice was 801. This equates to 0.2% of </w:t>
      </w:r>
      <w:r w:rsidRPr="00D0306F">
        <w:rPr>
          <w:rFonts w:eastAsia="Aptos" w:cs="Arial"/>
        </w:rPr>
        <w:lastRenderedPageBreak/>
        <w:t>the total number of patients registered with a GP practice in the health board’s area. It is not known how many residents are registered as dispensing patients with the GP practice that dispenses from premises in Bryn.</w:t>
      </w:r>
    </w:p>
    <w:p w14:paraId="4BC2E4AA" w14:textId="77777777" w:rsidR="00824B25" w:rsidRPr="00D0306F" w:rsidRDefault="00824B25" w:rsidP="00824B25">
      <w:pPr>
        <w:rPr>
          <w:rFonts w:eastAsia="Aptos" w:cs="Arial"/>
        </w:rPr>
      </w:pPr>
    </w:p>
    <w:p w14:paraId="0ECB3A68" w14:textId="77777777" w:rsidR="00824B25" w:rsidRPr="00D0306F" w:rsidRDefault="00824B25" w:rsidP="00824B25">
      <w:pPr>
        <w:rPr>
          <w:rFonts w:eastAsia="Aptos" w:cs="Arial"/>
        </w:rPr>
      </w:pPr>
      <w:r w:rsidRPr="00D0306F">
        <w:rPr>
          <w:rFonts w:eastAsia="Aptos" w:cs="Arial"/>
        </w:rPr>
        <w:t>The practice advised it has sufficient capacity in premises and staffing levels to manage the increase in demand in their area.</w:t>
      </w:r>
    </w:p>
    <w:p w14:paraId="258C69CC" w14:textId="77777777" w:rsidR="00824B25" w:rsidRPr="00D0306F" w:rsidRDefault="00824B25" w:rsidP="00824B25">
      <w:pPr>
        <w:rPr>
          <w:rFonts w:eastAsia="Aptos" w:cs="Arial"/>
        </w:rPr>
      </w:pPr>
    </w:p>
    <w:p w14:paraId="16C36B90" w14:textId="1D2ED558" w:rsidR="00824B25" w:rsidRPr="00D0306F" w:rsidRDefault="00824B25" w:rsidP="00824B25">
      <w:pPr>
        <w:rPr>
          <w:rFonts w:eastAsia="Aptos" w:cs="Arial"/>
        </w:rPr>
      </w:pPr>
      <w:r w:rsidRPr="00D0306F">
        <w:rPr>
          <w:rFonts w:eastAsia="Aptos" w:cs="Arial"/>
        </w:rPr>
        <w:t>In order to identify whether there are any gaps in the current or future provision of pharmaceutical services within the health board a set of criteria was developed to measure the number and location of pharmacies by locality, opening hours,</w:t>
      </w:r>
      <w:r w:rsidR="00B752FC">
        <w:rPr>
          <w:rFonts w:eastAsia="Aptos" w:cs="Arial"/>
        </w:rPr>
        <w:t xml:space="preserve"> </w:t>
      </w:r>
      <w:r w:rsidRPr="00D0306F">
        <w:rPr>
          <w:rFonts w:eastAsia="Aptos" w:cs="Arial"/>
        </w:rPr>
        <w:t>the availability of services, and travel time to a pharmacy.</w:t>
      </w:r>
    </w:p>
    <w:p w14:paraId="62022C7B" w14:textId="77777777" w:rsidR="00824B25" w:rsidRPr="00D0306F" w:rsidRDefault="00824B25" w:rsidP="00824B25">
      <w:pPr>
        <w:rPr>
          <w:rFonts w:eastAsia="Aptos" w:cs="Arial"/>
        </w:rPr>
      </w:pPr>
    </w:p>
    <w:p w14:paraId="08715B3B" w14:textId="77777777" w:rsidR="00824B25" w:rsidRPr="00D0306F" w:rsidRDefault="00824B25" w:rsidP="00824B25">
      <w:pPr>
        <w:numPr>
          <w:ilvl w:val="0"/>
          <w:numId w:val="7"/>
        </w:numPr>
        <w:contextualSpacing/>
        <w:rPr>
          <w:rFonts w:eastAsia="Aptos" w:cs="Arial"/>
        </w:rPr>
      </w:pPr>
      <w:r w:rsidRPr="00D0306F">
        <w:rPr>
          <w:rFonts w:eastAsia="Aptos" w:cs="Arial"/>
        </w:rPr>
        <w:t>Number of pharmacies open within normal working hours (Monday – Friday 9.00am – 5.30pm)</w:t>
      </w:r>
    </w:p>
    <w:p w14:paraId="7FC5932A" w14:textId="77777777" w:rsidR="00824B25" w:rsidRPr="00D0306F" w:rsidRDefault="00824B25" w:rsidP="00824B25">
      <w:pPr>
        <w:numPr>
          <w:ilvl w:val="0"/>
          <w:numId w:val="7"/>
        </w:numPr>
        <w:contextualSpacing/>
        <w:rPr>
          <w:rFonts w:eastAsia="Aptos" w:cs="Arial"/>
        </w:rPr>
      </w:pPr>
      <w:r w:rsidRPr="00D0306F">
        <w:rPr>
          <w:rFonts w:eastAsia="Aptos" w:cs="Arial"/>
        </w:rPr>
        <w:t>Number of pharmacies open outside normal working hours on weekdays</w:t>
      </w:r>
    </w:p>
    <w:p w14:paraId="59AB9CF4" w14:textId="77777777" w:rsidR="00824B25" w:rsidRPr="00D0306F" w:rsidRDefault="00824B25" w:rsidP="00824B25">
      <w:pPr>
        <w:numPr>
          <w:ilvl w:val="0"/>
          <w:numId w:val="7"/>
        </w:numPr>
        <w:contextualSpacing/>
        <w:rPr>
          <w:rFonts w:eastAsia="Aptos" w:cs="Arial"/>
        </w:rPr>
      </w:pPr>
      <w:r w:rsidRPr="00D0306F">
        <w:rPr>
          <w:rFonts w:eastAsia="Aptos" w:cs="Arial"/>
        </w:rPr>
        <w:t>Number of pharmacies open on weekends</w:t>
      </w:r>
    </w:p>
    <w:p w14:paraId="27B12FA8" w14:textId="77777777" w:rsidR="00824B25" w:rsidRPr="00D0306F" w:rsidRDefault="00824B25" w:rsidP="00824B25">
      <w:pPr>
        <w:numPr>
          <w:ilvl w:val="0"/>
          <w:numId w:val="7"/>
        </w:numPr>
        <w:contextualSpacing/>
        <w:rPr>
          <w:rFonts w:eastAsia="Aptos" w:cs="Arial"/>
        </w:rPr>
      </w:pPr>
      <w:r w:rsidRPr="00D0306F">
        <w:rPr>
          <w:rFonts w:eastAsia="Aptos" w:cs="Arial"/>
        </w:rPr>
        <w:t xml:space="preserve">Availability of national community pharmacy and appliance contractor service </w:t>
      </w:r>
    </w:p>
    <w:p w14:paraId="537E12E7" w14:textId="77777777" w:rsidR="00824B25" w:rsidRPr="00D0306F" w:rsidRDefault="00824B25" w:rsidP="00824B25">
      <w:pPr>
        <w:numPr>
          <w:ilvl w:val="0"/>
          <w:numId w:val="7"/>
        </w:numPr>
        <w:contextualSpacing/>
        <w:rPr>
          <w:rFonts w:eastAsia="Aptos" w:cs="Arial"/>
        </w:rPr>
      </w:pPr>
      <w:r w:rsidRPr="00D0306F">
        <w:rPr>
          <w:rFonts w:eastAsia="Aptos" w:cs="Arial"/>
        </w:rPr>
        <w:t xml:space="preserve">Availability of additional clinical services </w:t>
      </w:r>
    </w:p>
    <w:p w14:paraId="26A7FDB6" w14:textId="77777777" w:rsidR="00824B25" w:rsidRPr="00D0306F" w:rsidRDefault="00824B25" w:rsidP="00824B25">
      <w:pPr>
        <w:numPr>
          <w:ilvl w:val="0"/>
          <w:numId w:val="7"/>
        </w:numPr>
        <w:contextualSpacing/>
        <w:rPr>
          <w:rFonts w:eastAsia="Aptos" w:cs="Arial"/>
        </w:rPr>
      </w:pPr>
      <w:r w:rsidRPr="00D0306F">
        <w:rPr>
          <w:rFonts w:eastAsia="Aptos" w:cs="Arial"/>
        </w:rPr>
        <w:t>Location and travel time to pharmacies and dispensing doctor premises.</w:t>
      </w:r>
    </w:p>
    <w:p w14:paraId="15BD0823" w14:textId="77777777" w:rsidR="00824B25" w:rsidRPr="00D0306F" w:rsidRDefault="00824B25" w:rsidP="00824B25">
      <w:pPr>
        <w:rPr>
          <w:rFonts w:eastAsia="Aptos" w:cs="Arial"/>
        </w:rPr>
      </w:pPr>
    </w:p>
    <w:p w14:paraId="0FEDD21A" w14:textId="77777777" w:rsidR="00824B25" w:rsidRPr="00D0306F" w:rsidRDefault="00824B25" w:rsidP="00824B25">
      <w:pPr>
        <w:rPr>
          <w:rFonts w:eastAsia="Aptos" w:cs="Arial"/>
          <w:lang w:eastAsia="en-GB"/>
        </w:rPr>
      </w:pPr>
      <w:r w:rsidRPr="00D0306F">
        <w:rPr>
          <w:rFonts w:eastAsia="Aptos" w:cs="Arial"/>
          <w:lang w:eastAsia="en-GB"/>
        </w:rPr>
        <w:t>The localities that have been used for the pharmaceutical needs assessment match the boundaries of the eight primary care clusters within the health board, namely:</w:t>
      </w:r>
    </w:p>
    <w:p w14:paraId="4E0B9860" w14:textId="77777777" w:rsidR="00824B25" w:rsidRPr="00D0306F" w:rsidRDefault="00824B25" w:rsidP="00824B25">
      <w:pPr>
        <w:rPr>
          <w:rFonts w:eastAsia="Aptos" w:cs="Arial"/>
          <w:lang w:eastAsia="en-GB"/>
        </w:rPr>
      </w:pPr>
    </w:p>
    <w:p w14:paraId="3679F0A9" w14:textId="77777777" w:rsidR="00824B25" w:rsidRPr="00D0306F" w:rsidRDefault="00824B25" w:rsidP="00824B25">
      <w:pPr>
        <w:numPr>
          <w:ilvl w:val="0"/>
          <w:numId w:val="8"/>
        </w:numPr>
        <w:rPr>
          <w:rFonts w:eastAsia="Aptos" w:cs="Arial"/>
          <w:lang w:eastAsia="en-GB"/>
        </w:rPr>
      </w:pPr>
      <w:r w:rsidRPr="00D0306F">
        <w:rPr>
          <w:rFonts w:eastAsia="Aptos" w:cs="Arial"/>
          <w:lang w:eastAsia="en-GB"/>
        </w:rPr>
        <w:t>Afan</w:t>
      </w:r>
    </w:p>
    <w:p w14:paraId="7F124BD9" w14:textId="77777777" w:rsidR="00824B25" w:rsidRPr="00D0306F" w:rsidRDefault="00824B25" w:rsidP="00824B25">
      <w:pPr>
        <w:numPr>
          <w:ilvl w:val="0"/>
          <w:numId w:val="8"/>
        </w:numPr>
        <w:rPr>
          <w:rFonts w:eastAsia="Aptos" w:cs="Arial"/>
          <w:lang w:eastAsia="en-GB"/>
        </w:rPr>
      </w:pPr>
      <w:r w:rsidRPr="00D0306F">
        <w:rPr>
          <w:rFonts w:eastAsia="Aptos" w:cs="Arial"/>
          <w:lang w:eastAsia="en-GB"/>
        </w:rPr>
        <w:t>Neath</w:t>
      </w:r>
    </w:p>
    <w:p w14:paraId="7BF4B678" w14:textId="77777777" w:rsidR="00824B25" w:rsidRPr="00D0306F" w:rsidRDefault="00824B25" w:rsidP="00824B25">
      <w:pPr>
        <w:numPr>
          <w:ilvl w:val="0"/>
          <w:numId w:val="8"/>
        </w:numPr>
        <w:rPr>
          <w:rFonts w:eastAsia="Aptos" w:cs="Arial"/>
          <w:lang w:eastAsia="en-GB"/>
        </w:rPr>
      </w:pPr>
      <w:r w:rsidRPr="00D0306F">
        <w:rPr>
          <w:rFonts w:eastAsia="Aptos" w:cs="Arial"/>
          <w:lang w:eastAsia="en-GB"/>
        </w:rPr>
        <w:t>Upper Valley</w:t>
      </w:r>
    </w:p>
    <w:p w14:paraId="7609167F" w14:textId="77777777" w:rsidR="00824B25" w:rsidRPr="00D0306F" w:rsidRDefault="00824B25" w:rsidP="00824B25">
      <w:pPr>
        <w:numPr>
          <w:ilvl w:val="0"/>
          <w:numId w:val="8"/>
        </w:numPr>
        <w:rPr>
          <w:rFonts w:eastAsia="Aptos" w:cs="Arial"/>
          <w:lang w:eastAsia="en-GB"/>
        </w:rPr>
      </w:pPr>
      <w:r w:rsidRPr="00D0306F">
        <w:rPr>
          <w:rFonts w:eastAsia="Aptos" w:cs="Arial"/>
          <w:lang w:eastAsia="en-GB"/>
        </w:rPr>
        <w:t>Cwmtawe</w:t>
      </w:r>
    </w:p>
    <w:p w14:paraId="55B0FE8C" w14:textId="77777777" w:rsidR="00824B25" w:rsidRPr="00D0306F" w:rsidRDefault="00824B25" w:rsidP="00824B25">
      <w:pPr>
        <w:numPr>
          <w:ilvl w:val="0"/>
          <w:numId w:val="8"/>
        </w:numPr>
        <w:rPr>
          <w:rFonts w:eastAsia="Aptos" w:cs="Arial"/>
          <w:lang w:eastAsia="en-GB"/>
        </w:rPr>
      </w:pPr>
      <w:r w:rsidRPr="00D0306F">
        <w:rPr>
          <w:rFonts w:eastAsia="Aptos" w:cs="Arial"/>
          <w:lang w:eastAsia="en-GB"/>
        </w:rPr>
        <w:t>Penderi</w:t>
      </w:r>
    </w:p>
    <w:p w14:paraId="022216CE" w14:textId="77777777" w:rsidR="00824B25" w:rsidRPr="00D0306F" w:rsidRDefault="00824B25" w:rsidP="00824B25">
      <w:pPr>
        <w:numPr>
          <w:ilvl w:val="0"/>
          <w:numId w:val="8"/>
        </w:numPr>
        <w:rPr>
          <w:rFonts w:eastAsia="Aptos" w:cs="Arial"/>
          <w:lang w:eastAsia="en-GB"/>
        </w:rPr>
      </w:pPr>
      <w:r w:rsidRPr="00D0306F">
        <w:rPr>
          <w:rFonts w:eastAsia="Aptos" w:cs="Arial"/>
          <w:lang w:eastAsia="en-GB"/>
        </w:rPr>
        <w:t>City</w:t>
      </w:r>
    </w:p>
    <w:p w14:paraId="70D19D6C" w14:textId="77777777" w:rsidR="00824B25" w:rsidRPr="00D0306F" w:rsidRDefault="00824B25" w:rsidP="00824B25">
      <w:pPr>
        <w:numPr>
          <w:ilvl w:val="0"/>
          <w:numId w:val="8"/>
        </w:numPr>
        <w:rPr>
          <w:rFonts w:eastAsia="Aptos" w:cs="Arial"/>
          <w:lang w:eastAsia="en-GB"/>
        </w:rPr>
      </w:pPr>
      <w:r w:rsidRPr="00D0306F">
        <w:rPr>
          <w:rFonts w:eastAsia="Aptos" w:cs="Arial"/>
          <w:lang w:eastAsia="en-GB"/>
        </w:rPr>
        <w:t>Bay</w:t>
      </w:r>
    </w:p>
    <w:p w14:paraId="3990D8F2" w14:textId="429F1449" w:rsidR="00824B25" w:rsidRPr="00D0306F" w:rsidRDefault="00824B25" w:rsidP="00114B73">
      <w:pPr>
        <w:numPr>
          <w:ilvl w:val="0"/>
          <w:numId w:val="8"/>
        </w:numPr>
        <w:contextualSpacing/>
        <w:rPr>
          <w:rFonts w:eastAsia="Aptos" w:cs="Arial"/>
        </w:rPr>
      </w:pPr>
      <w:r w:rsidRPr="00D0306F">
        <w:rPr>
          <w:rFonts w:eastAsia="Aptos" w:cs="Arial"/>
          <w:lang w:eastAsia="en-GB"/>
        </w:rPr>
        <w:t>Llwchwr</w:t>
      </w:r>
    </w:p>
    <w:p w14:paraId="2973B96E" w14:textId="77777777" w:rsidR="00824B25" w:rsidRPr="00D0306F" w:rsidRDefault="00824B25" w:rsidP="00824B25">
      <w:pPr>
        <w:contextualSpacing/>
        <w:rPr>
          <w:rFonts w:eastAsia="Aptos" w:cs="Arial"/>
        </w:rPr>
      </w:pPr>
    </w:p>
    <w:p w14:paraId="04DF8606" w14:textId="77777777" w:rsidR="00824B25" w:rsidRPr="00D0306F" w:rsidRDefault="00824B25" w:rsidP="00824B25">
      <w:pPr>
        <w:rPr>
          <w:rFonts w:eastAsia="Aptos" w:cs="Arial"/>
        </w:rPr>
      </w:pPr>
      <w:r w:rsidRPr="00D0306F">
        <w:rPr>
          <w:rFonts w:eastAsia="Aptos" w:cs="Arial"/>
        </w:rPr>
        <w:t>Health planning is done on a cluster basis with each cluster producing a three-yearly integrated medium term plan which is reviewed annually. The integrated medium term plan includes population needs assessments and an asset profile for each cluster; these help to plan services on a population needs basis. They are therefore a natural footprint for the localities within this pharmaceutical needs assessment.</w:t>
      </w:r>
    </w:p>
    <w:p w14:paraId="0E2539F2" w14:textId="77777777" w:rsidR="00824B25" w:rsidRPr="00D0306F" w:rsidRDefault="00824B25" w:rsidP="00824B25">
      <w:pPr>
        <w:rPr>
          <w:rFonts w:eastAsia="Aptos" w:cs="Arial"/>
        </w:rPr>
      </w:pPr>
    </w:p>
    <w:p w14:paraId="452CC15F" w14:textId="77777777" w:rsidR="00824B25" w:rsidRPr="00D0306F" w:rsidRDefault="00824B25" w:rsidP="00824B25">
      <w:pPr>
        <w:rPr>
          <w:rFonts w:eastAsia="Aptos" w:cs="Arial"/>
        </w:rPr>
      </w:pPr>
      <w:r w:rsidRPr="00D0306F">
        <w:rPr>
          <w:rFonts w:eastAsia="Aptos" w:cs="Arial"/>
        </w:rPr>
        <w:t>The current and future need for pharmaceutical services in each of the eight localities within Swansea Bay University Health Board were considered against the above criteria.</w:t>
      </w:r>
    </w:p>
    <w:p w14:paraId="610325C9" w14:textId="77777777" w:rsidR="00824B25" w:rsidRPr="00D0306F" w:rsidRDefault="00824B25" w:rsidP="00824B25">
      <w:pPr>
        <w:rPr>
          <w:rFonts w:eastAsia="Aptos" w:cs="Arial"/>
        </w:rPr>
      </w:pPr>
    </w:p>
    <w:p w14:paraId="50CD8CC6" w14:textId="77777777" w:rsidR="00824B25" w:rsidRPr="00D0306F" w:rsidRDefault="00824B25" w:rsidP="00824B25">
      <w:pPr>
        <w:rPr>
          <w:rFonts w:eastAsia="Aptos" w:cs="Arial"/>
          <w:b/>
          <w:bCs/>
        </w:rPr>
      </w:pPr>
      <w:r w:rsidRPr="00D0306F">
        <w:rPr>
          <w:rFonts w:eastAsia="Aptos" w:cs="Arial"/>
          <w:b/>
          <w:bCs/>
        </w:rPr>
        <w:t>Conclusions</w:t>
      </w:r>
    </w:p>
    <w:p w14:paraId="789E7253" w14:textId="77777777" w:rsidR="00824B25" w:rsidRPr="00D0306F" w:rsidRDefault="00824B25" w:rsidP="00824B25">
      <w:pPr>
        <w:rPr>
          <w:rFonts w:eastAsia="Aptos" w:cs="Arial"/>
        </w:rPr>
      </w:pPr>
    </w:p>
    <w:p w14:paraId="7194D7A8" w14:textId="77777777" w:rsidR="00824B25" w:rsidRPr="00D0306F" w:rsidRDefault="00824B25" w:rsidP="00824B25">
      <w:pPr>
        <w:rPr>
          <w:rFonts w:eastAsia="Aptos" w:cs="Arial"/>
        </w:rPr>
      </w:pPr>
      <w:r w:rsidRPr="00D0306F">
        <w:rPr>
          <w:rFonts w:eastAsia="Aptos" w:cs="Arial"/>
        </w:rPr>
        <w:t>The full document provides information regarding the regulatory framework for pharmaceutical services and current provision in the health board area. As well as the demographic characteristics of the population and their health needs, the views gathered from the public on existing services and information provided by pharmacy contractors and dispensing GP practices.</w:t>
      </w:r>
    </w:p>
    <w:p w14:paraId="76222B75" w14:textId="77777777" w:rsidR="00824B25" w:rsidRPr="00D0306F" w:rsidRDefault="00824B25" w:rsidP="00824B25">
      <w:pPr>
        <w:rPr>
          <w:rFonts w:eastAsia="Aptos" w:cs="Arial"/>
        </w:rPr>
      </w:pPr>
    </w:p>
    <w:p w14:paraId="17EA2935" w14:textId="77777777" w:rsidR="00824B25" w:rsidRPr="00D0306F" w:rsidRDefault="00824B25" w:rsidP="00824B25">
      <w:pPr>
        <w:rPr>
          <w:rFonts w:eastAsia="Aptos" w:cs="Arial"/>
        </w:rPr>
      </w:pPr>
      <w:r w:rsidRPr="00D0306F">
        <w:rPr>
          <w:rFonts w:eastAsia="Aptos" w:cs="Arial"/>
        </w:rPr>
        <w:t>The data from these sources and the criteria set out to measure gaps in service, were used to consider whether current pharmaceutical service provision meets the needs of Swansea Bay University Health Board residents. In addition, this pharmaceutical needs assessment has considered any predicted population changes during its five-year lifespan and whether any gaps in future provision of pharmaceutical services are identified.</w:t>
      </w:r>
    </w:p>
    <w:p w14:paraId="0D3B99EB" w14:textId="77777777" w:rsidR="00824B25" w:rsidRPr="00D0306F" w:rsidRDefault="00824B25" w:rsidP="00824B25">
      <w:pPr>
        <w:rPr>
          <w:rFonts w:eastAsia="Aptos" w:cs="Arial"/>
        </w:rPr>
      </w:pPr>
    </w:p>
    <w:p w14:paraId="428C80AC" w14:textId="77777777" w:rsidR="00824B25" w:rsidRPr="00D0306F" w:rsidRDefault="00824B25" w:rsidP="00824B25">
      <w:pPr>
        <w:rPr>
          <w:rFonts w:eastAsia="Aptos" w:cs="Arial"/>
        </w:rPr>
      </w:pPr>
      <w:r w:rsidRPr="00D0306F">
        <w:rPr>
          <w:rFonts w:eastAsia="Aptos" w:cs="Arial"/>
        </w:rPr>
        <w:t>A summary of the conclusions is set out below.</w:t>
      </w:r>
    </w:p>
    <w:p w14:paraId="23311815" w14:textId="77777777" w:rsidR="00824B25" w:rsidRPr="00D0306F" w:rsidRDefault="00824B25" w:rsidP="00824B25">
      <w:pPr>
        <w:rPr>
          <w:rFonts w:eastAsia="Aptos" w:cs="Arial"/>
        </w:rPr>
      </w:pPr>
    </w:p>
    <w:p w14:paraId="2D75B00D" w14:textId="77777777" w:rsidR="00824B25" w:rsidRPr="00D0306F" w:rsidRDefault="00824B25" w:rsidP="00824B25">
      <w:pPr>
        <w:numPr>
          <w:ilvl w:val="0"/>
          <w:numId w:val="9"/>
        </w:numPr>
        <w:contextualSpacing/>
        <w:rPr>
          <w:rFonts w:eastAsia="Aptos" w:cs="Arial"/>
        </w:rPr>
      </w:pPr>
      <w:r w:rsidRPr="00D0306F">
        <w:rPr>
          <w:rFonts w:eastAsia="Aptos" w:cs="Arial"/>
        </w:rPr>
        <w:t>Access to essential services for residents of Swansea Bay University Health Board is good, and no gaps in the current provision of these services have been identified.</w:t>
      </w:r>
    </w:p>
    <w:p w14:paraId="16EFB512" w14:textId="77777777" w:rsidR="00824B25" w:rsidRPr="00D0306F" w:rsidRDefault="00824B25" w:rsidP="00824B25">
      <w:pPr>
        <w:numPr>
          <w:ilvl w:val="0"/>
          <w:numId w:val="9"/>
        </w:numPr>
        <w:contextualSpacing/>
        <w:rPr>
          <w:rFonts w:eastAsia="Aptos" w:cs="Arial"/>
        </w:rPr>
      </w:pPr>
      <w:r w:rsidRPr="00D0306F">
        <w:rPr>
          <w:rFonts w:eastAsia="Aptos" w:cs="Arial"/>
        </w:rPr>
        <w:t xml:space="preserve">Access to </w:t>
      </w:r>
      <w:r w:rsidRPr="00D0306F">
        <w:rPr>
          <w:rFonts w:eastAsia="Aptos" w:cs="Arial"/>
          <w:bCs/>
        </w:rPr>
        <w:t>national community pharmacy and appliance contractor</w:t>
      </w:r>
      <w:r w:rsidRPr="00D0306F">
        <w:rPr>
          <w:rFonts w:eastAsia="Aptos" w:cs="Arial"/>
          <w:b/>
        </w:rPr>
        <w:t xml:space="preserve"> </w:t>
      </w:r>
      <w:r w:rsidRPr="00D0306F">
        <w:rPr>
          <w:rFonts w:eastAsia="Aptos" w:cs="Arial"/>
        </w:rPr>
        <w:t>services is good, and no gaps in the current provision of these services have been identified.</w:t>
      </w:r>
    </w:p>
    <w:p w14:paraId="05023EEC" w14:textId="77777777" w:rsidR="00824B25" w:rsidRPr="00D0306F" w:rsidRDefault="00824B25" w:rsidP="00824B25">
      <w:pPr>
        <w:numPr>
          <w:ilvl w:val="0"/>
          <w:numId w:val="9"/>
        </w:numPr>
        <w:contextualSpacing/>
        <w:rPr>
          <w:rFonts w:eastAsia="Aptos" w:cs="Arial"/>
        </w:rPr>
      </w:pPr>
      <w:r w:rsidRPr="00D0306F">
        <w:rPr>
          <w:rFonts w:eastAsia="Aptos" w:cs="Arial"/>
        </w:rPr>
        <w:t>Access to additional clinical services is good overall, and no gaps in the current provision of these services have been identified.</w:t>
      </w:r>
    </w:p>
    <w:p w14:paraId="42348CDF" w14:textId="77777777" w:rsidR="00824B25" w:rsidRPr="00D0306F" w:rsidRDefault="00824B25" w:rsidP="00824B25">
      <w:pPr>
        <w:numPr>
          <w:ilvl w:val="0"/>
          <w:numId w:val="9"/>
        </w:numPr>
        <w:contextualSpacing/>
        <w:rPr>
          <w:rFonts w:eastAsia="Aptos" w:cs="Arial"/>
        </w:rPr>
      </w:pPr>
      <w:r w:rsidRPr="00D0306F">
        <w:rPr>
          <w:rFonts w:eastAsia="Aptos" w:cs="Arial"/>
        </w:rPr>
        <w:t>No gaps have been identified in relation to the provision of the GP dispensing service.</w:t>
      </w:r>
    </w:p>
    <w:p w14:paraId="750D1622" w14:textId="77777777" w:rsidR="00824B25" w:rsidRPr="00D0306F" w:rsidRDefault="00824B25" w:rsidP="00824B25">
      <w:pPr>
        <w:rPr>
          <w:rFonts w:eastAsia="Aptos" w:cs="Arial"/>
        </w:rPr>
      </w:pPr>
    </w:p>
    <w:p w14:paraId="12170F5D" w14:textId="77777777" w:rsidR="00824B25" w:rsidRPr="00D0306F" w:rsidRDefault="00824B25" w:rsidP="00824B25">
      <w:pPr>
        <w:rPr>
          <w:rFonts w:eastAsia="Aptos" w:cs="Arial"/>
          <w:b/>
          <w:bCs/>
        </w:rPr>
      </w:pPr>
      <w:r w:rsidRPr="00D0306F">
        <w:rPr>
          <w:rFonts w:eastAsia="Aptos" w:cs="Arial"/>
        </w:rPr>
        <w:t>The pharmaceutical needs assessment also looks at potential changes during the lifetime of the document. These include projected population growth and housing developments. Given the projected population demographics, housing projects and the distribution of pharmaceutical services across Swansea and Neath Port Talbot Local Authorities, the health board has concluded that the current provision of pharmaceutical services is sufficient to meet the future needs of residents during the five-year lifetime of this document.</w:t>
      </w:r>
    </w:p>
    <w:p w14:paraId="19B523C0" w14:textId="77777777" w:rsidR="00824B25" w:rsidRPr="00D0306F" w:rsidRDefault="00824B25" w:rsidP="00824B25">
      <w:pPr>
        <w:rPr>
          <w:rFonts w:eastAsia="Aptos" w:cs="Arial"/>
          <w:b/>
          <w:bCs/>
        </w:rPr>
      </w:pPr>
    </w:p>
    <w:p w14:paraId="552942BB" w14:textId="77777777" w:rsidR="00824B25" w:rsidRPr="00D0306F" w:rsidRDefault="00824B25" w:rsidP="00824B25">
      <w:pPr>
        <w:rPr>
          <w:rFonts w:eastAsia="Aptos" w:cs="Arial"/>
          <w:b/>
          <w:bCs/>
        </w:rPr>
      </w:pPr>
      <w:r w:rsidRPr="00D0306F">
        <w:rPr>
          <w:rFonts w:eastAsia="Aptos" w:cs="Arial"/>
          <w:b/>
          <w:bCs/>
        </w:rPr>
        <w:t>Next steps</w:t>
      </w:r>
    </w:p>
    <w:p w14:paraId="2AF1F2CD" w14:textId="77777777" w:rsidR="00824B25" w:rsidRPr="00D0306F" w:rsidRDefault="00824B25" w:rsidP="00824B25">
      <w:pPr>
        <w:rPr>
          <w:rFonts w:eastAsia="Aptos" w:cs="Arial"/>
        </w:rPr>
      </w:pPr>
    </w:p>
    <w:p w14:paraId="1EFC6769" w14:textId="77777777" w:rsidR="00824B25" w:rsidRPr="00D0306F" w:rsidRDefault="00824B25" w:rsidP="00824B25">
      <w:pPr>
        <w:rPr>
          <w:rFonts w:eastAsia="Aptos" w:cs="Arial"/>
        </w:rPr>
      </w:pPr>
      <w:r w:rsidRPr="00D0306F">
        <w:rPr>
          <w:rFonts w:eastAsia="Aptos" w:cs="Arial"/>
        </w:rPr>
        <w:t>The pharmaceutical needs assessment will be in effect for a period of five years from 1 October 2026. It may be reviewed within the five years if there are sufficient changes to the need for pharmaceutical services which would necessitate an earlier review.</w:t>
      </w:r>
    </w:p>
    <w:p w14:paraId="5417DED1" w14:textId="77777777" w:rsidR="00824B25" w:rsidRPr="00D0306F" w:rsidRDefault="00824B25" w:rsidP="00824B25">
      <w:pPr>
        <w:rPr>
          <w:rFonts w:eastAsia="Aptos" w:cs="Arial"/>
        </w:rPr>
      </w:pPr>
    </w:p>
    <w:p w14:paraId="32CBD031" w14:textId="77777777" w:rsidR="00824B25" w:rsidRPr="00D0306F" w:rsidRDefault="00824B25" w:rsidP="00824B25">
      <w:pPr>
        <w:rPr>
          <w:rFonts w:eastAsia="Aptos" w:cs="Arial"/>
        </w:rPr>
      </w:pPr>
      <w:r w:rsidRPr="00D0306F">
        <w:rPr>
          <w:rFonts w:eastAsia="Aptos" w:cs="Arial"/>
        </w:rPr>
        <w:t>The pharmaceutical needs assessment will inform decisions to be made by the health board on applications for new pharmacy or dispensing appliance contractor premises. It will also inform the commissioning of additional clinical services from pharmacies and any applications to vary core opening hours.</w:t>
      </w:r>
    </w:p>
    <w:p w14:paraId="4FFEC097" w14:textId="77777777" w:rsidR="00824B25" w:rsidRPr="00D0306F" w:rsidRDefault="00824B25" w:rsidP="00824B25">
      <w:pPr>
        <w:rPr>
          <w:rFonts w:eastAsia="Aptos" w:cs="Arial"/>
        </w:rPr>
      </w:pPr>
    </w:p>
    <w:p w14:paraId="7B2F440F" w14:textId="77777777" w:rsidR="00824B25" w:rsidRPr="00D0306F" w:rsidRDefault="00824B25" w:rsidP="00824B25">
      <w:pPr>
        <w:rPr>
          <w:rFonts w:eastAsia="Aptos" w:cs="Arial"/>
        </w:rPr>
      </w:pPr>
      <w:r w:rsidRPr="00D0306F">
        <w:rPr>
          <w:rFonts w:eastAsia="Aptos" w:cs="Arial"/>
        </w:rPr>
        <w:t>Pharmacies and the dispensing practices are valuable community assets that support local populations with medication needs. In addition, pharmacies can also support a wider range of health needs. They offer easy access to residents and should be developed to support routine health needs such as self-care, chronic conditions management and treating minor ailments.</w:t>
      </w:r>
    </w:p>
    <w:p w14:paraId="60382E4A" w14:textId="65F18F86" w:rsidR="00824B25" w:rsidRPr="00D0306F" w:rsidRDefault="00824B25">
      <w:pPr>
        <w:spacing w:after="160" w:line="278" w:lineRule="auto"/>
        <w:rPr>
          <w:rFonts w:cs="Arial"/>
        </w:rPr>
      </w:pPr>
      <w:r w:rsidRPr="00D0306F">
        <w:rPr>
          <w:rFonts w:cs="Arial"/>
        </w:rPr>
        <w:br w:type="page"/>
      </w:r>
    </w:p>
    <w:p w14:paraId="511EE468" w14:textId="77777777" w:rsidR="00824B25" w:rsidRPr="00D0306F" w:rsidRDefault="00824B25" w:rsidP="00824B25">
      <w:pPr>
        <w:pStyle w:val="Heading1"/>
        <w:rPr>
          <w:rFonts w:eastAsia="Aptos"/>
          <w:sz w:val="28"/>
          <w:szCs w:val="28"/>
          <w:lang w:val="en-US"/>
        </w:rPr>
      </w:pPr>
      <w:bookmarkStart w:id="2" w:name="_Toc64971994"/>
      <w:bookmarkStart w:id="3" w:name="_Toc230764392"/>
      <w:bookmarkStart w:id="4" w:name="_Toc235185372"/>
      <w:r w:rsidRPr="00D0306F">
        <w:rPr>
          <w:rFonts w:eastAsia="Aptos"/>
          <w:sz w:val="28"/>
          <w:szCs w:val="28"/>
          <w:lang w:val="en-US"/>
        </w:rPr>
        <w:lastRenderedPageBreak/>
        <w:t>1 Introduction</w:t>
      </w:r>
      <w:bookmarkEnd w:id="2"/>
      <w:bookmarkEnd w:id="3"/>
      <w:bookmarkEnd w:id="4"/>
    </w:p>
    <w:p w14:paraId="292D5155" w14:textId="77777777" w:rsidR="00824B25" w:rsidRPr="00D0306F" w:rsidRDefault="00824B25" w:rsidP="00824B25">
      <w:pPr>
        <w:rPr>
          <w:rFonts w:eastAsia="Aptos" w:cs="Arial"/>
          <w:szCs w:val="22"/>
          <w:lang w:val="en-US" w:eastAsia="en-GB"/>
        </w:rPr>
      </w:pPr>
    </w:p>
    <w:p w14:paraId="4A9604C4" w14:textId="77777777" w:rsidR="00824B25" w:rsidRPr="00D0306F" w:rsidRDefault="00824B25" w:rsidP="00824B25">
      <w:pPr>
        <w:rPr>
          <w:rFonts w:eastAsia="Aptos" w:cs="Arial"/>
          <w:b/>
          <w:sz w:val="26"/>
          <w:szCs w:val="22"/>
          <w:lang w:val="en-US" w:eastAsia="en-GB"/>
        </w:rPr>
      </w:pPr>
      <w:r w:rsidRPr="00D0306F">
        <w:rPr>
          <w:rFonts w:eastAsia="Aptos" w:cs="Arial"/>
          <w:b/>
          <w:sz w:val="26"/>
          <w:szCs w:val="22"/>
          <w:lang w:val="en-US" w:eastAsia="en-GB"/>
        </w:rPr>
        <w:t xml:space="preserve">1.1 Purpose of a pharmaceutical needs assessment </w:t>
      </w:r>
    </w:p>
    <w:p w14:paraId="7841B9B4" w14:textId="77777777" w:rsidR="00824B25" w:rsidRPr="00D0306F" w:rsidRDefault="00824B25" w:rsidP="00824B25">
      <w:pPr>
        <w:rPr>
          <w:rFonts w:eastAsia="Aptos" w:cs="Arial"/>
          <w:szCs w:val="22"/>
          <w:lang w:eastAsia="en-GB"/>
        </w:rPr>
      </w:pPr>
    </w:p>
    <w:p w14:paraId="0C7E1AD1" w14:textId="77777777" w:rsidR="00824B25" w:rsidRPr="00D0306F" w:rsidRDefault="00824B25" w:rsidP="00824B25">
      <w:pPr>
        <w:rPr>
          <w:rFonts w:eastAsia="Aptos" w:cs="Arial"/>
          <w:szCs w:val="22"/>
          <w:lang w:eastAsia="en-GB"/>
        </w:rPr>
      </w:pPr>
      <w:r w:rsidRPr="00D0306F">
        <w:rPr>
          <w:rFonts w:eastAsia="Aptos" w:cs="Arial"/>
          <w:szCs w:val="22"/>
          <w:lang w:eastAsia="en-GB"/>
        </w:rPr>
        <w:t>The purpose of the pharmaceutical needs assessment (PNA) is to assess and set out how the provision of pharmaceutical services can meet the health needs of the population of a health board’s area for a period of up to five years. Linking closely with the health board’s population needs assessment 2022-2027. Whilst the population assessment focusses on the general health needs of the population of the health board’s area, the pharmaceutical needs assessment looks at how those health needs can be met by pharmaceutical services commissioned by the health board.</w:t>
      </w:r>
    </w:p>
    <w:p w14:paraId="5CD7711B" w14:textId="77777777" w:rsidR="00824B25" w:rsidRPr="00D0306F" w:rsidRDefault="00824B25" w:rsidP="00824B25">
      <w:pPr>
        <w:rPr>
          <w:rFonts w:eastAsia="Aptos" w:cs="Arial"/>
          <w:szCs w:val="22"/>
          <w:lang w:eastAsia="en-GB"/>
        </w:rPr>
      </w:pPr>
    </w:p>
    <w:p w14:paraId="501B06F4" w14:textId="77777777" w:rsidR="00824B25" w:rsidRPr="00D0306F" w:rsidRDefault="00824B25" w:rsidP="00824B25">
      <w:pPr>
        <w:rPr>
          <w:rFonts w:eastAsia="Aptos" w:cs="Arial"/>
          <w:szCs w:val="22"/>
          <w:lang w:eastAsia="en-GB"/>
        </w:rPr>
      </w:pPr>
      <w:r w:rsidRPr="00D0306F">
        <w:rPr>
          <w:rFonts w:eastAsia="Aptos" w:cs="Arial"/>
          <w:szCs w:val="22"/>
          <w:lang w:eastAsia="en-GB"/>
        </w:rPr>
        <w:t>If a person (a pharmacy or a dispensing appliance contractor) wants to provide pharmaceutical services, they are required to apply to the health board, in whose area the premises are to be located, to be included in its pharmaceutical list. In general, their application must offer to meet a need that is set out in that health board’s pharmaceutical needs assessment. There are however two exceptions to this; change of ownership applications and relocation for business purposes.</w:t>
      </w:r>
    </w:p>
    <w:p w14:paraId="37E698EE" w14:textId="77777777" w:rsidR="00824B25" w:rsidRPr="00D0306F" w:rsidRDefault="00824B25" w:rsidP="00824B25">
      <w:pPr>
        <w:rPr>
          <w:rFonts w:eastAsia="Aptos" w:cs="Arial"/>
          <w:szCs w:val="22"/>
          <w:lang w:eastAsia="en-GB"/>
        </w:rPr>
      </w:pPr>
    </w:p>
    <w:p w14:paraId="2485B795" w14:textId="77777777" w:rsidR="00824B25" w:rsidRPr="00D0306F" w:rsidRDefault="00824B25" w:rsidP="00824B25">
      <w:pPr>
        <w:rPr>
          <w:rFonts w:eastAsia="Aptos" w:cs="Arial"/>
          <w:szCs w:val="22"/>
          <w:lang w:eastAsia="en-GB"/>
        </w:rPr>
      </w:pPr>
      <w:r w:rsidRPr="00D0306F">
        <w:rPr>
          <w:rFonts w:eastAsia="Aptos" w:cs="Arial"/>
          <w:szCs w:val="22"/>
          <w:lang w:eastAsia="en-GB"/>
        </w:rPr>
        <w:t>If a GP wishes to dispense to a new area or from new or additional premises, they are also required to apply to the health board to be included in its dispensing doctor list, or for a new area or new or additional premises to be listed in relation to them. In general, their application must also offer to meet a need that is set out in that health board’s pharmaceutical needs assessment.</w:t>
      </w:r>
    </w:p>
    <w:p w14:paraId="38E08FCB" w14:textId="77777777" w:rsidR="00824B25" w:rsidRPr="00D0306F" w:rsidRDefault="00824B25" w:rsidP="00824B25">
      <w:pPr>
        <w:rPr>
          <w:rFonts w:eastAsia="Aptos" w:cs="Arial"/>
          <w:szCs w:val="22"/>
          <w:lang w:eastAsia="en-GB"/>
        </w:rPr>
      </w:pPr>
    </w:p>
    <w:p w14:paraId="19F92F39" w14:textId="77777777" w:rsidR="00824B25" w:rsidRPr="00D0306F" w:rsidRDefault="00824B25" w:rsidP="00824B25">
      <w:pPr>
        <w:rPr>
          <w:rFonts w:eastAsia="Aptos" w:cs="Arial"/>
          <w:szCs w:val="22"/>
          <w:lang w:eastAsia="en-GB"/>
        </w:rPr>
      </w:pPr>
      <w:r w:rsidRPr="00D0306F">
        <w:rPr>
          <w:rFonts w:eastAsia="Aptos" w:cs="Arial"/>
          <w:szCs w:val="22"/>
          <w:lang w:eastAsia="en-GB"/>
        </w:rPr>
        <w:t>As well as identifying if there is a need for additional premises, the pharmaceutical needs assessment will also identify whether there is a need for an additional service or services. Identified needs could either be current or will arise within the five-year lifetime of the pharmaceutical needs assessment.</w:t>
      </w:r>
    </w:p>
    <w:p w14:paraId="07955455" w14:textId="77777777" w:rsidR="00824B25" w:rsidRPr="00D0306F" w:rsidRDefault="00824B25" w:rsidP="00824B25">
      <w:pPr>
        <w:rPr>
          <w:rFonts w:eastAsia="Aptos" w:cs="Arial"/>
          <w:szCs w:val="22"/>
          <w:lang w:eastAsia="en-GB"/>
        </w:rPr>
      </w:pPr>
    </w:p>
    <w:p w14:paraId="06D10451" w14:textId="77777777" w:rsidR="00824B25" w:rsidRPr="00D0306F" w:rsidRDefault="00824B25" w:rsidP="00824B25">
      <w:pPr>
        <w:rPr>
          <w:rFonts w:eastAsia="Aptos" w:cs="Arial"/>
          <w:b/>
          <w:sz w:val="26"/>
          <w:szCs w:val="22"/>
          <w:lang w:val="en-US" w:eastAsia="en-GB"/>
        </w:rPr>
      </w:pPr>
      <w:r w:rsidRPr="00D0306F">
        <w:rPr>
          <w:rFonts w:eastAsia="Aptos" w:cs="Arial"/>
          <w:b/>
          <w:sz w:val="26"/>
          <w:szCs w:val="22"/>
          <w:lang w:val="en-US" w:eastAsia="en-GB"/>
        </w:rPr>
        <w:t>1.2 Health board duties in respect of the pharmaceutical needs assessment</w:t>
      </w:r>
    </w:p>
    <w:p w14:paraId="1B9F5D30" w14:textId="77777777" w:rsidR="00824B25" w:rsidRPr="00D0306F" w:rsidRDefault="00824B25" w:rsidP="00824B25">
      <w:pPr>
        <w:rPr>
          <w:rFonts w:eastAsia="Aptos" w:cs="Arial"/>
          <w:szCs w:val="22"/>
          <w:lang w:val="en-US" w:eastAsia="en-GB"/>
        </w:rPr>
      </w:pPr>
    </w:p>
    <w:p w14:paraId="4BC6B209" w14:textId="77777777" w:rsidR="00824B25" w:rsidRPr="00D0306F" w:rsidRDefault="00824B25" w:rsidP="00824B25">
      <w:pPr>
        <w:rPr>
          <w:rFonts w:eastAsia="Aptos" w:cs="Arial"/>
          <w:szCs w:val="22"/>
          <w:lang w:val="en-US" w:eastAsia="en-GB"/>
        </w:rPr>
      </w:pPr>
      <w:r w:rsidRPr="00D0306F">
        <w:rPr>
          <w:rFonts w:eastAsia="Aptos" w:cs="Arial"/>
          <w:szCs w:val="22"/>
          <w:lang w:val="en-US" w:eastAsia="en-GB"/>
        </w:rPr>
        <w:t>Swansea Bay University Health Board published its first pharmaceutical needs assessment on 1 October 2021. Further information on the health board’s specific duties in relation to pharmaceutical needs assessments and the policy background to pharmaceutical needs assessments can be found in appendix A, however in summary the health board must:</w:t>
      </w:r>
    </w:p>
    <w:p w14:paraId="20A8D492" w14:textId="77777777" w:rsidR="00824B25" w:rsidRPr="00D0306F" w:rsidRDefault="00824B25" w:rsidP="00824B25">
      <w:pPr>
        <w:rPr>
          <w:rFonts w:eastAsia="Aptos" w:cs="Arial"/>
          <w:szCs w:val="22"/>
          <w:lang w:val="en-US" w:eastAsia="en-GB"/>
        </w:rPr>
      </w:pPr>
    </w:p>
    <w:p w14:paraId="07EF9B97" w14:textId="77777777" w:rsidR="00824B25" w:rsidRPr="00D0306F" w:rsidRDefault="00824B25" w:rsidP="00824B25">
      <w:pPr>
        <w:numPr>
          <w:ilvl w:val="0"/>
          <w:numId w:val="10"/>
        </w:numPr>
        <w:rPr>
          <w:rFonts w:eastAsia="Aptos" w:cs="Arial"/>
          <w:szCs w:val="22"/>
          <w:lang w:eastAsia="en-GB"/>
        </w:rPr>
      </w:pPr>
      <w:r w:rsidRPr="00D0306F">
        <w:rPr>
          <w:rFonts w:eastAsia="Aptos" w:cs="Arial"/>
          <w:szCs w:val="22"/>
          <w:lang w:eastAsia="en-GB"/>
        </w:rPr>
        <w:t>Publish revised statements (i.e. subsequent pharmaceutical needs assessments), on a five-yearly basis, which comply with the regulatory requirements</w:t>
      </w:r>
    </w:p>
    <w:p w14:paraId="0E30AC53" w14:textId="77777777" w:rsidR="00824B25" w:rsidRPr="00D0306F" w:rsidRDefault="00824B25" w:rsidP="00824B25">
      <w:pPr>
        <w:numPr>
          <w:ilvl w:val="0"/>
          <w:numId w:val="10"/>
        </w:numPr>
        <w:rPr>
          <w:rFonts w:eastAsia="Aptos" w:cs="Arial"/>
          <w:szCs w:val="22"/>
          <w:lang w:eastAsia="en-GB"/>
        </w:rPr>
      </w:pPr>
      <w:r w:rsidRPr="00D0306F">
        <w:rPr>
          <w:rFonts w:eastAsia="Aptos" w:cs="Arial"/>
          <w:szCs w:val="22"/>
          <w:lang w:eastAsia="en-GB"/>
        </w:rPr>
        <w:t>Publish a subsequent pharmaceutical needs assessment sooner when it identifies changes to the need for pharmaceutical services which are of a significant extent, unless to do so would be a disproportionate response to those changes, and</w:t>
      </w:r>
    </w:p>
    <w:p w14:paraId="7C4FB607" w14:textId="77777777" w:rsidR="00824B25" w:rsidRPr="00D0306F" w:rsidRDefault="00824B25" w:rsidP="00824B25">
      <w:pPr>
        <w:numPr>
          <w:ilvl w:val="0"/>
          <w:numId w:val="10"/>
        </w:numPr>
        <w:rPr>
          <w:rFonts w:eastAsia="Aptos" w:cs="Arial"/>
          <w:szCs w:val="22"/>
          <w:lang w:eastAsia="en-GB"/>
        </w:rPr>
      </w:pPr>
      <w:r w:rsidRPr="00D0306F">
        <w:rPr>
          <w:rFonts w:eastAsia="Aptos" w:cs="Arial"/>
          <w:szCs w:val="22"/>
          <w:lang w:eastAsia="en-GB"/>
        </w:rPr>
        <w:t>Produce supplementary statements which explain changes to the availability of pharmaceutical services in certain circumstances.</w:t>
      </w:r>
    </w:p>
    <w:p w14:paraId="19072E7F" w14:textId="77777777" w:rsidR="00824B25" w:rsidRPr="00D0306F" w:rsidRDefault="00824B25" w:rsidP="00824B25">
      <w:pPr>
        <w:rPr>
          <w:rFonts w:eastAsia="Aptos" w:cs="Arial"/>
          <w:szCs w:val="22"/>
          <w:lang w:eastAsia="en-GB"/>
        </w:rPr>
      </w:pPr>
    </w:p>
    <w:p w14:paraId="438F6CAB" w14:textId="77777777" w:rsidR="00824B25" w:rsidRPr="00D0306F" w:rsidRDefault="00824B25" w:rsidP="00824B25">
      <w:pPr>
        <w:rPr>
          <w:rFonts w:eastAsia="Aptos" w:cs="Arial"/>
          <w:b/>
          <w:sz w:val="26"/>
          <w:szCs w:val="22"/>
          <w:lang w:eastAsia="en-GB"/>
        </w:rPr>
      </w:pPr>
      <w:r w:rsidRPr="00D0306F">
        <w:rPr>
          <w:rFonts w:eastAsia="Aptos" w:cs="Arial"/>
          <w:b/>
          <w:sz w:val="26"/>
          <w:szCs w:val="22"/>
          <w:lang w:eastAsia="en-GB"/>
        </w:rPr>
        <w:t>1.3 Pharmaceutical services</w:t>
      </w:r>
    </w:p>
    <w:p w14:paraId="7048AE3D" w14:textId="77777777" w:rsidR="00824B25" w:rsidRPr="00D0306F" w:rsidRDefault="00824B25" w:rsidP="00824B25">
      <w:pPr>
        <w:rPr>
          <w:rFonts w:eastAsia="Aptos" w:cs="Arial"/>
          <w:szCs w:val="22"/>
          <w:lang w:eastAsia="en-GB"/>
        </w:rPr>
      </w:pPr>
    </w:p>
    <w:p w14:paraId="2F515D5C" w14:textId="77777777" w:rsidR="00824B25" w:rsidRPr="00D0306F" w:rsidRDefault="00824B25" w:rsidP="00824B25">
      <w:pPr>
        <w:rPr>
          <w:rFonts w:eastAsia="Aptos" w:cs="Arial"/>
          <w:szCs w:val="22"/>
          <w:lang w:eastAsia="en-GB"/>
        </w:rPr>
      </w:pPr>
      <w:r w:rsidRPr="00D0306F">
        <w:rPr>
          <w:rFonts w:eastAsia="Aptos" w:cs="Arial"/>
          <w:szCs w:val="22"/>
          <w:lang w:eastAsia="en-GB"/>
        </w:rPr>
        <w:t>The services that a pharmaceutical needs assessment must include are defined within both the National Health Service (Wales) Act 2006 and the NHS (Pharmaceutical Services) (Wales) Regulations 2020.</w:t>
      </w:r>
    </w:p>
    <w:p w14:paraId="5F776E5B" w14:textId="77777777" w:rsidR="00824B25" w:rsidRPr="00D0306F" w:rsidRDefault="00824B25" w:rsidP="00824B25">
      <w:pPr>
        <w:rPr>
          <w:rFonts w:eastAsia="Aptos" w:cs="Arial"/>
          <w:szCs w:val="22"/>
          <w:lang w:eastAsia="en-GB"/>
        </w:rPr>
      </w:pPr>
    </w:p>
    <w:p w14:paraId="03D19465" w14:textId="77777777" w:rsidR="00824B25" w:rsidRPr="00D0306F" w:rsidRDefault="00824B25" w:rsidP="00824B25">
      <w:pPr>
        <w:rPr>
          <w:rFonts w:eastAsia="Aptos" w:cs="Arial"/>
          <w:szCs w:val="22"/>
          <w:lang w:eastAsia="en-GB"/>
        </w:rPr>
      </w:pPr>
      <w:r w:rsidRPr="00D0306F">
        <w:rPr>
          <w:rFonts w:eastAsia="Aptos" w:cs="Arial"/>
          <w:szCs w:val="22"/>
          <w:lang w:eastAsia="en-GB"/>
        </w:rPr>
        <w:t>Pharmaceutical services may be provided by:</w:t>
      </w:r>
    </w:p>
    <w:p w14:paraId="1A36996C" w14:textId="77777777" w:rsidR="00824B25" w:rsidRPr="00D0306F" w:rsidRDefault="00824B25" w:rsidP="00824B25">
      <w:pPr>
        <w:rPr>
          <w:rFonts w:eastAsia="Aptos" w:cs="Arial"/>
          <w:szCs w:val="22"/>
          <w:lang w:eastAsia="en-GB"/>
        </w:rPr>
      </w:pPr>
    </w:p>
    <w:p w14:paraId="3BA87696" w14:textId="77777777" w:rsidR="00824B25" w:rsidRPr="00D0306F" w:rsidRDefault="00824B25" w:rsidP="00824B25">
      <w:pPr>
        <w:numPr>
          <w:ilvl w:val="0"/>
          <w:numId w:val="11"/>
        </w:numPr>
        <w:rPr>
          <w:rFonts w:eastAsia="Calibri" w:cs="Arial"/>
          <w:szCs w:val="22"/>
        </w:rPr>
      </w:pPr>
      <w:r w:rsidRPr="00D0306F">
        <w:rPr>
          <w:rFonts w:eastAsia="Calibri" w:cs="Arial"/>
          <w:szCs w:val="22"/>
        </w:rPr>
        <w:t>A pharmacy contractor who is included in the pharmaceutical list for the area of the health board</w:t>
      </w:r>
    </w:p>
    <w:p w14:paraId="48DA34BB" w14:textId="77777777" w:rsidR="00824B25" w:rsidRPr="00D0306F" w:rsidRDefault="00824B25" w:rsidP="00824B25">
      <w:pPr>
        <w:numPr>
          <w:ilvl w:val="0"/>
          <w:numId w:val="11"/>
        </w:numPr>
        <w:rPr>
          <w:rFonts w:eastAsia="Calibri" w:cs="Arial"/>
          <w:szCs w:val="22"/>
        </w:rPr>
      </w:pPr>
      <w:r w:rsidRPr="00D0306F">
        <w:rPr>
          <w:rFonts w:eastAsia="Calibri" w:cs="Arial"/>
          <w:szCs w:val="22"/>
        </w:rPr>
        <w:t>A dispensing appliance contractor who is included in the pharmaceutical list held for the area of the health board, and</w:t>
      </w:r>
    </w:p>
    <w:p w14:paraId="7625B469" w14:textId="77777777" w:rsidR="00824B25" w:rsidRPr="00D0306F" w:rsidRDefault="00824B25" w:rsidP="00824B25">
      <w:pPr>
        <w:numPr>
          <w:ilvl w:val="0"/>
          <w:numId w:val="11"/>
        </w:numPr>
        <w:rPr>
          <w:rFonts w:eastAsia="Calibri" w:cs="Arial"/>
          <w:szCs w:val="22"/>
        </w:rPr>
      </w:pPr>
      <w:r w:rsidRPr="00D0306F">
        <w:rPr>
          <w:rFonts w:eastAsia="Calibri" w:cs="Arial"/>
          <w:szCs w:val="22"/>
        </w:rPr>
        <w:t xml:space="preserve">A doctor or GP practice that is included in a dispensing doctor list held for the area of the health board </w:t>
      </w:r>
    </w:p>
    <w:p w14:paraId="1F870F1E" w14:textId="77777777" w:rsidR="00824B25" w:rsidRPr="00D0306F" w:rsidRDefault="00824B25" w:rsidP="00824B25">
      <w:pPr>
        <w:rPr>
          <w:rFonts w:eastAsia="Aptos" w:cs="Arial"/>
          <w:szCs w:val="22"/>
          <w:lang w:eastAsia="en-GB"/>
        </w:rPr>
      </w:pPr>
    </w:p>
    <w:p w14:paraId="1B5BA5D4" w14:textId="77777777" w:rsidR="00824B25" w:rsidRPr="00D0306F" w:rsidRDefault="00824B25" w:rsidP="00824B25">
      <w:pPr>
        <w:rPr>
          <w:rFonts w:eastAsia="Aptos" w:cs="Arial"/>
          <w:szCs w:val="22"/>
          <w:lang w:eastAsia="en-GB"/>
        </w:rPr>
      </w:pPr>
      <w:r w:rsidRPr="00D0306F">
        <w:rPr>
          <w:rFonts w:eastAsia="Aptos" w:cs="Arial"/>
          <w:szCs w:val="22"/>
          <w:lang w:eastAsia="en-GB"/>
        </w:rPr>
        <w:t>Each health board is responsible for preparing, maintaining, and publishing its lists. In Swansea Bay University Health Board there are 90 pharmacies, and one dispensing doctor practice (February 2026). There are no dispensing appliance contractors in the health board’s area.</w:t>
      </w:r>
    </w:p>
    <w:p w14:paraId="25F564C6" w14:textId="77777777" w:rsidR="00824B25" w:rsidRPr="00D0306F" w:rsidRDefault="00824B25" w:rsidP="00824B25">
      <w:pPr>
        <w:rPr>
          <w:rFonts w:eastAsia="Aptos" w:cs="Arial"/>
          <w:szCs w:val="22"/>
          <w:lang w:eastAsia="en-GB"/>
        </w:rPr>
      </w:pPr>
    </w:p>
    <w:p w14:paraId="5227C098" w14:textId="77777777" w:rsidR="00824B25" w:rsidRPr="00D0306F" w:rsidRDefault="00824B25" w:rsidP="00824B25">
      <w:pPr>
        <w:rPr>
          <w:rFonts w:eastAsia="Aptos" w:cs="Arial"/>
          <w:szCs w:val="22"/>
          <w:lang w:eastAsia="en-GB"/>
        </w:rPr>
      </w:pPr>
      <w:r w:rsidRPr="00D0306F">
        <w:rPr>
          <w:rFonts w:eastAsia="Aptos" w:cs="Arial"/>
          <w:szCs w:val="22"/>
          <w:lang w:eastAsia="en-GB"/>
        </w:rPr>
        <w:t xml:space="preserve">Contractors may operate as either a sole trader, partnership, or a body corporate. The Medicines Act 1968 governs who can be a pharmacy contractor, but there is no restriction on who can operate as a dispensing appliance contractor. </w:t>
      </w:r>
    </w:p>
    <w:p w14:paraId="5A1457B1" w14:textId="77777777" w:rsidR="00824B25" w:rsidRPr="00D0306F" w:rsidRDefault="00824B25" w:rsidP="00824B25">
      <w:pPr>
        <w:rPr>
          <w:rFonts w:eastAsia="Aptos" w:cs="Arial"/>
          <w:szCs w:val="22"/>
          <w:lang w:eastAsia="en-GB"/>
        </w:rPr>
      </w:pPr>
    </w:p>
    <w:p w14:paraId="5974FE49" w14:textId="77777777" w:rsidR="00824B25" w:rsidRPr="00D0306F" w:rsidRDefault="00824B25" w:rsidP="00824B25">
      <w:pPr>
        <w:rPr>
          <w:rFonts w:eastAsia="Aptos" w:cs="Arial"/>
          <w:b/>
          <w:bCs/>
          <w:szCs w:val="22"/>
          <w:lang w:eastAsia="en-GB"/>
        </w:rPr>
      </w:pPr>
      <w:r w:rsidRPr="00D0306F">
        <w:rPr>
          <w:rFonts w:eastAsia="Aptos" w:cs="Arial"/>
          <w:b/>
          <w:bCs/>
          <w:szCs w:val="22"/>
          <w:lang w:eastAsia="en-GB"/>
        </w:rPr>
        <w:t>1.3.1 Pharmaceutical services provided by pharmacy contractors</w:t>
      </w:r>
    </w:p>
    <w:p w14:paraId="784C2051" w14:textId="77777777" w:rsidR="00824B25" w:rsidRPr="00D0306F" w:rsidRDefault="00824B25" w:rsidP="00824B25">
      <w:pPr>
        <w:rPr>
          <w:rFonts w:eastAsia="Aptos" w:cs="Arial"/>
          <w:szCs w:val="22"/>
          <w:lang w:eastAsia="en-GB"/>
        </w:rPr>
      </w:pPr>
    </w:p>
    <w:p w14:paraId="1B80AF8D" w14:textId="77777777" w:rsidR="00824B25" w:rsidRPr="00D0306F" w:rsidRDefault="00824B25" w:rsidP="00824B25">
      <w:pPr>
        <w:rPr>
          <w:rFonts w:eastAsia="Aptos" w:cs="Arial"/>
          <w:szCs w:val="22"/>
          <w:lang w:eastAsia="en-GB"/>
        </w:rPr>
      </w:pPr>
      <w:r w:rsidRPr="00D0306F">
        <w:rPr>
          <w:rFonts w:eastAsia="Aptos" w:cs="Arial"/>
          <w:szCs w:val="22"/>
          <w:lang w:eastAsia="en-GB"/>
        </w:rPr>
        <w:t xml:space="preserve">Unlike for GPs, dentists and optometrists, </w:t>
      </w:r>
      <w:bookmarkStart w:id="5" w:name="_Hlk65835665"/>
      <w:r w:rsidRPr="00D0306F">
        <w:rPr>
          <w:rFonts w:eastAsia="Aptos" w:cs="Arial"/>
          <w:szCs w:val="22"/>
          <w:lang w:eastAsia="en-GB"/>
        </w:rPr>
        <w:t xml:space="preserve">Swansea Bay University Health Board </w:t>
      </w:r>
      <w:bookmarkEnd w:id="5"/>
      <w:r w:rsidRPr="00D0306F">
        <w:rPr>
          <w:rFonts w:eastAsia="Aptos" w:cs="Arial"/>
          <w:szCs w:val="22"/>
          <w:lang w:eastAsia="en-GB"/>
        </w:rPr>
        <w:t>does not hold contracts with the pharmacy contractors in its area. Instead, they provide services under a contractual framework, sometimes referred to as the community pharmacy contractual framework, details of which (the terms of service) are set out in schedule 5 of the NHS (Pharmaceutical Services) (Wales) Regulations 2020, The Pharmaceutical Services (Clinical Services) (Wales) Directions 2022, and the Pharmaceutical Services (Advanced Services) (Appliances) (Wales) Directions 2010.</w:t>
      </w:r>
    </w:p>
    <w:p w14:paraId="32DB6BE5" w14:textId="77777777" w:rsidR="00824B25" w:rsidRPr="00D0306F" w:rsidRDefault="00824B25" w:rsidP="00824B25">
      <w:pPr>
        <w:rPr>
          <w:rFonts w:eastAsia="Aptos" w:cs="Arial"/>
          <w:szCs w:val="22"/>
          <w:lang w:eastAsia="en-GB"/>
        </w:rPr>
      </w:pPr>
    </w:p>
    <w:p w14:paraId="26C70875" w14:textId="77777777" w:rsidR="00824B25" w:rsidRPr="00D0306F" w:rsidRDefault="00824B25" w:rsidP="00824B25">
      <w:pPr>
        <w:rPr>
          <w:rFonts w:eastAsia="Aptos" w:cs="Arial"/>
          <w:szCs w:val="22"/>
          <w:lang w:eastAsia="en-GB"/>
        </w:rPr>
      </w:pPr>
      <w:r w:rsidRPr="00D0306F">
        <w:rPr>
          <w:rFonts w:eastAsia="Aptos" w:cs="Arial"/>
          <w:szCs w:val="22"/>
          <w:lang w:eastAsia="en-GB"/>
        </w:rPr>
        <w:t>Pharmacy contractors provide three types of service that fall within the definition of pharmaceutical services and the community pharmacy contractual framework. They are:</w:t>
      </w:r>
    </w:p>
    <w:p w14:paraId="3C9C494B" w14:textId="77777777" w:rsidR="00824B25" w:rsidRPr="00D0306F" w:rsidRDefault="00824B25" w:rsidP="00824B25">
      <w:pPr>
        <w:rPr>
          <w:rFonts w:eastAsia="Aptos" w:cs="Arial"/>
          <w:szCs w:val="22"/>
          <w:lang w:eastAsia="en-GB"/>
        </w:rPr>
      </w:pPr>
    </w:p>
    <w:p w14:paraId="52B4A573" w14:textId="77777777" w:rsidR="00824B25" w:rsidRPr="00D0306F" w:rsidRDefault="00824B25" w:rsidP="00824B25">
      <w:pPr>
        <w:numPr>
          <w:ilvl w:val="0"/>
          <w:numId w:val="12"/>
        </w:numPr>
        <w:rPr>
          <w:rFonts w:eastAsia="Calibri" w:cs="Arial"/>
          <w:szCs w:val="22"/>
        </w:rPr>
      </w:pPr>
      <w:r w:rsidRPr="00D0306F">
        <w:rPr>
          <w:rFonts w:eastAsia="Calibri" w:cs="Arial"/>
          <w:szCs w:val="22"/>
        </w:rPr>
        <w:t>Essential services – all pharmacies must provide these services</w:t>
      </w:r>
    </w:p>
    <w:p w14:paraId="773C197F" w14:textId="77777777" w:rsidR="00824B25" w:rsidRPr="00D0306F" w:rsidRDefault="00824B25" w:rsidP="00824B25">
      <w:pPr>
        <w:numPr>
          <w:ilvl w:val="1"/>
          <w:numId w:val="12"/>
        </w:numPr>
        <w:rPr>
          <w:rFonts w:eastAsia="Calibri" w:cs="Arial"/>
          <w:szCs w:val="22"/>
        </w:rPr>
      </w:pPr>
      <w:r w:rsidRPr="00D0306F">
        <w:rPr>
          <w:rFonts w:eastAsia="Calibri" w:cs="Arial"/>
          <w:szCs w:val="22"/>
        </w:rPr>
        <w:t>Dispensing of prescriptions, including urgent supply of a drug or appliance without a prescription</w:t>
      </w:r>
    </w:p>
    <w:p w14:paraId="57AB0C7B" w14:textId="77777777" w:rsidR="00824B25" w:rsidRPr="00D0306F" w:rsidRDefault="00824B25" w:rsidP="00824B25">
      <w:pPr>
        <w:numPr>
          <w:ilvl w:val="1"/>
          <w:numId w:val="12"/>
        </w:numPr>
        <w:rPr>
          <w:rFonts w:eastAsia="Calibri" w:cs="Arial"/>
          <w:szCs w:val="22"/>
        </w:rPr>
      </w:pPr>
      <w:r w:rsidRPr="00D0306F">
        <w:rPr>
          <w:rFonts w:eastAsia="Calibri" w:cs="Arial"/>
          <w:szCs w:val="22"/>
        </w:rPr>
        <w:t>Dispensing of repeatable prescriptions</w:t>
      </w:r>
    </w:p>
    <w:p w14:paraId="580AA186" w14:textId="77777777" w:rsidR="00824B25" w:rsidRPr="00D0306F" w:rsidRDefault="00824B25" w:rsidP="00824B25">
      <w:pPr>
        <w:numPr>
          <w:ilvl w:val="1"/>
          <w:numId w:val="12"/>
        </w:numPr>
        <w:rPr>
          <w:rFonts w:eastAsia="Calibri" w:cs="Arial"/>
          <w:szCs w:val="22"/>
        </w:rPr>
      </w:pPr>
      <w:r w:rsidRPr="00D0306F">
        <w:rPr>
          <w:rFonts w:eastAsia="Calibri" w:cs="Arial"/>
          <w:szCs w:val="22"/>
        </w:rPr>
        <w:t>Disposal of unwanted drugs</w:t>
      </w:r>
    </w:p>
    <w:p w14:paraId="2AE37F87" w14:textId="77777777" w:rsidR="00824B25" w:rsidRPr="00D0306F" w:rsidRDefault="00824B25" w:rsidP="00824B25">
      <w:pPr>
        <w:numPr>
          <w:ilvl w:val="1"/>
          <w:numId w:val="12"/>
        </w:numPr>
        <w:rPr>
          <w:rFonts w:eastAsia="Calibri" w:cs="Arial"/>
          <w:szCs w:val="22"/>
        </w:rPr>
      </w:pPr>
      <w:r w:rsidRPr="00D0306F">
        <w:rPr>
          <w:rFonts w:eastAsia="Calibri" w:cs="Arial"/>
          <w:szCs w:val="22"/>
        </w:rPr>
        <w:t>Promotion of healthy lifestyles</w:t>
      </w:r>
    </w:p>
    <w:p w14:paraId="74A01C75" w14:textId="77777777" w:rsidR="00824B25" w:rsidRPr="00D0306F" w:rsidRDefault="00824B25" w:rsidP="00824B25">
      <w:pPr>
        <w:numPr>
          <w:ilvl w:val="1"/>
          <w:numId w:val="12"/>
        </w:numPr>
        <w:rPr>
          <w:rFonts w:eastAsia="Calibri" w:cs="Arial"/>
          <w:szCs w:val="22"/>
        </w:rPr>
      </w:pPr>
      <w:r w:rsidRPr="00D0306F">
        <w:rPr>
          <w:rFonts w:eastAsia="Calibri" w:cs="Arial"/>
          <w:szCs w:val="22"/>
        </w:rPr>
        <w:t>Signposting, and</w:t>
      </w:r>
    </w:p>
    <w:p w14:paraId="3D709A1B" w14:textId="77777777" w:rsidR="00824B25" w:rsidRPr="00D0306F" w:rsidRDefault="00824B25" w:rsidP="00824B25">
      <w:pPr>
        <w:numPr>
          <w:ilvl w:val="1"/>
          <w:numId w:val="12"/>
        </w:numPr>
        <w:rPr>
          <w:rFonts w:eastAsia="Calibri" w:cs="Arial"/>
          <w:szCs w:val="22"/>
        </w:rPr>
      </w:pPr>
      <w:r w:rsidRPr="00D0306F">
        <w:rPr>
          <w:rFonts w:eastAsia="Calibri" w:cs="Arial"/>
          <w:szCs w:val="22"/>
        </w:rPr>
        <w:t>Support for self-care</w:t>
      </w:r>
    </w:p>
    <w:p w14:paraId="23D4E357" w14:textId="77777777" w:rsidR="00824B25" w:rsidRPr="00D0306F" w:rsidRDefault="00824B25" w:rsidP="00824B25">
      <w:pPr>
        <w:rPr>
          <w:rFonts w:eastAsia="Calibri" w:cs="Arial"/>
          <w:szCs w:val="22"/>
        </w:rPr>
      </w:pPr>
    </w:p>
    <w:p w14:paraId="392238CD" w14:textId="77777777" w:rsidR="00824B25" w:rsidRPr="00D0306F" w:rsidRDefault="00824B25" w:rsidP="00824B25">
      <w:pPr>
        <w:numPr>
          <w:ilvl w:val="0"/>
          <w:numId w:val="12"/>
        </w:numPr>
        <w:rPr>
          <w:rFonts w:eastAsia="Calibri" w:cs="Arial"/>
          <w:szCs w:val="22"/>
        </w:rPr>
      </w:pPr>
      <w:r w:rsidRPr="00D0306F">
        <w:rPr>
          <w:rFonts w:eastAsia="Calibri" w:cs="Arial"/>
          <w:szCs w:val="22"/>
        </w:rPr>
        <w:lastRenderedPageBreak/>
        <w:t>National community pharmacy and appliance contractor services – pharmacies may choose whether to provide these services or not. If they choose to provide one or more of these services, they must meet certain requirements and must also be fully compliant with the essential services and clinical governance requirements.</w:t>
      </w:r>
    </w:p>
    <w:p w14:paraId="70E9F327" w14:textId="77777777" w:rsidR="00824B25" w:rsidRPr="00D0306F" w:rsidRDefault="00824B25" w:rsidP="00824B25">
      <w:pPr>
        <w:numPr>
          <w:ilvl w:val="1"/>
          <w:numId w:val="12"/>
        </w:numPr>
        <w:rPr>
          <w:rFonts w:eastAsia="Calibri" w:cs="Arial"/>
          <w:szCs w:val="22"/>
        </w:rPr>
      </w:pPr>
      <w:r w:rsidRPr="00D0306F">
        <w:rPr>
          <w:rFonts w:eastAsia="Calibri" w:cs="Arial"/>
          <w:szCs w:val="22"/>
        </w:rPr>
        <w:t>Appliance use review service</w:t>
      </w:r>
    </w:p>
    <w:p w14:paraId="5A220179" w14:textId="77777777" w:rsidR="00824B25" w:rsidRPr="00D0306F" w:rsidRDefault="00824B25" w:rsidP="00824B25">
      <w:pPr>
        <w:numPr>
          <w:ilvl w:val="1"/>
          <w:numId w:val="12"/>
        </w:numPr>
        <w:rPr>
          <w:rFonts w:eastAsia="Calibri" w:cs="Arial"/>
          <w:szCs w:val="22"/>
        </w:rPr>
      </w:pPr>
      <w:r w:rsidRPr="00D0306F">
        <w:rPr>
          <w:rFonts w:eastAsia="Calibri" w:cs="Arial"/>
          <w:szCs w:val="22"/>
        </w:rPr>
        <w:t>Clinical community pharmacy service</w:t>
      </w:r>
    </w:p>
    <w:p w14:paraId="659F64C8" w14:textId="77777777" w:rsidR="00824B25" w:rsidRPr="00D0306F" w:rsidRDefault="00824B25" w:rsidP="00824B25">
      <w:pPr>
        <w:numPr>
          <w:ilvl w:val="1"/>
          <w:numId w:val="12"/>
        </w:numPr>
        <w:rPr>
          <w:rFonts w:eastAsia="Calibri" w:cs="Arial"/>
          <w:szCs w:val="22"/>
        </w:rPr>
      </w:pPr>
      <w:r w:rsidRPr="00D0306F">
        <w:rPr>
          <w:rFonts w:eastAsia="Calibri" w:cs="Arial"/>
          <w:szCs w:val="22"/>
        </w:rPr>
        <w:t>Discharge medicines review service</w:t>
      </w:r>
    </w:p>
    <w:p w14:paraId="2EEA4717" w14:textId="77777777" w:rsidR="00824B25" w:rsidRPr="00D0306F" w:rsidRDefault="00824B25" w:rsidP="00824B25">
      <w:pPr>
        <w:numPr>
          <w:ilvl w:val="1"/>
          <w:numId w:val="12"/>
        </w:numPr>
        <w:rPr>
          <w:rFonts w:eastAsia="Calibri" w:cs="Arial"/>
          <w:szCs w:val="22"/>
        </w:rPr>
      </w:pPr>
      <w:r w:rsidRPr="00D0306F">
        <w:rPr>
          <w:rFonts w:eastAsia="Calibri" w:cs="Arial"/>
          <w:szCs w:val="22"/>
        </w:rPr>
        <w:t>Lateral flow test supply service</w:t>
      </w:r>
    </w:p>
    <w:p w14:paraId="6CB60F8D" w14:textId="77777777" w:rsidR="00824B25" w:rsidRPr="00D0306F" w:rsidRDefault="00824B25" w:rsidP="00824B25">
      <w:pPr>
        <w:numPr>
          <w:ilvl w:val="1"/>
          <w:numId w:val="12"/>
        </w:numPr>
        <w:rPr>
          <w:rFonts w:eastAsia="Calibri" w:cs="Arial"/>
          <w:szCs w:val="22"/>
        </w:rPr>
      </w:pPr>
      <w:r w:rsidRPr="00D0306F">
        <w:rPr>
          <w:rFonts w:eastAsia="Calibri" w:cs="Arial"/>
          <w:szCs w:val="22"/>
        </w:rPr>
        <w:t>Pharmacist independent prescribing service</w:t>
      </w:r>
    </w:p>
    <w:p w14:paraId="1F7F7808" w14:textId="77777777" w:rsidR="00824B25" w:rsidRPr="00D0306F" w:rsidRDefault="00824B25" w:rsidP="00824B25">
      <w:pPr>
        <w:numPr>
          <w:ilvl w:val="1"/>
          <w:numId w:val="12"/>
        </w:numPr>
        <w:rPr>
          <w:rFonts w:eastAsia="Calibri" w:cs="Arial"/>
          <w:szCs w:val="22"/>
        </w:rPr>
      </w:pPr>
      <w:r w:rsidRPr="00D0306F">
        <w:rPr>
          <w:rFonts w:eastAsia="Calibri" w:cs="Arial"/>
          <w:szCs w:val="22"/>
        </w:rPr>
        <w:t xml:space="preserve">Seasonal influenza vaccination service </w:t>
      </w:r>
    </w:p>
    <w:p w14:paraId="782C7C48" w14:textId="77777777" w:rsidR="00824B25" w:rsidRPr="00D0306F" w:rsidRDefault="00824B25" w:rsidP="00824B25">
      <w:pPr>
        <w:numPr>
          <w:ilvl w:val="1"/>
          <w:numId w:val="12"/>
        </w:numPr>
        <w:rPr>
          <w:rFonts w:eastAsia="Calibri" w:cs="Arial"/>
          <w:szCs w:val="22"/>
        </w:rPr>
      </w:pPr>
      <w:r w:rsidRPr="00D0306F">
        <w:rPr>
          <w:rFonts w:eastAsia="Calibri" w:cs="Arial"/>
          <w:szCs w:val="22"/>
        </w:rPr>
        <w:t>Stoma appliance customisation service</w:t>
      </w:r>
    </w:p>
    <w:p w14:paraId="5DA8CAE5" w14:textId="77777777" w:rsidR="00824B25" w:rsidRPr="00D0306F" w:rsidRDefault="00824B25" w:rsidP="00824B25">
      <w:pPr>
        <w:rPr>
          <w:rFonts w:eastAsia="Aptos" w:cs="Arial"/>
          <w:szCs w:val="22"/>
          <w:lang w:eastAsia="en-GB"/>
        </w:rPr>
      </w:pPr>
    </w:p>
    <w:p w14:paraId="2F7C8D08" w14:textId="77777777" w:rsidR="00824B25" w:rsidRPr="00D0306F" w:rsidRDefault="00824B25" w:rsidP="00824B25">
      <w:pPr>
        <w:numPr>
          <w:ilvl w:val="0"/>
          <w:numId w:val="13"/>
        </w:numPr>
        <w:rPr>
          <w:rFonts w:eastAsia="Calibri" w:cs="Arial"/>
          <w:szCs w:val="22"/>
        </w:rPr>
      </w:pPr>
      <w:r w:rsidRPr="00D0306F">
        <w:rPr>
          <w:rFonts w:eastAsia="Calibri" w:cs="Arial"/>
          <w:szCs w:val="22"/>
        </w:rPr>
        <w:t>Additional clinical services – service specifications for this type of service are developed by the health board or on an All Wales basis and then commissioned to meet specific health needs. The list of additional clinical services that may be commissioned are:</w:t>
      </w:r>
    </w:p>
    <w:p w14:paraId="583B3D94" w14:textId="77777777" w:rsidR="00824B25" w:rsidRPr="00D0306F" w:rsidRDefault="00824B25" w:rsidP="00824B25">
      <w:pPr>
        <w:numPr>
          <w:ilvl w:val="1"/>
          <w:numId w:val="13"/>
        </w:numPr>
        <w:rPr>
          <w:rFonts w:eastAsia="Calibri" w:cs="Arial"/>
          <w:szCs w:val="22"/>
        </w:rPr>
      </w:pPr>
      <w:r w:rsidRPr="00D0306F">
        <w:rPr>
          <w:rFonts w:eastAsia="Calibri" w:cs="Arial"/>
          <w:szCs w:val="22"/>
        </w:rPr>
        <w:t>Anticoagulation monitoring</w:t>
      </w:r>
    </w:p>
    <w:p w14:paraId="73B63027" w14:textId="77777777" w:rsidR="00824B25" w:rsidRPr="00D0306F" w:rsidRDefault="00824B25" w:rsidP="00824B25">
      <w:pPr>
        <w:numPr>
          <w:ilvl w:val="1"/>
          <w:numId w:val="13"/>
        </w:numPr>
        <w:rPr>
          <w:rFonts w:eastAsia="Calibri" w:cs="Arial"/>
          <w:szCs w:val="22"/>
        </w:rPr>
      </w:pPr>
      <w:r w:rsidRPr="00D0306F">
        <w:rPr>
          <w:rFonts w:eastAsia="Calibri" w:cs="Arial"/>
          <w:szCs w:val="22"/>
        </w:rPr>
        <w:t>Care home service</w:t>
      </w:r>
    </w:p>
    <w:p w14:paraId="2F623CC2" w14:textId="77777777" w:rsidR="00824B25" w:rsidRPr="00D0306F" w:rsidRDefault="00824B25" w:rsidP="00824B25">
      <w:pPr>
        <w:numPr>
          <w:ilvl w:val="1"/>
          <w:numId w:val="13"/>
        </w:numPr>
        <w:rPr>
          <w:rFonts w:eastAsia="Calibri" w:cs="Arial"/>
          <w:szCs w:val="22"/>
        </w:rPr>
      </w:pPr>
      <w:r w:rsidRPr="00D0306F">
        <w:rPr>
          <w:rFonts w:eastAsia="Calibri" w:cs="Arial"/>
          <w:szCs w:val="22"/>
        </w:rPr>
        <w:t>Disease specific medicines management service</w:t>
      </w:r>
    </w:p>
    <w:p w14:paraId="66C1AA3A" w14:textId="77777777" w:rsidR="00824B25" w:rsidRPr="00D0306F" w:rsidRDefault="00824B25" w:rsidP="00824B25">
      <w:pPr>
        <w:numPr>
          <w:ilvl w:val="1"/>
          <w:numId w:val="13"/>
        </w:numPr>
        <w:rPr>
          <w:rFonts w:eastAsia="Calibri" w:cs="Arial"/>
          <w:szCs w:val="22"/>
        </w:rPr>
      </w:pPr>
      <w:r w:rsidRPr="00D0306F">
        <w:rPr>
          <w:rFonts w:eastAsia="Calibri" w:cs="Arial"/>
          <w:szCs w:val="22"/>
        </w:rPr>
        <w:t>Emergency pandemic treatment and prophylaxis supply service</w:t>
      </w:r>
    </w:p>
    <w:p w14:paraId="2EAC656A" w14:textId="77777777" w:rsidR="00824B25" w:rsidRPr="00D0306F" w:rsidRDefault="00824B25" w:rsidP="00824B25">
      <w:pPr>
        <w:numPr>
          <w:ilvl w:val="1"/>
          <w:numId w:val="13"/>
        </w:numPr>
        <w:rPr>
          <w:rFonts w:eastAsia="Calibri" w:cs="Arial"/>
          <w:szCs w:val="22"/>
        </w:rPr>
      </w:pPr>
      <w:r w:rsidRPr="00D0306F">
        <w:rPr>
          <w:rFonts w:eastAsia="Calibri" w:cs="Arial"/>
          <w:szCs w:val="22"/>
        </w:rPr>
        <w:t>Emergency pandemic vaccination service</w:t>
      </w:r>
    </w:p>
    <w:p w14:paraId="26BB4E07" w14:textId="77777777" w:rsidR="00824B25" w:rsidRPr="00D0306F" w:rsidRDefault="00824B25" w:rsidP="00824B25">
      <w:pPr>
        <w:numPr>
          <w:ilvl w:val="1"/>
          <w:numId w:val="13"/>
        </w:numPr>
        <w:rPr>
          <w:rFonts w:eastAsia="Calibri" w:cs="Arial"/>
          <w:szCs w:val="22"/>
        </w:rPr>
      </w:pPr>
      <w:r w:rsidRPr="00D0306F">
        <w:rPr>
          <w:rFonts w:eastAsia="Calibri" w:cs="Arial"/>
          <w:szCs w:val="22"/>
        </w:rPr>
        <w:t>Gluten free food supply service</w:t>
      </w:r>
    </w:p>
    <w:p w14:paraId="7AAD370F" w14:textId="77777777" w:rsidR="00824B25" w:rsidRPr="00D0306F" w:rsidRDefault="00824B25" w:rsidP="00824B25">
      <w:pPr>
        <w:numPr>
          <w:ilvl w:val="1"/>
          <w:numId w:val="13"/>
        </w:numPr>
        <w:rPr>
          <w:rFonts w:eastAsia="Calibri" w:cs="Arial"/>
          <w:szCs w:val="22"/>
        </w:rPr>
      </w:pPr>
      <w:r w:rsidRPr="00D0306F">
        <w:rPr>
          <w:rFonts w:eastAsia="Calibri" w:cs="Arial"/>
          <w:szCs w:val="22"/>
        </w:rPr>
        <w:t>Home delivery service</w:t>
      </w:r>
    </w:p>
    <w:p w14:paraId="62263674" w14:textId="77777777" w:rsidR="00824B25" w:rsidRPr="00D0306F" w:rsidRDefault="00824B25" w:rsidP="00824B25">
      <w:pPr>
        <w:numPr>
          <w:ilvl w:val="1"/>
          <w:numId w:val="13"/>
        </w:numPr>
        <w:rPr>
          <w:rFonts w:eastAsia="Calibri" w:cs="Arial"/>
          <w:szCs w:val="22"/>
        </w:rPr>
      </w:pPr>
      <w:r w:rsidRPr="00D0306F">
        <w:rPr>
          <w:rFonts w:eastAsia="Calibri" w:cs="Arial"/>
          <w:szCs w:val="22"/>
        </w:rPr>
        <w:t>Language access service</w:t>
      </w:r>
    </w:p>
    <w:p w14:paraId="6F03F1A8" w14:textId="77777777" w:rsidR="00824B25" w:rsidRPr="00D0306F" w:rsidRDefault="00824B25" w:rsidP="00824B25">
      <w:pPr>
        <w:numPr>
          <w:ilvl w:val="1"/>
          <w:numId w:val="13"/>
        </w:numPr>
        <w:rPr>
          <w:rFonts w:eastAsia="Calibri" w:cs="Arial"/>
          <w:szCs w:val="22"/>
        </w:rPr>
      </w:pPr>
      <w:r w:rsidRPr="00D0306F">
        <w:rPr>
          <w:rFonts w:eastAsia="Calibri" w:cs="Arial"/>
          <w:szCs w:val="22"/>
        </w:rPr>
        <w:t>Medication review service</w:t>
      </w:r>
    </w:p>
    <w:p w14:paraId="055A9AFE" w14:textId="77777777" w:rsidR="00824B25" w:rsidRPr="00D0306F" w:rsidRDefault="00824B25" w:rsidP="00824B25">
      <w:pPr>
        <w:numPr>
          <w:ilvl w:val="1"/>
          <w:numId w:val="13"/>
        </w:numPr>
        <w:rPr>
          <w:rFonts w:eastAsia="Calibri" w:cs="Arial"/>
          <w:szCs w:val="22"/>
        </w:rPr>
      </w:pPr>
      <w:r w:rsidRPr="00D0306F">
        <w:rPr>
          <w:rFonts w:eastAsia="Calibri" w:cs="Arial"/>
          <w:szCs w:val="22"/>
        </w:rPr>
        <w:t>Medicines assessment and compliance support service</w:t>
      </w:r>
    </w:p>
    <w:p w14:paraId="7FF8B78B" w14:textId="77777777" w:rsidR="00824B25" w:rsidRPr="00D0306F" w:rsidRDefault="00824B25" w:rsidP="00824B25">
      <w:pPr>
        <w:numPr>
          <w:ilvl w:val="1"/>
          <w:numId w:val="13"/>
        </w:numPr>
        <w:rPr>
          <w:rFonts w:eastAsia="Calibri" w:cs="Arial"/>
          <w:szCs w:val="22"/>
        </w:rPr>
      </w:pPr>
      <w:r w:rsidRPr="00D0306F">
        <w:rPr>
          <w:rFonts w:eastAsia="Calibri" w:cs="Arial"/>
          <w:szCs w:val="22"/>
        </w:rPr>
        <w:t>Needle and syringe supply service</w:t>
      </w:r>
    </w:p>
    <w:p w14:paraId="03A65552" w14:textId="77777777" w:rsidR="00824B25" w:rsidRPr="00D0306F" w:rsidRDefault="00824B25" w:rsidP="00824B25">
      <w:pPr>
        <w:numPr>
          <w:ilvl w:val="1"/>
          <w:numId w:val="13"/>
        </w:numPr>
        <w:rPr>
          <w:rFonts w:eastAsia="Calibri" w:cs="Arial"/>
          <w:szCs w:val="22"/>
        </w:rPr>
      </w:pPr>
      <w:r w:rsidRPr="00D0306F">
        <w:rPr>
          <w:rFonts w:eastAsia="Calibri" w:cs="Arial"/>
          <w:szCs w:val="22"/>
        </w:rPr>
        <w:t>On demand availability of specialist drugs service</w:t>
      </w:r>
    </w:p>
    <w:p w14:paraId="1F23EE27" w14:textId="77777777" w:rsidR="00824B25" w:rsidRPr="00D0306F" w:rsidRDefault="00824B25" w:rsidP="00824B25">
      <w:pPr>
        <w:numPr>
          <w:ilvl w:val="1"/>
          <w:numId w:val="13"/>
        </w:numPr>
        <w:rPr>
          <w:rFonts w:eastAsia="Calibri" w:cs="Arial"/>
          <w:szCs w:val="22"/>
        </w:rPr>
      </w:pPr>
      <w:r w:rsidRPr="00D0306F">
        <w:rPr>
          <w:rFonts w:eastAsia="Calibri" w:cs="Arial"/>
          <w:szCs w:val="22"/>
        </w:rPr>
        <w:t>Out of hours service</w:t>
      </w:r>
    </w:p>
    <w:p w14:paraId="40740CF5" w14:textId="77777777" w:rsidR="00824B25" w:rsidRPr="00D0306F" w:rsidRDefault="00824B25" w:rsidP="00824B25">
      <w:pPr>
        <w:numPr>
          <w:ilvl w:val="1"/>
          <w:numId w:val="13"/>
        </w:numPr>
        <w:rPr>
          <w:rFonts w:eastAsia="Calibri" w:cs="Arial"/>
          <w:szCs w:val="22"/>
        </w:rPr>
      </w:pPr>
      <w:r w:rsidRPr="00D0306F">
        <w:rPr>
          <w:rFonts w:eastAsia="Calibri" w:cs="Arial"/>
          <w:szCs w:val="22"/>
        </w:rPr>
        <w:t>Patient group direction service</w:t>
      </w:r>
    </w:p>
    <w:p w14:paraId="3F21F516" w14:textId="77777777" w:rsidR="00824B25" w:rsidRPr="00D0306F" w:rsidRDefault="00824B25" w:rsidP="00824B25">
      <w:pPr>
        <w:numPr>
          <w:ilvl w:val="1"/>
          <w:numId w:val="13"/>
        </w:numPr>
        <w:rPr>
          <w:rFonts w:eastAsia="Calibri" w:cs="Arial"/>
          <w:szCs w:val="22"/>
        </w:rPr>
      </w:pPr>
      <w:r w:rsidRPr="00D0306F">
        <w:rPr>
          <w:rFonts w:eastAsia="Calibri" w:cs="Arial"/>
          <w:szCs w:val="22"/>
        </w:rPr>
        <w:t>Prescriber support service</w:t>
      </w:r>
    </w:p>
    <w:p w14:paraId="14C41DEB" w14:textId="77777777" w:rsidR="00824B25" w:rsidRPr="00D0306F" w:rsidRDefault="00824B25" w:rsidP="00824B25">
      <w:pPr>
        <w:numPr>
          <w:ilvl w:val="1"/>
          <w:numId w:val="13"/>
        </w:numPr>
        <w:rPr>
          <w:rFonts w:eastAsia="Calibri" w:cs="Arial"/>
          <w:szCs w:val="22"/>
        </w:rPr>
      </w:pPr>
      <w:r w:rsidRPr="00D0306F">
        <w:rPr>
          <w:rFonts w:eastAsia="Calibri" w:cs="Arial"/>
          <w:szCs w:val="22"/>
        </w:rPr>
        <w:t>Schools service</w:t>
      </w:r>
    </w:p>
    <w:p w14:paraId="42BC7A71" w14:textId="77777777" w:rsidR="00824B25" w:rsidRPr="00D0306F" w:rsidRDefault="00824B25" w:rsidP="00824B25">
      <w:pPr>
        <w:numPr>
          <w:ilvl w:val="1"/>
          <w:numId w:val="13"/>
        </w:numPr>
        <w:rPr>
          <w:rFonts w:eastAsia="Calibri" w:cs="Arial"/>
          <w:szCs w:val="22"/>
        </w:rPr>
      </w:pPr>
      <w:r w:rsidRPr="00D0306F">
        <w:rPr>
          <w:rFonts w:eastAsia="Calibri" w:cs="Arial"/>
          <w:szCs w:val="22"/>
        </w:rPr>
        <w:t>Screening service</w:t>
      </w:r>
    </w:p>
    <w:p w14:paraId="53B2121F" w14:textId="77777777" w:rsidR="00824B25" w:rsidRPr="00D0306F" w:rsidRDefault="00824B25" w:rsidP="00824B25">
      <w:pPr>
        <w:numPr>
          <w:ilvl w:val="1"/>
          <w:numId w:val="13"/>
        </w:numPr>
        <w:rPr>
          <w:rFonts w:eastAsia="Calibri" w:cs="Arial"/>
          <w:szCs w:val="22"/>
        </w:rPr>
      </w:pPr>
      <w:r w:rsidRPr="00D0306F">
        <w:rPr>
          <w:rFonts w:eastAsia="Calibri" w:cs="Arial"/>
          <w:szCs w:val="22"/>
        </w:rPr>
        <w:t>Stop smoking service</w:t>
      </w:r>
    </w:p>
    <w:p w14:paraId="716E1DA1" w14:textId="77777777" w:rsidR="00824B25" w:rsidRPr="00D0306F" w:rsidRDefault="00824B25" w:rsidP="00824B25">
      <w:pPr>
        <w:numPr>
          <w:ilvl w:val="1"/>
          <w:numId w:val="13"/>
        </w:numPr>
        <w:rPr>
          <w:rFonts w:eastAsia="Calibri" w:cs="Arial"/>
          <w:szCs w:val="22"/>
        </w:rPr>
      </w:pPr>
      <w:r w:rsidRPr="00D0306F">
        <w:rPr>
          <w:rFonts w:eastAsia="Calibri" w:cs="Arial"/>
          <w:szCs w:val="22"/>
        </w:rPr>
        <w:t>Supervised administration service</w:t>
      </w:r>
    </w:p>
    <w:p w14:paraId="287398AF" w14:textId="77777777" w:rsidR="00824B25" w:rsidRPr="00D0306F" w:rsidRDefault="00824B25" w:rsidP="00824B25">
      <w:pPr>
        <w:numPr>
          <w:ilvl w:val="1"/>
          <w:numId w:val="13"/>
        </w:numPr>
        <w:rPr>
          <w:rFonts w:eastAsia="Calibri" w:cs="Arial"/>
          <w:szCs w:val="22"/>
        </w:rPr>
      </w:pPr>
      <w:r w:rsidRPr="00D0306F">
        <w:rPr>
          <w:rFonts w:eastAsia="Calibri" w:cs="Arial"/>
          <w:szCs w:val="22"/>
        </w:rPr>
        <w:t>Prescribing service</w:t>
      </w:r>
    </w:p>
    <w:p w14:paraId="75B53A54" w14:textId="77777777" w:rsidR="00824B25" w:rsidRPr="00D0306F" w:rsidRDefault="00824B25" w:rsidP="00824B25">
      <w:pPr>
        <w:numPr>
          <w:ilvl w:val="1"/>
          <w:numId w:val="13"/>
        </w:numPr>
        <w:rPr>
          <w:rFonts w:eastAsia="Calibri" w:cs="Arial"/>
          <w:szCs w:val="22"/>
        </w:rPr>
      </w:pPr>
      <w:r w:rsidRPr="00D0306F">
        <w:rPr>
          <w:rFonts w:eastAsia="Calibri" w:cs="Arial"/>
          <w:color w:val="000000"/>
          <w:szCs w:val="22"/>
        </w:rPr>
        <w:t>An anti-viral collection service</w:t>
      </w:r>
    </w:p>
    <w:p w14:paraId="448B90AA" w14:textId="77777777" w:rsidR="00824B25" w:rsidRPr="00D0306F" w:rsidRDefault="00824B25" w:rsidP="00824B25">
      <w:pPr>
        <w:numPr>
          <w:ilvl w:val="1"/>
          <w:numId w:val="13"/>
        </w:numPr>
        <w:rPr>
          <w:rFonts w:eastAsia="Calibri" w:cs="Arial"/>
          <w:szCs w:val="22"/>
        </w:rPr>
      </w:pPr>
      <w:r w:rsidRPr="00D0306F">
        <w:rPr>
          <w:rFonts w:eastAsia="Calibri" w:cs="Arial"/>
          <w:color w:val="000000"/>
          <w:szCs w:val="22"/>
        </w:rPr>
        <w:t>A waste minimisation service</w:t>
      </w:r>
    </w:p>
    <w:p w14:paraId="3939B62E" w14:textId="77777777" w:rsidR="00824B25" w:rsidRPr="00D0306F" w:rsidRDefault="00824B25" w:rsidP="00824B25">
      <w:pPr>
        <w:rPr>
          <w:rFonts w:eastAsia="Aptos" w:cs="Arial"/>
          <w:szCs w:val="22"/>
          <w:lang w:eastAsia="en-GB"/>
        </w:rPr>
      </w:pPr>
    </w:p>
    <w:p w14:paraId="760ED62E" w14:textId="77777777" w:rsidR="00824B25" w:rsidRPr="00D0306F" w:rsidRDefault="00824B25" w:rsidP="00824B25">
      <w:pPr>
        <w:rPr>
          <w:rFonts w:eastAsia="Aptos" w:cs="Arial"/>
          <w:szCs w:val="22"/>
          <w:lang w:eastAsia="en-GB"/>
        </w:rPr>
      </w:pPr>
      <w:r w:rsidRPr="00D0306F">
        <w:rPr>
          <w:rFonts w:eastAsia="Aptos" w:cs="Arial"/>
          <w:szCs w:val="22"/>
          <w:lang w:eastAsia="en-GB"/>
        </w:rPr>
        <w:t>Further information on the essential, national community pharmacy and appliance contractor and additional clinical services requirements can be found in appendices B, C and D, respectively.</w:t>
      </w:r>
    </w:p>
    <w:p w14:paraId="323B89E3" w14:textId="77777777" w:rsidR="00824B25" w:rsidRPr="00D0306F" w:rsidRDefault="00824B25" w:rsidP="00824B25">
      <w:pPr>
        <w:rPr>
          <w:rFonts w:eastAsia="Aptos" w:cs="Arial"/>
          <w:szCs w:val="22"/>
          <w:lang w:eastAsia="en-GB"/>
        </w:rPr>
      </w:pPr>
    </w:p>
    <w:p w14:paraId="3125A7F3" w14:textId="77777777" w:rsidR="00824B25" w:rsidRPr="00D0306F" w:rsidRDefault="00824B25" w:rsidP="00824B25">
      <w:pPr>
        <w:rPr>
          <w:rFonts w:eastAsia="Aptos" w:cs="Arial"/>
          <w:szCs w:val="22"/>
          <w:lang w:eastAsia="en-GB"/>
        </w:rPr>
      </w:pPr>
      <w:r w:rsidRPr="00D0306F">
        <w:rPr>
          <w:rFonts w:eastAsia="Aptos" w:cs="Arial"/>
          <w:szCs w:val="22"/>
          <w:lang w:eastAsia="en-GB"/>
        </w:rPr>
        <w:t>Underpinning the provision of all of these services is the requirement on each pharmacy contractor to participate in a system of clinical governance. This system is set out within the NHS (Pharmaceutical Services) (Wales) Regulations 2020 and includes:</w:t>
      </w:r>
    </w:p>
    <w:p w14:paraId="0CA8F0FE" w14:textId="77777777" w:rsidR="00824B25" w:rsidRPr="00D0306F" w:rsidRDefault="00824B25" w:rsidP="00824B25">
      <w:pPr>
        <w:rPr>
          <w:rFonts w:eastAsia="Aptos" w:cs="Arial"/>
          <w:szCs w:val="22"/>
          <w:lang w:eastAsia="en-GB"/>
        </w:rPr>
      </w:pPr>
    </w:p>
    <w:p w14:paraId="48320056" w14:textId="77777777" w:rsidR="00824B25" w:rsidRPr="00D0306F" w:rsidRDefault="00824B25" w:rsidP="00824B25">
      <w:pPr>
        <w:numPr>
          <w:ilvl w:val="0"/>
          <w:numId w:val="14"/>
        </w:numPr>
        <w:rPr>
          <w:rFonts w:eastAsia="Calibri" w:cs="Arial"/>
          <w:szCs w:val="22"/>
        </w:rPr>
      </w:pPr>
      <w:r w:rsidRPr="00D0306F">
        <w:rPr>
          <w:rFonts w:eastAsia="Calibri" w:cs="Arial"/>
          <w:szCs w:val="22"/>
        </w:rPr>
        <w:t>A patient and public involvement programme</w:t>
      </w:r>
    </w:p>
    <w:p w14:paraId="4143C8B2" w14:textId="77777777" w:rsidR="00824B25" w:rsidRPr="00D0306F" w:rsidRDefault="00824B25" w:rsidP="00824B25">
      <w:pPr>
        <w:numPr>
          <w:ilvl w:val="0"/>
          <w:numId w:val="14"/>
        </w:numPr>
        <w:rPr>
          <w:rFonts w:eastAsia="Calibri" w:cs="Arial"/>
          <w:szCs w:val="22"/>
        </w:rPr>
      </w:pPr>
      <w:r w:rsidRPr="00D0306F">
        <w:rPr>
          <w:rFonts w:eastAsia="Calibri" w:cs="Arial"/>
          <w:szCs w:val="22"/>
        </w:rPr>
        <w:lastRenderedPageBreak/>
        <w:t>A clinical audit programme</w:t>
      </w:r>
    </w:p>
    <w:p w14:paraId="60772C41" w14:textId="77777777" w:rsidR="00824B25" w:rsidRPr="00D0306F" w:rsidRDefault="00824B25" w:rsidP="00824B25">
      <w:pPr>
        <w:numPr>
          <w:ilvl w:val="0"/>
          <w:numId w:val="14"/>
        </w:numPr>
        <w:rPr>
          <w:rFonts w:eastAsia="Calibri" w:cs="Arial"/>
          <w:szCs w:val="22"/>
        </w:rPr>
      </w:pPr>
      <w:r w:rsidRPr="00D0306F">
        <w:rPr>
          <w:rFonts w:eastAsia="Calibri" w:cs="Arial"/>
          <w:szCs w:val="22"/>
        </w:rPr>
        <w:t>Collaboration with other healthcare professionals through clusters in order to identify and improve the health and wellbeing of the population service by the pharmacy</w:t>
      </w:r>
    </w:p>
    <w:p w14:paraId="56E9A06A" w14:textId="77777777" w:rsidR="00824B25" w:rsidRPr="00D0306F" w:rsidRDefault="00824B25" w:rsidP="00824B25">
      <w:pPr>
        <w:numPr>
          <w:ilvl w:val="0"/>
          <w:numId w:val="14"/>
        </w:numPr>
        <w:rPr>
          <w:rFonts w:eastAsia="Calibri" w:cs="Arial"/>
          <w:szCs w:val="22"/>
        </w:rPr>
      </w:pPr>
      <w:r w:rsidRPr="00D0306F">
        <w:rPr>
          <w:rFonts w:eastAsia="Calibri" w:cs="Arial"/>
          <w:szCs w:val="22"/>
        </w:rPr>
        <w:t>A risk management programme</w:t>
      </w:r>
    </w:p>
    <w:p w14:paraId="5BBBE470" w14:textId="77777777" w:rsidR="00824B25" w:rsidRPr="00D0306F" w:rsidRDefault="00824B25" w:rsidP="00824B25">
      <w:pPr>
        <w:numPr>
          <w:ilvl w:val="0"/>
          <w:numId w:val="14"/>
        </w:numPr>
        <w:rPr>
          <w:rFonts w:eastAsia="Calibri" w:cs="Arial"/>
          <w:szCs w:val="22"/>
        </w:rPr>
      </w:pPr>
      <w:r w:rsidRPr="00D0306F">
        <w:rPr>
          <w:rFonts w:eastAsia="Calibri" w:cs="Arial"/>
          <w:szCs w:val="22"/>
        </w:rPr>
        <w:t>A staffing and staff management programme,</w:t>
      </w:r>
    </w:p>
    <w:p w14:paraId="52378609" w14:textId="77777777" w:rsidR="00824B25" w:rsidRPr="00D0306F" w:rsidRDefault="00824B25" w:rsidP="00824B25">
      <w:pPr>
        <w:numPr>
          <w:ilvl w:val="0"/>
          <w:numId w:val="14"/>
        </w:numPr>
        <w:rPr>
          <w:rFonts w:eastAsia="Calibri" w:cs="Arial"/>
          <w:szCs w:val="22"/>
        </w:rPr>
      </w:pPr>
      <w:r w:rsidRPr="00D0306F">
        <w:rPr>
          <w:rFonts w:eastAsia="Calibri" w:cs="Arial"/>
          <w:szCs w:val="22"/>
        </w:rPr>
        <w:t xml:space="preserve">An information governance programme, and </w:t>
      </w:r>
    </w:p>
    <w:p w14:paraId="371DEFF2" w14:textId="77777777" w:rsidR="00824B25" w:rsidRPr="00D0306F" w:rsidRDefault="00824B25" w:rsidP="00824B25">
      <w:pPr>
        <w:numPr>
          <w:ilvl w:val="0"/>
          <w:numId w:val="14"/>
        </w:numPr>
        <w:rPr>
          <w:rFonts w:eastAsia="Calibri" w:cs="Arial"/>
          <w:szCs w:val="22"/>
        </w:rPr>
      </w:pPr>
      <w:r w:rsidRPr="00D0306F">
        <w:rPr>
          <w:rFonts w:eastAsia="Calibri" w:cs="Arial"/>
          <w:szCs w:val="22"/>
        </w:rPr>
        <w:t>A premises standards programme.</w:t>
      </w:r>
    </w:p>
    <w:p w14:paraId="128AE73E" w14:textId="77777777" w:rsidR="00824B25" w:rsidRPr="00D0306F" w:rsidRDefault="00824B25" w:rsidP="00824B25">
      <w:pPr>
        <w:rPr>
          <w:rFonts w:eastAsia="Aptos" w:cs="Arial"/>
          <w:szCs w:val="22"/>
          <w:lang w:eastAsia="en-GB"/>
        </w:rPr>
      </w:pPr>
    </w:p>
    <w:p w14:paraId="75D5DE35" w14:textId="77777777" w:rsidR="00824B25" w:rsidRPr="00D0306F" w:rsidRDefault="00824B25" w:rsidP="00824B25">
      <w:pPr>
        <w:rPr>
          <w:rFonts w:eastAsia="Aptos" w:cs="Arial"/>
          <w:szCs w:val="22"/>
          <w:lang w:eastAsia="en-GB"/>
        </w:rPr>
      </w:pPr>
      <w:r w:rsidRPr="00D0306F">
        <w:rPr>
          <w:rFonts w:eastAsia="Aptos" w:cs="Arial"/>
          <w:szCs w:val="22"/>
          <w:lang w:eastAsia="en-GB"/>
        </w:rPr>
        <w:t>Pharmacies are required to open for not less than 40 hours per week, and these are referred to as core opening hours, but many choose to open for longer and these additional hours are referred to as supplementary opening hours. Under the NHS (Pharmaceutical Services) (Wales) Regulations 2020 it is possible for pharmacy contractors to successfully apply to open a pharmacy with a greater number of core opening hours in order to meet a need identified in a pharmaceutical needs assessment.</w:t>
      </w:r>
      <w:r w:rsidRPr="00D0306F">
        <w:rPr>
          <w:rFonts w:eastAsia="Aptos" w:cs="Arial"/>
          <w:szCs w:val="22"/>
        </w:rPr>
        <w:t xml:space="preserve"> </w:t>
      </w:r>
      <w:r w:rsidRPr="00D0306F">
        <w:rPr>
          <w:rFonts w:eastAsia="Aptos" w:cs="Arial"/>
          <w:szCs w:val="22"/>
          <w:lang w:eastAsia="en-GB"/>
        </w:rPr>
        <w:t>If a pharmacy wishes to reduce its core opening hours to fewer than 40 per week it must first apply to the health board, however the health board is not required to agree to such a request.</w:t>
      </w:r>
    </w:p>
    <w:p w14:paraId="28BA894C" w14:textId="77777777" w:rsidR="00824B25" w:rsidRPr="00D0306F" w:rsidRDefault="00824B25" w:rsidP="00824B25">
      <w:pPr>
        <w:rPr>
          <w:rFonts w:eastAsia="Aptos" w:cs="Arial"/>
          <w:szCs w:val="22"/>
          <w:lang w:eastAsia="en-GB"/>
        </w:rPr>
      </w:pPr>
    </w:p>
    <w:p w14:paraId="1731EDC5" w14:textId="77777777" w:rsidR="00824B25" w:rsidRPr="00D0306F" w:rsidRDefault="00824B25" w:rsidP="00824B25">
      <w:pPr>
        <w:rPr>
          <w:rFonts w:eastAsia="Aptos" w:cs="Arial"/>
          <w:szCs w:val="22"/>
          <w:lang w:eastAsia="en-GB"/>
        </w:rPr>
      </w:pPr>
      <w:r w:rsidRPr="00D0306F">
        <w:rPr>
          <w:rFonts w:eastAsia="Aptos" w:cs="Arial"/>
          <w:szCs w:val="22"/>
          <w:lang w:eastAsia="en-GB"/>
        </w:rPr>
        <w:t>The proposed opening hours for each pharmacy are set out in the initial application, and if the application is granted and the pharmacy subsequently opens, these form the pharmacy’s contracted opening hours. The contractor can subsequently apply to change their core opening hours and the health board will assess the application against the needs of the population of its area as set out in the pharmaceutical needs assessment to determine whether to agree to the change in core opening hours or not. If a pharmacy contractor wishes to change their supplementary opening hours, they simply notify the health board of the change, giving at least 12 weeks’ notice.</w:t>
      </w:r>
    </w:p>
    <w:p w14:paraId="717B6B24" w14:textId="77777777" w:rsidR="00824B25" w:rsidRPr="00D0306F" w:rsidRDefault="00824B25" w:rsidP="00824B25">
      <w:pPr>
        <w:rPr>
          <w:rFonts w:eastAsia="Aptos" w:cs="Arial"/>
          <w:szCs w:val="22"/>
          <w:lang w:eastAsia="en-GB"/>
        </w:rPr>
      </w:pPr>
    </w:p>
    <w:p w14:paraId="26CA3658" w14:textId="77777777" w:rsidR="00824B25" w:rsidRPr="00D0306F" w:rsidRDefault="00824B25" w:rsidP="00824B25">
      <w:pPr>
        <w:rPr>
          <w:rFonts w:eastAsia="Aptos" w:cs="Arial"/>
          <w:b/>
          <w:bCs/>
          <w:szCs w:val="22"/>
          <w:lang w:eastAsia="en-GB"/>
        </w:rPr>
      </w:pPr>
      <w:r w:rsidRPr="00D0306F">
        <w:rPr>
          <w:rFonts w:eastAsia="Aptos" w:cs="Arial"/>
          <w:b/>
          <w:bCs/>
          <w:szCs w:val="22"/>
          <w:lang w:eastAsia="en-GB"/>
        </w:rPr>
        <w:t>1.3.2 Pharmaceutical services provided by dispensing appliance contractors</w:t>
      </w:r>
    </w:p>
    <w:p w14:paraId="3693A7F5" w14:textId="77777777" w:rsidR="00824B25" w:rsidRPr="00D0306F" w:rsidRDefault="00824B25" w:rsidP="00824B25">
      <w:pPr>
        <w:rPr>
          <w:rFonts w:eastAsia="Aptos" w:cs="Arial"/>
          <w:szCs w:val="22"/>
          <w:lang w:eastAsia="en-GB"/>
        </w:rPr>
      </w:pPr>
    </w:p>
    <w:p w14:paraId="599F419C" w14:textId="77777777" w:rsidR="00824B25" w:rsidRPr="00D0306F" w:rsidRDefault="00824B25" w:rsidP="00824B25">
      <w:pPr>
        <w:rPr>
          <w:rFonts w:eastAsia="Aptos" w:cs="Arial"/>
          <w:szCs w:val="22"/>
          <w:lang w:eastAsia="en-GB"/>
        </w:rPr>
      </w:pPr>
      <w:r w:rsidRPr="00D0306F">
        <w:rPr>
          <w:rFonts w:eastAsia="Aptos" w:cs="Arial"/>
          <w:szCs w:val="22"/>
          <w:lang w:eastAsia="en-GB"/>
        </w:rPr>
        <w:t>As with pharmacy contractors, Swansea Bay University Health Board does not hold contracts with dispensing appliance contractors. Their terms of service are set out in schedule 6 of the NHS (Pharmaceutical Services) (Wales) Regulations 2020 and the Pharmaceutical Services (Advanced Services) (Appliances) (Wales) Directions 2010.</w:t>
      </w:r>
    </w:p>
    <w:p w14:paraId="4DA4F52F" w14:textId="77777777" w:rsidR="00824B25" w:rsidRPr="00D0306F" w:rsidRDefault="00824B25" w:rsidP="00824B25">
      <w:pPr>
        <w:rPr>
          <w:rFonts w:eastAsia="Aptos" w:cs="Arial"/>
          <w:szCs w:val="22"/>
          <w:lang w:eastAsia="en-GB"/>
        </w:rPr>
      </w:pPr>
    </w:p>
    <w:p w14:paraId="4C5EDB0C" w14:textId="77777777" w:rsidR="00824B25" w:rsidRPr="00D0306F" w:rsidRDefault="00824B25" w:rsidP="00824B25">
      <w:pPr>
        <w:rPr>
          <w:rFonts w:eastAsia="Aptos" w:cs="Arial"/>
          <w:szCs w:val="22"/>
          <w:lang w:eastAsia="en-GB"/>
        </w:rPr>
      </w:pPr>
      <w:r w:rsidRPr="00D0306F">
        <w:rPr>
          <w:rFonts w:eastAsia="Aptos" w:cs="Arial"/>
          <w:szCs w:val="22"/>
          <w:lang w:eastAsia="en-GB"/>
        </w:rPr>
        <w:t>Dispensing appliance contractors provide the following services for appliances (not drugs), for example catheters and colostomy bags, which fall within the definition of pharmaceutical services:</w:t>
      </w:r>
    </w:p>
    <w:p w14:paraId="6E06466E" w14:textId="77777777" w:rsidR="00824B25" w:rsidRPr="00D0306F" w:rsidRDefault="00824B25" w:rsidP="00824B25">
      <w:pPr>
        <w:rPr>
          <w:rFonts w:eastAsia="Aptos" w:cs="Arial"/>
          <w:szCs w:val="22"/>
          <w:lang w:eastAsia="en-GB"/>
        </w:rPr>
      </w:pPr>
    </w:p>
    <w:p w14:paraId="01C8D975" w14:textId="77777777" w:rsidR="00824B25" w:rsidRPr="00D0306F" w:rsidRDefault="00824B25" w:rsidP="00824B25">
      <w:pPr>
        <w:numPr>
          <w:ilvl w:val="0"/>
          <w:numId w:val="15"/>
        </w:numPr>
        <w:rPr>
          <w:rFonts w:eastAsia="Calibri" w:cs="Arial"/>
          <w:szCs w:val="22"/>
        </w:rPr>
      </w:pPr>
      <w:r w:rsidRPr="00D0306F">
        <w:rPr>
          <w:rFonts w:eastAsia="Calibri" w:cs="Arial"/>
          <w:szCs w:val="22"/>
        </w:rPr>
        <w:t>Dispensing of prescriptions, including urgent supply without a prescription</w:t>
      </w:r>
    </w:p>
    <w:p w14:paraId="114B1BC6" w14:textId="77777777" w:rsidR="00824B25" w:rsidRPr="00D0306F" w:rsidRDefault="00824B25" w:rsidP="00824B25">
      <w:pPr>
        <w:numPr>
          <w:ilvl w:val="0"/>
          <w:numId w:val="15"/>
        </w:numPr>
        <w:rPr>
          <w:rFonts w:eastAsia="Calibri" w:cs="Arial"/>
          <w:szCs w:val="22"/>
        </w:rPr>
      </w:pPr>
      <w:r w:rsidRPr="00D0306F">
        <w:rPr>
          <w:rFonts w:eastAsia="Calibri" w:cs="Arial"/>
          <w:szCs w:val="22"/>
        </w:rPr>
        <w:t>Dispensing of repeatable prescriptions</w:t>
      </w:r>
    </w:p>
    <w:p w14:paraId="09752C3D" w14:textId="77777777" w:rsidR="00824B25" w:rsidRPr="00D0306F" w:rsidRDefault="00824B25" w:rsidP="00824B25">
      <w:pPr>
        <w:numPr>
          <w:ilvl w:val="0"/>
          <w:numId w:val="15"/>
        </w:numPr>
        <w:rPr>
          <w:rFonts w:eastAsia="Calibri" w:cs="Arial"/>
          <w:szCs w:val="22"/>
        </w:rPr>
      </w:pPr>
      <w:r w:rsidRPr="00D0306F">
        <w:rPr>
          <w:rFonts w:eastAsia="Calibri" w:cs="Arial"/>
          <w:szCs w:val="22"/>
        </w:rPr>
        <w:t>Home delivery service for some items</w:t>
      </w:r>
    </w:p>
    <w:p w14:paraId="6F2ED834" w14:textId="77777777" w:rsidR="00824B25" w:rsidRPr="00D0306F" w:rsidRDefault="00824B25" w:rsidP="00824B25">
      <w:pPr>
        <w:numPr>
          <w:ilvl w:val="0"/>
          <w:numId w:val="15"/>
        </w:numPr>
        <w:rPr>
          <w:rFonts w:eastAsia="Calibri" w:cs="Arial"/>
          <w:szCs w:val="22"/>
        </w:rPr>
      </w:pPr>
      <w:r w:rsidRPr="00D0306F">
        <w:rPr>
          <w:rFonts w:eastAsia="Calibri" w:cs="Arial"/>
          <w:szCs w:val="22"/>
        </w:rPr>
        <w:t>Supply of appropriate supplementary items (e.g. disposable wipes and disposal bags)</w:t>
      </w:r>
    </w:p>
    <w:p w14:paraId="73293DFF" w14:textId="77777777" w:rsidR="00824B25" w:rsidRPr="00D0306F" w:rsidRDefault="00824B25" w:rsidP="00824B25">
      <w:pPr>
        <w:numPr>
          <w:ilvl w:val="0"/>
          <w:numId w:val="15"/>
        </w:numPr>
        <w:rPr>
          <w:rFonts w:eastAsia="Calibri" w:cs="Arial"/>
          <w:szCs w:val="22"/>
        </w:rPr>
      </w:pPr>
      <w:r w:rsidRPr="00D0306F">
        <w:rPr>
          <w:rFonts w:eastAsia="Calibri" w:cs="Arial"/>
          <w:szCs w:val="22"/>
        </w:rPr>
        <w:t>Provision of expert clinical advice regarding the appliances, and</w:t>
      </w:r>
    </w:p>
    <w:p w14:paraId="103C4A43" w14:textId="77777777" w:rsidR="00824B25" w:rsidRPr="00D0306F" w:rsidRDefault="00824B25" w:rsidP="00824B25">
      <w:pPr>
        <w:numPr>
          <w:ilvl w:val="0"/>
          <w:numId w:val="15"/>
        </w:numPr>
        <w:rPr>
          <w:rFonts w:eastAsia="Calibri" w:cs="Arial"/>
          <w:szCs w:val="22"/>
        </w:rPr>
      </w:pPr>
      <w:r w:rsidRPr="00D0306F">
        <w:rPr>
          <w:rFonts w:eastAsia="Calibri" w:cs="Arial"/>
          <w:szCs w:val="22"/>
        </w:rPr>
        <w:t>Signposting</w:t>
      </w:r>
    </w:p>
    <w:p w14:paraId="73F9B218" w14:textId="77777777" w:rsidR="00824B25" w:rsidRPr="00D0306F" w:rsidRDefault="00824B25" w:rsidP="00824B25">
      <w:pPr>
        <w:rPr>
          <w:rFonts w:eastAsia="Aptos" w:cs="Arial"/>
          <w:szCs w:val="22"/>
          <w:lang w:eastAsia="en-GB"/>
        </w:rPr>
      </w:pPr>
    </w:p>
    <w:p w14:paraId="4D32470B" w14:textId="77777777" w:rsidR="00824B25" w:rsidRPr="00D0306F" w:rsidRDefault="00824B25" w:rsidP="00824B25">
      <w:pPr>
        <w:rPr>
          <w:rFonts w:eastAsia="Aptos" w:cs="Arial"/>
          <w:szCs w:val="22"/>
          <w:lang w:eastAsia="en-GB"/>
        </w:rPr>
      </w:pPr>
      <w:r w:rsidRPr="00D0306F">
        <w:rPr>
          <w:rFonts w:eastAsia="Aptos" w:cs="Arial"/>
          <w:szCs w:val="22"/>
          <w:lang w:eastAsia="en-GB"/>
        </w:rPr>
        <w:lastRenderedPageBreak/>
        <w:t>They may also choose to provide advanced services. If they do choose to provide them then they must meet certain requirements and must also be fully compliant with their terms of service and the clinical governance requirements. The two national community pharmacy and appliance contractor services that they may provide are:</w:t>
      </w:r>
    </w:p>
    <w:p w14:paraId="1CDC4272" w14:textId="77777777" w:rsidR="00824B25" w:rsidRPr="00D0306F" w:rsidRDefault="00824B25" w:rsidP="00824B25">
      <w:pPr>
        <w:rPr>
          <w:rFonts w:eastAsia="Calibri" w:cs="Arial"/>
          <w:szCs w:val="22"/>
        </w:rPr>
      </w:pPr>
    </w:p>
    <w:p w14:paraId="48EDD3E6" w14:textId="77777777" w:rsidR="00824B25" w:rsidRPr="00D0306F" w:rsidRDefault="00824B25" w:rsidP="00824B25">
      <w:pPr>
        <w:numPr>
          <w:ilvl w:val="0"/>
          <w:numId w:val="16"/>
        </w:numPr>
        <w:rPr>
          <w:rFonts w:eastAsia="Calibri" w:cs="Arial"/>
          <w:szCs w:val="22"/>
        </w:rPr>
      </w:pPr>
      <w:r w:rsidRPr="00D0306F">
        <w:rPr>
          <w:rFonts w:eastAsia="Calibri" w:cs="Arial"/>
          <w:szCs w:val="22"/>
        </w:rPr>
        <w:t>Stoma appliance customisation service</w:t>
      </w:r>
    </w:p>
    <w:p w14:paraId="66E6F924" w14:textId="77777777" w:rsidR="00824B25" w:rsidRPr="00D0306F" w:rsidRDefault="00824B25" w:rsidP="00824B25">
      <w:pPr>
        <w:numPr>
          <w:ilvl w:val="0"/>
          <w:numId w:val="16"/>
        </w:numPr>
        <w:rPr>
          <w:rFonts w:eastAsia="Calibri" w:cs="Arial"/>
          <w:szCs w:val="22"/>
        </w:rPr>
      </w:pPr>
      <w:r w:rsidRPr="00D0306F">
        <w:rPr>
          <w:rFonts w:eastAsia="Calibri" w:cs="Arial"/>
          <w:szCs w:val="22"/>
        </w:rPr>
        <w:t>Appliance use reviews service</w:t>
      </w:r>
    </w:p>
    <w:p w14:paraId="45F0CB12" w14:textId="77777777" w:rsidR="00824B25" w:rsidRPr="00D0306F" w:rsidRDefault="00824B25" w:rsidP="00824B25">
      <w:pPr>
        <w:rPr>
          <w:rFonts w:eastAsia="Aptos" w:cs="Arial"/>
          <w:szCs w:val="22"/>
          <w:lang w:eastAsia="en-GB"/>
        </w:rPr>
      </w:pPr>
    </w:p>
    <w:p w14:paraId="41AB4815" w14:textId="77777777" w:rsidR="00824B25" w:rsidRPr="00D0306F" w:rsidRDefault="00824B25" w:rsidP="00824B25">
      <w:pPr>
        <w:rPr>
          <w:rFonts w:eastAsia="Aptos" w:cs="Arial"/>
          <w:szCs w:val="22"/>
          <w:lang w:eastAsia="en-GB"/>
        </w:rPr>
      </w:pPr>
      <w:r w:rsidRPr="00D0306F">
        <w:rPr>
          <w:rFonts w:eastAsia="Aptos" w:cs="Arial"/>
          <w:szCs w:val="22"/>
          <w:lang w:eastAsia="en-GB"/>
        </w:rPr>
        <w:t>As with pharmacies, dispensing appliance contractors are required to participate in a system of clinical governance. This system is set out within the NHS (Pharmaceutical Services) (Wales) Regulations 2020 and includes:</w:t>
      </w:r>
    </w:p>
    <w:p w14:paraId="62F91F99" w14:textId="77777777" w:rsidR="00824B25" w:rsidRPr="00D0306F" w:rsidRDefault="00824B25" w:rsidP="00824B25">
      <w:pPr>
        <w:rPr>
          <w:rFonts w:eastAsia="Aptos" w:cs="Arial"/>
          <w:szCs w:val="22"/>
          <w:lang w:eastAsia="en-GB"/>
        </w:rPr>
      </w:pPr>
    </w:p>
    <w:p w14:paraId="0A3E25D9" w14:textId="77777777" w:rsidR="00824B25" w:rsidRPr="00D0306F" w:rsidRDefault="00824B25" w:rsidP="00824B25">
      <w:pPr>
        <w:numPr>
          <w:ilvl w:val="0"/>
          <w:numId w:val="17"/>
        </w:numPr>
        <w:rPr>
          <w:rFonts w:eastAsia="Calibri" w:cs="Arial"/>
          <w:szCs w:val="22"/>
        </w:rPr>
      </w:pPr>
      <w:r w:rsidRPr="00D0306F">
        <w:rPr>
          <w:rFonts w:eastAsia="Calibri" w:cs="Arial"/>
          <w:szCs w:val="22"/>
        </w:rPr>
        <w:t>A patient and public involvement programme</w:t>
      </w:r>
    </w:p>
    <w:p w14:paraId="0D3EB394" w14:textId="77777777" w:rsidR="00824B25" w:rsidRPr="00D0306F" w:rsidRDefault="00824B25" w:rsidP="00824B25">
      <w:pPr>
        <w:numPr>
          <w:ilvl w:val="0"/>
          <w:numId w:val="17"/>
        </w:numPr>
        <w:rPr>
          <w:rFonts w:eastAsia="Calibri" w:cs="Arial"/>
          <w:szCs w:val="22"/>
        </w:rPr>
      </w:pPr>
      <w:r w:rsidRPr="00D0306F">
        <w:rPr>
          <w:rFonts w:eastAsia="Calibri" w:cs="Arial"/>
          <w:szCs w:val="22"/>
        </w:rPr>
        <w:t>A clinical audit programme</w:t>
      </w:r>
    </w:p>
    <w:p w14:paraId="397BDBA7" w14:textId="77777777" w:rsidR="00824B25" w:rsidRPr="00D0306F" w:rsidRDefault="00824B25" w:rsidP="00824B25">
      <w:pPr>
        <w:numPr>
          <w:ilvl w:val="0"/>
          <w:numId w:val="17"/>
        </w:numPr>
        <w:rPr>
          <w:rFonts w:eastAsia="Calibri" w:cs="Arial"/>
          <w:szCs w:val="22"/>
        </w:rPr>
      </w:pPr>
      <w:r w:rsidRPr="00D0306F">
        <w:rPr>
          <w:rFonts w:eastAsia="Calibri" w:cs="Arial"/>
          <w:szCs w:val="22"/>
        </w:rPr>
        <w:t>A risk management programme</w:t>
      </w:r>
    </w:p>
    <w:p w14:paraId="5FA679EC" w14:textId="77777777" w:rsidR="00824B25" w:rsidRPr="00D0306F" w:rsidRDefault="00824B25" w:rsidP="00824B25">
      <w:pPr>
        <w:numPr>
          <w:ilvl w:val="0"/>
          <w:numId w:val="17"/>
        </w:numPr>
        <w:rPr>
          <w:rFonts w:eastAsia="Calibri" w:cs="Arial"/>
          <w:szCs w:val="22"/>
        </w:rPr>
      </w:pPr>
      <w:r w:rsidRPr="00D0306F">
        <w:rPr>
          <w:rFonts w:eastAsia="Calibri" w:cs="Arial"/>
          <w:szCs w:val="22"/>
        </w:rPr>
        <w:t>A clinical effectiveness programme</w:t>
      </w:r>
    </w:p>
    <w:p w14:paraId="10A02DED" w14:textId="77777777" w:rsidR="00824B25" w:rsidRPr="00D0306F" w:rsidRDefault="00824B25" w:rsidP="00824B25">
      <w:pPr>
        <w:numPr>
          <w:ilvl w:val="0"/>
          <w:numId w:val="17"/>
        </w:numPr>
        <w:rPr>
          <w:rFonts w:eastAsia="Calibri" w:cs="Arial"/>
          <w:szCs w:val="22"/>
        </w:rPr>
      </w:pPr>
      <w:r w:rsidRPr="00D0306F">
        <w:rPr>
          <w:rFonts w:eastAsia="Calibri" w:cs="Arial"/>
          <w:szCs w:val="22"/>
        </w:rPr>
        <w:t xml:space="preserve">A staffing and staff programme </w:t>
      </w:r>
    </w:p>
    <w:p w14:paraId="6C0E92BE" w14:textId="77777777" w:rsidR="00824B25" w:rsidRPr="00D0306F" w:rsidRDefault="00824B25" w:rsidP="00824B25">
      <w:pPr>
        <w:numPr>
          <w:ilvl w:val="0"/>
          <w:numId w:val="17"/>
        </w:numPr>
        <w:rPr>
          <w:rFonts w:eastAsia="Calibri" w:cs="Arial"/>
          <w:szCs w:val="22"/>
        </w:rPr>
      </w:pPr>
      <w:r w:rsidRPr="00D0306F">
        <w:rPr>
          <w:rFonts w:eastAsia="Calibri" w:cs="Arial"/>
          <w:szCs w:val="22"/>
        </w:rPr>
        <w:t>An information governance programme, and</w:t>
      </w:r>
    </w:p>
    <w:p w14:paraId="06208554" w14:textId="77777777" w:rsidR="00824B25" w:rsidRPr="00D0306F" w:rsidRDefault="00824B25" w:rsidP="00824B25">
      <w:pPr>
        <w:numPr>
          <w:ilvl w:val="0"/>
          <w:numId w:val="17"/>
        </w:numPr>
        <w:rPr>
          <w:rFonts w:eastAsia="Calibri" w:cs="Arial"/>
          <w:szCs w:val="22"/>
        </w:rPr>
      </w:pPr>
      <w:r w:rsidRPr="00D0306F">
        <w:rPr>
          <w:rFonts w:eastAsia="Calibri" w:cs="Arial"/>
          <w:szCs w:val="22"/>
        </w:rPr>
        <w:t>A premises standards programme</w:t>
      </w:r>
    </w:p>
    <w:p w14:paraId="28A79633" w14:textId="77777777" w:rsidR="00824B25" w:rsidRPr="00D0306F" w:rsidRDefault="00824B25" w:rsidP="00824B25">
      <w:pPr>
        <w:rPr>
          <w:rFonts w:eastAsia="Calibri" w:cs="Arial"/>
          <w:szCs w:val="22"/>
        </w:rPr>
      </w:pPr>
    </w:p>
    <w:p w14:paraId="4039DC39" w14:textId="77777777" w:rsidR="00824B25" w:rsidRPr="00D0306F" w:rsidRDefault="00824B25" w:rsidP="00824B25">
      <w:pPr>
        <w:rPr>
          <w:rFonts w:eastAsia="Aptos" w:cs="Arial"/>
          <w:szCs w:val="22"/>
          <w:lang w:eastAsia="en-GB"/>
        </w:rPr>
      </w:pPr>
      <w:r w:rsidRPr="00D0306F">
        <w:rPr>
          <w:rFonts w:eastAsia="Aptos" w:cs="Arial"/>
          <w:szCs w:val="22"/>
          <w:lang w:eastAsia="en-GB"/>
        </w:rPr>
        <w:t>Further information on the requirements for these services can be found in appendix E.</w:t>
      </w:r>
    </w:p>
    <w:p w14:paraId="06C24B4E" w14:textId="77777777" w:rsidR="00824B25" w:rsidRPr="00D0306F" w:rsidRDefault="00824B25" w:rsidP="00824B25">
      <w:pPr>
        <w:rPr>
          <w:rFonts w:eastAsia="Aptos" w:cs="Arial"/>
          <w:szCs w:val="22"/>
          <w:lang w:eastAsia="en-GB"/>
        </w:rPr>
      </w:pPr>
    </w:p>
    <w:p w14:paraId="66CFA595" w14:textId="77777777" w:rsidR="00824B25" w:rsidRPr="00D0306F" w:rsidRDefault="00824B25" w:rsidP="00824B25">
      <w:pPr>
        <w:rPr>
          <w:rFonts w:eastAsia="Aptos" w:cs="Arial"/>
          <w:b/>
          <w:bCs/>
          <w:szCs w:val="22"/>
          <w:lang w:eastAsia="en-GB"/>
        </w:rPr>
      </w:pPr>
      <w:r w:rsidRPr="00D0306F">
        <w:rPr>
          <w:rFonts w:eastAsia="Aptos" w:cs="Arial"/>
          <w:b/>
          <w:bCs/>
          <w:szCs w:val="22"/>
          <w:lang w:eastAsia="en-GB"/>
        </w:rPr>
        <w:t>1.3.3 Pharmaceutical services provided by doctors</w:t>
      </w:r>
    </w:p>
    <w:p w14:paraId="47103273" w14:textId="77777777" w:rsidR="00824B25" w:rsidRPr="00D0306F" w:rsidRDefault="00824B25" w:rsidP="00824B25">
      <w:pPr>
        <w:rPr>
          <w:rFonts w:eastAsia="Aptos" w:cs="Arial"/>
          <w:szCs w:val="22"/>
          <w:lang w:eastAsia="en-GB"/>
        </w:rPr>
      </w:pPr>
    </w:p>
    <w:p w14:paraId="536C4024" w14:textId="77777777" w:rsidR="00824B25" w:rsidRPr="00D0306F" w:rsidRDefault="00824B25" w:rsidP="00824B25">
      <w:pPr>
        <w:rPr>
          <w:rFonts w:eastAsia="Aptos" w:cs="Arial"/>
          <w:szCs w:val="22"/>
          <w:lang w:eastAsia="en-GB"/>
        </w:rPr>
      </w:pPr>
      <w:r w:rsidRPr="00D0306F">
        <w:rPr>
          <w:rFonts w:eastAsia="Aptos" w:cs="Arial"/>
          <w:szCs w:val="22"/>
          <w:lang w:eastAsia="en-GB"/>
        </w:rPr>
        <w:t>The NHS (Pharmaceutical Services) (Wales) Regulations 2020 allow doctors to dispense to eligible patients in certain circumstances. The regulations are complicated on this matter but in summary:</w:t>
      </w:r>
    </w:p>
    <w:p w14:paraId="7AE58129" w14:textId="77777777" w:rsidR="00824B25" w:rsidRPr="00D0306F" w:rsidRDefault="00824B25" w:rsidP="00824B25">
      <w:pPr>
        <w:rPr>
          <w:rFonts w:eastAsia="Aptos" w:cs="Arial"/>
          <w:szCs w:val="22"/>
          <w:lang w:eastAsia="en-GB"/>
        </w:rPr>
      </w:pPr>
    </w:p>
    <w:p w14:paraId="51990B2A" w14:textId="77777777" w:rsidR="00824B25" w:rsidRPr="00D0306F" w:rsidRDefault="00824B25" w:rsidP="00824B25">
      <w:pPr>
        <w:numPr>
          <w:ilvl w:val="0"/>
          <w:numId w:val="18"/>
        </w:numPr>
        <w:rPr>
          <w:rFonts w:eastAsia="Calibri" w:cs="Arial"/>
          <w:szCs w:val="22"/>
        </w:rPr>
      </w:pPr>
      <w:r w:rsidRPr="00D0306F">
        <w:rPr>
          <w:rFonts w:eastAsia="Calibri" w:cs="Arial"/>
          <w:szCs w:val="22"/>
        </w:rPr>
        <w:t>Patients must live in a ‘controlled locality’ (an area which has been determined by the health board or a preceding organisation as rural in character, or on appeal by the Welsh Ministers), more than 1.6km (measured in a straight line) from a pharmacy, and</w:t>
      </w:r>
    </w:p>
    <w:p w14:paraId="774E1B1A" w14:textId="77777777" w:rsidR="00824B25" w:rsidRPr="00D0306F" w:rsidRDefault="00824B25" w:rsidP="00824B25">
      <w:pPr>
        <w:numPr>
          <w:ilvl w:val="0"/>
          <w:numId w:val="18"/>
        </w:numPr>
        <w:rPr>
          <w:rFonts w:eastAsia="Calibri" w:cs="Arial"/>
          <w:szCs w:val="22"/>
        </w:rPr>
      </w:pPr>
      <w:r w:rsidRPr="00D0306F">
        <w:rPr>
          <w:rFonts w:eastAsia="Calibri" w:cs="Arial"/>
          <w:szCs w:val="22"/>
        </w:rPr>
        <w:t>Their practice must have premises approval and outline consent to dispense to that area.</w:t>
      </w:r>
    </w:p>
    <w:p w14:paraId="0A72B447" w14:textId="77777777" w:rsidR="00824B25" w:rsidRPr="00D0306F" w:rsidRDefault="00824B25" w:rsidP="00824B25">
      <w:pPr>
        <w:rPr>
          <w:rFonts w:eastAsia="Aptos" w:cs="Arial"/>
          <w:szCs w:val="22"/>
          <w:lang w:eastAsia="en-GB"/>
        </w:rPr>
      </w:pPr>
    </w:p>
    <w:p w14:paraId="6D7AB6C5" w14:textId="77777777" w:rsidR="00824B25" w:rsidRPr="00D0306F" w:rsidRDefault="00824B25" w:rsidP="00824B25">
      <w:pPr>
        <w:rPr>
          <w:rFonts w:eastAsia="Aptos" w:cs="Arial"/>
          <w:szCs w:val="22"/>
          <w:lang w:eastAsia="en-GB"/>
        </w:rPr>
      </w:pPr>
      <w:r w:rsidRPr="00D0306F">
        <w:rPr>
          <w:rFonts w:eastAsia="Aptos" w:cs="Arial"/>
          <w:szCs w:val="22"/>
          <w:lang w:eastAsia="en-GB"/>
        </w:rPr>
        <w:t xml:space="preserve">There are some exceptions to this, for example patients who have satisfied the health board that they would have serious difficulty in accessing a pharmacy by reason of distance or inadequacy of means of communication. </w:t>
      </w:r>
    </w:p>
    <w:p w14:paraId="17C29F80" w14:textId="77777777" w:rsidR="00824B25" w:rsidRPr="00D0306F" w:rsidRDefault="00824B25" w:rsidP="00824B25">
      <w:pPr>
        <w:rPr>
          <w:rFonts w:eastAsia="Aptos" w:cs="Arial"/>
          <w:szCs w:val="22"/>
          <w:lang w:eastAsia="en-GB"/>
        </w:rPr>
      </w:pPr>
    </w:p>
    <w:p w14:paraId="206DB5C3" w14:textId="77777777" w:rsidR="00824B25" w:rsidRPr="00D0306F" w:rsidRDefault="00824B25" w:rsidP="00824B25">
      <w:pPr>
        <w:rPr>
          <w:rFonts w:eastAsia="Aptos" w:cs="Arial"/>
          <w:szCs w:val="22"/>
          <w:lang w:eastAsia="en-GB"/>
        </w:rPr>
      </w:pPr>
      <w:r w:rsidRPr="00D0306F">
        <w:rPr>
          <w:rFonts w:eastAsia="Aptos" w:cs="Arial"/>
          <w:szCs w:val="22"/>
          <w:lang w:eastAsia="en-GB"/>
        </w:rPr>
        <w:t>There is one controlled locality within the health board’s area.</w:t>
      </w:r>
    </w:p>
    <w:p w14:paraId="2BE2BF86" w14:textId="77777777" w:rsidR="00824B25" w:rsidRPr="00D0306F" w:rsidRDefault="00824B25" w:rsidP="00824B25">
      <w:pPr>
        <w:rPr>
          <w:rFonts w:eastAsia="Aptos" w:cs="Arial"/>
          <w:szCs w:val="22"/>
          <w:lang w:eastAsia="en-GB"/>
        </w:rPr>
      </w:pPr>
    </w:p>
    <w:p w14:paraId="34DA4EAC" w14:textId="77777777" w:rsidR="00824B25" w:rsidRPr="00D0306F" w:rsidRDefault="00824B25" w:rsidP="00824B25">
      <w:pPr>
        <w:rPr>
          <w:rFonts w:eastAsia="Aptos" w:cs="Arial"/>
          <w:b/>
          <w:sz w:val="26"/>
          <w:szCs w:val="22"/>
          <w:lang w:eastAsia="en-GB"/>
        </w:rPr>
      </w:pPr>
      <w:r w:rsidRPr="00D0306F">
        <w:rPr>
          <w:rFonts w:eastAsia="Aptos" w:cs="Arial"/>
          <w:b/>
          <w:sz w:val="26"/>
          <w:szCs w:val="22"/>
          <w:lang w:eastAsia="en-GB"/>
        </w:rPr>
        <w:t>1.4 Other NHS services</w:t>
      </w:r>
    </w:p>
    <w:p w14:paraId="3608F1E7" w14:textId="77777777" w:rsidR="00824B25" w:rsidRPr="00D0306F" w:rsidRDefault="00824B25" w:rsidP="00824B25">
      <w:pPr>
        <w:rPr>
          <w:rFonts w:eastAsia="Aptos" w:cs="Arial"/>
          <w:szCs w:val="22"/>
          <w:lang w:eastAsia="en-GB"/>
        </w:rPr>
      </w:pPr>
    </w:p>
    <w:p w14:paraId="10350775" w14:textId="77777777" w:rsidR="00824B25" w:rsidRPr="00D0306F" w:rsidRDefault="00824B25" w:rsidP="00824B25">
      <w:pPr>
        <w:rPr>
          <w:rFonts w:eastAsia="Aptos" w:cs="Arial"/>
          <w:szCs w:val="22"/>
          <w:lang w:eastAsia="en-GB"/>
        </w:rPr>
      </w:pPr>
      <w:r w:rsidRPr="00D0306F">
        <w:rPr>
          <w:rFonts w:eastAsia="Aptos" w:cs="Arial"/>
          <w:szCs w:val="22"/>
          <w:lang w:eastAsia="en-GB"/>
        </w:rPr>
        <w:t xml:space="preserve">Other services which are commissioned or provided by Swansea Bay University Health Board, which affect the need for pharmaceutical services are also included within the pharmaceutical needs assessment. </w:t>
      </w:r>
    </w:p>
    <w:p w14:paraId="5D6BD37E" w14:textId="77777777" w:rsidR="00824B25" w:rsidRPr="00D0306F" w:rsidRDefault="00824B25" w:rsidP="00824B25">
      <w:pPr>
        <w:rPr>
          <w:rFonts w:eastAsia="Aptos" w:cs="Arial"/>
          <w:szCs w:val="22"/>
          <w:lang w:eastAsia="en-GB"/>
        </w:rPr>
      </w:pPr>
    </w:p>
    <w:p w14:paraId="4AF8EB76" w14:textId="77777777" w:rsidR="00824B25" w:rsidRPr="00D0306F" w:rsidRDefault="00824B25" w:rsidP="00824B25">
      <w:pPr>
        <w:rPr>
          <w:rFonts w:eastAsia="Aptos" w:cs="Arial"/>
          <w:szCs w:val="22"/>
          <w:lang w:eastAsia="en-GB"/>
        </w:rPr>
      </w:pPr>
    </w:p>
    <w:p w14:paraId="0C9D6743" w14:textId="77777777" w:rsidR="00824B25" w:rsidRPr="00D0306F" w:rsidRDefault="00824B25" w:rsidP="00824B25">
      <w:pPr>
        <w:rPr>
          <w:rFonts w:eastAsia="Aptos" w:cs="Arial"/>
          <w:b/>
          <w:sz w:val="26"/>
          <w:szCs w:val="22"/>
          <w:lang w:eastAsia="en-GB"/>
        </w:rPr>
      </w:pPr>
      <w:r w:rsidRPr="00D0306F">
        <w:rPr>
          <w:rFonts w:eastAsia="Aptos" w:cs="Arial"/>
          <w:b/>
          <w:sz w:val="26"/>
          <w:szCs w:val="22"/>
          <w:lang w:eastAsia="en-GB"/>
        </w:rPr>
        <w:lastRenderedPageBreak/>
        <w:t>1.5 How the assessment was undertaken</w:t>
      </w:r>
    </w:p>
    <w:p w14:paraId="0D8F2AB1" w14:textId="77777777" w:rsidR="00824B25" w:rsidRPr="00D0306F" w:rsidRDefault="00824B25" w:rsidP="00824B25">
      <w:pPr>
        <w:rPr>
          <w:rFonts w:eastAsia="Aptos" w:cs="Arial"/>
          <w:szCs w:val="22"/>
          <w:lang w:eastAsia="en-GB"/>
        </w:rPr>
      </w:pPr>
    </w:p>
    <w:p w14:paraId="4865885D" w14:textId="77777777" w:rsidR="00824B25" w:rsidRPr="00D0306F" w:rsidRDefault="00824B25" w:rsidP="00824B25">
      <w:pPr>
        <w:rPr>
          <w:rFonts w:eastAsia="Aptos" w:cs="Arial"/>
          <w:b/>
          <w:bCs/>
          <w:szCs w:val="22"/>
          <w:lang w:eastAsia="en-GB"/>
        </w:rPr>
      </w:pPr>
      <w:r w:rsidRPr="00D0306F">
        <w:rPr>
          <w:rFonts w:eastAsia="Aptos" w:cs="Arial"/>
          <w:b/>
          <w:bCs/>
          <w:szCs w:val="22"/>
          <w:lang w:eastAsia="en-GB"/>
        </w:rPr>
        <w:t>1.5.1 Pharmaceutical needs assessment steering group</w:t>
      </w:r>
    </w:p>
    <w:p w14:paraId="7A2D3D3C" w14:textId="77777777" w:rsidR="00824B25" w:rsidRPr="00D0306F" w:rsidRDefault="00824B25" w:rsidP="00824B25">
      <w:pPr>
        <w:rPr>
          <w:rFonts w:eastAsia="Aptos" w:cs="Arial"/>
          <w:szCs w:val="22"/>
          <w:lang w:eastAsia="en-GB"/>
        </w:rPr>
      </w:pPr>
    </w:p>
    <w:p w14:paraId="349324C1" w14:textId="77777777" w:rsidR="00824B25" w:rsidRPr="00D0306F" w:rsidRDefault="00824B25" w:rsidP="00824B25">
      <w:pPr>
        <w:rPr>
          <w:rFonts w:eastAsia="Aptos" w:cs="Arial"/>
          <w:szCs w:val="22"/>
          <w:lang w:eastAsia="en-GB"/>
        </w:rPr>
      </w:pPr>
      <w:r w:rsidRPr="00D0306F">
        <w:rPr>
          <w:rFonts w:eastAsia="Aptos" w:cs="Arial"/>
          <w:szCs w:val="22"/>
          <w:lang w:eastAsia="en-GB"/>
        </w:rPr>
        <w:t>Swansea Bay University Health Board has overall responsibility for the publication of the pharmaceutical needs assessment. It established a pharmaceutical needs assessment steering group whose purpose was to ensure that the development of a robust pharmaceutical needs assessment that complies with the NHS (Pharmaceutical Services) (Wales) Regulations 2020 and meets the needs of the local population. The membership of the steering group ensured all the main stakeholders were represented and can be found in Appendix F.</w:t>
      </w:r>
    </w:p>
    <w:p w14:paraId="0BF5C0A1" w14:textId="77777777" w:rsidR="00824B25" w:rsidRPr="00D0306F" w:rsidRDefault="00824B25" w:rsidP="00824B25">
      <w:pPr>
        <w:rPr>
          <w:rFonts w:eastAsia="Aptos" w:cs="Arial"/>
          <w:szCs w:val="22"/>
          <w:lang w:eastAsia="en-GB"/>
        </w:rPr>
      </w:pPr>
    </w:p>
    <w:p w14:paraId="6DEBA306" w14:textId="77777777" w:rsidR="00824B25" w:rsidRPr="00D0306F" w:rsidRDefault="00824B25" w:rsidP="00824B25">
      <w:pPr>
        <w:rPr>
          <w:rFonts w:eastAsia="Aptos" w:cs="Arial"/>
          <w:b/>
          <w:bCs/>
          <w:szCs w:val="22"/>
          <w:lang w:eastAsia="en-GB"/>
        </w:rPr>
      </w:pPr>
      <w:r w:rsidRPr="00D0306F">
        <w:rPr>
          <w:rFonts w:eastAsia="Aptos" w:cs="Arial"/>
          <w:b/>
          <w:bCs/>
          <w:szCs w:val="22"/>
          <w:lang w:eastAsia="en-GB"/>
        </w:rPr>
        <w:t>1.5.2 Pharmaceutical needs assessment localities</w:t>
      </w:r>
    </w:p>
    <w:p w14:paraId="03DA0269" w14:textId="77777777" w:rsidR="00824B25" w:rsidRPr="00D0306F" w:rsidRDefault="00824B25" w:rsidP="00824B25">
      <w:pPr>
        <w:rPr>
          <w:rFonts w:eastAsia="Aptos" w:cs="Arial"/>
          <w:szCs w:val="22"/>
          <w:lang w:eastAsia="en-GB"/>
        </w:rPr>
      </w:pPr>
    </w:p>
    <w:p w14:paraId="5D9B38E7" w14:textId="77777777" w:rsidR="00824B25" w:rsidRPr="00D0306F" w:rsidRDefault="00824B25" w:rsidP="00824B25">
      <w:pPr>
        <w:rPr>
          <w:rFonts w:eastAsia="Aptos" w:cs="Arial"/>
          <w:szCs w:val="22"/>
          <w:lang w:eastAsia="en-GB"/>
        </w:rPr>
      </w:pPr>
      <w:r w:rsidRPr="00D0306F">
        <w:rPr>
          <w:rFonts w:eastAsia="Aptos" w:cs="Arial"/>
          <w:szCs w:val="22"/>
          <w:lang w:eastAsia="en-GB"/>
        </w:rPr>
        <w:t>The localities that have been used for the pharmaceutical needs assessment match the boundaries of the eight primary care clusters within the health board, namely:</w:t>
      </w:r>
    </w:p>
    <w:p w14:paraId="26E2F00E" w14:textId="77777777" w:rsidR="00824B25" w:rsidRPr="00D0306F" w:rsidRDefault="00824B25" w:rsidP="00824B25">
      <w:pPr>
        <w:rPr>
          <w:rFonts w:eastAsia="Aptos" w:cs="Arial"/>
          <w:szCs w:val="22"/>
          <w:lang w:eastAsia="en-GB"/>
        </w:rPr>
      </w:pPr>
    </w:p>
    <w:p w14:paraId="45962D12" w14:textId="77777777" w:rsidR="00824B25" w:rsidRPr="00D0306F" w:rsidRDefault="00824B25" w:rsidP="00824B25">
      <w:pPr>
        <w:numPr>
          <w:ilvl w:val="0"/>
          <w:numId w:val="8"/>
        </w:numPr>
        <w:rPr>
          <w:rFonts w:eastAsia="Aptos" w:cs="Arial"/>
          <w:szCs w:val="22"/>
          <w:lang w:eastAsia="en-GB"/>
        </w:rPr>
      </w:pPr>
      <w:r w:rsidRPr="00D0306F">
        <w:rPr>
          <w:rFonts w:eastAsia="Aptos" w:cs="Arial"/>
          <w:szCs w:val="22"/>
          <w:lang w:eastAsia="en-GB"/>
        </w:rPr>
        <w:t>Afan</w:t>
      </w:r>
    </w:p>
    <w:p w14:paraId="2D4BE1C8" w14:textId="77777777" w:rsidR="00824B25" w:rsidRPr="00D0306F" w:rsidRDefault="00824B25" w:rsidP="00824B25">
      <w:pPr>
        <w:numPr>
          <w:ilvl w:val="0"/>
          <w:numId w:val="8"/>
        </w:numPr>
        <w:rPr>
          <w:rFonts w:eastAsia="Aptos" w:cs="Arial"/>
          <w:szCs w:val="22"/>
          <w:lang w:eastAsia="en-GB"/>
        </w:rPr>
      </w:pPr>
      <w:r w:rsidRPr="00D0306F">
        <w:rPr>
          <w:rFonts w:eastAsia="Aptos" w:cs="Arial"/>
          <w:szCs w:val="22"/>
          <w:lang w:eastAsia="en-GB"/>
        </w:rPr>
        <w:t>Neath</w:t>
      </w:r>
    </w:p>
    <w:p w14:paraId="5321921E" w14:textId="77777777" w:rsidR="00824B25" w:rsidRPr="00D0306F" w:rsidRDefault="00824B25" w:rsidP="00824B25">
      <w:pPr>
        <w:numPr>
          <w:ilvl w:val="0"/>
          <w:numId w:val="8"/>
        </w:numPr>
        <w:rPr>
          <w:rFonts w:eastAsia="Aptos" w:cs="Arial"/>
          <w:szCs w:val="22"/>
          <w:lang w:eastAsia="en-GB"/>
        </w:rPr>
      </w:pPr>
      <w:r w:rsidRPr="00D0306F">
        <w:rPr>
          <w:rFonts w:eastAsia="Aptos" w:cs="Arial"/>
          <w:szCs w:val="22"/>
          <w:lang w:eastAsia="en-GB"/>
        </w:rPr>
        <w:t>Upper Valley</w:t>
      </w:r>
    </w:p>
    <w:p w14:paraId="49EF6848" w14:textId="77777777" w:rsidR="00824B25" w:rsidRPr="00D0306F" w:rsidRDefault="00824B25" w:rsidP="00824B25">
      <w:pPr>
        <w:numPr>
          <w:ilvl w:val="0"/>
          <w:numId w:val="8"/>
        </w:numPr>
        <w:rPr>
          <w:rFonts w:eastAsia="Aptos" w:cs="Arial"/>
          <w:szCs w:val="22"/>
          <w:lang w:eastAsia="en-GB"/>
        </w:rPr>
      </w:pPr>
      <w:r w:rsidRPr="00D0306F">
        <w:rPr>
          <w:rFonts w:eastAsia="Aptos" w:cs="Arial"/>
          <w:szCs w:val="22"/>
          <w:lang w:eastAsia="en-GB"/>
        </w:rPr>
        <w:t>Cwmtawe</w:t>
      </w:r>
    </w:p>
    <w:p w14:paraId="008074C4" w14:textId="77777777" w:rsidR="00824B25" w:rsidRPr="00D0306F" w:rsidRDefault="00824B25" w:rsidP="00824B25">
      <w:pPr>
        <w:numPr>
          <w:ilvl w:val="0"/>
          <w:numId w:val="8"/>
        </w:numPr>
        <w:rPr>
          <w:rFonts w:eastAsia="Aptos" w:cs="Arial"/>
          <w:szCs w:val="22"/>
          <w:lang w:eastAsia="en-GB"/>
        </w:rPr>
      </w:pPr>
      <w:r w:rsidRPr="00D0306F">
        <w:rPr>
          <w:rFonts w:eastAsia="Aptos" w:cs="Arial"/>
          <w:szCs w:val="22"/>
          <w:lang w:eastAsia="en-GB"/>
        </w:rPr>
        <w:t>Penderi</w:t>
      </w:r>
    </w:p>
    <w:p w14:paraId="5B0C382D" w14:textId="77777777" w:rsidR="00824B25" w:rsidRPr="00D0306F" w:rsidRDefault="00824B25" w:rsidP="00824B25">
      <w:pPr>
        <w:numPr>
          <w:ilvl w:val="0"/>
          <w:numId w:val="8"/>
        </w:numPr>
        <w:rPr>
          <w:rFonts w:eastAsia="Aptos" w:cs="Arial"/>
          <w:szCs w:val="22"/>
          <w:lang w:eastAsia="en-GB"/>
        </w:rPr>
      </w:pPr>
      <w:r w:rsidRPr="00D0306F">
        <w:rPr>
          <w:rFonts w:eastAsia="Aptos" w:cs="Arial"/>
          <w:szCs w:val="22"/>
          <w:lang w:eastAsia="en-GB"/>
        </w:rPr>
        <w:t>City</w:t>
      </w:r>
    </w:p>
    <w:p w14:paraId="7ED4004B" w14:textId="77777777" w:rsidR="00824B25" w:rsidRPr="00D0306F" w:rsidRDefault="00824B25" w:rsidP="00824B25">
      <w:pPr>
        <w:numPr>
          <w:ilvl w:val="0"/>
          <w:numId w:val="8"/>
        </w:numPr>
        <w:rPr>
          <w:rFonts w:eastAsia="Aptos" w:cs="Arial"/>
          <w:szCs w:val="22"/>
          <w:lang w:eastAsia="en-GB"/>
        </w:rPr>
      </w:pPr>
      <w:r w:rsidRPr="00D0306F">
        <w:rPr>
          <w:rFonts w:eastAsia="Aptos" w:cs="Arial"/>
          <w:szCs w:val="22"/>
          <w:lang w:eastAsia="en-GB"/>
        </w:rPr>
        <w:t>Bay</w:t>
      </w:r>
    </w:p>
    <w:p w14:paraId="261C42C5" w14:textId="77777777" w:rsidR="00824B25" w:rsidRPr="00D0306F" w:rsidRDefault="00824B25" w:rsidP="00824B25">
      <w:pPr>
        <w:numPr>
          <w:ilvl w:val="0"/>
          <w:numId w:val="8"/>
        </w:numPr>
        <w:rPr>
          <w:rFonts w:eastAsia="Aptos" w:cs="Arial"/>
          <w:szCs w:val="22"/>
          <w:lang w:eastAsia="en-GB"/>
        </w:rPr>
      </w:pPr>
      <w:r w:rsidRPr="00D0306F">
        <w:rPr>
          <w:rFonts w:eastAsia="Aptos" w:cs="Arial"/>
          <w:szCs w:val="22"/>
          <w:lang w:eastAsia="en-GB"/>
        </w:rPr>
        <w:t>Llwchwr</w:t>
      </w:r>
    </w:p>
    <w:p w14:paraId="48B8D125" w14:textId="77777777" w:rsidR="00824B25" w:rsidRPr="00D0306F" w:rsidRDefault="00824B25" w:rsidP="00824B25">
      <w:pPr>
        <w:rPr>
          <w:rFonts w:eastAsia="Aptos" w:cs="Arial"/>
          <w:szCs w:val="22"/>
          <w:lang w:eastAsia="en-GB"/>
        </w:rPr>
      </w:pPr>
    </w:p>
    <w:p w14:paraId="753C5905" w14:textId="77777777" w:rsidR="00824B25" w:rsidRPr="00D0306F" w:rsidRDefault="00824B25" w:rsidP="00824B25">
      <w:pPr>
        <w:rPr>
          <w:rFonts w:eastAsia="Aptos" w:cs="Arial"/>
          <w:szCs w:val="22"/>
          <w:lang w:eastAsia="en-GB"/>
        </w:rPr>
      </w:pPr>
      <w:r w:rsidRPr="00D0306F">
        <w:rPr>
          <w:rFonts w:eastAsia="Aptos" w:cs="Arial"/>
          <w:szCs w:val="22"/>
          <w:lang w:eastAsia="en-GB"/>
        </w:rPr>
        <w:t>Definition of clusters. “A cluster brings together all local services involved in health and care across a geographical area, typically serving a population between 25,000 and 100,000. Working as a cluster ensures care is better co-ordinated to promote the wellbeing of individuals and communities.”</w:t>
      </w:r>
    </w:p>
    <w:p w14:paraId="27301A31" w14:textId="77777777" w:rsidR="00824B25" w:rsidRPr="00D0306F" w:rsidRDefault="00824B25" w:rsidP="00824B25">
      <w:pPr>
        <w:rPr>
          <w:rFonts w:eastAsia="Aptos" w:cs="Arial"/>
          <w:szCs w:val="22"/>
          <w:lang w:eastAsia="en-GB"/>
        </w:rPr>
      </w:pPr>
    </w:p>
    <w:p w14:paraId="7B698990" w14:textId="77777777" w:rsidR="00824B25" w:rsidRPr="00D0306F" w:rsidRDefault="00824B25" w:rsidP="00824B25">
      <w:pPr>
        <w:rPr>
          <w:rFonts w:eastAsia="Aptos" w:cs="Arial"/>
          <w:szCs w:val="22"/>
          <w:lang w:eastAsia="en-GB"/>
        </w:rPr>
      </w:pPr>
      <w:r w:rsidRPr="00D0306F">
        <w:rPr>
          <w:rFonts w:eastAsia="Aptos" w:cs="Arial"/>
          <w:szCs w:val="22"/>
          <w:lang w:eastAsia="en-GB"/>
        </w:rPr>
        <w:t>Clusters are central to delivering the Primary Care Model for Wales and developing the links to the regional partnership boards and the wider community infrastructure to support Health and well-being care and deliver the quadruple aims of ‘A Healthier Wales’.</w:t>
      </w:r>
    </w:p>
    <w:p w14:paraId="1ACF4942" w14:textId="77777777" w:rsidR="00824B25" w:rsidRPr="00D0306F" w:rsidRDefault="00824B25" w:rsidP="00824B25">
      <w:pPr>
        <w:rPr>
          <w:rFonts w:eastAsia="Aptos" w:cs="Arial"/>
          <w:szCs w:val="22"/>
          <w:lang w:eastAsia="en-GB"/>
        </w:rPr>
      </w:pPr>
    </w:p>
    <w:p w14:paraId="1D3A2AD7" w14:textId="77777777" w:rsidR="00824B25" w:rsidRPr="00D0306F" w:rsidRDefault="00824B25" w:rsidP="00824B25">
      <w:pPr>
        <w:rPr>
          <w:rFonts w:eastAsia="Aptos" w:cs="Arial"/>
          <w:szCs w:val="22"/>
          <w:lang w:eastAsia="en-GB"/>
        </w:rPr>
      </w:pPr>
      <w:r w:rsidRPr="00D0306F">
        <w:rPr>
          <w:rFonts w:eastAsia="Aptos" w:cs="Arial"/>
          <w:szCs w:val="22"/>
          <w:lang w:eastAsia="en-GB"/>
        </w:rPr>
        <w:t>Health planning is done on a cluster basis with each cluster producing a three-yearly integrated medium term plan which is reviewed annually. The integrated medium term plan includes population needs assessments and an asset profile for each cluster; these help to plan services on a population needs basis.</w:t>
      </w:r>
    </w:p>
    <w:p w14:paraId="5B8A46FB" w14:textId="77777777" w:rsidR="00824B25" w:rsidRPr="00D0306F" w:rsidRDefault="00824B25" w:rsidP="00824B25">
      <w:pPr>
        <w:rPr>
          <w:rFonts w:eastAsia="Aptos" w:cs="Arial"/>
          <w:szCs w:val="22"/>
          <w:lang w:eastAsia="en-GB"/>
        </w:rPr>
      </w:pPr>
    </w:p>
    <w:p w14:paraId="62D1F2F5" w14:textId="77777777" w:rsidR="00824B25" w:rsidRPr="00D0306F" w:rsidRDefault="00824B25" w:rsidP="00824B25">
      <w:pPr>
        <w:rPr>
          <w:rFonts w:eastAsia="Aptos" w:cs="Arial"/>
          <w:szCs w:val="22"/>
          <w:lang w:eastAsia="en-GB"/>
        </w:rPr>
      </w:pPr>
      <w:r w:rsidRPr="00D0306F">
        <w:rPr>
          <w:rFonts w:eastAsia="Aptos" w:cs="Arial"/>
          <w:szCs w:val="22"/>
          <w:lang w:eastAsia="en-GB"/>
        </w:rPr>
        <w:t>Pharmacy is one of the primary care contractors and therefore a relevant provider of services within a cluster.</w:t>
      </w:r>
      <w:r w:rsidRPr="00D0306F">
        <w:rPr>
          <w:rFonts w:eastAsia="Calibri" w:cs="Arial"/>
          <w:szCs w:val="22"/>
        </w:rPr>
        <w:t xml:space="preserve"> Clusters are therefore a natural footprint for the localities within this pharmaceutical needs assessment.</w:t>
      </w:r>
    </w:p>
    <w:p w14:paraId="2B6290CC" w14:textId="77777777" w:rsidR="00824B25" w:rsidRPr="00D0306F" w:rsidRDefault="00824B25" w:rsidP="00824B25">
      <w:pPr>
        <w:rPr>
          <w:rFonts w:eastAsia="Aptos" w:cs="Arial"/>
          <w:szCs w:val="22"/>
          <w:lang w:eastAsia="en-GB"/>
        </w:rPr>
      </w:pPr>
    </w:p>
    <w:p w14:paraId="7F59BC3F" w14:textId="77777777" w:rsidR="00824B25" w:rsidRPr="00D0306F" w:rsidRDefault="00824B25" w:rsidP="00824B25">
      <w:pPr>
        <w:rPr>
          <w:rFonts w:eastAsia="Aptos" w:cs="Arial"/>
          <w:b/>
          <w:bCs/>
          <w:szCs w:val="22"/>
          <w:lang w:eastAsia="en-GB"/>
        </w:rPr>
      </w:pPr>
      <w:r w:rsidRPr="00D0306F">
        <w:rPr>
          <w:rFonts w:eastAsia="Aptos" w:cs="Arial"/>
          <w:b/>
          <w:bCs/>
          <w:szCs w:val="22"/>
          <w:lang w:eastAsia="en-GB"/>
        </w:rPr>
        <w:t>1.5.3 Public engagement</w:t>
      </w:r>
    </w:p>
    <w:p w14:paraId="3097AA6F" w14:textId="77777777" w:rsidR="00824B25" w:rsidRPr="00D0306F" w:rsidRDefault="00824B25" w:rsidP="00824B25">
      <w:pPr>
        <w:rPr>
          <w:rFonts w:eastAsia="Aptos" w:cs="Arial"/>
          <w:szCs w:val="22"/>
          <w:lang w:eastAsia="en-GB"/>
        </w:rPr>
      </w:pPr>
    </w:p>
    <w:p w14:paraId="45722D61" w14:textId="77777777" w:rsidR="00824B25" w:rsidRPr="00D0306F" w:rsidRDefault="00824B25" w:rsidP="00824B25">
      <w:pPr>
        <w:rPr>
          <w:rFonts w:eastAsia="Aptos" w:cs="Arial"/>
          <w:szCs w:val="22"/>
          <w:lang w:val="en-US" w:eastAsia="en-GB"/>
        </w:rPr>
      </w:pPr>
      <w:r w:rsidRPr="00D0306F">
        <w:rPr>
          <w:rFonts w:eastAsia="Aptos" w:cs="Arial"/>
          <w:szCs w:val="22"/>
          <w:lang w:eastAsia="en-GB"/>
        </w:rPr>
        <w:t xml:space="preserve">In order to gain the views of the public on pharmaceutical services, a questionnaire was developed and made available via an online survey platform from 30 March 2026 to 27 April 2026. </w:t>
      </w:r>
      <w:r w:rsidRPr="00D0306F">
        <w:rPr>
          <w:rFonts w:eastAsia="Aptos" w:cs="Arial"/>
          <w:szCs w:val="22"/>
          <w:lang w:val="en-US" w:eastAsia="en-GB"/>
        </w:rPr>
        <w:t xml:space="preserve">The survey was promoted through the health board’s website, </w:t>
      </w:r>
      <w:r w:rsidRPr="00D0306F">
        <w:rPr>
          <w:rFonts w:eastAsia="Aptos" w:cs="Arial"/>
          <w:szCs w:val="22"/>
          <w:lang w:val="en-US" w:eastAsia="en-GB"/>
        </w:rPr>
        <w:lastRenderedPageBreak/>
        <w:t>on all social media platforms and posters were displayed in all pharmacies. The health board informed Llais of the questionnaire prior to it going live.</w:t>
      </w:r>
    </w:p>
    <w:p w14:paraId="4843BFE6" w14:textId="77777777" w:rsidR="00824B25" w:rsidRPr="00D0306F" w:rsidRDefault="00824B25" w:rsidP="00824B25">
      <w:pPr>
        <w:rPr>
          <w:rFonts w:eastAsia="Aptos" w:cs="Arial"/>
          <w:szCs w:val="22"/>
          <w:lang w:eastAsia="en-GB"/>
        </w:rPr>
      </w:pPr>
    </w:p>
    <w:p w14:paraId="6A25B657" w14:textId="77777777" w:rsidR="00824B25" w:rsidRPr="00D0306F" w:rsidRDefault="00824B25" w:rsidP="00824B25">
      <w:pPr>
        <w:rPr>
          <w:rFonts w:eastAsia="Aptos" w:cs="Arial"/>
          <w:szCs w:val="22"/>
          <w:lang w:eastAsia="en-GB"/>
        </w:rPr>
      </w:pPr>
      <w:r w:rsidRPr="00D0306F">
        <w:rPr>
          <w:rFonts w:eastAsia="Aptos" w:cs="Arial"/>
          <w:szCs w:val="22"/>
          <w:lang w:eastAsia="en-GB"/>
        </w:rPr>
        <w:t xml:space="preserve">A copy, which shows the questions asked, can be found in appendix G. The full results can be found in appendix H. </w:t>
      </w:r>
    </w:p>
    <w:p w14:paraId="43D11500" w14:textId="77777777" w:rsidR="00824B25" w:rsidRPr="00D0306F" w:rsidRDefault="00824B25" w:rsidP="00824B25">
      <w:pPr>
        <w:rPr>
          <w:rFonts w:eastAsia="Aptos" w:cs="Arial"/>
          <w:szCs w:val="22"/>
          <w:lang w:eastAsia="en-GB"/>
        </w:rPr>
      </w:pPr>
    </w:p>
    <w:p w14:paraId="471F8255" w14:textId="77777777" w:rsidR="00824B25" w:rsidRDefault="00824B25" w:rsidP="00824B25">
      <w:pPr>
        <w:rPr>
          <w:rFonts w:eastAsia="Aptos" w:cs="Arial"/>
          <w:szCs w:val="22"/>
          <w:lang w:val="en-US" w:eastAsia="en-GB"/>
        </w:rPr>
      </w:pPr>
      <w:r w:rsidRPr="00D0306F">
        <w:rPr>
          <w:rFonts w:eastAsia="Aptos" w:cs="Arial"/>
          <w:szCs w:val="22"/>
          <w:lang w:val="en-US" w:eastAsia="en-GB"/>
        </w:rPr>
        <w:t>There were 119 responses to the public engagement questionnaire, 113 via the online questionnaire and six as hard copies. 117 responses were in English and two in Welsh.</w:t>
      </w:r>
    </w:p>
    <w:p w14:paraId="78CAAFB6" w14:textId="77777777" w:rsidR="00365B11" w:rsidRDefault="00365B11" w:rsidP="00824B25">
      <w:pPr>
        <w:rPr>
          <w:rFonts w:eastAsia="Aptos" w:cs="Arial"/>
          <w:szCs w:val="22"/>
          <w:lang w:val="en-US" w:eastAsia="en-GB"/>
        </w:rPr>
      </w:pPr>
    </w:p>
    <w:p w14:paraId="5354E93A" w14:textId="6ADF72DE" w:rsidR="00365B11" w:rsidRPr="00365B11" w:rsidRDefault="00365B11" w:rsidP="00365B11">
      <w:pPr>
        <w:rPr>
          <w:rFonts w:eastAsia="Aptos" w:cs="Arial"/>
          <w:szCs w:val="22"/>
          <w:lang w:eastAsia="en-GB"/>
        </w:rPr>
      </w:pPr>
      <w:r w:rsidRPr="00365B11">
        <w:rPr>
          <w:rFonts w:eastAsia="Aptos" w:cs="Arial"/>
          <w:szCs w:val="22"/>
          <w:lang w:eastAsia="en-GB"/>
        </w:rPr>
        <w:t xml:space="preserve">The </w:t>
      </w:r>
      <w:r>
        <w:rPr>
          <w:rFonts w:eastAsia="Aptos" w:cs="Arial"/>
          <w:szCs w:val="22"/>
          <w:lang w:eastAsia="en-GB"/>
        </w:rPr>
        <w:t>responses</w:t>
      </w:r>
      <w:r w:rsidRPr="00365B11">
        <w:rPr>
          <w:rFonts w:eastAsia="Aptos" w:cs="Arial"/>
          <w:szCs w:val="22"/>
          <w:lang w:eastAsia="en-GB"/>
        </w:rPr>
        <w:t xml:space="preserve"> provide useful insight into </w:t>
      </w:r>
      <w:r>
        <w:rPr>
          <w:rFonts w:eastAsia="Aptos" w:cs="Arial"/>
          <w:szCs w:val="22"/>
          <w:lang w:eastAsia="en-GB"/>
        </w:rPr>
        <w:t>the public’s</w:t>
      </w:r>
      <w:r w:rsidRPr="00365B11">
        <w:rPr>
          <w:rFonts w:eastAsia="Aptos" w:cs="Arial"/>
          <w:szCs w:val="22"/>
          <w:lang w:eastAsia="en-GB"/>
        </w:rPr>
        <w:t xml:space="preserve"> experience and perceptions of pharmaceutical services; however, the findings should be interpreted with caution. Only 119 responses were received</w:t>
      </w:r>
      <w:r w:rsidR="00180EE4">
        <w:rPr>
          <w:rFonts w:eastAsia="Aptos" w:cs="Arial"/>
          <w:szCs w:val="22"/>
          <w:lang w:eastAsia="en-GB"/>
        </w:rPr>
        <w:t>,</w:t>
      </w:r>
      <w:r w:rsidRPr="00365B11">
        <w:rPr>
          <w:rFonts w:eastAsia="Aptos" w:cs="Arial"/>
          <w:szCs w:val="22"/>
          <w:lang w:eastAsia="en-GB"/>
        </w:rPr>
        <w:t xml:space="preserve"> and respondents were predominantly older adults and English speakers. The survey is therefore unlikely to fully represent the views of all residents, particularly minority ethnic communities, people who are digitally excluded, younger adults and those whose first language is neither English nor Welsh. The survey findings have therefore been considered alongside demographic, health needs and service utilisation data when reaching the conclusions of this assessment</w:t>
      </w:r>
      <w:r w:rsidR="00180EE4">
        <w:rPr>
          <w:rFonts w:eastAsia="Aptos" w:cs="Arial"/>
          <w:szCs w:val="22"/>
          <w:lang w:eastAsia="en-GB"/>
        </w:rPr>
        <w:t>.</w:t>
      </w:r>
    </w:p>
    <w:p w14:paraId="1ED7CED9" w14:textId="77777777" w:rsidR="00824B25" w:rsidRPr="00D0306F" w:rsidRDefault="00824B25" w:rsidP="00824B25">
      <w:pPr>
        <w:rPr>
          <w:rFonts w:eastAsia="Aptos" w:cs="Arial"/>
          <w:szCs w:val="22"/>
          <w:lang w:val="en-US" w:eastAsia="en-GB"/>
        </w:rPr>
      </w:pPr>
    </w:p>
    <w:p w14:paraId="582717BF" w14:textId="77777777" w:rsidR="00824B25" w:rsidRPr="00D0306F" w:rsidRDefault="00824B25" w:rsidP="00824B25">
      <w:pPr>
        <w:rPr>
          <w:rFonts w:eastAsia="Aptos" w:cs="Arial"/>
          <w:b/>
          <w:bCs/>
          <w:szCs w:val="22"/>
          <w:lang w:val="en-US" w:eastAsia="en-GB"/>
        </w:rPr>
      </w:pPr>
      <w:r w:rsidRPr="00D0306F">
        <w:rPr>
          <w:rFonts w:eastAsia="Aptos" w:cs="Arial"/>
          <w:b/>
          <w:bCs/>
          <w:szCs w:val="22"/>
          <w:lang w:val="en-US" w:eastAsia="en-GB"/>
        </w:rPr>
        <w:t>1.5.3.1 About the respondents</w:t>
      </w:r>
    </w:p>
    <w:p w14:paraId="6EC6EE13" w14:textId="77777777" w:rsidR="00824B25" w:rsidRPr="00D0306F" w:rsidRDefault="00824B25" w:rsidP="00824B25">
      <w:pPr>
        <w:rPr>
          <w:rFonts w:eastAsia="Aptos" w:cs="Arial"/>
          <w:szCs w:val="22"/>
          <w:lang w:val="en-US" w:eastAsia="en-GB"/>
        </w:rPr>
      </w:pPr>
    </w:p>
    <w:p w14:paraId="60A83A20" w14:textId="77777777" w:rsidR="00824B25" w:rsidRPr="00D0306F" w:rsidRDefault="00824B25" w:rsidP="00824B25">
      <w:pPr>
        <w:rPr>
          <w:rFonts w:eastAsia="Aptos" w:cs="Arial"/>
          <w:szCs w:val="22"/>
          <w:lang w:val="en-US" w:eastAsia="en-GB"/>
        </w:rPr>
      </w:pPr>
      <w:r w:rsidRPr="00D0306F">
        <w:rPr>
          <w:rFonts w:eastAsia="Aptos" w:cs="Arial"/>
          <w:szCs w:val="22"/>
          <w:lang w:val="en-US" w:eastAsia="en-GB"/>
        </w:rPr>
        <w:t>Responses were received from people living across the health board area which was evidenced by the partial postcodes provided.</w:t>
      </w:r>
    </w:p>
    <w:p w14:paraId="30CAB4C5" w14:textId="77777777" w:rsidR="00824B25" w:rsidRPr="00D0306F" w:rsidRDefault="00824B25" w:rsidP="00824B25">
      <w:pPr>
        <w:rPr>
          <w:rFonts w:eastAsia="Aptos" w:cs="Arial"/>
          <w:szCs w:val="22"/>
          <w:lang w:val="en-US" w:eastAsia="en-GB"/>
        </w:rPr>
      </w:pPr>
    </w:p>
    <w:p w14:paraId="6B85A68E" w14:textId="77777777" w:rsidR="00824B25" w:rsidRPr="00D0306F" w:rsidRDefault="00824B25" w:rsidP="00824B25">
      <w:pPr>
        <w:rPr>
          <w:rFonts w:eastAsia="Aptos" w:cs="Arial"/>
          <w:szCs w:val="22"/>
          <w:lang w:val="en-US" w:eastAsia="en-GB"/>
        </w:rPr>
      </w:pPr>
      <w:r w:rsidRPr="00D0306F">
        <w:rPr>
          <w:rFonts w:eastAsia="Aptos" w:cs="Arial"/>
          <w:szCs w:val="22"/>
          <w:lang w:val="en-US" w:eastAsia="en-GB"/>
        </w:rPr>
        <w:t xml:space="preserve">The majority of respondents were female (96) followed by males (23). The largest groups of respondents were aged 65 – 74 years (26.6%) followed by those aged 55 – 64 years (25.5%). </w:t>
      </w:r>
    </w:p>
    <w:p w14:paraId="0153903F" w14:textId="77777777" w:rsidR="00824B25" w:rsidRPr="00D0306F" w:rsidRDefault="00824B25" w:rsidP="00824B25">
      <w:pPr>
        <w:rPr>
          <w:rFonts w:eastAsia="Aptos" w:cs="Arial"/>
          <w:szCs w:val="22"/>
          <w:lang w:val="en-US" w:eastAsia="en-GB"/>
        </w:rPr>
      </w:pPr>
    </w:p>
    <w:p w14:paraId="7DD181B2" w14:textId="77777777" w:rsidR="00824B25" w:rsidRPr="00D0306F" w:rsidRDefault="00824B25" w:rsidP="00824B25">
      <w:pPr>
        <w:rPr>
          <w:rFonts w:eastAsia="Aptos" w:cs="Arial"/>
          <w:b/>
          <w:bCs/>
          <w:szCs w:val="22"/>
          <w:lang w:eastAsia="en-GB"/>
        </w:rPr>
      </w:pPr>
      <w:r w:rsidRPr="00D0306F">
        <w:rPr>
          <w:rFonts w:eastAsia="Aptos" w:cs="Arial"/>
          <w:b/>
          <w:bCs/>
          <w:szCs w:val="22"/>
          <w:lang w:eastAsia="en-GB"/>
        </w:rPr>
        <w:t xml:space="preserve">Figure 1.1: Age range of respondents </w:t>
      </w:r>
    </w:p>
    <w:p w14:paraId="69698E70" w14:textId="77777777" w:rsidR="00824B25" w:rsidRPr="00D0306F" w:rsidRDefault="00824B25" w:rsidP="00824B25">
      <w:pPr>
        <w:rPr>
          <w:rFonts w:eastAsia="Aptos" w:cs="Arial"/>
          <w:color w:val="000000"/>
          <w:szCs w:val="22"/>
          <w:lang w:eastAsia="en-GB"/>
        </w:rPr>
      </w:pPr>
    </w:p>
    <w:p w14:paraId="118A3EF9" w14:textId="77777777" w:rsidR="00824B25" w:rsidRPr="00D0306F" w:rsidRDefault="00824B25" w:rsidP="00824B25">
      <w:pPr>
        <w:rPr>
          <w:rFonts w:eastAsia="Aptos" w:cs="Arial"/>
          <w:color w:val="000000"/>
          <w:szCs w:val="22"/>
          <w:lang w:eastAsia="en-GB"/>
        </w:rPr>
      </w:pPr>
      <w:r w:rsidRPr="00D0306F">
        <w:rPr>
          <w:rFonts w:eastAsia="Aptos" w:cs="Arial"/>
          <w:noProof/>
          <w:szCs w:val="22"/>
        </w:rPr>
        <w:drawing>
          <wp:inline distT="0" distB="0" distL="0" distR="0" wp14:anchorId="071985B9" wp14:editId="5F02DF8E">
            <wp:extent cx="5429250" cy="2752725"/>
            <wp:effectExtent l="0" t="0" r="0" b="9525"/>
            <wp:docPr id="1" name="Picture 1" descr="Bar chart showing survey respondents by age group. Responses increase with age, from 0 in the 0–15 group and 1 in the 16–24 group, to 7 (25–34), 16 (35–44), and 22 (45–54). The highest counts are among ages 55–64 (32 responses) and 65–74 (30 responses), before dropping to 10 responses for ages 75 and above. The chart indicates that most respondents are aged 55–74.">
              <a:extLst xmlns:a="http://schemas.openxmlformats.org/drawingml/2006/main">
                <a:ext uri="{FF2B5EF4-FFF2-40B4-BE49-F238E27FC236}">
                  <a16:creationId xmlns:a16="http://schemas.microsoft.com/office/drawing/2014/main" id="{D49C8F8A-EB2B-D6C8-2BE4-70CD040D46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F9E9997" w14:textId="77777777" w:rsidR="00824B25" w:rsidRPr="00D0306F" w:rsidRDefault="00824B25" w:rsidP="00824B25">
      <w:pPr>
        <w:rPr>
          <w:rFonts w:eastAsia="Aptos" w:cs="Arial"/>
          <w:szCs w:val="22"/>
          <w:lang w:eastAsia="en-GB"/>
        </w:rPr>
      </w:pPr>
    </w:p>
    <w:p w14:paraId="02772C79" w14:textId="77777777" w:rsidR="00824B25" w:rsidRPr="00D0306F" w:rsidRDefault="00824B25" w:rsidP="00824B25">
      <w:pPr>
        <w:rPr>
          <w:rFonts w:eastAsia="Aptos" w:cs="Arial"/>
          <w:szCs w:val="22"/>
          <w:lang w:eastAsia="en-GB"/>
        </w:rPr>
      </w:pPr>
      <w:r w:rsidRPr="00D0306F">
        <w:rPr>
          <w:rFonts w:eastAsia="Aptos" w:cs="Arial"/>
          <w:szCs w:val="22"/>
          <w:lang w:eastAsia="en-GB"/>
        </w:rPr>
        <w:lastRenderedPageBreak/>
        <w:t>97.5% (116 people) said their preferred language was English when accessing services at a pharmacy or GP practice. Only 2.5% (two people) said their preferred language was Welsh.</w:t>
      </w:r>
    </w:p>
    <w:p w14:paraId="30F1BFC0" w14:textId="77777777" w:rsidR="00824B25" w:rsidRPr="00D0306F" w:rsidRDefault="00824B25" w:rsidP="00824B25">
      <w:pPr>
        <w:rPr>
          <w:rFonts w:eastAsia="Aptos" w:cs="Arial"/>
          <w:szCs w:val="22"/>
          <w:lang w:eastAsia="en-GB"/>
        </w:rPr>
      </w:pPr>
    </w:p>
    <w:p w14:paraId="4555FF85" w14:textId="77777777" w:rsidR="00824B25" w:rsidRPr="00D0306F" w:rsidRDefault="00824B25" w:rsidP="00824B25">
      <w:pPr>
        <w:rPr>
          <w:rFonts w:eastAsia="Aptos" w:cs="Arial"/>
          <w:szCs w:val="22"/>
          <w:lang w:eastAsia="en-GB"/>
        </w:rPr>
      </w:pPr>
      <w:r w:rsidRPr="00D0306F">
        <w:rPr>
          <w:rFonts w:eastAsia="Aptos" w:cs="Arial"/>
          <w:szCs w:val="22"/>
          <w:lang w:eastAsia="en-GB"/>
        </w:rPr>
        <w:t xml:space="preserve">When asked why they usually visit a pharmacy, 119 people answered the question and a total of 378 responses were received. Multiple answers could be given to this question. The majority of responses received show that people visit a pharmacy to get or collect a prescription for themselves (92.4%%, 110 responses) or to get or to collect a prescription for someone else (53.8%, 64 responses). </w:t>
      </w:r>
    </w:p>
    <w:p w14:paraId="4D2D79A3" w14:textId="77777777" w:rsidR="00824B25" w:rsidRPr="00D0306F" w:rsidRDefault="00824B25" w:rsidP="00824B25">
      <w:pPr>
        <w:rPr>
          <w:rFonts w:eastAsia="Aptos" w:cs="Arial"/>
          <w:szCs w:val="22"/>
          <w:lang w:eastAsia="en-GB"/>
        </w:rPr>
      </w:pPr>
    </w:p>
    <w:p w14:paraId="021A9337" w14:textId="77777777" w:rsidR="00824B25" w:rsidRPr="00D0306F" w:rsidRDefault="00824B25" w:rsidP="00824B25">
      <w:pPr>
        <w:rPr>
          <w:rFonts w:eastAsia="Aptos" w:cs="Arial"/>
          <w:b/>
          <w:bCs/>
          <w:szCs w:val="22"/>
          <w:lang w:eastAsia="en-GB"/>
        </w:rPr>
      </w:pPr>
      <w:r w:rsidRPr="00D0306F">
        <w:rPr>
          <w:rFonts w:eastAsia="Aptos" w:cs="Arial"/>
          <w:b/>
          <w:bCs/>
          <w:szCs w:val="22"/>
          <w:lang w:eastAsia="en-GB"/>
        </w:rPr>
        <w:t>Table 1.1: Reasons for visiting a pharmacy</w:t>
      </w:r>
    </w:p>
    <w:p w14:paraId="508E64AB" w14:textId="77777777" w:rsidR="00824B25" w:rsidRPr="00D0306F" w:rsidRDefault="00824B25" w:rsidP="00824B25">
      <w:pPr>
        <w:rPr>
          <w:rFonts w:eastAsia="Aptos" w:cs="Arial"/>
          <w:szCs w:val="22"/>
          <w:lang w:eastAsia="en-GB"/>
        </w:rPr>
      </w:pPr>
    </w:p>
    <w:tbl>
      <w:tblPr>
        <w:tblW w:w="87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6"/>
        <w:gridCol w:w="1417"/>
      </w:tblGrid>
      <w:tr w:rsidR="00824B25" w:rsidRPr="00D0306F" w14:paraId="1F88E73D" w14:textId="77777777" w:rsidTr="00824B25">
        <w:trPr>
          <w:trHeight w:val="718"/>
        </w:trPr>
        <w:tc>
          <w:tcPr>
            <w:tcW w:w="7366" w:type="dxa"/>
            <w:tcBorders>
              <w:top w:val="single" w:sz="4" w:space="0" w:color="auto"/>
              <w:left w:val="single" w:sz="4" w:space="0" w:color="auto"/>
              <w:bottom w:val="single" w:sz="4" w:space="0" w:color="auto"/>
              <w:right w:val="single" w:sz="4" w:space="0" w:color="auto"/>
            </w:tcBorders>
            <w:shd w:val="clear" w:color="auto" w:fill="153D63"/>
            <w:vAlign w:val="center"/>
            <w:hideMark/>
          </w:tcPr>
          <w:p w14:paraId="01B8DD1A" w14:textId="77777777" w:rsidR="00824B25" w:rsidRPr="00D0306F" w:rsidRDefault="00824B25" w:rsidP="00824B25">
            <w:pPr>
              <w:rPr>
                <w:rFonts w:eastAsia="Aptos" w:cs="Arial"/>
                <w:b/>
                <w:bCs/>
                <w:color w:val="FFFFFF"/>
                <w:szCs w:val="22"/>
                <w:lang w:eastAsia="en-GB"/>
              </w:rPr>
            </w:pPr>
            <w:r w:rsidRPr="00D0306F">
              <w:rPr>
                <w:rFonts w:eastAsia="Aptos" w:cs="Arial"/>
                <w:b/>
                <w:bCs/>
                <w:color w:val="FFFFFF"/>
                <w:szCs w:val="22"/>
                <w:lang w:eastAsia="en-GB"/>
              </w:rPr>
              <w:t>Reasons for visiting a pharmacy</w:t>
            </w:r>
          </w:p>
        </w:tc>
        <w:tc>
          <w:tcPr>
            <w:tcW w:w="1417" w:type="dxa"/>
            <w:tcBorders>
              <w:top w:val="single" w:sz="4" w:space="0" w:color="auto"/>
              <w:left w:val="single" w:sz="4" w:space="0" w:color="auto"/>
              <w:bottom w:val="single" w:sz="4" w:space="0" w:color="auto"/>
              <w:right w:val="single" w:sz="4" w:space="0" w:color="auto"/>
            </w:tcBorders>
            <w:shd w:val="clear" w:color="auto" w:fill="153D63"/>
            <w:vAlign w:val="center"/>
            <w:hideMark/>
          </w:tcPr>
          <w:p w14:paraId="2C06E4EB" w14:textId="77777777" w:rsidR="00824B25" w:rsidRPr="00D0306F" w:rsidRDefault="00824B25" w:rsidP="00824B25">
            <w:pPr>
              <w:rPr>
                <w:rFonts w:eastAsia="Aptos" w:cs="Arial"/>
                <w:b/>
                <w:bCs/>
                <w:color w:val="FFFFFF"/>
                <w:szCs w:val="22"/>
                <w:lang w:eastAsia="en-GB"/>
              </w:rPr>
            </w:pPr>
            <w:r w:rsidRPr="00D0306F">
              <w:rPr>
                <w:rFonts w:eastAsia="Aptos" w:cs="Arial"/>
                <w:b/>
                <w:bCs/>
                <w:color w:val="FFFFFF"/>
                <w:szCs w:val="22"/>
                <w:lang w:eastAsia="en-GB"/>
              </w:rPr>
              <w:t>Total responses</w:t>
            </w:r>
          </w:p>
        </w:tc>
      </w:tr>
      <w:tr w:rsidR="00824B25" w:rsidRPr="00D0306F" w14:paraId="71EB578F" w14:textId="77777777" w:rsidTr="00824B25">
        <w:trPr>
          <w:trHeight w:val="320"/>
        </w:trPr>
        <w:tc>
          <w:tcPr>
            <w:tcW w:w="7366" w:type="dxa"/>
            <w:tcBorders>
              <w:top w:val="single" w:sz="4" w:space="0" w:color="auto"/>
              <w:left w:val="single" w:sz="4" w:space="0" w:color="auto"/>
              <w:bottom w:val="single" w:sz="4" w:space="0" w:color="auto"/>
              <w:right w:val="single" w:sz="4" w:space="0" w:color="auto"/>
            </w:tcBorders>
            <w:vAlign w:val="center"/>
            <w:hideMark/>
          </w:tcPr>
          <w:p w14:paraId="621BCDCC"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To get or collect a prescription for myself</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FB3059E"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110</w:t>
            </w:r>
          </w:p>
        </w:tc>
      </w:tr>
      <w:tr w:rsidR="00824B25" w:rsidRPr="00D0306F" w14:paraId="6550AAE9" w14:textId="77777777" w:rsidTr="00824B25">
        <w:trPr>
          <w:trHeight w:val="70"/>
        </w:trPr>
        <w:tc>
          <w:tcPr>
            <w:tcW w:w="7366" w:type="dxa"/>
            <w:tcBorders>
              <w:top w:val="single" w:sz="4" w:space="0" w:color="auto"/>
              <w:left w:val="single" w:sz="4" w:space="0" w:color="auto"/>
              <w:bottom w:val="single" w:sz="4" w:space="0" w:color="auto"/>
              <w:right w:val="single" w:sz="4" w:space="0" w:color="auto"/>
            </w:tcBorders>
            <w:vAlign w:val="center"/>
            <w:hideMark/>
          </w:tcPr>
          <w:p w14:paraId="6C8B0EFE"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To buy medicines for myself</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DCB24D4"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61</w:t>
            </w:r>
          </w:p>
        </w:tc>
      </w:tr>
      <w:tr w:rsidR="00824B25" w:rsidRPr="00D0306F" w14:paraId="2D639C63" w14:textId="77777777" w:rsidTr="00824B25">
        <w:trPr>
          <w:trHeight w:val="129"/>
        </w:trPr>
        <w:tc>
          <w:tcPr>
            <w:tcW w:w="7366" w:type="dxa"/>
            <w:tcBorders>
              <w:top w:val="single" w:sz="4" w:space="0" w:color="auto"/>
              <w:left w:val="single" w:sz="4" w:space="0" w:color="auto"/>
              <w:bottom w:val="single" w:sz="4" w:space="0" w:color="auto"/>
              <w:right w:val="single" w:sz="4" w:space="0" w:color="auto"/>
            </w:tcBorders>
            <w:vAlign w:val="center"/>
            <w:hideMark/>
          </w:tcPr>
          <w:p w14:paraId="62B99AF0"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To get advice for myself</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579D16B"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60</w:t>
            </w:r>
          </w:p>
        </w:tc>
      </w:tr>
      <w:tr w:rsidR="00824B25" w:rsidRPr="00D0306F" w14:paraId="1B35DF43" w14:textId="77777777" w:rsidTr="00824B25">
        <w:trPr>
          <w:trHeight w:val="134"/>
        </w:trPr>
        <w:tc>
          <w:tcPr>
            <w:tcW w:w="7366" w:type="dxa"/>
            <w:tcBorders>
              <w:top w:val="single" w:sz="4" w:space="0" w:color="auto"/>
              <w:left w:val="single" w:sz="4" w:space="0" w:color="auto"/>
              <w:bottom w:val="single" w:sz="4" w:space="0" w:color="auto"/>
              <w:right w:val="single" w:sz="4" w:space="0" w:color="auto"/>
            </w:tcBorders>
            <w:vAlign w:val="center"/>
            <w:hideMark/>
          </w:tcPr>
          <w:p w14:paraId="61734360"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For other services such as flu vaccination</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DECA9AC"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30</w:t>
            </w:r>
          </w:p>
        </w:tc>
      </w:tr>
      <w:tr w:rsidR="00824B25" w:rsidRPr="00D0306F" w14:paraId="4E5E074A" w14:textId="77777777" w:rsidTr="00824B25">
        <w:trPr>
          <w:trHeight w:val="139"/>
        </w:trPr>
        <w:tc>
          <w:tcPr>
            <w:tcW w:w="7366" w:type="dxa"/>
            <w:tcBorders>
              <w:top w:val="single" w:sz="4" w:space="0" w:color="auto"/>
              <w:left w:val="single" w:sz="4" w:space="0" w:color="auto"/>
              <w:bottom w:val="single" w:sz="4" w:space="0" w:color="auto"/>
              <w:right w:val="single" w:sz="4" w:space="0" w:color="auto"/>
            </w:tcBorders>
            <w:vAlign w:val="center"/>
            <w:hideMark/>
          </w:tcPr>
          <w:p w14:paraId="7CC2D485"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To get or collect a prescription for someone else</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95FE195"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64</w:t>
            </w:r>
          </w:p>
        </w:tc>
      </w:tr>
      <w:tr w:rsidR="00824B25" w:rsidRPr="00D0306F" w14:paraId="66AAFF16" w14:textId="77777777" w:rsidTr="00824B25">
        <w:trPr>
          <w:trHeight w:val="70"/>
        </w:trPr>
        <w:tc>
          <w:tcPr>
            <w:tcW w:w="7366" w:type="dxa"/>
            <w:tcBorders>
              <w:top w:val="single" w:sz="4" w:space="0" w:color="auto"/>
              <w:left w:val="single" w:sz="4" w:space="0" w:color="auto"/>
              <w:bottom w:val="single" w:sz="4" w:space="0" w:color="auto"/>
              <w:right w:val="single" w:sz="4" w:space="0" w:color="auto"/>
            </w:tcBorders>
            <w:vAlign w:val="center"/>
            <w:hideMark/>
          </w:tcPr>
          <w:p w14:paraId="084A8CE2"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To buy medicines for someone else</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F0B7C44"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27</w:t>
            </w:r>
          </w:p>
        </w:tc>
      </w:tr>
      <w:tr w:rsidR="00824B25" w:rsidRPr="00D0306F" w14:paraId="116434DA" w14:textId="77777777" w:rsidTr="00824B25">
        <w:trPr>
          <w:trHeight w:val="70"/>
        </w:trPr>
        <w:tc>
          <w:tcPr>
            <w:tcW w:w="7366" w:type="dxa"/>
            <w:tcBorders>
              <w:top w:val="single" w:sz="4" w:space="0" w:color="auto"/>
              <w:left w:val="single" w:sz="4" w:space="0" w:color="auto"/>
              <w:bottom w:val="single" w:sz="4" w:space="0" w:color="auto"/>
              <w:right w:val="single" w:sz="4" w:space="0" w:color="auto"/>
            </w:tcBorders>
            <w:vAlign w:val="center"/>
            <w:hideMark/>
          </w:tcPr>
          <w:p w14:paraId="4908ECA6"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To get advice for someone else</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66B673B"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21</w:t>
            </w:r>
          </w:p>
        </w:tc>
      </w:tr>
      <w:tr w:rsidR="00824B25" w:rsidRPr="00D0306F" w14:paraId="20F7A55E" w14:textId="77777777" w:rsidTr="00824B25">
        <w:trPr>
          <w:trHeight w:val="70"/>
        </w:trPr>
        <w:tc>
          <w:tcPr>
            <w:tcW w:w="7366" w:type="dxa"/>
            <w:tcBorders>
              <w:top w:val="single" w:sz="4" w:space="0" w:color="auto"/>
              <w:left w:val="single" w:sz="4" w:space="0" w:color="auto"/>
              <w:bottom w:val="single" w:sz="4" w:space="0" w:color="auto"/>
              <w:right w:val="single" w:sz="4" w:space="0" w:color="auto"/>
            </w:tcBorders>
            <w:vAlign w:val="center"/>
            <w:hideMark/>
          </w:tcPr>
          <w:p w14:paraId="4C4C50C2"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 don’t visit a pharmacy as I use an online/internet pharmacy</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6C2F9D8"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1</w:t>
            </w:r>
          </w:p>
        </w:tc>
      </w:tr>
      <w:tr w:rsidR="00824B25" w:rsidRPr="00D0306F" w14:paraId="28ED20A7" w14:textId="77777777" w:rsidTr="00824B25">
        <w:trPr>
          <w:trHeight w:val="319"/>
        </w:trPr>
        <w:tc>
          <w:tcPr>
            <w:tcW w:w="7366" w:type="dxa"/>
            <w:tcBorders>
              <w:top w:val="single" w:sz="4" w:space="0" w:color="auto"/>
              <w:left w:val="single" w:sz="4" w:space="0" w:color="auto"/>
              <w:bottom w:val="single" w:sz="4" w:space="0" w:color="auto"/>
              <w:right w:val="single" w:sz="4" w:space="0" w:color="auto"/>
            </w:tcBorders>
            <w:vAlign w:val="center"/>
            <w:hideMark/>
          </w:tcPr>
          <w:p w14:paraId="578FCF14"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 don’t visit a pharmacy as I use a dispensing doctor</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3081A7E"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0</w:t>
            </w:r>
          </w:p>
        </w:tc>
      </w:tr>
      <w:tr w:rsidR="00824B25" w:rsidRPr="00D0306F" w14:paraId="28469497" w14:textId="77777777" w:rsidTr="00824B25">
        <w:trPr>
          <w:trHeight w:val="976"/>
        </w:trPr>
        <w:tc>
          <w:tcPr>
            <w:tcW w:w="7366" w:type="dxa"/>
            <w:tcBorders>
              <w:top w:val="single" w:sz="4" w:space="0" w:color="auto"/>
              <w:left w:val="single" w:sz="4" w:space="0" w:color="auto"/>
              <w:bottom w:val="single" w:sz="4" w:space="0" w:color="auto"/>
              <w:right w:val="single" w:sz="4" w:space="0" w:color="auto"/>
            </w:tcBorders>
            <w:vAlign w:val="center"/>
            <w:hideMark/>
          </w:tcPr>
          <w:p w14:paraId="2C0A6815"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 don’t visit a pharmacy as I use an appliance contractor (an appliance contractor supplies medical devices prescribed by a doctor)</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647B70F"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0</w:t>
            </w:r>
          </w:p>
        </w:tc>
      </w:tr>
      <w:tr w:rsidR="00824B25" w:rsidRPr="00D0306F" w14:paraId="019731DC" w14:textId="77777777" w:rsidTr="00824B25">
        <w:trPr>
          <w:trHeight w:val="416"/>
        </w:trPr>
        <w:tc>
          <w:tcPr>
            <w:tcW w:w="7366" w:type="dxa"/>
            <w:tcBorders>
              <w:top w:val="single" w:sz="4" w:space="0" w:color="auto"/>
              <w:left w:val="single" w:sz="4" w:space="0" w:color="auto"/>
              <w:bottom w:val="single" w:sz="4" w:space="0" w:color="auto"/>
              <w:right w:val="single" w:sz="4" w:space="0" w:color="auto"/>
            </w:tcBorders>
            <w:vAlign w:val="center"/>
            <w:hideMark/>
          </w:tcPr>
          <w:p w14:paraId="36BF2C0A"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 don’t visit a pharmacy as my medicines are delivered to me</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F094489"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4</w:t>
            </w:r>
          </w:p>
        </w:tc>
      </w:tr>
      <w:tr w:rsidR="00824B25" w:rsidRPr="00D0306F" w14:paraId="61F8AF97" w14:textId="77777777" w:rsidTr="00824B25">
        <w:trPr>
          <w:trHeight w:val="70"/>
        </w:trPr>
        <w:tc>
          <w:tcPr>
            <w:tcW w:w="7366" w:type="dxa"/>
            <w:tcBorders>
              <w:top w:val="single" w:sz="4" w:space="0" w:color="auto"/>
              <w:left w:val="single" w:sz="4" w:space="0" w:color="auto"/>
              <w:bottom w:val="single" w:sz="4" w:space="0" w:color="auto"/>
              <w:right w:val="single" w:sz="4" w:space="0" w:color="auto"/>
            </w:tcBorders>
            <w:vAlign w:val="center"/>
            <w:hideMark/>
          </w:tcPr>
          <w:p w14:paraId="20608297"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 don’t go to a pharmacy; someone goes on my behalf</w:t>
            </w:r>
          </w:p>
        </w:tc>
        <w:tc>
          <w:tcPr>
            <w:tcW w:w="1417" w:type="dxa"/>
            <w:tcBorders>
              <w:top w:val="single" w:sz="4" w:space="0" w:color="auto"/>
              <w:left w:val="single" w:sz="4" w:space="0" w:color="auto"/>
              <w:bottom w:val="single" w:sz="4" w:space="0" w:color="auto"/>
              <w:right w:val="single" w:sz="4" w:space="0" w:color="auto"/>
            </w:tcBorders>
            <w:vAlign w:val="center"/>
            <w:hideMark/>
          </w:tcPr>
          <w:p w14:paraId="317EA124"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0</w:t>
            </w:r>
          </w:p>
        </w:tc>
      </w:tr>
    </w:tbl>
    <w:p w14:paraId="1C751D52" w14:textId="77777777" w:rsidR="00824B25" w:rsidRPr="00D0306F" w:rsidRDefault="00824B25" w:rsidP="00824B25">
      <w:pPr>
        <w:rPr>
          <w:rFonts w:eastAsia="Aptos" w:cs="Arial"/>
          <w:szCs w:val="22"/>
          <w:lang w:eastAsia="en-GB"/>
        </w:rPr>
      </w:pPr>
    </w:p>
    <w:p w14:paraId="53F28C55" w14:textId="77777777" w:rsidR="00824B25" w:rsidRPr="00D0306F" w:rsidRDefault="00824B25" w:rsidP="00824B25">
      <w:pPr>
        <w:rPr>
          <w:rFonts w:eastAsia="Aptos" w:cs="Arial"/>
          <w:szCs w:val="22"/>
          <w:lang w:eastAsia="en-GB"/>
        </w:rPr>
      </w:pPr>
      <w:r w:rsidRPr="00D0306F">
        <w:rPr>
          <w:rFonts w:eastAsia="Aptos" w:cs="Arial"/>
          <w:szCs w:val="22"/>
          <w:lang w:eastAsia="en-GB"/>
        </w:rPr>
        <w:t>Most respondents (63.9%, 76 people) visit a pharmacy monthly/every four weeks, reflecting the length of their prescription.</w:t>
      </w:r>
    </w:p>
    <w:p w14:paraId="1AFE85E7" w14:textId="77777777" w:rsidR="00824B25" w:rsidRDefault="00824B25" w:rsidP="00824B25">
      <w:pPr>
        <w:rPr>
          <w:rFonts w:eastAsia="Calibri" w:cs="Arial"/>
          <w:szCs w:val="22"/>
        </w:rPr>
      </w:pPr>
    </w:p>
    <w:p w14:paraId="294F1E49" w14:textId="77777777" w:rsidR="00201A8E" w:rsidRDefault="00201A8E" w:rsidP="00824B25">
      <w:pPr>
        <w:rPr>
          <w:rFonts w:eastAsia="Calibri" w:cs="Arial"/>
          <w:szCs w:val="22"/>
        </w:rPr>
      </w:pPr>
    </w:p>
    <w:p w14:paraId="32114CD9" w14:textId="77777777" w:rsidR="00201A8E" w:rsidRDefault="00201A8E" w:rsidP="00824B25">
      <w:pPr>
        <w:rPr>
          <w:rFonts w:eastAsia="Calibri" w:cs="Arial"/>
          <w:szCs w:val="22"/>
        </w:rPr>
      </w:pPr>
    </w:p>
    <w:p w14:paraId="7F6BC879" w14:textId="77777777" w:rsidR="00201A8E" w:rsidRDefault="00201A8E" w:rsidP="00824B25">
      <w:pPr>
        <w:rPr>
          <w:rFonts w:eastAsia="Calibri" w:cs="Arial"/>
          <w:szCs w:val="22"/>
        </w:rPr>
      </w:pPr>
    </w:p>
    <w:p w14:paraId="685D93BE" w14:textId="77777777" w:rsidR="00201A8E" w:rsidRDefault="00201A8E" w:rsidP="00824B25">
      <w:pPr>
        <w:rPr>
          <w:rFonts w:eastAsia="Calibri" w:cs="Arial"/>
          <w:szCs w:val="22"/>
        </w:rPr>
      </w:pPr>
    </w:p>
    <w:p w14:paraId="53F98FCE" w14:textId="77777777" w:rsidR="00201A8E" w:rsidRDefault="00201A8E" w:rsidP="00824B25">
      <w:pPr>
        <w:rPr>
          <w:rFonts w:eastAsia="Calibri" w:cs="Arial"/>
          <w:szCs w:val="22"/>
        </w:rPr>
      </w:pPr>
    </w:p>
    <w:p w14:paraId="54EE4841" w14:textId="77777777" w:rsidR="00201A8E" w:rsidRDefault="00201A8E" w:rsidP="00824B25">
      <w:pPr>
        <w:rPr>
          <w:rFonts w:eastAsia="Calibri" w:cs="Arial"/>
          <w:szCs w:val="22"/>
        </w:rPr>
      </w:pPr>
    </w:p>
    <w:p w14:paraId="1E6EBD27" w14:textId="77777777" w:rsidR="00201A8E" w:rsidRDefault="00201A8E" w:rsidP="00824B25">
      <w:pPr>
        <w:rPr>
          <w:rFonts w:eastAsia="Calibri" w:cs="Arial"/>
          <w:szCs w:val="22"/>
        </w:rPr>
      </w:pPr>
    </w:p>
    <w:p w14:paraId="5C723EEE" w14:textId="77777777" w:rsidR="00201A8E" w:rsidRDefault="00201A8E" w:rsidP="00824B25">
      <w:pPr>
        <w:rPr>
          <w:rFonts w:eastAsia="Calibri" w:cs="Arial"/>
          <w:szCs w:val="22"/>
        </w:rPr>
      </w:pPr>
    </w:p>
    <w:p w14:paraId="5F8994FA" w14:textId="77777777" w:rsidR="00201A8E" w:rsidRDefault="00201A8E" w:rsidP="00824B25">
      <w:pPr>
        <w:rPr>
          <w:rFonts w:eastAsia="Calibri" w:cs="Arial"/>
          <w:szCs w:val="22"/>
        </w:rPr>
      </w:pPr>
    </w:p>
    <w:p w14:paraId="7A2294B0" w14:textId="77777777" w:rsidR="00201A8E" w:rsidRDefault="00201A8E" w:rsidP="00824B25">
      <w:pPr>
        <w:rPr>
          <w:rFonts w:eastAsia="Calibri" w:cs="Arial"/>
          <w:szCs w:val="22"/>
        </w:rPr>
      </w:pPr>
    </w:p>
    <w:p w14:paraId="26108D2C" w14:textId="77777777" w:rsidR="00201A8E" w:rsidRDefault="00201A8E" w:rsidP="00824B25">
      <w:pPr>
        <w:rPr>
          <w:rFonts w:eastAsia="Calibri" w:cs="Arial"/>
          <w:szCs w:val="22"/>
        </w:rPr>
      </w:pPr>
    </w:p>
    <w:p w14:paraId="210EDE5B" w14:textId="77777777" w:rsidR="00201A8E" w:rsidRDefault="00201A8E" w:rsidP="00824B25">
      <w:pPr>
        <w:rPr>
          <w:rFonts w:eastAsia="Calibri" w:cs="Arial"/>
          <w:szCs w:val="22"/>
        </w:rPr>
      </w:pPr>
    </w:p>
    <w:p w14:paraId="6CE946DD" w14:textId="77777777" w:rsidR="00201A8E" w:rsidRDefault="00201A8E" w:rsidP="00824B25">
      <w:pPr>
        <w:rPr>
          <w:rFonts w:eastAsia="Calibri" w:cs="Arial"/>
          <w:szCs w:val="22"/>
        </w:rPr>
      </w:pPr>
    </w:p>
    <w:p w14:paraId="4464C032" w14:textId="77777777" w:rsidR="00201A8E" w:rsidRDefault="00201A8E" w:rsidP="00824B25">
      <w:pPr>
        <w:rPr>
          <w:rFonts w:eastAsia="Calibri" w:cs="Arial"/>
          <w:szCs w:val="22"/>
        </w:rPr>
      </w:pPr>
    </w:p>
    <w:p w14:paraId="4B644FA6" w14:textId="77777777" w:rsidR="00201A8E" w:rsidRDefault="00201A8E" w:rsidP="00824B25">
      <w:pPr>
        <w:rPr>
          <w:rFonts w:eastAsia="Calibri" w:cs="Arial"/>
          <w:szCs w:val="22"/>
        </w:rPr>
      </w:pPr>
    </w:p>
    <w:p w14:paraId="408C6C3A" w14:textId="77777777" w:rsidR="00201A8E" w:rsidRPr="00D0306F" w:rsidRDefault="00201A8E" w:rsidP="00824B25">
      <w:pPr>
        <w:rPr>
          <w:rFonts w:eastAsia="Calibri" w:cs="Arial"/>
          <w:szCs w:val="22"/>
        </w:rPr>
      </w:pPr>
    </w:p>
    <w:p w14:paraId="3163AD69" w14:textId="77777777" w:rsidR="00824B25" w:rsidRPr="00D0306F" w:rsidRDefault="00824B25" w:rsidP="00824B25">
      <w:pPr>
        <w:rPr>
          <w:rFonts w:eastAsia="Aptos" w:cs="Arial"/>
          <w:b/>
          <w:bCs/>
          <w:szCs w:val="22"/>
          <w:lang w:eastAsia="en-GB"/>
        </w:rPr>
      </w:pPr>
      <w:r w:rsidRPr="00D0306F">
        <w:rPr>
          <w:rFonts w:eastAsia="Aptos" w:cs="Arial"/>
          <w:b/>
          <w:bCs/>
          <w:szCs w:val="22"/>
          <w:lang w:eastAsia="en-GB"/>
        </w:rPr>
        <w:lastRenderedPageBreak/>
        <w:t>Figure 1.2: Frequency of using a pharmacy</w:t>
      </w:r>
    </w:p>
    <w:p w14:paraId="58005B5A" w14:textId="77777777" w:rsidR="00824B25" w:rsidRPr="00D0306F" w:rsidRDefault="00824B25" w:rsidP="00824B25">
      <w:pPr>
        <w:rPr>
          <w:rFonts w:eastAsia="Aptos" w:cs="Arial"/>
          <w:szCs w:val="22"/>
          <w:lang w:eastAsia="en-GB"/>
        </w:rPr>
      </w:pPr>
    </w:p>
    <w:p w14:paraId="20BD6D1B" w14:textId="77777777" w:rsidR="00824B25" w:rsidRPr="00D0306F" w:rsidRDefault="00824B25" w:rsidP="00824B25">
      <w:pPr>
        <w:rPr>
          <w:rFonts w:eastAsia="Aptos" w:cs="Arial"/>
          <w:szCs w:val="22"/>
          <w:lang w:eastAsia="en-GB"/>
        </w:rPr>
      </w:pPr>
      <w:r w:rsidRPr="00D0306F">
        <w:rPr>
          <w:rFonts w:eastAsia="Aptos" w:cs="Arial"/>
          <w:noProof/>
          <w:szCs w:val="22"/>
        </w:rPr>
        <w:drawing>
          <wp:inline distT="0" distB="0" distL="0" distR="0" wp14:anchorId="1E9A0E6E" wp14:editId="036077ED">
            <wp:extent cx="5715000" cy="3295650"/>
            <wp:effectExtent l="0" t="0" r="0" b="0"/>
            <wp:docPr id="2" name="Picture 2" descr="Bar chart showing how often respondents use a pharmacy. Monthly/every four weeks is by far the most common frequency, with 76 responses. Other responses include 19 using a pharmacy as needed, 14 fortnightly, 8 weekly, and 2 quarterly/every three months. No responses were recorded for daily use, not using a pharmacy, or other frequencies. The chart indicates that most respondents visit a pharmacy approximately once a month.">
              <a:extLst xmlns:a="http://schemas.openxmlformats.org/drawingml/2006/main">
                <a:ext uri="{FF2B5EF4-FFF2-40B4-BE49-F238E27FC236}">
                  <a16:creationId xmlns:a16="http://schemas.microsoft.com/office/drawing/2014/main" id="{DB62E00E-DE17-4E28-B00D-3DE076DCCD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E0F5D62" w14:textId="77777777" w:rsidR="00824B25" w:rsidRPr="00D0306F" w:rsidRDefault="00824B25" w:rsidP="00824B25">
      <w:pPr>
        <w:rPr>
          <w:rFonts w:eastAsia="Aptos" w:cs="Arial"/>
          <w:szCs w:val="22"/>
          <w:lang w:eastAsia="en-GB"/>
        </w:rPr>
      </w:pPr>
    </w:p>
    <w:p w14:paraId="4E7E3166" w14:textId="77777777" w:rsidR="00824B25" w:rsidRPr="00D0306F" w:rsidRDefault="00824B25" w:rsidP="00824B25">
      <w:pPr>
        <w:rPr>
          <w:rFonts w:eastAsia="Aptos" w:cs="Arial"/>
          <w:szCs w:val="22"/>
          <w:lang w:eastAsia="en-GB"/>
        </w:rPr>
      </w:pPr>
      <w:r w:rsidRPr="00D0306F">
        <w:rPr>
          <w:rFonts w:eastAsia="Aptos" w:cs="Arial"/>
          <w:szCs w:val="22"/>
          <w:lang w:eastAsia="en-GB"/>
        </w:rPr>
        <w:t>The majority of respondents (35.3%, 42 people) did not have a preference about when is the most convenient time to use a pharmacy. Of the remaining responses, 25.2% preferred to use a pharmacy between 9.00am and 12.00pm.</w:t>
      </w:r>
    </w:p>
    <w:p w14:paraId="5A39E3C1" w14:textId="77777777" w:rsidR="00824B25" w:rsidRPr="00D0306F" w:rsidRDefault="00824B25" w:rsidP="00824B25">
      <w:pPr>
        <w:rPr>
          <w:rFonts w:eastAsia="Aptos" w:cs="Arial"/>
          <w:szCs w:val="22"/>
          <w:lang w:eastAsia="en-GB"/>
        </w:rPr>
      </w:pPr>
    </w:p>
    <w:p w14:paraId="79E34AD0" w14:textId="77777777" w:rsidR="00824B25" w:rsidRPr="00D0306F" w:rsidRDefault="00824B25" w:rsidP="00824B25">
      <w:pPr>
        <w:rPr>
          <w:rFonts w:eastAsia="Aptos" w:cs="Arial"/>
          <w:b/>
          <w:bCs/>
          <w:szCs w:val="22"/>
          <w:lang w:eastAsia="en-GB"/>
        </w:rPr>
      </w:pPr>
      <w:r w:rsidRPr="00D0306F">
        <w:rPr>
          <w:rFonts w:eastAsia="Aptos" w:cs="Arial"/>
          <w:b/>
          <w:bCs/>
          <w:szCs w:val="22"/>
          <w:lang w:eastAsia="en-GB"/>
        </w:rPr>
        <w:t>Figure 1.3: The most convenient time to use a pharmacy</w:t>
      </w:r>
    </w:p>
    <w:p w14:paraId="1FB9F664" w14:textId="77777777" w:rsidR="00824B25" w:rsidRPr="00D0306F" w:rsidRDefault="00824B25" w:rsidP="00824B25">
      <w:pPr>
        <w:rPr>
          <w:rFonts w:eastAsia="Aptos" w:cs="Arial"/>
          <w:szCs w:val="22"/>
          <w:lang w:eastAsia="en-GB"/>
        </w:rPr>
      </w:pPr>
    </w:p>
    <w:p w14:paraId="3C2E124D" w14:textId="77777777" w:rsidR="00824B25" w:rsidRPr="00D0306F" w:rsidRDefault="00824B25" w:rsidP="00824B25">
      <w:pPr>
        <w:rPr>
          <w:rFonts w:eastAsia="Aptos" w:cs="Arial"/>
          <w:szCs w:val="22"/>
          <w:lang w:eastAsia="en-GB"/>
        </w:rPr>
      </w:pPr>
      <w:r w:rsidRPr="00D0306F">
        <w:rPr>
          <w:rFonts w:eastAsia="Aptos" w:cs="Arial"/>
          <w:noProof/>
          <w:szCs w:val="22"/>
        </w:rPr>
        <w:drawing>
          <wp:inline distT="0" distB="0" distL="0" distR="0" wp14:anchorId="7FE2A102" wp14:editId="7B2D8E49">
            <wp:extent cx="5638800" cy="3133725"/>
            <wp:effectExtent l="0" t="0" r="0" b="9525"/>
            <wp:docPr id="3" name="Picture 3" descr="Bar chart showing respondents’ preferred time of day. The largest group (42 responses) indicated no preference. Among those with a preference, 9am–12 noon was most popular with 30 responses, followed by 6pm–9pm with 21 responses and 2pm–6pm with 19 responses. Smaller numbers preferred 12 noon–2pm (4 responses) and 7am–9am (3 responses). No respondents selected 9pm–midnight.">
              <a:extLst xmlns:a="http://schemas.openxmlformats.org/drawingml/2006/main">
                <a:ext uri="{FF2B5EF4-FFF2-40B4-BE49-F238E27FC236}">
                  <a16:creationId xmlns:a16="http://schemas.microsoft.com/office/drawing/2014/main" id="{39C3D5DC-F38F-4B0A-BBF4-D683A1D92FE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E80E1BF" w14:textId="77777777" w:rsidR="00824B25" w:rsidRPr="00D0306F" w:rsidRDefault="00824B25" w:rsidP="00824B25">
      <w:pPr>
        <w:rPr>
          <w:rFonts w:eastAsia="Aptos" w:cs="Arial"/>
          <w:szCs w:val="22"/>
          <w:lang w:eastAsia="en-GB"/>
        </w:rPr>
      </w:pPr>
    </w:p>
    <w:p w14:paraId="41614B0E" w14:textId="77777777" w:rsidR="00824B25" w:rsidRPr="00D0306F" w:rsidRDefault="00824B25" w:rsidP="00824B25">
      <w:pPr>
        <w:rPr>
          <w:rFonts w:eastAsia="Aptos" w:cs="Arial"/>
          <w:szCs w:val="22"/>
          <w:lang w:eastAsia="en-GB"/>
        </w:rPr>
      </w:pPr>
      <w:r w:rsidRPr="00D0306F">
        <w:rPr>
          <w:rFonts w:eastAsia="Aptos" w:cs="Arial"/>
          <w:szCs w:val="22"/>
          <w:lang w:eastAsia="en-GB"/>
        </w:rPr>
        <w:t xml:space="preserve">Similarly, the majority of respondents (47.1%, 56 people) did not have a preference about the most convenient day to use a pharmacy. Of the remaining responses, 26.1% (31 people) found the weekdays in general the most convenient time to </w:t>
      </w:r>
      <w:r w:rsidRPr="00D0306F">
        <w:rPr>
          <w:rFonts w:eastAsia="Aptos" w:cs="Arial"/>
          <w:szCs w:val="22"/>
          <w:lang w:eastAsia="en-GB"/>
        </w:rPr>
        <w:lastRenderedPageBreak/>
        <w:t>access a pharmacy and 10.9% (13 people) found the weekends in general the most convenient time to access a pharmacy. Other respondents preferred a specific day of the week.</w:t>
      </w:r>
    </w:p>
    <w:p w14:paraId="4C893CCA" w14:textId="77777777" w:rsidR="00824B25" w:rsidRPr="00D0306F" w:rsidRDefault="00824B25" w:rsidP="00824B25">
      <w:pPr>
        <w:rPr>
          <w:rFonts w:eastAsia="Aptos" w:cs="Arial"/>
          <w:szCs w:val="22"/>
          <w:lang w:eastAsia="en-GB"/>
        </w:rPr>
      </w:pPr>
    </w:p>
    <w:p w14:paraId="47EDF004" w14:textId="77777777" w:rsidR="00824B25" w:rsidRPr="00D0306F" w:rsidRDefault="00824B25" w:rsidP="00824B25">
      <w:pPr>
        <w:rPr>
          <w:rFonts w:eastAsia="Aptos" w:cs="Arial"/>
          <w:b/>
          <w:bCs/>
          <w:szCs w:val="22"/>
          <w:lang w:eastAsia="en-GB"/>
        </w:rPr>
      </w:pPr>
      <w:r w:rsidRPr="00D0306F">
        <w:rPr>
          <w:rFonts w:eastAsia="Aptos" w:cs="Arial"/>
          <w:b/>
          <w:bCs/>
          <w:szCs w:val="22"/>
          <w:lang w:eastAsia="en-GB"/>
        </w:rPr>
        <w:t>Figure 1.4: The most convenient day to use a pharmacy</w:t>
      </w:r>
    </w:p>
    <w:p w14:paraId="0E1DB31B" w14:textId="77777777" w:rsidR="00824B25" w:rsidRPr="00D0306F" w:rsidRDefault="00824B25" w:rsidP="00824B25">
      <w:pPr>
        <w:rPr>
          <w:rFonts w:eastAsia="Aptos" w:cs="Arial"/>
          <w:szCs w:val="22"/>
          <w:lang w:eastAsia="en-GB"/>
        </w:rPr>
      </w:pPr>
    </w:p>
    <w:p w14:paraId="246CCAA2" w14:textId="77777777" w:rsidR="00824B25" w:rsidRPr="00D0306F" w:rsidRDefault="00824B25" w:rsidP="00824B25">
      <w:pPr>
        <w:rPr>
          <w:rFonts w:eastAsia="Aptos" w:cs="Arial"/>
          <w:szCs w:val="22"/>
          <w:lang w:eastAsia="en-GB"/>
        </w:rPr>
      </w:pPr>
      <w:r w:rsidRPr="00D0306F">
        <w:rPr>
          <w:rFonts w:eastAsia="Aptos" w:cs="Arial"/>
          <w:noProof/>
          <w:szCs w:val="22"/>
        </w:rPr>
        <w:drawing>
          <wp:inline distT="0" distB="0" distL="0" distR="0" wp14:anchorId="435F2716" wp14:editId="686CD7AF">
            <wp:extent cx="5705475" cy="3286125"/>
            <wp:effectExtent l="0" t="0" r="9525" b="9525"/>
            <wp:docPr id="4" name="Picture 4" descr=" Bar chart showing respondents’ preferred day for an appointment or service. Most respondents (56) indicated they do not have a preference. Among those with a preference, weekdays in general received 31 responses and weekends in general 13 responses. Individual day preferences were low: Wednesday (5), Tuesday (4), Friday (4), Saturday (3), Monday (2), and Sunday (1). No respondents selected Thursday. Overall, respondents were more likely to prefer weekdays than weekends, although most had no specific day preference.">
              <a:extLst xmlns:a="http://schemas.openxmlformats.org/drawingml/2006/main">
                <a:ext uri="{FF2B5EF4-FFF2-40B4-BE49-F238E27FC236}">
                  <a16:creationId xmlns:a16="http://schemas.microsoft.com/office/drawing/2014/main" id="{332A7B3A-E32E-4A97-A0C6-4236034763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CA668B0" w14:textId="77777777" w:rsidR="00824B25" w:rsidRPr="00D0306F" w:rsidRDefault="00824B25" w:rsidP="00824B25">
      <w:pPr>
        <w:rPr>
          <w:rFonts w:eastAsia="Aptos" w:cs="Arial"/>
          <w:szCs w:val="22"/>
          <w:lang w:eastAsia="en-GB"/>
        </w:rPr>
      </w:pPr>
    </w:p>
    <w:p w14:paraId="170B1EDA" w14:textId="77777777" w:rsidR="00824B25" w:rsidRPr="00D0306F" w:rsidRDefault="00824B25" w:rsidP="00824B25">
      <w:pPr>
        <w:rPr>
          <w:rFonts w:eastAsia="Aptos" w:cs="Arial"/>
          <w:szCs w:val="22"/>
          <w:lang w:eastAsia="en-GB"/>
        </w:rPr>
      </w:pPr>
      <w:r w:rsidRPr="00D0306F">
        <w:rPr>
          <w:rFonts w:eastAsia="Aptos" w:cs="Arial"/>
          <w:szCs w:val="22"/>
          <w:lang w:eastAsia="en-GB"/>
        </w:rPr>
        <w:t xml:space="preserve">When asked about whether there had been a recent time when they were not able to use their normal pharmacy, 36.1% (43 people) responded ‘yes’, 56.3% (67 people) responded ‘no’ and 7.6% (nine people) said the question was ‘not applicable’. </w:t>
      </w:r>
    </w:p>
    <w:p w14:paraId="20AB4EDD" w14:textId="77777777" w:rsidR="00824B25" w:rsidRPr="00D0306F" w:rsidRDefault="00824B25" w:rsidP="00824B25">
      <w:pPr>
        <w:rPr>
          <w:rFonts w:eastAsia="Aptos" w:cs="Arial"/>
          <w:szCs w:val="22"/>
          <w:lang w:eastAsia="en-GB"/>
        </w:rPr>
      </w:pPr>
    </w:p>
    <w:p w14:paraId="66FD3A91" w14:textId="77777777" w:rsidR="00824B25" w:rsidRPr="00D0306F" w:rsidRDefault="00824B25" w:rsidP="00824B25">
      <w:pPr>
        <w:rPr>
          <w:rFonts w:eastAsia="Aptos" w:cs="Arial"/>
          <w:szCs w:val="22"/>
          <w:lang w:eastAsia="en-GB"/>
        </w:rPr>
      </w:pPr>
      <w:r w:rsidRPr="00D0306F">
        <w:rPr>
          <w:rFonts w:eastAsia="Aptos" w:cs="Arial"/>
          <w:szCs w:val="22"/>
          <w:lang w:eastAsia="en-GB"/>
        </w:rPr>
        <w:t xml:space="preserve">When asked what they did, 43 people answered the question and a total of 48 responses were received. Multiple answers could be given to this question. The majority of responses received show that people went to another pharmacy (74.4%, 32 responses) or waited until the pharmacy was open (20.9%, nine responses). 11.6%, five respondents went to my GP/Out of Hours GP. </w:t>
      </w:r>
    </w:p>
    <w:p w14:paraId="1BBCB50E" w14:textId="77777777" w:rsidR="00824B25" w:rsidRPr="00D0306F" w:rsidRDefault="00824B25" w:rsidP="00824B25">
      <w:pPr>
        <w:rPr>
          <w:rFonts w:eastAsia="Aptos" w:cs="Arial"/>
          <w:szCs w:val="22"/>
          <w:lang w:eastAsia="en-GB"/>
        </w:rPr>
      </w:pPr>
    </w:p>
    <w:p w14:paraId="317A8E89" w14:textId="77777777" w:rsidR="00824B25" w:rsidRPr="00D0306F" w:rsidRDefault="00824B25" w:rsidP="00824B25">
      <w:pPr>
        <w:rPr>
          <w:rFonts w:eastAsia="Calibri" w:cs="Arial"/>
          <w:szCs w:val="22"/>
        </w:rPr>
      </w:pPr>
      <w:r w:rsidRPr="00D0306F">
        <w:rPr>
          <w:rFonts w:eastAsia="Aptos" w:cs="Arial"/>
          <w:szCs w:val="22"/>
          <w:lang w:eastAsia="en-GB"/>
        </w:rPr>
        <w:t xml:space="preserve">Of the two people who responded other, only one provided a comment which was “had to go to 4 different ones”. </w:t>
      </w:r>
    </w:p>
    <w:p w14:paraId="45BAFD4E" w14:textId="77777777" w:rsidR="00824B25" w:rsidRDefault="00824B25" w:rsidP="00824B25">
      <w:pPr>
        <w:rPr>
          <w:rFonts w:eastAsia="Aptos" w:cs="Arial"/>
          <w:szCs w:val="22"/>
          <w:lang w:eastAsia="en-GB"/>
        </w:rPr>
      </w:pPr>
    </w:p>
    <w:p w14:paraId="1489B2A7" w14:textId="77777777" w:rsidR="00201A8E" w:rsidRDefault="00201A8E" w:rsidP="00824B25">
      <w:pPr>
        <w:rPr>
          <w:rFonts w:eastAsia="Aptos" w:cs="Arial"/>
          <w:szCs w:val="22"/>
          <w:lang w:eastAsia="en-GB"/>
        </w:rPr>
      </w:pPr>
    </w:p>
    <w:p w14:paraId="29CF7B42" w14:textId="77777777" w:rsidR="00201A8E" w:rsidRDefault="00201A8E" w:rsidP="00824B25">
      <w:pPr>
        <w:rPr>
          <w:rFonts w:eastAsia="Aptos" w:cs="Arial"/>
          <w:szCs w:val="22"/>
          <w:lang w:eastAsia="en-GB"/>
        </w:rPr>
      </w:pPr>
    </w:p>
    <w:p w14:paraId="183F1618" w14:textId="77777777" w:rsidR="00201A8E" w:rsidRDefault="00201A8E" w:rsidP="00824B25">
      <w:pPr>
        <w:rPr>
          <w:rFonts w:eastAsia="Aptos" w:cs="Arial"/>
          <w:szCs w:val="22"/>
          <w:lang w:eastAsia="en-GB"/>
        </w:rPr>
      </w:pPr>
    </w:p>
    <w:p w14:paraId="64EF80A9" w14:textId="77777777" w:rsidR="00201A8E" w:rsidRDefault="00201A8E" w:rsidP="00824B25">
      <w:pPr>
        <w:rPr>
          <w:rFonts w:eastAsia="Aptos" w:cs="Arial"/>
          <w:szCs w:val="22"/>
          <w:lang w:eastAsia="en-GB"/>
        </w:rPr>
      </w:pPr>
    </w:p>
    <w:p w14:paraId="398E8A86" w14:textId="77777777" w:rsidR="00201A8E" w:rsidRDefault="00201A8E" w:rsidP="00824B25">
      <w:pPr>
        <w:rPr>
          <w:rFonts w:eastAsia="Aptos" w:cs="Arial"/>
          <w:szCs w:val="22"/>
          <w:lang w:eastAsia="en-GB"/>
        </w:rPr>
      </w:pPr>
    </w:p>
    <w:p w14:paraId="39888EE6" w14:textId="77777777" w:rsidR="00201A8E" w:rsidRDefault="00201A8E" w:rsidP="00824B25">
      <w:pPr>
        <w:rPr>
          <w:rFonts w:eastAsia="Aptos" w:cs="Arial"/>
          <w:szCs w:val="22"/>
          <w:lang w:eastAsia="en-GB"/>
        </w:rPr>
      </w:pPr>
    </w:p>
    <w:p w14:paraId="6E6E95BC" w14:textId="77777777" w:rsidR="00201A8E" w:rsidRDefault="00201A8E" w:rsidP="00824B25">
      <w:pPr>
        <w:rPr>
          <w:rFonts w:eastAsia="Aptos" w:cs="Arial"/>
          <w:szCs w:val="22"/>
          <w:lang w:eastAsia="en-GB"/>
        </w:rPr>
      </w:pPr>
    </w:p>
    <w:p w14:paraId="16FB757F" w14:textId="77777777" w:rsidR="00201A8E" w:rsidRDefault="00201A8E" w:rsidP="00824B25">
      <w:pPr>
        <w:rPr>
          <w:rFonts w:eastAsia="Aptos" w:cs="Arial"/>
          <w:szCs w:val="22"/>
          <w:lang w:eastAsia="en-GB"/>
        </w:rPr>
      </w:pPr>
    </w:p>
    <w:p w14:paraId="2A3122B2" w14:textId="77777777" w:rsidR="00201A8E" w:rsidRDefault="00201A8E" w:rsidP="00824B25">
      <w:pPr>
        <w:rPr>
          <w:rFonts w:eastAsia="Aptos" w:cs="Arial"/>
          <w:szCs w:val="22"/>
          <w:lang w:eastAsia="en-GB"/>
        </w:rPr>
      </w:pPr>
    </w:p>
    <w:p w14:paraId="3AE74010" w14:textId="77777777" w:rsidR="00201A8E" w:rsidRDefault="00201A8E" w:rsidP="00824B25">
      <w:pPr>
        <w:rPr>
          <w:rFonts w:eastAsia="Aptos" w:cs="Arial"/>
          <w:b/>
          <w:bCs/>
          <w:szCs w:val="22"/>
          <w:lang w:eastAsia="en-GB"/>
        </w:rPr>
      </w:pPr>
    </w:p>
    <w:p w14:paraId="31946384" w14:textId="1CF9EC34" w:rsidR="00824B25" w:rsidRPr="00D0306F" w:rsidRDefault="00824B25" w:rsidP="00824B25">
      <w:pPr>
        <w:rPr>
          <w:rFonts w:eastAsia="Aptos" w:cs="Arial"/>
          <w:b/>
          <w:bCs/>
          <w:szCs w:val="22"/>
          <w:lang w:eastAsia="en-GB"/>
        </w:rPr>
      </w:pPr>
      <w:r w:rsidRPr="00D0306F">
        <w:rPr>
          <w:rFonts w:eastAsia="Aptos" w:cs="Arial"/>
          <w:b/>
          <w:bCs/>
          <w:szCs w:val="22"/>
          <w:lang w:eastAsia="en-GB"/>
        </w:rPr>
        <w:lastRenderedPageBreak/>
        <w:t xml:space="preserve">Figure 1.5: What respondents did when they weren't able to use their normal pharmacy </w:t>
      </w:r>
    </w:p>
    <w:p w14:paraId="24BA920D" w14:textId="77777777" w:rsidR="00824B25" w:rsidRPr="00D0306F" w:rsidRDefault="00824B25" w:rsidP="00824B25">
      <w:pPr>
        <w:rPr>
          <w:rFonts w:eastAsia="Aptos" w:cs="Arial"/>
          <w:szCs w:val="22"/>
          <w:lang w:eastAsia="en-GB"/>
        </w:rPr>
      </w:pPr>
    </w:p>
    <w:p w14:paraId="2481C10F" w14:textId="77777777" w:rsidR="00824B25" w:rsidRPr="00D0306F" w:rsidRDefault="00824B25" w:rsidP="00824B25">
      <w:pPr>
        <w:rPr>
          <w:rFonts w:eastAsia="Aptos" w:cs="Arial"/>
          <w:szCs w:val="22"/>
          <w:lang w:eastAsia="en-GB"/>
        </w:rPr>
      </w:pPr>
      <w:r w:rsidRPr="00D0306F">
        <w:rPr>
          <w:rFonts w:eastAsia="Aptos" w:cs="Arial"/>
          <w:noProof/>
          <w:szCs w:val="22"/>
        </w:rPr>
        <w:drawing>
          <wp:inline distT="0" distB="0" distL="0" distR="0" wp14:anchorId="10FDD01A" wp14:editId="02418D9F">
            <wp:extent cx="5753100" cy="3552825"/>
            <wp:effectExtent l="0" t="0" r="0" b="9525"/>
            <wp:docPr id="5" name="Picture 5" descr="Horizontal bar chart showing actions respondents would have taken if their preferred pharmacy was unavailable. The most common response was going to another pharmacy (32 responses), followed by waiting until the pharmacy reopened (9 responses) and visiting a GP or Out of Hours GP service (5 responses). A small number selected Other (2 responses). No respondents reported calling NHS 111 Wales, attending a minor injury unit, or going to A&amp;E/emergency department. The chart indicates that most respondents would seek another pharmacy rather than use urgent healthcare services.">
              <a:extLst xmlns:a="http://schemas.openxmlformats.org/drawingml/2006/main">
                <a:ext uri="{FF2B5EF4-FFF2-40B4-BE49-F238E27FC236}">
                  <a16:creationId xmlns:a16="http://schemas.microsoft.com/office/drawing/2014/main" id="{3DDC23F7-1B1D-401D-9AF4-8A2D2E40623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0D8291A" w14:textId="77777777" w:rsidR="00824B25" w:rsidRPr="00D0306F" w:rsidRDefault="00824B25" w:rsidP="00824B25">
      <w:pPr>
        <w:rPr>
          <w:rFonts w:eastAsia="Aptos" w:cs="Arial"/>
          <w:szCs w:val="22"/>
          <w:lang w:eastAsia="en-GB"/>
        </w:rPr>
      </w:pPr>
    </w:p>
    <w:p w14:paraId="1FAD9D51" w14:textId="77777777" w:rsidR="00824B25" w:rsidRPr="00D0306F" w:rsidRDefault="00824B25" w:rsidP="00824B25">
      <w:pPr>
        <w:rPr>
          <w:rFonts w:eastAsia="Aptos" w:cs="Arial"/>
          <w:szCs w:val="22"/>
          <w:lang w:eastAsia="en-GB"/>
        </w:rPr>
      </w:pPr>
      <w:r w:rsidRPr="00D0306F">
        <w:rPr>
          <w:rFonts w:eastAsia="Aptos" w:cs="Arial"/>
          <w:szCs w:val="22"/>
          <w:lang w:eastAsia="en-GB"/>
        </w:rPr>
        <w:t xml:space="preserve">Most respondents prefer to use the same pharmacy. Of the 119 responses received, (75 people, 63.0%) said they always use the same pharmacy and (40 people, 33.6%) said they use different pharmacies but prefer to visit one most often. Three respondents said that they always use different pharmacies, and one respondent said they rarely use a pharmacy. </w:t>
      </w:r>
    </w:p>
    <w:p w14:paraId="62790238" w14:textId="77777777" w:rsidR="00824B25" w:rsidRPr="00D0306F" w:rsidRDefault="00824B25" w:rsidP="00824B25">
      <w:pPr>
        <w:rPr>
          <w:rFonts w:eastAsia="Aptos" w:cs="Arial"/>
          <w:szCs w:val="22"/>
          <w:lang w:eastAsia="en-GB"/>
        </w:rPr>
      </w:pPr>
    </w:p>
    <w:p w14:paraId="5756F75C" w14:textId="77777777" w:rsidR="00824B25" w:rsidRPr="00D0306F" w:rsidRDefault="00824B25" w:rsidP="00824B25">
      <w:pPr>
        <w:rPr>
          <w:rFonts w:eastAsia="Aptos" w:cs="Arial"/>
          <w:szCs w:val="22"/>
          <w:lang w:eastAsia="en-GB"/>
        </w:rPr>
      </w:pPr>
      <w:r w:rsidRPr="00D0306F">
        <w:rPr>
          <w:rFonts w:eastAsia="Aptos" w:cs="Arial"/>
          <w:szCs w:val="22"/>
          <w:lang w:eastAsia="en-GB"/>
        </w:rPr>
        <w:t>There are many reasons that influence the choice of pharmacy. Multiple answers (323 responses) were given by the 119 respondents as to what influences choice of pharmacy. The most popular reasons were close to home (67.2%, 80 responses) followed by the location of the pharmacy is easy to get to (48.7%, 58 responses),</w:t>
      </w:r>
      <w:r w:rsidRPr="00D0306F">
        <w:rPr>
          <w:rFonts w:eastAsia="Aptos" w:cs="Arial"/>
          <w:szCs w:val="22"/>
        </w:rPr>
        <w:t xml:space="preserve"> I like and trust the staff who work there </w:t>
      </w:r>
      <w:r w:rsidRPr="00D0306F">
        <w:rPr>
          <w:rFonts w:eastAsia="Aptos" w:cs="Arial"/>
          <w:szCs w:val="22"/>
          <w:lang w:eastAsia="en-GB"/>
        </w:rPr>
        <w:t>(43.7%, 52 responses) and close to my doctor (42.9%, 51 people).</w:t>
      </w:r>
    </w:p>
    <w:p w14:paraId="3E5C562B" w14:textId="77777777" w:rsidR="00824B25" w:rsidRPr="00D0306F" w:rsidRDefault="00824B25" w:rsidP="00824B25">
      <w:pPr>
        <w:rPr>
          <w:rFonts w:eastAsia="Aptos" w:cs="Arial"/>
          <w:szCs w:val="22"/>
          <w:lang w:eastAsia="en-GB"/>
        </w:rPr>
      </w:pPr>
    </w:p>
    <w:p w14:paraId="77628FFA" w14:textId="77777777" w:rsidR="00824B25" w:rsidRPr="00D0306F" w:rsidRDefault="00824B25" w:rsidP="00824B25">
      <w:pPr>
        <w:rPr>
          <w:rFonts w:eastAsia="Aptos" w:cs="Arial"/>
          <w:b/>
          <w:bCs/>
          <w:szCs w:val="22"/>
          <w:lang w:eastAsia="en-GB"/>
        </w:rPr>
      </w:pPr>
      <w:r w:rsidRPr="00D0306F">
        <w:rPr>
          <w:rFonts w:eastAsia="Aptos" w:cs="Arial"/>
          <w:b/>
          <w:bCs/>
          <w:szCs w:val="22"/>
          <w:lang w:eastAsia="en-GB"/>
        </w:rPr>
        <w:t>Table 1.2: Most popular reasons that influence choice of pharmacy</w:t>
      </w:r>
    </w:p>
    <w:p w14:paraId="1B3A5A4A" w14:textId="77777777" w:rsidR="00824B25" w:rsidRPr="00D0306F" w:rsidRDefault="00824B25" w:rsidP="00824B25">
      <w:pPr>
        <w:rPr>
          <w:rFonts w:eastAsia="Aptos" w:cs="Arial"/>
          <w:szCs w:val="22"/>
          <w:lang w:eastAsia="en-GB"/>
        </w:rPr>
      </w:pPr>
    </w:p>
    <w:tbl>
      <w:tblPr>
        <w:tblW w:w="8522" w:type="dxa"/>
        <w:tblLook w:val="04A0" w:firstRow="1" w:lastRow="0" w:firstColumn="1" w:lastColumn="0" w:noHBand="0" w:noVBand="1"/>
      </w:tblPr>
      <w:tblGrid>
        <w:gridCol w:w="7083"/>
        <w:gridCol w:w="1439"/>
      </w:tblGrid>
      <w:tr w:rsidR="00824B25" w:rsidRPr="00D0306F" w14:paraId="65C49D06" w14:textId="77777777" w:rsidTr="00824B25">
        <w:trPr>
          <w:trHeight w:val="600"/>
        </w:trPr>
        <w:tc>
          <w:tcPr>
            <w:tcW w:w="7083" w:type="dxa"/>
            <w:tcBorders>
              <w:top w:val="single" w:sz="4" w:space="0" w:color="auto"/>
              <w:left w:val="single" w:sz="4" w:space="0" w:color="auto"/>
              <w:bottom w:val="single" w:sz="4" w:space="0" w:color="auto"/>
              <w:right w:val="single" w:sz="4" w:space="0" w:color="auto"/>
            </w:tcBorders>
            <w:shd w:val="clear" w:color="auto" w:fill="153D64"/>
            <w:noWrap/>
            <w:vAlign w:val="bottom"/>
            <w:hideMark/>
          </w:tcPr>
          <w:p w14:paraId="28A69516" w14:textId="77777777" w:rsidR="00824B25" w:rsidRPr="00D0306F" w:rsidRDefault="00824B25" w:rsidP="00824B25">
            <w:pPr>
              <w:rPr>
                <w:rFonts w:eastAsia="Aptos" w:cs="Arial"/>
                <w:b/>
                <w:bCs/>
                <w:color w:val="FFFFFF"/>
                <w:szCs w:val="22"/>
                <w:lang w:eastAsia="en-GB"/>
              </w:rPr>
            </w:pPr>
            <w:bookmarkStart w:id="6" w:name="_Hlk234397096"/>
            <w:r w:rsidRPr="00D0306F">
              <w:rPr>
                <w:rFonts w:eastAsia="Aptos" w:cs="Arial"/>
                <w:b/>
                <w:bCs/>
                <w:color w:val="FFFFFF"/>
                <w:szCs w:val="22"/>
                <w:lang w:eastAsia="en-GB"/>
              </w:rPr>
              <w:t xml:space="preserve">Reasons </w:t>
            </w:r>
          </w:p>
        </w:tc>
        <w:tc>
          <w:tcPr>
            <w:tcW w:w="1439" w:type="dxa"/>
            <w:tcBorders>
              <w:top w:val="single" w:sz="4" w:space="0" w:color="auto"/>
              <w:left w:val="nil"/>
              <w:bottom w:val="single" w:sz="4" w:space="0" w:color="auto"/>
              <w:right w:val="single" w:sz="4" w:space="0" w:color="auto"/>
            </w:tcBorders>
            <w:shd w:val="clear" w:color="auto" w:fill="153D64"/>
            <w:noWrap/>
            <w:vAlign w:val="bottom"/>
            <w:hideMark/>
          </w:tcPr>
          <w:p w14:paraId="19B23C6B" w14:textId="77777777" w:rsidR="00824B25" w:rsidRPr="00D0306F" w:rsidRDefault="00824B25" w:rsidP="00824B25">
            <w:pPr>
              <w:rPr>
                <w:rFonts w:eastAsia="Aptos" w:cs="Arial"/>
                <w:b/>
                <w:bCs/>
                <w:color w:val="FFFFFF"/>
                <w:szCs w:val="22"/>
                <w:lang w:eastAsia="en-GB"/>
              </w:rPr>
            </w:pPr>
            <w:r w:rsidRPr="00D0306F">
              <w:rPr>
                <w:rFonts w:eastAsia="Aptos" w:cs="Arial"/>
                <w:b/>
                <w:bCs/>
                <w:color w:val="FFFFFF"/>
                <w:szCs w:val="22"/>
                <w:lang w:eastAsia="en-GB"/>
              </w:rPr>
              <w:t>Total responses</w:t>
            </w:r>
          </w:p>
        </w:tc>
      </w:tr>
      <w:bookmarkEnd w:id="6"/>
      <w:tr w:rsidR="00824B25" w:rsidRPr="00D0306F" w14:paraId="792AE54C"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42C8EC4F"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Close to my home</w:t>
            </w:r>
          </w:p>
        </w:tc>
        <w:tc>
          <w:tcPr>
            <w:tcW w:w="1439" w:type="dxa"/>
            <w:tcBorders>
              <w:top w:val="nil"/>
              <w:left w:val="nil"/>
              <w:bottom w:val="single" w:sz="4" w:space="0" w:color="auto"/>
              <w:right w:val="single" w:sz="4" w:space="0" w:color="auto"/>
            </w:tcBorders>
            <w:shd w:val="clear" w:color="auto" w:fill="FFFFFF"/>
            <w:vAlign w:val="center"/>
            <w:hideMark/>
          </w:tcPr>
          <w:p w14:paraId="311E7994"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80</w:t>
            </w:r>
          </w:p>
        </w:tc>
      </w:tr>
      <w:tr w:rsidR="00824B25" w:rsidRPr="00D0306F" w14:paraId="3F6BB383"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7DABA033"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The location of the pharmacy is easy to get to</w:t>
            </w:r>
          </w:p>
        </w:tc>
        <w:tc>
          <w:tcPr>
            <w:tcW w:w="1439" w:type="dxa"/>
            <w:tcBorders>
              <w:top w:val="nil"/>
              <w:left w:val="nil"/>
              <w:bottom w:val="single" w:sz="4" w:space="0" w:color="auto"/>
              <w:right w:val="single" w:sz="4" w:space="0" w:color="auto"/>
            </w:tcBorders>
            <w:shd w:val="clear" w:color="auto" w:fill="FFFFFF"/>
            <w:vAlign w:val="center"/>
            <w:hideMark/>
          </w:tcPr>
          <w:p w14:paraId="3C2DADA7"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58</w:t>
            </w:r>
          </w:p>
        </w:tc>
      </w:tr>
      <w:tr w:rsidR="00824B25" w:rsidRPr="00D0306F" w14:paraId="32825AEB"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21D28C3F"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 like and trust the staff who work there</w:t>
            </w:r>
          </w:p>
        </w:tc>
        <w:tc>
          <w:tcPr>
            <w:tcW w:w="1439" w:type="dxa"/>
            <w:tcBorders>
              <w:top w:val="nil"/>
              <w:left w:val="nil"/>
              <w:bottom w:val="single" w:sz="4" w:space="0" w:color="auto"/>
              <w:right w:val="single" w:sz="4" w:space="0" w:color="auto"/>
            </w:tcBorders>
            <w:shd w:val="clear" w:color="auto" w:fill="FFFFFF"/>
            <w:vAlign w:val="center"/>
            <w:hideMark/>
          </w:tcPr>
          <w:p w14:paraId="255B16B1"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52</w:t>
            </w:r>
          </w:p>
        </w:tc>
      </w:tr>
      <w:tr w:rsidR="00824B25" w:rsidRPr="00D0306F" w14:paraId="661FB995"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4DE6C24F"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Close to my doctor</w:t>
            </w:r>
          </w:p>
        </w:tc>
        <w:tc>
          <w:tcPr>
            <w:tcW w:w="1439" w:type="dxa"/>
            <w:tcBorders>
              <w:top w:val="nil"/>
              <w:left w:val="nil"/>
              <w:bottom w:val="single" w:sz="4" w:space="0" w:color="auto"/>
              <w:right w:val="single" w:sz="4" w:space="0" w:color="auto"/>
            </w:tcBorders>
            <w:shd w:val="clear" w:color="auto" w:fill="FFFFFF"/>
            <w:vAlign w:val="center"/>
            <w:hideMark/>
          </w:tcPr>
          <w:p w14:paraId="28B941D8"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51</w:t>
            </w:r>
          </w:p>
        </w:tc>
      </w:tr>
      <w:tr w:rsidR="00824B25" w:rsidRPr="00D0306F" w14:paraId="7343331E"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6A1F7938"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They usually have what I need in stock</w:t>
            </w:r>
          </w:p>
        </w:tc>
        <w:tc>
          <w:tcPr>
            <w:tcW w:w="1439" w:type="dxa"/>
            <w:tcBorders>
              <w:top w:val="nil"/>
              <w:left w:val="nil"/>
              <w:bottom w:val="single" w:sz="4" w:space="0" w:color="auto"/>
              <w:right w:val="single" w:sz="4" w:space="0" w:color="auto"/>
            </w:tcBorders>
            <w:shd w:val="clear" w:color="auto" w:fill="FFFFFF"/>
            <w:vAlign w:val="center"/>
            <w:hideMark/>
          </w:tcPr>
          <w:p w14:paraId="547A4F5B"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48</w:t>
            </w:r>
          </w:p>
        </w:tc>
      </w:tr>
      <w:tr w:rsidR="00824B25" w:rsidRPr="00D0306F" w14:paraId="644F33C1"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740CF6AA"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The pharmacy provides good advice &amp; information</w:t>
            </w:r>
          </w:p>
        </w:tc>
        <w:tc>
          <w:tcPr>
            <w:tcW w:w="1439" w:type="dxa"/>
            <w:tcBorders>
              <w:top w:val="nil"/>
              <w:left w:val="nil"/>
              <w:bottom w:val="single" w:sz="4" w:space="0" w:color="auto"/>
              <w:right w:val="single" w:sz="4" w:space="0" w:color="auto"/>
            </w:tcBorders>
            <w:shd w:val="clear" w:color="auto" w:fill="FFFFFF"/>
            <w:vAlign w:val="center"/>
            <w:hideMark/>
          </w:tcPr>
          <w:p w14:paraId="305FBFD6"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41</w:t>
            </w:r>
          </w:p>
        </w:tc>
      </w:tr>
      <w:tr w:rsidR="00824B25" w:rsidRPr="00D0306F" w14:paraId="653503EB"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4D816A19"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The staff know me and look after me</w:t>
            </w:r>
          </w:p>
        </w:tc>
        <w:tc>
          <w:tcPr>
            <w:tcW w:w="1439" w:type="dxa"/>
            <w:tcBorders>
              <w:top w:val="nil"/>
              <w:left w:val="nil"/>
              <w:bottom w:val="single" w:sz="4" w:space="0" w:color="auto"/>
              <w:right w:val="single" w:sz="4" w:space="0" w:color="auto"/>
            </w:tcBorders>
            <w:shd w:val="clear" w:color="auto" w:fill="FFFFFF"/>
            <w:vAlign w:val="center"/>
            <w:hideMark/>
          </w:tcPr>
          <w:p w14:paraId="78D02C00"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39</w:t>
            </w:r>
          </w:p>
        </w:tc>
      </w:tr>
      <w:tr w:rsidR="00201A8E" w:rsidRPr="00D0306F" w14:paraId="5860AD9D" w14:textId="77777777" w:rsidTr="00837169">
        <w:trPr>
          <w:trHeight w:val="600"/>
        </w:trPr>
        <w:tc>
          <w:tcPr>
            <w:tcW w:w="7083" w:type="dxa"/>
            <w:tcBorders>
              <w:top w:val="single" w:sz="4" w:space="0" w:color="auto"/>
              <w:left w:val="single" w:sz="4" w:space="0" w:color="auto"/>
              <w:bottom w:val="single" w:sz="4" w:space="0" w:color="auto"/>
              <w:right w:val="single" w:sz="4" w:space="0" w:color="auto"/>
            </w:tcBorders>
            <w:shd w:val="clear" w:color="auto" w:fill="153D64"/>
            <w:noWrap/>
            <w:vAlign w:val="bottom"/>
            <w:hideMark/>
          </w:tcPr>
          <w:p w14:paraId="025485E2" w14:textId="77777777" w:rsidR="00201A8E" w:rsidRPr="00D0306F" w:rsidRDefault="00201A8E" w:rsidP="00837169">
            <w:pPr>
              <w:rPr>
                <w:rFonts w:eastAsia="Aptos" w:cs="Arial"/>
                <w:b/>
                <w:bCs/>
                <w:color w:val="FFFFFF"/>
                <w:szCs w:val="22"/>
                <w:lang w:eastAsia="en-GB"/>
              </w:rPr>
            </w:pPr>
            <w:r w:rsidRPr="00D0306F">
              <w:rPr>
                <w:rFonts w:eastAsia="Aptos" w:cs="Arial"/>
                <w:b/>
                <w:bCs/>
                <w:color w:val="FFFFFF"/>
                <w:szCs w:val="22"/>
                <w:lang w:eastAsia="en-GB"/>
              </w:rPr>
              <w:lastRenderedPageBreak/>
              <w:t xml:space="preserve">Reasons </w:t>
            </w:r>
          </w:p>
        </w:tc>
        <w:tc>
          <w:tcPr>
            <w:tcW w:w="1439" w:type="dxa"/>
            <w:tcBorders>
              <w:top w:val="single" w:sz="4" w:space="0" w:color="auto"/>
              <w:left w:val="nil"/>
              <w:bottom w:val="single" w:sz="4" w:space="0" w:color="auto"/>
              <w:right w:val="single" w:sz="4" w:space="0" w:color="auto"/>
            </w:tcBorders>
            <w:shd w:val="clear" w:color="auto" w:fill="153D64"/>
            <w:noWrap/>
            <w:vAlign w:val="bottom"/>
            <w:hideMark/>
          </w:tcPr>
          <w:p w14:paraId="7FA0D6E3" w14:textId="77777777" w:rsidR="00201A8E" w:rsidRPr="00D0306F" w:rsidRDefault="00201A8E" w:rsidP="00837169">
            <w:pPr>
              <w:rPr>
                <w:rFonts w:eastAsia="Aptos" w:cs="Arial"/>
                <w:b/>
                <w:bCs/>
                <w:color w:val="FFFFFF"/>
                <w:szCs w:val="22"/>
                <w:lang w:eastAsia="en-GB"/>
              </w:rPr>
            </w:pPr>
            <w:r w:rsidRPr="00D0306F">
              <w:rPr>
                <w:rFonts w:eastAsia="Aptos" w:cs="Arial"/>
                <w:b/>
                <w:bCs/>
                <w:color w:val="FFFFFF"/>
                <w:szCs w:val="22"/>
                <w:lang w:eastAsia="en-GB"/>
              </w:rPr>
              <w:t>Total responses</w:t>
            </w:r>
          </w:p>
        </w:tc>
      </w:tr>
      <w:tr w:rsidR="00824B25" w:rsidRPr="00D0306F" w14:paraId="345BE148"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3DE43B64"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The service is quick</w:t>
            </w:r>
          </w:p>
        </w:tc>
        <w:tc>
          <w:tcPr>
            <w:tcW w:w="1439" w:type="dxa"/>
            <w:tcBorders>
              <w:top w:val="nil"/>
              <w:left w:val="nil"/>
              <w:bottom w:val="single" w:sz="4" w:space="0" w:color="auto"/>
              <w:right w:val="single" w:sz="4" w:space="0" w:color="auto"/>
            </w:tcBorders>
            <w:shd w:val="clear" w:color="auto" w:fill="FFFFFF"/>
            <w:vAlign w:val="center"/>
            <w:hideMark/>
          </w:tcPr>
          <w:p w14:paraId="77C7502E"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36</w:t>
            </w:r>
          </w:p>
        </w:tc>
      </w:tr>
      <w:tr w:rsidR="00824B25" w:rsidRPr="00D0306F" w14:paraId="165A28F0"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43DE68A3"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There is a private area if I need to talk to the pharmacist</w:t>
            </w:r>
          </w:p>
        </w:tc>
        <w:tc>
          <w:tcPr>
            <w:tcW w:w="1439" w:type="dxa"/>
            <w:tcBorders>
              <w:top w:val="nil"/>
              <w:left w:val="nil"/>
              <w:bottom w:val="single" w:sz="4" w:space="0" w:color="auto"/>
              <w:right w:val="single" w:sz="4" w:space="0" w:color="auto"/>
            </w:tcBorders>
            <w:shd w:val="clear" w:color="auto" w:fill="FFFFFF"/>
            <w:vAlign w:val="center"/>
            <w:hideMark/>
          </w:tcPr>
          <w:p w14:paraId="46611B1E"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36</w:t>
            </w:r>
          </w:p>
        </w:tc>
      </w:tr>
      <w:tr w:rsidR="00824B25" w:rsidRPr="00D0306F" w14:paraId="0687AD8A"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1BE14D44"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The customer service</w:t>
            </w:r>
          </w:p>
        </w:tc>
        <w:tc>
          <w:tcPr>
            <w:tcW w:w="1439" w:type="dxa"/>
            <w:tcBorders>
              <w:top w:val="nil"/>
              <w:left w:val="nil"/>
              <w:bottom w:val="single" w:sz="4" w:space="0" w:color="auto"/>
              <w:right w:val="single" w:sz="4" w:space="0" w:color="auto"/>
            </w:tcBorders>
            <w:shd w:val="clear" w:color="auto" w:fill="FFFFFF"/>
            <w:vAlign w:val="center"/>
            <w:hideMark/>
          </w:tcPr>
          <w:p w14:paraId="2D5DE785"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35</w:t>
            </w:r>
          </w:p>
        </w:tc>
      </w:tr>
      <w:tr w:rsidR="00824B25" w:rsidRPr="00D0306F" w14:paraId="0D677C2D"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1E1940E8"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It is easy to park at the pharmacy</w:t>
            </w:r>
          </w:p>
        </w:tc>
        <w:tc>
          <w:tcPr>
            <w:tcW w:w="1439" w:type="dxa"/>
            <w:tcBorders>
              <w:top w:val="nil"/>
              <w:left w:val="nil"/>
              <w:bottom w:val="single" w:sz="4" w:space="0" w:color="auto"/>
              <w:right w:val="single" w:sz="4" w:space="0" w:color="auto"/>
            </w:tcBorders>
            <w:shd w:val="clear" w:color="auto" w:fill="FFFFFF"/>
            <w:vAlign w:val="center"/>
            <w:hideMark/>
          </w:tcPr>
          <w:p w14:paraId="49DBB97B"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33</w:t>
            </w:r>
          </w:p>
        </w:tc>
      </w:tr>
      <w:tr w:rsidR="00824B25" w:rsidRPr="00D0306F" w14:paraId="7557BB91"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561391AE"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The pharmacy has good opening hours</w:t>
            </w:r>
          </w:p>
        </w:tc>
        <w:tc>
          <w:tcPr>
            <w:tcW w:w="1439" w:type="dxa"/>
            <w:tcBorders>
              <w:top w:val="nil"/>
              <w:left w:val="nil"/>
              <w:bottom w:val="single" w:sz="4" w:space="0" w:color="auto"/>
              <w:right w:val="single" w:sz="4" w:space="0" w:color="auto"/>
            </w:tcBorders>
            <w:shd w:val="clear" w:color="auto" w:fill="FFFFFF"/>
            <w:vAlign w:val="center"/>
            <w:hideMark/>
          </w:tcPr>
          <w:p w14:paraId="47C8970D"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31</w:t>
            </w:r>
          </w:p>
        </w:tc>
      </w:tr>
      <w:tr w:rsidR="00824B25" w:rsidRPr="00D0306F" w14:paraId="6816876B"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41C38E74"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The pharmacy collects my prescription and/or delivers my medicines</w:t>
            </w:r>
          </w:p>
        </w:tc>
        <w:tc>
          <w:tcPr>
            <w:tcW w:w="1439" w:type="dxa"/>
            <w:tcBorders>
              <w:top w:val="nil"/>
              <w:left w:val="nil"/>
              <w:bottom w:val="single" w:sz="4" w:space="0" w:color="auto"/>
              <w:right w:val="single" w:sz="4" w:space="0" w:color="auto"/>
            </w:tcBorders>
            <w:shd w:val="clear" w:color="auto" w:fill="FFFFFF"/>
            <w:vAlign w:val="center"/>
            <w:hideMark/>
          </w:tcPr>
          <w:p w14:paraId="063CDDD2"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27</w:t>
            </w:r>
          </w:p>
        </w:tc>
      </w:tr>
      <w:tr w:rsidR="00824B25" w:rsidRPr="00D0306F" w14:paraId="0C9CA5EC"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435614AC"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I’ve always used this pharmacy</w:t>
            </w:r>
          </w:p>
        </w:tc>
        <w:tc>
          <w:tcPr>
            <w:tcW w:w="1439" w:type="dxa"/>
            <w:tcBorders>
              <w:top w:val="nil"/>
              <w:left w:val="nil"/>
              <w:bottom w:val="single" w:sz="4" w:space="0" w:color="auto"/>
              <w:right w:val="single" w:sz="4" w:space="0" w:color="auto"/>
            </w:tcBorders>
            <w:shd w:val="clear" w:color="auto" w:fill="FFFFFF"/>
            <w:vAlign w:val="center"/>
            <w:hideMark/>
          </w:tcPr>
          <w:p w14:paraId="5863ED8A"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25</w:t>
            </w:r>
          </w:p>
        </w:tc>
      </w:tr>
      <w:tr w:rsidR="00824B25" w:rsidRPr="00D0306F" w14:paraId="25E695EC"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7095F997"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It’s not one of the big chains</w:t>
            </w:r>
          </w:p>
        </w:tc>
        <w:tc>
          <w:tcPr>
            <w:tcW w:w="1439" w:type="dxa"/>
            <w:tcBorders>
              <w:top w:val="nil"/>
              <w:left w:val="nil"/>
              <w:bottom w:val="single" w:sz="4" w:space="0" w:color="auto"/>
              <w:right w:val="single" w:sz="4" w:space="0" w:color="auto"/>
            </w:tcBorders>
            <w:shd w:val="clear" w:color="auto" w:fill="FFFFFF"/>
            <w:vAlign w:val="center"/>
            <w:hideMark/>
          </w:tcPr>
          <w:p w14:paraId="44951229"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23</w:t>
            </w:r>
          </w:p>
        </w:tc>
      </w:tr>
      <w:tr w:rsidR="00824B25" w:rsidRPr="00D0306F" w14:paraId="75EBEAF5"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1A124F36"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 can order my repeat medicines online or by using their app</w:t>
            </w:r>
          </w:p>
        </w:tc>
        <w:tc>
          <w:tcPr>
            <w:tcW w:w="1439" w:type="dxa"/>
            <w:tcBorders>
              <w:top w:val="nil"/>
              <w:left w:val="nil"/>
              <w:bottom w:val="single" w:sz="4" w:space="0" w:color="auto"/>
              <w:right w:val="single" w:sz="4" w:space="0" w:color="auto"/>
            </w:tcBorders>
            <w:shd w:val="clear" w:color="auto" w:fill="FFFFFF"/>
            <w:vAlign w:val="center"/>
            <w:hideMark/>
          </w:tcPr>
          <w:p w14:paraId="4B75813D"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22</w:t>
            </w:r>
          </w:p>
        </w:tc>
      </w:tr>
      <w:tr w:rsidR="00824B25" w:rsidRPr="00D0306F" w14:paraId="26621DBD"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76A1A51F"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Close to where I work</w:t>
            </w:r>
          </w:p>
        </w:tc>
        <w:tc>
          <w:tcPr>
            <w:tcW w:w="1439" w:type="dxa"/>
            <w:tcBorders>
              <w:top w:val="nil"/>
              <w:left w:val="nil"/>
              <w:bottom w:val="single" w:sz="4" w:space="0" w:color="auto"/>
              <w:right w:val="single" w:sz="4" w:space="0" w:color="auto"/>
            </w:tcBorders>
            <w:shd w:val="clear" w:color="auto" w:fill="FFFFFF"/>
            <w:vAlign w:val="center"/>
            <w:hideMark/>
          </w:tcPr>
          <w:p w14:paraId="32489AA9"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15</w:t>
            </w:r>
          </w:p>
        </w:tc>
      </w:tr>
      <w:tr w:rsidR="00824B25" w:rsidRPr="00D0306F" w14:paraId="0AFC73B8"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1D1B950F"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Close to other shops</w:t>
            </w:r>
          </w:p>
        </w:tc>
        <w:tc>
          <w:tcPr>
            <w:tcW w:w="1439" w:type="dxa"/>
            <w:tcBorders>
              <w:top w:val="nil"/>
              <w:left w:val="nil"/>
              <w:bottom w:val="single" w:sz="4" w:space="0" w:color="auto"/>
              <w:right w:val="single" w:sz="4" w:space="0" w:color="auto"/>
            </w:tcBorders>
            <w:shd w:val="clear" w:color="auto" w:fill="FFFFFF"/>
            <w:vAlign w:val="center"/>
            <w:hideMark/>
          </w:tcPr>
          <w:p w14:paraId="4632192B"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14</w:t>
            </w:r>
          </w:p>
        </w:tc>
      </w:tr>
      <w:tr w:rsidR="00824B25" w:rsidRPr="00D0306F" w14:paraId="1155D205"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11F01F4E"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It’s a well-known big chain</w:t>
            </w:r>
          </w:p>
        </w:tc>
        <w:tc>
          <w:tcPr>
            <w:tcW w:w="1439" w:type="dxa"/>
            <w:tcBorders>
              <w:top w:val="nil"/>
              <w:left w:val="nil"/>
              <w:bottom w:val="single" w:sz="4" w:space="0" w:color="auto"/>
              <w:right w:val="single" w:sz="4" w:space="0" w:color="auto"/>
            </w:tcBorders>
            <w:shd w:val="clear" w:color="auto" w:fill="FFFFFF"/>
            <w:vAlign w:val="center"/>
            <w:hideMark/>
          </w:tcPr>
          <w:p w14:paraId="43EDB56C"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11</w:t>
            </w:r>
          </w:p>
        </w:tc>
      </w:tr>
      <w:tr w:rsidR="00824B25" w:rsidRPr="00D0306F" w14:paraId="01FB3B78"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2466BEDE"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 can speak to the staff in my preferred language</w:t>
            </w:r>
          </w:p>
        </w:tc>
        <w:tc>
          <w:tcPr>
            <w:tcW w:w="1439" w:type="dxa"/>
            <w:tcBorders>
              <w:top w:val="nil"/>
              <w:left w:val="nil"/>
              <w:bottom w:val="single" w:sz="4" w:space="0" w:color="auto"/>
              <w:right w:val="single" w:sz="4" w:space="0" w:color="auto"/>
            </w:tcBorders>
            <w:shd w:val="clear" w:color="auto" w:fill="FFFFFF"/>
            <w:vAlign w:val="center"/>
            <w:hideMark/>
          </w:tcPr>
          <w:p w14:paraId="14B51534"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6</w:t>
            </w:r>
          </w:p>
        </w:tc>
      </w:tr>
      <w:tr w:rsidR="00824B25" w:rsidRPr="00D0306F" w14:paraId="27D9DB7A"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1E251A53"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It is accessible eg wheelchair/baby buggy friendly</w:t>
            </w:r>
          </w:p>
        </w:tc>
        <w:tc>
          <w:tcPr>
            <w:tcW w:w="1439" w:type="dxa"/>
            <w:tcBorders>
              <w:top w:val="nil"/>
              <w:left w:val="nil"/>
              <w:bottom w:val="single" w:sz="4" w:space="0" w:color="auto"/>
              <w:right w:val="single" w:sz="4" w:space="0" w:color="auto"/>
            </w:tcBorders>
            <w:shd w:val="clear" w:color="auto" w:fill="FFFFFF"/>
            <w:vAlign w:val="center"/>
            <w:hideMark/>
          </w:tcPr>
          <w:p w14:paraId="106FB0AF"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6</w:t>
            </w:r>
          </w:p>
        </w:tc>
      </w:tr>
      <w:tr w:rsidR="00824B25" w:rsidRPr="00D0306F" w14:paraId="5A952098"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6BC5B01C"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Other:</w:t>
            </w:r>
          </w:p>
        </w:tc>
        <w:tc>
          <w:tcPr>
            <w:tcW w:w="1439" w:type="dxa"/>
            <w:tcBorders>
              <w:top w:val="nil"/>
              <w:left w:val="nil"/>
              <w:bottom w:val="single" w:sz="4" w:space="0" w:color="auto"/>
              <w:right w:val="single" w:sz="4" w:space="0" w:color="auto"/>
            </w:tcBorders>
            <w:shd w:val="clear" w:color="auto" w:fill="FFFFFF"/>
            <w:vAlign w:val="center"/>
            <w:hideMark/>
          </w:tcPr>
          <w:p w14:paraId="1A020561"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4</w:t>
            </w:r>
          </w:p>
        </w:tc>
      </w:tr>
      <w:tr w:rsidR="00824B25" w:rsidRPr="00D0306F" w14:paraId="2EC16B46"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26105690"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Close to children’s school or nursery</w:t>
            </w:r>
          </w:p>
        </w:tc>
        <w:tc>
          <w:tcPr>
            <w:tcW w:w="1439" w:type="dxa"/>
            <w:tcBorders>
              <w:top w:val="nil"/>
              <w:left w:val="nil"/>
              <w:bottom w:val="single" w:sz="4" w:space="0" w:color="auto"/>
              <w:right w:val="single" w:sz="4" w:space="0" w:color="auto"/>
            </w:tcBorders>
            <w:shd w:val="clear" w:color="auto" w:fill="FFFFFF"/>
            <w:vAlign w:val="center"/>
            <w:hideMark/>
          </w:tcPr>
          <w:p w14:paraId="5BD5A901"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3</w:t>
            </w:r>
          </w:p>
        </w:tc>
      </w:tr>
      <w:tr w:rsidR="00824B25" w:rsidRPr="00D0306F" w14:paraId="3C06360A"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4D3D2316"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The pharmacy was recommended to me</w:t>
            </w:r>
          </w:p>
        </w:tc>
        <w:tc>
          <w:tcPr>
            <w:tcW w:w="1439" w:type="dxa"/>
            <w:tcBorders>
              <w:top w:val="nil"/>
              <w:left w:val="nil"/>
              <w:bottom w:val="single" w:sz="4" w:space="0" w:color="auto"/>
              <w:right w:val="single" w:sz="4" w:space="0" w:color="auto"/>
            </w:tcBorders>
            <w:shd w:val="clear" w:color="auto" w:fill="FFFFFF"/>
            <w:vAlign w:val="center"/>
            <w:hideMark/>
          </w:tcPr>
          <w:p w14:paraId="3D77E7D9"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3</w:t>
            </w:r>
          </w:p>
        </w:tc>
      </w:tr>
      <w:tr w:rsidR="00824B25" w:rsidRPr="00D0306F" w14:paraId="5484F6D5" w14:textId="77777777" w:rsidTr="00824B25">
        <w:trPr>
          <w:trHeight w:val="315"/>
        </w:trPr>
        <w:tc>
          <w:tcPr>
            <w:tcW w:w="7083" w:type="dxa"/>
            <w:tcBorders>
              <w:top w:val="nil"/>
              <w:left w:val="single" w:sz="4" w:space="0" w:color="auto"/>
              <w:bottom w:val="single" w:sz="4" w:space="0" w:color="auto"/>
              <w:right w:val="single" w:sz="4" w:space="0" w:color="auto"/>
            </w:tcBorders>
            <w:shd w:val="clear" w:color="auto" w:fill="FFFFFF"/>
            <w:vAlign w:val="center"/>
            <w:hideMark/>
          </w:tcPr>
          <w:p w14:paraId="5553FF0A"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The staff don’t know me</w:t>
            </w:r>
          </w:p>
        </w:tc>
        <w:tc>
          <w:tcPr>
            <w:tcW w:w="1439" w:type="dxa"/>
            <w:tcBorders>
              <w:top w:val="nil"/>
              <w:left w:val="nil"/>
              <w:bottom w:val="single" w:sz="4" w:space="0" w:color="auto"/>
              <w:right w:val="single" w:sz="4" w:space="0" w:color="auto"/>
            </w:tcBorders>
            <w:shd w:val="clear" w:color="auto" w:fill="FFFFFF"/>
            <w:vAlign w:val="center"/>
            <w:hideMark/>
          </w:tcPr>
          <w:p w14:paraId="126C0192" w14:textId="77777777" w:rsidR="00824B25" w:rsidRPr="00D0306F" w:rsidRDefault="00824B25" w:rsidP="00824B25">
            <w:pPr>
              <w:jc w:val="center"/>
              <w:rPr>
                <w:rFonts w:eastAsia="Aptos" w:cs="Arial"/>
                <w:color w:val="000000"/>
                <w:szCs w:val="22"/>
                <w:lang w:eastAsia="en-GB"/>
              </w:rPr>
            </w:pPr>
            <w:r w:rsidRPr="00D0306F">
              <w:rPr>
                <w:rFonts w:eastAsia="Aptos" w:cs="Arial"/>
                <w:color w:val="000000"/>
                <w:szCs w:val="22"/>
                <w:lang w:eastAsia="en-GB"/>
              </w:rPr>
              <w:t>2</w:t>
            </w:r>
          </w:p>
        </w:tc>
      </w:tr>
    </w:tbl>
    <w:p w14:paraId="0BFE3D72" w14:textId="77777777" w:rsidR="00824B25" w:rsidRPr="00D0306F" w:rsidRDefault="00824B25" w:rsidP="00824B25">
      <w:pPr>
        <w:rPr>
          <w:rFonts w:eastAsia="Aptos" w:cs="Arial"/>
          <w:szCs w:val="22"/>
          <w:lang w:eastAsia="en-GB"/>
        </w:rPr>
      </w:pPr>
    </w:p>
    <w:p w14:paraId="3387FFC1" w14:textId="77777777" w:rsidR="00824B25" w:rsidRPr="00D0306F" w:rsidRDefault="00824B25" w:rsidP="00824B25">
      <w:pPr>
        <w:rPr>
          <w:rFonts w:eastAsia="Calibri" w:cs="Arial"/>
          <w:szCs w:val="22"/>
        </w:rPr>
      </w:pPr>
      <w:r w:rsidRPr="00D0306F">
        <w:rPr>
          <w:rFonts w:eastAsia="Aptos" w:cs="Arial"/>
          <w:szCs w:val="22"/>
          <w:lang w:eastAsia="en-GB"/>
        </w:rPr>
        <w:t>Of the four people who replied ‘other’, three comments were related to the automated collection points. One person said they go to whichever pharmacy has their medication.</w:t>
      </w:r>
    </w:p>
    <w:p w14:paraId="036B5194" w14:textId="77777777" w:rsidR="00824B25" w:rsidRPr="00D0306F" w:rsidRDefault="00824B25" w:rsidP="00824B25">
      <w:pPr>
        <w:rPr>
          <w:rFonts w:eastAsia="Aptos" w:cs="Arial"/>
          <w:szCs w:val="22"/>
          <w:lang w:eastAsia="en-GB"/>
        </w:rPr>
      </w:pPr>
    </w:p>
    <w:p w14:paraId="472552A9" w14:textId="77777777" w:rsidR="00824B25" w:rsidRPr="00D0306F" w:rsidRDefault="00824B25" w:rsidP="00824B25">
      <w:pPr>
        <w:rPr>
          <w:rFonts w:eastAsia="Aptos" w:cs="Arial"/>
          <w:szCs w:val="22"/>
          <w:lang w:eastAsia="en-GB"/>
        </w:rPr>
      </w:pPr>
      <w:r w:rsidRPr="00D0306F">
        <w:rPr>
          <w:rFonts w:eastAsia="Aptos" w:cs="Arial"/>
          <w:szCs w:val="22"/>
          <w:lang w:eastAsia="en-GB"/>
        </w:rPr>
        <w:t>When asked if there is a more convenient and/or closer that they don’t use, the majority of respondents (65.3%, 77 out of 118 people), said no, whilst six people (5.1%) did not know. However, for 29.7% of respondents (35 people) there was a more convenient or closer pharmacy that they were choosing not to use. When asked why they did not use that pharmacy, 36 people answered the question and a total of 88 responses were received. Multiple answers could be given to this question. The top four reasons provided were around speed of service (16 people) ease of parking (14 people), don’t have what I need in stock (12 people), and opening times (10 people).</w:t>
      </w:r>
    </w:p>
    <w:p w14:paraId="6A811DB6" w14:textId="77777777" w:rsidR="00824B25" w:rsidRPr="00D0306F" w:rsidRDefault="00824B25" w:rsidP="00824B25">
      <w:pPr>
        <w:rPr>
          <w:rFonts w:eastAsia="Aptos" w:cs="Arial"/>
          <w:szCs w:val="22"/>
          <w:lang w:eastAsia="en-GB"/>
        </w:rPr>
      </w:pPr>
    </w:p>
    <w:p w14:paraId="3D5F291A" w14:textId="77777777" w:rsidR="00824B25" w:rsidRPr="00D0306F" w:rsidRDefault="00824B25" w:rsidP="00824B25">
      <w:pPr>
        <w:rPr>
          <w:rFonts w:eastAsia="Aptos" w:cs="Arial"/>
          <w:b/>
          <w:bCs/>
          <w:szCs w:val="22"/>
          <w:lang w:eastAsia="en-GB"/>
        </w:rPr>
      </w:pPr>
      <w:r w:rsidRPr="00D0306F">
        <w:rPr>
          <w:rFonts w:eastAsia="Aptos" w:cs="Arial"/>
          <w:b/>
          <w:bCs/>
          <w:szCs w:val="22"/>
          <w:lang w:eastAsia="en-GB"/>
        </w:rPr>
        <w:t>Table 1.3: Reasons for not using a closer or more convenient pharmacy</w:t>
      </w:r>
    </w:p>
    <w:p w14:paraId="06B8AEC7" w14:textId="77777777" w:rsidR="00824B25" w:rsidRPr="00D0306F" w:rsidRDefault="00824B25" w:rsidP="00824B25">
      <w:pPr>
        <w:rPr>
          <w:rFonts w:eastAsia="Aptos" w:cs="Arial"/>
          <w:szCs w:val="22"/>
          <w:lang w:eastAsia="en-GB"/>
        </w:rPr>
      </w:pPr>
    </w:p>
    <w:tbl>
      <w:tblPr>
        <w:tblW w:w="8414" w:type="dxa"/>
        <w:tblLook w:val="04A0" w:firstRow="1" w:lastRow="0" w:firstColumn="1" w:lastColumn="0" w:noHBand="0" w:noVBand="1"/>
      </w:tblPr>
      <w:tblGrid>
        <w:gridCol w:w="6799"/>
        <w:gridCol w:w="1615"/>
      </w:tblGrid>
      <w:tr w:rsidR="00824B25" w:rsidRPr="00D0306F" w14:paraId="5A08557D" w14:textId="77777777" w:rsidTr="00201A8E">
        <w:trPr>
          <w:trHeight w:val="600"/>
        </w:trPr>
        <w:tc>
          <w:tcPr>
            <w:tcW w:w="6799" w:type="dxa"/>
            <w:tcBorders>
              <w:top w:val="single" w:sz="4" w:space="0" w:color="auto"/>
              <w:left w:val="single" w:sz="4" w:space="0" w:color="auto"/>
              <w:bottom w:val="single" w:sz="4" w:space="0" w:color="auto"/>
              <w:right w:val="single" w:sz="4" w:space="0" w:color="auto"/>
            </w:tcBorders>
            <w:shd w:val="clear" w:color="auto" w:fill="153D64"/>
            <w:noWrap/>
            <w:vAlign w:val="bottom"/>
            <w:hideMark/>
          </w:tcPr>
          <w:p w14:paraId="7615C415" w14:textId="77777777" w:rsidR="00824B25" w:rsidRPr="00D0306F" w:rsidRDefault="00824B25" w:rsidP="00824B25">
            <w:pPr>
              <w:rPr>
                <w:rFonts w:eastAsia="Aptos" w:cs="Arial"/>
                <w:b/>
                <w:bCs/>
                <w:color w:val="FFFFFF"/>
                <w:szCs w:val="22"/>
                <w:lang w:eastAsia="en-GB"/>
              </w:rPr>
            </w:pPr>
            <w:r w:rsidRPr="00D0306F">
              <w:rPr>
                <w:rFonts w:eastAsia="Aptos" w:cs="Arial"/>
                <w:b/>
                <w:bCs/>
                <w:color w:val="FFFFFF"/>
                <w:szCs w:val="22"/>
                <w:lang w:eastAsia="en-GB"/>
              </w:rPr>
              <w:t>Reasons</w:t>
            </w:r>
          </w:p>
        </w:tc>
        <w:tc>
          <w:tcPr>
            <w:tcW w:w="1615" w:type="dxa"/>
            <w:tcBorders>
              <w:top w:val="single" w:sz="4" w:space="0" w:color="auto"/>
              <w:left w:val="nil"/>
              <w:bottom w:val="single" w:sz="4" w:space="0" w:color="auto"/>
              <w:right w:val="single" w:sz="4" w:space="0" w:color="auto"/>
            </w:tcBorders>
            <w:shd w:val="clear" w:color="auto" w:fill="153D64"/>
            <w:noWrap/>
            <w:vAlign w:val="bottom"/>
            <w:hideMark/>
          </w:tcPr>
          <w:p w14:paraId="3C1057E2" w14:textId="77777777" w:rsidR="00824B25" w:rsidRPr="00D0306F" w:rsidRDefault="00824B25" w:rsidP="00824B25">
            <w:pPr>
              <w:rPr>
                <w:rFonts w:eastAsia="Aptos" w:cs="Arial"/>
                <w:b/>
                <w:bCs/>
                <w:color w:val="FFFFFF"/>
                <w:szCs w:val="22"/>
                <w:lang w:eastAsia="en-GB"/>
              </w:rPr>
            </w:pPr>
            <w:r w:rsidRPr="00D0306F">
              <w:rPr>
                <w:rFonts w:eastAsia="Aptos" w:cs="Arial"/>
                <w:b/>
                <w:bCs/>
                <w:color w:val="FFFFFF"/>
                <w:szCs w:val="22"/>
                <w:lang w:eastAsia="en-GB"/>
              </w:rPr>
              <w:t>Total responses</w:t>
            </w:r>
          </w:p>
        </w:tc>
      </w:tr>
      <w:tr w:rsidR="00824B25" w:rsidRPr="00D0306F" w14:paraId="31E8C934" w14:textId="77777777" w:rsidTr="00201A8E">
        <w:trPr>
          <w:trHeight w:val="315"/>
        </w:trPr>
        <w:tc>
          <w:tcPr>
            <w:tcW w:w="6799" w:type="dxa"/>
            <w:tcBorders>
              <w:top w:val="nil"/>
              <w:left w:val="single" w:sz="4" w:space="0" w:color="auto"/>
              <w:bottom w:val="single" w:sz="4" w:space="0" w:color="auto"/>
              <w:right w:val="single" w:sz="4" w:space="0" w:color="auto"/>
            </w:tcBorders>
            <w:shd w:val="clear" w:color="auto" w:fill="FFFFFF"/>
            <w:vAlign w:val="center"/>
            <w:hideMark/>
          </w:tcPr>
          <w:p w14:paraId="0CC474D4"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The service is too slow</w:t>
            </w:r>
          </w:p>
        </w:tc>
        <w:tc>
          <w:tcPr>
            <w:tcW w:w="1615" w:type="dxa"/>
            <w:tcBorders>
              <w:top w:val="nil"/>
              <w:left w:val="nil"/>
              <w:bottom w:val="single" w:sz="4" w:space="0" w:color="auto"/>
              <w:right w:val="single" w:sz="4" w:space="0" w:color="auto"/>
            </w:tcBorders>
            <w:shd w:val="clear" w:color="auto" w:fill="FFFFFF"/>
            <w:vAlign w:val="center"/>
            <w:hideMark/>
          </w:tcPr>
          <w:p w14:paraId="67C2A960" w14:textId="77777777" w:rsidR="00824B25" w:rsidRPr="00D0306F" w:rsidRDefault="00824B25" w:rsidP="00824B25">
            <w:pPr>
              <w:jc w:val="center"/>
              <w:rPr>
                <w:rFonts w:eastAsia="Aptos" w:cs="Arial"/>
                <w:szCs w:val="22"/>
                <w:lang w:eastAsia="en-GB"/>
              </w:rPr>
            </w:pPr>
            <w:r w:rsidRPr="00D0306F">
              <w:rPr>
                <w:rFonts w:eastAsia="Aptos" w:cs="Arial"/>
                <w:szCs w:val="22"/>
                <w:lang w:eastAsia="en-GB"/>
              </w:rPr>
              <w:t>16</w:t>
            </w:r>
          </w:p>
        </w:tc>
      </w:tr>
      <w:tr w:rsidR="00824B25" w:rsidRPr="00D0306F" w14:paraId="35FD7708" w14:textId="77777777" w:rsidTr="00201A8E">
        <w:trPr>
          <w:trHeight w:val="315"/>
        </w:trPr>
        <w:tc>
          <w:tcPr>
            <w:tcW w:w="6799" w:type="dxa"/>
            <w:tcBorders>
              <w:top w:val="nil"/>
              <w:left w:val="single" w:sz="4" w:space="0" w:color="auto"/>
              <w:bottom w:val="single" w:sz="4" w:space="0" w:color="auto"/>
              <w:right w:val="single" w:sz="4" w:space="0" w:color="auto"/>
            </w:tcBorders>
            <w:shd w:val="clear" w:color="auto" w:fill="FFFFFF"/>
            <w:vAlign w:val="center"/>
            <w:hideMark/>
          </w:tcPr>
          <w:p w14:paraId="4A7B96FF"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It is not easy to park at the pharmacy</w:t>
            </w:r>
          </w:p>
        </w:tc>
        <w:tc>
          <w:tcPr>
            <w:tcW w:w="1615" w:type="dxa"/>
            <w:tcBorders>
              <w:top w:val="nil"/>
              <w:left w:val="nil"/>
              <w:bottom w:val="single" w:sz="4" w:space="0" w:color="auto"/>
              <w:right w:val="single" w:sz="4" w:space="0" w:color="auto"/>
            </w:tcBorders>
            <w:shd w:val="clear" w:color="auto" w:fill="FFFFFF"/>
            <w:vAlign w:val="center"/>
            <w:hideMark/>
          </w:tcPr>
          <w:p w14:paraId="025C9CF1" w14:textId="77777777" w:rsidR="00824B25" w:rsidRPr="00D0306F" w:rsidRDefault="00824B25" w:rsidP="00824B25">
            <w:pPr>
              <w:jc w:val="center"/>
              <w:rPr>
                <w:rFonts w:eastAsia="Aptos" w:cs="Arial"/>
                <w:szCs w:val="22"/>
                <w:lang w:eastAsia="en-GB"/>
              </w:rPr>
            </w:pPr>
            <w:r w:rsidRPr="00D0306F">
              <w:rPr>
                <w:rFonts w:eastAsia="Aptos" w:cs="Arial"/>
                <w:szCs w:val="22"/>
                <w:lang w:eastAsia="en-GB"/>
              </w:rPr>
              <w:t>14</w:t>
            </w:r>
          </w:p>
        </w:tc>
      </w:tr>
      <w:tr w:rsidR="00824B25" w:rsidRPr="00D0306F" w14:paraId="4A2C8CD0" w14:textId="77777777" w:rsidTr="00201A8E">
        <w:trPr>
          <w:trHeight w:val="315"/>
        </w:trPr>
        <w:tc>
          <w:tcPr>
            <w:tcW w:w="6799" w:type="dxa"/>
            <w:tcBorders>
              <w:top w:val="nil"/>
              <w:left w:val="single" w:sz="4" w:space="0" w:color="auto"/>
              <w:bottom w:val="single" w:sz="4" w:space="0" w:color="auto"/>
              <w:right w:val="single" w:sz="4" w:space="0" w:color="auto"/>
            </w:tcBorders>
            <w:shd w:val="clear" w:color="auto" w:fill="FFFFFF"/>
            <w:vAlign w:val="center"/>
            <w:hideMark/>
          </w:tcPr>
          <w:p w14:paraId="57CC5190"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They don’t have what I need in stock</w:t>
            </w:r>
          </w:p>
        </w:tc>
        <w:tc>
          <w:tcPr>
            <w:tcW w:w="1615" w:type="dxa"/>
            <w:tcBorders>
              <w:top w:val="nil"/>
              <w:left w:val="nil"/>
              <w:bottom w:val="single" w:sz="4" w:space="0" w:color="auto"/>
              <w:right w:val="single" w:sz="4" w:space="0" w:color="auto"/>
            </w:tcBorders>
            <w:shd w:val="clear" w:color="auto" w:fill="FFFFFF"/>
            <w:vAlign w:val="center"/>
            <w:hideMark/>
          </w:tcPr>
          <w:p w14:paraId="5461E21E" w14:textId="77777777" w:rsidR="00824B25" w:rsidRPr="00D0306F" w:rsidRDefault="00824B25" w:rsidP="00824B25">
            <w:pPr>
              <w:jc w:val="center"/>
              <w:rPr>
                <w:rFonts w:eastAsia="Aptos" w:cs="Arial"/>
                <w:szCs w:val="22"/>
                <w:lang w:eastAsia="en-GB"/>
              </w:rPr>
            </w:pPr>
            <w:r w:rsidRPr="00D0306F">
              <w:rPr>
                <w:rFonts w:eastAsia="Aptos" w:cs="Arial"/>
                <w:szCs w:val="22"/>
                <w:lang w:eastAsia="en-GB"/>
              </w:rPr>
              <w:t>12</w:t>
            </w:r>
          </w:p>
        </w:tc>
      </w:tr>
      <w:tr w:rsidR="00824B25" w:rsidRPr="00D0306F" w14:paraId="6C3327DA" w14:textId="77777777" w:rsidTr="00201A8E">
        <w:trPr>
          <w:trHeight w:val="315"/>
        </w:trPr>
        <w:tc>
          <w:tcPr>
            <w:tcW w:w="6799" w:type="dxa"/>
            <w:tcBorders>
              <w:top w:val="nil"/>
              <w:left w:val="single" w:sz="4" w:space="0" w:color="auto"/>
              <w:bottom w:val="single" w:sz="4" w:space="0" w:color="auto"/>
              <w:right w:val="single" w:sz="4" w:space="0" w:color="auto"/>
            </w:tcBorders>
            <w:shd w:val="clear" w:color="auto" w:fill="FFFFFF"/>
            <w:vAlign w:val="center"/>
            <w:hideMark/>
          </w:tcPr>
          <w:p w14:paraId="2A22E154"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It’s not open when I need it</w:t>
            </w:r>
          </w:p>
        </w:tc>
        <w:tc>
          <w:tcPr>
            <w:tcW w:w="1615" w:type="dxa"/>
            <w:tcBorders>
              <w:top w:val="nil"/>
              <w:left w:val="nil"/>
              <w:bottom w:val="single" w:sz="4" w:space="0" w:color="auto"/>
              <w:right w:val="single" w:sz="4" w:space="0" w:color="auto"/>
            </w:tcBorders>
            <w:shd w:val="clear" w:color="auto" w:fill="FFFFFF"/>
            <w:vAlign w:val="center"/>
            <w:hideMark/>
          </w:tcPr>
          <w:p w14:paraId="172B1E39" w14:textId="77777777" w:rsidR="00824B25" w:rsidRPr="00D0306F" w:rsidRDefault="00824B25" w:rsidP="00824B25">
            <w:pPr>
              <w:jc w:val="center"/>
              <w:rPr>
                <w:rFonts w:eastAsia="Aptos" w:cs="Arial"/>
                <w:szCs w:val="22"/>
                <w:lang w:eastAsia="en-GB"/>
              </w:rPr>
            </w:pPr>
            <w:r w:rsidRPr="00D0306F">
              <w:rPr>
                <w:rFonts w:eastAsia="Aptos" w:cs="Arial"/>
                <w:szCs w:val="22"/>
                <w:lang w:eastAsia="en-GB"/>
              </w:rPr>
              <w:t>10</w:t>
            </w:r>
          </w:p>
        </w:tc>
      </w:tr>
      <w:tr w:rsidR="00824B25" w:rsidRPr="00D0306F" w14:paraId="0FCCE254" w14:textId="77777777" w:rsidTr="00201A8E">
        <w:trPr>
          <w:trHeight w:val="315"/>
        </w:trPr>
        <w:tc>
          <w:tcPr>
            <w:tcW w:w="6799" w:type="dxa"/>
            <w:tcBorders>
              <w:top w:val="nil"/>
              <w:left w:val="single" w:sz="4" w:space="0" w:color="auto"/>
              <w:bottom w:val="single" w:sz="4" w:space="0" w:color="auto"/>
              <w:right w:val="single" w:sz="4" w:space="0" w:color="auto"/>
            </w:tcBorders>
            <w:shd w:val="clear" w:color="auto" w:fill="FFFFFF"/>
            <w:vAlign w:val="center"/>
            <w:hideMark/>
          </w:tcPr>
          <w:p w14:paraId="018CCA6A"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The staff don’t know me</w:t>
            </w:r>
          </w:p>
        </w:tc>
        <w:tc>
          <w:tcPr>
            <w:tcW w:w="1615" w:type="dxa"/>
            <w:tcBorders>
              <w:top w:val="nil"/>
              <w:left w:val="nil"/>
              <w:bottom w:val="single" w:sz="4" w:space="0" w:color="auto"/>
              <w:right w:val="single" w:sz="4" w:space="0" w:color="auto"/>
            </w:tcBorders>
            <w:shd w:val="clear" w:color="auto" w:fill="FFFFFF"/>
            <w:vAlign w:val="center"/>
            <w:hideMark/>
          </w:tcPr>
          <w:p w14:paraId="113DED7F" w14:textId="77777777" w:rsidR="00824B25" w:rsidRPr="00D0306F" w:rsidRDefault="00824B25" w:rsidP="00824B25">
            <w:pPr>
              <w:jc w:val="center"/>
              <w:rPr>
                <w:rFonts w:eastAsia="Aptos" w:cs="Arial"/>
                <w:szCs w:val="22"/>
                <w:lang w:eastAsia="en-GB"/>
              </w:rPr>
            </w:pPr>
            <w:r w:rsidRPr="00D0306F">
              <w:rPr>
                <w:rFonts w:eastAsia="Aptos" w:cs="Arial"/>
                <w:szCs w:val="22"/>
                <w:lang w:eastAsia="en-GB"/>
              </w:rPr>
              <w:t>8</w:t>
            </w:r>
          </w:p>
        </w:tc>
      </w:tr>
      <w:tr w:rsidR="00201A8E" w:rsidRPr="00D0306F" w14:paraId="389FBA55" w14:textId="77777777" w:rsidTr="00201A8E">
        <w:trPr>
          <w:trHeight w:val="600"/>
        </w:trPr>
        <w:tc>
          <w:tcPr>
            <w:tcW w:w="6799" w:type="dxa"/>
            <w:tcBorders>
              <w:top w:val="single" w:sz="4" w:space="0" w:color="auto"/>
              <w:left w:val="single" w:sz="4" w:space="0" w:color="auto"/>
              <w:bottom w:val="single" w:sz="4" w:space="0" w:color="auto"/>
              <w:right w:val="single" w:sz="4" w:space="0" w:color="auto"/>
            </w:tcBorders>
            <w:shd w:val="clear" w:color="auto" w:fill="153D64"/>
            <w:noWrap/>
            <w:vAlign w:val="bottom"/>
            <w:hideMark/>
          </w:tcPr>
          <w:p w14:paraId="56189F15" w14:textId="77777777" w:rsidR="00201A8E" w:rsidRPr="00D0306F" w:rsidRDefault="00201A8E" w:rsidP="00837169">
            <w:pPr>
              <w:rPr>
                <w:rFonts w:eastAsia="Aptos" w:cs="Arial"/>
                <w:b/>
                <w:bCs/>
                <w:color w:val="FFFFFF"/>
                <w:szCs w:val="22"/>
                <w:lang w:eastAsia="en-GB"/>
              </w:rPr>
            </w:pPr>
            <w:r w:rsidRPr="00D0306F">
              <w:rPr>
                <w:rFonts w:eastAsia="Aptos" w:cs="Arial"/>
                <w:b/>
                <w:bCs/>
                <w:color w:val="FFFFFF"/>
                <w:szCs w:val="22"/>
                <w:lang w:eastAsia="en-GB"/>
              </w:rPr>
              <w:lastRenderedPageBreak/>
              <w:t xml:space="preserve">Reasons </w:t>
            </w:r>
          </w:p>
        </w:tc>
        <w:tc>
          <w:tcPr>
            <w:tcW w:w="1615" w:type="dxa"/>
            <w:tcBorders>
              <w:top w:val="single" w:sz="4" w:space="0" w:color="auto"/>
              <w:left w:val="nil"/>
              <w:bottom w:val="single" w:sz="4" w:space="0" w:color="auto"/>
              <w:right w:val="single" w:sz="4" w:space="0" w:color="auto"/>
            </w:tcBorders>
            <w:shd w:val="clear" w:color="auto" w:fill="153D64"/>
            <w:noWrap/>
            <w:vAlign w:val="bottom"/>
            <w:hideMark/>
          </w:tcPr>
          <w:p w14:paraId="099BC9F7" w14:textId="77777777" w:rsidR="00201A8E" w:rsidRPr="00D0306F" w:rsidRDefault="00201A8E" w:rsidP="00837169">
            <w:pPr>
              <w:rPr>
                <w:rFonts w:eastAsia="Aptos" w:cs="Arial"/>
                <w:b/>
                <w:bCs/>
                <w:color w:val="FFFFFF"/>
                <w:szCs w:val="22"/>
                <w:lang w:eastAsia="en-GB"/>
              </w:rPr>
            </w:pPr>
            <w:r w:rsidRPr="00D0306F">
              <w:rPr>
                <w:rFonts w:eastAsia="Aptos" w:cs="Arial"/>
                <w:b/>
                <w:bCs/>
                <w:color w:val="FFFFFF"/>
                <w:szCs w:val="22"/>
                <w:lang w:eastAsia="en-GB"/>
              </w:rPr>
              <w:t>Total responses</w:t>
            </w:r>
          </w:p>
        </w:tc>
      </w:tr>
      <w:tr w:rsidR="00824B25" w:rsidRPr="00D0306F" w14:paraId="3F74DDF4" w14:textId="77777777" w:rsidTr="00201A8E">
        <w:trPr>
          <w:trHeight w:val="315"/>
        </w:trPr>
        <w:tc>
          <w:tcPr>
            <w:tcW w:w="6799" w:type="dxa"/>
            <w:tcBorders>
              <w:top w:val="nil"/>
              <w:left w:val="single" w:sz="4" w:space="0" w:color="auto"/>
              <w:bottom w:val="single" w:sz="4" w:space="0" w:color="auto"/>
              <w:right w:val="single" w:sz="4" w:space="0" w:color="auto"/>
            </w:tcBorders>
            <w:shd w:val="clear" w:color="auto" w:fill="FFFFFF"/>
            <w:vAlign w:val="center"/>
            <w:hideMark/>
          </w:tcPr>
          <w:p w14:paraId="4213708B"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 have had a bad experience in the past</w:t>
            </w:r>
          </w:p>
        </w:tc>
        <w:tc>
          <w:tcPr>
            <w:tcW w:w="1615" w:type="dxa"/>
            <w:tcBorders>
              <w:top w:val="nil"/>
              <w:left w:val="nil"/>
              <w:bottom w:val="single" w:sz="4" w:space="0" w:color="auto"/>
              <w:right w:val="single" w:sz="4" w:space="0" w:color="auto"/>
            </w:tcBorders>
            <w:shd w:val="clear" w:color="auto" w:fill="FFFFFF"/>
            <w:vAlign w:val="center"/>
            <w:hideMark/>
          </w:tcPr>
          <w:p w14:paraId="7ED15348" w14:textId="77777777" w:rsidR="00824B25" w:rsidRPr="00D0306F" w:rsidRDefault="00824B25" w:rsidP="00824B25">
            <w:pPr>
              <w:jc w:val="center"/>
              <w:rPr>
                <w:rFonts w:eastAsia="Aptos" w:cs="Arial"/>
                <w:szCs w:val="22"/>
                <w:lang w:eastAsia="en-GB"/>
              </w:rPr>
            </w:pPr>
            <w:r w:rsidRPr="00D0306F">
              <w:rPr>
                <w:rFonts w:eastAsia="Aptos" w:cs="Arial"/>
                <w:szCs w:val="22"/>
                <w:lang w:eastAsia="en-GB"/>
              </w:rPr>
              <w:t>7</w:t>
            </w:r>
          </w:p>
        </w:tc>
      </w:tr>
      <w:tr w:rsidR="00824B25" w:rsidRPr="00D0306F" w14:paraId="58A4ADE1" w14:textId="77777777" w:rsidTr="00201A8E">
        <w:trPr>
          <w:trHeight w:val="315"/>
        </w:trPr>
        <w:tc>
          <w:tcPr>
            <w:tcW w:w="6799" w:type="dxa"/>
            <w:tcBorders>
              <w:top w:val="nil"/>
              <w:left w:val="single" w:sz="4" w:space="0" w:color="auto"/>
              <w:bottom w:val="single" w:sz="4" w:space="0" w:color="auto"/>
              <w:right w:val="single" w:sz="4" w:space="0" w:color="auto"/>
            </w:tcBorders>
            <w:shd w:val="clear" w:color="auto" w:fill="FFFFFF"/>
            <w:vAlign w:val="center"/>
            <w:hideMark/>
          </w:tcPr>
          <w:p w14:paraId="0173A998"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Other:</w:t>
            </w:r>
          </w:p>
        </w:tc>
        <w:tc>
          <w:tcPr>
            <w:tcW w:w="1615" w:type="dxa"/>
            <w:tcBorders>
              <w:top w:val="nil"/>
              <w:left w:val="nil"/>
              <w:bottom w:val="single" w:sz="4" w:space="0" w:color="auto"/>
              <w:right w:val="single" w:sz="4" w:space="0" w:color="auto"/>
            </w:tcBorders>
            <w:shd w:val="clear" w:color="auto" w:fill="FFFFFF"/>
            <w:vAlign w:val="center"/>
            <w:hideMark/>
          </w:tcPr>
          <w:p w14:paraId="4D3DD86D" w14:textId="77777777" w:rsidR="00824B25" w:rsidRPr="00D0306F" w:rsidRDefault="00824B25" w:rsidP="00824B25">
            <w:pPr>
              <w:jc w:val="center"/>
              <w:rPr>
                <w:rFonts w:eastAsia="Aptos" w:cs="Arial"/>
                <w:szCs w:val="22"/>
                <w:lang w:eastAsia="en-GB"/>
              </w:rPr>
            </w:pPr>
            <w:r w:rsidRPr="00D0306F">
              <w:rPr>
                <w:rFonts w:eastAsia="Aptos" w:cs="Arial"/>
                <w:szCs w:val="22"/>
                <w:lang w:eastAsia="en-GB"/>
              </w:rPr>
              <w:t>7</w:t>
            </w:r>
          </w:p>
        </w:tc>
      </w:tr>
      <w:tr w:rsidR="00824B25" w:rsidRPr="00D0306F" w14:paraId="793C3B7E" w14:textId="77777777" w:rsidTr="00201A8E">
        <w:trPr>
          <w:trHeight w:val="315"/>
        </w:trPr>
        <w:tc>
          <w:tcPr>
            <w:tcW w:w="6799" w:type="dxa"/>
            <w:tcBorders>
              <w:top w:val="nil"/>
              <w:left w:val="single" w:sz="4" w:space="0" w:color="auto"/>
              <w:bottom w:val="single" w:sz="4" w:space="0" w:color="auto"/>
              <w:right w:val="single" w:sz="4" w:space="0" w:color="auto"/>
            </w:tcBorders>
            <w:shd w:val="clear" w:color="auto" w:fill="FFFFFF"/>
            <w:vAlign w:val="center"/>
            <w:hideMark/>
          </w:tcPr>
          <w:p w14:paraId="40AF85B4"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The staff are always changing</w:t>
            </w:r>
          </w:p>
        </w:tc>
        <w:tc>
          <w:tcPr>
            <w:tcW w:w="1615" w:type="dxa"/>
            <w:tcBorders>
              <w:top w:val="nil"/>
              <w:left w:val="nil"/>
              <w:bottom w:val="single" w:sz="4" w:space="0" w:color="auto"/>
              <w:right w:val="single" w:sz="4" w:space="0" w:color="auto"/>
            </w:tcBorders>
            <w:shd w:val="clear" w:color="auto" w:fill="FFFFFF"/>
            <w:vAlign w:val="center"/>
            <w:hideMark/>
          </w:tcPr>
          <w:p w14:paraId="28A912A0" w14:textId="77777777" w:rsidR="00824B25" w:rsidRPr="00D0306F" w:rsidRDefault="00824B25" w:rsidP="00824B25">
            <w:pPr>
              <w:jc w:val="center"/>
              <w:rPr>
                <w:rFonts w:eastAsia="Aptos" w:cs="Arial"/>
                <w:szCs w:val="22"/>
                <w:lang w:eastAsia="en-GB"/>
              </w:rPr>
            </w:pPr>
            <w:r w:rsidRPr="00D0306F">
              <w:rPr>
                <w:rFonts w:eastAsia="Aptos" w:cs="Arial"/>
                <w:szCs w:val="22"/>
                <w:lang w:eastAsia="en-GB"/>
              </w:rPr>
              <w:t>6</w:t>
            </w:r>
          </w:p>
        </w:tc>
      </w:tr>
      <w:tr w:rsidR="00824B25" w:rsidRPr="00D0306F" w14:paraId="773EABE4" w14:textId="77777777" w:rsidTr="00201A8E">
        <w:trPr>
          <w:trHeight w:val="315"/>
        </w:trPr>
        <w:tc>
          <w:tcPr>
            <w:tcW w:w="6799" w:type="dxa"/>
            <w:tcBorders>
              <w:top w:val="nil"/>
              <w:left w:val="single" w:sz="4" w:space="0" w:color="auto"/>
              <w:bottom w:val="single" w:sz="4" w:space="0" w:color="auto"/>
              <w:right w:val="single" w:sz="4" w:space="0" w:color="auto"/>
            </w:tcBorders>
            <w:shd w:val="clear" w:color="auto" w:fill="FFFFFF"/>
            <w:vAlign w:val="center"/>
            <w:hideMark/>
          </w:tcPr>
          <w:p w14:paraId="16C359E5"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There is not enough privacy</w:t>
            </w:r>
          </w:p>
        </w:tc>
        <w:tc>
          <w:tcPr>
            <w:tcW w:w="1615" w:type="dxa"/>
            <w:tcBorders>
              <w:top w:val="nil"/>
              <w:left w:val="nil"/>
              <w:bottom w:val="single" w:sz="4" w:space="0" w:color="auto"/>
              <w:right w:val="single" w:sz="4" w:space="0" w:color="auto"/>
            </w:tcBorders>
            <w:shd w:val="clear" w:color="auto" w:fill="FFFFFF"/>
            <w:vAlign w:val="center"/>
            <w:hideMark/>
          </w:tcPr>
          <w:p w14:paraId="5F5C6940" w14:textId="77777777" w:rsidR="00824B25" w:rsidRPr="00D0306F" w:rsidRDefault="00824B25" w:rsidP="00824B25">
            <w:pPr>
              <w:jc w:val="center"/>
              <w:rPr>
                <w:rFonts w:eastAsia="Aptos" w:cs="Arial"/>
                <w:szCs w:val="22"/>
                <w:lang w:eastAsia="en-GB"/>
              </w:rPr>
            </w:pPr>
            <w:r w:rsidRPr="00D0306F">
              <w:rPr>
                <w:rFonts w:eastAsia="Aptos" w:cs="Arial"/>
                <w:szCs w:val="22"/>
                <w:lang w:eastAsia="en-GB"/>
              </w:rPr>
              <w:t>4</w:t>
            </w:r>
          </w:p>
        </w:tc>
      </w:tr>
      <w:tr w:rsidR="00824B25" w:rsidRPr="00D0306F" w14:paraId="185F2CEE" w14:textId="77777777" w:rsidTr="00201A8E">
        <w:trPr>
          <w:trHeight w:val="315"/>
        </w:trPr>
        <w:tc>
          <w:tcPr>
            <w:tcW w:w="6799" w:type="dxa"/>
            <w:tcBorders>
              <w:top w:val="nil"/>
              <w:left w:val="single" w:sz="4" w:space="0" w:color="auto"/>
              <w:bottom w:val="single" w:sz="4" w:space="0" w:color="auto"/>
              <w:right w:val="single" w:sz="4" w:space="0" w:color="auto"/>
            </w:tcBorders>
            <w:shd w:val="clear" w:color="auto" w:fill="FFFFFF"/>
            <w:vAlign w:val="center"/>
            <w:hideMark/>
          </w:tcPr>
          <w:p w14:paraId="3A553C65"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 know the staff and would prefer them not to know what medicines I am taking</w:t>
            </w:r>
          </w:p>
        </w:tc>
        <w:tc>
          <w:tcPr>
            <w:tcW w:w="1615" w:type="dxa"/>
            <w:tcBorders>
              <w:top w:val="nil"/>
              <w:left w:val="nil"/>
              <w:bottom w:val="single" w:sz="4" w:space="0" w:color="auto"/>
              <w:right w:val="single" w:sz="4" w:space="0" w:color="auto"/>
            </w:tcBorders>
            <w:shd w:val="clear" w:color="auto" w:fill="FFFFFF"/>
            <w:vAlign w:val="center"/>
            <w:hideMark/>
          </w:tcPr>
          <w:p w14:paraId="72FABE30" w14:textId="77777777" w:rsidR="00824B25" w:rsidRPr="00D0306F" w:rsidRDefault="00824B25" w:rsidP="00824B25">
            <w:pPr>
              <w:jc w:val="center"/>
              <w:rPr>
                <w:rFonts w:eastAsia="Aptos" w:cs="Arial"/>
                <w:szCs w:val="22"/>
                <w:lang w:eastAsia="en-GB"/>
              </w:rPr>
            </w:pPr>
            <w:r w:rsidRPr="00D0306F">
              <w:rPr>
                <w:rFonts w:eastAsia="Aptos" w:cs="Arial"/>
                <w:szCs w:val="22"/>
                <w:lang w:eastAsia="en-GB"/>
              </w:rPr>
              <w:t>3</w:t>
            </w:r>
          </w:p>
        </w:tc>
      </w:tr>
      <w:tr w:rsidR="00824B25" w:rsidRPr="00D0306F" w14:paraId="680CA4CE" w14:textId="77777777" w:rsidTr="00201A8E">
        <w:trPr>
          <w:trHeight w:val="315"/>
        </w:trPr>
        <w:tc>
          <w:tcPr>
            <w:tcW w:w="6799" w:type="dxa"/>
            <w:tcBorders>
              <w:top w:val="nil"/>
              <w:left w:val="single" w:sz="4" w:space="0" w:color="auto"/>
              <w:bottom w:val="single" w:sz="4" w:space="0" w:color="auto"/>
              <w:right w:val="single" w:sz="4" w:space="0" w:color="auto"/>
            </w:tcBorders>
            <w:shd w:val="clear" w:color="auto" w:fill="FFFFFF"/>
            <w:vAlign w:val="center"/>
            <w:hideMark/>
          </w:tcPr>
          <w:p w14:paraId="164B52BF"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The pharmacy does not deliver medicines</w:t>
            </w:r>
          </w:p>
        </w:tc>
        <w:tc>
          <w:tcPr>
            <w:tcW w:w="1615" w:type="dxa"/>
            <w:tcBorders>
              <w:top w:val="nil"/>
              <w:left w:val="nil"/>
              <w:bottom w:val="single" w:sz="4" w:space="0" w:color="auto"/>
              <w:right w:val="single" w:sz="4" w:space="0" w:color="auto"/>
            </w:tcBorders>
            <w:shd w:val="clear" w:color="auto" w:fill="FFFFFF"/>
            <w:vAlign w:val="center"/>
            <w:hideMark/>
          </w:tcPr>
          <w:p w14:paraId="62B22A46" w14:textId="77777777" w:rsidR="00824B25" w:rsidRPr="00D0306F" w:rsidRDefault="00824B25" w:rsidP="00824B25">
            <w:pPr>
              <w:jc w:val="center"/>
              <w:rPr>
                <w:rFonts w:eastAsia="Aptos" w:cs="Arial"/>
                <w:szCs w:val="22"/>
                <w:lang w:eastAsia="en-GB"/>
              </w:rPr>
            </w:pPr>
            <w:r w:rsidRPr="00D0306F">
              <w:rPr>
                <w:rFonts w:eastAsia="Aptos" w:cs="Arial"/>
                <w:szCs w:val="22"/>
                <w:lang w:eastAsia="en-GB"/>
              </w:rPr>
              <w:t>1</w:t>
            </w:r>
          </w:p>
        </w:tc>
      </w:tr>
      <w:tr w:rsidR="00824B25" w:rsidRPr="00D0306F" w14:paraId="41F1612D" w14:textId="77777777" w:rsidTr="00201A8E">
        <w:trPr>
          <w:trHeight w:val="315"/>
        </w:trPr>
        <w:tc>
          <w:tcPr>
            <w:tcW w:w="6799" w:type="dxa"/>
            <w:tcBorders>
              <w:top w:val="nil"/>
              <w:left w:val="single" w:sz="4" w:space="0" w:color="auto"/>
              <w:bottom w:val="single" w:sz="4" w:space="0" w:color="auto"/>
              <w:right w:val="single" w:sz="4" w:space="0" w:color="auto"/>
            </w:tcBorders>
            <w:shd w:val="clear" w:color="auto" w:fill="FFFFFF"/>
            <w:vAlign w:val="center"/>
            <w:hideMark/>
          </w:tcPr>
          <w:p w14:paraId="481B69D2"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It’s not wheelchair/baby buggy friendly</w:t>
            </w:r>
          </w:p>
        </w:tc>
        <w:tc>
          <w:tcPr>
            <w:tcW w:w="1615" w:type="dxa"/>
            <w:tcBorders>
              <w:top w:val="nil"/>
              <w:left w:val="nil"/>
              <w:bottom w:val="single" w:sz="4" w:space="0" w:color="auto"/>
              <w:right w:val="single" w:sz="4" w:space="0" w:color="auto"/>
            </w:tcBorders>
            <w:shd w:val="clear" w:color="auto" w:fill="FFFFFF"/>
            <w:vAlign w:val="center"/>
            <w:hideMark/>
          </w:tcPr>
          <w:p w14:paraId="5EB78836" w14:textId="77777777" w:rsidR="00824B25" w:rsidRPr="00D0306F" w:rsidRDefault="00824B25" w:rsidP="00824B25">
            <w:pPr>
              <w:jc w:val="center"/>
              <w:rPr>
                <w:rFonts w:eastAsia="Aptos" w:cs="Arial"/>
                <w:szCs w:val="22"/>
                <w:lang w:eastAsia="en-GB"/>
              </w:rPr>
            </w:pPr>
            <w:r w:rsidRPr="00D0306F">
              <w:rPr>
                <w:rFonts w:eastAsia="Aptos" w:cs="Arial"/>
                <w:szCs w:val="22"/>
                <w:lang w:eastAsia="en-GB"/>
              </w:rPr>
              <w:t>0</w:t>
            </w:r>
          </w:p>
        </w:tc>
      </w:tr>
    </w:tbl>
    <w:p w14:paraId="6429C1DA" w14:textId="77777777" w:rsidR="00824B25" w:rsidRPr="00D0306F" w:rsidRDefault="00824B25" w:rsidP="00824B25">
      <w:pPr>
        <w:rPr>
          <w:rFonts w:eastAsia="Aptos" w:cs="Arial"/>
          <w:szCs w:val="22"/>
          <w:lang w:eastAsia="en-GB"/>
        </w:rPr>
      </w:pPr>
    </w:p>
    <w:p w14:paraId="30FEC57A" w14:textId="77777777" w:rsidR="00824B25" w:rsidRPr="00D0306F" w:rsidRDefault="00824B25" w:rsidP="00824B25">
      <w:pPr>
        <w:rPr>
          <w:rFonts w:eastAsia="Aptos" w:cs="Arial"/>
          <w:szCs w:val="22"/>
          <w:lang w:eastAsia="en-GB"/>
        </w:rPr>
      </w:pPr>
      <w:r w:rsidRPr="00D0306F">
        <w:rPr>
          <w:rFonts w:eastAsia="Aptos" w:cs="Arial"/>
          <w:szCs w:val="22"/>
          <w:lang w:eastAsia="en-GB"/>
        </w:rPr>
        <w:t>Seven people (19.4%) selected ‘other’ when responding to this question. The reasons given were:</w:t>
      </w:r>
    </w:p>
    <w:p w14:paraId="074AA58D" w14:textId="77777777" w:rsidR="00824B25" w:rsidRPr="00D0306F" w:rsidRDefault="00824B25" w:rsidP="00824B25">
      <w:pPr>
        <w:rPr>
          <w:rFonts w:eastAsia="Aptos" w:cs="Arial"/>
          <w:szCs w:val="22"/>
          <w:lang w:eastAsia="en-GB"/>
        </w:rPr>
      </w:pPr>
    </w:p>
    <w:p w14:paraId="38EAA7C5" w14:textId="77777777" w:rsidR="00824B25" w:rsidRPr="00D0306F" w:rsidRDefault="00824B25" w:rsidP="00824B25">
      <w:pPr>
        <w:numPr>
          <w:ilvl w:val="0"/>
          <w:numId w:val="19"/>
        </w:numPr>
        <w:rPr>
          <w:rFonts w:eastAsia="Aptos" w:cs="Arial"/>
          <w:szCs w:val="22"/>
          <w:lang w:eastAsia="en-GB"/>
        </w:rPr>
      </w:pPr>
      <w:r w:rsidRPr="00D0306F">
        <w:rPr>
          <w:rFonts w:eastAsia="Aptos" w:cs="Arial"/>
          <w:szCs w:val="22"/>
          <w:lang w:eastAsia="en-GB"/>
        </w:rPr>
        <w:t xml:space="preserve">I have a good relationship with the pharmacist at my preferred pharmacy </w:t>
      </w:r>
    </w:p>
    <w:p w14:paraId="1D33113A" w14:textId="77777777" w:rsidR="00824B25" w:rsidRPr="00D0306F" w:rsidRDefault="00824B25" w:rsidP="00824B25">
      <w:pPr>
        <w:numPr>
          <w:ilvl w:val="0"/>
          <w:numId w:val="19"/>
        </w:numPr>
        <w:rPr>
          <w:rFonts w:eastAsia="Calibri" w:cs="Arial"/>
          <w:szCs w:val="22"/>
        </w:rPr>
      </w:pPr>
      <w:r w:rsidRPr="00D0306F">
        <w:rPr>
          <w:rFonts w:eastAsia="Calibri" w:cs="Arial"/>
          <w:szCs w:val="22"/>
        </w:rPr>
        <w:t>Staff are rude and service is poor</w:t>
      </w:r>
    </w:p>
    <w:p w14:paraId="4B289DAF" w14:textId="77777777" w:rsidR="00824B25" w:rsidRPr="00D0306F" w:rsidRDefault="00824B25" w:rsidP="00824B25">
      <w:pPr>
        <w:numPr>
          <w:ilvl w:val="0"/>
          <w:numId w:val="19"/>
        </w:numPr>
        <w:rPr>
          <w:rFonts w:eastAsia="Aptos" w:cs="Arial"/>
          <w:szCs w:val="22"/>
          <w:lang w:eastAsia="en-GB"/>
        </w:rPr>
      </w:pPr>
      <w:r w:rsidRPr="00D0306F">
        <w:rPr>
          <w:rFonts w:eastAsia="Calibri" w:cs="Arial"/>
          <w:szCs w:val="22"/>
        </w:rPr>
        <w:t>Attitude of staff and being told to come back the following day to pick up antibiotics</w:t>
      </w:r>
    </w:p>
    <w:p w14:paraId="70362494" w14:textId="77777777" w:rsidR="00824B25" w:rsidRPr="00D0306F" w:rsidRDefault="00824B25" w:rsidP="00824B25">
      <w:pPr>
        <w:numPr>
          <w:ilvl w:val="0"/>
          <w:numId w:val="19"/>
        </w:numPr>
        <w:rPr>
          <w:rFonts w:eastAsia="Aptos" w:cs="Arial"/>
          <w:szCs w:val="22"/>
          <w:lang w:eastAsia="en-GB"/>
        </w:rPr>
      </w:pPr>
      <w:r w:rsidRPr="00D0306F">
        <w:rPr>
          <w:rFonts w:eastAsia="Aptos" w:cs="Arial"/>
          <w:szCs w:val="22"/>
          <w:lang w:eastAsia="en-GB"/>
        </w:rPr>
        <w:t>Takes days to get medication</w:t>
      </w:r>
    </w:p>
    <w:p w14:paraId="68263215" w14:textId="77777777" w:rsidR="00824B25" w:rsidRPr="00D0306F" w:rsidRDefault="00824B25" w:rsidP="00824B25">
      <w:pPr>
        <w:numPr>
          <w:ilvl w:val="0"/>
          <w:numId w:val="19"/>
        </w:numPr>
        <w:rPr>
          <w:rFonts w:eastAsia="Aptos" w:cs="Arial"/>
          <w:szCs w:val="22"/>
          <w:lang w:eastAsia="en-GB"/>
        </w:rPr>
      </w:pPr>
      <w:r w:rsidRPr="00D0306F">
        <w:rPr>
          <w:rFonts w:eastAsia="Aptos" w:cs="Arial"/>
          <w:szCs w:val="22"/>
          <w:lang w:eastAsia="en-GB"/>
        </w:rPr>
        <w:t>It’s too busy</w:t>
      </w:r>
    </w:p>
    <w:p w14:paraId="1C5C3443" w14:textId="77777777" w:rsidR="00824B25" w:rsidRPr="00D0306F" w:rsidRDefault="00824B25" w:rsidP="00824B25">
      <w:pPr>
        <w:numPr>
          <w:ilvl w:val="0"/>
          <w:numId w:val="19"/>
        </w:numPr>
        <w:rPr>
          <w:rFonts w:eastAsia="Calibri" w:cs="Arial"/>
          <w:szCs w:val="22"/>
        </w:rPr>
      </w:pPr>
      <w:r w:rsidRPr="00D0306F">
        <w:rPr>
          <w:rFonts w:eastAsia="Aptos" w:cs="Arial"/>
          <w:szCs w:val="22"/>
          <w:lang w:eastAsia="en-GB"/>
        </w:rPr>
        <w:t xml:space="preserve">They don’t have a 24 hour dispensing machine for prescriptions </w:t>
      </w:r>
    </w:p>
    <w:p w14:paraId="184D9FA5" w14:textId="77777777" w:rsidR="00824B25" w:rsidRPr="00D0306F" w:rsidRDefault="00824B25" w:rsidP="00824B25">
      <w:pPr>
        <w:numPr>
          <w:ilvl w:val="0"/>
          <w:numId w:val="19"/>
        </w:numPr>
        <w:rPr>
          <w:rFonts w:eastAsia="Calibri" w:cs="Arial"/>
          <w:szCs w:val="22"/>
        </w:rPr>
      </w:pPr>
      <w:r w:rsidRPr="00D0306F">
        <w:rPr>
          <w:rFonts w:eastAsia="Aptos" w:cs="Arial"/>
          <w:color w:val="000000"/>
          <w:szCs w:val="22"/>
          <w:lang w:eastAsia="en-GB"/>
        </w:rPr>
        <w:t xml:space="preserve">I've heard bad things from others and so haven't used it </w:t>
      </w:r>
    </w:p>
    <w:p w14:paraId="74F24458" w14:textId="77777777" w:rsidR="00824B25" w:rsidRPr="00D0306F" w:rsidRDefault="00824B25" w:rsidP="00824B25">
      <w:pPr>
        <w:rPr>
          <w:rFonts w:eastAsia="Calibri" w:cs="Arial"/>
          <w:szCs w:val="22"/>
        </w:rPr>
      </w:pPr>
    </w:p>
    <w:p w14:paraId="0D34E825" w14:textId="77777777" w:rsidR="00824B25" w:rsidRPr="00D0306F" w:rsidRDefault="00824B25" w:rsidP="00824B25">
      <w:pPr>
        <w:rPr>
          <w:rFonts w:eastAsia="Aptos" w:cs="Arial"/>
          <w:color w:val="333333"/>
          <w:szCs w:val="22"/>
          <w:lang w:eastAsia="en-GB"/>
        </w:rPr>
      </w:pPr>
      <w:r w:rsidRPr="00D0306F">
        <w:rPr>
          <w:rFonts w:eastAsia="Aptos" w:cs="Arial"/>
          <w:szCs w:val="22"/>
          <w:lang w:eastAsia="en-GB"/>
        </w:rPr>
        <w:t xml:space="preserve">The most popular ways of travelling to a pharmacy are by car (66.4%, 79 people) and then on foot/wheelchair (26.9%, 32 people). 3.4% (four people) travelled by bus and two people by taxi. One person cycled. </w:t>
      </w:r>
    </w:p>
    <w:p w14:paraId="41BA96CD" w14:textId="77777777" w:rsidR="00824B25" w:rsidRPr="00D0306F" w:rsidRDefault="00824B25" w:rsidP="00824B25">
      <w:pPr>
        <w:rPr>
          <w:rFonts w:eastAsia="Aptos" w:cs="Arial"/>
          <w:szCs w:val="22"/>
          <w:lang w:eastAsia="en-GB"/>
        </w:rPr>
      </w:pPr>
    </w:p>
    <w:p w14:paraId="2E381BA1" w14:textId="77777777" w:rsidR="00824B25" w:rsidRPr="00D0306F" w:rsidRDefault="00824B25" w:rsidP="00824B25">
      <w:pPr>
        <w:rPr>
          <w:rFonts w:eastAsia="Aptos" w:cs="Arial"/>
          <w:szCs w:val="22"/>
          <w:lang w:eastAsia="en-GB"/>
        </w:rPr>
      </w:pPr>
      <w:r w:rsidRPr="00D0306F">
        <w:rPr>
          <w:rFonts w:eastAsia="Aptos" w:cs="Arial"/>
          <w:szCs w:val="22"/>
          <w:lang w:eastAsia="en-GB"/>
        </w:rPr>
        <w:t>With regard to the amount of time it takes to travel to a pharmacy, for 96.6% of respondents the journey is less than twenty minutes.</w:t>
      </w:r>
    </w:p>
    <w:p w14:paraId="3988AB35" w14:textId="77777777" w:rsidR="00824B25" w:rsidRPr="00D0306F" w:rsidRDefault="00824B25" w:rsidP="00824B25">
      <w:pPr>
        <w:rPr>
          <w:rFonts w:eastAsia="Aptos" w:cs="Arial"/>
          <w:szCs w:val="22"/>
          <w:lang w:eastAsia="en-GB"/>
        </w:rPr>
      </w:pPr>
    </w:p>
    <w:p w14:paraId="4B1CE12D" w14:textId="77777777" w:rsidR="00824B25" w:rsidRPr="00D0306F" w:rsidRDefault="00824B25" w:rsidP="00824B25">
      <w:pPr>
        <w:rPr>
          <w:rFonts w:eastAsia="Aptos" w:cs="Arial"/>
          <w:b/>
          <w:bCs/>
          <w:szCs w:val="22"/>
          <w:lang w:eastAsia="en-GB"/>
        </w:rPr>
      </w:pPr>
      <w:r w:rsidRPr="00D0306F">
        <w:rPr>
          <w:rFonts w:eastAsia="Aptos" w:cs="Arial"/>
          <w:b/>
          <w:bCs/>
          <w:szCs w:val="22"/>
          <w:lang w:eastAsia="en-GB"/>
        </w:rPr>
        <w:t>Figure 1.6: Time taken to travel to a pharmacy</w:t>
      </w:r>
    </w:p>
    <w:p w14:paraId="2DF75BC8" w14:textId="77777777" w:rsidR="00824B25" w:rsidRPr="00D0306F" w:rsidRDefault="00824B25" w:rsidP="00824B25">
      <w:pPr>
        <w:rPr>
          <w:rFonts w:eastAsia="Aptos" w:cs="Arial"/>
          <w:szCs w:val="22"/>
          <w:lang w:eastAsia="en-GB"/>
        </w:rPr>
      </w:pPr>
    </w:p>
    <w:p w14:paraId="0588D8BC" w14:textId="77777777" w:rsidR="00824B25" w:rsidRPr="00D0306F" w:rsidRDefault="00824B25" w:rsidP="00824B25">
      <w:pPr>
        <w:rPr>
          <w:rFonts w:eastAsia="Aptos" w:cs="Arial"/>
          <w:szCs w:val="22"/>
          <w:lang w:eastAsia="en-GB"/>
        </w:rPr>
      </w:pPr>
      <w:r w:rsidRPr="00D0306F">
        <w:rPr>
          <w:rFonts w:eastAsia="Aptos" w:cs="Arial"/>
          <w:noProof/>
          <w:szCs w:val="22"/>
        </w:rPr>
        <w:drawing>
          <wp:inline distT="0" distB="0" distL="0" distR="0" wp14:anchorId="513250CF" wp14:editId="71E097AA">
            <wp:extent cx="5553075" cy="2705100"/>
            <wp:effectExtent l="0" t="0" r="9525" b="0"/>
            <wp:docPr id="6" name="Picture 6" descr="Bar chart showing respondents’ estimated travel time to a pharmacy. Most respondents reported a travel time of between 5 and 15 minutes (67 responses), followed by less than 5 minutes (39 responses). Smaller numbers reported more than 15 but less than 20 minutes (8 responses) and more than 20 minutes (4 responses). The chart indicates that the vast majority of respondents can reach a pharmacy within 15 minutes.">
              <a:extLst xmlns:a="http://schemas.openxmlformats.org/drawingml/2006/main">
                <a:ext uri="{FF2B5EF4-FFF2-40B4-BE49-F238E27FC236}">
                  <a16:creationId xmlns:a16="http://schemas.microsoft.com/office/drawing/2014/main" id="{AC98846E-A24B-4ADE-82A3-A41EE8E0DA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DEF45F0" w14:textId="77777777" w:rsidR="00824B25" w:rsidRPr="00D0306F" w:rsidRDefault="00824B25" w:rsidP="00824B25">
      <w:pPr>
        <w:rPr>
          <w:rFonts w:eastAsia="Aptos" w:cs="Arial"/>
          <w:szCs w:val="22"/>
          <w:lang w:eastAsia="en-GB"/>
        </w:rPr>
      </w:pPr>
    </w:p>
    <w:p w14:paraId="0F5AF762" w14:textId="77777777" w:rsidR="00824B25" w:rsidRPr="00D0306F" w:rsidRDefault="00824B25" w:rsidP="00824B25">
      <w:pPr>
        <w:rPr>
          <w:rFonts w:eastAsia="Aptos" w:cs="Arial"/>
          <w:szCs w:val="22"/>
          <w:lang w:eastAsia="en-GB"/>
        </w:rPr>
      </w:pPr>
      <w:r w:rsidRPr="00D0306F">
        <w:rPr>
          <w:rFonts w:eastAsia="Aptos" w:cs="Arial"/>
          <w:szCs w:val="22"/>
          <w:lang w:eastAsia="en-GB"/>
        </w:rPr>
        <w:lastRenderedPageBreak/>
        <w:t>The majority of respondents (90.7%, 108 people) said they didn’t have difficulty getting to a pharmacy. Only 5.9% (seven people) replied that they did and 3.4% (four people) said the question was not applicable. Of the seven people who selected other, the reasons why they have difficulty were:</w:t>
      </w:r>
    </w:p>
    <w:p w14:paraId="2FD1335C" w14:textId="77777777" w:rsidR="00824B25" w:rsidRPr="00D0306F" w:rsidRDefault="00824B25" w:rsidP="00824B25">
      <w:pPr>
        <w:rPr>
          <w:rFonts w:eastAsia="Aptos" w:cs="Arial"/>
          <w:szCs w:val="22"/>
          <w:lang w:eastAsia="en-GB"/>
        </w:rPr>
      </w:pPr>
    </w:p>
    <w:p w14:paraId="07AC1236" w14:textId="77777777" w:rsidR="00824B25" w:rsidRPr="00D0306F" w:rsidRDefault="00824B25" w:rsidP="00824B25">
      <w:pPr>
        <w:numPr>
          <w:ilvl w:val="0"/>
          <w:numId w:val="20"/>
        </w:numPr>
        <w:rPr>
          <w:rFonts w:eastAsia="Aptos" w:cs="Arial"/>
          <w:szCs w:val="22"/>
          <w:lang w:eastAsia="en-GB"/>
        </w:rPr>
      </w:pPr>
      <w:r w:rsidRPr="00D0306F">
        <w:rPr>
          <w:rFonts w:eastAsia="Calibri" w:cs="Arial"/>
          <w:szCs w:val="22"/>
        </w:rPr>
        <w:t xml:space="preserve">They take so long to give your medication </w:t>
      </w:r>
    </w:p>
    <w:p w14:paraId="6F436786" w14:textId="77777777" w:rsidR="00824B25" w:rsidRPr="00D0306F" w:rsidRDefault="00824B25" w:rsidP="00824B25">
      <w:pPr>
        <w:numPr>
          <w:ilvl w:val="0"/>
          <w:numId w:val="20"/>
        </w:numPr>
        <w:rPr>
          <w:rFonts w:eastAsia="Aptos" w:cs="Arial"/>
          <w:szCs w:val="22"/>
          <w:lang w:eastAsia="en-GB"/>
        </w:rPr>
      </w:pPr>
      <w:r w:rsidRPr="00D0306F">
        <w:rPr>
          <w:rFonts w:eastAsia="Calibri" w:cs="Arial"/>
          <w:szCs w:val="22"/>
        </w:rPr>
        <w:t xml:space="preserve">Access and poor opening hours </w:t>
      </w:r>
    </w:p>
    <w:p w14:paraId="07E76B95" w14:textId="77777777" w:rsidR="00824B25" w:rsidRPr="00D0306F" w:rsidRDefault="00824B25" w:rsidP="00824B25">
      <w:pPr>
        <w:numPr>
          <w:ilvl w:val="0"/>
          <w:numId w:val="20"/>
        </w:numPr>
        <w:rPr>
          <w:rFonts w:eastAsia="Aptos" w:cs="Arial"/>
          <w:szCs w:val="22"/>
          <w:lang w:eastAsia="en-GB"/>
        </w:rPr>
      </w:pPr>
      <w:r w:rsidRPr="00D0306F">
        <w:rPr>
          <w:rFonts w:eastAsia="Calibri" w:cs="Arial"/>
          <w:szCs w:val="22"/>
        </w:rPr>
        <w:t xml:space="preserve">I work 9-5 </w:t>
      </w:r>
    </w:p>
    <w:p w14:paraId="5416D5D2" w14:textId="77777777" w:rsidR="00824B25" w:rsidRPr="00D0306F" w:rsidRDefault="00824B25" w:rsidP="00824B25">
      <w:pPr>
        <w:numPr>
          <w:ilvl w:val="0"/>
          <w:numId w:val="20"/>
        </w:numPr>
        <w:rPr>
          <w:rFonts w:eastAsia="Aptos" w:cs="Arial"/>
          <w:szCs w:val="22"/>
          <w:lang w:eastAsia="en-GB"/>
        </w:rPr>
      </w:pPr>
      <w:r w:rsidRPr="00D0306F">
        <w:rPr>
          <w:rFonts w:eastAsia="Calibri" w:cs="Arial"/>
          <w:szCs w:val="22"/>
        </w:rPr>
        <w:t xml:space="preserve">Parking in the area is non existent </w:t>
      </w:r>
    </w:p>
    <w:p w14:paraId="0B15B6F4" w14:textId="77777777" w:rsidR="00824B25" w:rsidRPr="00D0306F" w:rsidRDefault="00824B25" w:rsidP="00824B25">
      <w:pPr>
        <w:numPr>
          <w:ilvl w:val="0"/>
          <w:numId w:val="20"/>
        </w:numPr>
        <w:rPr>
          <w:rFonts w:eastAsia="Aptos" w:cs="Arial"/>
          <w:szCs w:val="22"/>
          <w:lang w:eastAsia="en-GB"/>
        </w:rPr>
      </w:pPr>
      <w:r w:rsidRPr="00D0306F">
        <w:rPr>
          <w:rFonts w:eastAsia="Calibri" w:cs="Arial"/>
          <w:szCs w:val="22"/>
        </w:rPr>
        <w:t xml:space="preserve">Depending on taxi availability </w:t>
      </w:r>
    </w:p>
    <w:p w14:paraId="5B186410" w14:textId="77777777" w:rsidR="00824B25" w:rsidRPr="00D0306F" w:rsidRDefault="00824B25" w:rsidP="00824B25">
      <w:pPr>
        <w:numPr>
          <w:ilvl w:val="0"/>
          <w:numId w:val="20"/>
        </w:numPr>
        <w:rPr>
          <w:rFonts w:eastAsia="Aptos" w:cs="Arial"/>
          <w:szCs w:val="22"/>
          <w:lang w:eastAsia="en-GB"/>
        </w:rPr>
      </w:pPr>
      <w:r w:rsidRPr="00D0306F">
        <w:rPr>
          <w:rFonts w:eastAsia="Calibri" w:cs="Arial"/>
          <w:szCs w:val="22"/>
        </w:rPr>
        <w:t>I have kidney failure</w:t>
      </w:r>
    </w:p>
    <w:p w14:paraId="51C3A735" w14:textId="77777777" w:rsidR="00824B25" w:rsidRPr="00D0306F" w:rsidRDefault="00824B25" w:rsidP="00824B25">
      <w:pPr>
        <w:numPr>
          <w:ilvl w:val="0"/>
          <w:numId w:val="20"/>
        </w:numPr>
        <w:rPr>
          <w:rFonts w:eastAsia="Aptos" w:cs="Arial"/>
          <w:szCs w:val="22"/>
          <w:lang w:eastAsia="en-GB"/>
        </w:rPr>
      </w:pPr>
      <w:r w:rsidRPr="00D0306F">
        <w:rPr>
          <w:rFonts w:eastAsia="Aptos" w:cs="Arial"/>
          <w:szCs w:val="22"/>
          <w:lang w:eastAsia="en-GB"/>
        </w:rPr>
        <w:t>Mobility issues</w:t>
      </w:r>
    </w:p>
    <w:p w14:paraId="59F27D96" w14:textId="77777777" w:rsidR="00824B25" w:rsidRPr="00D0306F" w:rsidRDefault="00824B25" w:rsidP="00824B25">
      <w:pPr>
        <w:rPr>
          <w:rFonts w:eastAsia="Aptos" w:cs="Arial"/>
          <w:szCs w:val="22"/>
          <w:lang w:eastAsia="en-GB"/>
        </w:rPr>
      </w:pPr>
    </w:p>
    <w:p w14:paraId="46C8BB75" w14:textId="77777777" w:rsidR="00824B25" w:rsidRPr="00D0306F" w:rsidRDefault="00824B25" w:rsidP="00824B25">
      <w:pPr>
        <w:rPr>
          <w:rFonts w:eastAsia="Aptos" w:cs="Arial"/>
          <w:szCs w:val="22"/>
          <w:lang w:eastAsia="en-GB"/>
        </w:rPr>
      </w:pPr>
      <w:r w:rsidRPr="00D0306F">
        <w:rPr>
          <w:rFonts w:eastAsia="Aptos" w:cs="Arial"/>
          <w:szCs w:val="22"/>
          <w:lang w:eastAsia="en-GB"/>
        </w:rPr>
        <w:t>When asked about the methods or resources used to find out information about a pharmacy such as opening times or the services being offered, 119 people answered the question and a total of 208 responses were received. Multiple answers could be given to this question. Overall, the internet (62.2%, 74 responses) was the most popular way people used to find out information. 30.3% (36 responses) said they would call them, and 24.3% (29 responses) said they would just pop in and ask them. Of the seven people who said ‘other’:</w:t>
      </w:r>
    </w:p>
    <w:p w14:paraId="1DCC5AC9" w14:textId="77777777" w:rsidR="00824B25" w:rsidRPr="00D0306F" w:rsidRDefault="00824B25" w:rsidP="00824B25">
      <w:pPr>
        <w:rPr>
          <w:rFonts w:eastAsia="Aptos" w:cs="Arial"/>
          <w:szCs w:val="22"/>
          <w:lang w:eastAsia="en-GB"/>
        </w:rPr>
      </w:pPr>
    </w:p>
    <w:p w14:paraId="43C39E58" w14:textId="77777777" w:rsidR="00824B25" w:rsidRPr="00D0306F" w:rsidRDefault="00824B25" w:rsidP="00824B25">
      <w:pPr>
        <w:numPr>
          <w:ilvl w:val="0"/>
          <w:numId w:val="21"/>
        </w:numPr>
        <w:rPr>
          <w:rFonts w:eastAsia="Calibri" w:cs="Arial"/>
          <w:szCs w:val="22"/>
        </w:rPr>
      </w:pPr>
      <w:r w:rsidRPr="00D0306F">
        <w:rPr>
          <w:rFonts w:eastAsia="Calibri" w:cs="Arial"/>
          <w:szCs w:val="22"/>
        </w:rPr>
        <w:t xml:space="preserve">Pharmacy own website </w:t>
      </w:r>
    </w:p>
    <w:p w14:paraId="429E8131" w14:textId="77777777" w:rsidR="00824B25" w:rsidRPr="00D0306F" w:rsidRDefault="00824B25" w:rsidP="00824B25">
      <w:pPr>
        <w:numPr>
          <w:ilvl w:val="0"/>
          <w:numId w:val="21"/>
        </w:numPr>
        <w:rPr>
          <w:rFonts w:eastAsia="Calibri" w:cs="Arial"/>
          <w:szCs w:val="22"/>
        </w:rPr>
      </w:pPr>
      <w:r w:rsidRPr="00D0306F">
        <w:rPr>
          <w:rFonts w:eastAsia="Calibri" w:cs="Arial"/>
          <w:szCs w:val="22"/>
        </w:rPr>
        <w:t>Use the [name] app</w:t>
      </w:r>
    </w:p>
    <w:p w14:paraId="55CF0BDE" w14:textId="77777777" w:rsidR="00824B25" w:rsidRPr="00D0306F" w:rsidRDefault="00824B25" w:rsidP="00824B25">
      <w:pPr>
        <w:numPr>
          <w:ilvl w:val="0"/>
          <w:numId w:val="21"/>
        </w:numPr>
        <w:rPr>
          <w:rFonts w:eastAsia="Calibri" w:cs="Arial"/>
          <w:szCs w:val="22"/>
        </w:rPr>
      </w:pPr>
      <w:r w:rsidRPr="00D0306F">
        <w:rPr>
          <w:rFonts w:eastAsia="Calibri" w:cs="Arial"/>
          <w:szCs w:val="22"/>
        </w:rPr>
        <w:t xml:space="preserve">I know of pharmacists in the area due to having to visit them all to get medication </w:t>
      </w:r>
    </w:p>
    <w:p w14:paraId="0307200A" w14:textId="77777777" w:rsidR="00824B25" w:rsidRPr="00D0306F" w:rsidRDefault="00824B25" w:rsidP="00824B25">
      <w:pPr>
        <w:numPr>
          <w:ilvl w:val="0"/>
          <w:numId w:val="21"/>
        </w:numPr>
        <w:rPr>
          <w:rFonts w:eastAsia="Calibri" w:cs="Arial"/>
          <w:szCs w:val="22"/>
        </w:rPr>
      </w:pPr>
      <w:r w:rsidRPr="00D0306F">
        <w:rPr>
          <w:rFonts w:eastAsia="Calibri" w:cs="Arial"/>
          <w:szCs w:val="22"/>
        </w:rPr>
        <w:t xml:space="preserve">[name] Pharmacy have a brilliant out of hours dispensing machine </w:t>
      </w:r>
    </w:p>
    <w:p w14:paraId="4364D1AF" w14:textId="77777777" w:rsidR="00824B25" w:rsidRPr="00D0306F" w:rsidRDefault="00824B25" w:rsidP="00824B25">
      <w:pPr>
        <w:numPr>
          <w:ilvl w:val="0"/>
          <w:numId w:val="21"/>
        </w:numPr>
        <w:rPr>
          <w:rFonts w:eastAsia="Calibri" w:cs="Arial"/>
          <w:szCs w:val="22"/>
        </w:rPr>
      </w:pPr>
      <w:r w:rsidRPr="00D0306F">
        <w:rPr>
          <w:rFonts w:eastAsia="Calibri" w:cs="Arial"/>
          <w:szCs w:val="22"/>
        </w:rPr>
        <w:t>On text I receive from them</w:t>
      </w:r>
    </w:p>
    <w:p w14:paraId="0DCD0D4E" w14:textId="77777777" w:rsidR="00824B25" w:rsidRPr="00D0306F" w:rsidRDefault="00824B25" w:rsidP="00824B25">
      <w:pPr>
        <w:numPr>
          <w:ilvl w:val="0"/>
          <w:numId w:val="21"/>
        </w:numPr>
        <w:rPr>
          <w:rFonts w:eastAsia="Calibri" w:cs="Arial"/>
          <w:szCs w:val="22"/>
        </w:rPr>
      </w:pPr>
      <w:r w:rsidRPr="00D0306F">
        <w:rPr>
          <w:rFonts w:eastAsia="Calibri" w:cs="Arial"/>
          <w:szCs w:val="22"/>
        </w:rPr>
        <w:t>Google Maps</w:t>
      </w:r>
    </w:p>
    <w:p w14:paraId="0E8434F1" w14:textId="77777777" w:rsidR="00824B25" w:rsidRPr="00D0306F" w:rsidRDefault="00824B25" w:rsidP="00824B25">
      <w:pPr>
        <w:numPr>
          <w:ilvl w:val="0"/>
          <w:numId w:val="21"/>
        </w:numPr>
        <w:rPr>
          <w:rFonts w:eastAsia="Aptos" w:cs="Arial"/>
          <w:szCs w:val="22"/>
          <w:lang w:eastAsia="en-GB"/>
        </w:rPr>
      </w:pPr>
      <w:r w:rsidRPr="00D0306F">
        <w:rPr>
          <w:rFonts w:eastAsia="Calibri" w:cs="Arial"/>
          <w:szCs w:val="22"/>
        </w:rPr>
        <w:t xml:space="preserve">Look at notice on door </w:t>
      </w:r>
    </w:p>
    <w:p w14:paraId="00EFBF98" w14:textId="77777777" w:rsidR="00824B25" w:rsidRPr="00D0306F" w:rsidRDefault="00824B25" w:rsidP="00824B25">
      <w:pPr>
        <w:rPr>
          <w:rFonts w:eastAsia="Aptos" w:cs="Arial"/>
          <w:szCs w:val="22"/>
          <w:lang w:eastAsia="en-GB"/>
        </w:rPr>
      </w:pPr>
    </w:p>
    <w:p w14:paraId="7BFA3FB6" w14:textId="77777777" w:rsidR="00460384" w:rsidRPr="00D0306F" w:rsidRDefault="00460384" w:rsidP="00824B25">
      <w:pPr>
        <w:rPr>
          <w:rFonts w:eastAsia="Aptos" w:cs="Arial"/>
          <w:szCs w:val="22"/>
          <w:lang w:eastAsia="en-GB"/>
        </w:rPr>
      </w:pPr>
    </w:p>
    <w:p w14:paraId="0895ECFC" w14:textId="77777777" w:rsidR="00824B25" w:rsidRPr="00D0306F" w:rsidRDefault="00824B25" w:rsidP="00824B25">
      <w:pPr>
        <w:rPr>
          <w:rFonts w:eastAsia="Aptos" w:cs="Arial"/>
          <w:b/>
          <w:bCs/>
          <w:szCs w:val="22"/>
          <w:lang w:eastAsia="en-GB"/>
        </w:rPr>
      </w:pPr>
      <w:r w:rsidRPr="00D0306F">
        <w:rPr>
          <w:rFonts w:eastAsia="Aptos" w:cs="Arial"/>
          <w:b/>
          <w:bCs/>
          <w:szCs w:val="22"/>
          <w:lang w:eastAsia="en-GB"/>
        </w:rPr>
        <w:t>Table 1.4: Most common ways to find out information on pharmacies</w:t>
      </w:r>
    </w:p>
    <w:p w14:paraId="7AB12CF4" w14:textId="77777777" w:rsidR="00824B25" w:rsidRPr="00D0306F" w:rsidRDefault="00824B25" w:rsidP="00824B25">
      <w:pPr>
        <w:rPr>
          <w:rFonts w:eastAsia="Aptos" w:cs="Arial"/>
          <w:szCs w:val="22"/>
          <w:lang w:eastAsia="en-GB"/>
        </w:rPr>
      </w:pPr>
    </w:p>
    <w:tbl>
      <w:tblPr>
        <w:tblW w:w="8075" w:type="dxa"/>
        <w:tblLook w:val="04A0" w:firstRow="1" w:lastRow="0" w:firstColumn="1" w:lastColumn="0" w:noHBand="0" w:noVBand="1"/>
      </w:tblPr>
      <w:tblGrid>
        <w:gridCol w:w="6658"/>
        <w:gridCol w:w="1417"/>
      </w:tblGrid>
      <w:tr w:rsidR="00824B25" w:rsidRPr="00D0306F" w14:paraId="15895865" w14:textId="77777777" w:rsidTr="00824B25">
        <w:trPr>
          <w:trHeight w:val="315"/>
        </w:trPr>
        <w:tc>
          <w:tcPr>
            <w:tcW w:w="6658" w:type="dxa"/>
            <w:tcBorders>
              <w:top w:val="single" w:sz="4" w:space="0" w:color="auto"/>
              <w:left w:val="single" w:sz="4" w:space="0" w:color="auto"/>
              <w:bottom w:val="single" w:sz="4" w:space="0" w:color="auto"/>
              <w:right w:val="single" w:sz="4" w:space="0" w:color="auto"/>
            </w:tcBorders>
            <w:shd w:val="clear" w:color="auto" w:fill="153D64"/>
            <w:noWrap/>
            <w:vAlign w:val="bottom"/>
            <w:hideMark/>
          </w:tcPr>
          <w:p w14:paraId="7A1674D3" w14:textId="77777777" w:rsidR="00824B25" w:rsidRPr="00D0306F" w:rsidRDefault="00824B25" w:rsidP="00824B25">
            <w:pPr>
              <w:rPr>
                <w:rFonts w:eastAsia="Aptos" w:cs="Arial"/>
                <w:b/>
                <w:bCs/>
                <w:color w:val="FFFFFF"/>
                <w:szCs w:val="22"/>
                <w:lang w:eastAsia="en-GB"/>
              </w:rPr>
            </w:pPr>
            <w:r w:rsidRPr="00D0306F">
              <w:rPr>
                <w:rFonts w:eastAsia="Aptos" w:cs="Arial"/>
                <w:b/>
                <w:bCs/>
                <w:color w:val="FFFFFF"/>
                <w:szCs w:val="22"/>
                <w:lang w:eastAsia="en-GB"/>
              </w:rPr>
              <w:t> Ways to find out information</w:t>
            </w:r>
          </w:p>
        </w:tc>
        <w:tc>
          <w:tcPr>
            <w:tcW w:w="1417" w:type="dxa"/>
            <w:tcBorders>
              <w:top w:val="single" w:sz="4" w:space="0" w:color="auto"/>
              <w:left w:val="nil"/>
              <w:bottom w:val="single" w:sz="4" w:space="0" w:color="auto"/>
              <w:right w:val="single" w:sz="4" w:space="0" w:color="auto"/>
            </w:tcBorders>
            <w:shd w:val="clear" w:color="auto" w:fill="153D64"/>
            <w:noWrap/>
            <w:vAlign w:val="bottom"/>
            <w:hideMark/>
          </w:tcPr>
          <w:p w14:paraId="4A8CC5B4" w14:textId="77777777" w:rsidR="00824B25" w:rsidRPr="00D0306F" w:rsidRDefault="00824B25" w:rsidP="00824B25">
            <w:pPr>
              <w:rPr>
                <w:rFonts w:eastAsia="Aptos" w:cs="Arial"/>
                <w:b/>
                <w:bCs/>
                <w:color w:val="FFFFFF"/>
                <w:szCs w:val="22"/>
                <w:lang w:eastAsia="en-GB"/>
              </w:rPr>
            </w:pPr>
            <w:r w:rsidRPr="00D0306F">
              <w:rPr>
                <w:rFonts w:eastAsia="Aptos" w:cs="Arial"/>
                <w:b/>
                <w:bCs/>
                <w:color w:val="FFFFFF"/>
                <w:szCs w:val="22"/>
                <w:lang w:eastAsia="en-GB"/>
              </w:rPr>
              <w:t>Total responses</w:t>
            </w:r>
          </w:p>
        </w:tc>
      </w:tr>
      <w:tr w:rsidR="00824B25" w:rsidRPr="00D0306F" w14:paraId="6FB1C8B6" w14:textId="77777777" w:rsidTr="00824B25">
        <w:trPr>
          <w:trHeight w:val="315"/>
        </w:trPr>
        <w:tc>
          <w:tcPr>
            <w:tcW w:w="6658" w:type="dxa"/>
            <w:tcBorders>
              <w:top w:val="nil"/>
              <w:left w:val="single" w:sz="4" w:space="0" w:color="auto"/>
              <w:bottom w:val="single" w:sz="4" w:space="0" w:color="auto"/>
              <w:right w:val="single" w:sz="4" w:space="0" w:color="auto"/>
            </w:tcBorders>
            <w:shd w:val="clear" w:color="auto" w:fill="FFFFFF"/>
            <w:vAlign w:val="center"/>
            <w:hideMark/>
          </w:tcPr>
          <w:p w14:paraId="5110D18A"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 would search the internet</w:t>
            </w:r>
          </w:p>
        </w:tc>
        <w:tc>
          <w:tcPr>
            <w:tcW w:w="1417" w:type="dxa"/>
            <w:tcBorders>
              <w:top w:val="nil"/>
              <w:left w:val="nil"/>
              <w:bottom w:val="single" w:sz="4" w:space="0" w:color="auto"/>
              <w:right w:val="single" w:sz="4" w:space="0" w:color="auto"/>
            </w:tcBorders>
            <w:shd w:val="clear" w:color="auto" w:fill="FFFFFF"/>
            <w:vAlign w:val="center"/>
            <w:hideMark/>
          </w:tcPr>
          <w:p w14:paraId="0D43737A" w14:textId="77777777" w:rsidR="00824B25" w:rsidRPr="00D0306F" w:rsidRDefault="00824B25" w:rsidP="00460384">
            <w:pPr>
              <w:jc w:val="center"/>
              <w:rPr>
                <w:rFonts w:eastAsia="Aptos" w:cs="Arial"/>
                <w:color w:val="000000"/>
                <w:szCs w:val="22"/>
                <w:lang w:eastAsia="en-GB"/>
              </w:rPr>
            </w:pPr>
            <w:r w:rsidRPr="00D0306F">
              <w:rPr>
                <w:rFonts w:eastAsia="Aptos" w:cs="Arial"/>
                <w:color w:val="000000"/>
                <w:szCs w:val="22"/>
                <w:lang w:eastAsia="en-GB"/>
              </w:rPr>
              <w:t>74</w:t>
            </w:r>
          </w:p>
        </w:tc>
      </w:tr>
      <w:tr w:rsidR="00824B25" w:rsidRPr="00D0306F" w14:paraId="0789097A" w14:textId="77777777" w:rsidTr="00824B25">
        <w:trPr>
          <w:trHeight w:val="315"/>
        </w:trPr>
        <w:tc>
          <w:tcPr>
            <w:tcW w:w="6658" w:type="dxa"/>
            <w:tcBorders>
              <w:top w:val="nil"/>
              <w:left w:val="single" w:sz="4" w:space="0" w:color="auto"/>
              <w:bottom w:val="single" w:sz="4" w:space="0" w:color="auto"/>
              <w:right w:val="single" w:sz="4" w:space="0" w:color="auto"/>
            </w:tcBorders>
            <w:shd w:val="clear" w:color="auto" w:fill="FFFFFF"/>
            <w:vAlign w:val="center"/>
            <w:hideMark/>
          </w:tcPr>
          <w:p w14:paraId="126DF391"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 would call them</w:t>
            </w:r>
          </w:p>
        </w:tc>
        <w:tc>
          <w:tcPr>
            <w:tcW w:w="1417" w:type="dxa"/>
            <w:tcBorders>
              <w:top w:val="nil"/>
              <w:left w:val="nil"/>
              <w:bottom w:val="single" w:sz="4" w:space="0" w:color="auto"/>
              <w:right w:val="single" w:sz="4" w:space="0" w:color="auto"/>
            </w:tcBorders>
            <w:shd w:val="clear" w:color="auto" w:fill="FFFFFF"/>
            <w:vAlign w:val="center"/>
            <w:hideMark/>
          </w:tcPr>
          <w:p w14:paraId="1F25C87C" w14:textId="77777777" w:rsidR="00824B25" w:rsidRPr="00D0306F" w:rsidRDefault="00824B25" w:rsidP="00460384">
            <w:pPr>
              <w:jc w:val="center"/>
              <w:rPr>
                <w:rFonts w:eastAsia="Aptos" w:cs="Arial"/>
                <w:color w:val="000000"/>
                <w:szCs w:val="22"/>
                <w:lang w:eastAsia="en-GB"/>
              </w:rPr>
            </w:pPr>
            <w:r w:rsidRPr="00D0306F">
              <w:rPr>
                <w:rFonts w:eastAsia="Aptos" w:cs="Arial"/>
                <w:color w:val="000000"/>
                <w:szCs w:val="22"/>
                <w:lang w:eastAsia="en-GB"/>
              </w:rPr>
              <w:t>36</w:t>
            </w:r>
          </w:p>
        </w:tc>
      </w:tr>
      <w:tr w:rsidR="00824B25" w:rsidRPr="00D0306F" w14:paraId="4878F1BD" w14:textId="77777777" w:rsidTr="00824B25">
        <w:trPr>
          <w:trHeight w:val="315"/>
        </w:trPr>
        <w:tc>
          <w:tcPr>
            <w:tcW w:w="6658" w:type="dxa"/>
            <w:tcBorders>
              <w:top w:val="nil"/>
              <w:left w:val="single" w:sz="4" w:space="0" w:color="auto"/>
              <w:bottom w:val="single" w:sz="4" w:space="0" w:color="auto"/>
              <w:right w:val="single" w:sz="4" w:space="0" w:color="auto"/>
            </w:tcBorders>
            <w:shd w:val="clear" w:color="auto" w:fill="FFFFFF"/>
            <w:vAlign w:val="center"/>
            <w:hideMark/>
          </w:tcPr>
          <w:p w14:paraId="2F3D4B4A"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 would just pop in and ask them</w:t>
            </w:r>
          </w:p>
        </w:tc>
        <w:tc>
          <w:tcPr>
            <w:tcW w:w="1417" w:type="dxa"/>
            <w:tcBorders>
              <w:top w:val="nil"/>
              <w:left w:val="nil"/>
              <w:bottom w:val="single" w:sz="4" w:space="0" w:color="auto"/>
              <w:right w:val="single" w:sz="4" w:space="0" w:color="auto"/>
            </w:tcBorders>
            <w:shd w:val="clear" w:color="auto" w:fill="FFFFFF"/>
            <w:vAlign w:val="center"/>
            <w:hideMark/>
          </w:tcPr>
          <w:p w14:paraId="5D7E11AD" w14:textId="77777777" w:rsidR="00824B25" w:rsidRPr="00D0306F" w:rsidRDefault="00824B25" w:rsidP="00460384">
            <w:pPr>
              <w:jc w:val="center"/>
              <w:rPr>
                <w:rFonts w:eastAsia="Aptos" w:cs="Arial"/>
                <w:color w:val="000000"/>
                <w:szCs w:val="22"/>
                <w:lang w:eastAsia="en-GB"/>
              </w:rPr>
            </w:pPr>
            <w:r w:rsidRPr="00D0306F">
              <w:rPr>
                <w:rFonts w:eastAsia="Aptos" w:cs="Arial"/>
                <w:color w:val="000000"/>
                <w:szCs w:val="22"/>
                <w:lang w:eastAsia="en-GB"/>
              </w:rPr>
              <w:t>29</w:t>
            </w:r>
          </w:p>
        </w:tc>
      </w:tr>
      <w:tr w:rsidR="00824B25" w:rsidRPr="00D0306F" w14:paraId="033B58C5" w14:textId="77777777" w:rsidTr="00824B25">
        <w:trPr>
          <w:trHeight w:val="315"/>
        </w:trPr>
        <w:tc>
          <w:tcPr>
            <w:tcW w:w="6658" w:type="dxa"/>
            <w:tcBorders>
              <w:top w:val="nil"/>
              <w:left w:val="single" w:sz="4" w:space="0" w:color="auto"/>
              <w:bottom w:val="single" w:sz="4" w:space="0" w:color="auto"/>
              <w:right w:val="single" w:sz="4" w:space="0" w:color="auto"/>
            </w:tcBorders>
            <w:shd w:val="clear" w:color="auto" w:fill="FFFFFF"/>
            <w:vAlign w:val="center"/>
            <w:hideMark/>
          </w:tcPr>
          <w:p w14:paraId="62DEBBF8"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Look in the window</w:t>
            </w:r>
          </w:p>
        </w:tc>
        <w:tc>
          <w:tcPr>
            <w:tcW w:w="1417" w:type="dxa"/>
            <w:tcBorders>
              <w:top w:val="nil"/>
              <w:left w:val="nil"/>
              <w:bottom w:val="single" w:sz="4" w:space="0" w:color="auto"/>
              <w:right w:val="single" w:sz="4" w:space="0" w:color="auto"/>
            </w:tcBorders>
            <w:shd w:val="clear" w:color="auto" w:fill="FFFFFF"/>
            <w:vAlign w:val="center"/>
            <w:hideMark/>
          </w:tcPr>
          <w:p w14:paraId="15DE10E8" w14:textId="77777777" w:rsidR="00824B25" w:rsidRPr="00D0306F" w:rsidRDefault="00824B25" w:rsidP="00460384">
            <w:pPr>
              <w:jc w:val="center"/>
              <w:rPr>
                <w:rFonts w:eastAsia="Aptos" w:cs="Arial"/>
                <w:color w:val="000000"/>
                <w:szCs w:val="22"/>
                <w:lang w:eastAsia="en-GB"/>
              </w:rPr>
            </w:pPr>
            <w:r w:rsidRPr="00D0306F">
              <w:rPr>
                <w:rFonts w:eastAsia="Aptos" w:cs="Arial"/>
                <w:color w:val="000000"/>
                <w:szCs w:val="22"/>
                <w:lang w:eastAsia="en-GB"/>
              </w:rPr>
              <w:t>15</w:t>
            </w:r>
          </w:p>
        </w:tc>
      </w:tr>
      <w:tr w:rsidR="00824B25" w:rsidRPr="00D0306F" w14:paraId="5FF6676B" w14:textId="77777777" w:rsidTr="00824B25">
        <w:trPr>
          <w:trHeight w:val="315"/>
        </w:trPr>
        <w:tc>
          <w:tcPr>
            <w:tcW w:w="6658" w:type="dxa"/>
            <w:tcBorders>
              <w:top w:val="nil"/>
              <w:left w:val="single" w:sz="4" w:space="0" w:color="auto"/>
              <w:bottom w:val="single" w:sz="4" w:space="0" w:color="auto"/>
              <w:right w:val="single" w:sz="4" w:space="0" w:color="auto"/>
            </w:tcBorders>
            <w:shd w:val="clear" w:color="auto" w:fill="FFFFFF"/>
            <w:vAlign w:val="center"/>
            <w:hideMark/>
          </w:tcPr>
          <w:p w14:paraId="16C931CB"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 would use social media</w:t>
            </w:r>
          </w:p>
        </w:tc>
        <w:tc>
          <w:tcPr>
            <w:tcW w:w="1417" w:type="dxa"/>
            <w:tcBorders>
              <w:top w:val="nil"/>
              <w:left w:val="nil"/>
              <w:bottom w:val="single" w:sz="4" w:space="0" w:color="auto"/>
              <w:right w:val="single" w:sz="4" w:space="0" w:color="auto"/>
            </w:tcBorders>
            <w:shd w:val="clear" w:color="auto" w:fill="FFFFFF"/>
            <w:vAlign w:val="center"/>
            <w:hideMark/>
          </w:tcPr>
          <w:p w14:paraId="3F880361" w14:textId="77777777" w:rsidR="00824B25" w:rsidRPr="00D0306F" w:rsidRDefault="00824B25" w:rsidP="00460384">
            <w:pPr>
              <w:jc w:val="center"/>
              <w:rPr>
                <w:rFonts w:eastAsia="Aptos" w:cs="Arial"/>
                <w:color w:val="000000"/>
                <w:szCs w:val="22"/>
                <w:lang w:eastAsia="en-GB"/>
              </w:rPr>
            </w:pPr>
            <w:r w:rsidRPr="00D0306F">
              <w:rPr>
                <w:rFonts w:eastAsia="Aptos" w:cs="Arial"/>
                <w:color w:val="000000"/>
                <w:szCs w:val="22"/>
                <w:lang w:eastAsia="en-GB"/>
              </w:rPr>
              <w:t>14</w:t>
            </w:r>
          </w:p>
        </w:tc>
      </w:tr>
      <w:tr w:rsidR="00824B25" w:rsidRPr="00D0306F" w14:paraId="1E9F3B81" w14:textId="77777777" w:rsidTr="00824B25">
        <w:trPr>
          <w:trHeight w:val="315"/>
        </w:trPr>
        <w:tc>
          <w:tcPr>
            <w:tcW w:w="6658" w:type="dxa"/>
            <w:tcBorders>
              <w:top w:val="nil"/>
              <w:left w:val="single" w:sz="4" w:space="0" w:color="auto"/>
              <w:bottom w:val="single" w:sz="4" w:space="0" w:color="auto"/>
              <w:right w:val="single" w:sz="4" w:space="0" w:color="auto"/>
            </w:tcBorders>
            <w:shd w:val="clear" w:color="auto" w:fill="FFFFFF"/>
            <w:vAlign w:val="center"/>
            <w:hideMark/>
          </w:tcPr>
          <w:p w14:paraId="0AEA6325"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 would call NHS 111 Wales or use their website</w:t>
            </w:r>
          </w:p>
        </w:tc>
        <w:tc>
          <w:tcPr>
            <w:tcW w:w="1417" w:type="dxa"/>
            <w:tcBorders>
              <w:top w:val="nil"/>
              <w:left w:val="nil"/>
              <w:bottom w:val="single" w:sz="4" w:space="0" w:color="auto"/>
              <w:right w:val="single" w:sz="4" w:space="0" w:color="auto"/>
            </w:tcBorders>
            <w:shd w:val="clear" w:color="auto" w:fill="FFFFFF"/>
            <w:vAlign w:val="center"/>
            <w:hideMark/>
          </w:tcPr>
          <w:p w14:paraId="5CEA2BCD" w14:textId="77777777" w:rsidR="00824B25" w:rsidRPr="00D0306F" w:rsidRDefault="00824B25" w:rsidP="00460384">
            <w:pPr>
              <w:jc w:val="center"/>
              <w:rPr>
                <w:rFonts w:eastAsia="Aptos" w:cs="Arial"/>
                <w:color w:val="000000"/>
                <w:szCs w:val="22"/>
                <w:lang w:eastAsia="en-GB"/>
              </w:rPr>
            </w:pPr>
            <w:r w:rsidRPr="00D0306F">
              <w:rPr>
                <w:rFonts w:eastAsia="Aptos" w:cs="Arial"/>
                <w:color w:val="000000"/>
                <w:szCs w:val="22"/>
                <w:lang w:eastAsia="en-GB"/>
              </w:rPr>
              <w:t>13</w:t>
            </w:r>
          </w:p>
        </w:tc>
      </w:tr>
      <w:tr w:rsidR="00824B25" w:rsidRPr="00D0306F" w14:paraId="734A4DBC" w14:textId="77777777" w:rsidTr="00824B25">
        <w:trPr>
          <w:trHeight w:val="315"/>
        </w:trPr>
        <w:tc>
          <w:tcPr>
            <w:tcW w:w="6658" w:type="dxa"/>
            <w:tcBorders>
              <w:top w:val="nil"/>
              <w:left w:val="single" w:sz="4" w:space="0" w:color="auto"/>
              <w:bottom w:val="single" w:sz="4" w:space="0" w:color="auto"/>
              <w:right w:val="single" w:sz="4" w:space="0" w:color="auto"/>
            </w:tcBorders>
            <w:shd w:val="clear" w:color="auto" w:fill="FFFFFF"/>
            <w:vAlign w:val="center"/>
            <w:hideMark/>
          </w:tcPr>
          <w:p w14:paraId="5DBA8A25"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 would search the Swansea Bay University Health Board website</w:t>
            </w:r>
          </w:p>
        </w:tc>
        <w:tc>
          <w:tcPr>
            <w:tcW w:w="1417" w:type="dxa"/>
            <w:tcBorders>
              <w:top w:val="nil"/>
              <w:left w:val="nil"/>
              <w:bottom w:val="single" w:sz="4" w:space="0" w:color="auto"/>
              <w:right w:val="single" w:sz="4" w:space="0" w:color="auto"/>
            </w:tcBorders>
            <w:shd w:val="clear" w:color="auto" w:fill="FFFFFF"/>
            <w:vAlign w:val="center"/>
            <w:hideMark/>
          </w:tcPr>
          <w:p w14:paraId="585295D1" w14:textId="77777777" w:rsidR="00824B25" w:rsidRPr="00D0306F" w:rsidRDefault="00824B25" w:rsidP="00460384">
            <w:pPr>
              <w:jc w:val="center"/>
              <w:rPr>
                <w:rFonts w:eastAsia="Aptos" w:cs="Arial"/>
                <w:color w:val="000000"/>
                <w:szCs w:val="22"/>
                <w:lang w:eastAsia="en-GB"/>
              </w:rPr>
            </w:pPr>
            <w:r w:rsidRPr="00D0306F">
              <w:rPr>
                <w:rFonts w:eastAsia="Aptos" w:cs="Arial"/>
                <w:color w:val="000000"/>
                <w:szCs w:val="22"/>
                <w:lang w:eastAsia="en-GB"/>
              </w:rPr>
              <w:t>13</w:t>
            </w:r>
          </w:p>
        </w:tc>
      </w:tr>
      <w:tr w:rsidR="00824B25" w:rsidRPr="00D0306F" w14:paraId="4308CDEF" w14:textId="77777777" w:rsidTr="00824B25">
        <w:trPr>
          <w:trHeight w:val="315"/>
        </w:trPr>
        <w:tc>
          <w:tcPr>
            <w:tcW w:w="6658" w:type="dxa"/>
            <w:tcBorders>
              <w:top w:val="nil"/>
              <w:left w:val="single" w:sz="4" w:space="0" w:color="auto"/>
              <w:bottom w:val="single" w:sz="4" w:space="0" w:color="auto"/>
              <w:right w:val="single" w:sz="4" w:space="0" w:color="auto"/>
            </w:tcBorders>
            <w:shd w:val="clear" w:color="auto" w:fill="FFFFFF"/>
            <w:vAlign w:val="center"/>
            <w:hideMark/>
          </w:tcPr>
          <w:p w14:paraId="04952B33"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Other</w:t>
            </w:r>
          </w:p>
        </w:tc>
        <w:tc>
          <w:tcPr>
            <w:tcW w:w="1417" w:type="dxa"/>
            <w:tcBorders>
              <w:top w:val="nil"/>
              <w:left w:val="nil"/>
              <w:bottom w:val="single" w:sz="4" w:space="0" w:color="auto"/>
              <w:right w:val="single" w:sz="4" w:space="0" w:color="auto"/>
            </w:tcBorders>
            <w:shd w:val="clear" w:color="auto" w:fill="FFFFFF"/>
            <w:vAlign w:val="center"/>
            <w:hideMark/>
          </w:tcPr>
          <w:p w14:paraId="69A6E76A" w14:textId="77777777" w:rsidR="00824B25" w:rsidRPr="00D0306F" w:rsidRDefault="00824B25" w:rsidP="00460384">
            <w:pPr>
              <w:jc w:val="center"/>
              <w:rPr>
                <w:rFonts w:eastAsia="Aptos" w:cs="Arial"/>
                <w:color w:val="000000"/>
                <w:szCs w:val="22"/>
                <w:lang w:eastAsia="en-GB"/>
              </w:rPr>
            </w:pPr>
            <w:r w:rsidRPr="00D0306F">
              <w:rPr>
                <w:rFonts w:eastAsia="Aptos" w:cs="Arial"/>
                <w:color w:val="000000"/>
                <w:szCs w:val="22"/>
                <w:lang w:eastAsia="en-GB"/>
              </w:rPr>
              <w:t>7</w:t>
            </w:r>
          </w:p>
        </w:tc>
      </w:tr>
      <w:tr w:rsidR="00824B25" w:rsidRPr="00D0306F" w14:paraId="24F660C4" w14:textId="77777777" w:rsidTr="00824B25">
        <w:trPr>
          <w:trHeight w:val="315"/>
        </w:trPr>
        <w:tc>
          <w:tcPr>
            <w:tcW w:w="6658" w:type="dxa"/>
            <w:tcBorders>
              <w:top w:val="nil"/>
              <w:left w:val="single" w:sz="4" w:space="0" w:color="auto"/>
              <w:bottom w:val="single" w:sz="4" w:space="0" w:color="auto"/>
              <w:right w:val="single" w:sz="4" w:space="0" w:color="auto"/>
            </w:tcBorders>
            <w:shd w:val="clear" w:color="auto" w:fill="FFFFFF"/>
            <w:vAlign w:val="center"/>
            <w:hideMark/>
          </w:tcPr>
          <w:p w14:paraId="43D13067"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Not applicable</w:t>
            </w:r>
          </w:p>
        </w:tc>
        <w:tc>
          <w:tcPr>
            <w:tcW w:w="1417" w:type="dxa"/>
            <w:tcBorders>
              <w:top w:val="nil"/>
              <w:left w:val="nil"/>
              <w:bottom w:val="single" w:sz="4" w:space="0" w:color="auto"/>
              <w:right w:val="single" w:sz="4" w:space="0" w:color="auto"/>
            </w:tcBorders>
            <w:shd w:val="clear" w:color="auto" w:fill="FFFFFF"/>
            <w:vAlign w:val="center"/>
            <w:hideMark/>
          </w:tcPr>
          <w:p w14:paraId="4B3AAC72" w14:textId="77777777" w:rsidR="00824B25" w:rsidRPr="00D0306F" w:rsidRDefault="00824B25" w:rsidP="00460384">
            <w:pPr>
              <w:jc w:val="center"/>
              <w:rPr>
                <w:rFonts w:eastAsia="Aptos" w:cs="Arial"/>
                <w:color w:val="000000"/>
                <w:szCs w:val="22"/>
                <w:lang w:eastAsia="en-GB"/>
              </w:rPr>
            </w:pPr>
            <w:r w:rsidRPr="00D0306F">
              <w:rPr>
                <w:rFonts w:eastAsia="Aptos" w:cs="Arial"/>
                <w:color w:val="000000"/>
                <w:szCs w:val="22"/>
                <w:lang w:eastAsia="en-GB"/>
              </w:rPr>
              <w:t>5</w:t>
            </w:r>
          </w:p>
        </w:tc>
      </w:tr>
      <w:tr w:rsidR="00824B25" w:rsidRPr="00D0306F" w14:paraId="379F3F7C" w14:textId="77777777" w:rsidTr="00824B25">
        <w:trPr>
          <w:trHeight w:val="315"/>
        </w:trPr>
        <w:tc>
          <w:tcPr>
            <w:tcW w:w="6658" w:type="dxa"/>
            <w:tcBorders>
              <w:top w:val="nil"/>
              <w:left w:val="single" w:sz="4" w:space="0" w:color="auto"/>
              <w:bottom w:val="single" w:sz="4" w:space="0" w:color="auto"/>
              <w:right w:val="single" w:sz="4" w:space="0" w:color="auto"/>
            </w:tcBorders>
            <w:shd w:val="clear" w:color="auto" w:fill="FFFFFF"/>
            <w:vAlign w:val="center"/>
            <w:hideMark/>
          </w:tcPr>
          <w:p w14:paraId="1AEB0065"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 would ask a friend</w:t>
            </w:r>
          </w:p>
        </w:tc>
        <w:tc>
          <w:tcPr>
            <w:tcW w:w="1417" w:type="dxa"/>
            <w:tcBorders>
              <w:top w:val="nil"/>
              <w:left w:val="nil"/>
              <w:bottom w:val="single" w:sz="4" w:space="0" w:color="auto"/>
              <w:right w:val="single" w:sz="4" w:space="0" w:color="auto"/>
            </w:tcBorders>
            <w:shd w:val="clear" w:color="auto" w:fill="FFFFFF"/>
            <w:vAlign w:val="center"/>
            <w:hideMark/>
          </w:tcPr>
          <w:p w14:paraId="447AD737" w14:textId="77777777" w:rsidR="00824B25" w:rsidRPr="00D0306F" w:rsidRDefault="00824B25" w:rsidP="00460384">
            <w:pPr>
              <w:jc w:val="center"/>
              <w:rPr>
                <w:rFonts w:eastAsia="Aptos" w:cs="Arial"/>
                <w:color w:val="000000"/>
                <w:szCs w:val="22"/>
                <w:lang w:eastAsia="en-GB"/>
              </w:rPr>
            </w:pPr>
            <w:r w:rsidRPr="00D0306F">
              <w:rPr>
                <w:rFonts w:eastAsia="Aptos" w:cs="Arial"/>
                <w:color w:val="000000"/>
                <w:szCs w:val="22"/>
                <w:lang w:eastAsia="en-GB"/>
              </w:rPr>
              <w:t>2</w:t>
            </w:r>
          </w:p>
        </w:tc>
      </w:tr>
      <w:tr w:rsidR="00824B25" w:rsidRPr="00D0306F" w14:paraId="34743C1F" w14:textId="77777777" w:rsidTr="00824B25">
        <w:trPr>
          <w:trHeight w:val="315"/>
        </w:trPr>
        <w:tc>
          <w:tcPr>
            <w:tcW w:w="6658" w:type="dxa"/>
            <w:tcBorders>
              <w:top w:val="nil"/>
              <w:left w:val="single" w:sz="4" w:space="0" w:color="auto"/>
              <w:bottom w:val="single" w:sz="4" w:space="0" w:color="auto"/>
              <w:right w:val="single" w:sz="4" w:space="0" w:color="auto"/>
            </w:tcBorders>
            <w:shd w:val="clear" w:color="auto" w:fill="FFFFFF"/>
            <w:vAlign w:val="center"/>
            <w:hideMark/>
          </w:tcPr>
          <w:p w14:paraId="73533E1A" w14:textId="77777777" w:rsidR="00824B25" w:rsidRPr="00D0306F" w:rsidRDefault="00824B25" w:rsidP="00824B25">
            <w:pPr>
              <w:rPr>
                <w:rFonts w:eastAsia="Aptos" w:cs="Arial"/>
                <w:color w:val="000000"/>
                <w:szCs w:val="22"/>
                <w:lang w:eastAsia="en-GB"/>
              </w:rPr>
            </w:pPr>
            <w:r w:rsidRPr="00D0306F">
              <w:rPr>
                <w:rFonts w:eastAsia="Aptos" w:cs="Arial"/>
                <w:color w:val="000000"/>
                <w:szCs w:val="22"/>
                <w:lang w:eastAsia="en-GB"/>
              </w:rPr>
              <w:t>I would find out from reading the local newspaper or magazine</w:t>
            </w:r>
          </w:p>
        </w:tc>
        <w:tc>
          <w:tcPr>
            <w:tcW w:w="1417" w:type="dxa"/>
            <w:tcBorders>
              <w:top w:val="nil"/>
              <w:left w:val="nil"/>
              <w:bottom w:val="single" w:sz="4" w:space="0" w:color="auto"/>
              <w:right w:val="single" w:sz="4" w:space="0" w:color="auto"/>
            </w:tcBorders>
            <w:shd w:val="clear" w:color="auto" w:fill="FFFFFF"/>
            <w:vAlign w:val="center"/>
            <w:hideMark/>
          </w:tcPr>
          <w:p w14:paraId="5B826547" w14:textId="77777777" w:rsidR="00824B25" w:rsidRPr="00D0306F" w:rsidRDefault="00824B25" w:rsidP="00460384">
            <w:pPr>
              <w:jc w:val="center"/>
              <w:rPr>
                <w:rFonts w:eastAsia="Aptos" w:cs="Arial"/>
                <w:color w:val="000000"/>
                <w:szCs w:val="22"/>
                <w:lang w:eastAsia="en-GB"/>
              </w:rPr>
            </w:pPr>
            <w:r w:rsidRPr="00D0306F">
              <w:rPr>
                <w:rFonts w:eastAsia="Aptos" w:cs="Arial"/>
                <w:color w:val="000000"/>
                <w:szCs w:val="22"/>
                <w:lang w:eastAsia="en-GB"/>
              </w:rPr>
              <w:t>0</w:t>
            </w:r>
          </w:p>
        </w:tc>
      </w:tr>
    </w:tbl>
    <w:p w14:paraId="6A33373E" w14:textId="77777777" w:rsidR="00824B25" w:rsidRPr="00D0306F" w:rsidRDefault="00824B25" w:rsidP="00824B25">
      <w:pPr>
        <w:rPr>
          <w:rFonts w:eastAsia="Aptos" w:cs="Arial"/>
          <w:szCs w:val="22"/>
          <w:lang w:eastAsia="en-GB"/>
        </w:rPr>
      </w:pPr>
    </w:p>
    <w:p w14:paraId="49DB3863" w14:textId="77777777" w:rsidR="00824B25" w:rsidRPr="00D0306F" w:rsidRDefault="00824B25" w:rsidP="00824B25">
      <w:pPr>
        <w:rPr>
          <w:rFonts w:eastAsia="Aptos" w:cs="Arial"/>
          <w:szCs w:val="22"/>
          <w:lang w:eastAsia="en-GB"/>
        </w:rPr>
      </w:pPr>
      <w:r w:rsidRPr="00D0306F">
        <w:rPr>
          <w:rFonts w:eastAsia="Aptos" w:cs="Arial"/>
          <w:szCs w:val="22"/>
          <w:lang w:eastAsia="en-GB"/>
        </w:rPr>
        <w:t xml:space="preserve">10.9%% (13 people) didn’t feel able to discuss something private with their pharmacist as opposed to 67.2% (80 people) who did. 17.7% (21 people) had never needed to and 4.2% (five people) responded that they didn’t know. </w:t>
      </w:r>
    </w:p>
    <w:p w14:paraId="7A0F1942" w14:textId="77777777" w:rsidR="00824B25" w:rsidRPr="00D0306F" w:rsidRDefault="00824B25" w:rsidP="00824B25">
      <w:pPr>
        <w:rPr>
          <w:rFonts w:eastAsia="Aptos" w:cs="Arial"/>
          <w:szCs w:val="22"/>
          <w:lang w:eastAsia="en-GB"/>
        </w:rPr>
      </w:pPr>
    </w:p>
    <w:p w14:paraId="3048FD60" w14:textId="77777777" w:rsidR="00824B25" w:rsidRPr="00D0306F" w:rsidRDefault="00824B25" w:rsidP="00824B25">
      <w:pPr>
        <w:rPr>
          <w:rFonts w:eastAsia="Aptos" w:cs="Arial"/>
          <w:szCs w:val="22"/>
          <w:lang w:eastAsia="en-GB"/>
        </w:rPr>
      </w:pPr>
      <w:r w:rsidRPr="00D0306F">
        <w:rPr>
          <w:rFonts w:eastAsia="Aptos" w:cs="Arial"/>
          <w:szCs w:val="22"/>
          <w:lang w:eastAsia="en-GB"/>
        </w:rPr>
        <w:t>When asked whether they were aware that they may be able to access certain services from pharmacies as part of the NHS, 114 people responded to the question and a total of 617 responses were received. Multiple answers could be given to this question. Influenza vaccinations (87.7%, 100 responses) followed by the common ailments service (84.2%, 96 responses) are the services most respondents are aware of as being offered by pharmacies as part of the NHS. In general, there was limited awareness of the blood-borne virus testing service (6.1%, seven people), care home support service (7.9%, nine people) and appliance use review service (8.8%, ten people), however this specialist service would only be used by those in need of appliances such as stomas and colostomies rather than the wider patient group. 5.3% of respondents (six people) were not aware of any of the services offered from pharmacies as part of the NHS.</w:t>
      </w:r>
    </w:p>
    <w:p w14:paraId="0FF61DA3" w14:textId="77777777" w:rsidR="00460384" w:rsidRPr="00D0306F" w:rsidRDefault="00460384" w:rsidP="00824B25">
      <w:pPr>
        <w:rPr>
          <w:rFonts w:eastAsia="Aptos" w:cs="Arial"/>
          <w:szCs w:val="22"/>
          <w:lang w:eastAsia="en-GB"/>
        </w:rPr>
      </w:pPr>
    </w:p>
    <w:p w14:paraId="0DD331BE" w14:textId="77777777" w:rsidR="00824B25" w:rsidRPr="00D0306F" w:rsidRDefault="00824B25" w:rsidP="00824B25">
      <w:pPr>
        <w:rPr>
          <w:rFonts w:eastAsia="Aptos" w:cs="Arial"/>
          <w:b/>
          <w:bCs/>
          <w:szCs w:val="22"/>
          <w:lang w:eastAsia="en-GB"/>
        </w:rPr>
      </w:pPr>
      <w:r w:rsidRPr="00D0306F">
        <w:rPr>
          <w:rFonts w:eastAsia="Aptos" w:cs="Arial"/>
          <w:b/>
          <w:bCs/>
          <w:szCs w:val="22"/>
          <w:lang w:eastAsia="en-GB"/>
        </w:rPr>
        <w:t xml:space="preserve">Table 1.5: Awareness of availability of pharmacy services as part of the NHS </w:t>
      </w:r>
    </w:p>
    <w:p w14:paraId="7A27FEE4" w14:textId="77777777" w:rsidR="00824B25" w:rsidRPr="00D0306F" w:rsidRDefault="00824B25" w:rsidP="00824B25">
      <w:pPr>
        <w:rPr>
          <w:rFonts w:eastAsia="Aptos" w:cs="Arial"/>
          <w:szCs w:val="22"/>
          <w:lang w:eastAsia="en-GB"/>
        </w:rPr>
      </w:pPr>
    </w:p>
    <w:tbl>
      <w:tblPr>
        <w:tblW w:w="9377" w:type="dxa"/>
        <w:tblLook w:val="04A0" w:firstRow="1" w:lastRow="0" w:firstColumn="1" w:lastColumn="0" w:noHBand="0" w:noVBand="1"/>
      </w:tblPr>
      <w:tblGrid>
        <w:gridCol w:w="7960"/>
        <w:gridCol w:w="1417"/>
      </w:tblGrid>
      <w:tr w:rsidR="00824B25" w:rsidRPr="00D0306F" w14:paraId="05DD6985" w14:textId="77777777" w:rsidTr="00824B25">
        <w:trPr>
          <w:trHeight w:val="315"/>
        </w:trPr>
        <w:tc>
          <w:tcPr>
            <w:tcW w:w="7960" w:type="dxa"/>
            <w:tcBorders>
              <w:top w:val="single" w:sz="4" w:space="0" w:color="auto"/>
              <w:left w:val="single" w:sz="4" w:space="0" w:color="auto"/>
              <w:bottom w:val="single" w:sz="4" w:space="0" w:color="auto"/>
              <w:right w:val="single" w:sz="4" w:space="0" w:color="auto"/>
            </w:tcBorders>
            <w:shd w:val="clear" w:color="auto" w:fill="153D64"/>
            <w:noWrap/>
            <w:vAlign w:val="bottom"/>
            <w:hideMark/>
          </w:tcPr>
          <w:p w14:paraId="6B6A6BDC" w14:textId="77777777" w:rsidR="00824B25" w:rsidRPr="00D0306F" w:rsidRDefault="00824B25" w:rsidP="00824B25">
            <w:pPr>
              <w:rPr>
                <w:rFonts w:eastAsia="Aptos" w:cs="Arial"/>
                <w:b/>
                <w:bCs/>
                <w:color w:val="FFFFFF"/>
                <w:szCs w:val="22"/>
                <w:lang w:eastAsia="en-GB"/>
              </w:rPr>
            </w:pPr>
            <w:r w:rsidRPr="00D0306F">
              <w:rPr>
                <w:rFonts w:eastAsia="Aptos" w:cs="Arial"/>
                <w:b/>
                <w:bCs/>
                <w:color w:val="FFFFFF"/>
                <w:szCs w:val="22"/>
                <w:lang w:eastAsia="en-GB"/>
              </w:rPr>
              <w:t> Awareness of availability of services</w:t>
            </w:r>
          </w:p>
        </w:tc>
        <w:tc>
          <w:tcPr>
            <w:tcW w:w="1417" w:type="dxa"/>
            <w:tcBorders>
              <w:top w:val="single" w:sz="4" w:space="0" w:color="auto"/>
              <w:left w:val="nil"/>
              <w:bottom w:val="single" w:sz="4" w:space="0" w:color="auto"/>
              <w:right w:val="single" w:sz="4" w:space="0" w:color="auto"/>
            </w:tcBorders>
            <w:shd w:val="clear" w:color="auto" w:fill="153D64"/>
            <w:noWrap/>
            <w:vAlign w:val="bottom"/>
            <w:hideMark/>
          </w:tcPr>
          <w:p w14:paraId="6CB8BAA6" w14:textId="77777777" w:rsidR="00824B25" w:rsidRPr="00D0306F" w:rsidRDefault="00824B25" w:rsidP="00824B25">
            <w:pPr>
              <w:rPr>
                <w:rFonts w:eastAsia="Aptos" w:cs="Arial"/>
                <w:b/>
                <w:bCs/>
                <w:color w:val="FFFFFF"/>
                <w:szCs w:val="22"/>
                <w:lang w:eastAsia="en-GB"/>
              </w:rPr>
            </w:pPr>
            <w:r w:rsidRPr="00D0306F">
              <w:rPr>
                <w:rFonts w:eastAsia="Aptos" w:cs="Arial"/>
                <w:b/>
                <w:bCs/>
                <w:color w:val="FFFFFF"/>
                <w:szCs w:val="22"/>
                <w:lang w:eastAsia="en-GB"/>
              </w:rPr>
              <w:t>Total responses</w:t>
            </w:r>
          </w:p>
        </w:tc>
      </w:tr>
      <w:tr w:rsidR="00824B25" w:rsidRPr="00D0306F" w14:paraId="509CD9B2" w14:textId="77777777" w:rsidTr="00824B25">
        <w:trPr>
          <w:trHeight w:val="315"/>
        </w:trPr>
        <w:tc>
          <w:tcPr>
            <w:tcW w:w="7960" w:type="dxa"/>
            <w:tcBorders>
              <w:top w:val="nil"/>
              <w:left w:val="single" w:sz="4" w:space="0" w:color="auto"/>
              <w:bottom w:val="single" w:sz="4" w:space="0" w:color="auto"/>
              <w:right w:val="single" w:sz="4" w:space="0" w:color="auto"/>
            </w:tcBorders>
            <w:shd w:val="clear" w:color="auto" w:fill="FFFFFF"/>
            <w:vAlign w:val="center"/>
            <w:hideMark/>
          </w:tcPr>
          <w:p w14:paraId="1A25C67F" w14:textId="77777777" w:rsidR="00824B25" w:rsidRPr="00D0306F" w:rsidRDefault="00824B25" w:rsidP="00824B25">
            <w:pPr>
              <w:rPr>
                <w:rFonts w:eastAsia="Aptos" w:cs="Arial"/>
                <w:szCs w:val="22"/>
                <w:lang w:eastAsia="en-GB"/>
              </w:rPr>
            </w:pPr>
            <w:r w:rsidRPr="00D0306F">
              <w:rPr>
                <w:rFonts w:eastAsia="Aptos" w:cs="Arial"/>
                <w:szCs w:val="22"/>
                <w:lang w:eastAsia="en-GB"/>
              </w:rPr>
              <w:t>Influenza vaccinations</w:t>
            </w:r>
          </w:p>
        </w:tc>
        <w:tc>
          <w:tcPr>
            <w:tcW w:w="1417" w:type="dxa"/>
            <w:tcBorders>
              <w:top w:val="nil"/>
              <w:left w:val="nil"/>
              <w:bottom w:val="single" w:sz="4" w:space="0" w:color="auto"/>
              <w:right w:val="single" w:sz="4" w:space="0" w:color="auto"/>
            </w:tcBorders>
            <w:shd w:val="clear" w:color="auto" w:fill="FFFFFF"/>
            <w:vAlign w:val="center"/>
            <w:hideMark/>
          </w:tcPr>
          <w:p w14:paraId="363CABF0" w14:textId="77777777" w:rsidR="00824B25" w:rsidRPr="00D0306F" w:rsidRDefault="00824B25" w:rsidP="00824B25">
            <w:pPr>
              <w:rPr>
                <w:rFonts w:eastAsia="Aptos" w:cs="Arial"/>
                <w:szCs w:val="22"/>
                <w:lang w:eastAsia="en-GB"/>
              </w:rPr>
            </w:pPr>
            <w:r w:rsidRPr="00D0306F">
              <w:rPr>
                <w:rFonts w:eastAsia="Aptos" w:cs="Arial"/>
                <w:szCs w:val="22"/>
                <w:lang w:eastAsia="en-GB"/>
              </w:rPr>
              <w:t>100</w:t>
            </w:r>
          </w:p>
        </w:tc>
      </w:tr>
      <w:tr w:rsidR="00824B25" w:rsidRPr="00D0306F" w14:paraId="57B30750" w14:textId="77777777" w:rsidTr="00824B25">
        <w:trPr>
          <w:trHeight w:val="315"/>
        </w:trPr>
        <w:tc>
          <w:tcPr>
            <w:tcW w:w="7960" w:type="dxa"/>
            <w:tcBorders>
              <w:top w:val="nil"/>
              <w:left w:val="single" w:sz="4" w:space="0" w:color="auto"/>
              <w:bottom w:val="single" w:sz="4" w:space="0" w:color="auto"/>
              <w:right w:val="single" w:sz="4" w:space="0" w:color="auto"/>
            </w:tcBorders>
            <w:shd w:val="clear" w:color="auto" w:fill="FFFFFF"/>
            <w:vAlign w:val="center"/>
            <w:hideMark/>
          </w:tcPr>
          <w:p w14:paraId="2C5874C1" w14:textId="77777777" w:rsidR="00824B25" w:rsidRPr="00D0306F" w:rsidRDefault="00824B25" w:rsidP="00824B25">
            <w:pPr>
              <w:rPr>
                <w:rFonts w:eastAsia="Aptos" w:cs="Arial"/>
                <w:szCs w:val="22"/>
                <w:lang w:eastAsia="en-GB"/>
              </w:rPr>
            </w:pPr>
            <w:r w:rsidRPr="00D0306F">
              <w:rPr>
                <w:rFonts w:eastAsia="Aptos" w:cs="Arial"/>
                <w:szCs w:val="22"/>
                <w:lang w:eastAsia="en-GB"/>
              </w:rPr>
              <w:t>Common ailments service</w:t>
            </w:r>
          </w:p>
        </w:tc>
        <w:tc>
          <w:tcPr>
            <w:tcW w:w="1417" w:type="dxa"/>
            <w:tcBorders>
              <w:top w:val="nil"/>
              <w:left w:val="nil"/>
              <w:bottom w:val="single" w:sz="4" w:space="0" w:color="auto"/>
              <w:right w:val="single" w:sz="4" w:space="0" w:color="auto"/>
            </w:tcBorders>
            <w:shd w:val="clear" w:color="auto" w:fill="FFFFFF"/>
            <w:vAlign w:val="center"/>
            <w:hideMark/>
          </w:tcPr>
          <w:p w14:paraId="5883E9F3" w14:textId="77777777" w:rsidR="00824B25" w:rsidRPr="00D0306F" w:rsidRDefault="00824B25" w:rsidP="00824B25">
            <w:pPr>
              <w:rPr>
                <w:rFonts w:eastAsia="Aptos" w:cs="Arial"/>
                <w:szCs w:val="22"/>
                <w:lang w:eastAsia="en-GB"/>
              </w:rPr>
            </w:pPr>
            <w:r w:rsidRPr="00D0306F">
              <w:rPr>
                <w:rFonts w:eastAsia="Aptos" w:cs="Arial"/>
                <w:szCs w:val="22"/>
                <w:lang w:eastAsia="en-GB"/>
              </w:rPr>
              <w:t>96</w:t>
            </w:r>
          </w:p>
        </w:tc>
      </w:tr>
      <w:tr w:rsidR="00824B25" w:rsidRPr="00D0306F" w14:paraId="0FA77AE7" w14:textId="77777777" w:rsidTr="00824B25">
        <w:trPr>
          <w:trHeight w:val="315"/>
        </w:trPr>
        <w:tc>
          <w:tcPr>
            <w:tcW w:w="7960" w:type="dxa"/>
            <w:tcBorders>
              <w:top w:val="nil"/>
              <w:left w:val="single" w:sz="4" w:space="0" w:color="auto"/>
              <w:bottom w:val="single" w:sz="4" w:space="0" w:color="auto"/>
              <w:right w:val="single" w:sz="4" w:space="0" w:color="auto"/>
            </w:tcBorders>
            <w:shd w:val="clear" w:color="auto" w:fill="FFFFFF"/>
            <w:vAlign w:val="center"/>
            <w:hideMark/>
          </w:tcPr>
          <w:p w14:paraId="0A2C6175" w14:textId="77777777" w:rsidR="00824B25" w:rsidRPr="00D0306F" w:rsidRDefault="00824B25" w:rsidP="00824B25">
            <w:pPr>
              <w:rPr>
                <w:rFonts w:eastAsia="Aptos" w:cs="Arial"/>
                <w:szCs w:val="22"/>
                <w:lang w:eastAsia="en-GB"/>
              </w:rPr>
            </w:pPr>
            <w:r w:rsidRPr="00D0306F">
              <w:rPr>
                <w:rFonts w:eastAsia="Aptos" w:cs="Arial"/>
                <w:szCs w:val="22"/>
                <w:lang w:eastAsia="en-GB"/>
              </w:rPr>
              <w:t>Covid vaccination service</w:t>
            </w:r>
          </w:p>
        </w:tc>
        <w:tc>
          <w:tcPr>
            <w:tcW w:w="1417" w:type="dxa"/>
            <w:tcBorders>
              <w:top w:val="nil"/>
              <w:left w:val="nil"/>
              <w:bottom w:val="single" w:sz="4" w:space="0" w:color="auto"/>
              <w:right w:val="single" w:sz="4" w:space="0" w:color="auto"/>
            </w:tcBorders>
            <w:shd w:val="clear" w:color="auto" w:fill="FFFFFF"/>
            <w:vAlign w:val="center"/>
            <w:hideMark/>
          </w:tcPr>
          <w:p w14:paraId="63A36D5D" w14:textId="77777777" w:rsidR="00824B25" w:rsidRPr="00D0306F" w:rsidRDefault="00824B25" w:rsidP="00824B25">
            <w:pPr>
              <w:rPr>
                <w:rFonts w:eastAsia="Aptos" w:cs="Arial"/>
                <w:szCs w:val="22"/>
                <w:lang w:eastAsia="en-GB"/>
              </w:rPr>
            </w:pPr>
            <w:r w:rsidRPr="00D0306F">
              <w:rPr>
                <w:rFonts w:eastAsia="Aptos" w:cs="Arial"/>
                <w:szCs w:val="22"/>
                <w:lang w:eastAsia="en-GB"/>
              </w:rPr>
              <w:t>54</w:t>
            </w:r>
          </w:p>
        </w:tc>
      </w:tr>
      <w:tr w:rsidR="00824B25" w:rsidRPr="00D0306F" w14:paraId="5FF4AA6B" w14:textId="77777777" w:rsidTr="00824B25">
        <w:trPr>
          <w:trHeight w:val="315"/>
        </w:trPr>
        <w:tc>
          <w:tcPr>
            <w:tcW w:w="7960" w:type="dxa"/>
            <w:tcBorders>
              <w:top w:val="nil"/>
              <w:left w:val="single" w:sz="4" w:space="0" w:color="auto"/>
              <w:bottom w:val="single" w:sz="4" w:space="0" w:color="auto"/>
              <w:right w:val="single" w:sz="4" w:space="0" w:color="auto"/>
            </w:tcBorders>
            <w:shd w:val="clear" w:color="auto" w:fill="FFFFFF"/>
            <w:vAlign w:val="center"/>
            <w:hideMark/>
          </w:tcPr>
          <w:p w14:paraId="2722BBE6" w14:textId="77777777" w:rsidR="00824B25" w:rsidRPr="00D0306F" w:rsidRDefault="00824B25" w:rsidP="00824B25">
            <w:pPr>
              <w:rPr>
                <w:rFonts w:eastAsia="Aptos" w:cs="Arial"/>
                <w:szCs w:val="22"/>
                <w:lang w:eastAsia="en-GB"/>
              </w:rPr>
            </w:pPr>
            <w:r w:rsidRPr="00D0306F">
              <w:rPr>
                <w:rFonts w:eastAsia="Aptos" w:cs="Arial"/>
                <w:szCs w:val="22"/>
                <w:lang w:eastAsia="en-GB"/>
              </w:rPr>
              <w:t>Help to stop smoking</w:t>
            </w:r>
          </w:p>
        </w:tc>
        <w:tc>
          <w:tcPr>
            <w:tcW w:w="1417" w:type="dxa"/>
            <w:tcBorders>
              <w:top w:val="nil"/>
              <w:left w:val="nil"/>
              <w:bottom w:val="single" w:sz="4" w:space="0" w:color="auto"/>
              <w:right w:val="single" w:sz="4" w:space="0" w:color="auto"/>
            </w:tcBorders>
            <w:shd w:val="clear" w:color="auto" w:fill="FFFFFF"/>
            <w:vAlign w:val="center"/>
            <w:hideMark/>
          </w:tcPr>
          <w:p w14:paraId="7A8F2112" w14:textId="77777777" w:rsidR="00824B25" w:rsidRPr="00D0306F" w:rsidRDefault="00824B25" w:rsidP="00824B25">
            <w:pPr>
              <w:rPr>
                <w:rFonts w:eastAsia="Aptos" w:cs="Arial"/>
                <w:szCs w:val="22"/>
                <w:lang w:eastAsia="en-GB"/>
              </w:rPr>
            </w:pPr>
            <w:r w:rsidRPr="00D0306F">
              <w:rPr>
                <w:rFonts w:eastAsia="Aptos" w:cs="Arial"/>
                <w:szCs w:val="22"/>
                <w:lang w:eastAsia="en-GB"/>
              </w:rPr>
              <w:t>51</w:t>
            </w:r>
          </w:p>
        </w:tc>
      </w:tr>
      <w:tr w:rsidR="00824B25" w:rsidRPr="00D0306F" w14:paraId="36B0DBEA" w14:textId="77777777" w:rsidTr="00824B25">
        <w:trPr>
          <w:trHeight w:val="315"/>
        </w:trPr>
        <w:tc>
          <w:tcPr>
            <w:tcW w:w="7960" w:type="dxa"/>
            <w:tcBorders>
              <w:top w:val="nil"/>
              <w:left w:val="single" w:sz="4" w:space="0" w:color="auto"/>
              <w:bottom w:val="single" w:sz="4" w:space="0" w:color="auto"/>
              <w:right w:val="single" w:sz="4" w:space="0" w:color="auto"/>
            </w:tcBorders>
            <w:shd w:val="clear" w:color="auto" w:fill="FFFFFF"/>
            <w:vAlign w:val="center"/>
            <w:hideMark/>
          </w:tcPr>
          <w:p w14:paraId="483AC6E1" w14:textId="77777777" w:rsidR="00824B25" w:rsidRPr="00D0306F" w:rsidRDefault="00824B25" w:rsidP="00824B25">
            <w:pPr>
              <w:rPr>
                <w:rFonts w:eastAsia="Aptos" w:cs="Arial"/>
                <w:szCs w:val="22"/>
                <w:lang w:eastAsia="en-GB"/>
              </w:rPr>
            </w:pPr>
            <w:r w:rsidRPr="00D0306F">
              <w:rPr>
                <w:rFonts w:eastAsia="Aptos" w:cs="Arial"/>
                <w:szCs w:val="22"/>
                <w:lang w:eastAsia="en-GB"/>
              </w:rPr>
              <w:t>Contraception service which includes the ‘morning after pill’</w:t>
            </w:r>
          </w:p>
        </w:tc>
        <w:tc>
          <w:tcPr>
            <w:tcW w:w="1417" w:type="dxa"/>
            <w:tcBorders>
              <w:top w:val="nil"/>
              <w:left w:val="nil"/>
              <w:bottom w:val="single" w:sz="4" w:space="0" w:color="auto"/>
              <w:right w:val="single" w:sz="4" w:space="0" w:color="auto"/>
            </w:tcBorders>
            <w:shd w:val="clear" w:color="auto" w:fill="FFFFFF"/>
            <w:vAlign w:val="center"/>
            <w:hideMark/>
          </w:tcPr>
          <w:p w14:paraId="11EC70D2" w14:textId="77777777" w:rsidR="00824B25" w:rsidRPr="00D0306F" w:rsidRDefault="00824B25" w:rsidP="00824B25">
            <w:pPr>
              <w:rPr>
                <w:rFonts w:eastAsia="Aptos" w:cs="Arial"/>
                <w:szCs w:val="22"/>
                <w:lang w:eastAsia="en-GB"/>
              </w:rPr>
            </w:pPr>
            <w:r w:rsidRPr="00D0306F">
              <w:rPr>
                <w:rFonts w:eastAsia="Aptos" w:cs="Arial"/>
                <w:szCs w:val="22"/>
                <w:lang w:eastAsia="en-GB"/>
              </w:rPr>
              <w:t>50</w:t>
            </w:r>
          </w:p>
        </w:tc>
      </w:tr>
      <w:tr w:rsidR="00824B25" w:rsidRPr="00D0306F" w14:paraId="6C7746D5" w14:textId="77777777" w:rsidTr="00824B25">
        <w:trPr>
          <w:trHeight w:val="315"/>
        </w:trPr>
        <w:tc>
          <w:tcPr>
            <w:tcW w:w="7960" w:type="dxa"/>
            <w:tcBorders>
              <w:top w:val="nil"/>
              <w:left w:val="single" w:sz="4" w:space="0" w:color="auto"/>
              <w:bottom w:val="single" w:sz="4" w:space="0" w:color="auto"/>
              <w:right w:val="single" w:sz="4" w:space="0" w:color="auto"/>
            </w:tcBorders>
            <w:shd w:val="clear" w:color="auto" w:fill="FFFFFF"/>
            <w:vAlign w:val="center"/>
            <w:hideMark/>
          </w:tcPr>
          <w:p w14:paraId="39F17F9E" w14:textId="77777777" w:rsidR="00824B25" w:rsidRPr="00D0306F" w:rsidRDefault="00824B25" w:rsidP="00824B25">
            <w:pPr>
              <w:rPr>
                <w:rFonts w:eastAsia="Aptos" w:cs="Arial"/>
                <w:szCs w:val="22"/>
                <w:lang w:eastAsia="en-GB"/>
              </w:rPr>
            </w:pPr>
            <w:r w:rsidRPr="00D0306F">
              <w:rPr>
                <w:rFonts w:eastAsia="Aptos" w:cs="Arial"/>
                <w:szCs w:val="22"/>
                <w:lang w:eastAsia="en-GB"/>
              </w:rPr>
              <w:t>Pharmacist independent prescribing service</w:t>
            </w:r>
          </w:p>
        </w:tc>
        <w:tc>
          <w:tcPr>
            <w:tcW w:w="1417" w:type="dxa"/>
            <w:tcBorders>
              <w:top w:val="nil"/>
              <w:left w:val="nil"/>
              <w:bottom w:val="single" w:sz="4" w:space="0" w:color="auto"/>
              <w:right w:val="single" w:sz="4" w:space="0" w:color="auto"/>
            </w:tcBorders>
            <w:shd w:val="clear" w:color="auto" w:fill="FFFFFF"/>
            <w:vAlign w:val="center"/>
            <w:hideMark/>
          </w:tcPr>
          <w:p w14:paraId="00B9A18D" w14:textId="77777777" w:rsidR="00824B25" w:rsidRPr="00D0306F" w:rsidRDefault="00824B25" w:rsidP="00824B25">
            <w:pPr>
              <w:rPr>
                <w:rFonts w:eastAsia="Aptos" w:cs="Arial"/>
                <w:szCs w:val="22"/>
                <w:lang w:eastAsia="en-GB"/>
              </w:rPr>
            </w:pPr>
            <w:r w:rsidRPr="00D0306F">
              <w:rPr>
                <w:rFonts w:eastAsia="Aptos" w:cs="Arial"/>
                <w:szCs w:val="22"/>
                <w:lang w:eastAsia="en-GB"/>
              </w:rPr>
              <w:t>44</w:t>
            </w:r>
          </w:p>
        </w:tc>
      </w:tr>
      <w:tr w:rsidR="00824B25" w:rsidRPr="00D0306F" w14:paraId="0A62CAA7" w14:textId="77777777" w:rsidTr="00824B25">
        <w:trPr>
          <w:trHeight w:val="315"/>
        </w:trPr>
        <w:tc>
          <w:tcPr>
            <w:tcW w:w="7960" w:type="dxa"/>
            <w:tcBorders>
              <w:top w:val="nil"/>
              <w:left w:val="single" w:sz="4" w:space="0" w:color="auto"/>
              <w:bottom w:val="single" w:sz="4" w:space="0" w:color="auto"/>
              <w:right w:val="single" w:sz="4" w:space="0" w:color="auto"/>
            </w:tcBorders>
            <w:shd w:val="clear" w:color="auto" w:fill="FFFFFF"/>
            <w:vAlign w:val="center"/>
            <w:hideMark/>
          </w:tcPr>
          <w:p w14:paraId="36E54474" w14:textId="77777777" w:rsidR="00824B25" w:rsidRPr="00D0306F" w:rsidRDefault="00824B25" w:rsidP="00824B25">
            <w:pPr>
              <w:rPr>
                <w:rFonts w:eastAsia="Aptos" w:cs="Arial"/>
                <w:szCs w:val="22"/>
                <w:lang w:eastAsia="en-GB"/>
              </w:rPr>
            </w:pPr>
            <w:r w:rsidRPr="00D0306F">
              <w:rPr>
                <w:rFonts w:eastAsia="Aptos" w:cs="Arial"/>
                <w:szCs w:val="22"/>
                <w:lang w:eastAsia="en-GB"/>
              </w:rPr>
              <w:t>Emergency medicines supply</w:t>
            </w:r>
          </w:p>
        </w:tc>
        <w:tc>
          <w:tcPr>
            <w:tcW w:w="1417" w:type="dxa"/>
            <w:tcBorders>
              <w:top w:val="nil"/>
              <w:left w:val="nil"/>
              <w:bottom w:val="single" w:sz="4" w:space="0" w:color="auto"/>
              <w:right w:val="single" w:sz="4" w:space="0" w:color="auto"/>
            </w:tcBorders>
            <w:shd w:val="clear" w:color="auto" w:fill="FFFFFF"/>
            <w:vAlign w:val="center"/>
            <w:hideMark/>
          </w:tcPr>
          <w:p w14:paraId="147FEAE3" w14:textId="77777777" w:rsidR="00824B25" w:rsidRPr="00D0306F" w:rsidRDefault="00824B25" w:rsidP="00824B25">
            <w:pPr>
              <w:rPr>
                <w:rFonts w:eastAsia="Aptos" w:cs="Arial"/>
                <w:szCs w:val="22"/>
                <w:lang w:eastAsia="en-GB"/>
              </w:rPr>
            </w:pPr>
            <w:r w:rsidRPr="00D0306F">
              <w:rPr>
                <w:rFonts w:eastAsia="Aptos" w:cs="Arial"/>
                <w:szCs w:val="22"/>
                <w:lang w:eastAsia="en-GB"/>
              </w:rPr>
              <w:t>39</w:t>
            </w:r>
          </w:p>
        </w:tc>
      </w:tr>
      <w:tr w:rsidR="00824B25" w:rsidRPr="00D0306F" w14:paraId="187C0287" w14:textId="77777777" w:rsidTr="00824B25">
        <w:trPr>
          <w:trHeight w:val="315"/>
        </w:trPr>
        <w:tc>
          <w:tcPr>
            <w:tcW w:w="7960" w:type="dxa"/>
            <w:tcBorders>
              <w:top w:val="nil"/>
              <w:left w:val="single" w:sz="4" w:space="0" w:color="auto"/>
              <w:bottom w:val="single" w:sz="4" w:space="0" w:color="auto"/>
              <w:right w:val="single" w:sz="4" w:space="0" w:color="auto"/>
            </w:tcBorders>
            <w:shd w:val="clear" w:color="auto" w:fill="FFFFFF"/>
            <w:vAlign w:val="center"/>
            <w:hideMark/>
          </w:tcPr>
          <w:p w14:paraId="0B052763" w14:textId="77777777" w:rsidR="00824B25" w:rsidRPr="00D0306F" w:rsidRDefault="00824B25" w:rsidP="00824B25">
            <w:pPr>
              <w:rPr>
                <w:rFonts w:eastAsia="Aptos" w:cs="Arial"/>
                <w:szCs w:val="22"/>
                <w:lang w:eastAsia="en-GB"/>
              </w:rPr>
            </w:pPr>
            <w:r w:rsidRPr="00D0306F">
              <w:rPr>
                <w:rFonts w:eastAsia="Aptos" w:cs="Arial"/>
                <w:szCs w:val="22"/>
                <w:lang w:eastAsia="en-GB"/>
              </w:rPr>
              <w:t>Discharge medicines review service</w:t>
            </w:r>
          </w:p>
        </w:tc>
        <w:tc>
          <w:tcPr>
            <w:tcW w:w="1417" w:type="dxa"/>
            <w:tcBorders>
              <w:top w:val="nil"/>
              <w:left w:val="nil"/>
              <w:bottom w:val="single" w:sz="4" w:space="0" w:color="auto"/>
              <w:right w:val="single" w:sz="4" w:space="0" w:color="auto"/>
            </w:tcBorders>
            <w:shd w:val="clear" w:color="auto" w:fill="FFFFFF"/>
            <w:vAlign w:val="center"/>
            <w:hideMark/>
          </w:tcPr>
          <w:p w14:paraId="5FC4B5B6" w14:textId="77777777" w:rsidR="00824B25" w:rsidRPr="00D0306F" w:rsidRDefault="00824B25" w:rsidP="00824B25">
            <w:pPr>
              <w:rPr>
                <w:rFonts w:eastAsia="Aptos" w:cs="Arial"/>
                <w:szCs w:val="22"/>
                <w:lang w:eastAsia="en-GB"/>
              </w:rPr>
            </w:pPr>
            <w:r w:rsidRPr="00D0306F">
              <w:rPr>
                <w:rFonts w:eastAsia="Aptos" w:cs="Arial"/>
                <w:szCs w:val="22"/>
                <w:lang w:eastAsia="en-GB"/>
              </w:rPr>
              <w:t>27</w:t>
            </w:r>
          </w:p>
        </w:tc>
      </w:tr>
      <w:tr w:rsidR="00824B25" w:rsidRPr="00D0306F" w14:paraId="43D3633A" w14:textId="77777777" w:rsidTr="00824B25">
        <w:trPr>
          <w:trHeight w:val="315"/>
        </w:trPr>
        <w:tc>
          <w:tcPr>
            <w:tcW w:w="7960" w:type="dxa"/>
            <w:tcBorders>
              <w:top w:val="nil"/>
              <w:left w:val="single" w:sz="4" w:space="0" w:color="auto"/>
              <w:bottom w:val="single" w:sz="4" w:space="0" w:color="auto"/>
              <w:right w:val="single" w:sz="4" w:space="0" w:color="auto"/>
            </w:tcBorders>
            <w:shd w:val="clear" w:color="auto" w:fill="FFFFFF"/>
            <w:vAlign w:val="center"/>
            <w:hideMark/>
          </w:tcPr>
          <w:p w14:paraId="6879AEBC" w14:textId="77777777" w:rsidR="00824B25" w:rsidRPr="00D0306F" w:rsidRDefault="00824B25" w:rsidP="00824B25">
            <w:pPr>
              <w:rPr>
                <w:rFonts w:eastAsia="Aptos" w:cs="Arial"/>
                <w:szCs w:val="22"/>
                <w:lang w:eastAsia="en-GB"/>
              </w:rPr>
            </w:pPr>
            <w:r w:rsidRPr="00D0306F">
              <w:rPr>
                <w:rFonts w:eastAsia="Aptos" w:cs="Arial"/>
                <w:szCs w:val="22"/>
                <w:lang w:eastAsia="en-GB"/>
              </w:rPr>
              <w:t>Supervised administration of medicines</w:t>
            </w:r>
          </w:p>
        </w:tc>
        <w:tc>
          <w:tcPr>
            <w:tcW w:w="1417" w:type="dxa"/>
            <w:tcBorders>
              <w:top w:val="nil"/>
              <w:left w:val="nil"/>
              <w:bottom w:val="single" w:sz="4" w:space="0" w:color="auto"/>
              <w:right w:val="single" w:sz="4" w:space="0" w:color="auto"/>
            </w:tcBorders>
            <w:shd w:val="clear" w:color="auto" w:fill="FFFFFF"/>
            <w:vAlign w:val="center"/>
            <w:hideMark/>
          </w:tcPr>
          <w:p w14:paraId="1F315D42" w14:textId="77777777" w:rsidR="00824B25" w:rsidRPr="00D0306F" w:rsidRDefault="00824B25" w:rsidP="00824B25">
            <w:pPr>
              <w:rPr>
                <w:rFonts w:eastAsia="Aptos" w:cs="Arial"/>
                <w:szCs w:val="22"/>
                <w:lang w:eastAsia="en-GB"/>
              </w:rPr>
            </w:pPr>
            <w:r w:rsidRPr="00D0306F">
              <w:rPr>
                <w:rFonts w:eastAsia="Aptos" w:cs="Arial"/>
                <w:szCs w:val="22"/>
                <w:lang w:eastAsia="en-GB"/>
              </w:rPr>
              <w:t>26</w:t>
            </w:r>
          </w:p>
        </w:tc>
      </w:tr>
      <w:tr w:rsidR="00824B25" w:rsidRPr="00D0306F" w14:paraId="364C555E" w14:textId="77777777" w:rsidTr="00824B25">
        <w:trPr>
          <w:trHeight w:val="315"/>
        </w:trPr>
        <w:tc>
          <w:tcPr>
            <w:tcW w:w="7960" w:type="dxa"/>
            <w:tcBorders>
              <w:top w:val="nil"/>
              <w:left w:val="single" w:sz="4" w:space="0" w:color="auto"/>
              <w:bottom w:val="single" w:sz="4" w:space="0" w:color="auto"/>
              <w:right w:val="single" w:sz="4" w:space="0" w:color="auto"/>
            </w:tcBorders>
            <w:shd w:val="clear" w:color="auto" w:fill="FFFFFF"/>
            <w:vAlign w:val="center"/>
            <w:hideMark/>
          </w:tcPr>
          <w:p w14:paraId="1F926F08" w14:textId="77777777" w:rsidR="00824B25" w:rsidRPr="00D0306F" w:rsidRDefault="00824B25" w:rsidP="00824B25">
            <w:pPr>
              <w:rPr>
                <w:rFonts w:eastAsia="Aptos" w:cs="Arial"/>
                <w:szCs w:val="22"/>
                <w:lang w:eastAsia="en-GB"/>
              </w:rPr>
            </w:pPr>
            <w:r w:rsidRPr="00D0306F">
              <w:rPr>
                <w:rFonts w:eastAsia="Aptos" w:cs="Arial"/>
                <w:szCs w:val="22"/>
                <w:lang w:eastAsia="en-GB"/>
              </w:rPr>
              <w:t xml:space="preserve">Urgent medicines service </w:t>
            </w:r>
          </w:p>
        </w:tc>
        <w:tc>
          <w:tcPr>
            <w:tcW w:w="1417" w:type="dxa"/>
            <w:tcBorders>
              <w:top w:val="nil"/>
              <w:left w:val="nil"/>
              <w:bottom w:val="single" w:sz="4" w:space="0" w:color="auto"/>
              <w:right w:val="single" w:sz="4" w:space="0" w:color="auto"/>
            </w:tcBorders>
            <w:shd w:val="clear" w:color="auto" w:fill="FFFFFF"/>
            <w:vAlign w:val="center"/>
            <w:hideMark/>
          </w:tcPr>
          <w:p w14:paraId="4FBA39E8" w14:textId="77777777" w:rsidR="00824B25" w:rsidRPr="00D0306F" w:rsidRDefault="00824B25" w:rsidP="00824B25">
            <w:pPr>
              <w:rPr>
                <w:rFonts w:eastAsia="Aptos" w:cs="Arial"/>
                <w:szCs w:val="22"/>
                <w:lang w:eastAsia="en-GB"/>
              </w:rPr>
            </w:pPr>
            <w:r w:rsidRPr="00D0306F">
              <w:rPr>
                <w:rFonts w:eastAsia="Aptos" w:cs="Arial"/>
                <w:szCs w:val="22"/>
                <w:lang w:eastAsia="en-GB"/>
              </w:rPr>
              <w:t>21</w:t>
            </w:r>
          </w:p>
        </w:tc>
      </w:tr>
      <w:tr w:rsidR="00824B25" w:rsidRPr="00D0306F" w14:paraId="60197949" w14:textId="77777777" w:rsidTr="00824B25">
        <w:trPr>
          <w:trHeight w:val="315"/>
        </w:trPr>
        <w:tc>
          <w:tcPr>
            <w:tcW w:w="7960" w:type="dxa"/>
            <w:tcBorders>
              <w:top w:val="nil"/>
              <w:left w:val="single" w:sz="4" w:space="0" w:color="auto"/>
              <w:bottom w:val="single" w:sz="4" w:space="0" w:color="auto"/>
              <w:right w:val="single" w:sz="4" w:space="0" w:color="auto"/>
            </w:tcBorders>
            <w:shd w:val="clear" w:color="auto" w:fill="FFFFFF"/>
            <w:vAlign w:val="center"/>
            <w:hideMark/>
          </w:tcPr>
          <w:p w14:paraId="2973DA0E" w14:textId="77777777" w:rsidR="00824B25" w:rsidRPr="00D0306F" w:rsidRDefault="00824B25" w:rsidP="00824B25">
            <w:pPr>
              <w:rPr>
                <w:rFonts w:eastAsia="Aptos" w:cs="Arial"/>
                <w:szCs w:val="22"/>
                <w:lang w:eastAsia="en-GB"/>
              </w:rPr>
            </w:pPr>
            <w:r w:rsidRPr="00D0306F">
              <w:rPr>
                <w:rFonts w:eastAsia="Aptos" w:cs="Arial"/>
                <w:szCs w:val="22"/>
                <w:lang w:eastAsia="en-GB"/>
              </w:rPr>
              <w:t>Needle and syringe provision</w:t>
            </w:r>
          </w:p>
        </w:tc>
        <w:tc>
          <w:tcPr>
            <w:tcW w:w="1417" w:type="dxa"/>
            <w:tcBorders>
              <w:top w:val="nil"/>
              <w:left w:val="nil"/>
              <w:bottom w:val="single" w:sz="4" w:space="0" w:color="auto"/>
              <w:right w:val="single" w:sz="4" w:space="0" w:color="auto"/>
            </w:tcBorders>
            <w:shd w:val="clear" w:color="auto" w:fill="FFFFFF"/>
            <w:vAlign w:val="center"/>
            <w:hideMark/>
          </w:tcPr>
          <w:p w14:paraId="5C811BEF" w14:textId="77777777" w:rsidR="00824B25" w:rsidRPr="00D0306F" w:rsidRDefault="00824B25" w:rsidP="00824B25">
            <w:pPr>
              <w:rPr>
                <w:rFonts w:eastAsia="Aptos" w:cs="Arial"/>
                <w:szCs w:val="22"/>
                <w:lang w:eastAsia="en-GB"/>
              </w:rPr>
            </w:pPr>
            <w:r w:rsidRPr="00D0306F">
              <w:rPr>
                <w:rFonts w:eastAsia="Aptos" w:cs="Arial"/>
                <w:szCs w:val="22"/>
                <w:lang w:eastAsia="en-GB"/>
              </w:rPr>
              <w:t>17</w:t>
            </w:r>
          </w:p>
        </w:tc>
      </w:tr>
      <w:tr w:rsidR="00824B25" w:rsidRPr="00D0306F" w14:paraId="4C59DAE8" w14:textId="77777777" w:rsidTr="00824B25">
        <w:trPr>
          <w:trHeight w:val="315"/>
        </w:trPr>
        <w:tc>
          <w:tcPr>
            <w:tcW w:w="7960" w:type="dxa"/>
            <w:tcBorders>
              <w:top w:val="nil"/>
              <w:left w:val="single" w:sz="4" w:space="0" w:color="auto"/>
              <w:bottom w:val="single" w:sz="4" w:space="0" w:color="auto"/>
              <w:right w:val="single" w:sz="4" w:space="0" w:color="auto"/>
            </w:tcBorders>
            <w:shd w:val="clear" w:color="auto" w:fill="FFFFFF"/>
            <w:vAlign w:val="center"/>
            <w:hideMark/>
          </w:tcPr>
          <w:p w14:paraId="4C4EE113" w14:textId="77777777" w:rsidR="00824B25" w:rsidRPr="00D0306F" w:rsidRDefault="00824B25" w:rsidP="00824B25">
            <w:pPr>
              <w:rPr>
                <w:rFonts w:eastAsia="Aptos" w:cs="Arial"/>
                <w:szCs w:val="22"/>
                <w:lang w:eastAsia="en-GB"/>
              </w:rPr>
            </w:pPr>
            <w:r w:rsidRPr="00D0306F">
              <w:rPr>
                <w:rFonts w:eastAsia="Aptos" w:cs="Arial"/>
                <w:szCs w:val="22"/>
                <w:lang w:eastAsia="en-GB"/>
              </w:rPr>
              <w:t>Inhaler review service</w:t>
            </w:r>
          </w:p>
        </w:tc>
        <w:tc>
          <w:tcPr>
            <w:tcW w:w="1417" w:type="dxa"/>
            <w:tcBorders>
              <w:top w:val="nil"/>
              <w:left w:val="nil"/>
              <w:bottom w:val="single" w:sz="4" w:space="0" w:color="auto"/>
              <w:right w:val="single" w:sz="4" w:space="0" w:color="auto"/>
            </w:tcBorders>
            <w:shd w:val="clear" w:color="auto" w:fill="FFFFFF"/>
            <w:vAlign w:val="center"/>
            <w:hideMark/>
          </w:tcPr>
          <w:p w14:paraId="091D83E7" w14:textId="77777777" w:rsidR="00824B25" w:rsidRPr="00D0306F" w:rsidRDefault="00824B25" w:rsidP="00824B25">
            <w:pPr>
              <w:rPr>
                <w:rFonts w:eastAsia="Aptos" w:cs="Arial"/>
                <w:szCs w:val="22"/>
                <w:lang w:eastAsia="en-GB"/>
              </w:rPr>
            </w:pPr>
            <w:r w:rsidRPr="00D0306F">
              <w:rPr>
                <w:rFonts w:eastAsia="Aptos" w:cs="Arial"/>
                <w:szCs w:val="22"/>
                <w:lang w:eastAsia="en-GB"/>
              </w:rPr>
              <w:t>17</w:t>
            </w:r>
          </w:p>
        </w:tc>
      </w:tr>
      <w:tr w:rsidR="00824B25" w:rsidRPr="00D0306F" w14:paraId="07144914" w14:textId="77777777" w:rsidTr="00824B25">
        <w:trPr>
          <w:trHeight w:val="315"/>
        </w:trPr>
        <w:tc>
          <w:tcPr>
            <w:tcW w:w="7960" w:type="dxa"/>
            <w:tcBorders>
              <w:top w:val="nil"/>
              <w:left w:val="single" w:sz="4" w:space="0" w:color="auto"/>
              <w:bottom w:val="single" w:sz="4" w:space="0" w:color="auto"/>
              <w:right w:val="single" w:sz="4" w:space="0" w:color="auto"/>
            </w:tcBorders>
            <w:shd w:val="clear" w:color="auto" w:fill="FFFFFF"/>
            <w:vAlign w:val="center"/>
            <w:hideMark/>
          </w:tcPr>
          <w:p w14:paraId="2E2FD3A5" w14:textId="77777777" w:rsidR="00824B25" w:rsidRPr="00D0306F" w:rsidRDefault="00824B25" w:rsidP="00824B25">
            <w:pPr>
              <w:rPr>
                <w:rFonts w:eastAsia="Aptos" w:cs="Arial"/>
                <w:szCs w:val="22"/>
                <w:lang w:eastAsia="en-GB"/>
              </w:rPr>
            </w:pPr>
            <w:r w:rsidRPr="00D0306F">
              <w:rPr>
                <w:rFonts w:eastAsia="Aptos" w:cs="Arial"/>
                <w:szCs w:val="22"/>
                <w:lang w:eastAsia="en-GB"/>
              </w:rPr>
              <w:t>Medicines administration record service</w:t>
            </w:r>
          </w:p>
        </w:tc>
        <w:tc>
          <w:tcPr>
            <w:tcW w:w="1417" w:type="dxa"/>
            <w:tcBorders>
              <w:top w:val="nil"/>
              <w:left w:val="nil"/>
              <w:bottom w:val="single" w:sz="4" w:space="0" w:color="auto"/>
              <w:right w:val="single" w:sz="4" w:space="0" w:color="auto"/>
            </w:tcBorders>
            <w:shd w:val="clear" w:color="auto" w:fill="FFFFFF"/>
            <w:vAlign w:val="center"/>
            <w:hideMark/>
          </w:tcPr>
          <w:p w14:paraId="7BD720DA" w14:textId="77777777" w:rsidR="00824B25" w:rsidRPr="00D0306F" w:rsidRDefault="00824B25" w:rsidP="00824B25">
            <w:pPr>
              <w:rPr>
                <w:rFonts w:eastAsia="Aptos" w:cs="Arial"/>
                <w:szCs w:val="22"/>
                <w:lang w:eastAsia="en-GB"/>
              </w:rPr>
            </w:pPr>
            <w:r w:rsidRPr="00D0306F">
              <w:rPr>
                <w:rFonts w:eastAsia="Aptos" w:cs="Arial"/>
                <w:szCs w:val="22"/>
                <w:lang w:eastAsia="en-GB"/>
              </w:rPr>
              <w:t>16</w:t>
            </w:r>
          </w:p>
        </w:tc>
      </w:tr>
      <w:tr w:rsidR="00824B25" w:rsidRPr="00D0306F" w14:paraId="5B4EAE4E" w14:textId="77777777" w:rsidTr="00824B25">
        <w:trPr>
          <w:trHeight w:val="315"/>
        </w:trPr>
        <w:tc>
          <w:tcPr>
            <w:tcW w:w="7960" w:type="dxa"/>
            <w:tcBorders>
              <w:top w:val="nil"/>
              <w:left w:val="single" w:sz="4" w:space="0" w:color="auto"/>
              <w:bottom w:val="single" w:sz="4" w:space="0" w:color="auto"/>
              <w:right w:val="single" w:sz="4" w:space="0" w:color="auto"/>
            </w:tcBorders>
            <w:shd w:val="clear" w:color="auto" w:fill="FFFFFF"/>
            <w:vAlign w:val="center"/>
            <w:hideMark/>
          </w:tcPr>
          <w:p w14:paraId="30443DBD" w14:textId="77777777" w:rsidR="00824B25" w:rsidRPr="00D0306F" w:rsidRDefault="00824B25" w:rsidP="00824B25">
            <w:pPr>
              <w:rPr>
                <w:rFonts w:eastAsia="Aptos" w:cs="Arial"/>
                <w:szCs w:val="22"/>
                <w:lang w:eastAsia="en-GB"/>
              </w:rPr>
            </w:pPr>
            <w:r w:rsidRPr="00D0306F">
              <w:rPr>
                <w:rFonts w:eastAsia="Aptos" w:cs="Arial"/>
                <w:szCs w:val="22"/>
                <w:lang w:eastAsia="en-GB"/>
              </w:rPr>
              <w:t>Discharge medication review</w:t>
            </w:r>
          </w:p>
        </w:tc>
        <w:tc>
          <w:tcPr>
            <w:tcW w:w="1417" w:type="dxa"/>
            <w:tcBorders>
              <w:top w:val="nil"/>
              <w:left w:val="nil"/>
              <w:bottom w:val="single" w:sz="4" w:space="0" w:color="auto"/>
              <w:right w:val="single" w:sz="4" w:space="0" w:color="auto"/>
            </w:tcBorders>
            <w:shd w:val="clear" w:color="auto" w:fill="FFFFFF"/>
            <w:vAlign w:val="center"/>
            <w:hideMark/>
          </w:tcPr>
          <w:p w14:paraId="45013B59" w14:textId="77777777" w:rsidR="00824B25" w:rsidRPr="00D0306F" w:rsidRDefault="00824B25" w:rsidP="00824B25">
            <w:pPr>
              <w:rPr>
                <w:rFonts w:eastAsia="Aptos" w:cs="Arial"/>
                <w:szCs w:val="22"/>
                <w:lang w:eastAsia="en-GB"/>
              </w:rPr>
            </w:pPr>
            <w:r w:rsidRPr="00D0306F">
              <w:rPr>
                <w:rFonts w:eastAsia="Aptos" w:cs="Arial"/>
                <w:szCs w:val="22"/>
                <w:lang w:eastAsia="en-GB"/>
              </w:rPr>
              <w:t>14</w:t>
            </w:r>
          </w:p>
        </w:tc>
      </w:tr>
      <w:tr w:rsidR="00824B25" w:rsidRPr="00D0306F" w14:paraId="668C007E" w14:textId="77777777" w:rsidTr="00824B25">
        <w:trPr>
          <w:trHeight w:val="315"/>
        </w:trPr>
        <w:tc>
          <w:tcPr>
            <w:tcW w:w="7960" w:type="dxa"/>
            <w:tcBorders>
              <w:top w:val="nil"/>
              <w:left w:val="single" w:sz="4" w:space="0" w:color="auto"/>
              <w:bottom w:val="single" w:sz="4" w:space="0" w:color="auto"/>
              <w:right w:val="single" w:sz="4" w:space="0" w:color="auto"/>
            </w:tcBorders>
            <w:shd w:val="clear" w:color="auto" w:fill="FFFFFF"/>
            <w:vAlign w:val="center"/>
            <w:hideMark/>
          </w:tcPr>
          <w:p w14:paraId="7481D288" w14:textId="77777777" w:rsidR="00824B25" w:rsidRPr="00D0306F" w:rsidRDefault="00824B25" w:rsidP="00824B25">
            <w:pPr>
              <w:rPr>
                <w:rFonts w:eastAsia="Aptos" w:cs="Arial"/>
                <w:szCs w:val="22"/>
                <w:lang w:eastAsia="en-GB"/>
              </w:rPr>
            </w:pPr>
            <w:r w:rsidRPr="00D0306F">
              <w:rPr>
                <w:rFonts w:eastAsia="Aptos" w:cs="Arial"/>
                <w:szCs w:val="22"/>
                <w:lang w:eastAsia="en-GB"/>
              </w:rPr>
              <w:t>Just in case bag service</w:t>
            </w:r>
          </w:p>
        </w:tc>
        <w:tc>
          <w:tcPr>
            <w:tcW w:w="1417" w:type="dxa"/>
            <w:tcBorders>
              <w:top w:val="nil"/>
              <w:left w:val="nil"/>
              <w:bottom w:val="single" w:sz="4" w:space="0" w:color="auto"/>
              <w:right w:val="single" w:sz="4" w:space="0" w:color="auto"/>
            </w:tcBorders>
            <w:shd w:val="clear" w:color="auto" w:fill="FFFFFF"/>
            <w:vAlign w:val="center"/>
            <w:hideMark/>
          </w:tcPr>
          <w:p w14:paraId="33769056" w14:textId="77777777" w:rsidR="00824B25" w:rsidRPr="00D0306F" w:rsidRDefault="00824B25" w:rsidP="00824B25">
            <w:pPr>
              <w:rPr>
                <w:rFonts w:eastAsia="Aptos" w:cs="Arial"/>
                <w:szCs w:val="22"/>
                <w:lang w:eastAsia="en-GB"/>
              </w:rPr>
            </w:pPr>
            <w:r w:rsidRPr="00D0306F">
              <w:rPr>
                <w:rFonts w:eastAsia="Aptos" w:cs="Arial"/>
                <w:szCs w:val="22"/>
                <w:lang w:eastAsia="en-GB"/>
              </w:rPr>
              <w:t>13</w:t>
            </w:r>
          </w:p>
        </w:tc>
      </w:tr>
      <w:tr w:rsidR="00824B25" w:rsidRPr="00D0306F" w14:paraId="5B5C42F2" w14:textId="77777777" w:rsidTr="00824B25">
        <w:trPr>
          <w:trHeight w:val="315"/>
        </w:trPr>
        <w:tc>
          <w:tcPr>
            <w:tcW w:w="7960" w:type="dxa"/>
            <w:tcBorders>
              <w:top w:val="nil"/>
              <w:left w:val="single" w:sz="4" w:space="0" w:color="auto"/>
              <w:bottom w:val="single" w:sz="4" w:space="0" w:color="auto"/>
              <w:right w:val="single" w:sz="4" w:space="0" w:color="auto"/>
            </w:tcBorders>
            <w:shd w:val="clear" w:color="auto" w:fill="FFFFFF"/>
            <w:vAlign w:val="center"/>
            <w:hideMark/>
          </w:tcPr>
          <w:p w14:paraId="23FBC608" w14:textId="77777777" w:rsidR="00824B25" w:rsidRPr="00D0306F" w:rsidRDefault="00824B25" w:rsidP="00824B25">
            <w:pPr>
              <w:rPr>
                <w:rFonts w:eastAsia="Aptos" w:cs="Arial"/>
                <w:szCs w:val="22"/>
                <w:lang w:eastAsia="en-GB"/>
              </w:rPr>
            </w:pPr>
            <w:r w:rsidRPr="00D0306F">
              <w:rPr>
                <w:rFonts w:eastAsia="Aptos" w:cs="Arial"/>
                <w:szCs w:val="22"/>
                <w:lang w:eastAsia="en-GB"/>
              </w:rPr>
              <w:t>Appliance use review service</w:t>
            </w:r>
          </w:p>
        </w:tc>
        <w:tc>
          <w:tcPr>
            <w:tcW w:w="1417" w:type="dxa"/>
            <w:tcBorders>
              <w:top w:val="nil"/>
              <w:left w:val="nil"/>
              <w:bottom w:val="single" w:sz="4" w:space="0" w:color="auto"/>
              <w:right w:val="single" w:sz="4" w:space="0" w:color="auto"/>
            </w:tcBorders>
            <w:shd w:val="clear" w:color="auto" w:fill="FFFFFF"/>
            <w:vAlign w:val="center"/>
            <w:hideMark/>
          </w:tcPr>
          <w:p w14:paraId="0CE8D5BC" w14:textId="77777777" w:rsidR="00824B25" w:rsidRPr="00D0306F" w:rsidRDefault="00824B25" w:rsidP="00824B25">
            <w:pPr>
              <w:rPr>
                <w:rFonts w:eastAsia="Aptos" w:cs="Arial"/>
                <w:szCs w:val="22"/>
                <w:lang w:eastAsia="en-GB"/>
              </w:rPr>
            </w:pPr>
            <w:r w:rsidRPr="00D0306F">
              <w:rPr>
                <w:rFonts w:eastAsia="Aptos" w:cs="Arial"/>
                <w:szCs w:val="22"/>
                <w:lang w:eastAsia="en-GB"/>
              </w:rPr>
              <w:t>10</w:t>
            </w:r>
          </w:p>
        </w:tc>
      </w:tr>
      <w:tr w:rsidR="00824B25" w:rsidRPr="00D0306F" w14:paraId="3C6C457F" w14:textId="77777777" w:rsidTr="00824B25">
        <w:trPr>
          <w:trHeight w:val="315"/>
        </w:trPr>
        <w:tc>
          <w:tcPr>
            <w:tcW w:w="7960" w:type="dxa"/>
            <w:tcBorders>
              <w:top w:val="nil"/>
              <w:left w:val="single" w:sz="4" w:space="0" w:color="auto"/>
              <w:bottom w:val="single" w:sz="4" w:space="0" w:color="auto"/>
              <w:right w:val="single" w:sz="4" w:space="0" w:color="auto"/>
            </w:tcBorders>
            <w:shd w:val="clear" w:color="auto" w:fill="FFFFFF"/>
            <w:vAlign w:val="center"/>
            <w:hideMark/>
          </w:tcPr>
          <w:p w14:paraId="7D8119D9" w14:textId="77777777" w:rsidR="00824B25" w:rsidRPr="00D0306F" w:rsidRDefault="00824B25" w:rsidP="00824B25">
            <w:pPr>
              <w:rPr>
                <w:rFonts w:eastAsia="Aptos" w:cs="Arial"/>
                <w:szCs w:val="22"/>
                <w:lang w:eastAsia="en-GB"/>
              </w:rPr>
            </w:pPr>
            <w:r w:rsidRPr="00D0306F">
              <w:rPr>
                <w:rFonts w:eastAsia="Aptos" w:cs="Arial"/>
                <w:szCs w:val="22"/>
                <w:lang w:eastAsia="en-GB"/>
              </w:rPr>
              <w:t>Care home support service</w:t>
            </w:r>
          </w:p>
        </w:tc>
        <w:tc>
          <w:tcPr>
            <w:tcW w:w="1417" w:type="dxa"/>
            <w:tcBorders>
              <w:top w:val="nil"/>
              <w:left w:val="nil"/>
              <w:bottom w:val="single" w:sz="4" w:space="0" w:color="auto"/>
              <w:right w:val="single" w:sz="4" w:space="0" w:color="auto"/>
            </w:tcBorders>
            <w:shd w:val="clear" w:color="auto" w:fill="FFFFFF"/>
            <w:vAlign w:val="center"/>
            <w:hideMark/>
          </w:tcPr>
          <w:p w14:paraId="5CC9952A" w14:textId="77777777" w:rsidR="00824B25" w:rsidRPr="00D0306F" w:rsidRDefault="00824B25" w:rsidP="00824B25">
            <w:pPr>
              <w:rPr>
                <w:rFonts w:eastAsia="Aptos" w:cs="Arial"/>
                <w:szCs w:val="22"/>
                <w:lang w:eastAsia="en-GB"/>
              </w:rPr>
            </w:pPr>
            <w:r w:rsidRPr="00D0306F">
              <w:rPr>
                <w:rFonts w:eastAsia="Aptos" w:cs="Arial"/>
                <w:szCs w:val="22"/>
                <w:lang w:eastAsia="en-GB"/>
              </w:rPr>
              <w:t>9</w:t>
            </w:r>
          </w:p>
        </w:tc>
      </w:tr>
      <w:tr w:rsidR="00824B25" w:rsidRPr="00D0306F" w14:paraId="7346A077" w14:textId="77777777" w:rsidTr="00824B25">
        <w:trPr>
          <w:trHeight w:val="315"/>
        </w:trPr>
        <w:tc>
          <w:tcPr>
            <w:tcW w:w="7960" w:type="dxa"/>
            <w:tcBorders>
              <w:top w:val="nil"/>
              <w:left w:val="single" w:sz="4" w:space="0" w:color="auto"/>
              <w:bottom w:val="single" w:sz="4" w:space="0" w:color="auto"/>
              <w:right w:val="single" w:sz="4" w:space="0" w:color="auto"/>
            </w:tcBorders>
            <w:shd w:val="clear" w:color="auto" w:fill="FFFFFF"/>
            <w:vAlign w:val="center"/>
            <w:hideMark/>
          </w:tcPr>
          <w:p w14:paraId="20B2FFCA" w14:textId="77777777" w:rsidR="00824B25" w:rsidRPr="00D0306F" w:rsidRDefault="00824B25" w:rsidP="00824B25">
            <w:pPr>
              <w:rPr>
                <w:rFonts w:eastAsia="Aptos" w:cs="Arial"/>
                <w:szCs w:val="22"/>
                <w:lang w:eastAsia="en-GB"/>
              </w:rPr>
            </w:pPr>
            <w:r w:rsidRPr="00D0306F">
              <w:rPr>
                <w:rFonts w:eastAsia="Aptos" w:cs="Arial"/>
                <w:szCs w:val="22"/>
                <w:lang w:eastAsia="en-GB"/>
              </w:rPr>
              <w:t>Blood-borne virus testing</w:t>
            </w:r>
          </w:p>
        </w:tc>
        <w:tc>
          <w:tcPr>
            <w:tcW w:w="1417" w:type="dxa"/>
            <w:tcBorders>
              <w:top w:val="nil"/>
              <w:left w:val="nil"/>
              <w:bottom w:val="single" w:sz="4" w:space="0" w:color="auto"/>
              <w:right w:val="single" w:sz="4" w:space="0" w:color="auto"/>
            </w:tcBorders>
            <w:shd w:val="clear" w:color="auto" w:fill="FFFFFF"/>
            <w:vAlign w:val="center"/>
            <w:hideMark/>
          </w:tcPr>
          <w:p w14:paraId="0E0BBC61" w14:textId="77777777" w:rsidR="00824B25" w:rsidRPr="00D0306F" w:rsidRDefault="00824B25" w:rsidP="00824B25">
            <w:pPr>
              <w:rPr>
                <w:rFonts w:eastAsia="Aptos" w:cs="Arial"/>
                <w:szCs w:val="22"/>
                <w:lang w:eastAsia="en-GB"/>
              </w:rPr>
            </w:pPr>
            <w:r w:rsidRPr="00D0306F">
              <w:rPr>
                <w:rFonts w:eastAsia="Aptos" w:cs="Arial"/>
                <w:szCs w:val="22"/>
                <w:lang w:eastAsia="en-GB"/>
              </w:rPr>
              <w:t>7</w:t>
            </w:r>
          </w:p>
        </w:tc>
      </w:tr>
    </w:tbl>
    <w:p w14:paraId="7786DD27" w14:textId="77777777" w:rsidR="00824B25" w:rsidRPr="00D0306F" w:rsidRDefault="00824B25" w:rsidP="00824B25">
      <w:pPr>
        <w:rPr>
          <w:rFonts w:eastAsia="Aptos" w:cs="Arial"/>
          <w:szCs w:val="22"/>
          <w:lang w:eastAsia="en-GB"/>
        </w:rPr>
      </w:pPr>
    </w:p>
    <w:p w14:paraId="0BDF1EFA" w14:textId="77777777" w:rsidR="00824B25" w:rsidRPr="00D0306F" w:rsidRDefault="00824B25" w:rsidP="00824B25">
      <w:pPr>
        <w:rPr>
          <w:rFonts w:eastAsia="Aptos" w:cs="Arial"/>
          <w:szCs w:val="22"/>
          <w:lang w:eastAsia="en-GB"/>
        </w:rPr>
      </w:pPr>
      <w:r w:rsidRPr="00D0306F">
        <w:rPr>
          <w:rFonts w:eastAsia="Aptos" w:cs="Arial"/>
          <w:szCs w:val="22"/>
          <w:lang w:eastAsia="en-GB"/>
        </w:rPr>
        <w:t>The most popular service that respondents said they had used was the common ailments scheme (59.3%, 64 people) followed by influenza vaccinations (48.2%, 52 people). However, 17.6% (19 people) said they had never used any of these services. Multiple answers could be given to this question.</w:t>
      </w:r>
    </w:p>
    <w:p w14:paraId="583AC648" w14:textId="77777777" w:rsidR="00460384" w:rsidRPr="00D0306F" w:rsidRDefault="00460384" w:rsidP="00824B25">
      <w:pPr>
        <w:rPr>
          <w:rFonts w:eastAsia="Aptos" w:cs="Arial"/>
          <w:szCs w:val="22"/>
          <w:lang w:eastAsia="en-GB"/>
        </w:rPr>
      </w:pPr>
    </w:p>
    <w:p w14:paraId="5D7C0533" w14:textId="77777777" w:rsidR="00460384" w:rsidRPr="00D0306F" w:rsidRDefault="00460384" w:rsidP="00824B25">
      <w:pPr>
        <w:rPr>
          <w:rFonts w:eastAsia="Aptos" w:cs="Arial"/>
          <w:szCs w:val="22"/>
          <w:lang w:eastAsia="en-GB"/>
        </w:rPr>
      </w:pPr>
    </w:p>
    <w:p w14:paraId="5BBF86D5" w14:textId="77777777" w:rsidR="00824B25" w:rsidRPr="00D0306F" w:rsidRDefault="00824B25" w:rsidP="00824B25">
      <w:pPr>
        <w:rPr>
          <w:rFonts w:eastAsia="Aptos" w:cs="Arial"/>
          <w:b/>
          <w:bCs/>
          <w:szCs w:val="22"/>
          <w:lang w:eastAsia="en-GB"/>
        </w:rPr>
      </w:pPr>
      <w:r w:rsidRPr="00D0306F">
        <w:rPr>
          <w:rFonts w:eastAsia="Aptos" w:cs="Arial"/>
          <w:b/>
          <w:bCs/>
          <w:szCs w:val="22"/>
          <w:lang w:eastAsia="en-GB"/>
        </w:rPr>
        <w:lastRenderedPageBreak/>
        <w:t xml:space="preserve">Figure 1.7: Percentage of respondents who have used NHS pharmacy services </w:t>
      </w:r>
    </w:p>
    <w:p w14:paraId="5DA47DDB" w14:textId="77777777" w:rsidR="00824B25" w:rsidRPr="00D0306F" w:rsidRDefault="00824B25" w:rsidP="00824B25">
      <w:pPr>
        <w:rPr>
          <w:rFonts w:eastAsia="Aptos" w:cs="Arial"/>
          <w:color w:val="333333"/>
          <w:szCs w:val="22"/>
          <w:lang w:eastAsia="en-GB"/>
        </w:rPr>
      </w:pPr>
    </w:p>
    <w:p w14:paraId="0A7D2AA8" w14:textId="77777777" w:rsidR="00824B25" w:rsidRPr="00D0306F" w:rsidRDefault="00824B25" w:rsidP="00824B25">
      <w:pPr>
        <w:rPr>
          <w:rFonts w:eastAsia="Aptos" w:cs="Arial"/>
          <w:color w:val="333333"/>
          <w:szCs w:val="22"/>
          <w:lang w:eastAsia="en-GB"/>
        </w:rPr>
      </w:pPr>
      <w:r w:rsidRPr="00D0306F">
        <w:rPr>
          <w:rFonts w:eastAsia="Aptos" w:cs="Arial"/>
          <w:noProof/>
          <w:szCs w:val="22"/>
        </w:rPr>
        <w:drawing>
          <wp:inline distT="0" distB="0" distL="0" distR="0" wp14:anchorId="159A426D" wp14:editId="4129FF84">
            <wp:extent cx="5743575" cy="3457575"/>
            <wp:effectExtent l="0" t="0" r="9525" b="9525"/>
            <wp:docPr id="7" name="Chart 1" descr="Horizontal bar chart showing awareness or use of pharmacy services. The most commonly selected services were the Common Ailments Service (59%) and Influenza Vaccinations (48%). Other notable responses included Pharmacist Independent Prescribing Service (24%), Covid Vaccination Service (19%), No (17%), and Emergency Medicines Supply (14%). Smaller percentages selected Contraception Services (10%), Help to Stop Smoking (7%), Discharge Medicines Review Service (5%), Urgent Medicines Service (3%), Just in Case Bag Service (2%), Inhaler Review Service (2%), and Medicines Administration Record Service and Discharge Medication Review (both around 1%). The chart shows greatest awareness of common ailments and vaccination services.">
              <a:extLst xmlns:a="http://schemas.openxmlformats.org/drawingml/2006/main">
                <a:ext uri="{FF2B5EF4-FFF2-40B4-BE49-F238E27FC236}">
                  <a16:creationId xmlns:a16="http://schemas.microsoft.com/office/drawing/2014/main" id="{ADBAE370-F02A-2C89-0280-3084E3D9F34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EDA1850" w14:textId="77777777" w:rsidR="00824B25" w:rsidRPr="00D0306F" w:rsidRDefault="00824B25" w:rsidP="00824B25">
      <w:pPr>
        <w:rPr>
          <w:rFonts w:eastAsia="Aptos" w:cs="Arial"/>
          <w:szCs w:val="22"/>
          <w:lang w:eastAsia="en-GB"/>
        </w:rPr>
      </w:pPr>
    </w:p>
    <w:p w14:paraId="0FE3B87D" w14:textId="77777777" w:rsidR="00824B25" w:rsidRPr="00D0306F" w:rsidRDefault="00824B25" w:rsidP="00824B25">
      <w:pPr>
        <w:rPr>
          <w:rFonts w:eastAsia="Aptos" w:cs="Arial"/>
          <w:szCs w:val="22"/>
          <w:lang w:eastAsia="en-GB"/>
        </w:rPr>
      </w:pPr>
      <w:r w:rsidRPr="00D0306F">
        <w:rPr>
          <w:rFonts w:eastAsia="Aptos" w:cs="Arial"/>
          <w:szCs w:val="22"/>
          <w:lang w:eastAsia="en-GB"/>
        </w:rPr>
        <w:t>When asked if there was anything else respondents would like to share about their experience of their local pharmacy or GP dispensing practice, a total of 96 comments were received. The following are the key themes.</w:t>
      </w:r>
    </w:p>
    <w:p w14:paraId="2E295DF7" w14:textId="77777777" w:rsidR="00824B25" w:rsidRPr="00D0306F" w:rsidRDefault="00824B25" w:rsidP="00824B25">
      <w:pPr>
        <w:rPr>
          <w:rFonts w:eastAsia="Aptos" w:cs="Arial"/>
          <w:szCs w:val="22"/>
          <w:lang w:eastAsia="en-GB"/>
        </w:rPr>
      </w:pPr>
    </w:p>
    <w:p w14:paraId="04069C4F" w14:textId="77777777" w:rsidR="00824B25" w:rsidRPr="00D0306F" w:rsidRDefault="00824B25" w:rsidP="00824B25">
      <w:pPr>
        <w:rPr>
          <w:rFonts w:eastAsia="Aptos" w:cs="Arial"/>
          <w:szCs w:val="22"/>
          <w:lang w:eastAsia="en-GB"/>
        </w:rPr>
      </w:pPr>
      <w:r w:rsidRPr="00D0306F">
        <w:rPr>
          <w:rFonts w:eastAsia="Aptos" w:cs="Arial"/>
          <w:szCs w:val="22"/>
          <w:lang w:eastAsia="en-GB"/>
        </w:rPr>
        <w:t>A strong theme from the comments was of the positive staff experience.</w:t>
      </w:r>
    </w:p>
    <w:p w14:paraId="0CA7326F" w14:textId="77777777" w:rsidR="00824B25" w:rsidRPr="00D0306F" w:rsidRDefault="00824B25" w:rsidP="00824B25">
      <w:pPr>
        <w:rPr>
          <w:rFonts w:eastAsia="Aptos" w:cs="Arial"/>
          <w:szCs w:val="22"/>
          <w:lang w:eastAsia="en-GB"/>
        </w:rPr>
      </w:pPr>
    </w:p>
    <w:p w14:paraId="0546747D" w14:textId="77777777" w:rsidR="00824B25" w:rsidRPr="00D0306F" w:rsidRDefault="00824B25" w:rsidP="00824B25">
      <w:pPr>
        <w:numPr>
          <w:ilvl w:val="0"/>
          <w:numId w:val="22"/>
        </w:numPr>
        <w:rPr>
          <w:rFonts w:eastAsia="Aptos" w:cs="Arial"/>
          <w:szCs w:val="22"/>
          <w:lang w:eastAsia="en-GB"/>
        </w:rPr>
      </w:pPr>
      <w:r w:rsidRPr="00D0306F">
        <w:rPr>
          <w:rFonts w:eastAsia="Aptos" w:cs="Arial"/>
          <w:szCs w:val="22"/>
          <w:lang w:eastAsia="en-GB"/>
        </w:rPr>
        <w:t>Many respondents praised the friendly, helpful, and knowledgeable staff</w:t>
      </w:r>
    </w:p>
    <w:p w14:paraId="7AEFA0AB" w14:textId="77777777" w:rsidR="00824B25" w:rsidRPr="00D0306F" w:rsidRDefault="00824B25" w:rsidP="00824B25">
      <w:pPr>
        <w:numPr>
          <w:ilvl w:val="0"/>
          <w:numId w:val="22"/>
        </w:numPr>
        <w:rPr>
          <w:rFonts w:eastAsia="Aptos" w:cs="Arial"/>
          <w:szCs w:val="22"/>
          <w:lang w:eastAsia="en-GB"/>
        </w:rPr>
      </w:pPr>
      <w:r w:rsidRPr="00D0306F">
        <w:rPr>
          <w:rFonts w:eastAsia="Aptos" w:cs="Arial"/>
          <w:szCs w:val="22"/>
          <w:lang w:eastAsia="en-GB"/>
        </w:rPr>
        <w:t>Pharmacists often described as approachable, trusted, and supportive</w:t>
      </w:r>
    </w:p>
    <w:p w14:paraId="55F3C857" w14:textId="77777777" w:rsidR="00824B25" w:rsidRPr="00D0306F" w:rsidRDefault="00824B25" w:rsidP="00824B25">
      <w:pPr>
        <w:numPr>
          <w:ilvl w:val="0"/>
          <w:numId w:val="22"/>
        </w:numPr>
        <w:rPr>
          <w:rFonts w:eastAsia="Aptos" w:cs="Arial"/>
          <w:szCs w:val="22"/>
          <w:lang w:eastAsia="en-GB"/>
        </w:rPr>
      </w:pPr>
      <w:r w:rsidRPr="00D0306F">
        <w:rPr>
          <w:rFonts w:eastAsia="Aptos" w:cs="Arial"/>
          <w:szCs w:val="22"/>
          <w:lang w:eastAsia="en-GB"/>
        </w:rPr>
        <w:t>Some patients prefer pharmacists over GPs for advice and minor conditions</w:t>
      </w:r>
    </w:p>
    <w:p w14:paraId="04599424" w14:textId="77777777" w:rsidR="00824B25" w:rsidRPr="00D0306F" w:rsidRDefault="00824B25" w:rsidP="00824B25">
      <w:pPr>
        <w:numPr>
          <w:ilvl w:val="0"/>
          <w:numId w:val="22"/>
        </w:numPr>
        <w:rPr>
          <w:rFonts w:eastAsia="Aptos" w:cs="Arial"/>
          <w:szCs w:val="22"/>
          <w:lang w:eastAsia="en-GB"/>
        </w:rPr>
      </w:pPr>
      <w:r w:rsidRPr="00D0306F">
        <w:rPr>
          <w:rFonts w:eastAsia="Aptos" w:cs="Arial"/>
          <w:szCs w:val="22"/>
          <w:lang w:eastAsia="en-GB"/>
        </w:rPr>
        <w:t>Strong appreciation for staff going “above and beyond”</w:t>
      </w:r>
    </w:p>
    <w:p w14:paraId="7B94D715" w14:textId="77777777" w:rsidR="00824B25" w:rsidRPr="00D0306F" w:rsidRDefault="00824B25" w:rsidP="00824B25">
      <w:pPr>
        <w:rPr>
          <w:rFonts w:eastAsia="Aptos" w:cs="Arial"/>
          <w:szCs w:val="22"/>
          <w:lang w:eastAsia="en-GB"/>
        </w:rPr>
      </w:pPr>
    </w:p>
    <w:p w14:paraId="180C2EB4" w14:textId="77777777" w:rsidR="00824B25" w:rsidRPr="00D0306F" w:rsidRDefault="00824B25" w:rsidP="00824B25">
      <w:pPr>
        <w:rPr>
          <w:rFonts w:eastAsia="Aptos" w:cs="Arial"/>
          <w:szCs w:val="22"/>
          <w:lang w:eastAsia="en-GB"/>
        </w:rPr>
      </w:pPr>
      <w:r w:rsidRPr="00D0306F">
        <w:rPr>
          <w:rFonts w:eastAsia="Aptos" w:cs="Arial"/>
          <w:szCs w:val="22"/>
          <w:lang w:eastAsia="en-GB"/>
        </w:rPr>
        <w:t>A common theme was long waiting times and queues, with a perception that staff are having to deal with a high workload.</w:t>
      </w:r>
    </w:p>
    <w:p w14:paraId="26685C6D" w14:textId="77777777" w:rsidR="00824B25" w:rsidRPr="00D0306F" w:rsidRDefault="00824B25" w:rsidP="00824B25">
      <w:pPr>
        <w:rPr>
          <w:rFonts w:eastAsia="Aptos" w:cs="Arial"/>
          <w:szCs w:val="22"/>
          <w:lang w:eastAsia="en-GB"/>
        </w:rPr>
      </w:pPr>
    </w:p>
    <w:p w14:paraId="0CAE7B72" w14:textId="77777777" w:rsidR="00824B25" w:rsidRPr="00D0306F" w:rsidRDefault="00824B25" w:rsidP="00824B25">
      <w:pPr>
        <w:rPr>
          <w:rFonts w:eastAsia="Aptos" w:cs="Arial"/>
          <w:szCs w:val="22"/>
          <w:lang w:eastAsia="en-GB"/>
        </w:rPr>
      </w:pPr>
      <w:r w:rsidRPr="00D0306F">
        <w:rPr>
          <w:rFonts w:eastAsia="Aptos" w:cs="Arial"/>
          <w:szCs w:val="22"/>
          <w:lang w:eastAsia="en-GB"/>
        </w:rPr>
        <w:t>Medication shortages was mentioned, leading to repeat visits in order to collect all dispensed items.</w:t>
      </w:r>
    </w:p>
    <w:p w14:paraId="1CC28095" w14:textId="77777777" w:rsidR="00824B25" w:rsidRPr="00D0306F" w:rsidRDefault="00824B25" w:rsidP="00824B25">
      <w:pPr>
        <w:rPr>
          <w:rFonts w:eastAsia="Aptos" w:cs="Arial"/>
          <w:szCs w:val="22"/>
          <w:lang w:eastAsia="en-GB"/>
        </w:rPr>
      </w:pPr>
    </w:p>
    <w:p w14:paraId="6CCBA87F" w14:textId="77777777" w:rsidR="00824B25" w:rsidRPr="00D0306F" w:rsidRDefault="00824B25" w:rsidP="00824B25">
      <w:pPr>
        <w:rPr>
          <w:rFonts w:eastAsia="Aptos" w:cs="Arial"/>
          <w:szCs w:val="22"/>
          <w:lang w:eastAsia="en-GB"/>
        </w:rPr>
      </w:pPr>
      <w:r w:rsidRPr="00D0306F">
        <w:rPr>
          <w:rFonts w:eastAsia="Aptos" w:cs="Arial"/>
          <w:szCs w:val="22"/>
          <w:lang w:eastAsia="en-GB"/>
        </w:rPr>
        <w:t>Some people commented on the prescription process and interaction between pharmacies and the GP practices, with poor communication leading to patients being stuck in the middle and having to chase prescriptions.</w:t>
      </w:r>
    </w:p>
    <w:p w14:paraId="5C0BFE34" w14:textId="77777777" w:rsidR="00824B25" w:rsidRPr="00D0306F" w:rsidRDefault="00824B25" w:rsidP="00824B25">
      <w:pPr>
        <w:rPr>
          <w:rFonts w:eastAsia="Aptos" w:cs="Arial"/>
          <w:szCs w:val="22"/>
          <w:lang w:eastAsia="en-GB"/>
        </w:rPr>
      </w:pPr>
    </w:p>
    <w:p w14:paraId="53240AA6" w14:textId="77777777" w:rsidR="00824B25" w:rsidRPr="00D0306F" w:rsidRDefault="00824B25" w:rsidP="00824B25">
      <w:pPr>
        <w:rPr>
          <w:rFonts w:eastAsia="Aptos" w:cs="Arial"/>
          <w:szCs w:val="22"/>
          <w:lang w:eastAsia="en-GB"/>
        </w:rPr>
      </w:pPr>
      <w:r w:rsidRPr="00D0306F">
        <w:rPr>
          <w:rFonts w:eastAsia="Aptos" w:cs="Arial"/>
          <w:szCs w:val="22"/>
          <w:lang w:eastAsia="en-GB"/>
        </w:rPr>
        <w:t>Variability in experience was noted, with some pharmacies described as excellent, but others as poor or disorganised. Differences were often linked to staffing levels, organisation and process, and management of the pharmacies.</w:t>
      </w:r>
    </w:p>
    <w:p w14:paraId="28B96284" w14:textId="77777777" w:rsidR="00824B25" w:rsidRPr="00D0306F" w:rsidRDefault="00824B25" w:rsidP="00824B25">
      <w:pPr>
        <w:rPr>
          <w:rFonts w:eastAsia="Aptos" w:cs="Arial"/>
          <w:szCs w:val="22"/>
          <w:lang w:eastAsia="en-GB"/>
        </w:rPr>
      </w:pPr>
    </w:p>
    <w:p w14:paraId="6B051E1E" w14:textId="77777777" w:rsidR="00824B25" w:rsidRPr="00D0306F" w:rsidRDefault="00824B25" w:rsidP="00824B25">
      <w:pPr>
        <w:rPr>
          <w:rFonts w:eastAsia="Aptos" w:cs="Arial"/>
          <w:szCs w:val="22"/>
          <w:lang w:eastAsia="en-GB"/>
        </w:rPr>
      </w:pPr>
      <w:r w:rsidRPr="00D0306F">
        <w:rPr>
          <w:rFonts w:eastAsia="Aptos" w:cs="Arial"/>
          <w:szCs w:val="22"/>
          <w:lang w:eastAsia="en-GB"/>
        </w:rPr>
        <w:t xml:space="preserve">There was positive feedback on being notified via text when medication is ready to be collected, online ordering of repeat prescriptions, and the ability to collect </w:t>
      </w:r>
      <w:r w:rsidRPr="00D0306F">
        <w:rPr>
          <w:rFonts w:eastAsia="Aptos" w:cs="Arial"/>
          <w:szCs w:val="22"/>
          <w:lang w:eastAsia="en-GB"/>
        </w:rPr>
        <w:lastRenderedPageBreak/>
        <w:t>medication from the automated collection points at a time that is convenient. However, limited opening hours at the weekend, parking difficulties and long queues were also mentioned.</w:t>
      </w:r>
    </w:p>
    <w:p w14:paraId="3E615FA2" w14:textId="77777777" w:rsidR="00824B25" w:rsidRPr="00D0306F" w:rsidRDefault="00824B25" w:rsidP="00824B25">
      <w:pPr>
        <w:rPr>
          <w:rFonts w:eastAsia="Aptos" w:cs="Arial"/>
          <w:szCs w:val="22"/>
          <w:lang w:eastAsia="en-GB"/>
        </w:rPr>
      </w:pPr>
    </w:p>
    <w:p w14:paraId="389E91B5" w14:textId="77777777" w:rsidR="00824B25" w:rsidRPr="00D0306F" w:rsidRDefault="00824B25" w:rsidP="00824B25">
      <w:pPr>
        <w:rPr>
          <w:rFonts w:eastAsia="Aptos" w:cs="Arial"/>
          <w:szCs w:val="22"/>
          <w:lang w:eastAsia="en-GB"/>
        </w:rPr>
      </w:pPr>
      <w:r w:rsidRPr="00D0306F">
        <w:rPr>
          <w:rFonts w:eastAsia="Aptos" w:cs="Arial"/>
          <w:szCs w:val="22"/>
          <w:lang w:eastAsia="en-GB"/>
        </w:rPr>
        <w:t>Whilst may see pharmacies as an alternative to making an appointment with a GP, and they are effective in managing common ailments, access to pharmacists and inconsistent availability of service was identified as an issue.</w:t>
      </w:r>
    </w:p>
    <w:p w14:paraId="3648AE03" w14:textId="77777777" w:rsidR="00824B25" w:rsidRPr="00D0306F" w:rsidRDefault="00824B25" w:rsidP="00824B25">
      <w:pPr>
        <w:rPr>
          <w:rFonts w:eastAsia="Aptos" w:cs="Arial"/>
          <w:szCs w:val="22"/>
          <w:lang w:eastAsia="en-GB"/>
        </w:rPr>
      </w:pPr>
    </w:p>
    <w:p w14:paraId="1D487A17" w14:textId="77777777" w:rsidR="00824B25" w:rsidRPr="00D0306F" w:rsidRDefault="00824B25" w:rsidP="00824B25">
      <w:pPr>
        <w:rPr>
          <w:rFonts w:eastAsia="Aptos" w:cs="Arial"/>
          <w:b/>
          <w:bCs/>
          <w:szCs w:val="22"/>
          <w:lang w:eastAsia="en-GB"/>
        </w:rPr>
      </w:pPr>
      <w:r w:rsidRPr="00D0306F">
        <w:rPr>
          <w:rFonts w:eastAsia="Aptos" w:cs="Arial"/>
          <w:b/>
          <w:bCs/>
          <w:szCs w:val="22"/>
          <w:lang w:eastAsia="en-GB"/>
        </w:rPr>
        <w:t>1.5.4 Contractor engagement</w:t>
      </w:r>
    </w:p>
    <w:p w14:paraId="00808566" w14:textId="77777777" w:rsidR="00824B25" w:rsidRPr="00D0306F" w:rsidRDefault="00824B25" w:rsidP="00824B25">
      <w:pPr>
        <w:rPr>
          <w:rFonts w:eastAsia="Aptos" w:cs="Arial"/>
          <w:szCs w:val="22"/>
          <w:lang w:eastAsia="en-GB"/>
        </w:rPr>
      </w:pPr>
    </w:p>
    <w:p w14:paraId="5D8A40A4" w14:textId="77777777" w:rsidR="00824B25" w:rsidRPr="00D0306F" w:rsidRDefault="00824B25" w:rsidP="00824B25">
      <w:pPr>
        <w:rPr>
          <w:rFonts w:eastAsia="Aptos" w:cs="Arial"/>
          <w:szCs w:val="22"/>
          <w:lang w:eastAsia="en-GB"/>
        </w:rPr>
      </w:pPr>
      <w:r w:rsidRPr="00D0306F">
        <w:rPr>
          <w:rFonts w:eastAsia="Aptos" w:cs="Arial"/>
          <w:szCs w:val="22"/>
          <w:lang w:val="en-US" w:eastAsia="en-GB"/>
        </w:rPr>
        <w:t xml:space="preserve">A questionnaire for pharmacy contractors was </w:t>
      </w:r>
      <w:r w:rsidRPr="00D0306F">
        <w:rPr>
          <w:rFonts w:eastAsia="Aptos" w:cs="Arial"/>
          <w:szCs w:val="22"/>
          <w:lang w:eastAsia="en-GB"/>
        </w:rPr>
        <w:t>undertaken, and the approach was taken to only ask contractors for information that could not be sourced elsewhere.</w:t>
      </w:r>
    </w:p>
    <w:p w14:paraId="1BDEC253" w14:textId="77777777" w:rsidR="00824B25" w:rsidRPr="00D0306F" w:rsidRDefault="00824B25" w:rsidP="00824B25">
      <w:pPr>
        <w:rPr>
          <w:rFonts w:eastAsia="Aptos" w:cs="Arial"/>
          <w:szCs w:val="22"/>
          <w:lang w:eastAsia="en-GB"/>
        </w:rPr>
      </w:pPr>
    </w:p>
    <w:p w14:paraId="4BD1BAED" w14:textId="77777777" w:rsidR="00824B25" w:rsidRPr="00D0306F" w:rsidRDefault="00824B25" w:rsidP="00824B25">
      <w:pPr>
        <w:rPr>
          <w:rFonts w:eastAsia="Aptos" w:cs="Arial"/>
          <w:szCs w:val="22"/>
          <w:lang w:eastAsia="en-GB"/>
        </w:rPr>
      </w:pPr>
      <w:r w:rsidRPr="00D0306F">
        <w:rPr>
          <w:rFonts w:eastAsia="Aptos" w:cs="Arial"/>
          <w:szCs w:val="22"/>
          <w:lang w:eastAsia="en-GB"/>
        </w:rPr>
        <w:t>A copy of the questionnaire can be found in appendix I.</w:t>
      </w:r>
    </w:p>
    <w:p w14:paraId="47FCE898" w14:textId="77777777" w:rsidR="00824B25" w:rsidRPr="00D0306F" w:rsidRDefault="00824B25" w:rsidP="00824B25">
      <w:pPr>
        <w:rPr>
          <w:rFonts w:eastAsia="Aptos" w:cs="Arial"/>
          <w:szCs w:val="22"/>
          <w:lang w:eastAsia="en-GB"/>
        </w:rPr>
      </w:pPr>
    </w:p>
    <w:p w14:paraId="4C73E888" w14:textId="77777777" w:rsidR="00824B25" w:rsidRPr="00D0306F" w:rsidRDefault="00824B25" w:rsidP="00824B25">
      <w:pPr>
        <w:rPr>
          <w:rFonts w:eastAsia="Aptos" w:cs="Arial"/>
          <w:szCs w:val="22"/>
          <w:lang w:eastAsia="en-GB"/>
        </w:rPr>
      </w:pPr>
      <w:r w:rsidRPr="00D0306F">
        <w:rPr>
          <w:rFonts w:eastAsia="Aptos" w:cs="Arial"/>
          <w:szCs w:val="22"/>
          <w:lang w:eastAsia="en-GB"/>
        </w:rPr>
        <w:t>The questionnaire was open from 10 March to Tuesday 7 April 2026 and the results are summarised below. 84 pharmacies in the health board’s area responded, a response rate of 93%. The health board is grateful for the support of Community Pharmacy Wales in encouraging contractors to complete the questionnaire.</w:t>
      </w:r>
    </w:p>
    <w:p w14:paraId="15AC9707" w14:textId="77777777" w:rsidR="00824B25" w:rsidRPr="00D0306F" w:rsidRDefault="00824B25" w:rsidP="00824B25">
      <w:pPr>
        <w:rPr>
          <w:rFonts w:eastAsia="Aptos" w:cs="Arial"/>
          <w:szCs w:val="22"/>
          <w:lang w:eastAsia="en-GB"/>
        </w:rPr>
      </w:pPr>
    </w:p>
    <w:p w14:paraId="192AB76B" w14:textId="77777777" w:rsidR="00824B25" w:rsidRPr="00D0306F" w:rsidRDefault="00824B25" w:rsidP="00824B25">
      <w:pPr>
        <w:rPr>
          <w:rFonts w:eastAsia="Aptos" w:cs="Arial"/>
          <w:szCs w:val="22"/>
          <w:lang w:eastAsia="en-GB"/>
        </w:rPr>
      </w:pPr>
      <w:r w:rsidRPr="00D0306F">
        <w:rPr>
          <w:rFonts w:eastAsia="Aptos" w:cs="Arial"/>
          <w:szCs w:val="22"/>
          <w:lang w:eastAsia="en-GB"/>
        </w:rPr>
        <w:t>The key highlights from the pharmacy contractor questionnaire are detailed below:</w:t>
      </w:r>
    </w:p>
    <w:p w14:paraId="16CB4F7A" w14:textId="77777777" w:rsidR="00824B25" w:rsidRPr="00D0306F" w:rsidRDefault="00824B25" w:rsidP="00824B25">
      <w:pPr>
        <w:rPr>
          <w:rFonts w:eastAsia="Aptos" w:cs="Arial"/>
          <w:szCs w:val="22"/>
          <w:lang w:eastAsia="en-GB"/>
        </w:rPr>
      </w:pPr>
    </w:p>
    <w:p w14:paraId="10B4B95D" w14:textId="77777777" w:rsidR="00824B25" w:rsidRPr="00D0306F" w:rsidRDefault="00824B25" w:rsidP="00824B25">
      <w:pPr>
        <w:numPr>
          <w:ilvl w:val="0"/>
          <w:numId w:val="23"/>
        </w:numPr>
        <w:rPr>
          <w:rFonts w:eastAsia="Aptos" w:cs="Arial"/>
          <w:szCs w:val="22"/>
          <w:lang w:eastAsia="en-GB"/>
        </w:rPr>
      </w:pPr>
      <w:r w:rsidRPr="00D0306F">
        <w:rPr>
          <w:rFonts w:eastAsia="Aptos" w:cs="Arial"/>
          <w:szCs w:val="22"/>
          <w:lang w:eastAsia="en-GB"/>
        </w:rPr>
        <w:t>75 of the 84 pharmacies confirmed that the pharmacy premises are accessible by wheelchair.</w:t>
      </w:r>
    </w:p>
    <w:p w14:paraId="0037E78D" w14:textId="77777777" w:rsidR="00824B25" w:rsidRPr="00D0306F" w:rsidRDefault="00824B25" w:rsidP="00824B25">
      <w:pPr>
        <w:numPr>
          <w:ilvl w:val="0"/>
          <w:numId w:val="23"/>
        </w:numPr>
        <w:rPr>
          <w:rFonts w:eastAsia="Aptos" w:cs="Arial"/>
          <w:szCs w:val="22"/>
          <w:lang w:eastAsia="en-GB"/>
        </w:rPr>
      </w:pPr>
      <w:r w:rsidRPr="00D0306F">
        <w:rPr>
          <w:rFonts w:eastAsia="Aptos" w:cs="Arial"/>
          <w:szCs w:val="22"/>
          <w:lang w:eastAsia="en-GB"/>
        </w:rPr>
        <w:t>73 pharmacies confirmed the consultation room had wheelchair access.</w:t>
      </w:r>
    </w:p>
    <w:p w14:paraId="7BBAB9A0" w14:textId="77777777" w:rsidR="00824B25" w:rsidRDefault="00824B25" w:rsidP="00824B25">
      <w:pPr>
        <w:rPr>
          <w:rFonts w:eastAsia="Aptos" w:cs="Arial"/>
          <w:szCs w:val="22"/>
          <w:lang w:eastAsia="en-GB"/>
        </w:rPr>
      </w:pPr>
    </w:p>
    <w:p w14:paraId="08C97137" w14:textId="2B3EA457" w:rsidR="007B2728" w:rsidRPr="007B2728" w:rsidRDefault="007B2728" w:rsidP="007B2728">
      <w:pPr>
        <w:rPr>
          <w:rFonts w:eastAsia="Aptos" w:cs="Arial"/>
          <w:szCs w:val="22"/>
          <w:lang w:eastAsia="en-GB"/>
        </w:rPr>
      </w:pPr>
      <w:bookmarkStart w:id="7" w:name="_Hlk234398046"/>
      <w:r w:rsidRPr="007B2728">
        <w:rPr>
          <w:rFonts w:eastAsia="Aptos" w:cs="Arial"/>
          <w:szCs w:val="22"/>
          <w:lang w:eastAsia="en-GB"/>
        </w:rPr>
        <w:t>Although nine pharmacies reported that their premises are not fully wheelchair accessible, these pharmacies are predominantly located in urban areas where alternative wheelchair-accessible pharmacies are available in close proximity. No areas have been identified where wheelchair users would be unable to reasonably access pharmaceutical services</w:t>
      </w:r>
      <w:r w:rsidR="00BF6EE9">
        <w:rPr>
          <w:rFonts w:eastAsia="Aptos" w:cs="Arial"/>
          <w:szCs w:val="22"/>
          <w:lang w:eastAsia="en-GB"/>
        </w:rPr>
        <w:t>.</w:t>
      </w:r>
    </w:p>
    <w:bookmarkEnd w:id="7"/>
    <w:p w14:paraId="6C676812" w14:textId="77777777" w:rsidR="006665AD" w:rsidRPr="00D0306F" w:rsidRDefault="006665AD" w:rsidP="00824B25">
      <w:pPr>
        <w:rPr>
          <w:rFonts w:eastAsia="Aptos" w:cs="Arial"/>
          <w:szCs w:val="22"/>
          <w:lang w:eastAsia="en-GB"/>
        </w:rPr>
      </w:pPr>
    </w:p>
    <w:p w14:paraId="4570322D" w14:textId="77777777" w:rsidR="00824B25" w:rsidRPr="00D0306F" w:rsidRDefault="00824B25" w:rsidP="00824B25">
      <w:pPr>
        <w:rPr>
          <w:rFonts w:eastAsia="Aptos" w:cs="Arial"/>
          <w:szCs w:val="22"/>
          <w:lang w:eastAsia="en-GB"/>
        </w:rPr>
      </w:pPr>
      <w:r w:rsidRPr="00D0306F">
        <w:rPr>
          <w:rFonts w:eastAsia="Aptos" w:cs="Arial"/>
          <w:szCs w:val="22"/>
          <w:lang w:eastAsia="en-GB"/>
        </w:rPr>
        <w:t>Since April 2005, consultation rooms have become increasingly common in pharmacies as they are a pre-requisite for providing some services. 83 pharmacies confirmed their consultation area meets the required standards:</w:t>
      </w:r>
    </w:p>
    <w:p w14:paraId="7C41C4BB" w14:textId="77777777" w:rsidR="00824B25" w:rsidRPr="00D0306F" w:rsidRDefault="00824B25" w:rsidP="00824B25">
      <w:pPr>
        <w:rPr>
          <w:rFonts w:eastAsia="Aptos" w:cs="Arial"/>
          <w:szCs w:val="22"/>
          <w:lang w:eastAsia="en-GB"/>
        </w:rPr>
      </w:pPr>
    </w:p>
    <w:p w14:paraId="022538B7" w14:textId="77777777" w:rsidR="00824B25" w:rsidRPr="00D0306F" w:rsidRDefault="00824B25" w:rsidP="00824B25">
      <w:pPr>
        <w:numPr>
          <w:ilvl w:val="0"/>
          <w:numId w:val="24"/>
        </w:numPr>
        <w:rPr>
          <w:rFonts w:eastAsia="Aptos" w:cs="Arial"/>
          <w:szCs w:val="22"/>
          <w:lang w:eastAsia="en-GB"/>
        </w:rPr>
      </w:pPr>
      <w:r w:rsidRPr="00D0306F">
        <w:rPr>
          <w:rFonts w:eastAsia="Aptos" w:cs="Arial"/>
          <w:szCs w:val="22"/>
          <w:lang w:eastAsia="en-GB"/>
        </w:rPr>
        <w:t>Is a closed room,</w:t>
      </w:r>
    </w:p>
    <w:p w14:paraId="68FD84D7" w14:textId="77777777" w:rsidR="00824B25" w:rsidRPr="00D0306F" w:rsidRDefault="00824B25" w:rsidP="00824B25">
      <w:pPr>
        <w:numPr>
          <w:ilvl w:val="0"/>
          <w:numId w:val="24"/>
        </w:numPr>
        <w:rPr>
          <w:rFonts w:eastAsia="Aptos" w:cs="Arial"/>
          <w:szCs w:val="22"/>
          <w:lang w:eastAsia="en-GB"/>
        </w:rPr>
      </w:pPr>
      <w:r w:rsidRPr="00D0306F">
        <w:rPr>
          <w:rFonts w:eastAsia="Aptos" w:cs="Arial"/>
          <w:szCs w:val="22"/>
          <w:lang w:eastAsia="en-GB"/>
        </w:rPr>
        <w:t xml:space="preserve">Is a designated area where both the patient and pharmacist can sit down together, </w:t>
      </w:r>
    </w:p>
    <w:p w14:paraId="60DE2D6F" w14:textId="77777777" w:rsidR="00824B25" w:rsidRPr="00D0306F" w:rsidRDefault="00824B25" w:rsidP="00824B25">
      <w:pPr>
        <w:numPr>
          <w:ilvl w:val="0"/>
          <w:numId w:val="24"/>
        </w:numPr>
        <w:rPr>
          <w:rFonts w:eastAsia="Aptos" w:cs="Arial"/>
          <w:szCs w:val="22"/>
          <w:lang w:eastAsia="en-GB"/>
        </w:rPr>
      </w:pPr>
      <w:r w:rsidRPr="00D0306F">
        <w:rPr>
          <w:rFonts w:eastAsia="Aptos" w:cs="Arial"/>
          <w:szCs w:val="22"/>
          <w:lang w:eastAsia="en-GB"/>
        </w:rPr>
        <w:t>The patient and pharmacist are able to talk at normal volumes without being overheard, and</w:t>
      </w:r>
    </w:p>
    <w:p w14:paraId="4681D96F" w14:textId="77777777" w:rsidR="00824B25" w:rsidRPr="00D0306F" w:rsidRDefault="00824B25" w:rsidP="00824B25">
      <w:pPr>
        <w:numPr>
          <w:ilvl w:val="0"/>
          <w:numId w:val="24"/>
        </w:numPr>
        <w:rPr>
          <w:rFonts w:eastAsia="Aptos" w:cs="Arial"/>
          <w:szCs w:val="22"/>
          <w:lang w:eastAsia="en-GB"/>
        </w:rPr>
      </w:pPr>
      <w:r w:rsidRPr="00D0306F">
        <w:rPr>
          <w:rFonts w:eastAsia="Aptos" w:cs="Arial"/>
          <w:szCs w:val="22"/>
          <w:lang w:eastAsia="en-GB"/>
        </w:rPr>
        <w:t>Is clearly designated as an area for confidential consultations, distinct from the general public areas of the pharmacy.</w:t>
      </w:r>
    </w:p>
    <w:p w14:paraId="7E7F568E" w14:textId="77777777" w:rsidR="00824B25" w:rsidRPr="00D0306F" w:rsidRDefault="00824B25" w:rsidP="00824B25">
      <w:pPr>
        <w:rPr>
          <w:rFonts w:eastAsia="Aptos" w:cs="Arial"/>
          <w:szCs w:val="22"/>
          <w:lang w:eastAsia="en-GB"/>
        </w:rPr>
      </w:pPr>
    </w:p>
    <w:p w14:paraId="7628809D" w14:textId="77777777" w:rsidR="00824B25" w:rsidRPr="00D0306F" w:rsidRDefault="00824B25" w:rsidP="00824B25">
      <w:pPr>
        <w:rPr>
          <w:rFonts w:eastAsia="Aptos" w:cs="Arial"/>
          <w:szCs w:val="22"/>
          <w:lang w:eastAsia="en-GB"/>
        </w:rPr>
      </w:pPr>
      <w:r w:rsidRPr="00D0306F">
        <w:rPr>
          <w:rFonts w:eastAsia="Aptos" w:cs="Arial"/>
          <w:szCs w:val="22"/>
          <w:lang w:eastAsia="en-GB"/>
        </w:rPr>
        <w:t>One pharmacy failed to confirm whether its consultation area meets the final standard; it does meet the other three.</w:t>
      </w:r>
    </w:p>
    <w:p w14:paraId="0ADB1122" w14:textId="77777777" w:rsidR="00824B25" w:rsidRPr="00D0306F" w:rsidRDefault="00824B25" w:rsidP="00824B25">
      <w:pPr>
        <w:rPr>
          <w:rFonts w:eastAsia="Aptos" w:cs="Arial"/>
          <w:szCs w:val="22"/>
          <w:lang w:eastAsia="en-GB"/>
        </w:rPr>
      </w:pPr>
    </w:p>
    <w:p w14:paraId="112CEFD7" w14:textId="77777777" w:rsidR="00824B25" w:rsidRPr="00D0306F" w:rsidRDefault="00824B25" w:rsidP="00824B25">
      <w:pPr>
        <w:rPr>
          <w:rFonts w:eastAsia="Aptos" w:cs="Arial"/>
          <w:szCs w:val="22"/>
          <w:lang w:eastAsia="en-GB"/>
        </w:rPr>
      </w:pPr>
      <w:r w:rsidRPr="00D0306F">
        <w:rPr>
          <w:rFonts w:eastAsia="Aptos" w:cs="Arial"/>
          <w:szCs w:val="22"/>
          <w:lang w:eastAsia="en-GB"/>
        </w:rPr>
        <w:t>37 pharmacies have Welsh speakers, and 25 pharmacies confirmed that languages in addition to English are spoken.</w:t>
      </w:r>
    </w:p>
    <w:p w14:paraId="03F9BE36" w14:textId="77777777" w:rsidR="00824B25" w:rsidRPr="00D0306F" w:rsidRDefault="00824B25" w:rsidP="00824B25">
      <w:pPr>
        <w:rPr>
          <w:rFonts w:eastAsia="Aptos" w:cs="Arial"/>
          <w:szCs w:val="22"/>
          <w:lang w:eastAsia="en-GB"/>
        </w:rPr>
      </w:pPr>
    </w:p>
    <w:p w14:paraId="1F02CC73" w14:textId="77777777" w:rsidR="00824B25" w:rsidRPr="00D0306F" w:rsidRDefault="00824B25" w:rsidP="00824B25">
      <w:pPr>
        <w:numPr>
          <w:ilvl w:val="0"/>
          <w:numId w:val="25"/>
        </w:numPr>
        <w:rPr>
          <w:rFonts w:eastAsia="Aptos" w:cs="Arial"/>
          <w:szCs w:val="22"/>
          <w:lang w:eastAsia="en-GB"/>
        </w:rPr>
      </w:pPr>
      <w:r w:rsidRPr="00D0306F">
        <w:rPr>
          <w:rFonts w:eastAsia="Aptos" w:cs="Arial"/>
          <w:szCs w:val="22"/>
          <w:lang w:eastAsia="en-GB"/>
        </w:rPr>
        <w:lastRenderedPageBreak/>
        <w:t>Arabic (five pharmacies)</w:t>
      </w:r>
    </w:p>
    <w:p w14:paraId="496A1F69" w14:textId="77777777" w:rsidR="00824B25" w:rsidRPr="00D0306F" w:rsidRDefault="00824B25" w:rsidP="00824B25">
      <w:pPr>
        <w:numPr>
          <w:ilvl w:val="0"/>
          <w:numId w:val="25"/>
        </w:numPr>
        <w:rPr>
          <w:rFonts w:eastAsia="Aptos" w:cs="Arial"/>
          <w:szCs w:val="22"/>
          <w:lang w:eastAsia="en-GB"/>
        </w:rPr>
      </w:pPr>
      <w:r w:rsidRPr="00D0306F">
        <w:rPr>
          <w:rFonts w:eastAsia="Aptos" w:cs="Arial"/>
          <w:szCs w:val="22"/>
          <w:lang w:eastAsia="en-GB"/>
        </w:rPr>
        <w:t>Punjabi (four pharmacies)</w:t>
      </w:r>
    </w:p>
    <w:p w14:paraId="0743CB80" w14:textId="77777777" w:rsidR="00824B25" w:rsidRPr="00D0306F" w:rsidRDefault="00824B25" w:rsidP="00824B25">
      <w:pPr>
        <w:numPr>
          <w:ilvl w:val="0"/>
          <w:numId w:val="25"/>
        </w:numPr>
        <w:rPr>
          <w:rFonts w:eastAsia="Aptos" w:cs="Arial"/>
          <w:szCs w:val="22"/>
          <w:lang w:eastAsia="en-GB"/>
        </w:rPr>
      </w:pPr>
      <w:r w:rsidRPr="00D0306F">
        <w:rPr>
          <w:rFonts w:eastAsia="Aptos" w:cs="Arial"/>
          <w:szCs w:val="22"/>
          <w:lang w:eastAsia="en-GB"/>
        </w:rPr>
        <w:t>Urdu (four pharmacies)</w:t>
      </w:r>
    </w:p>
    <w:p w14:paraId="4EE2A47F" w14:textId="77777777" w:rsidR="00824B25" w:rsidRPr="00D0306F" w:rsidRDefault="00824B25" w:rsidP="00824B25">
      <w:pPr>
        <w:numPr>
          <w:ilvl w:val="0"/>
          <w:numId w:val="25"/>
        </w:numPr>
        <w:rPr>
          <w:rFonts w:eastAsia="Aptos" w:cs="Arial"/>
          <w:szCs w:val="22"/>
          <w:lang w:eastAsia="en-GB"/>
        </w:rPr>
      </w:pPr>
      <w:r w:rsidRPr="00D0306F">
        <w:rPr>
          <w:rFonts w:eastAsia="Aptos" w:cs="Arial"/>
          <w:szCs w:val="22"/>
          <w:lang w:eastAsia="en-GB"/>
        </w:rPr>
        <w:t>Hindi and Romanian (three pharmacies each)</w:t>
      </w:r>
    </w:p>
    <w:p w14:paraId="67CD8269" w14:textId="77777777" w:rsidR="00824B25" w:rsidRPr="00D0306F" w:rsidRDefault="00824B25" w:rsidP="00824B25">
      <w:pPr>
        <w:numPr>
          <w:ilvl w:val="0"/>
          <w:numId w:val="25"/>
        </w:numPr>
        <w:rPr>
          <w:rFonts w:eastAsia="Aptos" w:cs="Arial"/>
          <w:szCs w:val="22"/>
          <w:lang w:eastAsia="en-GB"/>
        </w:rPr>
      </w:pPr>
      <w:r w:rsidRPr="00D0306F">
        <w:rPr>
          <w:rFonts w:eastAsia="Aptos" w:cs="Arial"/>
          <w:szCs w:val="22"/>
          <w:lang w:eastAsia="en-GB"/>
        </w:rPr>
        <w:t>Spanish, Portuguese, Bengali, Ukrainian, and Russian (two pharmacies each)</w:t>
      </w:r>
    </w:p>
    <w:p w14:paraId="5210F406" w14:textId="77777777" w:rsidR="00824B25" w:rsidRPr="00D0306F" w:rsidRDefault="00824B25" w:rsidP="00824B25">
      <w:pPr>
        <w:numPr>
          <w:ilvl w:val="0"/>
          <w:numId w:val="25"/>
        </w:numPr>
        <w:rPr>
          <w:rFonts w:eastAsia="Aptos" w:cs="Arial"/>
          <w:szCs w:val="22"/>
          <w:lang w:eastAsia="en-GB"/>
        </w:rPr>
      </w:pPr>
      <w:r w:rsidRPr="00D0306F">
        <w:rPr>
          <w:rFonts w:eastAsia="Aptos" w:cs="Arial"/>
          <w:szCs w:val="22"/>
          <w:lang w:eastAsia="en-GB"/>
        </w:rPr>
        <w:t>Dutch, Korean, Kurdish, Nepali, Polish, Czech, Gujarati, Filipino, French, and German (one pharmacy each)</w:t>
      </w:r>
    </w:p>
    <w:p w14:paraId="6F6E6A03" w14:textId="77777777" w:rsidR="00824B25" w:rsidRPr="00D0306F" w:rsidRDefault="00824B25" w:rsidP="00824B25">
      <w:pPr>
        <w:rPr>
          <w:rFonts w:eastAsia="Aptos" w:cs="Arial"/>
          <w:szCs w:val="22"/>
          <w:lang w:eastAsia="en-GB"/>
        </w:rPr>
      </w:pPr>
    </w:p>
    <w:p w14:paraId="79E5DB24" w14:textId="77777777" w:rsidR="00824B25" w:rsidRPr="00D0306F" w:rsidRDefault="00824B25" w:rsidP="00824B25">
      <w:pPr>
        <w:rPr>
          <w:rFonts w:eastAsia="Aptos" w:cs="Arial"/>
          <w:szCs w:val="22"/>
          <w:lang w:eastAsia="en-GB"/>
        </w:rPr>
      </w:pPr>
      <w:r w:rsidRPr="00D0306F">
        <w:rPr>
          <w:rFonts w:eastAsia="Aptos" w:cs="Arial"/>
          <w:szCs w:val="22"/>
          <w:lang w:eastAsia="en-GB"/>
        </w:rPr>
        <w:t>It is noted that from the public engagement questionnaire, only 1.7% of respondents stated that Welsh is their preferred language when accessing pharmacy services.</w:t>
      </w:r>
    </w:p>
    <w:p w14:paraId="0214DD35" w14:textId="77777777" w:rsidR="00824B25" w:rsidRPr="00D0306F" w:rsidRDefault="00824B25" w:rsidP="00824B25">
      <w:pPr>
        <w:rPr>
          <w:rFonts w:eastAsia="Aptos" w:cs="Arial"/>
          <w:szCs w:val="22"/>
          <w:lang w:eastAsia="en-GB"/>
        </w:rPr>
      </w:pPr>
    </w:p>
    <w:p w14:paraId="7576E7BC" w14:textId="77777777" w:rsidR="00824B25" w:rsidRPr="00D0306F" w:rsidRDefault="00824B25" w:rsidP="00824B25">
      <w:pPr>
        <w:rPr>
          <w:rFonts w:eastAsia="Aptos" w:cs="Arial"/>
          <w:szCs w:val="22"/>
          <w:lang w:eastAsia="en-GB"/>
        </w:rPr>
      </w:pPr>
      <w:r w:rsidRPr="00D0306F">
        <w:rPr>
          <w:rFonts w:eastAsia="Aptos" w:cs="Arial"/>
          <w:szCs w:val="22"/>
          <w:lang w:eastAsia="en-GB"/>
        </w:rPr>
        <w:t>A range of appliances are available via the NHS, and these are sometimes supplied through pharmacies, where the pharmacy contractor has elected to provide this specific service. Items covered by the term ‘appliance’ includes dressings, incontinence appliances and stoma appliances.</w:t>
      </w:r>
    </w:p>
    <w:p w14:paraId="6DA4FAF4" w14:textId="77777777" w:rsidR="00824B25" w:rsidRPr="00D0306F" w:rsidRDefault="00824B25" w:rsidP="00824B25">
      <w:pPr>
        <w:rPr>
          <w:rFonts w:eastAsia="Aptos" w:cs="Arial"/>
          <w:szCs w:val="22"/>
          <w:lang w:eastAsia="en-GB"/>
        </w:rPr>
      </w:pPr>
    </w:p>
    <w:p w14:paraId="6D3C4385" w14:textId="77777777" w:rsidR="00824B25" w:rsidRPr="00D0306F" w:rsidRDefault="00824B25" w:rsidP="00824B25">
      <w:pPr>
        <w:numPr>
          <w:ilvl w:val="0"/>
          <w:numId w:val="26"/>
        </w:numPr>
        <w:rPr>
          <w:rFonts w:eastAsia="Aptos" w:cs="Arial"/>
          <w:szCs w:val="22"/>
          <w:lang w:eastAsia="en-GB"/>
        </w:rPr>
      </w:pPr>
      <w:r w:rsidRPr="00D0306F">
        <w:rPr>
          <w:rFonts w:eastAsia="Aptos" w:cs="Arial"/>
          <w:szCs w:val="22"/>
          <w:lang w:eastAsia="en-GB"/>
        </w:rPr>
        <w:t>76 pharmacies indicated they dispense all types of appliances</w:t>
      </w:r>
    </w:p>
    <w:p w14:paraId="3BF74046" w14:textId="77777777" w:rsidR="00824B25" w:rsidRPr="00D0306F" w:rsidRDefault="00824B25" w:rsidP="00824B25">
      <w:pPr>
        <w:numPr>
          <w:ilvl w:val="0"/>
          <w:numId w:val="26"/>
        </w:numPr>
        <w:rPr>
          <w:rFonts w:eastAsia="Aptos" w:cs="Arial"/>
          <w:szCs w:val="22"/>
          <w:lang w:eastAsia="en-GB"/>
        </w:rPr>
      </w:pPr>
      <w:r w:rsidRPr="00D0306F">
        <w:rPr>
          <w:rFonts w:eastAsia="Aptos" w:cs="Arial"/>
          <w:szCs w:val="22"/>
          <w:lang w:eastAsia="en-GB"/>
        </w:rPr>
        <w:t>Six pharmacies do not dispense appliances</w:t>
      </w:r>
    </w:p>
    <w:p w14:paraId="17699A1E" w14:textId="77777777" w:rsidR="00824B25" w:rsidRPr="00D0306F" w:rsidRDefault="00824B25" w:rsidP="00824B25">
      <w:pPr>
        <w:numPr>
          <w:ilvl w:val="0"/>
          <w:numId w:val="26"/>
        </w:numPr>
        <w:rPr>
          <w:rFonts w:eastAsia="Aptos" w:cs="Arial"/>
          <w:szCs w:val="22"/>
          <w:lang w:eastAsia="en-GB"/>
        </w:rPr>
      </w:pPr>
      <w:r w:rsidRPr="00D0306F">
        <w:rPr>
          <w:rFonts w:eastAsia="Aptos" w:cs="Arial"/>
          <w:szCs w:val="22"/>
          <w:lang w:eastAsia="en-GB"/>
        </w:rPr>
        <w:t>One pharmacy dispenses appliances, excluding incontinence appliances</w:t>
      </w:r>
    </w:p>
    <w:p w14:paraId="494A3ED3" w14:textId="77777777" w:rsidR="00824B25" w:rsidRPr="00D0306F" w:rsidRDefault="00824B25" w:rsidP="00824B25">
      <w:pPr>
        <w:numPr>
          <w:ilvl w:val="0"/>
          <w:numId w:val="26"/>
        </w:numPr>
        <w:rPr>
          <w:rFonts w:eastAsia="Aptos" w:cs="Arial"/>
          <w:szCs w:val="22"/>
          <w:lang w:eastAsia="en-GB"/>
        </w:rPr>
      </w:pPr>
      <w:r w:rsidRPr="00D0306F">
        <w:rPr>
          <w:rFonts w:eastAsia="Aptos" w:cs="Arial"/>
          <w:szCs w:val="22"/>
          <w:lang w:eastAsia="en-GB"/>
        </w:rPr>
        <w:t>One pharmacy dispenses dressings only</w:t>
      </w:r>
    </w:p>
    <w:p w14:paraId="4058FAE5" w14:textId="77777777" w:rsidR="00824B25" w:rsidRPr="00D0306F" w:rsidRDefault="00824B25" w:rsidP="00824B25">
      <w:pPr>
        <w:rPr>
          <w:rFonts w:eastAsia="Aptos" w:cs="Arial"/>
          <w:szCs w:val="22"/>
          <w:lang w:eastAsia="en-GB"/>
        </w:rPr>
      </w:pPr>
    </w:p>
    <w:p w14:paraId="309DFFA7" w14:textId="77777777" w:rsidR="00824B25" w:rsidRPr="00D0306F" w:rsidRDefault="00824B25" w:rsidP="00824B25">
      <w:pPr>
        <w:rPr>
          <w:rFonts w:eastAsia="Aptos" w:cs="Arial"/>
          <w:szCs w:val="22"/>
          <w:lang w:eastAsia="en-GB"/>
        </w:rPr>
      </w:pPr>
      <w:r w:rsidRPr="00D0306F">
        <w:rPr>
          <w:rFonts w:eastAsia="Aptos" w:cs="Arial"/>
          <w:szCs w:val="22"/>
          <w:lang w:eastAsia="en-GB"/>
        </w:rPr>
        <w:t>Although not commissioned services:</w:t>
      </w:r>
    </w:p>
    <w:p w14:paraId="3865890D" w14:textId="77777777" w:rsidR="00824B25" w:rsidRPr="00D0306F" w:rsidRDefault="00824B25" w:rsidP="00824B25">
      <w:pPr>
        <w:rPr>
          <w:rFonts w:eastAsia="Aptos" w:cs="Arial"/>
          <w:szCs w:val="22"/>
          <w:lang w:eastAsia="en-GB"/>
        </w:rPr>
      </w:pPr>
    </w:p>
    <w:p w14:paraId="2A479A54" w14:textId="77777777" w:rsidR="00824B25" w:rsidRPr="00D0306F" w:rsidRDefault="00824B25" w:rsidP="00824B25">
      <w:pPr>
        <w:numPr>
          <w:ilvl w:val="0"/>
          <w:numId w:val="27"/>
        </w:numPr>
        <w:rPr>
          <w:rFonts w:eastAsia="Aptos" w:cs="Arial"/>
          <w:szCs w:val="22"/>
          <w:lang w:eastAsia="en-GB"/>
        </w:rPr>
      </w:pPr>
      <w:r w:rsidRPr="00D0306F">
        <w:rPr>
          <w:rFonts w:eastAsia="Aptos" w:cs="Arial"/>
          <w:szCs w:val="22"/>
          <w:lang w:eastAsia="en-GB"/>
        </w:rPr>
        <w:t>77 pharmacies said they collect prescriptions from GP practices (although two also provide a paid for service),</w:t>
      </w:r>
    </w:p>
    <w:p w14:paraId="17F863DB" w14:textId="77777777" w:rsidR="00824B25" w:rsidRPr="00D0306F" w:rsidRDefault="00824B25" w:rsidP="00824B25">
      <w:pPr>
        <w:numPr>
          <w:ilvl w:val="0"/>
          <w:numId w:val="27"/>
        </w:numPr>
        <w:rPr>
          <w:rFonts w:eastAsia="Aptos" w:cs="Arial"/>
          <w:szCs w:val="22"/>
          <w:lang w:eastAsia="en-GB"/>
        </w:rPr>
      </w:pPr>
      <w:r w:rsidRPr="00D0306F">
        <w:rPr>
          <w:rFonts w:eastAsia="Aptos" w:cs="Arial"/>
          <w:szCs w:val="22"/>
          <w:lang w:eastAsia="en-GB"/>
        </w:rPr>
        <w:t>76 provide a delivery service, free of charge,</w:t>
      </w:r>
    </w:p>
    <w:p w14:paraId="2F1B8C25" w14:textId="77777777" w:rsidR="00824B25" w:rsidRPr="00D0306F" w:rsidRDefault="00824B25" w:rsidP="00824B25">
      <w:pPr>
        <w:numPr>
          <w:ilvl w:val="0"/>
          <w:numId w:val="27"/>
        </w:numPr>
        <w:rPr>
          <w:rFonts w:eastAsia="Aptos" w:cs="Arial"/>
          <w:szCs w:val="22"/>
          <w:lang w:eastAsia="en-GB"/>
        </w:rPr>
      </w:pPr>
      <w:r w:rsidRPr="00D0306F">
        <w:rPr>
          <w:rFonts w:eastAsia="Aptos" w:cs="Arial"/>
          <w:szCs w:val="22"/>
          <w:lang w:eastAsia="en-GB"/>
        </w:rPr>
        <w:t>Eight of these provide the service to certain patient groups only eg housebound patients and those eligible for an influenza vaccination,</w:t>
      </w:r>
    </w:p>
    <w:p w14:paraId="4EDC3B23" w14:textId="77777777" w:rsidR="00824B25" w:rsidRPr="00D0306F" w:rsidRDefault="00824B25" w:rsidP="00824B25">
      <w:pPr>
        <w:numPr>
          <w:ilvl w:val="0"/>
          <w:numId w:val="27"/>
        </w:numPr>
        <w:rPr>
          <w:rFonts w:eastAsia="Aptos" w:cs="Arial"/>
          <w:szCs w:val="22"/>
          <w:lang w:eastAsia="en-GB"/>
        </w:rPr>
      </w:pPr>
      <w:r w:rsidRPr="00D0306F">
        <w:rPr>
          <w:rFonts w:eastAsia="Aptos" w:cs="Arial"/>
          <w:szCs w:val="22"/>
          <w:lang w:eastAsia="en-GB"/>
        </w:rPr>
        <w:t>Ten restrict the service to certain areas, and</w:t>
      </w:r>
    </w:p>
    <w:p w14:paraId="71D5836E" w14:textId="77777777" w:rsidR="00824B25" w:rsidRPr="00D0306F" w:rsidRDefault="00824B25" w:rsidP="00824B25">
      <w:pPr>
        <w:numPr>
          <w:ilvl w:val="0"/>
          <w:numId w:val="27"/>
        </w:numPr>
        <w:rPr>
          <w:rFonts w:eastAsia="Aptos" w:cs="Arial"/>
          <w:szCs w:val="22"/>
          <w:lang w:eastAsia="en-GB"/>
        </w:rPr>
      </w:pPr>
      <w:r w:rsidRPr="00D0306F">
        <w:rPr>
          <w:rFonts w:eastAsia="Aptos" w:cs="Arial"/>
          <w:szCs w:val="22"/>
          <w:lang w:eastAsia="en-GB"/>
        </w:rPr>
        <w:t>Ten provide the service for a fee.</w:t>
      </w:r>
    </w:p>
    <w:p w14:paraId="27200B5F" w14:textId="77777777" w:rsidR="00824B25" w:rsidRPr="00D0306F" w:rsidRDefault="00824B25" w:rsidP="00824B25">
      <w:pPr>
        <w:rPr>
          <w:rFonts w:eastAsia="Aptos" w:cs="Arial"/>
          <w:szCs w:val="22"/>
          <w:lang w:eastAsia="en-GB"/>
        </w:rPr>
      </w:pPr>
    </w:p>
    <w:p w14:paraId="13611175" w14:textId="77777777" w:rsidR="00824B25" w:rsidRPr="00D0306F" w:rsidRDefault="00824B25" w:rsidP="00824B25">
      <w:pPr>
        <w:rPr>
          <w:rFonts w:eastAsia="Aptos" w:cs="Arial"/>
          <w:szCs w:val="22"/>
          <w:lang w:eastAsia="en-GB"/>
        </w:rPr>
      </w:pPr>
      <w:r w:rsidRPr="00D0306F">
        <w:rPr>
          <w:rFonts w:eastAsia="Aptos" w:cs="Arial"/>
          <w:szCs w:val="22"/>
          <w:lang w:eastAsia="en-GB"/>
        </w:rPr>
        <w:t>Three pharmacies said they are either introducing a fee for the service or are considering doing so.</w:t>
      </w:r>
    </w:p>
    <w:p w14:paraId="0DE77618" w14:textId="77777777" w:rsidR="00824B25" w:rsidRPr="00D0306F" w:rsidRDefault="00824B25" w:rsidP="00824B25">
      <w:pPr>
        <w:rPr>
          <w:rFonts w:eastAsia="Aptos" w:cs="Arial"/>
          <w:szCs w:val="22"/>
          <w:lang w:eastAsia="en-GB"/>
        </w:rPr>
      </w:pPr>
    </w:p>
    <w:p w14:paraId="03AA403A" w14:textId="77777777" w:rsidR="00824B25" w:rsidRPr="00D0306F" w:rsidRDefault="00824B25" w:rsidP="00824B25">
      <w:pPr>
        <w:rPr>
          <w:rFonts w:eastAsia="Aptos" w:cs="Arial"/>
          <w:szCs w:val="22"/>
          <w:lang w:eastAsia="en-GB"/>
        </w:rPr>
      </w:pPr>
      <w:r w:rsidRPr="00D0306F">
        <w:rPr>
          <w:rFonts w:eastAsia="Aptos" w:cs="Arial"/>
          <w:szCs w:val="22"/>
          <w:lang w:eastAsia="en-GB"/>
        </w:rPr>
        <w:t>12 pharmacies confirmed they have an automated collection point, and it is noted from the public engagement responses that this service is appreciated by residents as it allows them to collect their medicines at a time that is convenient for them.</w:t>
      </w:r>
    </w:p>
    <w:p w14:paraId="356EABD1" w14:textId="77777777" w:rsidR="00824B25" w:rsidRPr="00D0306F" w:rsidRDefault="00824B25" w:rsidP="00824B25">
      <w:pPr>
        <w:rPr>
          <w:rFonts w:eastAsia="Aptos" w:cs="Arial"/>
          <w:szCs w:val="22"/>
          <w:lang w:eastAsia="en-GB"/>
        </w:rPr>
      </w:pPr>
    </w:p>
    <w:p w14:paraId="71C233FC" w14:textId="77777777" w:rsidR="00824B25" w:rsidRPr="00D0306F" w:rsidRDefault="00824B25" w:rsidP="00824B25">
      <w:pPr>
        <w:rPr>
          <w:rFonts w:eastAsia="Aptos" w:cs="Arial"/>
          <w:szCs w:val="22"/>
          <w:lang w:eastAsia="en-GB"/>
        </w:rPr>
      </w:pPr>
      <w:r w:rsidRPr="00D0306F">
        <w:rPr>
          <w:rFonts w:eastAsia="Aptos" w:cs="Arial"/>
          <w:szCs w:val="22"/>
          <w:lang w:eastAsia="en-GB"/>
        </w:rPr>
        <w:t>Pharmacies were asked whether there is a requirement for an existing additional clinical service which is not currently provided. Ten pharmacies said there is.</w:t>
      </w:r>
    </w:p>
    <w:p w14:paraId="42513A31" w14:textId="77777777" w:rsidR="00824B25" w:rsidRPr="00D0306F" w:rsidRDefault="00824B25" w:rsidP="00824B25">
      <w:pPr>
        <w:rPr>
          <w:rFonts w:eastAsia="Aptos" w:cs="Arial"/>
          <w:szCs w:val="22"/>
          <w:lang w:eastAsia="en-GB"/>
        </w:rPr>
      </w:pPr>
    </w:p>
    <w:p w14:paraId="41323627" w14:textId="77777777" w:rsidR="00824B25" w:rsidRPr="00D0306F" w:rsidRDefault="00824B25" w:rsidP="00824B25">
      <w:pPr>
        <w:numPr>
          <w:ilvl w:val="0"/>
          <w:numId w:val="28"/>
        </w:numPr>
        <w:rPr>
          <w:rFonts w:eastAsia="Aptos" w:cs="Arial"/>
          <w:szCs w:val="22"/>
          <w:lang w:eastAsia="en-GB"/>
        </w:rPr>
      </w:pPr>
      <w:r w:rsidRPr="00D0306F">
        <w:rPr>
          <w:rFonts w:eastAsia="Aptos" w:cs="Arial"/>
          <w:szCs w:val="22"/>
          <w:lang w:eastAsia="en-GB"/>
        </w:rPr>
        <w:t>Blood pressure checks (two pharmacies).</w:t>
      </w:r>
    </w:p>
    <w:p w14:paraId="3E545387" w14:textId="77777777" w:rsidR="00824B25" w:rsidRPr="00D0306F" w:rsidRDefault="00824B25" w:rsidP="00824B25">
      <w:pPr>
        <w:numPr>
          <w:ilvl w:val="0"/>
          <w:numId w:val="28"/>
        </w:numPr>
        <w:rPr>
          <w:rFonts w:eastAsia="Aptos" w:cs="Arial"/>
          <w:szCs w:val="22"/>
          <w:lang w:eastAsia="en-GB"/>
        </w:rPr>
      </w:pPr>
      <w:r w:rsidRPr="00D0306F">
        <w:rPr>
          <w:rFonts w:eastAsia="Aptos" w:cs="Arial"/>
          <w:szCs w:val="22"/>
          <w:lang w:eastAsia="en-GB"/>
        </w:rPr>
        <w:t>Phlebotomy service/access to blood tests.</w:t>
      </w:r>
    </w:p>
    <w:p w14:paraId="44154852" w14:textId="77777777" w:rsidR="00824B25" w:rsidRPr="00D0306F" w:rsidRDefault="00824B25" w:rsidP="00824B25">
      <w:pPr>
        <w:numPr>
          <w:ilvl w:val="0"/>
          <w:numId w:val="28"/>
        </w:numPr>
        <w:rPr>
          <w:rFonts w:eastAsia="Aptos" w:cs="Arial"/>
          <w:szCs w:val="22"/>
          <w:lang w:eastAsia="en-GB"/>
        </w:rPr>
      </w:pPr>
      <w:r w:rsidRPr="00D0306F">
        <w:rPr>
          <w:rFonts w:eastAsia="Aptos" w:cs="Arial"/>
          <w:szCs w:val="22"/>
          <w:lang w:eastAsia="en-GB"/>
        </w:rPr>
        <w:t>Covid vaccinations.</w:t>
      </w:r>
    </w:p>
    <w:p w14:paraId="7F84494D" w14:textId="77777777" w:rsidR="00824B25" w:rsidRPr="00D0306F" w:rsidRDefault="00824B25" w:rsidP="00824B25">
      <w:pPr>
        <w:numPr>
          <w:ilvl w:val="0"/>
          <w:numId w:val="28"/>
        </w:numPr>
        <w:rPr>
          <w:rFonts w:eastAsia="Aptos" w:cs="Arial"/>
          <w:szCs w:val="22"/>
          <w:lang w:eastAsia="en-GB"/>
        </w:rPr>
      </w:pPr>
      <w:r w:rsidRPr="00D0306F">
        <w:rPr>
          <w:rFonts w:eastAsia="Aptos" w:cs="Arial"/>
          <w:szCs w:val="22"/>
          <w:lang w:eastAsia="en-GB"/>
        </w:rPr>
        <w:t>Asthma/inhaler clinic.</w:t>
      </w:r>
    </w:p>
    <w:p w14:paraId="10FD152C" w14:textId="77777777" w:rsidR="00824B25" w:rsidRPr="00D0306F" w:rsidRDefault="00824B25" w:rsidP="00824B25">
      <w:pPr>
        <w:numPr>
          <w:ilvl w:val="0"/>
          <w:numId w:val="28"/>
        </w:numPr>
        <w:rPr>
          <w:rFonts w:eastAsia="Aptos" w:cs="Arial"/>
          <w:szCs w:val="22"/>
          <w:lang w:eastAsia="en-GB"/>
        </w:rPr>
      </w:pPr>
      <w:r w:rsidRPr="00D0306F">
        <w:rPr>
          <w:rFonts w:eastAsia="Aptos" w:cs="Arial"/>
          <w:szCs w:val="22"/>
          <w:lang w:eastAsia="en-GB"/>
        </w:rPr>
        <w:t>Pharmacist independent prescribing service (two pharmacies).</w:t>
      </w:r>
    </w:p>
    <w:p w14:paraId="5821F8BF" w14:textId="77777777" w:rsidR="00824B25" w:rsidRPr="00D0306F" w:rsidRDefault="00824B25" w:rsidP="00824B25">
      <w:pPr>
        <w:numPr>
          <w:ilvl w:val="0"/>
          <w:numId w:val="28"/>
        </w:numPr>
        <w:rPr>
          <w:rFonts w:eastAsia="Aptos" w:cs="Arial"/>
          <w:szCs w:val="22"/>
          <w:lang w:eastAsia="en-GB"/>
        </w:rPr>
      </w:pPr>
      <w:r w:rsidRPr="00D0306F">
        <w:rPr>
          <w:rFonts w:eastAsia="Aptos" w:cs="Arial"/>
          <w:szCs w:val="22"/>
          <w:lang w:eastAsia="en-GB"/>
        </w:rPr>
        <w:t>There is a large number of preventable deaths from cardiovascular disease. Pharmacy could take part in atrial fibrillation screening if funding allowed.</w:t>
      </w:r>
    </w:p>
    <w:p w14:paraId="2A50A755" w14:textId="77777777" w:rsidR="00824B25" w:rsidRPr="00D0306F" w:rsidRDefault="00824B25" w:rsidP="00824B25">
      <w:pPr>
        <w:numPr>
          <w:ilvl w:val="0"/>
          <w:numId w:val="28"/>
        </w:numPr>
        <w:rPr>
          <w:rFonts w:eastAsia="Aptos" w:cs="Arial"/>
          <w:szCs w:val="22"/>
          <w:lang w:eastAsia="en-GB"/>
        </w:rPr>
      </w:pPr>
      <w:r w:rsidRPr="00D0306F">
        <w:rPr>
          <w:rFonts w:eastAsia="Aptos" w:cs="Arial"/>
          <w:szCs w:val="22"/>
          <w:lang w:eastAsia="en-GB"/>
        </w:rPr>
        <w:lastRenderedPageBreak/>
        <w:t>The medicines use review service should be reintroduced to reduce medicines wastage.</w:t>
      </w:r>
    </w:p>
    <w:p w14:paraId="73302997" w14:textId="77777777" w:rsidR="00824B25" w:rsidRPr="00D0306F" w:rsidRDefault="00824B25" w:rsidP="00824B25">
      <w:pPr>
        <w:numPr>
          <w:ilvl w:val="0"/>
          <w:numId w:val="28"/>
        </w:numPr>
        <w:rPr>
          <w:rFonts w:eastAsia="Aptos" w:cs="Arial"/>
          <w:szCs w:val="22"/>
          <w:lang w:eastAsia="en-GB"/>
        </w:rPr>
      </w:pPr>
      <w:r w:rsidRPr="00D0306F">
        <w:rPr>
          <w:rFonts w:eastAsia="Aptos" w:cs="Arial"/>
          <w:szCs w:val="22"/>
          <w:lang w:eastAsia="en-GB"/>
        </w:rPr>
        <w:t>Extension of the smoking cessation services to include oral medications such as Champix and Zyban.</w:t>
      </w:r>
    </w:p>
    <w:p w14:paraId="19B86B29" w14:textId="77777777" w:rsidR="00824B25" w:rsidRPr="00D0306F" w:rsidRDefault="00824B25" w:rsidP="00824B25">
      <w:pPr>
        <w:rPr>
          <w:rFonts w:eastAsia="Aptos" w:cs="Arial"/>
          <w:szCs w:val="22"/>
          <w:lang w:eastAsia="en-GB"/>
        </w:rPr>
      </w:pPr>
    </w:p>
    <w:p w14:paraId="52F3CD8C" w14:textId="77777777" w:rsidR="00824B25" w:rsidRPr="00D0306F" w:rsidRDefault="00824B25" w:rsidP="00824B25">
      <w:pPr>
        <w:rPr>
          <w:rFonts w:eastAsia="Aptos" w:cs="Arial"/>
          <w:szCs w:val="22"/>
          <w:lang w:eastAsia="en-GB"/>
        </w:rPr>
      </w:pPr>
      <w:r w:rsidRPr="00D0306F">
        <w:rPr>
          <w:rFonts w:eastAsia="Aptos" w:cs="Arial"/>
          <w:szCs w:val="22"/>
          <w:lang w:eastAsia="en-GB"/>
        </w:rPr>
        <w:t>When asked if there is a requirement for a new service that is not currently available 12 pharmacies said there is.</w:t>
      </w:r>
    </w:p>
    <w:p w14:paraId="6E2162E7" w14:textId="77777777" w:rsidR="00824B25" w:rsidRPr="00D0306F" w:rsidRDefault="00824B25" w:rsidP="00824B25">
      <w:pPr>
        <w:rPr>
          <w:rFonts w:eastAsia="Aptos" w:cs="Arial"/>
          <w:szCs w:val="22"/>
          <w:lang w:eastAsia="en-GB"/>
        </w:rPr>
      </w:pPr>
    </w:p>
    <w:p w14:paraId="11DC191A" w14:textId="77777777" w:rsidR="00824B25" w:rsidRPr="00D0306F" w:rsidRDefault="00824B25" w:rsidP="00824B25">
      <w:pPr>
        <w:numPr>
          <w:ilvl w:val="0"/>
          <w:numId w:val="29"/>
        </w:numPr>
        <w:rPr>
          <w:rFonts w:eastAsia="Aptos" w:cs="Arial"/>
          <w:szCs w:val="22"/>
          <w:lang w:eastAsia="en-GB"/>
        </w:rPr>
      </w:pPr>
      <w:r w:rsidRPr="00D0306F">
        <w:rPr>
          <w:rFonts w:eastAsia="Aptos" w:cs="Arial"/>
          <w:szCs w:val="22"/>
          <w:lang w:eastAsia="en-GB"/>
        </w:rPr>
        <w:t>Blood pressure checks (four pharmacies)</w:t>
      </w:r>
    </w:p>
    <w:p w14:paraId="43BBC48D" w14:textId="77777777" w:rsidR="00824B25" w:rsidRPr="00D0306F" w:rsidRDefault="00824B25" w:rsidP="00824B25">
      <w:pPr>
        <w:numPr>
          <w:ilvl w:val="0"/>
          <w:numId w:val="29"/>
        </w:numPr>
        <w:rPr>
          <w:rFonts w:eastAsia="Aptos" w:cs="Arial"/>
          <w:szCs w:val="22"/>
          <w:lang w:eastAsia="en-GB"/>
        </w:rPr>
      </w:pPr>
      <w:r w:rsidRPr="00D0306F">
        <w:rPr>
          <w:rFonts w:eastAsia="Aptos" w:cs="Arial"/>
          <w:szCs w:val="22"/>
          <w:lang w:eastAsia="en-GB"/>
        </w:rPr>
        <w:t>Drug and alcohol testing</w:t>
      </w:r>
    </w:p>
    <w:p w14:paraId="1570215A" w14:textId="77777777" w:rsidR="00824B25" w:rsidRPr="00D0306F" w:rsidRDefault="00824B25" w:rsidP="00824B25">
      <w:pPr>
        <w:numPr>
          <w:ilvl w:val="0"/>
          <w:numId w:val="29"/>
        </w:numPr>
        <w:rPr>
          <w:rFonts w:eastAsia="Aptos" w:cs="Arial"/>
          <w:szCs w:val="22"/>
          <w:lang w:eastAsia="en-GB"/>
        </w:rPr>
      </w:pPr>
      <w:r w:rsidRPr="00D0306F">
        <w:rPr>
          <w:rFonts w:eastAsia="Aptos" w:cs="Arial"/>
          <w:szCs w:val="22"/>
          <w:lang w:eastAsia="en-GB"/>
        </w:rPr>
        <w:t>Scheme to check that patients are engaging in the national screening programmes</w:t>
      </w:r>
    </w:p>
    <w:p w14:paraId="09BC4228" w14:textId="77777777" w:rsidR="00824B25" w:rsidRPr="00D0306F" w:rsidRDefault="00824B25" w:rsidP="00824B25">
      <w:pPr>
        <w:numPr>
          <w:ilvl w:val="0"/>
          <w:numId w:val="29"/>
        </w:numPr>
        <w:rPr>
          <w:rFonts w:eastAsia="Aptos" w:cs="Arial"/>
          <w:szCs w:val="22"/>
          <w:lang w:eastAsia="en-GB"/>
        </w:rPr>
      </w:pPr>
      <w:r w:rsidRPr="00D0306F">
        <w:rPr>
          <w:rFonts w:eastAsia="Aptos" w:cs="Arial"/>
          <w:szCs w:val="22"/>
          <w:lang w:eastAsia="en-GB"/>
        </w:rPr>
        <w:t>Just ask once programme for healthcare</w:t>
      </w:r>
    </w:p>
    <w:p w14:paraId="16429E73" w14:textId="77777777" w:rsidR="00824B25" w:rsidRPr="00D0306F" w:rsidRDefault="00824B25" w:rsidP="00824B25">
      <w:pPr>
        <w:numPr>
          <w:ilvl w:val="0"/>
          <w:numId w:val="29"/>
        </w:numPr>
        <w:rPr>
          <w:rFonts w:eastAsia="Aptos" w:cs="Arial"/>
          <w:szCs w:val="22"/>
          <w:lang w:eastAsia="en-GB"/>
        </w:rPr>
      </w:pPr>
      <w:r w:rsidRPr="00D0306F">
        <w:rPr>
          <w:rFonts w:eastAsia="Aptos" w:cs="Arial"/>
          <w:szCs w:val="22"/>
          <w:lang w:eastAsia="en-GB"/>
        </w:rPr>
        <w:t>Asthma/inhaler review (two pharmacies)</w:t>
      </w:r>
    </w:p>
    <w:p w14:paraId="14C551CF" w14:textId="77777777" w:rsidR="00824B25" w:rsidRPr="00D0306F" w:rsidRDefault="00824B25" w:rsidP="00824B25">
      <w:pPr>
        <w:numPr>
          <w:ilvl w:val="0"/>
          <w:numId w:val="29"/>
        </w:numPr>
        <w:rPr>
          <w:rFonts w:eastAsia="Aptos" w:cs="Arial"/>
          <w:szCs w:val="22"/>
          <w:lang w:eastAsia="en-GB"/>
        </w:rPr>
      </w:pPr>
      <w:r w:rsidRPr="00D0306F">
        <w:rPr>
          <w:rFonts w:eastAsia="Aptos" w:cs="Arial"/>
          <w:szCs w:val="22"/>
          <w:lang w:eastAsia="en-GB"/>
        </w:rPr>
        <w:t>Atrial fibrillation detection service – discussions about this are happening in cluster meetings.</w:t>
      </w:r>
    </w:p>
    <w:p w14:paraId="70E0363B" w14:textId="77777777" w:rsidR="00824B25" w:rsidRPr="00D0306F" w:rsidRDefault="00824B25" w:rsidP="00824B25">
      <w:pPr>
        <w:numPr>
          <w:ilvl w:val="0"/>
          <w:numId w:val="29"/>
        </w:numPr>
        <w:rPr>
          <w:rFonts w:eastAsia="Aptos" w:cs="Arial"/>
          <w:szCs w:val="22"/>
          <w:lang w:eastAsia="en-GB"/>
        </w:rPr>
      </w:pPr>
      <w:r w:rsidRPr="00D0306F">
        <w:rPr>
          <w:rFonts w:eastAsia="Aptos" w:cs="Arial"/>
          <w:szCs w:val="22"/>
          <w:lang w:eastAsia="en-GB"/>
        </w:rPr>
        <w:t>More vaccination services</w:t>
      </w:r>
    </w:p>
    <w:p w14:paraId="648D72F0" w14:textId="77777777" w:rsidR="00824B25" w:rsidRPr="00D0306F" w:rsidRDefault="00824B25" w:rsidP="00824B25">
      <w:pPr>
        <w:numPr>
          <w:ilvl w:val="0"/>
          <w:numId w:val="29"/>
        </w:numPr>
        <w:rPr>
          <w:rFonts w:eastAsia="Aptos" w:cs="Arial"/>
          <w:szCs w:val="22"/>
          <w:lang w:eastAsia="en-GB"/>
        </w:rPr>
      </w:pPr>
      <w:r w:rsidRPr="00D0306F">
        <w:rPr>
          <w:rFonts w:eastAsia="Aptos" w:cs="Arial"/>
          <w:szCs w:val="22"/>
          <w:lang w:eastAsia="en-GB"/>
        </w:rPr>
        <w:t>Weight management service</w:t>
      </w:r>
    </w:p>
    <w:p w14:paraId="217F449F" w14:textId="77777777" w:rsidR="00824B25" w:rsidRPr="00D0306F" w:rsidRDefault="00824B25" w:rsidP="00824B25">
      <w:pPr>
        <w:numPr>
          <w:ilvl w:val="0"/>
          <w:numId w:val="29"/>
        </w:numPr>
        <w:rPr>
          <w:rFonts w:eastAsia="Aptos" w:cs="Arial"/>
          <w:szCs w:val="22"/>
          <w:lang w:eastAsia="en-GB"/>
        </w:rPr>
      </w:pPr>
      <w:r w:rsidRPr="00D0306F">
        <w:rPr>
          <w:rFonts w:eastAsia="Aptos" w:cs="Arial"/>
          <w:szCs w:val="22"/>
          <w:lang w:eastAsia="en-GB"/>
        </w:rPr>
        <w:t>Funded delivery service</w:t>
      </w:r>
    </w:p>
    <w:p w14:paraId="2A783CAA" w14:textId="77777777" w:rsidR="00824B25" w:rsidRPr="00D0306F" w:rsidRDefault="00824B25" w:rsidP="00824B25">
      <w:pPr>
        <w:numPr>
          <w:ilvl w:val="0"/>
          <w:numId w:val="29"/>
        </w:numPr>
        <w:rPr>
          <w:rFonts w:eastAsia="Aptos" w:cs="Arial"/>
          <w:szCs w:val="22"/>
          <w:lang w:eastAsia="en-GB"/>
        </w:rPr>
      </w:pPr>
      <w:r w:rsidRPr="00D0306F">
        <w:rPr>
          <w:rFonts w:eastAsia="Aptos" w:cs="Arial"/>
          <w:szCs w:val="22"/>
          <w:lang w:eastAsia="en-GB"/>
        </w:rPr>
        <w:t>Screening service for cardiovascular disease</w:t>
      </w:r>
    </w:p>
    <w:p w14:paraId="61BC0260" w14:textId="77777777" w:rsidR="00824B25" w:rsidRPr="00D0306F" w:rsidRDefault="00824B25" w:rsidP="00824B25">
      <w:pPr>
        <w:numPr>
          <w:ilvl w:val="0"/>
          <w:numId w:val="29"/>
        </w:numPr>
        <w:rPr>
          <w:rFonts w:eastAsia="Aptos" w:cs="Arial"/>
          <w:szCs w:val="22"/>
          <w:lang w:eastAsia="en-GB"/>
        </w:rPr>
      </w:pPr>
      <w:r w:rsidRPr="00D0306F">
        <w:rPr>
          <w:rFonts w:eastAsia="Aptos" w:cs="Arial"/>
          <w:szCs w:val="22"/>
          <w:lang w:eastAsia="en-GB"/>
        </w:rPr>
        <w:t>Diabetes reviews</w:t>
      </w:r>
    </w:p>
    <w:p w14:paraId="04B3F4B2" w14:textId="77777777" w:rsidR="00824B25" w:rsidRPr="00D0306F" w:rsidRDefault="00824B25" w:rsidP="00824B25">
      <w:pPr>
        <w:numPr>
          <w:ilvl w:val="0"/>
          <w:numId w:val="29"/>
        </w:numPr>
        <w:rPr>
          <w:rFonts w:eastAsia="Aptos" w:cs="Arial"/>
          <w:szCs w:val="22"/>
          <w:lang w:eastAsia="en-GB"/>
        </w:rPr>
      </w:pPr>
      <w:r w:rsidRPr="00D0306F">
        <w:rPr>
          <w:rFonts w:eastAsia="Aptos" w:cs="Arial"/>
          <w:szCs w:val="22"/>
          <w:lang w:eastAsia="en-GB"/>
        </w:rPr>
        <w:t>Ear wax removal</w:t>
      </w:r>
    </w:p>
    <w:p w14:paraId="06BEFFA6" w14:textId="77777777" w:rsidR="00824B25" w:rsidRPr="00D0306F" w:rsidRDefault="00824B25" w:rsidP="00824B25">
      <w:pPr>
        <w:numPr>
          <w:ilvl w:val="0"/>
          <w:numId w:val="29"/>
        </w:numPr>
        <w:rPr>
          <w:rFonts w:eastAsia="Aptos" w:cs="Arial"/>
          <w:szCs w:val="22"/>
          <w:lang w:eastAsia="en-GB"/>
        </w:rPr>
      </w:pPr>
      <w:r w:rsidRPr="00D0306F">
        <w:rPr>
          <w:rFonts w:eastAsia="Aptos" w:cs="Arial"/>
          <w:szCs w:val="22"/>
          <w:lang w:eastAsia="en-GB"/>
        </w:rPr>
        <w:t>Sharps disposal service</w:t>
      </w:r>
    </w:p>
    <w:p w14:paraId="68623282" w14:textId="77777777" w:rsidR="00824B25" w:rsidRPr="00D0306F" w:rsidRDefault="00824B25" w:rsidP="00824B25">
      <w:pPr>
        <w:numPr>
          <w:ilvl w:val="0"/>
          <w:numId w:val="29"/>
        </w:numPr>
        <w:rPr>
          <w:rFonts w:eastAsia="Aptos" w:cs="Arial"/>
          <w:szCs w:val="22"/>
          <w:lang w:eastAsia="en-GB"/>
        </w:rPr>
      </w:pPr>
      <w:r w:rsidRPr="00D0306F">
        <w:rPr>
          <w:rFonts w:eastAsia="Aptos" w:cs="Arial"/>
          <w:szCs w:val="22"/>
          <w:lang w:eastAsia="en-GB"/>
        </w:rPr>
        <w:t>Expansion of pharmacist independent prescribing service conditions.</w:t>
      </w:r>
    </w:p>
    <w:p w14:paraId="1A388FB4" w14:textId="77777777" w:rsidR="00824B25" w:rsidRPr="00D0306F" w:rsidRDefault="00824B25" w:rsidP="00824B25">
      <w:pPr>
        <w:rPr>
          <w:rFonts w:eastAsia="Aptos" w:cs="Arial"/>
          <w:szCs w:val="22"/>
          <w:lang w:eastAsia="en-GB"/>
        </w:rPr>
      </w:pPr>
    </w:p>
    <w:p w14:paraId="06EDA424" w14:textId="77777777" w:rsidR="00824B25" w:rsidRPr="00D0306F" w:rsidRDefault="00824B25" w:rsidP="00824B25">
      <w:pPr>
        <w:rPr>
          <w:rFonts w:eastAsia="Aptos" w:cs="Arial"/>
          <w:szCs w:val="22"/>
          <w:lang w:eastAsia="en-GB"/>
        </w:rPr>
      </w:pPr>
      <w:r w:rsidRPr="00D0306F">
        <w:rPr>
          <w:rFonts w:eastAsia="Aptos" w:cs="Arial"/>
          <w:szCs w:val="22"/>
          <w:lang w:eastAsia="en-GB"/>
        </w:rPr>
        <w:t>The range of services offered by community pharmacies has increased and is likely to continue increasing as more services are developed which can be delivered within local communities. The questionnaire sought to determine the current level of capacity within pharmacies.</w:t>
      </w:r>
    </w:p>
    <w:p w14:paraId="65BEB1F2" w14:textId="77777777" w:rsidR="00824B25" w:rsidRPr="00D0306F" w:rsidRDefault="00824B25" w:rsidP="00824B25">
      <w:pPr>
        <w:rPr>
          <w:rFonts w:eastAsia="Aptos" w:cs="Arial"/>
          <w:szCs w:val="22"/>
          <w:lang w:eastAsia="en-GB"/>
        </w:rPr>
      </w:pPr>
    </w:p>
    <w:p w14:paraId="5FBD8BF2" w14:textId="77777777" w:rsidR="00824B25" w:rsidRPr="00D0306F" w:rsidRDefault="00824B25" w:rsidP="00824B25">
      <w:pPr>
        <w:numPr>
          <w:ilvl w:val="0"/>
          <w:numId w:val="3"/>
        </w:numPr>
        <w:rPr>
          <w:rFonts w:eastAsia="Aptos" w:cs="Arial"/>
          <w:szCs w:val="22"/>
          <w:lang w:eastAsia="en-GB"/>
        </w:rPr>
      </w:pPr>
      <w:r w:rsidRPr="00D0306F">
        <w:rPr>
          <w:rFonts w:eastAsia="Aptos" w:cs="Arial"/>
          <w:szCs w:val="22"/>
          <w:lang w:eastAsia="en-GB"/>
        </w:rPr>
        <w:t>74 pharmacies said they have sufficient capacity within their premises to manage an increase in demand, six said they didn’t but could make adjustments, and three said they did not and would have difficulty in managing an increase in demand. These pharmacies are located in Bay, City and Cwmtawe clusters.</w:t>
      </w:r>
    </w:p>
    <w:p w14:paraId="183618FA" w14:textId="77777777" w:rsidR="00824B25" w:rsidRPr="00D0306F" w:rsidRDefault="00824B25" w:rsidP="00824B25">
      <w:pPr>
        <w:numPr>
          <w:ilvl w:val="0"/>
          <w:numId w:val="3"/>
        </w:numPr>
        <w:rPr>
          <w:rFonts w:eastAsia="Aptos" w:cs="Arial"/>
          <w:szCs w:val="22"/>
          <w:lang w:eastAsia="en-GB"/>
        </w:rPr>
      </w:pPr>
      <w:r w:rsidRPr="00D0306F">
        <w:rPr>
          <w:rFonts w:eastAsia="Aptos" w:cs="Arial"/>
          <w:szCs w:val="22"/>
          <w:lang w:eastAsia="en-GB"/>
        </w:rPr>
        <w:t>71 pharmacies said they have sufficient capacity within their staffing levels to manage an increase in demand, ten said they didn’t but could make adjustments, and two said they did not and would have difficulty in managing an increase in demand. These pharmacies are located in City and Upper Valleys, with the one in City also saying it doesn’t have capacity in its premises.</w:t>
      </w:r>
    </w:p>
    <w:p w14:paraId="6E68E331" w14:textId="77777777" w:rsidR="00824B25" w:rsidRPr="00D0306F" w:rsidRDefault="00824B25" w:rsidP="00824B25">
      <w:pPr>
        <w:rPr>
          <w:rFonts w:eastAsia="Aptos" w:cs="Arial"/>
          <w:szCs w:val="22"/>
          <w:lang w:eastAsia="en-GB"/>
        </w:rPr>
      </w:pPr>
    </w:p>
    <w:p w14:paraId="48E0CDBB" w14:textId="77777777" w:rsidR="00824B25" w:rsidRPr="00D0306F" w:rsidRDefault="00824B25" w:rsidP="00824B25">
      <w:pPr>
        <w:rPr>
          <w:rFonts w:eastAsia="Aptos" w:cs="Arial"/>
          <w:szCs w:val="22"/>
          <w:lang w:eastAsia="en-GB"/>
        </w:rPr>
      </w:pPr>
      <w:r w:rsidRPr="00D0306F">
        <w:rPr>
          <w:rFonts w:eastAsia="Aptos" w:cs="Arial"/>
          <w:szCs w:val="22"/>
          <w:lang w:eastAsia="en-GB"/>
        </w:rPr>
        <w:t>Forty one pharmacies said they have plans to develop or expand their premises or service provision.</w:t>
      </w:r>
    </w:p>
    <w:p w14:paraId="73414D61" w14:textId="77777777" w:rsidR="00824B25" w:rsidRPr="00D0306F" w:rsidRDefault="00824B25" w:rsidP="00824B25">
      <w:pPr>
        <w:rPr>
          <w:rFonts w:eastAsia="Aptos" w:cs="Arial"/>
          <w:szCs w:val="22"/>
          <w:lang w:eastAsia="en-GB"/>
        </w:rPr>
      </w:pPr>
    </w:p>
    <w:p w14:paraId="2B428943" w14:textId="77777777" w:rsidR="00824B25" w:rsidRPr="00D0306F" w:rsidRDefault="00824B25" w:rsidP="00824B25">
      <w:pPr>
        <w:numPr>
          <w:ilvl w:val="0"/>
          <w:numId w:val="30"/>
        </w:numPr>
        <w:rPr>
          <w:rFonts w:eastAsia="Aptos" w:cs="Arial"/>
          <w:szCs w:val="22"/>
          <w:lang w:eastAsia="en-GB"/>
        </w:rPr>
      </w:pPr>
      <w:r w:rsidRPr="00D0306F">
        <w:rPr>
          <w:rFonts w:eastAsia="Aptos" w:cs="Arial"/>
          <w:szCs w:val="22"/>
          <w:lang w:eastAsia="en-GB"/>
        </w:rPr>
        <w:t>Increase the number of consultation rooms (some pharmacies said this was dependent on funding being made available) – seven pharmacies</w:t>
      </w:r>
    </w:p>
    <w:p w14:paraId="32988F1B" w14:textId="77777777" w:rsidR="00824B25" w:rsidRPr="00D0306F" w:rsidRDefault="00824B25" w:rsidP="00824B25">
      <w:pPr>
        <w:numPr>
          <w:ilvl w:val="0"/>
          <w:numId w:val="30"/>
        </w:numPr>
        <w:rPr>
          <w:rFonts w:eastAsia="Aptos" w:cs="Arial"/>
          <w:szCs w:val="22"/>
          <w:lang w:eastAsia="en-GB"/>
        </w:rPr>
      </w:pPr>
      <w:r w:rsidRPr="00D0306F">
        <w:rPr>
          <w:rFonts w:eastAsia="Aptos" w:cs="Arial"/>
          <w:szCs w:val="22"/>
          <w:lang w:eastAsia="en-GB"/>
        </w:rPr>
        <w:t>One pharmacy is about to start a refit of the premises to extend the dispensary</w:t>
      </w:r>
    </w:p>
    <w:p w14:paraId="21B6C864" w14:textId="77777777" w:rsidR="00824B25" w:rsidRPr="00D0306F" w:rsidRDefault="00824B25" w:rsidP="00824B25">
      <w:pPr>
        <w:numPr>
          <w:ilvl w:val="0"/>
          <w:numId w:val="30"/>
        </w:numPr>
        <w:rPr>
          <w:rFonts w:eastAsia="Aptos" w:cs="Arial"/>
          <w:szCs w:val="22"/>
          <w:lang w:eastAsia="en-GB"/>
        </w:rPr>
      </w:pPr>
      <w:r w:rsidRPr="00D0306F">
        <w:rPr>
          <w:rFonts w:eastAsia="Aptos" w:cs="Arial"/>
          <w:szCs w:val="22"/>
          <w:lang w:eastAsia="en-GB"/>
        </w:rPr>
        <w:lastRenderedPageBreak/>
        <w:t>Start to provide the pharmacist independent prescribing service (some dependent on pharmacists completing the training) – fifteen pharmacies</w:t>
      </w:r>
    </w:p>
    <w:p w14:paraId="7C326609" w14:textId="77777777" w:rsidR="00824B25" w:rsidRPr="00D0306F" w:rsidRDefault="00824B25" w:rsidP="00824B25">
      <w:pPr>
        <w:numPr>
          <w:ilvl w:val="0"/>
          <w:numId w:val="30"/>
        </w:numPr>
        <w:rPr>
          <w:rFonts w:eastAsia="Aptos" w:cs="Arial"/>
          <w:szCs w:val="22"/>
          <w:lang w:eastAsia="en-GB"/>
        </w:rPr>
      </w:pPr>
      <w:r w:rsidRPr="00D0306F">
        <w:rPr>
          <w:rFonts w:eastAsia="Aptos" w:cs="Arial"/>
          <w:szCs w:val="22"/>
          <w:lang w:eastAsia="en-GB"/>
        </w:rPr>
        <w:t>Extend provision of the pharmacist independent prescribing service – two pharmacies</w:t>
      </w:r>
    </w:p>
    <w:p w14:paraId="348172F0" w14:textId="77777777" w:rsidR="00824B25" w:rsidRPr="00D0306F" w:rsidRDefault="00824B25" w:rsidP="00824B25">
      <w:pPr>
        <w:numPr>
          <w:ilvl w:val="0"/>
          <w:numId w:val="30"/>
        </w:numPr>
        <w:rPr>
          <w:rFonts w:eastAsia="Aptos" w:cs="Arial"/>
          <w:szCs w:val="22"/>
          <w:lang w:eastAsia="en-GB"/>
        </w:rPr>
      </w:pPr>
      <w:r w:rsidRPr="00D0306F">
        <w:rPr>
          <w:rFonts w:eastAsia="Aptos" w:cs="Arial"/>
          <w:szCs w:val="22"/>
          <w:lang w:eastAsia="en-GB"/>
        </w:rPr>
        <w:t>Relaunch and promote the pharmacist independent prescribing service</w:t>
      </w:r>
    </w:p>
    <w:p w14:paraId="65232AD7" w14:textId="77777777" w:rsidR="00824B25" w:rsidRPr="00D0306F" w:rsidRDefault="00824B25" w:rsidP="00824B25">
      <w:pPr>
        <w:numPr>
          <w:ilvl w:val="0"/>
          <w:numId w:val="30"/>
        </w:numPr>
        <w:rPr>
          <w:rFonts w:eastAsia="Aptos" w:cs="Arial"/>
          <w:szCs w:val="22"/>
          <w:lang w:eastAsia="en-GB"/>
        </w:rPr>
      </w:pPr>
      <w:r w:rsidRPr="00D0306F">
        <w:rPr>
          <w:rFonts w:eastAsia="Aptos" w:cs="Arial"/>
          <w:szCs w:val="22"/>
          <w:lang w:eastAsia="en-GB"/>
        </w:rPr>
        <w:t>Would like to expand the range of services provided if sufficient funding is available</w:t>
      </w:r>
    </w:p>
    <w:p w14:paraId="112F6927" w14:textId="77777777" w:rsidR="00824B25" w:rsidRPr="00D0306F" w:rsidRDefault="00824B25" w:rsidP="00824B25">
      <w:pPr>
        <w:numPr>
          <w:ilvl w:val="0"/>
          <w:numId w:val="30"/>
        </w:numPr>
        <w:rPr>
          <w:rFonts w:eastAsia="Aptos" w:cs="Arial"/>
          <w:szCs w:val="22"/>
          <w:lang w:eastAsia="en-GB"/>
        </w:rPr>
      </w:pPr>
      <w:r w:rsidRPr="00D0306F">
        <w:rPr>
          <w:rFonts w:eastAsia="Aptos" w:cs="Arial"/>
          <w:szCs w:val="22"/>
          <w:lang w:eastAsia="en-GB"/>
        </w:rPr>
        <w:t>Update the technology used, including trialling a barcode checking system to free up pharmacist time – seven pharmacies</w:t>
      </w:r>
    </w:p>
    <w:p w14:paraId="62E1B7FC" w14:textId="77777777" w:rsidR="00824B25" w:rsidRPr="00D0306F" w:rsidRDefault="00824B25" w:rsidP="00824B25">
      <w:pPr>
        <w:numPr>
          <w:ilvl w:val="0"/>
          <w:numId w:val="30"/>
        </w:numPr>
        <w:rPr>
          <w:rFonts w:eastAsia="Aptos" w:cs="Arial"/>
          <w:szCs w:val="22"/>
          <w:lang w:eastAsia="en-GB"/>
        </w:rPr>
      </w:pPr>
      <w:r w:rsidRPr="00D0306F">
        <w:rPr>
          <w:rFonts w:eastAsia="Aptos" w:cs="Arial"/>
          <w:szCs w:val="22"/>
          <w:lang w:eastAsia="en-GB"/>
        </w:rPr>
        <w:t>Raise awareness of services provided – two pharmacies</w:t>
      </w:r>
    </w:p>
    <w:p w14:paraId="085C2EF1" w14:textId="77777777" w:rsidR="00824B25" w:rsidRPr="00D0306F" w:rsidRDefault="00824B25" w:rsidP="00824B25">
      <w:pPr>
        <w:numPr>
          <w:ilvl w:val="0"/>
          <w:numId w:val="30"/>
        </w:numPr>
        <w:rPr>
          <w:rFonts w:eastAsia="Aptos" w:cs="Arial"/>
          <w:szCs w:val="22"/>
          <w:lang w:eastAsia="en-GB"/>
        </w:rPr>
      </w:pPr>
      <w:r w:rsidRPr="00D0306F">
        <w:rPr>
          <w:rFonts w:eastAsia="Aptos" w:cs="Arial"/>
          <w:szCs w:val="22"/>
          <w:lang w:eastAsia="en-GB"/>
        </w:rPr>
        <w:t>Train additional technicians – seven pharmacies</w:t>
      </w:r>
    </w:p>
    <w:p w14:paraId="538198B5" w14:textId="77777777" w:rsidR="00824B25" w:rsidRPr="00D0306F" w:rsidRDefault="00824B25" w:rsidP="00824B25">
      <w:pPr>
        <w:numPr>
          <w:ilvl w:val="0"/>
          <w:numId w:val="30"/>
        </w:numPr>
        <w:rPr>
          <w:rFonts w:eastAsia="Aptos" w:cs="Arial"/>
          <w:szCs w:val="22"/>
          <w:lang w:eastAsia="en-GB"/>
        </w:rPr>
      </w:pPr>
      <w:r w:rsidRPr="00D0306F">
        <w:rPr>
          <w:rFonts w:eastAsia="Aptos" w:cs="Arial"/>
          <w:szCs w:val="22"/>
          <w:lang w:eastAsia="en-GB"/>
        </w:rPr>
        <w:t>Phlebotomy service</w:t>
      </w:r>
    </w:p>
    <w:p w14:paraId="2DCC4AB2" w14:textId="77777777" w:rsidR="00824B25" w:rsidRPr="00D0306F" w:rsidRDefault="00824B25" w:rsidP="00824B25">
      <w:pPr>
        <w:numPr>
          <w:ilvl w:val="0"/>
          <w:numId w:val="30"/>
        </w:numPr>
        <w:rPr>
          <w:rFonts w:eastAsia="Aptos" w:cs="Arial"/>
          <w:szCs w:val="22"/>
          <w:lang w:eastAsia="en-GB"/>
        </w:rPr>
      </w:pPr>
      <w:r w:rsidRPr="00D0306F">
        <w:rPr>
          <w:rFonts w:eastAsia="Aptos" w:cs="Arial"/>
          <w:szCs w:val="22"/>
          <w:lang w:eastAsia="en-GB"/>
        </w:rPr>
        <w:t>Increase vaccination services eg Shingles</w:t>
      </w:r>
    </w:p>
    <w:p w14:paraId="115A5A92" w14:textId="77777777" w:rsidR="00824B25" w:rsidRPr="00D0306F" w:rsidRDefault="00824B25" w:rsidP="00824B25">
      <w:pPr>
        <w:numPr>
          <w:ilvl w:val="0"/>
          <w:numId w:val="30"/>
        </w:numPr>
        <w:rPr>
          <w:rFonts w:eastAsia="Aptos" w:cs="Arial"/>
          <w:szCs w:val="22"/>
          <w:lang w:eastAsia="en-GB"/>
        </w:rPr>
      </w:pPr>
      <w:r w:rsidRPr="00D0306F">
        <w:rPr>
          <w:rFonts w:eastAsia="Aptos" w:cs="Arial"/>
          <w:szCs w:val="22"/>
          <w:lang w:eastAsia="en-GB"/>
        </w:rPr>
        <w:t>Start to provide (more) private services to meet patient needs eg ear wax removal, travel vaccinations, weight management – five pharmacies</w:t>
      </w:r>
    </w:p>
    <w:p w14:paraId="52514697" w14:textId="77777777" w:rsidR="00824B25" w:rsidRPr="00D0306F" w:rsidRDefault="00824B25" w:rsidP="00824B25">
      <w:pPr>
        <w:numPr>
          <w:ilvl w:val="0"/>
          <w:numId w:val="30"/>
        </w:numPr>
        <w:rPr>
          <w:rFonts w:eastAsia="Aptos" w:cs="Arial"/>
          <w:szCs w:val="22"/>
          <w:lang w:eastAsia="en-GB"/>
        </w:rPr>
      </w:pPr>
      <w:r w:rsidRPr="00D0306F">
        <w:rPr>
          <w:rFonts w:eastAsia="Aptos" w:cs="Arial"/>
          <w:szCs w:val="22"/>
          <w:lang w:eastAsia="en-GB"/>
        </w:rPr>
        <w:t>Several pharmacies expressed an interest in providing more pharmacies, although concerns were noted about the current pressure on funding.</w:t>
      </w:r>
    </w:p>
    <w:p w14:paraId="130DE780" w14:textId="77777777" w:rsidR="00824B25" w:rsidRPr="00D0306F" w:rsidRDefault="00824B25" w:rsidP="00824B25">
      <w:pPr>
        <w:rPr>
          <w:rFonts w:eastAsia="Aptos" w:cs="Arial"/>
          <w:szCs w:val="22"/>
          <w:lang w:eastAsia="en-GB"/>
        </w:rPr>
      </w:pPr>
    </w:p>
    <w:p w14:paraId="1776C868" w14:textId="77777777" w:rsidR="00824B25" w:rsidRPr="00D0306F" w:rsidRDefault="00824B25" w:rsidP="00824B25">
      <w:pPr>
        <w:rPr>
          <w:rFonts w:eastAsia="Aptos" w:cs="Arial"/>
          <w:szCs w:val="22"/>
          <w:lang w:eastAsia="en-GB"/>
        </w:rPr>
      </w:pPr>
      <w:r w:rsidRPr="00D0306F">
        <w:rPr>
          <w:rFonts w:eastAsia="Aptos" w:cs="Arial"/>
          <w:szCs w:val="22"/>
          <w:lang w:eastAsia="en-GB"/>
        </w:rPr>
        <w:t>When asked if they have any plans to amend the opening hours, eight pharmacies said yes.</w:t>
      </w:r>
    </w:p>
    <w:p w14:paraId="42F30C62" w14:textId="77777777" w:rsidR="00824B25" w:rsidRPr="00D0306F" w:rsidRDefault="00824B25" w:rsidP="00824B25">
      <w:pPr>
        <w:rPr>
          <w:rFonts w:eastAsia="Aptos" w:cs="Arial"/>
          <w:szCs w:val="22"/>
          <w:lang w:eastAsia="en-GB"/>
        </w:rPr>
      </w:pPr>
    </w:p>
    <w:p w14:paraId="012ED3D6" w14:textId="77777777" w:rsidR="00824B25" w:rsidRPr="00D0306F" w:rsidRDefault="00824B25" w:rsidP="00824B25">
      <w:pPr>
        <w:numPr>
          <w:ilvl w:val="0"/>
          <w:numId w:val="31"/>
        </w:numPr>
        <w:rPr>
          <w:rFonts w:eastAsia="Aptos" w:cs="Arial"/>
          <w:szCs w:val="22"/>
          <w:lang w:eastAsia="en-GB"/>
        </w:rPr>
      </w:pPr>
      <w:r w:rsidRPr="00D0306F">
        <w:rPr>
          <w:rFonts w:eastAsia="Aptos" w:cs="Arial"/>
          <w:szCs w:val="22"/>
          <w:lang w:eastAsia="en-GB"/>
        </w:rPr>
        <w:t>One pharmacy will introduce Sunday opening hours from 24 May to 30 August 2026 (Bay locality)</w:t>
      </w:r>
    </w:p>
    <w:p w14:paraId="7C81701C" w14:textId="77777777" w:rsidR="00824B25" w:rsidRPr="00D0306F" w:rsidRDefault="00824B25" w:rsidP="00824B25">
      <w:pPr>
        <w:numPr>
          <w:ilvl w:val="0"/>
          <w:numId w:val="31"/>
        </w:numPr>
        <w:rPr>
          <w:rFonts w:eastAsia="Aptos" w:cs="Arial"/>
          <w:szCs w:val="22"/>
          <w:lang w:eastAsia="en-GB"/>
        </w:rPr>
      </w:pPr>
      <w:r w:rsidRPr="00D0306F">
        <w:rPr>
          <w:rFonts w:eastAsia="Aptos" w:cs="Arial"/>
          <w:szCs w:val="22"/>
          <w:lang w:eastAsia="en-GB"/>
        </w:rPr>
        <w:t>Two pharmacies would consider amending their opening hours, but this is dependent on the contract negotiations</w:t>
      </w:r>
    </w:p>
    <w:p w14:paraId="0CB6EB4C" w14:textId="77777777" w:rsidR="00824B25" w:rsidRPr="00D0306F" w:rsidRDefault="00824B25" w:rsidP="00824B25">
      <w:pPr>
        <w:numPr>
          <w:ilvl w:val="0"/>
          <w:numId w:val="31"/>
        </w:numPr>
        <w:rPr>
          <w:rFonts w:eastAsia="Aptos" w:cs="Arial"/>
          <w:szCs w:val="22"/>
          <w:lang w:eastAsia="en-GB"/>
        </w:rPr>
      </w:pPr>
      <w:r w:rsidRPr="00D0306F">
        <w:rPr>
          <w:rFonts w:eastAsia="Aptos" w:cs="Arial"/>
          <w:szCs w:val="22"/>
          <w:lang w:eastAsia="en-GB"/>
        </w:rPr>
        <w:t>One pharmacy is in discussion about a change</w:t>
      </w:r>
    </w:p>
    <w:p w14:paraId="606D6AB2" w14:textId="77777777" w:rsidR="00824B25" w:rsidRPr="00D0306F" w:rsidRDefault="00824B25" w:rsidP="00824B25">
      <w:pPr>
        <w:numPr>
          <w:ilvl w:val="0"/>
          <w:numId w:val="31"/>
        </w:numPr>
        <w:rPr>
          <w:rFonts w:eastAsia="Aptos" w:cs="Arial"/>
          <w:szCs w:val="22"/>
          <w:lang w:eastAsia="en-GB"/>
        </w:rPr>
      </w:pPr>
      <w:r w:rsidRPr="00D0306F">
        <w:rPr>
          <w:rFonts w:eastAsia="Aptos" w:cs="Arial"/>
          <w:szCs w:val="22"/>
          <w:lang w:eastAsia="en-GB"/>
        </w:rPr>
        <w:t>One pharmacy would like to introduce an out of hours satellite clinic as it is located in an area of high out of hours service usage.</w:t>
      </w:r>
    </w:p>
    <w:p w14:paraId="60A30F52" w14:textId="77777777" w:rsidR="00824B25" w:rsidRPr="00D0306F" w:rsidRDefault="00824B25" w:rsidP="00824B25">
      <w:pPr>
        <w:numPr>
          <w:ilvl w:val="0"/>
          <w:numId w:val="31"/>
        </w:numPr>
        <w:rPr>
          <w:rFonts w:eastAsia="Aptos" w:cs="Arial"/>
          <w:szCs w:val="22"/>
          <w:lang w:eastAsia="en-GB"/>
        </w:rPr>
      </w:pPr>
      <w:r w:rsidRPr="00D0306F">
        <w:rPr>
          <w:rFonts w:eastAsia="Aptos" w:cs="Arial"/>
          <w:szCs w:val="22"/>
          <w:lang w:eastAsia="en-GB"/>
        </w:rPr>
        <w:t>One pharmacy has successful applied to reduce their core opening hours and will introduce the change in June 2026.</w:t>
      </w:r>
    </w:p>
    <w:p w14:paraId="6A8FA2C4" w14:textId="77777777" w:rsidR="00824B25" w:rsidRPr="00D0306F" w:rsidRDefault="00824B25" w:rsidP="00824B25">
      <w:pPr>
        <w:numPr>
          <w:ilvl w:val="0"/>
          <w:numId w:val="31"/>
        </w:numPr>
        <w:rPr>
          <w:rFonts w:eastAsia="Aptos" w:cs="Arial"/>
          <w:szCs w:val="22"/>
          <w:lang w:eastAsia="en-GB"/>
        </w:rPr>
      </w:pPr>
      <w:r w:rsidRPr="00D0306F">
        <w:rPr>
          <w:rFonts w:eastAsia="Aptos" w:cs="Arial"/>
          <w:szCs w:val="22"/>
          <w:lang w:eastAsia="en-GB"/>
        </w:rPr>
        <w:t>One pharmacy is considering applying to close 30 minutes earlier.</w:t>
      </w:r>
    </w:p>
    <w:p w14:paraId="23641B36" w14:textId="77777777" w:rsidR="00824B25" w:rsidRPr="00D0306F" w:rsidRDefault="00824B25" w:rsidP="00824B25">
      <w:pPr>
        <w:rPr>
          <w:rFonts w:eastAsia="Aptos" w:cs="Arial"/>
          <w:szCs w:val="22"/>
          <w:lang w:eastAsia="en-GB"/>
        </w:rPr>
      </w:pPr>
    </w:p>
    <w:p w14:paraId="5274B092" w14:textId="77777777" w:rsidR="00824B25" w:rsidRPr="00D0306F" w:rsidRDefault="00824B25" w:rsidP="00824B25">
      <w:pPr>
        <w:rPr>
          <w:rFonts w:eastAsia="Aptos" w:cs="Arial"/>
          <w:szCs w:val="22"/>
          <w:lang w:eastAsia="en-GB"/>
        </w:rPr>
      </w:pPr>
      <w:r w:rsidRPr="00D0306F">
        <w:rPr>
          <w:rFonts w:eastAsia="Aptos" w:cs="Arial"/>
          <w:szCs w:val="22"/>
          <w:lang w:eastAsia="en-GB"/>
        </w:rPr>
        <w:t>The dispensing practice provided the following information – a copy of the questionnaire can be found in Appendix J.</w:t>
      </w:r>
    </w:p>
    <w:p w14:paraId="61A6B597" w14:textId="77777777" w:rsidR="00824B25" w:rsidRPr="00D0306F" w:rsidRDefault="00824B25" w:rsidP="00824B25">
      <w:pPr>
        <w:rPr>
          <w:rFonts w:eastAsia="Aptos" w:cs="Arial"/>
          <w:szCs w:val="22"/>
          <w:lang w:eastAsia="en-GB"/>
        </w:rPr>
      </w:pPr>
    </w:p>
    <w:p w14:paraId="539158EA" w14:textId="77777777" w:rsidR="00824B25" w:rsidRPr="00D0306F" w:rsidRDefault="00824B25" w:rsidP="00824B25">
      <w:pPr>
        <w:numPr>
          <w:ilvl w:val="0"/>
          <w:numId w:val="32"/>
        </w:numPr>
        <w:rPr>
          <w:rFonts w:eastAsia="Aptos" w:cs="Arial"/>
          <w:szCs w:val="22"/>
          <w:lang w:eastAsia="en-GB"/>
        </w:rPr>
      </w:pPr>
      <w:r w:rsidRPr="00D0306F">
        <w:rPr>
          <w:rFonts w:eastAsia="Aptos" w:cs="Arial"/>
          <w:szCs w:val="22"/>
          <w:lang w:eastAsia="en-GB"/>
        </w:rPr>
        <w:t>The dispensary is open 8.00am to 2.00pm Monday to Thursday, and 8.00am to 11.00am and 2.30pm to 6.30pm on Fridays.</w:t>
      </w:r>
    </w:p>
    <w:p w14:paraId="0A0CFAE7" w14:textId="77777777" w:rsidR="00824B25" w:rsidRPr="00D0306F" w:rsidRDefault="00824B25" w:rsidP="00824B25">
      <w:pPr>
        <w:numPr>
          <w:ilvl w:val="0"/>
          <w:numId w:val="32"/>
        </w:numPr>
        <w:rPr>
          <w:rFonts w:eastAsia="Aptos" w:cs="Arial"/>
          <w:szCs w:val="22"/>
          <w:lang w:eastAsia="en-GB"/>
        </w:rPr>
      </w:pPr>
      <w:r w:rsidRPr="00D0306F">
        <w:rPr>
          <w:rFonts w:eastAsia="Aptos" w:cs="Arial"/>
          <w:szCs w:val="22"/>
          <w:lang w:eastAsia="en-GB"/>
        </w:rPr>
        <w:t>Only dressings are dispensed.</w:t>
      </w:r>
    </w:p>
    <w:p w14:paraId="2F0226FE" w14:textId="77777777" w:rsidR="00824B25" w:rsidRPr="00D0306F" w:rsidRDefault="00824B25" w:rsidP="00824B25">
      <w:pPr>
        <w:numPr>
          <w:ilvl w:val="0"/>
          <w:numId w:val="32"/>
        </w:numPr>
        <w:rPr>
          <w:rFonts w:eastAsia="Aptos" w:cs="Arial"/>
          <w:szCs w:val="22"/>
          <w:lang w:eastAsia="en-GB"/>
        </w:rPr>
      </w:pPr>
      <w:r w:rsidRPr="00D0306F">
        <w:rPr>
          <w:rFonts w:eastAsia="Aptos" w:cs="Arial"/>
          <w:szCs w:val="22"/>
          <w:lang w:eastAsia="en-GB"/>
        </w:rPr>
        <w:t>A delivery service is provided to housebound patients.</w:t>
      </w:r>
    </w:p>
    <w:p w14:paraId="009EA529" w14:textId="77777777" w:rsidR="00824B25" w:rsidRPr="00D0306F" w:rsidRDefault="00824B25" w:rsidP="00824B25">
      <w:pPr>
        <w:numPr>
          <w:ilvl w:val="0"/>
          <w:numId w:val="32"/>
        </w:numPr>
        <w:rPr>
          <w:rFonts w:eastAsia="Aptos" w:cs="Arial"/>
          <w:szCs w:val="22"/>
          <w:lang w:eastAsia="en-GB"/>
        </w:rPr>
      </w:pPr>
      <w:r w:rsidRPr="00D0306F">
        <w:rPr>
          <w:rFonts w:eastAsia="Aptos" w:cs="Arial"/>
          <w:szCs w:val="22"/>
          <w:lang w:eastAsia="en-GB"/>
        </w:rPr>
        <w:t>There are no Welsh speakers and only English is spoken by staff.</w:t>
      </w:r>
    </w:p>
    <w:p w14:paraId="6132C2ED" w14:textId="77777777" w:rsidR="00824B25" w:rsidRPr="00D0306F" w:rsidRDefault="00824B25" w:rsidP="00824B25">
      <w:pPr>
        <w:numPr>
          <w:ilvl w:val="0"/>
          <w:numId w:val="32"/>
        </w:numPr>
        <w:rPr>
          <w:rFonts w:eastAsia="Aptos" w:cs="Arial"/>
          <w:szCs w:val="22"/>
          <w:lang w:eastAsia="en-GB"/>
        </w:rPr>
      </w:pPr>
      <w:r w:rsidRPr="00D0306F">
        <w:rPr>
          <w:rFonts w:eastAsia="Aptos" w:cs="Arial"/>
          <w:szCs w:val="22"/>
          <w:lang w:eastAsia="en-GB"/>
        </w:rPr>
        <w:t>The practice has sufficient capacity with its dispensary and dispensing staff to manage an increase in demand.</w:t>
      </w:r>
    </w:p>
    <w:p w14:paraId="736CDE4E" w14:textId="77777777" w:rsidR="00824B25" w:rsidRPr="00D0306F" w:rsidRDefault="00824B25" w:rsidP="00824B25">
      <w:pPr>
        <w:numPr>
          <w:ilvl w:val="0"/>
          <w:numId w:val="32"/>
        </w:numPr>
        <w:rPr>
          <w:rFonts w:eastAsia="Aptos" w:cs="Arial"/>
          <w:szCs w:val="22"/>
          <w:lang w:eastAsia="en-GB"/>
        </w:rPr>
      </w:pPr>
      <w:r w:rsidRPr="00D0306F">
        <w:rPr>
          <w:rFonts w:eastAsia="Aptos" w:cs="Arial"/>
          <w:szCs w:val="22"/>
          <w:lang w:eastAsia="en-GB"/>
        </w:rPr>
        <w:t>The practice has no plans to extend the dispensary.</w:t>
      </w:r>
    </w:p>
    <w:p w14:paraId="32994455" w14:textId="77777777" w:rsidR="00824B25" w:rsidRPr="00D0306F" w:rsidRDefault="00824B25" w:rsidP="00824B25">
      <w:pPr>
        <w:numPr>
          <w:ilvl w:val="0"/>
          <w:numId w:val="32"/>
        </w:numPr>
        <w:rPr>
          <w:rFonts w:eastAsia="Aptos" w:cs="Arial"/>
          <w:szCs w:val="22"/>
          <w:lang w:eastAsia="en-GB"/>
        </w:rPr>
      </w:pPr>
      <w:r w:rsidRPr="00D0306F">
        <w:rPr>
          <w:rFonts w:eastAsia="Aptos" w:cs="Arial"/>
          <w:szCs w:val="22"/>
          <w:lang w:eastAsia="en-GB"/>
        </w:rPr>
        <w:t>Medication administration review charts, dosette boxes and weekly collections are provided.</w:t>
      </w:r>
    </w:p>
    <w:p w14:paraId="3CDF3D3B" w14:textId="77777777" w:rsidR="00824B25" w:rsidRDefault="00824B25" w:rsidP="00824B25">
      <w:pPr>
        <w:rPr>
          <w:rFonts w:eastAsia="Aptos" w:cs="Arial"/>
          <w:szCs w:val="22"/>
          <w:lang w:eastAsia="en-GB"/>
        </w:rPr>
      </w:pPr>
    </w:p>
    <w:p w14:paraId="5B3CDDCB" w14:textId="77777777" w:rsidR="00824B25" w:rsidRPr="00D0306F" w:rsidRDefault="00824B25" w:rsidP="00824B25">
      <w:pPr>
        <w:rPr>
          <w:rFonts w:eastAsia="Aptos" w:cs="Arial"/>
          <w:b/>
          <w:bCs/>
          <w:sz w:val="26"/>
          <w:szCs w:val="26"/>
          <w:lang w:eastAsia="en-GB"/>
        </w:rPr>
      </w:pPr>
      <w:r w:rsidRPr="00D0306F">
        <w:rPr>
          <w:rFonts w:eastAsia="Aptos" w:cs="Arial"/>
          <w:b/>
          <w:bCs/>
          <w:sz w:val="26"/>
          <w:szCs w:val="26"/>
          <w:lang w:eastAsia="en-GB"/>
        </w:rPr>
        <w:t>1.5.5 Other sources of information</w:t>
      </w:r>
    </w:p>
    <w:p w14:paraId="49159B06" w14:textId="77777777" w:rsidR="00824B25" w:rsidRDefault="00824B25" w:rsidP="00824B25">
      <w:pPr>
        <w:rPr>
          <w:rFonts w:eastAsia="Aptos" w:cs="Arial"/>
          <w:szCs w:val="22"/>
          <w:lang w:eastAsia="en-GB"/>
        </w:rPr>
      </w:pPr>
    </w:p>
    <w:p w14:paraId="63C32954" w14:textId="77777777" w:rsidR="00BF6EE9" w:rsidRDefault="00824B25" w:rsidP="00824B25">
      <w:pPr>
        <w:rPr>
          <w:rFonts w:eastAsia="Aptos" w:cs="Arial"/>
          <w:szCs w:val="22"/>
          <w:lang w:val="en-US" w:eastAsia="en-GB"/>
        </w:rPr>
      </w:pPr>
      <w:r w:rsidRPr="00D0306F">
        <w:rPr>
          <w:rFonts w:eastAsia="Aptos" w:cs="Arial"/>
          <w:szCs w:val="22"/>
          <w:lang w:val="en-US" w:eastAsia="en-GB"/>
        </w:rPr>
        <w:t xml:space="preserve">A range of data sources have been used in the drafting of this document and are </w:t>
      </w:r>
    </w:p>
    <w:p w14:paraId="31E80677" w14:textId="79285552" w:rsidR="006341BE" w:rsidRDefault="00824B25" w:rsidP="00824B25">
      <w:pPr>
        <w:rPr>
          <w:rFonts w:eastAsia="Aptos" w:cs="Arial"/>
          <w:szCs w:val="22"/>
          <w:lang w:eastAsia="en-GB"/>
        </w:rPr>
      </w:pPr>
      <w:r w:rsidRPr="00D0306F">
        <w:rPr>
          <w:rFonts w:eastAsia="Aptos" w:cs="Arial"/>
          <w:szCs w:val="22"/>
          <w:lang w:val="en-US" w:eastAsia="en-GB"/>
        </w:rPr>
        <w:lastRenderedPageBreak/>
        <w:t>referenced throughout the chapters.</w:t>
      </w:r>
    </w:p>
    <w:p w14:paraId="77BE793C" w14:textId="77777777" w:rsidR="006341BE" w:rsidRPr="00D0306F" w:rsidRDefault="006341BE" w:rsidP="00824B25">
      <w:pPr>
        <w:rPr>
          <w:rFonts w:eastAsia="Aptos" w:cs="Arial"/>
          <w:szCs w:val="22"/>
          <w:lang w:eastAsia="en-GB"/>
        </w:rPr>
      </w:pPr>
    </w:p>
    <w:p w14:paraId="4C1C3630" w14:textId="77777777" w:rsidR="00824B25" w:rsidRPr="00D0306F" w:rsidRDefault="00824B25" w:rsidP="00824B25">
      <w:pPr>
        <w:rPr>
          <w:rFonts w:eastAsia="Aptos" w:cs="Arial"/>
          <w:b/>
          <w:bCs/>
          <w:sz w:val="26"/>
          <w:szCs w:val="26"/>
          <w:lang w:eastAsia="en-GB"/>
        </w:rPr>
      </w:pPr>
      <w:r w:rsidRPr="00D0306F">
        <w:rPr>
          <w:rFonts w:eastAsia="Aptos" w:cs="Arial"/>
          <w:b/>
          <w:bCs/>
          <w:sz w:val="26"/>
          <w:szCs w:val="26"/>
          <w:lang w:eastAsia="en-GB"/>
        </w:rPr>
        <w:t>1.5.6 Consultation</w:t>
      </w:r>
    </w:p>
    <w:p w14:paraId="03E5C91C" w14:textId="77777777" w:rsidR="006341BE" w:rsidRDefault="006341BE" w:rsidP="00824B25">
      <w:pPr>
        <w:rPr>
          <w:rFonts w:eastAsia="Aptos" w:cs="Arial"/>
          <w:color w:val="000000"/>
          <w:szCs w:val="22"/>
          <w:shd w:val="clear" w:color="auto" w:fill="FFFFFF"/>
        </w:rPr>
      </w:pPr>
    </w:p>
    <w:p w14:paraId="4D504015" w14:textId="388C92BA" w:rsidR="00824B25" w:rsidRPr="00D0306F" w:rsidRDefault="00824B25" w:rsidP="00824B25">
      <w:pPr>
        <w:rPr>
          <w:rFonts w:eastAsia="Aptos" w:cs="Arial"/>
          <w:color w:val="000000"/>
          <w:szCs w:val="22"/>
          <w:shd w:val="clear" w:color="auto" w:fill="FFFFFF"/>
        </w:rPr>
      </w:pPr>
      <w:r w:rsidRPr="00D0306F">
        <w:rPr>
          <w:rFonts w:eastAsia="Aptos" w:cs="Arial"/>
          <w:color w:val="000000"/>
          <w:szCs w:val="22"/>
          <w:shd w:val="clear" w:color="auto" w:fill="FFFFFF"/>
        </w:rPr>
        <w:t>A report of the consultation including any changes to the pharmaceutical needs assessment will be included at appendix K.</w:t>
      </w:r>
    </w:p>
    <w:p w14:paraId="1AB74278" w14:textId="77777777" w:rsidR="00824B25" w:rsidRPr="00D0306F" w:rsidRDefault="00824B25" w:rsidP="00824B25">
      <w:pPr>
        <w:rPr>
          <w:rFonts w:eastAsia="Aptos" w:cs="Arial"/>
          <w:szCs w:val="22"/>
        </w:rPr>
      </w:pPr>
    </w:p>
    <w:p w14:paraId="037DAB19" w14:textId="0B45985F" w:rsidR="00460384" w:rsidRPr="00D0306F" w:rsidRDefault="00460384">
      <w:pPr>
        <w:spacing w:after="160" w:line="278" w:lineRule="auto"/>
        <w:rPr>
          <w:rFonts w:eastAsia="Aptos" w:cs="Arial"/>
          <w:szCs w:val="22"/>
        </w:rPr>
      </w:pPr>
      <w:r w:rsidRPr="00D0306F">
        <w:rPr>
          <w:rFonts w:eastAsia="Aptos" w:cs="Arial"/>
          <w:szCs w:val="22"/>
        </w:rPr>
        <w:br w:type="page"/>
      </w:r>
    </w:p>
    <w:p w14:paraId="60D58776" w14:textId="77777777" w:rsidR="00460384" w:rsidRPr="00D0306F" w:rsidRDefault="00460384" w:rsidP="00460384">
      <w:pPr>
        <w:pStyle w:val="Heading1"/>
        <w:rPr>
          <w:rFonts w:eastAsia="Aptos"/>
          <w:sz w:val="28"/>
          <w:szCs w:val="28"/>
        </w:rPr>
      </w:pPr>
      <w:bookmarkStart w:id="8" w:name="_Toc230764393"/>
      <w:bookmarkStart w:id="9" w:name="_Toc235185373"/>
      <w:r w:rsidRPr="00D0306F">
        <w:rPr>
          <w:rFonts w:eastAsia="Aptos"/>
          <w:sz w:val="28"/>
          <w:szCs w:val="28"/>
        </w:rPr>
        <w:lastRenderedPageBreak/>
        <w:t>2 Overview of Swansea Bay University Health Board</w:t>
      </w:r>
      <w:bookmarkEnd w:id="8"/>
      <w:bookmarkEnd w:id="9"/>
    </w:p>
    <w:p w14:paraId="7ABAAF94" w14:textId="77777777" w:rsidR="00460384" w:rsidRPr="00D0306F" w:rsidRDefault="00460384" w:rsidP="00460384">
      <w:pPr>
        <w:rPr>
          <w:rFonts w:eastAsia="Aptos" w:cs="Times New Roman"/>
          <w:szCs w:val="22"/>
        </w:rPr>
      </w:pPr>
    </w:p>
    <w:p w14:paraId="66EEA851" w14:textId="77777777" w:rsidR="00460384" w:rsidRPr="00D0306F" w:rsidRDefault="00460384" w:rsidP="00460384">
      <w:pPr>
        <w:rPr>
          <w:rFonts w:eastAsia="Aptos" w:cs="Times New Roman"/>
          <w:b/>
          <w:sz w:val="26"/>
          <w:szCs w:val="22"/>
        </w:rPr>
      </w:pPr>
      <w:r w:rsidRPr="00D0306F">
        <w:rPr>
          <w:rFonts w:eastAsia="Aptos" w:cs="Times New Roman"/>
          <w:b/>
          <w:sz w:val="26"/>
          <w:szCs w:val="22"/>
        </w:rPr>
        <w:t>2.1 Introduction</w:t>
      </w:r>
    </w:p>
    <w:p w14:paraId="6CBC0676" w14:textId="77777777" w:rsidR="00460384" w:rsidRPr="00D0306F" w:rsidRDefault="00460384" w:rsidP="00977D0F">
      <w:pPr>
        <w:rPr>
          <w:rFonts w:eastAsia="Aptos" w:cs="Arial"/>
        </w:rPr>
      </w:pPr>
    </w:p>
    <w:p w14:paraId="0450D14F" w14:textId="77777777" w:rsidR="00460384" w:rsidRPr="00D0306F" w:rsidRDefault="00460384" w:rsidP="00977D0F">
      <w:pPr>
        <w:rPr>
          <w:rFonts w:eastAsia="Aptos" w:cs="Arial"/>
        </w:rPr>
      </w:pPr>
      <w:r w:rsidRPr="00D0306F">
        <w:rPr>
          <w:rFonts w:eastAsia="Aptos" w:cs="Arial"/>
        </w:rPr>
        <w:t>Swansea Bay University Health Board includes the unitary authorities of Swansea and Neath Port Talbot and covers population of around 401,571 (January 2026).</w:t>
      </w:r>
    </w:p>
    <w:p w14:paraId="2B7A81AB" w14:textId="77777777" w:rsidR="00460384" w:rsidRPr="00D0306F" w:rsidRDefault="00460384" w:rsidP="00977D0F">
      <w:pPr>
        <w:rPr>
          <w:rFonts w:eastAsia="Aptos" w:cs="Arial"/>
        </w:rPr>
      </w:pPr>
      <w:r w:rsidRPr="00D0306F">
        <w:rPr>
          <w:rFonts w:eastAsia="Aptos" w:cs="Arial"/>
        </w:rPr>
        <w:t>Swansea is the second largest city in Wales and the fifth</w:t>
      </w:r>
      <w:r w:rsidRPr="00D0306F">
        <w:rPr>
          <w:rFonts w:eastAsia="Aptos" w:cs="Arial"/>
          <w:vertAlign w:val="superscript"/>
        </w:rPr>
        <w:footnoteReference w:id="1"/>
      </w:r>
      <w:r w:rsidRPr="00D0306F">
        <w:rPr>
          <w:rFonts w:eastAsia="Aptos" w:cs="Arial"/>
        </w:rPr>
        <w:t xml:space="preserve"> most densely populated authority (666 persons per square kilometre, mid-2024 estimate) in the country after Cardiff, Newport, Torfaen, and Caerphilly. Swansea is the regional commercial centre for South West Wales.</w:t>
      </w:r>
    </w:p>
    <w:p w14:paraId="15CD38EB" w14:textId="77777777" w:rsidR="00460384" w:rsidRPr="00D0306F" w:rsidRDefault="00460384" w:rsidP="00977D0F">
      <w:pPr>
        <w:rPr>
          <w:rFonts w:eastAsia="Aptos" w:cs="Arial"/>
        </w:rPr>
      </w:pPr>
    </w:p>
    <w:p w14:paraId="7D0D40E5" w14:textId="77777777" w:rsidR="00460384" w:rsidRPr="00D0306F" w:rsidRDefault="00460384" w:rsidP="00977D0F">
      <w:pPr>
        <w:rPr>
          <w:rFonts w:eastAsia="Aptos" w:cs="Arial"/>
        </w:rPr>
      </w:pPr>
      <w:r w:rsidRPr="00D0306F">
        <w:rPr>
          <w:rFonts w:eastAsia="Aptos" w:cs="Arial"/>
        </w:rPr>
        <w:t>Swansea is approximately 378 square kilometres which equates to 69.1% rural and 30.9% urban.</w:t>
      </w:r>
    </w:p>
    <w:p w14:paraId="007F93DF" w14:textId="77777777" w:rsidR="00460384" w:rsidRPr="00D0306F" w:rsidRDefault="00460384" w:rsidP="00977D0F">
      <w:pPr>
        <w:rPr>
          <w:rFonts w:eastAsia="Aptos" w:cs="Arial"/>
        </w:rPr>
      </w:pPr>
    </w:p>
    <w:p w14:paraId="39587D19" w14:textId="77777777" w:rsidR="00460384" w:rsidRPr="00D0306F" w:rsidRDefault="00460384" w:rsidP="00977D0F">
      <w:pPr>
        <w:rPr>
          <w:rFonts w:eastAsia="Aptos" w:cs="Arial"/>
        </w:rPr>
      </w:pPr>
      <w:r w:rsidRPr="00D0306F">
        <w:rPr>
          <w:rFonts w:eastAsia="Aptos" w:cs="Arial"/>
        </w:rPr>
        <w:t>There are around 20,900 hectares of land farmed in the county with around 380 economically active farms as of June 2020</w:t>
      </w:r>
      <w:r w:rsidRPr="00D0306F">
        <w:rPr>
          <w:rFonts w:eastAsia="Aptos" w:cs="Arial"/>
          <w:vertAlign w:val="superscript"/>
        </w:rPr>
        <w:footnoteReference w:id="2"/>
      </w:r>
      <w:r w:rsidRPr="00D0306F">
        <w:rPr>
          <w:rFonts w:eastAsia="Aptos" w:cs="Arial"/>
        </w:rPr>
        <w:t>. Swansea contains 31 conservation areas</w:t>
      </w:r>
      <w:r w:rsidRPr="00D0306F">
        <w:rPr>
          <w:rFonts w:eastAsia="Aptos" w:cs="Arial"/>
          <w:vertAlign w:val="superscript"/>
        </w:rPr>
        <w:footnoteReference w:id="3"/>
      </w:r>
      <w:r w:rsidRPr="00D0306F">
        <w:rPr>
          <w:rFonts w:eastAsia="Aptos" w:cs="Arial"/>
        </w:rPr>
        <w:t xml:space="preserve"> (February 2025), 122 ancient monuments</w:t>
      </w:r>
      <w:r w:rsidRPr="00D0306F">
        <w:rPr>
          <w:rFonts w:eastAsia="Aptos" w:cs="Arial"/>
          <w:vertAlign w:val="superscript"/>
        </w:rPr>
        <w:footnoteReference w:id="4"/>
      </w:r>
      <w:r w:rsidRPr="00D0306F">
        <w:rPr>
          <w:rFonts w:eastAsia="Aptos" w:cs="Arial"/>
        </w:rPr>
        <w:t xml:space="preserve"> (February 2023) and over 500 listed buildings</w:t>
      </w:r>
      <w:r w:rsidRPr="00D0306F">
        <w:rPr>
          <w:rFonts w:eastAsia="Aptos" w:cs="Arial"/>
          <w:vertAlign w:val="superscript"/>
        </w:rPr>
        <w:footnoteReference w:id="5"/>
      </w:r>
      <w:r w:rsidRPr="00D0306F">
        <w:rPr>
          <w:rFonts w:eastAsia="Aptos" w:cs="Arial"/>
        </w:rPr>
        <w:t>.</w:t>
      </w:r>
    </w:p>
    <w:p w14:paraId="12C3EC92" w14:textId="77777777" w:rsidR="00460384" w:rsidRPr="00D0306F" w:rsidRDefault="00460384" w:rsidP="00977D0F">
      <w:pPr>
        <w:rPr>
          <w:rFonts w:eastAsia="Aptos" w:cs="Arial"/>
        </w:rPr>
      </w:pPr>
    </w:p>
    <w:p w14:paraId="01575CBB" w14:textId="77777777" w:rsidR="00460384" w:rsidRPr="00D0306F" w:rsidRDefault="00460384" w:rsidP="00977D0F">
      <w:pPr>
        <w:rPr>
          <w:rFonts w:eastAsia="Aptos" w:cs="Arial"/>
        </w:rPr>
      </w:pPr>
      <w:r w:rsidRPr="00D0306F">
        <w:rPr>
          <w:rFonts w:eastAsia="Aptos" w:cs="Arial"/>
        </w:rPr>
        <w:t>Swansea is a university city that is home to Swansea University</w:t>
      </w:r>
      <w:r w:rsidRPr="00D0306F">
        <w:rPr>
          <w:rFonts w:eastAsia="Aptos" w:cs="Arial"/>
          <w:vertAlign w:val="superscript"/>
        </w:rPr>
        <w:footnoteReference w:id="6"/>
      </w:r>
      <w:r w:rsidRPr="00D0306F">
        <w:rPr>
          <w:rFonts w:eastAsia="Aptos" w:cs="Arial"/>
        </w:rPr>
        <w:t xml:space="preserve"> (Singleton Park and Bay Campus’), and The University of Wales Trinity Saint David</w:t>
      </w:r>
      <w:r w:rsidRPr="00D0306F">
        <w:rPr>
          <w:rFonts w:eastAsia="Aptos" w:cs="Arial"/>
          <w:vertAlign w:val="superscript"/>
        </w:rPr>
        <w:footnoteReference w:id="7"/>
      </w:r>
      <w:r w:rsidRPr="00D0306F">
        <w:rPr>
          <w:rFonts w:eastAsia="Aptos" w:cs="Arial"/>
        </w:rPr>
        <w:t>. It is also home to a further education college Gower College Swansea</w:t>
      </w:r>
      <w:r w:rsidRPr="00D0306F">
        <w:rPr>
          <w:rFonts w:eastAsia="Aptos" w:cs="Arial"/>
          <w:vertAlign w:val="superscript"/>
        </w:rPr>
        <w:footnoteReference w:id="8"/>
      </w:r>
      <w:r w:rsidRPr="00D0306F">
        <w:rPr>
          <w:rFonts w:eastAsia="Aptos" w:cs="Arial"/>
        </w:rPr>
        <w:t xml:space="preserve"> with campuses at Tycoch, Gorseinon, and Llwyn Bryn. In total they support around 39,180 full-time students (2022/23)</w:t>
      </w:r>
      <w:r w:rsidRPr="00D0306F">
        <w:rPr>
          <w:rFonts w:eastAsia="Aptos" w:cs="Arial"/>
          <w:vertAlign w:val="superscript"/>
        </w:rPr>
        <w:footnoteReference w:id="9"/>
      </w:r>
      <w:r w:rsidRPr="00D0306F">
        <w:rPr>
          <w:rFonts w:eastAsia="Aptos" w:cs="Arial"/>
        </w:rPr>
        <w:t>.</w:t>
      </w:r>
    </w:p>
    <w:p w14:paraId="0F8D348C" w14:textId="77777777" w:rsidR="00460384" w:rsidRPr="00D0306F" w:rsidRDefault="00460384" w:rsidP="00977D0F">
      <w:pPr>
        <w:rPr>
          <w:rFonts w:eastAsia="Aptos" w:cs="Arial"/>
        </w:rPr>
      </w:pPr>
    </w:p>
    <w:p w14:paraId="3725A4B2" w14:textId="77777777" w:rsidR="00460384" w:rsidRPr="00D0306F" w:rsidRDefault="00460384" w:rsidP="00977D0F">
      <w:pPr>
        <w:rPr>
          <w:rFonts w:eastAsia="Aptos" w:cs="Arial"/>
        </w:rPr>
      </w:pPr>
      <w:r w:rsidRPr="00D0306F">
        <w:rPr>
          <w:rFonts w:eastAsia="Aptos" w:cs="Arial"/>
        </w:rPr>
        <w:t>Swansea is a tourist destination for its coastal walks, water sports, beaches, and nightlife. It is estimated that approximately 4.2 million people visited Swansea Bay in 2022, with tourism worth over £510 million to the local economy</w:t>
      </w:r>
      <w:r w:rsidRPr="00D0306F">
        <w:rPr>
          <w:rFonts w:eastAsia="Aptos" w:cs="Arial"/>
          <w:vertAlign w:val="superscript"/>
        </w:rPr>
        <w:footnoteReference w:id="10"/>
      </w:r>
      <w:r w:rsidRPr="00D0306F">
        <w:rPr>
          <w:rFonts w:eastAsia="Aptos" w:cs="Arial"/>
        </w:rPr>
        <w:t>.</w:t>
      </w:r>
    </w:p>
    <w:p w14:paraId="3A2C0ABB" w14:textId="77777777" w:rsidR="00460384" w:rsidRPr="00D0306F" w:rsidRDefault="00460384" w:rsidP="00977D0F">
      <w:pPr>
        <w:rPr>
          <w:rFonts w:eastAsia="Aptos" w:cs="Arial"/>
        </w:rPr>
      </w:pPr>
    </w:p>
    <w:p w14:paraId="46A483CC" w14:textId="77777777" w:rsidR="00460384" w:rsidRPr="00D0306F" w:rsidRDefault="00460384" w:rsidP="00977D0F">
      <w:pPr>
        <w:rPr>
          <w:rFonts w:eastAsia="Aptos" w:cs="Arial"/>
        </w:rPr>
      </w:pPr>
      <w:r w:rsidRPr="00D0306F">
        <w:rPr>
          <w:rFonts w:eastAsia="Aptos" w:cs="Arial"/>
        </w:rPr>
        <w:t>Swansea has 72.2% of working aged residents (16-64) who are economically active, which equates to approximately 120,800 economically active people, of whom around 108,000 are in employment. 7,400 people in Swansea (6.4% of the economically active population age 16 years and over) are unemployed (survey period ending December 2025)</w:t>
      </w:r>
      <w:r w:rsidRPr="00D0306F">
        <w:rPr>
          <w:rFonts w:eastAsia="Aptos" w:cs="Arial"/>
          <w:vertAlign w:val="superscript"/>
        </w:rPr>
        <w:footnoteReference w:id="11"/>
      </w:r>
      <w:r w:rsidRPr="00D0306F">
        <w:rPr>
          <w:rFonts w:eastAsia="Aptos" w:cs="Arial"/>
        </w:rPr>
        <w:t xml:space="preserve">. </w:t>
      </w:r>
    </w:p>
    <w:p w14:paraId="3060F71C" w14:textId="77777777" w:rsidR="00460384" w:rsidRPr="00D0306F" w:rsidRDefault="00460384" w:rsidP="00977D0F">
      <w:pPr>
        <w:rPr>
          <w:rFonts w:eastAsia="Aptos" w:cs="Arial"/>
        </w:rPr>
      </w:pPr>
    </w:p>
    <w:p w14:paraId="12F4CA63" w14:textId="77777777" w:rsidR="00460384" w:rsidRPr="00D0306F" w:rsidRDefault="00460384" w:rsidP="00977D0F">
      <w:pPr>
        <w:rPr>
          <w:rFonts w:eastAsia="Aptos" w:cs="Arial"/>
        </w:rPr>
      </w:pPr>
      <w:r w:rsidRPr="00D0306F">
        <w:rPr>
          <w:rFonts w:eastAsia="Aptos" w:cs="Arial"/>
        </w:rPr>
        <w:t>108,000 employees work in Swansea, mostly (88.9%) in the service sectors, with 31.3% (33,700) employed in the public sector. An estimated 25,700 people commute into Swansea each day.</w:t>
      </w:r>
    </w:p>
    <w:p w14:paraId="5404E9F1" w14:textId="77777777" w:rsidR="00460384" w:rsidRPr="00D0306F" w:rsidRDefault="00460384" w:rsidP="00977D0F">
      <w:pPr>
        <w:rPr>
          <w:rFonts w:eastAsia="Aptos" w:cs="Arial"/>
        </w:rPr>
      </w:pPr>
    </w:p>
    <w:p w14:paraId="5B8FA24F" w14:textId="77777777" w:rsidR="00460384" w:rsidRPr="00D0306F" w:rsidRDefault="00460384" w:rsidP="00977D0F">
      <w:pPr>
        <w:rPr>
          <w:rFonts w:eastAsia="Aptos" w:cs="Arial"/>
        </w:rPr>
      </w:pPr>
      <w:r w:rsidRPr="00D0306F">
        <w:rPr>
          <w:rFonts w:eastAsia="Aptos" w:cs="Arial"/>
        </w:rPr>
        <w:lastRenderedPageBreak/>
        <w:t>There were 7,325 active businesses in Swansea in 2024, representing a small increase on the previous year. During 2024, 835 new businesses were registered, while 790 businesses closed, indicating a broadly stable business population.</w:t>
      </w:r>
      <w:r w:rsidRPr="00D0306F">
        <w:rPr>
          <w:rFonts w:eastAsia="Aptos" w:cs="Arial"/>
          <w:vertAlign w:val="superscript"/>
        </w:rPr>
        <w:footnoteReference w:id="12"/>
      </w:r>
      <w:r w:rsidRPr="00D0306F">
        <w:rPr>
          <w:rFonts w:eastAsia="Aptos" w:cs="Arial"/>
        </w:rPr>
        <w:t xml:space="preserve"> </w:t>
      </w:r>
    </w:p>
    <w:p w14:paraId="30528FC9" w14:textId="77777777" w:rsidR="00460384" w:rsidRPr="00D0306F" w:rsidRDefault="00460384" w:rsidP="00977D0F">
      <w:pPr>
        <w:rPr>
          <w:rFonts w:eastAsia="Aptos" w:cs="Arial"/>
          <w:noProof/>
          <w:lang w:val="en-US"/>
        </w:rPr>
      </w:pPr>
    </w:p>
    <w:p w14:paraId="6A62D8C0" w14:textId="77777777" w:rsidR="00460384" w:rsidRPr="00D0306F" w:rsidRDefault="00460384" w:rsidP="00977D0F">
      <w:pPr>
        <w:rPr>
          <w:rFonts w:eastAsia="Aptos" w:cs="Arial"/>
        </w:rPr>
      </w:pPr>
      <w:r w:rsidRPr="00D0306F">
        <w:rPr>
          <w:rFonts w:eastAsia="Aptos" w:cs="Arial"/>
        </w:rPr>
        <w:t>Neath Port Talbot is one of the unitary authority areas of Wales. The main towns are Neath, Port Talbot, Pontardawe, and Glynneath. Neath Port Talbot is the 11</w:t>
      </w:r>
      <w:r w:rsidRPr="00D0306F">
        <w:rPr>
          <w:rFonts w:eastAsia="Aptos" w:cs="Arial"/>
          <w:vertAlign w:val="superscript"/>
        </w:rPr>
        <w:t>th</w:t>
      </w:r>
      <w:r w:rsidRPr="00D0306F">
        <w:rPr>
          <w:rFonts w:eastAsia="Aptos" w:cs="Arial"/>
        </w:rPr>
        <w:t>-least densely populated local authority areas in Wales</w:t>
      </w:r>
      <w:r w:rsidRPr="00D0306F">
        <w:rPr>
          <w:rFonts w:eastAsia="Aptos" w:cs="Arial"/>
          <w:vertAlign w:val="superscript"/>
        </w:rPr>
        <w:footnoteReference w:id="13"/>
      </w:r>
      <w:r w:rsidRPr="00D0306F">
        <w:rPr>
          <w:rFonts w:eastAsia="Aptos" w:cs="Arial"/>
        </w:rPr>
        <w:t>.</w:t>
      </w:r>
    </w:p>
    <w:p w14:paraId="6D222992" w14:textId="77777777" w:rsidR="00460384" w:rsidRPr="00D0306F" w:rsidRDefault="00460384" w:rsidP="00977D0F">
      <w:pPr>
        <w:rPr>
          <w:rFonts w:eastAsia="Aptos" w:cs="Arial"/>
        </w:rPr>
      </w:pPr>
    </w:p>
    <w:p w14:paraId="52A1AE7D" w14:textId="77777777" w:rsidR="00460384" w:rsidRPr="00D0306F" w:rsidRDefault="00460384" w:rsidP="00977D0F">
      <w:pPr>
        <w:rPr>
          <w:rFonts w:eastAsia="Aptos" w:cs="Arial"/>
        </w:rPr>
      </w:pPr>
      <w:r w:rsidRPr="00D0306F">
        <w:rPr>
          <w:rFonts w:eastAsia="Aptos" w:cs="Arial"/>
        </w:rPr>
        <w:t>43% of the land in Neath Port Talbot is covered by forestry with major conifer plantations in upland areas. The coastal land around Port Talbot is mainly low-lying flat land. An extensive dune system stretches along much of the coast, broken by river mouths and areas of development</w:t>
      </w:r>
      <w:r w:rsidRPr="00D0306F">
        <w:rPr>
          <w:rFonts w:eastAsia="Aptos" w:cs="Arial"/>
          <w:vertAlign w:val="superscript"/>
        </w:rPr>
        <w:footnoteReference w:id="14"/>
      </w:r>
      <w:r w:rsidRPr="00D0306F">
        <w:rPr>
          <w:rFonts w:eastAsia="Aptos" w:cs="Arial"/>
        </w:rPr>
        <w:t>. The modern settlement patterns in the county reflect the industrial history of the area, with towns and villages lining the valleys where the coal industry had developed and at the coming together of the numerous river valleys</w:t>
      </w:r>
      <w:r w:rsidRPr="00D0306F">
        <w:rPr>
          <w:rFonts w:eastAsia="Aptos" w:cs="Arial"/>
          <w:vertAlign w:val="superscript"/>
        </w:rPr>
        <w:footnoteReference w:id="15"/>
      </w:r>
      <w:r w:rsidRPr="00D0306F">
        <w:rPr>
          <w:rFonts w:eastAsia="Aptos" w:cs="Arial"/>
        </w:rPr>
        <w:t xml:space="preserve">. </w:t>
      </w:r>
    </w:p>
    <w:p w14:paraId="1FAFD358" w14:textId="77777777" w:rsidR="00460384" w:rsidRPr="00D0306F" w:rsidRDefault="00460384" w:rsidP="00977D0F">
      <w:pPr>
        <w:rPr>
          <w:rFonts w:eastAsia="Aptos" w:cs="Arial"/>
        </w:rPr>
      </w:pPr>
    </w:p>
    <w:p w14:paraId="374B99F5" w14:textId="77777777" w:rsidR="00460384" w:rsidRPr="00D0306F" w:rsidRDefault="00460384" w:rsidP="00977D0F">
      <w:pPr>
        <w:rPr>
          <w:rFonts w:eastAsia="Aptos" w:cs="Arial"/>
        </w:rPr>
      </w:pPr>
      <w:r w:rsidRPr="00D0306F">
        <w:rPr>
          <w:rFonts w:eastAsia="Aptos" w:cs="Arial"/>
        </w:rPr>
        <w:t>Neath Port Talbot has 72.1% of working aged residents (16-64) who are economically active. This equates to around 63,500 people in active employment</w:t>
      </w:r>
      <w:r w:rsidRPr="00D0306F">
        <w:rPr>
          <w:rFonts w:eastAsia="Aptos" w:cs="Arial"/>
          <w:vertAlign w:val="superscript"/>
        </w:rPr>
        <w:footnoteReference w:id="16"/>
      </w:r>
      <w:r w:rsidRPr="00D0306F">
        <w:rPr>
          <w:rFonts w:eastAsia="Aptos" w:cs="Arial"/>
        </w:rPr>
        <w:t xml:space="preserve"> (survey period December 2025). There were 1,900 unemployed people in Neath Port Talbot, representing around 3.1% of the economically active population between ages 16 and 64. </w:t>
      </w:r>
    </w:p>
    <w:p w14:paraId="6A5E0E50" w14:textId="77777777" w:rsidR="00460384" w:rsidRPr="00D0306F" w:rsidRDefault="00460384" w:rsidP="00977D0F">
      <w:pPr>
        <w:rPr>
          <w:rFonts w:eastAsia="Aptos" w:cs="Arial"/>
        </w:rPr>
      </w:pPr>
    </w:p>
    <w:p w14:paraId="355809C0" w14:textId="77777777" w:rsidR="00460384" w:rsidRPr="00D0306F" w:rsidRDefault="00460384" w:rsidP="00977D0F">
      <w:pPr>
        <w:rPr>
          <w:rFonts w:eastAsia="Aptos" w:cs="Arial"/>
        </w:rPr>
      </w:pPr>
      <w:r w:rsidRPr="00D0306F">
        <w:rPr>
          <w:rFonts w:eastAsia="Aptos" w:cs="Arial"/>
        </w:rPr>
        <w:t>The largest employment sectors in Neath Port Talbot remain manufacturing, accounting for approximately 18–19% of total employment, and health and social care, which employs around 15% of the workforce.</w:t>
      </w:r>
    </w:p>
    <w:p w14:paraId="0D7AD9CE" w14:textId="77777777" w:rsidR="00460384" w:rsidRPr="00D0306F" w:rsidRDefault="00460384" w:rsidP="00977D0F">
      <w:pPr>
        <w:rPr>
          <w:rFonts w:eastAsia="Aptos" w:cs="Arial"/>
        </w:rPr>
      </w:pPr>
    </w:p>
    <w:p w14:paraId="3D025927" w14:textId="77777777" w:rsidR="00460384" w:rsidRPr="00D0306F" w:rsidRDefault="00460384" w:rsidP="00977D0F">
      <w:pPr>
        <w:rPr>
          <w:rFonts w:eastAsia="Aptos" w:cs="Arial"/>
          <w:b/>
          <w:sz w:val="26"/>
          <w:szCs w:val="26"/>
        </w:rPr>
      </w:pPr>
      <w:r w:rsidRPr="00D0306F">
        <w:rPr>
          <w:rFonts w:eastAsia="Aptos" w:cs="Arial"/>
          <w:b/>
          <w:sz w:val="26"/>
          <w:szCs w:val="26"/>
        </w:rPr>
        <w:t>2.2 Population of Swansea Bay area</w:t>
      </w:r>
    </w:p>
    <w:p w14:paraId="1E22F22E" w14:textId="77777777" w:rsidR="00460384" w:rsidRPr="00D0306F" w:rsidRDefault="00460384" w:rsidP="00977D0F">
      <w:pPr>
        <w:rPr>
          <w:rFonts w:eastAsia="Aptos" w:cs="Arial"/>
          <w:b/>
          <w:bCs/>
        </w:rPr>
      </w:pPr>
    </w:p>
    <w:p w14:paraId="3DB18D5A" w14:textId="77777777" w:rsidR="00460384" w:rsidRPr="00D0306F" w:rsidRDefault="00460384" w:rsidP="00977D0F">
      <w:pPr>
        <w:rPr>
          <w:rFonts w:eastAsia="Aptos" w:cs="Arial"/>
          <w:b/>
          <w:bCs/>
        </w:rPr>
      </w:pPr>
      <w:r w:rsidRPr="00D0306F">
        <w:rPr>
          <w:rFonts w:eastAsia="Aptos" w:cs="Arial"/>
          <w:b/>
          <w:bCs/>
        </w:rPr>
        <w:t>2.2.1 Projected population statistics</w:t>
      </w:r>
    </w:p>
    <w:p w14:paraId="5F8889D7" w14:textId="77777777" w:rsidR="00460384" w:rsidRPr="00D0306F" w:rsidRDefault="00460384" w:rsidP="00977D0F">
      <w:pPr>
        <w:contextualSpacing/>
        <w:rPr>
          <w:rFonts w:eastAsia="Aptos" w:cs="Arial"/>
        </w:rPr>
      </w:pPr>
    </w:p>
    <w:p w14:paraId="141CD646" w14:textId="77777777" w:rsidR="00460384" w:rsidRPr="00D0306F" w:rsidRDefault="00460384" w:rsidP="00977D0F">
      <w:pPr>
        <w:contextualSpacing/>
        <w:rPr>
          <w:rFonts w:eastAsia="Aptos" w:cs="Arial"/>
        </w:rPr>
      </w:pPr>
      <w:r w:rsidRPr="00D0306F">
        <w:rPr>
          <w:rFonts w:eastAsia="Aptos" w:cs="Arial"/>
        </w:rPr>
        <w:t>The Office for National Statistics official census and labour market statistics</w:t>
      </w:r>
      <w:r w:rsidRPr="00D0306F">
        <w:rPr>
          <w:rFonts w:eastAsia="Aptos" w:cs="Arial"/>
          <w:vertAlign w:val="superscript"/>
        </w:rPr>
        <w:footnoteReference w:id="17"/>
      </w:r>
      <w:r w:rsidRPr="00D0306F">
        <w:rPr>
          <w:rFonts w:eastAsia="Aptos" w:cs="Arial"/>
        </w:rPr>
        <w:t xml:space="preserve"> estimate the total population (2024) of the Swansea Bay University Health Board area at 394,553. For Swansea, the total population estimate is 251,304 and for Neath Port Talbot it is 143,249.</w:t>
      </w:r>
    </w:p>
    <w:p w14:paraId="3154F4C0" w14:textId="77777777" w:rsidR="00460384" w:rsidRPr="00D0306F" w:rsidRDefault="00460384" w:rsidP="00977D0F">
      <w:pPr>
        <w:contextualSpacing/>
        <w:rPr>
          <w:rFonts w:eastAsia="Aptos" w:cs="Arial"/>
          <w:lang w:eastAsia="en-GB"/>
        </w:rPr>
      </w:pPr>
    </w:p>
    <w:p w14:paraId="233E41DE" w14:textId="77777777" w:rsidR="00460384" w:rsidRPr="00D0306F" w:rsidRDefault="00460384" w:rsidP="00977D0F">
      <w:pPr>
        <w:rPr>
          <w:rFonts w:eastAsia="Aptos" w:cs="Arial"/>
        </w:rPr>
      </w:pPr>
      <w:r w:rsidRPr="00D0306F">
        <w:rPr>
          <w:rFonts w:eastAsia="Aptos" w:cs="Arial"/>
        </w:rPr>
        <w:t>Based on the local authority population projections between mid-year 2022 and mid-year 2032</w:t>
      </w:r>
      <w:r w:rsidRPr="00D0306F">
        <w:rPr>
          <w:rFonts w:eastAsia="Aptos" w:cs="Arial"/>
          <w:vertAlign w:val="superscript"/>
        </w:rPr>
        <w:footnoteReference w:id="18"/>
      </w:r>
      <w:r w:rsidRPr="00D0306F">
        <w:rPr>
          <w:rFonts w:eastAsia="Aptos" w:cs="Arial"/>
        </w:rPr>
        <w:t xml:space="preserve"> the population of Swansea is estimated to increase by 14,900 (6.1%) and the population of Neath Port Talbot to increase by 4,345 (3.1%). </w:t>
      </w:r>
    </w:p>
    <w:p w14:paraId="2671AC81" w14:textId="77777777" w:rsidR="00460384" w:rsidRPr="00D0306F" w:rsidRDefault="00460384" w:rsidP="00977D0F">
      <w:pPr>
        <w:rPr>
          <w:rFonts w:eastAsia="Aptos" w:cs="Arial"/>
        </w:rPr>
      </w:pPr>
    </w:p>
    <w:p w14:paraId="71F395F2" w14:textId="77777777" w:rsidR="00460384" w:rsidRPr="00D0306F" w:rsidRDefault="00460384" w:rsidP="00977D0F">
      <w:pPr>
        <w:rPr>
          <w:rFonts w:eastAsia="Aptos" w:cs="Arial"/>
        </w:rPr>
      </w:pPr>
      <w:r w:rsidRPr="00D0306F">
        <w:rPr>
          <w:rFonts w:eastAsia="Aptos" w:cs="Arial"/>
        </w:rPr>
        <w:t xml:space="preserve">Swansea has the eighth highest level of projected percentage growth in Wales, with Cardiff being the largest (10.5%). </w:t>
      </w:r>
    </w:p>
    <w:p w14:paraId="28CC50E3" w14:textId="77777777" w:rsidR="00460384" w:rsidRPr="00D0306F" w:rsidRDefault="00460384" w:rsidP="00977D0F">
      <w:pPr>
        <w:rPr>
          <w:rFonts w:eastAsia="Aptos" w:cs="Arial"/>
        </w:rPr>
      </w:pPr>
    </w:p>
    <w:p w14:paraId="4147E490" w14:textId="77777777" w:rsidR="00460384" w:rsidRPr="00D0306F" w:rsidRDefault="00460384" w:rsidP="00977D0F">
      <w:pPr>
        <w:rPr>
          <w:rFonts w:eastAsia="Aptos" w:cs="Arial"/>
        </w:rPr>
      </w:pPr>
      <w:r w:rsidRPr="00D0306F">
        <w:rPr>
          <w:rFonts w:eastAsia="Aptos" w:cs="Arial"/>
        </w:rPr>
        <w:t>The population of Swansea is expected to increase from 242,812 to 257,712 between 2022 and 2032 (6.1%). The main projected trends are:</w:t>
      </w:r>
    </w:p>
    <w:p w14:paraId="7E1848D1" w14:textId="77777777" w:rsidR="00460384" w:rsidRPr="00D0306F" w:rsidRDefault="00460384" w:rsidP="00977D0F">
      <w:pPr>
        <w:rPr>
          <w:rFonts w:eastAsia="Aptos" w:cs="Arial"/>
        </w:rPr>
      </w:pPr>
    </w:p>
    <w:p w14:paraId="04AE7855" w14:textId="77777777" w:rsidR="00460384" w:rsidRPr="00D0306F" w:rsidRDefault="00460384" w:rsidP="00977D0F">
      <w:pPr>
        <w:numPr>
          <w:ilvl w:val="0"/>
          <w:numId w:val="34"/>
        </w:numPr>
        <w:rPr>
          <w:rFonts w:eastAsia="Aptos" w:cs="Arial"/>
        </w:rPr>
      </w:pPr>
      <w:r w:rsidRPr="00D0306F">
        <w:rPr>
          <w:rFonts w:eastAsia="Aptos" w:cs="Arial"/>
        </w:rPr>
        <w:t>The population of 0-15 years is expected to decrease by 5.7%</w:t>
      </w:r>
    </w:p>
    <w:p w14:paraId="344B18D7" w14:textId="77777777" w:rsidR="00460384" w:rsidRPr="00D0306F" w:rsidRDefault="00460384" w:rsidP="00977D0F">
      <w:pPr>
        <w:numPr>
          <w:ilvl w:val="0"/>
          <w:numId w:val="34"/>
        </w:numPr>
        <w:rPr>
          <w:rFonts w:eastAsia="Aptos" w:cs="Arial"/>
        </w:rPr>
      </w:pPr>
      <w:r w:rsidRPr="00D0306F">
        <w:rPr>
          <w:rFonts w:eastAsia="Aptos" w:cs="Arial"/>
        </w:rPr>
        <w:t>The number of working age people (aged 16-64) is expected to increase by 9.800 people (6.5%).</w:t>
      </w:r>
    </w:p>
    <w:p w14:paraId="4004C047" w14:textId="77777777" w:rsidR="00460384" w:rsidRPr="00D0306F" w:rsidRDefault="00460384" w:rsidP="00977D0F">
      <w:pPr>
        <w:numPr>
          <w:ilvl w:val="0"/>
          <w:numId w:val="34"/>
        </w:numPr>
        <w:rPr>
          <w:rFonts w:eastAsia="Aptos" w:cs="Arial"/>
        </w:rPr>
      </w:pPr>
      <w:r w:rsidRPr="00D0306F">
        <w:rPr>
          <w:rFonts w:eastAsia="Aptos" w:cs="Arial"/>
        </w:rPr>
        <w:t>By 2032 the number of people aged between 65 and 74 is expected to increase by 12.7%</w:t>
      </w:r>
    </w:p>
    <w:p w14:paraId="11514B46" w14:textId="77777777" w:rsidR="00460384" w:rsidRPr="00D0306F" w:rsidRDefault="00460384" w:rsidP="00977D0F">
      <w:pPr>
        <w:numPr>
          <w:ilvl w:val="0"/>
          <w:numId w:val="34"/>
        </w:numPr>
        <w:rPr>
          <w:rFonts w:eastAsia="Aptos" w:cs="Arial"/>
        </w:rPr>
      </w:pPr>
      <w:r w:rsidRPr="00D0306F">
        <w:rPr>
          <w:rFonts w:eastAsia="Aptos" w:cs="Arial"/>
        </w:rPr>
        <w:t>The population of over 75s is also expected to increase by 2032, by 17.2% taking the population in this age group from 24,499 to 28,469.</w:t>
      </w:r>
    </w:p>
    <w:p w14:paraId="76C169FC" w14:textId="77777777" w:rsidR="00460384" w:rsidRPr="00D0306F" w:rsidRDefault="00460384" w:rsidP="00977D0F">
      <w:pPr>
        <w:rPr>
          <w:rFonts w:eastAsia="Aptos" w:cs="Arial"/>
        </w:rPr>
      </w:pPr>
    </w:p>
    <w:p w14:paraId="750BD32B" w14:textId="77777777" w:rsidR="00460384" w:rsidRPr="00D0306F" w:rsidRDefault="00460384" w:rsidP="00977D0F">
      <w:pPr>
        <w:rPr>
          <w:rFonts w:eastAsia="Aptos" w:cs="Arial"/>
        </w:rPr>
      </w:pPr>
      <w:r w:rsidRPr="00D0306F">
        <w:rPr>
          <w:rFonts w:eastAsia="Aptos" w:cs="Arial"/>
        </w:rPr>
        <w:t>The population of Neath Port Talbot is expected to increase from 142,291 to 146,636 (3.1%). The main projected trends are:</w:t>
      </w:r>
    </w:p>
    <w:p w14:paraId="61B104BE" w14:textId="77777777" w:rsidR="00460384" w:rsidRPr="00D0306F" w:rsidRDefault="00460384" w:rsidP="00977D0F">
      <w:pPr>
        <w:rPr>
          <w:rFonts w:eastAsia="Aptos" w:cs="Arial"/>
        </w:rPr>
      </w:pPr>
    </w:p>
    <w:p w14:paraId="5F0FCB0F" w14:textId="77777777" w:rsidR="00460384" w:rsidRPr="00D0306F" w:rsidRDefault="00460384" w:rsidP="00977D0F">
      <w:pPr>
        <w:numPr>
          <w:ilvl w:val="0"/>
          <w:numId w:val="35"/>
        </w:numPr>
        <w:rPr>
          <w:rFonts w:eastAsia="Aptos" w:cs="Arial"/>
        </w:rPr>
      </w:pPr>
      <w:r w:rsidRPr="00D0306F">
        <w:rPr>
          <w:rFonts w:eastAsia="Aptos" w:cs="Arial"/>
        </w:rPr>
        <w:t>The population of 0-15 years is expected to decrease by 9.1%</w:t>
      </w:r>
    </w:p>
    <w:p w14:paraId="7BEDD6B6" w14:textId="77777777" w:rsidR="00460384" w:rsidRPr="00D0306F" w:rsidRDefault="00460384" w:rsidP="00977D0F">
      <w:pPr>
        <w:numPr>
          <w:ilvl w:val="0"/>
          <w:numId w:val="35"/>
        </w:numPr>
        <w:rPr>
          <w:rFonts w:eastAsia="Aptos" w:cs="Arial"/>
        </w:rPr>
      </w:pPr>
      <w:r w:rsidRPr="00D0306F">
        <w:rPr>
          <w:rFonts w:eastAsia="Aptos" w:cs="Arial"/>
        </w:rPr>
        <w:t>The number of working age people (aged 16-64) is expected to increase by 1,264 people (1.5%).</w:t>
      </w:r>
    </w:p>
    <w:p w14:paraId="6E530345" w14:textId="77777777" w:rsidR="00460384" w:rsidRPr="00D0306F" w:rsidRDefault="00460384" w:rsidP="00977D0F">
      <w:pPr>
        <w:numPr>
          <w:ilvl w:val="0"/>
          <w:numId w:val="35"/>
        </w:numPr>
        <w:rPr>
          <w:rFonts w:eastAsia="Aptos" w:cs="Arial"/>
        </w:rPr>
      </w:pPr>
      <w:r w:rsidRPr="00D0306F">
        <w:rPr>
          <w:rFonts w:eastAsia="Aptos" w:cs="Arial"/>
        </w:rPr>
        <w:t>By 2032 the number of people aged between 65 and 74 is expected to increase by 13.8%</w:t>
      </w:r>
    </w:p>
    <w:p w14:paraId="01B1515A" w14:textId="77777777" w:rsidR="00460384" w:rsidRPr="00D0306F" w:rsidRDefault="00460384" w:rsidP="00977D0F">
      <w:pPr>
        <w:numPr>
          <w:ilvl w:val="0"/>
          <w:numId w:val="35"/>
        </w:numPr>
        <w:rPr>
          <w:rFonts w:eastAsia="Aptos" w:cs="Arial"/>
        </w:rPr>
      </w:pPr>
      <w:r w:rsidRPr="00D0306F">
        <w:rPr>
          <w:rFonts w:eastAsia="Aptos" w:cs="Arial"/>
        </w:rPr>
        <w:t>The population of over 75s is also expected to increase by 2032, by 21.6% taking the population in this age group from 14,217 to 17,287.</w:t>
      </w:r>
    </w:p>
    <w:p w14:paraId="0A8A90BD" w14:textId="77777777" w:rsidR="00460384" w:rsidRPr="00D0306F" w:rsidRDefault="00460384" w:rsidP="00977D0F">
      <w:pPr>
        <w:rPr>
          <w:rFonts w:eastAsia="Aptos" w:cs="Arial"/>
        </w:rPr>
      </w:pPr>
      <w:r w:rsidRPr="00D0306F">
        <w:rPr>
          <w:rFonts w:eastAsia="Aptos" w:cs="Arial"/>
        </w:rPr>
        <w:t xml:space="preserve"> </w:t>
      </w:r>
    </w:p>
    <w:p w14:paraId="00DF4821" w14:textId="77777777" w:rsidR="00460384" w:rsidRPr="00D0306F" w:rsidRDefault="00460384" w:rsidP="00977D0F">
      <w:pPr>
        <w:rPr>
          <w:rFonts w:eastAsia="Aptos" w:cs="Arial"/>
          <w:b/>
          <w:bCs/>
        </w:rPr>
      </w:pPr>
      <w:r w:rsidRPr="00D0306F">
        <w:rPr>
          <w:rFonts w:eastAsia="Aptos" w:cs="Arial"/>
          <w:b/>
          <w:bCs/>
        </w:rPr>
        <w:t>2.2.2 Rural urban classification</w:t>
      </w:r>
      <w:r w:rsidRPr="00D0306F">
        <w:rPr>
          <w:rFonts w:eastAsia="Aptos" w:cs="Arial"/>
          <w:b/>
          <w:bCs/>
          <w:vertAlign w:val="superscript"/>
        </w:rPr>
        <w:footnoteReference w:id="19"/>
      </w:r>
      <w:r w:rsidRPr="00D0306F">
        <w:rPr>
          <w:rFonts w:eastAsia="Aptos" w:cs="Arial"/>
          <w:b/>
          <w:bCs/>
        </w:rPr>
        <w:t xml:space="preserve"> </w:t>
      </w:r>
    </w:p>
    <w:p w14:paraId="10DEDD91" w14:textId="77777777" w:rsidR="00460384" w:rsidRPr="00D0306F" w:rsidRDefault="00460384" w:rsidP="00977D0F">
      <w:pPr>
        <w:rPr>
          <w:rFonts w:eastAsia="Aptos" w:cs="Arial"/>
          <w:b/>
          <w:bCs/>
        </w:rPr>
      </w:pPr>
    </w:p>
    <w:p w14:paraId="50E6C81D" w14:textId="77777777" w:rsidR="00460384" w:rsidRPr="00D0306F" w:rsidRDefault="00460384" w:rsidP="00977D0F">
      <w:pPr>
        <w:shd w:val="clear" w:color="auto" w:fill="FFFFFF"/>
        <w:rPr>
          <w:rFonts w:eastAsia="Times New Roman" w:cs="Arial"/>
          <w:color w:val="0A0A0A"/>
          <w:kern w:val="0"/>
          <w:lang w:eastAsia="en-GB"/>
          <w14:ligatures w14:val="none"/>
        </w:rPr>
      </w:pPr>
      <w:r w:rsidRPr="00D0306F">
        <w:rPr>
          <w:rFonts w:eastAsia="Times New Roman" w:cs="Arial"/>
          <w:color w:val="0A0A0A"/>
          <w:kern w:val="0"/>
          <w:lang w:eastAsia="en-GB"/>
          <w14:ligatures w14:val="none"/>
        </w:rPr>
        <w:t>The 2021 classification simplifies the landscape into three main types based on the population size of the "built-up area": </w:t>
      </w:r>
    </w:p>
    <w:p w14:paraId="4097E70E" w14:textId="77777777" w:rsidR="00460384" w:rsidRPr="00D0306F" w:rsidRDefault="00460384" w:rsidP="00977D0F">
      <w:pPr>
        <w:rPr>
          <w:rFonts w:eastAsia="Aptos" w:cs="Arial"/>
          <w:lang w:eastAsia="en-GB"/>
        </w:rPr>
      </w:pPr>
    </w:p>
    <w:p w14:paraId="1E87E8A4" w14:textId="77777777" w:rsidR="00460384" w:rsidRPr="00D0306F" w:rsidRDefault="00460384" w:rsidP="00977D0F">
      <w:pPr>
        <w:numPr>
          <w:ilvl w:val="0"/>
          <w:numId w:val="36"/>
        </w:numPr>
        <w:rPr>
          <w:rFonts w:eastAsia="Aptos" w:cs="Arial"/>
          <w:lang w:eastAsia="en-GB"/>
        </w:rPr>
      </w:pPr>
      <w:r w:rsidRPr="00D0306F">
        <w:rPr>
          <w:rFonts w:eastAsia="Aptos" w:cs="Arial"/>
          <w:lang w:eastAsia="en-GB"/>
        </w:rPr>
        <w:t>Urban - areas where most residents live in built-up areas with a population of 10,000 or more.</w:t>
      </w:r>
    </w:p>
    <w:p w14:paraId="5EF4AC46" w14:textId="77777777" w:rsidR="00460384" w:rsidRPr="00D0306F" w:rsidRDefault="00460384" w:rsidP="00977D0F">
      <w:pPr>
        <w:numPr>
          <w:ilvl w:val="0"/>
          <w:numId w:val="36"/>
        </w:numPr>
        <w:rPr>
          <w:rFonts w:eastAsia="Aptos" w:cs="Arial"/>
          <w:lang w:eastAsia="en-GB"/>
        </w:rPr>
      </w:pPr>
      <w:r w:rsidRPr="00D0306F">
        <w:rPr>
          <w:rFonts w:eastAsia="Aptos" w:cs="Arial"/>
          <w:lang w:eastAsia="en-GB"/>
        </w:rPr>
        <w:t>Larger rural settlement - areas dominated by smaller towns and "fringes" (suburbs) of cities with populations under 10,000.</w:t>
      </w:r>
    </w:p>
    <w:p w14:paraId="6B81EB51" w14:textId="77777777" w:rsidR="00460384" w:rsidRPr="00D0306F" w:rsidRDefault="00460384" w:rsidP="00977D0F">
      <w:pPr>
        <w:numPr>
          <w:ilvl w:val="0"/>
          <w:numId w:val="36"/>
        </w:numPr>
        <w:rPr>
          <w:rFonts w:eastAsia="Aptos" w:cs="Arial"/>
          <w:lang w:eastAsia="en-GB"/>
        </w:rPr>
      </w:pPr>
      <w:r w:rsidRPr="00D0306F">
        <w:rPr>
          <w:rFonts w:eastAsia="Aptos" w:cs="Arial"/>
          <w:lang w:eastAsia="en-GB"/>
        </w:rPr>
        <w:t>Smaller rural settlement - areas dominated by villages, hamlets, and isolated homes </w:t>
      </w:r>
    </w:p>
    <w:p w14:paraId="722D8639" w14:textId="77777777" w:rsidR="00460384" w:rsidRPr="00D0306F" w:rsidRDefault="00460384" w:rsidP="00977D0F">
      <w:pPr>
        <w:rPr>
          <w:rFonts w:eastAsia="Aptos" w:cs="Arial"/>
        </w:rPr>
      </w:pPr>
    </w:p>
    <w:p w14:paraId="3BDC1DC4" w14:textId="77777777" w:rsidR="00977D0F" w:rsidRPr="00D0306F" w:rsidRDefault="00977D0F" w:rsidP="00977D0F">
      <w:pPr>
        <w:rPr>
          <w:rFonts w:eastAsia="Aptos" w:cs="Arial"/>
        </w:rPr>
      </w:pPr>
    </w:p>
    <w:p w14:paraId="62F167D6" w14:textId="77777777" w:rsidR="00977D0F" w:rsidRPr="00D0306F" w:rsidRDefault="00977D0F" w:rsidP="00977D0F">
      <w:pPr>
        <w:rPr>
          <w:rFonts w:eastAsia="Aptos" w:cs="Arial"/>
        </w:rPr>
      </w:pPr>
    </w:p>
    <w:p w14:paraId="6BA86D39" w14:textId="77777777" w:rsidR="00977D0F" w:rsidRPr="00D0306F" w:rsidRDefault="00977D0F" w:rsidP="00977D0F">
      <w:pPr>
        <w:rPr>
          <w:rFonts w:eastAsia="Aptos" w:cs="Arial"/>
        </w:rPr>
      </w:pPr>
    </w:p>
    <w:p w14:paraId="553B8A27" w14:textId="77777777" w:rsidR="00977D0F" w:rsidRPr="00D0306F" w:rsidRDefault="00977D0F" w:rsidP="00977D0F">
      <w:pPr>
        <w:rPr>
          <w:rFonts w:eastAsia="Aptos" w:cs="Arial"/>
        </w:rPr>
      </w:pPr>
    </w:p>
    <w:p w14:paraId="0E553D5C" w14:textId="77777777" w:rsidR="00977D0F" w:rsidRPr="00D0306F" w:rsidRDefault="00977D0F" w:rsidP="00977D0F">
      <w:pPr>
        <w:rPr>
          <w:rFonts w:eastAsia="Aptos" w:cs="Arial"/>
        </w:rPr>
      </w:pPr>
    </w:p>
    <w:p w14:paraId="1304278D" w14:textId="77777777" w:rsidR="00977D0F" w:rsidRPr="00D0306F" w:rsidRDefault="00977D0F" w:rsidP="00977D0F">
      <w:pPr>
        <w:rPr>
          <w:rFonts w:eastAsia="Aptos" w:cs="Arial"/>
        </w:rPr>
      </w:pPr>
    </w:p>
    <w:p w14:paraId="1447C415" w14:textId="77777777" w:rsidR="00977D0F" w:rsidRPr="00D0306F" w:rsidRDefault="00977D0F" w:rsidP="00977D0F">
      <w:pPr>
        <w:rPr>
          <w:rFonts w:eastAsia="Aptos" w:cs="Arial"/>
        </w:rPr>
      </w:pPr>
    </w:p>
    <w:p w14:paraId="6DF8D7C5" w14:textId="77777777" w:rsidR="00977D0F" w:rsidRPr="00D0306F" w:rsidRDefault="00977D0F" w:rsidP="00977D0F">
      <w:pPr>
        <w:rPr>
          <w:rFonts w:eastAsia="Aptos" w:cs="Arial"/>
        </w:rPr>
      </w:pPr>
    </w:p>
    <w:p w14:paraId="41D2732D" w14:textId="77777777" w:rsidR="00977D0F" w:rsidRPr="00D0306F" w:rsidRDefault="00977D0F" w:rsidP="00977D0F">
      <w:pPr>
        <w:rPr>
          <w:rFonts w:eastAsia="Aptos" w:cs="Arial"/>
        </w:rPr>
      </w:pPr>
    </w:p>
    <w:p w14:paraId="325E97B3" w14:textId="77777777" w:rsidR="00977D0F" w:rsidRPr="00D0306F" w:rsidRDefault="00977D0F" w:rsidP="00977D0F">
      <w:pPr>
        <w:rPr>
          <w:rFonts w:eastAsia="Aptos" w:cs="Arial"/>
        </w:rPr>
      </w:pPr>
    </w:p>
    <w:p w14:paraId="648EFBF6" w14:textId="77777777" w:rsidR="00977D0F" w:rsidRPr="00D0306F" w:rsidRDefault="00977D0F" w:rsidP="00977D0F">
      <w:pPr>
        <w:rPr>
          <w:rFonts w:eastAsia="Aptos" w:cs="Arial"/>
        </w:rPr>
      </w:pPr>
    </w:p>
    <w:p w14:paraId="57832607" w14:textId="77777777" w:rsidR="00460384" w:rsidRPr="00D0306F" w:rsidRDefault="00460384" w:rsidP="00977D0F">
      <w:pPr>
        <w:rPr>
          <w:rFonts w:eastAsia="Aptos" w:cs="Arial"/>
          <w:b/>
          <w:bCs/>
        </w:rPr>
      </w:pPr>
      <w:r w:rsidRPr="00D0306F">
        <w:rPr>
          <w:rFonts w:eastAsia="Aptos" w:cs="Arial"/>
          <w:b/>
          <w:bCs/>
        </w:rPr>
        <w:lastRenderedPageBreak/>
        <w:t>Figure 2.1: Overview of the 2021 rural-urban classification for Swansea Bay by population</w:t>
      </w:r>
      <w:r w:rsidRPr="00D0306F">
        <w:rPr>
          <w:rFonts w:eastAsia="Aptos" w:cs="Arial"/>
          <w:b/>
          <w:bCs/>
          <w:vertAlign w:val="superscript"/>
        </w:rPr>
        <w:footnoteReference w:id="20"/>
      </w:r>
    </w:p>
    <w:p w14:paraId="5D56B4FB" w14:textId="77777777" w:rsidR="00460384" w:rsidRPr="00D0306F" w:rsidRDefault="00460384" w:rsidP="00977D0F">
      <w:pPr>
        <w:rPr>
          <w:rFonts w:eastAsia="Aptos" w:cs="Arial"/>
          <w:b/>
          <w:bCs/>
        </w:rPr>
      </w:pPr>
    </w:p>
    <w:p w14:paraId="6269E43D" w14:textId="77777777" w:rsidR="00460384" w:rsidRPr="00D0306F" w:rsidRDefault="00460384" w:rsidP="00977D0F">
      <w:pPr>
        <w:rPr>
          <w:rFonts w:eastAsia="Aptos" w:cs="Arial"/>
        </w:rPr>
      </w:pPr>
      <w:r w:rsidRPr="00D0306F">
        <w:rPr>
          <w:rFonts w:eastAsia="Aptos" w:cs="Arial"/>
          <w:noProof/>
        </w:rPr>
        <w:drawing>
          <wp:inline distT="0" distB="0" distL="0" distR="0" wp14:anchorId="75635472" wp14:editId="718F7DE0">
            <wp:extent cx="5734050" cy="3209925"/>
            <wp:effectExtent l="0" t="0" r="0" b="9525"/>
            <wp:docPr id="1191305409" name="Picture 7" descr="Choropleth map of Swansea and surrounding areas showing the rural-urban classification. Most central and southern areas are classified as ‘urban: nearer to a major town or city’, the western area is classified as ‘urban: further from a major town or city’, the area to the east is ‘smaller rural: nearer to a major town or city’, and the north east is classified as ‘larger rural: further from a major town or cit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1305409" name="Picture 7" descr="Choropleth map of Swansea and surrounding areas showing the rural-urban classification. Most central and southern areas are classified as ‘urban: nearer to a major town or city’, the western area is classified as ‘urban: further from a major town or city’, the area to the east is ‘smaller rural: nearer to a major town or city’, and the north east is classified as ‘larger rural: further from a major town or city’. "/>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4050" cy="3209925"/>
                    </a:xfrm>
                    <a:prstGeom prst="rect">
                      <a:avLst/>
                    </a:prstGeom>
                    <a:noFill/>
                    <a:ln>
                      <a:noFill/>
                    </a:ln>
                  </pic:spPr>
                </pic:pic>
              </a:graphicData>
            </a:graphic>
          </wp:inline>
        </w:drawing>
      </w:r>
    </w:p>
    <w:p w14:paraId="1365D6F3" w14:textId="77777777" w:rsidR="00460384" w:rsidRPr="00D0306F" w:rsidRDefault="00460384" w:rsidP="00977D0F">
      <w:pPr>
        <w:rPr>
          <w:rFonts w:eastAsia="Aptos" w:cs="Arial"/>
        </w:rPr>
      </w:pPr>
    </w:p>
    <w:p w14:paraId="44F3D323" w14:textId="77777777" w:rsidR="00460384" w:rsidRPr="00D0306F" w:rsidRDefault="00460384" w:rsidP="00977D0F">
      <w:pPr>
        <w:rPr>
          <w:rFonts w:eastAsia="Aptos" w:cs="Arial"/>
        </w:rPr>
      </w:pPr>
      <w:r w:rsidRPr="00D0306F">
        <w:rPr>
          <w:rFonts w:eastAsia="Aptos" w:cs="Arial"/>
        </w:rPr>
        <w:t>Contains OS data © Crown copyright and database rights 2026 (Terms). Polygon features source: Office for National Statistics licensed under the Open Government Licence v.3.0 Powered by ESRI</w:t>
      </w:r>
    </w:p>
    <w:p w14:paraId="58F7BBA8" w14:textId="77777777" w:rsidR="00460384" w:rsidRPr="00D0306F" w:rsidRDefault="00460384" w:rsidP="00977D0F">
      <w:pPr>
        <w:rPr>
          <w:rFonts w:eastAsia="Aptos" w:cs="Arial"/>
        </w:rPr>
      </w:pPr>
    </w:p>
    <w:p w14:paraId="32E702FC" w14:textId="77777777" w:rsidR="00460384" w:rsidRPr="00D0306F" w:rsidRDefault="00460384" w:rsidP="00977D0F">
      <w:pPr>
        <w:rPr>
          <w:rFonts w:eastAsia="Aptos" w:cs="Arial"/>
        </w:rPr>
      </w:pPr>
      <w:r w:rsidRPr="00D0306F">
        <w:rPr>
          <w:rFonts w:eastAsia="Aptos" w:cs="Arial"/>
        </w:rPr>
        <w:t>Classification:</w:t>
      </w:r>
    </w:p>
    <w:p w14:paraId="636A470D" w14:textId="77777777" w:rsidR="00460384" w:rsidRPr="00D0306F" w:rsidRDefault="00460384" w:rsidP="00977D0F">
      <w:pPr>
        <w:rPr>
          <w:rFonts w:eastAsia="Aptos" w:cs="Arial"/>
        </w:rPr>
      </w:pPr>
    </w:p>
    <w:p w14:paraId="7F349ED4" w14:textId="2B4BBC44" w:rsidR="00460384" w:rsidRPr="00D0306F" w:rsidRDefault="00460384" w:rsidP="00977D0F">
      <w:pPr>
        <w:rPr>
          <w:rFonts w:eastAsia="Aptos" w:cs="Arial"/>
          <w:kern w:val="0"/>
          <w:lang w:val="en"/>
          <w14:ligatures w14:val="none"/>
        </w:rPr>
      </w:pPr>
      <w:r w:rsidRPr="00D0306F">
        <w:rPr>
          <w:rFonts w:eastAsia="Aptos" w:cs="Arial"/>
          <w:noProof/>
          <w:kern w:val="0"/>
        </w:rPr>
        <w:drawing>
          <wp:inline distT="0" distB="0" distL="0" distR="0" wp14:anchorId="16FAA21E" wp14:editId="2770A0FD">
            <wp:extent cx="238125" cy="180975"/>
            <wp:effectExtent l="0" t="0" r="9525" b="9525"/>
            <wp:docPr id="1556940783" name="Picture 34" descr="The key shows what the different shades of green on the map represent. The lighter the colour the more rural the area is, and the darker the green the more urban the area 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6940783" name="Picture 34" descr="The key shows what the different shades of green on the map represent. The lighter the colour the more rural the area is, and the darker the green the more urban the area i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38125" cy="180975"/>
                    </a:xfrm>
                    <a:prstGeom prst="rect">
                      <a:avLst/>
                    </a:prstGeom>
                    <a:noFill/>
                    <a:ln>
                      <a:noFill/>
                    </a:ln>
                  </pic:spPr>
                </pic:pic>
              </a:graphicData>
            </a:graphic>
          </wp:inline>
        </w:drawing>
      </w:r>
      <w:r w:rsidRPr="00D0306F">
        <w:rPr>
          <w:rFonts w:eastAsia="Aptos" w:cs="Arial"/>
          <w:kern w:val="0"/>
          <w14:ligatures w14:val="none"/>
        </w:rPr>
        <w:t xml:space="preserve"> Larger rural: further from a major town </w:t>
      </w:r>
      <w:r w:rsidR="00445816">
        <w:rPr>
          <w:rFonts w:eastAsia="Aptos" w:cs="Arial"/>
          <w:kern w:val="0"/>
          <w14:ligatures w14:val="none"/>
        </w:rPr>
        <w:t xml:space="preserve">or </w:t>
      </w:r>
      <w:r w:rsidRPr="00D0306F">
        <w:rPr>
          <w:rFonts w:eastAsia="Aptos" w:cs="Arial"/>
          <w:kern w:val="0"/>
          <w14:ligatures w14:val="none"/>
        </w:rPr>
        <w:t>city</w:t>
      </w:r>
    </w:p>
    <w:p w14:paraId="20BE1471" w14:textId="77777777" w:rsidR="00460384" w:rsidRPr="00D0306F" w:rsidRDefault="00460384" w:rsidP="00977D0F">
      <w:pPr>
        <w:rPr>
          <w:rFonts w:eastAsia="Aptos" w:cs="Arial"/>
          <w:kern w:val="0"/>
          <w:lang w:val="en"/>
          <w14:ligatures w14:val="none"/>
        </w:rPr>
      </w:pPr>
      <w:r w:rsidRPr="00D0306F">
        <w:rPr>
          <w:rFonts w:eastAsia="Aptos" w:cs="Arial"/>
          <w:noProof/>
          <w:kern w:val="0"/>
        </w:rPr>
        <w:drawing>
          <wp:inline distT="0" distB="0" distL="0" distR="0" wp14:anchorId="6EDC1F8C" wp14:editId="6903D310">
            <wp:extent cx="257810" cy="133350"/>
            <wp:effectExtent l="0" t="0" r="8890" b="0"/>
            <wp:docPr id="1582870621" name="Picture 33" descr="The key shows what the different shades of green on the map represent. The lighter the colour the more rural the area is, and the darker the green the more urban the area 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2870621" name="Picture 33" descr="The key shows what the different shades of green on the map represent. The lighter the colour the more rural the area is, and the darker the green the more urban the area is."/>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810" cy="133350"/>
                    </a:xfrm>
                    <a:prstGeom prst="rect">
                      <a:avLst/>
                    </a:prstGeom>
                    <a:noFill/>
                    <a:ln>
                      <a:noFill/>
                    </a:ln>
                  </pic:spPr>
                </pic:pic>
              </a:graphicData>
            </a:graphic>
          </wp:inline>
        </w:drawing>
      </w:r>
      <w:r w:rsidRPr="00D0306F">
        <w:rPr>
          <w:rFonts w:eastAsia="Aptos" w:cs="Arial"/>
          <w:kern w:val="0"/>
          <w14:ligatures w14:val="none"/>
        </w:rPr>
        <w:t xml:space="preserve"> Larger rural: nearer to a major town or city</w:t>
      </w:r>
    </w:p>
    <w:p w14:paraId="3722FC68" w14:textId="77777777" w:rsidR="00460384" w:rsidRPr="00D0306F" w:rsidRDefault="00460384" w:rsidP="00977D0F">
      <w:pPr>
        <w:rPr>
          <w:rFonts w:eastAsia="Aptos" w:cs="Arial"/>
          <w:kern w:val="0"/>
          <w:lang w:val="en"/>
          <w14:ligatures w14:val="none"/>
        </w:rPr>
      </w:pPr>
      <w:r w:rsidRPr="00D0306F">
        <w:rPr>
          <w:rFonts w:eastAsia="Aptos" w:cs="Arial"/>
          <w:noProof/>
          <w:kern w:val="0"/>
          <w:lang w:val="en"/>
        </w:rPr>
        <w:drawing>
          <wp:inline distT="0" distB="0" distL="0" distR="0" wp14:anchorId="2D362208" wp14:editId="62544E01">
            <wp:extent cx="219075" cy="161925"/>
            <wp:effectExtent l="0" t="0" r="9525" b="9525"/>
            <wp:docPr id="213939040" name="Picture 6" descr="The key shows what the different shades of green on the map represent. The lighter the colour the more rural the area is, and the darker the green the more urban the area 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39040" name="Picture 6" descr="The key shows what the different shades of green on the map represent. The lighter the colour the more rural the area is, and the darker the green the more urban the area is."/>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9075" cy="161925"/>
                    </a:xfrm>
                    <a:prstGeom prst="rect">
                      <a:avLst/>
                    </a:prstGeom>
                    <a:noFill/>
                    <a:ln>
                      <a:noFill/>
                    </a:ln>
                  </pic:spPr>
                </pic:pic>
              </a:graphicData>
            </a:graphic>
          </wp:inline>
        </w:drawing>
      </w:r>
      <w:r w:rsidRPr="00D0306F">
        <w:rPr>
          <w:rFonts w:eastAsia="Aptos" w:cs="Arial"/>
          <w:kern w:val="0"/>
          <w:lang w:val="en"/>
          <w14:ligatures w14:val="none"/>
        </w:rPr>
        <w:t xml:space="preserve"> Smaller rural: further from a major town or city</w:t>
      </w:r>
    </w:p>
    <w:p w14:paraId="5439F4F3" w14:textId="77777777" w:rsidR="00460384" w:rsidRPr="00D0306F" w:rsidRDefault="00460384" w:rsidP="00977D0F">
      <w:pPr>
        <w:rPr>
          <w:rFonts w:eastAsia="Aptos" w:cs="Arial"/>
          <w:kern w:val="0"/>
          <w:lang w:val="en"/>
          <w14:ligatures w14:val="none"/>
        </w:rPr>
      </w:pPr>
      <w:r w:rsidRPr="00D0306F">
        <w:rPr>
          <w:rFonts w:eastAsia="Aptos" w:cs="Arial"/>
          <w:noProof/>
          <w:kern w:val="0"/>
        </w:rPr>
        <w:drawing>
          <wp:inline distT="0" distB="0" distL="0" distR="0" wp14:anchorId="5690029F" wp14:editId="435DC3AC">
            <wp:extent cx="228600" cy="180975"/>
            <wp:effectExtent l="0" t="0" r="0" b="9525"/>
            <wp:docPr id="532599339" name="Picture 32" descr="The key shows what the different shades of green on the map represent. The lighter the colour the more rural the area is, and the darker the green the more urban the area 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599339" name="Picture 32" descr="The key shows what the different shades of green on the map represent. The lighter the colour the more rural the area is, and the darker the green the more urban the area is."/>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28600" cy="180975"/>
                    </a:xfrm>
                    <a:prstGeom prst="rect">
                      <a:avLst/>
                    </a:prstGeom>
                    <a:noFill/>
                    <a:ln>
                      <a:noFill/>
                    </a:ln>
                  </pic:spPr>
                </pic:pic>
              </a:graphicData>
            </a:graphic>
          </wp:inline>
        </w:drawing>
      </w:r>
      <w:r w:rsidRPr="00D0306F">
        <w:rPr>
          <w:rFonts w:eastAsia="Aptos" w:cs="Arial"/>
          <w:kern w:val="0"/>
          <w14:ligatures w14:val="none"/>
        </w:rPr>
        <w:t xml:space="preserve"> </w:t>
      </w:r>
      <w:r w:rsidRPr="00D0306F">
        <w:rPr>
          <w:rFonts w:eastAsia="Aptos" w:cs="Arial"/>
          <w:kern w:val="0"/>
          <w:lang w:val="en"/>
          <w14:ligatures w14:val="none"/>
        </w:rPr>
        <w:t>Smaller rural: nearer to a major town or city</w:t>
      </w:r>
    </w:p>
    <w:p w14:paraId="4E76FFF1" w14:textId="77777777" w:rsidR="00460384" w:rsidRPr="00D0306F" w:rsidRDefault="00460384" w:rsidP="00977D0F">
      <w:pPr>
        <w:rPr>
          <w:rFonts w:eastAsia="Aptos" w:cs="Arial"/>
          <w:kern w:val="0"/>
          <w:lang w:val="en"/>
          <w14:ligatures w14:val="none"/>
        </w:rPr>
      </w:pPr>
      <w:r w:rsidRPr="00D0306F">
        <w:rPr>
          <w:rFonts w:eastAsia="Aptos" w:cs="Arial"/>
          <w:noProof/>
          <w:kern w:val="0"/>
          <w:lang w:val="en"/>
        </w:rPr>
        <w:drawing>
          <wp:inline distT="0" distB="0" distL="0" distR="0" wp14:anchorId="32BB4D92" wp14:editId="7BAAFAC1">
            <wp:extent cx="209550" cy="161925"/>
            <wp:effectExtent l="0" t="0" r="0" b="9525"/>
            <wp:docPr id="2047022067" name="Picture 5" descr="The key shows what the different shades of green on the map represent. The lighter the colour the more rural the area is, and the darker the green the more urban the area 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7022067" name="Picture 5" descr="The key shows what the different shades of green on the map represent. The lighter the colour the more rural the area is, and the darker the green the more urban the area is."/>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09550" cy="161925"/>
                    </a:xfrm>
                    <a:prstGeom prst="rect">
                      <a:avLst/>
                    </a:prstGeom>
                    <a:noFill/>
                    <a:ln>
                      <a:noFill/>
                    </a:ln>
                  </pic:spPr>
                </pic:pic>
              </a:graphicData>
            </a:graphic>
          </wp:inline>
        </w:drawing>
      </w:r>
      <w:r w:rsidRPr="00D0306F">
        <w:rPr>
          <w:rFonts w:eastAsia="Aptos" w:cs="Arial"/>
          <w:kern w:val="0"/>
          <w:lang w:val="en"/>
          <w14:ligatures w14:val="none"/>
        </w:rPr>
        <w:t xml:space="preserve"> Urban: further from a major town or city</w:t>
      </w:r>
    </w:p>
    <w:p w14:paraId="4645AF72" w14:textId="77777777" w:rsidR="00460384" w:rsidRPr="00D0306F" w:rsidRDefault="00460384" w:rsidP="00977D0F">
      <w:pPr>
        <w:rPr>
          <w:rFonts w:eastAsia="Aptos" w:cs="Arial"/>
          <w:kern w:val="0"/>
          <w:lang w:val="en"/>
          <w14:ligatures w14:val="none"/>
        </w:rPr>
      </w:pPr>
      <w:r w:rsidRPr="00D0306F">
        <w:rPr>
          <w:rFonts w:eastAsia="Aptos" w:cs="Arial"/>
          <w:noProof/>
          <w:kern w:val="0"/>
          <w:lang w:val="en"/>
        </w:rPr>
        <w:drawing>
          <wp:inline distT="0" distB="0" distL="0" distR="0" wp14:anchorId="2D9E586E" wp14:editId="43BD83C1">
            <wp:extent cx="209550" cy="152400"/>
            <wp:effectExtent l="0" t="0" r="0" b="0"/>
            <wp:docPr id="46034898" name="Picture 4" descr="The key shows what the different shades of green on the map represent. The lighter the colour the more rural the area is, and the darker the green the more urban the area 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34898" name="Picture 4" descr="The key shows what the different shades of green on the map represent. The lighter the colour the more rural the area is, and the darker the green the more urban the area is."/>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9550" cy="152400"/>
                    </a:xfrm>
                    <a:prstGeom prst="rect">
                      <a:avLst/>
                    </a:prstGeom>
                    <a:noFill/>
                    <a:ln>
                      <a:noFill/>
                    </a:ln>
                  </pic:spPr>
                </pic:pic>
              </a:graphicData>
            </a:graphic>
          </wp:inline>
        </w:drawing>
      </w:r>
      <w:r w:rsidRPr="00D0306F">
        <w:rPr>
          <w:rFonts w:eastAsia="Aptos" w:cs="Arial"/>
          <w:kern w:val="0"/>
          <w:lang w:val="en"/>
          <w14:ligatures w14:val="none"/>
        </w:rPr>
        <w:t xml:space="preserve"> Urban: nearer to a major town or city</w:t>
      </w:r>
    </w:p>
    <w:p w14:paraId="7A687BA8" w14:textId="77777777" w:rsidR="00460384" w:rsidRPr="00D0306F" w:rsidRDefault="00460384" w:rsidP="00977D0F">
      <w:pPr>
        <w:rPr>
          <w:rFonts w:eastAsia="Aptos" w:cs="Arial"/>
        </w:rPr>
      </w:pPr>
    </w:p>
    <w:p w14:paraId="155CD4AB" w14:textId="77777777" w:rsidR="00460384" w:rsidRPr="00D0306F" w:rsidRDefault="00460384" w:rsidP="00977D0F">
      <w:pPr>
        <w:rPr>
          <w:rFonts w:eastAsia="Aptos" w:cs="Arial"/>
          <w:b/>
          <w:bCs/>
        </w:rPr>
      </w:pPr>
      <w:r w:rsidRPr="00D0306F">
        <w:rPr>
          <w:rFonts w:eastAsia="Aptos" w:cs="Arial"/>
          <w:b/>
          <w:bCs/>
        </w:rPr>
        <w:t>2.2.2.1 Swansea</w:t>
      </w:r>
    </w:p>
    <w:p w14:paraId="255768AF" w14:textId="77777777" w:rsidR="00460384" w:rsidRPr="00D0306F" w:rsidRDefault="00460384" w:rsidP="00977D0F">
      <w:pPr>
        <w:rPr>
          <w:rFonts w:eastAsia="Aptos" w:cs="Arial"/>
        </w:rPr>
      </w:pPr>
    </w:p>
    <w:p w14:paraId="2557BCC5" w14:textId="77777777" w:rsidR="00460384" w:rsidRPr="00D0306F" w:rsidRDefault="00460384" w:rsidP="00977D0F">
      <w:pPr>
        <w:rPr>
          <w:rFonts w:eastAsia="Aptos" w:cs="Arial"/>
        </w:rPr>
      </w:pPr>
      <w:r w:rsidRPr="00D0306F">
        <w:rPr>
          <w:rFonts w:eastAsia="Aptos" w:cs="Arial"/>
        </w:rPr>
        <w:t>Official rural-urban classification statistics suggest that approximately 69.1% of the county's land area is rural and 30.9% urban, although 86.7% of Swansea residents live in areas classified as urban and only 13.3% in rural areas (2021 Census estimates).</w:t>
      </w:r>
    </w:p>
    <w:p w14:paraId="31F19813" w14:textId="77777777" w:rsidR="00460384" w:rsidRPr="00D0306F" w:rsidRDefault="00460384" w:rsidP="00977D0F">
      <w:pPr>
        <w:rPr>
          <w:rFonts w:eastAsia="Aptos" w:cs="Arial"/>
        </w:rPr>
      </w:pPr>
    </w:p>
    <w:p w14:paraId="1C63E7D2" w14:textId="77777777" w:rsidR="00460384" w:rsidRPr="00D0306F" w:rsidRDefault="00460384" w:rsidP="00977D0F">
      <w:pPr>
        <w:rPr>
          <w:rFonts w:eastAsia="Aptos" w:cs="Arial"/>
        </w:rPr>
      </w:pPr>
      <w:r w:rsidRPr="00D0306F">
        <w:rPr>
          <w:rFonts w:eastAsia="Aptos" w:cs="Arial"/>
        </w:rPr>
        <w:t xml:space="preserve">The urban area of the county is chiefly focused on Swansea and radiates to the west and north of the city centre - around Swansea Bay to Mumbles; over Townhill to Cwmbwrla, Treboeth, Fforestfach and Penlan; through Uplands, Sketty, Killay and Dunvant; along the Swansea Valley communities of Hafod, Landore, Plasmarl, </w:t>
      </w:r>
      <w:r w:rsidRPr="00D0306F">
        <w:rPr>
          <w:rFonts w:eastAsia="Aptos" w:cs="Arial"/>
        </w:rPr>
        <w:lastRenderedPageBreak/>
        <w:t>Morriston to Clydach; and on the east side of the River from St. Thomas to Bonymaen, Llansamlet and Birchgrove.</w:t>
      </w:r>
    </w:p>
    <w:p w14:paraId="3FC131BD" w14:textId="77777777" w:rsidR="00460384" w:rsidRPr="00D0306F" w:rsidRDefault="00460384" w:rsidP="00977D0F">
      <w:pPr>
        <w:rPr>
          <w:rFonts w:eastAsia="Aptos" w:cs="Arial"/>
        </w:rPr>
      </w:pPr>
    </w:p>
    <w:p w14:paraId="719E0051" w14:textId="77777777" w:rsidR="00460384" w:rsidRPr="00D0306F" w:rsidRDefault="00460384" w:rsidP="00977D0F">
      <w:pPr>
        <w:rPr>
          <w:rFonts w:eastAsia="Aptos" w:cs="Arial"/>
        </w:rPr>
      </w:pPr>
      <w:r w:rsidRPr="00D0306F">
        <w:rPr>
          <w:rFonts w:eastAsia="Aptos" w:cs="Arial"/>
        </w:rPr>
        <w:t>The second urban focus centres on the small towns of Gorseinon and Loughor in the north-west of the county, together with the nearby communities of Gowerton, Penllergaer, Llangyfelach and Pontarddulais</w:t>
      </w:r>
      <w:r w:rsidRPr="00D0306F">
        <w:rPr>
          <w:rFonts w:eastAsia="Aptos" w:cs="Arial"/>
          <w:vertAlign w:val="superscript"/>
        </w:rPr>
        <w:footnoteReference w:id="21"/>
      </w:r>
      <w:r w:rsidRPr="00D0306F">
        <w:rPr>
          <w:rFonts w:eastAsia="Aptos" w:cs="Arial"/>
        </w:rPr>
        <w:t>.</w:t>
      </w:r>
    </w:p>
    <w:p w14:paraId="557F0967" w14:textId="77777777" w:rsidR="00460384" w:rsidRPr="00D0306F" w:rsidRDefault="00460384" w:rsidP="00977D0F">
      <w:pPr>
        <w:rPr>
          <w:rFonts w:eastAsia="Aptos" w:cs="Arial"/>
        </w:rPr>
      </w:pPr>
    </w:p>
    <w:p w14:paraId="05989681" w14:textId="77777777" w:rsidR="00460384" w:rsidRPr="00D0306F" w:rsidRDefault="00460384" w:rsidP="00977D0F">
      <w:pPr>
        <w:rPr>
          <w:rFonts w:eastAsia="Aptos" w:cs="Arial"/>
          <w:b/>
          <w:bCs/>
        </w:rPr>
      </w:pPr>
      <w:r w:rsidRPr="00D0306F">
        <w:rPr>
          <w:rFonts w:eastAsia="Aptos" w:cs="Arial"/>
          <w:b/>
          <w:bCs/>
        </w:rPr>
        <w:t>2.2.2.2 Neath Port Talbot</w:t>
      </w:r>
    </w:p>
    <w:p w14:paraId="49D27D6C" w14:textId="77777777" w:rsidR="00460384" w:rsidRPr="00D0306F" w:rsidRDefault="00460384" w:rsidP="00977D0F">
      <w:pPr>
        <w:rPr>
          <w:rFonts w:eastAsia="Aptos" w:cs="Arial"/>
        </w:rPr>
      </w:pPr>
    </w:p>
    <w:p w14:paraId="2B2278AB" w14:textId="77777777" w:rsidR="00460384" w:rsidRPr="00D0306F" w:rsidRDefault="00460384" w:rsidP="00977D0F">
      <w:pPr>
        <w:rPr>
          <w:rFonts w:eastAsia="Aptos" w:cs="Arial"/>
        </w:rPr>
      </w:pPr>
      <w:r w:rsidRPr="00D0306F">
        <w:rPr>
          <w:rFonts w:eastAsia="Aptos" w:cs="Arial"/>
        </w:rPr>
        <w:t>The County Borough of Neath Port Talbot comprises urban and rural areas. It covers an area of 44,200 hectares, rising from sea level in the west to 600 metres at Craig y Llyn, above Glynneath. Neath Port Talbot is predominantly an upland area dissected by the valleys of the Afan, Neath, Dulais and Tawe rivers which all flow to the sea in Swansea Bay.</w:t>
      </w:r>
    </w:p>
    <w:p w14:paraId="647C0931" w14:textId="77777777" w:rsidR="00460384" w:rsidRPr="00D0306F" w:rsidRDefault="00460384" w:rsidP="00977D0F">
      <w:pPr>
        <w:rPr>
          <w:rFonts w:eastAsia="Aptos" w:cs="Arial"/>
        </w:rPr>
      </w:pPr>
    </w:p>
    <w:p w14:paraId="05798B2D" w14:textId="77777777" w:rsidR="00460384" w:rsidRPr="00D0306F" w:rsidRDefault="00460384" w:rsidP="00977D0F">
      <w:pPr>
        <w:rPr>
          <w:rFonts w:eastAsia="Aptos" w:cs="Arial"/>
        </w:rPr>
      </w:pPr>
      <w:r w:rsidRPr="00D0306F">
        <w:rPr>
          <w:rFonts w:eastAsia="Aptos" w:cs="Arial"/>
        </w:rPr>
        <w:t>Most of the urban areas lie within a narrow coastal strip, with the remainder of the County Borough being made up of upland areas which are dissected by five rural valleys. Therefore, the heavily urbanised coastal strip makes up the minority of the geographical area of the County Borough, being rural in nature. The valleys are separated from each other by ridges of high forest or moorland. A narrow coastal strip extends around Swansea Bay where the main centres of population are found.</w:t>
      </w:r>
    </w:p>
    <w:p w14:paraId="22DCDFD1" w14:textId="77777777" w:rsidR="00460384" w:rsidRPr="00D0306F" w:rsidRDefault="00460384" w:rsidP="00977D0F">
      <w:pPr>
        <w:rPr>
          <w:rFonts w:eastAsia="Aptos" w:cs="Arial"/>
        </w:rPr>
      </w:pPr>
    </w:p>
    <w:p w14:paraId="0E831DAF" w14:textId="77777777" w:rsidR="00460384" w:rsidRPr="00D0306F" w:rsidRDefault="00460384" w:rsidP="00977D0F">
      <w:pPr>
        <w:rPr>
          <w:rFonts w:eastAsia="Aptos" w:cs="Arial"/>
        </w:rPr>
      </w:pPr>
      <w:r w:rsidRPr="00D0306F">
        <w:rPr>
          <w:rFonts w:eastAsia="Aptos" w:cs="Arial"/>
        </w:rPr>
        <w:t>The surrounding valleys are rural in aspect with scattered communities, many of which were previously dependent on the coal industry. The major urban centres in the county borough are Neath, Port Talbot and Pontardawe.</w:t>
      </w:r>
    </w:p>
    <w:p w14:paraId="5716845C" w14:textId="77777777" w:rsidR="00460384" w:rsidRPr="00D0306F" w:rsidRDefault="00460384" w:rsidP="00977D0F">
      <w:pPr>
        <w:rPr>
          <w:rFonts w:eastAsia="Aptos" w:cs="Arial"/>
        </w:rPr>
      </w:pPr>
    </w:p>
    <w:p w14:paraId="15E0A9B2" w14:textId="77777777" w:rsidR="00460384" w:rsidRPr="00D0306F" w:rsidRDefault="00460384" w:rsidP="00977D0F">
      <w:pPr>
        <w:rPr>
          <w:rFonts w:eastAsia="Aptos" w:cs="Arial"/>
          <w:b/>
          <w:bCs/>
        </w:rPr>
      </w:pPr>
      <w:r w:rsidRPr="00D0306F">
        <w:rPr>
          <w:rFonts w:eastAsia="Aptos" w:cs="Arial"/>
          <w:b/>
          <w:bCs/>
        </w:rPr>
        <w:t>2.2.3 Population age profiles</w:t>
      </w:r>
      <w:r w:rsidRPr="00D0306F">
        <w:rPr>
          <w:rFonts w:eastAsia="Aptos" w:cs="Arial"/>
          <w:b/>
          <w:bCs/>
          <w:vertAlign w:val="superscript"/>
        </w:rPr>
        <w:footnoteReference w:id="22"/>
      </w:r>
    </w:p>
    <w:p w14:paraId="66DAD732" w14:textId="77777777" w:rsidR="00460384" w:rsidRPr="00D0306F" w:rsidRDefault="00460384" w:rsidP="00977D0F">
      <w:pPr>
        <w:rPr>
          <w:rFonts w:eastAsia="Aptos" w:cs="Arial"/>
        </w:rPr>
      </w:pPr>
    </w:p>
    <w:p w14:paraId="747E8894" w14:textId="77777777" w:rsidR="00460384" w:rsidRPr="00D0306F" w:rsidRDefault="00460384" w:rsidP="00977D0F">
      <w:pPr>
        <w:rPr>
          <w:rFonts w:eastAsia="Aptos" w:cs="Arial"/>
        </w:rPr>
      </w:pPr>
      <w:r w:rsidRPr="00D0306F">
        <w:rPr>
          <w:rFonts w:eastAsia="Aptos" w:cs="Arial"/>
        </w:rPr>
        <w:t>The age structure of the population varies across the two counties based on 2024 mid-year population estimates (figure 2.2). The most notable difference is in Swansea, where 8.4% of the population are aged 20-24 years compared to 5.2% in Neath Port Talbot. In addition, the population aged 25-29 is slightly higher at 6.5% in Swansea compared to Neath Port Talbot at 5.7%. This difference is due to the university-aged population, primarily based in Swansea (figure 2.2).</w:t>
      </w:r>
    </w:p>
    <w:p w14:paraId="354A99CA" w14:textId="77777777" w:rsidR="00460384" w:rsidRPr="00D0306F" w:rsidRDefault="00460384" w:rsidP="00977D0F">
      <w:pPr>
        <w:rPr>
          <w:rFonts w:eastAsia="Aptos" w:cs="Arial"/>
        </w:rPr>
      </w:pPr>
    </w:p>
    <w:p w14:paraId="09FAB653" w14:textId="77777777" w:rsidR="00460384" w:rsidRPr="00D0306F" w:rsidRDefault="00460384" w:rsidP="00977D0F">
      <w:pPr>
        <w:rPr>
          <w:rFonts w:eastAsia="Aptos" w:cs="Arial"/>
        </w:rPr>
      </w:pPr>
      <w:r w:rsidRPr="00D0306F">
        <w:rPr>
          <w:rFonts w:eastAsia="Aptos" w:cs="Arial"/>
        </w:rPr>
        <w:t>There is a slightly higher proportion of the population in the 60-64 age group in Neath Port Talbot (7.0%) than Swansea (6.1%). For the over 65 age group there are 31,236 residents (21.8%) in Neath Port Talbot compared to 50,967 residents in Swansea (20.3%).</w:t>
      </w:r>
    </w:p>
    <w:p w14:paraId="72313CC1" w14:textId="77777777" w:rsidR="00460384" w:rsidRPr="00D0306F" w:rsidRDefault="00460384" w:rsidP="00977D0F">
      <w:pPr>
        <w:rPr>
          <w:rFonts w:eastAsia="Aptos" w:cs="Arial"/>
        </w:rPr>
      </w:pPr>
    </w:p>
    <w:p w14:paraId="65F4B790" w14:textId="77777777" w:rsidR="00460384" w:rsidRPr="00D0306F" w:rsidRDefault="00460384" w:rsidP="00977D0F">
      <w:pPr>
        <w:rPr>
          <w:rFonts w:eastAsia="Aptos" w:cs="Arial"/>
        </w:rPr>
      </w:pPr>
      <w:r w:rsidRPr="00D0306F">
        <w:rPr>
          <w:rFonts w:eastAsia="Aptos" w:cs="Arial"/>
        </w:rPr>
        <w:t>The percentage of the population of children and young people aged between 0-14 is very similar with Neath Port Talbot at 15.9% compared with Swansea at 15.6%.</w:t>
      </w:r>
    </w:p>
    <w:p w14:paraId="78330E76" w14:textId="77777777" w:rsidR="00460384" w:rsidRPr="00D0306F" w:rsidRDefault="00460384" w:rsidP="00977D0F">
      <w:pPr>
        <w:rPr>
          <w:rFonts w:eastAsia="Aptos" w:cs="Arial"/>
        </w:rPr>
      </w:pPr>
    </w:p>
    <w:p w14:paraId="59BECE6F" w14:textId="77777777" w:rsidR="00460384" w:rsidRPr="00D0306F" w:rsidRDefault="00460384" w:rsidP="00977D0F">
      <w:pPr>
        <w:rPr>
          <w:rFonts w:eastAsia="Aptos" w:cs="Arial"/>
        </w:rPr>
      </w:pPr>
      <w:r w:rsidRPr="00D0306F">
        <w:rPr>
          <w:rFonts w:eastAsia="Aptos" w:cs="Arial"/>
        </w:rPr>
        <w:t>In Swansea, the median age</w:t>
      </w:r>
      <w:r w:rsidRPr="00D0306F">
        <w:rPr>
          <w:rFonts w:eastAsia="Aptos" w:cs="Arial"/>
          <w:vertAlign w:val="superscript"/>
        </w:rPr>
        <w:footnoteReference w:id="23"/>
      </w:r>
      <w:r w:rsidRPr="00D0306F">
        <w:rPr>
          <w:rFonts w:eastAsia="Aptos" w:cs="Arial"/>
        </w:rPr>
        <w:t xml:space="preserve"> is 40.7 years, which is slightly below the Wales average of 43.0 years. Neath Port Talbot’s median age of 43.3 years is very similar to average for Wales.</w:t>
      </w:r>
    </w:p>
    <w:p w14:paraId="0802650D" w14:textId="77777777" w:rsidR="00460384" w:rsidRPr="00D0306F" w:rsidRDefault="00460384" w:rsidP="00977D0F">
      <w:pPr>
        <w:rPr>
          <w:rFonts w:eastAsia="Aptos" w:cs="Arial"/>
        </w:rPr>
      </w:pPr>
    </w:p>
    <w:p w14:paraId="5EEB4657" w14:textId="77777777" w:rsidR="00460384" w:rsidRPr="00D0306F" w:rsidRDefault="00460384" w:rsidP="00977D0F">
      <w:pPr>
        <w:rPr>
          <w:rFonts w:eastAsia="Aptos" w:cs="Arial"/>
          <w:b/>
          <w:bCs/>
        </w:rPr>
      </w:pPr>
      <w:r w:rsidRPr="00D0306F">
        <w:rPr>
          <w:rFonts w:eastAsia="Aptos" w:cs="Arial"/>
          <w:b/>
          <w:bCs/>
        </w:rPr>
        <w:t>Figure 2.2: Population profile, Swansea Bay University Health Board</w:t>
      </w:r>
    </w:p>
    <w:p w14:paraId="02F64E4D" w14:textId="77777777" w:rsidR="00460384" w:rsidRPr="00D0306F" w:rsidRDefault="00460384" w:rsidP="00977D0F">
      <w:pPr>
        <w:rPr>
          <w:rFonts w:eastAsia="Aptos" w:cs="Arial"/>
        </w:rPr>
      </w:pPr>
    </w:p>
    <w:p w14:paraId="3E269985" w14:textId="77777777" w:rsidR="00460384" w:rsidRPr="00D0306F" w:rsidRDefault="00460384" w:rsidP="00977D0F">
      <w:pPr>
        <w:rPr>
          <w:rFonts w:eastAsia="Aptos" w:cs="Arial"/>
        </w:rPr>
      </w:pPr>
      <w:r w:rsidRPr="00D0306F">
        <w:rPr>
          <w:rFonts w:eastAsia="Aptos" w:cs="Arial"/>
          <w:noProof/>
        </w:rPr>
        <w:drawing>
          <wp:inline distT="0" distB="0" distL="0" distR="0" wp14:anchorId="2DB71A6D" wp14:editId="4016B3C3">
            <wp:extent cx="5743575" cy="3695700"/>
            <wp:effectExtent l="0" t="0" r="9525" b="0"/>
            <wp:docPr id="8" name="Picture 8" descr="Population pyramid chart for the health board showing the percentage of the population by age group and sex. Male percentages (blue) are displayed on the left and female percentages (pink) on the right, for age groups from 0–4 to 90+. The largest age group is 20–24 years, particularly among males (about 8%), while most other age groups range between 4% and 7%. Female proportions are slightly higher than male proportions in older age groups, especially from ages 65 and above. ">
              <a:extLst xmlns:a="http://schemas.openxmlformats.org/drawingml/2006/main">
                <a:ext uri="{FF2B5EF4-FFF2-40B4-BE49-F238E27FC236}">
                  <a16:creationId xmlns:a16="http://schemas.microsoft.com/office/drawing/2014/main" id="{80255BB6-B04F-4ABD-AB73-D603471EDA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9DC49F9" w14:textId="77777777" w:rsidR="00460384" w:rsidRPr="00D0306F" w:rsidRDefault="00460384" w:rsidP="00977D0F">
      <w:pPr>
        <w:rPr>
          <w:rFonts w:eastAsia="Aptos" w:cs="Arial"/>
        </w:rPr>
      </w:pPr>
    </w:p>
    <w:p w14:paraId="430ED150" w14:textId="77777777" w:rsidR="00460384" w:rsidRPr="00D0306F" w:rsidRDefault="00460384" w:rsidP="00977D0F">
      <w:pPr>
        <w:rPr>
          <w:rFonts w:eastAsia="Aptos" w:cs="Arial"/>
          <w:b/>
          <w:bCs/>
        </w:rPr>
      </w:pPr>
      <w:r w:rsidRPr="00D0306F">
        <w:rPr>
          <w:rFonts w:eastAsia="Aptos" w:cs="Arial"/>
          <w:b/>
          <w:bCs/>
        </w:rPr>
        <w:t xml:space="preserve">Swansea </w:t>
      </w:r>
    </w:p>
    <w:p w14:paraId="2A80CD92" w14:textId="77777777" w:rsidR="00460384" w:rsidRPr="00D0306F" w:rsidRDefault="00460384" w:rsidP="00977D0F">
      <w:pPr>
        <w:rPr>
          <w:rFonts w:eastAsia="Aptos" w:cs="Arial"/>
          <w:b/>
          <w:bCs/>
        </w:rPr>
      </w:pPr>
    </w:p>
    <w:p w14:paraId="2A5B15E9" w14:textId="77777777" w:rsidR="00460384" w:rsidRPr="00D0306F" w:rsidRDefault="00460384" w:rsidP="00977D0F">
      <w:pPr>
        <w:rPr>
          <w:rFonts w:eastAsia="Aptos" w:cs="Arial"/>
          <w:b/>
          <w:bCs/>
        </w:rPr>
      </w:pPr>
      <w:r w:rsidRPr="00D0306F">
        <w:rPr>
          <w:rFonts w:eastAsia="Aptos" w:cs="Arial"/>
          <w:noProof/>
        </w:rPr>
        <w:drawing>
          <wp:inline distT="0" distB="0" distL="0" distR="0" wp14:anchorId="3EC4841B" wp14:editId="4C65260F">
            <wp:extent cx="5743575" cy="3686175"/>
            <wp:effectExtent l="0" t="0" r="9525" b="9525"/>
            <wp:docPr id="9" name="Picture 9" descr="Population pyramid showing the percentage of the population by age and sex in Swansea local authority. Males are shown in blue on the left and females in pink on the right, across age groups from 0–4 to 90+. The largest population share is among 20–24 year olds, particularly males at about 9.5% and females at about 7.4%. Most other age groups account for around 4–7% of the population. Female proportions are slightly higher than male proportions in the oldest age groups (75+), while the overall distribution is relatively balanced across sexes. ">
              <a:extLst xmlns:a="http://schemas.openxmlformats.org/drawingml/2006/main">
                <a:ext uri="{FF2B5EF4-FFF2-40B4-BE49-F238E27FC236}">
                  <a16:creationId xmlns:a16="http://schemas.microsoft.com/office/drawing/2014/main" id="{58219A51-E7B8-4A65-B880-255D7EE181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3644425" w14:textId="77777777" w:rsidR="00460384" w:rsidRPr="00D0306F" w:rsidRDefault="00460384" w:rsidP="00977D0F">
      <w:pPr>
        <w:rPr>
          <w:rFonts w:eastAsia="Aptos" w:cs="Arial"/>
        </w:rPr>
      </w:pPr>
    </w:p>
    <w:p w14:paraId="354F52D3" w14:textId="77777777" w:rsidR="00E57AD9" w:rsidRPr="00D0306F" w:rsidRDefault="00E57AD9" w:rsidP="00977D0F">
      <w:pPr>
        <w:rPr>
          <w:rFonts w:eastAsia="Aptos" w:cs="Arial"/>
        </w:rPr>
      </w:pPr>
    </w:p>
    <w:p w14:paraId="3896F145" w14:textId="77777777" w:rsidR="00460384" w:rsidRPr="00D0306F" w:rsidRDefault="00460384" w:rsidP="00977D0F">
      <w:pPr>
        <w:rPr>
          <w:rFonts w:eastAsia="Aptos" w:cs="Arial"/>
          <w:b/>
          <w:bCs/>
        </w:rPr>
      </w:pPr>
      <w:r w:rsidRPr="00D0306F">
        <w:rPr>
          <w:rFonts w:eastAsia="Aptos" w:cs="Arial"/>
          <w:b/>
          <w:bCs/>
        </w:rPr>
        <w:lastRenderedPageBreak/>
        <w:t>Neath</w:t>
      </w:r>
    </w:p>
    <w:p w14:paraId="11B2B5E4" w14:textId="77777777" w:rsidR="00460384" w:rsidRPr="00D0306F" w:rsidRDefault="00460384" w:rsidP="00977D0F">
      <w:pPr>
        <w:rPr>
          <w:rFonts w:eastAsia="Aptos" w:cs="Arial"/>
        </w:rPr>
      </w:pPr>
    </w:p>
    <w:p w14:paraId="0FF8ACCB" w14:textId="77777777" w:rsidR="00460384" w:rsidRPr="00D0306F" w:rsidRDefault="00460384" w:rsidP="00977D0F">
      <w:pPr>
        <w:rPr>
          <w:rFonts w:eastAsia="Aptos" w:cs="Arial"/>
          <w:b/>
          <w:bCs/>
        </w:rPr>
      </w:pPr>
      <w:r w:rsidRPr="00D0306F">
        <w:rPr>
          <w:rFonts w:eastAsia="Aptos" w:cs="Arial"/>
          <w:noProof/>
        </w:rPr>
        <w:drawing>
          <wp:inline distT="0" distB="0" distL="0" distR="0" wp14:anchorId="4CEC7CA1" wp14:editId="488938F9">
            <wp:extent cx="5743575" cy="3686175"/>
            <wp:effectExtent l="0" t="0" r="9525" b="9525"/>
            <wp:docPr id="10" name="Picture 10" descr="Population pyramid showing the percentage of the population by age and sex in Neath Port Talbot. Males are displayed in blue on the left and females in pink on the right, across age groups from 0–4 to 90+. The population is concentrated in middle-aged and older adults, with the largest proportions in the 55–64 age range (around 6–7% for both sexes). Younger adult age groups, particularly 20–29, are smaller than middle-aged groups. Female proportions exceed male proportions in the oldest age groups (75+), while the overall distribution is broadly balanced between sexes.">
              <a:extLst xmlns:a="http://schemas.openxmlformats.org/drawingml/2006/main">
                <a:ext uri="{FF2B5EF4-FFF2-40B4-BE49-F238E27FC236}">
                  <a16:creationId xmlns:a16="http://schemas.microsoft.com/office/drawing/2014/main" id="{3D8DC2B0-8497-42DD-8552-CFD6E6448F1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209ADBA" w14:textId="77777777" w:rsidR="00460384" w:rsidRPr="00D0306F" w:rsidRDefault="00460384" w:rsidP="00977D0F">
      <w:pPr>
        <w:rPr>
          <w:rFonts w:eastAsia="Aptos" w:cs="Arial"/>
        </w:rPr>
      </w:pPr>
    </w:p>
    <w:p w14:paraId="585AAB6F" w14:textId="77777777" w:rsidR="00460384" w:rsidRPr="00D0306F" w:rsidRDefault="00460384" w:rsidP="00977D0F">
      <w:pPr>
        <w:rPr>
          <w:rFonts w:eastAsia="Aptos" w:cs="Arial"/>
          <w:b/>
          <w:sz w:val="26"/>
          <w:szCs w:val="26"/>
        </w:rPr>
      </w:pPr>
      <w:r w:rsidRPr="00D0306F">
        <w:rPr>
          <w:rFonts w:eastAsia="Aptos" w:cs="Arial"/>
          <w:b/>
          <w:sz w:val="26"/>
          <w:szCs w:val="26"/>
        </w:rPr>
        <w:t>2.3 Ethnicity</w:t>
      </w:r>
      <w:r w:rsidRPr="00D0306F">
        <w:rPr>
          <w:rFonts w:eastAsia="Aptos" w:cs="Arial"/>
          <w:b/>
          <w:sz w:val="26"/>
          <w:szCs w:val="26"/>
          <w:vertAlign w:val="superscript"/>
        </w:rPr>
        <w:footnoteReference w:id="24"/>
      </w:r>
    </w:p>
    <w:p w14:paraId="296FACA0" w14:textId="77777777" w:rsidR="00460384" w:rsidRPr="00D0306F" w:rsidRDefault="00460384" w:rsidP="00977D0F">
      <w:pPr>
        <w:rPr>
          <w:rFonts w:eastAsia="Aptos" w:cs="Arial"/>
        </w:rPr>
      </w:pPr>
    </w:p>
    <w:p w14:paraId="3C3E2DCC" w14:textId="77777777" w:rsidR="00460384" w:rsidRPr="00D0306F" w:rsidRDefault="00460384" w:rsidP="00977D0F">
      <w:pPr>
        <w:rPr>
          <w:rFonts w:eastAsia="Aptos" w:cs="Arial"/>
        </w:rPr>
      </w:pPr>
      <w:r w:rsidRPr="00D0306F">
        <w:rPr>
          <w:rFonts w:eastAsia="Aptos" w:cs="Arial"/>
        </w:rPr>
        <w:t>Data from the 2021 Census shows that the majority of the population in Swansea Bay University Health Board (93.4%) are White British or Irish. Black, Asian and Minority Ethnic groups represent 6.6% of the total Swansea area population. This is higher than the Welsh average (6.2%). The Black, Asian and Minority Ethnic groups represent significantly less 3.4% of the Neath Port Talbot area population.</w:t>
      </w:r>
    </w:p>
    <w:p w14:paraId="386FC360" w14:textId="77777777" w:rsidR="00460384" w:rsidRPr="00D0306F" w:rsidRDefault="00460384" w:rsidP="00977D0F">
      <w:pPr>
        <w:rPr>
          <w:rFonts w:eastAsia="Aptos" w:cs="Arial"/>
        </w:rPr>
      </w:pPr>
    </w:p>
    <w:p w14:paraId="32A712AB" w14:textId="77777777" w:rsidR="00460384" w:rsidRPr="00D0306F" w:rsidRDefault="00460384" w:rsidP="00977D0F">
      <w:pPr>
        <w:rPr>
          <w:rFonts w:eastAsia="Aptos" w:cs="Arial"/>
          <w:b/>
          <w:sz w:val="26"/>
          <w:szCs w:val="26"/>
        </w:rPr>
      </w:pPr>
      <w:r w:rsidRPr="00D0306F">
        <w:rPr>
          <w:rFonts w:eastAsia="Aptos" w:cs="Arial"/>
          <w:b/>
          <w:sz w:val="26"/>
          <w:szCs w:val="26"/>
        </w:rPr>
        <w:t>2.4 Household language</w:t>
      </w:r>
    </w:p>
    <w:p w14:paraId="4E83E6F6" w14:textId="77777777" w:rsidR="00460384" w:rsidRPr="00D0306F" w:rsidRDefault="00460384" w:rsidP="00977D0F">
      <w:pPr>
        <w:rPr>
          <w:rFonts w:eastAsia="Aptos" w:cs="Arial"/>
        </w:rPr>
      </w:pPr>
    </w:p>
    <w:p w14:paraId="35405817" w14:textId="77777777" w:rsidR="00460384" w:rsidRPr="00D0306F" w:rsidRDefault="00460384" w:rsidP="00977D0F">
      <w:pPr>
        <w:rPr>
          <w:rFonts w:eastAsia="Aptos" w:cs="Arial"/>
        </w:rPr>
      </w:pPr>
      <w:r w:rsidRPr="00D0306F">
        <w:rPr>
          <w:rFonts w:eastAsia="Aptos" w:cs="Arial"/>
        </w:rPr>
        <w:t>According to the 2021 Census, 96.7% of residents in Wales aged three and older speak English or Welsh as their main language. Polish (0.7%) and Arabic (0.3%) are next most common main languages</w:t>
      </w:r>
      <w:r w:rsidRPr="00D0306F">
        <w:rPr>
          <w:rFonts w:eastAsia="Aptos" w:cs="Arial"/>
          <w:vertAlign w:val="superscript"/>
        </w:rPr>
        <w:footnoteReference w:id="25"/>
      </w:r>
      <w:r w:rsidRPr="00D0306F">
        <w:rPr>
          <w:rFonts w:eastAsia="Aptos" w:cs="Arial"/>
        </w:rPr>
        <w:t>. </w:t>
      </w:r>
    </w:p>
    <w:p w14:paraId="00803357" w14:textId="77777777" w:rsidR="00460384" w:rsidRPr="00D0306F" w:rsidRDefault="00460384" w:rsidP="00977D0F">
      <w:pPr>
        <w:rPr>
          <w:rFonts w:eastAsia="Aptos" w:cs="Arial"/>
        </w:rPr>
      </w:pPr>
    </w:p>
    <w:p w14:paraId="513E40EF" w14:textId="77777777" w:rsidR="00460384" w:rsidRPr="00D0306F" w:rsidRDefault="00460384" w:rsidP="00977D0F">
      <w:pPr>
        <w:rPr>
          <w:rFonts w:eastAsia="Aptos" w:cs="Arial"/>
        </w:rPr>
      </w:pPr>
      <w:r w:rsidRPr="00D0306F">
        <w:rPr>
          <w:rFonts w:eastAsia="Aptos" w:cs="Arial"/>
        </w:rPr>
        <w:t>In the year ending September 2025, the Annual Population Survey (APS) estimated that 26.9% (approximately 828,500) of people aged three or older in Wales were able to speak Welsh. This represents a decline from 29.2% (891,800) reported in the year ending September 2023.</w:t>
      </w:r>
    </w:p>
    <w:p w14:paraId="5C4DF0BB" w14:textId="77777777" w:rsidR="00460384" w:rsidRPr="00D0306F" w:rsidRDefault="00460384" w:rsidP="00977D0F">
      <w:pPr>
        <w:rPr>
          <w:rFonts w:eastAsia="Aptos" w:cs="Arial"/>
        </w:rPr>
      </w:pPr>
    </w:p>
    <w:p w14:paraId="35192E6B" w14:textId="77777777" w:rsidR="00460384" w:rsidRPr="00D0306F" w:rsidRDefault="00460384" w:rsidP="00977D0F">
      <w:pPr>
        <w:rPr>
          <w:rFonts w:eastAsia="Aptos" w:cs="Arial"/>
        </w:rPr>
      </w:pPr>
      <w:r w:rsidRPr="00D0306F">
        <w:rPr>
          <w:rFonts w:eastAsia="Aptos" w:cs="Arial"/>
        </w:rPr>
        <w:t>Swansea - the 2021 Census</w:t>
      </w:r>
      <w:r w:rsidRPr="00D0306F">
        <w:rPr>
          <w:rFonts w:eastAsia="Aptos" w:cs="Arial"/>
          <w:vertAlign w:val="superscript"/>
        </w:rPr>
        <w:footnoteReference w:id="26"/>
      </w:r>
      <w:r w:rsidRPr="00D0306F">
        <w:rPr>
          <w:rFonts w:eastAsia="Aptos" w:cs="Arial"/>
        </w:rPr>
        <w:t xml:space="preserve"> highlighted:</w:t>
      </w:r>
    </w:p>
    <w:p w14:paraId="22169BB6" w14:textId="77777777" w:rsidR="00460384" w:rsidRPr="00D0306F" w:rsidRDefault="00460384" w:rsidP="00977D0F">
      <w:pPr>
        <w:rPr>
          <w:rFonts w:eastAsia="Aptos" w:cs="Arial"/>
        </w:rPr>
      </w:pPr>
    </w:p>
    <w:p w14:paraId="58604A9D" w14:textId="77777777" w:rsidR="00460384" w:rsidRPr="00D0306F" w:rsidRDefault="00460384" w:rsidP="00977D0F">
      <w:pPr>
        <w:numPr>
          <w:ilvl w:val="0"/>
          <w:numId w:val="37"/>
        </w:numPr>
        <w:rPr>
          <w:rFonts w:eastAsia="Aptos" w:cs="Arial"/>
        </w:rPr>
      </w:pPr>
      <w:r w:rsidRPr="00D0306F">
        <w:rPr>
          <w:rFonts w:eastAsia="Aptos" w:cs="Arial"/>
        </w:rPr>
        <w:lastRenderedPageBreak/>
        <w:t>The number of people aged 3 years and above able to speak Welsh in Swansea in 2021 was 25,986. This equates to 11.2% of the population aged 3 years and over</w:t>
      </w:r>
    </w:p>
    <w:p w14:paraId="011B5D67" w14:textId="77777777" w:rsidR="00460384" w:rsidRPr="00D0306F" w:rsidRDefault="00460384" w:rsidP="00977D0F">
      <w:pPr>
        <w:numPr>
          <w:ilvl w:val="0"/>
          <w:numId w:val="37"/>
        </w:numPr>
        <w:rPr>
          <w:rFonts w:eastAsia="Aptos" w:cs="Arial"/>
        </w:rPr>
      </w:pPr>
      <w:r w:rsidRPr="00D0306F">
        <w:rPr>
          <w:rFonts w:eastAsia="Aptos" w:cs="Arial"/>
        </w:rPr>
        <w:t>Between 2011 and 2021 the proportion of people able to speak Welsh in Swansea decreased slightly from 11.4% to 11.2%</w:t>
      </w:r>
    </w:p>
    <w:p w14:paraId="11DAEF45" w14:textId="77777777" w:rsidR="00460384" w:rsidRPr="00D0306F" w:rsidRDefault="00460384" w:rsidP="00977D0F">
      <w:pPr>
        <w:numPr>
          <w:ilvl w:val="0"/>
          <w:numId w:val="37"/>
        </w:numPr>
        <w:rPr>
          <w:rFonts w:eastAsia="Aptos" w:cs="Arial"/>
        </w:rPr>
      </w:pPr>
      <w:r w:rsidRPr="00D0306F">
        <w:rPr>
          <w:rFonts w:eastAsia="Aptos" w:cs="Arial"/>
        </w:rPr>
        <w:t>88.8% (205,903) of the people in Swansea had no Welsh language skills in 2021.</w:t>
      </w:r>
    </w:p>
    <w:p w14:paraId="1719DC0C" w14:textId="77777777" w:rsidR="00460384" w:rsidRPr="00D0306F" w:rsidRDefault="00460384" w:rsidP="00977D0F">
      <w:pPr>
        <w:numPr>
          <w:ilvl w:val="0"/>
          <w:numId w:val="37"/>
        </w:numPr>
        <w:rPr>
          <w:rFonts w:eastAsia="Aptos" w:cs="Arial"/>
        </w:rPr>
      </w:pPr>
      <w:r w:rsidRPr="00D0306F">
        <w:rPr>
          <w:rFonts w:eastAsia="Aptos" w:cs="Arial"/>
        </w:rPr>
        <w:t>People are also more likely to speak Welsh if they live in certain local authority areas. Census 2021 data indicate that the proportion of the population able to speak, read and write Welsh remains highest in Mawr, although it has declined slightly since 2011 and is now around 20%–25%.</w:t>
      </w:r>
    </w:p>
    <w:p w14:paraId="561B7D41" w14:textId="77777777" w:rsidR="00460384" w:rsidRPr="00D0306F" w:rsidRDefault="00460384" w:rsidP="00977D0F">
      <w:pPr>
        <w:numPr>
          <w:ilvl w:val="0"/>
          <w:numId w:val="37"/>
        </w:numPr>
        <w:rPr>
          <w:rFonts w:eastAsia="Aptos" w:cs="Arial"/>
        </w:rPr>
      </w:pPr>
      <w:r w:rsidRPr="00D0306F">
        <w:rPr>
          <w:rFonts w:eastAsia="Aptos" w:cs="Arial"/>
        </w:rPr>
        <w:t>In Pontarddulais, the proportion of residents with Welsh language skills is approximately 15%–20%, representing a small decrease compared with Census 2011.</w:t>
      </w:r>
    </w:p>
    <w:p w14:paraId="77A11458" w14:textId="77777777" w:rsidR="00460384" w:rsidRPr="00D0306F" w:rsidRDefault="00460384" w:rsidP="00977D0F">
      <w:pPr>
        <w:numPr>
          <w:ilvl w:val="0"/>
          <w:numId w:val="37"/>
        </w:numPr>
        <w:rPr>
          <w:rFonts w:eastAsia="Aptos" w:cs="Arial"/>
        </w:rPr>
      </w:pPr>
      <w:r w:rsidRPr="00D0306F">
        <w:rPr>
          <w:rFonts w:eastAsia="Aptos" w:cs="Arial"/>
        </w:rPr>
        <w:t xml:space="preserve">For Llangyfelach, Penllergaer, Kingsbridge, Upper Loughor, Loughor and Clydach, Census 2021 shows that the percentage of the population able to speak, read and write Welsh generally falls within the 8%–15% range. </w:t>
      </w:r>
    </w:p>
    <w:p w14:paraId="79966183" w14:textId="77777777" w:rsidR="00460384" w:rsidRPr="00D0306F" w:rsidRDefault="00460384" w:rsidP="00977D0F">
      <w:pPr>
        <w:rPr>
          <w:rFonts w:eastAsia="Aptos" w:cs="Arial"/>
        </w:rPr>
      </w:pPr>
    </w:p>
    <w:p w14:paraId="1927CE03" w14:textId="77777777" w:rsidR="00460384" w:rsidRPr="00D0306F" w:rsidRDefault="00460384" w:rsidP="00977D0F">
      <w:pPr>
        <w:rPr>
          <w:rFonts w:eastAsia="Aptos" w:cs="Arial"/>
          <w:b/>
          <w:bCs/>
        </w:rPr>
      </w:pPr>
      <w:r w:rsidRPr="00D0306F">
        <w:rPr>
          <w:rFonts w:eastAsia="Aptos" w:cs="Arial"/>
          <w:b/>
          <w:bCs/>
        </w:rPr>
        <w:t>Figure 2.3: Percentage of Welsh speakers in the Swansea area</w:t>
      </w:r>
      <w:r w:rsidRPr="00D0306F">
        <w:rPr>
          <w:rFonts w:eastAsia="Aptos" w:cs="Arial"/>
          <w:b/>
          <w:bCs/>
          <w:vertAlign w:val="superscript"/>
        </w:rPr>
        <w:footnoteReference w:id="27"/>
      </w:r>
      <w:r w:rsidRPr="00D0306F">
        <w:rPr>
          <w:rFonts w:eastAsia="Aptos" w:cs="Arial"/>
          <w:b/>
          <w:bCs/>
        </w:rPr>
        <w:t xml:space="preserve"> </w:t>
      </w:r>
    </w:p>
    <w:p w14:paraId="27170077" w14:textId="77777777" w:rsidR="00460384" w:rsidRPr="00D0306F" w:rsidRDefault="00460384" w:rsidP="00977D0F">
      <w:pPr>
        <w:rPr>
          <w:rFonts w:eastAsia="Aptos" w:cs="Arial"/>
          <w:b/>
          <w:bCs/>
          <w:shd w:val="clear" w:color="auto" w:fill="C00000"/>
        </w:rPr>
      </w:pPr>
    </w:p>
    <w:p w14:paraId="387991A0" w14:textId="77777777" w:rsidR="00460384" w:rsidRPr="00D0306F" w:rsidRDefault="00460384" w:rsidP="00977D0F">
      <w:pPr>
        <w:rPr>
          <w:rFonts w:eastAsia="Aptos" w:cs="Arial"/>
        </w:rPr>
      </w:pPr>
      <w:r w:rsidRPr="00D0306F">
        <w:rPr>
          <w:rFonts w:eastAsia="Aptos" w:cs="Arial"/>
          <w:noProof/>
        </w:rPr>
        <w:drawing>
          <wp:inline distT="0" distB="0" distL="0" distR="0" wp14:anchorId="78223C0F" wp14:editId="31AB6CD5">
            <wp:extent cx="5734050" cy="4000500"/>
            <wp:effectExtent l="0" t="0" r="0" b="0"/>
            <wp:docPr id="11" name="Picture 4" descr="Choropleth map showing the percentage of residents able to speak Welsh across Swansea’s 32 electoral wards. Wards are shaded from very light blue to dark blue, representing increasing proportions of Welsh speakers, from 5.6–9.7% to 21.8–25.9%. The highest percentages are concentrated in northern wards, particularly Pontarddulais (24) and Penllergaer (22), shown in the darkest shades. Central urban wards such as Castle (3), Cockett (5), Landore (12), and Uplands (29) have some of the lowest percentages and are shown in the lightest shade. A legend indicates five percentage bands, and a numbered key lists all 32 Swansea wa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4" descr="Choropleth map showing the percentage of residents able to speak Welsh across Swansea’s 32 electoral wards. Wards are shaded from very light blue to dark blue, representing increasing proportions of Welsh speakers, from 5.6–9.7% to 21.8–25.9%. The highest percentages are concentrated in northern wards, particularly Pontarddulais (24) and Penllergaer (22), shown in the darkest shades. Central urban wards such as Castle (3), Cockett (5), Landore (12), and Uplands (29) have some of the lowest percentages and are shown in the lightest shade. A legend indicates five percentage bands, and a numbered key lists all 32 Swansea wards."/>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34050" cy="4000500"/>
                    </a:xfrm>
                    <a:prstGeom prst="rect">
                      <a:avLst/>
                    </a:prstGeom>
                    <a:noFill/>
                    <a:ln>
                      <a:noFill/>
                    </a:ln>
                  </pic:spPr>
                </pic:pic>
              </a:graphicData>
            </a:graphic>
          </wp:inline>
        </w:drawing>
      </w:r>
    </w:p>
    <w:p w14:paraId="2AD46A0A" w14:textId="77777777" w:rsidR="00460384" w:rsidRPr="00D0306F" w:rsidRDefault="00460384" w:rsidP="00977D0F">
      <w:pPr>
        <w:rPr>
          <w:rFonts w:eastAsia="Aptos" w:cs="Arial"/>
        </w:rPr>
      </w:pPr>
    </w:p>
    <w:p w14:paraId="31F4BCFA" w14:textId="32A86BA1" w:rsidR="00460384" w:rsidRPr="00D0306F" w:rsidRDefault="00460384" w:rsidP="00185793">
      <w:pPr>
        <w:keepLines/>
        <w:rPr>
          <w:rFonts w:eastAsia="Aptos" w:cs="Arial"/>
        </w:rPr>
      </w:pPr>
      <w:r w:rsidRPr="00D0306F">
        <w:rPr>
          <w:rFonts w:eastAsia="Aptos" w:cs="Arial"/>
        </w:rPr>
        <w:t>Neath Port Talbot - the 2021 Census highlighted:</w:t>
      </w:r>
    </w:p>
    <w:p w14:paraId="15029744" w14:textId="77777777" w:rsidR="00460384" w:rsidRPr="00D0306F" w:rsidRDefault="00460384" w:rsidP="00185793">
      <w:pPr>
        <w:keepLines/>
        <w:rPr>
          <w:rFonts w:eastAsia="Aptos" w:cs="Arial"/>
        </w:rPr>
      </w:pPr>
    </w:p>
    <w:p w14:paraId="1F71DA61" w14:textId="77777777" w:rsidR="00460384" w:rsidRPr="00D0306F" w:rsidRDefault="00460384" w:rsidP="00185793">
      <w:pPr>
        <w:keepLines/>
        <w:numPr>
          <w:ilvl w:val="0"/>
          <w:numId w:val="38"/>
        </w:numPr>
        <w:contextualSpacing/>
        <w:rPr>
          <w:rFonts w:eastAsia="Aptos" w:cs="Arial"/>
        </w:rPr>
      </w:pPr>
      <w:r w:rsidRPr="00D0306F">
        <w:rPr>
          <w:rFonts w:eastAsia="Aptos" w:cs="Arial"/>
        </w:rPr>
        <w:lastRenderedPageBreak/>
        <w:t>The number of people aged 3 years and above able to speak Welsh in Neath Port Talbot in was 18,662. This equated to 13.5% of the population aged 3 years and over.</w:t>
      </w:r>
    </w:p>
    <w:p w14:paraId="6DD38A6F" w14:textId="77777777" w:rsidR="00460384" w:rsidRPr="00D0306F" w:rsidRDefault="00460384" w:rsidP="00185793">
      <w:pPr>
        <w:keepLines/>
        <w:numPr>
          <w:ilvl w:val="0"/>
          <w:numId w:val="38"/>
        </w:numPr>
        <w:contextualSpacing/>
        <w:rPr>
          <w:rFonts w:eastAsia="Aptos" w:cs="Arial"/>
        </w:rPr>
      </w:pPr>
      <w:r w:rsidRPr="00D0306F">
        <w:rPr>
          <w:rFonts w:eastAsia="Aptos" w:cs="Arial"/>
        </w:rPr>
        <w:t>Between 2011 and 2021 the proportion of people able to speak Welsh in Neath Port Talbot decreased from 15.3% to 13.5%</w:t>
      </w:r>
    </w:p>
    <w:p w14:paraId="6772C44D" w14:textId="77777777" w:rsidR="00460384" w:rsidRPr="00D0306F" w:rsidRDefault="00460384" w:rsidP="00185793">
      <w:pPr>
        <w:keepLines/>
        <w:numPr>
          <w:ilvl w:val="0"/>
          <w:numId w:val="39"/>
        </w:numPr>
        <w:contextualSpacing/>
        <w:rPr>
          <w:rFonts w:eastAsia="Aptos" w:cs="Arial"/>
        </w:rPr>
      </w:pPr>
      <w:r w:rsidRPr="00D0306F">
        <w:rPr>
          <w:rFonts w:eastAsia="Aptos" w:cs="Arial"/>
        </w:rPr>
        <w:t>86.57% (119,658) of the people in Neath Port Talbot had no Welsh language skills in 2021.Within the communities of Cwmllynfell, Gwaun Cae Gurwen and Lower Brynamman more than half of the population speak Welsh, and these are widely regarded as traditional Welsh speaking areas. Each area has, however, experienced a decline since 2011, consistent with wider national trends, but the decline has not been sufficient to remove their majority</w:t>
      </w:r>
      <w:r w:rsidRPr="00D0306F">
        <w:rPr>
          <w:rFonts w:eastAsia="Aptos" w:cs="Arial"/>
        </w:rPr>
        <w:noBreakHyphen/>
        <w:t>Welsh</w:t>
      </w:r>
      <w:r w:rsidRPr="00D0306F">
        <w:rPr>
          <w:rFonts w:eastAsia="Aptos" w:cs="Arial"/>
        </w:rPr>
        <w:noBreakHyphen/>
        <w:t>speaking status.</w:t>
      </w:r>
    </w:p>
    <w:p w14:paraId="38E1A11B" w14:textId="77777777" w:rsidR="00460384" w:rsidRPr="00D0306F" w:rsidRDefault="00460384" w:rsidP="00185793">
      <w:pPr>
        <w:keepLines/>
        <w:rPr>
          <w:rFonts w:eastAsia="Aptos" w:cs="Arial"/>
          <w:b/>
          <w:bCs/>
        </w:rPr>
      </w:pPr>
    </w:p>
    <w:p w14:paraId="42EE4833" w14:textId="77777777" w:rsidR="00460384" w:rsidRPr="00D0306F" w:rsidRDefault="00460384" w:rsidP="00977D0F">
      <w:pPr>
        <w:rPr>
          <w:rFonts w:eastAsia="Aptos" w:cs="Arial"/>
          <w:b/>
          <w:bCs/>
        </w:rPr>
      </w:pPr>
      <w:r w:rsidRPr="00D0306F">
        <w:rPr>
          <w:rFonts w:eastAsia="Aptos" w:cs="Arial"/>
          <w:b/>
          <w:bCs/>
        </w:rPr>
        <w:t>Figure 2.4: Map of Welsh sensitive areas in Neath Port Talbot</w:t>
      </w:r>
      <w:r w:rsidRPr="00D0306F">
        <w:rPr>
          <w:rFonts w:eastAsia="Aptos" w:cs="Arial"/>
          <w:b/>
          <w:bCs/>
          <w:vertAlign w:val="superscript"/>
        </w:rPr>
        <w:footnoteReference w:id="28"/>
      </w:r>
    </w:p>
    <w:p w14:paraId="4A5499A1" w14:textId="77777777" w:rsidR="00460384" w:rsidRPr="00D0306F" w:rsidRDefault="00460384" w:rsidP="00977D0F">
      <w:pPr>
        <w:rPr>
          <w:rFonts w:eastAsia="Aptos" w:cs="Arial"/>
          <w:b/>
          <w:bCs/>
        </w:rPr>
      </w:pPr>
    </w:p>
    <w:p w14:paraId="2A968BCF" w14:textId="77777777" w:rsidR="00460384" w:rsidRPr="00D0306F" w:rsidRDefault="00460384" w:rsidP="00977D0F">
      <w:pPr>
        <w:rPr>
          <w:rFonts w:eastAsia="Aptos" w:cs="Arial"/>
        </w:rPr>
      </w:pPr>
      <w:r w:rsidRPr="00D0306F">
        <w:rPr>
          <w:rFonts w:eastAsia="Aptos" w:cs="Arial"/>
          <w:noProof/>
        </w:rPr>
        <w:drawing>
          <wp:inline distT="0" distB="0" distL="0" distR="0" wp14:anchorId="11E04447" wp14:editId="01AD50FC">
            <wp:extent cx="4838700" cy="5610466"/>
            <wp:effectExtent l="0" t="0" r="0" b="9525"/>
            <wp:docPr id="12" name="Picture 3" descr="Map of Neath Port Talbot showing electoral wards grouped into eight colour-coded spatial areas: Afan Valley (orange), Amman Valley (blue), Dulais Valley (yellow-green), Neath (purple), Neath Valley (light green), Pontardawe (turquoise), Port Talbot (pink), and Swansea Valley (light green). Individual wards are labelled by name, including Pontardawe, Seven Sisters, Glynneath, Resolven, Neath North, Briton Ferry West, Baglan, Port Talbot, and Margam. A red dashed boundary highlights the Welsh Language Sensitive Area, covering much of the northern part of the county borough, including the Amman Valley, Swansea Valley, Dulais Valley, and Pontardawe areas. A legend identifies the spatial area colours and the Welsh Language Sensitive Area bound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3" descr="Map of Neath Port Talbot showing electoral wards grouped into eight colour-coded spatial areas: Afan Valley (orange), Amman Valley (blue), Dulais Valley (yellow-green), Neath (purple), Neath Valley (light green), Pontardawe (turquoise), Port Talbot (pink), and Swansea Valley (light green). Individual wards are labelled by name, including Pontardawe, Seven Sisters, Glynneath, Resolven, Neath North, Briton Ferry West, Baglan, Port Talbot, and Margam. A red dashed boundary highlights the Welsh Language Sensitive Area, covering much of the northern part of the county borough, including the Amman Valley, Swansea Valley, Dulais Valley, and Pontardawe areas. A legend identifies the spatial area colours and the Welsh Language Sensitive Area boundary."/>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849609" cy="5623115"/>
                    </a:xfrm>
                    <a:prstGeom prst="rect">
                      <a:avLst/>
                    </a:prstGeom>
                    <a:noFill/>
                    <a:ln>
                      <a:noFill/>
                    </a:ln>
                  </pic:spPr>
                </pic:pic>
              </a:graphicData>
            </a:graphic>
          </wp:inline>
        </w:drawing>
      </w:r>
    </w:p>
    <w:p w14:paraId="6C7E4143" w14:textId="77777777" w:rsidR="00460384" w:rsidRPr="00B0633D" w:rsidRDefault="00460384" w:rsidP="00977D0F">
      <w:pPr>
        <w:keepNext/>
        <w:keepLines/>
        <w:outlineLvl w:val="1"/>
        <w:rPr>
          <w:rFonts w:eastAsia="Times New Roman" w:cs="Arial"/>
        </w:rPr>
      </w:pPr>
    </w:p>
    <w:p w14:paraId="36AE8E3F" w14:textId="77777777" w:rsidR="00B0633D" w:rsidRPr="00B0633D" w:rsidRDefault="00B0633D" w:rsidP="00C42203">
      <w:r w:rsidRPr="00B0633D">
        <w:t>Census data demonstrates that the majority of the population communicates in English or Welsh, although small populations speak Polish, Arabic and other languages. Contractor survey responses identified a range of language skills amongst pharmacy staff, including Arabic, Punjabi, Urdu, Polish, Romanian, Russian and Ukrainian. Whilst pharmacy language skills do not precisely mirror the linguistic profile of the population, the broad range of languages spoken within pharmacies provides some local capacity to support communication with non-English speakers. No evidence has been identified that a gap in pharmaceutical service provision exists as a consequence of language barriers.</w:t>
      </w:r>
    </w:p>
    <w:p w14:paraId="6F19A9A7" w14:textId="77777777" w:rsidR="00B0633D" w:rsidRPr="00B0633D" w:rsidRDefault="00B0633D" w:rsidP="00977D0F">
      <w:pPr>
        <w:keepNext/>
        <w:keepLines/>
        <w:outlineLvl w:val="1"/>
        <w:rPr>
          <w:rFonts w:eastAsia="Times New Roman" w:cs="Arial"/>
        </w:rPr>
      </w:pPr>
    </w:p>
    <w:p w14:paraId="429AA8F7" w14:textId="77777777" w:rsidR="00460384" w:rsidRPr="00D0306F" w:rsidRDefault="00460384" w:rsidP="00977D0F">
      <w:pPr>
        <w:rPr>
          <w:rFonts w:eastAsia="Aptos" w:cs="Arial"/>
          <w:b/>
          <w:sz w:val="26"/>
          <w:szCs w:val="26"/>
        </w:rPr>
      </w:pPr>
      <w:r w:rsidRPr="00D0306F">
        <w:rPr>
          <w:rFonts w:eastAsia="Aptos" w:cs="Arial"/>
          <w:b/>
          <w:sz w:val="26"/>
          <w:szCs w:val="26"/>
        </w:rPr>
        <w:t>2.5 Religion</w:t>
      </w:r>
    </w:p>
    <w:p w14:paraId="4250EEDC" w14:textId="77777777" w:rsidR="00460384" w:rsidRPr="00D0306F" w:rsidRDefault="00460384" w:rsidP="00977D0F">
      <w:pPr>
        <w:rPr>
          <w:rFonts w:eastAsia="Aptos" w:cs="Arial"/>
        </w:rPr>
      </w:pPr>
    </w:p>
    <w:p w14:paraId="35E853AD" w14:textId="77777777" w:rsidR="00460384" w:rsidRPr="00D0306F" w:rsidRDefault="00460384" w:rsidP="00977D0F">
      <w:pPr>
        <w:rPr>
          <w:rFonts w:eastAsia="Aptos" w:cs="Arial"/>
        </w:rPr>
      </w:pPr>
      <w:r w:rsidRPr="00D0306F">
        <w:rPr>
          <w:rFonts w:eastAsia="Aptos" w:cs="Arial"/>
        </w:rPr>
        <w:t>Based on the 2021 census data, 44.8% of Swansea Bay residents follow one of six main religions. The majority define their religious status as being Christian (41.6%). In contrast, 48.2% of residents state they do not follow any religion (figure 2.5).</w:t>
      </w:r>
    </w:p>
    <w:p w14:paraId="2CDEE0F3" w14:textId="77777777" w:rsidR="00460384" w:rsidRPr="00D0306F" w:rsidRDefault="00460384" w:rsidP="00977D0F">
      <w:pPr>
        <w:rPr>
          <w:rFonts w:eastAsia="Aptos" w:cs="Arial"/>
        </w:rPr>
      </w:pPr>
    </w:p>
    <w:p w14:paraId="7D68A097" w14:textId="77777777" w:rsidR="00460384" w:rsidRPr="00D0306F" w:rsidRDefault="00460384" w:rsidP="00977D0F">
      <w:pPr>
        <w:rPr>
          <w:rFonts w:eastAsia="Aptos" w:cs="Arial"/>
          <w:b/>
          <w:bCs/>
        </w:rPr>
      </w:pPr>
      <w:r w:rsidRPr="00D0306F">
        <w:rPr>
          <w:rFonts w:eastAsia="Aptos" w:cs="Arial"/>
          <w:b/>
          <w:bCs/>
        </w:rPr>
        <w:t>Figure 2.5: Swansea Bay University Health Board residents by religion and local authority</w:t>
      </w:r>
    </w:p>
    <w:p w14:paraId="31E5CAA6" w14:textId="77777777" w:rsidR="00460384" w:rsidRPr="00D0306F" w:rsidRDefault="00460384" w:rsidP="00977D0F">
      <w:pPr>
        <w:rPr>
          <w:rFonts w:eastAsia="Aptos" w:cs="Arial"/>
        </w:rPr>
      </w:pPr>
    </w:p>
    <w:p w14:paraId="579C1DA4" w14:textId="77777777" w:rsidR="00460384" w:rsidRPr="00D0306F" w:rsidRDefault="00460384" w:rsidP="00977D0F">
      <w:pPr>
        <w:rPr>
          <w:rFonts w:eastAsia="Aptos" w:cs="Arial"/>
        </w:rPr>
      </w:pPr>
      <w:r w:rsidRPr="00D0306F">
        <w:rPr>
          <w:rFonts w:eastAsia="Aptos" w:cs="Arial"/>
          <w:noProof/>
        </w:rPr>
        <w:drawing>
          <wp:inline distT="0" distB="0" distL="0" distR="0" wp14:anchorId="4254B5C3" wp14:editId="08A58AE2">
            <wp:extent cx="5686425" cy="2962275"/>
            <wp:effectExtent l="0" t="0" r="9525" b="9525"/>
            <wp:docPr id="13" name="Picture 13" descr="Horizontal bar chart comparing religious affiliation in the health board, Neath Port Talbot, and Swansea. Christianity and “No religion” are the largest categories in all three areas. The health board has the highest counts overall, with about 185,000 people reporting no religion and about 158,000 identifying as Christian. Swansea shows around 113,000 people with no religion and 99,000 Christians, while Neath Port Talbot has approximately 71,000 people with no religion and 60,000 Christians. Smaller numbers are recorded for Muslim, Hindu, Buddhist, Sikh, Jewish, and other religions. Around 25,000 people in the health board, 9,000 in Neath Port Talbot, and 16,000 in Swansea did not state a religion. The chart uses purple bars for the health board, green for Neath Port Talbot, and blue for Swansea.">
              <a:extLst xmlns:a="http://schemas.openxmlformats.org/drawingml/2006/main">
                <a:ext uri="{FF2B5EF4-FFF2-40B4-BE49-F238E27FC236}">
                  <a16:creationId xmlns:a16="http://schemas.microsoft.com/office/drawing/2014/main" id="{C55C80F3-0421-DE4A-E319-C001F2D5D64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B2A0688" w14:textId="77777777" w:rsidR="00460384" w:rsidRPr="00D0306F" w:rsidRDefault="00460384" w:rsidP="00977D0F">
      <w:pPr>
        <w:rPr>
          <w:rFonts w:eastAsia="Aptos" w:cs="Arial"/>
        </w:rPr>
      </w:pPr>
    </w:p>
    <w:p w14:paraId="36493CBD" w14:textId="77777777" w:rsidR="00460384" w:rsidRPr="00D0306F" w:rsidRDefault="00460384" w:rsidP="00977D0F">
      <w:pPr>
        <w:rPr>
          <w:rFonts w:eastAsia="Aptos" w:cs="Arial"/>
          <w:b/>
          <w:sz w:val="26"/>
          <w:szCs w:val="26"/>
        </w:rPr>
      </w:pPr>
      <w:r w:rsidRPr="00D0306F">
        <w:rPr>
          <w:rFonts w:eastAsia="Aptos" w:cs="Arial"/>
          <w:b/>
          <w:sz w:val="26"/>
          <w:szCs w:val="26"/>
        </w:rPr>
        <w:t>2.6 Welsh Index of Multiple Deprivation</w:t>
      </w:r>
    </w:p>
    <w:p w14:paraId="32ABF461" w14:textId="77777777" w:rsidR="00460384" w:rsidRPr="00D0306F" w:rsidRDefault="00460384" w:rsidP="00977D0F">
      <w:pPr>
        <w:rPr>
          <w:rFonts w:eastAsia="Aptos" w:cs="Arial"/>
        </w:rPr>
      </w:pPr>
    </w:p>
    <w:p w14:paraId="09CAFF4A" w14:textId="77777777" w:rsidR="00460384" w:rsidRPr="00D0306F" w:rsidRDefault="00460384" w:rsidP="00977D0F">
      <w:pPr>
        <w:rPr>
          <w:rFonts w:eastAsia="Aptos" w:cs="Arial"/>
        </w:rPr>
      </w:pPr>
      <w:r w:rsidRPr="00D0306F">
        <w:rPr>
          <w:rFonts w:eastAsia="Aptos" w:cs="Arial"/>
        </w:rPr>
        <w:t>Deprivation is a lack of access to opportunities and resources, which we might expect in our society. This can include a lack of material goods or the inability of an individual to participate in the normal social life of the community. The Welsh Index of Multiple Deprivation is the official measure of relative deprivation for small areas in Wales (known as lower layer super output areas). It identifies areas with the highest concentrations of eight different types of deprivation</w:t>
      </w:r>
      <w:r w:rsidRPr="00D0306F">
        <w:rPr>
          <w:rFonts w:eastAsia="Aptos" w:cs="Arial"/>
          <w:vertAlign w:val="superscript"/>
        </w:rPr>
        <w:footnoteReference w:id="29"/>
      </w:r>
      <w:r w:rsidRPr="00D0306F">
        <w:rPr>
          <w:rFonts w:eastAsia="Aptos" w:cs="Arial"/>
        </w:rPr>
        <w:t>. These are:</w:t>
      </w:r>
    </w:p>
    <w:p w14:paraId="4BB06963" w14:textId="77777777" w:rsidR="00460384" w:rsidRPr="00D0306F" w:rsidRDefault="00460384" w:rsidP="00977D0F">
      <w:pPr>
        <w:rPr>
          <w:rFonts w:eastAsia="Aptos" w:cs="Arial"/>
        </w:rPr>
      </w:pPr>
    </w:p>
    <w:p w14:paraId="310F4CF2" w14:textId="77777777" w:rsidR="006341BE" w:rsidRDefault="006341BE" w:rsidP="00977D0F">
      <w:pPr>
        <w:numPr>
          <w:ilvl w:val="0"/>
          <w:numId w:val="39"/>
        </w:numPr>
        <w:rPr>
          <w:rFonts w:eastAsia="Aptos" w:cs="Arial"/>
        </w:rPr>
        <w:sectPr w:rsidR="006341BE" w:rsidSect="00824B25">
          <w:footerReference w:type="default" r:id="rId30"/>
          <w:pgSz w:w="11906" w:h="16838"/>
          <w:pgMar w:top="1440" w:right="1440" w:bottom="1440" w:left="1440" w:header="708" w:footer="708" w:gutter="0"/>
          <w:cols w:space="708"/>
          <w:titlePg/>
          <w:docGrid w:linePitch="360"/>
        </w:sectPr>
      </w:pPr>
    </w:p>
    <w:p w14:paraId="49C7DAF3" w14:textId="77777777" w:rsidR="00460384" w:rsidRPr="00D0306F" w:rsidRDefault="00460384" w:rsidP="00977D0F">
      <w:pPr>
        <w:numPr>
          <w:ilvl w:val="0"/>
          <w:numId w:val="39"/>
        </w:numPr>
        <w:rPr>
          <w:rFonts w:eastAsia="Aptos" w:cs="Arial"/>
        </w:rPr>
      </w:pPr>
      <w:r w:rsidRPr="00D0306F">
        <w:rPr>
          <w:rFonts w:eastAsia="Aptos" w:cs="Arial"/>
        </w:rPr>
        <w:t>Income</w:t>
      </w:r>
    </w:p>
    <w:p w14:paraId="132769E8" w14:textId="77777777" w:rsidR="00460384" w:rsidRPr="00D0306F" w:rsidRDefault="00460384" w:rsidP="00977D0F">
      <w:pPr>
        <w:numPr>
          <w:ilvl w:val="0"/>
          <w:numId w:val="39"/>
        </w:numPr>
        <w:rPr>
          <w:rFonts w:eastAsia="Aptos" w:cs="Arial"/>
        </w:rPr>
      </w:pPr>
      <w:r w:rsidRPr="00D0306F">
        <w:rPr>
          <w:rFonts w:eastAsia="Aptos" w:cs="Arial"/>
        </w:rPr>
        <w:t>Employment</w:t>
      </w:r>
    </w:p>
    <w:p w14:paraId="6A16A3A6" w14:textId="77777777" w:rsidR="00460384" w:rsidRPr="00D0306F" w:rsidRDefault="00460384" w:rsidP="00977D0F">
      <w:pPr>
        <w:numPr>
          <w:ilvl w:val="0"/>
          <w:numId w:val="39"/>
        </w:numPr>
        <w:rPr>
          <w:rFonts w:eastAsia="Aptos" w:cs="Arial"/>
        </w:rPr>
      </w:pPr>
      <w:r w:rsidRPr="00D0306F">
        <w:rPr>
          <w:rFonts w:eastAsia="Aptos" w:cs="Arial"/>
        </w:rPr>
        <w:lastRenderedPageBreak/>
        <w:t>Health</w:t>
      </w:r>
    </w:p>
    <w:p w14:paraId="01910441" w14:textId="77777777" w:rsidR="00460384" w:rsidRPr="00D0306F" w:rsidRDefault="00460384" w:rsidP="00977D0F">
      <w:pPr>
        <w:numPr>
          <w:ilvl w:val="0"/>
          <w:numId w:val="39"/>
        </w:numPr>
        <w:rPr>
          <w:rFonts w:eastAsia="Aptos" w:cs="Arial"/>
        </w:rPr>
      </w:pPr>
      <w:r w:rsidRPr="00D0306F">
        <w:rPr>
          <w:rFonts w:eastAsia="Aptos" w:cs="Arial"/>
        </w:rPr>
        <w:t>Education</w:t>
      </w:r>
    </w:p>
    <w:p w14:paraId="335CE923" w14:textId="77777777" w:rsidR="00460384" w:rsidRPr="00D0306F" w:rsidRDefault="00460384" w:rsidP="00977D0F">
      <w:pPr>
        <w:numPr>
          <w:ilvl w:val="0"/>
          <w:numId w:val="39"/>
        </w:numPr>
        <w:rPr>
          <w:rFonts w:eastAsia="Aptos" w:cs="Arial"/>
        </w:rPr>
      </w:pPr>
      <w:r w:rsidRPr="00D0306F">
        <w:rPr>
          <w:rFonts w:eastAsia="Aptos" w:cs="Arial"/>
        </w:rPr>
        <w:t>Access to services</w:t>
      </w:r>
    </w:p>
    <w:p w14:paraId="0E68AE0C" w14:textId="77777777" w:rsidR="00460384" w:rsidRPr="00D0306F" w:rsidRDefault="00460384" w:rsidP="00977D0F">
      <w:pPr>
        <w:numPr>
          <w:ilvl w:val="0"/>
          <w:numId w:val="39"/>
        </w:numPr>
        <w:rPr>
          <w:rFonts w:eastAsia="Aptos" w:cs="Arial"/>
        </w:rPr>
      </w:pPr>
      <w:r w:rsidRPr="00D0306F">
        <w:rPr>
          <w:rFonts w:eastAsia="Aptos" w:cs="Arial"/>
        </w:rPr>
        <w:t>Housing</w:t>
      </w:r>
    </w:p>
    <w:p w14:paraId="60E9C887" w14:textId="77777777" w:rsidR="00460384" w:rsidRPr="00D0306F" w:rsidRDefault="00460384" w:rsidP="00977D0F">
      <w:pPr>
        <w:numPr>
          <w:ilvl w:val="0"/>
          <w:numId w:val="39"/>
        </w:numPr>
        <w:rPr>
          <w:rFonts w:eastAsia="Aptos" w:cs="Arial"/>
        </w:rPr>
      </w:pPr>
      <w:r w:rsidRPr="00D0306F">
        <w:rPr>
          <w:rFonts w:eastAsia="Aptos" w:cs="Arial"/>
        </w:rPr>
        <w:t>Physical environment</w:t>
      </w:r>
    </w:p>
    <w:p w14:paraId="03BED427" w14:textId="77777777" w:rsidR="00460384" w:rsidRPr="00D0306F" w:rsidRDefault="00460384" w:rsidP="00977D0F">
      <w:pPr>
        <w:numPr>
          <w:ilvl w:val="0"/>
          <w:numId w:val="39"/>
        </w:numPr>
        <w:rPr>
          <w:rFonts w:eastAsia="Aptos" w:cs="Arial"/>
        </w:rPr>
      </w:pPr>
      <w:r w:rsidRPr="00D0306F">
        <w:rPr>
          <w:rFonts w:eastAsia="Aptos" w:cs="Arial"/>
        </w:rPr>
        <w:t>Community safety</w:t>
      </w:r>
    </w:p>
    <w:p w14:paraId="3307B99B" w14:textId="77777777" w:rsidR="006341BE" w:rsidRDefault="006341BE" w:rsidP="00977D0F">
      <w:pPr>
        <w:rPr>
          <w:rFonts w:eastAsia="Aptos" w:cs="Arial"/>
        </w:rPr>
        <w:sectPr w:rsidR="006341BE" w:rsidSect="006341BE">
          <w:type w:val="continuous"/>
          <w:pgSz w:w="11906" w:h="16838"/>
          <w:pgMar w:top="1440" w:right="1440" w:bottom="1440" w:left="1440" w:header="708" w:footer="708" w:gutter="0"/>
          <w:cols w:num="2" w:space="708"/>
          <w:titlePg/>
          <w:docGrid w:linePitch="360"/>
        </w:sectPr>
      </w:pPr>
    </w:p>
    <w:p w14:paraId="4ADD8394" w14:textId="77777777" w:rsidR="00460384" w:rsidRPr="00D0306F" w:rsidRDefault="00460384" w:rsidP="00977D0F">
      <w:pPr>
        <w:rPr>
          <w:rFonts w:eastAsia="Aptos" w:cs="Arial"/>
        </w:rPr>
      </w:pPr>
    </w:p>
    <w:p w14:paraId="2F0DB370" w14:textId="77777777" w:rsidR="00460384" w:rsidRPr="00D0306F" w:rsidRDefault="00460384" w:rsidP="00977D0F">
      <w:pPr>
        <w:rPr>
          <w:rFonts w:eastAsia="Aptos" w:cs="Arial"/>
        </w:rPr>
      </w:pPr>
      <w:r w:rsidRPr="00D0306F">
        <w:rPr>
          <w:rFonts w:eastAsia="Aptos" w:cs="Arial"/>
        </w:rPr>
        <w:t>There are 1,917 lower layer super output areas defined in Wales, and they have an average population of 1,600.</w:t>
      </w:r>
    </w:p>
    <w:p w14:paraId="3BA98E07" w14:textId="77777777" w:rsidR="00460384" w:rsidRPr="00D0306F" w:rsidRDefault="00460384" w:rsidP="00977D0F">
      <w:pPr>
        <w:rPr>
          <w:rFonts w:eastAsia="Aptos" w:cs="Arial"/>
        </w:rPr>
      </w:pPr>
    </w:p>
    <w:p w14:paraId="72BA812D" w14:textId="77777777" w:rsidR="00460384" w:rsidRPr="00D0306F" w:rsidRDefault="00460384" w:rsidP="00977D0F">
      <w:pPr>
        <w:rPr>
          <w:rFonts w:eastAsia="Aptos" w:cs="Arial"/>
          <w:b/>
          <w:bCs/>
        </w:rPr>
      </w:pPr>
      <w:r w:rsidRPr="00D0306F">
        <w:rPr>
          <w:rFonts w:eastAsia="Aptos" w:cs="Arial"/>
          <w:b/>
          <w:bCs/>
        </w:rPr>
        <w:t>Figure 2.6: Overview of overall deprivation across lower super output areas, Wales</w:t>
      </w:r>
      <w:r w:rsidRPr="00D0306F">
        <w:rPr>
          <w:rFonts w:eastAsia="Aptos" w:cs="Arial"/>
          <w:b/>
          <w:bCs/>
          <w:vertAlign w:val="superscript"/>
        </w:rPr>
        <w:footnoteReference w:id="30"/>
      </w:r>
      <w:r w:rsidRPr="00D0306F">
        <w:rPr>
          <w:rFonts w:eastAsia="Aptos" w:cs="Arial"/>
          <w:b/>
          <w:bCs/>
        </w:rPr>
        <w:t xml:space="preserve"> </w:t>
      </w:r>
    </w:p>
    <w:p w14:paraId="77FA84FE" w14:textId="77777777" w:rsidR="00460384" w:rsidRPr="00D0306F" w:rsidRDefault="00460384" w:rsidP="00977D0F">
      <w:pPr>
        <w:rPr>
          <w:rFonts w:eastAsia="Aptos" w:cs="Arial"/>
          <w:b/>
          <w:bCs/>
        </w:rPr>
      </w:pPr>
    </w:p>
    <w:p w14:paraId="60CD08F8" w14:textId="77777777" w:rsidR="00460384" w:rsidRPr="00D0306F" w:rsidRDefault="00460384" w:rsidP="00977D0F">
      <w:pPr>
        <w:rPr>
          <w:rFonts w:eastAsia="Aptos" w:cs="Arial"/>
        </w:rPr>
      </w:pPr>
      <w:r w:rsidRPr="00D0306F">
        <w:rPr>
          <w:rFonts w:eastAsia="Aptos" w:cs="Arial"/>
          <w:noProof/>
        </w:rPr>
        <w:drawing>
          <wp:inline distT="0" distB="0" distL="0" distR="0" wp14:anchorId="6191E821" wp14:editId="09804E2F">
            <wp:extent cx="5505450" cy="6372225"/>
            <wp:effectExtent l="0" t="0" r="0" b="9525"/>
            <wp:docPr id="14" name="Picture 2" descr="Choropleth map of Wales showing relative levels of deprivation by small area. Areas are shaded in five shades of blue, ranging from light blue for the 50% least deprived areas to very dark blue for the 10% most deprived areas. The darkest concentrations of deprivation are clustered in the South Wales valleys and urban areas along the south coast, particularly around Cardiff, Newport, Swansea, and former coalfield communities. Much of rural mid-Wales, west Wales, and parts of north Wales are shown in lighter shades, indicating lower levels of deprivation. A legend classifies areas into five groups: 10% most deprived, 10–20% most deprived, 20–30% most deprived, 30–50% most deprived, and 50% least depriv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2" descr="Choropleth map of Wales showing relative levels of deprivation by small area. Areas are shaded in five shades of blue, ranging from light blue for the 50% least deprived areas to very dark blue for the 10% most deprived areas. The darkest concentrations of deprivation are clustered in the South Wales valleys and urban areas along the south coast, particularly around Cardiff, Newport, Swansea, and former coalfield communities. Much of rural mid-Wales, west Wales, and parts of north Wales are shown in lighter shades, indicating lower levels of deprivation. A legend classifies areas into five groups: 10% most deprived, 10–20% most deprived, 20–30% most deprived, 30–50% most deprived, and 50% least deprived."/>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05450" cy="6372225"/>
                    </a:xfrm>
                    <a:prstGeom prst="rect">
                      <a:avLst/>
                    </a:prstGeom>
                    <a:noFill/>
                    <a:ln>
                      <a:noFill/>
                    </a:ln>
                  </pic:spPr>
                </pic:pic>
              </a:graphicData>
            </a:graphic>
          </wp:inline>
        </w:drawing>
      </w:r>
    </w:p>
    <w:p w14:paraId="34DE064F" w14:textId="77777777" w:rsidR="00460384" w:rsidRPr="00D0306F" w:rsidRDefault="00460384" w:rsidP="00977D0F">
      <w:pPr>
        <w:rPr>
          <w:rFonts w:eastAsia="Aptos" w:cs="Arial"/>
        </w:rPr>
      </w:pPr>
    </w:p>
    <w:p w14:paraId="44A4D3F9" w14:textId="77777777" w:rsidR="00460384" w:rsidRPr="00D0306F" w:rsidRDefault="00460384" w:rsidP="00977D0F">
      <w:pPr>
        <w:rPr>
          <w:rFonts w:eastAsia="Aptos" w:cs="Arial"/>
        </w:rPr>
      </w:pPr>
      <w:r w:rsidRPr="00D0306F">
        <w:rPr>
          <w:rFonts w:eastAsia="Aptos" w:cs="Arial"/>
        </w:rPr>
        <w:t>© Crown copyright 2025. Cartographics. Welsh Government</w:t>
      </w:r>
    </w:p>
    <w:p w14:paraId="0264D80B" w14:textId="77777777" w:rsidR="00460384" w:rsidRPr="00D0306F" w:rsidRDefault="00460384" w:rsidP="00977D0F">
      <w:pPr>
        <w:rPr>
          <w:rFonts w:eastAsia="Aptos" w:cs="Arial"/>
        </w:rPr>
      </w:pPr>
    </w:p>
    <w:p w14:paraId="71C0D6A4" w14:textId="77777777" w:rsidR="00460384" w:rsidRPr="00D0306F" w:rsidRDefault="00460384" w:rsidP="00977D0F">
      <w:pPr>
        <w:rPr>
          <w:rFonts w:eastAsia="Aptos" w:cs="Arial"/>
          <w:b/>
          <w:bCs/>
        </w:rPr>
      </w:pPr>
      <w:r w:rsidRPr="00D0306F">
        <w:rPr>
          <w:rFonts w:eastAsia="Aptos" w:cs="Arial"/>
          <w:b/>
          <w:bCs/>
        </w:rPr>
        <w:t>2.6.1 Deep-rooted deprivation</w:t>
      </w:r>
      <w:r w:rsidRPr="00D0306F">
        <w:rPr>
          <w:rFonts w:eastAsia="Aptos" w:cs="Arial"/>
          <w:b/>
          <w:bCs/>
          <w:vertAlign w:val="superscript"/>
        </w:rPr>
        <w:footnoteReference w:id="31"/>
      </w:r>
    </w:p>
    <w:p w14:paraId="0DF737B6" w14:textId="77777777" w:rsidR="00460384" w:rsidRPr="00D0306F" w:rsidRDefault="00460384" w:rsidP="00977D0F">
      <w:pPr>
        <w:rPr>
          <w:rFonts w:eastAsia="Aptos" w:cs="Arial"/>
          <w:b/>
          <w:bCs/>
        </w:rPr>
      </w:pPr>
    </w:p>
    <w:p w14:paraId="6020FB56" w14:textId="77777777" w:rsidR="00460384" w:rsidRPr="00D0306F" w:rsidRDefault="00460384" w:rsidP="00977D0F">
      <w:pPr>
        <w:rPr>
          <w:rFonts w:eastAsia="Aptos" w:cs="Arial"/>
        </w:rPr>
      </w:pPr>
      <w:r w:rsidRPr="00D0306F">
        <w:rPr>
          <w:rFonts w:eastAsia="Aptos" w:cs="Arial"/>
        </w:rPr>
        <w:t>Lower layer super output areas or small areas of ‘deep-rooted’ deprivation are those that have remained within the top 50 most deprived for the last six publications Welsh Index of Multiple Deprivation ranks. There are 22 small areas of deep-rooted deprivation spread across ten Local Authorities in Wales; the highest number of which are found in Swansea.</w:t>
      </w:r>
    </w:p>
    <w:p w14:paraId="6C56F140" w14:textId="77777777" w:rsidR="00460384" w:rsidRPr="00D0306F" w:rsidRDefault="00460384" w:rsidP="00977D0F">
      <w:pPr>
        <w:rPr>
          <w:rFonts w:eastAsia="Aptos" w:cs="Arial"/>
        </w:rPr>
      </w:pPr>
    </w:p>
    <w:p w14:paraId="5E720A60" w14:textId="77777777" w:rsidR="00460384" w:rsidRPr="00D0306F" w:rsidRDefault="00460384" w:rsidP="00977D0F">
      <w:pPr>
        <w:rPr>
          <w:rFonts w:eastAsia="Aptos" w:cs="Arial"/>
          <w:b/>
          <w:bCs/>
        </w:rPr>
      </w:pPr>
      <w:r w:rsidRPr="00D0306F">
        <w:rPr>
          <w:rFonts w:eastAsia="Aptos" w:cs="Arial"/>
          <w:b/>
          <w:bCs/>
        </w:rPr>
        <w:t>Figure 2.7: Map of deep-rooted deprivation (2025)</w:t>
      </w:r>
    </w:p>
    <w:p w14:paraId="5804F4E4" w14:textId="77777777" w:rsidR="00460384" w:rsidRPr="00D0306F" w:rsidRDefault="00460384" w:rsidP="00977D0F">
      <w:pPr>
        <w:rPr>
          <w:rFonts w:eastAsia="Aptos" w:cs="Arial"/>
        </w:rPr>
      </w:pPr>
    </w:p>
    <w:p w14:paraId="5133BDDF" w14:textId="77777777" w:rsidR="00460384" w:rsidRPr="00D0306F" w:rsidRDefault="00460384" w:rsidP="00977D0F">
      <w:pPr>
        <w:rPr>
          <w:rFonts w:eastAsia="Aptos" w:cs="Arial"/>
        </w:rPr>
      </w:pPr>
      <w:r w:rsidRPr="00D0306F">
        <w:rPr>
          <w:rFonts w:eastAsia="Aptos" w:cs="Arial"/>
          <w:noProof/>
        </w:rPr>
        <w:drawing>
          <wp:inline distT="0" distB="0" distL="0" distR="0" wp14:anchorId="05A163E2" wp14:editId="65533D44">
            <wp:extent cx="5734050" cy="6343650"/>
            <wp:effectExtent l="0" t="0" r="0" b="0"/>
            <wp:docPr id="15" name="Picture 1" descr="Map of Wales highlighting small areas of deep-rooted deprivation. Local authority boundaries are shown in grey and small statistical areas in light blue. Black shaded areas indicate locations identified as having deep-rooted deprivation. These areas are concentrated mainly in the South Wales Valleys and urban communities along the south coast, with clusters around Cardiff, Newport, Swansea, and former industrial valley towns. Only a few isolated areas are shown elsewhere in Wales, including parts of north Wales. The legend identifies black areas as “Small areas of deep-rooted deprivation” and grey lines as “Local Authority Bound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 descr="Map of Wales highlighting small areas of deep-rooted deprivation. Local authority boundaries are shown in grey and small statistical areas in light blue. Black shaded areas indicate locations identified as having deep-rooted deprivation. These areas are concentrated mainly in the South Wales Valleys and urban communities along the south coast, with clusters around Cardiff, Newport, Swansea, and former industrial valley towns. Only a few isolated areas are shown elsewhere in Wales, including parts of north Wales. The legend identifies black areas as “Small areas of deep-rooted deprivation” and grey lines as “Local Authority Boundary.”"/>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34050" cy="6343650"/>
                    </a:xfrm>
                    <a:prstGeom prst="rect">
                      <a:avLst/>
                    </a:prstGeom>
                    <a:noFill/>
                    <a:ln>
                      <a:noFill/>
                    </a:ln>
                  </pic:spPr>
                </pic:pic>
              </a:graphicData>
            </a:graphic>
          </wp:inline>
        </w:drawing>
      </w:r>
    </w:p>
    <w:p w14:paraId="4907F532" w14:textId="77777777" w:rsidR="00460384" w:rsidRPr="00D0306F" w:rsidRDefault="00460384" w:rsidP="00977D0F">
      <w:pPr>
        <w:rPr>
          <w:rFonts w:eastAsia="Aptos" w:cs="Arial"/>
        </w:rPr>
      </w:pPr>
    </w:p>
    <w:p w14:paraId="51564931" w14:textId="77777777" w:rsidR="00460384" w:rsidRPr="00D0306F" w:rsidRDefault="00460384" w:rsidP="00977D0F">
      <w:pPr>
        <w:rPr>
          <w:rFonts w:eastAsia="Aptos" w:cs="Arial"/>
          <w:color w:val="1F1F1F"/>
          <w:shd w:val="clear" w:color="auto" w:fill="FFFFFF"/>
        </w:rPr>
      </w:pPr>
      <w:r w:rsidRPr="00D0306F">
        <w:rPr>
          <w:rFonts w:eastAsia="Aptos" w:cs="Arial"/>
          <w:color w:val="1F1F1F"/>
          <w:shd w:val="clear" w:color="auto" w:fill="FFFFFF"/>
        </w:rPr>
        <w:lastRenderedPageBreak/>
        <w:t>© Crown copyright 2025. Cartographics. Welsh Government.</w:t>
      </w:r>
    </w:p>
    <w:p w14:paraId="48819BD3" w14:textId="77777777" w:rsidR="00185793" w:rsidRPr="00D0306F" w:rsidRDefault="00185793" w:rsidP="00977D0F">
      <w:pPr>
        <w:rPr>
          <w:rFonts w:eastAsia="Aptos" w:cs="Arial"/>
        </w:rPr>
      </w:pPr>
    </w:p>
    <w:p w14:paraId="7B0BE4BA" w14:textId="77777777" w:rsidR="00460384" w:rsidRPr="00D0306F" w:rsidRDefault="00460384" w:rsidP="00977D0F">
      <w:pPr>
        <w:rPr>
          <w:rFonts w:eastAsia="Aptos" w:cs="Arial"/>
          <w:b/>
          <w:bCs/>
        </w:rPr>
      </w:pPr>
      <w:r w:rsidRPr="00D0306F">
        <w:rPr>
          <w:rFonts w:eastAsia="Aptos" w:cs="Arial"/>
          <w:b/>
          <w:bCs/>
        </w:rPr>
        <w:t>Table 2.1: Small areas of deep-rooted deprivation, 2025</w:t>
      </w:r>
    </w:p>
    <w:p w14:paraId="1252A5FD" w14:textId="77777777" w:rsidR="00460384" w:rsidRPr="00D0306F" w:rsidRDefault="00460384" w:rsidP="00977D0F">
      <w:pPr>
        <w:rPr>
          <w:rFonts w:eastAsia="Aptos" w:cs="Arial"/>
        </w:rPr>
      </w:pPr>
    </w:p>
    <w:tbl>
      <w:tblPr>
        <w:tblW w:w="9580" w:type="dxa"/>
        <w:tblLook w:val="04A0" w:firstRow="1" w:lastRow="0" w:firstColumn="1" w:lastColumn="0" w:noHBand="0" w:noVBand="1"/>
      </w:tblPr>
      <w:tblGrid>
        <w:gridCol w:w="1752"/>
        <w:gridCol w:w="2352"/>
        <w:gridCol w:w="3807"/>
        <w:gridCol w:w="1669"/>
      </w:tblGrid>
      <w:tr w:rsidR="00460384" w:rsidRPr="00D0306F" w14:paraId="03A68BE6" w14:textId="77777777" w:rsidTr="00460384">
        <w:trPr>
          <w:trHeight w:val="1260"/>
        </w:trPr>
        <w:tc>
          <w:tcPr>
            <w:tcW w:w="1752" w:type="dxa"/>
            <w:tcBorders>
              <w:top w:val="single" w:sz="4" w:space="0" w:color="auto"/>
              <w:left w:val="single" w:sz="4" w:space="0" w:color="auto"/>
              <w:bottom w:val="single" w:sz="4" w:space="0" w:color="auto"/>
              <w:right w:val="single" w:sz="4" w:space="0" w:color="auto"/>
            </w:tcBorders>
            <w:shd w:val="clear" w:color="auto" w:fill="074F6A"/>
            <w:hideMark/>
          </w:tcPr>
          <w:p w14:paraId="07B69C7A" w14:textId="77777777" w:rsidR="00460384" w:rsidRPr="00D0306F" w:rsidRDefault="00460384" w:rsidP="00977D0F">
            <w:pPr>
              <w:rPr>
                <w:rFonts w:eastAsia="Times New Roman" w:cs="Arial"/>
                <w:b/>
                <w:bCs/>
                <w:color w:val="FFFFFF"/>
                <w:kern w:val="0"/>
                <w:lang w:eastAsia="en-GB"/>
                <w14:ligatures w14:val="none"/>
              </w:rPr>
            </w:pPr>
            <w:r w:rsidRPr="00D0306F">
              <w:rPr>
                <w:rFonts w:eastAsia="Times New Roman" w:cs="Arial"/>
                <w:b/>
                <w:bCs/>
                <w:color w:val="FFFFFF"/>
                <w:kern w:val="0"/>
                <w:lang w:eastAsia="en-GB"/>
                <w14:ligatures w14:val="none"/>
              </w:rPr>
              <w:t>Lower layer super output area code</w:t>
            </w:r>
          </w:p>
        </w:tc>
        <w:tc>
          <w:tcPr>
            <w:tcW w:w="2352" w:type="dxa"/>
            <w:tcBorders>
              <w:top w:val="single" w:sz="4" w:space="0" w:color="auto"/>
              <w:left w:val="nil"/>
              <w:bottom w:val="single" w:sz="4" w:space="0" w:color="auto"/>
              <w:right w:val="single" w:sz="4" w:space="0" w:color="auto"/>
            </w:tcBorders>
            <w:shd w:val="clear" w:color="auto" w:fill="074F6A"/>
            <w:hideMark/>
          </w:tcPr>
          <w:p w14:paraId="039DA554" w14:textId="77777777" w:rsidR="00460384" w:rsidRPr="00D0306F" w:rsidRDefault="00460384" w:rsidP="00977D0F">
            <w:pPr>
              <w:rPr>
                <w:rFonts w:eastAsia="Times New Roman" w:cs="Arial"/>
                <w:b/>
                <w:bCs/>
                <w:color w:val="FFFFFF"/>
                <w:kern w:val="0"/>
                <w:lang w:eastAsia="en-GB"/>
                <w14:ligatures w14:val="none"/>
              </w:rPr>
            </w:pPr>
            <w:r w:rsidRPr="00D0306F">
              <w:rPr>
                <w:rFonts w:eastAsia="Times New Roman" w:cs="Arial"/>
                <w:b/>
                <w:bCs/>
                <w:color w:val="FFFFFF"/>
                <w:kern w:val="0"/>
                <w:lang w:eastAsia="en-GB"/>
                <w14:ligatures w14:val="none"/>
              </w:rPr>
              <w:t>Local authority</w:t>
            </w:r>
          </w:p>
        </w:tc>
        <w:tc>
          <w:tcPr>
            <w:tcW w:w="3807" w:type="dxa"/>
            <w:tcBorders>
              <w:top w:val="single" w:sz="4" w:space="0" w:color="auto"/>
              <w:left w:val="nil"/>
              <w:bottom w:val="single" w:sz="4" w:space="0" w:color="auto"/>
              <w:right w:val="single" w:sz="4" w:space="0" w:color="auto"/>
            </w:tcBorders>
            <w:shd w:val="clear" w:color="auto" w:fill="074F6A"/>
            <w:hideMark/>
          </w:tcPr>
          <w:p w14:paraId="51DC330C" w14:textId="77777777" w:rsidR="00460384" w:rsidRPr="00D0306F" w:rsidRDefault="00460384" w:rsidP="00977D0F">
            <w:pPr>
              <w:rPr>
                <w:rFonts w:eastAsia="Times New Roman" w:cs="Arial"/>
                <w:b/>
                <w:bCs/>
                <w:color w:val="FFFFFF"/>
                <w:kern w:val="0"/>
                <w:lang w:eastAsia="en-GB"/>
                <w14:ligatures w14:val="none"/>
              </w:rPr>
            </w:pPr>
            <w:r w:rsidRPr="00D0306F">
              <w:rPr>
                <w:rFonts w:eastAsia="Times New Roman" w:cs="Arial"/>
                <w:b/>
                <w:bCs/>
                <w:color w:val="FFFFFF"/>
                <w:kern w:val="0"/>
                <w:lang w:eastAsia="en-GB"/>
                <w14:ligatures w14:val="none"/>
              </w:rPr>
              <w:t>Lower layer super output area name</w:t>
            </w:r>
          </w:p>
        </w:tc>
        <w:tc>
          <w:tcPr>
            <w:tcW w:w="1669" w:type="dxa"/>
            <w:tcBorders>
              <w:top w:val="single" w:sz="4" w:space="0" w:color="auto"/>
              <w:left w:val="nil"/>
              <w:bottom w:val="single" w:sz="4" w:space="0" w:color="auto"/>
              <w:right w:val="single" w:sz="4" w:space="0" w:color="auto"/>
            </w:tcBorders>
            <w:shd w:val="clear" w:color="auto" w:fill="074F6A"/>
            <w:hideMark/>
          </w:tcPr>
          <w:p w14:paraId="079F41A8" w14:textId="77777777" w:rsidR="00460384" w:rsidRPr="00D0306F" w:rsidRDefault="00460384" w:rsidP="00977D0F">
            <w:pPr>
              <w:rPr>
                <w:rFonts w:eastAsia="Times New Roman" w:cs="Arial"/>
                <w:b/>
                <w:bCs/>
                <w:color w:val="FFFFFF"/>
                <w:kern w:val="0"/>
                <w:lang w:eastAsia="en-GB"/>
                <w14:ligatures w14:val="none"/>
              </w:rPr>
            </w:pPr>
            <w:r w:rsidRPr="00D0306F">
              <w:rPr>
                <w:rFonts w:eastAsia="Times New Roman" w:cs="Arial"/>
                <w:b/>
                <w:bCs/>
                <w:color w:val="FFFFFF"/>
                <w:kern w:val="0"/>
                <w:lang w:eastAsia="en-GB"/>
                <w14:ligatures w14:val="none"/>
              </w:rPr>
              <w:t>Welsh index multiple deprivation 2025 rank</w:t>
            </w:r>
          </w:p>
        </w:tc>
      </w:tr>
      <w:tr w:rsidR="00460384" w:rsidRPr="00D0306F" w14:paraId="1FB7D802" w14:textId="77777777" w:rsidTr="00460384">
        <w:trPr>
          <w:trHeight w:val="315"/>
        </w:trPr>
        <w:tc>
          <w:tcPr>
            <w:tcW w:w="1752" w:type="dxa"/>
            <w:tcBorders>
              <w:top w:val="nil"/>
              <w:left w:val="single" w:sz="4" w:space="0" w:color="auto"/>
              <w:bottom w:val="single" w:sz="4" w:space="0" w:color="auto"/>
              <w:right w:val="single" w:sz="4" w:space="0" w:color="auto"/>
            </w:tcBorders>
            <w:shd w:val="clear" w:color="auto" w:fill="FFFFFF"/>
            <w:hideMark/>
          </w:tcPr>
          <w:p w14:paraId="27519D12" w14:textId="77777777" w:rsidR="00460384" w:rsidRPr="00D0306F" w:rsidRDefault="00460384" w:rsidP="00977D0F">
            <w:pPr>
              <w:ind w:firstLineChars="9" w:firstLine="22"/>
              <w:jc w:val="both"/>
              <w:rPr>
                <w:rFonts w:eastAsia="Times New Roman" w:cs="Arial"/>
                <w:b/>
                <w:bCs/>
                <w:color w:val="1F1F1F"/>
                <w:kern w:val="0"/>
                <w:lang w:eastAsia="en-GB"/>
                <w14:ligatures w14:val="none"/>
              </w:rPr>
            </w:pPr>
            <w:r w:rsidRPr="00D0306F">
              <w:rPr>
                <w:rFonts w:eastAsia="Times New Roman" w:cs="Arial"/>
                <w:b/>
                <w:bCs/>
                <w:color w:val="1F1F1F"/>
                <w:kern w:val="0"/>
                <w:lang w:eastAsia="en-GB"/>
                <w14:ligatures w14:val="none"/>
              </w:rPr>
              <w:t>W01000240</w:t>
            </w:r>
          </w:p>
        </w:tc>
        <w:tc>
          <w:tcPr>
            <w:tcW w:w="2352" w:type="dxa"/>
            <w:tcBorders>
              <w:top w:val="nil"/>
              <w:left w:val="nil"/>
              <w:bottom w:val="single" w:sz="4" w:space="0" w:color="auto"/>
              <w:right w:val="single" w:sz="4" w:space="0" w:color="auto"/>
            </w:tcBorders>
            <w:shd w:val="clear" w:color="auto" w:fill="FFFFFF"/>
            <w:hideMark/>
          </w:tcPr>
          <w:p w14:paraId="01037CF5" w14:textId="77777777" w:rsidR="00460384" w:rsidRPr="00D0306F" w:rsidRDefault="00460384" w:rsidP="00977D0F">
            <w:pPr>
              <w:ind w:leftChars="-6" w:hangingChars="6" w:hanging="14"/>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Denbighshire</w:t>
            </w:r>
          </w:p>
        </w:tc>
        <w:tc>
          <w:tcPr>
            <w:tcW w:w="3807" w:type="dxa"/>
            <w:tcBorders>
              <w:top w:val="nil"/>
              <w:left w:val="nil"/>
              <w:bottom w:val="single" w:sz="4" w:space="0" w:color="auto"/>
              <w:right w:val="single" w:sz="4" w:space="0" w:color="auto"/>
            </w:tcBorders>
            <w:shd w:val="clear" w:color="auto" w:fill="FFFFFF"/>
            <w:hideMark/>
          </w:tcPr>
          <w:p w14:paraId="7DDD6611" w14:textId="77777777" w:rsidR="00460384" w:rsidRPr="00D0306F" w:rsidRDefault="00460384" w:rsidP="00977D0F">
            <w:pP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Rhyl West 2</w:t>
            </w:r>
          </w:p>
        </w:tc>
        <w:tc>
          <w:tcPr>
            <w:tcW w:w="1669" w:type="dxa"/>
            <w:tcBorders>
              <w:top w:val="nil"/>
              <w:left w:val="nil"/>
              <w:bottom w:val="single" w:sz="4" w:space="0" w:color="auto"/>
              <w:right w:val="single" w:sz="4" w:space="0" w:color="auto"/>
            </w:tcBorders>
            <w:shd w:val="clear" w:color="auto" w:fill="FFFFFF"/>
            <w:hideMark/>
          </w:tcPr>
          <w:p w14:paraId="31A19AAE" w14:textId="77777777" w:rsidR="00460384" w:rsidRPr="00D0306F" w:rsidRDefault="00460384" w:rsidP="00977D0F">
            <w:pPr>
              <w:ind w:firstLineChars="100" w:firstLine="240"/>
              <w:jc w:val="cente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1</w:t>
            </w:r>
          </w:p>
        </w:tc>
      </w:tr>
      <w:tr w:rsidR="00460384" w:rsidRPr="00D0306F" w14:paraId="02F2D8BB" w14:textId="77777777" w:rsidTr="00460384">
        <w:trPr>
          <w:trHeight w:val="315"/>
        </w:trPr>
        <w:tc>
          <w:tcPr>
            <w:tcW w:w="1752" w:type="dxa"/>
            <w:tcBorders>
              <w:top w:val="nil"/>
              <w:left w:val="single" w:sz="4" w:space="0" w:color="auto"/>
              <w:bottom w:val="single" w:sz="4" w:space="0" w:color="auto"/>
              <w:right w:val="single" w:sz="4" w:space="0" w:color="auto"/>
            </w:tcBorders>
            <w:shd w:val="clear" w:color="auto" w:fill="FFFFFF"/>
            <w:hideMark/>
          </w:tcPr>
          <w:p w14:paraId="6AE6938D" w14:textId="77777777" w:rsidR="00460384" w:rsidRPr="00D0306F" w:rsidRDefault="00460384" w:rsidP="00977D0F">
            <w:pPr>
              <w:ind w:firstLineChars="9" w:firstLine="22"/>
              <w:jc w:val="both"/>
              <w:rPr>
                <w:rFonts w:eastAsia="Times New Roman" w:cs="Arial"/>
                <w:b/>
                <w:bCs/>
                <w:color w:val="1F1F1F"/>
                <w:kern w:val="0"/>
                <w:lang w:eastAsia="en-GB"/>
                <w14:ligatures w14:val="none"/>
              </w:rPr>
            </w:pPr>
            <w:r w:rsidRPr="00D0306F">
              <w:rPr>
                <w:rFonts w:eastAsia="Times New Roman" w:cs="Arial"/>
                <w:b/>
                <w:bCs/>
                <w:color w:val="1F1F1F"/>
                <w:kern w:val="0"/>
                <w:lang w:eastAsia="en-GB"/>
                <w14:ligatures w14:val="none"/>
              </w:rPr>
              <w:t>W01001421</w:t>
            </w:r>
          </w:p>
        </w:tc>
        <w:tc>
          <w:tcPr>
            <w:tcW w:w="2352" w:type="dxa"/>
            <w:tcBorders>
              <w:top w:val="nil"/>
              <w:left w:val="nil"/>
              <w:bottom w:val="single" w:sz="4" w:space="0" w:color="auto"/>
              <w:right w:val="single" w:sz="4" w:space="0" w:color="auto"/>
            </w:tcBorders>
            <w:shd w:val="clear" w:color="auto" w:fill="FFFFFF"/>
            <w:hideMark/>
          </w:tcPr>
          <w:p w14:paraId="2AB7655C" w14:textId="77777777" w:rsidR="00460384" w:rsidRPr="00D0306F" w:rsidRDefault="00460384" w:rsidP="00977D0F">
            <w:pPr>
              <w:ind w:leftChars="-6" w:hangingChars="6" w:hanging="14"/>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Caerphilly</w:t>
            </w:r>
          </w:p>
        </w:tc>
        <w:tc>
          <w:tcPr>
            <w:tcW w:w="3807" w:type="dxa"/>
            <w:tcBorders>
              <w:top w:val="nil"/>
              <w:left w:val="nil"/>
              <w:bottom w:val="single" w:sz="4" w:space="0" w:color="auto"/>
              <w:right w:val="single" w:sz="4" w:space="0" w:color="auto"/>
            </w:tcBorders>
            <w:shd w:val="clear" w:color="auto" w:fill="FFFFFF"/>
            <w:hideMark/>
          </w:tcPr>
          <w:p w14:paraId="58B84BDE" w14:textId="77777777" w:rsidR="00460384" w:rsidRPr="00D0306F" w:rsidRDefault="00460384" w:rsidP="00977D0F">
            <w:pP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St James 3</w:t>
            </w:r>
          </w:p>
        </w:tc>
        <w:tc>
          <w:tcPr>
            <w:tcW w:w="1669" w:type="dxa"/>
            <w:tcBorders>
              <w:top w:val="nil"/>
              <w:left w:val="nil"/>
              <w:bottom w:val="single" w:sz="4" w:space="0" w:color="auto"/>
              <w:right w:val="single" w:sz="4" w:space="0" w:color="auto"/>
            </w:tcBorders>
            <w:shd w:val="clear" w:color="auto" w:fill="FFFFFF"/>
            <w:hideMark/>
          </w:tcPr>
          <w:p w14:paraId="31436E7F" w14:textId="77777777" w:rsidR="00460384" w:rsidRPr="00D0306F" w:rsidRDefault="00460384" w:rsidP="00977D0F">
            <w:pPr>
              <w:ind w:firstLineChars="100" w:firstLine="240"/>
              <w:jc w:val="cente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2</w:t>
            </w:r>
          </w:p>
        </w:tc>
      </w:tr>
      <w:tr w:rsidR="00460384" w:rsidRPr="00D0306F" w14:paraId="472518F3" w14:textId="77777777" w:rsidTr="00460384">
        <w:trPr>
          <w:trHeight w:val="315"/>
        </w:trPr>
        <w:tc>
          <w:tcPr>
            <w:tcW w:w="1752" w:type="dxa"/>
            <w:tcBorders>
              <w:top w:val="nil"/>
              <w:left w:val="single" w:sz="4" w:space="0" w:color="auto"/>
              <w:bottom w:val="single" w:sz="4" w:space="0" w:color="auto"/>
              <w:right w:val="single" w:sz="4" w:space="0" w:color="auto"/>
            </w:tcBorders>
            <w:shd w:val="clear" w:color="auto" w:fill="FFFFFF"/>
            <w:hideMark/>
          </w:tcPr>
          <w:p w14:paraId="39712233" w14:textId="77777777" w:rsidR="00460384" w:rsidRPr="00D0306F" w:rsidRDefault="00460384" w:rsidP="00977D0F">
            <w:pPr>
              <w:ind w:firstLineChars="9" w:firstLine="22"/>
              <w:jc w:val="both"/>
              <w:rPr>
                <w:rFonts w:eastAsia="Times New Roman" w:cs="Arial"/>
                <w:b/>
                <w:bCs/>
                <w:color w:val="1F1F1F"/>
                <w:kern w:val="0"/>
                <w:lang w:eastAsia="en-GB"/>
                <w14:ligatures w14:val="none"/>
              </w:rPr>
            </w:pPr>
            <w:r w:rsidRPr="00D0306F">
              <w:rPr>
                <w:rFonts w:eastAsia="Times New Roman" w:cs="Arial"/>
                <w:b/>
                <w:bCs/>
                <w:color w:val="1F1F1F"/>
                <w:kern w:val="0"/>
                <w:lang w:eastAsia="en-GB"/>
                <w14:ligatures w14:val="none"/>
              </w:rPr>
              <w:t>W01000991</w:t>
            </w:r>
          </w:p>
        </w:tc>
        <w:tc>
          <w:tcPr>
            <w:tcW w:w="2352" w:type="dxa"/>
            <w:tcBorders>
              <w:top w:val="nil"/>
              <w:left w:val="nil"/>
              <w:bottom w:val="single" w:sz="4" w:space="0" w:color="auto"/>
              <w:right w:val="single" w:sz="4" w:space="0" w:color="auto"/>
            </w:tcBorders>
            <w:shd w:val="clear" w:color="auto" w:fill="FFFFFF"/>
            <w:hideMark/>
          </w:tcPr>
          <w:p w14:paraId="4439D512" w14:textId="77777777" w:rsidR="00460384" w:rsidRPr="00D0306F" w:rsidRDefault="00460384" w:rsidP="00977D0F">
            <w:pPr>
              <w:ind w:leftChars="-6" w:hangingChars="6" w:hanging="14"/>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Bridgend</w:t>
            </w:r>
          </w:p>
        </w:tc>
        <w:tc>
          <w:tcPr>
            <w:tcW w:w="3807" w:type="dxa"/>
            <w:tcBorders>
              <w:top w:val="nil"/>
              <w:left w:val="nil"/>
              <w:bottom w:val="single" w:sz="4" w:space="0" w:color="auto"/>
              <w:right w:val="single" w:sz="4" w:space="0" w:color="auto"/>
            </w:tcBorders>
            <w:shd w:val="clear" w:color="auto" w:fill="FFFFFF"/>
            <w:hideMark/>
          </w:tcPr>
          <w:p w14:paraId="79AFFC83" w14:textId="77777777" w:rsidR="00460384" w:rsidRPr="00D0306F" w:rsidRDefault="00460384" w:rsidP="00977D0F">
            <w:pP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Caerau (Bridgend) 1</w:t>
            </w:r>
          </w:p>
        </w:tc>
        <w:tc>
          <w:tcPr>
            <w:tcW w:w="1669" w:type="dxa"/>
            <w:tcBorders>
              <w:top w:val="nil"/>
              <w:left w:val="nil"/>
              <w:bottom w:val="single" w:sz="4" w:space="0" w:color="auto"/>
              <w:right w:val="single" w:sz="4" w:space="0" w:color="auto"/>
            </w:tcBorders>
            <w:shd w:val="clear" w:color="auto" w:fill="FFFFFF"/>
            <w:hideMark/>
          </w:tcPr>
          <w:p w14:paraId="6F7719C9" w14:textId="77777777" w:rsidR="00460384" w:rsidRPr="00D0306F" w:rsidRDefault="00460384" w:rsidP="00977D0F">
            <w:pPr>
              <w:ind w:firstLineChars="100" w:firstLine="240"/>
              <w:jc w:val="cente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4</w:t>
            </w:r>
          </w:p>
        </w:tc>
      </w:tr>
      <w:tr w:rsidR="00460384" w:rsidRPr="00D0306F" w14:paraId="76AE92D9" w14:textId="77777777" w:rsidTr="00460384">
        <w:trPr>
          <w:trHeight w:val="315"/>
        </w:trPr>
        <w:tc>
          <w:tcPr>
            <w:tcW w:w="1752" w:type="dxa"/>
            <w:tcBorders>
              <w:top w:val="nil"/>
              <w:left w:val="single" w:sz="4" w:space="0" w:color="auto"/>
              <w:bottom w:val="single" w:sz="4" w:space="0" w:color="auto"/>
              <w:right w:val="single" w:sz="4" w:space="0" w:color="auto"/>
            </w:tcBorders>
            <w:shd w:val="clear" w:color="auto" w:fill="FFFFFF"/>
            <w:hideMark/>
          </w:tcPr>
          <w:p w14:paraId="753AEF87" w14:textId="77777777" w:rsidR="00460384" w:rsidRPr="00D0306F" w:rsidRDefault="00460384" w:rsidP="00977D0F">
            <w:pPr>
              <w:ind w:firstLineChars="9" w:firstLine="22"/>
              <w:jc w:val="both"/>
              <w:rPr>
                <w:rFonts w:eastAsia="Times New Roman" w:cs="Arial"/>
                <w:b/>
                <w:bCs/>
                <w:color w:val="1F1F1F"/>
                <w:kern w:val="0"/>
                <w:lang w:eastAsia="en-GB"/>
                <w14:ligatures w14:val="none"/>
              </w:rPr>
            </w:pPr>
            <w:r w:rsidRPr="00D0306F">
              <w:rPr>
                <w:rFonts w:eastAsia="Times New Roman" w:cs="Arial"/>
                <w:b/>
                <w:bCs/>
                <w:color w:val="1F1F1F"/>
                <w:kern w:val="0"/>
                <w:lang w:eastAsia="en-GB"/>
                <w14:ligatures w14:val="none"/>
              </w:rPr>
              <w:t>W01000237</w:t>
            </w:r>
          </w:p>
        </w:tc>
        <w:tc>
          <w:tcPr>
            <w:tcW w:w="2352" w:type="dxa"/>
            <w:tcBorders>
              <w:top w:val="nil"/>
              <w:left w:val="nil"/>
              <w:bottom w:val="single" w:sz="4" w:space="0" w:color="auto"/>
              <w:right w:val="single" w:sz="4" w:space="0" w:color="auto"/>
            </w:tcBorders>
            <w:shd w:val="clear" w:color="auto" w:fill="FFFFFF"/>
            <w:hideMark/>
          </w:tcPr>
          <w:p w14:paraId="7103F24B" w14:textId="77777777" w:rsidR="00460384" w:rsidRPr="00D0306F" w:rsidRDefault="00460384" w:rsidP="00977D0F">
            <w:pPr>
              <w:ind w:leftChars="-6" w:hangingChars="6" w:hanging="14"/>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Denbighshire</w:t>
            </w:r>
          </w:p>
        </w:tc>
        <w:tc>
          <w:tcPr>
            <w:tcW w:w="3807" w:type="dxa"/>
            <w:tcBorders>
              <w:top w:val="nil"/>
              <w:left w:val="nil"/>
              <w:bottom w:val="single" w:sz="4" w:space="0" w:color="auto"/>
              <w:right w:val="single" w:sz="4" w:space="0" w:color="auto"/>
            </w:tcBorders>
            <w:shd w:val="clear" w:color="auto" w:fill="FFFFFF"/>
            <w:hideMark/>
          </w:tcPr>
          <w:p w14:paraId="3F7328F3" w14:textId="77777777" w:rsidR="00460384" w:rsidRPr="00D0306F" w:rsidRDefault="00460384" w:rsidP="00977D0F">
            <w:pP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Rhyl South West 2</w:t>
            </w:r>
          </w:p>
        </w:tc>
        <w:tc>
          <w:tcPr>
            <w:tcW w:w="1669" w:type="dxa"/>
            <w:tcBorders>
              <w:top w:val="nil"/>
              <w:left w:val="nil"/>
              <w:bottom w:val="single" w:sz="4" w:space="0" w:color="auto"/>
              <w:right w:val="single" w:sz="4" w:space="0" w:color="auto"/>
            </w:tcBorders>
            <w:shd w:val="clear" w:color="auto" w:fill="FFFFFF"/>
            <w:hideMark/>
          </w:tcPr>
          <w:p w14:paraId="3FF6B5F0" w14:textId="77777777" w:rsidR="00460384" w:rsidRPr="00D0306F" w:rsidRDefault="00460384" w:rsidP="00977D0F">
            <w:pPr>
              <w:ind w:firstLineChars="100" w:firstLine="240"/>
              <w:jc w:val="cente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5</w:t>
            </w:r>
          </w:p>
        </w:tc>
      </w:tr>
      <w:tr w:rsidR="00460384" w:rsidRPr="00D0306F" w14:paraId="17A979A9" w14:textId="77777777" w:rsidTr="00460384">
        <w:trPr>
          <w:trHeight w:val="315"/>
        </w:trPr>
        <w:tc>
          <w:tcPr>
            <w:tcW w:w="1752" w:type="dxa"/>
            <w:tcBorders>
              <w:top w:val="nil"/>
              <w:left w:val="single" w:sz="4" w:space="0" w:color="auto"/>
              <w:bottom w:val="single" w:sz="4" w:space="0" w:color="auto"/>
              <w:right w:val="single" w:sz="4" w:space="0" w:color="auto"/>
            </w:tcBorders>
            <w:shd w:val="clear" w:color="auto" w:fill="FFFFFF"/>
            <w:hideMark/>
          </w:tcPr>
          <w:p w14:paraId="224486CB" w14:textId="77777777" w:rsidR="00460384" w:rsidRPr="00D0306F" w:rsidRDefault="00460384" w:rsidP="00977D0F">
            <w:pPr>
              <w:ind w:firstLineChars="9" w:firstLine="22"/>
              <w:jc w:val="both"/>
              <w:rPr>
                <w:rFonts w:eastAsia="Times New Roman" w:cs="Arial"/>
                <w:b/>
                <w:bCs/>
                <w:color w:val="1F1F1F"/>
                <w:kern w:val="0"/>
                <w:lang w:eastAsia="en-GB"/>
                <w14:ligatures w14:val="none"/>
              </w:rPr>
            </w:pPr>
            <w:r w:rsidRPr="00D0306F">
              <w:rPr>
                <w:rFonts w:eastAsia="Times New Roman" w:cs="Arial"/>
                <w:b/>
                <w:bCs/>
                <w:color w:val="1F1F1F"/>
                <w:kern w:val="0"/>
                <w:lang w:eastAsia="en-GB"/>
                <w14:ligatures w14:val="none"/>
              </w:rPr>
              <w:t>W01000413</w:t>
            </w:r>
          </w:p>
        </w:tc>
        <w:tc>
          <w:tcPr>
            <w:tcW w:w="2352" w:type="dxa"/>
            <w:tcBorders>
              <w:top w:val="nil"/>
              <w:left w:val="nil"/>
              <w:bottom w:val="single" w:sz="4" w:space="0" w:color="auto"/>
              <w:right w:val="single" w:sz="4" w:space="0" w:color="auto"/>
            </w:tcBorders>
            <w:shd w:val="clear" w:color="auto" w:fill="FFFFFF"/>
            <w:hideMark/>
          </w:tcPr>
          <w:p w14:paraId="39F3EC3E" w14:textId="77777777" w:rsidR="00460384" w:rsidRPr="00D0306F" w:rsidRDefault="00460384" w:rsidP="00977D0F">
            <w:pPr>
              <w:ind w:leftChars="-6" w:hangingChars="6" w:hanging="14"/>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Wrexham</w:t>
            </w:r>
          </w:p>
        </w:tc>
        <w:tc>
          <w:tcPr>
            <w:tcW w:w="3807" w:type="dxa"/>
            <w:tcBorders>
              <w:top w:val="nil"/>
              <w:left w:val="nil"/>
              <w:bottom w:val="single" w:sz="4" w:space="0" w:color="auto"/>
              <w:right w:val="single" w:sz="4" w:space="0" w:color="auto"/>
            </w:tcBorders>
            <w:shd w:val="clear" w:color="auto" w:fill="FFFFFF"/>
            <w:hideMark/>
          </w:tcPr>
          <w:p w14:paraId="5DBADFD6" w14:textId="77777777" w:rsidR="00460384" w:rsidRPr="00D0306F" w:rsidRDefault="00460384" w:rsidP="00977D0F">
            <w:pP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Queensway 1</w:t>
            </w:r>
          </w:p>
        </w:tc>
        <w:tc>
          <w:tcPr>
            <w:tcW w:w="1669" w:type="dxa"/>
            <w:tcBorders>
              <w:top w:val="nil"/>
              <w:left w:val="nil"/>
              <w:bottom w:val="single" w:sz="4" w:space="0" w:color="auto"/>
              <w:right w:val="single" w:sz="4" w:space="0" w:color="auto"/>
            </w:tcBorders>
            <w:shd w:val="clear" w:color="auto" w:fill="FFFFFF"/>
            <w:hideMark/>
          </w:tcPr>
          <w:p w14:paraId="652A025C" w14:textId="77777777" w:rsidR="00460384" w:rsidRPr="00D0306F" w:rsidRDefault="00460384" w:rsidP="00977D0F">
            <w:pPr>
              <w:ind w:firstLineChars="100" w:firstLine="240"/>
              <w:jc w:val="cente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7</w:t>
            </w:r>
          </w:p>
        </w:tc>
      </w:tr>
      <w:tr w:rsidR="00460384" w:rsidRPr="00D0306F" w14:paraId="3B938D93" w14:textId="77777777" w:rsidTr="00460384">
        <w:trPr>
          <w:trHeight w:val="315"/>
        </w:trPr>
        <w:tc>
          <w:tcPr>
            <w:tcW w:w="1752" w:type="dxa"/>
            <w:tcBorders>
              <w:top w:val="nil"/>
              <w:left w:val="single" w:sz="4" w:space="0" w:color="auto"/>
              <w:bottom w:val="single" w:sz="4" w:space="0" w:color="auto"/>
              <w:right w:val="single" w:sz="4" w:space="0" w:color="auto"/>
            </w:tcBorders>
            <w:shd w:val="clear" w:color="auto" w:fill="FFFFFF"/>
            <w:hideMark/>
          </w:tcPr>
          <w:p w14:paraId="5BAD13FF" w14:textId="77777777" w:rsidR="00460384" w:rsidRPr="00D0306F" w:rsidRDefault="00460384" w:rsidP="00977D0F">
            <w:pPr>
              <w:ind w:firstLineChars="9" w:firstLine="22"/>
              <w:jc w:val="both"/>
              <w:rPr>
                <w:rFonts w:eastAsia="Times New Roman" w:cs="Arial"/>
                <w:b/>
                <w:bCs/>
                <w:color w:val="1F1F1F"/>
                <w:kern w:val="0"/>
                <w:lang w:eastAsia="en-GB"/>
                <w14:ligatures w14:val="none"/>
              </w:rPr>
            </w:pPr>
            <w:r w:rsidRPr="00D0306F">
              <w:rPr>
                <w:rFonts w:eastAsia="Times New Roman" w:cs="Arial"/>
                <w:b/>
                <w:bCs/>
                <w:color w:val="1F1F1F"/>
                <w:kern w:val="0"/>
                <w:lang w:eastAsia="en-GB"/>
                <w14:ligatures w14:val="none"/>
              </w:rPr>
              <w:t>W01000239</w:t>
            </w:r>
          </w:p>
        </w:tc>
        <w:tc>
          <w:tcPr>
            <w:tcW w:w="2352" w:type="dxa"/>
            <w:tcBorders>
              <w:top w:val="nil"/>
              <w:left w:val="nil"/>
              <w:bottom w:val="single" w:sz="4" w:space="0" w:color="auto"/>
              <w:right w:val="single" w:sz="4" w:space="0" w:color="auto"/>
            </w:tcBorders>
            <w:shd w:val="clear" w:color="auto" w:fill="FFFFFF"/>
            <w:hideMark/>
          </w:tcPr>
          <w:p w14:paraId="19E5020B" w14:textId="77777777" w:rsidR="00460384" w:rsidRPr="00D0306F" w:rsidRDefault="00460384" w:rsidP="00977D0F">
            <w:pPr>
              <w:ind w:leftChars="-6" w:hangingChars="6" w:hanging="14"/>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Denbighshire</w:t>
            </w:r>
          </w:p>
        </w:tc>
        <w:tc>
          <w:tcPr>
            <w:tcW w:w="3807" w:type="dxa"/>
            <w:tcBorders>
              <w:top w:val="nil"/>
              <w:left w:val="nil"/>
              <w:bottom w:val="single" w:sz="4" w:space="0" w:color="auto"/>
              <w:right w:val="single" w:sz="4" w:space="0" w:color="auto"/>
            </w:tcBorders>
            <w:shd w:val="clear" w:color="auto" w:fill="FFFFFF"/>
            <w:hideMark/>
          </w:tcPr>
          <w:p w14:paraId="018C22C3" w14:textId="77777777" w:rsidR="00460384" w:rsidRPr="00D0306F" w:rsidRDefault="00460384" w:rsidP="00977D0F">
            <w:pP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Rhyl West 1</w:t>
            </w:r>
          </w:p>
        </w:tc>
        <w:tc>
          <w:tcPr>
            <w:tcW w:w="1669" w:type="dxa"/>
            <w:tcBorders>
              <w:top w:val="nil"/>
              <w:left w:val="nil"/>
              <w:bottom w:val="single" w:sz="4" w:space="0" w:color="auto"/>
              <w:right w:val="single" w:sz="4" w:space="0" w:color="auto"/>
            </w:tcBorders>
            <w:shd w:val="clear" w:color="auto" w:fill="FFFFFF"/>
            <w:hideMark/>
          </w:tcPr>
          <w:p w14:paraId="781E403E" w14:textId="77777777" w:rsidR="00460384" w:rsidRPr="00D0306F" w:rsidRDefault="00460384" w:rsidP="00977D0F">
            <w:pPr>
              <w:ind w:firstLineChars="100" w:firstLine="240"/>
              <w:jc w:val="cente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9</w:t>
            </w:r>
          </w:p>
        </w:tc>
      </w:tr>
      <w:tr w:rsidR="00460384" w:rsidRPr="00D0306F" w14:paraId="25D04FD7" w14:textId="77777777" w:rsidTr="00460384">
        <w:trPr>
          <w:trHeight w:val="315"/>
        </w:trPr>
        <w:tc>
          <w:tcPr>
            <w:tcW w:w="1752" w:type="dxa"/>
            <w:tcBorders>
              <w:top w:val="nil"/>
              <w:left w:val="single" w:sz="4" w:space="0" w:color="auto"/>
              <w:bottom w:val="single" w:sz="4" w:space="0" w:color="auto"/>
              <w:right w:val="single" w:sz="4" w:space="0" w:color="auto"/>
            </w:tcBorders>
            <w:shd w:val="clear" w:color="auto" w:fill="FFFFFF"/>
            <w:hideMark/>
          </w:tcPr>
          <w:p w14:paraId="26AB19F2" w14:textId="77777777" w:rsidR="00460384" w:rsidRPr="00D0306F" w:rsidRDefault="00460384" w:rsidP="00977D0F">
            <w:pPr>
              <w:ind w:firstLineChars="9" w:firstLine="22"/>
              <w:jc w:val="both"/>
              <w:rPr>
                <w:rFonts w:eastAsia="Times New Roman" w:cs="Arial"/>
                <w:b/>
                <w:bCs/>
                <w:color w:val="1F1F1F"/>
                <w:kern w:val="0"/>
                <w:lang w:eastAsia="en-GB"/>
                <w14:ligatures w14:val="none"/>
              </w:rPr>
            </w:pPr>
            <w:r w:rsidRPr="00D0306F">
              <w:rPr>
                <w:rFonts w:eastAsia="Times New Roman" w:cs="Arial"/>
                <w:b/>
                <w:bCs/>
                <w:color w:val="1F1F1F"/>
                <w:kern w:val="0"/>
                <w:lang w:eastAsia="en-GB"/>
                <w14:ligatures w14:val="none"/>
              </w:rPr>
              <w:t>W01000830</w:t>
            </w:r>
          </w:p>
        </w:tc>
        <w:tc>
          <w:tcPr>
            <w:tcW w:w="2352" w:type="dxa"/>
            <w:tcBorders>
              <w:top w:val="nil"/>
              <w:left w:val="nil"/>
              <w:bottom w:val="single" w:sz="4" w:space="0" w:color="auto"/>
              <w:right w:val="single" w:sz="4" w:space="0" w:color="auto"/>
            </w:tcBorders>
            <w:shd w:val="clear" w:color="auto" w:fill="FFFFFF"/>
            <w:hideMark/>
          </w:tcPr>
          <w:p w14:paraId="0D0F0EB7" w14:textId="77777777" w:rsidR="00460384" w:rsidRPr="00D0306F" w:rsidRDefault="00460384" w:rsidP="00977D0F">
            <w:pPr>
              <w:ind w:leftChars="-6" w:hangingChars="6" w:hanging="14"/>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Swansea</w:t>
            </w:r>
          </w:p>
        </w:tc>
        <w:tc>
          <w:tcPr>
            <w:tcW w:w="3807" w:type="dxa"/>
            <w:tcBorders>
              <w:top w:val="nil"/>
              <w:left w:val="nil"/>
              <w:bottom w:val="single" w:sz="4" w:space="0" w:color="auto"/>
              <w:right w:val="single" w:sz="4" w:space="0" w:color="auto"/>
            </w:tcBorders>
            <w:shd w:val="clear" w:color="auto" w:fill="FFFFFF"/>
            <w:hideMark/>
          </w:tcPr>
          <w:p w14:paraId="15B445FE" w14:textId="77777777" w:rsidR="00460384" w:rsidRPr="00D0306F" w:rsidRDefault="00460384" w:rsidP="00977D0F">
            <w:pP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Penderry 1</w:t>
            </w:r>
          </w:p>
        </w:tc>
        <w:tc>
          <w:tcPr>
            <w:tcW w:w="1669" w:type="dxa"/>
            <w:tcBorders>
              <w:top w:val="nil"/>
              <w:left w:val="nil"/>
              <w:bottom w:val="single" w:sz="4" w:space="0" w:color="auto"/>
              <w:right w:val="single" w:sz="4" w:space="0" w:color="auto"/>
            </w:tcBorders>
            <w:shd w:val="clear" w:color="auto" w:fill="FFFFFF"/>
            <w:hideMark/>
          </w:tcPr>
          <w:p w14:paraId="3FEDEE00" w14:textId="77777777" w:rsidR="00460384" w:rsidRPr="00D0306F" w:rsidRDefault="00460384" w:rsidP="00977D0F">
            <w:pPr>
              <w:ind w:firstLineChars="100" w:firstLine="240"/>
              <w:jc w:val="cente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11</w:t>
            </w:r>
          </w:p>
        </w:tc>
      </w:tr>
      <w:tr w:rsidR="00460384" w:rsidRPr="00D0306F" w14:paraId="34F9C30C" w14:textId="77777777" w:rsidTr="00460384">
        <w:trPr>
          <w:trHeight w:val="315"/>
        </w:trPr>
        <w:tc>
          <w:tcPr>
            <w:tcW w:w="1752" w:type="dxa"/>
            <w:tcBorders>
              <w:top w:val="nil"/>
              <w:left w:val="single" w:sz="4" w:space="0" w:color="auto"/>
              <w:bottom w:val="single" w:sz="4" w:space="0" w:color="auto"/>
              <w:right w:val="single" w:sz="4" w:space="0" w:color="auto"/>
            </w:tcBorders>
            <w:shd w:val="clear" w:color="auto" w:fill="FFFFFF"/>
            <w:hideMark/>
          </w:tcPr>
          <w:p w14:paraId="4393BCC7" w14:textId="77777777" w:rsidR="00460384" w:rsidRPr="00D0306F" w:rsidRDefault="00460384" w:rsidP="00977D0F">
            <w:pPr>
              <w:ind w:firstLineChars="9" w:firstLine="22"/>
              <w:jc w:val="both"/>
              <w:rPr>
                <w:rFonts w:eastAsia="Times New Roman" w:cs="Arial"/>
                <w:b/>
                <w:bCs/>
                <w:color w:val="1F1F1F"/>
                <w:kern w:val="0"/>
                <w:lang w:eastAsia="en-GB"/>
                <w14:ligatures w14:val="none"/>
              </w:rPr>
            </w:pPr>
            <w:r w:rsidRPr="00D0306F">
              <w:rPr>
                <w:rFonts w:eastAsia="Times New Roman" w:cs="Arial"/>
                <w:b/>
                <w:bCs/>
                <w:color w:val="1F1F1F"/>
                <w:kern w:val="0"/>
                <w:lang w:eastAsia="en-GB"/>
                <w14:ligatures w14:val="none"/>
              </w:rPr>
              <w:t>W01001428</w:t>
            </w:r>
          </w:p>
        </w:tc>
        <w:tc>
          <w:tcPr>
            <w:tcW w:w="2352" w:type="dxa"/>
            <w:tcBorders>
              <w:top w:val="nil"/>
              <w:left w:val="nil"/>
              <w:bottom w:val="single" w:sz="4" w:space="0" w:color="auto"/>
              <w:right w:val="single" w:sz="4" w:space="0" w:color="auto"/>
            </w:tcBorders>
            <w:shd w:val="clear" w:color="auto" w:fill="FFFFFF"/>
            <w:hideMark/>
          </w:tcPr>
          <w:p w14:paraId="15BDF7AF" w14:textId="77777777" w:rsidR="00460384" w:rsidRPr="00D0306F" w:rsidRDefault="00460384" w:rsidP="00977D0F">
            <w:pPr>
              <w:ind w:leftChars="-6" w:hangingChars="6" w:hanging="14"/>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Caerphilly</w:t>
            </w:r>
          </w:p>
        </w:tc>
        <w:tc>
          <w:tcPr>
            <w:tcW w:w="3807" w:type="dxa"/>
            <w:tcBorders>
              <w:top w:val="nil"/>
              <w:left w:val="nil"/>
              <w:bottom w:val="single" w:sz="4" w:space="0" w:color="auto"/>
              <w:right w:val="single" w:sz="4" w:space="0" w:color="auto"/>
            </w:tcBorders>
            <w:shd w:val="clear" w:color="auto" w:fill="FFFFFF"/>
            <w:hideMark/>
          </w:tcPr>
          <w:p w14:paraId="33D3C2CD" w14:textId="77777777" w:rsidR="00460384" w:rsidRPr="00D0306F" w:rsidRDefault="00460384" w:rsidP="00977D0F">
            <w:pP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Twyn Carno 1</w:t>
            </w:r>
          </w:p>
        </w:tc>
        <w:tc>
          <w:tcPr>
            <w:tcW w:w="1669" w:type="dxa"/>
            <w:tcBorders>
              <w:top w:val="nil"/>
              <w:left w:val="nil"/>
              <w:bottom w:val="single" w:sz="4" w:space="0" w:color="auto"/>
              <w:right w:val="single" w:sz="4" w:space="0" w:color="auto"/>
            </w:tcBorders>
            <w:shd w:val="clear" w:color="auto" w:fill="FFFFFF"/>
            <w:hideMark/>
          </w:tcPr>
          <w:p w14:paraId="5DE4FE39" w14:textId="77777777" w:rsidR="00460384" w:rsidRPr="00D0306F" w:rsidRDefault="00460384" w:rsidP="00977D0F">
            <w:pPr>
              <w:ind w:firstLineChars="100" w:firstLine="240"/>
              <w:jc w:val="cente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12</w:t>
            </w:r>
          </w:p>
        </w:tc>
      </w:tr>
      <w:tr w:rsidR="00460384" w:rsidRPr="00D0306F" w14:paraId="33851F05" w14:textId="77777777" w:rsidTr="00460384">
        <w:trPr>
          <w:trHeight w:val="315"/>
        </w:trPr>
        <w:tc>
          <w:tcPr>
            <w:tcW w:w="1752" w:type="dxa"/>
            <w:tcBorders>
              <w:top w:val="nil"/>
              <w:left w:val="single" w:sz="4" w:space="0" w:color="auto"/>
              <w:bottom w:val="single" w:sz="4" w:space="0" w:color="auto"/>
              <w:right w:val="single" w:sz="4" w:space="0" w:color="auto"/>
            </w:tcBorders>
            <w:shd w:val="clear" w:color="auto" w:fill="FFFFFF"/>
            <w:hideMark/>
          </w:tcPr>
          <w:p w14:paraId="6CBC843D" w14:textId="77777777" w:rsidR="00460384" w:rsidRPr="00D0306F" w:rsidRDefault="00460384" w:rsidP="00977D0F">
            <w:pPr>
              <w:ind w:firstLineChars="9" w:firstLine="22"/>
              <w:jc w:val="both"/>
              <w:rPr>
                <w:rFonts w:eastAsia="Times New Roman" w:cs="Arial"/>
                <w:b/>
                <w:bCs/>
                <w:color w:val="1F1F1F"/>
                <w:kern w:val="0"/>
                <w:lang w:eastAsia="en-GB"/>
                <w14:ligatures w14:val="none"/>
              </w:rPr>
            </w:pPr>
            <w:r w:rsidRPr="00D0306F">
              <w:rPr>
                <w:rFonts w:eastAsia="Times New Roman" w:cs="Arial"/>
                <w:b/>
                <w:bCs/>
                <w:color w:val="1F1F1F"/>
                <w:kern w:val="0"/>
                <w:lang w:eastAsia="en-GB"/>
                <w14:ligatures w14:val="none"/>
              </w:rPr>
              <w:t>W01000833</w:t>
            </w:r>
          </w:p>
        </w:tc>
        <w:tc>
          <w:tcPr>
            <w:tcW w:w="2352" w:type="dxa"/>
            <w:tcBorders>
              <w:top w:val="nil"/>
              <w:left w:val="nil"/>
              <w:bottom w:val="single" w:sz="4" w:space="0" w:color="auto"/>
              <w:right w:val="single" w:sz="4" w:space="0" w:color="auto"/>
            </w:tcBorders>
            <w:shd w:val="clear" w:color="auto" w:fill="FFFFFF"/>
            <w:hideMark/>
          </w:tcPr>
          <w:p w14:paraId="172A130C" w14:textId="77777777" w:rsidR="00460384" w:rsidRPr="00D0306F" w:rsidRDefault="00460384" w:rsidP="00977D0F">
            <w:pPr>
              <w:ind w:leftChars="-6" w:hangingChars="6" w:hanging="14"/>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Swansea</w:t>
            </w:r>
          </w:p>
        </w:tc>
        <w:tc>
          <w:tcPr>
            <w:tcW w:w="3807" w:type="dxa"/>
            <w:tcBorders>
              <w:top w:val="nil"/>
              <w:left w:val="nil"/>
              <w:bottom w:val="single" w:sz="4" w:space="0" w:color="auto"/>
              <w:right w:val="single" w:sz="4" w:space="0" w:color="auto"/>
            </w:tcBorders>
            <w:shd w:val="clear" w:color="auto" w:fill="FFFFFF"/>
            <w:hideMark/>
          </w:tcPr>
          <w:p w14:paraId="442962A4" w14:textId="77777777" w:rsidR="00460384" w:rsidRPr="00D0306F" w:rsidRDefault="00460384" w:rsidP="00977D0F">
            <w:pP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Penderry 4</w:t>
            </w:r>
          </w:p>
        </w:tc>
        <w:tc>
          <w:tcPr>
            <w:tcW w:w="1669" w:type="dxa"/>
            <w:tcBorders>
              <w:top w:val="nil"/>
              <w:left w:val="nil"/>
              <w:bottom w:val="single" w:sz="4" w:space="0" w:color="auto"/>
              <w:right w:val="single" w:sz="4" w:space="0" w:color="auto"/>
            </w:tcBorders>
            <w:shd w:val="clear" w:color="auto" w:fill="FFFFFF"/>
            <w:hideMark/>
          </w:tcPr>
          <w:p w14:paraId="02B9F8A9" w14:textId="77777777" w:rsidR="00460384" w:rsidRPr="00D0306F" w:rsidRDefault="00460384" w:rsidP="00977D0F">
            <w:pPr>
              <w:ind w:firstLineChars="100" w:firstLine="240"/>
              <w:jc w:val="cente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13</w:t>
            </w:r>
          </w:p>
        </w:tc>
      </w:tr>
      <w:tr w:rsidR="00460384" w:rsidRPr="00D0306F" w14:paraId="72280183" w14:textId="77777777" w:rsidTr="00460384">
        <w:trPr>
          <w:trHeight w:val="315"/>
        </w:trPr>
        <w:tc>
          <w:tcPr>
            <w:tcW w:w="1752" w:type="dxa"/>
            <w:tcBorders>
              <w:top w:val="nil"/>
              <w:left w:val="single" w:sz="4" w:space="0" w:color="auto"/>
              <w:bottom w:val="single" w:sz="4" w:space="0" w:color="auto"/>
              <w:right w:val="single" w:sz="4" w:space="0" w:color="auto"/>
            </w:tcBorders>
            <w:shd w:val="clear" w:color="auto" w:fill="FFFFFF"/>
            <w:hideMark/>
          </w:tcPr>
          <w:p w14:paraId="1503E26E" w14:textId="77777777" w:rsidR="00460384" w:rsidRPr="00D0306F" w:rsidRDefault="00460384" w:rsidP="00977D0F">
            <w:pPr>
              <w:ind w:firstLineChars="9" w:firstLine="22"/>
              <w:jc w:val="both"/>
              <w:rPr>
                <w:rFonts w:eastAsia="Times New Roman" w:cs="Arial"/>
                <w:b/>
                <w:bCs/>
                <w:color w:val="1F1F1F"/>
                <w:kern w:val="0"/>
                <w:lang w:eastAsia="en-GB"/>
                <w14:ligatures w14:val="none"/>
              </w:rPr>
            </w:pPr>
            <w:r w:rsidRPr="00D0306F">
              <w:rPr>
                <w:rFonts w:eastAsia="Times New Roman" w:cs="Arial"/>
                <w:b/>
                <w:bCs/>
                <w:color w:val="1F1F1F"/>
                <w:kern w:val="0"/>
                <w:lang w:eastAsia="en-GB"/>
                <w14:ligatures w14:val="none"/>
              </w:rPr>
              <w:t>W01001222</w:t>
            </w:r>
          </w:p>
        </w:tc>
        <w:tc>
          <w:tcPr>
            <w:tcW w:w="2352" w:type="dxa"/>
            <w:tcBorders>
              <w:top w:val="nil"/>
              <w:left w:val="nil"/>
              <w:bottom w:val="single" w:sz="4" w:space="0" w:color="auto"/>
              <w:right w:val="single" w:sz="4" w:space="0" w:color="auto"/>
            </w:tcBorders>
            <w:shd w:val="clear" w:color="auto" w:fill="FFFFFF"/>
            <w:hideMark/>
          </w:tcPr>
          <w:p w14:paraId="511257BF" w14:textId="77777777" w:rsidR="00460384" w:rsidRPr="00D0306F" w:rsidRDefault="00460384" w:rsidP="00977D0F">
            <w:pPr>
              <w:ind w:leftChars="-6" w:hangingChars="6" w:hanging="14"/>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Rhondda Cynon Taf</w:t>
            </w:r>
          </w:p>
        </w:tc>
        <w:tc>
          <w:tcPr>
            <w:tcW w:w="3807" w:type="dxa"/>
            <w:tcBorders>
              <w:top w:val="nil"/>
              <w:left w:val="nil"/>
              <w:bottom w:val="single" w:sz="4" w:space="0" w:color="auto"/>
              <w:right w:val="single" w:sz="4" w:space="0" w:color="auto"/>
            </w:tcBorders>
            <w:shd w:val="clear" w:color="auto" w:fill="FFFFFF"/>
            <w:hideMark/>
          </w:tcPr>
          <w:p w14:paraId="47BD26A8" w14:textId="77777777" w:rsidR="00460384" w:rsidRPr="00D0306F" w:rsidRDefault="00460384" w:rsidP="00977D0F">
            <w:pP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Pen-y-waun 2</w:t>
            </w:r>
          </w:p>
        </w:tc>
        <w:tc>
          <w:tcPr>
            <w:tcW w:w="1669" w:type="dxa"/>
            <w:tcBorders>
              <w:top w:val="nil"/>
              <w:left w:val="nil"/>
              <w:bottom w:val="single" w:sz="4" w:space="0" w:color="auto"/>
              <w:right w:val="single" w:sz="4" w:space="0" w:color="auto"/>
            </w:tcBorders>
            <w:shd w:val="clear" w:color="auto" w:fill="FFFFFF"/>
            <w:hideMark/>
          </w:tcPr>
          <w:p w14:paraId="3E80E6EE" w14:textId="77777777" w:rsidR="00460384" w:rsidRPr="00D0306F" w:rsidRDefault="00460384" w:rsidP="00977D0F">
            <w:pPr>
              <w:ind w:firstLineChars="100" w:firstLine="240"/>
              <w:jc w:val="cente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14</w:t>
            </w:r>
          </w:p>
        </w:tc>
      </w:tr>
      <w:tr w:rsidR="00460384" w:rsidRPr="00D0306F" w14:paraId="245987A8" w14:textId="77777777" w:rsidTr="00460384">
        <w:trPr>
          <w:trHeight w:val="315"/>
        </w:trPr>
        <w:tc>
          <w:tcPr>
            <w:tcW w:w="1752" w:type="dxa"/>
            <w:tcBorders>
              <w:top w:val="nil"/>
              <w:left w:val="single" w:sz="4" w:space="0" w:color="auto"/>
              <w:bottom w:val="single" w:sz="4" w:space="0" w:color="auto"/>
              <w:right w:val="single" w:sz="4" w:space="0" w:color="auto"/>
            </w:tcBorders>
            <w:shd w:val="clear" w:color="auto" w:fill="FFFFFF"/>
            <w:hideMark/>
          </w:tcPr>
          <w:p w14:paraId="03CF029E" w14:textId="77777777" w:rsidR="00460384" w:rsidRPr="00D0306F" w:rsidRDefault="00460384" w:rsidP="00977D0F">
            <w:pPr>
              <w:ind w:firstLineChars="9" w:firstLine="22"/>
              <w:jc w:val="both"/>
              <w:rPr>
                <w:rFonts w:eastAsia="Times New Roman" w:cs="Arial"/>
                <w:b/>
                <w:bCs/>
                <w:color w:val="1F1F1F"/>
                <w:kern w:val="0"/>
                <w:lang w:eastAsia="en-GB"/>
                <w14:ligatures w14:val="none"/>
              </w:rPr>
            </w:pPr>
            <w:r w:rsidRPr="00D0306F">
              <w:rPr>
                <w:rFonts w:eastAsia="Times New Roman" w:cs="Arial"/>
                <w:b/>
                <w:bCs/>
                <w:color w:val="1F1F1F"/>
                <w:kern w:val="0"/>
                <w:lang w:eastAsia="en-GB"/>
                <w14:ligatures w14:val="none"/>
              </w:rPr>
              <w:t>W01000921</w:t>
            </w:r>
          </w:p>
        </w:tc>
        <w:tc>
          <w:tcPr>
            <w:tcW w:w="2352" w:type="dxa"/>
            <w:tcBorders>
              <w:top w:val="nil"/>
              <w:left w:val="nil"/>
              <w:bottom w:val="single" w:sz="4" w:space="0" w:color="auto"/>
              <w:right w:val="single" w:sz="4" w:space="0" w:color="auto"/>
            </w:tcBorders>
            <w:shd w:val="clear" w:color="auto" w:fill="FFFFFF"/>
            <w:hideMark/>
          </w:tcPr>
          <w:p w14:paraId="37A41CF9" w14:textId="77777777" w:rsidR="00460384" w:rsidRPr="00D0306F" w:rsidRDefault="00460384" w:rsidP="00977D0F">
            <w:pPr>
              <w:ind w:leftChars="-6" w:hangingChars="6" w:hanging="14"/>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Neath Port Talbot</w:t>
            </w:r>
          </w:p>
        </w:tc>
        <w:tc>
          <w:tcPr>
            <w:tcW w:w="3807" w:type="dxa"/>
            <w:tcBorders>
              <w:top w:val="nil"/>
              <w:left w:val="nil"/>
              <w:bottom w:val="single" w:sz="4" w:space="0" w:color="auto"/>
              <w:right w:val="single" w:sz="4" w:space="0" w:color="auto"/>
            </w:tcBorders>
            <w:shd w:val="clear" w:color="auto" w:fill="FFFFFF"/>
            <w:hideMark/>
          </w:tcPr>
          <w:p w14:paraId="2DF8516D" w14:textId="77777777" w:rsidR="00460384" w:rsidRPr="00D0306F" w:rsidRDefault="00460384" w:rsidP="00977D0F">
            <w:pP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Cymer (Neath Port Talbot) 2</w:t>
            </w:r>
          </w:p>
        </w:tc>
        <w:tc>
          <w:tcPr>
            <w:tcW w:w="1669" w:type="dxa"/>
            <w:tcBorders>
              <w:top w:val="nil"/>
              <w:left w:val="nil"/>
              <w:bottom w:val="single" w:sz="4" w:space="0" w:color="auto"/>
              <w:right w:val="single" w:sz="4" w:space="0" w:color="auto"/>
            </w:tcBorders>
            <w:shd w:val="clear" w:color="auto" w:fill="FFFFFF"/>
            <w:hideMark/>
          </w:tcPr>
          <w:p w14:paraId="2A589BB0" w14:textId="77777777" w:rsidR="00460384" w:rsidRPr="00D0306F" w:rsidRDefault="00460384" w:rsidP="00977D0F">
            <w:pPr>
              <w:ind w:firstLineChars="100" w:firstLine="240"/>
              <w:jc w:val="cente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15</w:t>
            </w:r>
          </w:p>
        </w:tc>
      </w:tr>
      <w:tr w:rsidR="00460384" w:rsidRPr="00D0306F" w14:paraId="04F8AD83" w14:textId="77777777" w:rsidTr="00460384">
        <w:trPr>
          <w:trHeight w:val="315"/>
        </w:trPr>
        <w:tc>
          <w:tcPr>
            <w:tcW w:w="1752" w:type="dxa"/>
            <w:tcBorders>
              <w:top w:val="nil"/>
              <w:left w:val="single" w:sz="4" w:space="0" w:color="auto"/>
              <w:bottom w:val="single" w:sz="4" w:space="0" w:color="auto"/>
              <w:right w:val="single" w:sz="4" w:space="0" w:color="auto"/>
            </w:tcBorders>
            <w:shd w:val="clear" w:color="auto" w:fill="FFFFFF"/>
            <w:hideMark/>
          </w:tcPr>
          <w:p w14:paraId="19B5EDE8" w14:textId="77777777" w:rsidR="00460384" w:rsidRPr="00D0306F" w:rsidRDefault="00460384" w:rsidP="00977D0F">
            <w:pPr>
              <w:ind w:firstLineChars="9" w:firstLine="22"/>
              <w:jc w:val="both"/>
              <w:rPr>
                <w:rFonts w:eastAsia="Times New Roman" w:cs="Arial"/>
                <w:b/>
                <w:bCs/>
                <w:color w:val="1F1F1F"/>
                <w:kern w:val="0"/>
                <w:lang w:eastAsia="en-GB"/>
                <w14:ligatures w14:val="none"/>
              </w:rPr>
            </w:pPr>
            <w:r w:rsidRPr="00D0306F">
              <w:rPr>
                <w:rFonts w:eastAsia="Times New Roman" w:cs="Arial"/>
                <w:b/>
                <w:bCs/>
                <w:color w:val="1F1F1F"/>
                <w:kern w:val="0"/>
                <w:lang w:eastAsia="en-GB"/>
                <w14:ligatures w14:val="none"/>
              </w:rPr>
              <w:t>W01001308</w:t>
            </w:r>
          </w:p>
        </w:tc>
        <w:tc>
          <w:tcPr>
            <w:tcW w:w="2352" w:type="dxa"/>
            <w:tcBorders>
              <w:top w:val="nil"/>
              <w:left w:val="nil"/>
              <w:bottom w:val="single" w:sz="4" w:space="0" w:color="auto"/>
              <w:right w:val="single" w:sz="4" w:space="0" w:color="auto"/>
            </w:tcBorders>
            <w:shd w:val="clear" w:color="auto" w:fill="FFFFFF"/>
            <w:hideMark/>
          </w:tcPr>
          <w:p w14:paraId="7374A7C2" w14:textId="77777777" w:rsidR="00460384" w:rsidRPr="00D0306F" w:rsidRDefault="00460384" w:rsidP="00977D0F">
            <w:pPr>
              <w:ind w:leftChars="-6" w:hangingChars="6" w:hanging="14"/>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Merthyr Tydfil</w:t>
            </w:r>
          </w:p>
        </w:tc>
        <w:tc>
          <w:tcPr>
            <w:tcW w:w="3807" w:type="dxa"/>
            <w:tcBorders>
              <w:top w:val="nil"/>
              <w:left w:val="nil"/>
              <w:bottom w:val="single" w:sz="4" w:space="0" w:color="auto"/>
              <w:right w:val="single" w:sz="4" w:space="0" w:color="auto"/>
            </w:tcBorders>
            <w:shd w:val="clear" w:color="auto" w:fill="FFFFFF"/>
            <w:hideMark/>
          </w:tcPr>
          <w:p w14:paraId="5D54AC72" w14:textId="77777777" w:rsidR="00460384" w:rsidRPr="00D0306F" w:rsidRDefault="00460384" w:rsidP="00977D0F">
            <w:pP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Penydarren 1</w:t>
            </w:r>
          </w:p>
        </w:tc>
        <w:tc>
          <w:tcPr>
            <w:tcW w:w="1669" w:type="dxa"/>
            <w:tcBorders>
              <w:top w:val="nil"/>
              <w:left w:val="nil"/>
              <w:bottom w:val="single" w:sz="4" w:space="0" w:color="auto"/>
              <w:right w:val="single" w:sz="4" w:space="0" w:color="auto"/>
            </w:tcBorders>
            <w:shd w:val="clear" w:color="auto" w:fill="FFFFFF"/>
            <w:hideMark/>
          </w:tcPr>
          <w:p w14:paraId="14686BB5" w14:textId="77777777" w:rsidR="00460384" w:rsidRPr="00D0306F" w:rsidRDefault="00460384" w:rsidP="00977D0F">
            <w:pPr>
              <w:ind w:firstLineChars="100" w:firstLine="240"/>
              <w:jc w:val="cente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16</w:t>
            </w:r>
          </w:p>
        </w:tc>
      </w:tr>
      <w:tr w:rsidR="00460384" w:rsidRPr="00D0306F" w14:paraId="686BD285" w14:textId="77777777" w:rsidTr="00460384">
        <w:trPr>
          <w:trHeight w:val="315"/>
        </w:trPr>
        <w:tc>
          <w:tcPr>
            <w:tcW w:w="1752" w:type="dxa"/>
            <w:tcBorders>
              <w:top w:val="nil"/>
              <w:left w:val="single" w:sz="4" w:space="0" w:color="auto"/>
              <w:bottom w:val="single" w:sz="4" w:space="0" w:color="auto"/>
              <w:right w:val="single" w:sz="4" w:space="0" w:color="auto"/>
            </w:tcBorders>
            <w:shd w:val="clear" w:color="auto" w:fill="FFFFFF"/>
            <w:hideMark/>
          </w:tcPr>
          <w:p w14:paraId="53253B41" w14:textId="77777777" w:rsidR="00460384" w:rsidRPr="00D0306F" w:rsidRDefault="00460384" w:rsidP="00977D0F">
            <w:pPr>
              <w:ind w:firstLineChars="9" w:firstLine="22"/>
              <w:jc w:val="both"/>
              <w:rPr>
                <w:rFonts w:eastAsia="Times New Roman" w:cs="Arial"/>
                <w:b/>
                <w:bCs/>
                <w:color w:val="1F1F1F"/>
                <w:kern w:val="0"/>
                <w:lang w:eastAsia="en-GB"/>
                <w14:ligatures w14:val="none"/>
              </w:rPr>
            </w:pPr>
            <w:r w:rsidRPr="00D0306F">
              <w:rPr>
                <w:rFonts w:eastAsia="Times New Roman" w:cs="Arial"/>
                <w:b/>
                <w:bCs/>
                <w:color w:val="1F1F1F"/>
                <w:kern w:val="0"/>
                <w:lang w:eastAsia="en-GB"/>
                <w14:ligatures w14:val="none"/>
              </w:rPr>
              <w:t>W01000863</w:t>
            </w:r>
          </w:p>
        </w:tc>
        <w:tc>
          <w:tcPr>
            <w:tcW w:w="2352" w:type="dxa"/>
            <w:tcBorders>
              <w:top w:val="nil"/>
              <w:left w:val="nil"/>
              <w:bottom w:val="single" w:sz="4" w:space="0" w:color="auto"/>
              <w:right w:val="single" w:sz="4" w:space="0" w:color="auto"/>
            </w:tcBorders>
            <w:shd w:val="clear" w:color="auto" w:fill="FFFFFF"/>
            <w:hideMark/>
          </w:tcPr>
          <w:p w14:paraId="565EFD16" w14:textId="77777777" w:rsidR="00460384" w:rsidRPr="00D0306F" w:rsidRDefault="00460384" w:rsidP="00977D0F">
            <w:pPr>
              <w:ind w:leftChars="-6" w:hangingChars="6" w:hanging="14"/>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Swansea</w:t>
            </w:r>
          </w:p>
        </w:tc>
        <w:tc>
          <w:tcPr>
            <w:tcW w:w="3807" w:type="dxa"/>
            <w:tcBorders>
              <w:top w:val="nil"/>
              <w:left w:val="nil"/>
              <w:bottom w:val="single" w:sz="4" w:space="0" w:color="auto"/>
              <w:right w:val="single" w:sz="4" w:space="0" w:color="auto"/>
            </w:tcBorders>
            <w:shd w:val="clear" w:color="auto" w:fill="FFFFFF"/>
            <w:hideMark/>
          </w:tcPr>
          <w:p w14:paraId="152011FB" w14:textId="77777777" w:rsidR="00460384" w:rsidRPr="00D0306F" w:rsidRDefault="00460384" w:rsidP="00977D0F">
            <w:pP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Townhill 2</w:t>
            </w:r>
          </w:p>
        </w:tc>
        <w:tc>
          <w:tcPr>
            <w:tcW w:w="1669" w:type="dxa"/>
            <w:tcBorders>
              <w:top w:val="nil"/>
              <w:left w:val="nil"/>
              <w:bottom w:val="single" w:sz="4" w:space="0" w:color="auto"/>
              <w:right w:val="single" w:sz="4" w:space="0" w:color="auto"/>
            </w:tcBorders>
            <w:shd w:val="clear" w:color="auto" w:fill="FFFFFF"/>
            <w:hideMark/>
          </w:tcPr>
          <w:p w14:paraId="0A5E8D9F" w14:textId="77777777" w:rsidR="00460384" w:rsidRPr="00D0306F" w:rsidRDefault="00460384" w:rsidP="00977D0F">
            <w:pPr>
              <w:ind w:firstLineChars="100" w:firstLine="240"/>
              <w:jc w:val="cente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19</w:t>
            </w:r>
          </w:p>
        </w:tc>
      </w:tr>
      <w:tr w:rsidR="00460384" w:rsidRPr="00D0306F" w14:paraId="52377EA6" w14:textId="77777777" w:rsidTr="00460384">
        <w:trPr>
          <w:trHeight w:val="315"/>
        </w:trPr>
        <w:tc>
          <w:tcPr>
            <w:tcW w:w="1752" w:type="dxa"/>
            <w:tcBorders>
              <w:top w:val="nil"/>
              <w:left w:val="single" w:sz="4" w:space="0" w:color="auto"/>
              <w:bottom w:val="single" w:sz="4" w:space="0" w:color="auto"/>
              <w:right w:val="single" w:sz="4" w:space="0" w:color="auto"/>
            </w:tcBorders>
            <w:shd w:val="clear" w:color="auto" w:fill="FFFFFF"/>
            <w:hideMark/>
          </w:tcPr>
          <w:p w14:paraId="0B781648" w14:textId="77777777" w:rsidR="00460384" w:rsidRPr="00D0306F" w:rsidRDefault="00460384" w:rsidP="00977D0F">
            <w:pPr>
              <w:ind w:firstLineChars="9" w:firstLine="22"/>
              <w:jc w:val="both"/>
              <w:rPr>
                <w:rFonts w:eastAsia="Times New Roman" w:cs="Arial"/>
                <w:b/>
                <w:bCs/>
                <w:color w:val="1F1F1F"/>
                <w:kern w:val="0"/>
                <w:lang w:eastAsia="en-GB"/>
                <w14:ligatures w14:val="none"/>
              </w:rPr>
            </w:pPr>
            <w:r w:rsidRPr="00D0306F">
              <w:rPr>
                <w:rFonts w:eastAsia="Times New Roman" w:cs="Arial"/>
                <w:b/>
                <w:bCs/>
                <w:color w:val="1F1F1F"/>
                <w:kern w:val="0"/>
                <w:lang w:eastAsia="en-GB"/>
                <w14:ligatures w14:val="none"/>
              </w:rPr>
              <w:t>W01000864</w:t>
            </w:r>
          </w:p>
        </w:tc>
        <w:tc>
          <w:tcPr>
            <w:tcW w:w="2352" w:type="dxa"/>
            <w:tcBorders>
              <w:top w:val="nil"/>
              <w:left w:val="nil"/>
              <w:bottom w:val="single" w:sz="4" w:space="0" w:color="auto"/>
              <w:right w:val="single" w:sz="4" w:space="0" w:color="auto"/>
            </w:tcBorders>
            <w:shd w:val="clear" w:color="auto" w:fill="FFFFFF"/>
            <w:hideMark/>
          </w:tcPr>
          <w:p w14:paraId="18FB7318" w14:textId="77777777" w:rsidR="00460384" w:rsidRPr="00D0306F" w:rsidRDefault="00460384" w:rsidP="00977D0F">
            <w:pPr>
              <w:ind w:leftChars="-6" w:hangingChars="6" w:hanging="14"/>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Swansea</w:t>
            </w:r>
          </w:p>
        </w:tc>
        <w:tc>
          <w:tcPr>
            <w:tcW w:w="3807" w:type="dxa"/>
            <w:tcBorders>
              <w:top w:val="nil"/>
              <w:left w:val="nil"/>
              <w:bottom w:val="single" w:sz="4" w:space="0" w:color="auto"/>
              <w:right w:val="single" w:sz="4" w:space="0" w:color="auto"/>
            </w:tcBorders>
            <w:shd w:val="clear" w:color="auto" w:fill="FFFFFF"/>
            <w:hideMark/>
          </w:tcPr>
          <w:p w14:paraId="017B1645" w14:textId="77777777" w:rsidR="00460384" w:rsidRPr="00D0306F" w:rsidRDefault="00460384" w:rsidP="00977D0F">
            <w:pP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Townhill 3</w:t>
            </w:r>
          </w:p>
        </w:tc>
        <w:tc>
          <w:tcPr>
            <w:tcW w:w="1669" w:type="dxa"/>
            <w:tcBorders>
              <w:top w:val="nil"/>
              <w:left w:val="nil"/>
              <w:bottom w:val="single" w:sz="4" w:space="0" w:color="auto"/>
              <w:right w:val="single" w:sz="4" w:space="0" w:color="auto"/>
            </w:tcBorders>
            <w:shd w:val="clear" w:color="auto" w:fill="FFFFFF"/>
            <w:hideMark/>
          </w:tcPr>
          <w:p w14:paraId="6A121188" w14:textId="77777777" w:rsidR="00460384" w:rsidRPr="00D0306F" w:rsidRDefault="00460384" w:rsidP="00977D0F">
            <w:pPr>
              <w:ind w:firstLineChars="100" w:firstLine="240"/>
              <w:jc w:val="cente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20</w:t>
            </w:r>
          </w:p>
        </w:tc>
      </w:tr>
      <w:tr w:rsidR="00460384" w:rsidRPr="00D0306F" w14:paraId="0A9897D1" w14:textId="77777777" w:rsidTr="00460384">
        <w:trPr>
          <w:trHeight w:val="315"/>
        </w:trPr>
        <w:tc>
          <w:tcPr>
            <w:tcW w:w="1752" w:type="dxa"/>
            <w:tcBorders>
              <w:top w:val="nil"/>
              <w:left w:val="single" w:sz="4" w:space="0" w:color="auto"/>
              <w:bottom w:val="single" w:sz="4" w:space="0" w:color="auto"/>
              <w:right w:val="single" w:sz="4" w:space="0" w:color="auto"/>
            </w:tcBorders>
            <w:shd w:val="clear" w:color="auto" w:fill="FFFFFF"/>
            <w:hideMark/>
          </w:tcPr>
          <w:p w14:paraId="36028F5B" w14:textId="77777777" w:rsidR="00460384" w:rsidRPr="00D0306F" w:rsidRDefault="00460384" w:rsidP="00977D0F">
            <w:pPr>
              <w:ind w:firstLineChars="9" w:firstLine="22"/>
              <w:jc w:val="both"/>
              <w:rPr>
                <w:rFonts w:eastAsia="Times New Roman" w:cs="Arial"/>
                <w:b/>
                <w:bCs/>
                <w:color w:val="1F1F1F"/>
                <w:kern w:val="0"/>
                <w:lang w:eastAsia="en-GB"/>
                <w14:ligatures w14:val="none"/>
              </w:rPr>
            </w:pPr>
            <w:r w:rsidRPr="00D0306F">
              <w:rPr>
                <w:rFonts w:eastAsia="Times New Roman" w:cs="Arial"/>
                <w:b/>
                <w:bCs/>
                <w:color w:val="1F1F1F"/>
                <w:kern w:val="0"/>
                <w:lang w:eastAsia="en-GB"/>
                <w14:ligatures w14:val="none"/>
              </w:rPr>
              <w:t>W01001274</w:t>
            </w:r>
          </w:p>
        </w:tc>
        <w:tc>
          <w:tcPr>
            <w:tcW w:w="2352" w:type="dxa"/>
            <w:tcBorders>
              <w:top w:val="nil"/>
              <w:left w:val="nil"/>
              <w:bottom w:val="single" w:sz="4" w:space="0" w:color="auto"/>
              <w:right w:val="single" w:sz="4" w:space="0" w:color="auto"/>
            </w:tcBorders>
            <w:shd w:val="clear" w:color="auto" w:fill="FFFFFF"/>
            <w:hideMark/>
          </w:tcPr>
          <w:p w14:paraId="1B4262DD" w14:textId="77777777" w:rsidR="00460384" w:rsidRPr="00D0306F" w:rsidRDefault="00460384" w:rsidP="00977D0F">
            <w:pPr>
              <w:ind w:leftChars="-6" w:hangingChars="6" w:hanging="14"/>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Rhondda Cynon Taf</w:t>
            </w:r>
          </w:p>
        </w:tc>
        <w:tc>
          <w:tcPr>
            <w:tcW w:w="3807" w:type="dxa"/>
            <w:tcBorders>
              <w:top w:val="nil"/>
              <w:left w:val="nil"/>
              <w:bottom w:val="single" w:sz="4" w:space="0" w:color="auto"/>
              <w:right w:val="single" w:sz="4" w:space="0" w:color="auto"/>
            </w:tcBorders>
            <w:shd w:val="clear" w:color="auto" w:fill="FFFFFF"/>
            <w:hideMark/>
          </w:tcPr>
          <w:p w14:paraId="5CD772BA" w14:textId="77777777" w:rsidR="00460384" w:rsidRPr="00D0306F" w:rsidRDefault="00460384" w:rsidP="00977D0F">
            <w:pP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Tylorstown 1</w:t>
            </w:r>
          </w:p>
        </w:tc>
        <w:tc>
          <w:tcPr>
            <w:tcW w:w="1669" w:type="dxa"/>
            <w:tcBorders>
              <w:top w:val="nil"/>
              <w:left w:val="nil"/>
              <w:bottom w:val="single" w:sz="4" w:space="0" w:color="auto"/>
              <w:right w:val="single" w:sz="4" w:space="0" w:color="auto"/>
            </w:tcBorders>
            <w:shd w:val="clear" w:color="auto" w:fill="FFFFFF"/>
            <w:hideMark/>
          </w:tcPr>
          <w:p w14:paraId="50593D7C" w14:textId="77777777" w:rsidR="00460384" w:rsidRPr="00D0306F" w:rsidRDefault="00460384" w:rsidP="00977D0F">
            <w:pPr>
              <w:ind w:firstLineChars="100" w:firstLine="240"/>
              <w:jc w:val="cente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23</w:t>
            </w:r>
          </w:p>
        </w:tc>
      </w:tr>
      <w:tr w:rsidR="00460384" w:rsidRPr="00D0306F" w14:paraId="530F0340" w14:textId="77777777" w:rsidTr="00460384">
        <w:trPr>
          <w:trHeight w:val="315"/>
        </w:trPr>
        <w:tc>
          <w:tcPr>
            <w:tcW w:w="1752" w:type="dxa"/>
            <w:tcBorders>
              <w:top w:val="nil"/>
              <w:left w:val="single" w:sz="4" w:space="0" w:color="auto"/>
              <w:bottom w:val="single" w:sz="4" w:space="0" w:color="auto"/>
              <w:right w:val="single" w:sz="4" w:space="0" w:color="auto"/>
            </w:tcBorders>
            <w:shd w:val="clear" w:color="auto" w:fill="FFFFFF"/>
            <w:hideMark/>
          </w:tcPr>
          <w:p w14:paraId="1B04D145" w14:textId="77777777" w:rsidR="00460384" w:rsidRPr="00D0306F" w:rsidRDefault="00460384" w:rsidP="00977D0F">
            <w:pPr>
              <w:ind w:firstLineChars="9" w:firstLine="22"/>
              <w:jc w:val="both"/>
              <w:rPr>
                <w:rFonts w:eastAsia="Times New Roman" w:cs="Arial"/>
                <w:b/>
                <w:bCs/>
                <w:color w:val="1F1F1F"/>
                <w:kern w:val="0"/>
                <w:lang w:eastAsia="en-GB"/>
                <w14:ligatures w14:val="none"/>
              </w:rPr>
            </w:pPr>
            <w:r w:rsidRPr="00D0306F">
              <w:rPr>
                <w:rFonts w:eastAsia="Times New Roman" w:cs="Arial"/>
                <w:b/>
                <w:bCs/>
                <w:color w:val="1F1F1F"/>
                <w:kern w:val="0"/>
                <w:lang w:eastAsia="en-GB"/>
                <w14:ligatures w14:val="none"/>
              </w:rPr>
              <w:t>W01001739</w:t>
            </w:r>
          </w:p>
        </w:tc>
        <w:tc>
          <w:tcPr>
            <w:tcW w:w="2352" w:type="dxa"/>
            <w:tcBorders>
              <w:top w:val="nil"/>
              <w:left w:val="nil"/>
              <w:bottom w:val="single" w:sz="4" w:space="0" w:color="auto"/>
              <w:right w:val="single" w:sz="4" w:space="0" w:color="auto"/>
            </w:tcBorders>
            <w:shd w:val="clear" w:color="auto" w:fill="FFFFFF"/>
            <w:hideMark/>
          </w:tcPr>
          <w:p w14:paraId="22DCFB37" w14:textId="77777777" w:rsidR="00460384" w:rsidRPr="00D0306F" w:rsidRDefault="00460384" w:rsidP="00977D0F">
            <w:pPr>
              <w:ind w:leftChars="-6" w:hangingChars="6" w:hanging="14"/>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Cardiff</w:t>
            </w:r>
          </w:p>
        </w:tc>
        <w:tc>
          <w:tcPr>
            <w:tcW w:w="3807" w:type="dxa"/>
            <w:tcBorders>
              <w:top w:val="nil"/>
              <w:left w:val="nil"/>
              <w:bottom w:val="single" w:sz="4" w:space="0" w:color="auto"/>
              <w:right w:val="single" w:sz="4" w:space="0" w:color="auto"/>
            </w:tcBorders>
            <w:shd w:val="clear" w:color="auto" w:fill="FFFFFF"/>
            <w:hideMark/>
          </w:tcPr>
          <w:p w14:paraId="129E3AD6" w14:textId="77777777" w:rsidR="00460384" w:rsidRPr="00D0306F" w:rsidRDefault="00460384" w:rsidP="00977D0F">
            <w:pP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Ely 3</w:t>
            </w:r>
          </w:p>
        </w:tc>
        <w:tc>
          <w:tcPr>
            <w:tcW w:w="1669" w:type="dxa"/>
            <w:tcBorders>
              <w:top w:val="nil"/>
              <w:left w:val="nil"/>
              <w:bottom w:val="single" w:sz="4" w:space="0" w:color="auto"/>
              <w:right w:val="single" w:sz="4" w:space="0" w:color="auto"/>
            </w:tcBorders>
            <w:shd w:val="clear" w:color="auto" w:fill="FFFFFF"/>
            <w:hideMark/>
          </w:tcPr>
          <w:p w14:paraId="5B43CCA7" w14:textId="77777777" w:rsidR="00460384" w:rsidRPr="00D0306F" w:rsidRDefault="00460384" w:rsidP="00977D0F">
            <w:pPr>
              <w:ind w:firstLineChars="100" w:firstLine="240"/>
              <w:jc w:val="cente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24</w:t>
            </w:r>
          </w:p>
        </w:tc>
      </w:tr>
      <w:tr w:rsidR="00460384" w:rsidRPr="00D0306F" w14:paraId="5D6D2F3B" w14:textId="77777777" w:rsidTr="00460384">
        <w:trPr>
          <w:trHeight w:val="315"/>
        </w:trPr>
        <w:tc>
          <w:tcPr>
            <w:tcW w:w="1752" w:type="dxa"/>
            <w:tcBorders>
              <w:top w:val="nil"/>
              <w:left w:val="single" w:sz="4" w:space="0" w:color="auto"/>
              <w:bottom w:val="single" w:sz="4" w:space="0" w:color="auto"/>
              <w:right w:val="single" w:sz="4" w:space="0" w:color="auto"/>
            </w:tcBorders>
            <w:shd w:val="clear" w:color="auto" w:fill="FFFFFF"/>
            <w:hideMark/>
          </w:tcPr>
          <w:p w14:paraId="01FC8D43" w14:textId="77777777" w:rsidR="00460384" w:rsidRPr="00D0306F" w:rsidRDefault="00460384" w:rsidP="00977D0F">
            <w:pPr>
              <w:ind w:firstLineChars="9" w:firstLine="22"/>
              <w:jc w:val="both"/>
              <w:rPr>
                <w:rFonts w:eastAsia="Times New Roman" w:cs="Arial"/>
                <w:b/>
                <w:bCs/>
                <w:color w:val="1F1F1F"/>
                <w:kern w:val="0"/>
                <w:lang w:eastAsia="en-GB"/>
                <w14:ligatures w14:val="none"/>
              </w:rPr>
            </w:pPr>
            <w:r w:rsidRPr="00D0306F">
              <w:rPr>
                <w:rFonts w:eastAsia="Times New Roman" w:cs="Arial"/>
                <w:b/>
                <w:bCs/>
                <w:color w:val="1F1F1F"/>
                <w:kern w:val="0"/>
                <w:lang w:eastAsia="en-GB"/>
                <w14:ligatures w14:val="none"/>
              </w:rPr>
              <w:t>W01000862</w:t>
            </w:r>
          </w:p>
        </w:tc>
        <w:tc>
          <w:tcPr>
            <w:tcW w:w="2352" w:type="dxa"/>
            <w:tcBorders>
              <w:top w:val="nil"/>
              <w:left w:val="nil"/>
              <w:bottom w:val="single" w:sz="4" w:space="0" w:color="auto"/>
              <w:right w:val="single" w:sz="4" w:space="0" w:color="auto"/>
            </w:tcBorders>
            <w:shd w:val="clear" w:color="auto" w:fill="FFFFFF"/>
            <w:hideMark/>
          </w:tcPr>
          <w:p w14:paraId="50C4031A" w14:textId="77777777" w:rsidR="00460384" w:rsidRPr="00D0306F" w:rsidRDefault="00460384" w:rsidP="00977D0F">
            <w:pPr>
              <w:ind w:leftChars="-6" w:hangingChars="6" w:hanging="14"/>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Swansea</w:t>
            </w:r>
          </w:p>
        </w:tc>
        <w:tc>
          <w:tcPr>
            <w:tcW w:w="3807" w:type="dxa"/>
            <w:tcBorders>
              <w:top w:val="nil"/>
              <w:left w:val="nil"/>
              <w:bottom w:val="single" w:sz="4" w:space="0" w:color="auto"/>
              <w:right w:val="single" w:sz="4" w:space="0" w:color="auto"/>
            </w:tcBorders>
            <w:shd w:val="clear" w:color="auto" w:fill="FFFFFF"/>
            <w:hideMark/>
          </w:tcPr>
          <w:p w14:paraId="0AB7EC65" w14:textId="77777777" w:rsidR="00460384" w:rsidRPr="00D0306F" w:rsidRDefault="00460384" w:rsidP="00977D0F">
            <w:pP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Townhill 1</w:t>
            </w:r>
          </w:p>
        </w:tc>
        <w:tc>
          <w:tcPr>
            <w:tcW w:w="1669" w:type="dxa"/>
            <w:tcBorders>
              <w:top w:val="nil"/>
              <w:left w:val="nil"/>
              <w:bottom w:val="single" w:sz="4" w:space="0" w:color="auto"/>
              <w:right w:val="single" w:sz="4" w:space="0" w:color="auto"/>
            </w:tcBorders>
            <w:shd w:val="clear" w:color="auto" w:fill="FFFFFF"/>
            <w:hideMark/>
          </w:tcPr>
          <w:p w14:paraId="4CF4910B" w14:textId="77777777" w:rsidR="00460384" w:rsidRPr="00D0306F" w:rsidRDefault="00460384" w:rsidP="00977D0F">
            <w:pPr>
              <w:ind w:firstLineChars="100" w:firstLine="240"/>
              <w:jc w:val="cente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26</w:t>
            </w:r>
          </w:p>
        </w:tc>
      </w:tr>
      <w:tr w:rsidR="00460384" w:rsidRPr="00D0306F" w14:paraId="6497FC20" w14:textId="77777777" w:rsidTr="00460384">
        <w:trPr>
          <w:trHeight w:val="315"/>
        </w:trPr>
        <w:tc>
          <w:tcPr>
            <w:tcW w:w="1752" w:type="dxa"/>
            <w:tcBorders>
              <w:top w:val="nil"/>
              <w:left w:val="single" w:sz="4" w:space="0" w:color="auto"/>
              <w:bottom w:val="single" w:sz="4" w:space="0" w:color="auto"/>
              <w:right w:val="single" w:sz="4" w:space="0" w:color="auto"/>
            </w:tcBorders>
            <w:shd w:val="clear" w:color="auto" w:fill="FFFFFF"/>
            <w:hideMark/>
          </w:tcPr>
          <w:p w14:paraId="40B9DB47" w14:textId="77777777" w:rsidR="00460384" w:rsidRPr="00D0306F" w:rsidRDefault="00460384" w:rsidP="00977D0F">
            <w:pPr>
              <w:ind w:firstLineChars="9" w:firstLine="22"/>
              <w:jc w:val="both"/>
              <w:rPr>
                <w:rFonts w:eastAsia="Times New Roman" w:cs="Arial"/>
                <w:b/>
                <w:bCs/>
                <w:color w:val="1F1F1F"/>
                <w:kern w:val="0"/>
                <w:lang w:eastAsia="en-GB"/>
                <w14:ligatures w14:val="none"/>
              </w:rPr>
            </w:pPr>
            <w:r w:rsidRPr="00D0306F">
              <w:rPr>
                <w:rFonts w:eastAsia="Times New Roman" w:cs="Arial"/>
                <w:b/>
                <w:bCs/>
                <w:color w:val="1F1F1F"/>
                <w:kern w:val="0"/>
                <w:lang w:eastAsia="en-GB"/>
                <w14:ligatures w14:val="none"/>
              </w:rPr>
              <w:t>W01001339</w:t>
            </w:r>
          </w:p>
        </w:tc>
        <w:tc>
          <w:tcPr>
            <w:tcW w:w="2352" w:type="dxa"/>
            <w:tcBorders>
              <w:top w:val="nil"/>
              <w:left w:val="nil"/>
              <w:bottom w:val="single" w:sz="4" w:space="0" w:color="auto"/>
              <w:right w:val="single" w:sz="4" w:space="0" w:color="auto"/>
            </w:tcBorders>
            <w:shd w:val="clear" w:color="auto" w:fill="FFFFFF"/>
            <w:hideMark/>
          </w:tcPr>
          <w:p w14:paraId="351DFB66" w14:textId="77777777" w:rsidR="00460384" w:rsidRPr="00D0306F" w:rsidRDefault="00460384" w:rsidP="00977D0F">
            <w:pPr>
              <w:ind w:leftChars="-6" w:hangingChars="6" w:hanging="14"/>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Caerphilly</w:t>
            </w:r>
          </w:p>
        </w:tc>
        <w:tc>
          <w:tcPr>
            <w:tcW w:w="3807" w:type="dxa"/>
            <w:tcBorders>
              <w:top w:val="nil"/>
              <w:left w:val="nil"/>
              <w:bottom w:val="single" w:sz="4" w:space="0" w:color="auto"/>
              <w:right w:val="single" w:sz="4" w:space="0" w:color="auto"/>
            </w:tcBorders>
            <w:shd w:val="clear" w:color="auto" w:fill="FFFFFF"/>
            <w:hideMark/>
          </w:tcPr>
          <w:p w14:paraId="5A425244" w14:textId="77777777" w:rsidR="00460384" w:rsidRPr="00D0306F" w:rsidRDefault="00460384" w:rsidP="00977D0F">
            <w:pP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Bargoed 4</w:t>
            </w:r>
          </w:p>
        </w:tc>
        <w:tc>
          <w:tcPr>
            <w:tcW w:w="1669" w:type="dxa"/>
            <w:tcBorders>
              <w:top w:val="nil"/>
              <w:left w:val="nil"/>
              <w:bottom w:val="single" w:sz="4" w:space="0" w:color="auto"/>
              <w:right w:val="single" w:sz="4" w:space="0" w:color="auto"/>
            </w:tcBorders>
            <w:shd w:val="clear" w:color="auto" w:fill="FFFFFF"/>
            <w:hideMark/>
          </w:tcPr>
          <w:p w14:paraId="3D5AEF38" w14:textId="77777777" w:rsidR="00460384" w:rsidRPr="00D0306F" w:rsidRDefault="00460384" w:rsidP="00977D0F">
            <w:pPr>
              <w:ind w:firstLineChars="100" w:firstLine="240"/>
              <w:jc w:val="cente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27</w:t>
            </w:r>
          </w:p>
        </w:tc>
      </w:tr>
      <w:tr w:rsidR="00460384" w:rsidRPr="00D0306F" w14:paraId="4F74F0CE" w14:textId="77777777" w:rsidTr="00460384">
        <w:trPr>
          <w:trHeight w:val="315"/>
        </w:trPr>
        <w:tc>
          <w:tcPr>
            <w:tcW w:w="1752" w:type="dxa"/>
            <w:tcBorders>
              <w:top w:val="nil"/>
              <w:left w:val="single" w:sz="4" w:space="0" w:color="auto"/>
              <w:bottom w:val="single" w:sz="4" w:space="0" w:color="auto"/>
              <w:right w:val="single" w:sz="4" w:space="0" w:color="auto"/>
            </w:tcBorders>
            <w:shd w:val="clear" w:color="auto" w:fill="FFFFFF"/>
            <w:hideMark/>
          </w:tcPr>
          <w:p w14:paraId="35B04E16" w14:textId="77777777" w:rsidR="00460384" w:rsidRPr="00D0306F" w:rsidRDefault="00460384" w:rsidP="00977D0F">
            <w:pPr>
              <w:ind w:firstLineChars="9" w:firstLine="22"/>
              <w:jc w:val="both"/>
              <w:rPr>
                <w:rFonts w:eastAsia="Times New Roman" w:cs="Arial"/>
                <w:b/>
                <w:bCs/>
                <w:color w:val="1F1F1F"/>
                <w:kern w:val="0"/>
                <w:lang w:eastAsia="en-GB"/>
                <w14:ligatures w14:val="none"/>
              </w:rPr>
            </w:pPr>
            <w:r w:rsidRPr="00D0306F">
              <w:rPr>
                <w:rFonts w:eastAsia="Times New Roman" w:cs="Arial"/>
                <w:b/>
                <w:bCs/>
                <w:color w:val="1F1F1F"/>
                <w:kern w:val="0"/>
                <w:lang w:eastAsia="en-GB"/>
                <w14:ligatures w14:val="none"/>
              </w:rPr>
              <w:t>W01000742</w:t>
            </w:r>
          </w:p>
        </w:tc>
        <w:tc>
          <w:tcPr>
            <w:tcW w:w="2352" w:type="dxa"/>
            <w:tcBorders>
              <w:top w:val="nil"/>
              <w:left w:val="nil"/>
              <w:bottom w:val="single" w:sz="4" w:space="0" w:color="auto"/>
              <w:right w:val="single" w:sz="4" w:space="0" w:color="auto"/>
            </w:tcBorders>
            <w:shd w:val="clear" w:color="auto" w:fill="FFFFFF"/>
            <w:hideMark/>
          </w:tcPr>
          <w:p w14:paraId="47B08280" w14:textId="77777777" w:rsidR="00460384" w:rsidRPr="00D0306F" w:rsidRDefault="00460384" w:rsidP="00977D0F">
            <w:pPr>
              <w:ind w:leftChars="-6" w:hangingChars="6" w:hanging="14"/>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Swansea</w:t>
            </w:r>
          </w:p>
        </w:tc>
        <w:tc>
          <w:tcPr>
            <w:tcW w:w="3807" w:type="dxa"/>
            <w:tcBorders>
              <w:top w:val="nil"/>
              <w:left w:val="nil"/>
              <w:bottom w:val="single" w:sz="4" w:space="0" w:color="auto"/>
              <w:right w:val="single" w:sz="4" w:space="0" w:color="auto"/>
            </w:tcBorders>
            <w:shd w:val="clear" w:color="auto" w:fill="FFFFFF"/>
            <w:hideMark/>
          </w:tcPr>
          <w:p w14:paraId="598B408A" w14:textId="77777777" w:rsidR="00460384" w:rsidRPr="00D0306F" w:rsidRDefault="00460384" w:rsidP="00977D0F">
            <w:pP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Castle 1</w:t>
            </w:r>
          </w:p>
        </w:tc>
        <w:tc>
          <w:tcPr>
            <w:tcW w:w="1669" w:type="dxa"/>
            <w:tcBorders>
              <w:top w:val="nil"/>
              <w:left w:val="nil"/>
              <w:bottom w:val="single" w:sz="4" w:space="0" w:color="auto"/>
              <w:right w:val="single" w:sz="4" w:space="0" w:color="auto"/>
            </w:tcBorders>
            <w:shd w:val="clear" w:color="auto" w:fill="FFFFFF"/>
            <w:hideMark/>
          </w:tcPr>
          <w:p w14:paraId="4E37D861" w14:textId="77777777" w:rsidR="00460384" w:rsidRPr="00D0306F" w:rsidRDefault="00460384" w:rsidP="00977D0F">
            <w:pPr>
              <w:ind w:firstLineChars="100" w:firstLine="240"/>
              <w:jc w:val="cente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30</w:t>
            </w:r>
          </w:p>
        </w:tc>
      </w:tr>
      <w:tr w:rsidR="00460384" w:rsidRPr="00D0306F" w14:paraId="3CDD4177" w14:textId="77777777" w:rsidTr="00460384">
        <w:trPr>
          <w:trHeight w:val="315"/>
        </w:trPr>
        <w:tc>
          <w:tcPr>
            <w:tcW w:w="1752" w:type="dxa"/>
            <w:tcBorders>
              <w:top w:val="nil"/>
              <w:left w:val="single" w:sz="4" w:space="0" w:color="auto"/>
              <w:bottom w:val="single" w:sz="4" w:space="0" w:color="auto"/>
              <w:right w:val="single" w:sz="4" w:space="0" w:color="auto"/>
            </w:tcBorders>
            <w:shd w:val="clear" w:color="auto" w:fill="FFFFFF"/>
            <w:hideMark/>
          </w:tcPr>
          <w:p w14:paraId="5446FA6F" w14:textId="77777777" w:rsidR="00460384" w:rsidRPr="00D0306F" w:rsidRDefault="00460384" w:rsidP="00977D0F">
            <w:pPr>
              <w:ind w:firstLineChars="9" w:firstLine="22"/>
              <w:jc w:val="both"/>
              <w:rPr>
                <w:rFonts w:eastAsia="Times New Roman" w:cs="Arial"/>
                <w:b/>
                <w:bCs/>
                <w:color w:val="1F1F1F"/>
                <w:kern w:val="0"/>
                <w:lang w:eastAsia="en-GB"/>
                <w14:ligatures w14:val="none"/>
              </w:rPr>
            </w:pPr>
            <w:r w:rsidRPr="00D0306F">
              <w:rPr>
                <w:rFonts w:eastAsia="Times New Roman" w:cs="Arial"/>
                <w:b/>
                <w:bCs/>
                <w:color w:val="1F1F1F"/>
                <w:kern w:val="0"/>
                <w:lang w:eastAsia="en-GB"/>
                <w14:ligatures w14:val="none"/>
              </w:rPr>
              <w:t>W01001345</w:t>
            </w:r>
          </w:p>
        </w:tc>
        <w:tc>
          <w:tcPr>
            <w:tcW w:w="2352" w:type="dxa"/>
            <w:tcBorders>
              <w:top w:val="nil"/>
              <w:left w:val="nil"/>
              <w:bottom w:val="single" w:sz="4" w:space="0" w:color="auto"/>
              <w:right w:val="single" w:sz="4" w:space="0" w:color="auto"/>
            </w:tcBorders>
            <w:shd w:val="clear" w:color="auto" w:fill="FFFFFF"/>
            <w:hideMark/>
          </w:tcPr>
          <w:p w14:paraId="420247DF" w14:textId="77777777" w:rsidR="00460384" w:rsidRPr="00D0306F" w:rsidRDefault="00460384" w:rsidP="00977D0F">
            <w:pPr>
              <w:ind w:leftChars="-6" w:hangingChars="6" w:hanging="14"/>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Caerphilly</w:t>
            </w:r>
          </w:p>
        </w:tc>
        <w:tc>
          <w:tcPr>
            <w:tcW w:w="3807" w:type="dxa"/>
            <w:tcBorders>
              <w:top w:val="nil"/>
              <w:left w:val="nil"/>
              <w:bottom w:val="single" w:sz="4" w:space="0" w:color="auto"/>
              <w:right w:val="single" w:sz="4" w:space="0" w:color="auto"/>
            </w:tcBorders>
            <w:shd w:val="clear" w:color="auto" w:fill="FFFFFF"/>
            <w:hideMark/>
          </w:tcPr>
          <w:p w14:paraId="6C8BFDCA" w14:textId="77777777" w:rsidR="00460384" w:rsidRPr="00D0306F" w:rsidRDefault="00460384" w:rsidP="00977D0F">
            <w:pP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Bedwas Trethomas and Machen 6</w:t>
            </w:r>
          </w:p>
        </w:tc>
        <w:tc>
          <w:tcPr>
            <w:tcW w:w="1669" w:type="dxa"/>
            <w:tcBorders>
              <w:top w:val="nil"/>
              <w:left w:val="nil"/>
              <w:bottom w:val="single" w:sz="4" w:space="0" w:color="auto"/>
              <w:right w:val="single" w:sz="4" w:space="0" w:color="auto"/>
            </w:tcBorders>
            <w:shd w:val="clear" w:color="auto" w:fill="FFFFFF"/>
            <w:hideMark/>
          </w:tcPr>
          <w:p w14:paraId="51942F09" w14:textId="77777777" w:rsidR="00460384" w:rsidRPr="00D0306F" w:rsidRDefault="00460384" w:rsidP="00977D0F">
            <w:pPr>
              <w:ind w:firstLineChars="100" w:firstLine="240"/>
              <w:jc w:val="cente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31</w:t>
            </w:r>
          </w:p>
        </w:tc>
      </w:tr>
      <w:tr w:rsidR="00460384" w:rsidRPr="00D0306F" w14:paraId="6FF638B9" w14:textId="77777777" w:rsidTr="00460384">
        <w:trPr>
          <w:trHeight w:val="315"/>
        </w:trPr>
        <w:tc>
          <w:tcPr>
            <w:tcW w:w="1752" w:type="dxa"/>
            <w:tcBorders>
              <w:top w:val="nil"/>
              <w:left w:val="single" w:sz="4" w:space="0" w:color="auto"/>
              <w:bottom w:val="single" w:sz="4" w:space="0" w:color="auto"/>
              <w:right w:val="single" w:sz="4" w:space="0" w:color="auto"/>
            </w:tcBorders>
            <w:shd w:val="clear" w:color="auto" w:fill="FFFFFF"/>
            <w:hideMark/>
          </w:tcPr>
          <w:p w14:paraId="0F2539DD" w14:textId="77777777" w:rsidR="00460384" w:rsidRPr="00D0306F" w:rsidRDefault="00460384" w:rsidP="00977D0F">
            <w:pPr>
              <w:ind w:firstLineChars="9" w:firstLine="22"/>
              <w:jc w:val="both"/>
              <w:rPr>
                <w:rFonts w:eastAsia="Times New Roman" w:cs="Arial"/>
                <w:b/>
                <w:bCs/>
                <w:color w:val="1F1F1F"/>
                <w:kern w:val="0"/>
                <w:lang w:eastAsia="en-GB"/>
                <w14:ligatures w14:val="none"/>
              </w:rPr>
            </w:pPr>
            <w:r w:rsidRPr="00D0306F">
              <w:rPr>
                <w:rFonts w:eastAsia="Times New Roman" w:cs="Arial"/>
                <w:b/>
                <w:bCs/>
                <w:color w:val="1F1F1F"/>
                <w:kern w:val="0"/>
                <w:lang w:eastAsia="en-GB"/>
                <w14:ligatures w14:val="none"/>
              </w:rPr>
              <w:t>W01000832</w:t>
            </w:r>
          </w:p>
        </w:tc>
        <w:tc>
          <w:tcPr>
            <w:tcW w:w="2352" w:type="dxa"/>
            <w:tcBorders>
              <w:top w:val="nil"/>
              <w:left w:val="nil"/>
              <w:bottom w:val="single" w:sz="4" w:space="0" w:color="auto"/>
              <w:right w:val="single" w:sz="4" w:space="0" w:color="auto"/>
            </w:tcBorders>
            <w:shd w:val="clear" w:color="auto" w:fill="FFFFFF"/>
            <w:hideMark/>
          </w:tcPr>
          <w:p w14:paraId="22299FA4" w14:textId="77777777" w:rsidR="00460384" w:rsidRPr="00D0306F" w:rsidRDefault="00460384" w:rsidP="00977D0F">
            <w:pPr>
              <w:ind w:leftChars="-6" w:hangingChars="6" w:hanging="14"/>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Swansea</w:t>
            </w:r>
          </w:p>
        </w:tc>
        <w:tc>
          <w:tcPr>
            <w:tcW w:w="3807" w:type="dxa"/>
            <w:tcBorders>
              <w:top w:val="nil"/>
              <w:left w:val="nil"/>
              <w:bottom w:val="single" w:sz="4" w:space="0" w:color="auto"/>
              <w:right w:val="single" w:sz="4" w:space="0" w:color="auto"/>
            </w:tcBorders>
            <w:shd w:val="clear" w:color="auto" w:fill="FFFFFF"/>
            <w:hideMark/>
          </w:tcPr>
          <w:p w14:paraId="31DE0D94" w14:textId="77777777" w:rsidR="00460384" w:rsidRPr="00D0306F" w:rsidRDefault="00460384" w:rsidP="00977D0F">
            <w:pP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Penderry 3</w:t>
            </w:r>
          </w:p>
        </w:tc>
        <w:tc>
          <w:tcPr>
            <w:tcW w:w="1669" w:type="dxa"/>
            <w:tcBorders>
              <w:top w:val="nil"/>
              <w:left w:val="nil"/>
              <w:bottom w:val="single" w:sz="4" w:space="0" w:color="auto"/>
              <w:right w:val="single" w:sz="4" w:space="0" w:color="auto"/>
            </w:tcBorders>
            <w:shd w:val="clear" w:color="auto" w:fill="FFFFFF"/>
            <w:hideMark/>
          </w:tcPr>
          <w:p w14:paraId="2EBBA6AE" w14:textId="77777777" w:rsidR="00460384" w:rsidRPr="00D0306F" w:rsidRDefault="00460384" w:rsidP="00977D0F">
            <w:pPr>
              <w:ind w:firstLineChars="100" w:firstLine="240"/>
              <w:jc w:val="cente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36</w:t>
            </w:r>
          </w:p>
        </w:tc>
      </w:tr>
      <w:tr w:rsidR="00460384" w:rsidRPr="00D0306F" w14:paraId="067421E3" w14:textId="77777777" w:rsidTr="00460384">
        <w:trPr>
          <w:trHeight w:val="315"/>
        </w:trPr>
        <w:tc>
          <w:tcPr>
            <w:tcW w:w="1752" w:type="dxa"/>
            <w:tcBorders>
              <w:top w:val="nil"/>
              <w:left w:val="single" w:sz="4" w:space="0" w:color="auto"/>
              <w:bottom w:val="single" w:sz="4" w:space="0" w:color="auto"/>
              <w:right w:val="single" w:sz="4" w:space="0" w:color="auto"/>
            </w:tcBorders>
            <w:shd w:val="clear" w:color="auto" w:fill="FFFFFF"/>
            <w:hideMark/>
          </w:tcPr>
          <w:p w14:paraId="53EB1767" w14:textId="77777777" w:rsidR="00460384" w:rsidRPr="00D0306F" w:rsidRDefault="00460384" w:rsidP="00977D0F">
            <w:pPr>
              <w:ind w:firstLineChars="9" w:firstLine="22"/>
              <w:jc w:val="both"/>
              <w:rPr>
                <w:rFonts w:eastAsia="Times New Roman" w:cs="Arial"/>
                <w:b/>
                <w:bCs/>
                <w:color w:val="1F1F1F"/>
                <w:kern w:val="0"/>
                <w:lang w:eastAsia="en-GB"/>
                <w14:ligatures w14:val="none"/>
              </w:rPr>
            </w:pPr>
            <w:r w:rsidRPr="00D0306F">
              <w:rPr>
                <w:rFonts w:eastAsia="Times New Roman" w:cs="Arial"/>
                <w:b/>
                <w:bCs/>
                <w:color w:val="1F1F1F"/>
                <w:kern w:val="0"/>
                <w:lang w:eastAsia="en-GB"/>
                <w14:ligatures w14:val="none"/>
              </w:rPr>
              <w:t>W01001479</w:t>
            </w:r>
          </w:p>
        </w:tc>
        <w:tc>
          <w:tcPr>
            <w:tcW w:w="2352" w:type="dxa"/>
            <w:tcBorders>
              <w:top w:val="nil"/>
              <w:left w:val="nil"/>
              <w:bottom w:val="single" w:sz="4" w:space="0" w:color="auto"/>
              <w:right w:val="single" w:sz="4" w:space="0" w:color="auto"/>
            </w:tcBorders>
            <w:shd w:val="clear" w:color="auto" w:fill="FFFFFF"/>
            <w:hideMark/>
          </w:tcPr>
          <w:p w14:paraId="7CEDB08B" w14:textId="77777777" w:rsidR="00460384" w:rsidRPr="00D0306F" w:rsidRDefault="00460384" w:rsidP="00977D0F">
            <w:pPr>
              <w:ind w:leftChars="-6" w:hangingChars="6" w:hanging="14"/>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Blaenau Gwent</w:t>
            </w:r>
          </w:p>
        </w:tc>
        <w:tc>
          <w:tcPr>
            <w:tcW w:w="3807" w:type="dxa"/>
            <w:tcBorders>
              <w:top w:val="nil"/>
              <w:left w:val="nil"/>
              <w:bottom w:val="single" w:sz="4" w:space="0" w:color="auto"/>
              <w:right w:val="single" w:sz="4" w:space="0" w:color="auto"/>
            </w:tcBorders>
            <w:shd w:val="clear" w:color="auto" w:fill="FFFFFF"/>
            <w:hideMark/>
          </w:tcPr>
          <w:p w14:paraId="459AB470" w14:textId="77777777" w:rsidR="00460384" w:rsidRPr="00D0306F" w:rsidRDefault="00460384" w:rsidP="00977D0F">
            <w:pP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Tredegar Central and West 2</w:t>
            </w:r>
          </w:p>
        </w:tc>
        <w:tc>
          <w:tcPr>
            <w:tcW w:w="1669" w:type="dxa"/>
            <w:tcBorders>
              <w:top w:val="nil"/>
              <w:left w:val="nil"/>
              <w:bottom w:val="single" w:sz="4" w:space="0" w:color="auto"/>
              <w:right w:val="single" w:sz="4" w:space="0" w:color="auto"/>
            </w:tcBorders>
            <w:shd w:val="clear" w:color="auto" w:fill="FFFFFF"/>
            <w:hideMark/>
          </w:tcPr>
          <w:p w14:paraId="5B0914E9" w14:textId="77777777" w:rsidR="00460384" w:rsidRPr="00D0306F" w:rsidRDefault="00460384" w:rsidP="00977D0F">
            <w:pPr>
              <w:ind w:firstLineChars="100" w:firstLine="240"/>
              <w:jc w:val="center"/>
              <w:rPr>
                <w:rFonts w:eastAsia="Times New Roman" w:cs="Arial"/>
                <w:color w:val="1F1F1F"/>
                <w:kern w:val="0"/>
                <w:lang w:eastAsia="en-GB"/>
                <w14:ligatures w14:val="none"/>
              </w:rPr>
            </w:pPr>
            <w:r w:rsidRPr="00D0306F">
              <w:rPr>
                <w:rFonts w:eastAsia="Times New Roman" w:cs="Arial"/>
                <w:color w:val="1F1F1F"/>
                <w:kern w:val="0"/>
                <w:lang w:eastAsia="en-GB"/>
                <w14:ligatures w14:val="none"/>
              </w:rPr>
              <w:t>44</w:t>
            </w:r>
          </w:p>
        </w:tc>
      </w:tr>
    </w:tbl>
    <w:p w14:paraId="3044C2E1" w14:textId="77777777" w:rsidR="00460384" w:rsidRPr="00D0306F" w:rsidRDefault="00460384" w:rsidP="00977D0F">
      <w:pPr>
        <w:rPr>
          <w:rFonts w:eastAsia="Aptos" w:cs="Arial"/>
        </w:rPr>
      </w:pPr>
    </w:p>
    <w:p w14:paraId="58F4FB2B" w14:textId="77777777" w:rsidR="00460384" w:rsidRPr="00D0306F" w:rsidRDefault="00460384" w:rsidP="00977D0F">
      <w:pPr>
        <w:rPr>
          <w:rFonts w:eastAsia="Aptos" w:cs="Arial"/>
        </w:rPr>
      </w:pPr>
      <w:r w:rsidRPr="00D0306F">
        <w:rPr>
          <w:rFonts w:eastAsia="Aptos" w:cs="Arial"/>
        </w:rPr>
        <w:t>The eight lower layer super output areas located in Swansea account for almost a third (32%) of those consistently ranking within the top fifty most deprived, almost twice as many as the local authority with the next highest number (Caerphilly, with four small areas). There is one lower layer super output areas located in Neath Port Talbot (Cymmer (Neath Port Talbot) 2) which is included in the areas of deep rooted deprivation (ranked 15 out of 50).</w:t>
      </w:r>
    </w:p>
    <w:p w14:paraId="49547AC2" w14:textId="77777777" w:rsidR="00460384" w:rsidRPr="00D0306F" w:rsidRDefault="00460384" w:rsidP="00977D0F">
      <w:pPr>
        <w:rPr>
          <w:rFonts w:eastAsia="Aptos" w:cs="Arial"/>
          <w:b/>
          <w:bCs/>
        </w:rPr>
      </w:pPr>
    </w:p>
    <w:p w14:paraId="48F65206" w14:textId="77777777" w:rsidR="00460384" w:rsidRPr="00D0306F" w:rsidRDefault="00460384" w:rsidP="00977D0F">
      <w:pPr>
        <w:rPr>
          <w:rFonts w:eastAsia="Aptos" w:cs="Arial"/>
        </w:rPr>
      </w:pPr>
      <w:r w:rsidRPr="00D0306F">
        <w:rPr>
          <w:rFonts w:eastAsia="Aptos" w:cs="Arial"/>
        </w:rPr>
        <w:t>Swansea Bay University Health Board area contains 240 lower layer super output areas 12.5% of the 1,917 total lower layer super output areas in Wales. Of the 240, 35 (18.3%) are in the 10% most deprived in Wales across all eight domains.</w:t>
      </w:r>
    </w:p>
    <w:p w14:paraId="2CB57916" w14:textId="77777777" w:rsidR="00460384" w:rsidRPr="00D0306F" w:rsidRDefault="00460384" w:rsidP="00977D0F">
      <w:pPr>
        <w:rPr>
          <w:rFonts w:eastAsia="Aptos" w:cs="Arial"/>
        </w:rPr>
      </w:pPr>
    </w:p>
    <w:p w14:paraId="48F310B7" w14:textId="77777777" w:rsidR="00460384" w:rsidRPr="00D0306F" w:rsidRDefault="00460384" w:rsidP="00977D0F">
      <w:pPr>
        <w:rPr>
          <w:rFonts w:eastAsia="Aptos" w:cs="Arial"/>
        </w:rPr>
      </w:pPr>
      <w:r w:rsidRPr="00D0306F">
        <w:rPr>
          <w:rFonts w:eastAsia="Aptos" w:cs="Arial"/>
        </w:rPr>
        <w:t xml:space="preserve">Swansea Bay University Health Board has a relatively even distribution between the 240 lower layer super output areas it contains. However, when scaled down to local </w:t>
      </w:r>
      <w:r w:rsidRPr="00D0306F">
        <w:rPr>
          <w:rFonts w:eastAsia="Aptos" w:cs="Arial"/>
        </w:rPr>
        <w:lastRenderedPageBreak/>
        <w:t>authority it can be seen that Neath Port Talbot is generally less deprived than Swansea.</w:t>
      </w:r>
    </w:p>
    <w:p w14:paraId="2FD52083" w14:textId="77777777" w:rsidR="00460384" w:rsidRPr="00D0306F" w:rsidRDefault="00460384" w:rsidP="00977D0F">
      <w:pPr>
        <w:rPr>
          <w:rFonts w:eastAsia="Aptos" w:cs="Arial"/>
        </w:rPr>
      </w:pPr>
    </w:p>
    <w:p w14:paraId="1E4D07E0" w14:textId="77777777" w:rsidR="00460384" w:rsidRPr="00D0306F" w:rsidRDefault="00460384" w:rsidP="00977D0F">
      <w:pPr>
        <w:rPr>
          <w:rFonts w:eastAsia="Aptos" w:cs="Arial"/>
        </w:rPr>
      </w:pPr>
      <w:r w:rsidRPr="00D0306F">
        <w:rPr>
          <w:rFonts w:eastAsia="Aptos" w:cs="Arial"/>
        </w:rPr>
        <w:t>In Swansea, 20 (13.3%) of the 150 lower layer super output areas in the county are in the most deprived 10% in Wales.</w:t>
      </w:r>
    </w:p>
    <w:p w14:paraId="0C33DE64" w14:textId="77777777" w:rsidR="00460384" w:rsidRPr="00D0306F" w:rsidRDefault="00460384" w:rsidP="00977D0F">
      <w:pPr>
        <w:rPr>
          <w:rFonts w:eastAsia="Aptos" w:cs="Arial"/>
          <w:b/>
          <w:bCs/>
        </w:rPr>
      </w:pPr>
    </w:p>
    <w:p w14:paraId="3CE756C7" w14:textId="77777777" w:rsidR="00460384" w:rsidRPr="00D0306F" w:rsidRDefault="00460384" w:rsidP="00977D0F">
      <w:pPr>
        <w:rPr>
          <w:rFonts w:eastAsia="Aptos" w:cs="Arial"/>
          <w:b/>
          <w:bCs/>
        </w:rPr>
      </w:pPr>
      <w:r w:rsidRPr="00D0306F">
        <w:rPr>
          <w:rFonts w:eastAsia="Aptos" w:cs="Arial"/>
          <w:b/>
          <w:bCs/>
        </w:rPr>
        <w:t>Table 2.2: Lower layer super output areas in Swansea ranked by deprivation (2025)</w:t>
      </w:r>
    </w:p>
    <w:p w14:paraId="11F8EFD4" w14:textId="77777777" w:rsidR="00460384" w:rsidRPr="00D0306F" w:rsidRDefault="00460384" w:rsidP="00977D0F">
      <w:pPr>
        <w:rPr>
          <w:rFonts w:eastAsia="Aptos" w:cs="Arial"/>
          <w:b/>
          <w:bCs/>
        </w:rPr>
      </w:pPr>
    </w:p>
    <w:tbl>
      <w:tblPr>
        <w:tblW w:w="9209" w:type="dxa"/>
        <w:jc w:val="center"/>
        <w:tblLook w:val="04A0" w:firstRow="1" w:lastRow="0" w:firstColumn="1" w:lastColumn="0" w:noHBand="0" w:noVBand="1"/>
      </w:tblPr>
      <w:tblGrid>
        <w:gridCol w:w="3397"/>
        <w:gridCol w:w="2598"/>
        <w:gridCol w:w="3214"/>
      </w:tblGrid>
      <w:tr w:rsidR="00460384" w:rsidRPr="00D0306F" w14:paraId="6FBF127F" w14:textId="77777777" w:rsidTr="00460384">
        <w:trPr>
          <w:trHeight w:val="315"/>
          <w:jc w:val="center"/>
        </w:trPr>
        <w:tc>
          <w:tcPr>
            <w:tcW w:w="3397" w:type="dxa"/>
            <w:tcBorders>
              <w:top w:val="single" w:sz="4" w:space="0" w:color="auto"/>
              <w:left w:val="single" w:sz="4" w:space="0" w:color="auto"/>
              <w:bottom w:val="single" w:sz="4" w:space="0" w:color="auto"/>
              <w:right w:val="single" w:sz="4" w:space="0" w:color="auto"/>
            </w:tcBorders>
            <w:shd w:val="clear" w:color="auto" w:fill="074F6A"/>
            <w:noWrap/>
            <w:hideMark/>
          </w:tcPr>
          <w:p w14:paraId="16156233" w14:textId="77777777" w:rsidR="00460384" w:rsidRPr="00D0306F" w:rsidRDefault="00460384" w:rsidP="00977D0F">
            <w:pPr>
              <w:rPr>
                <w:rFonts w:eastAsia="Times New Roman" w:cs="Arial"/>
                <w:b/>
                <w:bCs/>
                <w:color w:val="FFFFFF"/>
                <w:kern w:val="0"/>
                <w:lang w:eastAsia="en-GB"/>
                <w14:ligatures w14:val="none"/>
              </w:rPr>
            </w:pPr>
            <w:r w:rsidRPr="00D0306F">
              <w:rPr>
                <w:rFonts w:eastAsia="Aptos" w:cs="Arial"/>
                <w:b/>
                <w:bCs/>
                <w:color w:val="FFFFFF"/>
              </w:rPr>
              <w:t>Lower layer super output areas name</w:t>
            </w:r>
          </w:p>
        </w:tc>
        <w:tc>
          <w:tcPr>
            <w:tcW w:w="2598" w:type="dxa"/>
            <w:tcBorders>
              <w:top w:val="single" w:sz="4" w:space="0" w:color="auto"/>
              <w:left w:val="nil"/>
              <w:bottom w:val="single" w:sz="4" w:space="0" w:color="auto"/>
              <w:right w:val="single" w:sz="4" w:space="0" w:color="auto"/>
            </w:tcBorders>
            <w:shd w:val="clear" w:color="auto" w:fill="074F6A"/>
            <w:noWrap/>
            <w:hideMark/>
          </w:tcPr>
          <w:p w14:paraId="4D64EB42" w14:textId="77777777" w:rsidR="00460384" w:rsidRPr="00D0306F" w:rsidRDefault="00460384" w:rsidP="00977D0F">
            <w:pPr>
              <w:rPr>
                <w:rFonts w:eastAsia="Times New Roman" w:cs="Arial"/>
                <w:b/>
                <w:bCs/>
                <w:color w:val="FFFFFF"/>
                <w:kern w:val="0"/>
                <w:lang w:eastAsia="en-GB"/>
                <w14:ligatures w14:val="none"/>
              </w:rPr>
            </w:pPr>
            <w:r w:rsidRPr="00D0306F">
              <w:rPr>
                <w:rFonts w:eastAsia="Times New Roman" w:cs="Arial"/>
                <w:b/>
                <w:bCs/>
                <w:color w:val="FFFFFF"/>
                <w:kern w:val="0"/>
                <w:lang w:eastAsia="en-GB"/>
                <w14:ligatures w14:val="none"/>
              </w:rPr>
              <w:t>Local authority rank</w:t>
            </w:r>
          </w:p>
        </w:tc>
        <w:tc>
          <w:tcPr>
            <w:tcW w:w="3214" w:type="dxa"/>
            <w:tcBorders>
              <w:top w:val="single" w:sz="4" w:space="0" w:color="auto"/>
              <w:left w:val="nil"/>
              <w:bottom w:val="single" w:sz="4" w:space="0" w:color="auto"/>
              <w:right w:val="single" w:sz="4" w:space="0" w:color="auto"/>
            </w:tcBorders>
            <w:shd w:val="clear" w:color="auto" w:fill="074F6A"/>
            <w:noWrap/>
            <w:hideMark/>
          </w:tcPr>
          <w:p w14:paraId="33A22DAD" w14:textId="77777777" w:rsidR="00460384" w:rsidRPr="00D0306F" w:rsidRDefault="00460384" w:rsidP="00977D0F">
            <w:pPr>
              <w:rPr>
                <w:rFonts w:eastAsia="Times New Roman" w:cs="Arial"/>
                <w:b/>
                <w:bCs/>
                <w:color w:val="FFFFFF"/>
                <w:kern w:val="0"/>
                <w:lang w:eastAsia="en-GB"/>
                <w14:ligatures w14:val="none"/>
              </w:rPr>
            </w:pPr>
            <w:r w:rsidRPr="00D0306F">
              <w:rPr>
                <w:rFonts w:eastAsia="Times New Roman" w:cs="Arial"/>
                <w:b/>
                <w:bCs/>
                <w:color w:val="FFFFFF"/>
                <w:kern w:val="0"/>
                <w:lang w:eastAsia="en-GB"/>
                <w14:ligatures w14:val="none"/>
              </w:rPr>
              <w:t>Welsh Index of Multiple Deprivation Rank</w:t>
            </w:r>
          </w:p>
        </w:tc>
      </w:tr>
      <w:tr w:rsidR="00460384" w:rsidRPr="00D0306F" w14:paraId="5D15C05F"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10358B60"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Penderry 1</w:t>
            </w:r>
          </w:p>
        </w:tc>
        <w:tc>
          <w:tcPr>
            <w:tcW w:w="2598" w:type="dxa"/>
            <w:tcBorders>
              <w:top w:val="nil"/>
              <w:left w:val="nil"/>
              <w:bottom w:val="single" w:sz="4" w:space="0" w:color="auto"/>
              <w:right w:val="single" w:sz="4" w:space="0" w:color="auto"/>
            </w:tcBorders>
            <w:noWrap/>
            <w:vAlign w:val="bottom"/>
            <w:hideMark/>
          </w:tcPr>
          <w:p w14:paraId="71309174"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1</w:t>
            </w:r>
          </w:p>
        </w:tc>
        <w:tc>
          <w:tcPr>
            <w:tcW w:w="3214" w:type="dxa"/>
            <w:tcBorders>
              <w:top w:val="nil"/>
              <w:left w:val="nil"/>
              <w:bottom w:val="single" w:sz="4" w:space="0" w:color="auto"/>
              <w:right w:val="single" w:sz="4" w:space="0" w:color="auto"/>
            </w:tcBorders>
            <w:noWrap/>
            <w:vAlign w:val="bottom"/>
            <w:hideMark/>
          </w:tcPr>
          <w:p w14:paraId="6F48F617"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11</w:t>
            </w:r>
          </w:p>
        </w:tc>
      </w:tr>
      <w:tr w:rsidR="00460384" w:rsidRPr="00D0306F" w14:paraId="1303B4F2"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2681EBA2"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Penderry 4</w:t>
            </w:r>
          </w:p>
        </w:tc>
        <w:tc>
          <w:tcPr>
            <w:tcW w:w="2598" w:type="dxa"/>
            <w:tcBorders>
              <w:top w:val="nil"/>
              <w:left w:val="nil"/>
              <w:bottom w:val="single" w:sz="4" w:space="0" w:color="auto"/>
              <w:right w:val="single" w:sz="4" w:space="0" w:color="auto"/>
            </w:tcBorders>
            <w:noWrap/>
            <w:vAlign w:val="bottom"/>
            <w:hideMark/>
          </w:tcPr>
          <w:p w14:paraId="613967A3"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2</w:t>
            </w:r>
          </w:p>
        </w:tc>
        <w:tc>
          <w:tcPr>
            <w:tcW w:w="3214" w:type="dxa"/>
            <w:tcBorders>
              <w:top w:val="nil"/>
              <w:left w:val="nil"/>
              <w:bottom w:val="single" w:sz="4" w:space="0" w:color="auto"/>
              <w:right w:val="single" w:sz="4" w:space="0" w:color="auto"/>
            </w:tcBorders>
            <w:noWrap/>
            <w:vAlign w:val="bottom"/>
            <w:hideMark/>
          </w:tcPr>
          <w:p w14:paraId="7249C47C"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13</w:t>
            </w:r>
          </w:p>
        </w:tc>
      </w:tr>
      <w:tr w:rsidR="00460384" w:rsidRPr="00D0306F" w14:paraId="70205EF3"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104170F9"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Townhill 2</w:t>
            </w:r>
          </w:p>
        </w:tc>
        <w:tc>
          <w:tcPr>
            <w:tcW w:w="2598" w:type="dxa"/>
            <w:tcBorders>
              <w:top w:val="nil"/>
              <w:left w:val="nil"/>
              <w:bottom w:val="single" w:sz="4" w:space="0" w:color="auto"/>
              <w:right w:val="single" w:sz="4" w:space="0" w:color="auto"/>
            </w:tcBorders>
            <w:noWrap/>
            <w:vAlign w:val="bottom"/>
            <w:hideMark/>
          </w:tcPr>
          <w:p w14:paraId="3997B7C1"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3</w:t>
            </w:r>
          </w:p>
        </w:tc>
        <w:tc>
          <w:tcPr>
            <w:tcW w:w="3214" w:type="dxa"/>
            <w:tcBorders>
              <w:top w:val="nil"/>
              <w:left w:val="nil"/>
              <w:bottom w:val="single" w:sz="4" w:space="0" w:color="auto"/>
              <w:right w:val="single" w:sz="4" w:space="0" w:color="auto"/>
            </w:tcBorders>
            <w:noWrap/>
            <w:vAlign w:val="bottom"/>
            <w:hideMark/>
          </w:tcPr>
          <w:p w14:paraId="0C7142E7"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19</w:t>
            </w:r>
          </w:p>
        </w:tc>
      </w:tr>
      <w:tr w:rsidR="00460384" w:rsidRPr="00D0306F" w14:paraId="70697C5A"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24E7719C"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Townhill 3</w:t>
            </w:r>
          </w:p>
        </w:tc>
        <w:tc>
          <w:tcPr>
            <w:tcW w:w="2598" w:type="dxa"/>
            <w:tcBorders>
              <w:top w:val="nil"/>
              <w:left w:val="nil"/>
              <w:bottom w:val="single" w:sz="4" w:space="0" w:color="auto"/>
              <w:right w:val="single" w:sz="4" w:space="0" w:color="auto"/>
            </w:tcBorders>
            <w:noWrap/>
            <w:vAlign w:val="bottom"/>
            <w:hideMark/>
          </w:tcPr>
          <w:p w14:paraId="5DFE45B6"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4</w:t>
            </w:r>
          </w:p>
        </w:tc>
        <w:tc>
          <w:tcPr>
            <w:tcW w:w="3214" w:type="dxa"/>
            <w:tcBorders>
              <w:top w:val="nil"/>
              <w:left w:val="nil"/>
              <w:bottom w:val="single" w:sz="4" w:space="0" w:color="auto"/>
              <w:right w:val="single" w:sz="4" w:space="0" w:color="auto"/>
            </w:tcBorders>
            <w:noWrap/>
            <w:vAlign w:val="bottom"/>
            <w:hideMark/>
          </w:tcPr>
          <w:p w14:paraId="7EC5415D"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20</w:t>
            </w:r>
          </w:p>
        </w:tc>
      </w:tr>
      <w:tr w:rsidR="00460384" w:rsidRPr="00D0306F" w14:paraId="66722A6C"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19D4745F"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Townhill 1</w:t>
            </w:r>
          </w:p>
        </w:tc>
        <w:tc>
          <w:tcPr>
            <w:tcW w:w="2598" w:type="dxa"/>
            <w:tcBorders>
              <w:top w:val="nil"/>
              <w:left w:val="nil"/>
              <w:bottom w:val="single" w:sz="4" w:space="0" w:color="auto"/>
              <w:right w:val="single" w:sz="4" w:space="0" w:color="auto"/>
            </w:tcBorders>
            <w:noWrap/>
            <w:vAlign w:val="bottom"/>
            <w:hideMark/>
          </w:tcPr>
          <w:p w14:paraId="068114BE"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5</w:t>
            </w:r>
          </w:p>
        </w:tc>
        <w:tc>
          <w:tcPr>
            <w:tcW w:w="3214" w:type="dxa"/>
            <w:tcBorders>
              <w:top w:val="nil"/>
              <w:left w:val="nil"/>
              <w:bottom w:val="single" w:sz="4" w:space="0" w:color="auto"/>
              <w:right w:val="single" w:sz="4" w:space="0" w:color="auto"/>
            </w:tcBorders>
            <w:noWrap/>
            <w:vAlign w:val="bottom"/>
            <w:hideMark/>
          </w:tcPr>
          <w:p w14:paraId="2105614A"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26</w:t>
            </w:r>
          </w:p>
        </w:tc>
      </w:tr>
      <w:tr w:rsidR="00460384" w:rsidRPr="00D0306F" w14:paraId="7BEC0D7E"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44D26992"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Castle 1</w:t>
            </w:r>
          </w:p>
        </w:tc>
        <w:tc>
          <w:tcPr>
            <w:tcW w:w="2598" w:type="dxa"/>
            <w:tcBorders>
              <w:top w:val="nil"/>
              <w:left w:val="nil"/>
              <w:bottom w:val="single" w:sz="4" w:space="0" w:color="auto"/>
              <w:right w:val="single" w:sz="4" w:space="0" w:color="auto"/>
            </w:tcBorders>
            <w:noWrap/>
            <w:vAlign w:val="bottom"/>
            <w:hideMark/>
          </w:tcPr>
          <w:p w14:paraId="5728D4F0"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6</w:t>
            </w:r>
          </w:p>
        </w:tc>
        <w:tc>
          <w:tcPr>
            <w:tcW w:w="3214" w:type="dxa"/>
            <w:tcBorders>
              <w:top w:val="nil"/>
              <w:left w:val="nil"/>
              <w:bottom w:val="single" w:sz="4" w:space="0" w:color="auto"/>
              <w:right w:val="single" w:sz="4" w:space="0" w:color="auto"/>
            </w:tcBorders>
            <w:noWrap/>
            <w:vAlign w:val="bottom"/>
            <w:hideMark/>
          </w:tcPr>
          <w:p w14:paraId="547DDF4A"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30</w:t>
            </w:r>
          </w:p>
        </w:tc>
      </w:tr>
      <w:tr w:rsidR="00460384" w:rsidRPr="00D0306F" w14:paraId="2B53F29A"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29CEA564"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Penderry 3</w:t>
            </w:r>
          </w:p>
        </w:tc>
        <w:tc>
          <w:tcPr>
            <w:tcW w:w="2598" w:type="dxa"/>
            <w:tcBorders>
              <w:top w:val="nil"/>
              <w:left w:val="nil"/>
              <w:bottom w:val="single" w:sz="4" w:space="0" w:color="auto"/>
              <w:right w:val="single" w:sz="4" w:space="0" w:color="auto"/>
            </w:tcBorders>
            <w:noWrap/>
            <w:vAlign w:val="bottom"/>
            <w:hideMark/>
          </w:tcPr>
          <w:p w14:paraId="77ABC8AA"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7</w:t>
            </w:r>
          </w:p>
        </w:tc>
        <w:tc>
          <w:tcPr>
            <w:tcW w:w="3214" w:type="dxa"/>
            <w:tcBorders>
              <w:top w:val="nil"/>
              <w:left w:val="nil"/>
              <w:bottom w:val="single" w:sz="4" w:space="0" w:color="auto"/>
              <w:right w:val="single" w:sz="4" w:space="0" w:color="auto"/>
            </w:tcBorders>
            <w:noWrap/>
            <w:vAlign w:val="bottom"/>
            <w:hideMark/>
          </w:tcPr>
          <w:p w14:paraId="143E0BB6"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36</w:t>
            </w:r>
          </w:p>
        </w:tc>
      </w:tr>
      <w:tr w:rsidR="00460384" w:rsidRPr="00D0306F" w14:paraId="55A41D45"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4E8EBB3C"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Townhill 6</w:t>
            </w:r>
          </w:p>
        </w:tc>
        <w:tc>
          <w:tcPr>
            <w:tcW w:w="2598" w:type="dxa"/>
            <w:tcBorders>
              <w:top w:val="nil"/>
              <w:left w:val="nil"/>
              <w:bottom w:val="single" w:sz="4" w:space="0" w:color="auto"/>
              <w:right w:val="single" w:sz="4" w:space="0" w:color="auto"/>
            </w:tcBorders>
            <w:noWrap/>
            <w:vAlign w:val="bottom"/>
            <w:hideMark/>
          </w:tcPr>
          <w:p w14:paraId="54B1DCF7"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8</w:t>
            </w:r>
          </w:p>
        </w:tc>
        <w:tc>
          <w:tcPr>
            <w:tcW w:w="3214" w:type="dxa"/>
            <w:tcBorders>
              <w:top w:val="nil"/>
              <w:left w:val="nil"/>
              <w:bottom w:val="single" w:sz="4" w:space="0" w:color="auto"/>
              <w:right w:val="single" w:sz="4" w:space="0" w:color="auto"/>
            </w:tcBorders>
            <w:noWrap/>
            <w:vAlign w:val="bottom"/>
            <w:hideMark/>
          </w:tcPr>
          <w:p w14:paraId="4676C659"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43</w:t>
            </w:r>
          </w:p>
        </w:tc>
      </w:tr>
      <w:tr w:rsidR="00460384" w:rsidRPr="00D0306F" w14:paraId="3F6A8C31"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1403D136"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Townhill 5</w:t>
            </w:r>
          </w:p>
        </w:tc>
        <w:tc>
          <w:tcPr>
            <w:tcW w:w="2598" w:type="dxa"/>
            <w:tcBorders>
              <w:top w:val="nil"/>
              <w:left w:val="nil"/>
              <w:bottom w:val="single" w:sz="4" w:space="0" w:color="auto"/>
              <w:right w:val="single" w:sz="4" w:space="0" w:color="auto"/>
            </w:tcBorders>
            <w:noWrap/>
            <w:vAlign w:val="bottom"/>
            <w:hideMark/>
          </w:tcPr>
          <w:p w14:paraId="717DC2BB"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9</w:t>
            </w:r>
          </w:p>
        </w:tc>
        <w:tc>
          <w:tcPr>
            <w:tcW w:w="3214" w:type="dxa"/>
            <w:tcBorders>
              <w:top w:val="nil"/>
              <w:left w:val="nil"/>
              <w:bottom w:val="single" w:sz="4" w:space="0" w:color="auto"/>
              <w:right w:val="single" w:sz="4" w:space="0" w:color="auto"/>
            </w:tcBorders>
            <w:noWrap/>
            <w:vAlign w:val="bottom"/>
            <w:hideMark/>
          </w:tcPr>
          <w:p w14:paraId="00A47008"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51</w:t>
            </w:r>
          </w:p>
        </w:tc>
      </w:tr>
      <w:tr w:rsidR="00460384" w:rsidRPr="00D0306F" w14:paraId="58C32189"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759110DC"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Morriston 5</w:t>
            </w:r>
          </w:p>
        </w:tc>
        <w:tc>
          <w:tcPr>
            <w:tcW w:w="2598" w:type="dxa"/>
            <w:tcBorders>
              <w:top w:val="nil"/>
              <w:left w:val="nil"/>
              <w:bottom w:val="single" w:sz="4" w:space="0" w:color="auto"/>
              <w:right w:val="single" w:sz="4" w:space="0" w:color="auto"/>
            </w:tcBorders>
            <w:noWrap/>
            <w:vAlign w:val="bottom"/>
            <w:hideMark/>
          </w:tcPr>
          <w:p w14:paraId="5940C427"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10</w:t>
            </w:r>
          </w:p>
        </w:tc>
        <w:tc>
          <w:tcPr>
            <w:tcW w:w="3214" w:type="dxa"/>
            <w:tcBorders>
              <w:top w:val="nil"/>
              <w:left w:val="nil"/>
              <w:bottom w:val="single" w:sz="4" w:space="0" w:color="auto"/>
              <w:right w:val="single" w:sz="4" w:space="0" w:color="auto"/>
            </w:tcBorders>
            <w:noWrap/>
            <w:vAlign w:val="bottom"/>
            <w:hideMark/>
          </w:tcPr>
          <w:p w14:paraId="24B1EC4E"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62</w:t>
            </w:r>
          </w:p>
        </w:tc>
      </w:tr>
      <w:tr w:rsidR="00460384" w:rsidRPr="00D0306F" w14:paraId="13E15100"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50EA5D42"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Mynydd-bach 1</w:t>
            </w:r>
          </w:p>
        </w:tc>
        <w:tc>
          <w:tcPr>
            <w:tcW w:w="2598" w:type="dxa"/>
            <w:tcBorders>
              <w:top w:val="nil"/>
              <w:left w:val="nil"/>
              <w:bottom w:val="single" w:sz="4" w:space="0" w:color="auto"/>
              <w:right w:val="single" w:sz="4" w:space="0" w:color="auto"/>
            </w:tcBorders>
            <w:noWrap/>
            <w:vAlign w:val="bottom"/>
            <w:hideMark/>
          </w:tcPr>
          <w:p w14:paraId="4A089AAC"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11</w:t>
            </w:r>
          </w:p>
        </w:tc>
        <w:tc>
          <w:tcPr>
            <w:tcW w:w="3214" w:type="dxa"/>
            <w:tcBorders>
              <w:top w:val="nil"/>
              <w:left w:val="nil"/>
              <w:bottom w:val="single" w:sz="4" w:space="0" w:color="auto"/>
              <w:right w:val="single" w:sz="4" w:space="0" w:color="auto"/>
            </w:tcBorders>
            <w:noWrap/>
            <w:vAlign w:val="bottom"/>
            <w:hideMark/>
          </w:tcPr>
          <w:p w14:paraId="47228F53"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71</w:t>
            </w:r>
          </w:p>
        </w:tc>
      </w:tr>
      <w:tr w:rsidR="00460384" w:rsidRPr="00D0306F" w14:paraId="5341EB96"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45ED2B6A"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Castle 9</w:t>
            </w:r>
          </w:p>
        </w:tc>
        <w:tc>
          <w:tcPr>
            <w:tcW w:w="2598" w:type="dxa"/>
            <w:tcBorders>
              <w:top w:val="nil"/>
              <w:left w:val="nil"/>
              <w:bottom w:val="single" w:sz="4" w:space="0" w:color="auto"/>
              <w:right w:val="single" w:sz="4" w:space="0" w:color="auto"/>
            </w:tcBorders>
            <w:noWrap/>
            <w:vAlign w:val="bottom"/>
            <w:hideMark/>
          </w:tcPr>
          <w:p w14:paraId="36A7671D"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12</w:t>
            </w:r>
          </w:p>
        </w:tc>
        <w:tc>
          <w:tcPr>
            <w:tcW w:w="3214" w:type="dxa"/>
            <w:tcBorders>
              <w:top w:val="nil"/>
              <w:left w:val="nil"/>
              <w:bottom w:val="single" w:sz="4" w:space="0" w:color="auto"/>
              <w:right w:val="single" w:sz="4" w:space="0" w:color="auto"/>
            </w:tcBorders>
            <w:noWrap/>
            <w:vAlign w:val="bottom"/>
            <w:hideMark/>
          </w:tcPr>
          <w:p w14:paraId="4F2B82B3"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80</w:t>
            </w:r>
          </w:p>
        </w:tc>
      </w:tr>
      <w:tr w:rsidR="00460384" w:rsidRPr="00D0306F" w14:paraId="595A1C2F"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22F7BC2D"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Bon-y-maen 1</w:t>
            </w:r>
          </w:p>
        </w:tc>
        <w:tc>
          <w:tcPr>
            <w:tcW w:w="2598" w:type="dxa"/>
            <w:tcBorders>
              <w:top w:val="nil"/>
              <w:left w:val="nil"/>
              <w:bottom w:val="single" w:sz="4" w:space="0" w:color="auto"/>
              <w:right w:val="single" w:sz="4" w:space="0" w:color="auto"/>
            </w:tcBorders>
            <w:noWrap/>
            <w:vAlign w:val="bottom"/>
            <w:hideMark/>
          </w:tcPr>
          <w:p w14:paraId="14FAC64B"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13</w:t>
            </w:r>
          </w:p>
        </w:tc>
        <w:tc>
          <w:tcPr>
            <w:tcW w:w="3214" w:type="dxa"/>
            <w:tcBorders>
              <w:top w:val="nil"/>
              <w:left w:val="nil"/>
              <w:bottom w:val="single" w:sz="4" w:space="0" w:color="auto"/>
              <w:right w:val="single" w:sz="4" w:space="0" w:color="auto"/>
            </w:tcBorders>
            <w:noWrap/>
            <w:vAlign w:val="bottom"/>
            <w:hideMark/>
          </w:tcPr>
          <w:p w14:paraId="7395EAB5"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95</w:t>
            </w:r>
          </w:p>
        </w:tc>
      </w:tr>
      <w:tr w:rsidR="00460384" w:rsidRPr="00D0306F" w14:paraId="0FF13388"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70F82FC8"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Penderry 2</w:t>
            </w:r>
          </w:p>
        </w:tc>
        <w:tc>
          <w:tcPr>
            <w:tcW w:w="2598" w:type="dxa"/>
            <w:tcBorders>
              <w:top w:val="nil"/>
              <w:left w:val="nil"/>
              <w:bottom w:val="single" w:sz="4" w:space="0" w:color="auto"/>
              <w:right w:val="single" w:sz="4" w:space="0" w:color="auto"/>
            </w:tcBorders>
            <w:noWrap/>
            <w:vAlign w:val="bottom"/>
            <w:hideMark/>
          </w:tcPr>
          <w:p w14:paraId="7C4DFD65"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14</w:t>
            </w:r>
          </w:p>
        </w:tc>
        <w:tc>
          <w:tcPr>
            <w:tcW w:w="3214" w:type="dxa"/>
            <w:tcBorders>
              <w:top w:val="nil"/>
              <w:left w:val="nil"/>
              <w:bottom w:val="single" w:sz="4" w:space="0" w:color="auto"/>
              <w:right w:val="single" w:sz="4" w:space="0" w:color="auto"/>
            </w:tcBorders>
            <w:noWrap/>
            <w:vAlign w:val="bottom"/>
            <w:hideMark/>
          </w:tcPr>
          <w:p w14:paraId="56FF01B4"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102</w:t>
            </w:r>
          </w:p>
        </w:tc>
      </w:tr>
      <w:tr w:rsidR="00460384" w:rsidRPr="00D0306F" w14:paraId="7F29701A"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3352936B"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Penderry 5</w:t>
            </w:r>
          </w:p>
        </w:tc>
        <w:tc>
          <w:tcPr>
            <w:tcW w:w="2598" w:type="dxa"/>
            <w:tcBorders>
              <w:top w:val="nil"/>
              <w:left w:val="nil"/>
              <w:bottom w:val="single" w:sz="4" w:space="0" w:color="auto"/>
              <w:right w:val="single" w:sz="4" w:space="0" w:color="auto"/>
            </w:tcBorders>
            <w:noWrap/>
            <w:vAlign w:val="bottom"/>
            <w:hideMark/>
          </w:tcPr>
          <w:p w14:paraId="01EE2D64"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15</w:t>
            </w:r>
          </w:p>
        </w:tc>
        <w:tc>
          <w:tcPr>
            <w:tcW w:w="3214" w:type="dxa"/>
            <w:tcBorders>
              <w:top w:val="nil"/>
              <w:left w:val="nil"/>
              <w:bottom w:val="single" w:sz="4" w:space="0" w:color="auto"/>
              <w:right w:val="single" w:sz="4" w:space="0" w:color="auto"/>
            </w:tcBorders>
            <w:noWrap/>
            <w:vAlign w:val="bottom"/>
            <w:hideMark/>
          </w:tcPr>
          <w:p w14:paraId="29500DAD"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124</w:t>
            </w:r>
          </w:p>
        </w:tc>
      </w:tr>
      <w:tr w:rsidR="00460384" w:rsidRPr="00D0306F" w14:paraId="71B3D8B8"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73BE8682"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Morriston 9</w:t>
            </w:r>
          </w:p>
        </w:tc>
        <w:tc>
          <w:tcPr>
            <w:tcW w:w="2598" w:type="dxa"/>
            <w:tcBorders>
              <w:top w:val="nil"/>
              <w:left w:val="nil"/>
              <w:bottom w:val="single" w:sz="4" w:space="0" w:color="auto"/>
              <w:right w:val="single" w:sz="4" w:space="0" w:color="auto"/>
            </w:tcBorders>
            <w:noWrap/>
            <w:vAlign w:val="bottom"/>
            <w:hideMark/>
          </w:tcPr>
          <w:p w14:paraId="6F3B2D2C"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16</w:t>
            </w:r>
          </w:p>
        </w:tc>
        <w:tc>
          <w:tcPr>
            <w:tcW w:w="3214" w:type="dxa"/>
            <w:tcBorders>
              <w:top w:val="nil"/>
              <w:left w:val="nil"/>
              <w:bottom w:val="single" w:sz="4" w:space="0" w:color="auto"/>
              <w:right w:val="single" w:sz="4" w:space="0" w:color="auto"/>
            </w:tcBorders>
            <w:noWrap/>
            <w:vAlign w:val="bottom"/>
            <w:hideMark/>
          </w:tcPr>
          <w:p w14:paraId="4C40EC3E"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142</w:t>
            </w:r>
          </w:p>
        </w:tc>
      </w:tr>
      <w:tr w:rsidR="00460384" w:rsidRPr="00D0306F" w14:paraId="217E15FD"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1B8DEEA7"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Cockett and Waunarlwydd 1</w:t>
            </w:r>
          </w:p>
        </w:tc>
        <w:tc>
          <w:tcPr>
            <w:tcW w:w="2598" w:type="dxa"/>
            <w:tcBorders>
              <w:top w:val="nil"/>
              <w:left w:val="nil"/>
              <w:bottom w:val="single" w:sz="4" w:space="0" w:color="auto"/>
              <w:right w:val="single" w:sz="4" w:space="0" w:color="auto"/>
            </w:tcBorders>
            <w:noWrap/>
            <w:vAlign w:val="bottom"/>
            <w:hideMark/>
          </w:tcPr>
          <w:p w14:paraId="2F092E0C"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17</w:t>
            </w:r>
          </w:p>
        </w:tc>
        <w:tc>
          <w:tcPr>
            <w:tcW w:w="3214" w:type="dxa"/>
            <w:tcBorders>
              <w:top w:val="nil"/>
              <w:left w:val="nil"/>
              <w:bottom w:val="single" w:sz="4" w:space="0" w:color="auto"/>
              <w:right w:val="single" w:sz="4" w:space="0" w:color="auto"/>
            </w:tcBorders>
            <w:noWrap/>
            <w:vAlign w:val="bottom"/>
            <w:hideMark/>
          </w:tcPr>
          <w:p w14:paraId="0E3850BD"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156</w:t>
            </w:r>
          </w:p>
        </w:tc>
      </w:tr>
      <w:tr w:rsidR="00460384" w:rsidRPr="00D0306F" w14:paraId="43CDA768" w14:textId="77777777" w:rsidTr="00460384">
        <w:trPr>
          <w:trHeight w:val="300"/>
          <w:jc w:val="center"/>
        </w:trPr>
        <w:tc>
          <w:tcPr>
            <w:tcW w:w="3397" w:type="dxa"/>
            <w:tcBorders>
              <w:top w:val="nil"/>
              <w:left w:val="single" w:sz="4" w:space="0" w:color="auto"/>
              <w:bottom w:val="single" w:sz="4" w:space="0" w:color="auto"/>
              <w:right w:val="single" w:sz="4" w:space="0" w:color="auto"/>
            </w:tcBorders>
            <w:noWrap/>
            <w:vAlign w:val="bottom"/>
            <w:hideMark/>
          </w:tcPr>
          <w:p w14:paraId="7D1E4EA4"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Penderry 6</w:t>
            </w:r>
          </w:p>
        </w:tc>
        <w:tc>
          <w:tcPr>
            <w:tcW w:w="2598" w:type="dxa"/>
            <w:tcBorders>
              <w:top w:val="nil"/>
              <w:left w:val="nil"/>
              <w:bottom w:val="single" w:sz="4" w:space="0" w:color="auto"/>
              <w:right w:val="single" w:sz="4" w:space="0" w:color="auto"/>
            </w:tcBorders>
            <w:noWrap/>
            <w:vAlign w:val="bottom"/>
            <w:hideMark/>
          </w:tcPr>
          <w:p w14:paraId="0EBBF194"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18</w:t>
            </w:r>
          </w:p>
        </w:tc>
        <w:tc>
          <w:tcPr>
            <w:tcW w:w="3214" w:type="dxa"/>
            <w:tcBorders>
              <w:top w:val="nil"/>
              <w:left w:val="nil"/>
              <w:bottom w:val="single" w:sz="4" w:space="0" w:color="auto"/>
              <w:right w:val="single" w:sz="4" w:space="0" w:color="auto"/>
            </w:tcBorders>
            <w:noWrap/>
            <w:vAlign w:val="bottom"/>
            <w:hideMark/>
          </w:tcPr>
          <w:p w14:paraId="5B2F61F4"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160</w:t>
            </w:r>
          </w:p>
        </w:tc>
      </w:tr>
      <w:tr w:rsidR="00460384" w:rsidRPr="00D0306F" w14:paraId="67DBAFBF" w14:textId="77777777" w:rsidTr="00460384">
        <w:trPr>
          <w:trHeight w:val="300"/>
          <w:jc w:val="center"/>
        </w:trPr>
        <w:tc>
          <w:tcPr>
            <w:tcW w:w="3397" w:type="dxa"/>
            <w:tcBorders>
              <w:top w:val="nil"/>
              <w:left w:val="single" w:sz="4" w:space="0" w:color="auto"/>
              <w:bottom w:val="single" w:sz="4" w:space="0" w:color="auto"/>
              <w:right w:val="single" w:sz="4" w:space="0" w:color="auto"/>
            </w:tcBorders>
            <w:noWrap/>
            <w:vAlign w:val="bottom"/>
            <w:hideMark/>
          </w:tcPr>
          <w:p w14:paraId="439C0B7C"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Morriston 7</w:t>
            </w:r>
          </w:p>
        </w:tc>
        <w:tc>
          <w:tcPr>
            <w:tcW w:w="2598" w:type="dxa"/>
            <w:tcBorders>
              <w:top w:val="nil"/>
              <w:left w:val="nil"/>
              <w:bottom w:val="single" w:sz="4" w:space="0" w:color="auto"/>
              <w:right w:val="single" w:sz="4" w:space="0" w:color="auto"/>
            </w:tcBorders>
            <w:noWrap/>
            <w:vAlign w:val="bottom"/>
            <w:hideMark/>
          </w:tcPr>
          <w:p w14:paraId="5471718E"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19</w:t>
            </w:r>
          </w:p>
        </w:tc>
        <w:tc>
          <w:tcPr>
            <w:tcW w:w="3214" w:type="dxa"/>
            <w:tcBorders>
              <w:top w:val="nil"/>
              <w:left w:val="nil"/>
              <w:bottom w:val="single" w:sz="4" w:space="0" w:color="auto"/>
              <w:right w:val="single" w:sz="4" w:space="0" w:color="auto"/>
            </w:tcBorders>
            <w:noWrap/>
            <w:vAlign w:val="bottom"/>
            <w:hideMark/>
          </w:tcPr>
          <w:p w14:paraId="1F1E48CD"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171</w:t>
            </w:r>
          </w:p>
        </w:tc>
      </w:tr>
      <w:tr w:rsidR="00460384" w:rsidRPr="00D0306F" w14:paraId="1E16FB0F" w14:textId="77777777" w:rsidTr="00460384">
        <w:trPr>
          <w:trHeight w:val="300"/>
          <w:jc w:val="center"/>
        </w:trPr>
        <w:tc>
          <w:tcPr>
            <w:tcW w:w="3397" w:type="dxa"/>
            <w:tcBorders>
              <w:top w:val="nil"/>
              <w:left w:val="single" w:sz="4" w:space="0" w:color="auto"/>
              <w:bottom w:val="single" w:sz="4" w:space="0" w:color="auto"/>
              <w:right w:val="single" w:sz="4" w:space="0" w:color="auto"/>
            </w:tcBorders>
            <w:noWrap/>
            <w:vAlign w:val="bottom"/>
            <w:hideMark/>
          </w:tcPr>
          <w:p w14:paraId="71F212F7"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Cockett 8</w:t>
            </w:r>
          </w:p>
        </w:tc>
        <w:tc>
          <w:tcPr>
            <w:tcW w:w="2598" w:type="dxa"/>
            <w:tcBorders>
              <w:top w:val="nil"/>
              <w:left w:val="nil"/>
              <w:bottom w:val="single" w:sz="4" w:space="0" w:color="auto"/>
              <w:right w:val="single" w:sz="4" w:space="0" w:color="auto"/>
            </w:tcBorders>
            <w:noWrap/>
            <w:vAlign w:val="bottom"/>
            <w:hideMark/>
          </w:tcPr>
          <w:p w14:paraId="6ECE931A"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20</w:t>
            </w:r>
          </w:p>
        </w:tc>
        <w:tc>
          <w:tcPr>
            <w:tcW w:w="3214" w:type="dxa"/>
            <w:tcBorders>
              <w:top w:val="nil"/>
              <w:left w:val="nil"/>
              <w:bottom w:val="single" w:sz="4" w:space="0" w:color="auto"/>
              <w:right w:val="single" w:sz="4" w:space="0" w:color="auto"/>
            </w:tcBorders>
            <w:noWrap/>
            <w:vAlign w:val="bottom"/>
            <w:hideMark/>
          </w:tcPr>
          <w:p w14:paraId="05EE3294" w14:textId="77777777" w:rsidR="00460384" w:rsidRPr="00D0306F" w:rsidRDefault="00460384" w:rsidP="00977D0F">
            <w:pPr>
              <w:rPr>
                <w:rFonts w:eastAsia="Times New Roman" w:cs="Arial"/>
                <w:color w:val="000000"/>
                <w:kern w:val="0"/>
                <w:lang w:eastAsia="en-GB"/>
                <w14:ligatures w14:val="none"/>
              </w:rPr>
            </w:pPr>
            <w:r w:rsidRPr="00D0306F">
              <w:rPr>
                <w:rFonts w:eastAsia="Times New Roman" w:cs="Arial"/>
                <w:color w:val="000000"/>
                <w:kern w:val="0"/>
                <w:lang w:eastAsia="en-GB"/>
                <w14:ligatures w14:val="none"/>
              </w:rPr>
              <w:t>191</w:t>
            </w:r>
          </w:p>
        </w:tc>
      </w:tr>
    </w:tbl>
    <w:p w14:paraId="72AA3720" w14:textId="77777777" w:rsidR="00460384" w:rsidRPr="00D0306F" w:rsidRDefault="00460384" w:rsidP="00977D0F">
      <w:pPr>
        <w:rPr>
          <w:rFonts w:eastAsia="Aptos" w:cs="Arial"/>
          <w:b/>
          <w:bCs/>
        </w:rPr>
      </w:pPr>
    </w:p>
    <w:p w14:paraId="0711CE2D" w14:textId="77777777" w:rsidR="00460384" w:rsidRPr="00D0306F" w:rsidRDefault="00460384" w:rsidP="00977D0F">
      <w:pPr>
        <w:rPr>
          <w:rFonts w:eastAsia="Aptos" w:cs="Arial"/>
        </w:rPr>
      </w:pPr>
      <w:r w:rsidRPr="00D0306F">
        <w:rPr>
          <w:rFonts w:eastAsia="Aptos" w:cs="Arial"/>
        </w:rPr>
        <w:t>In Neath Port Talbot, 15 (16.7%) of the 90 lower layer super output areas are in the most deprived 10% in Wales.</w:t>
      </w:r>
    </w:p>
    <w:p w14:paraId="511F3816" w14:textId="77777777" w:rsidR="00460384" w:rsidRPr="00D0306F" w:rsidRDefault="00460384" w:rsidP="00977D0F">
      <w:pPr>
        <w:rPr>
          <w:rFonts w:eastAsia="Aptos" w:cs="Arial"/>
        </w:rPr>
      </w:pPr>
    </w:p>
    <w:p w14:paraId="6AD699DE" w14:textId="77777777" w:rsidR="0045574A" w:rsidRPr="00D0306F" w:rsidRDefault="0045574A" w:rsidP="00977D0F">
      <w:pPr>
        <w:rPr>
          <w:rFonts w:eastAsia="Aptos" w:cs="Arial"/>
        </w:rPr>
      </w:pPr>
    </w:p>
    <w:p w14:paraId="50901D10" w14:textId="77777777" w:rsidR="0045574A" w:rsidRPr="00D0306F" w:rsidRDefault="0045574A" w:rsidP="00977D0F">
      <w:pPr>
        <w:rPr>
          <w:rFonts w:eastAsia="Aptos" w:cs="Arial"/>
        </w:rPr>
      </w:pPr>
    </w:p>
    <w:p w14:paraId="7EF2454F" w14:textId="77777777" w:rsidR="0045574A" w:rsidRPr="00D0306F" w:rsidRDefault="0045574A" w:rsidP="00977D0F">
      <w:pPr>
        <w:rPr>
          <w:rFonts w:eastAsia="Aptos" w:cs="Arial"/>
        </w:rPr>
      </w:pPr>
    </w:p>
    <w:p w14:paraId="24791964" w14:textId="77777777" w:rsidR="0045574A" w:rsidRPr="00D0306F" w:rsidRDefault="0045574A" w:rsidP="00977D0F">
      <w:pPr>
        <w:rPr>
          <w:rFonts w:eastAsia="Aptos" w:cs="Arial"/>
        </w:rPr>
      </w:pPr>
    </w:p>
    <w:p w14:paraId="4666CED6" w14:textId="77777777" w:rsidR="0045574A" w:rsidRPr="00D0306F" w:rsidRDefault="0045574A" w:rsidP="00977D0F">
      <w:pPr>
        <w:rPr>
          <w:rFonts w:eastAsia="Aptos" w:cs="Arial"/>
        </w:rPr>
      </w:pPr>
    </w:p>
    <w:p w14:paraId="067D07C7" w14:textId="77777777" w:rsidR="0045574A" w:rsidRPr="00D0306F" w:rsidRDefault="0045574A" w:rsidP="00977D0F">
      <w:pPr>
        <w:rPr>
          <w:rFonts w:eastAsia="Aptos" w:cs="Arial"/>
        </w:rPr>
      </w:pPr>
    </w:p>
    <w:p w14:paraId="6609C5C2" w14:textId="77777777" w:rsidR="0045574A" w:rsidRPr="00D0306F" w:rsidRDefault="0045574A" w:rsidP="00977D0F">
      <w:pPr>
        <w:rPr>
          <w:rFonts w:eastAsia="Aptos" w:cs="Arial"/>
        </w:rPr>
      </w:pPr>
    </w:p>
    <w:p w14:paraId="036C8799" w14:textId="77777777" w:rsidR="0045574A" w:rsidRPr="00D0306F" w:rsidRDefault="0045574A" w:rsidP="00977D0F">
      <w:pPr>
        <w:rPr>
          <w:rFonts w:eastAsia="Aptos" w:cs="Arial"/>
        </w:rPr>
      </w:pPr>
    </w:p>
    <w:p w14:paraId="4B7C7977" w14:textId="77777777" w:rsidR="0045574A" w:rsidRPr="00D0306F" w:rsidRDefault="0045574A" w:rsidP="00977D0F">
      <w:pPr>
        <w:rPr>
          <w:rFonts w:eastAsia="Aptos" w:cs="Arial"/>
        </w:rPr>
      </w:pPr>
    </w:p>
    <w:p w14:paraId="7250AE74" w14:textId="77777777" w:rsidR="0045574A" w:rsidRPr="00D0306F" w:rsidRDefault="0045574A" w:rsidP="00977D0F">
      <w:pPr>
        <w:rPr>
          <w:rFonts w:eastAsia="Aptos" w:cs="Arial"/>
        </w:rPr>
      </w:pPr>
    </w:p>
    <w:p w14:paraId="186AA8B1" w14:textId="77777777" w:rsidR="0045574A" w:rsidRPr="00D0306F" w:rsidRDefault="0045574A" w:rsidP="00977D0F">
      <w:pPr>
        <w:rPr>
          <w:rFonts w:eastAsia="Aptos" w:cs="Arial"/>
        </w:rPr>
      </w:pPr>
    </w:p>
    <w:p w14:paraId="0FF63AD1" w14:textId="77777777" w:rsidR="0045574A" w:rsidRPr="00D0306F" w:rsidRDefault="0045574A" w:rsidP="00977D0F">
      <w:pPr>
        <w:rPr>
          <w:rFonts w:eastAsia="Aptos" w:cs="Arial"/>
        </w:rPr>
      </w:pPr>
    </w:p>
    <w:p w14:paraId="1BB5684E" w14:textId="77777777" w:rsidR="0045574A" w:rsidRPr="00D0306F" w:rsidRDefault="0045574A" w:rsidP="00977D0F">
      <w:pPr>
        <w:rPr>
          <w:rFonts w:eastAsia="Aptos" w:cs="Arial"/>
        </w:rPr>
      </w:pPr>
    </w:p>
    <w:p w14:paraId="5C20F781" w14:textId="77777777" w:rsidR="0045574A" w:rsidRPr="00D0306F" w:rsidRDefault="0045574A" w:rsidP="00977D0F">
      <w:pPr>
        <w:rPr>
          <w:rFonts w:eastAsia="Aptos" w:cs="Arial"/>
        </w:rPr>
      </w:pPr>
    </w:p>
    <w:p w14:paraId="35B7967C" w14:textId="77777777" w:rsidR="00460384" w:rsidRPr="00D0306F" w:rsidRDefault="00460384" w:rsidP="00977D0F">
      <w:pPr>
        <w:rPr>
          <w:rFonts w:eastAsia="Aptos" w:cs="Arial"/>
          <w:b/>
          <w:bCs/>
        </w:rPr>
      </w:pPr>
      <w:r w:rsidRPr="00D0306F">
        <w:rPr>
          <w:rFonts w:eastAsia="Aptos" w:cs="Arial"/>
          <w:b/>
          <w:bCs/>
        </w:rPr>
        <w:t>Table 2.3: Lower layer super output areas in Neath Port Talbot ranked by deprivation (2025)</w:t>
      </w:r>
    </w:p>
    <w:p w14:paraId="5F14DB80" w14:textId="77777777" w:rsidR="00460384" w:rsidRPr="00D0306F" w:rsidRDefault="00460384" w:rsidP="00977D0F">
      <w:pPr>
        <w:rPr>
          <w:rFonts w:eastAsia="Aptos" w:cs="Arial"/>
          <w:b/>
          <w:bCs/>
        </w:rPr>
      </w:pPr>
    </w:p>
    <w:tbl>
      <w:tblPr>
        <w:tblW w:w="9209" w:type="dxa"/>
        <w:jc w:val="center"/>
        <w:tblLook w:val="04A0" w:firstRow="1" w:lastRow="0" w:firstColumn="1" w:lastColumn="0" w:noHBand="0" w:noVBand="1"/>
      </w:tblPr>
      <w:tblGrid>
        <w:gridCol w:w="3397"/>
        <w:gridCol w:w="2598"/>
        <w:gridCol w:w="3214"/>
      </w:tblGrid>
      <w:tr w:rsidR="00460384" w:rsidRPr="00D0306F" w14:paraId="7FD5DB69" w14:textId="77777777" w:rsidTr="00460384">
        <w:trPr>
          <w:trHeight w:val="315"/>
          <w:jc w:val="center"/>
        </w:trPr>
        <w:tc>
          <w:tcPr>
            <w:tcW w:w="3397" w:type="dxa"/>
            <w:tcBorders>
              <w:top w:val="single" w:sz="4" w:space="0" w:color="auto"/>
              <w:left w:val="single" w:sz="4" w:space="0" w:color="auto"/>
              <w:bottom w:val="single" w:sz="4" w:space="0" w:color="auto"/>
              <w:right w:val="single" w:sz="4" w:space="0" w:color="auto"/>
            </w:tcBorders>
            <w:shd w:val="clear" w:color="auto" w:fill="074F6A"/>
            <w:noWrap/>
            <w:hideMark/>
          </w:tcPr>
          <w:p w14:paraId="3E35B024" w14:textId="77777777" w:rsidR="00460384" w:rsidRPr="00D0306F" w:rsidRDefault="00460384" w:rsidP="00977D0F">
            <w:pPr>
              <w:rPr>
                <w:rFonts w:eastAsia="Times New Roman" w:cs="Arial"/>
                <w:b/>
                <w:bCs/>
                <w:color w:val="FFFFFF"/>
                <w:kern w:val="0"/>
                <w:lang w:eastAsia="en-GB"/>
                <w14:ligatures w14:val="none"/>
              </w:rPr>
            </w:pPr>
            <w:bookmarkStart w:id="10" w:name="_Hlk229765876"/>
            <w:r w:rsidRPr="00D0306F">
              <w:rPr>
                <w:rFonts w:eastAsia="Aptos" w:cs="Arial"/>
                <w:b/>
                <w:bCs/>
                <w:color w:val="FFFFFF"/>
              </w:rPr>
              <w:t>Lower layer super output areas name</w:t>
            </w:r>
          </w:p>
        </w:tc>
        <w:tc>
          <w:tcPr>
            <w:tcW w:w="2598" w:type="dxa"/>
            <w:tcBorders>
              <w:top w:val="single" w:sz="4" w:space="0" w:color="auto"/>
              <w:left w:val="nil"/>
              <w:bottom w:val="single" w:sz="4" w:space="0" w:color="auto"/>
              <w:right w:val="single" w:sz="4" w:space="0" w:color="auto"/>
            </w:tcBorders>
            <w:shd w:val="clear" w:color="auto" w:fill="074F6A"/>
            <w:noWrap/>
            <w:hideMark/>
          </w:tcPr>
          <w:p w14:paraId="2CB32B79" w14:textId="77777777" w:rsidR="00460384" w:rsidRPr="00D0306F" w:rsidRDefault="00460384" w:rsidP="00977D0F">
            <w:pPr>
              <w:rPr>
                <w:rFonts w:eastAsia="Times New Roman" w:cs="Arial"/>
                <w:b/>
                <w:bCs/>
                <w:color w:val="FFFFFF"/>
                <w:kern w:val="0"/>
                <w:lang w:eastAsia="en-GB"/>
                <w14:ligatures w14:val="none"/>
              </w:rPr>
            </w:pPr>
            <w:r w:rsidRPr="00D0306F">
              <w:rPr>
                <w:rFonts w:eastAsia="Times New Roman" w:cs="Arial"/>
                <w:b/>
                <w:bCs/>
                <w:color w:val="FFFFFF"/>
                <w:kern w:val="0"/>
                <w:lang w:eastAsia="en-GB"/>
                <w14:ligatures w14:val="none"/>
              </w:rPr>
              <w:t>Local authority rank</w:t>
            </w:r>
          </w:p>
        </w:tc>
        <w:tc>
          <w:tcPr>
            <w:tcW w:w="3214" w:type="dxa"/>
            <w:tcBorders>
              <w:top w:val="single" w:sz="4" w:space="0" w:color="auto"/>
              <w:left w:val="nil"/>
              <w:bottom w:val="single" w:sz="4" w:space="0" w:color="auto"/>
              <w:right w:val="single" w:sz="4" w:space="0" w:color="auto"/>
            </w:tcBorders>
            <w:shd w:val="clear" w:color="auto" w:fill="074F6A"/>
            <w:noWrap/>
            <w:hideMark/>
          </w:tcPr>
          <w:p w14:paraId="709784FD" w14:textId="77777777" w:rsidR="00460384" w:rsidRPr="00D0306F" w:rsidRDefault="00460384" w:rsidP="00977D0F">
            <w:pPr>
              <w:rPr>
                <w:rFonts w:eastAsia="Times New Roman" w:cs="Arial"/>
                <w:b/>
                <w:bCs/>
                <w:color w:val="FFFFFF"/>
                <w:kern w:val="0"/>
                <w:lang w:eastAsia="en-GB"/>
                <w14:ligatures w14:val="none"/>
              </w:rPr>
            </w:pPr>
            <w:r w:rsidRPr="00D0306F">
              <w:rPr>
                <w:rFonts w:eastAsia="Times New Roman" w:cs="Arial"/>
                <w:b/>
                <w:bCs/>
                <w:color w:val="FFFFFF"/>
                <w:kern w:val="0"/>
                <w:lang w:eastAsia="en-GB"/>
                <w14:ligatures w14:val="none"/>
              </w:rPr>
              <w:t>Welsh Index of Multiple Deprivation rank</w:t>
            </w:r>
          </w:p>
        </w:tc>
        <w:bookmarkEnd w:id="10"/>
      </w:tr>
      <w:tr w:rsidR="00460384" w:rsidRPr="00D0306F" w14:paraId="1760C030"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4A4F54F0"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Cymer (Neath Port Talbot) 2</w:t>
            </w:r>
          </w:p>
        </w:tc>
        <w:tc>
          <w:tcPr>
            <w:tcW w:w="2598" w:type="dxa"/>
            <w:tcBorders>
              <w:top w:val="nil"/>
              <w:left w:val="nil"/>
              <w:bottom w:val="single" w:sz="4" w:space="0" w:color="auto"/>
              <w:right w:val="single" w:sz="4" w:space="0" w:color="auto"/>
            </w:tcBorders>
            <w:noWrap/>
            <w:vAlign w:val="bottom"/>
            <w:hideMark/>
          </w:tcPr>
          <w:p w14:paraId="607A5686"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1</w:t>
            </w:r>
          </w:p>
        </w:tc>
        <w:tc>
          <w:tcPr>
            <w:tcW w:w="3214" w:type="dxa"/>
            <w:tcBorders>
              <w:top w:val="nil"/>
              <w:left w:val="nil"/>
              <w:bottom w:val="single" w:sz="4" w:space="0" w:color="auto"/>
              <w:right w:val="single" w:sz="4" w:space="0" w:color="auto"/>
            </w:tcBorders>
            <w:noWrap/>
            <w:vAlign w:val="bottom"/>
            <w:hideMark/>
          </w:tcPr>
          <w:p w14:paraId="50563CA1"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15</w:t>
            </w:r>
          </w:p>
        </w:tc>
      </w:tr>
      <w:tr w:rsidR="00460384" w:rsidRPr="00D0306F" w14:paraId="5B1FE8F6"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75B9A0CA"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Sandfields West 2</w:t>
            </w:r>
          </w:p>
        </w:tc>
        <w:tc>
          <w:tcPr>
            <w:tcW w:w="2598" w:type="dxa"/>
            <w:tcBorders>
              <w:top w:val="nil"/>
              <w:left w:val="nil"/>
              <w:bottom w:val="single" w:sz="4" w:space="0" w:color="auto"/>
              <w:right w:val="single" w:sz="4" w:space="0" w:color="auto"/>
            </w:tcBorders>
            <w:noWrap/>
            <w:vAlign w:val="bottom"/>
            <w:hideMark/>
          </w:tcPr>
          <w:p w14:paraId="6D5A5DCA"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2</w:t>
            </w:r>
          </w:p>
        </w:tc>
        <w:tc>
          <w:tcPr>
            <w:tcW w:w="3214" w:type="dxa"/>
            <w:tcBorders>
              <w:top w:val="nil"/>
              <w:left w:val="nil"/>
              <w:bottom w:val="single" w:sz="4" w:space="0" w:color="auto"/>
              <w:right w:val="single" w:sz="4" w:space="0" w:color="auto"/>
            </w:tcBorders>
            <w:noWrap/>
            <w:vAlign w:val="bottom"/>
            <w:hideMark/>
          </w:tcPr>
          <w:p w14:paraId="3ECD0AB0"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39</w:t>
            </w:r>
          </w:p>
        </w:tc>
      </w:tr>
      <w:tr w:rsidR="00460384" w:rsidRPr="00D0306F" w14:paraId="69BABDF9"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72391C33"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Briton Ferry West 1</w:t>
            </w:r>
          </w:p>
        </w:tc>
        <w:tc>
          <w:tcPr>
            <w:tcW w:w="2598" w:type="dxa"/>
            <w:tcBorders>
              <w:top w:val="nil"/>
              <w:left w:val="nil"/>
              <w:bottom w:val="single" w:sz="4" w:space="0" w:color="auto"/>
              <w:right w:val="single" w:sz="4" w:space="0" w:color="auto"/>
            </w:tcBorders>
            <w:noWrap/>
            <w:vAlign w:val="bottom"/>
            <w:hideMark/>
          </w:tcPr>
          <w:p w14:paraId="13FBD3E1"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3</w:t>
            </w:r>
          </w:p>
        </w:tc>
        <w:tc>
          <w:tcPr>
            <w:tcW w:w="3214" w:type="dxa"/>
            <w:tcBorders>
              <w:top w:val="nil"/>
              <w:left w:val="nil"/>
              <w:bottom w:val="single" w:sz="4" w:space="0" w:color="auto"/>
              <w:right w:val="single" w:sz="4" w:space="0" w:color="auto"/>
            </w:tcBorders>
            <w:noWrap/>
            <w:vAlign w:val="bottom"/>
            <w:hideMark/>
          </w:tcPr>
          <w:p w14:paraId="3EFC2240"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47</w:t>
            </w:r>
          </w:p>
        </w:tc>
      </w:tr>
      <w:tr w:rsidR="00460384" w:rsidRPr="00D0306F" w14:paraId="27F723E7"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3C16F9A9"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Sandfields East 2</w:t>
            </w:r>
          </w:p>
        </w:tc>
        <w:tc>
          <w:tcPr>
            <w:tcW w:w="2598" w:type="dxa"/>
            <w:tcBorders>
              <w:top w:val="nil"/>
              <w:left w:val="nil"/>
              <w:bottom w:val="single" w:sz="4" w:space="0" w:color="auto"/>
              <w:right w:val="single" w:sz="4" w:space="0" w:color="auto"/>
            </w:tcBorders>
            <w:noWrap/>
            <w:vAlign w:val="bottom"/>
            <w:hideMark/>
          </w:tcPr>
          <w:p w14:paraId="58749A11"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4</w:t>
            </w:r>
          </w:p>
        </w:tc>
        <w:tc>
          <w:tcPr>
            <w:tcW w:w="3214" w:type="dxa"/>
            <w:tcBorders>
              <w:top w:val="nil"/>
              <w:left w:val="nil"/>
              <w:bottom w:val="single" w:sz="4" w:space="0" w:color="auto"/>
              <w:right w:val="single" w:sz="4" w:space="0" w:color="auto"/>
            </w:tcBorders>
            <w:noWrap/>
            <w:vAlign w:val="bottom"/>
            <w:hideMark/>
          </w:tcPr>
          <w:p w14:paraId="0C475792"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53</w:t>
            </w:r>
          </w:p>
        </w:tc>
      </w:tr>
      <w:tr w:rsidR="00460384" w:rsidRPr="00D0306F" w14:paraId="445DCF58"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4F2920AB"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Aberavon 4</w:t>
            </w:r>
          </w:p>
        </w:tc>
        <w:tc>
          <w:tcPr>
            <w:tcW w:w="2598" w:type="dxa"/>
            <w:tcBorders>
              <w:top w:val="nil"/>
              <w:left w:val="nil"/>
              <w:bottom w:val="single" w:sz="4" w:space="0" w:color="auto"/>
              <w:right w:val="single" w:sz="4" w:space="0" w:color="auto"/>
            </w:tcBorders>
            <w:noWrap/>
            <w:vAlign w:val="bottom"/>
            <w:hideMark/>
          </w:tcPr>
          <w:p w14:paraId="77D73275"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5</w:t>
            </w:r>
          </w:p>
        </w:tc>
        <w:tc>
          <w:tcPr>
            <w:tcW w:w="3214" w:type="dxa"/>
            <w:tcBorders>
              <w:top w:val="nil"/>
              <w:left w:val="nil"/>
              <w:bottom w:val="single" w:sz="4" w:space="0" w:color="auto"/>
              <w:right w:val="single" w:sz="4" w:space="0" w:color="auto"/>
            </w:tcBorders>
            <w:noWrap/>
            <w:vAlign w:val="bottom"/>
            <w:hideMark/>
          </w:tcPr>
          <w:p w14:paraId="15B7B9C1"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67</w:t>
            </w:r>
          </w:p>
        </w:tc>
      </w:tr>
      <w:tr w:rsidR="00460384" w:rsidRPr="00D0306F" w14:paraId="67DCBB25"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5DE83F94"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Neath North 2</w:t>
            </w:r>
          </w:p>
        </w:tc>
        <w:tc>
          <w:tcPr>
            <w:tcW w:w="2598" w:type="dxa"/>
            <w:tcBorders>
              <w:top w:val="nil"/>
              <w:left w:val="nil"/>
              <w:bottom w:val="single" w:sz="4" w:space="0" w:color="auto"/>
              <w:right w:val="single" w:sz="4" w:space="0" w:color="auto"/>
            </w:tcBorders>
            <w:noWrap/>
            <w:vAlign w:val="bottom"/>
            <w:hideMark/>
          </w:tcPr>
          <w:p w14:paraId="31DBFE16"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6</w:t>
            </w:r>
          </w:p>
        </w:tc>
        <w:tc>
          <w:tcPr>
            <w:tcW w:w="3214" w:type="dxa"/>
            <w:tcBorders>
              <w:top w:val="nil"/>
              <w:left w:val="nil"/>
              <w:bottom w:val="single" w:sz="4" w:space="0" w:color="auto"/>
              <w:right w:val="single" w:sz="4" w:space="0" w:color="auto"/>
            </w:tcBorders>
            <w:noWrap/>
            <w:vAlign w:val="bottom"/>
            <w:hideMark/>
          </w:tcPr>
          <w:p w14:paraId="5FAF6C5B"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75</w:t>
            </w:r>
          </w:p>
        </w:tc>
      </w:tr>
      <w:tr w:rsidR="00460384" w:rsidRPr="00D0306F" w14:paraId="2085098B"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1A045D59"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Gwynfi</w:t>
            </w:r>
          </w:p>
        </w:tc>
        <w:tc>
          <w:tcPr>
            <w:tcW w:w="2598" w:type="dxa"/>
            <w:tcBorders>
              <w:top w:val="nil"/>
              <w:left w:val="nil"/>
              <w:bottom w:val="single" w:sz="4" w:space="0" w:color="auto"/>
              <w:right w:val="single" w:sz="4" w:space="0" w:color="auto"/>
            </w:tcBorders>
            <w:noWrap/>
            <w:vAlign w:val="bottom"/>
            <w:hideMark/>
          </w:tcPr>
          <w:p w14:paraId="347DF02E"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7</w:t>
            </w:r>
          </w:p>
        </w:tc>
        <w:tc>
          <w:tcPr>
            <w:tcW w:w="3214" w:type="dxa"/>
            <w:tcBorders>
              <w:top w:val="nil"/>
              <w:left w:val="nil"/>
              <w:bottom w:val="single" w:sz="4" w:space="0" w:color="auto"/>
              <w:right w:val="single" w:sz="4" w:space="0" w:color="auto"/>
            </w:tcBorders>
            <w:noWrap/>
            <w:vAlign w:val="bottom"/>
            <w:hideMark/>
          </w:tcPr>
          <w:p w14:paraId="5E73EE2C"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103</w:t>
            </w:r>
          </w:p>
        </w:tc>
      </w:tr>
      <w:tr w:rsidR="00460384" w:rsidRPr="00D0306F" w14:paraId="78B60B01"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2ACBE121"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Neath East 1</w:t>
            </w:r>
          </w:p>
        </w:tc>
        <w:tc>
          <w:tcPr>
            <w:tcW w:w="2598" w:type="dxa"/>
            <w:tcBorders>
              <w:top w:val="nil"/>
              <w:left w:val="nil"/>
              <w:bottom w:val="single" w:sz="4" w:space="0" w:color="auto"/>
              <w:right w:val="single" w:sz="4" w:space="0" w:color="auto"/>
            </w:tcBorders>
            <w:noWrap/>
            <w:vAlign w:val="bottom"/>
            <w:hideMark/>
          </w:tcPr>
          <w:p w14:paraId="6A887B57"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8</w:t>
            </w:r>
          </w:p>
        </w:tc>
        <w:tc>
          <w:tcPr>
            <w:tcW w:w="3214" w:type="dxa"/>
            <w:tcBorders>
              <w:top w:val="nil"/>
              <w:left w:val="nil"/>
              <w:bottom w:val="single" w:sz="4" w:space="0" w:color="auto"/>
              <w:right w:val="single" w:sz="4" w:space="0" w:color="auto"/>
            </w:tcBorders>
            <w:noWrap/>
            <w:vAlign w:val="bottom"/>
            <w:hideMark/>
          </w:tcPr>
          <w:p w14:paraId="10F095F8"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106</w:t>
            </w:r>
          </w:p>
        </w:tc>
      </w:tr>
      <w:tr w:rsidR="00460384" w:rsidRPr="00D0306F" w14:paraId="7DE46903"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7AD1233D"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Sandfields East 1</w:t>
            </w:r>
          </w:p>
        </w:tc>
        <w:tc>
          <w:tcPr>
            <w:tcW w:w="2598" w:type="dxa"/>
            <w:tcBorders>
              <w:top w:val="nil"/>
              <w:left w:val="nil"/>
              <w:bottom w:val="single" w:sz="4" w:space="0" w:color="auto"/>
              <w:right w:val="single" w:sz="4" w:space="0" w:color="auto"/>
            </w:tcBorders>
            <w:noWrap/>
            <w:vAlign w:val="bottom"/>
            <w:hideMark/>
          </w:tcPr>
          <w:p w14:paraId="4441E15B"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9</w:t>
            </w:r>
          </w:p>
        </w:tc>
        <w:tc>
          <w:tcPr>
            <w:tcW w:w="3214" w:type="dxa"/>
            <w:tcBorders>
              <w:top w:val="nil"/>
              <w:left w:val="nil"/>
              <w:bottom w:val="single" w:sz="4" w:space="0" w:color="auto"/>
              <w:right w:val="single" w:sz="4" w:space="0" w:color="auto"/>
            </w:tcBorders>
            <w:noWrap/>
            <w:vAlign w:val="bottom"/>
            <w:hideMark/>
          </w:tcPr>
          <w:p w14:paraId="2E6F4630"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118</w:t>
            </w:r>
          </w:p>
        </w:tc>
      </w:tr>
      <w:tr w:rsidR="00460384" w:rsidRPr="00D0306F" w14:paraId="18F6BD7C"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3E9DA687"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Neath East 2</w:t>
            </w:r>
          </w:p>
        </w:tc>
        <w:tc>
          <w:tcPr>
            <w:tcW w:w="2598" w:type="dxa"/>
            <w:tcBorders>
              <w:top w:val="nil"/>
              <w:left w:val="nil"/>
              <w:bottom w:val="single" w:sz="4" w:space="0" w:color="auto"/>
              <w:right w:val="single" w:sz="4" w:space="0" w:color="auto"/>
            </w:tcBorders>
            <w:noWrap/>
            <w:vAlign w:val="bottom"/>
            <w:hideMark/>
          </w:tcPr>
          <w:p w14:paraId="410A6E6C"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10</w:t>
            </w:r>
          </w:p>
        </w:tc>
        <w:tc>
          <w:tcPr>
            <w:tcW w:w="3214" w:type="dxa"/>
            <w:tcBorders>
              <w:top w:val="nil"/>
              <w:left w:val="nil"/>
              <w:bottom w:val="single" w:sz="4" w:space="0" w:color="auto"/>
              <w:right w:val="single" w:sz="4" w:space="0" w:color="auto"/>
            </w:tcBorders>
            <w:noWrap/>
            <w:vAlign w:val="bottom"/>
            <w:hideMark/>
          </w:tcPr>
          <w:p w14:paraId="483AF5DB"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121</w:t>
            </w:r>
          </w:p>
        </w:tc>
      </w:tr>
      <w:tr w:rsidR="00460384" w:rsidRPr="00D0306F" w14:paraId="7813E819"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4CCFF93D"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Neath South 2</w:t>
            </w:r>
          </w:p>
        </w:tc>
        <w:tc>
          <w:tcPr>
            <w:tcW w:w="2598" w:type="dxa"/>
            <w:tcBorders>
              <w:top w:val="nil"/>
              <w:left w:val="nil"/>
              <w:bottom w:val="single" w:sz="4" w:space="0" w:color="auto"/>
              <w:right w:val="single" w:sz="4" w:space="0" w:color="auto"/>
            </w:tcBorders>
            <w:noWrap/>
            <w:vAlign w:val="bottom"/>
            <w:hideMark/>
          </w:tcPr>
          <w:p w14:paraId="61998607"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11</w:t>
            </w:r>
          </w:p>
        </w:tc>
        <w:tc>
          <w:tcPr>
            <w:tcW w:w="3214" w:type="dxa"/>
            <w:tcBorders>
              <w:top w:val="nil"/>
              <w:left w:val="nil"/>
              <w:bottom w:val="single" w:sz="4" w:space="0" w:color="auto"/>
              <w:right w:val="single" w:sz="4" w:space="0" w:color="auto"/>
            </w:tcBorders>
            <w:noWrap/>
            <w:vAlign w:val="bottom"/>
            <w:hideMark/>
          </w:tcPr>
          <w:p w14:paraId="59B7B7D2"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151</w:t>
            </w:r>
          </w:p>
        </w:tc>
      </w:tr>
      <w:tr w:rsidR="00460384" w:rsidRPr="00D0306F" w14:paraId="1B62BE69"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2EBC0E1B"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Neath East 3</w:t>
            </w:r>
          </w:p>
        </w:tc>
        <w:tc>
          <w:tcPr>
            <w:tcW w:w="2598" w:type="dxa"/>
            <w:tcBorders>
              <w:top w:val="nil"/>
              <w:left w:val="nil"/>
              <w:bottom w:val="single" w:sz="4" w:space="0" w:color="auto"/>
              <w:right w:val="single" w:sz="4" w:space="0" w:color="auto"/>
            </w:tcBorders>
            <w:noWrap/>
            <w:vAlign w:val="bottom"/>
            <w:hideMark/>
          </w:tcPr>
          <w:p w14:paraId="7F75E192"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12</w:t>
            </w:r>
          </w:p>
        </w:tc>
        <w:tc>
          <w:tcPr>
            <w:tcW w:w="3214" w:type="dxa"/>
            <w:tcBorders>
              <w:top w:val="nil"/>
              <w:left w:val="nil"/>
              <w:bottom w:val="single" w:sz="4" w:space="0" w:color="auto"/>
              <w:right w:val="single" w:sz="4" w:space="0" w:color="auto"/>
            </w:tcBorders>
            <w:noWrap/>
            <w:vAlign w:val="bottom"/>
            <w:hideMark/>
          </w:tcPr>
          <w:p w14:paraId="685B8DFB"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163</w:t>
            </w:r>
          </w:p>
        </w:tc>
      </w:tr>
      <w:tr w:rsidR="00460384" w:rsidRPr="00D0306F" w14:paraId="3D19F472"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362F8F06"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Sandfields West 3</w:t>
            </w:r>
          </w:p>
        </w:tc>
        <w:tc>
          <w:tcPr>
            <w:tcW w:w="2598" w:type="dxa"/>
            <w:tcBorders>
              <w:top w:val="nil"/>
              <w:left w:val="nil"/>
              <w:bottom w:val="single" w:sz="4" w:space="0" w:color="auto"/>
              <w:right w:val="single" w:sz="4" w:space="0" w:color="auto"/>
            </w:tcBorders>
            <w:noWrap/>
            <w:vAlign w:val="bottom"/>
            <w:hideMark/>
          </w:tcPr>
          <w:p w14:paraId="598E9A97"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13</w:t>
            </w:r>
          </w:p>
        </w:tc>
        <w:tc>
          <w:tcPr>
            <w:tcW w:w="3214" w:type="dxa"/>
            <w:tcBorders>
              <w:top w:val="nil"/>
              <w:left w:val="nil"/>
              <w:bottom w:val="single" w:sz="4" w:space="0" w:color="auto"/>
              <w:right w:val="single" w:sz="4" w:space="0" w:color="auto"/>
            </w:tcBorders>
            <w:noWrap/>
            <w:vAlign w:val="bottom"/>
            <w:hideMark/>
          </w:tcPr>
          <w:p w14:paraId="4ECD82A6" w14:textId="77777777" w:rsidR="00460384" w:rsidRPr="00D0306F" w:rsidRDefault="00460384" w:rsidP="00977D0F">
            <w:pPr>
              <w:rPr>
                <w:rFonts w:eastAsia="Times New Roman" w:cs="Arial"/>
                <w:color w:val="000000"/>
                <w:kern w:val="0"/>
                <w:lang w:eastAsia="en-GB"/>
                <w14:ligatures w14:val="none"/>
              </w:rPr>
            </w:pPr>
            <w:r w:rsidRPr="00D0306F">
              <w:rPr>
                <w:rFonts w:eastAsia="Aptos" w:cs="Arial"/>
                <w:color w:val="000000"/>
              </w:rPr>
              <w:t>165</w:t>
            </w:r>
          </w:p>
        </w:tc>
      </w:tr>
      <w:tr w:rsidR="00460384" w:rsidRPr="00D0306F" w14:paraId="1D62E162"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27C38099" w14:textId="77777777" w:rsidR="00460384" w:rsidRPr="00D0306F" w:rsidRDefault="00460384" w:rsidP="00977D0F">
            <w:pPr>
              <w:rPr>
                <w:rFonts w:eastAsia="Times New Roman" w:cs="Arial"/>
                <w:kern w:val="0"/>
                <w:lang w:eastAsia="en-GB"/>
                <w14:ligatures w14:val="none"/>
              </w:rPr>
            </w:pPr>
            <w:r w:rsidRPr="00D0306F">
              <w:rPr>
                <w:rFonts w:eastAsia="Aptos" w:cs="Arial"/>
              </w:rPr>
              <w:t>Aberavon 3</w:t>
            </w:r>
          </w:p>
        </w:tc>
        <w:tc>
          <w:tcPr>
            <w:tcW w:w="2598" w:type="dxa"/>
            <w:tcBorders>
              <w:top w:val="nil"/>
              <w:left w:val="nil"/>
              <w:bottom w:val="single" w:sz="4" w:space="0" w:color="auto"/>
              <w:right w:val="single" w:sz="4" w:space="0" w:color="auto"/>
            </w:tcBorders>
            <w:noWrap/>
            <w:vAlign w:val="bottom"/>
            <w:hideMark/>
          </w:tcPr>
          <w:p w14:paraId="1229367E" w14:textId="77777777" w:rsidR="00460384" w:rsidRPr="00D0306F" w:rsidRDefault="00460384" w:rsidP="00977D0F">
            <w:pPr>
              <w:rPr>
                <w:rFonts w:eastAsia="Times New Roman" w:cs="Arial"/>
                <w:kern w:val="0"/>
                <w:lang w:eastAsia="en-GB"/>
                <w14:ligatures w14:val="none"/>
              </w:rPr>
            </w:pPr>
            <w:r w:rsidRPr="00D0306F">
              <w:rPr>
                <w:rFonts w:eastAsia="Aptos" w:cs="Arial"/>
              </w:rPr>
              <w:t>14</w:t>
            </w:r>
          </w:p>
        </w:tc>
        <w:tc>
          <w:tcPr>
            <w:tcW w:w="3214" w:type="dxa"/>
            <w:tcBorders>
              <w:top w:val="nil"/>
              <w:left w:val="nil"/>
              <w:bottom w:val="single" w:sz="4" w:space="0" w:color="auto"/>
              <w:right w:val="single" w:sz="4" w:space="0" w:color="auto"/>
            </w:tcBorders>
            <w:noWrap/>
            <w:vAlign w:val="bottom"/>
            <w:hideMark/>
          </w:tcPr>
          <w:p w14:paraId="521C2922" w14:textId="77777777" w:rsidR="00460384" w:rsidRPr="00D0306F" w:rsidRDefault="00460384" w:rsidP="00977D0F">
            <w:pPr>
              <w:rPr>
                <w:rFonts w:eastAsia="Times New Roman" w:cs="Arial"/>
                <w:kern w:val="0"/>
                <w:lang w:eastAsia="en-GB"/>
                <w14:ligatures w14:val="none"/>
              </w:rPr>
            </w:pPr>
            <w:r w:rsidRPr="00D0306F">
              <w:rPr>
                <w:rFonts w:eastAsia="Aptos" w:cs="Arial"/>
              </w:rPr>
              <w:t>166</w:t>
            </w:r>
          </w:p>
        </w:tc>
      </w:tr>
      <w:tr w:rsidR="00460384" w:rsidRPr="00D0306F" w14:paraId="7EAFFED4" w14:textId="77777777" w:rsidTr="00460384">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756D32E2" w14:textId="77777777" w:rsidR="00460384" w:rsidRPr="00D0306F" w:rsidRDefault="00460384" w:rsidP="00977D0F">
            <w:pPr>
              <w:rPr>
                <w:rFonts w:eastAsia="Times New Roman" w:cs="Arial"/>
                <w:kern w:val="0"/>
                <w:lang w:eastAsia="en-GB"/>
                <w14:ligatures w14:val="none"/>
              </w:rPr>
            </w:pPr>
            <w:r w:rsidRPr="00D0306F">
              <w:rPr>
                <w:rFonts w:eastAsia="Aptos" w:cs="Arial"/>
              </w:rPr>
              <w:t>Tai-bach 2</w:t>
            </w:r>
          </w:p>
        </w:tc>
        <w:tc>
          <w:tcPr>
            <w:tcW w:w="2598" w:type="dxa"/>
            <w:tcBorders>
              <w:top w:val="nil"/>
              <w:left w:val="nil"/>
              <w:bottom w:val="single" w:sz="4" w:space="0" w:color="auto"/>
              <w:right w:val="single" w:sz="4" w:space="0" w:color="auto"/>
            </w:tcBorders>
            <w:noWrap/>
            <w:vAlign w:val="bottom"/>
            <w:hideMark/>
          </w:tcPr>
          <w:p w14:paraId="7945F079" w14:textId="77777777" w:rsidR="00460384" w:rsidRPr="00D0306F" w:rsidRDefault="00460384" w:rsidP="00977D0F">
            <w:pPr>
              <w:rPr>
                <w:rFonts w:eastAsia="Times New Roman" w:cs="Arial"/>
                <w:kern w:val="0"/>
                <w:lang w:eastAsia="en-GB"/>
                <w14:ligatures w14:val="none"/>
              </w:rPr>
            </w:pPr>
            <w:r w:rsidRPr="00D0306F">
              <w:rPr>
                <w:rFonts w:eastAsia="Aptos" w:cs="Arial"/>
              </w:rPr>
              <w:t>15</w:t>
            </w:r>
          </w:p>
        </w:tc>
        <w:tc>
          <w:tcPr>
            <w:tcW w:w="3214" w:type="dxa"/>
            <w:tcBorders>
              <w:top w:val="nil"/>
              <w:left w:val="nil"/>
              <w:bottom w:val="single" w:sz="4" w:space="0" w:color="auto"/>
              <w:right w:val="single" w:sz="4" w:space="0" w:color="auto"/>
            </w:tcBorders>
            <w:noWrap/>
            <w:vAlign w:val="bottom"/>
            <w:hideMark/>
          </w:tcPr>
          <w:p w14:paraId="0B275336" w14:textId="77777777" w:rsidR="00460384" w:rsidRPr="00D0306F" w:rsidRDefault="00460384" w:rsidP="00977D0F">
            <w:pPr>
              <w:rPr>
                <w:rFonts w:eastAsia="Times New Roman" w:cs="Arial"/>
                <w:kern w:val="0"/>
                <w:lang w:eastAsia="en-GB"/>
                <w14:ligatures w14:val="none"/>
              </w:rPr>
            </w:pPr>
            <w:r w:rsidRPr="00D0306F">
              <w:rPr>
                <w:rFonts w:eastAsia="Aptos" w:cs="Arial"/>
              </w:rPr>
              <w:t>179</w:t>
            </w:r>
          </w:p>
        </w:tc>
      </w:tr>
    </w:tbl>
    <w:p w14:paraId="40CFFE68" w14:textId="77777777" w:rsidR="00460384" w:rsidRPr="00D0306F" w:rsidRDefault="00460384" w:rsidP="00977D0F">
      <w:pPr>
        <w:rPr>
          <w:rFonts w:eastAsia="Aptos" w:cs="Arial"/>
          <w:b/>
          <w:bCs/>
        </w:rPr>
      </w:pPr>
    </w:p>
    <w:p w14:paraId="065FAB22" w14:textId="77777777" w:rsidR="00460384" w:rsidRPr="00D0306F" w:rsidRDefault="00460384" w:rsidP="00977D0F">
      <w:pPr>
        <w:rPr>
          <w:rFonts w:eastAsia="Aptos" w:cs="Arial"/>
          <w:b/>
          <w:bCs/>
          <w:sz w:val="26"/>
          <w:szCs w:val="26"/>
        </w:rPr>
      </w:pPr>
      <w:r w:rsidRPr="00D0306F">
        <w:rPr>
          <w:rFonts w:eastAsia="Aptos" w:cs="Arial"/>
          <w:b/>
          <w:sz w:val="26"/>
          <w:szCs w:val="26"/>
        </w:rPr>
        <w:t>2.7 Births</w:t>
      </w:r>
      <w:r w:rsidRPr="00D0306F">
        <w:rPr>
          <w:rFonts w:eastAsia="Aptos" w:cs="Arial"/>
          <w:b/>
          <w:bCs/>
          <w:sz w:val="26"/>
          <w:szCs w:val="26"/>
          <w:vertAlign w:val="superscript"/>
        </w:rPr>
        <w:footnoteReference w:id="32"/>
      </w:r>
    </w:p>
    <w:p w14:paraId="1F34F88B" w14:textId="77777777" w:rsidR="00460384" w:rsidRPr="00D0306F" w:rsidRDefault="00460384" w:rsidP="00977D0F">
      <w:pPr>
        <w:rPr>
          <w:rFonts w:eastAsia="Aptos" w:cs="Arial"/>
        </w:rPr>
      </w:pPr>
    </w:p>
    <w:p w14:paraId="4E2FA105" w14:textId="77777777" w:rsidR="00460384" w:rsidRPr="00D0306F" w:rsidRDefault="00460384" w:rsidP="00977D0F">
      <w:pPr>
        <w:rPr>
          <w:rFonts w:eastAsia="Aptos" w:cs="Arial"/>
        </w:rPr>
      </w:pPr>
      <w:r w:rsidRPr="00D0306F">
        <w:rPr>
          <w:rFonts w:eastAsia="Aptos" w:cs="Arial"/>
        </w:rPr>
        <w:t>The overall birth rate in Swansea Bay University Health Board has continued to decline since the mid</w:t>
      </w:r>
      <w:r w:rsidRPr="00D0306F">
        <w:rPr>
          <w:rFonts w:eastAsia="Aptos" w:cs="Arial"/>
        </w:rPr>
        <w:noBreakHyphen/>
        <w:t xml:space="preserve">2010s, consistent with national trends. Across Wales, the crude birth rate fell steadily from around 10.3 per 1,000 population in 2013 to approximately 9.1 per 1,000 population by 2023, reflecting sustained reductions in fertility over the past decade. Swansea Bay’s rate has remained slightly below or in line with the Welsh average throughout this period. </w:t>
      </w:r>
    </w:p>
    <w:p w14:paraId="14412352" w14:textId="77777777" w:rsidR="00460384" w:rsidRPr="00D0306F" w:rsidRDefault="00460384" w:rsidP="00977D0F">
      <w:pPr>
        <w:rPr>
          <w:rFonts w:eastAsia="Aptos" w:cs="Arial"/>
        </w:rPr>
      </w:pPr>
    </w:p>
    <w:p w14:paraId="21F4C6D9" w14:textId="77777777" w:rsidR="00460384" w:rsidRPr="00D0306F" w:rsidRDefault="00460384" w:rsidP="00977D0F">
      <w:pPr>
        <w:rPr>
          <w:rFonts w:eastAsia="Aptos" w:cs="Arial"/>
        </w:rPr>
      </w:pPr>
      <w:r w:rsidRPr="00D0306F">
        <w:rPr>
          <w:rFonts w:eastAsia="Aptos" w:cs="Arial"/>
        </w:rPr>
        <w:t>For Swansea local authority, the birth rate fell from 9.6 per 1,000 population in 2017–18 to around 9.1 per 1,000 in 2019 and has continued to decline. By 2022–23, Swansea’s crude birth rate was below 9 per 1,000 population, reflecting ongoing reductions in the number of live births relative to the population size.</w:t>
      </w:r>
    </w:p>
    <w:p w14:paraId="467D464D" w14:textId="77777777" w:rsidR="00460384" w:rsidRPr="00D0306F" w:rsidRDefault="00460384" w:rsidP="00977D0F">
      <w:pPr>
        <w:rPr>
          <w:rFonts w:eastAsia="Aptos" w:cs="Arial"/>
        </w:rPr>
      </w:pPr>
    </w:p>
    <w:p w14:paraId="4EFEDF26" w14:textId="77777777" w:rsidR="00460384" w:rsidRPr="00D0306F" w:rsidRDefault="00460384" w:rsidP="00977D0F">
      <w:pPr>
        <w:rPr>
          <w:rFonts w:eastAsia="Aptos" w:cs="Arial"/>
        </w:rPr>
      </w:pPr>
      <w:r w:rsidRPr="00D0306F">
        <w:rPr>
          <w:rFonts w:eastAsia="Aptos" w:cs="Arial"/>
        </w:rPr>
        <w:t>In Neath Port Talbot, a similar but more pronounced pattern has been observed. The birth rate decreased from 10.0 per 1,000 population in 2017–18 to around 8.9 per 1,000 in 2019, with further falls thereafter. By the early 2020s, Neath Port Talbot’s birth rate was around the low</w:t>
      </w:r>
      <w:r w:rsidRPr="00D0306F">
        <w:rPr>
          <w:rFonts w:eastAsia="Aptos" w:cs="Arial"/>
        </w:rPr>
        <w:noBreakHyphen/>
        <w:t>to</w:t>
      </w:r>
      <w:r w:rsidRPr="00D0306F">
        <w:rPr>
          <w:rFonts w:eastAsia="Aptos" w:cs="Arial"/>
        </w:rPr>
        <w:noBreakHyphen/>
        <w:t>mid 8s per 1,000 population, remaining below both the Welsh and Swansea rates.</w:t>
      </w:r>
    </w:p>
    <w:p w14:paraId="22C39337" w14:textId="77777777" w:rsidR="00460384" w:rsidRPr="00D0306F" w:rsidRDefault="00460384" w:rsidP="00977D0F">
      <w:pPr>
        <w:rPr>
          <w:rFonts w:eastAsia="Aptos" w:cs="Arial"/>
        </w:rPr>
      </w:pPr>
    </w:p>
    <w:p w14:paraId="43F379B9" w14:textId="77777777" w:rsidR="00460384" w:rsidRPr="00D0306F" w:rsidRDefault="00460384" w:rsidP="00977D0F">
      <w:pPr>
        <w:rPr>
          <w:rFonts w:eastAsia="Aptos" w:cs="Arial"/>
        </w:rPr>
      </w:pPr>
      <w:r w:rsidRPr="00D0306F">
        <w:rPr>
          <w:rFonts w:eastAsia="Aptos" w:cs="Arial"/>
        </w:rPr>
        <w:t xml:space="preserve">The general fertility rate measures the number of live births to women who are of childbearing age (15 to 44 years of age). In 2023, the general fertility rate for </w:t>
      </w:r>
      <w:r w:rsidRPr="00D0306F">
        <w:rPr>
          <w:rFonts w:eastAsia="Aptos" w:cs="Arial"/>
        </w:rPr>
        <w:lastRenderedPageBreak/>
        <w:t>Swansea was 43.2 live births per 1,000 women of child</w:t>
      </w:r>
      <w:r w:rsidRPr="00D0306F">
        <w:rPr>
          <w:rFonts w:eastAsia="Aptos" w:cs="Arial"/>
        </w:rPr>
        <w:noBreakHyphen/>
        <w:t>bearing age, while Neath Port Talbot recorded a higher rate of 46.8 per 1,000 women aged 15–44. Both local authority rates were below the Welsh average, which stood at 48.7 live births per 1,000 women of child</w:t>
      </w:r>
      <w:r w:rsidRPr="00D0306F">
        <w:rPr>
          <w:rFonts w:eastAsia="Aptos" w:cs="Arial"/>
        </w:rPr>
        <w:noBreakHyphen/>
        <w:t>bearing age in the same year. These figures confirm a continued decline in fertility across Swansea Bay and Wales as a whole since 2019. Swansea remains one of the lowest</w:t>
      </w:r>
      <w:r w:rsidRPr="00D0306F">
        <w:rPr>
          <w:rFonts w:eastAsia="Aptos" w:cs="Arial"/>
        </w:rPr>
        <w:noBreakHyphen/>
        <w:t>fertility local authorities in Wales, consistent with patterns of later child</w:t>
      </w:r>
      <w:r w:rsidRPr="00D0306F">
        <w:rPr>
          <w:rFonts w:eastAsia="Aptos" w:cs="Arial"/>
        </w:rPr>
        <w:noBreakHyphen/>
        <w:t>bearing and lower birth rates in more urban areas. Neath Port Talbot continues to have a slightly higher fertility rate than Swansea, but still below the Wales average. The Welsh general fertility rate has fallen markedly over the last decade, reflecting declines among women aged 20–29 in particular.</w:t>
      </w:r>
      <w:r w:rsidRPr="00D0306F">
        <w:rPr>
          <w:rFonts w:eastAsia="Aptos" w:cs="Arial"/>
          <w:vertAlign w:val="superscript"/>
        </w:rPr>
        <w:footnoteReference w:id="33"/>
      </w:r>
    </w:p>
    <w:p w14:paraId="6E9198C1" w14:textId="77777777" w:rsidR="00460384" w:rsidRPr="00D0306F" w:rsidRDefault="00460384" w:rsidP="00977D0F">
      <w:pPr>
        <w:rPr>
          <w:rFonts w:eastAsia="Aptos" w:cs="Arial"/>
        </w:rPr>
      </w:pPr>
    </w:p>
    <w:p w14:paraId="629E0931" w14:textId="77777777" w:rsidR="00460384" w:rsidRPr="00D0306F" w:rsidRDefault="00460384" w:rsidP="00977D0F">
      <w:pPr>
        <w:rPr>
          <w:rFonts w:eastAsia="Aptos" w:cs="Arial"/>
        </w:rPr>
      </w:pPr>
      <w:r w:rsidRPr="00D0306F">
        <w:rPr>
          <w:rFonts w:eastAsia="Aptos" w:cs="Arial"/>
        </w:rPr>
        <w:t>Low birth weight is another important measure of population health as infants born with low birth weight have added health risks that require close management in the post-natal period. They are also at increased risk for other long-term health conditions that may require follow-up over time.</w:t>
      </w:r>
    </w:p>
    <w:p w14:paraId="63D377FD" w14:textId="77777777" w:rsidR="00460384" w:rsidRPr="00D0306F" w:rsidRDefault="00460384" w:rsidP="00977D0F">
      <w:pPr>
        <w:rPr>
          <w:rFonts w:eastAsia="Aptos" w:cs="Arial"/>
        </w:rPr>
      </w:pPr>
    </w:p>
    <w:p w14:paraId="42AF00EC" w14:textId="77777777" w:rsidR="00460384" w:rsidRPr="00D0306F" w:rsidRDefault="00460384" w:rsidP="00977D0F">
      <w:pPr>
        <w:rPr>
          <w:rFonts w:eastAsia="Aptos" w:cs="Arial"/>
        </w:rPr>
      </w:pPr>
      <w:r w:rsidRPr="00D0306F">
        <w:rPr>
          <w:rFonts w:eastAsia="Aptos" w:cs="Arial"/>
        </w:rPr>
        <w:t xml:space="preserve">The proportion of low birth weight babies has continued to increase across Wales. In 2023, 6.1% of babies in Wales were born with low birth weight, rising further to 6.3% in 2024, the highest level on record nationally. </w:t>
      </w:r>
    </w:p>
    <w:p w14:paraId="4EC339AC" w14:textId="77777777" w:rsidR="00460384" w:rsidRPr="00D0306F" w:rsidRDefault="00460384" w:rsidP="00977D0F">
      <w:pPr>
        <w:rPr>
          <w:rFonts w:eastAsia="Aptos" w:cs="Arial"/>
        </w:rPr>
      </w:pPr>
    </w:p>
    <w:p w14:paraId="32885074" w14:textId="77777777" w:rsidR="00460384" w:rsidRPr="00D0306F" w:rsidRDefault="00460384" w:rsidP="00977D0F">
      <w:pPr>
        <w:rPr>
          <w:rFonts w:eastAsia="Aptos" w:cs="Arial"/>
        </w:rPr>
      </w:pPr>
      <w:r w:rsidRPr="00D0306F">
        <w:rPr>
          <w:rFonts w:eastAsia="Aptos" w:cs="Arial"/>
        </w:rPr>
        <w:t>Within Swansea Bay University Health Board, the rate is above the Welsh average. In 2024 the rate 7.0% an increase from 5.9% in 2023. Neath Port Talbot rate fell in 2024 to 6.0% from 6.5% in 2023. Neath Port Talbot continues to record a higher proportion of low birth weight babies than Wales overall. Until 2023 Swansea remained close to, but slightly above, the Welsh average, but saw a larger increase in 2024.</w:t>
      </w:r>
    </w:p>
    <w:p w14:paraId="32834B3B" w14:textId="77777777" w:rsidR="00460384" w:rsidRPr="00D0306F" w:rsidRDefault="00460384" w:rsidP="00977D0F">
      <w:pPr>
        <w:rPr>
          <w:rFonts w:eastAsia="Aptos" w:cs="Arial"/>
        </w:rPr>
      </w:pPr>
    </w:p>
    <w:p w14:paraId="71E9EF25" w14:textId="77777777" w:rsidR="00460384" w:rsidRPr="00D0306F" w:rsidRDefault="00460384" w:rsidP="00977D0F">
      <w:pPr>
        <w:rPr>
          <w:rFonts w:eastAsia="Aptos" w:cs="Arial"/>
        </w:rPr>
      </w:pPr>
      <w:r w:rsidRPr="00D0306F">
        <w:rPr>
          <w:rFonts w:eastAsia="Aptos" w:cs="Arial"/>
        </w:rPr>
        <w:t>Overall, when compared with other health boards in Wales, Swansea Bay University Health Board remains among the higher</w:t>
      </w:r>
      <w:r w:rsidRPr="00D0306F">
        <w:rPr>
          <w:rFonts w:eastAsia="Aptos" w:cs="Arial"/>
        </w:rPr>
        <w:noBreakHyphen/>
        <w:t>ranking areas for low birth weight, continuing to be placed in the upper third of Welsh health boards, consistent with the upward trend observed since the late 2010.</w:t>
      </w:r>
      <w:r w:rsidRPr="00D0306F">
        <w:rPr>
          <w:rFonts w:eastAsia="Aptos" w:cs="Arial"/>
          <w:vertAlign w:val="superscript"/>
        </w:rPr>
        <w:footnoteReference w:id="34"/>
      </w:r>
    </w:p>
    <w:p w14:paraId="3688610B" w14:textId="77777777" w:rsidR="00460384" w:rsidRPr="00D0306F" w:rsidRDefault="00460384" w:rsidP="00977D0F">
      <w:pPr>
        <w:rPr>
          <w:rFonts w:eastAsia="Aptos" w:cs="Arial"/>
        </w:rPr>
      </w:pPr>
    </w:p>
    <w:p w14:paraId="38D8591C" w14:textId="77777777" w:rsidR="0045574A" w:rsidRPr="00D0306F" w:rsidRDefault="0045574A" w:rsidP="00977D0F">
      <w:pPr>
        <w:rPr>
          <w:rFonts w:eastAsia="Aptos" w:cs="Arial"/>
        </w:rPr>
      </w:pPr>
    </w:p>
    <w:p w14:paraId="37522787" w14:textId="77777777" w:rsidR="0045574A" w:rsidRPr="00D0306F" w:rsidRDefault="0045574A" w:rsidP="00977D0F">
      <w:pPr>
        <w:rPr>
          <w:rFonts w:eastAsia="Aptos" w:cs="Arial"/>
        </w:rPr>
      </w:pPr>
    </w:p>
    <w:p w14:paraId="0AC1FD74" w14:textId="77777777" w:rsidR="0045574A" w:rsidRPr="00D0306F" w:rsidRDefault="0045574A" w:rsidP="00977D0F">
      <w:pPr>
        <w:rPr>
          <w:rFonts w:eastAsia="Aptos" w:cs="Arial"/>
        </w:rPr>
      </w:pPr>
    </w:p>
    <w:p w14:paraId="5BCCA81A" w14:textId="77777777" w:rsidR="0045574A" w:rsidRPr="00D0306F" w:rsidRDefault="0045574A" w:rsidP="00977D0F">
      <w:pPr>
        <w:rPr>
          <w:rFonts w:eastAsia="Aptos" w:cs="Arial"/>
        </w:rPr>
      </w:pPr>
    </w:p>
    <w:p w14:paraId="6FD1D21A" w14:textId="77777777" w:rsidR="0045574A" w:rsidRPr="00D0306F" w:rsidRDefault="0045574A" w:rsidP="00977D0F">
      <w:pPr>
        <w:rPr>
          <w:rFonts w:eastAsia="Aptos" w:cs="Arial"/>
        </w:rPr>
      </w:pPr>
    </w:p>
    <w:p w14:paraId="54764065" w14:textId="77777777" w:rsidR="0045574A" w:rsidRPr="00D0306F" w:rsidRDefault="0045574A" w:rsidP="00977D0F">
      <w:pPr>
        <w:rPr>
          <w:rFonts w:eastAsia="Aptos" w:cs="Arial"/>
        </w:rPr>
      </w:pPr>
    </w:p>
    <w:p w14:paraId="7B898B07" w14:textId="77777777" w:rsidR="0045574A" w:rsidRPr="00D0306F" w:rsidRDefault="0045574A" w:rsidP="00977D0F">
      <w:pPr>
        <w:rPr>
          <w:rFonts w:eastAsia="Aptos" w:cs="Arial"/>
        </w:rPr>
      </w:pPr>
    </w:p>
    <w:p w14:paraId="469A39AF" w14:textId="77777777" w:rsidR="0045574A" w:rsidRPr="00D0306F" w:rsidRDefault="0045574A" w:rsidP="00977D0F">
      <w:pPr>
        <w:rPr>
          <w:rFonts w:eastAsia="Aptos" w:cs="Arial"/>
        </w:rPr>
      </w:pPr>
    </w:p>
    <w:p w14:paraId="199F6169" w14:textId="77777777" w:rsidR="0045574A" w:rsidRPr="00D0306F" w:rsidRDefault="0045574A" w:rsidP="00977D0F">
      <w:pPr>
        <w:rPr>
          <w:rFonts w:eastAsia="Aptos" w:cs="Arial"/>
        </w:rPr>
      </w:pPr>
    </w:p>
    <w:p w14:paraId="5905CFA4" w14:textId="77777777" w:rsidR="0045574A" w:rsidRPr="00D0306F" w:rsidRDefault="0045574A" w:rsidP="00977D0F">
      <w:pPr>
        <w:rPr>
          <w:rFonts w:eastAsia="Aptos" w:cs="Arial"/>
        </w:rPr>
      </w:pPr>
    </w:p>
    <w:p w14:paraId="29E670C6" w14:textId="77777777" w:rsidR="0045574A" w:rsidRPr="00D0306F" w:rsidRDefault="0045574A" w:rsidP="00977D0F">
      <w:pPr>
        <w:rPr>
          <w:rFonts w:eastAsia="Aptos" w:cs="Arial"/>
        </w:rPr>
      </w:pPr>
    </w:p>
    <w:p w14:paraId="5BE5272F" w14:textId="77777777" w:rsidR="0045574A" w:rsidRPr="00D0306F" w:rsidRDefault="0045574A" w:rsidP="00977D0F">
      <w:pPr>
        <w:rPr>
          <w:rFonts w:eastAsia="Aptos" w:cs="Arial"/>
        </w:rPr>
      </w:pPr>
    </w:p>
    <w:p w14:paraId="52DE76D8" w14:textId="77777777" w:rsidR="0045574A" w:rsidRPr="00D0306F" w:rsidRDefault="0045574A" w:rsidP="00977D0F">
      <w:pPr>
        <w:rPr>
          <w:rFonts w:eastAsia="Aptos" w:cs="Arial"/>
        </w:rPr>
      </w:pPr>
    </w:p>
    <w:p w14:paraId="085C94D0" w14:textId="77777777" w:rsidR="0045574A" w:rsidRPr="00D0306F" w:rsidRDefault="0045574A" w:rsidP="00977D0F">
      <w:pPr>
        <w:rPr>
          <w:rFonts w:eastAsia="Aptos" w:cs="Arial"/>
        </w:rPr>
      </w:pPr>
    </w:p>
    <w:p w14:paraId="547C77C0" w14:textId="77777777" w:rsidR="0045574A" w:rsidRPr="00D0306F" w:rsidRDefault="0045574A" w:rsidP="00977D0F">
      <w:pPr>
        <w:rPr>
          <w:rFonts w:eastAsia="Aptos" w:cs="Arial"/>
        </w:rPr>
      </w:pPr>
    </w:p>
    <w:p w14:paraId="2ACF54C0" w14:textId="77777777" w:rsidR="0045574A" w:rsidRPr="00D0306F" w:rsidRDefault="0045574A" w:rsidP="00977D0F">
      <w:pPr>
        <w:rPr>
          <w:rFonts w:eastAsia="Aptos" w:cs="Arial"/>
        </w:rPr>
      </w:pPr>
    </w:p>
    <w:p w14:paraId="7FFCB149" w14:textId="77777777" w:rsidR="0045574A" w:rsidRPr="00D0306F" w:rsidRDefault="0045574A" w:rsidP="00977D0F">
      <w:pPr>
        <w:rPr>
          <w:rFonts w:eastAsia="Aptos" w:cs="Arial"/>
        </w:rPr>
      </w:pPr>
    </w:p>
    <w:p w14:paraId="28FFAD8D" w14:textId="77777777" w:rsidR="00460384" w:rsidRPr="00D0306F" w:rsidRDefault="00460384" w:rsidP="00977D0F">
      <w:pPr>
        <w:rPr>
          <w:rFonts w:eastAsia="Aptos" w:cs="Arial"/>
          <w:b/>
          <w:bCs/>
        </w:rPr>
      </w:pPr>
      <w:r w:rsidRPr="00D0306F">
        <w:rPr>
          <w:rFonts w:eastAsia="Aptos" w:cs="Arial"/>
          <w:b/>
          <w:bCs/>
        </w:rPr>
        <w:t>Figure 2.8: Low birth weight trends in Swansea Bay University Health Board 2011 – 2024</w:t>
      </w:r>
    </w:p>
    <w:p w14:paraId="73B1C9CB" w14:textId="77777777" w:rsidR="00460384" w:rsidRPr="00D0306F" w:rsidRDefault="00460384" w:rsidP="00977D0F">
      <w:pPr>
        <w:rPr>
          <w:rFonts w:eastAsia="Aptos" w:cs="Arial"/>
          <w:b/>
          <w:bCs/>
        </w:rPr>
      </w:pPr>
    </w:p>
    <w:p w14:paraId="06976D35" w14:textId="77777777" w:rsidR="00460384" w:rsidRPr="00D0306F" w:rsidRDefault="00460384" w:rsidP="00977D0F">
      <w:pPr>
        <w:rPr>
          <w:rFonts w:eastAsia="Aptos" w:cs="Arial"/>
          <w:b/>
          <w:bCs/>
        </w:rPr>
      </w:pPr>
      <w:r w:rsidRPr="00D0306F">
        <w:rPr>
          <w:rFonts w:eastAsia="Aptos" w:cs="Arial"/>
          <w:noProof/>
        </w:rPr>
        <w:drawing>
          <wp:inline distT="0" distB="0" distL="0" distR="0" wp14:anchorId="53364960" wp14:editId="4B16F795">
            <wp:extent cx="5667375" cy="2752725"/>
            <wp:effectExtent l="0" t="0" r="9525" b="9525"/>
            <wp:docPr id="16" name="Picture 16" descr="Line chart showing the low birth weight rates from 2011 to 2024 for Neath Port Talbot, Swansea, the health board, and Wales. All four areas follow a similar pattern, declining slightly between 2012 and 2015, then generally increasing to 2020, falling in 2021, and rising again by 2024. Neath Port Talbot peaks at just over 7% in 2020 before dropping and ending at around 6.0% in 2024. Swansea rises from about 5.6% in 2011 to 7.0% in 2024, the highest value shown. The health board increases steadily from around 5.4% to 6.6%, while Wales remains relatively stable, fluctuating between 5% and 6.5% and ending at approximately 6.3% in 2024. The y-axis shows percentages from 0% to 8%, and the x-axis shows years from 2011 to 2024.">
              <a:extLst xmlns:a="http://schemas.openxmlformats.org/drawingml/2006/main">
                <a:ext uri="{FF2B5EF4-FFF2-40B4-BE49-F238E27FC236}">
                  <a16:creationId xmlns:a16="http://schemas.microsoft.com/office/drawing/2014/main" id="{539D3348-83CD-359C-CC39-8FBCA5A1D59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7A45327D" w14:textId="77777777" w:rsidR="00460384" w:rsidRPr="00D0306F" w:rsidRDefault="00460384" w:rsidP="00977D0F">
      <w:pPr>
        <w:rPr>
          <w:rFonts w:eastAsia="Aptos" w:cs="Arial"/>
        </w:rPr>
      </w:pPr>
    </w:p>
    <w:p w14:paraId="4BAED401" w14:textId="77777777" w:rsidR="00460384" w:rsidRPr="00D0306F" w:rsidRDefault="00460384" w:rsidP="00977D0F">
      <w:pPr>
        <w:rPr>
          <w:rFonts w:eastAsia="Aptos" w:cs="Arial"/>
          <w:b/>
          <w:sz w:val="26"/>
          <w:szCs w:val="26"/>
        </w:rPr>
      </w:pPr>
      <w:r w:rsidRPr="00D0306F">
        <w:rPr>
          <w:rFonts w:eastAsia="Aptos" w:cs="Arial"/>
          <w:b/>
          <w:sz w:val="26"/>
          <w:szCs w:val="26"/>
        </w:rPr>
        <w:t>2.8 Life expectancy</w:t>
      </w:r>
    </w:p>
    <w:p w14:paraId="0D08081A" w14:textId="77777777" w:rsidR="00460384" w:rsidRPr="00D0306F" w:rsidRDefault="00460384" w:rsidP="00977D0F">
      <w:pPr>
        <w:rPr>
          <w:rFonts w:eastAsia="Aptos" w:cs="Arial"/>
        </w:rPr>
      </w:pPr>
    </w:p>
    <w:p w14:paraId="082B89D7" w14:textId="77777777" w:rsidR="00460384" w:rsidRPr="00D0306F" w:rsidRDefault="00460384" w:rsidP="00977D0F">
      <w:pPr>
        <w:rPr>
          <w:rFonts w:eastAsia="Aptos" w:cs="Arial"/>
        </w:rPr>
      </w:pPr>
      <w:r w:rsidRPr="00D0306F">
        <w:rPr>
          <w:rFonts w:eastAsia="Aptos" w:cs="Arial"/>
        </w:rPr>
        <w:t>Life expectancy is an estimate of the average number of years new-born babies could expect to live, assuming that the current mortality rates for the area in which they are born apply throughout their lives.</w:t>
      </w:r>
    </w:p>
    <w:p w14:paraId="0953C005" w14:textId="77777777" w:rsidR="00460384" w:rsidRPr="00D0306F" w:rsidRDefault="00460384" w:rsidP="00977D0F">
      <w:pPr>
        <w:rPr>
          <w:rFonts w:eastAsia="Aptos" w:cs="Arial"/>
        </w:rPr>
      </w:pPr>
    </w:p>
    <w:p w14:paraId="6CFA3B28" w14:textId="77777777" w:rsidR="00460384" w:rsidRPr="00D0306F" w:rsidRDefault="00460384" w:rsidP="00977D0F">
      <w:pPr>
        <w:rPr>
          <w:rFonts w:eastAsia="Aptos" w:cs="Arial"/>
        </w:rPr>
      </w:pPr>
      <w:r w:rsidRPr="00D0306F">
        <w:rPr>
          <w:rFonts w:eastAsia="Aptos" w:cs="Arial"/>
        </w:rPr>
        <w:t>The length of people’s lives will differ substantially, and life expectancy can be used to compare death rates between and within communities and other countries over time. It is also important to consider quality of life, which is calculated using the healthy life expectancy measure.</w:t>
      </w:r>
    </w:p>
    <w:p w14:paraId="56BC6856" w14:textId="77777777" w:rsidR="00460384" w:rsidRPr="00D0306F" w:rsidRDefault="00460384" w:rsidP="00977D0F">
      <w:pPr>
        <w:rPr>
          <w:rFonts w:eastAsia="Aptos" w:cs="Arial"/>
        </w:rPr>
      </w:pPr>
    </w:p>
    <w:p w14:paraId="14FBA05C" w14:textId="77777777" w:rsidR="00460384" w:rsidRPr="00D0306F" w:rsidRDefault="00460384" w:rsidP="00977D0F">
      <w:pPr>
        <w:rPr>
          <w:rFonts w:eastAsia="Aptos" w:cs="Arial"/>
        </w:rPr>
      </w:pPr>
      <w:r w:rsidRPr="00D0306F">
        <w:rPr>
          <w:rFonts w:eastAsia="Aptos" w:cs="Arial"/>
        </w:rPr>
        <w:t>Healthy life expectancy at birth represents the number of years a person can expect to live in good health. It is perhaps a better indicator of overall health, since it looks at the period lived in good health and excludes the period when quality of life may be poor.</w:t>
      </w:r>
    </w:p>
    <w:p w14:paraId="1443993B" w14:textId="77777777" w:rsidR="00460384" w:rsidRPr="00D0306F" w:rsidRDefault="00460384" w:rsidP="00977D0F">
      <w:pPr>
        <w:rPr>
          <w:rFonts w:eastAsia="Aptos" w:cs="Arial"/>
        </w:rPr>
      </w:pPr>
    </w:p>
    <w:p w14:paraId="005A1B91" w14:textId="77777777" w:rsidR="00460384" w:rsidRPr="00D0306F" w:rsidRDefault="00460384" w:rsidP="00977D0F">
      <w:pPr>
        <w:rPr>
          <w:rFonts w:eastAsia="Aptos" w:cs="Arial"/>
        </w:rPr>
      </w:pPr>
      <w:r w:rsidRPr="00D0306F">
        <w:rPr>
          <w:rFonts w:eastAsia="Aptos" w:cs="Arial"/>
        </w:rPr>
        <w:t>According to a report published in 2020 by Public Health Wales</w:t>
      </w:r>
      <w:r w:rsidRPr="00D0306F">
        <w:rPr>
          <w:rFonts w:eastAsia="Aptos" w:cs="Arial"/>
          <w:vertAlign w:val="superscript"/>
        </w:rPr>
        <w:footnoteReference w:id="35"/>
      </w:r>
      <w:r w:rsidRPr="00D0306F">
        <w:rPr>
          <w:rFonts w:eastAsia="Aptos" w:cs="Arial"/>
        </w:rPr>
        <w:t>, life expectancy in Wales, together with other countries, has been stalling and is a marked change to steady increases in life expectancy seen since the end of the Second World War. Some of the key findings include:</w:t>
      </w:r>
    </w:p>
    <w:p w14:paraId="1BE046D2" w14:textId="77777777" w:rsidR="00460384" w:rsidRPr="00D0306F" w:rsidRDefault="00460384" w:rsidP="00977D0F">
      <w:pPr>
        <w:rPr>
          <w:rFonts w:eastAsia="Aptos" w:cs="Arial"/>
        </w:rPr>
      </w:pPr>
    </w:p>
    <w:p w14:paraId="0609A229" w14:textId="77777777" w:rsidR="00460384" w:rsidRPr="00D0306F" w:rsidRDefault="00460384" w:rsidP="00977D0F">
      <w:pPr>
        <w:numPr>
          <w:ilvl w:val="0"/>
          <w:numId w:val="40"/>
        </w:numPr>
        <w:rPr>
          <w:rFonts w:eastAsia="Aptos" w:cs="Arial"/>
        </w:rPr>
      </w:pPr>
      <w:r w:rsidRPr="00D0306F">
        <w:rPr>
          <w:rFonts w:eastAsia="Aptos" w:cs="Arial"/>
        </w:rPr>
        <w:t>Between 2001-2003 and 2010–2012, life expectancy in Wales increased substantially (by around 2.6 years for males and 2.0 years for females), but little overall improvement has been seen since 2011, with recent gains only beginning to approach pre</w:t>
      </w:r>
      <w:r w:rsidRPr="00D0306F">
        <w:rPr>
          <w:rFonts w:eastAsia="Aptos" w:cs="Arial"/>
        </w:rPr>
        <w:noBreakHyphen/>
        <w:t xml:space="preserve">pandemic levels for females and remaining slightly below for males. </w:t>
      </w:r>
    </w:p>
    <w:p w14:paraId="3A9EC5C7" w14:textId="77777777" w:rsidR="00460384" w:rsidRPr="00D0306F" w:rsidRDefault="00460384" w:rsidP="00977D0F">
      <w:pPr>
        <w:numPr>
          <w:ilvl w:val="0"/>
          <w:numId w:val="40"/>
        </w:numPr>
        <w:rPr>
          <w:rFonts w:eastAsia="Aptos" w:cs="Arial"/>
        </w:rPr>
      </w:pPr>
      <w:r w:rsidRPr="00D0306F">
        <w:rPr>
          <w:rFonts w:eastAsia="Aptos" w:cs="Arial"/>
        </w:rPr>
        <w:lastRenderedPageBreak/>
        <w:t>The all</w:t>
      </w:r>
      <w:r w:rsidRPr="00D0306F">
        <w:rPr>
          <w:rFonts w:eastAsia="Aptos" w:cs="Arial"/>
        </w:rPr>
        <w:noBreakHyphen/>
        <w:t>cause mortality rate in Wales fell by nearly 20% between 2002 and 2011, but this downward trend has flattened since 2011, with elevated mortality during the pandemic contributing to further disruption in long</w:t>
      </w:r>
      <w:r w:rsidRPr="00D0306F">
        <w:rPr>
          <w:rFonts w:eastAsia="Aptos" w:cs="Arial"/>
        </w:rPr>
        <w:noBreakHyphen/>
        <w:t xml:space="preserve">term improvement. </w:t>
      </w:r>
    </w:p>
    <w:p w14:paraId="781636AF" w14:textId="77777777" w:rsidR="00460384" w:rsidRPr="00D0306F" w:rsidRDefault="00460384" w:rsidP="00977D0F">
      <w:pPr>
        <w:numPr>
          <w:ilvl w:val="0"/>
          <w:numId w:val="40"/>
        </w:numPr>
        <w:rPr>
          <w:rFonts w:eastAsia="Aptos" w:cs="Arial"/>
        </w:rPr>
      </w:pPr>
      <w:r w:rsidRPr="00D0306F">
        <w:rPr>
          <w:rFonts w:eastAsia="Aptos" w:cs="Arial"/>
        </w:rPr>
        <w:t xml:space="preserve">Inequalities in mortality and life expectancy by deprivation have widened. The gap in life expectancy between the most and least deprived areas of Wales remains sizeable (around 8–10 years) and shows no sustained evidence of narrowing in recent periods. </w:t>
      </w:r>
    </w:p>
    <w:p w14:paraId="073CDE26" w14:textId="77777777" w:rsidR="00460384" w:rsidRPr="00D0306F" w:rsidRDefault="00460384" w:rsidP="00977D0F">
      <w:pPr>
        <w:numPr>
          <w:ilvl w:val="0"/>
          <w:numId w:val="40"/>
        </w:numPr>
        <w:rPr>
          <w:rFonts w:eastAsia="Aptos" w:cs="Arial"/>
        </w:rPr>
      </w:pPr>
      <w:r w:rsidRPr="00D0306F">
        <w:rPr>
          <w:rFonts w:eastAsia="Aptos" w:cs="Arial"/>
        </w:rPr>
        <w:t>Rising mortality from respiratory diseases, dementia, and Alzheimer’s disease has had a negative influence on overall life expectancy trends, particularly at older ages.</w:t>
      </w:r>
    </w:p>
    <w:p w14:paraId="452313F9" w14:textId="77777777" w:rsidR="00460384" w:rsidRPr="00D0306F" w:rsidRDefault="00460384" w:rsidP="00977D0F">
      <w:pPr>
        <w:numPr>
          <w:ilvl w:val="0"/>
          <w:numId w:val="40"/>
        </w:numPr>
        <w:rPr>
          <w:rFonts w:eastAsia="Aptos" w:cs="Arial"/>
        </w:rPr>
      </w:pPr>
      <w:r w:rsidRPr="00D0306F">
        <w:rPr>
          <w:rFonts w:eastAsia="Aptos" w:cs="Arial"/>
        </w:rPr>
        <w:t>Healthy life expectancy has declined, and the gap in healthy life expectancy between the most and least deprived areas continues to widen. In Wales, people in the most deprived areas can now expect to live over 20 fewer years in good health than those in the least deprived areas, with these inequalities having increased since the onset of the COVID</w:t>
      </w:r>
      <w:r w:rsidRPr="00D0306F">
        <w:rPr>
          <w:rFonts w:eastAsia="Aptos" w:cs="Arial"/>
        </w:rPr>
        <w:noBreakHyphen/>
        <w:t>19 pandemic.</w:t>
      </w:r>
    </w:p>
    <w:p w14:paraId="6DC20BD3" w14:textId="77777777" w:rsidR="00460384" w:rsidRPr="00D0306F" w:rsidRDefault="00460384" w:rsidP="00977D0F">
      <w:pPr>
        <w:rPr>
          <w:rFonts w:eastAsia="Aptos" w:cs="Arial"/>
        </w:rPr>
      </w:pPr>
    </w:p>
    <w:p w14:paraId="484C8BB9" w14:textId="77777777" w:rsidR="00460384" w:rsidRPr="00D0306F" w:rsidRDefault="00460384" w:rsidP="00977D0F">
      <w:pPr>
        <w:rPr>
          <w:rFonts w:eastAsia="Aptos" w:cs="Arial"/>
        </w:rPr>
      </w:pPr>
      <w:r w:rsidRPr="00D0306F">
        <w:rPr>
          <w:rFonts w:eastAsia="Aptos" w:cs="Arial"/>
        </w:rPr>
        <w:t>Swansea Bay University Health Board follows the all-Wales trend for life-expectancy and is stalling. For males living in Swansea, life expectancy is 76.9 years of age which is slightly lower than the Welsh average at 77.9. For males living in Neath Port Talbot, life expectancy is 76.7. For females, the average is higher. In Swansea it is 81.5, and in Neath Port Talbot it is 80.5. Both are lower than the Wales average of 81.8</w:t>
      </w:r>
      <w:r w:rsidRPr="00D0306F">
        <w:rPr>
          <w:rFonts w:eastAsia="Aptos" w:cs="Arial"/>
          <w:vertAlign w:val="superscript"/>
        </w:rPr>
        <w:footnoteReference w:id="36"/>
      </w:r>
      <w:r w:rsidRPr="00D0306F">
        <w:rPr>
          <w:rFonts w:eastAsia="Aptos" w:cs="Arial"/>
        </w:rPr>
        <w:t xml:space="preserve">. </w:t>
      </w:r>
    </w:p>
    <w:p w14:paraId="3B990B9A" w14:textId="77777777" w:rsidR="00460384" w:rsidRPr="00D0306F" w:rsidRDefault="00460384" w:rsidP="00977D0F">
      <w:pPr>
        <w:rPr>
          <w:rFonts w:eastAsia="Aptos" w:cs="Arial"/>
        </w:rPr>
      </w:pPr>
    </w:p>
    <w:p w14:paraId="795EF326" w14:textId="77777777" w:rsidR="00460384" w:rsidRPr="00D0306F" w:rsidRDefault="00460384" w:rsidP="00977D0F">
      <w:pPr>
        <w:rPr>
          <w:rFonts w:eastAsia="Aptos" w:cs="Arial"/>
        </w:rPr>
      </w:pPr>
      <w:r w:rsidRPr="00D0306F">
        <w:rPr>
          <w:rFonts w:eastAsia="Aptos" w:cs="Arial"/>
        </w:rPr>
        <w:t>Healthy life expectancy is the average number of years a person can expect to live in good health, without being limited by long</w:t>
      </w:r>
      <w:r w:rsidRPr="00D0306F">
        <w:rPr>
          <w:rFonts w:eastAsia="Aptos" w:cs="Arial"/>
        </w:rPr>
        <w:noBreakHyphen/>
        <w:t>term illness or disability, based on current patterns of mortality and health.</w:t>
      </w:r>
    </w:p>
    <w:p w14:paraId="4AA301B3" w14:textId="77777777" w:rsidR="00460384" w:rsidRPr="00D0306F" w:rsidRDefault="00460384" w:rsidP="00977D0F">
      <w:pPr>
        <w:rPr>
          <w:rFonts w:eastAsia="Aptos" w:cs="Arial"/>
        </w:rPr>
      </w:pPr>
    </w:p>
    <w:p w14:paraId="6A850478" w14:textId="77777777" w:rsidR="00460384" w:rsidRPr="00D0306F" w:rsidRDefault="00460384" w:rsidP="00977D0F">
      <w:pPr>
        <w:rPr>
          <w:rFonts w:eastAsia="Aptos" w:cs="Arial"/>
        </w:rPr>
      </w:pPr>
      <w:r w:rsidRPr="00D0306F">
        <w:rPr>
          <w:rFonts w:eastAsia="Aptos" w:cs="Arial"/>
        </w:rPr>
        <w:t>Unsurprisingly health life expectancy is much lower than the general life expectancy figures. In Swansea, the male population can expect a healthy life expectancy of 59.9, in Neath Port Talbot it is 59.1. These are both slightly lower than the Wales average of 60.8. For the female population in Swansea the healthy life expectancy is 59.6 and it is 58.5 in Neath Port Talbot. Both are again lower than the Wales average of 60.2.</w:t>
      </w:r>
      <w:r w:rsidRPr="00D0306F">
        <w:rPr>
          <w:rFonts w:eastAsia="Aptos" w:cs="Arial"/>
          <w:vertAlign w:val="superscript"/>
        </w:rPr>
        <w:footnoteReference w:id="37"/>
      </w:r>
    </w:p>
    <w:p w14:paraId="0C0964A3" w14:textId="77777777" w:rsidR="00460384" w:rsidRPr="00D0306F" w:rsidRDefault="00460384" w:rsidP="00977D0F">
      <w:pPr>
        <w:rPr>
          <w:rFonts w:eastAsia="Aptos" w:cs="Arial"/>
        </w:rPr>
      </w:pPr>
    </w:p>
    <w:p w14:paraId="5F666A0D" w14:textId="5E89F25D" w:rsidR="00460384" w:rsidRPr="00D0306F" w:rsidRDefault="007B620D" w:rsidP="00977D0F">
      <w:pPr>
        <w:rPr>
          <w:rFonts w:eastAsia="Aptos" w:cs="Arial"/>
          <w:b/>
          <w:bCs/>
        </w:rPr>
      </w:pPr>
      <w:r>
        <w:rPr>
          <w:rFonts w:eastAsia="Aptos" w:cs="Arial"/>
          <w:b/>
          <w:bCs/>
        </w:rPr>
        <w:t>Table 2.</w:t>
      </w:r>
      <w:r w:rsidR="00BA1A40">
        <w:rPr>
          <w:rFonts w:eastAsia="Aptos" w:cs="Arial"/>
          <w:b/>
          <w:bCs/>
        </w:rPr>
        <w:t>4</w:t>
      </w:r>
      <w:r w:rsidR="00460384" w:rsidRPr="00D0306F">
        <w:rPr>
          <w:rFonts w:eastAsia="Aptos" w:cs="Arial"/>
          <w:b/>
          <w:bCs/>
        </w:rPr>
        <w:t>: Life expectancy and healthy life expectancy at birth by local authority 2020-2022</w:t>
      </w:r>
    </w:p>
    <w:p w14:paraId="76FF4E55" w14:textId="77777777" w:rsidR="00460384" w:rsidRPr="00D0306F" w:rsidRDefault="00460384" w:rsidP="00977D0F">
      <w:pPr>
        <w:rPr>
          <w:rFonts w:eastAsia="Aptos" w:cs="Arial"/>
          <w:b/>
          <w:bCs/>
        </w:rPr>
      </w:pPr>
    </w:p>
    <w:tbl>
      <w:tblPr>
        <w:tblStyle w:val="TableGrid"/>
        <w:tblW w:w="0" w:type="auto"/>
        <w:tblInd w:w="0" w:type="dxa"/>
        <w:tblLook w:val="04A0" w:firstRow="1" w:lastRow="0" w:firstColumn="1" w:lastColumn="0" w:noHBand="0" w:noVBand="1"/>
      </w:tblPr>
      <w:tblGrid>
        <w:gridCol w:w="2972"/>
        <w:gridCol w:w="1557"/>
        <w:gridCol w:w="1797"/>
        <w:gridCol w:w="1377"/>
        <w:gridCol w:w="1134"/>
      </w:tblGrid>
      <w:tr w:rsidR="00460384" w:rsidRPr="00D0306F" w14:paraId="60C94B36" w14:textId="77777777" w:rsidTr="00E51D7D">
        <w:tc>
          <w:tcPr>
            <w:tcW w:w="2972" w:type="dxa"/>
            <w:tcBorders>
              <w:top w:val="single" w:sz="4" w:space="0" w:color="auto"/>
              <w:left w:val="single" w:sz="4" w:space="0" w:color="auto"/>
              <w:bottom w:val="single" w:sz="4" w:space="0" w:color="auto"/>
              <w:right w:val="single" w:sz="4" w:space="0" w:color="auto"/>
            </w:tcBorders>
            <w:shd w:val="clear" w:color="auto" w:fill="153D63"/>
          </w:tcPr>
          <w:p w14:paraId="3B6D1C5F" w14:textId="77777777" w:rsidR="00460384" w:rsidRPr="00D0306F" w:rsidRDefault="00460384" w:rsidP="00977D0F">
            <w:pPr>
              <w:rPr>
                <w:rFonts w:cs="Arial"/>
                <w:b/>
                <w:bCs/>
                <w:color w:val="FFFFFF"/>
              </w:rPr>
            </w:pPr>
          </w:p>
        </w:tc>
        <w:tc>
          <w:tcPr>
            <w:tcW w:w="1557" w:type="dxa"/>
            <w:tcBorders>
              <w:top w:val="single" w:sz="4" w:space="0" w:color="auto"/>
              <w:left w:val="single" w:sz="4" w:space="0" w:color="auto"/>
              <w:bottom w:val="single" w:sz="4" w:space="0" w:color="auto"/>
              <w:right w:val="single" w:sz="4" w:space="0" w:color="auto"/>
            </w:tcBorders>
            <w:shd w:val="clear" w:color="auto" w:fill="153D63"/>
            <w:hideMark/>
          </w:tcPr>
          <w:p w14:paraId="63E64E56" w14:textId="77777777" w:rsidR="00460384" w:rsidRPr="00D0306F" w:rsidRDefault="00460384" w:rsidP="00977D0F">
            <w:pPr>
              <w:rPr>
                <w:rFonts w:cs="Arial"/>
                <w:b/>
                <w:bCs/>
                <w:color w:val="FFFFFF"/>
              </w:rPr>
            </w:pPr>
            <w:r w:rsidRPr="00D0306F">
              <w:rPr>
                <w:rFonts w:cs="Arial"/>
                <w:b/>
                <w:bCs/>
                <w:color w:val="FFFFFF"/>
              </w:rPr>
              <w:t>Gender</w:t>
            </w:r>
          </w:p>
        </w:tc>
        <w:tc>
          <w:tcPr>
            <w:tcW w:w="1797" w:type="dxa"/>
            <w:tcBorders>
              <w:top w:val="single" w:sz="4" w:space="0" w:color="auto"/>
              <w:left w:val="single" w:sz="4" w:space="0" w:color="auto"/>
              <w:bottom w:val="single" w:sz="4" w:space="0" w:color="auto"/>
              <w:right w:val="single" w:sz="4" w:space="0" w:color="auto"/>
            </w:tcBorders>
            <w:shd w:val="clear" w:color="auto" w:fill="153D63"/>
            <w:hideMark/>
          </w:tcPr>
          <w:p w14:paraId="155833AE" w14:textId="77777777" w:rsidR="00460384" w:rsidRPr="00D0306F" w:rsidRDefault="00460384" w:rsidP="00977D0F">
            <w:pPr>
              <w:rPr>
                <w:rFonts w:cs="Arial"/>
                <w:b/>
                <w:bCs/>
                <w:color w:val="FFFFFF"/>
              </w:rPr>
            </w:pPr>
            <w:r w:rsidRPr="00D0306F">
              <w:rPr>
                <w:rFonts w:cs="Arial"/>
                <w:b/>
                <w:bCs/>
                <w:color w:val="FFFFFF"/>
              </w:rPr>
              <w:t>Neath Port Talbot</w:t>
            </w:r>
          </w:p>
        </w:tc>
        <w:tc>
          <w:tcPr>
            <w:tcW w:w="1377" w:type="dxa"/>
            <w:tcBorders>
              <w:top w:val="single" w:sz="4" w:space="0" w:color="auto"/>
              <w:left w:val="single" w:sz="4" w:space="0" w:color="auto"/>
              <w:bottom w:val="single" w:sz="4" w:space="0" w:color="auto"/>
              <w:right w:val="single" w:sz="4" w:space="0" w:color="auto"/>
            </w:tcBorders>
            <w:shd w:val="clear" w:color="auto" w:fill="153D63"/>
            <w:hideMark/>
          </w:tcPr>
          <w:p w14:paraId="73C3460B" w14:textId="77777777" w:rsidR="00460384" w:rsidRPr="00D0306F" w:rsidRDefault="00460384" w:rsidP="00977D0F">
            <w:pPr>
              <w:rPr>
                <w:rFonts w:cs="Arial"/>
                <w:b/>
                <w:bCs/>
                <w:color w:val="FFFFFF"/>
              </w:rPr>
            </w:pPr>
            <w:r w:rsidRPr="00D0306F">
              <w:rPr>
                <w:rFonts w:cs="Arial"/>
                <w:b/>
                <w:bCs/>
                <w:color w:val="FFFFFF"/>
              </w:rPr>
              <w:t>Swansea</w:t>
            </w:r>
          </w:p>
        </w:tc>
        <w:tc>
          <w:tcPr>
            <w:tcW w:w="1134" w:type="dxa"/>
            <w:tcBorders>
              <w:top w:val="single" w:sz="4" w:space="0" w:color="auto"/>
              <w:left w:val="single" w:sz="4" w:space="0" w:color="auto"/>
              <w:bottom w:val="single" w:sz="4" w:space="0" w:color="auto"/>
              <w:right w:val="single" w:sz="4" w:space="0" w:color="auto"/>
            </w:tcBorders>
            <w:shd w:val="clear" w:color="auto" w:fill="153D63"/>
            <w:hideMark/>
          </w:tcPr>
          <w:p w14:paraId="2562F7CD" w14:textId="77777777" w:rsidR="00460384" w:rsidRPr="00D0306F" w:rsidRDefault="00460384" w:rsidP="00977D0F">
            <w:pPr>
              <w:rPr>
                <w:rFonts w:cs="Arial"/>
                <w:b/>
                <w:bCs/>
                <w:color w:val="FFFFFF"/>
              </w:rPr>
            </w:pPr>
            <w:r w:rsidRPr="00D0306F">
              <w:rPr>
                <w:rFonts w:cs="Arial"/>
                <w:b/>
                <w:bCs/>
                <w:color w:val="FFFFFF"/>
              </w:rPr>
              <w:t>Wales</w:t>
            </w:r>
          </w:p>
        </w:tc>
      </w:tr>
      <w:tr w:rsidR="00460384" w:rsidRPr="00D0306F" w14:paraId="71793479" w14:textId="77777777" w:rsidTr="00E51D7D">
        <w:tc>
          <w:tcPr>
            <w:tcW w:w="2972" w:type="dxa"/>
            <w:tcBorders>
              <w:top w:val="single" w:sz="4" w:space="0" w:color="auto"/>
              <w:left w:val="single" w:sz="4" w:space="0" w:color="auto"/>
              <w:bottom w:val="single" w:sz="4" w:space="0" w:color="auto"/>
              <w:right w:val="single" w:sz="4" w:space="0" w:color="auto"/>
            </w:tcBorders>
            <w:hideMark/>
          </w:tcPr>
          <w:p w14:paraId="25574B5B" w14:textId="77777777" w:rsidR="00460384" w:rsidRPr="00D0306F" w:rsidRDefault="00460384" w:rsidP="00977D0F">
            <w:pPr>
              <w:rPr>
                <w:rFonts w:cs="Arial"/>
              </w:rPr>
            </w:pPr>
            <w:r w:rsidRPr="00D0306F">
              <w:rPr>
                <w:rFonts w:cs="Arial"/>
              </w:rPr>
              <w:t>Life expectancy</w:t>
            </w:r>
          </w:p>
        </w:tc>
        <w:tc>
          <w:tcPr>
            <w:tcW w:w="1557" w:type="dxa"/>
            <w:tcBorders>
              <w:top w:val="single" w:sz="4" w:space="0" w:color="auto"/>
              <w:left w:val="single" w:sz="4" w:space="0" w:color="auto"/>
              <w:bottom w:val="single" w:sz="4" w:space="0" w:color="auto"/>
              <w:right w:val="single" w:sz="4" w:space="0" w:color="auto"/>
            </w:tcBorders>
            <w:hideMark/>
          </w:tcPr>
          <w:p w14:paraId="20F2BBC0" w14:textId="77777777" w:rsidR="00460384" w:rsidRPr="00D0306F" w:rsidRDefault="00460384" w:rsidP="00977D0F">
            <w:pPr>
              <w:rPr>
                <w:rFonts w:cs="Arial"/>
              </w:rPr>
            </w:pPr>
            <w:r w:rsidRPr="00D0306F">
              <w:rPr>
                <w:rFonts w:cs="Arial"/>
              </w:rPr>
              <w:t>Males</w:t>
            </w:r>
          </w:p>
          <w:p w14:paraId="1B19787D" w14:textId="77777777" w:rsidR="00460384" w:rsidRPr="00D0306F" w:rsidRDefault="00460384" w:rsidP="00977D0F">
            <w:pPr>
              <w:rPr>
                <w:rFonts w:cs="Arial"/>
              </w:rPr>
            </w:pPr>
            <w:r w:rsidRPr="00D0306F">
              <w:rPr>
                <w:rFonts w:cs="Arial"/>
              </w:rPr>
              <w:t>Females</w:t>
            </w:r>
          </w:p>
        </w:tc>
        <w:tc>
          <w:tcPr>
            <w:tcW w:w="1797" w:type="dxa"/>
            <w:tcBorders>
              <w:top w:val="single" w:sz="4" w:space="0" w:color="auto"/>
              <w:left w:val="single" w:sz="4" w:space="0" w:color="auto"/>
              <w:bottom w:val="single" w:sz="4" w:space="0" w:color="auto"/>
              <w:right w:val="single" w:sz="4" w:space="0" w:color="auto"/>
            </w:tcBorders>
            <w:hideMark/>
          </w:tcPr>
          <w:p w14:paraId="3B300EAE" w14:textId="77777777" w:rsidR="00460384" w:rsidRPr="00D0306F" w:rsidRDefault="00460384" w:rsidP="00977D0F">
            <w:pPr>
              <w:rPr>
                <w:rFonts w:cs="Arial"/>
              </w:rPr>
            </w:pPr>
            <w:r w:rsidRPr="00D0306F">
              <w:rPr>
                <w:rFonts w:cs="Arial"/>
              </w:rPr>
              <w:t>76.7</w:t>
            </w:r>
          </w:p>
          <w:p w14:paraId="3DAFF6B0" w14:textId="77777777" w:rsidR="00460384" w:rsidRPr="00D0306F" w:rsidRDefault="00460384" w:rsidP="00977D0F">
            <w:pPr>
              <w:rPr>
                <w:rFonts w:cs="Arial"/>
              </w:rPr>
            </w:pPr>
            <w:r w:rsidRPr="00D0306F">
              <w:rPr>
                <w:rFonts w:cs="Arial"/>
              </w:rPr>
              <w:t>80.5</w:t>
            </w:r>
          </w:p>
        </w:tc>
        <w:tc>
          <w:tcPr>
            <w:tcW w:w="1377" w:type="dxa"/>
            <w:tcBorders>
              <w:top w:val="single" w:sz="4" w:space="0" w:color="auto"/>
              <w:left w:val="single" w:sz="4" w:space="0" w:color="auto"/>
              <w:bottom w:val="single" w:sz="4" w:space="0" w:color="auto"/>
              <w:right w:val="single" w:sz="4" w:space="0" w:color="auto"/>
            </w:tcBorders>
            <w:hideMark/>
          </w:tcPr>
          <w:p w14:paraId="229790BC" w14:textId="77777777" w:rsidR="00460384" w:rsidRPr="00D0306F" w:rsidRDefault="00460384" w:rsidP="00977D0F">
            <w:pPr>
              <w:rPr>
                <w:rFonts w:cs="Arial"/>
              </w:rPr>
            </w:pPr>
            <w:r w:rsidRPr="00D0306F">
              <w:rPr>
                <w:rFonts w:cs="Arial"/>
              </w:rPr>
              <w:t>76.9</w:t>
            </w:r>
          </w:p>
          <w:p w14:paraId="2B984B1F" w14:textId="77777777" w:rsidR="00460384" w:rsidRPr="00D0306F" w:rsidRDefault="00460384" w:rsidP="00977D0F">
            <w:pPr>
              <w:rPr>
                <w:rFonts w:cs="Arial"/>
              </w:rPr>
            </w:pPr>
            <w:r w:rsidRPr="00D0306F">
              <w:rPr>
                <w:rFonts w:cs="Arial"/>
              </w:rPr>
              <w:t>81.5</w:t>
            </w:r>
          </w:p>
        </w:tc>
        <w:tc>
          <w:tcPr>
            <w:tcW w:w="1134" w:type="dxa"/>
            <w:tcBorders>
              <w:top w:val="single" w:sz="4" w:space="0" w:color="auto"/>
              <w:left w:val="single" w:sz="4" w:space="0" w:color="auto"/>
              <w:bottom w:val="single" w:sz="4" w:space="0" w:color="auto"/>
              <w:right w:val="single" w:sz="4" w:space="0" w:color="auto"/>
            </w:tcBorders>
            <w:hideMark/>
          </w:tcPr>
          <w:p w14:paraId="0C86C167" w14:textId="77777777" w:rsidR="00460384" w:rsidRPr="00D0306F" w:rsidRDefault="00460384" w:rsidP="00977D0F">
            <w:pPr>
              <w:rPr>
                <w:rFonts w:cs="Arial"/>
              </w:rPr>
            </w:pPr>
            <w:r w:rsidRPr="00D0306F">
              <w:rPr>
                <w:rFonts w:cs="Arial"/>
              </w:rPr>
              <w:t>77.9</w:t>
            </w:r>
          </w:p>
          <w:p w14:paraId="28B6376E" w14:textId="77777777" w:rsidR="00460384" w:rsidRPr="00D0306F" w:rsidRDefault="00460384" w:rsidP="00977D0F">
            <w:pPr>
              <w:rPr>
                <w:rFonts w:cs="Arial"/>
              </w:rPr>
            </w:pPr>
            <w:r w:rsidRPr="00D0306F">
              <w:rPr>
                <w:rFonts w:cs="Arial"/>
              </w:rPr>
              <w:t>81.8</w:t>
            </w:r>
          </w:p>
        </w:tc>
      </w:tr>
      <w:tr w:rsidR="00460384" w:rsidRPr="00D0306F" w14:paraId="1CAC4828" w14:textId="77777777" w:rsidTr="00E51D7D">
        <w:tc>
          <w:tcPr>
            <w:tcW w:w="2972" w:type="dxa"/>
            <w:tcBorders>
              <w:top w:val="single" w:sz="4" w:space="0" w:color="auto"/>
              <w:left w:val="single" w:sz="4" w:space="0" w:color="auto"/>
              <w:bottom w:val="single" w:sz="4" w:space="0" w:color="auto"/>
              <w:right w:val="single" w:sz="4" w:space="0" w:color="auto"/>
            </w:tcBorders>
            <w:hideMark/>
          </w:tcPr>
          <w:p w14:paraId="51DF0B07" w14:textId="77777777" w:rsidR="00460384" w:rsidRPr="00D0306F" w:rsidRDefault="00460384" w:rsidP="00977D0F">
            <w:pPr>
              <w:rPr>
                <w:rFonts w:cs="Arial"/>
              </w:rPr>
            </w:pPr>
            <w:r w:rsidRPr="00D0306F">
              <w:rPr>
                <w:rFonts w:cs="Arial"/>
              </w:rPr>
              <w:t>Healthy life expectancy</w:t>
            </w:r>
          </w:p>
        </w:tc>
        <w:tc>
          <w:tcPr>
            <w:tcW w:w="1557" w:type="dxa"/>
            <w:tcBorders>
              <w:top w:val="single" w:sz="4" w:space="0" w:color="auto"/>
              <w:left w:val="single" w:sz="4" w:space="0" w:color="auto"/>
              <w:bottom w:val="single" w:sz="4" w:space="0" w:color="auto"/>
              <w:right w:val="single" w:sz="4" w:space="0" w:color="auto"/>
            </w:tcBorders>
            <w:hideMark/>
          </w:tcPr>
          <w:p w14:paraId="74B6FC28" w14:textId="77777777" w:rsidR="00460384" w:rsidRPr="00D0306F" w:rsidRDefault="00460384" w:rsidP="00977D0F">
            <w:pPr>
              <w:rPr>
                <w:rFonts w:cs="Arial"/>
              </w:rPr>
            </w:pPr>
            <w:r w:rsidRPr="00D0306F">
              <w:rPr>
                <w:rFonts w:cs="Arial"/>
              </w:rPr>
              <w:t>Males</w:t>
            </w:r>
          </w:p>
          <w:p w14:paraId="2AF48AF6" w14:textId="77777777" w:rsidR="00460384" w:rsidRPr="00D0306F" w:rsidRDefault="00460384" w:rsidP="00977D0F">
            <w:pPr>
              <w:rPr>
                <w:rFonts w:cs="Arial"/>
              </w:rPr>
            </w:pPr>
            <w:r w:rsidRPr="00D0306F">
              <w:rPr>
                <w:rFonts w:cs="Arial"/>
              </w:rPr>
              <w:t>Females</w:t>
            </w:r>
          </w:p>
        </w:tc>
        <w:tc>
          <w:tcPr>
            <w:tcW w:w="1797" w:type="dxa"/>
            <w:tcBorders>
              <w:top w:val="single" w:sz="4" w:space="0" w:color="auto"/>
              <w:left w:val="single" w:sz="4" w:space="0" w:color="auto"/>
              <w:bottom w:val="single" w:sz="4" w:space="0" w:color="auto"/>
              <w:right w:val="single" w:sz="4" w:space="0" w:color="auto"/>
            </w:tcBorders>
            <w:hideMark/>
          </w:tcPr>
          <w:p w14:paraId="0283BFBC" w14:textId="77777777" w:rsidR="00460384" w:rsidRPr="00D0306F" w:rsidRDefault="00460384" w:rsidP="00977D0F">
            <w:pPr>
              <w:rPr>
                <w:rFonts w:cs="Arial"/>
              </w:rPr>
            </w:pPr>
            <w:r w:rsidRPr="00D0306F">
              <w:rPr>
                <w:rFonts w:cs="Arial"/>
              </w:rPr>
              <w:t>59.1</w:t>
            </w:r>
          </w:p>
          <w:p w14:paraId="135F43E6" w14:textId="77777777" w:rsidR="00460384" w:rsidRPr="00D0306F" w:rsidRDefault="00460384" w:rsidP="00977D0F">
            <w:pPr>
              <w:rPr>
                <w:rFonts w:cs="Arial"/>
              </w:rPr>
            </w:pPr>
            <w:r w:rsidRPr="00D0306F">
              <w:rPr>
                <w:rFonts w:cs="Arial"/>
              </w:rPr>
              <w:t>58.5</w:t>
            </w:r>
          </w:p>
        </w:tc>
        <w:tc>
          <w:tcPr>
            <w:tcW w:w="1377" w:type="dxa"/>
            <w:tcBorders>
              <w:top w:val="single" w:sz="4" w:space="0" w:color="auto"/>
              <w:left w:val="single" w:sz="4" w:space="0" w:color="auto"/>
              <w:bottom w:val="single" w:sz="4" w:space="0" w:color="auto"/>
              <w:right w:val="single" w:sz="4" w:space="0" w:color="auto"/>
            </w:tcBorders>
            <w:hideMark/>
          </w:tcPr>
          <w:p w14:paraId="48BC95AA" w14:textId="77777777" w:rsidR="00460384" w:rsidRPr="00D0306F" w:rsidRDefault="00460384" w:rsidP="00977D0F">
            <w:pPr>
              <w:rPr>
                <w:rFonts w:cs="Arial"/>
              </w:rPr>
            </w:pPr>
            <w:r w:rsidRPr="00D0306F">
              <w:rPr>
                <w:rFonts w:cs="Arial"/>
              </w:rPr>
              <w:t>59.9</w:t>
            </w:r>
          </w:p>
          <w:p w14:paraId="05C673B4" w14:textId="77777777" w:rsidR="00460384" w:rsidRPr="00D0306F" w:rsidRDefault="00460384" w:rsidP="00977D0F">
            <w:pPr>
              <w:rPr>
                <w:rFonts w:cs="Arial"/>
              </w:rPr>
            </w:pPr>
            <w:r w:rsidRPr="00D0306F">
              <w:rPr>
                <w:rFonts w:cs="Arial"/>
              </w:rPr>
              <w:t>59.6</w:t>
            </w:r>
          </w:p>
        </w:tc>
        <w:tc>
          <w:tcPr>
            <w:tcW w:w="1134" w:type="dxa"/>
            <w:tcBorders>
              <w:top w:val="single" w:sz="4" w:space="0" w:color="auto"/>
              <w:left w:val="single" w:sz="4" w:space="0" w:color="auto"/>
              <w:bottom w:val="single" w:sz="4" w:space="0" w:color="auto"/>
              <w:right w:val="single" w:sz="4" w:space="0" w:color="auto"/>
            </w:tcBorders>
            <w:hideMark/>
          </w:tcPr>
          <w:p w14:paraId="295164CF" w14:textId="77777777" w:rsidR="00460384" w:rsidRPr="00D0306F" w:rsidRDefault="00460384" w:rsidP="00977D0F">
            <w:pPr>
              <w:rPr>
                <w:rFonts w:cs="Arial"/>
              </w:rPr>
            </w:pPr>
            <w:r w:rsidRPr="00D0306F">
              <w:rPr>
                <w:rFonts w:cs="Arial"/>
              </w:rPr>
              <w:t>60.8</w:t>
            </w:r>
          </w:p>
          <w:p w14:paraId="32951751" w14:textId="77777777" w:rsidR="00460384" w:rsidRPr="00D0306F" w:rsidRDefault="00460384" w:rsidP="00977D0F">
            <w:pPr>
              <w:rPr>
                <w:rFonts w:cs="Arial"/>
              </w:rPr>
            </w:pPr>
            <w:r w:rsidRPr="00D0306F">
              <w:rPr>
                <w:rFonts w:cs="Arial"/>
              </w:rPr>
              <w:t>60.2</w:t>
            </w:r>
          </w:p>
        </w:tc>
      </w:tr>
      <w:tr w:rsidR="00460384" w:rsidRPr="00D0306F" w14:paraId="0A849151" w14:textId="77777777" w:rsidTr="00E51D7D">
        <w:tc>
          <w:tcPr>
            <w:tcW w:w="2972" w:type="dxa"/>
            <w:tcBorders>
              <w:top w:val="single" w:sz="4" w:space="0" w:color="auto"/>
              <w:left w:val="single" w:sz="4" w:space="0" w:color="auto"/>
              <w:bottom w:val="single" w:sz="4" w:space="0" w:color="auto"/>
              <w:right w:val="single" w:sz="4" w:space="0" w:color="auto"/>
            </w:tcBorders>
            <w:hideMark/>
          </w:tcPr>
          <w:p w14:paraId="1858F62F" w14:textId="77777777" w:rsidR="00460384" w:rsidRPr="00D0306F" w:rsidRDefault="00460384" w:rsidP="00977D0F">
            <w:pPr>
              <w:rPr>
                <w:rFonts w:cs="Arial"/>
              </w:rPr>
            </w:pPr>
            <w:r w:rsidRPr="00D0306F">
              <w:rPr>
                <w:rFonts w:cs="Arial"/>
              </w:rPr>
              <w:t>Percentage of life expectancy in good health</w:t>
            </w:r>
          </w:p>
        </w:tc>
        <w:tc>
          <w:tcPr>
            <w:tcW w:w="1557" w:type="dxa"/>
            <w:tcBorders>
              <w:top w:val="single" w:sz="4" w:space="0" w:color="auto"/>
              <w:left w:val="single" w:sz="4" w:space="0" w:color="auto"/>
              <w:bottom w:val="single" w:sz="4" w:space="0" w:color="auto"/>
              <w:right w:val="single" w:sz="4" w:space="0" w:color="auto"/>
            </w:tcBorders>
          </w:tcPr>
          <w:p w14:paraId="27E91FC6" w14:textId="77777777" w:rsidR="00460384" w:rsidRPr="00D0306F" w:rsidRDefault="00460384" w:rsidP="00977D0F">
            <w:pPr>
              <w:rPr>
                <w:rFonts w:cs="Arial"/>
              </w:rPr>
            </w:pPr>
            <w:r w:rsidRPr="00D0306F">
              <w:rPr>
                <w:rFonts w:cs="Arial"/>
              </w:rPr>
              <w:t>Males</w:t>
            </w:r>
          </w:p>
          <w:p w14:paraId="3574B956" w14:textId="77777777" w:rsidR="00460384" w:rsidRPr="00D0306F" w:rsidRDefault="00460384" w:rsidP="00977D0F">
            <w:pPr>
              <w:rPr>
                <w:rFonts w:cs="Arial"/>
              </w:rPr>
            </w:pPr>
          </w:p>
          <w:p w14:paraId="59F6D9E1" w14:textId="77777777" w:rsidR="00460384" w:rsidRPr="00D0306F" w:rsidRDefault="00460384" w:rsidP="00977D0F">
            <w:pPr>
              <w:rPr>
                <w:rFonts w:cs="Arial"/>
              </w:rPr>
            </w:pPr>
            <w:r w:rsidRPr="00D0306F">
              <w:rPr>
                <w:rFonts w:cs="Arial"/>
              </w:rPr>
              <w:t>Females</w:t>
            </w:r>
          </w:p>
        </w:tc>
        <w:tc>
          <w:tcPr>
            <w:tcW w:w="1797" w:type="dxa"/>
            <w:tcBorders>
              <w:top w:val="single" w:sz="4" w:space="0" w:color="auto"/>
              <w:left w:val="single" w:sz="4" w:space="0" w:color="auto"/>
              <w:bottom w:val="single" w:sz="4" w:space="0" w:color="auto"/>
              <w:right w:val="single" w:sz="4" w:space="0" w:color="auto"/>
            </w:tcBorders>
          </w:tcPr>
          <w:p w14:paraId="6E116B12" w14:textId="77777777" w:rsidR="00460384" w:rsidRPr="00D0306F" w:rsidRDefault="00460384" w:rsidP="00977D0F">
            <w:pPr>
              <w:rPr>
                <w:rFonts w:cs="Arial"/>
              </w:rPr>
            </w:pPr>
            <w:r w:rsidRPr="00D0306F">
              <w:rPr>
                <w:rFonts w:cs="Arial"/>
              </w:rPr>
              <w:t>77.8%</w:t>
            </w:r>
          </w:p>
          <w:p w14:paraId="2D4585AE" w14:textId="77777777" w:rsidR="00460384" w:rsidRPr="00D0306F" w:rsidRDefault="00460384" w:rsidP="00977D0F">
            <w:pPr>
              <w:rPr>
                <w:rFonts w:cs="Arial"/>
              </w:rPr>
            </w:pPr>
          </w:p>
          <w:p w14:paraId="5F262CAA" w14:textId="77777777" w:rsidR="00460384" w:rsidRPr="00D0306F" w:rsidRDefault="00460384" w:rsidP="00977D0F">
            <w:pPr>
              <w:rPr>
                <w:rFonts w:cs="Arial"/>
              </w:rPr>
            </w:pPr>
            <w:r w:rsidRPr="00D0306F">
              <w:rPr>
                <w:rFonts w:cs="Arial"/>
              </w:rPr>
              <w:t>72.3%</w:t>
            </w:r>
          </w:p>
        </w:tc>
        <w:tc>
          <w:tcPr>
            <w:tcW w:w="1377" w:type="dxa"/>
            <w:tcBorders>
              <w:top w:val="single" w:sz="4" w:space="0" w:color="auto"/>
              <w:left w:val="single" w:sz="4" w:space="0" w:color="auto"/>
              <w:bottom w:val="single" w:sz="4" w:space="0" w:color="auto"/>
              <w:right w:val="single" w:sz="4" w:space="0" w:color="auto"/>
            </w:tcBorders>
          </w:tcPr>
          <w:p w14:paraId="568C6866" w14:textId="77777777" w:rsidR="00460384" w:rsidRPr="00D0306F" w:rsidRDefault="00460384" w:rsidP="00977D0F">
            <w:pPr>
              <w:rPr>
                <w:rFonts w:cs="Arial"/>
              </w:rPr>
            </w:pPr>
            <w:r w:rsidRPr="00D0306F">
              <w:rPr>
                <w:rFonts w:cs="Arial"/>
              </w:rPr>
              <w:t>77.9%</w:t>
            </w:r>
          </w:p>
          <w:p w14:paraId="638DE772" w14:textId="77777777" w:rsidR="00460384" w:rsidRPr="00D0306F" w:rsidRDefault="00460384" w:rsidP="00977D0F">
            <w:pPr>
              <w:rPr>
                <w:rFonts w:cs="Arial"/>
              </w:rPr>
            </w:pPr>
          </w:p>
          <w:p w14:paraId="55F4EAD0" w14:textId="77777777" w:rsidR="00460384" w:rsidRPr="00D0306F" w:rsidRDefault="00460384" w:rsidP="00977D0F">
            <w:pPr>
              <w:rPr>
                <w:rFonts w:cs="Arial"/>
              </w:rPr>
            </w:pPr>
            <w:r w:rsidRPr="00D0306F">
              <w:rPr>
                <w:rFonts w:cs="Arial"/>
              </w:rPr>
              <w:t>73.1%</w:t>
            </w:r>
          </w:p>
        </w:tc>
        <w:tc>
          <w:tcPr>
            <w:tcW w:w="1134" w:type="dxa"/>
            <w:tcBorders>
              <w:top w:val="single" w:sz="4" w:space="0" w:color="auto"/>
              <w:left w:val="single" w:sz="4" w:space="0" w:color="auto"/>
              <w:bottom w:val="single" w:sz="4" w:space="0" w:color="auto"/>
              <w:right w:val="single" w:sz="4" w:space="0" w:color="auto"/>
            </w:tcBorders>
          </w:tcPr>
          <w:p w14:paraId="2FE104B5" w14:textId="77777777" w:rsidR="00460384" w:rsidRPr="00D0306F" w:rsidRDefault="00460384" w:rsidP="00977D0F">
            <w:pPr>
              <w:rPr>
                <w:rFonts w:cs="Arial"/>
              </w:rPr>
            </w:pPr>
            <w:r w:rsidRPr="00D0306F">
              <w:rPr>
                <w:rFonts w:cs="Arial"/>
              </w:rPr>
              <w:t>78.0%</w:t>
            </w:r>
          </w:p>
          <w:p w14:paraId="667E50BE" w14:textId="77777777" w:rsidR="00460384" w:rsidRPr="00D0306F" w:rsidRDefault="00460384" w:rsidP="00977D0F">
            <w:pPr>
              <w:rPr>
                <w:rFonts w:cs="Arial"/>
              </w:rPr>
            </w:pPr>
          </w:p>
          <w:p w14:paraId="16EC83AF" w14:textId="77777777" w:rsidR="00460384" w:rsidRPr="00D0306F" w:rsidRDefault="00460384" w:rsidP="00977D0F">
            <w:pPr>
              <w:rPr>
                <w:rFonts w:cs="Arial"/>
              </w:rPr>
            </w:pPr>
            <w:r w:rsidRPr="00D0306F">
              <w:rPr>
                <w:rFonts w:cs="Arial"/>
              </w:rPr>
              <w:t>73.6%</w:t>
            </w:r>
          </w:p>
        </w:tc>
      </w:tr>
    </w:tbl>
    <w:p w14:paraId="1AC78182" w14:textId="77777777" w:rsidR="00460384" w:rsidRPr="00D0306F" w:rsidRDefault="00460384" w:rsidP="00977D0F">
      <w:pPr>
        <w:rPr>
          <w:rFonts w:eastAsia="Aptos" w:cs="Arial"/>
          <w:b/>
          <w:bCs/>
        </w:rPr>
      </w:pPr>
    </w:p>
    <w:p w14:paraId="72C00ABA" w14:textId="77777777" w:rsidR="00460384" w:rsidRPr="00D0306F" w:rsidRDefault="00460384" w:rsidP="00977D0F">
      <w:pPr>
        <w:rPr>
          <w:rFonts w:eastAsia="Aptos" w:cs="Arial"/>
        </w:rPr>
      </w:pPr>
      <w:r w:rsidRPr="00D0306F">
        <w:rPr>
          <w:rFonts w:eastAsia="Aptos" w:cs="Arial"/>
        </w:rPr>
        <w:t>Large inequalities in life expectancy and healthy life expectancy persist in Wales. The gap in healthy life expectancy between the most and least deprived groups exceeds that seen for life expectancy and is wider for women than for men, both at birth and at age 65, highlighting long</w:t>
      </w:r>
      <w:r w:rsidRPr="00D0306F">
        <w:rPr>
          <w:rFonts w:eastAsia="Aptos" w:cs="Arial"/>
        </w:rPr>
        <w:noBreakHyphen/>
        <w:t>standing inequalities in the quality as well as the length of life.</w:t>
      </w:r>
    </w:p>
    <w:p w14:paraId="4C686BBE" w14:textId="77777777" w:rsidR="00460384" w:rsidRPr="00D0306F" w:rsidRDefault="00460384" w:rsidP="00977D0F">
      <w:pPr>
        <w:rPr>
          <w:rFonts w:eastAsia="Aptos" w:cs="Arial"/>
        </w:rPr>
      </w:pPr>
    </w:p>
    <w:p w14:paraId="5CFA40B2" w14:textId="77777777" w:rsidR="00460384" w:rsidRPr="00D0306F" w:rsidRDefault="00460384" w:rsidP="00977D0F">
      <w:pPr>
        <w:rPr>
          <w:rFonts w:eastAsia="Aptos" w:cs="Arial"/>
        </w:rPr>
      </w:pPr>
      <w:r w:rsidRPr="00D0306F">
        <w:rPr>
          <w:rFonts w:eastAsia="Aptos" w:cs="Arial"/>
        </w:rPr>
        <w:t xml:space="preserve">For males, the gap in life expectancy at birth between the most and least deprived in Swansea is 10.9 years. In Neath Port Talbot the gap is 9.1 years. Both are higher than the Wales average of 7.8 years. For females, the gap in life expectancy at birth between the most and least deprived in Swansea is 7.9 years. In Neath Port Talbot it is 6.3 years. Both are higher than the Wales gap in life expectancy which is 6.5 years. </w:t>
      </w:r>
    </w:p>
    <w:p w14:paraId="0790E35B" w14:textId="77777777" w:rsidR="00460384" w:rsidRPr="00D0306F" w:rsidRDefault="00460384" w:rsidP="00977D0F">
      <w:pPr>
        <w:rPr>
          <w:rFonts w:eastAsia="Aptos" w:cs="Arial"/>
          <w:b/>
          <w:bCs/>
        </w:rPr>
      </w:pPr>
    </w:p>
    <w:p w14:paraId="5C6EC2BE" w14:textId="77777777" w:rsidR="00460384" w:rsidRPr="00D0306F" w:rsidRDefault="00460384" w:rsidP="00977D0F">
      <w:pPr>
        <w:rPr>
          <w:rFonts w:eastAsia="Aptos" w:cs="Arial"/>
          <w:b/>
          <w:sz w:val="26"/>
          <w:szCs w:val="26"/>
        </w:rPr>
      </w:pPr>
      <w:r w:rsidRPr="00D0306F">
        <w:rPr>
          <w:rFonts w:eastAsia="Aptos" w:cs="Arial"/>
          <w:b/>
          <w:sz w:val="26"/>
          <w:szCs w:val="26"/>
        </w:rPr>
        <w:t>2.9 Deaths</w:t>
      </w:r>
    </w:p>
    <w:p w14:paraId="2031E511" w14:textId="77777777" w:rsidR="00460384" w:rsidRPr="00D0306F" w:rsidRDefault="00460384" w:rsidP="00977D0F">
      <w:pPr>
        <w:rPr>
          <w:rFonts w:eastAsia="Aptos" w:cs="Arial"/>
        </w:rPr>
      </w:pPr>
    </w:p>
    <w:p w14:paraId="352D8230" w14:textId="77777777" w:rsidR="00460384" w:rsidRPr="00D0306F" w:rsidRDefault="00460384" w:rsidP="00977D0F">
      <w:pPr>
        <w:rPr>
          <w:rFonts w:eastAsia="Aptos" w:cs="Arial"/>
        </w:rPr>
      </w:pPr>
      <w:r w:rsidRPr="00D0306F">
        <w:rPr>
          <w:rFonts w:eastAsia="Aptos" w:cs="Arial"/>
        </w:rPr>
        <w:t>Since the mid-20th century mortality rates in Wales have been falling, due to medical advances in diagnosis, treatment, and improved lifestyles, especially in relation to smoking. However, mortality trends remain strongly shaped by socio</w:t>
      </w:r>
      <w:r w:rsidRPr="00D0306F">
        <w:rPr>
          <w:rFonts w:eastAsia="Aptos" w:cs="Arial"/>
        </w:rPr>
        <w:noBreakHyphen/>
        <w:t>economic conditions and long</w:t>
      </w:r>
      <w:r w:rsidRPr="00D0306F">
        <w:rPr>
          <w:rFonts w:eastAsia="Aptos" w:cs="Arial"/>
        </w:rPr>
        <w:noBreakHyphen/>
        <w:t>term health inequalities.</w:t>
      </w:r>
    </w:p>
    <w:p w14:paraId="2DE82A14" w14:textId="77777777" w:rsidR="00460384" w:rsidRPr="00D0306F" w:rsidRDefault="00460384" w:rsidP="00977D0F">
      <w:pPr>
        <w:rPr>
          <w:rFonts w:eastAsia="Aptos" w:cs="Arial"/>
        </w:rPr>
      </w:pPr>
    </w:p>
    <w:p w14:paraId="3EA31569" w14:textId="77777777" w:rsidR="00460384" w:rsidRPr="00D0306F" w:rsidRDefault="00460384" w:rsidP="00977D0F">
      <w:pPr>
        <w:rPr>
          <w:rFonts w:eastAsia="Aptos" w:cs="Arial"/>
        </w:rPr>
      </w:pPr>
      <w:r w:rsidRPr="00D0306F">
        <w:rPr>
          <w:rFonts w:eastAsia="Aptos" w:cs="Arial"/>
        </w:rPr>
        <w:t>The numbers of deaths per 100,000 population are influenced by the age distribution of the population as mortality risk rises steeply with age. Areas with older populations therefore tend to record higher crude mortality rates, even where underlying health risk is similar. Age standardized mortality rates adjust for differences in population age distribution by applying the observed age-specific mortality rates for each population to a standard population.</w:t>
      </w:r>
    </w:p>
    <w:p w14:paraId="11793650" w14:textId="77777777" w:rsidR="00460384" w:rsidRPr="00D0306F" w:rsidRDefault="00460384" w:rsidP="00977D0F">
      <w:pPr>
        <w:rPr>
          <w:rFonts w:eastAsia="Aptos" w:cs="Arial"/>
        </w:rPr>
      </w:pPr>
    </w:p>
    <w:p w14:paraId="72255461" w14:textId="77777777" w:rsidR="00460384" w:rsidRPr="00D0306F" w:rsidRDefault="00460384" w:rsidP="00977D0F">
      <w:pPr>
        <w:rPr>
          <w:rFonts w:eastAsia="Aptos" w:cs="Arial"/>
        </w:rPr>
      </w:pPr>
      <w:r w:rsidRPr="00D0306F">
        <w:rPr>
          <w:rFonts w:eastAsia="Aptos" w:cs="Arial"/>
        </w:rPr>
        <w:t>In 2024 the all person rate for Swansea was 1,017, which is the same as the all Wales rate. Neath Port Talbot was slightly higher at 1,054. There are differences between male and female rates which are shown in the graph below</w:t>
      </w:r>
      <w:r w:rsidRPr="00D0306F">
        <w:rPr>
          <w:rFonts w:eastAsia="Aptos" w:cs="Arial"/>
          <w:vertAlign w:val="superscript"/>
        </w:rPr>
        <w:footnoteReference w:id="38"/>
      </w:r>
      <w:r w:rsidRPr="00D0306F">
        <w:rPr>
          <w:rFonts w:eastAsia="Aptos" w:cs="Arial"/>
        </w:rPr>
        <w:t>.</w:t>
      </w:r>
    </w:p>
    <w:p w14:paraId="1D230BB8" w14:textId="77777777" w:rsidR="00460384" w:rsidRPr="00D0306F" w:rsidRDefault="00460384" w:rsidP="00977D0F">
      <w:pPr>
        <w:rPr>
          <w:rFonts w:eastAsia="Aptos" w:cs="Arial"/>
        </w:rPr>
      </w:pPr>
    </w:p>
    <w:p w14:paraId="11C599B1" w14:textId="77777777" w:rsidR="00E51D7D" w:rsidRPr="00D0306F" w:rsidRDefault="00E51D7D" w:rsidP="00977D0F">
      <w:pPr>
        <w:rPr>
          <w:rFonts w:eastAsia="Aptos" w:cs="Arial"/>
        </w:rPr>
      </w:pPr>
    </w:p>
    <w:p w14:paraId="46AFE8D6" w14:textId="77777777" w:rsidR="00E51D7D" w:rsidRPr="00D0306F" w:rsidRDefault="00E51D7D" w:rsidP="00977D0F">
      <w:pPr>
        <w:rPr>
          <w:rFonts w:eastAsia="Aptos" w:cs="Arial"/>
        </w:rPr>
      </w:pPr>
    </w:p>
    <w:p w14:paraId="1DB2B62C" w14:textId="77777777" w:rsidR="00E51D7D" w:rsidRPr="00D0306F" w:rsidRDefault="00E51D7D" w:rsidP="00977D0F">
      <w:pPr>
        <w:rPr>
          <w:rFonts w:eastAsia="Aptos" w:cs="Arial"/>
        </w:rPr>
      </w:pPr>
    </w:p>
    <w:p w14:paraId="5B0878FE" w14:textId="77777777" w:rsidR="00E51D7D" w:rsidRPr="00D0306F" w:rsidRDefault="00E51D7D" w:rsidP="00977D0F">
      <w:pPr>
        <w:rPr>
          <w:rFonts w:eastAsia="Aptos" w:cs="Arial"/>
        </w:rPr>
      </w:pPr>
    </w:p>
    <w:p w14:paraId="50D1BE71" w14:textId="77777777" w:rsidR="00E51D7D" w:rsidRPr="00D0306F" w:rsidRDefault="00E51D7D" w:rsidP="00977D0F">
      <w:pPr>
        <w:rPr>
          <w:rFonts w:eastAsia="Aptos" w:cs="Arial"/>
        </w:rPr>
      </w:pPr>
    </w:p>
    <w:p w14:paraId="743CA91D" w14:textId="77777777" w:rsidR="00E51D7D" w:rsidRPr="00D0306F" w:rsidRDefault="00E51D7D" w:rsidP="00977D0F">
      <w:pPr>
        <w:rPr>
          <w:rFonts w:eastAsia="Aptos" w:cs="Arial"/>
        </w:rPr>
      </w:pPr>
    </w:p>
    <w:p w14:paraId="24B2A704" w14:textId="77777777" w:rsidR="00E51D7D" w:rsidRPr="00D0306F" w:rsidRDefault="00E51D7D" w:rsidP="00977D0F">
      <w:pPr>
        <w:rPr>
          <w:rFonts w:eastAsia="Aptos" w:cs="Arial"/>
        </w:rPr>
      </w:pPr>
    </w:p>
    <w:p w14:paraId="3963FA09" w14:textId="77777777" w:rsidR="00E51D7D" w:rsidRPr="00D0306F" w:rsidRDefault="00E51D7D" w:rsidP="00977D0F">
      <w:pPr>
        <w:rPr>
          <w:rFonts w:eastAsia="Aptos" w:cs="Arial"/>
        </w:rPr>
      </w:pPr>
    </w:p>
    <w:p w14:paraId="6ED460BD" w14:textId="77777777" w:rsidR="00E51D7D" w:rsidRPr="00D0306F" w:rsidRDefault="00E51D7D" w:rsidP="00977D0F">
      <w:pPr>
        <w:rPr>
          <w:rFonts w:eastAsia="Aptos" w:cs="Arial"/>
        </w:rPr>
      </w:pPr>
    </w:p>
    <w:p w14:paraId="0A3E6292" w14:textId="77777777" w:rsidR="00E51D7D" w:rsidRPr="00D0306F" w:rsidRDefault="00E51D7D" w:rsidP="00977D0F">
      <w:pPr>
        <w:rPr>
          <w:rFonts w:eastAsia="Aptos" w:cs="Arial"/>
        </w:rPr>
      </w:pPr>
    </w:p>
    <w:p w14:paraId="517B9E6D" w14:textId="77777777" w:rsidR="00E51D7D" w:rsidRPr="00D0306F" w:rsidRDefault="00E51D7D" w:rsidP="00977D0F">
      <w:pPr>
        <w:rPr>
          <w:rFonts w:eastAsia="Aptos" w:cs="Arial"/>
        </w:rPr>
      </w:pPr>
    </w:p>
    <w:p w14:paraId="67AEEF25" w14:textId="77777777" w:rsidR="00E51D7D" w:rsidRPr="00D0306F" w:rsidRDefault="00E51D7D" w:rsidP="00977D0F">
      <w:pPr>
        <w:rPr>
          <w:rFonts w:eastAsia="Aptos" w:cs="Arial"/>
        </w:rPr>
      </w:pPr>
    </w:p>
    <w:p w14:paraId="0E00B7C5" w14:textId="77777777" w:rsidR="00E51D7D" w:rsidRPr="00D0306F" w:rsidRDefault="00E51D7D" w:rsidP="00977D0F">
      <w:pPr>
        <w:rPr>
          <w:rFonts w:eastAsia="Aptos" w:cs="Arial"/>
        </w:rPr>
      </w:pPr>
    </w:p>
    <w:p w14:paraId="4AAB9102" w14:textId="77777777" w:rsidR="00E51D7D" w:rsidRPr="00D0306F" w:rsidRDefault="00E51D7D" w:rsidP="00977D0F">
      <w:pPr>
        <w:rPr>
          <w:rFonts w:eastAsia="Aptos" w:cs="Arial"/>
        </w:rPr>
      </w:pPr>
    </w:p>
    <w:p w14:paraId="5AA8A65B" w14:textId="77777777" w:rsidR="00E51D7D" w:rsidRPr="00D0306F" w:rsidRDefault="00E51D7D" w:rsidP="00977D0F">
      <w:pPr>
        <w:rPr>
          <w:rFonts w:eastAsia="Aptos" w:cs="Arial"/>
        </w:rPr>
      </w:pPr>
    </w:p>
    <w:p w14:paraId="71A9979F" w14:textId="77777777" w:rsidR="00E51D7D" w:rsidRPr="00D0306F" w:rsidRDefault="00E51D7D" w:rsidP="00977D0F">
      <w:pPr>
        <w:rPr>
          <w:rFonts w:eastAsia="Aptos" w:cs="Arial"/>
        </w:rPr>
      </w:pPr>
    </w:p>
    <w:p w14:paraId="64855CB2" w14:textId="7868ABFB" w:rsidR="00460384" w:rsidRPr="00D0306F" w:rsidRDefault="00460384" w:rsidP="00977D0F">
      <w:pPr>
        <w:rPr>
          <w:rFonts w:eastAsia="Aptos" w:cs="Arial"/>
          <w:b/>
          <w:bCs/>
        </w:rPr>
      </w:pPr>
      <w:r w:rsidRPr="00D0306F">
        <w:rPr>
          <w:rFonts w:eastAsia="Aptos" w:cs="Arial"/>
          <w:b/>
          <w:bCs/>
        </w:rPr>
        <w:lastRenderedPageBreak/>
        <w:t>Figure 2.</w:t>
      </w:r>
      <w:r w:rsidR="007B620D">
        <w:rPr>
          <w:rFonts w:eastAsia="Aptos" w:cs="Arial"/>
          <w:b/>
          <w:bCs/>
        </w:rPr>
        <w:t>9</w:t>
      </w:r>
      <w:r w:rsidRPr="00D0306F">
        <w:rPr>
          <w:rFonts w:eastAsia="Aptos" w:cs="Arial"/>
          <w:b/>
          <w:bCs/>
        </w:rPr>
        <w:t>: age standardised mortality rate for males and females in Swansea Bay University Health Board (2021)</w:t>
      </w:r>
    </w:p>
    <w:p w14:paraId="6B42041C" w14:textId="77777777" w:rsidR="00460384" w:rsidRPr="00D0306F" w:rsidRDefault="00460384" w:rsidP="00977D0F">
      <w:pPr>
        <w:rPr>
          <w:rFonts w:eastAsia="Aptos" w:cs="Arial"/>
          <w:b/>
          <w:bCs/>
        </w:rPr>
      </w:pPr>
    </w:p>
    <w:p w14:paraId="5EA49224" w14:textId="77777777" w:rsidR="00460384" w:rsidRPr="00D0306F" w:rsidRDefault="00460384" w:rsidP="00977D0F">
      <w:pPr>
        <w:rPr>
          <w:rFonts w:eastAsia="Aptos" w:cs="Arial"/>
          <w:b/>
          <w:bCs/>
        </w:rPr>
      </w:pPr>
      <w:r w:rsidRPr="00D0306F">
        <w:rPr>
          <w:rFonts w:eastAsia="Aptos" w:cs="Arial"/>
          <w:noProof/>
        </w:rPr>
        <w:drawing>
          <wp:inline distT="0" distB="0" distL="0" distR="0" wp14:anchorId="62EBD373" wp14:editId="4BCF871C">
            <wp:extent cx="5781675" cy="2752725"/>
            <wp:effectExtent l="0" t="0" r="9525" b="9525"/>
            <wp:docPr id="17" name="Chart 1" descr="Clustered bar chart comparing age-standardised mortality rates (ASMR) per 100,000 population for all persons, males, and females in Neath Port Talbot, Swansea, and Wales. In all three areas, males have the highest mortality rates, females the lowest, and rates for all persons fall in between. Neath Port Talbot has the highest overall rate (about 1,050 per 100,000) and the highest female rate (about 920 per 100,000), while male rates are just over 1,200 per 100,000 in both Neath Port Talbot and Swansea. Wales has slightly lower rates overall, with around 1,010 deaths per 100,000 for all persons, 1,190 for males, and 870 for females. The chart shows a consistent pattern of higher mortality among males across all areas.">
              <a:extLst xmlns:a="http://schemas.openxmlformats.org/drawingml/2006/main">
                <a:ext uri="{FF2B5EF4-FFF2-40B4-BE49-F238E27FC236}">
                  <a16:creationId xmlns:a16="http://schemas.microsoft.com/office/drawing/2014/main" id="{372D7BE6-3421-66A0-A14F-46766B18426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6A87658A" w14:textId="77777777" w:rsidR="00460384" w:rsidRPr="00D0306F" w:rsidRDefault="00460384" w:rsidP="00977D0F">
      <w:pPr>
        <w:rPr>
          <w:rFonts w:eastAsia="Aptos" w:cs="Arial"/>
        </w:rPr>
      </w:pPr>
    </w:p>
    <w:p w14:paraId="674F3FA3" w14:textId="77777777" w:rsidR="00460384" w:rsidRPr="00D0306F" w:rsidRDefault="00460384" w:rsidP="00977D0F">
      <w:pPr>
        <w:rPr>
          <w:rFonts w:eastAsia="Aptos" w:cs="Arial"/>
          <w:b/>
          <w:bCs/>
        </w:rPr>
      </w:pPr>
      <w:r w:rsidRPr="00D0306F">
        <w:rPr>
          <w:rFonts w:eastAsia="Aptos" w:cs="Arial"/>
          <w:b/>
          <w:bCs/>
        </w:rPr>
        <w:t>2.9.1 Avoidable mortality</w:t>
      </w:r>
      <w:r w:rsidRPr="00D0306F">
        <w:rPr>
          <w:rFonts w:eastAsia="Aptos" w:cs="Arial"/>
          <w:b/>
          <w:bCs/>
          <w:vertAlign w:val="superscript"/>
        </w:rPr>
        <w:footnoteReference w:id="39"/>
      </w:r>
    </w:p>
    <w:p w14:paraId="66494E9E" w14:textId="77777777" w:rsidR="00460384" w:rsidRPr="00D0306F" w:rsidRDefault="00460384" w:rsidP="00977D0F">
      <w:pPr>
        <w:rPr>
          <w:rFonts w:eastAsia="Aptos" w:cs="Arial"/>
          <w:b/>
          <w:bCs/>
        </w:rPr>
      </w:pPr>
    </w:p>
    <w:p w14:paraId="2559EDA6" w14:textId="77777777" w:rsidR="00460384" w:rsidRPr="00D0306F" w:rsidRDefault="00460384" w:rsidP="00977D0F">
      <w:pPr>
        <w:rPr>
          <w:rFonts w:eastAsia="Aptos" w:cs="Arial"/>
        </w:rPr>
      </w:pPr>
      <w:r w:rsidRPr="00D0306F">
        <w:rPr>
          <w:rFonts w:eastAsia="Aptos" w:cs="Arial"/>
        </w:rPr>
        <w:t>Avoidable deaths are all those defined as:</w:t>
      </w:r>
    </w:p>
    <w:p w14:paraId="05FEC283" w14:textId="77777777" w:rsidR="00460384" w:rsidRPr="00D0306F" w:rsidRDefault="00460384" w:rsidP="00977D0F">
      <w:pPr>
        <w:rPr>
          <w:rFonts w:eastAsia="Aptos" w:cs="Arial"/>
        </w:rPr>
      </w:pPr>
    </w:p>
    <w:p w14:paraId="1978E0D4" w14:textId="77777777" w:rsidR="00460384" w:rsidRPr="00D0306F" w:rsidRDefault="00460384" w:rsidP="00977D0F">
      <w:pPr>
        <w:numPr>
          <w:ilvl w:val="0"/>
          <w:numId w:val="41"/>
        </w:numPr>
        <w:rPr>
          <w:rFonts w:eastAsia="Aptos" w:cs="Arial"/>
        </w:rPr>
      </w:pPr>
      <w:r w:rsidRPr="00D0306F">
        <w:rPr>
          <w:rFonts w:eastAsia="Aptos" w:cs="Arial"/>
        </w:rPr>
        <w:t>Preventable - all or most deaths from that cause could be avoided through public health intervention eg smoking related deaths.</w:t>
      </w:r>
    </w:p>
    <w:p w14:paraId="4D55D232" w14:textId="77777777" w:rsidR="00460384" w:rsidRPr="00D0306F" w:rsidRDefault="00460384" w:rsidP="00977D0F">
      <w:pPr>
        <w:numPr>
          <w:ilvl w:val="0"/>
          <w:numId w:val="41"/>
        </w:numPr>
        <w:rPr>
          <w:rFonts w:eastAsia="Aptos" w:cs="Arial"/>
        </w:rPr>
      </w:pPr>
      <w:r w:rsidRPr="00D0306F">
        <w:rPr>
          <w:rFonts w:eastAsia="Aptos" w:cs="Arial"/>
        </w:rPr>
        <w:t>Treatable/amenable - all or most deaths from that cause could be avoided through good quality healthcare eg asthma.</w:t>
      </w:r>
    </w:p>
    <w:p w14:paraId="706DB64E" w14:textId="77777777" w:rsidR="00460384" w:rsidRPr="00D0306F" w:rsidRDefault="00460384" w:rsidP="00977D0F">
      <w:pPr>
        <w:rPr>
          <w:rFonts w:eastAsia="Aptos" w:cs="Arial"/>
          <w:b/>
          <w:bCs/>
        </w:rPr>
      </w:pPr>
    </w:p>
    <w:p w14:paraId="3BF7CEFD" w14:textId="0FAE873F" w:rsidR="00460384" w:rsidRPr="00D0306F" w:rsidRDefault="00460384" w:rsidP="00977D0F">
      <w:pPr>
        <w:rPr>
          <w:rFonts w:eastAsia="Aptos" w:cs="Arial"/>
          <w:b/>
          <w:bCs/>
        </w:rPr>
      </w:pPr>
      <w:r w:rsidRPr="00D0306F">
        <w:rPr>
          <w:rFonts w:eastAsia="Aptos" w:cs="Arial"/>
          <w:b/>
          <w:bCs/>
        </w:rPr>
        <w:t>Table 2.</w:t>
      </w:r>
      <w:r w:rsidR="00BA1A40">
        <w:rPr>
          <w:rFonts w:eastAsia="Aptos" w:cs="Arial"/>
          <w:b/>
          <w:bCs/>
        </w:rPr>
        <w:t>5</w:t>
      </w:r>
      <w:r w:rsidRPr="00D0306F">
        <w:rPr>
          <w:rFonts w:eastAsia="Aptos" w:cs="Arial"/>
          <w:b/>
          <w:bCs/>
        </w:rPr>
        <w:t xml:space="preserve"> Causes of death considered avoidable, treatable, and preventable, European age-standardised rate per 100,000 person, Swansea Bay University Health Board, 2023</w:t>
      </w:r>
    </w:p>
    <w:p w14:paraId="2CCC951B" w14:textId="77777777" w:rsidR="00460384" w:rsidRPr="00D0306F" w:rsidRDefault="00460384" w:rsidP="00977D0F">
      <w:pPr>
        <w:rPr>
          <w:rFonts w:eastAsia="Aptos" w:cs="Arial"/>
          <w:b/>
          <w:bCs/>
        </w:rPr>
      </w:pPr>
    </w:p>
    <w:tbl>
      <w:tblPr>
        <w:tblStyle w:val="TableGrid"/>
        <w:tblW w:w="0" w:type="auto"/>
        <w:jc w:val="center"/>
        <w:tblInd w:w="0" w:type="dxa"/>
        <w:tblLook w:val="04A0" w:firstRow="1" w:lastRow="0" w:firstColumn="1" w:lastColumn="0" w:noHBand="0" w:noVBand="1"/>
      </w:tblPr>
      <w:tblGrid>
        <w:gridCol w:w="1970"/>
        <w:gridCol w:w="2259"/>
        <w:gridCol w:w="2400"/>
        <w:gridCol w:w="2387"/>
      </w:tblGrid>
      <w:tr w:rsidR="00460384" w:rsidRPr="00D0306F" w14:paraId="4F6B17A1" w14:textId="77777777" w:rsidTr="00460384">
        <w:trPr>
          <w:jc w:val="center"/>
        </w:trPr>
        <w:tc>
          <w:tcPr>
            <w:tcW w:w="1970" w:type="dxa"/>
            <w:tcBorders>
              <w:top w:val="single" w:sz="4" w:space="0" w:color="auto"/>
              <w:left w:val="single" w:sz="4" w:space="0" w:color="auto"/>
              <w:bottom w:val="single" w:sz="4" w:space="0" w:color="auto"/>
              <w:right w:val="single" w:sz="4" w:space="0" w:color="auto"/>
            </w:tcBorders>
            <w:shd w:val="clear" w:color="auto" w:fill="074F6A"/>
          </w:tcPr>
          <w:p w14:paraId="3F80F471" w14:textId="77777777" w:rsidR="00460384" w:rsidRPr="00D0306F" w:rsidRDefault="00460384" w:rsidP="00977D0F">
            <w:pPr>
              <w:rPr>
                <w:rFonts w:cs="Arial"/>
                <w:b/>
                <w:bCs/>
                <w:color w:val="FFFFFF"/>
              </w:rPr>
            </w:pPr>
          </w:p>
        </w:tc>
        <w:tc>
          <w:tcPr>
            <w:tcW w:w="2259" w:type="dxa"/>
            <w:tcBorders>
              <w:top w:val="single" w:sz="4" w:space="0" w:color="auto"/>
              <w:left w:val="single" w:sz="4" w:space="0" w:color="auto"/>
              <w:bottom w:val="single" w:sz="4" w:space="0" w:color="auto"/>
              <w:right w:val="single" w:sz="4" w:space="0" w:color="auto"/>
            </w:tcBorders>
            <w:shd w:val="clear" w:color="auto" w:fill="074F6A"/>
            <w:hideMark/>
          </w:tcPr>
          <w:p w14:paraId="512E5F67" w14:textId="77777777" w:rsidR="00460384" w:rsidRPr="00D0306F" w:rsidRDefault="00460384" w:rsidP="00977D0F">
            <w:pPr>
              <w:rPr>
                <w:rFonts w:cs="Arial"/>
                <w:b/>
                <w:bCs/>
                <w:color w:val="FFFFFF"/>
              </w:rPr>
            </w:pPr>
            <w:r w:rsidRPr="00D0306F">
              <w:rPr>
                <w:rFonts w:cs="Arial"/>
                <w:b/>
                <w:bCs/>
                <w:color w:val="FFFFFF"/>
              </w:rPr>
              <w:t>Rate per 100,000 population – avoidable</w:t>
            </w:r>
          </w:p>
        </w:tc>
        <w:tc>
          <w:tcPr>
            <w:tcW w:w="2400" w:type="dxa"/>
            <w:tcBorders>
              <w:top w:val="single" w:sz="4" w:space="0" w:color="auto"/>
              <w:left w:val="single" w:sz="4" w:space="0" w:color="auto"/>
              <w:bottom w:val="single" w:sz="4" w:space="0" w:color="auto"/>
              <w:right w:val="single" w:sz="4" w:space="0" w:color="auto"/>
            </w:tcBorders>
            <w:shd w:val="clear" w:color="auto" w:fill="074F6A"/>
            <w:hideMark/>
          </w:tcPr>
          <w:p w14:paraId="7B0ECFC6" w14:textId="77777777" w:rsidR="00460384" w:rsidRPr="00D0306F" w:rsidRDefault="00460384" w:rsidP="00977D0F">
            <w:pPr>
              <w:rPr>
                <w:rFonts w:cs="Arial"/>
                <w:b/>
                <w:bCs/>
                <w:color w:val="FFFFFF"/>
              </w:rPr>
            </w:pPr>
            <w:r w:rsidRPr="00D0306F">
              <w:rPr>
                <w:rFonts w:cs="Arial"/>
                <w:b/>
                <w:bCs/>
                <w:color w:val="FFFFFF"/>
              </w:rPr>
              <w:t>Rate per 100,000 population – treatable</w:t>
            </w:r>
          </w:p>
        </w:tc>
        <w:tc>
          <w:tcPr>
            <w:tcW w:w="2387" w:type="dxa"/>
            <w:tcBorders>
              <w:top w:val="single" w:sz="4" w:space="0" w:color="auto"/>
              <w:left w:val="single" w:sz="4" w:space="0" w:color="auto"/>
              <w:bottom w:val="single" w:sz="4" w:space="0" w:color="auto"/>
              <w:right w:val="single" w:sz="4" w:space="0" w:color="auto"/>
            </w:tcBorders>
            <w:shd w:val="clear" w:color="auto" w:fill="074F6A"/>
            <w:hideMark/>
          </w:tcPr>
          <w:p w14:paraId="0245EB93" w14:textId="77777777" w:rsidR="00460384" w:rsidRPr="00D0306F" w:rsidRDefault="00460384" w:rsidP="00977D0F">
            <w:pPr>
              <w:rPr>
                <w:rFonts w:cs="Arial"/>
                <w:b/>
                <w:bCs/>
                <w:color w:val="FFFFFF"/>
              </w:rPr>
            </w:pPr>
            <w:r w:rsidRPr="00D0306F">
              <w:rPr>
                <w:rFonts w:cs="Arial"/>
                <w:b/>
                <w:bCs/>
                <w:color w:val="FFFFFF"/>
              </w:rPr>
              <w:t>Rate per 100,000 population – preventable</w:t>
            </w:r>
          </w:p>
        </w:tc>
      </w:tr>
      <w:tr w:rsidR="00460384" w:rsidRPr="00D0306F" w14:paraId="36A820DE" w14:textId="77777777" w:rsidTr="00460384">
        <w:trPr>
          <w:jc w:val="center"/>
        </w:trPr>
        <w:tc>
          <w:tcPr>
            <w:tcW w:w="1970" w:type="dxa"/>
            <w:tcBorders>
              <w:top w:val="single" w:sz="4" w:space="0" w:color="auto"/>
              <w:left w:val="single" w:sz="4" w:space="0" w:color="auto"/>
              <w:bottom w:val="single" w:sz="4" w:space="0" w:color="auto"/>
              <w:right w:val="single" w:sz="4" w:space="0" w:color="auto"/>
            </w:tcBorders>
          </w:tcPr>
          <w:p w14:paraId="5A76624A" w14:textId="77777777" w:rsidR="00460384" w:rsidRPr="00D0306F" w:rsidRDefault="00460384" w:rsidP="00977D0F">
            <w:pPr>
              <w:rPr>
                <w:rFonts w:cs="Arial"/>
              </w:rPr>
            </w:pPr>
            <w:r w:rsidRPr="00D0306F">
              <w:rPr>
                <w:rFonts w:cs="Arial"/>
              </w:rPr>
              <w:t>All persons</w:t>
            </w:r>
          </w:p>
          <w:p w14:paraId="0AA5A9D2" w14:textId="77777777" w:rsidR="00460384" w:rsidRPr="00D0306F" w:rsidRDefault="00460384" w:rsidP="00977D0F">
            <w:pPr>
              <w:rPr>
                <w:rFonts w:cs="Arial"/>
              </w:rPr>
            </w:pPr>
          </w:p>
        </w:tc>
        <w:tc>
          <w:tcPr>
            <w:tcW w:w="2259" w:type="dxa"/>
            <w:tcBorders>
              <w:top w:val="single" w:sz="4" w:space="0" w:color="auto"/>
              <w:left w:val="single" w:sz="4" w:space="0" w:color="auto"/>
              <w:bottom w:val="single" w:sz="4" w:space="0" w:color="auto"/>
              <w:right w:val="single" w:sz="4" w:space="0" w:color="auto"/>
            </w:tcBorders>
            <w:hideMark/>
          </w:tcPr>
          <w:p w14:paraId="10709736" w14:textId="77777777" w:rsidR="00460384" w:rsidRPr="00D0306F" w:rsidRDefault="00460384" w:rsidP="00E51D7D">
            <w:pPr>
              <w:jc w:val="center"/>
              <w:rPr>
                <w:rFonts w:cs="Arial"/>
              </w:rPr>
            </w:pPr>
            <w:r w:rsidRPr="00D0306F">
              <w:rPr>
                <w:rFonts w:cs="Arial"/>
              </w:rPr>
              <w:t>298.9</w:t>
            </w:r>
          </w:p>
        </w:tc>
        <w:tc>
          <w:tcPr>
            <w:tcW w:w="2400" w:type="dxa"/>
            <w:tcBorders>
              <w:top w:val="single" w:sz="4" w:space="0" w:color="auto"/>
              <w:left w:val="single" w:sz="4" w:space="0" w:color="auto"/>
              <w:bottom w:val="single" w:sz="4" w:space="0" w:color="auto"/>
              <w:right w:val="single" w:sz="4" w:space="0" w:color="auto"/>
            </w:tcBorders>
            <w:hideMark/>
          </w:tcPr>
          <w:p w14:paraId="4A65B5C1" w14:textId="77777777" w:rsidR="00460384" w:rsidRPr="00D0306F" w:rsidRDefault="00460384" w:rsidP="00E51D7D">
            <w:pPr>
              <w:jc w:val="center"/>
              <w:rPr>
                <w:rFonts w:cs="Arial"/>
              </w:rPr>
            </w:pPr>
            <w:r w:rsidRPr="00D0306F">
              <w:rPr>
                <w:rFonts w:cs="Arial"/>
              </w:rPr>
              <w:t>101.2</w:t>
            </w:r>
          </w:p>
        </w:tc>
        <w:tc>
          <w:tcPr>
            <w:tcW w:w="2387" w:type="dxa"/>
            <w:tcBorders>
              <w:top w:val="single" w:sz="4" w:space="0" w:color="auto"/>
              <w:left w:val="single" w:sz="4" w:space="0" w:color="auto"/>
              <w:bottom w:val="single" w:sz="4" w:space="0" w:color="auto"/>
              <w:right w:val="single" w:sz="4" w:space="0" w:color="auto"/>
            </w:tcBorders>
            <w:hideMark/>
          </w:tcPr>
          <w:p w14:paraId="3AFA7D5D" w14:textId="77777777" w:rsidR="00460384" w:rsidRPr="00D0306F" w:rsidRDefault="00460384" w:rsidP="00E51D7D">
            <w:pPr>
              <w:jc w:val="center"/>
              <w:rPr>
                <w:rFonts w:cs="Arial"/>
              </w:rPr>
            </w:pPr>
            <w:r w:rsidRPr="00D0306F">
              <w:rPr>
                <w:rFonts w:cs="Arial"/>
              </w:rPr>
              <w:t>197.7</w:t>
            </w:r>
          </w:p>
        </w:tc>
      </w:tr>
      <w:tr w:rsidR="00460384" w:rsidRPr="00D0306F" w14:paraId="7E546273" w14:textId="77777777" w:rsidTr="00460384">
        <w:trPr>
          <w:jc w:val="center"/>
        </w:trPr>
        <w:tc>
          <w:tcPr>
            <w:tcW w:w="1970" w:type="dxa"/>
            <w:tcBorders>
              <w:top w:val="single" w:sz="4" w:space="0" w:color="auto"/>
              <w:left w:val="single" w:sz="4" w:space="0" w:color="auto"/>
              <w:bottom w:val="single" w:sz="4" w:space="0" w:color="auto"/>
              <w:right w:val="single" w:sz="4" w:space="0" w:color="auto"/>
            </w:tcBorders>
            <w:hideMark/>
          </w:tcPr>
          <w:p w14:paraId="6B01B472" w14:textId="77777777" w:rsidR="00460384" w:rsidRPr="00D0306F" w:rsidRDefault="00460384" w:rsidP="00977D0F">
            <w:pPr>
              <w:rPr>
                <w:rFonts w:cs="Arial"/>
              </w:rPr>
            </w:pPr>
            <w:r w:rsidRPr="00D0306F">
              <w:rPr>
                <w:rFonts w:cs="Arial"/>
              </w:rPr>
              <w:t>Male</w:t>
            </w:r>
          </w:p>
        </w:tc>
        <w:tc>
          <w:tcPr>
            <w:tcW w:w="2259" w:type="dxa"/>
            <w:tcBorders>
              <w:top w:val="single" w:sz="4" w:space="0" w:color="auto"/>
              <w:left w:val="single" w:sz="4" w:space="0" w:color="auto"/>
              <w:bottom w:val="single" w:sz="4" w:space="0" w:color="auto"/>
              <w:right w:val="single" w:sz="4" w:space="0" w:color="auto"/>
            </w:tcBorders>
            <w:hideMark/>
          </w:tcPr>
          <w:p w14:paraId="3B74646A" w14:textId="77777777" w:rsidR="00460384" w:rsidRPr="00D0306F" w:rsidRDefault="00460384" w:rsidP="00E51D7D">
            <w:pPr>
              <w:jc w:val="center"/>
              <w:rPr>
                <w:rFonts w:cs="Arial"/>
              </w:rPr>
            </w:pPr>
            <w:r w:rsidRPr="00D0306F">
              <w:rPr>
                <w:rFonts w:cs="Arial"/>
              </w:rPr>
              <w:t>402.9</w:t>
            </w:r>
          </w:p>
        </w:tc>
        <w:tc>
          <w:tcPr>
            <w:tcW w:w="2400" w:type="dxa"/>
            <w:tcBorders>
              <w:top w:val="single" w:sz="4" w:space="0" w:color="auto"/>
              <w:left w:val="single" w:sz="4" w:space="0" w:color="auto"/>
              <w:bottom w:val="single" w:sz="4" w:space="0" w:color="auto"/>
              <w:right w:val="single" w:sz="4" w:space="0" w:color="auto"/>
            </w:tcBorders>
            <w:hideMark/>
          </w:tcPr>
          <w:p w14:paraId="7B3CF8AB" w14:textId="77777777" w:rsidR="00460384" w:rsidRPr="00D0306F" w:rsidRDefault="00460384" w:rsidP="00E51D7D">
            <w:pPr>
              <w:jc w:val="center"/>
              <w:rPr>
                <w:rFonts w:cs="Arial"/>
              </w:rPr>
            </w:pPr>
            <w:r w:rsidRPr="00D0306F">
              <w:rPr>
                <w:rFonts w:cs="Arial"/>
              </w:rPr>
              <w:t>126.8</w:t>
            </w:r>
          </w:p>
        </w:tc>
        <w:tc>
          <w:tcPr>
            <w:tcW w:w="2387" w:type="dxa"/>
            <w:tcBorders>
              <w:top w:val="single" w:sz="4" w:space="0" w:color="auto"/>
              <w:left w:val="single" w:sz="4" w:space="0" w:color="auto"/>
              <w:bottom w:val="single" w:sz="4" w:space="0" w:color="auto"/>
              <w:right w:val="single" w:sz="4" w:space="0" w:color="auto"/>
            </w:tcBorders>
            <w:hideMark/>
          </w:tcPr>
          <w:p w14:paraId="6D1CA0DE" w14:textId="77777777" w:rsidR="00460384" w:rsidRPr="00D0306F" w:rsidRDefault="00460384" w:rsidP="00E51D7D">
            <w:pPr>
              <w:jc w:val="center"/>
              <w:rPr>
                <w:rFonts w:cs="Arial"/>
              </w:rPr>
            </w:pPr>
            <w:r w:rsidRPr="00D0306F">
              <w:rPr>
                <w:rFonts w:cs="Arial"/>
              </w:rPr>
              <w:t>276.1</w:t>
            </w:r>
          </w:p>
        </w:tc>
      </w:tr>
      <w:tr w:rsidR="00460384" w:rsidRPr="00D0306F" w14:paraId="2EDE3564" w14:textId="77777777" w:rsidTr="00460384">
        <w:trPr>
          <w:jc w:val="center"/>
        </w:trPr>
        <w:tc>
          <w:tcPr>
            <w:tcW w:w="1970" w:type="dxa"/>
            <w:tcBorders>
              <w:top w:val="single" w:sz="4" w:space="0" w:color="auto"/>
              <w:left w:val="single" w:sz="4" w:space="0" w:color="auto"/>
              <w:bottom w:val="single" w:sz="4" w:space="0" w:color="auto"/>
              <w:right w:val="single" w:sz="4" w:space="0" w:color="auto"/>
            </w:tcBorders>
            <w:hideMark/>
          </w:tcPr>
          <w:p w14:paraId="0651D516" w14:textId="77777777" w:rsidR="00460384" w:rsidRPr="00D0306F" w:rsidRDefault="00460384" w:rsidP="00977D0F">
            <w:pPr>
              <w:rPr>
                <w:rFonts w:cs="Arial"/>
              </w:rPr>
            </w:pPr>
            <w:r w:rsidRPr="00D0306F">
              <w:rPr>
                <w:rFonts w:cs="Arial"/>
              </w:rPr>
              <w:t>Female</w:t>
            </w:r>
          </w:p>
        </w:tc>
        <w:tc>
          <w:tcPr>
            <w:tcW w:w="2259" w:type="dxa"/>
            <w:tcBorders>
              <w:top w:val="single" w:sz="4" w:space="0" w:color="auto"/>
              <w:left w:val="single" w:sz="4" w:space="0" w:color="auto"/>
              <w:bottom w:val="single" w:sz="4" w:space="0" w:color="auto"/>
              <w:right w:val="single" w:sz="4" w:space="0" w:color="auto"/>
            </w:tcBorders>
            <w:hideMark/>
          </w:tcPr>
          <w:p w14:paraId="0C68517C" w14:textId="77777777" w:rsidR="00460384" w:rsidRPr="00D0306F" w:rsidRDefault="00460384" w:rsidP="00E51D7D">
            <w:pPr>
              <w:jc w:val="center"/>
              <w:rPr>
                <w:rFonts w:cs="Arial"/>
              </w:rPr>
            </w:pPr>
            <w:r w:rsidRPr="00D0306F">
              <w:rPr>
                <w:rFonts w:cs="Arial"/>
              </w:rPr>
              <w:t>200.9</w:t>
            </w:r>
          </w:p>
        </w:tc>
        <w:tc>
          <w:tcPr>
            <w:tcW w:w="2400" w:type="dxa"/>
            <w:tcBorders>
              <w:top w:val="single" w:sz="4" w:space="0" w:color="auto"/>
              <w:left w:val="single" w:sz="4" w:space="0" w:color="auto"/>
              <w:bottom w:val="single" w:sz="4" w:space="0" w:color="auto"/>
              <w:right w:val="single" w:sz="4" w:space="0" w:color="auto"/>
            </w:tcBorders>
            <w:hideMark/>
          </w:tcPr>
          <w:p w14:paraId="190AC722" w14:textId="77777777" w:rsidR="00460384" w:rsidRPr="00D0306F" w:rsidRDefault="00460384" w:rsidP="00E51D7D">
            <w:pPr>
              <w:jc w:val="center"/>
              <w:rPr>
                <w:rFonts w:cs="Arial"/>
              </w:rPr>
            </w:pPr>
            <w:r w:rsidRPr="00D0306F">
              <w:rPr>
                <w:rFonts w:cs="Arial"/>
              </w:rPr>
              <w:t>77.1</w:t>
            </w:r>
          </w:p>
        </w:tc>
        <w:tc>
          <w:tcPr>
            <w:tcW w:w="2387" w:type="dxa"/>
            <w:tcBorders>
              <w:top w:val="single" w:sz="4" w:space="0" w:color="auto"/>
              <w:left w:val="single" w:sz="4" w:space="0" w:color="auto"/>
              <w:bottom w:val="single" w:sz="4" w:space="0" w:color="auto"/>
              <w:right w:val="single" w:sz="4" w:space="0" w:color="auto"/>
            </w:tcBorders>
            <w:hideMark/>
          </w:tcPr>
          <w:p w14:paraId="4D8628F6" w14:textId="77777777" w:rsidR="00460384" w:rsidRPr="00D0306F" w:rsidRDefault="00460384" w:rsidP="00E51D7D">
            <w:pPr>
              <w:jc w:val="center"/>
              <w:rPr>
                <w:rFonts w:cs="Arial"/>
              </w:rPr>
            </w:pPr>
            <w:r w:rsidRPr="00D0306F">
              <w:rPr>
                <w:rFonts w:cs="Arial"/>
              </w:rPr>
              <w:t>123.7</w:t>
            </w:r>
          </w:p>
        </w:tc>
      </w:tr>
    </w:tbl>
    <w:p w14:paraId="1DB316DF" w14:textId="77777777" w:rsidR="00460384" w:rsidRPr="00D0306F" w:rsidRDefault="00460384" w:rsidP="00977D0F">
      <w:pPr>
        <w:rPr>
          <w:rFonts w:eastAsia="Arial" w:cs="Arial"/>
          <w:b/>
          <w:bCs/>
          <w:kern w:val="0"/>
          <w:lang w:val="en-US"/>
          <w14:ligatures w14:val="none"/>
        </w:rPr>
      </w:pPr>
    </w:p>
    <w:p w14:paraId="7A811ECF" w14:textId="77777777" w:rsidR="00460384" w:rsidRPr="00D0306F" w:rsidRDefault="00460384" w:rsidP="00977D0F">
      <w:pPr>
        <w:rPr>
          <w:rFonts w:eastAsia="Aptos" w:cs="Arial"/>
          <w:b/>
          <w:sz w:val="26"/>
          <w:szCs w:val="26"/>
        </w:rPr>
      </w:pPr>
      <w:r w:rsidRPr="00D0306F">
        <w:rPr>
          <w:rFonts w:eastAsia="Aptos" w:cs="Arial"/>
          <w:b/>
          <w:sz w:val="26"/>
          <w:szCs w:val="26"/>
        </w:rPr>
        <w:t>2.10 People with disabilities</w:t>
      </w:r>
    </w:p>
    <w:p w14:paraId="4687D513" w14:textId="77777777" w:rsidR="00460384" w:rsidRPr="00D0306F" w:rsidRDefault="00460384" w:rsidP="00977D0F">
      <w:pPr>
        <w:rPr>
          <w:rFonts w:eastAsia="Aptos" w:cs="Arial"/>
        </w:rPr>
      </w:pPr>
    </w:p>
    <w:p w14:paraId="640606B4" w14:textId="77777777" w:rsidR="00460384" w:rsidRPr="00D0306F" w:rsidRDefault="00460384" w:rsidP="00977D0F">
      <w:pPr>
        <w:rPr>
          <w:rFonts w:eastAsia="Aptos" w:cs="Arial"/>
        </w:rPr>
      </w:pPr>
      <w:r w:rsidRPr="00D0306F">
        <w:rPr>
          <w:rFonts w:eastAsia="Aptos" w:cs="Arial"/>
        </w:rPr>
        <w:t>Disability under the Equality Act 2010 is defined as having a physical or mental impairment that has a ‘substantial’ and ‘long-term’ negative effect on your ability to do normal daily activities.</w:t>
      </w:r>
    </w:p>
    <w:p w14:paraId="563C0832" w14:textId="77777777" w:rsidR="00460384" w:rsidRPr="00D0306F" w:rsidRDefault="00460384" w:rsidP="00977D0F">
      <w:pPr>
        <w:rPr>
          <w:rFonts w:eastAsia="Aptos" w:cs="Arial"/>
        </w:rPr>
      </w:pPr>
    </w:p>
    <w:p w14:paraId="58135A14" w14:textId="77777777" w:rsidR="00460384" w:rsidRPr="00D0306F" w:rsidRDefault="00460384" w:rsidP="00977D0F">
      <w:pPr>
        <w:rPr>
          <w:rFonts w:eastAsia="Aptos" w:cs="Arial"/>
        </w:rPr>
      </w:pPr>
      <w:r w:rsidRPr="00D0306F">
        <w:rPr>
          <w:rFonts w:eastAsia="Aptos" w:cs="Arial"/>
        </w:rPr>
        <w:lastRenderedPageBreak/>
        <w:t>Local authority disability registers are voluntary and incomplete. They capture only people who choose to register and therefore significantly underestimate the true number of people with disabilities in the population.</w:t>
      </w:r>
    </w:p>
    <w:p w14:paraId="79738B07" w14:textId="77777777" w:rsidR="00460384" w:rsidRPr="00D0306F" w:rsidRDefault="00460384" w:rsidP="00977D0F">
      <w:pPr>
        <w:rPr>
          <w:rFonts w:eastAsia="Aptos" w:cs="Arial"/>
        </w:rPr>
      </w:pPr>
    </w:p>
    <w:p w14:paraId="60A97C9C" w14:textId="77777777" w:rsidR="00460384" w:rsidRPr="00D0306F" w:rsidRDefault="00460384" w:rsidP="00977D0F">
      <w:pPr>
        <w:rPr>
          <w:rFonts w:eastAsia="Aptos" w:cs="Arial"/>
        </w:rPr>
      </w:pPr>
      <w:r w:rsidRPr="00D0306F">
        <w:rPr>
          <w:rFonts w:eastAsia="Aptos" w:cs="Arial"/>
        </w:rPr>
        <w:t>The 2021 Census data show that in Wales a smaller proportion and a smaller number of people were disabled (21.6%, 670,264), compared with 2011 (23.4%, 696,000).</w:t>
      </w:r>
      <w:r w:rsidRPr="00D0306F">
        <w:rPr>
          <w:rFonts w:eastAsia="Aptos" w:cs="Arial"/>
          <w:vertAlign w:val="superscript"/>
        </w:rPr>
        <w:footnoteReference w:id="40"/>
      </w:r>
      <w:r w:rsidRPr="00D0306F">
        <w:rPr>
          <w:rFonts w:eastAsia="Aptos" w:cs="Arial"/>
        </w:rPr>
        <w:t xml:space="preserve"> Neath Port Talbot has the highest proportion of disabled people in Wales, Swansea having the 11</w:t>
      </w:r>
      <w:r w:rsidRPr="00D0306F">
        <w:rPr>
          <w:rFonts w:eastAsia="Aptos" w:cs="Arial"/>
          <w:vertAlign w:val="superscript"/>
        </w:rPr>
        <w:t>th</w:t>
      </w:r>
      <w:r w:rsidRPr="00D0306F">
        <w:rPr>
          <w:rFonts w:eastAsia="Aptos" w:cs="Arial"/>
        </w:rPr>
        <w:t xml:space="preserve"> highest proportion of disabled people.</w:t>
      </w:r>
    </w:p>
    <w:p w14:paraId="611E4A41" w14:textId="77777777" w:rsidR="00460384" w:rsidRPr="00D0306F" w:rsidRDefault="00460384" w:rsidP="00977D0F">
      <w:pPr>
        <w:rPr>
          <w:rFonts w:eastAsia="Aptos" w:cs="Arial"/>
        </w:rPr>
      </w:pPr>
    </w:p>
    <w:p w14:paraId="62139ACB" w14:textId="1C3CAAF6" w:rsidR="00460384" w:rsidRPr="00D0306F" w:rsidRDefault="00460384" w:rsidP="00977D0F">
      <w:pPr>
        <w:rPr>
          <w:rFonts w:eastAsia="Aptos" w:cs="Arial"/>
          <w:b/>
          <w:bCs/>
        </w:rPr>
      </w:pPr>
      <w:r w:rsidRPr="00D0306F">
        <w:rPr>
          <w:rFonts w:eastAsia="Aptos" w:cs="Arial"/>
          <w:b/>
          <w:bCs/>
        </w:rPr>
        <w:t>Table 2.</w:t>
      </w:r>
      <w:r w:rsidR="00BA1A40">
        <w:rPr>
          <w:rFonts w:eastAsia="Aptos" w:cs="Arial"/>
          <w:b/>
          <w:bCs/>
        </w:rPr>
        <w:t>6</w:t>
      </w:r>
      <w:r w:rsidRPr="00D0306F">
        <w:rPr>
          <w:rFonts w:eastAsia="Aptos" w:cs="Arial"/>
          <w:b/>
          <w:bCs/>
        </w:rPr>
        <w:t>: Proportion of the population registered disabled in Swansea Bay area and Wales, 2021 Census</w:t>
      </w:r>
    </w:p>
    <w:p w14:paraId="25264F44" w14:textId="77777777" w:rsidR="00460384" w:rsidRPr="00D0306F" w:rsidRDefault="00460384" w:rsidP="00977D0F">
      <w:pPr>
        <w:rPr>
          <w:rFonts w:eastAsia="Aptos" w:cs="Arial"/>
        </w:rPr>
      </w:pPr>
    </w:p>
    <w:tbl>
      <w:tblPr>
        <w:tblStyle w:val="TableGrid"/>
        <w:tblW w:w="9209" w:type="dxa"/>
        <w:jc w:val="center"/>
        <w:tblInd w:w="0" w:type="dxa"/>
        <w:tblLook w:val="04A0" w:firstRow="1" w:lastRow="0" w:firstColumn="1" w:lastColumn="0" w:noHBand="0" w:noVBand="1"/>
      </w:tblPr>
      <w:tblGrid>
        <w:gridCol w:w="1205"/>
        <w:gridCol w:w="1484"/>
        <w:gridCol w:w="2409"/>
        <w:gridCol w:w="2268"/>
        <w:gridCol w:w="1843"/>
      </w:tblGrid>
      <w:tr w:rsidR="00460384" w:rsidRPr="00D0306F" w14:paraId="304386B4" w14:textId="77777777" w:rsidTr="00E51D7D">
        <w:trPr>
          <w:jc w:val="center"/>
        </w:trPr>
        <w:tc>
          <w:tcPr>
            <w:tcW w:w="1205" w:type="dxa"/>
            <w:tcBorders>
              <w:top w:val="single" w:sz="4" w:space="0" w:color="auto"/>
              <w:left w:val="single" w:sz="4" w:space="0" w:color="auto"/>
              <w:bottom w:val="single" w:sz="4" w:space="0" w:color="auto"/>
              <w:right w:val="single" w:sz="4" w:space="0" w:color="auto"/>
            </w:tcBorders>
            <w:shd w:val="clear" w:color="auto" w:fill="074F6A"/>
            <w:hideMark/>
          </w:tcPr>
          <w:p w14:paraId="49BB9E4C" w14:textId="77777777" w:rsidR="00460384" w:rsidRPr="00D0306F" w:rsidRDefault="00460384" w:rsidP="00977D0F">
            <w:pPr>
              <w:rPr>
                <w:rFonts w:cs="Arial"/>
                <w:b/>
                <w:bCs/>
                <w:color w:val="FFFFFF"/>
              </w:rPr>
            </w:pPr>
            <w:r w:rsidRPr="00D0306F">
              <w:rPr>
                <w:rFonts w:cs="Arial"/>
                <w:b/>
                <w:bCs/>
                <w:color w:val="FFFFFF"/>
              </w:rPr>
              <w:t>Area</w:t>
            </w:r>
          </w:p>
        </w:tc>
        <w:tc>
          <w:tcPr>
            <w:tcW w:w="1484" w:type="dxa"/>
            <w:tcBorders>
              <w:top w:val="single" w:sz="4" w:space="0" w:color="auto"/>
              <w:left w:val="single" w:sz="4" w:space="0" w:color="auto"/>
              <w:bottom w:val="single" w:sz="4" w:space="0" w:color="auto"/>
              <w:right w:val="single" w:sz="4" w:space="0" w:color="auto"/>
            </w:tcBorders>
            <w:shd w:val="clear" w:color="auto" w:fill="074F6A"/>
            <w:hideMark/>
          </w:tcPr>
          <w:p w14:paraId="3DB4A519" w14:textId="77777777" w:rsidR="00460384" w:rsidRPr="00D0306F" w:rsidRDefault="00460384" w:rsidP="00977D0F">
            <w:pPr>
              <w:rPr>
                <w:rFonts w:cs="Arial"/>
                <w:b/>
                <w:bCs/>
                <w:color w:val="FFFFFF"/>
              </w:rPr>
            </w:pPr>
            <w:r w:rsidRPr="00D0306F">
              <w:rPr>
                <w:rFonts w:cs="Arial"/>
                <w:b/>
                <w:bCs/>
                <w:color w:val="FFFFFF"/>
              </w:rPr>
              <w:t>Disabled under the Equality Act 2010</w:t>
            </w:r>
          </w:p>
        </w:tc>
        <w:tc>
          <w:tcPr>
            <w:tcW w:w="2409" w:type="dxa"/>
            <w:tcBorders>
              <w:top w:val="single" w:sz="4" w:space="0" w:color="auto"/>
              <w:left w:val="single" w:sz="4" w:space="0" w:color="auto"/>
              <w:bottom w:val="single" w:sz="4" w:space="0" w:color="auto"/>
              <w:right w:val="single" w:sz="4" w:space="0" w:color="auto"/>
            </w:tcBorders>
            <w:shd w:val="clear" w:color="auto" w:fill="074F6A"/>
            <w:hideMark/>
          </w:tcPr>
          <w:p w14:paraId="562E819A" w14:textId="77777777" w:rsidR="00460384" w:rsidRPr="00D0306F" w:rsidRDefault="00460384" w:rsidP="00977D0F">
            <w:pPr>
              <w:rPr>
                <w:rFonts w:cs="Arial"/>
                <w:b/>
                <w:bCs/>
                <w:color w:val="FFFFFF"/>
              </w:rPr>
            </w:pPr>
            <w:r w:rsidRPr="00D0306F">
              <w:rPr>
                <w:rFonts w:cs="Arial"/>
                <w:b/>
                <w:bCs/>
                <w:color w:val="FFFFFF"/>
              </w:rPr>
              <w:t>Disabled under the Equality Act: Day-to-day activities limited a lot</w:t>
            </w:r>
          </w:p>
        </w:tc>
        <w:tc>
          <w:tcPr>
            <w:tcW w:w="2268" w:type="dxa"/>
            <w:tcBorders>
              <w:top w:val="single" w:sz="4" w:space="0" w:color="auto"/>
              <w:left w:val="single" w:sz="4" w:space="0" w:color="auto"/>
              <w:bottom w:val="single" w:sz="4" w:space="0" w:color="auto"/>
              <w:right w:val="single" w:sz="4" w:space="0" w:color="auto"/>
            </w:tcBorders>
            <w:shd w:val="clear" w:color="auto" w:fill="074F6A"/>
            <w:hideMark/>
          </w:tcPr>
          <w:p w14:paraId="512EE2C3" w14:textId="77777777" w:rsidR="00460384" w:rsidRPr="00D0306F" w:rsidRDefault="00460384" w:rsidP="00977D0F">
            <w:pPr>
              <w:rPr>
                <w:rFonts w:cs="Arial"/>
                <w:b/>
                <w:bCs/>
                <w:color w:val="FFFFFF"/>
              </w:rPr>
            </w:pPr>
            <w:r w:rsidRPr="00D0306F">
              <w:rPr>
                <w:rFonts w:cs="Arial"/>
                <w:b/>
                <w:bCs/>
                <w:color w:val="FFFFFF"/>
              </w:rPr>
              <w:t>Disabled under the Equality Act: Day-to-day activities limited a little</w:t>
            </w:r>
          </w:p>
        </w:tc>
        <w:tc>
          <w:tcPr>
            <w:tcW w:w="1843" w:type="dxa"/>
            <w:tcBorders>
              <w:top w:val="single" w:sz="4" w:space="0" w:color="auto"/>
              <w:left w:val="single" w:sz="4" w:space="0" w:color="auto"/>
              <w:bottom w:val="single" w:sz="4" w:space="0" w:color="auto"/>
              <w:right w:val="single" w:sz="4" w:space="0" w:color="auto"/>
            </w:tcBorders>
            <w:shd w:val="clear" w:color="auto" w:fill="074F6A"/>
            <w:hideMark/>
          </w:tcPr>
          <w:p w14:paraId="0EBE294F" w14:textId="77777777" w:rsidR="00460384" w:rsidRPr="00D0306F" w:rsidRDefault="00460384" w:rsidP="00977D0F">
            <w:pPr>
              <w:rPr>
                <w:rFonts w:cs="Arial"/>
                <w:b/>
                <w:bCs/>
                <w:color w:val="FFFFFF"/>
              </w:rPr>
            </w:pPr>
            <w:r w:rsidRPr="00D0306F">
              <w:rPr>
                <w:rFonts w:cs="Arial"/>
                <w:b/>
                <w:bCs/>
                <w:color w:val="FFFFFF"/>
              </w:rPr>
              <w:t>Not disabled under the Equality Act</w:t>
            </w:r>
          </w:p>
        </w:tc>
      </w:tr>
      <w:tr w:rsidR="00460384" w:rsidRPr="00D0306F" w14:paraId="7B8148F3" w14:textId="77777777" w:rsidTr="00E51D7D">
        <w:trPr>
          <w:jc w:val="center"/>
        </w:trPr>
        <w:tc>
          <w:tcPr>
            <w:tcW w:w="1205" w:type="dxa"/>
            <w:tcBorders>
              <w:top w:val="single" w:sz="4" w:space="0" w:color="auto"/>
              <w:left w:val="single" w:sz="4" w:space="0" w:color="auto"/>
              <w:bottom w:val="single" w:sz="4" w:space="0" w:color="auto"/>
              <w:right w:val="single" w:sz="4" w:space="0" w:color="auto"/>
            </w:tcBorders>
          </w:tcPr>
          <w:p w14:paraId="19CBF1E0" w14:textId="581E7C11" w:rsidR="00460384" w:rsidRPr="00D0306F" w:rsidRDefault="00460384" w:rsidP="00E51D7D">
            <w:pPr>
              <w:rPr>
                <w:rFonts w:cs="Arial"/>
              </w:rPr>
            </w:pPr>
            <w:r w:rsidRPr="00D0306F">
              <w:rPr>
                <w:rFonts w:cs="Arial"/>
              </w:rPr>
              <w:t>Neath Port Talbot</w:t>
            </w:r>
          </w:p>
        </w:tc>
        <w:tc>
          <w:tcPr>
            <w:tcW w:w="1484" w:type="dxa"/>
            <w:tcBorders>
              <w:top w:val="single" w:sz="4" w:space="0" w:color="auto"/>
              <w:left w:val="single" w:sz="4" w:space="0" w:color="auto"/>
              <w:bottom w:val="single" w:sz="4" w:space="0" w:color="auto"/>
              <w:right w:val="single" w:sz="4" w:space="0" w:color="auto"/>
            </w:tcBorders>
            <w:hideMark/>
          </w:tcPr>
          <w:p w14:paraId="400AEF26" w14:textId="77777777" w:rsidR="00460384" w:rsidRPr="00D0306F" w:rsidRDefault="00460384" w:rsidP="00E51D7D">
            <w:pPr>
              <w:jc w:val="center"/>
              <w:rPr>
                <w:rFonts w:cs="Arial"/>
              </w:rPr>
            </w:pPr>
            <w:r w:rsidRPr="00D0306F">
              <w:rPr>
                <w:rFonts w:cs="Arial"/>
              </w:rPr>
              <w:t>25.1%</w:t>
            </w:r>
          </w:p>
        </w:tc>
        <w:tc>
          <w:tcPr>
            <w:tcW w:w="2409" w:type="dxa"/>
            <w:tcBorders>
              <w:top w:val="single" w:sz="4" w:space="0" w:color="auto"/>
              <w:left w:val="single" w:sz="4" w:space="0" w:color="auto"/>
              <w:bottom w:val="single" w:sz="4" w:space="0" w:color="auto"/>
              <w:right w:val="single" w:sz="4" w:space="0" w:color="auto"/>
            </w:tcBorders>
            <w:hideMark/>
          </w:tcPr>
          <w:p w14:paraId="7E85574C" w14:textId="77777777" w:rsidR="00460384" w:rsidRPr="00D0306F" w:rsidRDefault="00460384" w:rsidP="00E51D7D">
            <w:pPr>
              <w:jc w:val="center"/>
              <w:rPr>
                <w:rFonts w:cs="Arial"/>
              </w:rPr>
            </w:pPr>
            <w:r w:rsidRPr="00D0306F">
              <w:rPr>
                <w:rFonts w:cs="Arial"/>
              </w:rPr>
              <w:t>13.2%</w:t>
            </w:r>
          </w:p>
        </w:tc>
        <w:tc>
          <w:tcPr>
            <w:tcW w:w="2268" w:type="dxa"/>
            <w:tcBorders>
              <w:top w:val="single" w:sz="4" w:space="0" w:color="auto"/>
              <w:left w:val="single" w:sz="4" w:space="0" w:color="auto"/>
              <w:bottom w:val="single" w:sz="4" w:space="0" w:color="auto"/>
              <w:right w:val="single" w:sz="4" w:space="0" w:color="auto"/>
            </w:tcBorders>
            <w:hideMark/>
          </w:tcPr>
          <w:p w14:paraId="5C72FE49" w14:textId="77777777" w:rsidR="00460384" w:rsidRPr="00D0306F" w:rsidRDefault="00460384" w:rsidP="00E51D7D">
            <w:pPr>
              <w:jc w:val="center"/>
              <w:rPr>
                <w:rFonts w:cs="Arial"/>
              </w:rPr>
            </w:pPr>
            <w:r w:rsidRPr="00D0306F">
              <w:rPr>
                <w:rFonts w:cs="Arial"/>
              </w:rPr>
              <w:t>11.9%</w:t>
            </w:r>
          </w:p>
        </w:tc>
        <w:tc>
          <w:tcPr>
            <w:tcW w:w="1843" w:type="dxa"/>
            <w:tcBorders>
              <w:top w:val="single" w:sz="4" w:space="0" w:color="auto"/>
              <w:left w:val="single" w:sz="4" w:space="0" w:color="auto"/>
              <w:bottom w:val="single" w:sz="4" w:space="0" w:color="auto"/>
              <w:right w:val="single" w:sz="4" w:space="0" w:color="auto"/>
            </w:tcBorders>
            <w:hideMark/>
          </w:tcPr>
          <w:p w14:paraId="42922424" w14:textId="77777777" w:rsidR="00460384" w:rsidRPr="00D0306F" w:rsidRDefault="00460384" w:rsidP="00E51D7D">
            <w:pPr>
              <w:jc w:val="center"/>
              <w:rPr>
                <w:rFonts w:cs="Arial"/>
              </w:rPr>
            </w:pPr>
            <w:r w:rsidRPr="00D0306F">
              <w:rPr>
                <w:rFonts w:cs="Arial"/>
              </w:rPr>
              <w:t>74.9%</w:t>
            </w:r>
          </w:p>
        </w:tc>
      </w:tr>
      <w:tr w:rsidR="00460384" w:rsidRPr="00D0306F" w14:paraId="3BC5F3E4" w14:textId="77777777" w:rsidTr="00E51D7D">
        <w:trPr>
          <w:jc w:val="center"/>
        </w:trPr>
        <w:tc>
          <w:tcPr>
            <w:tcW w:w="1205" w:type="dxa"/>
            <w:tcBorders>
              <w:top w:val="single" w:sz="4" w:space="0" w:color="auto"/>
              <w:left w:val="single" w:sz="4" w:space="0" w:color="auto"/>
              <w:bottom w:val="single" w:sz="4" w:space="0" w:color="auto"/>
              <w:right w:val="single" w:sz="4" w:space="0" w:color="auto"/>
            </w:tcBorders>
            <w:hideMark/>
          </w:tcPr>
          <w:p w14:paraId="29D8843F" w14:textId="77777777" w:rsidR="00460384" w:rsidRPr="00D0306F" w:rsidRDefault="00460384" w:rsidP="00977D0F">
            <w:pPr>
              <w:rPr>
                <w:rFonts w:cs="Arial"/>
              </w:rPr>
            </w:pPr>
            <w:r w:rsidRPr="00D0306F">
              <w:rPr>
                <w:rFonts w:cs="Arial"/>
              </w:rPr>
              <w:t>Swansea</w:t>
            </w:r>
          </w:p>
        </w:tc>
        <w:tc>
          <w:tcPr>
            <w:tcW w:w="1484" w:type="dxa"/>
            <w:tcBorders>
              <w:top w:val="single" w:sz="4" w:space="0" w:color="auto"/>
              <w:left w:val="single" w:sz="4" w:space="0" w:color="auto"/>
              <w:bottom w:val="single" w:sz="4" w:space="0" w:color="auto"/>
              <w:right w:val="single" w:sz="4" w:space="0" w:color="auto"/>
            </w:tcBorders>
            <w:hideMark/>
          </w:tcPr>
          <w:p w14:paraId="72562300" w14:textId="77777777" w:rsidR="00460384" w:rsidRPr="00D0306F" w:rsidRDefault="00460384" w:rsidP="00E51D7D">
            <w:pPr>
              <w:jc w:val="center"/>
              <w:rPr>
                <w:rFonts w:cs="Arial"/>
              </w:rPr>
            </w:pPr>
            <w:r w:rsidRPr="00D0306F">
              <w:rPr>
                <w:rFonts w:cs="Arial"/>
              </w:rPr>
              <w:t>22.4%</w:t>
            </w:r>
          </w:p>
        </w:tc>
        <w:tc>
          <w:tcPr>
            <w:tcW w:w="2409" w:type="dxa"/>
            <w:tcBorders>
              <w:top w:val="single" w:sz="4" w:space="0" w:color="auto"/>
              <w:left w:val="single" w:sz="4" w:space="0" w:color="auto"/>
              <w:bottom w:val="single" w:sz="4" w:space="0" w:color="auto"/>
              <w:right w:val="single" w:sz="4" w:space="0" w:color="auto"/>
            </w:tcBorders>
            <w:hideMark/>
          </w:tcPr>
          <w:p w14:paraId="6D89A717" w14:textId="77777777" w:rsidR="00460384" w:rsidRPr="00D0306F" w:rsidRDefault="00460384" w:rsidP="00E51D7D">
            <w:pPr>
              <w:jc w:val="center"/>
              <w:rPr>
                <w:rFonts w:cs="Arial"/>
              </w:rPr>
            </w:pPr>
            <w:r w:rsidRPr="00D0306F">
              <w:rPr>
                <w:rFonts w:cs="Arial"/>
              </w:rPr>
              <w:t>11.1%</w:t>
            </w:r>
          </w:p>
        </w:tc>
        <w:tc>
          <w:tcPr>
            <w:tcW w:w="2268" w:type="dxa"/>
            <w:tcBorders>
              <w:top w:val="single" w:sz="4" w:space="0" w:color="auto"/>
              <w:left w:val="single" w:sz="4" w:space="0" w:color="auto"/>
              <w:bottom w:val="single" w:sz="4" w:space="0" w:color="auto"/>
              <w:right w:val="single" w:sz="4" w:space="0" w:color="auto"/>
            </w:tcBorders>
            <w:hideMark/>
          </w:tcPr>
          <w:p w14:paraId="54DC135E" w14:textId="77777777" w:rsidR="00460384" w:rsidRPr="00D0306F" w:rsidRDefault="00460384" w:rsidP="00E51D7D">
            <w:pPr>
              <w:jc w:val="center"/>
              <w:rPr>
                <w:rFonts w:cs="Arial"/>
              </w:rPr>
            </w:pPr>
            <w:r w:rsidRPr="00D0306F">
              <w:rPr>
                <w:rFonts w:cs="Arial"/>
              </w:rPr>
              <w:t>11.3%</w:t>
            </w:r>
          </w:p>
        </w:tc>
        <w:tc>
          <w:tcPr>
            <w:tcW w:w="1843" w:type="dxa"/>
            <w:tcBorders>
              <w:top w:val="single" w:sz="4" w:space="0" w:color="auto"/>
              <w:left w:val="single" w:sz="4" w:space="0" w:color="auto"/>
              <w:bottom w:val="single" w:sz="4" w:space="0" w:color="auto"/>
              <w:right w:val="single" w:sz="4" w:space="0" w:color="auto"/>
            </w:tcBorders>
            <w:hideMark/>
          </w:tcPr>
          <w:p w14:paraId="19DFDA49" w14:textId="77777777" w:rsidR="00460384" w:rsidRPr="00D0306F" w:rsidRDefault="00460384" w:rsidP="00E51D7D">
            <w:pPr>
              <w:jc w:val="center"/>
              <w:rPr>
                <w:rFonts w:cs="Arial"/>
              </w:rPr>
            </w:pPr>
            <w:r w:rsidRPr="00D0306F">
              <w:rPr>
                <w:rFonts w:cs="Arial"/>
              </w:rPr>
              <w:t>76.4%</w:t>
            </w:r>
          </w:p>
        </w:tc>
      </w:tr>
      <w:tr w:rsidR="00460384" w:rsidRPr="00D0306F" w14:paraId="76D69BC7" w14:textId="77777777" w:rsidTr="00E51D7D">
        <w:trPr>
          <w:jc w:val="center"/>
        </w:trPr>
        <w:tc>
          <w:tcPr>
            <w:tcW w:w="1205" w:type="dxa"/>
            <w:tcBorders>
              <w:top w:val="single" w:sz="4" w:space="0" w:color="auto"/>
              <w:left w:val="single" w:sz="4" w:space="0" w:color="auto"/>
              <w:bottom w:val="single" w:sz="4" w:space="0" w:color="auto"/>
              <w:right w:val="single" w:sz="4" w:space="0" w:color="auto"/>
            </w:tcBorders>
            <w:hideMark/>
          </w:tcPr>
          <w:p w14:paraId="342A55B5" w14:textId="77777777" w:rsidR="00460384" w:rsidRPr="00D0306F" w:rsidRDefault="00460384" w:rsidP="00977D0F">
            <w:pPr>
              <w:rPr>
                <w:rFonts w:cs="Arial"/>
              </w:rPr>
            </w:pPr>
            <w:r w:rsidRPr="00D0306F">
              <w:rPr>
                <w:rFonts w:cs="Arial"/>
              </w:rPr>
              <w:t>Wales</w:t>
            </w:r>
          </w:p>
        </w:tc>
        <w:tc>
          <w:tcPr>
            <w:tcW w:w="1484" w:type="dxa"/>
            <w:tcBorders>
              <w:top w:val="single" w:sz="4" w:space="0" w:color="auto"/>
              <w:left w:val="single" w:sz="4" w:space="0" w:color="auto"/>
              <w:bottom w:val="single" w:sz="4" w:space="0" w:color="auto"/>
              <w:right w:val="single" w:sz="4" w:space="0" w:color="auto"/>
            </w:tcBorders>
            <w:hideMark/>
          </w:tcPr>
          <w:p w14:paraId="5726DF76" w14:textId="77777777" w:rsidR="00460384" w:rsidRPr="00D0306F" w:rsidRDefault="00460384" w:rsidP="00E51D7D">
            <w:pPr>
              <w:jc w:val="center"/>
              <w:rPr>
                <w:rFonts w:cs="Arial"/>
              </w:rPr>
            </w:pPr>
            <w:r w:rsidRPr="00D0306F">
              <w:rPr>
                <w:rFonts w:cs="Arial"/>
              </w:rPr>
              <w:t>21.6%</w:t>
            </w:r>
          </w:p>
        </w:tc>
        <w:tc>
          <w:tcPr>
            <w:tcW w:w="2409" w:type="dxa"/>
            <w:tcBorders>
              <w:top w:val="single" w:sz="4" w:space="0" w:color="auto"/>
              <w:left w:val="single" w:sz="4" w:space="0" w:color="auto"/>
              <w:bottom w:val="single" w:sz="4" w:space="0" w:color="auto"/>
              <w:right w:val="single" w:sz="4" w:space="0" w:color="auto"/>
            </w:tcBorders>
            <w:hideMark/>
          </w:tcPr>
          <w:p w14:paraId="0957A27D" w14:textId="77777777" w:rsidR="00460384" w:rsidRPr="00D0306F" w:rsidRDefault="00460384" w:rsidP="00E51D7D">
            <w:pPr>
              <w:jc w:val="center"/>
              <w:rPr>
                <w:rFonts w:cs="Arial"/>
              </w:rPr>
            </w:pPr>
            <w:r w:rsidRPr="00D0306F">
              <w:rPr>
                <w:rFonts w:cs="Arial"/>
              </w:rPr>
              <w:t>10.3%</w:t>
            </w:r>
          </w:p>
        </w:tc>
        <w:tc>
          <w:tcPr>
            <w:tcW w:w="2268" w:type="dxa"/>
            <w:tcBorders>
              <w:top w:val="single" w:sz="4" w:space="0" w:color="auto"/>
              <w:left w:val="single" w:sz="4" w:space="0" w:color="auto"/>
              <w:bottom w:val="single" w:sz="4" w:space="0" w:color="auto"/>
              <w:right w:val="single" w:sz="4" w:space="0" w:color="auto"/>
            </w:tcBorders>
            <w:hideMark/>
          </w:tcPr>
          <w:p w14:paraId="0201491D" w14:textId="77777777" w:rsidR="00460384" w:rsidRPr="00D0306F" w:rsidRDefault="00460384" w:rsidP="00E51D7D">
            <w:pPr>
              <w:jc w:val="center"/>
              <w:rPr>
                <w:rFonts w:cs="Arial"/>
              </w:rPr>
            </w:pPr>
            <w:r w:rsidRPr="00D0306F">
              <w:rPr>
                <w:rFonts w:cs="Arial"/>
              </w:rPr>
              <w:t>11.3%</w:t>
            </w:r>
          </w:p>
        </w:tc>
        <w:tc>
          <w:tcPr>
            <w:tcW w:w="1843" w:type="dxa"/>
            <w:tcBorders>
              <w:top w:val="single" w:sz="4" w:space="0" w:color="auto"/>
              <w:left w:val="single" w:sz="4" w:space="0" w:color="auto"/>
              <w:bottom w:val="single" w:sz="4" w:space="0" w:color="auto"/>
              <w:right w:val="single" w:sz="4" w:space="0" w:color="auto"/>
            </w:tcBorders>
            <w:hideMark/>
          </w:tcPr>
          <w:p w14:paraId="065E9DC1" w14:textId="77777777" w:rsidR="00460384" w:rsidRPr="00D0306F" w:rsidRDefault="00460384" w:rsidP="00E51D7D">
            <w:pPr>
              <w:jc w:val="center"/>
              <w:rPr>
                <w:rFonts w:cs="Arial"/>
              </w:rPr>
            </w:pPr>
            <w:r w:rsidRPr="00D0306F">
              <w:rPr>
                <w:rFonts w:cs="Arial"/>
              </w:rPr>
              <w:t>78.4%</w:t>
            </w:r>
          </w:p>
        </w:tc>
      </w:tr>
    </w:tbl>
    <w:p w14:paraId="222307A3" w14:textId="77777777" w:rsidR="00460384" w:rsidRPr="00D0306F" w:rsidRDefault="00460384" w:rsidP="00977D0F">
      <w:pPr>
        <w:rPr>
          <w:rFonts w:eastAsia="Aptos" w:cs="Arial"/>
        </w:rPr>
      </w:pPr>
    </w:p>
    <w:p w14:paraId="34E8C791" w14:textId="77777777" w:rsidR="00460384" w:rsidRPr="00D0306F" w:rsidRDefault="00460384" w:rsidP="00977D0F">
      <w:pPr>
        <w:rPr>
          <w:rFonts w:eastAsia="Aptos" w:cs="Arial"/>
          <w:b/>
          <w:bCs/>
        </w:rPr>
      </w:pPr>
      <w:r w:rsidRPr="00D0306F">
        <w:rPr>
          <w:rFonts w:eastAsia="Aptos" w:cs="Arial"/>
          <w:b/>
          <w:bCs/>
        </w:rPr>
        <w:t>2.10.1 Long term limiting illness</w:t>
      </w:r>
    </w:p>
    <w:p w14:paraId="613CC6DD" w14:textId="77777777" w:rsidR="00460384" w:rsidRPr="00D0306F" w:rsidRDefault="00460384" w:rsidP="00977D0F">
      <w:pPr>
        <w:rPr>
          <w:rFonts w:eastAsia="Aptos" w:cs="Arial"/>
          <w:b/>
          <w:bCs/>
        </w:rPr>
      </w:pPr>
    </w:p>
    <w:p w14:paraId="73A5E72C" w14:textId="77777777" w:rsidR="00460384" w:rsidRPr="00D0306F" w:rsidRDefault="00460384" w:rsidP="00977D0F">
      <w:pPr>
        <w:rPr>
          <w:rFonts w:eastAsia="Aptos" w:cs="Arial"/>
        </w:rPr>
      </w:pPr>
      <w:r w:rsidRPr="00D0306F">
        <w:rPr>
          <w:rFonts w:eastAsia="Aptos" w:cs="Arial"/>
        </w:rPr>
        <w:t>A long-term health problem or disability that limits a person's day-to-day activities, and has lasted, or is expected to last, at least 12 months also includes problems that are related to old age.</w:t>
      </w:r>
    </w:p>
    <w:p w14:paraId="3EA2697D" w14:textId="77777777" w:rsidR="00460384" w:rsidRPr="00D0306F" w:rsidRDefault="00460384" w:rsidP="00977D0F">
      <w:pPr>
        <w:rPr>
          <w:rFonts w:eastAsia="Aptos" w:cs="Arial"/>
        </w:rPr>
      </w:pPr>
    </w:p>
    <w:p w14:paraId="77B5A677" w14:textId="77777777" w:rsidR="00460384" w:rsidRPr="00D0306F" w:rsidRDefault="00460384" w:rsidP="00977D0F">
      <w:pPr>
        <w:rPr>
          <w:rFonts w:eastAsia="Aptos" w:cs="Arial"/>
        </w:rPr>
      </w:pPr>
      <w:r w:rsidRPr="00D0306F">
        <w:rPr>
          <w:rFonts w:eastAsia="Aptos" w:cs="Arial"/>
        </w:rPr>
        <w:t>Data from the 2021 census highlighted that Neath Port Talbot had a higher percentage of people whose day to day activities were limited (11.9%%) or limited a lot (13.2%), compared to people in Swansea whose activity was limited (11.3%) or limited a lot (11.1%).</w:t>
      </w:r>
    </w:p>
    <w:p w14:paraId="0EC01D11" w14:textId="77777777" w:rsidR="00460384" w:rsidRPr="00D0306F" w:rsidRDefault="00460384" w:rsidP="00977D0F">
      <w:pPr>
        <w:rPr>
          <w:rFonts w:eastAsia="Aptos" w:cs="Arial"/>
          <w:b/>
          <w:bCs/>
        </w:rPr>
      </w:pPr>
    </w:p>
    <w:p w14:paraId="7B27D623" w14:textId="269A4D23" w:rsidR="00460384" w:rsidRPr="00D0306F" w:rsidRDefault="00460384" w:rsidP="00977D0F">
      <w:pPr>
        <w:rPr>
          <w:rFonts w:eastAsia="Aptos" w:cs="Arial"/>
          <w:b/>
          <w:bCs/>
        </w:rPr>
      </w:pPr>
      <w:r w:rsidRPr="00D0306F">
        <w:rPr>
          <w:rFonts w:eastAsia="Aptos" w:cs="Arial"/>
          <w:b/>
          <w:bCs/>
        </w:rPr>
        <w:t>Table 2.</w:t>
      </w:r>
      <w:r w:rsidR="00BA1A40">
        <w:rPr>
          <w:rFonts w:eastAsia="Aptos" w:cs="Arial"/>
          <w:b/>
          <w:bCs/>
        </w:rPr>
        <w:t>7</w:t>
      </w:r>
      <w:r w:rsidRPr="00D0306F">
        <w:rPr>
          <w:rFonts w:eastAsia="Aptos" w:cs="Arial"/>
          <w:b/>
          <w:bCs/>
        </w:rPr>
        <w:t>: Limiting long term illness or disability by local authority</w:t>
      </w:r>
    </w:p>
    <w:p w14:paraId="424EE910" w14:textId="77777777" w:rsidR="00460384" w:rsidRPr="00D0306F" w:rsidRDefault="00460384" w:rsidP="00977D0F">
      <w:pPr>
        <w:rPr>
          <w:rFonts w:eastAsia="Aptos" w:cs="Arial"/>
          <w:b/>
          <w:bCs/>
        </w:rPr>
      </w:pPr>
    </w:p>
    <w:tbl>
      <w:tblPr>
        <w:tblStyle w:val="TableGrid"/>
        <w:tblW w:w="0" w:type="auto"/>
        <w:tblInd w:w="0" w:type="dxa"/>
        <w:tblLook w:val="04A0" w:firstRow="1" w:lastRow="0" w:firstColumn="1" w:lastColumn="0" w:noHBand="0" w:noVBand="1"/>
      </w:tblPr>
      <w:tblGrid>
        <w:gridCol w:w="1696"/>
        <w:gridCol w:w="3685"/>
        <w:gridCol w:w="3261"/>
      </w:tblGrid>
      <w:tr w:rsidR="00460384" w:rsidRPr="00D0306F" w14:paraId="4F8D072D" w14:textId="77777777" w:rsidTr="00460384">
        <w:tc>
          <w:tcPr>
            <w:tcW w:w="1696" w:type="dxa"/>
            <w:tcBorders>
              <w:top w:val="single" w:sz="4" w:space="0" w:color="auto"/>
              <w:left w:val="single" w:sz="4" w:space="0" w:color="auto"/>
              <w:bottom w:val="single" w:sz="4" w:space="0" w:color="auto"/>
              <w:right w:val="single" w:sz="4" w:space="0" w:color="auto"/>
            </w:tcBorders>
            <w:shd w:val="clear" w:color="auto" w:fill="074F6A"/>
            <w:hideMark/>
          </w:tcPr>
          <w:p w14:paraId="684FD776" w14:textId="77777777" w:rsidR="00460384" w:rsidRPr="00D0306F" w:rsidRDefault="00460384" w:rsidP="00977D0F">
            <w:pPr>
              <w:rPr>
                <w:rFonts w:cs="Arial"/>
                <w:b/>
                <w:bCs/>
                <w:color w:val="FFFFFF"/>
              </w:rPr>
            </w:pPr>
            <w:r w:rsidRPr="00D0306F">
              <w:rPr>
                <w:rFonts w:cs="Arial"/>
                <w:b/>
                <w:bCs/>
                <w:color w:val="FFFFFF"/>
              </w:rPr>
              <w:t>Area</w:t>
            </w:r>
          </w:p>
        </w:tc>
        <w:tc>
          <w:tcPr>
            <w:tcW w:w="3685" w:type="dxa"/>
            <w:tcBorders>
              <w:top w:val="single" w:sz="4" w:space="0" w:color="auto"/>
              <w:left w:val="single" w:sz="4" w:space="0" w:color="auto"/>
              <w:bottom w:val="single" w:sz="4" w:space="0" w:color="auto"/>
              <w:right w:val="single" w:sz="4" w:space="0" w:color="auto"/>
            </w:tcBorders>
            <w:shd w:val="clear" w:color="auto" w:fill="074F6A"/>
            <w:hideMark/>
          </w:tcPr>
          <w:p w14:paraId="5A09C31A" w14:textId="77777777" w:rsidR="00460384" w:rsidRPr="00D0306F" w:rsidRDefault="00460384" w:rsidP="00977D0F">
            <w:pPr>
              <w:rPr>
                <w:rFonts w:cs="Arial"/>
                <w:b/>
                <w:bCs/>
                <w:color w:val="FFFFFF"/>
              </w:rPr>
            </w:pPr>
            <w:r w:rsidRPr="00D0306F">
              <w:rPr>
                <w:rFonts w:cs="Arial"/>
                <w:b/>
                <w:bCs/>
                <w:color w:val="FFFFFF"/>
              </w:rPr>
              <w:t>Disabled under the Equality Act: Day-to-day activities limited a lot</w:t>
            </w:r>
          </w:p>
        </w:tc>
        <w:tc>
          <w:tcPr>
            <w:tcW w:w="3261" w:type="dxa"/>
            <w:tcBorders>
              <w:top w:val="single" w:sz="4" w:space="0" w:color="auto"/>
              <w:left w:val="single" w:sz="4" w:space="0" w:color="auto"/>
              <w:bottom w:val="single" w:sz="4" w:space="0" w:color="auto"/>
              <w:right w:val="single" w:sz="4" w:space="0" w:color="auto"/>
            </w:tcBorders>
            <w:shd w:val="clear" w:color="auto" w:fill="074F6A"/>
            <w:hideMark/>
          </w:tcPr>
          <w:p w14:paraId="438E923D" w14:textId="77777777" w:rsidR="00460384" w:rsidRPr="00D0306F" w:rsidRDefault="00460384" w:rsidP="00977D0F">
            <w:pPr>
              <w:rPr>
                <w:rFonts w:cs="Arial"/>
                <w:b/>
                <w:bCs/>
                <w:color w:val="FFFFFF"/>
              </w:rPr>
            </w:pPr>
            <w:r w:rsidRPr="00D0306F">
              <w:rPr>
                <w:rFonts w:cs="Arial"/>
                <w:b/>
                <w:bCs/>
                <w:color w:val="FFFFFF"/>
              </w:rPr>
              <w:t>Disabled under the Equality Act: Day-to-day activities limited a little</w:t>
            </w:r>
          </w:p>
        </w:tc>
      </w:tr>
      <w:tr w:rsidR="00460384" w:rsidRPr="00D0306F" w14:paraId="44F450D1" w14:textId="77777777" w:rsidTr="00460384">
        <w:tc>
          <w:tcPr>
            <w:tcW w:w="1696" w:type="dxa"/>
            <w:tcBorders>
              <w:top w:val="single" w:sz="4" w:space="0" w:color="auto"/>
              <w:left w:val="single" w:sz="4" w:space="0" w:color="auto"/>
              <w:bottom w:val="single" w:sz="4" w:space="0" w:color="auto"/>
              <w:right w:val="single" w:sz="4" w:space="0" w:color="auto"/>
            </w:tcBorders>
          </w:tcPr>
          <w:p w14:paraId="25714814" w14:textId="2249EA7B" w:rsidR="00460384" w:rsidRPr="00D0306F" w:rsidRDefault="00460384" w:rsidP="00E51D7D">
            <w:pPr>
              <w:rPr>
                <w:rFonts w:cs="Arial"/>
              </w:rPr>
            </w:pPr>
            <w:r w:rsidRPr="00D0306F">
              <w:rPr>
                <w:rFonts w:cs="Arial"/>
              </w:rPr>
              <w:t>Neath Port Talbot</w:t>
            </w:r>
          </w:p>
        </w:tc>
        <w:tc>
          <w:tcPr>
            <w:tcW w:w="3685" w:type="dxa"/>
            <w:tcBorders>
              <w:top w:val="single" w:sz="4" w:space="0" w:color="auto"/>
              <w:left w:val="single" w:sz="4" w:space="0" w:color="auto"/>
              <w:bottom w:val="single" w:sz="4" w:space="0" w:color="auto"/>
              <w:right w:val="single" w:sz="4" w:space="0" w:color="auto"/>
            </w:tcBorders>
            <w:hideMark/>
          </w:tcPr>
          <w:p w14:paraId="05E6F186" w14:textId="77777777" w:rsidR="00460384" w:rsidRPr="00D0306F" w:rsidRDefault="00460384" w:rsidP="00E51D7D">
            <w:pPr>
              <w:jc w:val="center"/>
              <w:rPr>
                <w:rFonts w:cs="Arial"/>
              </w:rPr>
            </w:pPr>
            <w:r w:rsidRPr="00D0306F">
              <w:rPr>
                <w:rFonts w:cs="Arial"/>
              </w:rPr>
              <w:t>18,753</w:t>
            </w:r>
          </w:p>
        </w:tc>
        <w:tc>
          <w:tcPr>
            <w:tcW w:w="3261" w:type="dxa"/>
            <w:tcBorders>
              <w:top w:val="single" w:sz="4" w:space="0" w:color="auto"/>
              <w:left w:val="single" w:sz="4" w:space="0" w:color="auto"/>
              <w:bottom w:val="single" w:sz="4" w:space="0" w:color="auto"/>
              <w:right w:val="single" w:sz="4" w:space="0" w:color="auto"/>
            </w:tcBorders>
            <w:hideMark/>
          </w:tcPr>
          <w:p w14:paraId="07CC5562" w14:textId="77777777" w:rsidR="00460384" w:rsidRPr="00D0306F" w:rsidRDefault="00460384" w:rsidP="00E51D7D">
            <w:pPr>
              <w:jc w:val="center"/>
              <w:rPr>
                <w:rFonts w:cs="Arial"/>
              </w:rPr>
            </w:pPr>
            <w:r w:rsidRPr="00D0306F">
              <w:rPr>
                <w:rFonts w:cs="Arial"/>
              </w:rPr>
              <w:t>16,923</w:t>
            </w:r>
          </w:p>
        </w:tc>
      </w:tr>
      <w:tr w:rsidR="00460384" w:rsidRPr="00D0306F" w14:paraId="0675D3A1" w14:textId="77777777" w:rsidTr="00460384">
        <w:tc>
          <w:tcPr>
            <w:tcW w:w="1696" w:type="dxa"/>
            <w:tcBorders>
              <w:top w:val="single" w:sz="4" w:space="0" w:color="auto"/>
              <w:left w:val="single" w:sz="4" w:space="0" w:color="auto"/>
              <w:bottom w:val="single" w:sz="4" w:space="0" w:color="auto"/>
              <w:right w:val="single" w:sz="4" w:space="0" w:color="auto"/>
            </w:tcBorders>
            <w:hideMark/>
          </w:tcPr>
          <w:p w14:paraId="6BCD2EF3" w14:textId="77777777" w:rsidR="00460384" w:rsidRPr="00D0306F" w:rsidRDefault="00460384" w:rsidP="00977D0F">
            <w:pPr>
              <w:rPr>
                <w:rFonts w:cs="Arial"/>
              </w:rPr>
            </w:pPr>
            <w:r w:rsidRPr="00D0306F">
              <w:rPr>
                <w:rFonts w:cs="Arial"/>
              </w:rPr>
              <w:t>Swansea</w:t>
            </w:r>
          </w:p>
        </w:tc>
        <w:tc>
          <w:tcPr>
            <w:tcW w:w="3685" w:type="dxa"/>
            <w:tcBorders>
              <w:top w:val="single" w:sz="4" w:space="0" w:color="auto"/>
              <w:left w:val="single" w:sz="4" w:space="0" w:color="auto"/>
              <w:bottom w:val="single" w:sz="4" w:space="0" w:color="auto"/>
              <w:right w:val="single" w:sz="4" w:space="0" w:color="auto"/>
            </w:tcBorders>
            <w:hideMark/>
          </w:tcPr>
          <w:p w14:paraId="398F15FE" w14:textId="77777777" w:rsidR="00460384" w:rsidRPr="00D0306F" w:rsidRDefault="00460384" w:rsidP="00E51D7D">
            <w:pPr>
              <w:jc w:val="center"/>
              <w:rPr>
                <w:rFonts w:cs="Arial"/>
              </w:rPr>
            </w:pPr>
            <w:r w:rsidRPr="00D0306F">
              <w:rPr>
                <w:rFonts w:cs="Arial"/>
              </w:rPr>
              <w:t>26,536</w:t>
            </w:r>
          </w:p>
        </w:tc>
        <w:tc>
          <w:tcPr>
            <w:tcW w:w="3261" w:type="dxa"/>
            <w:tcBorders>
              <w:top w:val="single" w:sz="4" w:space="0" w:color="auto"/>
              <w:left w:val="single" w:sz="4" w:space="0" w:color="auto"/>
              <w:bottom w:val="single" w:sz="4" w:space="0" w:color="auto"/>
              <w:right w:val="single" w:sz="4" w:space="0" w:color="auto"/>
            </w:tcBorders>
            <w:hideMark/>
          </w:tcPr>
          <w:p w14:paraId="414B7289" w14:textId="77777777" w:rsidR="00460384" w:rsidRPr="00D0306F" w:rsidRDefault="00460384" w:rsidP="00E51D7D">
            <w:pPr>
              <w:jc w:val="center"/>
              <w:rPr>
                <w:rFonts w:cs="Arial"/>
              </w:rPr>
            </w:pPr>
            <w:r w:rsidRPr="00D0306F">
              <w:rPr>
                <w:rFonts w:cs="Arial"/>
              </w:rPr>
              <w:t>26,948</w:t>
            </w:r>
          </w:p>
        </w:tc>
      </w:tr>
      <w:tr w:rsidR="00460384" w:rsidRPr="00D0306F" w14:paraId="7225519D" w14:textId="77777777" w:rsidTr="00460384">
        <w:tc>
          <w:tcPr>
            <w:tcW w:w="1696" w:type="dxa"/>
            <w:tcBorders>
              <w:top w:val="single" w:sz="4" w:space="0" w:color="auto"/>
              <w:left w:val="single" w:sz="4" w:space="0" w:color="auto"/>
              <w:bottom w:val="single" w:sz="4" w:space="0" w:color="auto"/>
              <w:right w:val="single" w:sz="4" w:space="0" w:color="auto"/>
            </w:tcBorders>
            <w:hideMark/>
          </w:tcPr>
          <w:p w14:paraId="71448381" w14:textId="77777777" w:rsidR="00460384" w:rsidRPr="00D0306F" w:rsidRDefault="00460384" w:rsidP="00977D0F">
            <w:pPr>
              <w:rPr>
                <w:rFonts w:cs="Arial"/>
              </w:rPr>
            </w:pPr>
            <w:r w:rsidRPr="00D0306F">
              <w:rPr>
                <w:rFonts w:cs="Arial"/>
              </w:rPr>
              <w:t>Wales</w:t>
            </w:r>
          </w:p>
        </w:tc>
        <w:tc>
          <w:tcPr>
            <w:tcW w:w="3685" w:type="dxa"/>
            <w:tcBorders>
              <w:top w:val="single" w:sz="4" w:space="0" w:color="auto"/>
              <w:left w:val="single" w:sz="4" w:space="0" w:color="auto"/>
              <w:bottom w:val="single" w:sz="4" w:space="0" w:color="auto"/>
              <w:right w:val="single" w:sz="4" w:space="0" w:color="auto"/>
            </w:tcBorders>
            <w:hideMark/>
          </w:tcPr>
          <w:p w14:paraId="6C75D8A8" w14:textId="77777777" w:rsidR="00460384" w:rsidRPr="00D0306F" w:rsidRDefault="00460384" w:rsidP="00E51D7D">
            <w:pPr>
              <w:jc w:val="center"/>
              <w:rPr>
                <w:rFonts w:cs="Arial"/>
              </w:rPr>
            </w:pPr>
            <w:r w:rsidRPr="00D0306F">
              <w:rPr>
                <w:rFonts w:cs="Arial"/>
              </w:rPr>
              <w:t>319,406</w:t>
            </w:r>
          </w:p>
        </w:tc>
        <w:tc>
          <w:tcPr>
            <w:tcW w:w="3261" w:type="dxa"/>
            <w:tcBorders>
              <w:top w:val="single" w:sz="4" w:space="0" w:color="auto"/>
              <w:left w:val="single" w:sz="4" w:space="0" w:color="auto"/>
              <w:bottom w:val="single" w:sz="4" w:space="0" w:color="auto"/>
              <w:right w:val="single" w:sz="4" w:space="0" w:color="auto"/>
            </w:tcBorders>
            <w:hideMark/>
          </w:tcPr>
          <w:p w14:paraId="00059B59" w14:textId="77777777" w:rsidR="00460384" w:rsidRPr="00D0306F" w:rsidRDefault="00460384" w:rsidP="00E51D7D">
            <w:pPr>
              <w:jc w:val="center"/>
              <w:rPr>
                <w:rFonts w:cs="Arial"/>
              </w:rPr>
            </w:pPr>
            <w:r w:rsidRPr="00D0306F">
              <w:rPr>
                <w:rFonts w:cs="Arial"/>
              </w:rPr>
              <w:t>350,838</w:t>
            </w:r>
          </w:p>
        </w:tc>
      </w:tr>
    </w:tbl>
    <w:p w14:paraId="0FA272CE" w14:textId="77777777" w:rsidR="00E51D7D" w:rsidRPr="00D0306F" w:rsidRDefault="00E51D7D" w:rsidP="00977D0F">
      <w:pPr>
        <w:rPr>
          <w:rFonts w:eastAsia="Arial" w:cs="Arial"/>
          <w:b/>
          <w:kern w:val="0"/>
          <w:lang w:val="en-US"/>
          <w14:ligatures w14:val="none"/>
        </w:rPr>
      </w:pPr>
    </w:p>
    <w:p w14:paraId="7AC172D5" w14:textId="77777777" w:rsidR="00460384" w:rsidRPr="00D0306F" w:rsidRDefault="00460384" w:rsidP="00977D0F">
      <w:pPr>
        <w:rPr>
          <w:rFonts w:eastAsia="Aptos" w:cs="Arial"/>
          <w:b/>
          <w:bCs/>
        </w:rPr>
      </w:pPr>
      <w:r w:rsidRPr="00D0306F">
        <w:rPr>
          <w:rFonts w:eastAsia="Aptos" w:cs="Arial"/>
          <w:b/>
          <w:bCs/>
        </w:rPr>
        <w:t>2.10.2 Work limiting disability</w:t>
      </w:r>
    </w:p>
    <w:p w14:paraId="6A5F441F" w14:textId="77777777" w:rsidR="00460384" w:rsidRPr="00D0306F" w:rsidRDefault="00460384" w:rsidP="00977D0F">
      <w:pPr>
        <w:rPr>
          <w:rFonts w:eastAsia="Aptos" w:cs="Arial"/>
        </w:rPr>
      </w:pPr>
    </w:p>
    <w:p w14:paraId="63C54515" w14:textId="77777777" w:rsidR="00460384" w:rsidRPr="00D0306F" w:rsidRDefault="00460384" w:rsidP="00977D0F">
      <w:pPr>
        <w:rPr>
          <w:rFonts w:eastAsia="Aptos" w:cs="Arial"/>
        </w:rPr>
      </w:pPr>
      <w:r w:rsidRPr="00D0306F">
        <w:rPr>
          <w:rFonts w:eastAsia="Aptos" w:cs="Arial"/>
        </w:rPr>
        <w:t xml:space="preserve">Percentage of working age people who are Equality Act core or work-limiting disabled. Equality Act core disabled includes those who have a long term disability </w:t>
      </w:r>
      <w:r w:rsidRPr="00D0306F">
        <w:rPr>
          <w:rFonts w:eastAsia="Aptos" w:cs="Arial"/>
        </w:rPr>
        <w:lastRenderedPageBreak/>
        <w:t>which substantially limits their day-to-day activities. Work-limiting disabled includes those who have a long term disability which affects the kind or amount of work they might do. Working age is defined as people aged 16 to 64. The percentage shows the number of people who are Equality Act core or work limiting disabled as a percentage of all working age people. These estimates are taken from the annual population survey.</w:t>
      </w:r>
    </w:p>
    <w:p w14:paraId="21F81F15" w14:textId="77777777" w:rsidR="00460384" w:rsidRPr="00D0306F" w:rsidRDefault="00460384" w:rsidP="00977D0F">
      <w:pPr>
        <w:rPr>
          <w:rFonts w:eastAsia="Aptos" w:cs="Arial"/>
        </w:rPr>
      </w:pPr>
    </w:p>
    <w:p w14:paraId="46CD240C" w14:textId="77777777" w:rsidR="00460384" w:rsidRPr="00D0306F" w:rsidRDefault="00460384" w:rsidP="00977D0F">
      <w:pPr>
        <w:rPr>
          <w:rFonts w:eastAsia="Aptos" w:cs="Arial"/>
        </w:rPr>
      </w:pPr>
      <w:r w:rsidRPr="00D0306F">
        <w:rPr>
          <w:rFonts w:eastAsia="Aptos" w:cs="Arial"/>
        </w:rPr>
        <w:t>In 2023/24, the disability employment rate in Wales was around 31% lower than for non</w:t>
      </w:r>
      <w:r w:rsidRPr="00D0306F">
        <w:rPr>
          <w:rFonts w:eastAsia="Aptos" w:cs="Arial"/>
        </w:rPr>
        <w:noBreakHyphen/>
        <w:t xml:space="preserve">disabled people, indicating a persistent and significant disability employment gap. </w:t>
      </w:r>
      <w:r w:rsidRPr="00D0306F">
        <w:rPr>
          <w:rFonts w:eastAsia="Aptos" w:cs="Arial"/>
        </w:rPr>
        <w:br/>
      </w:r>
    </w:p>
    <w:p w14:paraId="46ECBBC6" w14:textId="77777777" w:rsidR="00460384" w:rsidRPr="00D0306F" w:rsidRDefault="00460384" w:rsidP="00977D0F">
      <w:pPr>
        <w:rPr>
          <w:rFonts w:eastAsia="Aptos" w:cs="Arial"/>
        </w:rPr>
      </w:pPr>
      <w:r w:rsidRPr="00D0306F">
        <w:rPr>
          <w:rFonts w:eastAsia="Aptos" w:cs="Arial"/>
        </w:rPr>
        <w:t>The annual population survey data for 2024 show that long</w:t>
      </w:r>
      <w:r w:rsidRPr="00D0306F">
        <w:rPr>
          <w:rFonts w:eastAsia="Aptos" w:cs="Arial"/>
        </w:rPr>
        <w:noBreakHyphen/>
        <w:t>term sickness or disability remains the dominant reason for economic inactivity among disabled people in Wales, with many reporting that ill</w:t>
      </w:r>
      <w:r w:rsidRPr="00D0306F">
        <w:rPr>
          <w:rFonts w:eastAsia="Aptos" w:cs="Arial"/>
        </w:rPr>
        <w:noBreakHyphen/>
        <w:t>health:</w:t>
      </w:r>
    </w:p>
    <w:p w14:paraId="02EC657D" w14:textId="77777777" w:rsidR="00460384" w:rsidRPr="00D0306F" w:rsidRDefault="00460384" w:rsidP="00977D0F">
      <w:pPr>
        <w:ind w:left="720"/>
        <w:rPr>
          <w:rFonts w:eastAsia="Aptos" w:cs="Arial"/>
        </w:rPr>
      </w:pPr>
    </w:p>
    <w:p w14:paraId="41FE159F" w14:textId="77777777" w:rsidR="00460384" w:rsidRPr="00D0306F" w:rsidRDefault="00460384" w:rsidP="00977D0F">
      <w:pPr>
        <w:numPr>
          <w:ilvl w:val="0"/>
          <w:numId w:val="42"/>
        </w:numPr>
        <w:rPr>
          <w:rFonts w:eastAsia="Aptos" w:cs="Arial"/>
        </w:rPr>
      </w:pPr>
      <w:r w:rsidRPr="00D0306F">
        <w:rPr>
          <w:rFonts w:eastAsia="Aptos" w:cs="Arial"/>
        </w:rPr>
        <w:t>limits the amount of work they can do, or</w:t>
      </w:r>
    </w:p>
    <w:p w14:paraId="4B904ADB" w14:textId="77777777" w:rsidR="00460384" w:rsidRPr="00D0306F" w:rsidRDefault="00460384" w:rsidP="00977D0F">
      <w:pPr>
        <w:numPr>
          <w:ilvl w:val="0"/>
          <w:numId w:val="42"/>
        </w:numPr>
        <w:rPr>
          <w:rFonts w:eastAsia="Aptos" w:cs="Arial"/>
        </w:rPr>
      </w:pPr>
      <w:r w:rsidRPr="00D0306F">
        <w:rPr>
          <w:rFonts w:eastAsia="Aptos" w:cs="Arial"/>
        </w:rPr>
        <w:t>limits the kind of work they can do, or</w:t>
      </w:r>
    </w:p>
    <w:p w14:paraId="79949915" w14:textId="77777777" w:rsidR="00460384" w:rsidRPr="00D0306F" w:rsidRDefault="00460384" w:rsidP="00977D0F">
      <w:pPr>
        <w:numPr>
          <w:ilvl w:val="0"/>
          <w:numId w:val="42"/>
        </w:numPr>
        <w:rPr>
          <w:rFonts w:eastAsia="Aptos" w:cs="Arial"/>
        </w:rPr>
      </w:pPr>
      <w:r w:rsidRPr="00D0306F">
        <w:rPr>
          <w:rFonts w:eastAsia="Aptos" w:cs="Arial"/>
        </w:rPr>
        <w:t>prevents work entirely.</w:t>
      </w:r>
    </w:p>
    <w:p w14:paraId="54C1BF8D" w14:textId="77777777" w:rsidR="00460384" w:rsidRPr="00D0306F" w:rsidRDefault="00460384" w:rsidP="00977D0F">
      <w:pPr>
        <w:rPr>
          <w:rFonts w:eastAsia="Aptos" w:cs="Arial"/>
        </w:rPr>
      </w:pPr>
    </w:p>
    <w:p w14:paraId="27DE670E" w14:textId="77777777" w:rsidR="00460384" w:rsidRPr="00D0306F" w:rsidRDefault="00460384" w:rsidP="00977D0F">
      <w:pPr>
        <w:rPr>
          <w:rFonts w:eastAsia="Aptos" w:cs="Arial"/>
          <w:b/>
          <w:color w:val="0F4761"/>
          <w:sz w:val="26"/>
          <w:szCs w:val="26"/>
        </w:rPr>
      </w:pPr>
      <w:r w:rsidRPr="00D0306F">
        <w:rPr>
          <w:rFonts w:eastAsia="Aptos" w:cs="Arial"/>
          <w:b/>
          <w:sz w:val="26"/>
          <w:szCs w:val="26"/>
        </w:rPr>
        <w:t>2.11 Sexual orientation</w:t>
      </w:r>
    </w:p>
    <w:p w14:paraId="1A244DF8" w14:textId="77777777" w:rsidR="00460384" w:rsidRPr="00D0306F" w:rsidRDefault="00460384" w:rsidP="00977D0F">
      <w:pPr>
        <w:rPr>
          <w:rFonts w:eastAsia="Aptos" w:cs="Arial"/>
          <w:b/>
          <w:bCs/>
        </w:rPr>
      </w:pPr>
    </w:p>
    <w:p w14:paraId="7DCFDA50" w14:textId="77777777" w:rsidR="00460384" w:rsidRPr="00D0306F" w:rsidRDefault="00460384" w:rsidP="00977D0F">
      <w:pPr>
        <w:rPr>
          <w:rFonts w:eastAsia="Aptos" w:cs="Arial"/>
        </w:rPr>
      </w:pPr>
      <w:r w:rsidRPr="00D0306F">
        <w:rPr>
          <w:rFonts w:eastAsia="Aptos" w:cs="Arial"/>
        </w:rPr>
        <w:t xml:space="preserve">Sexual orientation is an umbrella term, which encompasses several dimensions including sexual identity, attraction, and behaviour. Data on sexual identity is produced by the Office for National Statistics from the Annual Population Survey. </w:t>
      </w:r>
    </w:p>
    <w:p w14:paraId="29F72A3F" w14:textId="77777777" w:rsidR="00460384" w:rsidRPr="00D0306F" w:rsidRDefault="00460384" w:rsidP="00977D0F">
      <w:pPr>
        <w:rPr>
          <w:rFonts w:eastAsia="Aptos" w:cs="Arial"/>
        </w:rPr>
      </w:pPr>
    </w:p>
    <w:p w14:paraId="0A1C7E0B" w14:textId="77777777" w:rsidR="00460384" w:rsidRPr="00D0306F" w:rsidRDefault="00460384" w:rsidP="00977D0F">
      <w:pPr>
        <w:rPr>
          <w:rFonts w:eastAsia="Aptos" w:cs="Arial"/>
        </w:rPr>
      </w:pPr>
      <w:r w:rsidRPr="00D0306F">
        <w:rPr>
          <w:rFonts w:eastAsia="Aptos" w:cs="Arial"/>
        </w:rPr>
        <w:t>According to the 2024 Annual Population Survey</w:t>
      </w:r>
      <w:r w:rsidRPr="00D0306F">
        <w:rPr>
          <w:rFonts w:eastAsia="Aptos" w:cs="Arial"/>
          <w:vertAlign w:val="superscript"/>
        </w:rPr>
        <w:footnoteReference w:id="41"/>
      </w:r>
      <w:r w:rsidRPr="00D0306F">
        <w:rPr>
          <w:rFonts w:eastAsia="Aptos" w:cs="Arial"/>
        </w:rPr>
        <w:t>:</w:t>
      </w:r>
    </w:p>
    <w:p w14:paraId="021C2698" w14:textId="77777777" w:rsidR="00460384" w:rsidRPr="00D0306F" w:rsidRDefault="00460384" w:rsidP="00977D0F">
      <w:pPr>
        <w:rPr>
          <w:rFonts w:eastAsia="Aptos" w:cs="Arial"/>
        </w:rPr>
      </w:pPr>
    </w:p>
    <w:p w14:paraId="0D014A59" w14:textId="77777777" w:rsidR="00460384" w:rsidRPr="00D0306F" w:rsidRDefault="00460384" w:rsidP="00977D0F">
      <w:pPr>
        <w:numPr>
          <w:ilvl w:val="0"/>
          <w:numId w:val="43"/>
        </w:numPr>
        <w:rPr>
          <w:rFonts w:eastAsia="Aptos" w:cs="Arial"/>
        </w:rPr>
      </w:pPr>
      <w:r w:rsidRPr="00D0306F">
        <w:rPr>
          <w:rFonts w:eastAsia="Aptos" w:cs="Arial"/>
        </w:rPr>
        <w:t>An estimated 93.4% of adults aged 16 years and over in the UK identified as heterosexual or straight.</w:t>
      </w:r>
    </w:p>
    <w:p w14:paraId="058DE37F" w14:textId="77777777" w:rsidR="00460384" w:rsidRPr="00D0306F" w:rsidRDefault="00460384" w:rsidP="00977D0F">
      <w:pPr>
        <w:numPr>
          <w:ilvl w:val="0"/>
          <w:numId w:val="43"/>
        </w:numPr>
        <w:rPr>
          <w:rFonts w:eastAsia="Aptos" w:cs="Arial"/>
        </w:rPr>
      </w:pPr>
      <w:r w:rsidRPr="00D0306F">
        <w:rPr>
          <w:rFonts w:eastAsia="Aptos" w:cs="Arial"/>
        </w:rPr>
        <w:t>Younger people were more likely to identify as lesbian, gay, or bisexual (LGB) than older people in 2024. 8.0% of people aged 16 to 24 years identified as LGB, compared with 1.2% of people aged 65 years and over.</w:t>
      </w:r>
    </w:p>
    <w:p w14:paraId="2F5D3B39" w14:textId="77777777" w:rsidR="00460384" w:rsidRPr="00D0306F" w:rsidRDefault="00460384" w:rsidP="00977D0F">
      <w:pPr>
        <w:numPr>
          <w:ilvl w:val="0"/>
          <w:numId w:val="43"/>
        </w:numPr>
        <w:rPr>
          <w:rFonts w:eastAsia="Aptos" w:cs="Arial"/>
        </w:rPr>
      </w:pPr>
      <w:r w:rsidRPr="00D0306F">
        <w:rPr>
          <w:rFonts w:eastAsia="Aptos" w:cs="Arial"/>
        </w:rPr>
        <w:t>The percentage of people identifying as LGB between 2019 and 2024 grew the most for those aged 25 to 34 years, increasing from 3.6% to 6.4%.</w:t>
      </w:r>
    </w:p>
    <w:p w14:paraId="26B5B7DA" w14:textId="77777777" w:rsidR="00460384" w:rsidRPr="00D0306F" w:rsidRDefault="00460384" w:rsidP="00977D0F">
      <w:pPr>
        <w:numPr>
          <w:ilvl w:val="0"/>
          <w:numId w:val="43"/>
        </w:numPr>
        <w:rPr>
          <w:rFonts w:eastAsia="Aptos" w:cs="Arial"/>
        </w:rPr>
      </w:pPr>
      <w:r w:rsidRPr="00D0306F">
        <w:rPr>
          <w:rFonts w:eastAsia="Aptos" w:cs="Arial"/>
        </w:rPr>
        <w:t>Men were more likely to identify as gay or lesbian (2.9%) than as bisexual (1.1%) in 2024, while women were more likely to identify as bisexual (2.0%) than as gay or lesbian (1.4%).</w:t>
      </w:r>
    </w:p>
    <w:p w14:paraId="245AF758" w14:textId="77777777" w:rsidR="00460384" w:rsidRPr="00D0306F" w:rsidRDefault="00460384" w:rsidP="00977D0F">
      <w:pPr>
        <w:numPr>
          <w:ilvl w:val="0"/>
          <w:numId w:val="43"/>
        </w:numPr>
        <w:rPr>
          <w:rFonts w:eastAsia="Aptos" w:cs="Arial"/>
        </w:rPr>
      </w:pPr>
      <w:r w:rsidRPr="00D0306F">
        <w:rPr>
          <w:rFonts w:eastAsia="Aptos" w:cs="Arial"/>
        </w:rPr>
        <w:t>The proportions of people who identified as LGB in Wales was 3.6% in 2024.</w:t>
      </w:r>
    </w:p>
    <w:p w14:paraId="50CFB9F1" w14:textId="77777777" w:rsidR="00460384" w:rsidRPr="00D0306F" w:rsidRDefault="00460384" w:rsidP="00977D0F">
      <w:pPr>
        <w:rPr>
          <w:rFonts w:eastAsia="Aptos" w:cs="Arial"/>
        </w:rPr>
      </w:pPr>
    </w:p>
    <w:p w14:paraId="4C1D3D9F" w14:textId="77777777" w:rsidR="00460384" w:rsidRPr="00D0306F" w:rsidRDefault="00460384" w:rsidP="00977D0F">
      <w:pPr>
        <w:rPr>
          <w:rFonts w:eastAsia="Aptos" w:cs="Arial"/>
        </w:rPr>
      </w:pPr>
      <w:r w:rsidRPr="00D0306F">
        <w:rPr>
          <w:rFonts w:eastAsia="Aptos" w:cs="Arial"/>
        </w:rPr>
        <w:t xml:space="preserve">Due to small sample sizes data are only available at a regional level and not county level. </w:t>
      </w:r>
    </w:p>
    <w:p w14:paraId="18D1EC42" w14:textId="77777777" w:rsidR="00460384" w:rsidRPr="00D0306F" w:rsidRDefault="00460384" w:rsidP="00977D0F">
      <w:pPr>
        <w:rPr>
          <w:rFonts w:eastAsia="Aptos" w:cs="Arial"/>
        </w:rPr>
      </w:pPr>
    </w:p>
    <w:p w14:paraId="48615E3E" w14:textId="77777777" w:rsidR="00460384" w:rsidRPr="00D0306F" w:rsidRDefault="00460384" w:rsidP="00977D0F">
      <w:pPr>
        <w:rPr>
          <w:rFonts w:eastAsia="Aptos" w:cs="Arial"/>
        </w:rPr>
      </w:pPr>
      <w:r w:rsidRPr="00D0306F">
        <w:rPr>
          <w:rFonts w:eastAsia="Aptos" w:cs="Arial"/>
        </w:rPr>
        <w:t>Population wide estimates are also available from Census 2021 which asked voluntary questions on sexual orientation and gender identity for the first time. Census 2021 data provide improved geographic coverage but still requires careful interpretation, particularly for gender identity estimates, which are classed as official statistics in development.</w:t>
      </w:r>
    </w:p>
    <w:p w14:paraId="5A694830" w14:textId="77777777" w:rsidR="00460384" w:rsidRPr="00D0306F" w:rsidRDefault="00460384" w:rsidP="00977D0F">
      <w:pPr>
        <w:rPr>
          <w:rFonts w:eastAsia="Aptos" w:cs="Arial"/>
        </w:rPr>
      </w:pPr>
    </w:p>
    <w:p w14:paraId="14034736" w14:textId="4AFFA062" w:rsidR="00460384" w:rsidRPr="00D0306F" w:rsidRDefault="00460384" w:rsidP="00977D0F">
      <w:pPr>
        <w:rPr>
          <w:rFonts w:eastAsia="Aptos" w:cs="Arial"/>
          <w:b/>
          <w:bCs/>
        </w:rPr>
      </w:pPr>
      <w:r w:rsidRPr="00D0306F">
        <w:rPr>
          <w:rFonts w:eastAsia="Aptos" w:cs="Arial"/>
          <w:b/>
          <w:bCs/>
        </w:rPr>
        <w:lastRenderedPageBreak/>
        <w:t>Table 2.</w:t>
      </w:r>
      <w:r w:rsidR="00BA1A40">
        <w:rPr>
          <w:rFonts w:eastAsia="Aptos" w:cs="Arial"/>
          <w:b/>
          <w:bCs/>
        </w:rPr>
        <w:t>8</w:t>
      </w:r>
      <w:r w:rsidRPr="00D0306F">
        <w:rPr>
          <w:rFonts w:eastAsia="Aptos" w:cs="Arial"/>
          <w:b/>
          <w:bCs/>
        </w:rPr>
        <w:t>: Sexual identity in Swansea Bay University Health Board 2021 Census</w:t>
      </w:r>
      <w:r w:rsidRPr="00D0306F">
        <w:rPr>
          <w:rFonts w:eastAsia="Aptos" w:cs="Arial"/>
          <w:b/>
          <w:bCs/>
          <w:vertAlign w:val="superscript"/>
        </w:rPr>
        <w:footnoteReference w:id="42"/>
      </w:r>
      <w:r w:rsidRPr="00D0306F">
        <w:rPr>
          <w:rFonts w:eastAsia="Aptos" w:cs="Arial"/>
          <w:b/>
          <w:bCs/>
        </w:rPr>
        <w:t xml:space="preserve"> </w:t>
      </w:r>
    </w:p>
    <w:p w14:paraId="5CCF9A10" w14:textId="77777777" w:rsidR="00460384" w:rsidRPr="00D0306F" w:rsidRDefault="00460384" w:rsidP="00977D0F">
      <w:pPr>
        <w:rPr>
          <w:rFonts w:eastAsia="Aptos" w:cs="Arial"/>
          <w:b/>
          <w:bCs/>
        </w:rPr>
      </w:pPr>
    </w:p>
    <w:tbl>
      <w:tblPr>
        <w:tblStyle w:val="TableGrid"/>
        <w:tblW w:w="8894" w:type="dxa"/>
        <w:tblInd w:w="0" w:type="dxa"/>
        <w:tblLook w:val="04A0" w:firstRow="1" w:lastRow="0" w:firstColumn="1" w:lastColumn="0" w:noHBand="0" w:noVBand="1"/>
      </w:tblPr>
      <w:tblGrid>
        <w:gridCol w:w="1696"/>
        <w:gridCol w:w="1697"/>
        <w:gridCol w:w="1280"/>
        <w:gridCol w:w="1306"/>
        <w:gridCol w:w="1591"/>
        <w:gridCol w:w="1324"/>
      </w:tblGrid>
      <w:tr w:rsidR="00460384" w:rsidRPr="00D0306F" w14:paraId="14CFFCE1" w14:textId="77777777" w:rsidTr="00460384">
        <w:tc>
          <w:tcPr>
            <w:tcW w:w="1696" w:type="dxa"/>
            <w:tcBorders>
              <w:top w:val="single" w:sz="4" w:space="0" w:color="auto"/>
              <w:left w:val="single" w:sz="4" w:space="0" w:color="auto"/>
              <w:bottom w:val="single" w:sz="4" w:space="0" w:color="auto"/>
              <w:right w:val="single" w:sz="4" w:space="0" w:color="auto"/>
            </w:tcBorders>
            <w:shd w:val="clear" w:color="auto" w:fill="074F6A"/>
          </w:tcPr>
          <w:p w14:paraId="2356418A" w14:textId="77777777" w:rsidR="00460384" w:rsidRPr="00D0306F" w:rsidRDefault="00460384" w:rsidP="00977D0F">
            <w:pPr>
              <w:rPr>
                <w:rFonts w:cs="Arial"/>
                <w:b/>
                <w:bCs/>
                <w:color w:val="FFFFFF"/>
              </w:rPr>
            </w:pPr>
            <w:r w:rsidRPr="00D0306F">
              <w:rPr>
                <w:rFonts w:cs="Arial"/>
                <w:b/>
                <w:bCs/>
                <w:color w:val="FFFFFF"/>
              </w:rPr>
              <w:t>Local authority</w:t>
            </w:r>
          </w:p>
          <w:p w14:paraId="3F1D09EC" w14:textId="77777777" w:rsidR="00460384" w:rsidRPr="00D0306F" w:rsidRDefault="00460384" w:rsidP="00977D0F">
            <w:pPr>
              <w:rPr>
                <w:rFonts w:cs="Arial"/>
                <w:b/>
                <w:bCs/>
                <w:color w:val="FFFFFF"/>
              </w:rPr>
            </w:pPr>
          </w:p>
        </w:tc>
        <w:tc>
          <w:tcPr>
            <w:tcW w:w="1697" w:type="dxa"/>
            <w:tcBorders>
              <w:top w:val="single" w:sz="4" w:space="0" w:color="auto"/>
              <w:left w:val="single" w:sz="4" w:space="0" w:color="auto"/>
              <w:bottom w:val="single" w:sz="4" w:space="0" w:color="auto"/>
              <w:right w:val="single" w:sz="4" w:space="0" w:color="auto"/>
            </w:tcBorders>
            <w:shd w:val="clear" w:color="auto" w:fill="074F6A"/>
            <w:hideMark/>
          </w:tcPr>
          <w:p w14:paraId="581284D0" w14:textId="77777777" w:rsidR="00460384" w:rsidRPr="00D0306F" w:rsidRDefault="00460384" w:rsidP="00977D0F">
            <w:pPr>
              <w:rPr>
                <w:rFonts w:cs="Arial"/>
                <w:b/>
                <w:bCs/>
                <w:color w:val="FFFFFF"/>
              </w:rPr>
            </w:pPr>
            <w:r w:rsidRPr="00D0306F">
              <w:rPr>
                <w:rFonts w:cs="Arial"/>
                <w:b/>
                <w:bCs/>
                <w:color w:val="FFFFFF"/>
              </w:rPr>
              <w:t>Straight or heterosexual</w:t>
            </w:r>
          </w:p>
        </w:tc>
        <w:tc>
          <w:tcPr>
            <w:tcW w:w="1280" w:type="dxa"/>
            <w:tcBorders>
              <w:top w:val="single" w:sz="4" w:space="0" w:color="auto"/>
              <w:left w:val="single" w:sz="4" w:space="0" w:color="auto"/>
              <w:bottom w:val="single" w:sz="4" w:space="0" w:color="auto"/>
              <w:right w:val="single" w:sz="4" w:space="0" w:color="auto"/>
            </w:tcBorders>
            <w:shd w:val="clear" w:color="auto" w:fill="074F6A"/>
            <w:hideMark/>
          </w:tcPr>
          <w:p w14:paraId="597E16D9" w14:textId="77777777" w:rsidR="00460384" w:rsidRPr="00D0306F" w:rsidRDefault="00460384" w:rsidP="00977D0F">
            <w:pPr>
              <w:rPr>
                <w:rFonts w:cs="Arial"/>
                <w:b/>
                <w:bCs/>
                <w:color w:val="FFFFFF"/>
              </w:rPr>
            </w:pPr>
            <w:r w:rsidRPr="00D0306F">
              <w:rPr>
                <w:rFonts w:cs="Arial"/>
                <w:b/>
                <w:bCs/>
                <w:color w:val="FFFFFF"/>
              </w:rPr>
              <w:t>Gay or lesbian</w:t>
            </w:r>
          </w:p>
        </w:tc>
        <w:tc>
          <w:tcPr>
            <w:tcW w:w="1306" w:type="dxa"/>
            <w:tcBorders>
              <w:top w:val="single" w:sz="4" w:space="0" w:color="auto"/>
              <w:left w:val="single" w:sz="4" w:space="0" w:color="auto"/>
              <w:bottom w:val="single" w:sz="4" w:space="0" w:color="auto"/>
              <w:right w:val="single" w:sz="4" w:space="0" w:color="auto"/>
            </w:tcBorders>
            <w:shd w:val="clear" w:color="auto" w:fill="074F6A"/>
            <w:hideMark/>
          </w:tcPr>
          <w:p w14:paraId="553F6344" w14:textId="77777777" w:rsidR="00460384" w:rsidRPr="00D0306F" w:rsidRDefault="00460384" w:rsidP="00977D0F">
            <w:pPr>
              <w:rPr>
                <w:rFonts w:cs="Arial"/>
                <w:b/>
                <w:bCs/>
                <w:color w:val="FFFFFF"/>
              </w:rPr>
            </w:pPr>
            <w:r w:rsidRPr="00D0306F">
              <w:rPr>
                <w:rFonts w:cs="Arial"/>
                <w:b/>
                <w:bCs/>
                <w:color w:val="FFFFFF"/>
              </w:rPr>
              <w:t xml:space="preserve">Bisexual </w:t>
            </w:r>
          </w:p>
        </w:tc>
        <w:tc>
          <w:tcPr>
            <w:tcW w:w="1591" w:type="dxa"/>
            <w:tcBorders>
              <w:top w:val="single" w:sz="4" w:space="0" w:color="auto"/>
              <w:left w:val="single" w:sz="4" w:space="0" w:color="auto"/>
              <w:bottom w:val="single" w:sz="4" w:space="0" w:color="auto"/>
              <w:right w:val="single" w:sz="4" w:space="0" w:color="auto"/>
            </w:tcBorders>
            <w:shd w:val="clear" w:color="auto" w:fill="074F6A"/>
            <w:hideMark/>
          </w:tcPr>
          <w:p w14:paraId="7BCFF8C6" w14:textId="77777777" w:rsidR="00460384" w:rsidRPr="00D0306F" w:rsidRDefault="00460384" w:rsidP="00977D0F">
            <w:pPr>
              <w:rPr>
                <w:rFonts w:cs="Arial"/>
                <w:b/>
                <w:bCs/>
                <w:color w:val="FFFFFF"/>
              </w:rPr>
            </w:pPr>
            <w:r w:rsidRPr="00D0306F">
              <w:rPr>
                <w:rFonts w:cs="Arial"/>
                <w:b/>
                <w:bCs/>
                <w:color w:val="FFFFFF"/>
              </w:rPr>
              <w:t>All other sexual orientation</w:t>
            </w:r>
          </w:p>
        </w:tc>
        <w:tc>
          <w:tcPr>
            <w:tcW w:w="1324" w:type="dxa"/>
            <w:tcBorders>
              <w:top w:val="single" w:sz="4" w:space="0" w:color="auto"/>
              <w:left w:val="single" w:sz="4" w:space="0" w:color="auto"/>
              <w:bottom w:val="single" w:sz="4" w:space="0" w:color="auto"/>
              <w:right w:val="single" w:sz="4" w:space="0" w:color="auto"/>
            </w:tcBorders>
            <w:shd w:val="clear" w:color="auto" w:fill="074F6A"/>
            <w:hideMark/>
          </w:tcPr>
          <w:p w14:paraId="7487B24C" w14:textId="77777777" w:rsidR="00460384" w:rsidRPr="00D0306F" w:rsidRDefault="00460384" w:rsidP="00977D0F">
            <w:pPr>
              <w:rPr>
                <w:rFonts w:cs="Arial"/>
                <w:b/>
                <w:bCs/>
                <w:color w:val="FFFFFF"/>
              </w:rPr>
            </w:pPr>
            <w:r w:rsidRPr="00D0306F">
              <w:rPr>
                <w:rFonts w:cs="Arial"/>
                <w:b/>
                <w:bCs/>
                <w:color w:val="FFFFFF"/>
              </w:rPr>
              <w:t>Not answered</w:t>
            </w:r>
          </w:p>
        </w:tc>
      </w:tr>
      <w:tr w:rsidR="00460384" w:rsidRPr="00D0306F" w14:paraId="0F0F6AC9" w14:textId="77777777" w:rsidTr="00460384">
        <w:tc>
          <w:tcPr>
            <w:tcW w:w="1696" w:type="dxa"/>
            <w:tcBorders>
              <w:top w:val="single" w:sz="4" w:space="0" w:color="auto"/>
              <w:left w:val="single" w:sz="4" w:space="0" w:color="auto"/>
              <w:bottom w:val="single" w:sz="4" w:space="0" w:color="auto"/>
              <w:right w:val="single" w:sz="4" w:space="0" w:color="auto"/>
            </w:tcBorders>
            <w:hideMark/>
          </w:tcPr>
          <w:p w14:paraId="0A25138A" w14:textId="77777777" w:rsidR="00460384" w:rsidRPr="00D0306F" w:rsidRDefault="00460384" w:rsidP="00977D0F">
            <w:pPr>
              <w:rPr>
                <w:rFonts w:cs="Arial"/>
              </w:rPr>
            </w:pPr>
            <w:r w:rsidRPr="00D0306F">
              <w:rPr>
                <w:rFonts w:cs="Arial"/>
              </w:rPr>
              <w:t>Neath Port Talbot</w:t>
            </w:r>
          </w:p>
        </w:tc>
        <w:tc>
          <w:tcPr>
            <w:tcW w:w="1697" w:type="dxa"/>
            <w:tcBorders>
              <w:top w:val="single" w:sz="4" w:space="0" w:color="auto"/>
              <w:left w:val="single" w:sz="4" w:space="0" w:color="auto"/>
              <w:bottom w:val="single" w:sz="4" w:space="0" w:color="auto"/>
              <w:right w:val="single" w:sz="4" w:space="0" w:color="auto"/>
            </w:tcBorders>
            <w:hideMark/>
          </w:tcPr>
          <w:p w14:paraId="4B6B59C4" w14:textId="77777777" w:rsidR="00460384" w:rsidRPr="00D0306F" w:rsidRDefault="00460384" w:rsidP="00A26545">
            <w:pPr>
              <w:jc w:val="center"/>
              <w:rPr>
                <w:rFonts w:cs="Arial"/>
              </w:rPr>
            </w:pPr>
            <w:r w:rsidRPr="00D0306F">
              <w:rPr>
                <w:rFonts w:cs="Arial"/>
              </w:rPr>
              <w:t>89.7%</w:t>
            </w:r>
          </w:p>
        </w:tc>
        <w:tc>
          <w:tcPr>
            <w:tcW w:w="1280" w:type="dxa"/>
            <w:tcBorders>
              <w:top w:val="single" w:sz="4" w:space="0" w:color="auto"/>
              <w:left w:val="single" w:sz="4" w:space="0" w:color="auto"/>
              <w:bottom w:val="single" w:sz="4" w:space="0" w:color="auto"/>
              <w:right w:val="single" w:sz="4" w:space="0" w:color="auto"/>
            </w:tcBorders>
            <w:hideMark/>
          </w:tcPr>
          <w:p w14:paraId="705F9CBA" w14:textId="77777777" w:rsidR="00460384" w:rsidRPr="00D0306F" w:rsidRDefault="00460384" w:rsidP="00A26545">
            <w:pPr>
              <w:jc w:val="center"/>
              <w:rPr>
                <w:rFonts w:cs="Arial"/>
              </w:rPr>
            </w:pPr>
            <w:r w:rsidRPr="00D0306F">
              <w:rPr>
                <w:rFonts w:cs="Arial"/>
              </w:rPr>
              <w:t>1.6%</w:t>
            </w:r>
          </w:p>
        </w:tc>
        <w:tc>
          <w:tcPr>
            <w:tcW w:w="1306" w:type="dxa"/>
            <w:tcBorders>
              <w:top w:val="single" w:sz="4" w:space="0" w:color="auto"/>
              <w:left w:val="single" w:sz="4" w:space="0" w:color="auto"/>
              <w:bottom w:val="single" w:sz="4" w:space="0" w:color="auto"/>
              <w:right w:val="single" w:sz="4" w:space="0" w:color="auto"/>
            </w:tcBorders>
            <w:hideMark/>
          </w:tcPr>
          <w:p w14:paraId="1F0C7453" w14:textId="77777777" w:rsidR="00460384" w:rsidRPr="00D0306F" w:rsidRDefault="00460384" w:rsidP="00A26545">
            <w:pPr>
              <w:jc w:val="center"/>
              <w:rPr>
                <w:rFonts w:cs="Arial"/>
              </w:rPr>
            </w:pPr>
            <w:r w:rsidRPr="00D0306F">
              <w:rPr>
                <w:rFonts w:cs="Arial"/>
              </w:rPr>
              <w:t>1.0%</w:t>
            </w:r>
          </w:p>
        </w:tc>
        <w:tc>
          <w:tcPr>
            <w:tcW w:w="1591" w:type="dxa"/>
            <w:tcBorders>
              <w:top w:val="single" w:sz="4" w:space="0" w:color="auto"/>
              <w:left w:val="single" w:sz="4" w:space="0" w:color="auto"/>
              <w:bottom w:val="single" w:sz="4" w:space="0" w:color="auto"/>
              <w:right w:val="single" w:sz="4" w:space="0" w:color="auto"/>
            </w:tcBorders>
            <w:hideMark/>
          </w:tcPr>
          <w:p w14:paraId="3BD7453B" w14:textId="77777777" w:rsidR="00460384" w:rsidRPr="00D0306F" w:rsidRDefault="00460384" w:rsidP="00A26545">
            <w:pPr>
              <w:jc w:val="center"/>
              <w:rPr>
                <w:rFonts w:cs="Arial"/>
              </w:rPr>
            </w:pPr>
            <w:r w:rsidRPr="00D0306F">
              <w:rPr>
                <w:rFonts w:cs="Arial"/>
              </w:rPr>
              <w:t>0.2%</w:t>
            </w:r>
          </w:p>
        </w:tc>
        <w:tc>
          <w:tcPr>
            <w:tcW w:w="1324" w:type="dxa"/>
            <w:tcBorders>
              <w:top w:val="single" w:sz="4" w:space="0" w:color="auto"/>
              <w:left w:val="single" w:sz="4" w:space="0" w:color="auto"/>
              <w:bottom w:val="single" w:sz="4" w:space="0" w:color="auto"/>
              <w:right w:val="single" w:sz="4" w:space="0" w:color="auto"/>
            </w:tcBorders>
            <w:hideMark/>
          </w:tcPr>
          <w:p w14:paraId="4C87C14C" w14:textId="77777777" w:rsidR="00460384" w:rsidRPr="00D0306F" w:rsidRDefault="00460384" w:rsidP="00A26545">
            <w:pPr>
              <w:jc w:val="center"/>
              <w:rPr>
                <w:rFonts w:cs="Arial"/>
              </w:rPr>
            </w:pPr>
            <w:r w:rsidRPr="00D0306F">
              <w:rPr>
                <w:rFonts w:cs="Arial"/>
              </w:rPr>
              <w:t>7.5%</w:t>
            </w:r>
          </w:p>
        </w:tc>
      </w:tr>
      <w:tr w:rsidR="00460384" w:rsidRPr="00D0306F" w14:paraId="62F55713" w14:textId="77777777" w:rsidTr="00460384">
        <w:tc>
          <w:tcPr>
            <w:tcW w:w="1696" w:type="dxa"/>
            <w:tcBorders>
              <w:top w:val="single" w:sz="4" w:space="0" w:color="auto"/>
              <w:left w:val="single" w:sz="4" w:space="0" w:color="auto"/>
              <w:bottom w:val="single" w:sz="4" w:space="0" w:color="auto"/>
              <w:right w:val="single" w:sz="4" w:space="0" w:color="auto"/>
            </w:tcBorders>
            <w:hideMark/>
          </w:tcPr>
          <w:p w14:paraId="5D806341" w14:textId="77777777" w:rsidR="00460384" w:rsidRPr="00D0306F" w:rsidRDefault="00460384" w:rsidP="00977D0F">
            <w:pPr>
              <w:rPr>
                <w:rFonts w:cs="Arial"/>
              </w:rPr>
            </w:pPr>
            <w:r w:rsidRPr="00D0306F">
              <w:rPr>
                <w:rFonts w:cs="Arial"/>
              </w:rPr>
              <w:t>Swansea</w:t>
            </w:r>
          </w:p>
        </w:tc>
        <w:tc>
          <w:tcPr>
            <w:tcW w:w="1697" w:type="dxa"/>
            <w:tcBorders>
              <w:top w:val="single" w:sz="4" w:space="0" w:color="auto"/>
              <w:left w:val="single" w:sz="4" w:space="0" w:color="auto"/>
              <w:bottom w:val="single" w:sz="4" w:space="0" w:color="auto"/>
              <w:right w:val="single" w:sz="4" w:space="0" w:color="auto"/>
            </w:tcBorders>
            <w:hideMark/>
          </w:tcPr>
          <w:p w14:paraId="216CA455" w14:textId="77777777" w:rsidR="00460384" w:rsidRPr="00D0306F" w:rsidRDefault="00460384" w:rsidP="00A26545">
            <w:pPr>
              <w:jc w:val="center"/>
              <w:rPr>
                <w:rFonts w:cs="Arial"/>
              </w:rPr>
            </w:pPr>
            <w:r w:rsidRPr="00D0306F">
              <w:rPr>
                <w:rFonts w:cs="Arial"/>
              </w:rPr>
              <w:t>88.8%</w:t>
            </w:r>
          </w:p>
        </w:tc>
        <w:tc>
          <w:tcPr>
            <w:tcW w:w="1280" w:type="dxa"/>
            <w:tcBorders>
              <w:top w:val="single" w:sz="4" w:space="0" w:color="auto"/>
              <w:left w:val="single" w:sz="4" w:space="0" w:color="auto"/>
              <w:bottom w:val="single" w:sz="4" w:space="0" w:color="auto"/>
              <w:right w:val="single" w:sz="4" w:space="0" w:color="auto"/>
            </w:tcBorders>
            <w:hideMark/>
          </w:tcPr>
          <w:p w14:paraId="5FE9240C" w14:textId="77777777" w:rsidR="00460384" w:rsidRPr="00D0306F" w:rsidRDefault="00460384" w:rsidP="00A26545">
            <w:pPr>
              <w:jc w:val="center"/>
              <w:rPr>
                <w:rFonts w:cs="Arial"/>
              </w:rPr>
            </w:pPr>
            <w:r w:rsidRPr="00D0306F">
              <w:rPr>
                <w:rFonts w:cs="Arial"/>
              </w:rPr>
              <w:t>1.6%</w:t>
            </w:r>
          </w:p>
        </w:tc>
        <w:tc>
          <w:tcPr>
            <w:tcW w:w="1306" w:type="dxa"/>
            <w:tcBorders>
              <w:top w:val="single" w:sz="4" w:space="0" w:color="auto"/>
              <w:left w:val="single" w:sz="4" w:space="0" w:color="auto"/>
              <w:bottom w:val="single" w:sz="4" w:space="0" w:color="auto"/>
              <w:right w:val="single" w:sz="4" w:space="0" w:color="auto"/>
            </w:tcBorders>
            <w:hideMark/>
          </w:tcPr>
          <w:p w14:paraId="0E18D207" w14:textId="77777777" w:rsidR="00460384" w:rsidRPr="00D0306F" w:rsidRDefault="00460384" w:rsidP="00A26545">
            <w:pPr>
              <w:jc w:val="center"/>
              <w:rPr>
                <w:rFonts w:cs="Arial"/>
              </w:rPr>
            </w:pPr>
            <w:r w:rsidRPr="00D0306F">
              <w:rPr>
                <w:rFonts w:cs="Arial"/>
              </w:rPr>
              <w:t>1.5%</w:t>
            </w:r>
          </w:p>
        </w:tc>
        <w:tc>
          <w:tcPr>
            <w:tcW w:w="1591" w:type="dxa"/>
            <w:tcBorders>
              <w:top w:val="single" w:sz="4" w:space="0" w:color="auto"/>
              <w:left w:val="single" w:sz="4" w:space="0" w:color="auto"/>
              <w:bottom w:val="single" w:sz="4" w:space="0" w:color="auto"/>
              <w:right w:val="single" w:sz="4" w:space="0" w:color="auto"/>
            </w:tcBorders>
            <w:hideMark/>
          </w:tcPr>
          <w:p w14:paraId="693E1F12" w14:textId="77777777" w:rsidR="00460384" w:rsidRPr="00D0306F" w:rsidRDefault="00460384" w:rsidP="00A26545">
            <w:pPr>
              <w:jc w:val="center"/>
              <w:rPr>
                <w:rFonts w:cs="Arial"/>
              </w:rPr>
            </w:pPr>
            <w:r w:rsidRPr="00D0306F">
              <w:rPr>
                <w:rFonts w:cs="Arial"/>
              </w:rPr>
              <w:t>0.3%</w:t>
            </w:r>
          </w:p>
        </w:tc>
        <w:tc>
          <w:tcPr>
            <w:tcW w:w="1324" w:type="dxa"/>
            <w:tcBorders>
              <w:top w:val="single" w:sz="4" w:space="0" w:color="auto"/>
              <w:left w:val="single" w:sz="4" w:space="0" w:color="auto"/>
              <w:bottom w:val="single" w:sz="4" w:space="0" w:color="auto"/>
              <w:right w:val="single" w:sz="4" w:space="0" w:color="auto"/>
            </w:tcBorders>
            <w:hideMark/>
          </w:tcPr>
          <w:p w14:paraId="0F3AEF27" w14:textId="77777777" w:rsidR="00460384" w:rsidRPr="00D0306F" w:rsidRDefault="00460384" w:rsidP="00A26545">
            <w:pPr>
              <w:jc w:val="center"/>
              <w:rPr>
                <w:rFonts w:cs="Arial"/>
              </w:rPr>
            </w:pPr>
            <w:r w:rsidRPr="00D0306F">
              <w:rPr>
                <w:rFonts w:cs="Arial"/>
              </w:rPr>
              <w:t>7.8%</w:t>
            </w:r>
          </w:p>
        </w:tc>
      </w:tr>
      <w:tr w:rsidR="00460384" w:rsidRPr="00D0306F" w14:paraId="5296A2B5" w14:textId="77777777" w:rsidTr="00460384">
        <w:tc>
          <w:tcPr>
            <w:tcW w:w="1696" w:type="dxa"/>
            <w:tcBorders>
              <w:top w:val="single" w:sz="4" w:space="0" w:color="auto"/>
              <w:left w:val="single" w:sz="4" w:space="0" w:color="auto"/>
              <w:bottom w:val="single" w:sz="4" w:space="0" w:color="auto"/>
              <w:right w:val="single" w:sz="4" w:space="0" w:color="auto"/>
            </w:tcBorders>
            <w:hideMark/>
          </w:tcPr>
          <w:p w14:paraId="791A5EAC" w14:textId="77777777" w:rsidR="00460384" w:rsidRPr="00D0306F" w:rsidRDefault="00460384" w:rsidP="00977D0F">
            <w:pPr>
              <w:rPr>
                <w:rFonts w:cs="Arial"/>
              </w:rPr>
            </w:pPr>
            <w:r w:rsidRPr="00D0306F">
              <w:rPr>
                <w:rFonts w:cs="Arial"/>
              </w:rPr>
              <w:t>Wales</w:t>
            </w:r>
          </w:p>
        </w:tc>
        <w:tc>
          <w:tcPr>
            <w:tcW w:w="1697" w:type="dxa"/>
            <w:tcBorders>
              <w:top w:val="single" w:sz="4" w:space="0" w:color="auto"/>
              <w:left w:val="single" w:sz="4" w:space="0" w:color="auto"/>
              <w:bottom w:val="single" w:sz="4" w:space="0" w:color="auto"/>
              <w:right w:val="single" w:sz="4" w:space="0" w:color="auto"/>
            </w:tcBorders>
            <w:hideMark/>
          </w:tcPr>
          <w:p w14:paraId="03AEE679" w14:textId="77777777" w:rsidR="00460384" w:rsidRPr="00D0306F" w:rsidRDefault="00460384" w:rsidP="00A26545">
            <w:pPr>
              <w:jc w:val="center"/>
              <w:rPr>
                <w:rFonts w:cs="Arial"/>
              </w:rPr>
            </w:pPr>
            <w:r w:rsidRPr="00D0306F">
              <w:rPr>
                <w:rFonts w:cs="Arial"/>
              </w:rPr>
              <w:t>89.4%</w:t>
            </w:r>
          </w:p>
        </w:tc>
        <w:tc>
          <w:tcPr>
            <w:tcW w:w="1280" w:type="dxa"/>
            <w:tcBorders>
              <w:top w:val="single" w:sz="4" w:space="0" w:color="auto"/>
              <w:left w:val="single" w:sz="4" w:space="0" w:color="auto"/>
              <w:bottom w:val="single" w:sz="4" w:space="0" w:color="auto"/>
              <w:right w:val="single" w:sz="4" w:space="0" w:color="auto"/>
            </w:tcBorders>
            <w:hideMark/>
          </w:tcPr>
          <w:p w14:paraId="67CC5857" w14:textId="77777777" w:rsidR="00460384" w:rsidRPr="00D0306F" w:rsidRDefault="00460384" w:rsidP="00A26545">
            <w:pPr>
              <w:jc w:val="center"/>
              <w:rPr>
                <w:rFonts w:cs="Arial"/>
              </w:rPr>
            </w:pPr>
            <w:r w:rsidRPr="00D0306F">
              <w:rPr>
                <w:rFonts w:cs="Arial"/>
              </w:rPr>
              <w:t>1.5%</w:t>
            </w:r>
          </w:p>
        </w:tc>
        <w:tc>
          <w:tcPr>
            <w:tcW w:w="1306" w:type="dxa"/>
            <w:tcBorders>
              <w:top w:val="single" w:sz="4" w:space="0" w:color="auto"/>
              <w:left w:val="single" w:sz="4" w:space="0" w:color="auto"/>
              <w:bottom w:val="single" w:sz="4" w:space="0" w:color="auto"/>
              <w:right w:val="single" w:sz="4" w:space="0" w:color="auto"/>
            </w:tcBorders>
            <w:hideMark/>
          </w:tcPr>
          <w:p w14:paraId="2565FE23" w14:textId="77777777" w:rsidR="00460384" w:rsidRPr="00D0306F" w:rsidRDefault="00460384" w:rsidP="00A26545">
            <w:pPr>
              <w:jc w:val="center"/>
              <w:rPr>
                <w:rFonts w:cs="Arial"/>
              </w:rPr>
            </w:pPr>
            <w:r w:rsidRPr="00D0306F">
              <w:rPr>
                <w:rFonts w:cs="Arial"/>
              </w:rPr>
              <w:t>1.2%</w:t>
            </w:r>
          </w:p>
        </w:tc>
        <w:tc>
          <w:tcPr>
            <w:tcW w:w="1591" w:type="dxa"/>
            <w:tcBorders>
              <w:top w:val="single" w:sz="4" w:space="0" w:color="auto"/>
              <w:left w:val="single" w:sz="4" w:space="0" w:color="auto"/>
              <w:bottom w:val="single" w:sz="4" w:space="0" w:color="auto"/>
              <w:right w:val="single" w:sz="4" w:space="0" w:color="auto"/>
            </w:tcBorders>
            <w:hideMark/>
          </w:tcPr>
          <w:p w14:paraId="54D35A35" w14:textId="77777777" w:rsidR="00460384" w:rsidRPr="00D0306F" w:rsidRDefault="00460384" w:rsidP="00A26545">
            <w:pPr>
              <w:jc w:val="center"/>
              <w:rPr>
                <w:rFonts w:cs="Arial"/>
              </w:rPr>
            </w:pPr>
            <w:r w:rsidRPr="00D0306F">
              <w:rPr>
                <w:rFonts w:cs="Arial"/>
              </w:rPr>
              <w:t>0.3%</w:t>
            </w:r>
          </w:p>
        </w:tc>
        <w:tc>
          <w:tcPr>
            <w:tcW w:w="1324" w:type="dxa"/>
            <w:tcBorders>
              <w:top w:val="single" w:sz="4" w:space="0" w:color="auto"/>
              <w:left w:val="single" w:sz="4" w:space="0" w:color="auto"/>
              <w:bottom w:val="single" w:sz="4" w:space="0" w:color="auto"/>
              <w:right w:val="single" w:sz="4" w:space="0" w:color="auto"/>
            </w:tcBorders>
            <w:hideMark/>
          </w:tcPr>
          <w:p w14:paraId="4B3886C2" w14:textId="77777777" w:rsidR="00460384" w:rsidRPr="00D0306F" w:rsidRDefault="00460384" w:rsidP="00A26545">
            <w:pPr>
              <w:jc w:val="center"/>
              <w:rPr>
                <w:rFonts w:cs="Arial"/>
              </w:rPr>
            </w:pPr>
            <w:r w:rsidRPr="00D0306F">
              <w:rPr>
                <w:rFonts w:cs="Arial"/>
              </w:rPr>
              <w:t>7.6%</w:t>
            </w:r>
          </w:p>
        </w:tc>
      </w:tr>
    </w:tbl>
    <w:p w14:paraId="77ECD89C" w14:textId="77777777" w:rsidR="00460384" w:rsidRPr="00D0306F" w:rsidRDefault="00460384" w:rsidP="00977D0F">
      <w:pPr>
        <w:rPr>
          <w:rFonts w:eastAsia="Aptos" w:cs="Arial"/>
          <w:b/>
          <w:bCs/>
        </w:rPr>
      </w:pPr>
    </w:p>
    <w:p w14:paraId="543ED73A" w14:textId="77777777" w:rsidR="00460384" w:rsidRPr="00D0306F" w:rsidRDefault="00460384" w:rsidP="00977D0F">
      <w:pPr>
        <w:rPr>
          <w:rFonts w:eastAsia="Aptos" w:cs="Arial"/>
          <w:b/>
          <w:sz w:val="26"/>
          <w:szCs w:val="26"/>
        </w:rPr>
      </w:pPr>
      <w:r w:rsidRPr="00D0306F">
        <w:rPr>
          <w:rFonts w:eastAsia="Aptos" w:cs="Arial"/>
          <w:b/>
          <w:sz w:val="26"/>
          <w:szCs w:val="26"/>
        </w:rPr>
        <w:t>2.12 Carers</w:t>
      </w:r>
    </w:p>
    <w:p w14:paraId="09D39DF8" w14:textId="77777777" w:rsidR="00460384" w:rsidRPr="00D0306F" w:rsidRDefault="00460384" w:rsidP="00977D0F">
      <w:pPr>
        <w:rPr>
          <w:rFonts w:eastAsia="Aptos" w:cs="Arial"/>
        </w:rPr>
      </w:pPr>
    </w:p>
    <w:p w14:paraId="165FFB07" w14:textId="77777777" w:rsidR="00460384" w:rsidRPr="00D0306F" w:rsidRDefault="00460384" w:rsidP="00977D0F">
      <w:pPr>
        <w:rPr>
          <w:rFonts w:eastAsia="Aptos" w:cs="Arial"/>
        </w:rPr>
      </w:pPr>
      <w:r w:rsidRPr="00D0306F">
        <w:rPr>
          <w:rFonts w:eastAsia="Aptos" w:cs="Arial"/>
        </w:rPr>
        <w:t>Carers are vital to those they care for and are a vital component of the health and social care system. Carers are the family members, friends and neighbours who provide unpaid care and much needed emotional support whilst often neglecting their own health and wellbeing needs.</w:t>
      </w:r>
    </w:p>
    <w:p w14:paraId="7B2DFD67" w14:textId="77777777" w:rsidR="00460384" w:rsidRPr="00D0306F" w:rsidRDefault="00460384" w:rsidP="00977D0F">
      <w:pPr>
        <w:rPr>
          <w:rFonts w:eastAsia="Aptos" w:cs="Arial"/>
        </w:rPr>
      </w:pPr>
    </w:p>
    <w:p w14:paraId="2E5F4BA9" w14:textId="77777777" w:rsidR="00460384" w:rsidRPr="00D0306F" w:rsidRDefault="00460384" w:rsidP="00977D0F">
      <w:pPr>
        <w:rPr>
          <w:rFonts w:eastAsia="Aptos" w:cs="Arial"/>
        </w:rPr>
      </w:pPr>
      <w:r w:rsidRPr="00D0306F">
        <w:rPr>
          <w:rFonts w:eastAsia="Aptos" w:cs="Arial"/>
        </w:rPr>
        <w:t>The provision of unpaid care is becoming increasingly common as the population ages. When looking at the amount of care individuals provide ONS highlighted (table 2.8) the majority in both counties were providing between 1–19 hours of unpaid care a week, followed by 50+ hours of unpaid care. The least amount of unpaid care in both counties was between 20–49 hours.</w:t>
      </w:r>
    </w:p>
    <w:p w14:paraId="5C4DCF68" w14:textId="77777777" w:rsidR="00460384" w:rsidRPr="00D0306F" w:rsidRDefault="00460384" w:rsidP="00977D0F">
      <w:pPr>
        <w:rPr>
          <w:rFonts w:eastAsia="Aptos" w:cs="Arial"/>
          <w:b/>
          <w:bCs/>
        </w:rPr>
      </w:pPr>
    </w:p>
    <w:p w14:paraId="301AB714" w14:textId="047D3A6B" w:rsidR="00460384" w:rsidRPr="00D0306F" w:rsidRDefault="00460384" w:rsidP="00977D0F">
      <w:pPr>
        <w:rPr>
          <w:rFonts w:eastAsia="Aptos" w:cs="Arial"/>
          <w:b/>
          <w:bCs/>
        </w:rPr>
      </w:pPr>
      <w:r w:rsidRPr="00D0306F">
        <w:rPr>
          <w:rFonts w:eastAsia="Aptos" w:cs="Arial"/>
          <w:b/>
          <w:bCs/>
        </w:rPr>
        <w:t>Table 2.</w:t>
      </w:r>
      <w:r w:rsidR="00BA1A40">
        <w:rPr>
          <w:rFonts w:eastAsia="Aptos" w:cs="Arial"/>
          <w:b/>
          <w:bCs/>
        </w:rPr>
        <w:t>9</w:t>
      </w:r>
      <w:r w:rsidRPr="00D0306F">
        <w:rPr>
          <w:rFonts w:eastAsia="Aptos" w:cs="Arial"/>
          <w:b/>
          <w:bCs/>
        </w:rPr>
        <w:t>: Provision of unpaid care by age, hours of care provided per week, Swansea</w:t>
      </w:r>
      <w:r w:rsidR="00A26545" w:rsidRPr="00D0306F">
        <w:rPr>
          <w:rFonts w:eastAsia="Aptos" w:cs="Arial"/>
          <w:b/>
          <w:bCs/>
          <w:vertAlign w:val="superscript"/>
        </w:rPr>
        <w:footnoteReference w:id="43"/>
      </w:r>
    </w:p>
    <w:p w14:paraId="0BEE3C22" w14:textId="77777777" w:rsidR="00460384" w:rsidRPr="00D0306F" w:rsidRDefault="00460384" w:rsidP="00977D0F">
      <w:pPr>
        <w:rPr>
          <w:rFonts w:eastAsia="Aptos" w:cs="Arial"/>
        </w:rPr>
      </w:pPr>
    </w:p>
    <w:tbl>
      <w:tblPr>
        <w:tblStyle w:val="TableGrid"/>
        <w:tblW w:w="9611" w:type="dxa"/>
        <w:tblInd w:w="-289" w:type="dxa"/>
        <w:tblLook w:val="04A0" w:firstRow="1" w:lastRow="0" w:firstColumn="1" w:lastColumn="0" w:noHBand="0" w:noVBand="1"/>
      </w:tblPr>
      <w:tblGrid>
        <w:gridCol w:w="1974"/>
        <w:gridCol w:w="1527"/>
        <w:gridCol w:w="1085"/>
        <w:gridCol w:w="951"/>
        <w:gridCol w:w="951"/>
        <w:gridCol w:w="951"/>
        <w:gridCol w:w="951"/>
        <w:gridCol w:w="1221"/>
      </w:tblGrid>
      <w:tr w:rsidR="00460384" w:rsidRPr="00D0306F" w14:paraId="3E9E4F24" w14:textId="77777777" w:rsidTr="00460384">
        <w:trPr>
          <w:trHeight w:val="1421"/>
        </w:trPr>
        <w:tc>
          <w:tcPr>
            <w:tcW w:w="1974" w:type="dxa"/>
            <w:tcBorders>
              <w:top w:val="single" w:sz="4" w:space="0" w:color="auto"/>
              <w:left w:val="single" w:sz="4" w:space="0" w:color="auto"/>
              <w:bottom w:val="single" w:sz="4" w:space="0" w:color="auto"/>
              <w:right w:val="single" w:sz="4" w:space="0" w:color="auto"/>
            </w:tcBorders>
            <w:shd w:val="clear" w:color="auto" w:fill="074F6A"/>
            <w:noWrap/>
          </w:tcPr>
          <w:p w14:paraId="4D858ADD" w14:textId="77777777" w:rsidR="00460384" w:rsidRPr="00D0306F" w:rsidRDefault="00460384" w:rsidP="00977D0F">
            <w:pPr>
              <w:rPr>
                <w:rFonts w:cs="Arial"/>
                <w:b/>
                <w:bCs/>
                <w:color w:val="FFFFFF"/>
              </w:rPr>
            </w:pPr>
            <w:bookmarkStart w:id="11" w:name="_Hlk230343615"/>
          </w:p>
          <w:p w14:paraId="172D2810" w14:textId="77777777" w:rsidR="00460384" w:rsidRPr="00D0306F" w:rsidRDefault="00460384" w:rsidP="00977D0F">
            <w:pPr>
              <w:rPr>
                <w:rFonts w:cs="Arial"/>
                <w:b/>
                <w:bCs/>
                <w:color w:val="FFFFFF"/>
              </w:rPr>
            </w:pPr>
            <w:r w:rsidRPr="00D0306F">
              <w:rPr>
                <w:rFonts w:cs="Arial"/>
                <w:b/>
                <w:bCs/>
                <w:color w:val="FFFFFF"/>
              </w:rPr>
              <w:t>Number of hours care provided</w:t>
            </w:r>
          </w:p>
        </w:tc>
        <w:tc>
          <w:tcPr>
            <w:tcW w:w="1527" w:type="dxa"/>
            <w:tcBorders>
              <w:top w:val="single" w:sz="4" w:space="0" w:color="auto"/>
              <w:left w:val="single" w:sz="4" w:space="0" w:color="auto"/>
              <w:bottom w:val="single" w:sz="4" w:space="0" w:color="auto"/>
              <w:right w:val="single" w:sz="4" w:space="0" w:color="auto"/>
            </w:tcBorders>
            <w:shd w:val="clear" w:color="auto" w:fill="074F6A"/>
          </w:tcPr>
          <w:p w14:paraId="3A66B73E" w14:textId="77777777" w:rsidR="00460384" w:rsidRPr="00D0306F" w:rsidRDefault="00460384" w:rsidP="00977D0F">
            <w:pPr>
              <w:rPr>
                <w:rFonts w:cs="Arial"/>
                <w:b/>
                <w:bCs/>
                <w:color w:val="FFFFFF"/>
              </w:rPr>
            </w:pPr>
          </w:p>
          <w:p w14:paraId="11909FAA" w14:textId="77777777" w:rsidR="00460384" w:rsidRPr="00D0306F" w:rsidRDefault="00460384" w:rsidP="00977D0F">
            <w:pPr>
              <w:rPr>
                <w:rFonts w:cs="Arial"/>
                <w:b/>
                <w:bCs/>
                <w:color w:val="FFFFFF"/>
              </w:rPr>
            </w:pPr>
          </w:p>
          <w:p w14:paraId="744A03F0" w14:textId="77777777" w:rsidR="00460384" w:rsidRPr="00D0306F" w:rsidRDefault="00460384" w:rsidP="00977D0F">
            <w:pPr>
              <w:rPr>
                <w:rFonts w:cs="Arial"/>
                <w:b/>
                <w:bCs/>
                <w:color w:val="FFFFFF"/>
              </w:rPr>
            </w:pPr>
            <w:r w:rsidRPr="00D0306F">
              <w:rPr>
                <w:rFonts w:cs="Arial"/>
                <w:b/>
                <w:bCs/>
                <w:color w:val="FFFFFF"/>
              </w:rPr>
              <w:t>Total</w:t>
            </w:r>
          </w:p>
        </w:tc>
        <w:tc>
          <w:tcPr>
            <w:tcW w:w="1085" w:type="dxa"/>
            <w:tcBorders>
              <w:top w:val="single" w:sz="4" w:space="0" w:color="auto"/>
              <w:left w:val="single" w:sz="4" w:space="0" w:color="auto"/>
              <w:bottom w:val="single" w:sz="4" w:space="0" w:color="auto"/>
              <w:right w:val="single" w:sz="4" w:space="0" w:color="auto"/>
            </w:tcBorders>
            <w:shd w:val="clear" w:color="auto" w:fill="074F6A"/>
            <w:hideMark/>
          </w:tcPr>
          <w:p w14:paraId="5685FD74" w14:textId="77777777" w:rsidR="00460384" w:rsidRPr="00D0306F" w:rsidRDefault="00460384" w:rsidP="00977D0F">
            <w:pPr>
              <w:rPr>
                <w:rFonts w:cs="Arial"/>
                <w:b/>
                <w:bCs/>
                <w:color w:val="FFFFFF"/>
              </w:rPr>
            </w:pPr>
            <w:r w:rsidRPr="00D0306F">
              <w:rPr>
                <w:rFonts w:cs="Arial"/>
                <w:b/>
                <w:bCs/>
                <w:color w:val="FFFFFF"/>
              </w:rPr>
              <w:t>Aged 15 years and under</w:t>
            </w:r>
          </w:p>
        </w:tc>
        <w:tc>
          <w:tcPr>
            <w:tcW w:w="951" w:type="dxa"/>
            <w:tcBorders>
              <w:top w:val="single" w:sz="4" w:space="0" w:color="auto"/>
              <w:left w:val="single" w:sz="4" w:space="0" w:color="auto"/>
              <w:bottom w:val="single" w:sz="4" w:space="0" w:color="auto"/>
              <w:right w:val="single" w:sz="4" w:space="0" w:color="auto"/>
            </w:tcBorders>
            <w:shd w:val="clear" w:color="auto" w:fill="074F6A"/>
            <w:hideMark/>
          </w:tcPr>
          <w:p w14:paraId="6D59414D" w14:textId="77777777" w:rsidR="00460384" w:rsidRPr="00D0306F" w:rsidRDefault="00460384" w:rsidP="00977D0F">
            <w:pPr>
              <w:rPr>
                <w:rFonts w:cs="Arial"/>
                <w:b/>
                <w:bCs/>
                <w:color w:val="FFFFFF"/>
              </w:rPr>
            </w:pPr>
            <w:r w:rsidRPr="00D0306F">
              <w:rPr>
                <w:rFonts w:cs="Arial"/>
                <w:b/>
                <w:bCs/>
                <w:color w:val="FFFFFF"/>
              </w:rPr>
              <w:t>Aged 16 to 24 years</w:t>
            </w:r>
          </w:p>
        </w:tc>
        <w:tc>
          <w:tcPr>
            <w:tcW w:w="951" w:type="dxa"/>
            <w:tcBorders>
              <w:top w:val="single" w:sz="4" w:space="0" w:color="auto"/>
              <w:left w:val="single" w:sz="4" w:space="0" w:color="auto"/>
              <w:bottom w:val="single" w:sz="4" w:space="0" w:color="auto"/>
              <w:right w:val="single" w:sz="4" w:space="0" w:color="auto"/>
            </w:tcBorders>
            <w:shd w:val="clear" w:color="auto" w:fill="074F6A"/>
            <w:hideMark/>
          </w:tcPr>
          <w:p w14:paraId="142B11F9" w14:textId="77777777" w:rsidR="00460384" w:rsidRPr="00D0306F" w:rsidRDefault="00460384" w:rsidP="00977D0F">
            <w:pPr>
              <w:rPr>
                <w:rFonts w:cs="Arial"/>
                <w:b/>
                <w:bCs/>
                <w:color w:val="FFFFFF"/>
              </w:rPr>
            </w:pPr>
            <w:r w:rsidRPr="00D0306F">
              <w:rPr>
                <w:rFonts w:cs="Arial"/>
                <w:b/>
                <w:bCs/>
                <w:color w:val="FFFFFF"/>
              </w:rPr>
              <w:t>Aged 25 to 34 years</w:t>
            </w:r>
          </w:p>
        </w:tc>
        <w:tc>
          <w:tcPr>
            <w:tcW w:w="951" w:type="dxa"/>
            <w:tcBorders>
              <w:top w:val="single" w:sz="4" w:space="0" w:color="auto"/>
              <w:left w:val="single" w:sz="4" w:space="0" w:color="auto"/>
              <w:bottom w:val="single" w:sz="4" w:space="0" w:color="auto"/>
              <w:right w:val="single" w:sz="4" w:space="0" w:color="auto"/>
            </w:tcBorders>
            <w:shd w:val="clear" w:color="auto" w:fill="074F6A"/>
            <w:hideMark/>
          </w:tcPr>
          <w:p w14:paraId="535D3F9E" w14:textId="77777777" w:rsidR="00460384" w:rsidRPr="00D0306F" w:rsidRDefault="00460384" w:rsidP="00977D0F">
            <w:pPr>
              <w:rPr>
                <w:rFonts w:cs="Arial"/>
                <w:b/>
                <w:bCs/>
                <w:color w:val="FFFFFF"/>
              </w:rPr>
            </w:pPr>
            <w:r w:rsidRPr="00D0306F">
              <w:rPr>
                <w:rFonts w:cs="Arial"/>
                <w:b/>
                <w:bCs/>
                <w:color w:val="FFFFFF"/>
              </w:rPr>
              <w:t>Aged 35 to 49 years</w:t>
            </w:r>
          </w:p>
        </w:tc>
        <w:tc>
          <w:tcPr>
            <w:tcW w:w="951" w:type="dxa"/>
            <w:tcBorders>
              <w:top w:val="single" w:sz="4" w:space="0" w:color="auto"/>
              <w:left w:val="single" w:sz="4" w:space="0" w:color="auto"/>
              <w:bottom w:val="single" w:sz="4" w:space="0" w:color="auto"/>
              <w:right w:val="single" w:sz="4" w:space="0" w:color="auto"/>
            </w:tcBorders>
            <w:shd w:val="clear" w:color="auto" w:fill="074F6A"/>
            <w:hideMark/>
          </w:tcPr>
          <w:p w14:paraId="3B5E7926" w14:textId="77777777" w:rsidR="00460384" w:rsidRPr="00D0306F" w:rsidRDefault="00460384" w:rsidP="00977D0F">
            <w:pPr>
              <w:rPr>
                <w:rFonts w:cs="Arial"/>
                <w:b/>
                <w:bCs/>
                <w:color w:val="FFFFFF"/>
              </w:rPr>
            </w:pPr>
            <w:r w:rsidRPr="00D0306F">
              <w:rPr>
                <w:rFonts w:cs="Arial"/>
                <w:b/>
                <w:bCs/>
                <w:color w:val="FFFFFF"/>
              </w:rPr>
              <w:t>Aged 50 to 64 years</w:t>
            </w:r>
          </w:p>
        </w:tc>
        <w:tc>
          <w:tcPr>
            <w:tcW w:w="1221" w:type="dxa"/>
            <w:tcBorders>
              <w:top w:val="single" w:sz="4" w:space="0" w:color="auto"/>
              <w:left w:val="single" w:sz="4" w:space="0" w:color="auto"/>
              <w:bottom w:val="single" w:sz="4" w:space="0" w:color="auto"/>
              <w:right w:val="single" w:sz="4" w:space="0" w:color="auto"/>
            </w:tcBorders>
            <w:shd w:val="clear" w:color="auto" w:fill="074F6A"/>
          </w:tcPr>
          <w:p w14:paraId="325A7E19" w14:textId="77777777" w:rsidR="00460384" w:rsidRPr="00D0306F" w:rsidRDefault="00460384" w:rsidP="00977D0F">
            <w:pPr>
              <w:rPr>
                <w:rFonts w:cs="Arial"/>
                <w:b/>
                <w:bCs/>
                <w:color w:val="FFFFFF"/>
              </w:rPr>
            </w:pPr>
          </w:p>
          <w:p w14:paraId="54A45002" w14:textId="77777777" w:rsidR="00460384" w:rsidRPr="00D0306F" w:rsidRDefault="00460384" w:rsidP="00977D0F">
            <w:pPr>
              <w:rPr>
                <w:rFonts w:cs="Arial"/>
                <w:b/>
                <w:bCs/>
                <w:color w:val="FFFFFF"/>
              </w:rPr>
            </w:pPr>
            <w:r w:rsidRPr="00D0306F">
              <w:rPr>
                <w:rFonts w:cs="Arial"/>
                <w:b/>
                <w:bCs/>
                <w:color w:val="FFFFFF"/>
              </w:rPr>
              <w:t>Aged 65 years and over</w:t>
            </w:r>
          </w:p>
        </w:tc>
        <w:bookmarkEnd w:id="11"/>
      </w:tr>
      <w:tr w:rsidR="00460384" w:rsidRPr="00D0306F" w14:paraId="315E0D7D" w14:textId="77777777" w:rsidTr="00460384">
        <w:trPr>
          <w:trHeight w:val="315"/>
        </w:trPr>
        <w:tc>
          <w:tcPr>
            <w:tcW w:w="1974" w:type="dxa"/>
            <w:tcBorders>
              <w:top w:val="single" w:sz="4" w:space="0" w:color="auto"/>
              <w:left w:val="single" w:sz="4" w:space="0" w:color="auto"/>
              <w:bottom w:val="single" w:sz="4" w:space="0" w:color="auto"/>
              <w:right w:val="single" w:sz="4" w:space="0" w:color="auto"/>
            </w:tcBorders>
            <w:noWrap/>
            <w:hideMark/>
          </w:tcPr>
          <w:p w14:paraId="5A4EFFED" w14:textId="77777777" w:rsidR="00460384" w:rsidRPr="00D0306F" w:rsidRDefault="00460384" w:rsidP="00977D0F">
            <w:pPr>
              <w:rPr>
                <w:rFonts w:cs="Arial"/>
              </w:rPr>
            </w:pPr>
            <w:r w:rsidRPr="00D0306F">
              <w:rPr>
                <w:rFonts w:cs="Arial"/>
              </w:rPr>
              <w:t>No unpaid care</w:t>
            </w:r>
          </w:p>
        </w:tc>
        <w:tc>
          <w:tcPr>
            <w:tcW w:w="1527" w:type="dxa"/>
            <w:tcBorders>
              <w:top w:val="single" w:sz="4" w:space="0" w:color="auto"/>
              <w:left w:val="single" w:sz="4" w:space="0" w:color="auto"/>
              <w:bottom w:val="single" w:sz="4" w:space="0" w:color="auto"/>
              <w:right w:val="single" w:sz="4" w:space="0" w:color="auto"/>
            </w:tcBorders>
            <w:noWrap/>
            <w:hideMark/>
          </w:tcPr>
          <w:p w14:paraId="23BD1DDC" w14:textId="77777777" w:rsidR="00460384" w:rsidRPr="00D0306F" w:rsidRDefault="00460384" w:rsidP="00977D0F">
            <w:pPr>
              <w:rPr>
                <w:rFonts w:cs="Arial"/>
              </w:rPr>
            </w:pPr>
            <w:r w:rsidRPr="00D0306F">
              <w:rPr>
                <w:rFonts w:cs="Arial"/>
              </w:rPr>
              <w:t>202,355</w:t>
            </w:r>
          </w:p>
        </w:tc>
        <w:tc>
          <w:tcPr>
            <w:tcW w:w="1085" w:type="dxa"/>
            <w:tcBorders>
              <w:top w:val="single" w:sz="4" w:space="0" w:color="auto"/>
              <w:left w:val="single" w:sz="4" w:space="0" w:color="auto"/>
              <w:bottom w:val="single" w:sz="4" w:space="0" w:color="auto"/>
              <w:right w:val="single" w:sz="4" w:space="0" w:color="auto"/>
            </w:tcBorders>
            <w:noWrap/>
            <w:hideMark/>
          </w:tcPr>
          <w:p w14:paraId="292F56F1" w14:textId="77777777" w:rsidR="00460384" w:rsidRPr="00D0306F" w:rsidRDefault="00460384" w:rsidP="00977D0F">
            <w:pPr>
              <w:rPr>
                <w:rFonts w:cs="Arial"/>
              </w:rPr>
            </w:pPr>
            <w:r w:rsidRPr="00D0306F">
              <w:rPr>
                <w:rFonts w:cs="Arial"/>
              </w:rPr>
              <w:t>28,887</w:t>
            </w:r>
          </w:p>
        </w:tc>
        <w:tc>
          <w:tcPr>
            <w:tcW w:w="951" w:type="dxa"/>
            <w:tcBorders>
              <w:top w:val="single" w:sz="4" w:space="0" w:color="auto"/>
              <w:left w:val="single" w:sz="4" w:space="0" w:color="auto"/>
              <w:bottom w:val="single" w:sz="4" w:space="0" w:color="auto"/>
              <w:right w:val="single" w:sz="4" w:space="0" w:color="auto"/>
            </w:tcBorders>
            <w:noWrap/>
            <w:hideMark/>
          </w:tcPr>
          <w:p w14:paraId="1827231C" w14:textId="77777777" w:rsidR="00460384" w:rsidRPr="00D0306F" w:rsidRDefault="00460384" w:rsidP="00977D0F">
            <w:pPr>
              <w:rPr>
                <w:rFonts w:cs="Arial"/>
              </w:rPr>
            </w:pPr>
            <w:r w:rsidRPr="00D0306F">
              <w:rPr>
                <w:rFonts w:cs="Arial"/>
              </w:rPr>
              <w:t>29,595</w:t>
            </w:r>
          </w:p>
        </w:tc>
        <w:tc>
          <w:tcPr>
            <w:tcW w:w="951" w:type="dxa"/>
            <w:tcBorders>
              <w:top w:val="single" w:sz="4" w:space="0" w:color="auto"/>
              <w:left w:val="single" w:sz="4" w:space="0" w:color="auto"/>
              <w:bottom w:val="single" w:sz="4" w:space="0" w:color="auto"/>
              <w:right w:val="single" w:sz="4" w:space="0" w:color="auto"/>
            </w:tcBorders>
            <w:noWrap/>
            <w:hideMark/>
          </w:tcPr>
          <w:p w14:paraId="307AAE8F" w14:textId="77777777" w:rsidR="00460384" w:rsidRPr="00D0306F" w:rsidRDefault="00460384" w:rsidP="00977D0F">
            <w:pPr>
              <w:rPr>
                <w:rFonts w:cs="Arial"/>
              </w:rPr>
            </w:pPr>
            <w:r w:rsidRPr="00D0306F">
              <w:rPr>
                <w:rFonts w:cs="Arial"/>
              </w:rPr>
              <w:t>26,862</w:t>
            </w:r>
          </w:p>
        </w:tc>
        <w:tc>
          <w:tcPr>
            <w:tcW w:w="951" w:type="dxa"/>
            <w:tcBorders>
              <w:top w:val="single" w:sz="4" w:space="0" w:color="auto"/>
              <w:left w:val="single" w:sz="4" w:space="0" w:color="auto"/>
              <w:bottom w:val="single" w:sz="4" w:space="0" w:color="auto"/>
              <w:right w:val="single" w:sz="4" w:space="0" w:color="auto"/>
            </w:tcBorders>
            <w:noWrap/>
            <w:hideMark/>
          </w:tcPr>
          <w:p w14:paraId="6D875F11" w14:textId="77777777" w:rsidR="00460384" w:rsidRPr="00D0306F" w:rsidRDefault="00460384" w:rsidP="00977D0F">
            <w:pPr>
              <w:rPr>
                <w:rFonts w:cs="Arial"/>
              </w:rPr>
            </w:pPr>
            <w:r w:rsidRPr="00D0306F">
              <w:rPr>
                <w:rFonts w:cs="Arial"/>
              </w:rPr>
              <w:t>36,950</w:t>
            </w:r>
          </w:p>
        </w:tc>
        <w:tc>
          <w:tcPr>
            <w:tcW w:w="951" w:type="dxa"/>
            <w:tcBorders>
              <w:top w:val="single" w:sz="4" w:space="0" w:color="auto"/>
              <w:left w:val="single" w:sz="4" w:space="0" w:color="auto"/>
              <w:bottom w:val="single" w:sz="4" w:space="0" w:color="auto"/>
              <w:right w:val="single" w:sz="4" w:space="0" w:color="auto"/>
            </w:tcBorders>
            <w:noWrap/>
            <w:hideMark/>
          </w:tcPr>
          <w:p w14:paraId="7D56F513" w14:textId="77777777" w:rsidR="00460384" w:rsidRPr="00D0306F" w:rsidRDefault="00460384" w:rsidP="00977D0F">
            <w:pPr>
              <w:rPr>
                <w:rFonts w:cs="Arial"/>
              </w:rPr>
            </w:pPr>
            <w:r w:rsidRPr="00D0306F">
              <w:rPr>
                <w:rFonts w:cs="Arial"/>
              </w:rPr>
              <w:t>37,334</w:t>
            </w:r>
          </w:p>
        </w:tc>
        <w:tc>
          <w:tcPr>
            <w:tcW w:w="1221" w:type="dxa"/>
            <w:tcBorders>
              <w:top w:val="single" w:sz="4" w:space="0" w:color="auto"/>
              <w:left w:val="single" w:sz="4" w:space="0" w:color="auto"/>
              <w:bottom w:val="single" w:sz="4" w:space="0" w:color="auto"/>
              <w:right w:val="single" w:sz="4" w:space="0" w:color="auto"/>
            </w:tcBorders>
            <w:noWrap/>
            <w:hideMark/>
          </w:tcPr>
          <w:p w14:paraId="0C04DB4F" w14:textId="77777777" w:rsidR="00460384" w:rsidRPr="00D0306F" w:rsidRDefault="00460384" w:rsidP="00977D0F">
            <w:pPr>
              <w:rPr>
                <w:rFonts w:cs="Arial"/>
              </w:rPr>
            </w:pPr>
            <w:r w:rsidRPr="00D0306F">
              <w:rPr>
                <w:rFonts w:cs="Arial"/>
              </w:rPr>
              <w:t>42,727</w:t>
            </w:r>
          </w:p>
        </w:tc>
      </w:tr>
      <w:tr w:rsidR="00460384" w:rsidRPr="00D0306F" w14:paraId="4E3B3E14" w14:textId="77777777" w:rsidTr="00460384">
        <w:trPr>
          <w:trHeight w:val="915"/>
        </w:trPr>
        <w:tc>
          <w:tcPr>
            <w:tcW w:w="1974" w:type="dxa"/>
            <w:tcBorders>
              <w:top w:val="single" w:sz="4" w:space="0" w:color="auto"/>
              <w:left w:val="single" w:sz="4" w:space="0" w:color="auto"/>
              <w:bottom w:val="single" w:sz="4" w:space="0" w:color="auto"/>
              <w:right w:val="single" w:sz="4" w:space="0" w:color="auto"/>
            </w:tcBorders>
            <w:hideMark/>
          </w:tcPr>
          <w:p w14:paraId="00383933" w14:textId="77777777" w:rsidR="00460384" w:rsidRPr="00D0306F" w:rsidRDefault="00460384" w:rsidP="00977D0F">
            <w:pPr>
              <w:rPr>
                <w:rFonts w:cs="Arial"/>
              </w:rPr>
            </w:pPr>
            <w:r w:rsidRPr="00D0306F">
              <w:rPr>
                <w:rFonts w:cs="Arial"/>
              </w:rPr>
              <w:t>19 hours or less unpaid care per week</w:t>
            </w:r>
          </w:p>
        </w:tc>
        <w:tc>
          <w:tcPr>
            <w:tcW w:w="1527" w:type="dxa"/>
            <w:tcBorders>
              <w:top w:val="single" w:sz="4" w:space="0" w:color="auto"/>
              <w:left w:val="single" w:sz="4" w:space="0" w:color="auto"/>
              <w:bottom w:val="single" w:sz="4" w:space="0" w:color="auto"/>
              <w:right w:val="single" w:sz="4" w:space="0" w:color="auto"/>
            </w:tcBorders>
            <w:noWrap/>
            <w:hideMark/>
          </w:tcPr>
          <w:p w14:paraId="07F70344" w14:textId="77777777" w:rsidR="00460384" w:rsidRPr="00D0306F" w:rsidRDefault="00460384" w:rsidP="00977D0F">
            <w:pPr>
              <w:rPr>
                <w:rFonts w:cs="Arial"/>
              </w:rPr>
            </w:pPr>
            <w:r w:rsidRPr="00D0306F">
              <w:rPr>
                <w:rFonts w:cs="Arial"/>
              </w:rPr>
              <w:t>11,083</w:t>
            </w:r>
          </w:p>
        </w:tc>
        <w:tc>
          <w:tcPr>
            <w:tcW w:w="1085" w:type="dxa"/>
            <w:tcBorders>
              <w:top w:val="single" w:sz="4" w:space="0" w:color="auto"/>
              <w:left w:val="single" w:sz="4" w:space="0" w:color="auto"/>
              <w:bottom w:val="single" w:sz="4" w:space="0" w:color="auto"/>
              <w:right w:val="single" w:sz="4" w:space="0" w:color="auto"/>
            </w:tcBorders>
            <w:noWrap/>
            <w:hideMark/>
          </w:tcPr>
          <w:p w14:paraId="2A4501DA" w14:textId="77777777" w:rsidR="00460384" w:rsidRPr="00D0306F" w:rsidRDefault="00460384" w:rsidP="00977D0F">
            <w:pPr>
              <w:rPr>
                <w:rFonts w:cs="Arial"/>
              </w:rPr>
            </w:pPr>
            <w:r w:rsidRPr="00D0306F">
              <w:rPr>
                <w:rFonts w:cs="Arial"/>
              </w:rPr>
              <w:t>235</w:t>
            </w:r>
          </w:p>
        </w:tc>
        <w:tc>
          <w:tcPr>
            <w:tcW w:w="951" w:type="dxa"/>
            <w:tcBorders>
              <w:top w:val="single" w:sz="4" w:space="0" w:color="auto"/>
              <w:left w:val="single" w:sz="4" w:space="0" w:color="auto"/>
              <w:bottom w:val="single" w:sz="4" w:space="0" w:color="auto"/>
              <w:right w:val="single" w:sz="4" w:space="0" w:color="auto"/>
            </w:tcBorders>
            <w:noWrap/>
            <w:hideMark/>
          </w:tcPr>
          <w:p w14:paraId="3464C840" w14:textId="77777777" w:rsidR="00460384" w:rsidRPr="00D0306F" w:rsidRDefault="00460384" w:rsidP="00977D0F">
            <w:pPr>
              <w:rPr>
                <w:rFonts w:cs="Arial"/>
              </w:rPr>
            </w:pPr>
            <w:r w:rsidRPr="00D0306F">
              <w:rPr>
                <w:rFonts w:cs="Arial"/>
              </w:rPr>
              <w:t>810</w:t>
            </w:r>
          </w:p>
        </w:tc>
        <w:tc>
          <w:tcPr>
            <w:tcW w:w="951" w:type="dxa"/>
            <w:tcBorders>
              <w:top w:val="single" w:sz="4" w:space="0" w:color="auto"/>
              <w:left w:val="single" w:sz="4" w:space="0" w:color="auto"/>
              <w:bottom w:val="single" w:sz="4" w:space="0" w:color="auto"/>
              <w:right w:val="single" w:sz="4" w:space="0" w:color="auto"/>
            </w:tcBorders>
            <w:noWrap/>
            <w:hideMark/>
          </w:tcPr>
          <w:p w14:paraId="19631575" w14:textId="77777777" w:rsidR="00460384" w:rsidRPr="00D0306F" w:rsidRDefault="00460384" w:rsidP="00977D0F">
            <w:pPr>
              <w:rPr>
                <w:rFonts w:cs="Arial"/>
              </w:rPr>
            </w:pPr>
            <w:r w:rsidRPr="00D0306F">
              <w:rPr>
                <w:rFonts w:cs="Arial"/>
              </w:rPr>
              <w:t>1,102</w:t>
            </w:r>
          </w:p>
        </w:tc>
        <w:tc>
          <w:tcPr>
            <w:tcW w:w="951" w:type="dxa"/>
            <w:tcBorders>
              <w:top w:val="single" w:sz="4" w:space="0" w:color="auto"/>
              <w:left w:val="single" w:sz="4" w:space="0" w:color="auto"/>
              <w:bottom w:val="single" w:sz="4" w:space="0" w:color="auto"/>
              <w:right w:val="single" w:sz="4" w:space="0" w:color="auto"/>
            </w:tcBorders>
            <w:noWrap/>
            <w:hideMark/>
          </w:tcPr>
          <w:p w14:paraId="093AEF4E" w14:textId="77777777" w:rsidR="00460384" w:rsidRPr="00D0306F" w:rsidRDefault="00460384" w:rsidP="00977D0F">
            <w:pPr>
              <w:rPr>
                <w:rFonts w:cs="Arial"/>
              </w:rPr>
            </w:pPr>
            <w:r w:rsidRPr="00D0306F">
              <w:rPr>
                <w:rFonts w:cs="Arial"/>
              </w:rPr>
              <w:t>2,417</w:t>
            </w:r>
          </w:p>
        </w:tc>
        <w:tc>
          <w:tcPr>
            <w:tcW w:w="951" w:type="dxa"/>
            <w:tcBorders>
              <w:top w:val="single" w:sz="4" w:space="0" w:color="auto"/>
              <w:left w:val="single" w:sz="4" w:space="0" w:color="auto"/>
              <w:bottom w:val="single" w:sz="4" w:space="0" w:color="auto"/>
              <w:right w:val="single" w:sz="4" w:space="0" w:color="auto"/>
            </w:tcBorders>
            <w:noWrap/>
            <w:hideMark/>
          </w:tcPr>
          <w:p w14:paraId="34FB2B3C" w14:textId="77777777" w:rsidR="00460384" w:rsidRPr="00D0306F" w:rsidRDefault="00460384" w:rsidP="00977D0F">
            <w:pPr>
              <w:rPr>
                <w:rFonts w:cs="Arial"/>
              </w:rPr>
            </w:pPr>
            <w:r w:rsidRPr="00D0306F">
              <w:rPr>
                <w:rFonts w:cs="Arial"/>
              </w:rPr>
              <w:t>4,592</w:t>
            </w:r>
          </w:p>
        </w:tc>
        <w:tc>
          <w:tcPr>
            <w:tcW w:w="1221" w:type="dxa"/>
            <w:tcBorders>
              <w:top w:val="single" w:sz="4" w:space="0" w:color="auto"/>
              <w:left w:val="single" w:sz="4" w:space="0" w:color="auto"/>
              <w:bottom w:val="single" w:sz="4" w:space="0" w:color="auto"/>
              <w:right w:val="single" w:sz="4" w:space="0" w:color="auto"/>
            </w:tcBorders>
            <w:noWrap/>
            <w:hideMark/>
          </w:tcPr>
          <w:p w14:paraId="22B67F38" w14:textId="77777777" w:rsidR="00460384" w:rsidRPr="00D0306F" w:rsidRDefault="00460384" w:rsidP="00977D0F">
            <w:pPr>
              <w:rPr>
                <w:rFonts w:cs="Arial"/>
              </w:rPr>
            </w:pPr>
            <w:r w:rsidRPr="00D0306F">
              <w:rPr>
                <w:rFonts w:cs="Arial"/>
              </w:rPr>
              <w:t>1,927</w:t>
            </w:r>
          </w:p>
        </w:tc>
      </w:tr>
      <w:tr w:rsidR="00460384" w:rsidRPr="00D0306F" w14:paraId="64CE2595" w14:textId="77777777" w:rsidTr="00460384">
        <w:trPr>
          <w:trHeight w:val="615"/>
        </w:trPr>
        <w:tc>
          <w:tcPr>
            <w:tcW w:w="1974" w:type="dxa"/>
            <w:tcBorders>
              <w:top w:val="single" w:sz="4" w:space="0" w:color="auto"/>
              <w:left w:val="single" w:sz="4" w:space="0" w:color="auto"/>
              <w:bottom w:val="single" w:sz="4" w:space="0" w:color="auto"/>
              <w:right w:val="single" w:sz="4" w:space="0" w:color="auto"/>
            </w:tcBorders>
            <w:hideMark/>
          </w:tcPr>
          <w:p w14:paraId="51C96656" w14:textId="77777777" w:rsidR="00460384" w:rsidRPr="00D0306F" w:rsidRDefault="00460384" w:rsidP="00977D0F">
            <w:pPr>
              <w:rPr>
                <w:rFonts w:cs="Arial"/>
              </w:rPr>
            </w:pPr>
            <w:r w:rsidRPr="00D0306F">
              <w:rPr>
                <w:rFonts w:cs="Arial"/>
              </w:rPr>
              <w:t>20 to 49 hours unpaid care a week</w:t>
            </w:r>
          </w:p>
        </w:tc>
        <w:tc>
          <w:tcPr>
            <w:tcW w:w="1527" w:type="dxa"/>
            <w:tcBorders>
              <w:top w:val="single" w:sz="4" w:space="0" w:color="auto"/>
              <w:left w:val="single" w:sz="4" w:space="0" w:color="auto"/>
              <w:bottom w:val="single" w:sz="4" w:space="0" w:color="auto"/>
              <w:right w:val="single" w:sz="4" w:space="0" w:color="auto"/>
            </w:tcBorders>
            <w:noWrap/>
            <w:hideMark/>
          </w:tcPr>
          <w:p w14:paraId="3667C3F7" w14:textId="77777777" w:rsidR="00460384" w:rsidRPr="00D0306F" w:rsidRDefault="00460384" w:rsidP="00977D0F">
            <w:pPr>
              <w:rPr>
                <w:rFonts w:cs="Arial"/>
              </w:rPr>
            </w:pPr>
            <w:r w:rsidRPr="00D0306F">
              <w:rPr>
                <w:rFonts w:cs="Arial"/>
              </w:rPr>
              <w:t>5,110</w:t>
            </w:r>
          </w:p>
        </w:tc>
        <w:tc>
          <w:tcPr>
            <w:tcW w:w="1085" w:type="dxa"/>
            <w:tcBorders>
              <w:top w:val="single" w:sz="4" w:space="0" w:color="auto"/>
              <w:left w:val="single" w:sz="4" w:space="0" w:color="auto"/>
              <w:bottom w:val="single" w:sz="4" w:space="0" w:color="auto"/>
              <w:right w:val="single" w:sz="4" w:space="0" w:color="auto"/>
            </w:tcBorders>
            <w:noWrap/>
            <w:hideMark/>
          </w:tcPr>
          <w:p w14:paraId="45D5A296" w14:textId="77777777" w:rsidR="00460384" w:rsidRPr="00D0306F" w:rsidRDefault="00460384" w:rsidP="00977D0F">
            <w:pPr>
              <w:rPr>
                <w:rFonts w:cs="Arial"/>
              </w:rPr>
            </w:pPr>
            <w:r w:rsidRPr="00D0306F">
              <w:rPr>
                <w:rFonts w:cs="Arial"/>
              </w:rPr>
              <w:t>42</w:t>
            </w:r>
          </w:p>
        </w:tc>
        <w:tc>
          <w:tcPr>
            <w:tcW w:w="951" w:type="dxa"/>
            <w:tcBorders>
              <w:top w:val="single" w:sz="4" w:space="0" w:color="auto"/>
              <w:left w:val="single" w:sz="4" w:space="0" w:color="auto"/>
              <w:bottom w:val="single" w:sz="4" w:space="0" w:color="auto"/>
              <w:right w:val="single" w:sz="4" w:space="0" w:color="auto"/>
            </w:tcBorders>
            <w:noWrap/>
            <w:hideMark/>
          </w:tcPr>
          <w:p w14:paraId="2FCB35C0" w14:textId="77777777" w:rsidR="00460384" w:rsidRPr="00D0306F" w:rsidRDefault="00460384" w:rsidP="00977D0F">
            <w:pPr>
              <w:rPr>
                <w:rFonts w:cs="Arial"/>
              </w:rPr>
            </w:pPr>
            <w:r w:rsidRPr="00D0306F">
              <w:rPr>
                <w:rFonts w:cs="Arial"/>
              </w:rPr>
              <w:t>444</w:t>
            </w:r>
          </w:p>
        </w:tc>
        <w:tc>
          <w:tcPr>
            <w:tcW w:w="951" w:type="dxa"/>
            <w:tcBorders>
              <w:top w:val="single" w:sz="4" w:space="0" w:color="auto"/>
              <w:left w:val="single" w:sz="4" w:space="0" w:color="auto"/>
              <w:bottom w:val="single" w:sz="4" w:space="0" w:color="auto"/>
              <w:right w:val="single" w:sz="4" w:space="0" w:color="auto"/>
            </w:tcBorders>
            <w:noWrap/>
            <w:hideMark/>
          </w:tcPr>
          <w:p w14:paraId="21D9D7C0" w14:textId="77777777" w:rsidR="00460384" w:rsidRPr="00D0306F" w:rsidRDefault="00460384" w:rsidP="00977D0F">
            <w:pPr>
              <w:rPr>
                <w:rFonts w:cs="Arial"/>
              </w:rPr>
            </w:pPr>
            <w:r w:rsidRPr="00D0306F">
              <w:rPr>
                <w:rFonts w:cs="Arial"/>
              </w:rPr>
              <w:t>641</w:t>
            </w:r>
          </w:p>
        </w:tc>
        <w:tc>
          <w:tcPr>
            <w:tcW w:w="951" w:type="dxa"/>
            <w:tcBorders>
              <w:top w:val="single" w:sz="4" w:space="0" w:color="auto"/>
              <w:left w:val="single" w:sz="4" w:space="0" w:color="auto"/>
              <w:bottom w:val="single" w:sz="4" w:space="0" w:color="auto"/>
              <w:right w:val="single" w:sz="4" w:space="0" w:color="auto"/>
            </w:tcBorders>
            <w:noWrap/>
            <w:hideMark/>
          </w:tcPr>
          <w:p w14:paraId="3D36A1CA" w14:textId="77777777" w:rsidR="00460384" w:rsidRPr="00D0306F" w:rsidRDefault="00460384" w:rsidP="00977D0F">
            <w:pPr>
              <w:rPr>
                <w:rFonts w:cs="Arial"/>
              </w:rPr>
            </w:pPr>
            <w:r w:rsidRPr="00D0306F">
              <w:rPr>
                <w:rFonts w:cs="Arial"/>
              </w:rPr>
              <w:t>1,229</w:t>
            </w:r>
          </w:p>
        </w:tc>
        <w:tc>
          <w:tcPr>
            <w:tcW w:w="951" w:type="dxa"/>
            <w:tcBorders>
              <w:top w:val="single" w:sz="4" w:space="0" w:color="auto"/>
              <w:left w:val="single" w:sz="4" w:space="0" w:color="auto"/>
              <w:bottom w:val="single" w:sz="4" w:space="0" w:color="auto"/>
              <w:right w:val="single" w:sz="4" w:space="0" w:color="auto"/>
            </w:tcBorders>
            <w:noWrap/>
            <w:hideMark/>
          </w:tcPr>
          <w:p w14:paraId="73E98F55" w14:textId="77777777" w:rsidR="00460384" w:rsidRPr="00D0306F" w:rsidRDefault="00460384" w:rsidP="00977D0F">
            <w:pPr>
              <w:rPr>
                <w:rFonts w:cs="Arial"/>
              </w:rPr>
            </w:pPr>
            <w:r w:rsidRPr="00D0306F">
              <w:rPr>
                <w:rFonts w:cs="Arial"/>
              </w:rPr>
              <w:t>1,753</w:t>
            </w:r>
          </w:p>
        </w:tc>
        <w:tc>
          <w:tcPr>
            <w:tcW w:w="1221" w:type="dxa"/>
            <w:tcBorders>
              <w:top w:val="single" w:sz="4" w:space="0" w:color="auto"/>
              <w:left w:val="single" w:sz="4" w:space="0" w:color="auto"/>
              <w:bottom w:val="single" w:sz="4" w:space="0" w:color="auto"/>
              <w:right w:val="single" w:sz="4" w:space="0" w:color="auto"/>
            </w:tcBorders>
            <w:noWrap/>
            <w:hideMark/>
          </w:tcPr>
          <w:p w14:paraId="622C9E9F" w14:textId="77777777" w:rsidR="00460384" w:rsidRPr="00D0306F" w:rsidRDefault="00460384" w:rsidP="00977D0F">
            <w:pPr>
              <w:rPr>
                <w:rFonts w:cs="Arial"/>
              </w:rPr>
            </w:pPr>
            <w:r w:rsidRPr="00D0306F">
              <w:rPr>
                <w:rFonts w:cs="Arial"/>
              </w:rPr>
              <w:t>1,001</w:t>
            </w:r>
          </w:p>
        </w:tc>
      </w:tr>
      <w:tr w:rsidR="00460384" w:rsidRPr="00D0306F" w14:paraId="358F08F8" w14:textId="77777777" w:rsidTr="00460384">
        <w:trPr>
          <w:trHeight w:val="315"/>
        </w:trPr>
        <w:tc>
          <w:tcPr>
            <w:tcW w:w="1974" w:type="dxa"/>
            <w:tcBorders>
              <w:top w:val="single" w:sz="4" w:space="0" w:color="auto"/>
              <w:left w:val="single" w:sz="4" w:space="0" w:color="auto"/>
              <w:bottom w:val="single" w:sz="4" w:space="0" w:color="auto"/>
              <w:right w:val="single" w:sz="4" w:space="0" w:color="auto"/>
            </w:tcBorders>
            <w:noWrap/>
            <w:hideMark/>
          </w:tcPr>
          <w:p w14:paraId="5384AD94" w14:textId="77777777" w:rsidR="00460384" w:rsidRPr="00D0306F" w:rsidRDefault="00460384" w:rsidP="00977D0F">
            <w:pPr>
              <w:rPr>
                <w:rFonts w:cs="Arial"/>
              </w:rPr>
            </w:pPr>
            <w:r w:rsidRPr="00D0306F">
              <w:rPr>
                <w:rFonts w:cs="Arial"/>
              </w:rPr>
              <w:t>50 or more hours unpaid care a week</w:t>
            </w:r>
          </w:p>
        </w:tc>
        <w:tc>
          <w:tcPr>
            <w:tcW w:w="1527" w:type="dxa"/>
            <w:tcBorders>
              <w:top w:val="single" w:sz="4" w:space="0" w:color="auto"/>
              <w:left w:val="single" w:sz="4" w:space="0" w:color="auto"/>
              <w:bottom w:val="single" w:sz="4" w:space="0" w:color="auto"/>
              <w:right w:val="single" w:sz="4" w:space="0" w:color="auto"/>
            </w:tcBorders>
            <w:noWrap/>
            <w:hideMark/>
          </w:tcPr>
          <w:p w14:paraId="2403E88D" w14:textId="77777777" w:rsidR="00460384" w:rsidRPr="00D0306F" w:rsidRDefault="00460384" w:rsidP="00977D0F">
            <w:pPr>
              <w:rPr>
                <w:rFonts w:cs="Arial"/>
              </w:rPr>
            </w:pPr>
            <w:r w:rsidRPr="00D0306F">
              <w:rPr>
                <w:rFonts w:cs="Arial"/>
              </w:rPr>
              <w:t>8,515</w:t>
            </w:r>
          </w:p>
        </w:tc>
        <w:tc>
          <w:tcPr>
            <w:tcW w:w="1085" w:type="dxa"/>
            <w:tcBorders>
              <w:top w:val="single" w:sz="4" w:space="0" w:color="auto"/>
              <w:left w:val="single" w:sz="4" w:space="0" w:color="auto"/>
              <w:bottom w:val="single" w:sz="4" w:space="0" w:color="auto"/>
              <w:right w:val="single" w:sz="4" w:space="0" w:color="auto"/>
            </w:tcBorders>
            <w:noWrap/>
            <w:hideMark/>
          </w:tcPr>
          <w:p w14:paraId="44FD1E46" w14:textId="77777777" w:rsidR="00460384" w:rsidRPr="00D0306F" w:rsidRDefault="00460384" w:rsidP="00977D0F">
            <w:pPr>
              <w:rPr>
                <w:rFonts w:cs="Arial"/>
              </w:rPr>
            </w:pPr>
            <w:r w:rsidRPr="00D0306F">
              <w:rPr>
                <w:rFonts w:cs="Arial"/>
              </w:rPr>
              <w:t>42</w:t>
            </w:r>
          </w:p>
        </w:tc>
        <w:tc>
          <w:tcPr>
            <w:tcW w:w="951" w:type="dxa"/>
            <w:tcBorders>
              <w:top w:val="single" w:sz="4" w:space="0" w:color="auto"/>
              <w:left w:val="single" w:sz="4" w:space="0" w:color="auto"/>
              <w:bottom w:val="single" w:sz="4" w:space="0" w:color="auto"/>
              <w:right w:val="single" w:sz="4" w:space="0" w:color="auto"/>
            </w:tcBorders>
            <w:noWrap/>
            <w:hideMark/>
          </w:tcPr>
          <w:p w14:paraId="3D7F2DFC" w14:textId="77777777" w:rsidR="00460384" w:rsidRPr="00D0306F" w:rsidRDefault="00460384" w:rsidP="00977D0F">
            <w:pPr>
              <w:rPr>
                <w:rFonts w:cs="Arial"/>
              </w:rPr>
            </w:pPr>
            <w:r w:rsidRPr="00D0306F">
              <w:rPr>
                <w:rFonts w:cs="Arial"/>
              </w:rPr>
              <w:t>254</w:t>
            </w:r>
          </w:p>
        </w:tc>
        <w:tc>
          <w:tcPr>
            <w:tcW w:w="951" w:type="dxa"/>
            <w:tcBorders>
              <w:top w:val="single" w:sz="4" w:space="0" w:color="auto"/>
              <w:left w:val="single" w:sz="4" w:space="0" w:color="auto"/>
              <w:bottom w:val="single" w:sz="4" w:space="0" w:color="auto"/>
              <w:right w:val="single" w:sz="4" w:space="0" w:color="auto"/>
            </w:tcBorders>
            <w:noWrap/>
            <w:hideMark/>
          </w:tcPr>
          <w:p w14:paraId="5313EC1F" w14:textId="77777777" w:rsidR="00460384" w:rsidRPr="00D0306F" w:rsidRDefault="00460384" w:rsidP="00977D0F">
            <w:pPr>
              <w:rPr>
                <w:rFonts w:cs="Arial"/>
              </w:rPr>
            </w:pPr>
            <w:r w:rsidRPr="00D0306F">
              <w:rPr>
                <w:rFonts w:cs="Arial"/>
              </w:rPr>
              <w:t>700</w:t>
            </w:r>
          </w:p>
        </w:tc>
        <w:tc>
          <w:tcPr>
            <w:tcW w:w="951" w:type="dxa"/>
            <w:tcBorders>
              <w:top w:val="single" w:sz="4" w:space="0" w:color="auto"/>
              <w:left w:val="single" w:sz="4" w:space="0" w:color="auto"/>
              <w:bottom w:val="single" w:sz="4" w:space="0" w:color="auto"/>
              <w:right w:val="single" w:sz="4" w:space="0" w:color="auto"/>
            </w:tcBorders>
            <w:noWrap/>
            <w:hideMark/>
          </w:tcPr>
          <w:p w14:paraId="3E56375B" w14:textId="77777777" w:rsidR="00460384" w:rsidRPr="00D0306F" w:rsidRDefault="00460384" w:rsidP="00977D0F">
            <w:pPr>
              <w:rPr>
                <w:rFonts w:cs="Arial"/>
              </w:rPr>
            </w:pPr>
            <w:r w:rsidRPr="00D0306F">
              <w:rPr>
                <w:rFonts w:cs="Arial"/>
              </w:rPr>
              <w:t>1,773</w:t>
            </w:r>
          </w:p>
        </w:tc>
        <w:tc>
          <w:tcPr>
            <w:tcW w:w="951" w:type="dxa"/>
            <w:tcBorders>
              <w:top w:val="single" w:sz="4" w:space="0" w:color="auto"/>
              <w:left w:val="single" w:sz="4" w:space="0" w:color="auto"/>
              <w:bottom w:val="single" w:sz="4" w:space="0" w:color="auto"/>
              <w:right w:val="single" w:sz="4" w:space="0" w:color="auto"/>
            </w:tcBorders>
            <w:noWrap/>
            <w:hideMark/>
          </w:tcPr>
          <w:p w14:paraId="0C966C96" w14:textId="77777777" w:rsidR="00460384" w:rsidRPr="00D0306F" w:rsidRDefault="00460384" w:rsidP="00977D0F">
            <w:pPr>
              <w:rPr>
                <w:rFonts w:cs="Arial"/>
              </w:rPr>
            </w:pPr>
            <w:r w:rsidRPr="00D0306F">
              <w:rPr>
                <w:rFonts w:cs="Arial"/>
              </w:rPr>
              <w:t>2,523</w:t>
            </w:r>
          </w:p>
        </w:tc>
        <w:tc>
          <w:tcPr>
            <w:tcW w:w="1221" w:type="dxa"/>
            <w:tcBorders>
              <w:top w:val="single" w:sz="4" w:space="0" w:color="auto"/>
              <w:left w:val="single" w:sz="4" w:space="0" w:color="auto"/>
              <w:bottom w:val="single" w:sz="4" w:space="0" w:color="auto"/>
              <w:right w:val="single" w:sz="4" w:space="0" w:color="auto"/>
            </w:tcBorders>
            <w:noWrap/>
            <w:hideMark/>
          </w:tcPr>
          <w:p w14:paraId="01D077C2" w14:textId="77777777" w:rsidR="00460384" w:rsidRPr="00D0306F" w:rsidRDefault="00460384" w:rsidP="00977D0F">
            <w:pPr>
              <w:rPr>
                <w:rFonts w:cs="Arial"/>
              </w:rPr>
            </w:pPr>
            <w:r w:rsidRPr="00D0306F">
              <w:rPr>
                <w:rFonts w:cs="Arial"/>
              </w:rPr>
              <w:t>3,223</w:t>
            </w:r>
          </w:p>
        </w:tc>
      </w:tr>
      <w:tr w:rsidR="00460384" w:rsidRPr="00D0306F" w14:paraId="53AF41D2" w14:textId="77777777" w:rsidTr="00460384">
        <w:trPr>
          <w:trHeight w:val="315"/>
        </w:trPr>
        <w:tc>
          <w:tcPr>
            <w:tcW w:w="1974" w:type="dxa"/>
            <w:tcBorders>
              <w:top w:val="single" w:sz="4" w:space="0" w:color="auto"/>
              <w:left w:val="single" w:sz="4" w:space="0" w:color="auto"/>
              <w:bottom w:val="single" w:sz="4" w:space="0" w:color="auto"/>
              <w:right w:val="single" w:sz="4" w:space="0" w:color="auto"/>
            </w:tcBorders>
            <w:noWrap/>
            <w:hideMark/>
          </w:tcPr>
          <w:p w14:paraId="4B57F47A" w14:textId="77777777" w:rsidR="00460384" w:rsidRPr="00D0306F" w:rsidRDefault="00460384" w:rsidP="00977D0F">
            <w:pPr>
              <w:rPr>
                <w:rFonts w:cs="Arial"/>
                <w:b/>
                <w:bCs/>
              </w:rPr>
            </w:pPr>
            <w:r w:rsidRPr="00D0306F">
              <w:rPr>
                <w:rFonts w:cs="Arial"/>
                <w:b/>
                <w:bCs/>
              </w:rPr>
              <w:t>Total</w:t>
            </w:r>
          </w:p>
        </w:tc>
        <w:tc>
          <w:tcPr>
            <w:tcW w:w="1527" w:type="dxa"/>
            <w:tcBorders>
              <w:top w:val="single" w:sz="4" w:space="0" w:color="auto"/>
              <w:left w:val="single" w:sz="4" w:space="0" w:color="auto"/>
              <w:bottom w:val="single" w:sz="4" w:space="0" w:color="auto"/>
              <w:right w:val="single" w:sz="4" w:space="0" w:color="auto"/>
            </w:tcBorders>
            <w:noWrap/>
            <w:hideMark/>
          </w:tcPr>
          <w:p w14:paraId="084AC9C2" w14:textId="77777777" w:rsidR="00460384" w:rsidRPr="00D0306F" w:rsidRDefault="00460384" w:rsidP="00977D0F">
            <w:pPr>
              <w:rPr>
                <w:rFonts w:cs="Arial"/>
                <w:b/>
                <w:bCs/>
              </w:rPr>
            </w:pPr>
            <w:r w:rsidRPr="00D0306F">
              <w:rPr>
                <w:rFonts w:cs="Arial"/>
                <w:b/>
                <w:bCs/>
              </w:rPr>
              <w:t>227,063</w:t>
            </w:r>
          </w:p>
        </w:tc>
        <w:tc>
          <w:tcPr>
            <w:tcW w:w="1085" w:type="dxa"/>
            <w:tcBorders>
              <w:top w:val="single" w:sz="4" w:space="0" w:color="auto"/>
              <w:left w:val="single" w:sz="4" w:space="0" w:color="auto"/>
              <w:bottom w:val="single" w:sz="4" w:space="0" w:color="auto"/>
              <w:right w:val="single" w:sz="4" w:space="0" w:color="auto"/>
            </w:tcBorders>
            <w:noWrap/>
            <w:hideMark/>
          </w:tcPr>
          <w:p w14:paraId="382ADE5C" w14:textId="77777777" w:rsidR="00460384" w:rsidRPr="00D0306F" w:rsidRDefault="00460384" w:rsidP="00977D0F">
            <w:pPr>
              <w:rPr>
                <w:rFonts w:cs="Arial"/>
                <w:b/>
                <w:bCs/>
              </w:rPr>
            </w:pPr>
            <w:r w:rsidRPr="00D0306F">
              <w:rPr>
                <w:rFonts w:cs="Arial"/>
                <w:b/>
                <w:bCs/>
              </w:rPr>
              <w:t>29,206</w:t>
            </w:r>
          </w:p>
        </w:tc>
        <w:tc>
          <w:tcPr>
            <w:tcW w:w="951" w:type="dxa"/>
            <w:tcBorders>
              <w:top w:val="single" w:sz="4" w:space="0" w:color="auto"/>
              <w:left w:val="single" w:sz="4" w:space="0" w:color="auto"/>
              <w:bottom w:val="single" w:sz="4" w:space="0" w:color="auto"/>
              <w:right w:val="single" w:sz="4" w:space="0" w:color="auto"/>
            </w:tcBorders>
            <w:noWrap/>
            <w:hideMark/>
          </w:tcPr>
          <w:p w14:paraId="5FA142D1" w14:textId="77777777" w:rsidR="00460384" w:rsidRPr="00D0306F" w:rsidRDefault="00460384" w:rsidP="00977D0F">
            <w:pPr>
              <w:rPr>
                <w:rFonts w:cs="Arial"/>
                <w:b/>
                <w:bCs/>
              </w:rPr>
            </w:pPr>
            <w:r w:rsidRPr="00D0306F">
              <w:rPr>
                <w:rFonts w:cs="Arial"/>
                <w:b/>
                <w:bCs/>
              </w:rPr>
              <w:t>31,103</w:t>
            </w:r>
          </w:p>
        </w:tc>
        <w:tc>
          <w:tcPr>
            <w:tcW w:w="951" w:type="dxa"/>
            <w:tcBorders>
              <w:top w:val="single" w:sz="4" w:space="0" w:color="auto"/>
              <w:left w:val="single" w:sz="4" w:space="0" w:color="auto"/>
              <w:bottom w:val="single" w:sz="4" w:space="0" w:color="auto"/>
              <w:right w:val="single" w:sz="4" w:space="0" w:color="auto"/>
            </w:tcBorders>
            <w:noWrap/>
            <w:hideMark/>
          </w:tcPr>
          <w:p w14:paraId="488D2C22" w14:textId="77777777" w:rsidR="00460384" w:rsidRPr="00D0306F" w:rsidRDefault="00460384" w:rsidP="00977D0F">
            <w:pPr>
              <w:rPr>
                <w:rFonts w:cs="Arial"/>
                <w:b/>
                <w:bCs/>
              </w:rPr>
            </w:pPr>
            <w:r w:rsidRPr="00D0306F">
              <w:rPr>
                <w:rFonts w:cs="Arial"/>
                <w:b/>
                <w:bCs/>
              </w:rPr>
              <w:t>29,305</w:t>
            </w:r>
          </w:p>
        </w:tc>
        <w:tc>
          <w:tcPr>
            <w:tcW w:w="951" w:type="dxa"/>
            <w:tcBorders>
              <w:top w:val="single" w:sz="4" w:space="0" w:color="auto"/>
              <w:left w:val="single" w:sz="4" w:space="0" w:color="auto"/>
              <w:bottom w:val="single" w:sz="4" w:space="0" w:color="auto"/>
              <w:right w:val="single" w:sz="4" w:space="0" w:color="auto"/>
            </w:tcBorders>
            <w:noWrap/>
            <w:hideMark/>
          </w:tcPr>
          <w:p w14:paraId="6AE2F6E1" w14:textId="77777777" w:rsidR="00460384" w:rsidRPr="00D0306F" w:rsidRDefault="00460384" w:rsidP="00977D0F">
            <w:pPr>
              <w:rPr>
                <w:rFonts w:cs="Arial"/>
                <w:b/>
                <w:bCs/>
              </w:rPr>
            </w:pPr>
            <w:r w:rsidRPr="00D0306F">
              <w:rPr>
                <w:rFonts w:cs="Arial"/>
                <w:b/>
                <w:bCs/>
              </w:rPr>
              <w:t>42,369</w:t>
            </w:r>
          </w:p>
        </w:tc>
        <w:tc>
          <w:tcPr>
            <w:tcW w:w="951" w:type="dxa"/>
            <w:tcBorders>
              <w:top w:val="single" w:sz="4" w:space="0" w:color="auto"/>
              <w:left w:val="single" w:sz="4" w:space="0" w:color="auto"/>
              <w:bottom w:val="single" w:sz="4" w:space="0" w:color="auto"/>
              <w:right w:val="single" w:sz="4" w:space="0" w:color="auto"/>
            </w:tcBorders>
            <w:noWrap/>
            <w:hideMark/>
          </w:tcPr>
          <w:p w14:paraId="20261079" w14:textId="77777777" w:rsidR="00460384" w:rsidRPr="00D0306F" w:rsidRDefault="00460384" w:rsidP="00977D0F">
            <w:pPr>
              <w:rPr>
                <w:rFonts w:cs="Arial"/>
                <w:b/>
                <w:bCs/>
              </w:rPr>
            </w:pPr>
            <w:r w:rsidRPr="00D0306F">
              <w:rPr>
                <w:rFonts w:cs="Arial"/>
                <w:b/>
                <w:bCs/>
              </w:rPr>
              <w:t>46,202</w:t>
            </w:r>
          </w:p>
        </w:tc>
        <w:tc>
          <w:tcPr>
            <w:tcW w:w="1221" w:type="dxa"/>
            <w:tcBorders>
              <w:top w:val="single" w:sz="4" w:space="0" w:color="auto"/>
              <w:left w:val="single" w:sz="4" w:space="0" w:color="auto"/>
              <w:bottom w:val="single" w:sz="4" w:space="0" w:color="auto"/>
              <w:right w:val="single" w:sz="4" w:space="0" w:color="auto"/>
            </w:tcBorders>
            <w:noWrap/>
            <w:hideMark/>
          </w:tcPr>
          <w:p w14:paraId="6F52B9D0" w14:textId="77777777" w:rsidR="00460384" w:rsidRPr="00D0306F" w:rsidRDefault="00460384" w:rsidP="00977D0F">
            <w:pPr>
              <w:rPr>
                <w:rFonts w:cs="Arial"/>
                <w:b/>
                <w:bCs/>
              </w:rPr>
            </w:pPr>
            <w:r w:rsidRPr="00D0306F">
              <w:rPr>
                <w:rFonts w:cs="Arial"/>
                <w:b/>
                <w:bCs/>
              </w:rPr>
              <w:t>48,878</w:t>
            </w:r>
          </w:p>
        </w:tc>
      </w:tr>
    </w:tbl>
    <w:p w14:paraId="057CE671" w14:textId="77777777" w:rsidR="00460384" w:rsidRPr="00D0306F" w:rsidRDefault="00460384" w:rsidP="00977D0F">
      <w:pPr>
        <w:rPr>
          <w:rFonts w:eastAsia="Aptos" w:cs="Arial"/>
        </w:rPr>
      </w:pPr>
    </w:p>
    <w:p w14:paraId="45ECE2BF" w14:textId="77777777" w:rsidR="00A26545" w:rsidRPr="00D0306F" w:rsidRDefault="00A26545" w:rsidP="00977D0F">
      <w:pPr>
        <w:rPr>
          <w:rFonts w:eastAsia="Aptos" w:cs="Arial"/>
        </w:rPr>
      </w:pPr>
    </w:p>
    <w:p w14:paraId="23A125AA" w14:textId="185C7FEA" w:rsidR="00460384" w:rsidRPr="00D0306F" w:rsidRDefault="00460384" w:rsidP="00977D0F">
      <w:pPr>
        <w:rPr>
          <w:rFonts w:eastAsia="Aptos" w:cs="Arial"/>
          <w:b/>
          <w:bCs/>
        </w:rPr>
      </w:pPr>
      <w:r w:rsidRPr="00D0306F">
        <w:rPr>
          <w:rFonts w:eastAsia="Aptos" w:cs="Arial"/>
          <w:b/>
          <w:bCs/>
        </w:rPr>
        <w:lastRenderedPageBreak/>
        <w:t>Table 2.</w:t>
      </w:r>
      <w:r w:rsidR="00BA1A40">
        <w:rPr>
          <w:rFonts w:eastAsia="Aptos" w:cs="Arial"/>
          <w:b/>
          <w:bCs/>
        </w:rPr>
        <w:t>10</w:t>
      </w:r>
      <w:r w:rsidRPr="00D0306F">
        <w:rPr>
          <w:rFonts w:eastAsia="Aptos" w:cs="Arial"/>
          <w:b/>
          <w:bCs/>
        </w:rPr>
        <w:t>: Provision of unpaid care by age, hours of care provided per week, Neath Port Talbot</w:t>
      </w:r>
    </w:p>
    <w:p w14:paraId="782EAF77" w14:textId="77777777" w:rsidR="00460384" w:rsidRPr="00D0306F" w:rsidRDefault="00460384" w:rsidP="00977D0F">
      <w:pPr>
        <w:rPr>
          <w:rFonts w:eastAsia="Aptos" w:cs="Arial"/>
        </w:rPr>
      </w:pPr>
    </w:p>
    <w:tbl>
      <w:tblPr>
        <w:tblStyle w:val="TableGrid"/>
        <w:tblW w:w="9987" w:type="dxa"/>
        <w:tblInd w:w="-289" w:type="dxa"/>
        <w:tblLook w:val="04A0" w:firstRow="1" w:lastRow="0" w:firstColumn="1" w:lastColumn="0" w:noHBand="0" w:noVBand="1"/>
      </w:tblPr>
      <w:tblGrid>
        <w:gridCol w:w="1974"/>
        <w:gridCol w:w="1527"/>
        <w:gridCol w:w="1461"/>
        <w:gridCol w:w="951"/>
        <w:gridCol w:w="951"/>
        <w:gridCol w:w="951"/>
        <w:gridCol w:w="951"/>
        <w:gridCol w:w="1221"/>
      </w:tblGrid>
      <w:tr w:rsidR="00460384" w:rsidRPr="00D0306F" w14:paraId="404A0F63" w14:textId="77777777" w:rsidTr="00427491">
        <w:trPr>
          <w:trHeight w:val="1150"/>
        </w:trPr>
        <w:tc>
          <w:tcPr>
            <w:tcW w:w="1974" w:type="dxa"/>
            <w:tcBorders>
              <w:top w:val="single" w:sz="4" w:space="0" w:color="auto"/>
              <w:left w:val="single" w:sz="4" w:space="0" w:color="auto"/>
              <w:bottom w:val="single" w:sz="4" w:space="0" w:color="auto"/>
              <w:right w:val="single" w:sz="4" w:space="0" w:color="auto"/>
            </w:tcBorders>
            <w:shd w:val="clear" w:color="auto" w:fill="074F6A"/>
            <w:noWrap/>
          </w:tcPr>
          <w:p w14:paraId="320E57BA" w14:textId="77777777" w:rsidR="00460384" w:rsidRPr="00D0306F" w:rsidRDefault="00460384" w:rsidP="00977D0F">
            <w:pPr>
              <w:rPr>
                <w:rFonts w:cs="Arial"/>
                <w:b/>
                <w:bCs/>
                <w:color w:val="FFFFFF"/>
              </w:rPr>
            </w:pPr>
          </w:p>
          <w:p w14:paraId="6B4838D5" w14:textId="77777777" w:rsidR="00460384" w:rsidRPr="00D0306F" w:rsidRDefault="00460384" w:rsidP="00977D0F">
            <w:pPr>
              <w:rPr>
                <w:rFonts w:cs="Arial"/>
                <w:b/>
                <w:bCs/>
                <w:color w:val="FFFFFF"/>
              </w:rPr>
            </w:pPr>
            <w:r w:rsidRPr="00D0306F">
              <w:rPr>
                <w:rFonts w:cs="Arial"/>
                <w:b/>
                <w:bCs/>
                <w:color w:val="FFFFFF"/>
              </w:rPr>
              <w:t>Number of hours care provided</w:t>
            </w:r>
          </w:p>
        </w:tc>
        <w:tc>
          <w:tcPr>
            <w:tcW w:w="1527" w:type="dxa"/>
            <w:tcBorders>
              <w:top w:val="single" w:sz="4" w:space="0" w:color="auto"/>
              <w:left w:val="single" w:sz="4" w:space="0" w:color="auto"/>
              <w:bottom w:val="single" w:sz="4" w:space="0" w:color="auto"/>
              <w:right w:val="single" w:sz="4" w:space="0" w:color="auto"/>
            </w:tcBorders>
            <w:shd w:val="clear" w:color="auto" w:fill="074F6A"/>
          </w:tcPr>
          <w:p w14:paraId="4CB94168" w14:textId="77777777" w:rsidR="00460384" w:rsidRPr="00D0306F" w:rsidRDefault="00460384" w:rsidP="00977D0F">
            <w:pPr>
              <w:rPr>
                <w:rFonts w:cs="Arial"/>
                <w:b/>
                <w:bCs/>
                <w:color w:val="FFFFFF"/>
              </w:rPr>
            </w:pPr>
          </w:p>
          <w:p w14:paraId="7A0F20B3" w14:textId="77777777" w:rsidR="00460384" w:rsidRPr="00D0306F" w:rsidRDefault="00460384" w:rsidP="00977D0F">
            <w:pPr>
              <w:rPr>
                <w:rFonts w:cs="Arial"/>
                <w:b/>
                <w:bCs/>
                <w:color w:val="FFFFFF"/>
              </w:rPr>
            </w:pPr>
          </w:p>
          <w:p w14:paraId="31665EC7" w14:textId="77777777" w:rsidR="00460384" w:rsidRPr="00D0306F" w:rsidRDefault="00460384" w:rsidP="00977D0F">
            <w:pPr>
              <w:rPr>
                <w:rFonts w:cs="Arial"/>
                <w:b/>
                <w:bCs/>
                <w:color w:val="FFFFFF"/>
              </w:rPr>
            </w:pPr>
            <w:r w:rsidRPr="00D0306F">
              <w:rPr>
                <w:rFonts w:cs="Arial"/>
                <w:b/>
                <w:bCs/>
                <w:color w:val="FFFFFF"/>
              </w:rPr>
              <w:t>Total</w:t>
            </w:r>
          </w:p>
        </w:tc>
        <w:tc>
          <w:tcPr>
            <w:tcW w:w="1461" w:type="dxa"/>
            <w:tcBorders>
              <w:top w:val="single" w:sz="4" w:space="0" w:color="auto"/>
              <w:left w:val="single" w:sz="4" w:space="0" w:color="auto"/>
              <w:bottom w:val="single" w:sz="4" w:space="0" w:color="auto"/>
              <w:right w:val="single" w:sz="4" w:space="0" w:color="auto"/>
            </w:tcBorders>
            <w:shd w:val="clear" w:color="auto" w:fill="074F6A"/>
            <w:hideMark/>
          </w:tcPr>
          <w:p w14:paraId="3F4EB390" w14:textId="77777777" w:rsidR="00460384" w:rsidRPr="00D0306F" w:rsidRDefault="00460384" w:rsidP="00977D0F">
            <w:pPr>
              <w:rPr>
                <w:rFonts w:cs="Arial"/>
                <w:b/>
                <w:bCs/>
                <w:color w:val="FFFFFF"/>
              </w:rPr>
            </w:pPr>
            <w:r w:rsidRPr="00D0306F">
              <w:rPr>
                <w:rFonts w:cs="Arial"/>
                <w:b/>
                <w:bCs/>
                <w:color w:val="FFFFFF"/>
              </w:rPr>
              <w:t>Aged 15 years and under</w:t>
            </w:r>
          </w:p>
        </w:tc>
        <w:tc>
          <w:tcPr>
            <w:tcW w:w="951" w:type="dxa"/>
            <w:tcBorders>
              <w:top w:val="single" w:sz="4" w:space="0" w:color="auto"/>
              <w:left w:val="single" w:sz="4" w:space="0" w:color="auto"/>
              <w:bottom w:val="single" w:sz="4" w:space="0" w:color="auto"/>
              <w:right w:val="single" w:sz="4" w:space="0" w:color="auto"/>
            </w:tcBorders>
            <w:shd w:val="clear" w:color="auto" w:fill="074F6A"/>
            <w:hideMark/>
          </w:tcPr>
          <w:p w14:paraId="494B68CA" w14:textId="77777777" w:rsidR="00460384" w:rsidRPr="00D0306F" w:rsidRDefault="00460384" w:rsidP="00977D0F">
            <w:pPr>
              <w:rPr>
                <w:rFonts w:cs="Arial"/>
                <w:b/>
                <w:bCs/>
                <w:color w:val="FFFFFF"/>
              </w:rPr>
            </w:pPr>
            <w:r w:rsidRPr="00D0306F">
              <w:rPr>
                <w:rFonts w:cs="Arial"/>
                <w:b/>
                <w:bCs/>
                <w:color w:val="FFFFFF"/>
              </w:rPr>
              <w:t>Aged 16 to 24 years</w:t>
            </w:r>
          </w:p>
        </w:tc>
        <w:tc>
          <w:tcPr>
            <w:tcW w:w="951" w:type="dxa"/>
            <w:tcBorders>
              <w:top w:val="single" w:sz="4" w:space="0" w:color="auto"/>
              <w:left w:val="single" w:sz="4" w:space="0" w:color="auto"/>
              <w:bottom w:val="single" w:sz="4" w:space="0" w:color="auto"/>
              <w:right w:val="single" w:sz="4" w:space="0" w:color="auto"/>
            </w:tcBorders>
            <w:shd w:val="clear" w:color="auto" w:fill="074F6A"/>
            <w:hideMark/>
          </w:tcPr>
          <w:p w14:paraId="6CFFE02D" w14:textId="77777777" w:rsidR="00460384" w:rsidRPr="00D0306F" w:rsidRDefault="00460384" w:rsidP="00977D0F">
            <w:pPr>
              <w:rPr>
                <w:rFonts w:cs="Arial"/>
                <w:b/>
                <w:bCs/>
                <w:color w:val="FFFFFF"/>
              </w:rPr>
            </w:pPr>
            <w:r w:rsidRPr="00D0306F">
              <w:rPr>
                <w:rFonts w:cs="Arial"/>
                <w:b/>
                <w:bCs/>
                <w:color w:val="FFFFFF"/>
              </w:rPr>
              <w:t>Aged 25 to 34 years</w:t>
            </w:r>
          </w:p>
        </w:tc>
        <w:tc>
          <w:tcPr>
            <w:tcW w:w="951" w:type="dxa"/>
            <w:tcBorders>
              <w:top w:val="single" w:sz="4" w:space="0" w:color="auto"/>
              <w:left w:val="single" w:sz="4" w:space="0" w:color="auto"/>
              <w:bottom w:val="single" w:sz="4" w:space="0" w:color="auto"/>
              <w:right w:val="single" w:sz="4" w:space="0" w:color="auto"/>
            </w:tcBorders>
            <w:shd w:val="clear" w:color="auto" w:fill="074F6A"/>
            <w:hideMark/>
          </w:tcPr>
          <w:p w14:paraId="2F481389" w14:textId="77777777" w:rsidR="00460384" w:rsidRPr="00D0306F" w:rsidRDefault="00460384" w:rsidP="00977D0F">
            <w:pPr>
              <w:rPr>
                <w:rFonts w:cs="Arial"/>
                <w:b/>
                <w:bCs/>
                <w:color w:val="FFFFFF"/>
              </w:rPr>
            </w:pPr>
            <w:r w:rsidRPr="00D0306F">
              <w:rPr>
                <w:rFonts w:cs="Arial"/>
                <w:b/>
                <w:bCs/>
                <w:color w:val="FFFFFF"/>
              </w:rPr>
              <w:t>Aged 35 to 49 years</w:t>
            </w:r>
          </w:p>
        </w:tc>
        <w:tc>
          <w:tcPr>
            <w:tcW w:w="951" w:type="dxa"/>
            <w:tcBorders>
              <w:top w:val="single" w:sz="4" w:space="0" w:color="auto"/>
              <w:left w:val="single" w:sz="4" w:space="0" w:color="auto"/>
              <w:bottom w:val="single" w:sz="4" w:space="0" w:color="auto"/>
              <w:right w:val="single" w:sz="4" w:space="0" w:color="auto"/>
            </w:tcBorders>
            <w:shd w:val="clear" w:color="auto" w:fill="074F6A"/>
            <w:hideMark/>
          </w:tcPr>
          <w:p w14:paraId="7B224BE7" w14:textId="77777777" w:rsidR="00460384" w:rsidRPr="00D0306F" w:rsidRDefault="00460384" w:rsidP="00977D0F">
            <w:pPr>
              <w:rPr>
                <w:rFonts w:cs="Arial"/>
                <w:b/>
                <w:bCs/>
                <w:color w:val="FFFFFF"/>
              </w:rPr>
            </w:pPr>
            <w:r w:rsidRPr="00D0306F">
              <w:rPr>
                <w:rFonts w:cs="Arial"/>
                <w:b/>
                <w:bCs/>
                <w:color w:val="FFFFFF"/>
              </w:rPr>
              <w:t>Aged 50 to 64 years</w:t>
            </w:r>
          </w:p>
        </w:tc>
        <w:tc>
          <w:tcPr>
            <w:tcW w:w="1221" w:type="dxa"/>
            <w:tcBorders>
              <w:top w:val="single" w:sz="4" w:space="0" w:color="auto"/>
              <w:left w:val="single" w:sz="4" w:space="0" w:color="auto"/>
              <w:bottom w:val="single" w:sz="4" w:space="0" w:color="auto"/>
              <w:right w:val="single" w:sz="4" w:space="0" w:color="auto"/>
            </w:tcBorders>
            <w:shd w:val="clear" w:color="auto" w:fill="074F6A"/>
          </w:tcPr>
          <w:p w14:paraId="6DC6D4A7" w14:textId="77777777" w:rsidR="00460384" w:rsidRPr="00D0306F" w:rsidRDefault="00460384" w:rsidP="00977D0F">
            <w:pPr>
              <w:rPr>
                <w:rFonts w:cs="Arial"/>
                <w:b/>
                <w:bCs/>
                <w:color w:val="FFFFFF"/>
              </w:rPr>
            </w:pPr>
          </w:p>
          <w:p w14:paraId="7FD8EEB2" w14:textId="77777777" w:rsidR="00460384" w:rsidRPr="00D0306F" w:rsidRDefault="00460384" w:rsidP="00977D0F">
            <w:pPr>
              <w:rPr>
                <w:rFonts w:cs="Arial"/>
                <w:b/>
                <w:bCs/>
                <w:color w:val="FFFFFF"/>
              </w:rPr>
            </w:pPr>
            <w:r w:rsidRPr="00D0306F">
              <w:rPr>
                <w:rFonts w:cs="Arial"/>
                <w:b/>
                <w:bCs/>
                <w:color w:val="FFFFFF"/>
              </w:rPr>
              <w:t>Aged 65 years and over</w:t>
            </w:r>
          </w:p>
        </w:tc>
      </w:tr>
      <w:tr w:rsidR="00460384" w:rsidRPr="00D0306F" w14:paraId="4E59FC94" w14:textId="77777777" w:rsidTr="00427491">
        <w:trPr>
          <w:trHeight w:val="315"/>
        </w:trPr>
        <w:tc>
          <w:tcPr>
            <w:tcW w:w="1974" w:type="dxa"/>
            <w:tcBorders>
              <w:top w:val="single" w:sz="4" w:space="0" w:color="auto"/>
              <w:left w:val="single" w:sz="4" w:space="0" w:color="auto"/>
              <w:bottom w:val="single" w:sz="4" w:space="0" w:color="auto"/>
              <w:right w:val="single" w:sz="4" w:space="0" w:color="auto"/>
            </w:tcBorders>
            <w:noWrap/>
            <w:hideMark/>
          </w:tcPr>
          <w:p w14:paraId="743D1204" w14:textId="77777777" w:rsidR="00460384" w:rsidRPr="00D0306F" w:rsidRDefault="00460384" w:rsidP="00977D0F">
            <w:pPr>
              <w:rPr>
                <w:rFonts w:cs="Arial"/>
              </w:rPr>
            </w:pPr>
            <w:r w:rsidRPr="00D0306F">
              <w:rPr>
                <w:rFonts w:cs="Arial"/>
              </w:rPr>
              <w:t>No unpaid care</w:t>
            </w:r>
          </w:p>
        </w:tc>
        <w:tc>
          <w:tcPr>
            <w:tcW w:w="1527" w:type="dxa"/>
            <w:tcBorders>
              <w:top w:val="single" w:sz="4" w:space="0" w:color="auto"/>
              <w:left w:val="single" w:sz="4" w:space="0" w:color="auto"/>
              <w:bottom w:val="single" w:sz="4" w:space="0" w:color="auto"/>
              <w:right w:val="single" w:sz="4" w:space="0" w:color="auto"/>
            </w:tcBorders>
            <w:noWrap/>
            <w:hideMark/>
          </w:tcPr>
          <w:p w14:paraId="65E9277A" w14:textId="77777777" w:rsidR="00460384" w:rsidRPr="00D0306F" w:rsidRDefault="00460384" w:rsidP="00977D0F">
            <w:pPr>
              <w:rPr>
                <w:rFonts w:cs="Arial"/>
              </w:rPr>
            </w:pPr>
            <w:r w:rsidRPr="00D0306F">
              <w:rPr>
                <w:rFonts w:cs="Arial"/>
              </w:rPr>
              <w:t>118,688</w:t>
            </w:r>
          </w:p>
        </w:tc>
        <w:tc>
          <w:tcPr>
            <w:tcW w:w="1461" w:type="dxa"/>
            <w:tcBorders>
              <w:top w:val="single" w:sz="4" w:space="0" w:color="auto"/>
              <w:left w:val="single" w:sz="4" w:space="0" w:color="auto"/>
              <w:bottom w:val="single" w:sz="4" w:space="0" w:color="auto"/>
              <w:right w:val="single" w:sz="4" w:space="0" w:color="auto"/>
            </w:tcBorders>
            <w:noWrap/>
            <w:hideMark/>
          </w:tcPr>
          <w:p w14:paraId="3C9C4F42" w14:textId="77777777" w:rsidR="00460384" w:rsidRPr="00D0306F" w:rsidRDefault="00460384" w:rsidP="00977D0F">
            <w:pPr>
              <w:rPr>
                <w:rFonts w:cs="Arial"/>
              </w:rPr>
            </w:pPr>
            <w:r w:rsidRPr="00D0306F">
              <w:rPr>
                <w:rFonts w:cs="Arial"/>
              </w:rPr>
              <w:t>17,801</w:t>
            </w:r>
          </w:p>
        </w:tc>
        <w:tc>
          <w:tcPr>
            <w:tcW w:w="951" w:type="dxa"/>
            <w:tcBorders>
              <w:top w:val="single" w:sz="4" w:space="0" w:color="auto"/>
              <w:left w:val="single" w:sz="4" w:space="0" w:color="auto"/>
              <w:bottom w:val="single" w:sz="4" w:space="0" w:color="auto"/>
              <w:right w:val="single" w:sz="4" w:space="0" w:color="auto"/>
            </w:tcBorders>
            <w:noWrap/>
            <w:hideMark/>
          </w:tcPr>
          <w:p w14:paraId="53996BF2" w14:textId="77777777" w:rsidR="00460384" w:rsidRPr="00D0306F" w:rsidRDefault="00460384" w:rsidP="00977D0F">
            <w:pPr>
              <w:rPr>
                <w:rFonts w:cs="Arial"/>
              </w:rPr>
            </w:pPr>
            <w:r w:rsidRPr="00D0306F">
              <w:rPr>
                <w:rFonts w:cs="Arial"/>
              </w:rPr>
              <w:t>13,911</w:t>
            </w:r>
          </w:p>
        </w:tc>
        <w:tc>
          <w:tcPr>
            <w:tcW w:w="951" w:type="dxa"/>
            <w:tcBorders>
              <w:top w:val="single" w:sz="4" w:space="0" w:color="auto"/>
              <w:left w:val="single" w:sz="4" w:space="0" w:color="auto"/>
              <w:bottom w:val="single" w:sz="4" w:space="0" w:color="auto"/>
              <w:right w:val="single" w:sz="4" w:space="0" w:color="auto"/>
            </w:tcBorders>
            <w:noWrap/>
            <w:hideMark/>
          </w:tcPr>
          <w:p w14:paraId="3FCEFC01" w14:textId="77777777" w:rsidR="00460384" w:rsidRPr="00D0306F" w:rsidRDefault="00460384" w:rsidP="00977D0F">
            <w:pPr>
              <w:rPr>
                <w:rFonts w:cs="Arial"/>
              </w:rPr>
            </w:pPr>
            <w:r w:rsidRPr="00D0306F">
              <w:rPr>
                <w:rFonts w:cs="Arial"/>
              </w:rPr>
              <w:t>15,566</w:t>
            </w:r>
          </w:p>
        </w:tc>
        <w:tc>
          <w:tcPr>
            <w:tcW w:w="951" w:type="dxa"/>
            <w:tcBorders>
              <w:top w:val="single" w:sz="4" w:space="0" w:color="auto"/>
              <w:left w:val="single" w:sz="4" w:space="0" w:color="auto"/>
              <w:bottom w:val="single" w:sz="4" w:space="0" w:color="auto"/>
              <w:right w:val="single" w:sz="4" w:space="0" w:color="auto"/>
            </w:tcBorders>
            <w:noWrap/>
            <w:hideMark/>
          </w:tcPr>
          <w:p w14:paraId="02A68B15" w14:textId="77777777" w:rsidR="00460384" w:rsidRPr="00D0306F" w:rsidRDefault="00460384" w:rsidP="00977D0F">
            <w:pPr>
              <w:rPr>
                <w:rFonts w:cs="Arial"/>
              </w:rPr>
            </w:pPr>
            <w:r w:rsidRPr="00D0306F">
              <w:rPr>
                <w:rFonts w:cs="Arial"/>
              </w:rPr>
              <w:t>21,612</w:t>
            </w:r>
          </w:p>
        </w:tc>
        <w:tc>
          <w:tcPr>
            <w:tcW w:w="951" w:type="dxa"/>
            <w:tcBorders>
              <w:top w:val="single" w:sz="4" w:space="0" w:color="auto"/>
              <w:left w:val="single" w:sz="4" w:space="0" w:color="auto"/>
              <w:bottom w:val="single" w:sz="4" w:space="0" w:color="auto"/>
              <w:right w:val="single" w:sz="4" w:space="0" w:color="auto"/>
            </w:tcBorders>
            <w:noWrap/>
            <w:hideMark/>
          </w:tcPr>
          <w:p w14:paraId="4A325A81" w14:textId="77777777" w:rsidR="00460384" w:rsidRPr="00D0306F" w:rsidRDefault="00460384" w:rsidP="00977D0F">
            <w:pPr>
              <w:rPr>
                <w:rFonts w:cs="Arial"/>
              </w:rPr>
            </w:pPr>
            <w:r w:rsidRPr="00D0306F">
              <w:rPr>
                <w:rFonts w:cs="Arial"/>
              </w:rPr>
              <w:t>23,836</w:t>
            </w:r>
          </w:p>
        </w:tc>
        <w:tc>
          <w:tcPr>
            <w:tcW w:w="1221" w:type="dxa"/>
            <w:tcBorders>
              <w:top w:val="single" w:sz="4" w:space="0" w:color="auto"/>
              <w:left w:val="single" w:sz="4" w:space="0" w:color="auto"/>
              <w:bottom w:val="single" w:sz="4" w:space="0" w:color="auto"/>
              <w:right w:val="single" w:sz="4" w:space="0" w:color="auto"/>
            </w:tcBorders>
            <w:noWrap/>
            <w:hideMark/>
          </w:tcPr>
          <w:p w14:paraId="08C6D159" w14:textId="77777777" w:rsidR="00460384" w:rsidRPr="00D0306F" w:rsidRDefault="00460384" w:rsidP="00977D0F">
            <w:pPr>
              <w:rPr>
                <w:rFonts w:cs="Arial"/>
              </w:rPr>
            </w:pPr>
            <w:r w:rsidRPr="00D0306F">
              <w:rPr>
                <w:rFonts w:cs="Arial"/>
              </w:rPr>
              <w:t>25,962</w:t>
            </w:r>
          </w:p>
        </w:tc>
      </w:tr>
      <w:tr w:rsidR="00460384" w:rsidRPr="00D0306F" w14:paraId="58947AC2" w14:textId="77777777" w:rsidTr="00427491">
        <w:trPr>
          <w:trHeight w:val="915"/>
        </w:trPr>
        <w:tc>
          <w:tcPr>
            <w:tcW w:w="1974" w:type="dxa"/>
            <w:tcBorders>
              <w:top w:val="single" w:sz="4" w:space="0" w:color="auto"/>
              <w:left w:val="single" w:sz="4" w:space="0" w:color="auto"/>
              <w:bottom w:val="single" w:sz="4" w:space="0" w:color="auto"/>
              <w:right w:val="single" w:sz="4" w:space="0" w:color="auto"/>
            </w:tcBorders>
            <w:hideMark/>
          </w:tcPr>
          <w:p w14:paraId="6D3B8AE9" w14:textId="77777777" w:rsidR="00460384" w:rsidRPr="00D0306F" w:rsidRDefault="00460384" w:rsidP="00977D0F">
            <w:pPr>
              <w:rPr>
                <w:rFonts w:cs="Arial"/>
              </w:rPr>
            </w:pPr>
            <w:r w:rsidRPr="00D0306F">
              <w:rPr>
                <w:rFonts w:cs="Arial"/>
              </w:rPr>
              <w:t>19 hours or less unpaid care per week</w:t>
            </w:r>
          </w:p>
        </w:tc>
        <w:tc>
          <w:tcPr>
            <w:tcW w:w="1527" w:type="dxa"/>
            <w:tcBorders>
              <w:top w:val="single" w:sz="4" w:space="0" w:color="auto"/>
              <w:left w:val="single" w:sz="4" w:space="0" w:color="auto"/>
              <w:bottom w:val="single" w:sz="4" w:space="0" w:color="auto"/>
              <w:right w:val="single" w:sz="4" w:space="0" w:color="auto"/>
            </w:tcBorders>
            <w:noWrap/>
            <w:hideMark/>
          </w:tcPr>
          <w:p w14:paraId="204D01FC" w14:textId="77777777" w:rsidR="00460384" w:rsidRPr="00D0306F" w:rsidRDefault="00460384" w:rsidP="00977D0F">
            <w:pPr>
              <w:rPr>
                <w:rFonts w:cs="Arial"/>
              </w:rPr>
            </w:pPr>
            <w:r w:rsidRPr="00D0306F">
              <w:rPr>
                <w:rFonts w:cs="Arial"/>
              </w:rPr>
              <w:t>6,447</w:t>
            </w:r>
          </w:p>
        </w:tc>
        <w:tc>
          <w:tcPr>
            <w:tcW w:w="1461" w:type="dxa"/>
            <w:tcBorders>
              <w:top w:val="single" w:sz="4" w:space="0" w:color="auto"/>
              <w:left w:val="single" w:sz="4" w:space="0" w:color="auto"/>
              <w:bottom w:val="single" w:sz="4" w:space="0" w:color="auto"/>
              <w:right w:val="single" w:sz="4" w:space="0" w:color="auto"/>
            </w:tcBorders>
            <w:noWrap/>
            <w:hideMark/>
          </w:tcPr>
          <w:p w14:paraId="4551E568" w14:textId="77777777" w:rsidR="00460384" w:rsidRPr="00D0306F" w:rsidRDefault="00460384" w:rsidP="00977D0F">
            <w:pPr>
              <w:rPr>
                <w:rFonts w:cs="Arial"/>
              </w:rPr>
            </w:pPr>
            <w:r w:rsidRPr="00D0306F">
              <w:rPr>
                <w:rFonts w:cs="Arial"/>
              </w:rPr>
              <w:t>171</w:t>
            </w:r>
          </w:p>
        </w:tc>
        <w:tc>
          <w:tcPr>
            <w:tcW w:w="951" w:type="dxa"/>
            <w:tcBorders>
              <w:top w:val="single" w:sz="4" w:space="0" w:color="auto"/>
              <w:left w:val="single" w:sz="4" w:space="0" w:color="auto"/>
              <w:bottom w:val="single" w:sz="4" w:space="0" w:color="auto"/>
              <w:right w:val="single" w:sz="4" w:space="0" w:color="auto"/>
            </w:tcBorders>
            <w:noWrap/>
            <w:hideMark/>
          </w:tcPr>
          <w:p w14:paraId="71DA9DD8" w14:textId="77777777" w:rsidR="00460384" w:rsidRPr="00D0306F" w:rsidRDefault="00460384" w:rsidP="00977D0F">
            <w:pPr>
              <w:rPr>
                <w:rFonts w:cs="Arial"/>
              </w:rPr>
            </w:pPr>
            <w:r w:rsidRPr="00D0306F">
              <w:rPr>
                <w:rFonts w:cs="Arial"/>
              </w:rPr>
              <w:t>467</w:t>
            </w:r>
          </w:p>
        </w:tc>
        <w:tc>
          <w:tcPr>
            <w:tcW w:w="951" w:type="dxa"/>
            <w:tcBorders>
              <w:top w:val="single" w:sz="4" w:space="0" w:color="auto"/>
              <w:left w:val="single" w:sz="4" w:space="0" w:color="auto"/>
              <w:bottom w:val="single" w:sz="4" w:space="0" w:color="auto"/>
              <w:right w:val="single" w:sz="4" w:space="0" w:color="auto"/>
            </w:tcBorders>
            <w:noWrap/>
            <w:hideMark/>
          </w:tcPr>
          <w:p w14:paraId="6AE66A37" w14:textId="77777777" w:rsidR="00460384" w:rsidRPr="00D0306F" w:rsidRDefault="00460384" w:rsidP="00977D0F">
            <w:pPr>
              <w:rPr>
                <w:rFonts w:cs="Arial"/>
              </w:rPr>
            </w:pPr>
            <w:r w:rsidRPr="00D0306F">
              <w:rPr>
                <w:rFonts w:cs="Arial"/>
              </w:rPr>
              <w:t>623</w:t>
            </w:r>
          </w:p>
        </w:tc>
        <w:tc>
          <w:tcPr>
            <w:tcW w:w="951" w:type="dxa"/>
            <w:tcBorders>
              <w:top w:val="single" w:sz="4" w:space="0" w:color="auto"/>
              <w:left w:val="single" w:sz="4" w:space="0" w:color="auto"/>
              <w:bottom w:val="single" w:sz="4" w:space="0" w:color="auto"/>
              <w:right w:val="single" w:sz="4" w:space="0" w:color="auto"/>
            </w:tcBorders>
            <w:noWrap/>
            <w:hideMark/>
          </w:tcPr>
          <w:p w14:paraId="2485BED6" w14:textId="77777777" w:rsidR="00460384" w:rsidRPr="00D0306F" w:rsidRDefault="00460384" w:rsidP="00977D0F">
            <w:pPr>
              <w:rPr>
                <w:rFonts w:cs="Arial"/>
              </w:rPr>
            </w:pPr>
            <w:r w:rsidRPr="00D0306F">
              <w:rPr>
                <w:rFonts w:cs="Arial"/>
              </w:rPr>
              <w:t>1,575</w:t>
            </w:r>
          </w:p>
        </w:tc>
        <w:tc>
          <w:tcPr>
            <w:tcW w:w="951" w:type="dxa"/>
            <w:tcBorders>
              <w:top w:val="single" w:sz="4" w:space="0" w:color="auto"/>
              <w:left w:val="single" w:sz="4" w:space="0" w:color="auto"/>
              <w:bottom w:val="single" w:sz="4" w:space="0" w:color="auto"/>
              <w:right w:val="single" w:sz="4" w:space="0" w:color="auto"/>
            </w:tcBorders>
            <w:noWrap/>
            <w:hideMark/>
          </w:tcPr>
          <w:p w14:paraId="39F6DF26" w14:textId="77777777" w:rsidR="00460384" w:rsidRPr="00D0306F" w:rsidRDefault="00460384" w:rsidP="00977D0F">
            <w:pPr>
              <w:rPr>
                <w:rFonts w:cs="Arial"/>
              </w:rPr>
            </w:pPr>
            <w:r w:rsidRPr="00D0306F">
              <w:rPr>
                <w:rFonts w:cs="Arial"/>
              </w:rPr>
              <w:t>2,501</w:t>
            </w:r>
          </w:p>
        </w:tc>
        <w:tc>
          <w:tcPr>
            <w:tcW w:w="1221" w:type="dxa"/>
            <w:tcBorders>
              <w:top w:val="single" w:sz="4" w:space="0" w:color="auto"/>
              <w:left w:val="single" w:sz="4" w:space="0" w:color="auto"/>
              <w:bottom w:val="single" w:sz="4" w:space="0" w:color="auto"/>
              <w:right w:val="single" w:sz="4" w:space="0" w:color="auto"/>
            </w:tcBorders>
            <w:noWrap/>
            <w:hideMark/>
          </w:tcPr>
          <w:p w14:paraId="4EDB929D" w14:textId="77777777" w:rsidR="00460384" w:rsidRPr="00D0306F" w:rsidRDefault="00460384" w:rsidP="00977D0F">
            <w:pPr>
              <w:rPr>
                <w:rFonts w:cs="Arial"/>
              </w:rPr>
            </w:pPr>
            <w:r w:rsidRPr="00D0306F">
              <w:rPr>
                <w:rFonts w:cs="Arial"/>
              </w:rPr>
              <w:t>1,110</w:t>
            </w:r>
          </w:p>
        </w:tc>
      </w:tr>
      <w:tr w:rsidR="00460384" w:rsidRPr="00D0306F" w14:paraId="6649793E" w14:textId="77777777" w:rsidTr="00427491">
        <w:trPr>
          <w:trHeight w:val="615"/>
        </w:trPr>
        <w:tc>
          <w:tcPr>
            <w:tcW w:w="1974" w:type="dxa"/>
            <w:tcBorders>
              <w:top w:val="single" w:sz="4" w:space="0" w:color="auto"/>
              <w:left w:val="single" w:sz="4" w:space="0" w:color="auto"/>
              <w:bottom w:val="single" w:sz="4" w:space="0" w:color="auto"/>
              <w:right w:val="single" w:sz="4" w:space="0" w:color="auto"/>
            </w:tcBorders>
            <w:hideMark/>
          </w:tcPr>
          <w:p w14:paraId="533649A1" w14:textId="77777777" w:rsidR="00460384" w:rsidRPr="00D0306F" w:rsidRDefault="00460384" w:rsidP="00977D0F">
            <w:pPr>
              <w:rPr>
                <w:rFonts w:cs="Arial"/>
              </w:rPr>
            </w:pPr>
            <w:r w:rsidRPr="00D0306F">
              <w:rPr>
                <w:rFonts w:cs="Arial"/>
              </w:rPr>
              <w:t>Provides 20 to 49 hours unpaid care a week</w:t>
            </w:r>
          </w:p>
        </w:tc>
        <w:tc>
          <w:tcPr>
            <w:tcW w:w="1527" w:type="dxa"/>
            <w:tcBorders>
              <w:top w:val="single" w:sz="4" w:space="0" w:color="auto"/>
              <w:left w:val="single" w:sz="4" w:space="0" w:color="auto"/>
              <w:bottom w:val="single" w:sz="4" w:space="0" w:color="auto"/>
              <w:right w:val="single" w:sz="4" w:space="0" w:color="auto"/>
            </w:tcBorders>
            <w:noWrap/>
            <w:hideMark/>
          </w:tcPr>
          <w:p w14:paraId="64B38791" w14:textId="77777777" w:rsidR="00460384" w:rsidRPr="00D0306F" w:rsidRDefault="00460384" w:rsidP="00977D0F">
            <w:pPr>
              <w:rPr>
                <w:rFonts w:cs="Arial"/>
              </w:rPr>
            </w:pPr>
            <w:r w:rsidRPr="00D0306F">
              <w:rPr>
                <w:rFonts w:cs="Arial"/>
              </w:rPr>
              <w:t>3,897</w:t>
            </w:r>
          </w:p>
        </w:tc>
        <w:tc>
          <w:tcPr>
            <w:tcW w:w="1461" w:type="dxa"/>
            <w:tcBorders>
              <w:top w:val="single" w:sz="4" w:space="0" w:color="auto"/>
              <w:left w:val="single" w:sz="4" w:space="0" w:color="auto"/>
              <w:bottom w:val="single" w:sz="4" w:space="0" w:color="auto"/>
              <w:right w:val="single" w:sz="4" w:space="0" w:color="auto"/>
            </w:tcBorders>
            <w:noWrap/>
            <w:hideMark/>
          </w:tcPr>
          <w:p w14:paraId="5664BCF6" w14:textId="77777777" w:rsidR="00460384" w:rsidRPr="00D0306F" w:rsidRDefault="00460384" w:rsidP="00977D0F">
            <w:pPr>
              <w:rPr>
                <w:rFonts w:cs="Arial"/>
              </w:rPr>
            </w:pPr>
            <w:r w:rsidRPr="00D0306F">
              <w:rPr>
                <w:rFonts w:cs="Arial"/>
              </w:rPr>
              <w:t>35</w:t>
            </w:r>
          </w:p>
        </w:tc>
        <w:tc>
          <w:tcPr>
            <w:tcW w:w="951" w:type="dxa"/>
            <w:tcBorders>
              <w:top w:val="single" w:sz="4" w:space="0" w:color="auto"/>
              <w:left w:val="single" w:sz="4" w:space="0" w:color="auto"/>
              <w:bottom w:val="single" w:sz="4" w:space="0" w:color="auto"/>
              <w:right w:val="single" w:sz="4" w:space="0" w:color="auto"/>
            </w:tcBorders>
            <w:noWrap/>
            <w:hideMark/>
          </w:tcPr>
          <w:p w14:paraId="71B209CC" w14:textId="77777777" w:rsidR="00460384" w:rsidRPr="00D0306F" w:rsidRDefault="00460384" w:rsidP="00977D0F">
            <w:pPr>
              <w:rPr>
                <w:rFonts w:cs="Arial"/>
              </w:rPr>
            </w:pPr>
            <w:r w:rsidRPr="00D0306F">
              <w:rPr>
                <w:rFonts w:cs="Arial"/>
              </w:rPr>
              <w:t>309</w:t>
            </w:r>
          </w:p>
        </w:tc>
        <w:tc>
          <w:tcPr>
            <w:tcW w:w="951" w:type="dxa"/>
            <w:tcBorders>
              <w:top w:val="single" w:sz="4" w:space="0" w:color="auto"/>
              <w:left w:val="single" w:sz="4" w:space="0" w:color="auto"/>
              <w:bottom w:val="single" w:sz="4" w:space="0" w:color="auto"/>
              <w:right w:val="single" w:sz="4" w:space="0" w:color="auto"/>
            </w:tcBorders>
            <w:noWrap/>
            <w:hideMark/>
          </w:tcPr>
          <w:p w14:paraId="562ECE8B" w14:textId="77777777" w:rsidR="00460384" w:rsidRPr="00D0306F" w:rsidRDefault="00460384" w:rsidP="00977D0F">
            <w:pPr>
              <w:rPr>
                <w:rFonts w:cs="Arial"/>
              </w:rPr>
            </w:pPr>
            <w:r w:rsidRPr="00D0306F">
              <w:rPr>
                <w:rFonts w:cs="Arial"/>
              </w:rPr>
              <w:t>513</w:t>
            </w:r>
          </w:p>
        </w:tc>
        <w:tc>
          <w:tcPr>
            <w:tcW w:w="951" w:type="dxa"/>
            <w:tcBorders>
              <w:top w:val="single" w:sz="4" w:space="0" w:color="auto"/>
              <w:left w:val="single" w:sz="4" w:space="0" w:color="auto"/>
              <w:bottom w:val="single" w:sz="4" w:space="0" w:color="auto"/>
              <w:right w:val="single" w:sz="4" w:space="0" w:color="auto"/>
            </w:tcBorders>
            <w:noWrap/>
            <w:hideMark/>
          </w:tcPr>
          <w:p w14:paraId="5CB69904" w14:textId="77777777" w:rsidR="00460384" w:rsidRPr="00D0306F" w:rsidRDefault="00460384" w:rsidP="00977D0F">
            <w:pPr>
              <w:rPr>
                <w:rFonts w:cs="Arial"/>
              </w:rPr>
            </w:pPr>
            <w:r w:rsidRPr="00D0306F">
              <w:rPr>
                <w:rFonts w:cs="Arial"/>
              </w:rPr>
              <w:t>931</w:t>
            </w:r>
          </w:p>
        </w:tc>
        <w:tc>
          <w:tcPr>
            <w:tcW w:w="951" w:type="dxa"/>
            <w:tcBorders>
              <w:top w:val="single" w:sz="4" w:space="0" w:color="auto"/>
              <w:left w:val="single" w:sz="4" w:space="0" w:color="auto"/>
              <w:bottom w:val="single" w:sz="4" w:space="0" w:color="auto"/>
              <w:right w:val="single" w:sz="4" w:space="0" w:color="auto"/>
            </w:tcBorders>
            <w:noWrap/>
            <w:hideMark/>
          </w:tcPr>
          <w:p w14:paraId="64190538" w14:textId="77777777" w:rsidR="00460384" w:rsidRPr="00D0306F" w:rsidRDefault="00460384" w:rsidP="00977D0F">
            <w:pPr>
              <w:rPr>
                <w:rFonts w:cs="Arial"/>
              </w:rPr>
            </w:pPr>
            <w:r w:rsidRPr="00D0306F">
              <w:rPr>
                <w:rFonts w:cs="Arial"/>
              </w:rPr>
              <w:t>1,378</w:t>
            </w:r>
          </w:p>
        </w:tc>
        <w:tc>
          <w:tcPr>
            <w:tcW w:w="1221" w:type="dxa"/>
            <w:tcBorders>
              <w:top w:val="single" w:sz="4" w:space="0" w:color="auto"/>
              <w:left w:val="single" w:sz="4" w:space="0" w:color="auto"/>
              <w:bottom w:val="single" w:sz="4" w:space="0" w:color="auto"/>
              <w:right w:val="single" w:sz="4" w:space="0" w:color="auto"/>
            </w:tcBorders>
            <w:noWrap/>
            <w:hideMark/>
          </w:tcPr>
          <w:p w14:paraId="2EEA1C39" w14:textId="77777777" w:rsidR="00460384" w:rsidRPr="00D0306F" w:rsidRDefault="00460384" w:rsidP="00977D0F">
            <w:pPr>
              <w:rPr>
                <w:rFonts w:cs="Arial"/>
              </w:rPr>
            </w:pPr>
            <w:r w:rsidRPr="00D0306F">
              <w:rPr>
                <w:rFonts w:cs="Arial"/>
              </w:rPr>
              <w:t>731</w:t>
            </w:r>
          </w:p>
        </w:tc>
      </w:tr>
      <w:tr w:rsidR="00460384" w:rsidRPr="00D0306F" w14:paraId="5EA49C0B" w14:textId="77777777" w:rsidTr="00427491">
        <w:trPr>
          <w:trHeight w:val="315"/>
        </w:trPr>
        <w:tc>
          <w:tcPr>
            <w:tcW w:w="1974" w:type="dxa"/>
            <w:tcBorders>
              <w:top w:val="single" w:sz="4" w:space="0" w:color="auto"/>
              <w:left w:val="single" w:sz="4" w:space="0" w:color="auto"/>
              <w:bottom w:val="single" w:sz="4" w:space="0" w:color="auto"/>
              <w:right w:val="single" w:sz="4" w:space="0" w:color="auto"/>
            </w:tcBorders>
            <w:noWrap/>
            <w:hideMark/>
          </w:tcPr>
          <w:p w14:paraId="2BBD24C1" w14:textId="77777777" w:rsidR="00460384" w:rsidRPr="00D0306F" w:rsidRDefault="00460384" w:rsidP="00977D0F">
            <w:pPr>
              <w:rPr>
                <w:rFonts w:cs="Arial"/>
              </w:rPr>
            </w:pPr>
            <w:r w:rsidRPr="00D0306F">
              <w:rPr>
                <w:rFonts w:cs="Arial"/>
              </w:rPr>
              <w:t>Provides 50 or more hours unpaid care a week</w:t>
            </w:r>
          </w:p>
        </w:tc>
        <w:tc>
          <w:tcPr>
            <w:tcW w:w="1527" w:type="dxa"/>
            <w:tcBorders>
              <w:top w:val="single" w:sz="4" w:space="0" w:color="auto"/>
              <w:left w:val="single" w:sz="4" w:space="0" w:color="auto"/>
              <w:bottom w:val="single" w:sz="4" w:space="0" w:color="auto"/>
              <w:right w:val="single" w:sz="4" w:space="0" w:color="auto"/>
            </w:tcBorders>
            <w:noWrap/>
            <w:hideMark/>
          </w:tcPr>
          <w:p w14:paraId="1237C2CD" w14:textId="77777777" w:rsidR="00460384" w:rsidRPr="00D0306F" w:rsidRDefault="00460384" w:rsidP="00977D0F">
            <w:pPr>
              <w:rPr>
                <w:rFonts w:cs="Arial"/>
              </w:rPr>
            </w:pPr>
            <w:r w:rsidRPr="00D0306F">
              <w:rPr>
                <w:rFonts w:cs="Arial"/>
              </w:rPr>
              <w:t>6,209</w:t>
            </w:r>
          </w:p>
        </w:tc>
        <w:tc>
          <w:tcPr>
            <w:tcW w:w="1461" w:type="dxa"/>
            <w:tcBorders>
              <w:top w:val="single" w:sz="4" w:space="0" w:color="auto"/>
              <w:left w:val="single" w:sz="4" w:space="0" w:color="auto"/>
              <w:bottom w:val="single" w:sz="4" w:space="0" w:color="auto"/>
              <w:right w:val="single" w:sz="4" w:space="0" w:color="auto"/>
            </w:tcBorders>
            <w:noWrap/>
            <w:hideMark/>
          </w:tcPr>
          <w:p w14:paraId="0038FF47" w14:textId="77777777" w:rsidR="00460384" w:rsidRPr="00D0306F" w:rsidRDefault="00460384" w:rsidP="00977D0F">
            <w:pPr>
              <w:rPr>
                <w:rFonts w:cs="Arial"/>
              </w:rPr>
            </w:pPr>
            <w:r w:rsidRPr="00D0306F">
              <w:rPr>
                <w:rFonts w:cs="Arial"/>
              </w:rPr>
              <w:t>55</w:t>
            </w:r>
          </w:p>
        </w:tc>
        <w:tc>
          <w:tcPr>
            <w:tcW w:w="951" w:type="dxa"/>
            <w:tcBorders>
              <w:top w:val="single" w:sz="4" w:space="0" w:color="auto"/>
              <w:left w:val="single" w:sz="4" w:space="0" w:color="auto"/>
              <w:bottom w:val="single" w:sz="4" w:space="0" w:color="auto"/>
              <w:right w:val="single" w:sz="4" w:space="0" w:color="auto"/>
            </w:tcBorders>
            <w:noWrap/>
            <w:hideMark/>
          </w:tcPr>
          <w:p w14:paraId="25A6013D" w14:textId="77777777" w:rsidR="00460384" w:rsidRPr="00D0306F" w:rsidRDefault="00460384" w:rsidP="00977D0F">
            <w:pPr>
              <w:rPr>
                <w:rFonts w:cs="Arial"/>
              </w:rPr>
            </w:pPr>
            <w:r w:rsidRPr="00D0306F">
              <w:rPr>
                <w:rFonts w:cs="Arial"/>
              </w:rPr>
              <w:t>153</w:t>
            </w:r>
          </w:p>
        </w:tc>
        <w:tc>
          <w:tcPr>
            <w:tcW w:w="951" w:type="dxa"/>
            <w:tcBorders>
              <w:top w:val="single" w:sz="4" w:space="0" w:color="auto"/>
              <w:left w:val="single" w:sz="4" w:space="0" w:color="auto"/>
              <w:bottom w:val="single" w:sz="4" w:space="0" w:color="auto"/>
              <w:right w:val="single" w:sz="4" w:space="0" w:color="auto"/>
            </w:tcBorders>
            <w:noWrap/>
            <w:hideMark/>
          </w:tcPr>
          <w:p w14:paraId="6C8A4EB6" w14:textId="77777777" w:rsidR="00460384" w:rsidRPr="00D0306F" w:rsidRDefault="00460384" w:rsidP="00977D0F">
            <w:pPr>
              <w:rPr>
                <w:rFonts w:cs="Arial"/>
              </w:rPr>
            </w:pPr>
            <w:r w:rsidRPr="00D0306F">
              <w:rPr>
                <w:rFonts w:cs="Arial"/>
              </w:rPr>
              <w:t>478</w:t>
            </w:r>
          </w:p>
        </w:tc>
        <w:tc>
          <w:tcPr>
            <w:tcW w:w="951" w:type="dxa"/>
            <w:tcBorders>
              <w:top w:val="single" w:sz="4" w:space="0" w:color="auto"/>
              <w:left w:val="single" w:sz="4" w:space="0" w:color="auto"/>
              <w:bottom w:val="single" w:sz="4" w:space="0" w:color="auto"/>
              <w:right w:val="single" w:sz="4" w:space="0" w:color="auto"/>
            </w:tcBorders>
            <w:noWrap/>
            <w:hideMark/>
          </w:tcPr>
          <w:p w14:paraId="10FA8445" w14:textId="77777777" w:rsidR="00460384" w:rsidRPr="00D0306F" w:rsidRDefault="00460384" w:rsidP="00977D0F">
            <w:pPr>
              <w:rPr>
                <w:rFonts w:cs="Arial"/>
              </w:rPr>
            </w:pPr>
            <w:r w:rsidRPr="00D0306F">
              <w:rPr>
                <w:rFonts w:cs="Arial"/>
              </w:rPr>
              <w:t>1,279</w:t>
            </w:r>
          </w:p>
        </w:tc>
        <w:tc>
          <w:tcPr>
            <w:tcW w:w="951" w:type="dxa"/>
            <w:tcBorders>
              <w:top w:val="single" w:sz="4" w:space="0" w:color="auto"/>
              <w:left w:val="single" w:sz="4" w:space="0" w:color="auto"/>
              <w:bottom w:val="single" w:sz="4" w:space="0" w:color="auto"/>
              <w:right w:val="single" w:sz="4" w:space="0" w:color="auto"/>
            </w:tcBorders>
            <w:noWrap/>
            <w:hideMark/>
          </w:tcPr>
          <w:p w14:paraId="75B1111F" w14:textId="77777777" w:rsidR="00460384" w:rsidRPr="00D0306F" w:rsidRDefault="00460384" w:rsidP="00977D0F">
            <w:pPr>
              <w:rPr>
                <w:rFonts w:cs="Arial"/>
              </w:rPr>
            </w:pPr>
            <w:r w:rsidRPr="00D0306F">
              <w:rPr>
                <w:rFonts w:cs="Arial"/>
              </w:rPr>
              <w:t>1,914</w:t>
            </w:r>
          </w:p>
        </w:tc>
        <w:tc>
          <w:tcPr>
            <w:tcW w:w="1221" w:type="dxa"/>
            <w:tcBorders>
              <w:top w:val="single" w:sz="4" w:space="0" w:color="auto"/>
              <w:left w:val="single" w:sz="4" w:space="0" w:color="auto"/>
              <w:bottom w:val="single" w:sz="4" w:space="0" w:color="auto"/>
              <w:right w:val="single" w:sz="4" w:space="0" w:color="auto"/>
            </w:tcBorders>
            <w:noWrap/>
            <w:hideMark/>
          </w:tcPr>
          <w:p w14:paraId="24EACC19" w14:textId="77777777" w:rsidR="00460384" w:rsidRPr="00D0306F" w:rsidRDefault="00460384" w:rsidP="00977D0F">
            <w:pPr>
              <w:rPr>
                <w:rFonts w:cs="Arial"/>
              </w:rPr>
            </w:pPr>
            <w:r w:rsidRPr="00D0306F">
              <w:rPr>
                <w:rFonts w:cs="Arial"/>
              </w:rPr>
              <w:t>2,330</w:t>
            </w:r>
          </w:p>
        </w:tc>
      </w:tr>
      <w:tr w:rsidR="00460384" w:rsidRPr="00D0306F" w14:paraId="2D225E3B" w14:textId="77777777" w:rsidTr="00427491">
        <w:trPr>
          <w:trHeight w:val="315"/>
        </w:trPr>
        <w:tc>
          <w:tcPr>
            <w:tcW w:w="1974" w:type="dxa"/>
            <w:tcBorders>
              <w:top w:val="single" w:sz="4" w:space="0" w:color="auto"/>
              <w:left w:val="single" w:sz="4" w:space="0" w:color="auto"/>
              <w:bottom w:val="single" w:sz="4" w:space="0" w:color="auto"/>
              <w:right w:val="single" w:sz="4" w:space="0" w:color="auto"/>
            </w:tcBorders>
            <w:noWrap/>
            <w:hideMark/>
          </w:tcPr>
          <w:p w14:paraId="6C033E57" w14:textId="77777777" w:rsidR="00460384" w:rsidRPr="00D0306F" w:rsidRDefault="00460384" w:rsidP="00977D0F">
            <w:pPr>
              <w:rPr>
                <w:rFonts w:cs="Arial"/>
                <w:b/>
                <w:bCs/>
              </w:rPr>
            </w:pPr>
            <w:r w:rsidRPr="00D0306F">
              <w:rPr>
                <w:rFonts w:cs="Arial"/>
                <w:b/>
                <w:bCs/>
              </w:rPr>
              <w:t>Total</w:t>
            </w:r>
          </w:p>
        </w:tc>
        <w:tc>
          <w:tcPr>
            <w:tcW w:w="1527" w:type="dxa"/>
            <w:tcBorders>
              <w:top w:val="single" w:sz="4" w:space="0" w:color="auto"/>
              <w:left w:val="single" w:sz="4" w:space="0" w:color="auto"/>
              <w:bottom w:val="single" w:sz="4" w:space="0" w:color="auto"/>
              <w:right w:val="single" w:sz="4" w:space="0" w:color="auto"/>
            </w:tcBorders>
            <w:noWrap/>
            <w:hideMark/>
          </w:tcPr>
          <w:p w14:paraId="537B8278" w14:textId="77777777" w:rsidR="00460384" w:rsidRPr="00D0306F" w:rsidRDefault="00460384" w:rsidP="00977D0F">
            <w:pPr>
              <w:rPr>
                <w:rFonts w:cs="Arial"/>
                <w:b/>
                <w:bCs/>
              </w:rPr>
            </w:pPr>
            <w:r w:rsidRPr="00D0306F">
              <w:rPr>
                <w:rFonts w:cs="Arial"/>
                <w:b/>
                <w:bCs/>
              </w:rPr>
              <w:t>135,241</w:t>
            </w:r>
          </w:p>
        </w:tc>
        <w:tc>
          <w:tcPr>
            <w:tcW w:w="1461" w:type="dxa"/>
            <w:tcBorders>
              <w:top w:val="single" w:sz="4" w:space="0" w:color="auto"/>
              <w:left w:val="single" w:sz="4" w:space="0" w:color="auto"/>
              <w:bottom w:val="single" w:sz="4" w:space="0" w:color="auto"/>
              <w:right w:val="single" w:sz="4" w:space="0" w:color="auto"/>
            </w:tcBorders>
            <w:noWrap/>
            <w:hideMark/>
          </w:tcPr>
          <w:p w14:paraId="444920F7" w14:textId="77777777" w:rsidR="00460384" w:rsidRPr="00D0306F" w:rsidRDefault="00460384" w:rsidP="00977D0F">
            <w:pPr>
              <w:rPr>
                <w:rFonts w:cs="Arial"/>
                <w:b/>
                <w:bCs/>
              </w:rPr>
            </w:pPr>
            <w:r w:rsidRPr="00D0306F">
              <w:rPr>
                <w:rFonts w:cs="Arial"/>
                <w:b/>
                <w:bCs/>
              </w:rPr>
              <w:t>18,062</w:t>
            </w:r>
          </w:p>
        </w:tc>
        <w:tc>
          <w:tcPr>
            <w:tcW w:w="951" w:type="dxa"/>
            <w:tcBorders>
              <w:top w:val="single" w:sz="4" w:space="0" w:color="auto"/>
              <w:left w:val="single" w:sz="4" w:space="0" w:color="auto"/>
              <w:bottom w:val="single" w:sz="4" w:space="0" w:color="auto"/>
              <w:right w:val="single" w:sz="4" w:space="0" w:color="auto"/>
            </w:tcBorders>
            <w:noWrap/>
            <w:hideMark/>
          </w:tcPr>
          <w:p w14:paraId="448288BC" w14:textId="77777777" w:rsidR="00460384" w:rsidRPr="00D0306F" w:rsidRDefault="00460384" w:rsidP="00977D0F">
            <w:pPr>
              <w:rPr>
                <w:rFonts w:cs="Arial"/>
                <w:b/>
                <w:bCs/>
              </w:rPr>
            </w:pPr>
            <w:r w:rsidRPr="00D0306F">
              <w:rPr>
                <w:rFonts w:cs="Arial"/>
                <w:b/>
                <w:bCs/>
              </w:rPr>
              <w:t>14,840</w:t>
            </w:r>
          </w:p>
        </w:tc>
        <w:tc>
          <w:tcPr>
            <w:tcW w:w="951" w:type="dxa"/>
            <w:tcBorders>
              <w:top w:val="single" w:sz="4" w:space="0" w:color="auto"/>
              <w:left w:val="single" w:sz="4" w:space="0" w:color="auto"/>
              <w:bottom w:val="single" w:sz="4" w:space="0" w:color="auto"/>
              <w:right w:val="single" w:sz="4" w:space="0" w:color="auto"/>
            </w:tcBorders>
            <w:noWrap/>
            <w:hideMark/>
          </w:tcPr>
          <w:p w14:paraId="5EC46871" w14:textId="77777777" w:rsidR="00460384" w:rsidRPr="00D0306F" w:rsidRDefault="00460384" w:rsidP="00977D0F">
            <w:pPr>
              <w:rPr>
                <w:rFonts w:cs="Arial"/>
                <w:b/>
                <w:bCs/>
              </w:rPr>
            </w:pPr>
            <w:r w:rsidRPr="00D0306F">
              <w:rPr>
                <w:rFonts w:cs="Arial"/>
                <w:b/>
                <w:bCs/>
              </w:rPr>
              <w:t>17,180</w:t>
            </w:r>
          </w:p>
        </w:tc>
        <w:tc>
          <w:tcPr>
            <w:tcW w:w="951" w:type="dxa"/>
            <w:tcBorders>
              <w:top w:val="single" w:sz="4" w:space="0" w:color="auto"/>
              <w:left w:val="single" w:sz="4" w:space="0" w:color="auto"/>
              <w:bottom w:val="single" w:sz="4" w:space="0" w:color="auto"/>
              <w:right w:val="single" w:sz="4" w:space="0" w:color="auto"/>
            </w:tcBorders>
            <w:noWrap/>
            <w:hideMark/>
          </w:tcPr>
          <w:p w14:paraId="2FE79037" w14:textId="77777777" w:rsidR="00460384" w:rsidRPr="00D0306F" w:rsidRDefault="00460384" w:rsidP="00977D0F">
            <w:pPr>
              <w:rPr>
                <w:rFonts w:cs="Arial"/>
                <w:b/>
                <w:bCs/>
              </w:rPr>
            </w:pPr>
            <w:r w:rsidRPr="00D0306F">
              <w:rPr>
                <w:rFonts w:cs="Arial"/>
                <w:b/>
                <w:bCs/>
              </w:rPr>
              <w:t>25,397</w:t>
            </w:r>
          </w:p>
        </w:tc>
        <w:tc>
          <w:tcPr>
            <w:tcW w:w="951" w:type="dxa"/>
            <w:tcBorders>
              <w:top w:val="single" w:sz="4" w:space="0" w:color="auto"/>
              <w:left w:val="single" w:sz="4" w:space="0" w:color="auto"/>
              <w:bottom w:val="single" w:sz="4" w:space="0" w:color="auto"/>
              <w:right w:val="single" w:sz="4" w:space="0" w:color="auto"/>
            </w:tcBorders>
            <w:noWrap/>
            <w:hideMark/>
          </w:tcPr>
          <w:p w14:paraId="61946DAA" w14:textId="77777777" w:rsidR="00460384" w:rsidRPr="00D0306F" w:rsidRDefault="00460384" w:rsidP="00977D0F">
            <w:pPr>
              <w:rPr>
                <w:rFonts w:cs="Arial"/>
                <w:b/>
                <w:bCs/>
              </w:rPr>
            </w:pPr>
            <w:r w:rsidRPr="00D0306F">
              <w:rPr>
                <w:rFonts w:cs="Arial"/>
                <w:b/>
                <w:bCs/>
              </w:rPr>
              <w:t>29,629</w:t>
            </w:r>
          </w:p>
        </w:tc>
        <w:tc>
          <w:tcPr>
            <w:tcW w:w="1221" w:type="dxa"/>
            <w:tcBorders>
              <w:top w:val="single" w:sz="4" w:space="0" w:color="auto"/>
              <w:left w:val="single" w:sz="4" w:space="0" w:color="auto"/>
              <w:bottom w:val="single" w:sz="4" w:space="0" w:color="auto"/>
              <w:right w:val="single" w:sz="4" w:space="0" w:color="auto"/>
            </w:tcBorders>
            <w:noWrap/>
            <w:hideMark/>
          </w:tcPr>
          <w:p w14:paraId="163FEAE0" w14:textId="77777777" w:rsidR="00460384" w:rsidRPr="00D0306F" w:rsidRDefault="00460384" w:rsidP="00977D0F">
            <w:pPr>
              <w:rPr>
                <w:rFonts w:cs="Arial"/>
                <w:b/>
                <w:bCs/>
              </w:rPr>
            </w:pPr>
            <w:r w:rsidRPr="00D0306F">
              <w:rPr>
                <w:rFonts w:cs="Arial"/>
                <w:b/>
                <w:bCs/>
              </w:rPr>
              <w:t>30,133</w:t>
            </w:r>
          </w:p>
        </w:tc>
      </w:tr>
    </w:tbl>
    <w:p w14:paraId="1A85C285" w14:textId="77777777" w:rsidR="00460384" w:rsidRPr="00D0306F" w:rsidRDefault="00460384" w:rsidP="00977D0F">
      <w:pPr>
        <w:rPr>
          <w:rFonts w:eastAsia="Aptos" w:cs="Arial"/>
        </w:rPr>
      </w:pPr>
    </w:p>
    <w:p w14:paraId="18842DED" w14:textId="77777777" w:rsidR="00460384" w:rsidRPr="00D0306F" w:rsidRDefault="00460384" w:rsidP="00977D0F">
      <w:pPr>
        <w:rPr>
          <w:rFonts w:eastAsia="Aptos" w:cs="Arial"/>
        </w:rPr>
      </w:pPr>
      <w:r w:rsidRPr="00D0306F">
        <w:rPr>
          <w:rFonts w:eastAsia="Aptos" w:cs="Arial"/>
        </w:rPr>
        <w:t>The Social Care Wales population projection platform</w:t>
      </w:r>
      <w:r w:rsidRPr="00D0306F">
        <w:rPr>
          <w:rFonts w:eastAsia="Aptos" w:cs="Arial"/>
          <w:vertAlign w:val="superscript"/>
        </w:rPr>
        <w:footnoteReference w:id="44"/>
      </w:r>
      <w:r w:rsidRPr="00D0306F">
        <w:rPr>
          <w:rFonts w:eastAsia="Aptos" w:cs="Arial"/>
        </w:rPr>
        <w:t xml:space="preserve"> is a tool that can help to plan care services that might be required in local areas across Wales. Using this tool, the projected number of people providing unpaid care by local authority over the lifetime of this document is illustrated in figure 2.11.</w:t>
      </w:r>
    </w:p>
    <w:p w14:paraId="21E2AD20" w14:textId="77777777" w:rsidR="00460384" w:rsidRPr="00D0306F" w:rsidRDefault="00460384" w:rsidP="00977D0F">
      <w:pPr>
        <w:rPr>
          <w:rFonts w:eastAsia="Aptos" w:cs="Arial"/>
        </w:rPr>
      </w:pPr>
    </w:p>
    <w:p w14:paraId="101857CE" w14:textId="669E63AC" w:rsidR="00460384" w:rsidRPr="00D0306F" w:rsidRDefault="00460384" w:rsidP="00977D0F">
      <w:pPr>
        <w:rPr>
          <w:rFonts w:eastAsia="Aptos" w:cs="Arial"/>
          <w:b/>
          <w:bCs/>
        </w:rPr>
      </w:pPr>
      <w:r w:rsidRPr="00D0306F">
        <w:rPr>
          <w:rFonts w:eastAsia="Aptos" w:cs="Arial"/>
          <w:b/>
          <w:bCs/>
        </w:rPr>
        <w:t>Figure 2.1</w:t>
      </w:r>
      <w:r w:rsidR="007B620D">
        <w:rPr>
          <w:rFonts w:eastAsia="Aptos" w:cs="Arial"/>
          <w:b/>
          <w:bCs/>
        </w:rPr>
        <w:t>0</w:t>
      </w:r>
      <w:r w:rsidRPr="00D0306F">
        <w:rPr>
          <w:rFonts w:eastAsia="Aptos" w:cs="Arial"/>
          <w:b/>
          <w:bCs/>
        </w:rPr>
        <w:t>: Projected number of people providing unpaid care by local authority (2026-2032)</w:t>
      </w:r>
    </w:p>
    <w:p w14:paraId="10ED2FA3" w14:textId="77777777" w:rsidR="00460384" w:rsidRPr="00D0306F" w:rsidRDefault="00460384" w:rsidP="00977D0F">
      <w:pPr>
        <w:rPr>
          <w:rFonts w:eastAsia="Aptos" w:cs="Arial"/>
        </w:rPr>
      </w:pPr>
    </w:p>
    <w:p w14:paraId="764943B9" w14:textId="77777777" w:rsidR="00460384" w:rsidRPr="00D0306F" w:rsidRDefault="00460384" w:rsidP="00977D0F">
      <w:pPr>
        <w:rPr>
          <w:rFonts w:eastAsia="Aptos" w:cs="Arial"/>
        </w:rPr>
      </w:pPr>
      <w:r w:rsidRPr="00D0306F">
        <w:rPr>
          <w:rFonts w:eastAsia="Aptos" w:cs="Arial"/>
          <w:noProof/>
        </w:rPr>
        <w:drawing>
          <wp:inline distT="0" distB="0" distL="0" distR="0" wp14:anchorId="1F2E2A6D" wp14:editId="2CA149AE">
            <wp:extent cx="5734050" cy="3267075"/>
            <wp:effectExtent l="0" t="0" r="0" b="9525"/>
            <wp:docPr id="18" name="Picture 1" descr="Line chart showing projected number of people in Swansea and Neath Port Talbot providing unpaid care by local authority between 2026 and 2032. Swansea numbers are projected to increase steadily from approximately 26,300 people in 2026 to 26,800 in 2032. Neath Port Talbot is also projected to grow gradually, from around 16,900 in 2026 to 17,100 in 2032. Swansea numbers remain consistently higher than Neath Port Talbot throughout the period, with both areas showing modest but continuous growth. The x-axis shows years from 2026 to 2032, and the y-axis ranges from 16,000 to 26,000 peo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 descr="Line chart showing projected number of people in Swansea and Neath Port Talbot providing unpaid care by local authority between 2026 and 2032. Swansea numbers are projected to increase steadily from approximately 26,300 people in 2026 to 26,800 in 2032. Neath Port Talbot is also projected to grow gradually, from around 16,900 in 2026 to 17,100 in 2032. Swansea numbers remain consistently higher than Neath Port Talbot throughout the period, with both areas showing modest but continuous growth. The x-axis shows years from 2026 to 2032, and the y-axis ranges from 16,000 to 26,000 people."/>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34050" cy="3267075"/>
                    </a:xfrm>
                    <a:prstGeom prst="rect">
                      <a:avLst/>
                    </a:prstGeom>
                    <a:noFill/>
                    <a:ln>
                      <a:noFill/>
                    </a:ln>
                  </pic:spPr>
                </pic:pic>
              </a:graphicData>
            </a:graphic>
          </wp:inline>
        </w:drawing>
      </w:r>
      <w:r w:rsidRPr="00D0306F">
        <w:rPr>
          <w:rFonts w:eastAsia="Aptos" w:cs="Arial"/>
        </w:rPr>
        <w:t xml:space="preserve"> </w:t>
      </w:r>
    </w:p>
    <w:p w14:paraId="07F33448" w14:textId="4CE721CF" w:rsidR="00824B25" w:rsidRPr="00D0306F" w:rsidRDefault="00824B25" w:rsidP="00977D0F">
      <w:pPr>
        <w:rPr>
          <w:rFonts w:eastAsia="Aptos" w:cs="Arial"/>
        </w:rPr>
      </w:pPr>
    </w:p>
    <w:p w14:paraId="6FA49E33" w14:textId="77777777" w:rsidR="00D15B69" w:rsidRPr="00D0306F" w:rsidRDefault="00D15B69" w:rsidP="00D15B69">
      <w:pPr>
        <w:pStyle w:val="Heading1"/>
        <w:rPr>
          <w:sz w:val="28"/>
          <w:szCs w:val="28"/>
        </w:rPr>
      </w:pPr>
      <w:bookmarkStart w:id="12" w:name="_Toc64971996"/>
      <w:bookmarkStart w:id="13" w:name="_Toc235185374"/>
      <w:r w:rsidRPr="00D0306F">
        <w:rPr>
          <w:sz w:val="28"/>
          <w:szCs w:val="28"/>
        </w:rPr>
        <w:lastRenderedPageBreak/>
        <w:t xml:space="preserve">3 General health needs of </w:t>
      </w:r>
      <w:bookmarkStart w:id="14" w:name="_Hlk62382119"/>
      <w:r w:rsidRPr="00D0306F">
        <w:rPr>
          <w:sz w:val="28"/>
          <w:szCs w:val="28"/>
        </w:rPr>
        <w:t>Swansea Bay University Health Board</w:t>
      </w:r>
      <w:bookmarkEnd w:id="12"/>
      <w:bookmarkEnd w:id="13"/>
      <w:r w:rsidRPr="00D0306F">
        <w:rPr>
          <w:sz w:val="28"/>
          <w:szCs w:val="28"/>
        </w:rPr>
        <w:t xml:space="preserve"> </w:t>
      </w:r>
      <w:bookmarkEnd w:id="14"/>
    </w:p>
    <w:p w14:paraId="35214BD8" w14:textId="77777777" w:rsidR="00370535" w:rsidRPr="00370535" w:rsidRDefault="00370535" w:rsidP="00370535">
      <w:pPr>
        <w:rPr>
          <w:rFonts w:cs="Arial"/>
        </w:rPr>
      </w:pPr>
    </w:p>
    <w:p w14:paraId="59675F08" w14:textId="77777777" w:rsidR="00370535" w:rsidRPr="00370535" w:rsidRDefault="00370535" w:rsidP="00370535">
      <w:pPr>
        <w:rPr>
          <w:rFonts w:cs="Arial"/>
        </w:rPr>
      </w:pPr>
      <w:r w:rsidRPr="00370535">
        <w:rPr>
          <w:rFonts w:cs="Arial"/>
        </w:rPr>
        <w:t xml:space="preserve">Health, disability and unpaid care data, are all closely related to age of a population. In more elderly populations, poorer health, more disability and more unpaid care is expected. Therefore, to compare data fairly across areas with different age profiles, age-standardised rates have been used throughout this chapter, unless otherwise stated. This process removes the effect of age, showing what the results would look like if all areas had the same age structure, based on the 2013 European standard population. </w:t>
      </w:r>
    </w:p>
    <w:p w14:paraId="6DB58D45" w14:textId="77777777" w:rsidR="00370535" w:rsidRPr="00370535" w:rsidRDefault="00370535" w:rsidP="00370535">
      <w:pPr>
        <w:rPr>
          <w:rFonts w:cs="Arial"/>
        </w:rPr>
      </w:pPr>
    </w:p>
    <w:p w14:paraId="68F98853" w14:textId="77777777" w:rsidR="00370535" w:rsidRPr="00370535" w:rsidRDefault="00370535" w:rsidP="00370535">
      <w:pPr>
        <w:rPr>
          <w:rFonts w:cs="Arial"/>
        </w:rPr>
      </w:pPr>
      <w:r w:rsidRPr="00370535">
        <w:rPr>
          <w:rFonts w:cs="Arial"/>
        </w:rPr>
        <w:t>Where quality and outcomes framework data has been used, caution should be taken when interpreting the data. Reported quality and outcome framework data is dependent on diagnosis and recording on the general practice clinical systems. If a condition is not coded, for example, it is not counted in the quality and outcome framework register. It is also dependent on the social and demographic characteristics of the population and their readiness to seek healthcare services. Population prevalence (“true” prevalence) often underestimates the actual number of people with a condition who have not yet presented to or been diagnosed by their GP. Therefore, quality and outcome framework data should be seen as a measure of diagnosis and managed care rather than the absolute “true” prevalence of disease in the population.</w:t>
      </w:r>
    </w:p>
    <w:p w14:paraId="47EFC686" w14:textId="77777777" w:rsidR="00370535" w:rsidRPr="00370535" w:rsidRDefault="00370535" w:rsidP="00370535">
      <w:pPr>
        <w:rPr>
          <w:rFonts w:cs="Arial"/>
          <w:b/>
          <w:bCs/>
        </w:rPr>
      </w:pPr>
    </w:p>
    <w:p w14:paraId="549FCB82" w14:textId="77777777" w:rsidR="00370535" w:rsidRPr="00370535" w:rsidRDefault="00370535" w:rsidP="00370535">
      <w:pPr>
        <w:rPr>
          <w:rFonts w:cs="Arial"/>
          <w:b/>
          <w:bCs/>
          <w:sz w:val="26"/>
          <w:szCs w:val="26"/>
        </w:rPr>
      </w:pPr>
      <w:r w:rsidRPr="00370535">
        <w:rPr>
          <w:rFonts w:cs="Arial"/>
          <w:b/>
          <w:bCs/>
          <w:sz w:val="26"/>
          <w:szCs w:val="26"/>
        </w:rPr>
        <w:t>3.1 Chronic disease</w:t>
      </w:r>
    </w:p>
    <w:p w14:paraId="114F2959" w14:textId="77777777" w:rsidR="00370535" w:rsidRPr="00370535" w:rsidRDefault="00370535" w:rsidP="00370535">
      <w:pPr>
        <w:rPr>
          <w:rFonts w:cs="Arial"/>
        </w:rPr>
      </w:pPr>
    </w:p>
    <w:p w14:paraId="24F1FD1F" w14:textId="77777777" w:rsidR="00370535" w:rsidRPr="00370535" w:rsidRDefault="00370535" w:rsidP="00370535">
      <w:pPr>
        <w:rPr>
          <w:rFonts w:cs="Arial"/>
          <w:b/>
          <w:bCs/>
        </w:rPr>
      </w:pPr>
      <w:r w:rsidRPr="00370535">
        <w:rPr>
          <w:rFonts w:cs="Arial"/>
          <w:b/>
          <w:bCs/>
        </w:rPr>
        <w:t>3.1.1 Chronic conditions</w:t>
      </w:r>
    </w:p>
    <w:p w14:paraId="7288542B" w14:textId="77777777" w:rsidR="00370535" w:rsidRPr="00370535" w:rsidRDefault="00370535" w:rsidP="00370535">
      <w:pPr>
        <w:rPr>
          <w:rFonts w:cs="Arial"/>
          <w:lang w:val="en"/>
        </w:rPr>
      </w:pPr>
      <w:r w:rsidRPr="00370535">
        <w:rPr>
          <w:rFonts w:cs="Arial"/>
          <w:lang w:val="en"/>
        </w:rPr>
        <w:t xml:space="preserve"> </w:t>
      </w:r>
    </w:p>
    <w:p w14:paraId="7311E184" w14:textId="77777777" w:rsidR="00370535" w:rsidRPr="00370535" w:rsidRDefault="00370535" w:rsidP="00370535">
      <w:pPr>
        <w:rPr>
          <w:rFonts w:cs="Arial"/>
          <w:bCs/>
        </w:rPr>
      </w:pPr>
      <w:r w:rsidRPr="00370535">
        <w:rPr>
          <w:rFonts w:cs="Arial"/>
        </w:rPr>
        <w:t>The table below shows the recorded prevalence of selected long-term conditions based on the quality and outcomes framework 2025 reported GP practice data across clusters in Swansea and Neath Port Talbot. Figures are compared with the Swansea Bay University Health Board average and the Wales average.</w:t>
      </w:r>
      <w:r w:rsidRPr="00370535">
        <w:rPr>
          <w:rFonts w:cs="Arial"/>
          <w:bCs/>
        </w:rPr>
        <w:t xml:space="preserve"> </w:t>
      </w:r>
    </w:p>
    <w:p w14:paraId="10057460" w14:textId="77777777" w:rsidR="00370535" w:rsidRPr="00D0306F" w:rsidRDefault="00370535" w:rsidP="00370535">
      <w:pPr>
        <w:rPr>
          <w:rFonts w:cs="Arial"/>
          <w:bCs/>
        </w:rPr>
      </w:pPr>
    </w:p>
    <w:p w14:paraId="63057EAC" w14:textId="77777777" w:rsidR="00364344" w:rsidRPr="00D0306F" w:rsidRDefault="00364344" w:rsidP="00370535">
      <w:pPr>
        <w:rPr>
          <w:rFonts w:cs="Arial"/>
          <w:bCs/>
        </w:rPr>
      </w:pPr>
    </w:p>
    <w:p w14:paraId="06ACA7FF" w14:textId="77777777" w:rsidR="00364344" w:rsidRPr="00D0306F" w:rsidRDefault="00364344" w:rsidP="00370535">
      <w:pPr>
        <w:rPr>
          <w:rFonts w:cs="Arial"/>
          <w:bCs/>
        </w:rPr>
      </w:pPr>
    </w:p>
    <w:p w14:paraId="589691AC" w14:textId="77777777" w:rsidR="00364344" w:rsidRPr="00D0306F" w:rsidRDefault="00364344" w:rsidP="00370535">
      <w:pPr>
        <w:rPr>
          <w:rFonts w:cs="Arial"/>
          <w:bCs/>
        </w:rPr>
      </w:pPr>
    </w:p>
    <w:p w14:paraId="1C372308" w14:textId="77777777" w:rsidR="00364344" w:rsidRPr="00D0306F" w:rsidRDefault="00364344" w:rsidP="00370535">
      <w:pPr>
        <w:rPr>
          <w:rFonts w:cs="Arial"/>
          <w:bCs/>
        </w:rPr>
      </w:pPr>
    </w:p>
    <w:p w14:paraId="79B53B87" w14:textId="77777777" w:rsidR="00364344" w:rsidRPr="00D0306F" w:rsidRDefault="00364344" w:rsidP="00370535">
      <w:pPr>
        <w:rPr>
          <w:rFonts w:cs="Arial"/>
          <w:bCs/>
        </w:rPr>
      </w:pPr>
    </w:p>
    <w:p w14:paraId="444995B4" w14:textId="77777777" w:rsidR="00364344" w:rsidRPr="00D0306F" w:rsidRDefault="00364344" w:rsidP="00370535">
      <w:pPr>
        <w:rPr>
          <w:rFonts w:cs="Arial"/>
          <w:bCs/>
        </w:rPr>
      </w:pPr>
    </w:p>
    <w:p w14:paraId="7FA8D5F4" w14:textId="77777777" w:rsidR="00364344" w:rsidRPr="00D0306F" w:rsidRDefault="00364344" w:rsidP="00370535">
      <w:pPr>
        <w:rPr>
          <w:rFonts w:cs="Arial"/>
          <w:bCs/>
        </w:rPr>
      </w:pPr>
    </w:p>
    <w:p w14:paraId="21FD2D0D" w14:textId="77777777" w:rsidR="00364344" w:rsidRPr="00D0306F" w:rsidRDefault="00364344" w:rsidP="00370535">
      <w:pPr>
        <w:rPr>
          <w:rFonts w:cs="Arial"/>
          <w:bCs/>
        </w:rPr>
      </w:pPr>
    </w:p>
    <w:p w14:paraId="4A342BE1" w14:textId="77777777" w:rsidR="00364344" w:rsidRPr="00D0306F" w:rsidRDefault="00364344" w:rsidP="00370535">
      <w:pPr>
        <w:rPr>
          <w:rFonts w:cs="Arial"/>
          <w:bCs/>
        </w:rPr>
      </w:pPr>
    </w:p>
    <w:p w14:paraId="3FD8547B" w14:textId="77777777" w:rsidR="00364344" w:rsidRPr="00D0306F" w:rsidRDefault="00364344" w:rsidP="00370535">
      <w:pPr>
        <w:rPr>
          <w:rFonts w:cs="Arial"/>
          <w:bCs/>
        </w:rPr>
      </w:pPr>
    </w:p>
    <w:p w14:paraId="1E119696" w14:textId="77777777" w:rsidR="00364344" w:rsidRPr="00D0306F" w:rsidRDefault="00364344" w:rsidP="00370535">
      <w:pPr>
        <w:rPr>
          <w:rFonts w:cs="Arial"/>
          <w:bCs/>
        </w:rPr>
      </w:pPr>
    </w:p>
    <w:p w14:paraId="326D6CAC" w14:textId="77777777" w:rsidR="00364344" w:rsidRPr="00D0306F" w:rsidRDefault="00364344" w:rsidP="00370535">
      <w:pPr>
        <w:rPr>
          <w:rFonts w:cs="Arial"/>
          <w:bCs/>
        </w:rPr>
      </w:pPr>
    </w:p>
    <w:p w14:paraId="24627D8C" w14:textId="77777777" w:rsidR="00364344" w:rsidRPr="00D0306F" w:rsidRDefault="00364344" w:rsidP="00370535">
      <w:pPr>
        <w:rPr>
          <w:rFonts w:cs="Arial"/>
          <w:bCs/>
        </w:rPr>
      </w:pPr>
    </w:p>
    <w:p w14:paraId="0461C668" w14:textId="77777777" w:rsidR="00364344" w:rsidRPr="00D0306F" w:rsidRDefault="00364344" w:rsidP="00370535">
      <w:pPr>
        <w:rPr>
          <w:rFonts w:cs="Arial"/>
          <w:bCs/>
        </w:rPr>
      </w:pPr>
    </w:p>
    <w:p w14:paraId="7E51513C" w14:textId="77777777" w:rsidR="00364344" w:rsidRPr="00D0306F" w:rsidRDefault="00364344" w:rsidP="00370535">
      <w:pPr>
        <w:rPr>
          <w:rFonts w:cs="Arial"/>
          <w:bCs/>
        </w:rPr>
      </w:pPr>
    </w:p>
    <w:p w14:paraId="5BB9ECDE" w14:textId="77777777" w:rsidR="00364344" w:rsidRPr="00370535" w:rsidRDefault="00364344" w:rsidP="00370535">
      <w:pPr>
        <w:rPr>
          <w:rFonts w:cs="Arial"/>
          <w:bCs/>
        </w:rPr>
      </w:pPr>
    </w:p>
    <w:p w14:paraId="3C4E3E3F" w14:textId="77777777" w:rsidR="00370535" w:rsidRPr="00370535" w:rsidRDefault="00370535" w:rsidP="00370535">
      <w:pPr>
        <w:rPr>
          <w:rFonts w:cs="Arial"/>
          <w:b/>
          <w:bCs/>
        </w:rPr>
      </w:pPr>
      <w:r w:rsidRPr="00370535">
        <w:rPr>
          <w:rFonts w:cs="Arial"/>
          <w:b/>
          <w:bCs/>
        </w:rPr>
        <w:lastRenderedPageBreak/>
        <w:t>Table 3.1: Estimated percentage prevalence of chronic condition based on people on GP practice registers by cluster, health board and Wales, 2025</w:t>
      </w:r>
      <w:r w:rsidRPr="00370535">
        <w:rPr>
          <w:rFonts w:cs="Arial"/>
          <w:b/>
          <w:bCs/>
          <w:vertAlign w:val="superscript"/>
        </w:rPr>
        <w:footnoteReference w:id="45"/>
      </w:r>
    </w:p>
    <w:p w14:paraId="20B6D9A5" w14:textId="77777777" w:rsidR="00370535" w:rsidRPr="00370535" w:rsidRDefault="00370535" w:rsidP="00370535">
      <w:pPr>
        <w:rPr>
          <w:rFonts w:cs="Arial"/>
          <w:b/>
        </w:rPr>
      </w:pPr>
    </w:p>
    <w:tbl>
      <w:tblPr>
        <w:tblStyle w:val="TableGrid3"/>
        <w:tblW w:w="10349" w:type="dxa"/>
        <w:tblInd w:w="-572" w:type="dxa"/>
        <w:tblLayout w:type="fixed"/>
        <w:tblLook w:val="04A0" w:firstRow="1" w:lastRow="0" w:firstColumn="1" w:lastColumn="0" w:noHBand="0" w:noVBand="1"/>
      </w:tblPr>
      <w:tblGrid>
        <w:gridCol w:w="1270"/>
        <w:gridCol w:w="1355"/>
        <w:gridCol w:w="1202"/>
        <w:gridCol w:w="1306"/>
        <w:gridCol w:w="1530"/>
        <w:gridCol w:w="1239"/>
        <w:gridCol w:w="943"/>
        <w:gridCol w:w="1504"/>
      </w:tblGrid>
      <w:tr w:rsidR="00364344" w:rsidRPr="00D0306F" w14:paraId="6D139498" w14:textId="77777777" w:rsidTr="00364344">
        <w:tc>
          <w:tcPr>
            <w:tcW w:w="1270"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21C851DB" w14:textId="68A516B6" w:rsidR="00370535" w:rsidRPr="00370535" w:rsidRDefault="00370535" w:rsidP="00370535">
            <w:pPr>
              <w:rPr>
                <w:rFonts w:cs="Arial"/>
                <w:b/>
              </w:rPr>
            </w:pPr>
            <w:r w:rsidRPr="00370535">
              <w:rPr>
                <w:rFonts w:cs="Arial"/>
                <w:b/>
                <w:bCs/>
              </w:rPr>
              <w:t>Area</w:t>
            </w:r>
          </w:p>
        </w:tc>
        <w:tc>
          <w:tcPr>
            <w:tcW w:w="1355"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1CF8F9E7" w14:textId="77777777" w:rsidR="00370535" w:rsidRPr="00370535" w:rsidRDefault="00370535" w:rsidP="00370535">
            <w:pPr>
              <w:rPr>
                <w:rFonts w:cs="Arial"/>
                <w:b/>
                <w:bCs/>
              </w:rPr>
            </w:pPr>
            <w:r w:rsidRPr="00370535">
              <w:rPr>
                <w:rFonts w:cs="Arial"/>
                <w:b/>
                <w:bCs/>
              </w:rPr>
              <w:t>Local authority</w:t>
            </w:r>
          </w:p>
        </w:tc>
        <w:tc>
          <w:tcPr>
            <w:tcW w:w="1202"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1697E75D" w14:textId="77777777" w:rsidR="00370535" w:rsidRPr="00370535" w:rsidRDefault="00370535" w:rsidP="00370535">
            <w:pPr>
              <w:rPr>
                <w:rFonts w:cs="Arial"/>
                <w:b/>
              </w:rPr>
            </w:pPr>
            <w:r w:rsidRPr="00370535">
              <w:rPr>
                <w:rFonts w:cs="Arial"/>
                <w:b/>
                <w:bCs/>
              </w:rPr>
              <w:t>Asthma</w:t>
            </w:r>
          </w:p>
        </w:tc>
        <w:tc>
          <w:tcPr>
            <w:tcW w:w="1306"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5C93A975" w14:textId="77777777" w:rsidR="00370535" w:rsidRPr="00370535" w:rsidRDefault="00370535" w:rsidP="00370535">
            <w:pPr>
              <w:rPr>
                <w:rFonts w:cs="Arial"/>
                <w:b/>
              </w:rPr>
            </w:pPr>
            <w:r w:rsidRPr="00370535">
              <w:rPr>
                <w:rFonts w:cs="Arial"/>
                <w:b/>
                <w:bCs/>
              </w:rPr>
              <w:t>Coronary heart disease</w:t>
            </w:r>
          </w:p>
        </w:tc>
        <w:tc>
          <w:tcPr>
            <w:tcW w:w="1530"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27D8E311" w14:textId="77777777" w:rsidR="00370535" w:rsidRPr="00370535" w:rsidRDefault="00370535" w:rsidP="00370535">
            <w:pPr>
              <w:rPr>
                <w:rFonts w:cs="Arial"/>
                <w:b/>
              </w:rPr>
            </w:pPr>
            <w:r w:rsidRPr="00370535">
              <w:rPr>
                <w:rFonts w:cs="Arial"/>
                <w:b/>
                <w:bCs/>
              </w:rPr>
              <w:t>Chronic obstructive pulmonary disease</w:t>
            </w:r>
          </w:p>
        </w:tc>
        <w:tc>
          <w:tcPr>
            <w:tcW w:w="1239"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468BDCCA" w14:textId="77777777" w:rsidR="00370535" w:rsidRPr="00370535" w:rsidRDefault="00370535" w:rsidP="00370535">
            <w:pPr>
              <w:rPr>
                <w:rFonts w:cs="Arial"/>
                <w:b/>
              </w:rPr>
            </w:pPr>
            <w:r w:rsidRPr="00370535">
              <w:rPr>
                <w:rFonts w:cs="Arial"/>
                <w:b/>
                <w:bCs/>
              </w:rPr>
              <w:t>Diabetes</w:t>
            </w:r>
          </w:p>
        </w:tc>
        <w:tc>
          <w:tcPr>
            <w:tcW w:w="943"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7EA21482" w14:textId="77777777" w:rsidR="00370535" w:rsidRPr="00370535" w:rsidRDefault="00370535" w:rsidP="00370535">
            <w:pPr>
              <w:rPr>
                <w:rFonts w:cs="Arial"/>
                <w:b/>
              </w:rPr>
            </w:pPr>
            <w:r w:rsidRPr="00370535">
              <w:rPr>
                <w:rFonts w:cs="Arial"/>
                <w:b/>
                <w:bCs/>
              </w:rPr>
              <w:t>Heart failure</w:t>
            </w:r>
          </w:p>
        </w:tc>
        <w:tc>
          <w:tcPr>
            <w:tcW w:w="1504" w:type="dxa"/>
            <w:tcBorders>
              <w:top w:val="single" w:sz="4" w:space="0" w:color="auto"/>
              <w:left w:val="single" w:sz="4" w:space="0" w:color="auto"/>
              <w:bottom w:val="single" w:sz="4" w:space="0" w:color="auto"/>
              <w:right w:val="single" w:sz="4" w:space="0" w:color="auto"/>
            </w:tcBorders>
            <w:shd w:val="clear" w:color="auto" w:fill="153D63" w:themeFill="text2" w:themeFillTint="E6"/>
          </w:tcPr>
          <w:p w14:paraId="4BFABC38" w14:textId="19CF3244" w:rsidR="00370535" w:rsidRPr="00370535" w:rsidRDefault="00370535" w:rsidP="00364344">
            <w:pPr>
              <w:rPr>
                <w:rFonts w:cs="Arial"/>
                <w:b/>
              </w:rPr>
            </w:pPr>
            <w:r w:rsidRPr="00370535">
              <w:rPr>
                <w:rFonts w:cs="Arial"/>
                <w:b/>
                <w:bCs/>
              </w:rPr>
              <w:t>Stroke and transient ischaemic attacks</w:t>
            </w:r>
          </w:p>
        </w:tc>
      </w:tr>
      <w:tr w:rsidR="00370535" w:rsidRPr="00370535" w14:paraId="586168B4" w14:textId="77777777" w:rsidTr="00364344">
        <w:tc>
          <w:tcPr>
            <w:tcW w:w="1270" w:type="dxa"/>
            <w:tcBorders>
              <w:top w:val="single" w:sz="4" w:space="0" w:color="auto"/>
              <w:left w:val="single" w:sz="4" w:space="0" w:color="auto"/>
              <w:bottom w:val="single" w:sz="4" w:space="0" w:color="auto"/>
              <w:right w:val="single" w:sz="4" w:space="0" w:color="auto"/>
            </w:tcBorders>
            <w:vAlign w:val="center"/>
            <w:hideMark/>
          </w:tcPr>
          <w:p w14:paraId="23388CC6" w14:textId="77777777" w:rsidR="00370535" w:rsidRPr="00370535" w:rsidRDefault="00370535" w:rsidP="00370535">
            <w:pPr>
              <w:rPr>
                <w:rFonts w:cs="Arial"/>
              </w:rPr>
            </w:pPr>
            <w:r w:rsidRPr="00370535">
              <w:rPr>
                <w:rFonts w:cs="Arial"/>
              </w:rPr>
              <w:t>Bay Health</w:t>
            </w:r>
          </w:p>
        </w:tc>
        <w:tc>
          <w:tcPr>
            <w:tcW w:w="1355" w:type="dxa"/>
            <w:tcBorders>
              <w:top w:val="single" w:sz="4" w:space="0" w:color="auto"/>
              <w:left w:val="single" w:sz="4" w:space="0" w:color="auto"/>
              <w:bottom w:val="single" w:sz="4" w:space="0" w:color="auto"/>
              <w:right w:val="single" w:sz="4" w:space="0" w:color="auto"/>
            </w:tcBorders>
            <w:hideMark/>
          </w:tcPr>
          <w:p w14:paraId="4B7D3DA7" w14:textId="77777777" w:rsidR="00370535" w:rsidRPr="00370535" w:rsidRDefault="00370535" w:rsidP="00370535">
            <w:pPr>
              <w:rPr>
                <w:rFonts w:cs="Arial"/>
                <w:bCs/>
              </w:rPr>
            </w:pPr>
            <w:r w:rsidRPr="00370535">
              <w:rPr>
                <w:rFonts w:cs="Arial"/>
                <w:bCs/>
              </w:rPr>
              <w:t>Swansea</w:t>
            </w:r>
          </w:p>
        </w:tc>
        <w:tc>
          <w:tcPr>
            <w:tcW w:w="1202" w:type="dxa"/>
            <w:tcBorders>
              <w:top w:val="single" w:sz="4" w:space="0" w:color="auto"/>
              <w:left w:val="single" w:sz="4" w:space="0" w:color="auto"/>
              <w:bottom w:val="single" w:sz="4" w:space="0" w:color="auto"/>
              <w:right w:val="single" w:sz="4" w:space="0" w:color="auto"/>
            </w:tcBorders>
            <w:vAlign w:val="center"/>
            <w:hideMark/>
          </w:tcPr>
          <w:p w14:paraId="1EB31293" w14:textId="77777777" w:rsidR="00370535" w:rsidRPr="00370535" w:rsidRDefault="00370535" w:rsidP="00370535">
            <w:pPr>
              <w:rPr>
                <w:rFonts w:cs="Arial"/>
                <w:bCs/>
              </w:rPr>
            </w:pPr>
            <w:r w:rsidRPr="00370535">
              <w:rPr>
                <w:rFonts w:cs="Arial"/>
                <w:bCs/>
              </w:rPr>
              <w:t>6.4%</w:t>
            </w:r>
          </w:p>
        </w:tc>
        <w:tc>
          <w:tcPr>
            <w:tcW w:w="1306" w:type="dxa"/>
            <w:tcBorders>
              <w:top w:val="single" w:sz="4" w:space="0" w:color="auto"/>
              <w:left w:val="single" w:sz="4" w:space="0" w:color="auto"/>
              <w:bottom w:val="single" w:sz="4" w:space="0" w:color="auto"/>
              <w:right w:val="single" w:sz="4" w:space="0" w:color="auto"/>
            </w:tcBorders>
            <w:vAlign w:val="center"/>
            <w:hideMark/>
          </w:tcPr>
          <w:p w14:paraId="56DC6240" w14:textId="77777777" w:rsidR="00370535" w:rsidRPr="00370535" w:rsidRDefault="00370535" w:rsidP="00370535">
            <w:pPr>
              <w:rPr>
                <w:rFonts w:cs="Arial"/>
                <w:bCs/>
              </w:rPr>
            </w:pPr>
            <w:r w:rsidRPr="00370535">
              <w:rPr>
                <w:rFonts w:cs="Arial"/>
                <w:bCs/>
              </w:rPr>
              <w:t>2.8%</w:t>
            </w:r>
          </w:p>
        </w:tc>
        <w:tc>
          <w:tcPr>
            <w:tcW w:w="1530" w:type="dxa"/>
            <w:tcBorders>
              <w:top w:val="single" w:sz="4" w:space="0" w:color="auto"/>
              <w:left w:val="single" w:sz="4" w:space="0" w:color="auto"/>
              <w:bottom w:val="single" w:sz="4" w:space="0" w:color="auto"/>
              <w:right w:val="single" w:sz="4" w:space="0" w:color="auto"/>
            </w:tcBorders>
            <w:vAlign w:val="center"/>
            <w:hideMark/>
          </w:tcPr>
          <w:p w14:paraId="5FB20AB6" w14:textId="77777777" w:rsidR="00370535" w:rsidRPr="00370535" w:rsidRDefault="00370535" w:rsidP="00370535">
            <w:pPr>
              <w:rPr>
                <w:rFonts w:cs="Arial"/>
                <w:bCs/>
              </w:rPr>
            </w:pPr>
            <w:r w:rsidRPr="00370535">
              <w:rPr>
                <w:rFonts w:cs="Arial"/>
                <w:bCs/>
              </w:rPr>
              <w:t>1.4%</w:t>
            </w:r>
          </w:p>
        </w:tc>
        <w:tc>
          <w:tcPr>
            <w:tcW w:w="1239" w:type="dxa"/>
            <w:tcBorders>
              <w:top w:val="single" w:sz="4" w:space="0" w:color="auto"/>
              <w:left w:val="single" w:sz="4" w:space="0" w:color="auto"/>
              <w:bottom w:val="single" w:sz="4" w:space="0" w:color="auto"/>
              <w:right w:val="single" w:sz="4" w:space="0" w:color="auto"/>
            </w:tcBorders>
            <w:vAlign w:val="center"/>
            <w:hideMark/>
          </w:tcPr>
          <w:p w14:paraId="4C51E3AC" w14:textId="77777777" w:rsidR="00370535" w:rsidRPr="00370535" w:rsidRDefault="00370535" w:rsidP="00370535">
            <w:pPr>
              <w:rPr>
                <w:rFonts w:cs="Arial"/>
                <w:bCs/>
              </w:rPr>
            </w:pPr>
            <w:r w:rsidRPr="00370535">
              <w:rPr>
                <w:rFonts w:cs="Arial"/>
                <w:bCs/>
              </w:rPr>
              <w:t>5.6%</w:t>
            </w:r>
          </w:p>
        </w:tc>
        <w:tc>
          <w:tcPr>
            <w:tcW w:w="943" w:type="dxa"/>
            <w:tcBorders>
              <w:top w:val="single" w:sz="4" w:space="0" w:color="auto"/>
              <w:left w:val="single" w:sz="4" w:space="0" w:color="auto"/>
              <w:bottom w:val="single" w:sz="4" w:space="0" w:color="auto"/>
              <w:right w:val="single" w:sz="4" w:space="0" w:color="auto"/>
            </w:tcBorders>
            <w:vAlign w:val="center"/>
            <w:hideMark/>
          </w:tcPr>
          <w:p w14:paraId="7C982B7A" w14:textId="77777777" w:rsidR="00370535" w:rsidRPr="00370535" w:rsidRDefault="00370535" w:rsidP="00370535">
            <w:pPr>
              <w:rPr>
                <w:rFonts w:cs="Arial"/>
                <w:bCs/>
              </w:rPr>
            </w:pPr>
            <w:r w:rsidRPr="00370535">
              <w:rPr>
                <w:rFonts w:cs="Arial"/>
                <w:bCs/>
              </w:rPr>
              <w:t>1.4%</w:t>
            </w:r>
          </w:p>
        </w:tc>
        <w:tc>
          <w:tcPr>
            <w:tcW w:w="1504" w:type="dxa"/>
            <w:tcBorders>
              <w:top w:val="single" w:sz="4" w:space="0" w:color="auto"/>
              <w:left w:val="single" w:sz="4" w:space="0" w:color="auto"/>
              <w:bottom w:val="single" w:sz="4" w:space="0" w:color="auto"/>
              <w:right w:val="single" w:sz="4" w:space="0" w:color="auto"/>
            </w:tcBorders>
            <w:vAlign w:val="center"/>
            <w:hideMark/>
          </w:tcPr>
          <w:p w14:paraId="74C8DA08" w14:textId="77777777" w:rsidR="00370535" w:rsidRPr="00370535" w:rsidRDefault="00370535" w:rsidP="00370535">
            <w:pPr>
              <w:rPr>
                <w:rFonts w:cs="Arial"/>
                <w:bCs/>
              </w:rPr>
            </w:pPr>
            <w:r w:rsidRPr="00370535">
              <w:rPr>
                <w:rFonts w:cs="Arial"/>
                <w:bCs/>
              </w:rPr>
              <w:t>2.1%</w:t>
            </w:r>
          </w:p>
        </w:tc>
      </w:tr>
      <w:tr w:rsidR="00370535" w:rsidRPr="00370535" w14:paraId="647C8FF7" w14:textId="77777777" w:rsidTr="00364344">
        <w:tc>
          <w:tcPr>
            <w:tcW w:w="1270" w:type="dxa"/>
            <w:tcBorders>
              <w:top w:val="single" w:sz="4" w:space="0" w:color="auto"/>
              <w:left w:val="single" w:sz="4" w:space="0" w:color="auto"/>
              <w:bottom w:val="single" w:sz="4" w:space="0" w:color="auto"/>
              <w:right w:val="single" w:sz="4" w:space="0" w:color="auto"/>
            </w:tcBorders>
            <w:vAlign w:val="center"/>
            <w:hideMark/>
          </w:tcPr>
          <w:p w14:paraId="2BFAAEB6" w14:textId="77777777" w:rsidR="00370535" w:rsidRPr="00370535" w:rsidRDefault="00370535" w:rsidP="00370535">
            <w:pPr>
              <w:rPr>
                <w:rFonts w:cs="Arial"/>
              </w:rPr>
            </w:pPr>
            <w:r w:rsidRPr="00370535">
              <w:rPr>
                <w:rFonts w:cs="Arial"/>
              </w:rPr>
              <w:t>City Health</w:t>
            </w:r>
          </w:p>
        </w:tc>
        <w:tc>
          <w:tcPr>
            <w:tcW w:w="1355" w:type="dxa"/>
            <w:tcBorders>
              <w:top w:val="single" w:sz="4" w:space="0" w:color="auto"/>
              <w:left w:val="single" w:sz="4" w:space="0" w:color="auto"/>
              <w:bottom w:val="single" w:sz="4" w:space="0" w:color="auto"/>
              <w:right w:val="single" w:sz="4" w:space="0" w:color="auto"/>
            </w:tcBorders>
            <w:hideMark/>
          </w:tcPr>
          <w:p w14:paraId="4B0D567B" w14:textId="77777777" w:rsidR="00370535" w:rsidRPr="00370535" w:rsidRDefault="00370535" w:rsidP="00370535">
            <w:pPr>
              <w:rPr>
                <w:rFonts w:cs="Arial"/>
                <w:bCs/>
              </w:rPr>
            </w:pPr>
            <w:r w:rsidRPr="00370535">
              <w:rPr>
                <w:rFonts w:cs="Arial"/>
                <w:bCs/>
              </w:rPr>
              <w:t>Swansea</w:t>
            </w:r>
          </w:p>
        </w:tc>
        <w:tc>
          <w:tcPr>
            <w:tcW w:w="1202" w:type="dxa"/>
            <w:tcBorders>
              <w:top w:val="single" w:sz="4" w:space="0" w:color="auto"/>
              <w:left w:val="single" w:sz="4" w:space="0" w:color="auto"/>
              <w:bottom w:val="single" w:sz="4" w:space="0" w:color="auto"/>
              <w:right w:val="single" w:sz="4" w:space="0" w:color="auto"/>
            </w:tcBorders>
            <w:vAlign w:val="center"/>
            <w:hideMark/>
          </w:tcPr>
          <w:p w14:paraId="59BB88C5" w14:textId="77777777" w:rsidR="00370535" w:rsidRPr="00370535" w:rsidRDefault="00370535" w:rsidP="00370535">
            <w:pPr>
              <w:rPr>
                <w:rFonts w:cs="Arial"/>
                <w:bCs/>
              </w:rPr>
            </w:pPr>
            <w:r w:rsidRPr="00370535">
              <w:rPr>
                <w:rFonts w:cs="Arial"/>
                <w:bCs/>
              </w:rPr>
              <w:t>6.5%</w:t>
            </w:r>
          </w:p>
        </w:tc>
        <w:tc>
          <w:tcPr>
            <w:tcW w:w="1306" w:type="dxa"/>
            <w:tcBorders>
              <w:top w:val="single" w:sz="4" w:space="0" w:color="auto"/>
              <w:left w:val="single" w:sz="4" w:space="0" w:color="auto"/>
              <w:bottom w:val="single" w:sz="4" w:space="0" w:color="auto"/>
              <w:right w:val="single" w:sz="4" w:space="0" w:color="auto"/>
            </w:tcBorders>
            <w:vAlign w:val="center"/>
            <w:hideMark/>
          </w:tcPr>
          <w:p w14:paraId="0A7AD07A" w14:textId="77777777" w:rsidR="00370535" w:rsidRPr="00370535" w:rsidRDefault="00370535" w:rsidP="00370535">
            <w:pPr>
              <w:rPr>
                <w:rFonts w:cs="Arial"/>
                <w:bCs/>
              </w:rPr>
            </w:pPr>
            <w:r w:rsidRPr="00370535">
              <w:rPr>
                <w:rFonts w:cs="Arial"/>
                <w:bCs/>
              </w:rPr>
              <w:t>2.9%</w:t>
            </w:r>
          </w:p>
        </w:tc>
        <w:tc>
          <w:tcPr>
            <w:tcW w:w="1530" w:type="dxa"/>
            <w:tcBorders>
              <w:top w:val="single" w:sz="4" w:space="0" w:color="auto"/>
              <w:left w:val="single" w:sz="4" w:space="0" w:color="auto"/>
              <w:bottom w:val="single" w:sz="4" w:space="0" w:color="auto"/>
              <w:right w:val="single" w:sz="4" w:space="0" w:color="auto"/>
            </w:tcBorders>
            <w:vAlign w:val="center"/>
            <w:hideMark/>
          </w:tcPr>
          <w:p w14:paraId="249C82CF" w14:textId="77777777" w:rsidR="00370535" w:rsidRPr="00370535" w:rsidRDefault="00370535" w:rsidP="00370535">
            <w:pPr>
              <w:rPr>
                <w:rFonts w:cs="Arial"/>
                <w:bCs/>
              </w:rPr>
            </w:pPr>
            <w:r w:rsidRPr="00370535">
              <w:rPr>
                <w:rFonts w:cs="Arial"/>
                <w:bCs/>
              </w:rPr>
              <w:t>2.6%</w:t>
            </w:r>
          </w:p>
        </w:tc>
        <w:tc>
          <w:tcPr>
            <w:tcW w:w="1239" w:type="dxa"/>
            <w:tcBorders>
              <w:top w:val="single" w:sz="4" w:space="0" w:color="auto"/>
              <w:left w:val="single" w:sz="4" w:space="0" w:color="auto"/>
              <w:bottom w:val="single" w:sz="4" w:space="0" w:color="auto"/>
              <w:right w:val="single" w:sz="4" w:space="0" w:color="auto"/>
            </w:tcBorders>
            <w:vAlign w:val="center"/>
            <w:hideMark/>
          </w:tcPr>
          <w:p w14:paraId="2352F24D" w14:textId="77777777" w:rsidR="00370535" w:rsidRPr="00370535" w:rsidRDefault="00370535" w:rsidP="00370535">
            <w:pPr>
              <w:rPr>
                <w:rFonts w:cs="Arial"/>
                <w:bCs/>
              </w:rPr>
            </w:pPr>
            <w:r w:rsidRPr="00370535">
              <w:rPr>
                <w:rFonts w:cs="Arial"/>
                <w:bCs/>
              </w:rPr>
              <w:t>7.9%</w:t>
            </w:r>
          </w:p>
        </w:tc>
        <w:tc>
          <w:tcPr>
            <w:tcW w:w="943" w:type="dxa"/>
            <w:tcBorders>
              <w:top w:val="single" w:sz="4" w:space="0" w:color="auto"/>
              <w:left w:val="single" w:sz="4" w:space="0" w:color="auto"/>
              <w:bottom w:val="single" w:sz="4" w:space="0" w:color="auto"/>
              <w:right w:val="single" w:sz="4" w:space="0" w:color="auto"/>
            </w:tcBorders>
            <w:vAlign w:val="center"/>
            <w:hideMark/>
          </w:tcPr>
          <w:p w14:paraId="4026492B" w14:textId="77777777" w:rsidR="00370535" w:rsidRPr="00370535" w:rsidRDefault="00370535" w:rsidP="00370535">
            <w:pPr>
              <w:rPr>
                <w:rFonts w:cs="Arial"/>
                <w:bCs/>
              </w:rPr>
            </w:pPr>
            <w:r w:rsidRPr="00370535">
              <w:rPr>
                <w:rFonts w:cs="Arial"/>
                <w:bCs/>
              </w:rPr>
              <w:t>1.4%</w:t>
            </w:r>
          </w:p>
        </w:tc>
        <w:tc>
          <w:tcPr>
            <w:tcW w:w="1504" w:type="dxa"/>
            <w:tcBorders>
              <w:top w:val="single" w:sz="4" w:space="0" w:color="auto"/>
              <w:left w:val="single" w:sz="4" w:space="0" w:color="auto"/>
              <w:bottom w:val="single" w:sz="4" w:space="0" w:color="auto"/>
              <w:right w:val="single" w:sz="4" w:space="0" w:color="auto"/>
            </w:tcBorders>
            <w:vAlign w:val="center"/>
            <w:hideMark/>
          </w:tcPr>
          <w:p w14:paraId="17D1BE41" w14:textId="77777777" w:rsidR="00370535" w:rsidRPr="00370535" w:rsidRDefault="00370535" w:rsidP="00370535">
            <w:pPr>
              <w:rPr>
                <w:rFonts w:cs="Arial"/>
                <w:bCs/>
              </w:rPr>
            </w:pPr>
            <w:r w:rsidRPr="00370535">
              <w:rPr>
                <w:rFonts w:cs="Arial"/>
                <w:bCs/>
              </w:rPr>
              <w:t>2.0%</w:t>
            </w:r>
          </w:p>
        </w:tc>
      </w:tr>
      <w:tr w:rsidR="00370535" w:rsidRPr="00370535" w14:paraId="34CECF24" w14:textId="77777777" w:rsidTr="00364344">
        <w:tc>
          <w:tcPr>
            <w:tcW w:w="1270" w:type="dxa"/>
            <w:tcBorders>
              <w:top w:val="single" w:sz="4" w:space="0" w:color="auto"/>
              <w:left w:val="single" w:sz="4" w:space="0" w:color="auto"/>
              <w:bottom w:val="single" w:sz="4" w:space="0" w:color="auto"/>
              <w:right w:val="single" w:sz="4" w:space="0" w:color="auto"/>
            </w:tcBorders>
            <w:vAlign w:val="center"/>
            <w:hideMark/>
          </w:tcPr>
          <w:p w14:paraId="19ABD418" w14:textId="77777777" w:rsidR="00370535" w:rsidRPr="00370535" w:rsidRDefault="00370535" w:rsidP="00370535">
            <w:pPr>
              <w:rPr>
                <w:rFonts w:cs="Arial"/>
              </w:rPr>
            </w:pPr>
            <w:r w:rsidRPr="00370535">
              <w:rPr>
                <w:rFonts w:cs="Arial"/>
              </w:rPr>
              <w:t>Cwmtawe</w:t>
            </w:r>
          </w:p>
        </w:tc>
        <w:tc>
          <w:tcPr>
            <w:tcW w:w="1355" w:type="dxa"/>
            <w:tcBorders>
              <w:top w:val="single" w:sz="4" w:space="0" w:color="auto"/>
              <w:left w:val="single" w:sz="4" w:space="0" w:color="auto"/>
              <w:bottom w:val="single" w:sz="4" w:space="0" w:color="auto"/>
              <w:right w:val="single" w:sz="4" w:space="0" w:color="auto"/>
            </w:tcBorders>
            <w:hideMark/>
          </w:tcPr>
          <w:p w14:paraId="6FF45CA1" w14:textId="77777777" w:rsidR="00370535" w:rsidRPr="00370535" w:rsidRDefault="00370535" w:rsidP="00370535">
            <w:pPr>
              <w:rPr>
                <w:rFonts w:cs="Arial"/>
                <w:bCs/>
              </w:rPr>
            </w:pPr>
            <w:r w:rsidRPr="00370535">
              <w:rPr>
                <w:rFonts w:cs="Arial"/>
                <w:bCs/>
              </w:rPr>
              <w:t>Swansea</w:t>
            </w:r>
          </w:p>
        </w:tc>
        <w:tc>
          <w:tcPr>
            <w:tcW w:w="1202" w:type="dxa"/>
            <w:tcBorders>
              <w:top w:val="single" w:sz="4" w:space="0" w:color="auto"/>
              <w:left w:val="single" w:sz="4" w:space="0" w:color="auto"/>
              <w:bottom w:val="single" w:sz="4" w:space="0" w:color="auto"/>
              <w:right w:val="single" w:sz="4" w:space="0" w:color="auto"/>
            </w:tcBorders>
            <w:vAlign w:val="center"/>
            <w:hideMark/>
          </w:tcPr>
          <w:p w14:paraId="0C928A5F" w14:textId="77777777" w:rsidR="00370535" w:rsidRPr="00370535" w:rsidRDefault="00370535" w:rsidP="00370535">
            <w:pPr>
              <w:rPr>
                <w:rFonts w:cs="Arial"/>
                <w:bCs/>
              </w:rPr>
            </w:pPr>
            <w:r w:rsidRPr="00370535">
              <w:rPr>
                <w:rFonts w:cs="Arial"/>
                <w:bCs/>
              </w:rPr>
              <w:t>6.2%</w:t>
            </w:r>
          </w:p>
        </w:tc>
        <w:tc>
          <w:tcPr>
            <w:tcW w:w="1306" w:type="dxa"/>
            <w:tcBorders>
              <w:top w:val="single" w:sz="4" w:space="0" w:color="auto"/>
              <w:left w:val="single" w:sz="4" w:space="0" w:color="auto"/>
              <w:bottom w:val="single" w:sz="4" w:space="0" w:color="auto"/>
              <w:right w:val="single" w:sz="4" w:space="0" w:color="auto"/>
            </w:tcBorders>
            <w:vAlign w:val="center"/>
            <w:hideMark/>
          </w:tcPr>
          <w:p w14:paraId="6CD317FB" w14:textId="77777777" w:rsidR="00370535" w:rsidRPr="00370535" w:rsidRDefault="00370535" w:rsidP="00370535">
            <w:pPr>
              <w:rPr>
                <w:rFonts w:cs="Arial"/>
                <w:bCs/>
              </w:rPr>
            </w:pPr>
            <w:r w:rsidRPr="00370535">
              <w:rPr>
                <w:rFonts w:cs="Arial"/>
                <w:bCs/>
              </w:rPr>
              <w:t>3.3%</w:t>
            </w:r>
          </w:p>
        </w:tc>
        <w:tc>
          <w:tcPr>
            <w:tcW w:w="1530" w:type="dxa"/>
            <w:tcBorders>
              <w:top w:val="single" w:sz="4" w:space="0" w:color="auto"/>
              <w:left w:val="single" w:sz="4" w:space="0" w:color="auto"/>
              <w:bottom w:val="single" w:sz="4" w:space="0" w:color="auto"/>
              <w:right w:val="single" w:sz="4" w:space="0" w:color="auto"/>
            </w:tcBorders>
            <w:vAlign w:val="center"/>
            <w:hideMark/>
          </w:tcPr>
          <w:p w14:paraId="794BDE3C" w14:textId="77777777" w:rsidR="00370535" w:rsidRPr="00370535" w:rsidRDefault="00370535" w:rsidP="00370535">
            <w:pPr>
              <w:rPr>
                <w:rFonts w:cs="Arial"/>
                <w:bCs/>
              </w:rPr>
            </w:pPr>
            <w:r w:rsidRPr="00370535">
              <w:rPr>
                <w:rFonts w:cs="Arial"/>
                <w:bCs/>
              </w:rPr>
              <w:t>2.0%</w:t>
            </w:r>
          </w:p>
        </w:tc>
        <w:tc>
          <w:tcPr>
            <w:tcW w:w="1239" w:type="dxa"/>
            <w:tcBorders>
              <w:top w:val="single" w:sz="4" w:space="0" w:color="auto"/>
              <w:left w:val="single" w:sz="4" w:space="0" w:color="auto"/>
              <w:bottom w:val="single" w:sz="4" w:space="0" w:color="auto"/>
              <w:right w:val="single" w:sz="4" w:space="0" w:color="auto"/>
            </w:tcBorders>
            <w:vAlign w:val="center"/>
            <w:hideMark/>
          </w:tcPr>
          <w:p w14:paraId="6E998CEB" w14:textId="77777777" w:rsidR="00370535" w:rsidRPr="00370535" w:rsidRDefault="00370535" w:rsidP="00370535">
            <w:pPr>
              <w:rPr>
                <w:rFonts w:cs="Arial"/>
                <w:bCs/>
              </w:rPr>
            </w:pPr>
            <w:r w:rsidRPr="00370535">
              <w:rPr>
                <w:rFonts w:cs="Arial"/>
                <w:bCs/>
              </w:rPr>
              <w:t>8.9%</w:t>
            </w:r>
          </w:p>
        </w:tc>
        <w:tc>
          <w:tcPr>
            <w:tcW w:w="943" w:type="dxa"/>
            <w:tcBorders>
              <w:top w:val="single" w:sz="4" w:space="0" w:color="auto"/>
              <w:left w:val="single" w:sz="4" w:space="0" w:color="auto"/>
              <w:bottom w:val="single" w:sz="4" w:space="0" w:color="auto"/>
              <w:right w:val="single" w:sz="4" w:space="0" w:color="auto"/>
            </w:tcBorders>
            <w:vAlign w:val="center"/>
            <w:hideMark/>
          </w:tcPr>
          <w:p w14:paraId="13C00D95" w14:textId="77777777" w:rsidR="00370535" w:rsidRPr="00370535" w:rsidRDefault="00370535" w:rsidP="00370535">
            <w:pPr>
              <w:rPr>
                <w:rFonts w:cs="Arial"/>
                <w:bCs/>
              </w:rPr>
            </w:pPr>
            <w:r w:rsidRPr="00370535">
              <w:rPr>
                <w:rFonts w:cs="Arial"/>
                <w:bCs/>
              </w:rPr>
              <w:t>1.5%</w:t>
            </w:r>
          </w:p>
        </w:tc>
        <w:tc>
          <w:tcPr>
            <w:tcW w:w="1504" w:type="dxa"/>
            <w:tcBorders>
              <w:top w:val="single" w:sz="4" w:space="0" w:color="auto"/>
              <w:left w:val="single" w:sz="4" w:space="0" w:color="auto"/>
              <w:bottom w:val="single" w:sz="4" w:space="0" w:color="auto"/>
              <w:right w:val="single" w:sz="4" w:space="0" w:color="auto"/>
            </w:tcBorders>
            <w:vAlign w:val="center"/>
          </w:tcPr>
          <w:p w14:paraId="49D5CA7F" w14:textId="77777777" w:rsidR="00370535" w:rsidRPr="00370535" w:rsidRDefault="00370535" w:rsidP="00370535">
            <w:pPr>
              <w:rPr>
                <w:rFonts w:cs="Arial"/>
                <w:bCs/>
              </w:rPr>
            </w:pPr>
            <w:r w:rsidRPr="00370535">
              <w:rPr>
                <w:rFonts w:cs="Arial"/>
                <w:bCs/>
              </w:rPr>
              <w:t>2.3%</w:t>
            </w:r>
          </w:p>
          <w:p w14:paraId="29C63AE9" w14:textId="77777777" w:rsidR="00370535" w:rsidRPr="00370535" w:rsidRDefault="00370535" w:rsidP="00370535">
            <w:pPr>
              <w:rPr>
                <w:rFonts w:cs="Arial"/>
                <w:bCs/>
              </w:rPr>
            </w:pPr>
          </w:p>
        </w:tc>
      </w:tr>
      <w:tr w:rsidR="00370535" w:rsidRPr="00370535" w14:paraId="22189205" w14:textId="77777777" w:rsidTr="00364344">
        <w:tc>
          <w:tcPr>
            <w:tcW w:w="1270" w:type="dxa"/>
            <w:tcBorders>
              <w:top w:val="single" w:sz="4" w:space="0" w:color="auto"/>
              <w:left w:val="single" w:sz="4" w:space="0" w:color="auto"/>
              <w:bottom w:val="single" w:sz="4" w:space="0" w:color="auto"/>
              <w:right w:val="single" w:sz="4" w:space="0" w:color="auto"/>
            </w:tcBorders>
            <w:vAlign w:val="center"/>
            <w:hideMark/>
          </w:tcPr>
          <w:p w14:paraId="7CED7164" w14:textId="77777777" w:rsidR="00370535" w:rsidRPr="00370535" w:rsidRDefault="00370535" w:rsidP="00370535">
            <w:pPr>
              <w:rPr>
                <w:rFonts w:cs="Arial"/>
              </w:rPr>
            </w:pPr>
            <w:r w:rsidRPr="00370535">
              <w:rPr>
                <w:rFonts w:cs="Arial"/>
              </w:rPr>
              <w:t>Llwchwr</w:t>
            </w:r>
          </w:p>
        </w:tc>
        <w:tc>
          <w:tcPr>
            <w:tcW w:w="1355" w:type="dxa"/>
            <w:tcBorders>
              <w:top w:val="single" w:sz="4" w:space="0" w:color="auto"/>
              <w:left w:val="single" w:sz="4" w:space="0" w:color="auto"/>
              <w:bottom w:val="single" w:sz="4" w:space="0" w:color="auto"/>
              <w:right w:val="single" w:sz="4" w:space="0" w:color="auto"/>
            </w:tcBorders>
            <w:hideMark/>
          </w:tcPr>
          <w:p w14:paraId="3C23F6F3" w14:textId="77777777" w:rsidR="00370535" w:rsidRPr="00370535" w:rsidRDefault="00370535" w:rsidP="00370535">
            <w:pPr>
              <w:rPr>
                <w:rFonts w:cs="Arial"/>
                <w:bCs/>
              </w:rPr>
            </w:pPr>
            <w:r w:rsidRPr="00370535">
              <w:rPr>
                <w:rFonts w:cs="Arial"/>
                <w:bCs/>
              </w:rPr>
              <w:t>Swansea</w:t>
            </w:r>
          </w:p>
        </w:tc>
        <w:tc>
          <w:tcPr>
            <w:tcW w:w="1202" w:type="dxa"/>
            <w:tcBorders>
              <w:top w:val="single" w:sz="4" w:space="0" w:color="auto"/>
              <w:left w:val="single" w:sz="4" w:space="0" w:color="auto"/>
              <w:bottom w:val="single" w:sz="4" w:space="0" w:color="auto"/>
              <w:right w:val="single" w:sz="4" w:space="0" w:color="auto"/>
            </w:tcBorders>
            <w:vAlign w:val="center"/>
            <w:hideMark/>
          </w:tcPr>
          <w:p w14:paraId="4AC5983A" w14:textId="77777777" w:rsidR="00370535" w:rsidRPr="00370535" w:rsidRDefault="00370535" w:rsidP="00370535">
            <w:pPr>
              <w:rPr>
                <w:rFonts w:cs="Arial"/>
                <w:bCs/>
              </w:rPr>
            </w:pPr>
            <w:r w:rsidRPr="00370535">
              <w:rPr>
                <w:rFonts w:cs="Arial"/>
                <w:bCs/>
              </w:rPr>
              <w:t>7.6%</w:t>
            </w:r>
          </w:p>
        </w:tc>
        <w:tc>
          <w:tcPr>
            <w:tcW w:w="1306" w:type="dxa"/>
            <w:tcBorders>
              <w:top w:val="single" w:sz="4" w:space="0" w:color="auto"/>
              <w:left w:val="single" w:sz="4" w:space="0" w:color="auto"/>
              <w:bottom w:val="single" w:sz="4" w:space="0" w:color="auto"/>
              <w:right w:val="single" w:sz="4" w:space="0" w:color="auto"/>
            </w:tcBorders>
            <w:vAlign w:val="center"/>
            <w:hideMark/>
          </w:tcPr>
          <w:p w14:paraId="196DBBA5" w14:textId="77777777" w:rsidR="00370535" w:rsidRPr="00370535" w:rsidRDefault="00370535" w:rsidP="00370535">
            <w:pPr>
              <w:rPr>
                <w:rFonts w:cs="Arial"/>
                <w:bCs/>
              </w:rPr>
            </w:pPr>
            <w:r w:rsidRPr="00370535">
              <w:rPr>
                <w:rFonts w:cs="Arial"/>
                <w:bCs/>
              </w:rPr>
              <w:t>3.4%</w:t>
            </w:r>
          </w:p>
        </w:tc>
        <w:tc>
          <w:tcPr>
            <w:tcW w:w="1530" w:type="dxa"/>
            <w:tcBorders>
              <w:top w:val="single" w:sz="4" w:space="0" w:color="auto"/>
              <w:left w:val="single" w:sz="4" w:space="0" w:color="auto"/>
              <w:bottom w:val="single" w:sz="4" w:space="0" w:color="auto"/>
              <w:right w:val="single" w:sz="4" w:space="0" w:color="auto"/>
            </w:tcBorders>
            <w:vAlign w:val="center"/>
            <w:hideMark/>
          </w:tcPr>
          <w:p w14:paraId="21C462DD" w14:textId="77777777" w:rsidR="00370535" w:rsidRPr="00370535" w:rsidRDefault="00370535" w:rsidP="00370535">
            <w:pPr>
              <w:rPr>
                <w:rFonts w:cs="Arial"/>
                <w:bCs/>
              </w:rPr>
            </w:pPr>
            <w:r w:rsidRPr="00370535">
              <w:rPr>
                <w:rFonts w:cs="Arial"/>
                <w:bCs/>
              </w:rPr>
              <w:t>1.9%</w:t>
            </w:r>
          </w:p>
        </w:tc>
        <w:tc>
          <w:tcPr>
            <w:tcW w:w="1239" w:type="dxa"/>
            <w:tcBorders>
              <w:top w:val="single" w:sz="4" w:space="0" w:color="auto"/>
              <w:left w:val="single" w:sz="4" w:space="0" w:color="auto"/>
              <w:bottom w:val="single" w:sz="4" w:space="0" w:color="auto"/>
              <w:right w:val="single" w:sz="4" w:space="0" w:color="auto"/>
            </w:tcBorders>
            <w:vAlign w:val="center"/>
            <w:hideMark/>
          </w:tcPr>
          <w:p w14:paraId="06117B6D" w14:textId="77777777" w:rsidR="00370535" w:rsidRPr="00370535" w:rsidRDefault="00370535" w:rsidP="00370535">
            <w:pPr>
              <w:rPr>
                <w:rFonts w:cs="Arial"/>
                <w:bCs/>
              </w:rPr>
            </w:pPr>
            <w:r w:rsidRPr="00370535">
              <w:rPr>
                <w:rFonts w:cs="Arial"/>
                <w:bCs/>
              </w:rPr>
              <w:t>8.1%</w:t>
            </w:r>
          </w:p>
        </w:tc>
        <w:tc>
          <w:tcPr>
            <w:tcW w:w="943" w:type="dxa"/>
            <w:tcBorders>
              <w:top w:val="single" w:sz="4" w:space="0" w:color="auto"/>
              <w:left w:val="single" w:sz="4" w:space="0" w:color="auto"/>
              <w:bottom w:val="single" w:sz="4" w:space="0" w:color="auto"/>
              <w:right w:val="single" w:sz="4" w:space="0" w:color="auto"/>
            </w:tcBorders>
            <w:vAlign w:val="center"/>
            <w:hideMark/>
          </w:tcPr>
          <w:p w14:paraId="67B8AE7B" w14:textId="77777777" w:rsidR="00370535" w:rsidRPr="00370535" w:rsidRDefault="00370535" w:rsidP="00370535">
            <w:pPr>
              <w:rPr>
                <w:rFonts w:cs="Arial"/>
                <w:bCs/>
              </w:rPr>
            </w:pPr>
            <w:r w:rsidRPr="00370535">
              <w:rPr>
                <w:rFonts w:cs="Arial"/>
                <w:bCs/>
              </w:rPr>
              <w:t>1.8%</w:t>
            </w:r>
          </w:p>
        </w:tc>
        <w:tc>
          <w:tcPr>
            <w:tcW w:w="1504" w:type="dxa"/>
            <w:tcBorders>
              <w:top w:val="single" w:sz="4" w:space="0" w:color="auto"/>
              <w:left w:val="single" w:sz="4" w:space="0" w:color="auto"/>
              <w:bottom w:val="single" w:sz="4" w:space="0" w:color="auto"/>
              <w:right w:val="single" w:sz="4" w:space="0" w:color="auto"/>
            </w:tcBorders>
            <w:vAlign w:val="center"/>
          </w:tcPr>
          <w:p w14:paraId="330A9321" w14:textId="77777777" w:rsidR="00370535" w:rsidRPr="00370535" w:rsidRDefault="00370535" w:rsidP="00370535">
            <w:pPr>
              <w:rPr>
                <w:rFonts w:cs="Arial"/>
                <w:bCs/>
              </w:rPr>
            </w:pPr>
            <w:r w:rsidRPr="00370535">
              <w:rPr>
                <w:rFonts w:cs="Arial"/>
                <w:bCs/>
              </w:rPr>
              <w:t>2.3%</w:t>
            </w:r>
          </w:p>
          <w:p w14:paraId="37BB28CA" w14:textId="77777777" w:rsidR="00370535" w:rsidRPr="00370535" w:rsidRDefault="00370535" w:rsidP="00370535">
            <w:pPr>
              <w:rPr>
                <w:rFonts w:cs="Arial"/>
                <w:bCs/>
              </w:rPr>
            </w:pPr>
          </w:p>
        </w:tc>
      </w:tr>
      <w:tr w:rsidR="00370535" w:rsidRPr="00370535" w14:paraId="728F9779" w14:textId="77777777" w:rsidTr="00364344">
        <w:tc>
          <w:tcPr>
            <w:tcW w:w="1270" w:type="dxa"/>
            <w:tcBorders>
              <w:top w:val="single" w:sz="4" w:space="0" w:color="auto"/>
              <w:left w:val="single" w:sz="4" w:space="0" w:color="auto"/>
              <w:bottom w:val="single" w:sz="4" w:space="0" w:color="auto"/>
              <w:right w:val="single" w:sz="4" w:space="0" w:color="auto"/>
            </w:tcBorders>
            <w:vAlign w:val="center"/>
            <w:hideMark/>
          </w:tcPr>
          <w:p w14:paraId="23A68BFB" w14:textId="77777777" w:rsidR="00370535" w:rsidRPr="00370535" w:rsidRDefault="00370535" w:rsidP="00370535">
            <w:pPr>
              <w:rPr>
                <w:rFonts w:cs="Arial"/>
              </w:rPr>
            </w:pPr>
            <w:r w:rsidRPr="00370535">
              <w:rPr>
                <w:rFonts w:cs="Arial"/>
              </w:rPr>
              <w:t>Penderi</w:t>
            </w:r>
          </w:p>
        </w:tc>
        <w:tc>
          <w:tcPr>
            <w:tcW w:w="1355" w:type="dxa"/>
            <w:tcBorders>
              <w:top w:val="single" w:sz="4" w:space="0" w:color="auto"/>
              <w:left w:val="single" w:sz="4" w:space="0" w:color="auto"/>
              <w:bottom w:val="single" w:sz="4" w:space="0" w:color="auto"/>
              <w:right w:val="single" w:sz="4" w:space="0" w:color="auto"/>
            </w:tcBorders>
            <w:hideMark/>
          </w:tcPr>
          <w:p w14:paraId="4754DE92" w14:textId="77777777" w:rsidR="00370535" w:rsidRPr="00370535" w:rsidRDefault="00370535" w:rsidP="00370535">
            <w:pPr>
              <w:rPr>
                <w:rFonts w:cs="Arial"/>
                <w:bCs/>
              </w:rPr>
            </w:pPr>
            <w:r w:rsidRPr="00370535">
              <w:rPr>
                <w:rFonts w:cs="Arial"/>
                <w:bCs/>
              </w:rPr>
              <w:t>Swansea</w:t>
            </w:r>
          </w:p>
        </w:tc>
        <w:tc>
          <w:tcPr>
            <w:tcW w:w="1202" w:type="dxa"/>
            <w:tcBorders>
              <w:top w:val="single" w:sz="4" w:space="0" w:color="auto"/>
              <w:left w:val="single" w:sz="4" w:space="0" w:color="auto"/>
              <w:bottom w:val="single" w:sz="4" w:space="0" w:color="auto"/>
              <w:right w:val="single" w:sz="4" w:space="0" w:color="auto"/>
            </w:tcBorders>
            <w:vAlign w:val="center"/>
            <w:hideMark/>
          </w:tcPr>
          <w:p w14:paraId="1DEB5E55" w14:textId="77777777" w:rsidR="00370535" w:rsidRPr="00370535" w:rsidRDefault="00370535" w:rsidP="00370535">
            <w:pPr>
              <w:rPr>
                <w:rFonts w:cs="Arial"/>
                <w:bCs/>
              </w:rPr>
            </w:pPr>
            <w:r w:rsidRPr="00370535">
              <w:rPr>
                <w:rFonts w:cs="Arial"/>
                <w:bCs/>
              </w:rPr>
              <w:t>6.8%</w:t>
            </w:r>
          </w:p>
        </w:tc>
        <w:tc>
          <w:tcPr>
            <w:tcW w:w="1306" w:type="dxa"/>
            <w:tcBorders>
              <w:top w:val="single" w:sz="4" w:space="0" w:color="auto"/>
              <w:left w:val="single" w:sz="4" w:space="0" w:color="auto"/>
              <w:bottom w:val="single" w:sz="4" w:space="0" w:color="auto"/>
              <w:right w:val="single" w:sz="4" w:space="0" w:color="auto"/>
            </w:tcBorders>
            <w:vAlign w:val="center"/>
            <w:hideMark/>
          </w:tcPr>
          <w:p w14:paraId="698EADCE" w14:textId="77777777" w:rsidR="00370535" w:rsidRPr="00370535" w:rsidRDefault="00370535" w:rsidP="00370535">
            <w:pPr>
              <w:rPr>
                <w:rFonts w:cs="Arial"/>
                <w:bCs/>
              </w:rPr>
            </w:pPr>
            <w:r w:rsidRPr="00370535">
              <w:rPr>
                <w:rFonts w:cs="Arial"/>
                <w:bCs/>
              </w:rPr>
              <w:t>3.5%</w:t>
            </w:r>
          </w:p>
        </w:tc>
        <w:tc>
          <w:tcPr>
            <w:tcW w:w="1530" w:type="dxa"/>
            <w:tcBorders>
              <w:top w:val="single" w:sz="4" w:space="0" w:color="auto"/>
              <w:left w:val="single" w:sz="4" w:space="0" w:color="auto"/>
              <w:bottom w:val="single" w:sz="4" w:space="0" w:color="auto"/>
              <w:right w:val="single" w:sz="4" w:space="0" w:color="auto"/>
            </w:tcBorders>
            <w:vAlign w:val="center"/>
            <w:hideMark/>
          </w:tcPr>
          <w:p w14:paraId="21AEAA41" w14:textId="77777777" w:rsidR="00370535" w:rsidRPr="00370535" w:rsidRDefault="00370535" w:rsidP="00370535">
            <w:pPr>
              <w:rPr>
                <w:rFonts w:cs="Arial"/>
                <w:bCs/>
              </w:rPr>
            </w:pPr>
            <w:r w:rsidRPr="00370535">
              <w:rPr>
                <w:rFonts w:cs="Arial"/>
                <w:bCs/>
              </w:rPr>
              <w:t>3.0%</w:t>
            </w:r>
          </w:p>
        </w:tc>
        <w:tc>
          <w:tcPr>
            <w:tcW w:w="1239" w:type="dxa"/>
            <w:tcBorders>
              <w:top w:val="single" w:sz="4" w:space="0" w:color="auto"/>
              <w:left w:val="single" w:sz="4" w:space="0" w:color="auto"/>
              <w:bottom w:val="single" w:sz="4" w:space="0" w:color="auto"/>
              <w:right w:val="single" w:sz="4" w:space="0" w:color="auto"/>
            </w:tcBorders>
            <w:vAlign w:val="center"/>
            <w:hideMark/>
          </w:tcPr>
          <w:p w14:paraId="44C6411A" w14:textId="77777777" w:rsidR="00370535" w:rsidRPr="00370535" w:rsidRDefault="00370535" w:rsidP="00370535">
            <w:pPr>
              <w:rPr>
                <w:rFonts w:cs="Arial"/>
                <w:bCs/>
              </w:rPr>
            </w:pPr>
            <w:r w:rsidRPr="00370535">
              <w:rPr>
                <w:rFonts w:cs="Arial"/>
                <w:bCs/>
              </w:rPr>
              <w:t>9.0%</w:t>
            </w:r>
          </w:p>
        </w:tc>
        <w:tc>
          <w:tcPr>
            <w:tcW w:w="943" w:type="dxa"/>
            <w:tcBorders>
              <w:top w:val="single" w:sz="4" w:space="0" w:color="auto"/>
              <w:left w:val="single" w:sz="4" w:space="0" w:color="auto"/>
              <w:bottom w:val="single" w:sz="4" w:space="0" w:color="auto"/>
              <w:right w:val="single" w:sz="4" w:space="0" w:color="auto"/>
            </w:tcBorders>
            <w:vAlign w:val="center"/>
            <w:hideMark/>
          </w:tcPr>
          <w:p w14:paraId="04BC52D9" w14:textId="77777777" w:rsidR="00370535" w:rsidRPr="00370535" w:rsidRDefault="00370535" w:rsidP="00370535">
            <w:pPr>
              <w:rPr>
                <w:rFonts w:cs="Arial"/>
                <w:bCs/>
              </w:rPr>
            </w:pPr>
            <w:r w:rsidRPr="00370535">
              <w:rPr>
                <w:rFonts w:cs="Arial"/>
                <w:bCs/>
              </w:rPr>
              <w:t>1.9%</w:t>
            </w:r>
          </w:p>
        </w:tc>
        <w:tc>
          <w:tcPr>
            <w:tcW w:w="1504" w:type="dxa"/>
            <w:tcBorders>
              <w:top w:val="single" w:sz="4" w:space="0" w:color="auto"/>
              <w:left w:val="single" w:sz="4" w:space="0" w:color="auto"/>
              <w:bottom w:val="single" w:sz="4" w:space="0" w:color="auto"/>
              <w:right w:val="single" w:sz="4" w:space="0" w:color="auto"/>
            </w:tcBorders>
            <w:vAlign w:val="center"/>
          </w:tcPr>
          <w:p w14:paraId="47C2FE7C" w14:textId="77777777" w:rsidR="00370535" w:rsidRPr="00370535" w:rsidRDefault="00370535" w:rsidP="00370535">
            <w:pPr>
              <w:rPr>
                <w:rFonts w:cs="Arial"/>
                <w:bCs/>
              </w:rPr>
            </w:pPr>
            <w:r w:rsidRPr="00370535">
              <w:rPr>
                <w:rFonts w:cs="Arial"/>
                <w:bCs/>
              </w:rPr>
              <w:t>2.4%</w:t>
            </w:r>
          </w:p>
          <w:p w14:paraId="1EA9C8F8" w14:textId="77777777" w:rsidR="00370535" w:rsidRPr="00370535" w:rsidRDefault="00370535" w:rsidP="00370535">
            <w:pPr>
              <w:rPr>
                <w:rFonts w:cs="Arial"/>
                <w:bCs/>
              </w:rPr>
            </w:pPr>
          </w:p>
        </w:tc>
      </w:tr>
      <w:tr w:rsidR="00370535" w:rsidRPr="00370535" w14:paraId="078ACF84" w14:textId="77777777" w:rsidTr="00364344">
        <w:tc>
          <w:tcPr>
            <w:tcW w:w="1270" w:type="dxa"/>
            <w:tcBorders>
              <w:top w:val="single" w:sz="4" w:space="0" w:color="auto"/>
              <w:left w:val="single" w:sz="4" w:space="0" w:color="auto"/>
              <w:bottom w:val="single" w:sz="4" w:space="0" w:color="auto"/>
              <w:right w:val="single" w:sz="4" w:space="0" w:color="auto"/>
            </w:tcBorders>
            <w:vAlign w:val="center"/>
            <w:hideMark/>
          </w:tcPr>
          <w:p w14:paraId="09B304CE" w14:textId="77777777" w:rsidR="00370535" w:rsidRPr="00370535" w:rsidRDefault="00370535" w:rsidP="00370535">
            <w:pPr>
              <w:rPr>
                <w:rFonts w:cs="Arial"/>
              </w:rPr>
            </w:pPr>
            <w:r w:rsidRPr="00370535">
              <w:rPr>
                <w:rFonts w:cs="Arial"/>
              </w:rPr>
              <w:t xml:space="preserve">Afan </w:t>
            </w:r>
          </w:p>
        </w:tc>
        <w:tc>
          <w:tcPr>
            <w:tcW w:w="1355" w:type="dxa"/>
            <w:tcBorders>
              <w:top w:val="single" w:sz="4" w:space="0" w:color="auto"/>
              <w:left w:val="single" w:sz="4" w:space="0" w:color="auto"/>
              <w:bottom w:val="single" w:sz="4" w:space="0" w:color="auto"/>
              <w:right w:val="single" w:sz="4" w:space="0" w:color="auto"/>
            </w:tcBorders>
            <w:hideMark/>
          </w:tcPr>
          <w:p w14:paraId="33CC1273" w14:textId="77777777" w:rsidR="00370535" w:rsidRPr="00370535" w:rsidRDefault="00370535" w:rsidP="00370535">
            <w:pPr>
              <w:rPr>
                <w:rFonts w:cs="Arial"/>
                <w:bCs/>
              </w:rPr>
            </w:pPr>
            <w:r w:rsidRPr="00370535">
              <w:rPr>
                <w:rFonts w:cs="Arial"/>
                <w:bCs/>
              </w:rPr>
              <w:t>Neath Port Talbot</w:t>
            </w:r>
          </w:p>
        </w:tc>
        <w:tc>
          <w:tcPr>
            <w:tcW w:w="1202" w:type="dxa"/>
            <w:tcBorders>
              <w:top w:val="single" w:sz="4" w:space="0" w:color="auto"/>
              <w:left w:val="single" w:sz="4" w:space="0" w:color="auto"/>
              <w:bottom w:val="single" w:sz="4" w:space="0" w:color="auto"/>
              <w:right w:val="single" w:sz="4" w:space="0" w:color="auto"/>
            </w:tcBorders>
            <w:vAlign w:val="center"/>
            <w:hideMark/>
          </w:tcPr>
          <w:p w14:paraId="36ECA7C9" w14:textId="77777777" w:rsidR="00370535" w:rsidRPr="00370535" w:rsidRDefault="00370535" w:rsidP="00370535">
            <w:pPr>
              <w:rPr>
                <w:rFonts w:cs="Arial"/>
                <w:bCs/>
              </w:rPr>
            </w:pPr>
            <w:r w:rsidRPr="00370535">
              <w:rPr>
                <w:rFonts w:cs="Arial"/>
                <w:bCs/>
              </w:rPr>
              <w:t>7.4%</w:t>
            </w:r>
          </w:p>
        </w:tc>
        <w:tc>
          <w:tcPr>
            <w:tcW w:w="1306" w:type="dxa"/>
            <w:tcBorders>
              <w:top w:val="single" w:sz="4" w:space="0" w:color="auto"/>
              <w:left w:val="single" w:sz="4" w:space="0" w:color="auto"/>
              <w:bottom w:val="single" w:sz="4" w:space="0" w:color="auto"/>
              <w:right w:val="single" w:sz="4" w:space="0" w:color="auto"/>
            </w:tcBorders>
            <w:vAlign w:val="center"/>
            <w:hideMark/>
          </w:tcPr>
          <w:p w14:paraId="2FED93FA" w14:textId="77777777" w:rsidR="00370535" w:rsidRPr="00370535" w:rsidRDefault="00370535" w:rsidP="00370535">
            <w:pPr>
              <w:rPr>
                <w:rFonts w:cs="Arial"/>
                <w:bCs/>
              </w:rPr>
            </w:pPr>
            <w:r w:rsidRPr="00370535">
              <w:rPr>
                <w:rFonts w:cs="Arial"/>
                <w:bCs/>
              </w:rPr>
              <w:t>3.7%</w:t>
            </w:r>
          </w:p>
        </w:tc>
        <w:tc>
          <w:tcPr>
            <w:tcW w:w="1530" w:type="dxa"/>
            <w:tcBorders>
              <w:top w:val="single" w:sz="4" w:space="0" w:color="auto"/>
              <w:left w:val="single" w:sz="4" w:space="0" w:color="auto"/>
              <w:bottom w:val="single" w:sz="4" w:space="0" w:color="auto"/>
              <w:right w:val="single" w:sz="4" w:space="0" w:color="auto"/>
            </w:tcBorders>
            <w:vAlign w:val="center"/>
            <w:hideMark/>
          </w:tcPr>
          <w:p w14:paraId="48529C03" w14:textId="77777777" w:rsidR="00370535" w:rsidRPr="00370535" w:rsidRDefault="00370535" w:rsidP="00370535">
            <w:pPr>
              <w:rPr>
                <w:rFonts w:cs="Arial"/>
                <w:bCs/>
              </w:rPr>
            </w:pPr>
            <w:r w:rsidRPr="00370535">
              <w:rPr>
                <w:rFonts w:cs="Arial"/>
                <w:bCs/>
              </w:rPr>
              <w:t>2.7%</w:t>
            </w:r>
          </w:p>
        </w:tc>
        <w:tc>
          <w:tcPr>
            <w:tcW w:w="1239" w:type="dxa"/>
            <w:tcBorders>
              <w:top w:val="single" w:sz="4" w:space="0" w:color="auto"/>
              <w:left w:val="single" w:sz="4" w:space="0" w:color="auto"/>
              <w:bottom w:val="single" w:sz="4" w:space="0" w:color="auto"/>
              <w:right w:val="single" w:sz="4" w:space="0" w:color="auto"/>
            </w:tcBorders>
            <w:vAlign w:val="center"/>
            <w:hideMark/>
          </w:tcPr>
          <w:p w14:paraId="2437EFCA" w14:textId="77777777" w:rsidR="00370535" w:rsidRPr="00370535" w:rsidRDefault="00370535" w:rsidP="00370535">
            <w:pPr>
              <w:rPr>
                <w:rFonts w:cs="Arial"/>
                <w:bCs/>
              </w:rPr>
            </w:pPr>
            <w:r w:rsidRPr="00370535">
              <w:rPr>
                <w:rFonts w:cs="Arial"/>
                <w:bCs/>
              </w:rPr>
              <w:t>9.4%</w:t>
            </w:r>
          </w:p>
        </w:tc>
        <w:tc>
          <w:tcPr>
            <w:tcW w:w="943" w:type="dxa"/>
            <w:tcBorders>
              <w:top w:val="single" w:sz="4" w:space="0" w:color="auto"/>
              <w:left w:val="single" w:sz="4" w:space="0" w:color="auto"/>
              <w:bottom w:val="single" w:sz="4" w:space="0" w:color="auto"/>
              <w:right w:val="single" w:sz="4" w:space="0" w:color="auto"/>
            </w:tcBorders>
            <w:vAlign w:val="center"/>
            <w:hideMark/>
          </w:tcPr>
          <w:p w14:paraId="10F6E3EA" w14:textId="77777777" w:rsidR="00370535" w:rsidRPr="00370535" w:rsidRDefault="00370535" w:rsidP="00370535">
            <w:pPr>
              <w:rPr>
                <w:rFonts w:cs="Arial"/>
                <w:bCs/>
              </w:rPr>
            </w:pPr>
            <w:r w:rsidRPr="00370535">
              <w:rPr>
                <w:rFonts w:cs="Arial"/>
                <w:bCs/>
              </w:rPr>
              <w:t>1.9%</w:t>
            </w:r>
          </w:p>
        </w:tc>
        <w:tc>
          <w:tcPr>
            <w:tcW w:w="1504" w:type="dxa"/>
            <w:tcBorders>
              <w:top w:val="single" w:sz="4" w:space="0" w:color="auto"/>
              <w:left w:val="single" w:sz="4" w:space="0" w:color="auto"/>
              <w:bottom w:val="single" w:sz="4" w:space="0" w:color="auto"/>
              <w:right w:val="single" w:sz="4" w:space="0" w:color="auto"/>
            </w:tcBorders>
            <w:vAlign w:val="center"/>
            <w:hideMark/>
          </w:tcPr>
          <w:p w14:paraId="6A923F14" w14:textId="77777777" w:rsidR="00370535" w:rsidRPr="00370535" w:rsidRDefault="00370535" w:rsidP="00370535">
            <w:pPr>
              <w:rPr>
                <w:rFonts w:cs="Arial"/>
                <w:bCs/>
              </w:rPr>
            </w:pPr>
            <w:r w:rsidRPr="00370535">
              <w:rPr>
                <w:rFonts w:cs="Arial"/>
                <w:bCs/>
              </w:rPr>
              <w:t>2.2%</w:t>
            </w:r>
          </w:p>
        </w:tc>
      </w:tr>
      <w:tr w:rsidR="00370535" w:rsidRPr="00370535" w14:paraId="24D9433E" w14:textId="77777777" w:rsidTr="00364344">
        <w:tc>
          <w:tcPr>
            <w:tcW w:w="1270" w:type="dxa"/>
            <w:tcBorders>
              <w:top w:val="single" w:sz="4" w:space="0" w:color="auto"/>
              <w:left w:val="single" w:sz="4" w:space="0" w:color="auto"/>
              <w:bottom w:val="single" w:sz="4" w:space="0" w:color="auto"/>
              <w:right w:val="single" w:sz="4" w:space="0" w:color="auto"/>
            </w:tcBorders>
            <w:vAlign w:val="center"/>
            <w:hideMark/>
          </w:tcPr>
          <w:p w14:paraId="7347A7FB" w14:textId="77777777" w:rsidR="00370535" w:rsidRPr="00370535" w:rsidRDefault="00370535" w:rsidP="00370535">
            <w:pPr>
              <w:rPr>
                <w:rFonts w:cs="Arial"/>
              </w:rPr>
            </w:pPr>
            <w:r w:rsidRPr="00370535">
              <w:rPr>
                <w:rFonts w:cs="Arial"/>
              </w:rPr>
              <w:t>Neath</w:t>
            </w:r>
          </w:p>
        </w:tc>
        <w:tc>
          <w:tcPr>
            <w:tcW w:w="1355" w:type="dxa"/>
            <w:tcBorders>
              <w:top w:val="single" w:sz="4" w:space="0" w:color="auto"/>
              <w:left w:val="single" w:sz="4" w:space="0" w:color="auto"/>
              <w:bottom w:val="single" w:sz="4" w:space="0" w:color="auto"/>
              <w:right w:val="single" w:sz="4" w:space="0" w:color="auto"/>
            </w:tcBorders>
            <w:hideMark/>
          </w:tcPr>
          <w:p w14:paraId="1F044EC2" w14:textId="77777777" w:rsidR="00370535" w:rsidRPr="00370535" w:rsidRDefault="00370535" w:rsidP="00370535">
            <w:pPr>
              <w:rPr>
                <w:rFonts w:cs="Arial"/>
                <w:bCs/>
              </w:rPr>
            </w:pPr>
            <w:r w:rsidRPr="00370535">
              <w:rPr>
                <w:rFonts w:cs="Arial"/>
                <w:bCs/>
              </w:rPr>
              <w:t>Neath Port Talbot</w:t>
            </w:r>
          </w:p>
        </w:tc>
        <w:tc>
          <w:tcPr>
            <w:tcW w:w="1202" w:type="dxa"/>
            <w:tcBorders>
              <w:top w:val="single" w:sz="4" w:space="0" w:color="auto"/>
              <w:left w:val="single" w:sz="4" w:space="0" w:color="auto"/>
              <w:bottom w:val="single" w:sz="4" w:space="0" w:color="auto"/>
              <w:right w:val="single" w:sz="4" w:space="0" w:color="auto"/>
            </w:tcBorders>
            <w:vAlign w:val="center"/>
            <w:hideMark/>
          </w:tcPr>
          <w:p w14:paraId="034E24A6" w14:textId="77777777" w:rsidR="00370535" w:rsidRPr="00370535" w:rsidRDefault="00370535" w:rsidP="00370535">
            <w:pPr>
              <w:rPr>
                <w:rFonts w:cs="Arial"/>
                <w:bCs/>
              </w:rPr>
            </w:pPr>
            <w:r w:rsidRPr="00370535">
              <w:rPr>
                <w:rFonts w:cs="Arial"/>
                <w:bCs/>
              </w:rPr>
              <w:t>7.7%</w:t>
            </w:r>
          </w:p>
        </w:tc>
        <w:tc>
          <w:tcPr>
            <w:tcW w:w="1306" w:type="dxa"/>
            <w:tcBorders>
              <w:top w:val="single" w:sz="4" w:space="0" w:color="auto"/>
              <w:left w:val="single" w:sz="4" w:space="0" w:color="auto"/>
              <w:bottom w:val="single" w:sz="4" w:space="0" w:color="auto"/>
              <w:right w:val="single" w:sz="4" w:space="0" w:color="auto"/>
            </w:tcBorders>
            <w:vAlign w:val="center"/>
            <w:hideMark/>
          </w:tcPr>
          <w:p w14:paraId="67E0A24F" w14:textId="77777777" w:rsidR="00370535" w:rsidRPr="00370535" w:rsidRDefault="00370535" w:rsidP="00370535">
            <w:pPr>
              <w:rPr>
                <w:rFonts w:cs="Arial"/>
                <w:bCs/>
              </w:rPr>
            </w:pPr>
            <w:r w:rsidRPr="00370535">
              <w:rPr>
                <w:rFonts w:cs="Arial"/>
                <w:bCs/>
              </w:rPr>
              <w:t>3.5%</w:t>
            </w:r>
          </w:p>
        </w:tc>
        <w:tc>
          <w:tcPr>
            <w:tcW w:w="1530" w:type="dxa"/>
            <w:tcBorders>
              <w:top w:val="single" w:sz="4" w:space="0" w:color="auto"/>
              <w:left w:val="single" w:sz="4" w:space="0" w:color="auto"/>
              <w:bottom w:val="single" w:sz="4" w:space="0" w:color="auto"/>
              <w:right w:val="single" w:sz="4" w:space="0" w:color="auto"/>
            </w:tcBorders>
            <w:vAlign w:val="center"/>
            <w:hideMark/>
          </w:tcPr>
          <w:p w14:paraId="2FBF9EC6" w14:textId="77777777" w:rsidR="00370535" w:rsidRPr="00370535" w:rsidRDefault="00370535" w:rsidP="00370535">
            <w:pPr>
              <w:rPr>
                <w:rFonts w:cs="Arial"/>
                <w:bCs/>
              </w:rPr>
            </w:pPr>
            <w:r w:rsidRPr="00370535">
              <w:rPr>
                <w:rFonts w:cs="Arial"/>
                <w:bCs/>
              </w:rPr>
              <w:t>2.6%</w:t>
            </w:r>
          </w:p>
        </w:tc>
        <w:tc>
          <w:tcPr>
            <w:tcW w:w="1239" w:type="dxa"/>
            <w:tcBorders>
              <w:top w:val="single" w:sz="4" w:space="0" w:color="auto"/>
              <w:left w:val="single" w:sz="4" w:space="0" w:color="auto"/>
              <w:bottom w:val="single" w:sz="4" w:space="0" w:color="auto"/>
              <w:right w:val="single" w:sz="4" w:space="0" w:color="auto"/>
            </w:tcBorders>
            <w:vAlign w:val="center"/>
            <w:hideMark/>
          </w:tcPr>
          <w:p w14:paraId="653AD5E3" w14:textId="77777777" w:rsidR="00370535" w:rsidRPr="00370535" w:rsidRDefault="00370535" w:rsidP="00370535">
            <w:pPr>
              <w:rPr>
                <w:rFonts w:cs="Arial"/>
                <w:bCs/>
              </w:rPr>
            </w:pPr>
            <w:r w:rsidRPr="00370535">
              <w:rPr>
                <w:rFonts w:cs="Arial"/>
                <w:bCs/>
              </w:rPr>
              <w:t>8.8%</w:t>
            </w:r>
          </w:p>
        </w:tc>
        <w:tc>
          <w:tcPr>
            <w:tcW w:w="943" w:type="dxa"/>
            <w:tcBorders>
              <w:top w:val="single" w:sz="4" w:space="0" w:color="auto"/>
              <w:left w:val="single" w:sz="4" w:space="0" w:color="auto"/>
              <w:bottom w:val="single" w:sz="4" w:space="0" w:color="auto"/>
              <w:right w:val="single" w:sz="4" w:space="0" w:color="auto"/>
            </w:tcBorders>
            <w:vAlign w:val="center"/>
            <w:hideMark/>
          </w:tcPr>
          <w:p w14:paraId="1D2C5C01" w14:textId="77777777" w:rsidR="00370535" w:rsidRPr="00370535" w:rsidRDefault="00370535" w:rsidP="00370535">
            <w:pPr>
              <w:rPr>
                <w:rFonts w:cs="Arial"/>
                <w:bCs/>
              </w:rPr>
            </w:pPr>
            <w:r w:rsidRPr="00370535">
              <w:rPr>
                <w:rFonts w:cs="Arial"/>
                <w:bCs/>
              </w:rPr>
              <w:t>1.5%</w:t>
            </w:r>
          </w:p>
        </w:tc>
        <w:tc>
          <w:tcPr>
            <w:tcW w:w="1504" w:type="dxa"/>
            <w:tcBorders>
              <w:top w:val="single" w:sz="4" w:space="0" w:color="auto"/>
              <w:left w:val="single" w:sz="4" w:space="0" w:color="auto"/>
              <w:bottom w:val="single" w:sz="4" w:space="0" w:color="auto"/>
              <w:right w:val="single" w:sz="4" w:space="0" w:color="auto"/>
            </w:tcBorders>
            <w:vAlign w:val="center"/>
            <w:hideMark/>
          </w:tcPr>
          <w:p w14:paraId="49D2537A" w14:textId="77777777" w:rsidR="00370535" w:rsidRPr="00370535" w:rsidRDefault="00370535" w:rsidP="00370535">
            <w:pPr>
              <w:rPr>
                <w:rFonts w:cs="Arial"/>
                <w:bCs/>
              </w:rPr>
            </w:pPr>
            <w:r w:rsidRPr="00370535">
              <w:rPr>
                <w:rFonts w:cs="Arial"/>
                <w:bCs/>
              </w:rPr>
              <w:t>2.3%</w:t>
            </w:r>
          </w:p>
        </w:tc>
      </w:tr>
      <w:tr w:rsidR="00370535" w:rsidRPr="00370535" w14:paraId="43564C23" w14:textId="77777777" w:rsidTr="00364344">
        <w:tc>
          <w:tcPr>
            <w:tcW w:w="1270" w:type="dxa"/>
            <w:tcBorders>
              <w:top w:val="single" w:sz="4" w:space="0" w:color="auto"/>
              <w:left w:val="single" w:sz="4" w:space="0" w:color="auto"/>
              <w:bottom w:val="single" w:sz="4" w:space="0" w:color="auto"/>
              <w:right w:val="single" w:sz="4" w:space="0" w:color="auto"/>
            </w:tcBorders>
            <w:vAlign w:val="center"/>
            <w:hideMark/>
          </w:tcPr>
          <w:p w14:paraId="3DF565C9" w14:textId="77777777" w:rsidR="00370535" w:rsidRPr="00370535" w:rsidRDefault="00370535" w:rsidP="00370535">
            <w:pPr>
              <w:rPr>
                <w:rFonts w:cs="Arial"/>
              </w:rPr>
            </w:pPr>
            <w:r w:rsidRPr="00370535">
              <w:rPr>
                <w:rFonts w:cs="Arial"/>
              </w:rPr>
              <w:t>Upper Valleys</w:t>
            </w:r>
          </w:p>
        </w:tc>
        <w:tc>
          <w:tcPr>
            <w:tcW w:w="1355" w:type="dxa"/>
            <w:tcBorders>
              <w:top w:val="single" w:sz="4" w:space="0" w:color="auto"/>
              <w:left w:val="single" w:sz="4" w:space="0" w:color="auto"/>
              <w:bottom w:val="single" w:sz="4" w:space="0" w:color="auto"/>
              <w:right w:val="single" w:sz="4" w:space="0" w:color="auto"/>
            </w:tcBorders>
            <w:hideMark/>
          </w:tcPr>
          <w:p w14:paraId="0A4E95B5" w14:textId="77777777" w:rsidR="00370535" w:rsidRPr="00370535" w:rsidRDefault="00370535" w:rsidP="00370535">
            <w:pPr>
              <w:rPr>
                <w:rFonts w:cs="Arial"/>
                <w:bCs/>
              </w:rPr>
            </w:pPr>
            <w:r w:rsidRPr="00370535">
              <w:rPr>
                <w:rFonts w:cs="Arial"/>
                <w:bCs/>
              </w:rPr>
              <w:t>Neath Port Talbot</w:t>
            </w:r>
          </w:p>
        </w:tc>
        <w:tc>
          <w:tcPr>
            <w:tcW w:w="1202" w:type="dxa"/>
            <w:tcBorders>
              <w:top w:val="single" w:sz="4" w:space="0" w:color="auto"/>
              <w:left w:val="single" w:sz="4" w:space="0" w:color="auto"/>
              <w:bottom w:val="single" w:sz="4" w:space="0" w:color="auto"/>
              <w:right w:val="single" w:sz="4" w:space="0" w:color="auto"/>
            </w:tcBorders>
            <w:vAlign w:val="center"/>
            <w:hideMark/>
          </w:tcPr>
          <w:p w14:paraId="03D1F163" w14:textId="77777777" w:rsidR="00370535" w:rsidRPr="00370535" w:rsidRDefault="00370535" w:rsidP="00370535">
            <w:pPr>
              <w:rPr>
                <w:rFonts w:cs="Arial"/>
                <w:bCs/>
              </w:rPr>
            </w:pPr>
            <w:r w:rsidRPr="00370535">
              <w:rPr>
                <w:rFonts w:cs="Arial"/>
                <w:bCs/>
              </w:rPr>
              <w:t>7.1%</w:t>
            </w:r>
          </w:p>
        </w:tc>
        <w:tc>
          <w:tcPr>
            <w:tcW w:w="1306" w:type="dxa"/>
            <w:tcBorders>
              <w:top w:val="single" w:sz="4" w:space="0" w:color="auto"/>
              <w:left w:val="single" w:sz="4" w:space="0" w:color="auto"/>
              <w:bottom w:val="single" w:sz="4" w:space="0" w:color="auto"/>
              <w:right w:val="single" w:sz="4" w:space="0" w:color="auto"/>
            </w:tcBorders>
            <w:vAlign w:val="center"/>
            <w:hideMark/>
          </w:tcPr>
          <w:p w14:paraId="28261206" w14:textId="77777777" w:rsidR="00370535" w:rsidRPr="00370535" w:rsidRDefault="00370535" w:rsidP="00370535">
            <w:pPr>
              <w:rPr>
                <w:rFonts w:cs="Arial"/>
                <w:bCs/>
              </w:rPr>
            </w:pPr>
            <w:r w:rsidRPr="00370535">
              <w:rPr>
                <w:rFonts w:cs="Arial"/>
                <w:bCs/>
              </w:rPr>
              <w:t>3.9%</w:t>
            </w:r>
          </w:p>
        </w:tc>
        <w:tc>
          <w:tcPr>
            <w:tcW w:w="1530" w:type="dxa"/>
            <w:tcBorders>
              <w:top w:val="single" w:sz="4" w:space="0" w:color="auto"/>
              <w:left w:val="single" w:sz="4" w:space="0" w:color="auto"/>
              <w:bottom w:val="single" w:sz="4" w:space="0" w:color="auto"/>
              <w:right w:val="single" w:sz="4" w:space="0" w:color="auto"/>
            </w:tcBorders>
            <w:vAlign w:val="center"/>
            <w:hideMark/>
          </w:tcPr>
          <w:p w14:paraId="578E265A" w14:textId="77777777" w:rsidR="00370535" w:rsidRPr="00370535" w:rsidRDefault="00370535" w:rsidP="00370535">
            <w:pPr>
              <w:rPr>
                <w:rFonts w:cs="Arial"/>
                <w:bCs/>
              </w:rPr>
            </w:pPr>
            <w:r w:rsidRPr="00370535">
              <w:rPr>
                <w:rFonts w:cs="Arial"/>
                <w:bCs/>
              </w:rPr>
              <w:t>2.8%</w:t>
            </w:r>
          </w:p>
        </w:tc>
        <w:tc>
          <w:tcPr>
            <w:tcW w:w="1239" w:type="dxa"/>
            <w:tcBorders>
              <w:top w:val="single" w:sz="4" w:space="0" w:color="auto"/>
              <w:left w:val="single" w:sz="4" w:space="0" w:color="auto"/>
              <w:bottom w:val="single" w:sz="4" w:space="0" w:color="auto"/>
              <w:right w:val="single" w:sz="4" w:space="0" w:color="auto"/>
            </w:tcBorders>
            <w:vAlign w:val="center"/>
            <w:hideMark/>
          </w:tcPr>
          <w:p w14:paraId="0362310D" w14:textId="77777777" w:rsidR="00370535" w:rsidRPr="00370535" w:rsidRDefault="00370535" w:rsidP="00370535">
            <w:pPr>
              <w:rPr>
                <w:rFonts w:cs="Arial"/>
                <w:bCs/>
              </w:rPr>
            </w:pPr>
            <w:r w:rsidRPr="00370535">
              <w:rPr>
                <w:rFonts w:cs="Arial"/>
                <w:bCs/>
              </w:rPr>
              <w:t>9.1%</w:t>
            </w:r>
          </w:p>
        </w:tc>
        <w:tc>
          <w:tcPr>
            <w:tcW w:w="943" w:type="dxa"/>
            <w:tcBorders>
              <w:top w:val="single" w:sz="4" w:space="0" w:color="auto"/>
              <w:left w:val="single" w:sz="4" w:space="0" w:color="auto"/>
              <w:bottom w:val="single" w:sz="4" w:space="0" w:color="auto"/>
              <w:right w:val="single" w:sz="4" w:space="0" w:color="auto"/>
            </w:tcBorders>
            <w:vAlign w:val="center"/>
            <w:hideMark/>
          </w:tcPr>
          <w:p w14:paraId="690077D7" w14:textId="77777777" w:rsidR="00370535" w:rsidRPr="00370535" w:rsidRDefault="00370535" w:rsidP="00370535">
            <w:pPr>
              <w:rPr>
                <w:rFonts w:cs="Arial"/>
                <w:bCs/>
              </w:rPr>
            </w:pPr>
            <w:r w:rsidRPr="00370535">
              <w:rPr>
                <w:rFonts w:cs="Arial"/>
                <w:bCs/>
              </w:rPr>
              <w:t>1.9%</w:t>
            </w:r>
          </w:p>
        </w:tc>
        <w:tc>
          <w:tcPr>
            <w:tcW w:w="1504" w:type="dxa"/>
            <w:tcBorders>
              <w:top w:val="single" w:sz="4" w:space="0" w:color="auto"/>
              <w:left w:val="single" w:sz="4" w:space="0" w:color="auto"/>
              <w:bottom w:val="single" w:sz="4" w:space="0" w:color="auto"/>
              <w:right w:val="single" w:sz="4" w:space="0" w:color="auto"/>
            </w:tcBorders>
            <w:vAlign w:val="center"/>
            <w:hideMark/>
          </w:tcPr>
          <w:p w14:paraId="5202752E" w14:textId="77777777" w:rsidR="00370535" w:rsidRPr="00370535" w:rsidRDefault="00370535" w:rsidP="00370535">
            <w:pPr>
              <w:rPr>
                <w:rFonts w:cs="Arial"/>
                <w:bCs/>
              </w:rPr>
            </w:pPr>
            <w:r w:rsidRPr="00370535">
              <w:rPr>
                <w:rFonts w:cs="Arial"/>
                <w:bCs/>
              </w:rPr>
              <w:t>2.4%</w:t>
            </w:r>
          </w:p>
        </w:tc>
      </w:tr>
      <w:tr w:rsidR="00370535" w:rsidRPr="00370535" w14:paraId="17044465" w14:textId="77777777" w:rsidTr="00364344">
        <w:tc>
          <w:tcPr>
            <w:tcW w:w="1270" w:type="dxa"/>
            <w:tcBorders>
              <w:top w:val="single" w:sz="4" w:space="0" w:color="auto"/>
              <w:left w:val="single" w:sz="4" w:space="0" w:color="auto"/>
              <w:bottom w:val="single" w:sz="4" w:space="0" w:color="auto"/>
              <w:right w:val="single" w:sz="4" w:space="0" w:color="auto"/>
            </w:tcBorders>
            <w:vAlign w:val="center"/>
            <w:hideMark/>
          </w:tcPr>
          <w:p w14:paraId="60B3C02B" w14:textId="77777777" w:rsidR="00370535" w:rsidRPr="00370535" w:rsidRDefault="00370535" w:rsidP="00370535">
            <w:pPr>
              <w:rPr>
                <w:rFonts w:cs="Arial"/>
              </w:rPr>
            </w:pPr>
            <w:r w:rsidRPr="00370535">
              <w:rPr>
                <w:rFonts w:cs="Arial"/>
              </w:rPr>
              <w:t xml:space="preserve">Swansea Bay University Health Board </w:t>
            </w:r>
          </w:p>
        </w:tc>
        <w:tc>
          <w:tcPr>
            <w:tcW w:w="13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E00936" w14:textId="77777777" w:rsidR="00370535" w:rsidRPr="00370535" w:rsidRDefault="00370535" w:rsidP="00370535">
            <w:pPr>
              <w:rPr>
                <w:rFonts w:cs="Arial"/>
              </w:rPr>
            </w:pPr>
          </w:p>
        </w:tc>
        <w:tc>
          <w:tcPr>
            <w:tcW w:w="1202" w:type="dxa"/>
            <w:tcBorders>
              <w:top w:val="single" w:sz="4" w:space="0" w:color="auto"/>
              <w:left w:val="single" w:sz="4" w:space="0" w:color="auto"/>
              <w:bottom w:val="single" w:sz="4" w:space="0" w:color="auto"/>
              <w:right w:val="single" w:sz="4" w:space="0" w:color="auto"/>
            </w:tcBorders>
            <w:vAlign w:val="center"/>
            <w:hideMark/>
          </w:tcPr>
          <w:p w14:paraId="2FCE436C" w14:textId="77777777" w:rsidR="00370535" w:rsidRPr="00370535" w:rsidRDefault="00370535" w:rsidP="00370535">
            <w:pPr>
              <w:rPr>
                <w:rFonts w:cs="Arial"/>
              </w:rPr>
            </w:pPr>
            <w:r w:rsidRPr="00370535">
              <w:rPr>
                <w:rFonts w:cs="Arial"/>
              </w:rPr>
              <w:t>7.0%</w:t>
            </w:r>
          </w:p>
        </w:tc>
        <w:tc>
          <w:tcPr>
            <w:tcW w:w="1306" w:type="dxa"/>
            <w:tcBorders>
              <w:top w:val="single" w:sz="4" w:space="0" w:color="auto"/>
              <w:left w:val="single" w:sz="4" w:space="0" w:color="auto"/>
              <w:bottom w:val="single" w:sz="4" w:space="0" w:color="auto"/>
              <w:right w:val="single" w:sz="4" w:space="0" w:color="auto"/>
            </w:tcBorders>
            <w:vAlign w:val="center"/>
            <w:hideMark/>
          </w:tcPr>
          <w:p w14:paraId="16FD41CE" w14:textId="77777777" w:rsidR="00370535" w:rsidRPr="00370535" w:rsidRDefault="00370535" w:rsidP="00370535">
            <w:pPr>
              <w:rPr>
                <w:rFonts w:cs="Arial"/>
              </w:rPr>
            </w:pPr>
            <w:r w:rsidRPr="00370535">
              <w:rPr>
                <w:rFonts w:cs="Arial"/>
              </w:rPr>
              <w:t>3.3%</w:t>
            </w:r>
          </w:p>
        </w:tc>
        <w:tc>
          <w:tcPr>
            <w:tcW w:w="1530" w:type="dxa"/>
            <w:tcBorders>
              <w:top w:val="single" w:sz="4" w:space="0" w:color="auto"/>
              <w:left w:val="single" w:sz="4" w:space="0" w:color="auto"/>
              <w:bottom w:val="single" w:sz="4" w:space="0" w:color="auto"/>
              <w:right w:val="single" w:sz="4" w:space="0" w:color="auto"/>
            </w:tcBorders>
            <w:vAlign w:val="center"/>
            <w:hideMark/>
          </w:tcPr>
          <w:p w14:paraId="0CD23ED3" w14:textId="77777777" w:rsidR="00370535" w:rsidRPr="00370535" w:rsidRDefault="00370535" w:rsidP="00370535">
            <w:pPr>
              <w:rPr>
                <w:rFonts w:cs="Arial"/>
              </w:rPr>
            </w:pPr>
            <w:r w:rsidRPr="00370535">
              <w:rPr>
                <w:rFonts w:cs="Arial"/>
              </w:rPr>
              <w:t>2.3%</w:t>
            </w:r>
          </w:p>
        </w:tc>
        <w:tc>
          <w:tcPr>
            <w:tcW w:w="1239" w:type="dxa"/>
            <w:tcBorders>
              <w:top w:val="single" w:sz="4" w:space="0" w:color="auto"/>
              <w:left w:val="single" w:sz="4" w:space="0" w:color="auto"/>
              <w:bottom w:val="single" w:sz="4" w:space="0" w:color="auto"/>
              <w:right w:val="single" w:sz="4" w:space="0" w:color="auto"/>
            </w:tcBorders>
            <w:vAlign w:val="center"/>
            <w:hideMark/>
          </w:tcPr>
          <w:p w14:paraId="78C0E6F6" w14:textId="77777777" w:rsidR="00370535" w:rsidRPr="00370535" w:rsidRDefault="00370535" w:rsidP="00370535">
            <w:pPr>
              <w:rPr>
                <w:rFonts w:cs="Arial"/>
              </w:rPr>
            </w:pPr>
            <w:r w:rsidRPr="00370535">
              <w:rPr>
                <w:rFonts w:cs="Arial"/>
              </w:rPr>
              <w:t>8.1%</w:t>
            </w:r>
          </w:p>
        </w:tc>
        <w:tc>
          <w:tcPr>
            <w:tcW w:w="943" w:type="dxa"/>
            <w:tcBorders>
              <w:top w:val="single" w:sz="4" w:space="0" w:color="auto"/>
              <w:left w:val="single" w:sz="4" w:space="0" w:color="auto"/>
              <w:bottom w:val="single" w:sz="4" w:space="0" w:color="auto"/>
              <w:right w:val="single" w:sz="4" w:space="0" w:color="auto"/>
            </w:tcBorders>
            <w:vAlign w:val="center"/>
            <w:hideMark/>
          </w:tcPr>
          <w:p w14:paraId="1B69620E" w14:textId="77777777" w:rsidR="00370535" w:rsidRPr="00370535" w:rsidRDefault="00370535" w:rsidP="00370535">
            <w:pPr>
              <w:rPr>
                <w:rFonts w:cs="Arial"/>
              </w:rPr>
            </w:pPr>
            <w:r w:rsidRPr="00370535">
              <w:rPr>
                <w:rFonts w:cs="Arial"/>
              </w:rPr>
              <w:t>1.6%</w:t>
            </w:r>
          </w:p>
        </w:tc>
        <w:tc>
          <w:tcPr>
            <w:tcW w:w="1504" w:type="dxa"/>
            <w:tcBorders>
              <w:top w:val="single" w:sz="4" w:space="0" w:color="auto"/>
              <w:left w:val="single" w:sz="4" w:space="0" w:color="auto"/>
              <w:bottom w:val="single" w:sz="4" w:space="0" w:color="auto"/>
              <w:right w:val="single" w:sz="4" w:space="0" w:color="auto"/>
            </w:tcBorders>
            <w:vAlign w:val="center"/>
            <w:hideMark/>
          </w:tcPr>
          <w:p w14:paraId="34E38223" w14:textId="77777777" w:rsidR="00370535" w:rsidRPr="00370535" w:rsidRDefault="00370535" w:rsidP="00370535">
            <w:pPr>
              <w:rPr>
                <w:rFonts w:cs="Arial"/>
              </w:rPr>
            </w:pPr>
            <w:r w:rsidRPr="00370535">
              <w:rPr>
                <w:rFonts w:cs="Arial"/>
              </w:rPr>
              <w:t>2.2%</w:t>
            </w:r>
          </w:p>
        </w:tc>
      </w:tr>
      <w:tr w:rsidR="00370535" w:rsidRPr="00370535" w14:paraId="24D4ACE6" w14:textId="77777777" w:rsidTr="00364344">
        <w:tc>
          <w:tcPr>
            <w:tcW w:w="1270" w:type="dxa"/>
            <w:tcBorders>
              <w:top w:val="single" w:sz="4" w:space="0" w:color="auto"/>
              <w:left w:val="single" w:sz="4" w:space="0" w:color="auto"/>
              <w:bottom w:val="single" w:sz="4" w:space="0" w:color="auto"/>
              <w:right w:val="single" w:sz="4" w:space="0" w:color="auto"/>
            </w:tcBorders>
            <w:vAlign w:val="center"/>
            <w:hideMark/>
          </w:tcPr>
          <w:p w14:paraId="19C09BB4" w14:textId="77777777" w:rsidR="00370535" w:rsidRPr="00370535" w:rsidRDefault="00370535" w:rsidP="00370535">
            <w:pPr>
              <w:rPr>
                <w:rFonts w:cs="Arial"/>
              </w:rPr>
            </w:pPr>
            <w:r w:rsidRPr="00370535">
              <w:rPr>
                <w:rFonts w:cs="Arial"/>
              </w:rPr>
              <w:t>Wales</w:t>
            </w:r>
          </w:p>
        </w:tc>
        <w:tc>
          <w:tcPr>
            <w:tcW w:w="13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220709" w14:textId="77777777" w:rsidR="00370535" w:rsidRPr="00370535" w:rsidRDefault="00370535" w:rsidP="00370535">
            <w:pPr>
              <w:rPr>
                <w:rFonts w:cs="Arial"/>
              </w:rPr>
            </w:pPr>
          </w:p>
        </w:tc>
        <w:tc>
          <w:tcPr>
            <w:tcW w:w="1202" w:type="dxa"/>
            <w:tcBorders>
              <w:top w:val="single" w:sz="4" w:space="0" w:color="auto"/>
              <w:left w:val="single" w:sz="4" w:space="0" w:color="auto"/>
              <w:bottom w:val="single" w:sz="4" w:space="0" w:color="auto"/>
              <w:right w:val="single" w:sz="4" w:space="0" w:color="auto"/>
            </w:tcBorders>
            <w:vAlign w:val="center"/>
            <w:hideMark/>
          </w:tcPr>
          <w:p w14:paraId="6D74920C" w14:textId="77777777" w:rsidR="00370535" w:rsidRPr="00370535" w:rsidRDefault="00370535" w:rsidP="00370535">
            <w:pPr>
              <w:rPr>
                <w:rFonts w:cs="Arial"/>
              </w:rPr>
            </w:pPr>
            <w:r w:rsidRPr="00370535">
              <w:rPr>
                <w:rFonts w:cs="Arial"/>
              </w:rPr>
              <w:t>7.1%</w:t>
            </w:r>
          </w:p>
        </w:tc>
        <w:tc>
          <w:tcPr>
            <w:tcW w:w="1306" w:type="dxa"/>
            <w:tcBorders>
              <w:top w:val="single" w:sz="4" w:space="0" w:color="auto"/>
              <w:left w:val="single" w:sz="4" w:space="0" w:color="auto"/>
              <w:bottom w:val="single" w:sz="4" w:space="0" w:color="auto"/>
              <w:right w:val="single" w:sz="4" w:space="0" w:color="auto"/>
            </w:tcBorders>
            <w:vAlign w:val="center"/>
            <w:hideMark/>
          </w:tcPr>
          <w:p w14:paraId="2C13D5E4" w14:textId="77777777" w:rsidR="00370535" w:rsidRPr="00370535" w:rsidRDefault="00370535" w:rsidP="00370535">
            <w:pPr>
              <w:rPr>
                <w:rFonts w:cs="Arial"/>
              </w:rPr>
            </w:pPr>
            <w:r w:rsidRPr="00370535">
              <w:rPr>
                <w:rFonts w:cs="Arial"/>
              </w:rPr>
              <w:t>3.4%</w:t>
            </w:r>
          </w:p>
        </w:tc>
        <w:tc>
          <w:tcPr>
            <w:tcW w:w="1530" w:type="dxa"/>
            <w:tcBorders>
              <w:top w:val="single" w:sz="4" w:space="0" w:color="auto"/>
              <w:left w:val="single" w:sz="4" w:space="0" w:color="auto"/>
              <w:bottom w:val="single" w:sz="4" w:space="0" w:color="auto"/>
              <w:right w:val="single" w:sz="4" w:space="0" w:color="auto"/>
            </w:tcBorders>
            <w:vAlign w:val="center"/>
            <w:hideMark/>
          </w:tcPr>
          <w:p w14:paraId="1001454D" w14:textId="77777777" w:rsidR="00370535" w:rsidRPr="00370535" w:rsidRDefault="00370535" w:rsidP="00370535">
            <w:pPr>
              <w:rPr>
                <w:rFonts w:cs="Arial"/>
              </w:rPr>
            </w:pPr>
            <w:r w:rsidRPr="00370535">
              <w:rPr>
                <w:rFonts w:cs="Arial"/>
              </w:rPr>
              <w:t>2.3%</w:t>
            </w:r>
          </w:p>
        </w:tc>
        <w:tc>
          <w:tcPr>
            <w:tcW w:w="1239" w:type="dxa"/>
            <w:tcBorders>
              <w:top w:val="single" w:sz="4" w:space="0" w:color="auto"/>
              <w:left w:val="single" w:sz="4" w:space="0" w:color="auto"/>
              <w:bottom w:val="single" w:sz="4" w:space="0" w:color="auto"/>
              <w:right w:val="single" w:sz="4" w:space="0" w:color="auto"/>
            </w:tcBorders>
            <w:vAlign w:val="center"/>
            <w:hideMark/>
          </w:tcPr>
          <w:p w14:paraId="1BCC5AAA" w14:textId="77777777" w:rsidR="00370535" w:rsidRPr="00370535" w:rsidRDefault="00370535" w:rsidP="00370535">
            <w:pPr>
              <w:rPr>
                <w:rFonts w:cs="Arial"/>
              </w:rPr>
            </w:pPr>
            <w:r w:rsidRPr="00370535">
              <w:rPr>
                <w:rFonts w:cs="Arial"/>
              </w:rPr>
              <w:t>8.4%</w:t>
            </w:r>
          </w:p>
        </w:tc>
        <w:tc>
          <w:tcPr>
            <w:tcW w:w="943" w:type="dxa"/>
            <w:tcBorders>
              <w:top w:val="single" w:sz="4" w:space="0" w:color="auto"/>
              <w:left w:val="single" w:sz="4" w:space="0" w:color="auto"/>
              <w:bottom w:val="single" w:sz="4" w:space="0" w:color="auto"/>
              <w:right w:val="single" w:sz="4" w:space="0" w:color="auto"/>
            </w:tcBorders>
            <w:vAlign w:val="center"/>
            <w:hideMark/>
          </w:tcPr>
          <w:p w14:paraId="09BEEE5F" w14:textId="77777777" w:rsidR="00370535" w:rsidRPr="00370535" w:rsidRDefault="00370535" w:rsidP="00370535">
            <w:pPr>
              <w:rPr>
                <w:rFonts w:cs="Arial"/>
              </w:rPr>
            </w:pPr>
            <w:r w:rsidRPr="00370535">
              <w:rPr>
                <w:rFonts w:cs="Arial"/>
              </w:rPr>
              <w:t>1.4%</w:t>
            </w:r>
          </w:p>
        </w:tc>
        <w:tc>
          <w:tcPr>
            <w:tcW w:w="1504" w:type="dxa"/>
            <w:tcBorders>
              <w:top w:val="single" w:sz="4" w:space="0" w:color="auto"/>
              <w:left w:val="single" w:sz="4" w:space="0" w:color="auto"/>
              <w:bottom w:val="single" w:sz="4" w:space="0" w:color="auto"/>
              <w:right w:val="single" w:sz="4" w:space="0" w:color="auto"/>
            </w:tcBorders>
            <w:vAlign w:val="center"/>
            <w:hideMark/>
          </w:tcPr>
          <w:p w14:paraId="7CCB7857" w14:textId="77777777" w:rsidR="00370535" w:rsidRPr="00370535" w:rsidRDefault="00370535" w:rsidP="00370535">
            <w:pPr>
              <w:rPr>
                <w:rFonts w:cs="Arial"/>
              </w:rPr>
            </w:pPr>
            <w:r w:rsidRPr="00370535">
              <w:rPr>
                <w:rFonts w:cs="Arial"/>
              </w:rPr>
              <w:t>2.2%</w:t>
            </w:r>
          </w:p>
        </w:tc>
      </w:tr>
    </w:tbl>
    <w:p w14:paraId="0DF9C0CF" w14:textId="77777777" w:rsidR="00370535" w:rsidRPr="00370535" w:rsidRDefault="00370535" w:rsidP="00370535">
      <w:pPr>
        <w:rPr>
          <w:rFonts w:cs="Arial"/>
          <w:b/>
        </w:rPr>
      </w:pPr>
    </w:p>
    <w:p w14:paraId="41668317" w14:textId="77777777" w:rsidR="00370535" w:rsidRPr="00370535" w:rsidRDefault="00370535" w:rsidP="00370535">
      <w:pPr>
        <w:rPr>
          <w:rFonts w:cs="Arial"/>
          <w:bCs/>
        </w:rPr>
      </w:pPr>
      <w:r w:rsidRPr="00370535">
        <w:rPr>
          <w:rFonts w:cs="Arial"/>
          <w:bCs/>
        </w:rPr>
        <w:t xml:space="preserve">As can be seen, Swansea Bay University Health Board has a lower or an equivalent estimated prevalence of the above chronic health conditions, except for heart failure, than the average for Wales. </w:t>
      </w:r>
    </w:p>
    <w:p w14:paraId="14BFE48C" w14:textId="77777777" w:rsidR="00370535" w:rsidRPr="00370535" w:rsidRDefault="00370535" w:rsidP="00370535">
      <w:pPr>
        <w:rPr>
          <w:rFonts w:cs="Arial"/>
          <w:bCs/>
        </w:rPr>
      </w:pPr>
    </w:p>
    <w:p w14:paraId="20AF8483" w14:textId="77777777" w:rsidR="00370535" w:rsidRPr="00370535" w:rsidRDefault="00370535" w:rsidP="00370535">
      <w:pPr>
        <w:rPr>
          <w:rFonts w:cs="Arial"/>
        </w:rPr>
      </w:pPr>
      <w:r w:rsidRPr="00370535">
        <w:rPr>
          <w:rFonts w:cs="Arial"/>
        </w:rPr>
        <w:t>Most of the clusters in Swansea either have a lower or equivalent estimated prevalence of chronic health conditions when compared with the health board and Wales, except for the following clusters.</w:t>
      </w:r>
    </w:p>
    <w:p w14:paraId="087B4B2B" w14:textId="77777777" w:rsidR="00370535" w:rsidRPr="00370535" w:rsidRDefault="00370535" w:rsidP="00370535">
      <w:pPr>
        <w:rPr>
          <w:rFonts w:cs="Arial"/>
        </w:rPr>
      </w:pPr>
    </w:p>
    <w:p w14:paraId="7CFF5F39" w14:textId="77777777" w:rsidR="00370535" w:rsidRPr="00370535" w:rsidRDefault="00370535" w:rsidP="00B76905">
      <w:pPr>
        <w:numPr>
          <w:ilvl w:val="0"/>
          <w:numId w:val="44"/>
        </w:numPr>
        <w:rPr>
          <w:rFonts w:cs="Arial"/>
        </w:rPr>
      </w:pPr>
      <w:r w:rsidRPr="00370535">
        <w:rPr>
          <w:rFonts w:cs="Arial"/>
        </w:rPr>
        <w:t>Asthma – Llwchwr (7.6%) is higher than both the health board (7.0%) and Wales (7.1%) rates.</w:t>
      </w:r>
    </w:p>
    <w:p w14:paraId="6BF50D28" w14:textId="77777777" w:rsidR="00370535" w:rsidRPr="00370535" w:rsidRDefault="00370535" w:rsidP="00B76905">
      <w:pPr>
        <w:numPr>
          <w:ilvl w:val="0"/>
          <w:numId w:val="44"/>
        </w:numPr>
        <w:rPr>
          <w:rFonts w:cs="Arial"/>
        </w:rPr>
      </w:pPr>
      <w:r w:rsidRPr="00370535">
        <w:rPr>
          <w:rFonts w:cs="Arial"/>
        </w:rPr>
        <w:t>Coronary heart disease – Penderi (3.5%) is higher than both the health board (3.3%) and Wales (3.4%) rates.</w:t>
      </w:r>
    </w:p>
    <w:p w14:paraId="3306B6B0" w14:textId="77777777" w:rsidR="00370535" w:rsidRPr="00370535" w:rsidRDefault="00370535" w:rsidP="00B76905">
      <w:pPr>
        <w:numPr>
          <w:ilvl w:val="0"/>
          <w:numId w:val="44"/>
        </w:numPr>
        <w:rPr>
          <w:rFonts w:cs="Arial"/>
        </w:rPr>
      </w:pPr>
      <w:r w:rsidRPr="00370535">
        <w:rPr>
          <w:rFonts w:cs="Arial"/>
        </w:rPr>
        <w:t>Chronic obstructive pulmonary disease – City Health (2.6%) and Penderi (3.0%) are higher than both the health board (2.3%) and Wales (2.3%) rates.</w:t>
      </w:r>
    </w:p>
    <w:p w14:paraId="239B3ADB" w14:textId="77777777" w:rsidR="00370535" w:rsidRPr="00370535" w:rsidRDefault="00370535" w:rsidP="00B76905">
      <w:pPr>
        <w:numPr>
          <w:ilvl w:val="0"/>
          <w:numId w:val="44"/>
        </w:numPr>
        <w:rPr>
          <w:rFonts w:cs="Arial"/>
        </w:rPr>
      </w:pPr>
      <w:r w:rsidRPr="00370535">
        <w:rPr>
          <w:rFonts w:cs="Arial"/>
        </w:rPr>
        <w:lastRenderedPageBreak/>
        <w:t>Diabetes – Cwmtawe (8.9%) and Penderi (9.0%) are higher than both the health board (8.1%) and Wales (8.4%) rates.</w:t>
      </w:r>
    </w:p>
    <w:p w14:paraId="152DB0E3" w14:textId="77777777" w:rsidR="00370535" w:rsidRPr="00370535" w:rsidRDefault="00370535" w:rsidP="00B76905">
      <w:pPr>
        <w:numPr>
          <w:ilvl w:val="0"/>
          <w:numId w:val="44"/>
        </w:numPr>
        <w:rPr>
          <w:rFonts w:cs="Arial"/>
        </w:rPr>
      </w:pPr>
      <w:r w:rsidRPr="00370535">
        <w:rPr>
          <w:rFonts w:cs="Arial"/>
        </w:rPr>
        <w:t>Heart failure – Llwchwr (1.8%) and Penderi (1.9%) are both higher than the health board (1.6%) and Wales (1.4%) rates and Cwmtawe (1.5%) is higher than Wales rates.</w:t>
      </w:r>
    </w:p>
    <w:p w14:paraId="14E7B954" w14:textId="77777777" w:rsidR="00370535" w:rsidRPr="00370535" w:rsidRDefault="00370535" w:rsidP="00B76905">
      <w:pPr>
        <w:numPr>
          <w:ilvl w:val="0"/>
          <w:numId w:val="44"/>
        </w:numPr>
        <w:rPr>
          <w:rFonts w:cs="Arial"/>
        </w:rPr>
      </w:pPr>
      <w:r w:rsidRPr="00370535">
        <w:rPr>
          <w:rFonts w:cs="Arial"/>
        </w:rPr>
        <w:t>Stroke and transient ischaemic attacks – Cwmtawe (2.3%), Llwchwr (2.3%) and Penderi (2.4%) are higher than both the health board (2.2%) and Wales (2.2%) rates.</w:t>
      </w:r>
    </w:p>
    <w:p w14:paraId="18BD7C39" w14:textId="77777777" w:rsidR="00370535" w:rsidRPr="00370535" w:rsidRDefault="00370535" w:rsidP="00370535">
      <w:pPr>
        <w:rPr>
          <w:rFonts w:cs="Arial"/>
        </w:rPr>
      </w:pPr>
    </w:p>
    <w:p w14:paraId="38534CBB" w14:textId="77777777" w:rsidR="00370535" w:rsidRPr="00370535" w:rsidRDefault="00370535" w:rsidP="00370535">
      <w:pPr>
        <w:rPr>
          <w:rFonts w:cs="Arial"/>
        </w:rPr>
      </w:pPr>
      <w:r w:rsidRPr="00370535">
        <w:rPr>
          <w:rFonts w:cs="Arial"/>
        </w:rPr>
        <w:t>Neath Port Talbot clusters show estimated prevalence is higher across all chronic health conditions when compared to the health board and Wales, except for the following clusters:</w:t>
      </w:r>
    </w:p>
    <w:p w14:paraId="6EB37A59" w14:textId="77777777" w:rsidR="00370535" w:rsidRPr="00370535" w:rsidRDefault="00370535" w:rsidP="00370535">
      <w:pPr>
        <w:rPr>
          <w:rFonts w:cs="Arial"/>
        </w:rPr>
      </w:pPr>
    </w:p>
    <w:p w14:paraId="76698F0E" w14:textId="77777777" w:rsidR="00370535" w:rsidRPr="00370535" w:rsidRDefault="00370535" w:rsidP="00B76905">
      <w:pPr>
        <w:numPr>
          <w:ilvl w:val="0"/>
          <w:numId w:val="45"/>
        </w:numPr>
        <w:rPr>
          <w:rFonts w:cs="Arial"/>
        </w:rPr>
      </w:pPr>
      <w:r w:rsidRPr="00370535">
        <w:rPr>
          <w:rFonts w:cs="Arial"/>
        </w:rPr>
        <w:t>Asthma - Upper Valleys (7.1%) equal to the rate for Wales.</w:t>
      </w:r>
    </w:p>
    <w:p w14:paraId="4AA20D7D" w14:textId="77777777" w:rsidR="00370535" w:rsidRPr="00370535" w:rsidRDefault="00370535" w:rsidP="00B76905">
      <w:pPr>
        <w:numPr>
          <w:ilvl w:val="0"/>
          <w:numId w:val="45"/>
        </w:numPr>
        <w:rPr>
          <w:rFonts w:cs="Arial"/>
        </w:rPr>
      </w:pPr>
      <w:r w:rsidRPr="00370535">
        <w:rPr>
          <w:rFonts w:cs="Arial"/>
        </w:rPr>
        <w:t>Heart failure – Neath (1.5%) lower than the health board (1.6%) rate.</w:t>
      </w:r>
    </w:p>
    <w:p w14:paraId="45EC428F" w14:textId="77777777" w:rsidR="00370535" w:rsidRPr="00370535" w:rsidRDefault="00370535" w:rsidP="00B76905">
      <w:pPr>
        <w:numPr>
          <w:ilvl w:val="0"/>
          <w:numId w:val="45"/>
        </w:numPr>
        <w:rPr>
          <w:rFonts w:cs="Arial"/>
        </w:rPr>
      </w:pPr>
      <w:r w:rsidRPr="00370535">
        <w:rPr>
          <w:rFonts w:cs="Arial"/>
        </w:rPr>
        <w:t>Stroke and transient ischaemic attacks – Afan (2.2%) equal to both the health board and Wales rates.</w:t>
      </w:r>
    </w:p>
    <w:p w14:paraId="13C2531A" w14:textId="77777777" w:rsidR="00370535" w:rsidRPr="00370535" w:rsidRDefault="00370535" w:rsidP="00370535">
      <w:pPr>
        <w:rPr>
          <w:rFonts w:cs="Arial"/>
        </w:rPr>
      </w:pPr>
    </w:p>
    <w:p w14:paraId="20FAB62F" w14:textId="77777777" w:rsidR="00370535" w:rsidRPr="00370535" w:rsidRDefault="00370535" w:rsidP="00370535">
      <w:pPr>
        <w:rPr>
          <w:rFonts w:cs="Arial"/>
        </w:rPr>
      </w:pPr>
      <w:r w:rsidRPr="00370535">
        <w:rPr>
          <w:rFonts w:cs="Arial"/>
        </w:rPr>
        <w:t>The table below shows the recorded prevalence of musculoskeletal conditions through specific indicators osteoporosis (50 years and over) and rheumatoid arthritis (16 year and over) across the clusters. Figures are compared with the Swansea Bay University Health Board and Wales averages.</w:t>
      </w:r>
    </w:p>
    <w:p w14:paraId="4D2BE338" w14:textId="77777777" w:rsidR="00370535" w:rsidRPr="00370535" w:rsidRDefault="00370535" w:rsidP="00370535">
      <w:pPr>
        <w:rPr>
          <w:rFonts w:cs="Arial"/>
        </w:rPr>
      </w:pPr>
    </w:p>
    <w:p w14:paraId="27B8B363" w14:textId="77777777" w:rsidR="00370535" w:rsidRPr="00370535" w:rsidRDefault="00370535" w:rsidP="00370535">
      <w:pPr>
        <w:rPr>
          <w:rFonts w:cs="Arial"/>
          <w:b/>
          <w:bCs/>
        </w:rPr>
      </w:pPr>
      <w:r w:rsidRPr="00370535">
        <w:rPr>
          <w:rFonts w:cs="Arial"/>
          <w:b/>
          <w:bCs/>
        </w:rPr>
        <w:t>Table 3.2: Estimated percentage prevalence of osteoporosis (50 years and over) and rheumatoid arthritis (16 year and over) based on people on GP practice registers by cluster, health board and Wales, 2025</w:t>
      </w:r>
      <w:r w:rsidRPr="00370535">
        <w:rPr>
          <w:rFonts w:cs="Arial"/>
          <w:b/>
          <w:bCs/>
          <w:vertAlign w:val="superscript"/>
        </w:rPr>
        <w:footnoteReference w:id="46"/>
      </w:r>
    </w:p>
    <w:p w14:paraId="73C6A0D9" w14:textId="77777777" w:rsidR="00370535" w:rsidRPr="00370535" w:rsidRDefault="00370535" w:rsidP="00370535">
      <w:pPr>
        <w:rPr>
          <w:rFonts w:cs="Arial"/>
          <w:b/>
        </w:rPr>
      </w:pPr>
    </w:p>
    <w:tbl>
      <w:tblPr>
        <w:tblStyle w:val="TableGrid3"/>
        <w:tblW w:w="9076" w:type="dxa"/>
        <w:tblInd w:w="-5" w:type="dxa"/>
        <w:tblLayout w:type="fixed"/>
        <w:tblLook w:val="04A0" w:firstRow="1" w:lastRow="0" w:firstColumn="1" w:lastColumn="0" w:noHBand="0" w:noVBand="1"/>
      </w:tblPr>
      <w:tblGrid>
        <w:gridCol w:w="2126"/>
        <w:gridCol w:w="1841"/>
        <w:gridCol w:w="2412"/>
        <w:gridCol w:w="2697"/>
      </w:tblGrid>
      <w:tr w:rsidR="00370535" w:rsidRPr="00370535" w14:paraId="701C2DBE" w14:textId="77777777" w:rsidTr="00C7745D">
        <w:tc>
          <w:tcPr>
            <w:tcW w:w="2126"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26159467" w14:textId="77777777" w:rsidR="00370535" w:rsidRPr="00370535" w:rsidRDefault="00370535" w:rsidP="00370535">
            <w:pPr>
              <w:rPr>
                <w:rFonts w:cs="Arial"/>
                <w:b/>
              </w:rPr>
            </w:pPr>
            <w:r w:rsidRPr="00370535">
              <w:rPr>
                <w:rFonts w:cs="Arial"/>
                <w:b/>
                <w:bCs/>
              </w:rPr>
              <w:t>Cluster/Area</w:t>
            </w:r>
          </w:p>
        </w:tc>
        <w:tc>
          <w:tcPr>
            <w:tcW w:w="1841"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24EAF8BB" w14:textId="77777777" w:rsidR="00370535" w:rsidRPr="00370535" w:rsidRDefault="00370535" w:rsidP="00370535">
            <w:pPr>
              <w:rPr>
                <w:rFonts w:cs="Arial"/>
                <w:b/>
                <w:bCs/>
              </w:rPr>
            </w:pPr>
            <w:r w:rsidRPr="00370535">
              <w:rPr>
                <w:rFonts w:cs="Arial"/>
                <w:b/>
                <w:bCs/>
              </w:rPr>
              <w:t>Local authority</w:t>
            </w:r>
          </w:p>
        </w:tc>
        <w:tc>
          <w:tcPr>
            <w:tcW w:w="2412"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6554D215" w14:textId="77777777" w:rsidR="00370535" w:rsidRPr="00370535" w:rsidRDefault="00370535" w:rsidP="00370535">
            <w:pPr>
              <w:rPr>
                <w:rFonts w:cs="Arial"/>
                <w:b/>
                <w:bCs/>
              </w:rPr>
            </w:pPr>
            <w:r w:rsidRPr="00370535">
              <w:rPr>
                <w:rFonts w:cs="Arial"/>
                <w:b/>
                <w:bCs/>
              </w:rPr>
              <w:t>Osteoporosis</w:t>
            </w:r>
          </w:p>
          <w:p w14:paraId="020C59A8" w14:textId="77777777" w:rsidR="00370535" w:rsidRPr="00370535" w:rsidRDefault="00370535" w:rsidP="00370535">
            <w:pPr>
              <w:rPr>
                <w:rFonts w:cs="Arial"/>
                <w:b/>
                <w:bCs/>
              </w:rPr>
            </w:pPr>
            <w:r w:rsidRPr="00370535">
              <w:rPr>
                <w:rFonts w:cs="Arial"/>
                <w:b/>
                <w:bCs/>
              </w:rPr>
              <w:t>(50 years and over)</w:t>
            </w:r>
          </w:p>
        </w:tc>
        <w:tc>
          <w:tcPr>
            <w:tcW w:w="2697"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2ED83655" w14:textId="77777777" w:rsidR="00370535" w:rsidRPr="00370535" w:rsidRDefault="00370535" w:rsidP="00370535">
            <w:pPr>
              <w:rPr>
                <w:rFonts w:cs="Arial"/>
                <w:b/>
                <w:bCs/>
              </w:rPr>
            </w:pPr>
            <w:r w:rsidRPr="00370535">
              <w:rPr>
                <w:rFonts w:cs="Arial"/>
                <w:b/>
                <w:bCs/>
              </w:rPr>
              <w:t>Rheumatoid arthritis</w:t>
            </w:r>
          </w:p>
          <w:p w14:paraId="37A92C7B" w14:textId="77777777" w:rsidR="00370535" w:rsidRPr="00370535" w:rsidRDefault="00370535" w:rsidP="00370535">
            <w:pPr>
              <w:rPr>
                <w:rFonts w:cs="Arial"/>
                <w:b/>
                <w:bCs/>
              </w:rPr>
            </w:pPr>
            <w:r w:rsidRPr="00370535">
              <w:rPr>
                <w:rFonts w:cs="Arial"/>
                <w:b/>
                <w:bCs/>
              </w:rPr>
              <w:t>(16 year and over)</w:t>
            </w:r>
          </w:p>
        </w:tc>
      </w:tr>
      <w:tr w:rsidR="00370535" w:rsidRPr="00370535" w14:paraId="1016F9FC" w14:textId="77777777" w:rsidTr="00C7745D">
        <w:tc>
          <w:tcPr>
            <w:tcW w:w="2126" w:type="dxa"/>
            <w:tcBorders>
              <w:top w:val="single" w:sz="4" w:space="0" w:color="auto"/>
              <w:left w:val="single" w:sz="4" w:space="0" w:color="auto"/>
              <w:bottom w:val="single" w:sz="4" w:space="0" w:color="auto"/>
              <w:right w:val="single" w:sz="4" w:space="0" w:color="auto"/>
            </w:tcBorders>
            <w:vAlign w:val="center"/>
            <w:hideMark/>
          </w:tcPr>
          <w:p w14:paraId="0413C1AC" w14:textId="77777777" w:rsidR="00370535" w:rsidRPr="00370535" w:rsidRDefault="00370535" w:rsidP="00370535">
            <w:pPr>
              <w:rPr>
                <w:rFonts w:cs="Arial"/>
              </w:rPr>
            </w:pPr>
            <w:r w:rsidRPr="00370535">
              <w:rPr>
                <w:rFonts w:cs="Arial"/>
              </w:rPr>
              <w:t>Bay Health</w:t>
            </w:r>
          </w:p>
        </w:tc>
        <w:tc>
          <w:tcPr>
            <w:tcW w:w="1841" w:type="dxa"/>
            <w:tcBorders>
              <w:top w:val="single" w:sz="4" w:space="0" w:color="auto"/>
              <w:left w:val="single" w:sz="4" w:space="0" w:color="auto"/>
              <w:bottom w:val="single" w:sz="4" w:space="0" w:color="auto"/>
              <w:right w:val="single" w:sz="4" w:space="0" w:color="auto"/>
            </w:tcBorders>
            <w:hideMark/>
          </w:tcPr>
          <w:p w14:paraId="04F9897A" w14:textId="77777777" w:rsidR="00370535" w:rsidRPr="00370535" w:rsidRDefault="00370535" w:rsidP="00370535">
            <w:pPr>
              <w:rPr>
                <w:rFonts w:cs="Arial"/>
                <w:bCs/>
              </w:rPr>
            </w:pPr>
            <w:r w:rsidRPr="00370535">
              <w:rPr>
                <w:rFonts w:cs="Arial"/>
                <w:bCs/>
              </w:rPr>
              <w:t>Swansea</w:t>
            </w:r>
          </w:p>
        </w:tc>
        <w:tc>
          <w:tcPr>
            <w:tcW w:w="2412" w:type="dxa"/>
            <w:tcBorders>
              <w:top w:val="single" w:sz="4" w:space="0" w:color="auto"/>
              <w:left w:val="single" w:sz="4" w:space="0" w:color="auto"/>
              <w:bottom w:val="single" w:sz="4" w:space="0" w:color="auto"/>
              <w:right w:val="single" w:sz="4" w:space="0" w:color="auto"/>
            </w:tcBorders>
            <w:hideMark/>
          </w:tcPr>
          <w:p w14:paraId="741BC451" w14:textId="77777777" w:rsidR="00370535" w:rsidRPr="00370535" w:rsidRDefault="00370535" w:rsidP="00370535">
            <w:pPr>
              <w:rPr>
                <w:rFonts w:cs="Arial"/>
                <w:bCs/>
              </w:rPr>
            </w:pPr>
            <w:r w:rsidRPr="00370535">
              <w:rPr>
                <w:rFonts w:cs="Arial"/>
                <w:bCs/>
              </w:rPr>
              <w:t>0.6%</w:t>
            </w:r>
          </w:p>
        </w:tc>
        <w:tc>
          <w:tcPr>
            <w:tcW w:w="2697" w:type="dxa"/>
            <w:tcBorders>
              <w:top w:val="single" w:sz="4" w:space="0" w:color="auto"/>
              <w:left w:val="single" w:sz="4" w:space="0" w:color="auto"/>
              <w:bottom w:val="single" w:sz="4" w:space="0" w:color="auto"/>
              <w:right w:val="single" w:sz="4" w:space="0" w:color="auto"/>
            </w:tcBorders>
            <w:hideMark/>
          </w:tcPr>
          <w:p w14:paraId="68473DB3" w14:textId="77777777" w:rsidR="00370535" w:rsidRPr="00370535" w:rsidRDefault="00370535" w:rsidP="00370535">
            <w:pPr>
              <w:rPr>
                <w:rFonts w:cs="Arial"/>
                <w:bCs/>
              </w:rPr>
            </w:pPr>
            <w:r w:rsidRPr="00370535">
              <w:rPr>
                <w:rFonts w:cs="Arial"/>
                <w:bCs/>
              </w:rPr>
              <w:t>0.7%</w:t>
            </w:r>
          </w:p>
        </w:tc>
      </w:tr>
      <w:tr w:rsidR="00370535" w:rsidRPr="00370535" w14:paraId="12FCF470" w14:textId="77777777" w:rsidTr="00C7745D">
        <w:tc>
          <w:tcPr>
            <w:tcW w:w="2126" w:type="dxa"/>
            <w:tcBorders>
              <w:top w:val="single" w:sz="4" w:space="0" w:color="auto"/>
              <w:left w:val="single" w:sz="4" w:space="0" w:color="auto"/>
              <w:bottom w:val="single" w:sz="4" w:space="0" w:color="auto"/>
              <w:right w:val="single" w:sz="4" w:space="0" w:color="auto"/>
            </w:tcBorders>
            <w:vAlign w:val="center"/>
            <w:hideMark/>
          </w:tcPr>
          <w:p w14:paraId="5C80F8FC" w14:textId="77777777" w:rsidR="00370535" w:rsidRPr="00370535" w:rsidRDefault="00370535" w:rsidP="00370535">
            <w:pPr>
              <w:rPr>
                <w:rFonts w:cs="Arial"/>
              </w:rPr>
            </w:pPr>
            <w:r w:rsidRPr="00370535">
              <w:rPr>
                <w:rFonts w:cs="Arial"/>
              </w:rPr>
              <w:t>City Health</w:t>
            </w:r>
          </w:p>
        </w:tc>
        <w:tc>
          <w:tcPr>
            <w:tcW w:w="1841" w:type="dxa"/>
            <w:tcBorders>
              <w:top w:val="single" w:sz="4" w:space="0" w:color="auto"/>
              <w:left w:val="single" w:sz="4" w:space="0" w:color="auto"/>
              <w:bottom w:val="single" w:sz="4" w:space="0" w:color="auto"/>
              <w:right w:val="single" w:sz="4" w:space="0" w:color="auto"/>
            </w:tcBorders>
            <w:hideMark/>
          </w:tcPr>
          <w:p w14:paraId="5ADCBD7A" w14:textId="77777777" w:rsidR="00370535" w:rsidRPr="00370535" w:rsidRDefault="00370535" w:rsidP="00370535">
            <w:pPr>
              <w:rPr>
                <w:rFonts w:cs="Arial"/>
                <w:bCs/>
              </w:rPr>
            </w:pPr>
            <w:r w:rsidRPr="00370535">
              <w:rPr>
                <w:rFonts w:cs="Arial"/>
                <w:bCs/>
              </w:rPr>
              <w:t>Swansea</w:t>
            </w:r>
          </w:p>
        </w:tc>
        <w:tc>
          <w:tcPr>
            <w:tcW w:w="2412" w:type="dxa"/>
            <w:tcBorders>
              <w:top w:val="single" w:sz="4" w:space="0" w:color="auto"/>
              <w:left w:val="single" w:sz="4" w:space="0" w:color="auto"/>
              <w:bottom w:val="single" w:sz="4" w:space="0" w:color="auto"/>
              <w:right w:val="single" w:sz="4" w:space="0" w:color="auto"/>
            </w:tcBorders>
            <w:hideMark/>
          </w:tcPr>
          <w:p w14:paraId="615DDAAB" w14:textId="77777777" w:rsidR="00370535" w:rsidRPr="00370535" w:rsidRDefault="00370535" w:rsidP="00370535">
            <w:pPr>
              <w:rPr>
                <w:rFonts w:cs="Arial"/>
                <w:bCs/>
              </w:rPr>
            </w:pPr>
            <w:r w:rsidRPr="00370535">
              <w:rPr>
                <w:rFonts w:cs="Arial"/>
                <w:bCs/>
              </w:rPr>
              <w:t>0.3%</w:t>
            </w:r>
          </w:p>
        </w:tc>
        <w:tc>
          <w:tcPr>
            <w:tcW w:w="2697" w:type="dxa"/>
            <w:tcBorders>
              <w:top w:val="single" w:sz="4" w:space="0" w:color="auto"/>
              <w:left w:val="single" w:sz="4" w:space="0" w:color="auto"/>
              <w:bottom w:val="single" w:sz="4" w:space="0" w:color="auto"/>
              <w:right w:val="single" w:sz="4" w:space="0" w:color="auto"/>
            </w:tcBorders>
            <w:hideMark/>
          </w:tcPr>
          <w:p w14:paraId="689ABACB" w14:textId="77777777" w:rsidR="00370535" w:rsidRPr="00370535" w:rsidRDefault="00370535" w:rsidP="00370535">
            <w:pPr>
              <w:rPr>
                <w:rFonts w:cs="Arial"/>
                <w:bCs/>
              </w:rPr>
            </w:pPr>
            <w:r w:rsidRPr="00370535">
              <w:rPr>
                <w:rFonts w:cs="Arial"/>
                <w:bCs/>
              </w:rPr>
              <w:t>0.6%</w:t>
            </w:r>
          </w:p>
        </w:tc>
      </w:tr>
      <w:tr w:rsidR="00370535" w:rsidRPr="00370535" w14:paraId="1F8051DB" w14:textId="77777777" w:rsidTr="00C7745D">
        <w:tc>
          <w:tcPr>
            <w:tcW w:w="2126" w:type="dxa"/>
            <w:tcBorders>
              <w:top w:val="single" w:sz="4" w:space="0" w:color="auto"/>
              <w:left w:val="single" w:sz="4" w:space="0" w:color="auto"/>
              <w:bottom w:val="single" w:sz="4" w:space="0" w:color="auto"/>
              <w:right w:val="single" w:sz="4" w:space="0" w:color="auto"/>
            </w:tcBorders>
            <w:vAlign w:val="center"/>
            <w:hideMark/>
          </w:tcPr>
          <w:p w14:paraId="0D3A1561" w14:textId="77777777" w:rsidR="00370535" w:rsidRPr="00370535" w:rsidRDefault="00370535" w:rsidP="00370535">
            <w:pPr>
              <w:rPr>
                <w:rFonts w:cs="Arial"/>
              </w:rPr>
            </w:pPr>
            <w:r w:rsidRPr="00370535">
              <w:rPr>
                <w:rFonts w:cs="Arial"/>
              </w:rPr>
              <w:t>Cwmtawe</w:t>
            </w:r>
          </w:p>
        </w:tc>
        <w:tc>
          <w:tcPr>
            <w:tcW w:w="1841" w:type="dxa"/>
            <w:tcBorders>
              <w:top w:val="single" w:sz="4" w:space="0" w:color="auto"/>
              <w:left w:val="single" w:sz="4" w:space="0" w:color="auto"/>
              <w:bottom w:val="single" w:sz="4" w:space="0" w:color="auto"/>
              <w:right w:val="single" w:sz="4" w:space="0" w:color="auto"/>
            </w:tcBorders>
            <w:hideMark/>
          </w:tcPr>
          <w:p w14:paraId="0852CF8E" w14:textId="77777777" w:rsidR="00370535" w:rsidRPr="00370535" w:rsidRDefault="00370535" w:rsidP="00370535">
            <w:pPr>
              <w:rPr>
                <w:rFonts w:cs="Arial"/>
                <w:bCs/>
              </w:rPr>
            </w:pPr>
            <w:r w:rsidRPr="00370535">
              <w:rPr>
                <w:rFonts w:cs="Arial"/>
                <w:bCs/>
              </w:rPr>
              <w:t>Swansea</w:t>
            </w:r>
          </w:p>
        </w:tc>
        <w:tc>
          <w:tcPr>
            <w:tcW w:w="2412" w:type="dxa"/>
            <w:tcBorders>
              <w:top w:val="single" w:sz="4" w:space="0" w:color="auto"/>
              <w:left w:val="single" w:sz="4" w:space="0" w:color="auto"/>
              <w:bottom w:val="single" w:sz="4" w:space="0" w:color="auto"/>
              <w:right w:val="single" w:sz="4" w:space="0" w:color="auto"/>
            </w:tcBorders>
            <w:hideMark/>
          </w:tcPr>
          <w:p w14:paraId="6BF13F98" w14:textId="77777777" w:rsidR="00370535" w:rsidRPr="00370535" w:rsidRDefault="00370535" w:rsidP="00370535">
            <w:pPr>
              <w:rPr>
                <w:rFonts w:cs="Arial"/>
                <w:bCs/>
              </w:rPr>
            </w:pPr>
            <w:r w:rsidRPr="00370535">
              <w:rPr>
                <w:rFonts w:cs="Arial"/>
                <w:bCs/>
              </w:rPr>
              <w:t>0.5%</w:t>
            </w:r>
          </w:p>
        </w:tc>
        <w:tc>
          <w:tcPr>
            <w:tcW w:w="2697" w:type="dxa"/>
            <w:tcBorders>
              <w:top w:val="single" w:sz="4" w:space="0" w:color="auto"/>
              <w:left w:val="single" w:sz="4" w:space="0" w:color="auto"/>
              <w:bottom w:val="single" w:sz="4" w:space="0" w:color="auto"/>
              <w:right w:val="single" w:sz="4" w:space="0" w:color="auto"/>
            </w:tcBorders>
            <w:hideMark/>
          </w:tcPr>
          <w:p w14:paraId="21218F39" w14:textId="77777777" w:rsidR="00370535" w:rsidRPr="00370535" w:rsidRDefault="00370535" w:rsidP="00370535">
            <w:pPr>
              <w:rPr>
                <w:rFonts w:cs="Arial"/>
                <w:bCs/>
              </w:rPr>
            </w:pPr>
            <w:r w:rsidRPr="00370535">
              <w:rPr>
                <w:rFonts w:cs="Arial"/>
                <w:bCs/>
              </w:rPr>
              <w:t>0.9%</w:t>
            </w:r>
          </w:p>
        </w:tc>
      </w:tr>
      <w:tr w:rsidR="00370535" w:rsidRPr="00370535" w14:paraId="5643F4CC" w14:textId="77777777" w:rsidTr="00C7745D">
        <w:tc>
          <w:tcPr>
            <w:tcW w:w="2126" w:type="dxa"/>
            <w:tcBorders>
              <w:top w:val="single" w:sz="4" w:space="0" w:color="auto"/>
              <w:left w:val="single" w:sz="4" w:space="0" w:color="auto"/>
              <w:bottom w:val="single" w:sz="4" w:space="0" w:color="auto"/>
              <w:right w:val="single" w:sz="4" w:space="0" w:color="auto"/>
            </w:tcBorders>
            <w:vAlign w:val="center"/>
            <w:hideMark/>
          </w:tcPr>
          <w:p w14:paraId="18D0F15D" w14:textId="77777777" w:rsidR="00370535" w:rsidRPr="00370535" w:rsidRDefault="00370535" w:rsidP="00370535">
            <w:pPr>
              <w:rPr>
                <w:rFonts w:cs="Arial"/>
              </w:rPr>
            </w:pPr>
            <w:r w:rsidRPr="00370535">
              <w:rPr>
                <w:rFonts w:cs="Arial"/>
              </w:rPr>
              <w:t>Llwchwr</w:t>
            </w:r>
          </w:p>
        </w:tc>
        <w:tc>
          <w:tcPr>
            <w:tcW w:w="1841" w:type="dxa"/>
            <w:tcBorders>
              <w:top w:val="single" w:sz="4" w:space="0" w:color="auto"/>
              <w:left w:val="single" w:sz="4" w:space="0" w:color="auto"/>
              <w:bottom w:val="single" w:sz="4" w:space="0" w:color="auto"/>
              <w:right w:val="single" w:sz="4" w:space="0" w:color="auto"/>
            </w:tcBorders>
            <w:hideMark/>
          </w:tcPr>
          <w:p w14:paraId="22C8361B" w14:textId="77777777" w:rsidR="00370535" w:rsidRPr="00370535" w:rsidRDefault="00370535" w:rsidP="00370535">
            <w:pPr>
              <w:rPr>
                <w:rFonts w:cs="Arial"/>
                <w:bCs/>
              </w:rPr>
            </w:pPr>
            <w:r w:rsidRPr="00370535">
              <w:rPr>
                <w:rFonts w:cs="Arial"/>
                <w:bCs/>
              </w:rPr>
              <w:t>Swansea</w:t>
            </w:r>
          </w:p>
        </w:tc>
        <w:tc>
          <w:tcPr>
            <w:tcW w:w="2412" w:type="dxa"/>
            <w:tcBorders>
              <w:top w:val="single" w:sz="4" w:space="0" w:color="auto"/>
              <w:left w:val="single" w:sz="4" w:space="0" w:color="auto"/>
              <w:bottom w:val="single" w:sz="4" w:space="0" w:color="auto"/>
              <w:right w:val="single" w:sz="4" w:space="0" w:color="auto"/>
            </w:tcBorders>
            <w:hideMark/>
          </w:tcPr>
          <w:p w14:paraId="75D081EC" w14:textId="77777777" w:rsidR="00370535" w:rsidRPr="00370535" w:rsidRDefault="00370535" w:rsidP="00370535">
            <w:pPr>
              <w:rPr>
                <w:rFonts w:cs="Arial"/>
                <w:bCs/>
              </w:rPr>
            </w:pPr>
            <w:r w:rsidRPr="00370535">
              <w:rPr>
                <w:rFonts w:cs="Arial"/>
                <w:bCs/>
              </w:rPr>
              <w:t>0.8%</w:t>
            </w:r>
          </w:p>
        </w:tc>
        <w:tc>
          <w:tcPr>
            <w:tcW w:w="2697" w:type="dxa"/>
            <w:tcBorders>
              <w:top w:val="single" w:sz="4" w:space="0" w:color="auto"/>
              <w:left w:val="single" w:sz="4" w:space="0" w:color="auto"/>
              <w:bottom w:val="single" w:sz="4" w:space="0" w:color="auto"/>
              <w:right w:val="single" w:sz="4" w:space="0" w:color="auto"/>
            </w:tcBorders>
            <w:hideMark/>
          </w:tcPr>
          <w:p w14:paraId="5B152BF3" w14:textId="77777777" w:rsidR="00370535" w:rsidRPr="00370535" w:rsidRDefault="00370535" w:rsidP="00370535">
            <w:pPr>
              <w:rPr>
                <w:rFonts w:cs="Arial"/>
                <w:bCs/>
              </w:rPr>
            </w:pPr>
            <w:r w:rsidRPr="00370535">
              <w:rPr>
                <w:rFonts w:cs="Arial"/>
                <w:bCs/>
              </w:rPr>
              <w:t>0.9%</w:t>
            </w:r>
          </w:p>
        </w:tc>
      </w:tr>
      <w:tr w:rsidR="00370535" w:rsidRPr="00370535" w14:paraId="4FA8EDB3" w14:textId="77777777" w:rsidTr="00C7745D">
        <w:tc>
          <w:tcPr>
            <w:tcW w:w="2126" w:type="dxa"/>
            <w:tcBorders>
              <w:top w:val="single" w:sz="4" w:space="0" w:color="auto"/>
              <w:left w:val="single" w:sz="4" w:space="0" w:color="auto"/>
              <w:bottom w:val="single" w:sz="4" w:space="0" w:color="auto"/>
              <w:right w:val="single" w:sz="4" w:space="0" w:color="auto"/>
            </w:tcBorders>
            <w:vAlign w:val="center"/>
            <w:hideMark/>
          </w:tcPr>
          <w:p w14:paraId="0813290E" w14:textId="77777777" w:rsidR="00370535" w:rsidRPr="00370535" w:rsidRDefault="00370535" w:rsidP="00370535">
            <w:pPr>
              <w:rPr>
                <w:rFonts w:cs="Arial"/>
              </w:rPr>
            </w:pPr>
            <w:r w:rsidRPr="00370535">
              <w:rPr>
                <w:rFonts w:cs="Arial"/>
              </w:rPr>
              <w:t>Penderi</w:t>
            </w:r>
          </w:p>
        </w:tc>
        <w:tc>
          <w:tcPr>
            <w:tcW w:w="1841" w:type="dxa"/>
            <w:tcBorders>
              <w:top w:val="single" w:sz="4" w:space="0" w:color="auto"/>
              <w:left w:val="single" w:sz="4" w:space="0" w:color="auto"/>
              <w:bottom w:val="single" w:sz="4" w:space="0" w:color="auto"/>
              <w:right w:val="single" w:sz="4" w:space="0" w:color="auto"/>
            </w:tcBorders>
            <w:hideMark/>
          </w:tcPr>
          <w:p w14:paraId="621AA3A0" w14:textId="77777777" w:rsidR="00370535" w:rsidRPr="00370535" w:rsidRDefault="00370535" w:rsidP="00370535">
            <w:pPr>
              <w:rPr>
                <w:rFonts w:cs="Arial"/>
                <w:bCs/>
              </w:rPr>
            </w:pPr>
            <w:r w:rsidRPr="00370535">
              <w:rPr>
                <w:rFonts w:cs="Arial"/>
                <w:bCs/>
              </w:rPr>
              <w:t>Swansea</w:t>
            </w:r>
          </w:p>
        </w:tc>
        <w:tc>
          <w:tcPr>
            <w:tcW w:w="2412" w:type="dxa"/>
            <w:tcBorders>
              <w:top w:val="single" w:sz="4" w:space="0" w:color="auto"/>
              <w:left w:val="single" w:sz="4" w:space="0" w:color="auto"/>
              <w:bottom w:val="single" w:sz="4" w:space="0" w:color="auto"/>
              <w:right w:val="single" w:sz="4" w:space="0" w:color="auto"/>
            </w:tcBorders>
            <w:hideMark/>
          </w:tcPr>
          <w:p w14:paraId="33040B0A" w14:textId="77777777" w:rsidR="00370535" w:rsidRPr="00370535" w:rsidRDefault="00370535" w:rsidP="00370535">
            <w:pPr>
              <w:rPr>
                <w:rFonts w:cs="Arial"/>
                <w:bCs/>
              </w:rPr>
            </w:pPr>
            <w:r w:rsidRPr="00370535">
              <w:rPr>
                <w:rFonts w:cs="Arial"/>
                <w:bCs/>
              </w:rPr>
              <w:t>0.8%</w:t>
            </w:r>
          </w:p>
        </w:tc>
        <w:tc>
          <w:tcPr>
            <w:tcW w:w="2697" w:type="dxa"/>
            <w:tcBorders>
              <w:top w:val="single" w:sz="4" w:space="0" w:color="auto"/>
              <w:left w:val="single" w:sz="4" w:space="0" w:color="auto"/>
              <w:bottom w:val="single" w:sz="4" w:space="0" w:color="auto"/>
              <w:right w:val="single" w:sz="4" w:space="0" w:color="auto"/>
            </w:tcBorders>
            <w:hideMark/>
          </w:tcPr>
          <w:p w14:paraId="3D285746" w14:textId="77777777" w:rsidR="00370535" w:rsidRPr="00370535" w:rsidRDefault="00370535" w:rsidP="00370535">
            <w:pPr>
              <w:rPr>
                <w:rFonts w:cs="Arial"/>
                <w:bCs/>
              </w:rPr>
            </w:pPr>
            <w:r w:rsidRPr="00370535">
              <w:rPr>
                <w:rFonts w:cs="Arial"/>
                <w:bCs/>
              </w:rPr>
              <w:t>0.9%</w:t>
            </w:r>
          </w:p>
        </w:tc>
      </w:tr>
      <w:tr w:rsidR="00370535" w:rsidRPr="00370535" w14:paraId="1E39D977" w14:textId="77777777" w:rsidTr="00C7745D">
        <w:tc>
          <w:tcPr>
            <w:tcW w:w="2126" w:type="dxa"/>
            <w:tcBorders>
              <w:top w:val="single" w:sz="4" w:space="0" w:color="auto"/>
              <w:left w:val="single" w:sz="4" w:space="0" w:color="auto"/>
              <w:bottom w:val="single" w:sz="4" w:space="0" w:color="auto"/>
              <w:right w:val="single" w:sz="4" w:space="0" w:color="auto"/>
            </w:tcBorders>
            <w:vAlign w:val="center"/>
            <w:hideMark/>
          </w:tcPr>
          <w:p w14:paraId="1EB3BAA1" w14:textId="77777777" w:rsidR="00370535" w:rsidRPr="00370535" w:rsidRDefault="00370535" w:rsidP="00370535">
            <w:pPr>
              <w:rPr>
                <w:rFonts w:cs="Arial"/>
              </w:rPr>
            </w:pPr>
            <w:r w:rsidRPr="00370535">
              <w:rPr>
                <w:rFonts w:cs="Arial"/>
              </w:rPr>
              <w:t xml:space="preserve">Afan </w:t>
            </w:r>
          </w:p>
        </w:tc>
        <w:tc>
          <w:tcPr>
            <w:tcW w:w="1841" w:type="dxa"/>
            <w:tcBorders>
              <w:top w:val="single" w:sz="4" w:space="0" w:color="auto"/>
              <w:left w:val="single" w:sz="4" w:space="0" w:color="auto"/>
              <w:bottom w:val="single" w:sz="4" w:space="0" w:color="auto"/>
              <w:right w:val="single" w:sz="4" w:space="0" w:color="auto"/>
            </w:tcBorders>
            <w:hideMark/>
          </w:tcPr>
          <w:p w14:paraId="700B7AB7" w14:textId="77777777" w:rsidR="00370535" w:rsidRPr="00370535" w:rsidRDefault="00370535" w:rsidP="00370535">
            <w:pPr>
              <w:rPr>
                <w:rFonts w:cs="Arial"/>
                <w:bCs/>
              </w:rPr>
            </w:pPr>
            <w:r w:rsidRPr="00370535">
              <w:rPr>
                <w:rFonts w:cs="Arial"/>
                <w:bCs/>
              </w:rPr>
              <w:t>Neath Port Talbot</w:t>
            </w:r>
          </w:p>
        </w:tc>
        <w:tc>
          <w:tcPr>
            <w:tcW w:w="2412" w:type="dxa"/>
            <w:tcBorders>
              <w:top w:val="single" w:sz="4" w:space="0" w:color="auto"/>
              <w:left w:val="single" w:sz="4" w:space="0" w:color="auto"/>
              <w:bottom w:val="single" w:sz="4" w:space="0" w:color="auto"/>
              <w:right w:val="single" w:sz="4" w:space="0" w:color="auto"/>
            </w:tcBorders>
            <w:hideMark/>
          </w:tcPr>
          <w:p w14:paraId="036FC295" w14:textId="77777777" w:rsidR="00370535" w:rsidRPr="00370535" w:rsidRDefault="00370535" w:rsidP="00370535">
            <w:pPr>
              <w:rPr>
                <w:rFonts w:cs="Arial"/>
                <w:bCs/>
              </w:rPr>
            </w:pPr>
            <w:r w:rsidRPr="00370535">
              <w:rPr>
                <w:rFonts w:cs="Arial"/>
                <w:bCs/>
              </w:rPr>
              <w:t>0.5%</w:t>
            </w:r>
          </w:p>
        </w:tc>
        <w:tc>
          <w:tcPr>
            <w:tcW w:w="2697" w:type="dxa"/>
            <w:tcBorders>
              <w:top w:val="single" w:sz="4" w:space="0" w:color="auto"/>
              <w:left w:val="single" w:sz="4" w:space="0" w:color="auto"/>
              <w:bottom w:val="single" w:sz="4" w:space="0" w:color="auto"/>
              <w:right w:val="single" w:sz="4" w:space="0" w:color="auto"/>
            </w:tcBorders>
            <w:hideMark/>
          </w:tcPr>
          <w:p w14:paraId="71888A98" w14:textId="77777777" w:rsidR="00370535" w:rsidRPr="00370535" w:rsidRDefault="00370535" w:rsidP="00370535">
            <w:pPr>
              <w:rPr>
                <w:rFonts w:cs="Arial"/>
                <w:bCs/>
              </w:rPr>
            </w:pPr>
            <w:r w:rsidRPr="00370535">
              <w:rPr>
                <w:rFonts w:cs="Arial"/>
                <w:bCs/>
              </w:rPr>
              <w:t>1.1%</w:t>
            </w:r>
          </w:p>
        </w:tc>
      </w:tr>
      <w:tr w:rsidR="00370535" w:rsidRPr="00370535" w14:paraId="43F861A8" w14:textId="77777777" w:rsidTr="00C7745D">
        <w:tc>
          <w:tcPr>
            <w:tcW w:w="2126" w:type="dxa"/>
            <w:tcBorders>
              <w:top w:val="single" w:sz="4" w:space="0" w:color="auto"/>
              <w:left w:val="single" w:sz="4" w:space="0" w:color="auto"/>
              <w:bottom w:val="single" w:sz="4" w:space="0" w:color="auto"/>
              <w:right w:val="single" w:sz="4" w:space="0" w:color="auto"/>
            </w:tcBorders>
            <w:vAlign w:val="center"/>
            <w:hideMark/>
          </w:tcPr>
          <w:p w14:paraId="2C58619B" w14:textId="77777777" w:rsidR="00370535" w:rsidRPr="00370535" w:rsidRDefault="00370535" w:rsidP="00370535">
            <w:pPr>
              <w:rPr>
                <w:rFonts w:cs="Arial"/>
              </w:rPr>
            </w:pPr>
            <w:r w:rsidRPr="00370535">
              <w:rPr>
                <w:rFonts w:cs="Arial"/>
              </w:rPr>
              <w:t>Neath</w:t>
            </w:r>
          </w:p>
        </w:tc>
        <w:tc>
          <w:tcPr>
            <w:tcW w:w="1841" w:type="dxa"/>
            <w:tcBorders>
              <w:top w:val="single" w:sz="4" w:space="0" w:color="auto"/>
              <w:left w:val="single" w:sz="4" w:space="0" w:color="auto"/>
              <w:bottom w:val="single" w:sz="4" w:space="0" w:color="auto"/>
              <w:right w:val="single" w:sz="4" w:space="0" w:color="auto"/>
            </w:tcBorders>
            <w:hideMark/>
          </w:tcPr>
          <w:p w14:paraId="55A533B3" w14:textId="77777777" w:rsidR="00370535" w:rsidRPr="00370535" w:rsidRDefault="00370535" w:rsidP="00370535">
            <w:pPr>
              <w:rPr>
                <w:rFonts w:cs="Arial"/>
                <w:bCs/>
              </w:rPr>
            </w:pPr>
            <w:r w:rsidRPr="00370535">
              <w:rPr>
                <w:rFonts w:cs="Arial"/>
                <w:bCs/>
              </w:rPr>
              <w:t>Neath Port Talbot</w:t>
            </w:r>
          </w:p>
        </w:tc>
        <w:tc>
          <w:tcPr>
            <w:tcW w:w="2412" w:type="dxa"/>
            <w:tcBorders>
              <w:top w:val="single" w:sz="4" w:space="0" w:color="auto"/>
              <w:left w:val="single" w:sz="4" w:space="0" w:color="auto"/>
              <w:bottom w:val="single" w:sz="4" w:space="0" w:color="auto"/>
              <w:right w:val="single" w:sz="4" w:space="0" w:color="auto"/>
            </w:tcBorders>
            <w:hideMark/>
          </w:tcPr>
          <w:p w14:paraId="3DBD434D" w14:textId="77777777" w:rsidR="00370535" w:rsidRPr="00370535" w:rsidRDefault="00370535" w:rsidP="00370535">
            <w:pPr>
              <w:rPr>
                <w:rFonts w:cs="Arial"/>
                <w:bCs/>
              </w:rPr>
            </w:pPr>
            <w:r w:rsidRPr="00370535">
              <w:rPr>
                <w:rFonts w:cs="Arial"/>
                <w:bCs/>
              </w:rPr>
              <w:t>0.7%</w:t>
            </w:r>
          </w:p>
        </w:tc>
        <w:tc>
          <w:tcPr>
            <w:tcW w:w="2697" w:type="dxa"/>
            <w:tcBorders>
              <w:top w:val="single" w:sz="4" w:space="0" w:color="auto"/>
              <w:left w:val="single" w:sz="4" w:space="0" w:color="auto"/>
              <w:bottom w:val="single" w:sz="4" w:space="0" w:color="auto"/>
              <w:right w:val="single" w:sz="4" w:space="0" w:color="auto"/>
            </w:tcBorders>
            <w:hideMark/>
          </w:tcPr>
          <w:p w14:paraId="20CBC2AE" w14:textId="77777777" w:rsidR="00370535" w:rsidRPr="00370535" w:rsidRDefault="00370535" w:rsidP="00370535">
            <w:pPr>
              <w:rPr>
                <w:rFonts w:cs="Arial"/>
                <w:bCs/>
              </w:rPr>
            </w:pPr>
            <w:r w:rsidRPr="00370535">
              <w:rPr>
                <w:rFonts w:cs="Arial"/>
                <w:bCs/>
              </w:rPr>
              <w:t>1.1%</w:t>
            </w:r>
          </w:p>
        </w:tc>
      </w:tr>
      <w:tr w:rsidR="00370535" w:rsidRPr="00370535" w14:paraId="311416C7" w14:textId="77777777" w:rsidTr="00C7745D">
        <w:tc>
          <w:tcPr>
            <w:tcW w:w="2126" w:type="dxa"/>
            <w:tcBorders>
              <w:top w:val="single" w:sz="4" w:space="0" w:color="auto"/>
              <w:left w:val="single" w:sz="4" w:space="0" w:color="auto"/>
              <w:bottom w:val="single" w:sz="4" w:space="0" w:color="auto"/>
              <w:right w:val="single" w:sz="4" w:space="0" w:color="auto"/>
            </w:tcBorders>
            <w:vAlign w:val="center"/>
            <w:hideMark/>
          </w:tcPr>
          <w:p w14:paraId="2AC738B5" w14:textId="77777777" w:rsidR="00370535" w:rsidRPr="00370535" w:rsidRDefault="00370535" w:rsidP="00370535">
            <w:pPr>
              <w:rPr>
                <w:rFonts w:cs="Arial"/>
              </w:rPr>
            </w:pPr>
            <w:r w:rsidRPr="00370535">
              <w:rPr>
                <w:rFonts w:cs="Arial"/>
              </w:rPr>
              <w:t>Upper Valleys</w:t>
            </w:r>
          </w:p>
        </w:tc>
        <w:tc>
          <w:tcPr>
            <w:tcW w:w="1841" w:type="dxa"/>
            <w:tcBorders>
              <w:top w:val="single" w:sz="4" w:space="0" w:color="auto"/>
              <w:left w:val="single" w:sz="4" w:space="0" w:color="auto"/>
              <w:bottom w:val="single" w:sz="4" w:space="0" w:color="auto"/>
              <w:right w:val="single" w:sz="4" w:space="0" w:color="auto"/>
            </w:tcBorders>
            <w:hideMark/>
          </w:tcPr>
          <w:p w14:paraId="37D746F4" w14:textId="77777777" w:rsidR="00370535" w:rsidRPr="00370535" w:rsidRDefault="00370535" w:rsidP="00370535">
            <w:pPr>
              <w:rPr>
                <w:rFonts w:cs="Arial"/>
                <w:bCs/>
              </w:rPr>
            </w:pPr>
            <w:r w:rsidRPr="00370535">
              <w:rPr>
                <w:rFonts w:cs="Arial"/>
                <w:bCs/>
              </w:rPr>
              <w:t>Neath Port Talbot</w:t>
            </w:r>
          </w:p>
        </w:tc>
        <w:tc>
          <w:tcPr>
            <w:tcW w:w="2412" w:type="dxa"/>
            <w:tcBorders>
              <w:top w:val="single" w:sz="4" w:space="0" w:color="auto"/>
              <w:left w:val="single" w:sz="4" w:space="0" w:color="auto"/>
              <w:bottom w:val="single" w:sz="4" w:space="0" w:color="auto"/>
              <w:right w:val="single" w:sz="4" w:space="0" w:color="auto"/>
            </w:tcBorders>
            <w:hideMark/>
          </w:tcPr>
          <w:p w14:paraId="58C9D841" w14:textId="77777777" w:rsidR="00370535" w:rsidRPr="00370535" w:rsidRDefault="00370535" w:rsidP="00370535">
            <w:pPr>
              <w:rPr>
                <w:rFonts w:cs="Arial"/>
                <w:bCs/>
              </w:rPr>
            </w:pPr>
            <w:r w:rsidRPr="00370535">
              <w:rPr>
                <w:rFonts w:cs="Arial"/>
                <w:bCs/>
              </w:rPr>
              <w:t>1.3%</w:t>
            </w:r>
          </w:p>
        </w:tc>
        <w:tc>
          <w:tcPr>
            <w:tcW w:w="2697" w:type="dxa"/>
            <w:tcBorders>
              <w:top w:val="single" w:sz="4" w:space="0" w:color="auto"/>
              <w:left w:val="single" w:sz="4" w:space="0" w:color="auto"/>
              <w:bottom w:val="single" w:sz="4" w:space="0" w:color="auto"/>
              <w:right w:val="single" w:sz="4" w:space="0" w:color="auto"/>
            </w:tcBorders>
            <w:hideMark/>
          </w:tcPr>
          <w:p w14:paraId="527A18BE" w14:textId="77777777" w:rsidR="00370535" w:rsidRPr="00370535" w:rsidRDefault="00370535" w:rsidP="00370535">
            <w:pPr>
              <w:rPr>
                <w:rFonts w:cs="Arial"/>
                <w:bCs/>
              </w:rPr>
            </w:pPr>
            <w:r w:rsidRPr="00370535">
              <w:rPr>
                <w:rFonts w:cs="Arial"/>
                <w:bCs/>
              </w:rPr>
              <w:t>1.1%</w:t>
            </w:r>
          </w:p>
        </w:tc>
      </w:tr>
      <w:tr w:rsidR="00370535" w:rsidRPr="00370535" w14:paraId="7B9DDDB9" w14:textId="77777777" w:rsidTr="00C7745D">
        <w:tc>
          <w:tcPr>
            <w:tcW w:w="2126" w:type="dxa"/>
            <w:tcBorders>
              <w:top w:val="single" w:sz="4" w:space="0" w:color="auto"/>
              <w:left w:val="single" w:sz="4" w:space="0" w:color="auto"/>
              <w:bottom w:val="single" w:sz="4" w:space="0" w:color="auto"/>
              <w:right w:val="single" w:sz="4" w:space="0" w:color="auto"/>
            </w:tcBorders>
            <w:vAlign w:val="center"/>
            <w:hideMark/>
          </w:tcPr>
          <w:p w14:paraId="6ABA9D64" w14:textId="77777777" w:rsidR="00370535" w:rsidRPr="00370535" w:rsidRDefault="00370535" w:rsidP="00370535">
            <w:pPr>
              <w:rPr>
                <w:rFonts w:cs="Arial"/>
              </w:rPr>
            </w:pPr>
            <w:r w:rsidRPr="00370535">
              <w:rPr>
                <w:rFonts w:cs="Arial"/>
              </w:rPr>
              <w:t xml:space="preserve">Swansea Bay University Health Board </w:t>
            </w:r>
          </w:p>
        </w:tc>
        <w:tc>
          <w:tcPr>
            <w:tcW w:w="1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350203" w14:textId="77777777" w:rsidR="00370535" w:rsidRPr="00370535" w:rsidRDefault="00370535" w:rsidP="00370535">
            <w:pPr>
              <w:rPr>
                <w:rFonts w:cs="Arial"/>
              </w:rPr>
            </w:pPr>
          </w:p>
        </w:tc>
        <w:tc>
          <w:tcPr>
            <w:tcW w:w="2412" w:type="dxa"/>
            <w:tcBorders>
              <w:top w:val="single" w:sz="4" w:space="0" w:color="auto"/>
              <w:left w:val="single" w:sz="4" w:space="0" w:color="auto"/>
              <w:bottom w:val="single" w:sz="4" w:space="0" w:color="auto"/>
              <w:right w:val="single" w:sz="4" w:space="0" w:color="auto"/>
            </w:tcBorders>
            <w:hideMark/>
          </w:tcPr>
          <w:p w14:paraId="509AEA28" w14:textId="77777777" w:rsidR="00370535" w:rsidRPr="00370535" w:rsidRDefault="00370535" w:rsidP="00370535">
            <w:pPr>
              <w:rPr>
                <w:rFonts w:cs="Arial"/>
              </w:rPr>
            </w:pPr>
            <w:r w:rsidRPr="00370535">
              <w:rPr>
                <w:rFonts w:cs="Arial"/>
              </w:rPr>
              <w:t>0.7%</w:t>
            </w:r>
          </w:p>
        </w:tc>
        <w:tc>
          <w:tcPr>
            <w:tcW w:w="2697" w:type="dxa"/>
            <w:tcBorders>
              <w:top w:val="single" w:sz="4" w:space="0" w:color="auto"/>
              <w:left w:val="single" w:sz="4" w:space="0" w:color="auto"/>
              <w:bottom w:val="single" w:sz="4" w:space="0" w:color="auto"/>
              <w:right w:val="single" w:sz="4" w:space="0" w:color="auto"/>
            </w:tcBorders>
            <w:hideMark/>
          </w:tcPr>
          <w:p w14:paraId="6215DBCB" w14:textId="77777777" w:rsidR="00370535" w:rsidRPr="00370535" w:rsidRDefault="00370535" w:rsidP="00370535">
            <w:pPr>
              <w:rPr>
                <w:rFonts w:cs="Arial"/>
              </w:rPr>
            </w:pPr>
            <w:r w:rsidRPr="00370535">
              <w:rPr>
                <w:rFonts w:cs="Arial"/>
              </w:rPr>
              <w:t>0.9%</w:t>
            </w:r>
          </w:p>
        </w:tc>
      </w:tr>
      <w:tr w:rsidR="00370535" w:rsidRPr="00370535" w14:paraId="398E4F5A" w14:textId="77777777" w:rsidTr="00C7745D">
        <w:tc>
          <w:tcPr>
            <w:tcW w:w="2126" w:type="dxa"/>
            <w:tcBorders>
              <w:top w:val="single" w:sz="4" w:space="0" w:color="auto"/>
              <w:left w:val="single" w:sz="4" w:space="0" w:color="auto"/>
              <w:bottom w:val="single" w:sz="4" w:space="0" w:color="auto"/>
              <w:right w:val="single" w:sz="4" w:space="0" w:color="auto"/>
            </w:tcBorders>
            <w:vAlign w:val="center"/>
            <w:hideMark/>
          </w:tcPr>
          <w:p w14:paraId="72500062" w14:textId="77777777" w:rsidR="00370535" w:rsidRPr="00370535" w:rsidRDefault="00370535" w:rsidP="00370535">
            <w:pPr>
              <w:rPr>
                <w:rFonts w:cs="Arial"/>
              </w:rPr>
            </w:pPr>
            <w:r w:rsidRPr="00370535">
              <w:rPr>
                <w:rFonts w:cs="Arial"/>
              </w:rPr>
              <w:t>Wales</w:t>
            </w:r>
          </w:p>
        </w:tc>
        <w:tc>
          <w:tcPr>
            <w:tcW w:w="1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2BAB50" w14:textId="77777777" w:rsidR="00370535" w:rsidRPr="00370535" w:rsidRDefault="00370535" w:rsidP="00370535">
            <w:pPr>
              <w:rPr>
                <w:rFonts w:cs="Arial"/>
              </w:rPr>
            </w:pPr>
          </w:p>
        </w:tc>
        <w:tc>
          <w:tcPr>
            <w:tcW w:w="2412" w:type="dxa"/>
            <w:tcBorders>
              <w:top w:val="single" w:sz="4" w:space="0" w:color="auto"/>
              <w:left w:val="single" w:sz="4" w:space="0" w:color="auto"/>
              <w:bottom w:val="single" w:sz="4" w:space="0" w:color="auto"/>
              <w:right w:val="single" w:sz="4" w:space="0" w:color="auto"/>
            </w:tcBorders>
            <w:hideMark/>
          </w:tcPr>
          <w:p w14:paraId="6057CB57" w14:textId="77777777" w:rsidR="00370535" w:rsidRPr="00370535" w:rsidRDefault="00370535" w:rsidP="00370535">
            <w:pPr>
              <w:rPr>
                <w:rFonts w:cs="Arial"/>
              </w:rPr>
            </w:pPr>
            <w:r w:rsidRPr="00370535">
              <w:rPr>
                <w:rFonts w:cs="Arial"/>
              </w:rPr>
              <w:t>0.6%</w:t>
            </w:r>
          </w:p>
        </w:tc>
        <w:tc>
          <w:tcPr>
            <w:tcW w:w="2697" w:type="dxa"/>
            <w:tcBorders>
              <w:top w:val="single" w:sz="4" w:space="0" w:color="auto"/>
              <w:left w:val="single" w:sz="4" w:space="0" w:color="auto"/>
              <w:bottom w:val="single" w:sz="4" w:space="0" w:color="auto"/>
              <w:right w:val="single" w:sz="4" w:space="0" w:color="auto"/>
            </w:tcBorders>
            <w:hideMark/>
          </w:tcPr>
          <w:p w14:paraId="2320BA0D" w14:textId="77777777" w:rsidR="00370535" w:rsidRPr="00370535" w:rsidRDefault="00370535" w:rsidP="00370535">
            <w:pPr>
              <w:rPr>
                <w:rFonts w:cs="Arial"/>
              </w:rPr>
            </w:pPr>
            <w:r w:rsidRPr="00370535">
              <w:rPr>
                <w:rFonts w:cs="Arial"/>
              </w:rPr>
              <w:t>0.9%</w:t>
            </w:r>
          </w:p>
        </w:tc>
      </w:tr>
    </w:tbl>
    <w:p w14:paraId="2387063D" w14:textId="77777777" w:rsidR="00370535" w:rsidRPr="00370535" w:rsidRDefault="00370535" w:rsidP="00370535">
      <w:pPr>
        <w:rPr>
          <w:rFonts w:cs="Arial"/>
          <w:bCs/>
        </w:rPr>
      </w:pPr>
    </w:p>
    <w:p w14:paraId="0E072423" w14:textId="77777777" w:rsidR="00370535" w:rsidRPr="00370535" w:rsidRDefault="00370535" w:rsidP="00370535">
      <w:pPr>
        <w:rPr>
          <w:rFonts w:cs="Arial"/>
          <w:bCs/>
        </w:rPr>
      </w:pPr>
      <w:r w:rsidRPr="00370535">
        <w:rPr>
          <w:rFonts w:cs="Arial"/>
          <w:bCs/>
        </w:rPr>
        <w:lastRenderedPageBreak/>
        <w:t xml:space="preserve">As can be seen, the rheumatoid arthritis rate is the same in Swansea Bay University Health Board and Wales, and osteoporosis is slightly higher in Swansea Bay University Health Board then Wales. </w:t>
      </w:r>
    </w:p>
    <w:p w14:paraId="4301FB40" w14:textId="77777777" w:rsidR="00370535" w:rsidRPr="00370535" w:rsidRDefault="00370535" w:rsidP="00370535">
      <w:pPr>
        <w:rPr>
          <w:rFonts w:cs="Arial"/>
          <w:bCs/>
        </w:rPr>
      </w:pPr>
    </w:p>
    <w:p w14:paraId="3E10AA5B" w14:textId="77777777" w:rsidR="00370535" w:rsidRPr="00370535" w:rsidRDefault="00370535" w:rsidP="00370535">
      <w:pPr>
        <w:rPr>
          <w:rFonts w:cs="Arial"/>
        </w:rPr>
      </w:pPr>
      <w:r w:rsidRPr="00370535">
        <w:rPr>
          <w:rFonts w:cs="Arial"/>
        </w:rPr>
        <w:t xml:space="preserve">Overall, in Swansea, rheumatoid arthritis ranges from 0.6% (City Health) to 0.9% (Cwmtawe, Llwchwr and Penderi), with three of the five clusters equal to the health board and Wales averages (Cwmtawe, Llwchwr and Penderi). For osteoporosis, rates range from 0.3% (City Health) to 0.8% (Llwchwr and Penderi), with three clusters equal to or lower than the health board and Wales rates. </w:t>
      </w:r>
    </w:p>
    <w:p w14:paraId="20643250" w14:textId="77777777" w:rsidR="00370535" w:rsidRPr="00370535" w:rsidRDefault="00370535" w:rsidP="00370535">
      <w:pPr>
        <w:rPr>
          <w:rFonts w:cs="Arial"/>
        </w:rPr>
      </w:pPr>
    </w:p>
    <w:p w14:paraId="3EEAE4F4" w14:textId="77777777" w:rsidR="00370535" w:rsidRPr="00370535" w:rsidRDefault="00370535" w:rsidP="00370535">
      <w:pPr>
        <w:rPr>
          <w:rFonts w:cs="Arial"/>
        </w:rPr>
      </w:pPr>
      <w:r w:rsidRPr="00370535">
        <w:rPr>
          <w:rFonts w:cs="Arial"/>
        </w:rPr>
        <w:t>For Neath Port Talbot, rheumatoid arthritis rates for the three clusters are consistent at 1.1%, higher than both the health board and Wales rates. For osteoporosis, rates range from 0.5% (Afan) to 1.3% (Upper Valleys) with only Afan lower than both the health board and Wales rates (0.6% and 0.7% respectively.</w:t>
      </w:r>
    </w:p>
    <w:p w14:paraId="545E3FD4" w14:textId="77777777" w:rsidR="00370535" w:rsidRPr="00370535" w:rsidRDefault="00370535" w:rsidP="00370535">
      <w:pPr>
        <w:rPr>
          <w:rFonts w:cs="Arial"/>
          <w:b/>
        </w:rPr>
      </w:pPr>
    </w:p>
    <w:p w14:paraId="3EC38407" w14:textId="77777777" w:rsidR="00370535" w:rsidRPr="00370535" w:rsidRDefault="00370535" w:rsidP="00370535">
      <w:pPr>
        <w:rPr>
          <w:rFonts w:cs="Arial"/>
          <w:b/>
        </w:rPr>
      </w:pPr>
      <w:r w:rsidRPr="00370535">
        <w:rPr>
          <w:rFonts w:cs="Arial"/>
          <w:b/>
        </w:rPr>
        <w:t>3.1.2 Mental health</w:t>
      </w:r>
    </w:p>
    <w:p w14:paraId="6DACDC7A" w14:textId="77777777" w:rsidR="00370535" w:rsidRPr="00370535" w:rsidRDefault="00370535" w:rsidP="00370535">
      <w:pPr>
        <w:rPr>
          <w:rFonts w:cs="Arial"/>
          <w:b/>
        </w:rPr>
      </w:pPr>
    </w:p>
    <w:p w14:paraId="1B932FA8" w14:textId="77777777" w:rsidR="00370535" w:rsidRPr="00370535" w:rsidRDefault="00370535" w:rsidP="00370535">
      <w:pPr>
        <w:rPr>
          <w:rFonts w:cs="Arial"/>
        </w:rPr>
      </w:pPr>
      <w:r w:rsidRPr="00370535">
        <w:rPr>
          <w:rFonts w:cs="Arial"/>
        </w:rPr>
        <w:t>The table below shows the recorded prevalence of mental health conditions across clusters in Swansea and Neath Port Talbot. Figures are compared with the Swansea Bay University Health Board and the Wales rates.</w:t>
      </w:r>
    </w:p>
    <w:p w14:paraId="7897F2E8" w14:textId="77777777" w:rsidR="00370535" w:rsidRPr="00370535" w:rsidRDefault="00370535" w:rsidP="00370535">
      <w:pPr>
        <w:rPr>
          <w:rFonts w:cs="Arial"/>
          <w:b/>
        </w:rPr>
      </w:pPr>
    </w:p>
    <w:p w14:paraId="784E94EE" w14:textId="77777777" w:rsidR="00370535" w:rsidRPr="00370535" w:rsidRDefault="00370535" w:rsidP="00370535">
      <w:pPr>
        <w:rPr>
          <w:rFonts w:cs="Arial"/>
          <w:b/>
          <w:bCs/>
        </w:rPr>
      </w:pPr>
      <w:r w:rsidRPr="00370535">
        <w:rPr>
          <w:rFonts w:cs="Arial"/>
          <w:b/>
          <w:bCs/>
        </w:rPr>
        <w:t>Table 3.3: Estimated percentage prevalence of patients registered as having a mental health condition by cluster, health board and Wales, 2025</w:t>
      </w:r>
      <w:r w:rsidRPr="00370535">
        <w:rPr>
          <w:rFonts w:cs="Arial"/>
          <w:b/>
          <w:bCs/>
          <w:vertAlign w:val="superscript"/>
        </w:rPr>
        <w:footnoteReference w:id="47"/>
      </w:r>
    </w:p>
    <w:p w14:paraId="79B468F7" w14:textId="77777777" w:rsidR="00370535" w:rsidRPr="00370535" w:rsidRDefault="00370535" w:rsidP="00370535">
      <w:pPr>
        <w:rPr>
          <w:rFonts w:cs="Arial"/>
          <w:b/>
        </w:rPr>
      </w:pPr>
    </w:p>
    <w:tbl>
      <w:tblPr>
        <w:tblStyle w:val="TableGrid3"/>
        <w:tblW w:w="8361" w:type="dxa"/>
        <w:tblInd w:w="-5" w:type="dxa"/>
        <w:tblLayout w:type="fixed"/>
        <w:tblLook w:val="04A0" w:firstRow="1" w:lastRow="0" w:firstColumn="1" w:lastColumn="0" w:noHBand="0" w:noVBand="1"/>
      </w:tblPr>
      <w:tblGrid>
        <w:gridCol w:w="3119"/>
        <w:gridCol w:w="2125"/>
        <w:gridCol w:w="3117"/>
      </w:tblGrid>
      <w:tr w:rsidR="00370535" w:rsidRPr="00370535" w14:paraId="293BD78A" w14:textId="77777777" w:rsidTr="00C7745D">
        <w:tc>
          <w:tcPr>
            <w:tcW w:w="3119"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192BCB56" w14:textId="77777777" w:rsidR="00370535" w:rsidRPr="00370535" w:rsidRDefault="00370535" w:rsidP="00370535">
            <w:pPr>
              <w:rPr>
                <w:rFonts w:cs="Arial"/>
                <w:b/>
              </w:rPr>
            </w:pPr>
            <w:r w:rsidRPr="00370535">
              <w:rPr>
                <w:rFonts w:cs="Arial"/>
                <w:b/>
                <w:bCs/>
              </w:rPr>
              <w:t>Cluster/Area</w:t>
            </w:r>
          </w:p>
        </w:tc>
        <w:tc>
          <w:tcPr>
            <w:tcW w:w="2125"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4024629B" w14:textId="77777777" w:rsidR="00370535" w:rsidRPr="00370535" w:rsidRDefault="00370535" w:rsidP="00370535">
            <w:pPr>
              <w:rPr>
                <w:rFonts w:cs="Arial"/>
                <w:b/>
                <w:bCs/>
              </w:rPr>
            </w:pPr>
            <w:r w:rsidRPr="00370535">
              <w:rPr>
                <w:rFonts w:cs="Arial"/>
                <w:b/>
                <w:bCs/>
              </w:rPr>
              <w:t>Local authority</w:t>
            </w:r>
          </w:p>
        </w:tc>
        <w:tc>
          <w:tcPr>
            <w:tcW w:w="3117"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4EE7AF45" w14:textId="77777777" w:rsidR="00370535" w:rsidRPr="00370535" w:rsidRDefault="00370535" w:rsidP="00C7745D">
            <w:pPr>
              <w:jc w:val="center"/>
              <w:rPr>
                <w:rFonts w:cs="Arial"/>
                <w:b/>
                <w:bCs/>
              </w:rPr>
            </w:pPr>
            <w:r w:rsidRPr="00370535">
              <w:rPr>
                <w:rFonts w:cs="Arial"/>
                <w:b/>
                <w:bCs/>
              </w:rPr>
              <w:t>Mental health condition</w:t>
            </w:r>
          </w:p>
        </w:tc>
      </w:tr>
      <w:tr w:rsidR="00370535" w:rsidRPr="00370535" w14:paraId="4F90E1A7" w14:textId="77777777" w:rsidTr="00C7745D">
        <w:tc>
          <w:tcPr>
            <w:tcW w:w="3119" w:type="dxa"/>
            <w:tcBorders>
              <w:top w:val="single" w:sz="4" w:space="0" w:color="auto"/>
              <w:left w:val="single" w:sz="4" w:space="0" w:color="auto"/>
              <w:bottom w:val="single" w:sz="4" w:space="0" w:color="auto"/>
              <w:right w:val="single" w:sz="4" w:space="0" w:color="auto"/>
            </w:tcBorders>
            <w:hideMark/>
          </w:tcPr>
          <w:p w14:paraId="77C88B11" w14:textId="77777777" w:rsidR="00370535" w:rsidRPr="00370535" w:rsidRDefault="00370535" w:rsidP="00370535">
            <w:pPr>
              <w:rPr>
                <w:rFonts w:cs="Arial"/>
              </w:rPr>
            </w:pPr>
            <w:r w:rsidRPr="00370535">
              <w:rPr>
                <w:rFonts w:cs="Arial"/>
              </w:rPr>
              <w:t>Bay Health</w:t>
            </w:r>
          </w:p>
        </w:tc>
        <w:tc>
          <w:tcPr>
            <w:tcW w:w="2125" w:type="dxa"/>
            <w:tcBorders>
              <w:top w:val="single" w:sz="4" w:space="0" w:color="auto"/>
              <w:left w:val="single" w:sz="4" w:space="0" w:color="auto"/>
              <w:bottom w:val="single" w:sz="4" w:space="0" w:color="auto"/>
              <w:right w:val="single" w:sz="4" w:space="0" w:color="auto"/>
            </w:tcBorders>
            <w:hideMark/>
          </w:tcPr>
          <w:p w14:paraId="638C0562" w14:textId="77777777" w:rsidR="00370535" w:rsidRPr="00370535" w:rsidRDefault="00370535" w:rsidP="00370535">
            <w:pPr>
              <w:rPr>
                <w:rFonts w:cs="Arial"/>
                <w:bCs/>
              </w:rPr>
            </w:pPr>
            <w:r w:rsidRPr="00370535">
              <w:rPr>
                <w:rFonts w:cs="Arial"/>
                <w:bCs/>
              </w:rPr>
              <w:t>Swansea</w:t>
            </w:r>
          </w:p>
        </w:tc>
        <w:tc>
          <w:tcPr>
            <w:tcW w:w="3117" w:type="dxa"/>
            <w:tcBorders>
              <w:top w:val="single" w:sz="4" w:space="0" w:color="auto"/>
              <w:left w:val="single" w:sz="4" w:space="0" w:color="auto"/>
              <w:bottom w:val="single" w:sz="4" w:space="0" w:color="auto"/>
              <w:right w:val="single" w:sz="4" w:space="0" w:color="auto"/>
            </w:tcBorders>
            <w:hideMark/>
          </w:tcPr>
          <w:p w14:paraId="0DB76456" w14:textId="77777777" w:rsidR="00370535" w:rsidRPr="00370535" w:rsidRDefault="00370535" w:rsidP="00C7745D">
            <w:pPr>
              <w:jc w:val="center"/>
              <w:rPr>
                <w:rFonts w:cs="Arial"/>
                <w:bCs/>
              </w:rPr>
            </w:pPr>
            <w:r w:rsidRPr="00370535">
              <w:rPr>
                <w:rFonts w:cs="Arial"/>
                <w:bCs/>
              </w:rPr>
              <w:t>1.1%</w:t>
            </w:r>
          </w:p>
        </w:tc>
      </w:tr>
      <w:tr w:rsidR="00370535" w:rsidRPr="00370535" w14:paraId="350E2B45" w14:textId="77777777" w:rsidTr="00C7745D">
        <w:tc>
          <w:tcPr>
            <w:tcW w:w="3119" w:type="dxa"/>
            <w:tcBorders>
              <w:top w:val="single" w:sz="4" w:space="0" w:color="auto"/>
              <w:left w:val="single" w:sz="4" w:space="0" w:color="auto"/>
              <w:bottom w:val="single" w:sz="4" w:space="0" w:color="auto"/>
              <w:right w:val="single" w:sz="4" w:space="0" w:color="auto"/>
            </w:tcBorders>
            <w:hideMark/>
          </w:tcPr>
          <w:p w14:paraId="042D962B" w14:textId="77777777" w:rsidR="00370535" w:rsidRPr="00370535" w:rsidRDefault="00370535" w:rsidP="00370535">
            <w:pPr>
              <w:rPr>
                <w:rFonts w:cs="Arial"/>
              </w:rPr>
            </w:pPr>
            <w:r w:rsidRPr="00370535">
              <w:rPr>
                <w:rFonts w:cs="Arial"/>
              </w:rPr>
              <w:t>City Health</w:t>
            </w:r>
          </w:p>
        </w:tc>
        <w:tc>
          <w:tcPr>
            <w:tcW w:w="2125" w:type="dxa"/>
            <w:tcBorders>
              <w:top w:val="single" w:sz="4" w:space="0" w:color="auto"/>
              <w:left w:val="single" w:sz="4" w:space="0" w:color="auto"/>
              <w:bottom w:val="single" w:sz="4" w:space="0" w:color="auto"/>
              <w:right w:val="single" w:sz="4" w:space="0" w:color="auto"/>
            </w:tcBorders>
            <w:hideMark/>
          </w:tcPr>
          <w:p w14:paraId="63E6A292" w14:textId="77777777" w:rsidR="00370535" w:rsidRPr="00370535" w:rsidRDefault="00370535" w:rsidP="00370535">
            <w:pPr>
              <w:rPr>
                <w:rFonts w:cs="Arial"/>
                <w:bCs/>
              </w:rPr>
            </w:pPr>
            <w:r w:rsidRPr="00370535">
              <w:rPr>
                <w:rFonts w:cs="Arial"/>
                <w:bCs/>
              </w:rPr>
              <w:t>Swansea</w:t>
            </w:r>
          </w:p>
        </w:tc>
        <w:tc>
          <w:tcPr>
            <w:tcW w:w="3117" w:type="dxa"/>
            <w:tcBorders>
              <w:top w:val="single" w:sz="4" w:space="0" w:color="auto"/>
              <w:left w:val="single" w:sz="4" w:space="0" w:color="auto"/>
              <w:bottom w:val="single" w:sz="4" w:space="0" w:color="auto"/>
              <w:right w:val="single" w:sz="4" w:space="0" w:color="auto"/>
            </w:tcBorders>
            <w:hideMark/>
          </w:tcPr>
          <w:p w14:paraId="21F7A8A9" w14:textId="77777777" w:rsidR="00370535" w:rsidRPr="00370535" w:rsidRDefault="00370535" w:rsidP="00C7745D">
            <w:pPr>
              <w:jc w:val="center"/>
              <w:rPr>
                <w:rFonts w:cs="Arial"/>
                <w:bCs/>
              </w:rPr>
            </w:pPr>
            <w:r w:rsidRPr="00370535">
              <w:rPr>
                <w:rFonts w:cs="Arial"/>
                <w:bCs/>
              </w:rPr>
              <w:t>1.5%</w:t>
            </w:r>
          </w:p>
        </w:tc>
      </w:tr>
      <w:tr w:rsidR="00370535" w:rsidRPr="00370535" w14:paraId="1C49049C" w14:textId="77777777" w:rsidTr="00C7745D">
        <w:tc>
          <w:tcPr>
            <w:tcW w:w="3119" w:type="dxa"/>
            <w:tcBorders>
              <w:top w:val="single" w:sz="4" w:space="0" w:color="auto"/>
              <w:left w:val="single" w:sz="4" w:space="0" w:color="auto"/>
              <w:bottom w:val="single" w:sz="4" w:space="0" w:color="auto"/>
              <w:right w:val="single" w:sz="4" w:space="0" w:color="auto"/>
            </w:tcBorders>
            <w:hideMark/>
          </w:tcPr>
          <w:p w14:paraId="7B9EC1AA" w14:textId="77777777" w:rsidR="00370535" w:rsidRPr="00370535" w:rsidRDefault="00370535" w:rsidP="00370535">
            <w:pPr>
              <w:rPr>
                <w:rFonts w:cs="Arial"/>
              </w:rPr>
            </w:pPr>
            <w:r w:rsidRPr="00370535">
              <w:rPr>
                <w:rFonts w:cs="Arial"/>
              </w:rPr>
              <w:t>Cwmtawe</w:t>
            </w:r>
          </w:p>
        </w:tc>
        <w:tc>
          <w:tcPr>
            <w:tcW w:w="2125" w:type="dxa"/>
            <w:tcBorders>
              <w:top w:val="single" w:sz="4" w:space="0" w:color="auto"/>
              <w:left w:val="single" w:sz="4" w:space="0" w:color="auto"/>
              <w:bottom w:val="single" w:sz="4" w:space="0" w:color="auto"/>
              <w:right w:val="single" w:sz="4" w:space="0" w:color="auto"/>
            </w:tcBorders>
            <w:hideMark/>
          </w:tcPr>
          <w:p w14:paraId="1478A187" w14:textId="77777777" w:rsidR="00370535" w:rsidRPr="00370535" w:rsidRDefault="00370535" w:rsidP="00370535">
            <w:pPr>
              <w:rPr>
                <w:rFonts w:cs="Arial"/>
                <w:bCs/>
              </w:rPr>
            </w:pPr>
            <w:r w:rsidRPr="00370535">
              <w:rPr>
                <w:rFonts w:cs="Arial"/>
                <w:bCs/>
              </w:rPr>
              <w:t>Swansea</w:t>
            </w:r>
          </w:p>
        </w:tc>
        <w:tc>
          <w:tcPr>
            <w:tcW w:w="3117" w:type="dxa"/>
            <w:tcBorders>
              <w:top w:val="single" w:sz="4" w:space="0" w:color="auto"/>
              <w:left w:val="single" w:sz="4" w:space="0" w:color="auto"/>
              <w:bottom w:val="single" w:sz="4" w:space="0" w:color="auto"/>
              <w:right w:val="single" w:sz="4" w:space="0" w:color="auto"/>
            </w:tcBorders>
            <w:hideMark/>
          </w:tcPr>
          <w:p w14:paraId="72D97ACD" w14:textId="77777777" w:rsidR="00370535" w:rsidRPr="00370535" w:rsidRDefault="00370535" w:rsidP="00C7745D">
            <w:pPr>
              <w:jc w:val="center"/>
              <w:rPr>
                <w:rFonts w:cs="Arial"/>
                <w:bCs/>
              </w:rPr>
            </w:pPr>
            <w:r w:rsidRPr="00370535">
              <w:rPr>
                <w:rFonts w:cs="Arial"/>
                <w:bCs/>
              </w:rPr>
              <w:t>1.1%</w:t>
            </w:r>
          </w:p>
        </w:tc>
      </w:tr>
      <w:tr w:rsidR="00370535" w:rsidRPr="00370535" w14:paraId="6D161C87" w14:textId="77777777" w:rsidTr="00C7745D">
        <w:tc>
          <w:tcPr>
            <w:tcW w:w="3119" w:type="dxa"/>
            <w:tcBorders>
              <w:top w:val="single" w:sz="4" w:space="0" w:color="auto"/>
              <w:left w:val="single" w:sz="4" w:space="0" w:color="auto"/>
              <w:bottom w:val="single" w:sz="4" w:space="0" w:color="auto"/>
              <w:right w:val="single" w:sz="4" w:space="0" w:color="auto"/>
            </w:tcBorders>
            <w:hideMark/>
          </w:tcPr>
          <w:p w14:paraId="38428B25" w14:textId="77777777" w:rsidR="00370535" w:rsidRPr="00370535" w:rsidRDefault="00370535" w:rsidP="00370535">
            <w:pPr>
              <w:rPr>
                <w:rFonts w:cs="Arial"/>
              </w:rPr>
            </w:pPr>
            <w:r w:rsidRPr="00370535">
              <w:rPr>
                <w:rFonts w:cs="Arial"/>
              </w:rPr>
              <w:t>Llwchwr</w:t>
            </w:r>
          </w:p>
        </w:tc>
        <w:tc>
          <w:tcPr>
            <w:tcW w:w="2125" w:type="dxa"/>
            <w:tcBorders>
              <w:top w:val="single" w:sz="4" w:space="0" w:color="auto"/>
              <w:left w:val="single" w:sz="4" w:space="0" w:color="auto"/>
              <w:bottom w:val="single" w:sz="4" w:space="0" w:color="auto"/>
              <w:right w:val="single" w:sz="4" w:space="0" w:color="auto"/>
            </w:tcBorders>
            <w:hideMark/>
          </w:tcPr>
          <w:p w14:paraId="6BE0E64D" w14:textId="77777777" w:rsidR="00370535" w:rsidRPr="00370535" w:rsidRDefault="00370535" w:rsidP="00370535">
            <w:pPr>
              <w:rPr>
                <w:rFonts w:cs="Arial"/>
                <w:bCs/>
              </w:rPr>
            </w:pPr>
            <w:r w:rsidRPr="00370535">
              <w:rPr>
                <w:rFonts w:cs="Arial"/>
                <w:bCs/>
              </w:rPr>
              <w:t>Swansea</w:t>
            </w:r>
          </w:p>
        </w:tc>
        <w:tc>
          <w:tcPr>
            <w:tcW w:w="3117" w:type="dxa"/>
            <w:tcBorders>
              <w:top w:val="single" w:sz="4" w:space="0" w:color="auto"/>
              <w:left w:val="single" w:sz="4" w:space="0" w:color="auto"/>
              <w:bottom w:val="single" w:sz="4" w:space="0" w:color="auto"/>
              <w:right w:val="single" w:sz="4" w:space="0" w:color="auto"/>
            </w:tcBorders>
            <w:hideMark/>
          </w:tcPr>
          <w:p w14:paraId="2DF00C56" w14:textId="77777777" w:rsidR="00370535" w:rsidRPr="00370535" w:rsidRDefault="00370535" w:rsidP="00C7745D">
            <w:pPr>
              <w:jc w:val="center"/>
              <w:rPr>
                <w:rFonts w:cs="Arial"/>
                <w:bCs/>
              </w:rPr>
            </w:pPr>
            <w:r w:rsidRPr="00370535">
              <w:rPr>
                <w:rFonts w:cs="Arial"/>
                <w:bCs/>
              </w:rPr>
              <w:t>1.0%</w:t>
            </w:r>
          </w:p>
        </w:tc>
      </w:tr>
      <w:tr w:rsidR="00370535" w:rsidRPr="00370535" w14:paraId="697CEED0" w14:textId="77777777" w:rsidTr="00C7745D">
        <w:tc>
          <w:tcPr>
            <w:tcW w:w="3119" w:type="dxa"/>
            <w:tcBorders>
              <w:top w:val="single" w:sz="4" w:space="0" w:color="auto"/>
              <w:left w:val="single" w:sz="4" w:space="0" w:color="auto"/>
              <w:bottom w:val="single" w:sz="4" w:space="0" w:color="auto"/>
              <w:right w:val="single" w:sz="4" w:space="0" w:color="auto"/>
            </w:tcBorders>
            <w:hideMark/>
          </w:tcPr>
          <w:p w14:paraId="0451465B" w14:textId="77777777" w:rsidR="00370535" w:rsidRPr="00370535" w:rsidRDefault="00370535" w:rsidP="00370535">
            <w:pPr>
              <w:rPr>
                <w:rFonts w:cs="Arial"/>
              </w:rPr>
            </w:pPr>
            <w:r w:rsidRPr="00370535">
              <w:rPr>
                <w:rFonts w:cs="Arial"/>
              </w:rPr>
              <w:t>Penderi</w:t>
            </w:r>
          </w:p>
        </w:tc>
        <w:tc>
          <w:tcPr>
            <w:tcW w:w="2125" w:type="dxa"/>
            <w:tcBorders>
              <w:top w:val="single" w:sz="4" w:space="0" w:color="auto"/>
              <w:left w:val="single" w:sz="4" w:space="0" w:color="auto"/>
              <w:bottom w:val="single" w:sz="4" w:space="0" w:color="auto"/>
              <w:right w:val="single" w:sz="4" w:space="0" w:color="auto"/>
            </w:tcBorders>
            <w:hideMark/>
          </w:tcPr>
          <w:p w14:paraId="3D04C655" w14:textId="77777777" w:rsidR="00370535" w:rsidRPr="00370535" w:rsidRDefault="00370535" w:rsidP="00370535">
            <w:pPr>
              <w:rPr>
                <w:rFonts w:cs="Arial"/>
                <w:bCs/>
              </w:rPr>
            </w:pPr>
            <w:r w:rsidRPr="00370535">
              <w:rPr>
                <w:rFonts w:cs="Arial"/>
                <w:bCs/>
              </w:rPr>
              <w:t>Swansea</w:t>
            </w:r>
          </w:p>
        </w:tc>
        <w:tc>
          <w:tcPr>
            <w:tcW w:w="3117" w:type="dxa"/>
            <w:tcBorders>
              <w:top w:val="single" w:sz="4" w:space="0" w:color="auto"/>
              <w:left w:val="single" w:sz="4" w:space="0" w:color="auto"/>
              <w:bottom w:val="single" w:sz="4" w:space="0" w:color="auto"/>
              <w:right w:val="single" w:sz="4" w:space="0" w:color="auto"/>
            </w:tcBorders>
            <w:hideMark/>
          </w:tcPr>
          <w:p w14:paraId="7B398A56" w14:textId="77777777" w:rsidR="00370535" w:rsidRPr="00370535" w:rsidRDefault="00370535" w:rsidP="00C7745D">
            <w:pPr>
              <w:jc w:val="center"/>
              <w:rPr>
                <w:rFonts w:cs="Arial"/>
                <w:bCs/>
              </w:rPr>
            </w:pPr>
            <w:r w:rsidRPr="00370535">
              <w:rPr>
                <w:rFonts w:cs="Arial"/>
                <w:bCs/>
              </w:rPr>
              <w:t>1.3%</w:t>
            </w:r>
          </w:p>
        </w:tc>
      </w:tr>
      <w:tr w:rsidR="00370535" w:rsidRPr="00370535" w14:paraId="5564DD89" w14:textId="77777777" w:rsidTr="00C7745D">
        <w:tc>
          <w:tcPr>
            <w:tcW w:w="3119" w:type="dxa"/>
            <w:tcBorders>
              <w:top w:val="single" w:sz="4" w:space="0" w:color="auto"/>
              <w:left w:val="single" w:sz="4" w:space="0" w:color="auto"/>
              <w:bottom w:val="single" w:sz="4" w:space="0" w:color="auto"/>
              <w:right w:val="single" w:sz="4" w:space="0" w:color="auto"/>
            </w:tcBorders>
            <w:hideMark/>
          </w:tcPr>
          <w:p w14:paraId="78E29F37" w14:textId="77777777" w:rsidR="00370535" w:rsidRPr="00370535" w:rsidRDefault="00370535" w:rsidP="00370535">
            <w:pPr>
              <w:rPr>
                <w:rFonts w:cs="Arial"/>
              </w:rPr>
            </w:pPr>
            <w:r w:rsidRPr="00370535">
              <w:rPr>
                <w:rFonts w:cs="Arial"/>
              </w:rPr>
              <w:t>Afan</w:t>
            </w:r>
          </w:p>
        </w:tc>
        <w:tc>
          <w:tcPr>
            <w:tcW w:w="2125" w:type="dxa"/>
            <w:tcBorders>
              <w:top w:val="single" w:sz="4" w:space="0" w:color="auto"/>
              <w:left w:val="single" w:sz="4" w:space="0" w:color="auto"/>
              <w:bottom w:val="single" w:sz="4" w:space="0" w:color="auto"/>
              <w:right w:val="single" w:sz="4" w:space="0" w:color="auto"/>
            </w:tcBorders>
            <w:hideMark/>
          </w:tcPr>
          <w:p w14:paraId="2902F246" w14:textId="77777777" w:rsidR="00370535" w:rsidRPr="00370535" w:rsidRDefault="00370535" w:rsidP="00370535">
            <w:pPr>
              <w:rPr>
                <w:rFonts w:cs="Arial"/>
                <w:bCs/>
              </w:rPr>
            </w:pPr>
            <w:r w:rsidRPr="00370535">
              <w:rPr>
                <w:rFonts w:cs="Arial"/>
                <w:bCs/>
              </w:rPr>
              <w:t>Neath Port Talbot</w:t>
            </w:r>
          </w:p>
        </w:tc>
        <w:tc>
          <w:tcPr>
            <w:tcW w:w="3117" w:type="dxa"/>
            <w:tcBorders>
              <w:top w:val="single" w:sz="4" w:space="0" w:color="auto"/>
              <w:left w:val="single" w:sz="4" w:space="0" w:color="auto"/>
              <w:bottom w:val="single" w:sz="4" w:space="0" w:color="auto"/>
              <w:right w:val="single" w:sz="4" w:space="0" w:color="auto"/>
            </w:tcBorders>
            <w:hideMark/>
          </w:tcPr>
          <w:p w14:paraId="7115337B" w14:textId="77777777" w:rsidR="00370535" w:rsidRPr="00370535" w:rsidRDefault="00370535" w:rsidP="00C7745D">
            <w:pPr>
              <w:jc w:val="center"/>
              <w:rPr>
                <w:rFonts w:cs="Arial"/>
                <w:bCs/>
              </w:rPr>
            </w:pPr>
            <w:r w:rsidRPr="00370535">
              <w:rPr>
                <w:rFonts w:cs="Arial"/>
                <w:bCs/>
              </w:rPr>
              <w:t>1.6%</w:t>
            </w:r>
          </w:p>
        </w:tc>
      </w:tr>
      <w:tr w:rsidR="00370535" w:rsidRPr="00370535" w14:paraId="08F69782" w14:textId="77777777" w:rsidTr="00C7745D">
        <w:tc>
          <w:tcPr>
            <w:tcW w:w="3119" w:type="dxa"/>
            <w:tcBorders>
              <w:top w:val="single" w:sz="4" w:space="0" w:color="auto"/>
              <w:left w:val="single" w:sz="4" w:space="0" w:color="auto"/>
              <w:bottom w:val="single" w:sz="4" w:space="0" w:color="auto"/>
              <w:right w:val="single" w:sz="4" w:space="0" w:color="auto"/>
            </w:tcBorders>
            <w:hideMark/>
          </w:tcPr>
          <w:p w14:paraId="1993A152" w14:textId="77777777" w:rsidR="00370535" w:rsidRPr="00370535" w:rsidRDefault="00370535" w:rsidP="00370535">
            <w:pPr>
              <w:rPr>
                <w:rFonts w:cs="Arial"/>
              </w:rPr>
            </w:pPr>
            <w:r w:rsidRPr="00370535">
              <w:rPr>
                <w:rFonts w:cs="Arial"/>
              </w:rPr>
              <w:t>Neath</w:t>
            </w:r>
          </w:p>
        </w:tc>
        <w:tc>
          <w:tcPr>
            <w:tcW w:w="2125" w:type="dxa"/>
            <w:tcBorders>
              <w:top w:val="single" w:sz="4" w:space="0" w:color="auto"/>
              <w:left w:val="single" w:sz="4" w:space="0" w:color="auto"/>
              <w:bottom w:val="single" w:sz="4" w:space="0" w:color="auto"/>
              <w:right w:val="single" w:sz="4" w:space="0" w:color="auto"/>
            </w:tcBorders>
            <w:hideMark/>
          </w:tcPr>
          <w:p w14:paraId="4FA08461" w14:textId="77777777" w:rsidR="00370535" w:rsidRPr="00370535" w:rsidRDefault="00370535" w:rsidP="00370535">
            <w:pPr>
              <w:rPr>
                <w:rFonts w:cs="Arial"/>
                <w:bCs/>
              </w:rPr>
            </w:pPr>
            <w:r w:rsidRPr="00370535">
              <w:rPr>
                <w:rFonts w:cs="Arial"/>
                <w:bCs/>
              </w:rPr>
              <w:t>Neath Port Talbot</w:t>
            </w:r>
          </w:p>
        </w:tc>
        <w:tc>
          <w:tcPr>
            <w:tcW w:w="3117" w:type="dxa"/>
            <w:tcBorders>
              <w:top w:val="single" w:sz="4" w:space="0" w:color="auto"/>
              <w:left w:val="single" w:sz="4" w:space="0" w:color="auto"/>
              <w:bottom w:val="single" w:sz="4" w:space="0" w:color="auto"/>
              <w:right w:val="single" w:sz="4" w:space="0" w:color="auto"/>
            </w:tcBorders>
            <w:hideMark/>
          </w:tcPr>
          <w:p w14:paraId="5C0362EA" w14:textId="77777777" w:rsidR="00370535" w:rsidRPr="00370535" w:rsidRDefault="00370535" w:rsidP="00C7745D">
            <w:pPr>
              <w:jc w:val="center"/>
              <w:rPr>
                <w:rFonts w:cs="Arial"/>
                <w:bCs/>
              </w:rPr>
            </w:pPr>
            <w:r w:rsidRPr="00370535">
              <w:rPr>
                <w:rFonts w:cs="Arial"/>
                <w:bCs/>
              </w:rPr>
              <w:t>1.3%</w:t>
            </w:r>
          </w:p>
        </w:tc>
      </w:tr>
      <w:tr w:rsidR="00370535" w:rsidRPr="00370535" w14:paraId="73214D8D" w14:textId="77777777" w:rsidTr="00C7745D">
        <w:tc>
          <w:tcPr>
            <w:tcW w:w="3119" w:type="dxa"/>
            <w:tcBorders>
              <w:top w:val="single" w:sz="4" w:space="0" w:color="auto"/>
              <w:left w:val="single" w:sz="4" w:space="0" w:color="auto"/>
              <w:bottom w:val="single" w:sz="4" w:space="0" w:color="auto"/>
              <w:right w:val="single" w:sz="4" w:space="0" w:color="auto"/>
            </w:tcBorders>
            <w:hideMark/>
          </w:tcPr>
          <w:p w14:paraId="771F0A4C" w14:textId="77777777" w:rsidR="00370535" w:rsidRPr="00370535" w:rsidRDefault="00370535" w:rsidP="00370535">
            <w:pPr>
              <w:rPr>
                <w:rFonts w:cs="Arial"/>
              </w:rPr>
            </w:pPr>
            <w:r w:rsidRPr="00370535">
              <w:rPr>
                <w:rFonts w:cs="Arial"/>
              </w:rPr>
              <w:t>Upper Valleys</w:t>
            </w:r>
          </w:p>
        </w:tc>
        <w:tc>
          <w:tcPr>
            <w:tcW w:w="2125" w:type="dxa"/>
            <w:tcBorders>
              <w:top w:val="single" w:sz="4" w:space="0" w:color="auto"/>
              <w:left w:val="single" w:sz="4" w:space="0" w:color="auto"/>
              <w:bottom w:val="single" w:sz="4" w:space="0" w:color="auto"/>
              <w:right w:val="single" w:sz="4" w:space="0" w:color="auto"/>
            </w:tcBorders>
            <w:hideMark/>
          </w:tcPr>
          <w:p w14:paraId="7CDB0F06" w14:textId="77777777" w:rsidR="00370535" w:rsidRPr="00370535" w:rsidRDefault="00370535" w:rsidP="00370535">
            <w:pPr>
              <w:rPr>
                <w:rFonts w:cs="Arial"/>
                <w:bCs/>
              </w:rPr>
            </w:pPr>
            <w:r w:rsidRPr="00370535">
              <w:rPr>
                <w:rFonts w:cs="Arial"/>
                <w:bCs/>
              </w:rPr>
              <w:t>Neath Port Talbot</w:t>
            </w:r>
          </w:p>
        </w:tc>
        <w:tc>
          <w:tcPr>
            <w:tcW w:w="3117" w:type="dxa"/>
            <w:tcBorders>
              <w:top w:val="single" w:sz="4" w:space="0" w:color="auto"/>
              <w:left w:val="single" w:sz="4" w:space="0" w:color="auto"/>
              <w:bottom w:val="single" w:sz="4" w:space="0" w:color="auto"/>
              <w:right w:val="single" w:sz="4" w:space="0" w:color="auto"/>
            </w:tcBorders>
            <w:hideMark/>
          </w:tcPr>
          <w:p w14:paraId="7ADC5E79" w14:textId="77777777" w:rsidR="00370535" w:rsidRPr="00370535" w:rsidRDefault="00370535" w:rsidP="00C7745D">
            <w:pPr>
              <w:jc w:val="center"/>
              <w:rPr>
                <w:rFonts w:cs="Arial"/>
                <w:bCs/>
              </w:rPr>
            </w:pPr>
            <w:r w:rsidRPr="00370535">
              <w:rPr>
                <w:rFonts w:cs="Arial"/>
                <w:bCs/>
              </w:rPr>
              <w:t>2.2%</w:t>
            </w:r>
          </w:p>
        </w:tc>
      </w:tr>
      <w:tr w:rsidR="00370535" w:rsidRPr="00370535" w14:paraId="42F803FB" w14:textId="77777777" w:rsidTr="00C7745D">
        <w:tc>
          <w:tcPr>
            <w:tcW w:w="3119" w:type="dxa"/>
            <w:tcBorders>
              <w:top w:val="single" w:sz="4" w:space="0" w:color="auto"/>
              <w:left w:val="single" w:sz="4" w:space="0" w:color="auto"/>
              <w:bottom w:val="single" w:sz="4" w:space="0" w:color="auto"/>
              <w:right w:val="single" w:sz="4" w:space="0" w:color="auto"/>
            </w:tcBorders>
            <w:hideMark/>
          </w:tcPr>
          <w:p w14:paraId="5FA91554" w14:textId="77777777" w:rsidR="00370535" w:rsidRPr="00370535" w:rsidRDefault="00370535" w:rsidP="00370535">
            <w:pPr>
              <w:rPr>
                <w:rFonts w:cs="Arial"/>
              </w:rPr>
            </w:pPr>
            <w:r w:rsidRPr="00370535">
              <w:rPr>
                <w:rFonts w:cs="Arial"/>
              </w:rPr>
              <w:t>Swansea Bay University Health Board</w:t>
            </w:r>
          </w:p>
        </w:tc>
        <w:tc>
          <w:tcPr>
            <w:tcW w:w="212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A42223" w14:textId="77777777" w:rsidR="00370535" w:rsidRPr="00370535" w:rsidRDefault="00370535" w:rsidP="00370535">
            <w:pPr>
              <w:rPr>
                <w:rFonts w:cs="Arial"/>
              </w:rPr>
            </w:pPr>
          </w:p>
        </w:tc>
        <w:tc>
          <w:tcPr>
            <w:tcW w:w="3117" w:type="dxa"/>
            <w:tcBorders>
              <w:top w:val="single" w:sz="4" w:space="0" w:color="auto"/>
              <w:left w:val="single" w:sz="4" w:space="0" w:color="auto"/>
              <w:bottom w:val="single" w:sz="4" w:space="0" w:color="auto"/>
              <w:right w:val="single" w:sz="4" w:space="0" w:color="auto"/>
            </w:tcBorders>
            <w:hideMark/>
          </w:tcPr>
          <w:p w14:paraId="57BE84C3" w14:textId="77777777" w:rsidR="00370535" w:rsidRPr="00370535" w:rsidRDefault="00370535" w:rsidP="00C7745D">
            <w:pPr>
              <w:jc w:val="center"/>
              <w:rPr>
                <w:rFonts w:cs="Arial"/>
              </w:rPr>
            </w:pPr>
            <w:r w:rsidRPr="00370535">
              <w:rPr>
                <w:rFonts w:cs="Arial"/>
              </w:rPr>
              <w:t>1.3%</w:t>
            </w:r>
          </w:p>
        </w:tc>
      </w:tr>
      <w:tr w:rsidR="00370535" w:rsidRPr="00370535" w14:paraId="25A37B78" w14:textId="77777777" w:rsidTr="00C7745D">
        <w:tc>
          <w:tcPr>
            <w:tcW w:w="3119" w:type="dxa"/>
            <w:tcBorders>
              <w:top w:val="single" w:sz="4" w:space="0" w:color="auto"/>
              <w:left w:val="single" w:sz="4" w:space="0" w:color="auto"/>
              <w:bottom w:val="single" w:sz="4" w:space="0" w:color="auto"/>
              <w:right w:val="single" w:sz="4" w:space="0" w:color="auto"/>
            </w:tcBorders>
            <w:hideMark/>
          </w:tcPr>
          <w:p w14:paraId="3FBD978A" w14:textId="77777777" w:rsidR="00370535" w:rsidRPr="00370535" w:rsidRDefault="00370535" w:rsidP="00370535">
            <w:pPr>
              <w:rPr>
                <w:rFonts w:cs="Arial"/>
              </w:rPr>
            </w:pPr>
            <w:r w:rsidRPr="00370535">
              <w:rPr>
                <w:rFonts w:cs="Arial"/>
              </w:rPr>
              <w:t>Wales</w:t>
            </w:r>
          </w:p>
        </w:tc>
        <w:tc>
          <w:tcPr>
            <w:tcW w:w="212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76B5D6D" w14:textId="77777777" w:rsidR="00370535" w:rsidRPr="00370535" w:rsidRDefault="00370535" w:rsidP="00370535">
            <w:pPr>
              <w:rPr>
                <w:rFonts w:cs="Arial"/>
              </w:rPr>
            </w:pPr>
          </w:p>
        </w:tc>
        <w:tc>
          <w:tcPr>
            <w:tcW w:w="3117" w:type="dxa"/>
            <w:tcBorders>
              <w:top w:val="single" w:sz="4" w:space="0" w:color="auto"/>
              <w:left w:val="single" w:sz="4" w:space="0" w:color="auto"/>
              <w:bottom w:val="single" w:sz="4" w:space="0" w:color="auto"/>
              <w:right w:val="single" w:sz="4" w:space="0" w:color="auto"/>
            </w:tcBorders>
            <w:hideMark/>
          </w:tcPr>
          <w:p w14:paraId="1CEC05B4" w14:textId="77777777" w:rsidR="00370535" w:rsidRPr="00370535" w:rsidRDefault="00370535" w:rsidP="00C7745D">
            <w:pPr>
              <w:jc w:val="center"/>
              <w:rPr>
                <w:rFonts w:cs="Arial"/>
              </w:rPr>
            </w:pPr>
            <w:r w:rsidRPr="00370535">
              <w:rPr>
                <w:rFonts w:cs="Arial"/>
              </w:rPr>
              <w:t>1.1%</w:t>
            </w:r>
          </w:p>
        </w:tc>
      </w:tr>
    </w:tbl>
    <w:p w14:paraId="0BC48376" w14:textId="77777777" w:rsidR="00370535" w:rsidRPr="00370535" w:rsidRDefault="00370535" w:rsidP="00370535">
      <w:pPr>
        <w:rPr>
          <w:rFonts w:cs="Arial"/>
          <w:b/>
        </w:rPr>
      </w:pPr>
    </w:p>
    <w:p w14:paraId="0CF409AE" w14:textId="77777777" w:rsidR="00370535" w:rsidRPr="00370535" w:rsidRDefault="00370535" w:rsidP="00370535">
      <w:pPr>
        <w:rPr>
          <w:rFonts w:cs="Arial"/>
        </w:rPr>
      </w:pPr>
      <w:r w:rsidRPr="00370535">
        <w:rPr>
          <w:rFonts w:cs="Arial"/>
        </w:rPr>
        <w:t>Rates of mental health conditions in Swansea Bay University Health Board are higher than the Wales rate.</w:t>
      </w:r>
    </w:p>
    <w:p w14:paraId="09241A74" w14:textId="77777777" w:rsidR="00370535" w:rsidRPr="00370535" w:rsidRDefault="00370535" w:rsidP="00370535">
      <w:pPr>
        <w:rPr>
          <w:rFonts w:cs="Arial"/>
        </w:rPr>
      </w:pPr>
    </w:p>
    <w:p w14:paraId="49177722" w14:textId="77777777" w:rsidR="00370535" w:rsidRPr="00370535" w:rsidRDefault="00370535" w:rsidP="00370535">
      <w:pPr>
        <w:rPr>
          <w:rFonts w:cs="Arial"/>
        </w:rPr>
      </w:pPr>
      <w:r w:rsidRPr="00370535">
        <w:rPr>
          <w:rFonts w:cs="Arial"/>
        </w:rPr>
        <w:t>Across Swansea clusters, recorded prevalence of mental health conditions ranges from 1.0% (Llwchwr) to 1.5% (City Health). One cluster is lower than both the health board and Wales rates (Llwchwr). Three of the five clusters are equal to or higher than the health board and Wales rates (Bay Health, Cwmtawe and Penderi) and one cluster is higher than both the health board and Wales rates (City Health).</w:t>
      </w:r>
    </w:p>
    <w:p w14:paraId="24422686" w14:textId="77777777" w:rsidR="00370535" w:rsidRPr="00370535" w:rsidRDefault="00370535" w:rsidP="00370535">
      <w:pPr>
        <w:rPr>
          <w:rFonts w:cs="Arial"/>
          <w:b/>
          <w:bCs/>
        </w:rPr>
      </w:pPr>
    </w:p>
    <w:p w14:paraId="18CCADFC" w14:textId="77777777" w:rsidR="00370535" w:rsidRPr="00370535" w:rsidRDefault="00370535" w:rsidP="00370535">
      <w:pPr>
        <w:rPr>
          <w:rFonts w:cs="Arial"/>
        </w:rPr>
      </w:pPr>
      <w:r w:rsidRPr="00370535">
        <w:rPr>
          <w:rFonts w:cs="Arial"/>
        </w:rPr>
        <w:t xml:space="preserve">For Neath Port Talbot clusters, recorded prevalence of mental health conditions ranges from 1.3% (Neath) to 2.2% (Upper Valleys). One of the three clusters is equal </w:t>
      </w:r>
      <w:r w:rsidRPr="00370535">
        <w:rPr>
          <w:rFonts w:cs="Arial"/>
        </w:rPr>
        <w:lastRenderedPageBreak/>
        <w:t>to the health board rate (Neath) and two are higher than the health board rate (Afan and Upper Valleys). All three clusters are higher than the Wales rate, and two are lower than the health board’s rate.</w:t>
      </w:r>
    </w:p>
    <w:p w14:paraId="7F3B6513" w14:textId="77777777" w:rsidR="00370535" w:rsidRPr="00370535" w:rsidRDefault="00370535" w:rsidP="00370535">
      <w:pPr>
        <w:rPr>
          <w:rFonts w:cs="Arial"/>
          <w:b/>
        </w:rPr>
      </w:pPr>
    </w:p>
    <w:p w14:paraId="24A18383" w14:textId="77777777" w:rsidR="00370535" w:rsidRPr="00370535" w:rsidRDefault="00370535" w:rsidP="00370535">
      <w:pPr>
        <w:rPr>
          <w:rFonts w:cs="Arial"/>
        </w:rPr>
      </w:pPr>
      <w:r w:rsidRPr="00370535">
        <w:rPr>
          <w:rFonts w:cs="Arial"/>
        </w:rPr>
        <w:t>As part of the Welsh Government national survey for Wales 2024/25</w:t>
      </w:r>
      <w:r w:rsidRPr="00370535">
        <w:rPr>
          <w:rFonts w:cs="Arial"/>
          <w:vertAlign w:val="superscript"/>
        </w:rPr>
        <w:footnoteReference w:id="48"/>
      </w:r>
      <w:r w:rsidRPr="00370535">
        <w:rPr>
          <w:rFonts w:cs="Arial"/>
        </w:rPr>
        <w:t>, people were asked about their mental wellbeing using the Warwick Edinburgh mental wellbeing scale. The scale consists of 14 self-assessed questions with scores ranging from 14 to 70. A higher score (58 to 70) is classified as having high mental wellbeing, 45 to 57 as medium mental wellbeing, and 44 or lower as low mental wellbeing.</w:t>
      </w:r>
    </w:p>
    <w:p w14:paraId="633F0AEF" w14:textId="77777777" w:rsidR="00370535" w:rsidRPr="00370535" w:rsidRDefault="00370535" w:rsidP="00370535">
      <w:pPr>
        <w:rPr>
          <w:rFonts w:cs="Arial"/>
        </w:rPr>
      </w:pPr>
    </w:p>
    <w:p w14:paraId="04936492" w14:textId="77777777" w:rsidR="00370535" w:rsidRPr="00370535" w:rsidRDefault="00370535" w:rsidP="00370535">
      <w:pPr>
        <w:rPr>
          <w:rFonts w:cs="Arial"/>
        </w:rPr>
      </w:pPr>
      <w:r w:rsidRPr="00370535">
        <w:rPr>
          <w:rFonts w:cs="Arial"/>
        </w:rPr>
        <w:t>The average Warwick Edinburgh mental wellbeing scale score in 2024/25 was 48.4. 33% of people had low mental wellbeing, 52% had medium mental wellbeing, and 15% had high mental wellbeing. Younger people on average had lower mental wellbeing. Those aged 16 to 44 had a score of 47.5, compared with a score of 49.7 for those aged 65 and over. These figures are all similar to those in 2022/23 except for a decrease in those aged 65 and over (the mean wellbeing score for this group in 2022/23 was 50.7).</w:t>
      </w:r>
    </w:p>
    <w:p w14:paraId="2585DE2D" w14:textId="77777777" w:rsidR="00370535" w:rsidRPr="00370535" w:rsidRDefault="00370535" w:rsidP="00370535">
      <w:pPr>
        <w:rPr>
          <w:rFonts w:cs="Arial"/>
        </w:rPr>
      </w:pPr>
    </w:p>
    <w:p w14:paraId="1BA93379" w14:textId="77777777" w:rsidR="00370535" w:rsidRPr="00370535" w:rsidRDefault="00370535" w:rsidP="00370535">
      <w:pPr>
        <w:rPr>
          <w:rFonts w:cs="Arial"/>
        </w:rPr>
      </w:pPr>
      <w:r w:rsidRPr="00370535">
        <w:rPr>
          <w:rFonts w:cs="Arial"/>
        </w:rPr>
        <w:t>The National Survey for Wales for 2024/25 did not measures levels of loneliness in Wales. However, information on loneliness was included in the Welsh Government Wellbeing of Wales 2025</w:t>
      </w:r>
      <w:r w:rsidRPr="00370535">
        <w:rPr>
          <w:rFonts w:cs="Arial"/>
          <w:vertAlign w:val="superscript"/>
        </w:rPr>
        <w:footnoteReference w:id="49"/>
      </w:r>
      <w:r w:rsidRPr="00370535">
        <w:rPr>
          <w:rFonts w:cs="Arial"/>
        </w:rPr>
        <w:t xml:space="preserve">. </w:t>
      </w:r>
    </w:p>
    <w:p w14:paraId="45287B9A" w14:textId="77777777" w:rsidR="00370535" w:rsidRPr="00370535" w:rsidRDefault="00370535" w:rsidP="00370535">
      <w:pPr>
        <w:rPr>
          <w:rFonts w:cs="Arial"/>
        </w:rPr>
      </w:pPr>
    </w:p>
    <w:p w14:paraId="3D1AAA32" w14:textId="77777777" w:rsidR="00370535" w:rsidRPr="00370535" w:rsidRDefault="00370535" w:rsidP="00370535">
      <w:pPr>
        <w:rPr>
          <w:rFonts w:cs="Arial"/>
        </w:rPr>
      </w:pPr>
      <w:r w:rsidRPr="00370535">
        <w:rPr>
          <w:rFonts w:cs="Arial"/>
        </w:rPr>
        <w:t>The National Survey for Wales for the period 2022/23 included six measures of emotional and social loneliness. 13.0% of people in Wales were found to be lonely, the same for the survey periods 2021/22 and 2020/21, but higher than in 2019/2020. There were, however, some marked variations in the percentages of people who say they feel lonely across individual measures.</w:t>
      </w:r>
    </w:p>
    <w:p w14:paraId="4300258B" w14:textId="77777777" w:rsidR="00370535" w:rsidRPr="00370535" w:rsidRDefault="00370535" w:rsidP="00370535">
      <w:pPr>
        <w:rPr>
          <w:rFonts w:cs="Arial"/>
        </w:rPr>
      </w:pPr>
    </w:p>
    <w:p w14:paraId="77AD161E" w14:textId="77777777" w:rsidR="00370535" w:rsidRPr="00370535" w:rsidRDefault="00370535" w:rsidP="00B76905">
      <w:pPr>
        <w:numPr>
          <w:ilvl w:val="0"/>
          <w:numId w:val="46"/>
        </w:numPr>
        <w:rPr>
          <w:rFonts w:cs="Arial"/>
        </w:rPr>
      </w:pPr>
      <w:r w:rsidRPr="00370535">
        <w:rPr>
          <w:rFonts w:cs="Arial"/>
        </w:rPr>
        <w:t>In 2019/20, 36.0% of people said they missed having people around. This increased substantially during the Covid-19 pandemic (71.0% in 2020/21 and 53.0% in 2021/22), before falling back again to 36.0% in 2022/23.</w:t>
      </w:r>
    </w:p>
    <w:p w14:paraId="463667D2" w14:textId="77777777" w:rsidR="00370535" w:rsidRPr="00370535" w:rsidRDefault="00370535" w:rsidP="00B76905">
      <w:pPr>
        <w:numPr>
          <w:ilvl w:val="0"/>
          <w:numId w:val="46"/>
        </w:numPr>
        <w:rPr>
          <w:rFonts w:cs="Arial"/>
        </w:rPr>
      </w:pPr>
      <w:r w:rsidRPr="00370535">
        <w:rPr>
          <w:rFonts w:cs="Arial"/>
        </w:rPr>
        <w:t>The percentage of people who reported that they have people they can trust increased from 59.0% in 2019/20 to 67.0% in 2020 to 2021. This was maintained in 2021/22 and 2022/23.</w:t>
      </w:r>
    </w:p>
    <w:p w14:paraId="3039C4EC" w14:textId="77777777" w:rsidR="00370535" w:rsidRPr="00370535" w:rsidRDefault="00370535" w:rsidP="00B76905">
      <w:pPr>
        <w:numPr>
          <w:ilvl w:val="0"/>
          <w:numId w:val="46"/>
        </w:numPr>
        <w:rPr>
          <w:rFonts w:cs="Arial"/>
        </w:rPr>
      </w:pPr>
      <w:r w:rsidRPr="00370535">
        <w:rPr>
          <w:rFonts w:cs="Arial"/>
        </w:rPr>
        <w:t>From 2019/20 to 2021/22 there were increases in the percentage of people who said they had enough people they felt close to, and enough people they could rely on. The figures for 2022/23 were slightly lower but not a statistically significant change from 2020/21.</w:t>
      </w:r>
    </w:p>
    <w:p w14:paraId="33445F36" w14:textId="77777777" w:rsidR="00370535" w:rsidRPr="00370535" w:rsidRDefault="00370535" w:rsidP="00370535">
      <w:pPr>
        <w:rPr>
          <w:rFonts w:cs="Arial"/>
        </w:rPr>
      </w:pPr>
    </w:p>
    <w:p w14:paraId="61056D69" w14:textId="77777777" w:rsidR="00370535" w:rsidRPr="00370535" w:rsidRDefault="00370535" w:rsidP="00370535">
      <w:pPr>
        <w:rPr>
          <w:rFonts w:cs="Arial"/>
        </w:rPr>
      </w:pPr>
      <w:r w:rsidRPr="00370535">
        <w:rPr>
          <w:rFonts w:cs="Arial"/>
        </w:rPr>
        <w:t>The most recent results (2022/23) from the National Survey for Wales suggested that younger adults (aged 16 to 44) were more likely to feel lonely than those aged 65 and above.</w:t>
      </w:r>
    </w:p>
    <w:p w14:paraId="28434A56" w14:textId="77777777" w:rsidR="00370535" w:rsidRPr="00370535" w:rsidRDefault="00370535" w:rsidP="00370535">
      <w:pPr>
        <w:rPr>
          <w:rFonts w:cs="Arial"/>
        </w:rPr>
      </w:pPr>
    </w:p>
    <w:p w14:paraId="38877C04" w14:textId="77777777" w:rsidR="00370535" w:rsidRPr="00370535" w:rsidRDefault="00370535" w:rsidP="00370535">
      <w:pPr>
        <w:rPr>
          <w:rFonts w:cs="Arial"/>
        </w:rPr>
      </w:pPr>
      <w:r w:rsidRPr="00370535">
        <w:rPr>
          <w:rFonts w:cs="Arial"/>
        </w:rPr>
        <w:t>People living in material deprivation, and individuals with a mental health condition or in poorer general health, were more likely to be lonely. There were also differences by ethnicity, with Black, Asian and Minority Ethnic people being more likely to be lonely. The impact of these inequalities can be exacerbated where they intersect.</w:t>
      </w:r>
    </w:p>
    <w:p w14:paraId="40AD76D3" w14:textId="77777777" w:rsidR="00370535" w:rsidRPr="00370535" w:rsidRDefault="00370535" w:rsidP="00370535">
      <w:pPr>
        <w:rPr>
          <w:rFonts w:cs="Arial"/>
        </w:rPr>
      </w:pPr>
    </w:p>
    <w:p w14:paraId="59B46088" w14:textId="77777777" w:rsidR="00370535" w:rsidRPr="00370535" w:rsidRDefault="00370535" w:rsidP="00370535">
      <w:pPr>
        <w:rPr>
          <w:rFonts w:cs="Arial"/>
        </w:rPr>
      </w:pPr>
      <w:r w:rsidRPr="00370535">
        <w:rPr>
          <w:rFonts w:cs="Arial"/>
        </w:rPr>
        <w:t>In April 2025 Welsh Government published “Understanding: a suicide prevention and self-harm strategy 2025 - 2035</w:t>
      </w:r>
      <w:r w:rsidRPr="00370535">
        <w:rPr>
          <w:rFonts w:cs="Arial"/>
          <w:vertAlign w:val="superscript"/>
        </w:rPr>
        <w:footnoteReference w:id="50"/>
      </w:r>
      <w:r w:rsidRPr="00370535">
        <w:rPr>
          <w:rFonts w:cs="Arial"/>
        </w:rPr>
        <w:t>” which replaced the “Talk to me 2” strategy 2015 to 2022. This new strategy should be read in connection with the Mental Health and Wellbeing 2025-2035 strategy</w:t>
      </w:r>
      <w:r w:rsidRPr="00370535">
        <w:rPr>
          <w:rFonts w:cs="Arial"/>
          <w:vertAlign w:val="superscript"/>
        </w:rPr>
        <w:footnoteReference w:id="51"/>
      </w:r>
      <w:r w:rsidRPr="00370535">
        <w:rPr>
          <w:rFonts w:cs="Arial"/>
        </w:rPr>
        <w:t>. The risk factors for poor mental health, self-harm and suicide are similar and sometimes inter</w:t>
      </w:r>
      <w:r w:rsidRPr="00370535">
        <w:rPr>
          <w:rFonts w:cs="Arial"/>
        </w:rPr>
        <w:noBreakHyphen/>
        <w:t>related.</w:t>
      </w:r>
    </w:p>
    <w:p w14:paraId="77E8201D" w14:textId="77777777" w:rsidR="00370535" w:rsidRPr="00370535" w:rsidRDefault="00370535" w:rsidP="00370535">
      <w:pPr>
        <w:rPr>
          <w:rFonts w:cs="Arial"/>
        </w:rPr>
      </w:pPr>
    </w:p>
    <w:p w14:paraId="1F24E928" w14:textId="77777777" w:rsidR="00370535" w:rsidRPr="00370535" w:rsidRDefault="00370535" w:rsidP="00370535">
      <w:pPr>
        <w:rPr>
          <w:rFonts w:cs="Arial"/>
        </w:rPr>
      </w:pPr>
      <w:r w:rsidRPr="00370535">
        <w:rPr>
          <w:rFonts w:cs="Arial"/>
        </w:rPr>
        <w:t>The new strategy is accompanied by Welsh Government three-year delivery plan “Understanding: The Suicide Prevention and Self-harm Delivery Plan for Wales 2025-2028</w:t>
      </w:r>
      <w:r w:rsidRPr="00370535">
        <w:rPr>
          <w:rFonts w:cs="Arial"/>
          <w:vertAlign w:val="superscript"/>
        </w:rPr>
        <w:footnoteReference w:id="52"/>
      </w:r>
      <w:r w:rsidRPr="00370535">
        <w:rPr>
          <w:rFonts w:cs="Arial"/>
        </w:rPr>
        <w:t>” and builds on the progress made under the previous strategies “Talk to Me” (2009 – 2013) and “Talk to Me 2” (2014 - 2018).</w:t>
      </w:r>
    </w:p>
    <w:p w14:paraId="6611574E" w14:textId="77777777" w:rsidR="00370535" w:rsidRPr="00370535" w:rsidRDefault="00370535" w:rsidP="00370535">
      <w:pPr>
        <w:rPr>
          <w:rFonts w:cs="Arial"/>
        </w:rPr>
      </w:pPr>
    </w:p>
    <w:p w14:paraId="424F38E2" w14:textId="77777777" w:rsidR="00370535" w:rsidRPr="00370535" w:rsidRDefault="00370535" w:rsidP="00370535">
      <w:pPr>
        <w:rPr>
          <w:rFonts w:cs="Arial"/>
        </w:rPr>
      </w:pPr>
      <w:r w:rsidRPr="00370535">
        <w:rPr>
          <w:rFonts w:cs="Arial"/>
        </w:rPr>
        <w:t>The table below</w:t>
      </w:r>
      <w:r w:rsidRPr="00370535">
        <w:rPr>
          <w:rFonts w:cs="Arial"/>
          <w:lang w:val="en-US"/>
        </w:rPr>
        <w:t xml:space="preserve"> shows the suicide rate at local authority, health board and Wales level for 2020-24</w:t>
      </w:r>
      <w:r w:rsidRPr="00370535">
        <w:rPr>
          <w:rFonts w:cs="Arial"/>
          <w:vertAlign w:val="superscript"/>
          <w:lang w:val="en-US"/>
        </w:rPr>
        <w:footnoteReference w:id="53"/>
      </w:r>
      <w:r w:rsidRPr="00370535">
        <w:rPr>
          <w:rFonts w:cs="Arial"/>
          <w:lang w:val="en-US"/>
        </w:rPr>
        <w:t>. As can be seen the rates for the health board and Swansea local</w:t>
      </w:r>
    </w:p>
    <w:p w14:paraId="7445FF01" w14:textId="77777777" w:rsidR="00370535" w:rsidRPr="00370535" w:rsidRDefault="00370535" w:rsidP="00370535">
      <w:pPr>
        <w:rPr>
          <w:rFonts w:cs="Arial"/>
          <w:lang w:val="en-US"/>
        </w:rPr>
      </w:pPr>
      <w:r w:rsidRPr="00370535">
        <w:rPr>
          <w:rFonts w:cs="Arial"/>
          <w:lang w:val="en-US"/>
        </w:rPr>
        <w:t>authority are higher than the rate for Wales.</w:t>
      </w:r>
    </w:p>
    <w:p w14:paraId="3C54BF73" w14:textId="77777777" w:rsidR="00370535" w:rsidRPr="00370535" w:rsidRDefault="00370535" w:rsidP="00370535">
      <w:pPr>
        <w:rPr>
          <w:rFonts w:cs="Arial"/>
          <w:lang w:val="en-US"/>
        </w:rPr>
      </w:pPr>
    </w:p>
    <w:p w14:paraId="1A4182CF" w14:textId="77777777" w:rsidR="00370535" w:rsidRPr="00370535" w:rsidRDefault="00370535" w:rsidP="00370535">
      <w:pPr>
        <w:rPr>
          <w:rFonts w:cs="Arial"/>
          <w:b/>
          <w:bCs/>
          <w:lang w:val="en-US"/>
        </w:rPr>
      </w:pPr>
      <w:r w:rsidRPr="00370535">
        <w:rPr>
          <w:rFonts w:cs="Arial"/>
          <w:b/>
          <w:bCs/>
          <w:lang w:val="en-US"/>
        </w:rPr>
        <w:t>Table 3.4: Suicides, European age-standardised rate per 100,000 people 2020-24</w:t>
      </w:r>
      <w:r w:rsidRPr="00370535">
        <w:rPr>
          <w:rFonts w:cs="Arial"/>
          <w:b/>
          <w:bCs/>
          <w:vertAlign w:val="superscript"/>
          <w:lang w:val="en-US"/>
        </w:rPr>
        <w:footnoteReference w:id="54"/>
      </w:r>
    </w:p>
    <w:p w14:paraId="5E44057B" w14:textId="77777777" w:rsidR="00370535" w:rsidRPr="00370535" w:rsidRDefault="00370535" w:rsidP="00370535">
      <w:pPr>
        <w:rPr>
          <w:rFonts w:cs="Arial"/>
          <w:lang w:val="en-US"/>
        </w:rPr>
      </w:pPr>
    </w:p>
    <w:tbl>
      <w:tblPr>
        <w:tblStyle w:val="TableGrid3"/>
        <w:tblW w:w="8925" w:type="dxa"/>
        <w:tblInd w:w="-5" w:type="dxa"/>
        <w:tblLayout w:type="fixed"/>
        <w:tblLook w:val="04A0" w:firstRow="1" w:lastRow="0" w:firstColumn="1" w:lastColumn="0" w:noHBand="0" w:noVBand="1"/>
      </w:tblPr>
      <w:tblGrid>
        <w:gridCol w:w="5241"/>
        <w:gridCol w:w="3684"/>
      </w:tblGrid>
      <w:tr w:rsidR="00370535" w:rsidRPr="00370535" w14:paraId="1F81C3E0" w14:textId="77777777" w:rsidTr="00370535">
        <w:tc>
          <w:tcPr>
            <w:tcW w:w="5245"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7293280E" w14:textId="77777777" w:rsidR="00370535" w:rsidRPr="00370535" w:rsidRDefault="00370535" w:rsidP="00370535">
            <w:pPr>
              <w:rPr>
                <w:rFonts w:cs="Arial"/>
                <w:b/>
              </w:rPr>
            </w:pPr>
            <w:r w:rsidRPr="00370535">
              <w:rPr>
                <w:rFonts w:cs="Arial"/>
                <w:b/>
                <w:bCs/>
              </w:rPr>
              <w:t xml:space="preserve">Area </w:t>
            </w:r>
          </w:p>
        </w:tc>
        <w:tc>
          <w:tcPr>
            <w:tcW w:w="3686"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1274A244" w14:textId="77777777" w:rsidR="00370535" w:rsidRPr="00370535" w:rsidRDefault="00370535" w:rsidP="00C7745D">
            <w:pPr>
              <w:jc w:val="center"/>
              <w:rPr>
                <w:rFonts w:cs="Arial"/>
                <w:b/>
                <w:bCs/>
              </w:rPr>
            </w:pPr>
            <w:r w:rsidRPr="00370535">
              <w:rPr>
                <w:rFonts w:cs="Arial"/>
                <w:b/>
                <w:bCs/>
              </w:rPr>
              <w:t>Rate</w:t>
            </w:r>
          </w:p>
        </w:tc>
      </w:tr>
      <w:tr w:rsidR="00370535" w:rsidRPr="00370535" w14:paraId="32DBB1E9" w14:textId="77777777" w:rsidTr="00370535">
        <w:tc>
          <w:tcPr>
            <w:tcW w:w="5245" w:type="dxa"/>
            <w:tcBorders>
              <w:top w:val="single" w:sz="4" w:space="0" w:color="auto"/>
              <w:left w:val="single" w:sz="4" w:space="0" w:color="auto"/>
              <w:bottom w:val="single" w:sz="4" w:space="0" w:color="auto"/>
              <w:right w:val="single" w:sz="4" w:space="0" w:color="auto"/>
            </w:tcBorders>
            <w:hideMark/>
          </w:tcPr>
          <w:p w14:paraId="5044328E" w14:textId="77777777" w:rsidR="00370535" w:rsidRPr="00370535" w:rsidRDefault="00370535" w:rsidP="00370535">
            <w:pPr>
              <w:rPr>
                <w:rFonts w:cs="Arial"/>
              </w:rPr>
            </w:pPr>
            <w:r w:rsidRPr="00370535">
              <w:rPr>
                <w:rFonts w:cs="Arial"/>
              </w:rPr>
              <w:t>Neath Port Talbot</w:t>
            </w:r>
          </w:p>
        </w:tc>
        <w:tc>
          <w:tcPr>
            <w:tcW w:w="3686" w:type="dxa"/>
            <w:tcBorders>
              <w:top w:val="single" w:sz="4" w:space="0" w:color="auto"/>
              <w:left w:val="single" w:sz="4" w:space="0" w:color="auto"/>
              <w:bottom w:val="single" w:sz="4" w:space="0" w:color="auto"/>
              <w:right w:val="single" w:sz="4" w:space="0" w:color="auto"/>
            </w:tcBorders>
            <w:hideMark/>
          </w:tcPr>
          <w:p w14:paraId="635444AE" w14:textId="77777777" w:rsidR="00370535" w:rsidRPr="00370535" w:rsidRDefault="00370535" w:rsidP="00C7745D">
            <w:pPr>
              <w:jc w:val="center"/>
              <w:rPr>
                <w:rFonts w:cs="Arial"/>
                <w:bCs/>
              </w:rPr>
            </w:pPr>
            <w:r w:rsidRPr="00370535">
              <w:rPr>
                <w:rFonts w:cs="Arial"/>
                <w:bCs/>
              </w:rPr>
              <w:t>12.6</w:t>
            </w:r>
          </w:p>
        </w:tc>
      </w:tr>
      <w:tr w:rsidR="00370535" w:rsidRPr="00370535" w14:paraId="2A13067A" w14:textId="77777777" w:rsidTr="00370535">
        <w:tc>
          <w:tcPr>
            <w:tcW w:w="5245" w:type="dxa"/>
            <w:tcBorders>
              <w:top w:val="single" w:sz="4" w:space="0" w:color="auto"/>
              <w:left w:val="single" w:sz="4" w:space="0" w:color="auto"/>
              <w:bottom w:val="single" w:sz="4" w:space="0" w:color="auto"/>
              <w:right w:val="single" w:sz="4" w:space="0" w:color="auto"/>
            </w:tcBorders>
            <w:hideMark/>
          </w:tcPr>
          <w:p w14:paraId="3145044C" w14:textId="77777777" w:rsidR="00370535" w:rsidRPr="00370535" w:rsidRDefault="00370535" w:rsidP="00370535">
            <w:pPr>
              <w:rPr>
                <w:rFonts w:cs="Arial"/>
              </w:rPr>
            </w:pPr>
            <w:r w:rsidRPr="00370535">
              <w:rPr>
                <w:rFonts w:cs="Arial"/>
              </w:rPr>
              <w:t>Swansea</w:t>
            </w:r>
          </w:p>
        </w:tc>
        <w:tc>
          <w:tcPr>
            <w:tcW w:w="3686" w:type="dxa"/>
            <w:tcBorders>
              <w:top w:val="single" w:sz="4" w:space="0" w:color="auto"/>
              <w:left w:val="single" w:sz="4" w:space="0" w:color="auto"/>
              <w:bottom w:val="single" w:sz="4" w:space="0" w:color="auto"/>
              <w:right w:val="single" w:sz="4" w:space="0" w:color="auto"/>
            </w:tcBorders>
            <w:hideMark/>
          </w:tcPr>
          <w:p w14:paraId="3FC2AA7B" w14:textId="77777777" w:rsidR="00370535" w:rsidRPr="00370535" w:rsidRDefault="00370535" w:rsidP="00C7745D">
            <w:pPr>
              <w:jc w:val="center"/>
              <w:rPr>
                <w:rFonts w:cs="Arial"/>
                <w:bCs/>
              </w:rPr>
            </w:pPr>
            <w:r w:rsidRPr="00370535">
              <w:rPr>
                <w:rFonts w:cs="Arial"/>
                <w:bCs/>
              </w:rPr>
              <w:t>14.3</w:t>
            </w:r>
          </w:p>
        </w:tc>
      </w:tr>
      <w:tr w:rsidR="00370535" w:rsidRPr="00370535" w14:paraId="4B1E3545" w14:textId="77777777" w:rsidTr="00370535">
        <w:tc>
          <w:tcPr>
            <w:tcW w:w="5245" w:type="dxa"/>
            <w:tcBorders>
              <w:top w:val="single" w:sz="4" w:space="0" w:color="auto"/>
              <w:left w:val="single" w:sz="4" w:space="0" w:color="auto"/>
              <w:bottom w:val="single" w:sz="4" w:space="0" w:color="auto"/>
              <w:right w:val="single" w:sz="4" w:space="0" w:color="auto"/>
            </w:tcBorders>
            <w:hideMark/>
          </w:tcPr>
          <w:p w14:paraId="36EC4F56" w14:textId="77777777" w:rsidR="00370535" w:rsidRPr="00370535" w:rsidRDefault="00370535" w:rsidP="00370535">
            <w:pPr>
              <w:rPr>
                <w:rFonts w:cs="Arial"/>
              </w:rPr>
            </w:pPr>
            <w:r w:rsidRPr="00370535">
              <w:rPr>
                <w:rFonts w:cs="Arial"/>
              </w:rPr>
              <w:t>Swansea Bay University Health Board</w:t>
            </w:r>
          </w:p>
        </w:tc>
        <w:tc>
          <w:tcPr>
            <w:tcW w:w="3686" w:type="dxa"/>
            <w:tcBorders>
              <w:top w:val="single" w:sz="4" w:space="0" w:color="auto"/>
              <w:left w:val="single" w:sz="4" w:space="0" w:color="auto"/>
              <w:bottom w:val="single" w:sz="4" w:space="0" w:color="auto"/>
              <w:right w:val="single" w:sz="4" w:space="0" w:color="auto"/>
            </w:tcBorders>
            <w:hideMark/>
          </w:tcPr>
          <w:p w14:paraId="22AC67FE" w14:textId="77777777" w:rsidR="00370535" w:rsidRPr="00370535" w:rsidRDefault="00370535" w:rsidP="00C7745D">
            <w:pPr>
              <w:jc w:val="center"/>
              <w:rPr>
                <w:rFonts w:cs="Arial"/>
                <w:bCs/>
              </w:rPr>
            </w:pPr>
            <w:r w:rsidRPr="00370535">
              <w:rPr>
                <w:rFonts w:cs="Arial"/>
                <w:bCs/>
              </w:rPr>
              <w:t>13.7</w:t>
            </w:r>
          </w:p>
        </w:tc>
      </w:tr>
      <w:tr w:rsidR="00370535" w:rsidRPr="00370535" w14:paraId="097966FF" w14:textId="77777777" w:rsidTr="00370535">
        <w:tc>
          <w:tcPr>
            <w:tcW w:w="5245" w:type="dxa"/>
            <w:tcBorders>
              <w:top w:val="single" w:sz="4" w:space="0" w:color="auto"/>
              <w:left w:val="single" w:sz="4" w:space="0" w:color="auto"/>
              <w:bottom w:val="single" w:sz="4" w:space="0" w:color="auto"/>
              <w:right w:val="single" w:sz="4" w:space="0" w:color="auto"/>
            </w:tcBorders>
            <w:hideMark/>
          </w:tcPr>
          <w:p w14:paraId="60EE622B" w14:textId="77777777" w:rsidR="00370535" w:rsidRPr="00370535" w:rsidRDefault="00370535" w:rsidP="00370535">
            <w:pPr>
              <w:rPr>
                <w:rFonts w:cs="Arial"/>
              </w:rPr>
            </w:pPr>
            <w:r w:rsidRPr="00370535">
              <w:rPr>
                <w:rFonts w:cs="Arial"/>
              </w:rPr>
              <w:t>Wales</w:t>
            </w:r>
          </w:p>
        </w:tc>
        <w:tc>
          <w:tcPr>
            <w:tcW w:w="3686" w:type="dxa"/>
            <w:tcBorders>
              <w:top w:val="single" w:sz="4" w:space="0" w:color="auto"/>
              <w:left w:val="single" w:sz="4" w:space="0" w:color="auto"/>
              <w:bottom w:val="single" w:sz="4" w:space="0" w:color="auto"/>
              <w:right w:val="single" w:sz="4" w:space="0" w:color="auto"/>
            </w:tcBorders>
            <w:hideMark/>
          </w:tcPr>
          <w:p w14:paraId="3438FE1D" w14:textId="77777777" w:rsidR="00370535" w:rsidRPr="00370535" w:rsidRDefault="00370535" w:rsidP="00C7745D">
            <w:pPr>
              <w:jc w:val="center"/>
              <w:rPr>
                <w:rFonts w:cs="Arial"/>
                <w:bCs/>
              </w:rPr>
            </w:pPr>
            <w:r w:rsidRPr="00370535">
              <w:rPr>
                <w:rFonts w:cs="Arial"/>
                <w:bCs/>
              </w:rPr>
              <w:t>13.1</w:t>
            </w:r>
          </w:p>
        </w:tc>
      </w:tr>
    </w:tbl>
    <w:p w14:paraId="1170EA8E" w14:textId="77777777" w:rsidR="00370535" w:rsidRPr="00370535" w:rsidRDefault="00370535" w:rsidP="00370535">
      <w:pPr>
        <w:rPr>
          <w:rFonts w:cs="Arial"/>
          <w:lang w:val="en-US"/>
        </w:rPr>
      </w:pPr>
    </w:p>
    <w:p w14:paraId="33E2F99E" w14:textId="77777777" w:rsidR="00370535" w:rsidRPr="00370535" w:rsidRDefault="00370535" w:rsidP="00370535">
      <w:pPr>
        <w:rPr>
          <w:rFonts w:cs="Arial"/>
          <w:b/>
          <w:sz w:val="26"/>
          <w:szCs w:val="26"/>
        </w:rPr>
      </w:pPr>
      <w:r w:rsidRPr="00370535">
        <w:rPr>
          <w:rFonts w:cs="Arial"/>
          <w:b/>
          <w:sz w:val="26"/>
          <w:szCs w:val="26"/>
        </w:rPr>
        <w:t>3.2 Risk factors</w:t>
      </w:r>
    </w:p>
    <w:p w14:paraId="258EE66F" w14:textId="77777777" w:rsidR="00370535" w:rsidRPr="00370535" w:rsidRDefault="00370535" w:rsidP="00370535">
      <w:pPr>
        <w:rPr>
          <w:rFonts w:cs="Arial"/>
          <w:b/>
          <w:bCs/>
        </w:rPr>
      </w:pPr>
    </w:p>
    <w:p w14:paraId="762B0776" w14:textId="77777777" w:rsidR="00370535" w:rsidRPr="00370535" w:rsidRDefault="00370535" w:rsidP="00370535">
      <w:pPr>
        <w:rPr>
          <w:rFonts w:cs="Arial"/>
          <w:b/>
          <w:bCs/>
        </w:rPr>
      </w:pPr>
      <w:r w:rsidRPr="00370535">
        <w:rPr>
          <w:rFonts w:cs="Arial"/>
          <w:b/>
          <w:bCs/>
        </w:rPr>
        <w:t>3.2.1 Clinical risk factors</w:t>
      </w:r>
    </w:p>
    <w:p w14:paraId="6BCA4395" w14:textId="77777777" w:rsidR="00370535" w:rsidRPr="00370535" w:rsidRDefault="00370535" w:rsidP="00370535">
      <w:pPr>
        <w:rPr>
          <w:rFonts w:cs="Arial"/>
        </w:rPr>
      </w:pPr>
    </w:p>
    <w:p w14:paraId="498FA5F0" w14:textId="77777777" w:rsidR="00370535" w:rsidRPr="00370535" w:rsidRDefault="00370535" w:rsidP="00370535">
      <w:pPr>
        <w:rPr>
          <w:rFonts w:cs="Arial"/>
        </w:rPr>
      </w:pPr>
      <w:r w:rsidRPr="00370535">
        <w:rPr>
          <w:rFonts w:cs="Arial"/>
        </w:rPr>
        <w:t>Risk factors can be broadly categorised into modifiable and non-modifiable. Modifiable risk factors may be directly within an individual’s control, such as physical activity. They may also be affected by local or national government policy, decisions or legislative change. Public health prevention and health improvement focuses primarily on these modifiable risk factors</w:t>
      </w:r>
      <w:r w:rsidRPr="00370535">
        <w:rPr>
          <w:rFonts w:cs="Arial"/>
          <w:vertAlign w:val="superscript"/>
        </w:rPr>
        <w:footnoteReference w:id="55"/>
      </w:r>
      <w:r w:rsidRPr="00370535">
        <w:rPr>
          <w:rFonts w:cs="Arial"/>
        </w:rPr>
        <w:t>.</w:t>
      </w:r>
    </w:p>
    <w:p w14:paraId="26DDB6F0" w14:textId="77777777" w:rsidR="00370535" w:rsidRPr="00370535" w:rsidRDefault="00370535" w:rsidP="00370535">
      <w:pPr>
        <w:rPr>
          <w:rFonts w:cs="Arial"/>
        </w:rPr>
      </w:pPr>
    </w:p>
    <w:p w14:paraId="22BFEB5B" w14:textId="77777777" w:rsidR="00370535" w:rsidRPr="00370535" w:rsidRDefault="00370535" w:rsidP="00370535">
      <w:pPr>
        <w:rPr>
          <w:rFonts w:cs="Arial"/>
        </w:rPr>
      </w:pPr>
      <w:r w:rsidRPr="00370535">
        <w:rPr>
          <w:rFonts w:cs="Arial"/>
        </w:rPr>
        <w:t>Atrial fibrillation and hypertension are both important public health priorities. More than 80,000 people in Wales have been diagnosed with atrial fibrillation, and it is estimated around 750,000 adults in Wales have high blood pressure, with around 540,000 (April 2025</w:t>
      </w:r>
      <w:r w:rsidRPr="00370535">
        <w:rPr>
          <w:rFonts w:cs="Arial"/>
          <w:vertAlign w:val="superscript"/>
        </w:rPr>
        <w:footnoteReference w:id="56"/>
      </w:r>
      <w:r w:rsidRPr="00370535">
        <w:rPr>
          <w:rFonts w:cs="Arial"/>
        </w:rPr>
        <w:t>) people in Wales on their GP practice’s hypertension register</w:t>
      </w:r>
      <w:r w:rsidRPr="00370535">
        <w:rPr>
          <w:rFonts w:cs="Arial"/>
          <w:vertAlign w:val="superscript"/>
        </w:rPr>
        <w:footnoteReference w:id="57"/>
      </w:r>
      <w:r w:rsidRPr="00370535">
        <w:rPr>
          <w:rFonts w:cs="Arial"/>
        </w:rPr>
        <w:t>.</w:t>
      </w:r>
    </w:p>
    <w:p w14:paraId="37B4D78D" w14:textId="77777777" w:rsidR="00370535" w:rsidRPr="00370535" w:rsidRDefault="00370535" w:rsidP="00370535">
      <w:pPr>
        <w:rPr>
          <w:rFonts w:cs="Arial"/>
        </w:rPr>
      </w:pPr>
    </w:p>
    <w:p w14:paraId="2FBE1FBB" w14:textId="77777777" w:rsidR="00370535" w:rsidRPr="00370535" w:rsidRDefault="00370535" w:rsidP="00370535">
      <w:pPr>
        <w:rPr>
          <w:rFonts w:cs="Arial"/>
        </w:rPr>
      </w:pPr>
      <w:r w:rsidRPr="00370535">
        <w:rPr>
          <w:rFonts w:cs="Arial"/>
        </w:rPr>
        <w:lastRenderedPageBreak/>
        <w:t>In April 2025, Public Health Wales published “Cardiovascular disease prevalence – trends, risk factors, and 10-year projections</w:t>
      </w:r>
      <w:r w:rsidRPr="00370535">
        <w:rPr>
          <w:rFonts w:cs="Arial"/>
          <w:vertAlign w:val="superscript"/>
        </w:rPr>
        <w:footnoteReference w:id="58"/>
      </w:r>
      <w:r w:rsidRPr="00370535">
        <w:rPr>
          <w:rFonts w:cs="Arial"/>
        </w:rPr>
        <w:t>” which states the following.</w:t>
      </w:r>
    </w:p>
    <w:p w14:paraId="2BD404CE" w14:textId="77777777" w:rsidR="00370535" w:rsidRPr="00370535" w:rsidRDefault="00370535" w:rsidP="00370535">
      <w:pPr>
        <w:rPr>
          <w:rFonts w:cs="Arial"/>
        </w:rPr>
      </w:pPr>
    </w:p>
    <w:p w14:paraId="7FC90B54" w14:textId="77777777" w:rsidR="00370535" w:rsidRPr="00370535" w:rsidRDefault="00370535" w:rsidP="00370535">
      <w:pPr>
        <w:rPr>
          <w:rFonts w:cs="Arial"/>
          <w:b/>
          <w:bCs/>
        </w:rPr>
      </w:pPr>
      <w:r w:rsidRPr="00370535">
        <w:rPr>
          <w:rFonts w:cs="Arial"/>
          <w:b/>
          <w:bCs/>
        </w:rPr>
        <w:t>Hypertension</w:t>
      </w:r>
    </w:p>
    <w:p w14:paraId="5EC49411" w14:textId="77777777" w:rsidR="00370535" w:rsidRPr="00370535" w:rsidRDefault="00370535" w:rsidP="00370535">
      <w:pPr>
        <w:rPr>
          <w:rFonts w:cs="Arial"/>
        </w:rPr>
      </w:pPr>
    </w:p>
    <w:p w14:paraId="36714870" w14:textId="77777777" w:rsidR="00370535" w:rsidRPr="00370535" w:rsidRDefault="00370535" w:rsidP="00B76905">
      <w:pPr>
        <w:numPr>
          <w:ilvl w:val="0"/>
          <w:numId w:val="47"/>
        </w:numPr>
        <w:rPr>
          <w:rFonts w:cs="Arial"/>
        </w:rPr>
      </w:pPr>
      <w:r w:rsidRPr="00370535">
        <w:rPr>
          <w:rFonts w:cs="Arial"/>
        </w:rPr>
        <w:t xml:space="preserve">Is a clinical risk factor and the leading modifiable risk for heart and circulatory diseases in Wales. </w:t>
      </w:r>
    </w:p>
    <w:p w14:paraId="32F4B89F" w14:textId="77777777" w:rsidR="00370535" w:rsidRPr="00370535" w:rsidRDefault="00370535" w:rsidP="00B76905">
      <w:pPr>
        <w:numPr>
          <w:ilvl w:val="0"/>
          <w:numId w:val="47"/>
        </w:numPr>
        <w:rPr>
          <w:rFonts w:cs="Arial"/>
        </w:rPr>
      </w:pPr>
      <w:r w:rsidRPr="00370535">
        <w:rPr>
          <w:rFonts w:cs="Arial"/>
        </w:rPr>
        <w:t>Around half of heart attacks and strokes in Wales are associated with high blood pressure.</w:t>
      </w:r>
    </w:p>
    <w:p w14:paraId="715B6D9F" w14:textId="77777777" w:rsidR="00370535" w:rsidRPr="00370535" w:rsidRDefault="00370535" w:rsidP="00B76905">
      <w:pPr>
        <w:numPr>
          <w:ilvl w:val="0"/>
          <w:numId w:val="47"/>
        </w:numPr>
        <w:rPr>
          <w:rFonts w:cs="Arial"/>
        </w:rPr>
      </w:pPr>
      <w:r w:rsidRPr="00370535">
        <w:rPr>
          <w:rFonts w:cs="Arial"/>
        </w:rPr>
        <w:t>Whilst almost 530,000 (April 2024</w:t>
      </w:r>
      <w:r w:rsidRPr="00370535">
        <w:rPr>
          <w:rFonts w:cs="Arial"/>
          <w:vertAlign w:val="superscript"/>
        </w:rPr>
        <w:footnoteReference w:id="59"/>
      </w:r>
      <w:r w:rsidRPr="00370535">
        <w:rPr>
          <w:rFonts w:cs="Arial"/>
        </w:rPr>
        <w:t>) people in Wales are captured on their GP practice’s hypertension register, it is estimated that as many as 220,000 people could be undiagnosed.</w:t>
      </w:r>
    </w:p>
    <w:p w14:paraId="5B896000" w14:textId="77777777" w:rsidR="00370535" w:rsidRPr="00370535" w:rsidRDefault="00370535" w:rsidP="00B76905">
      <w:pPr>
        <w:numPr>
          <w:ilvl w:val="0"/>
          <w:numId w:val="47"/>
        </w:numPr>
        <w:rPr>
          <w:rFonts w:cs="Arial"/>
        </w:rPr>
      </w:pPr>
      <w:r w:rsidRPr="00370535">
        <w:rPr>
          <w:rFonts w:cs="Arial"/>
        </w:rPr>
        <w:t xml:space="preserve">The number of people on the hypertension register is projected to increase from 529,300 in 2023/24 to 565,900 people in 2033/34. These figures equate to a little over one in six people, an increase of 7%. This follows an increase of 11% between 2009/10 and 2023/24. </w:t>
      </w:r>
    </w:p>
    <w:p w14:paraId="4034C7ED" w14:textId="77777777" w:rsidR="00370535" w:rsidRPr="00370535" w:rsidRDefault="00370535" w:rsidP="00370535">
      <w:pPr>
        <w:rPr>
          <w:rFonts w:cs="Arial"/>
        </w:rPr>
      </w:pPr>
    </w:p>
    <w:p w14:paraId="43E6A677" w14:textId="77777777" w:rsidR="00370535" w:rsidRPr="00370535" w:rsidRDefault="00370535" w:rsidP="00370535">
      <w:pPr>
        <w:rPr>
          <w:rFonts w:cs="Arial"/>
        </w:rPr>
      </w:pPr>
      <w:r w:rsidRPr="00370535">
        <w:rPr>
          <w:rFonts w:cs="Arial"/>
        </w:rPr>
        <w:t>Hypertension is a major risk factor for heart disease, stroke, kidney disease, peripheral arterial disease and vascular dementia. Early detection and effective management can prevent progression to cardiovascular disease. Although hypertension is classed as more of a clinical risk factor, its prevention or reduction is affected by life-style choices such as excessive salt intake, poor diet and obesity, excess alcohol consumption, lack of physical activity, mental well-being and stress. The burden of high blood pressure is greatest among individuals from low-income households and those living in deprived areas</w:t>
      </w:r>
      <w:r w:rsidRPr="00370535">
        <w:rPr>
          <w:rFonts w:cs="Arial"/>
          <w:vertAlign w:val="superscript"/>
        </w:rPr>
        <w:footnoteReference w:id="60"/>
      </w:r>
      <w:r w:rsidRPr="00370535">
        <w:rPr>
          <w:rFonts w:cs="Arial"/>
        </w:rPr>
        <w:t>.</w:t>
      </w:r>
    </w:p>
    <w:p w14:paraId="028CF522" w14:textId="77777777" w:rsidR="00370535" w:rsidRPr="00370535" w:rsidRDefault="00370535" w:rsidP="00370535">
      <w:pPr>
        <w:rPr>
          <w:rFonts w:cs="Arial"/>
        </w:rPr>
      </w:pPr>
    </w:p>
    <w:p w14:paraId="74A4BAEB" w14:textId="77777777" w:rsidR="00370535" w:rsidRPr="00370535" w:rsidRDefault="00370535" w:rsidP="00370535">
      <w:pPr>
        <w:rPr>
          <w:rFonts w:cs="Arial"/>
        </w:rPr>
      </w:pPr>
      <w:r w:rsidRPr="00370535">
        <w:rPr>
          <w:rFonts w:cs="Arial"/>
        </w:rPr>
        <w:t>The table below shows the recorded prevalence based on the quality and outcomes framework 2025 reported prevalence rates by GP practices for hypertension across the clusters. Figures are compared with the Swansea Bay University Health Board and Wales rates.</w:t>
      </w:r>
    </w:p>
    <w:p w14:paraId="6EA3B199" w14:textId="77777777" w:rsidR="00370535" w:rsidRPr="00D0306F" w:rsidRDefault="00370535" w:rsidP="00370535">
      <w:pPr>
        <w:rPr>
          <w:rFonts w:cs="Arial"/>
        </w:rPr>
      </w:pPr>
    </w:p>
    <w:p w14:paraId="4FD6D314" w14:textId="77777777" w:rsidR="00C34E73" w:rsidRPr="00D0306F" w:rsidRDefault="00C34E73" w:rsidP="00370535">
      <w:pPr>
        <w:rPr>
          <w:rFonts w:cs="Arial"/>
        </w:rPr>
      </w:pPr>
    </w:p>
    <w:p w14:paraId="7EBDD186" w14:textId="77777777" w:rsidR="00C34E73" w:rsidRPr="00D0306F" w:rsidRDefault="00C34E73" w:rsidP="00370535">
      <w:pPr>
        <w:rPr>
          <w:rFonts w:cs="Arial"/>
        </w:rPr>
      </w:pPr>
    </w:p>
    <w:p w14:paraId="727024A4" w14:textId="77777777" w:rsidR="00C34E73" w:rsidRPr="00D0306F" w:rsidRDefault="00C34E73" w:rsidP="00370535">
      <w:pPr>
        <w:rPr>
          <w:rFonts w:cs="Arial"/>
        </w:rPr>
      </w:pPr>
    </w:p>
    <w:p w14:paraId="0BE499C0" w14:textId="77777777" w:rsidR="00C34E73" w:rsidRPr="00D0306F" w:rsidRDefault="00C34E73" w:rsidP="00370535">
      <w:pPr>
        <w:rPr>
          <w:rFonts w:cs="Arial"/>
        </w:rPr>
      </w:pPr>
    </w:p>
    <w:p w14:paraId="62F53F98" w14:textId="77777777" w:rsidR="00C34E73" w:rsidRPr="00D0306F" w:rsidRDefault="00C34E73" w:rsidP="00370535">
      <w:pPr>
        <w:rPr>
          <w:rFonts w:cs="Arial"/>
        </w:rPr>
      </w:pPr>
    </w:p>
    <w:p w14:paraId="07E337FD" w14:textId="77777777" w:rsidR="00C34E73" w:rsidRPr="00D0306F" w:rsidRDefault="00C34E73" w:rsidP="00370535">
      <w:pPr>
        <w:rPr>
          <w:rFonts w:cs="Arial"/>
        </w:rPr>
      </w:pPr>
    </w:p>
    <w:p w14:paraId="7CADBE87" w14:textId="77777777" w:rsidR="00C34E73" w:rsidRPr="00D0306F" w:rsidRDefault="00C34E73" w:rsidP="00370535">
      <w:pPr>
        <w:rPr>
          <w:rFonts w:cs="Arial"/>
        </w:rPr>
      </w:pPr>
    </w:p>
    <w:p w14:paraId="4DA9C184" w14:textId="77777777" w:rsidR="00C34E73" w:rsidRPr="00D0306F" w:rsidRDefault="00C34E73" w:rsidP="00370535">
      <w:pPr>
        <w:rPr>
          <w:rFonts w:cs="Arial"/>
        </w:rPr>
      </w:pPr>
    </w:p>
    <w:p w14:paraId="1C800E99" w14:textId="77777777" w:rsidR="00C34E73" w:rsidRPr="00D0306F" w:rsidRDefault="00C34E73" w:rsidP="00370535">
      <w:pPr>
        <w:rPr>
          <w:rFonts w:cs="Arial"/>
        </w:rPr>
      </w:pPr>
    </w:p>
    <w:p w14:paraId="21C3FE36" w14:textId="77777777" w:rsidR="00C34E73" w:rsidRPr="00D0306F" w:rsidRDefault="00C34E73" w:rsidP="00370535">
      <w:pPr>
        <w:rPr>
          <w:rFonts w:cs="Arial"/>
        </w:rPr>
      </w:pPr>
    </w:p>
    <w:p w14:paraId="44139EBF" w14:textId="77777777" w:rsidR="00C34E73" w:rsidRPr="00D0306F" w:rsidRDefault="00C34E73" w:rsidP="00370535">
      <w:pPr>
        <w:rPr>
          <w:rFonts w:cs="Arial"/>
        </w:rPr>
      </w:pPr>
    </w:p>
    <w:p w14:paraId="71CD89E1" w14:textId="77777777" w:rsidR="00C34E73" w:rsidRPr="00D0306F" w:rsidRDefault="00C34E73" w:rsidP="00370535">
      <w:pPr>
        <w:rPr>
          <w:rFonts w:cs="Arial"/>
        </w:rPr>
      </w:pPr>
    </w:p>
    <w:p w14:paraId="368BE152" w14:textId="77777777" w:rsidR="00C34E73" w:rsidRPr="00370535" w:rsidRDefault="00C34E73" w:rsidP="00370535">
      <w:pPr>
        <w:rPr>
          <w:rFonts w:cs="Arial"/>
        </w:rPr>
      </w:pPr>
    </w:p>
    <w:p w14:paraId="18E11E77" w14:textId="77777777" w:rsidR="00370535" w:rsidRPr="00370535" w:rsidRDefault="00370535" w:rsidP="00370535">
      <w:pPr>
        <w:rPr>
          <w:rFonts w:cs="Arial"/>
          <w:b/>
          <w:bCs/>
        </w:rPr>
      </w:pPr>
      <w:r w:rsidRPr="00370535">
        <w:rPr>
          <w:rFonts w:cs="Arial"/>
          <w:b/>
          <w:bCs/>
        </w:rPr>
        <w:lastRenderedPageBreak/>
        <w:t>Table 3.5: Estimated percentage prevalence of patients registered as having hypertension by cluster, health board and Wales, 2025</w:t>
      </w:r>
      <w:r w:rsidRPr="00370535">
        <w:rPr>
          <w:rFonts w:cs="Arial"/>
          <w:b/>
          <w:bCs/>
          <w:vertAlign w:val="superscript"/>
        </w:rPr>
        <w:footnoteReference w:id="61"/>
      </w:r>
    </w:p>
    <w:p w14:paraId="0F5A73A8" w14:textId="77777777" w:rsidR="00370535" w:rsidRPr="00370535" w:rsidRDefault="00370535" w:rsidP="00370535">
      <w:pPr>
        <w:rPr>
          <w:rFonts w:cs="Arial"/>
          <w:b/>
        </w:rPr>
      </w:pPr>
    </w:p>
    <w:tbl>
      <w:tblPr>
        <w:tblStyle w:val="TableGrid3"/>
        <w:tblW w:w="8925" w:type="dxa"/>
        <w:tblInd w:w="-5" w:type="dxa"/>
        <w:tblLayout w:type="fixed"/>
        <w:tblLook w:val="04A0" w:firstRow="1" w:lastRow="0" w:firstColumn="1" w:lastColumn="0" w:noHBand="0" w:noVBand="1"/>
      </w:tblPr>
      <w:tblGrid>
        <w:gridCol w:w="3400"/>
        <w:gridCol w:w="2975"/>
        <w:gridCol w:w="2550"/>
      </w:tblGrid>
      <w:tr w:rsidR="00370535" w:rsidRPr="00370535" w14:paraId="6A4B09D2" w14:textId="77777777" w:rsidTr="00370535">
        <w:tc>
          <w:tcPr>
            <w:tcW w:w="3402"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1C139EE5" w14:textId="51131E94" w:rsidR="00370535" w:rsidRPr="00370535" w:rsidRDefault="00370535" w:rsidP="00370535">
            <w:pPr>
              <w:rPr>
                <w:rFonts w:cs="Arial"/>
                <w:b/>
              </w:rPr>
            </w:pPr>
            <w:r w:rsidRPr="00370535">
              <w:rPr>
                <w:rFonts w:cs="Arial"/>
                <w:b/>
                <w:bCs/>
              </w:rPr>
              <w:t>Area</w:t>
            </w:r>
          </w:p>
        </w:tc>
        <w:tc>
          <w:tcPr>
            <w:tcW w:w="2977"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37C366C6" w14:textId="77777777" w:rsidR="00370535" w:rsidRPr="00370535" w:rsidRDefault="00370535" w:rsidP="00370535">
            <w:pPr>
              <w:rPr>
                <w:rFonts w:cs="Arial"/>
                <w:b/>
                <w:bCs/>
              </w:rPr>
            </w:pPr>
            <w:r w:rsidRPr="00370535">
              <w:rPr>
                <w:rFonts w:cs="Arial"/>
                <w:b/>
                <w:bCs/>
              </w:rPr>
              <w:t>Local authority</w:t>
            </w:r>
          </w:p>
        </w:tc>
        <w:tc>
          <w:tcPr>
            <w:tcW w:w="2552"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5E4A7A84" w14:textId="77777777" w:rsidR="00370535" w:rsidRPr="00370535" w:rsidRDefault="00370535" w:rsidP="00370535">
            <w:pPr>
              <w:rPr>
                <w:rFonts w:cs="Arial"/>
                <w:b/>
                <w:bCs/>
              </w:rPr>
            </w:pPr>
            <w:r w:rsidRPr="00370535">
              <w:rPr>
                <w:rFonts w:cs="Arial"/>
                <w:b/>
                <w:bCs/>
              </w:rPr>
              <w:t xml:space="preserve">Hypertension </w:t>
            </w:r>
          </w:p>
        </w:tc>
      </w:tr>
      <w:tr w:rsidR="00370535" w:rsidRPr="00370535" w14:paraId="13335AEB" w14:textId="77777777" w:rsidTr="00370535">
        <w:tc>
          <w:tcPr>
            <w:tcW w:w="3402" w:type="dxa"/>
            <w:tcBorders>
              <w:top w:val="single" w:sz="4" w:space="0" w:color="auto"/>
              <w:left w:val="single" w:sz="4" w:space="0" w:color="auto"/>
              <w:bottom w:val="single" w:sz="4" w:space="0" w:color="auto"/>
              <w:right w:val="single" w:sz="4" w:space="0" w:color="auto"/>
            </w:tcBorders>
            <w:hideMark/>
          </w:tcPr>
          <w:p w14:paraId="5BC49E65" w14:textId="77777777" w:rsidR="00370535" w:rsidRPr="00370535" w:rsidRDefault="00370535" w:rsidP="00370535">
            <w:pPr>
              <w:rPr>
                <w:rFonts w:cs="Arial"/>
              </w:rPr>
            </w:pPr>
            <w:r w:rsidRPr="00370535">
              <w:rPr>
                <w:rFonts w:cs="Arial"/>
              </w:rPr>
              <w:t>Bay Health</w:t>
            </w:r>
          </w:p>
        </w:tc>
        <w:tc>
          <w:tcPr>
            <w:tcW w:w="2977" w:type="dxa"/>
            <w:tcBorders>
              <w:top w:val="single" w:sz="4" w:space="0" w:color="auto"/>
              <w:left w:val="single" w:sz="4" w:space="0" w:color="auto"/>
              <w:bottom w:val="single" w:sz="4" w:space="0" w:color="auto"/>
              <w:right w:val="single" w:sz="4" w:space="0" w:color="auto"/>
            </w:tcBorders>
            <w:hideMark/>
          </w:tcPr>
          <w:p w14:paraId="20FD721E" w14:textId="77777777" w:rsidR="00370535" w:rsidRPr="00370535" w:rsidRDefault="00370535" w:rsidP="00370535">
            <w:pPr>
              <w:rPr>
                <w:rFonts w:cs="Arial"/>
                <w:bCs/>
              </w:rPr>
            </w:pPr>
            <w:r w:rsidRPr="00370535">
              <w:rPr>
                <w:rFonts w:cs="Arial"/>
                <w:bCs/>
              </w:rPr>
              <w:t>Swansea</w:t>
            </w:r>
          </w:p>
        </w:tc>
        <w:tc>
          <w:tcPr>
            <w:tcW w:w="2552" w:type="dxa"/>
            <w:tcBorders>
              <w:top w:val="single" w:sz="4" w:space="0" w:color="auto"/>
              <w:left w:val="single" w:sz="4" w:space="0" w:color="auto"/>
              <w:bottom w:val="single" w:sz="4" w:space="0" w:color="auto"/>
              <w:right w:val="single" w:sz="4" w:space="0" w:color="auto"/>
            </w:tcBorders>
            <w:hideMark/>
          </w:tcPr>
          <w:p w14:paraId="360FB22E" w14:textId="77777777" w:rsidR="00370535" w:rsidRPr="00370535" w:rsidRDefault="00370535" w:rsidP="00370535">
            <w:pPr>
              <w:rPr>
                <w:rFonts w:cs="Arial"/>
                <w:bCs/>
              </w:rPr>
            </w:pPr>
            <w:r w:rsidRPr="00370535">
              <w:rPr>
                <w:rFonts w:cs="Arial"/>
                <w:bCs/>
              </w:rPr>
              <w:t>13.3%</w:t>
            </w:r>
          </w:p>
        </w:tc>
      </w:tr>
      <w:tr w:rsidR="00370535" w:rsidRPr="00370535" w14:paraId="562447A7" w14:textId="77777777" w:rsidTr="00370535">
        <w:tc>
          <w:tcPr>
            <w:tcW w:w="3402" w:type="dxa"/>
            <w:tcBorders>
              <w:top w:val="single" w:sz="4" w:space="0" w:color="auto"/>
              <w:left w:val="single" w:sz="4" w:space="0" w:color="auto"/>
              <w:bottom w:val="single" w:sz="4" w:space="0" w:color="auto"/>
              <w:right w:val="single" w:sz="4" w:space="0" w:color="auto"/>
            </w:tcBorders>
            <w:hideMark/>
          </w:tcPr>
          <w:p w14:paraId="3433926F" w14:textId="77777777" w:rsidR="00370535" w:rsidRPr="00370535" w:rsidRDefault="00370535" w:rsidP="00370535">
            <w:pPr>
              <w:rPr>
                <w:rFonts w:cs="Arial"/>
              </w:rPr>
            </w:pPr>
            <w:r w:rsidRPr="00370535">
              <w:rPr>
                <w:rFonts w:cs="Arial"/>
              </w:rPr>
              <w:t>City Health</w:t>
            </w:r>
          </w:p>
        </w:tc>
        <w:tc>
          <w:tcPr>
            <w:tcW w:w="2977" w:type="dxa"/>
            <w:tcBorders>
              <w:top w:val="single" w:sz="4" w:space="0" w:color="auto"/>
              <w:left w:val="single" w:sz="4" w:space="0" w:color="auto"/>
              <w:bottom w:val="single" w:sz="4" w:space="0" w:color="auto"/>
              <w:right w:val="single" w:sz="4" w:space="0" w:color="auto"/>
            </w:tcBorders>
            <w:hideMark/>
          </w:tcPr>
          <w:p w14:paraId="3985747B" w14:textId="77777777" w:rsidR="00370535" w:rsidRPr="00370535" w:rsidRDefault="00370535" w:rsidP="00370535">
            <w:pPr>
              <w:rPr>
                <w:rFonts w:cs="Arial"/>
                <w:bCs/>
              </w:rPr>
            </w:pPr>
            <w:r w:rsidRPr="00370535">
              <w:rPr>
                <w:rFonts w:cs="Arial"/>
                <w:bCs/>
              </w:rPr>
              <w:t>Swansea</w:t>
            </w:r>
          </w:p>
        </w:tc>
        <w:tc>
          <w:tcPr>
            <w:tcW w:w="2552" w:type="dxa"/>
            <w:tcBorders>
              <w:top w:val="single" w:sz="4" w:space="0" w:color="auto"/>
              <w:left w:val="single" w:sz="4" w:space="0" w:color="auto"/>
              <w:bottom w:val="single" w:sz="4" w:space="0" w:color="auto"/>
              <w:right w:val="single" w:sz="4" w:space="0" w:color="auto"/>
            </w:tcBorders>
            <w:hideMark/>
          </w:tcPr>
          <w:p w14:paraId="4FD26973" w14:textId="77777777" w:rsidR="00370535" w:rsidRPr="00370535" w:rsidRDefault="00370535" w:rsidP="00370535">
            <w:pPr>
              <w:rPr>
                <w:rFonts w:cs="Arial"/>
                <w:bCs/>
              </w:rPr>
            </w:pPr>
            <w:r w:rsidRPr="00370535">
              <w:rPr>
                <w:rFonts w:cs="Arial"/>
                <w:bCs/>
              </w:rPr>
              <w:t>12.6%</w:t>
            </w:r>
          </w:p>
        </w:tc>
      </w:tr>
      <w:tr w:rsidR="00370535" w:rsidRPr="00370535" w14:paraId="7B901E0B" w14:textId="77777777" w:rsidTr="00370535">
        <w:tc>
          <w:tcPr>
            <w:tcW w:w="3402" w:type="dxa"/>
            <w:tcBorders>
              <w:top w:val="single" w:sz="4" w:space="0" w:color="auto"/>
              <w:left w:val="single" w:sz="4" w:space="0" w:color="auto"/>
              <w:bottom w:val="single" w:sz="4" w:space="0" w:color="auto"/>
              <w:right w:val="single" w:sz="4" w:space="0" w:color="auto"/>
            </w:tcBorders>
            <w:hideMark/>
          </w:tcPr>
          <w:p w14:paraId="48DDBA91" w14:textId="77777777" w:rsidR="00370535" w:rsidRPr="00370535" w:rsidRDefault="00370535" w:rsidP="00370535">
            <w:pPr>
              <w:rPr>
                <w:rFonts w:cs="Arial"/>
              </w:rPr>
            </w:pPr>
            <w:r w:rsidRPr="00370535">
              <w:rPr>
                <w:rFonts w:cs="Arial"/>
              </w:rPr>
              <w:t>Cwmtawe</w:t>
            </w:r>
          </w:p>
        </w:tc>
        <w:tc>
          <w:tcPr>
            <w:tcW w:w="2977" w:type="dxa"/>
            <w:tcBorders>
              <w:top w:val="single" w:sz="4" w:space="0" w:color="auto"/>
              <w:left w:val="single" w:sz="4" w:space="0" w:color="auto"/>
              <w:bottom w:val="single" w:sz="4" w:space="0" w:color="auto"/>
              <w:right w:val="single" w:sz="4" w:space="0" w:color="auto"/>
            </w:tcBorders>
            <w:hideMark/>
          </w:tcPr>
          <w:p w14:paraId="7D4B31E7" w14:textId="77777777" w:rsidR="00370535" w:rsidRPr="00370535" w:rsidRDefault="00370535" w:rsidP="00370535">
            <w:pPr>
              <w:rPr>
                <w:rFonts w:cs="Arial"/>
                <w:bCs/>
              </w:rPr>
            </w:pPr>
            <w:r w:rsidRPr="00370535">
              <w:rPr>
                <w:rFonts w:cs="Arial"/>
                <w:bCs/>
              </w:rPr>
              <w:t>Swansea</w:t>
            </w:r>
          </w:p>
        </w:tc>
        <w:tc>
          <w:tcPr>
            <w:tcW w:w="2552" w:type="dxa"/>
            <w:tcBorders>
              <w:top w:val="single" w:sz="4" w:space="0" w:color="auto"/>
              <w:left w:val="single" w:sz="4" w:space="0" w:color="auto"/>
              <w:bottom w:val="single" w:sz="4" w:space="0" w:color="auto"/>
              <w:right w:val="single" w:sz="4" w:space="0" w:color="auto"/>
            </w:tcBorders>
            <w:hideMark/>
          </w:tcPr>
          <w:p w14:paraId="48C653F8" w14:textId="77777777" w:rsidR="00370535" w:rsidRPr="00370535" w:rsidRDefault="00370535" w:rsidP="00370535">
            <w:pPr>
              <w:rPr>
                <w:rFonts w:cs="Arial"/>
                <w:bCs/>
              </w:rPr>
            </w:pPr>
            <w:r w:rsidRPr="00370535">
              <w:rPr>
                <w:rFonts w:cs="Arial"/>
                <w:bCs/>
              </w:rPr>
              <w:t>14.3%</w:t>
            </w:r>
          </w:p>
        </w:tc>
      </w:tr>
      <w:tr w:rsidR="00370535" w:rsidRPr="00370535" w14:paraId="2829A522" w14:textId="77777777" w:rsidTr="00370535">
        <w:tc>
          <w:tcPr>
            <w:tcW w:w="3402" w:type="dxa"/>
            <w:tcBorders>
              <w:top w:val="single" w:sz="4" w:space="0" w:color="auto"/>
              <w:left w:val="single" w:sz="4" w:space="0" w:color="auto"/>
              <w:bottom w:val="single" w:sz="4" w:space="0" w:color="auto"/>
              <w:right w:val="single" w:sz="4" w:space="0" w:color="auto"/>
            </w:tcBorders>
            <w:hideMark/>
          </w:tcPr>
          <w:p w14:paraId="62DD7ABD" w14:textId="77777777" w:rsidR="00370535" w:rsidRPr="00370535" w:rsidRDefault="00370535" w:rsidP="00370535">
            <w:pPr>
              <w:rPr>
                <w:rFonts w:cs="Arial"/>
              </w:rPr>
            </w:pPr>
            <w:r w:rsidRPr="00370535">
              <w:rPr>
                <w:rFonts w:cs="Arial"/>
              </w:rPr>
              <w:t>Llwchwr</w:t>
            </w:r>
          </w:p>
        </w:tc>
        <w:tc>
          <w:tcPr>
            <w:tcW w:w="2977" w:type="dxa"/>
            <w:tcBorders>
              <w:top w:val="single" w:sz="4" w:space="0" w:color="auto"/>
              <w:left w:val="single" w:sz="4" w:space="0" w:color="auto"/>
              <w:bottom w:val="single" w:sz="4" w:space="0" w:color="auto"/>
              <w:right w:val="single" w:sz="4" w:space="0" w:color="auto"/>
            </w:tcBorders>
            <w:hideMark/>
          </w:tcPr>
          <w:p w14:paraId="65BA907B" w14:textId="77777777" w:rsidR="00370535" w:rsidRPr="00370535" w:rsidRDefault="00370535" w:rsidP="00370535">
            <w:pPr>
              <w:rPr>
                <w:rFonts w:cs="Arial"/>
                <w:bCs/>
              </w:rPr>
            </w:pPr>
            <w:r w:rsidRPr="00370535">
              <w:rPr>
                <w:rFonts w:cs="Arial"/>
                <w:bCs/>
              </w:rPr>
              <w:t>Swansea</w:t>
            </w:r>
          </w:p>
        </w:tc>
        <w:tc>
          <w:tcPr>
            <w:tcW w:w="2552" w:type="dxa"/>
            <w:tcBorders>
              <w:top w:val="single" w:sz="4" w:space="0" w:color="auto"/>
              <w:left w:val="single" w:sz="4" w:space="0" w:color="auto"/>
              <w:bottom w:val="single" w:sz="4" w:space="0" w:color="auto"/>
              <w:right w:val="single" w:sz="4" w:space="0" w:color="auto"/>
            </w:tcBorders>
            <w:hideMark/>
          </w:tcPr>
          <w:p w14:paraId="4145A722" w14:textId="77777777" w:rsidR="00370535" w:rsidRPr="00370535" w:rsidRDefault="00370535" w:rsidP="00370535">
            <w:pPr>
              <w:rPr>
                <w:rFonts w:cs="Arial"/>
                <w:bCs/>
              </w:rPr>
            </w:pPr>
            <w:r w:rsidRPr="00370535">
              <w:rPr>
                <w:rFonts w:cs="Arial"/>
                <w:bCs/>
              </w:rPr>
              <w:t>15.9%</w:t>
            </w:r>
          </w:p>
        </w:tc>
      </w:tr>
      <w:tr w:rsidR="00370535" w:rsidRPr="00370535" w14:paraId="3DC587F7" w14:textId="77777777" w:rsidTr="00370535">
        <w:tc>
          <w:tcPr>
            <w:tcW w:w="3402" w:type="dxa"/>
            <w:tcBorders>
              <w:top w:val="single" w:sz="4" w:space="0" w:color="auto"/>
              <w:left w:val="single" w:sz="4" w:space="0" w:color="auto"/>
              <w:bottom w:val="single" w:sz="4" w:space="0" w:color="auto"/>
              <w:right w:val="single" w:sz="4" w:space="0" w:color="auto"/>
            </w:tcBorders>
            <w:hideMark/>
          </w:tcPr>
          <w:p w14:paraId="60B0E4C3" w14:textId="77777777" w:rsidR="00370535" w:rsidRPr="00370535" w:rsidRDefault="00370535" w:rsidP="00370535">
            <w:pPr>
              <w:rPr>
                <w:rFonts w:cs="Arial"/>
              </w:rPr>
            </w:pPr>
            <w:r w:rsidRPr="00370535">
              <w:rPr>
                <w:rFonts w:cs="Arial"/>
              </w:rPr>
              <w:t>Penderi</w:t>
            </w:r>
          </w:p>
        </w:tc>
        <w:tc>
          <w:tcPr>
            <w:tcW w:w="2977" w:type="dxa"/>
            <w:tcBorders>
              <w:top w:val="single" w:sz="4" w:space="0" w:color="auto"/>
              <w:left w:val="single" w:sz="4" w:space="0" w:color="auto"/>
              <w:bottom w:val="single" w:sz="4" w:space="0" w:color="auto"/>
              <w:right w:val="single" w:sz="4" w:space="0" w:color="auto"/>
            </w:tcBorders>
            <w:hideMark/>
          </w:tcPr>
          <w:p w14:paraId="7D44FDC1" w14:textId="77777777" w:rsidR="00370535" w:rsidRPr="00370535" w:rsidRDefault="00370535" w:rsidP="00370535">
            <w:pPr>
              <w:rPr>
                <w:rFonts w:cs="Arial"/>
                <w:bCs/>
              </w:rPr>
            </w:pPr>
            <w:r w:rsidRPr="00370535">
              <w:rPr>
                <w:rFonts w:cs="Arial"/>
                <w:bCs/>
              </w:rPr>
              <w:t>Swansea</w:t>
            </w:r>
          </w:p>
        </w:tc>
        <w:tc>
          <w:tcPr>
            <w:tcW w:w="2552" w:type="dxa"/>
            <w:tcBorders>
              <w:top w:val="single" w:sz="4" w:space="0" w:color="auto"/>
              <w:left w:val="single" w:sz="4" w:space="0" w:color="auto"/>
              <w:bottom w:val="single" w:sz="4" w:space="0" w:color="auto"/>
              <w:right w:val="single" w:sz="4" w:space="0" w:color="auto"/>
            </w:tcBorders>
            <w:hideMark/>
          </w:tcPr>
          <w:p w14:paraId="5AC7CB0D" w14:textId="77777777" w:rsidR="00370535" w:rsidRPr="00370535" w:rsidRDefault="00370535" w:rsidP="00370535">
            <w:pPr>
              <w:rPr>
                <w:rFonts w:cs="Arial"/>
                <w:bCs/>
              </w:rPr>
            </w:pPr>
            <w:r w:rsidRPr="00370535">
              <w:rPr>
                <w:rFonts w:cs="Arial"/>
                <w:bCs/>
              </w:rPr>
              <w:t>16.0%</w:t>
            </w:r>
          </w:p>
        </w:tc>
      </w:tr>
      <w:tr w:rsidR="00370535" w:rsidRPr="00370535" w14:paraId="0599CD8D" w14:textId="77777777" w:rsidTr="00370535">
        <w:tc>
          <w:tcPr>
            <w:tcW w:w="3402" w:type="dxa"/>
            <w:tcBorders>
              <w:top w:val="single" w:sz="4" w:space="0" w:color="auto"/>
              <w:left w:val="single" w:sz="4" w:space="0" w:color="auto"/>
              <w:bottom w:val="single" w:sz="4" w:space="0" w:color="auto"/>
              <w:right w:val="single" w:sz="4" w:space="0" w:color="auto"/>
            </w:tcBorders>
            <w:hideMark/>
          </w:tcPr>
          <w:p w14:paraId="5DFDEB31" w14:textId="77777777" w:rsidR="00370535" w:rsidRPr="00370535" w:rsidRDefault="00370535" w:rsidP="00370535">
            <w:pPr>
              <w:rPr>
                <w:rFonts w:cs="Arial"/>
              </w:rPr>
            </w:pPr>
            <w:r w:rsidRPr="00370535">
              <w:rPr>
                <w:rFonts w:cs="Arial"/>
              </w:rPr>
              <w:t>Afan</w:t>
            </w:r>
          </w:p>
        </w:tc>
        <w:tc>
          <w:tcPr>
            <w:tcW w:w="2977" w:type="dxa"/>
            <w:tcBorders>
              <w:top w:val="single" w:sz="4" w:space="0" w:color="auto"/>
              <w:left w:val="single" w:sz="4" w:space="0" w:color="auto"/>
              <w:bottom w:val="single" w:sz="4" w:space="0" w:color="auto"/>
              <w:right w:val="single" w:sz="4" w:space="0" w:color="auto"/>
            </w:tcBorders>
            <w:hideMark/>
          </w:tcPr>
          <w:p w14:paraId="7134962F" w14:textId="77777777" w:rsidR="00370535" w:rsidRPr="00370535" w:rsidRDefault="00370535" w:rsidP="00370535">
            <w:pPr>
              <w:rPr>
                <w:rFonts w:cs="Arial"/>
                <w:bCs/>
              </w:rPr>
            </w:pPr>
            <w:r w:rsidRPr="00370535">
              <w:rPr>
                <w:rFonts w:cs="Arial"/>
                <w:bCs/>
              </w:rPr>
              <w:t>Neath Port Talbot</w:t>
            </w:r>
          </w:p>
        </w:tc>
        <w:tc>
          <w:tcPr>
            <w:tcW w:w="2552" w:type="dxa"/>
            <w:tcBorders>
              <w:top w:val="single" w:sz="4" w:space="0" w:color="auto"/>
              <w:left w:val="single" w:sz="4" w:space="0" w:color="auto"/>
              <w:bottom w:val="single" w:sz="4" w:space="0" w:color="auto"/>
              <w:right w:val="single" w:sz="4" w:space="0" w:color="auto"/>
            </w:tcBorders>
            <w:hideMark/>
          </w:tcPr>
          <w:p w14:paraId="09726BAF" w14:textId="77777777" w:rsidR="00370535" w:rsidRPr="00370535" w:rsidRDefault="00370535" w:rsidP="00370535">
            <w:pPr>
              <w:rPr>
                <w:rFonts w:cs="Arial"/>
                <w:bCs/>
              </w:rPr>
            </w:pPr>
            <w:r w:rsidRPr="00370535">
              <w:rPr>
                <w:rFonts w:cs="Arial"/>
                <w:bCs/>
              </w:rPr>
              <w:t>17.2%</w:t>
            </w:r>
          </w:p>
        </w:tc>
      </w:tr>
      <w:tr w:rsidR="00370535" w:rsidRPr="00370535" w14:paraId="58B0D38F" w14:textId="77777777" w:rsidTr="00370535">
        <w:tc>
          <w:tcPr>
            <w:tcW w:w="3402" w:type="dxa"/>
            <w:tcBorders>
              <w:top w:val="single" w:sz="4" w:space="0" w:color="auto"/>
              <w:left w:val="single" w:sz="4" w:space="0" w:color="auto"/>
              <w:bottom w:val="single" w:sz="4" w:space="0" w:color="auto"/>
              <w:right w:val="single" w:sz="4" w:space="0" w:color="auto"/>
            </w:tcBorders>
            <w:hideMark/>
          </w:tcPr>
          <w:p w14:paraId="786F5DCE" w14:textId="77777777" w:rsidR="00370535" w:rsidRPr="00370535" w:rsidRDefault="00370535" w:rsidP="00370535">
            <w:pPr>
              <w:rPr>
                <w:rFonts w:cs="Arial"/>
              </w:rPr>
            </w:pPr>
            <w:r w:rsidRPr="00370535">
              <w:rPr>
                <w:rFonts w:cs="Arial"/>
              </w:rPr>
              <w:t>Neath</w:t>
            </w:r>
          </w:p>
        </w:tc>
        <w:tc>
          <w:tcPr>
            <w:tcW w:w="2977" w:type="dxa"/>
            <w:tcBorders>
              <w:top w:val="single" w:sz="4" w:space="0" w:color="auto"/>
              <w:left w:val="single" w:sz="4" w:space="0" w:color="auto"/>
              <w:bottom w:val="single" w:sz="4" w:space="0" w:color="auto"/>
              <w:right w:val="single" w:sz="4" w:space="0" w:color="auto"/>
            </w:tcBorders>
            <w:hideMark/>
          </w:tcPr>
          <w:p w14:paraId="636EA1E4" w14:textId="77777777" w:rsidR="00370535" w:rsidRPr="00370535" w:rsidRDefault="00370535" w:rsidP="00370535">
            <w:pPr>
              <w:rPr>
                <w:rFonts w:cs="Arial"/>
                <w:bCs/>
              </w:rPr>
            </w:pPr>
            <w:r w:rsidRPr="00370535">
              <w:rPr>
                <w:rFonts w:cs="Arial"/>
                <w:bCs/>
              </w:rPr>
              <w:t>Neath Port Talbot</w:t>
            </w:r>
          </w:p>
        </w:tc>
        <w:tc>
          <w:tcPr>
            <w:tcW w:w="2552" w:type="dxa"/>
            <w:tcBorders>
              <w:top w:val="single" w:sz="4" w:space="0" w:color="auto"/>
              <w:left w:val="single" w:sz="4" w:space="0" w:color="auto"/>
              <w:bottom w:val="single" w:sz="4" w:space="0" w:color="auto"/>
              <w:right w:val="single" w:sz="4" w:space="0" w:color="auto"/>
            </w:tcBorders>
            <w:hideMark/>
          </w:tcPr>
          <w:p w14:paraId="2645A3FC" w14:textId="77777777" w:rsidR="00370535" w:rsidRPr="00370535" w:rsidRDefault="00370535" w:rsidP="00370535">
            <w:pPr>
              <w:rPr>
                <w:rFonts w:cs="Arial"/>
                <w:bCs/>
              </w:rPr>
            </w:pPr>
            <w:r w:rsidRPr="00370535">
              <w:rPr>
                <w:rFonts w:cs="Arial"/>
                <w:bCs/>
              </w:rPr>
              <w:t>15.2%</w:t>
            </w:r>
          </w:p>
        </w:tc>
      </w:tr>
      <w:tr w:rsidR="00370535" w:rsidRPr="00370535" w14:paraId="6B1C4776" w14:textId="77777777" w:rsidTr="00370535">
        <w:tc>
          <w:tcPr>
            <w:tcW w:w="3402" w:type="dxa"/>
            <w:tcBorders>
              <w:top w:val="single" w:sz="4" w:space="0" w:color="auto"/>
              <w:left w:val="single" w:sz="4" w:space="0" w:color="auto"/>
              <w:bottom w:val="single" w:sz="4" w:space="0" w:color="auto"/>
              <w:right w:val="single" w:sz="4" w:space="0" w:color="auto"/>
            </w:tcBorders>
            <w:hideMark/>
          </w:tcPr>
          <w:p w14:paraId="12B10D10" w14:textId="77777777" w:rsidR="00370535" w:rsidRPr="00370535" w:rsidRDefault="00370535" w:rsidP="00370535">
            <w:pPr>
              <w:rPr>
                <w:rFonts w:cs="Arial"/>
              </w:rPr>
            </w:pPr>
            <w:r w:rsidRPr="00370535">
              <w:rPr>
                <w:rFonts w:cs="Arial"/>
              </w:rPr>
              <w:t>Upper Valleys</w:t>
            </w:r>
          </w:p>
        </w:tc>
        <w:tc>
          <w:tcPr>
            <w:tcW w:w="2977" w:type="dxa"/>
            <w:tcBorders>
              <w:top w:val="single" w:sz="4" w:space="0" w:color="auto"/>
              <w:left w:val="single" w:sz="4" w:space="0" w:color="auto"/>
              <w:bottom w:val="single" w:sz="4" w:space="0" w:color="auto"/>
              <w:right w:val="single" w:sz="4" w:space="0" w:color="auto"/>
            </w:tcBorders>
            <w:hideMark/>
          </w:tcPr>
          <w:p w14:paraId="2D4ED8CF" w14:textId="77777777" w:rsidR="00370535" w:rsidRPr="00370535" w:rsidRDefault="00370535" w:rsidP="00370535">
            <w:pPr>
              <w:rPr>
                <w:rFonts w:cs="Arial"/>
                <w:bCs/>
              </w:rPr>
            </w:pPr>
            <w:r w:rsidRPr="00370535">
              <w:rPr>
                <w:rFonts w:cs="Arial"/>
                <w:bCs/>
              </w:rPr>
              <w:t>Neath Port Talbot</w:t>
            </w:r>
          </w:p>
        </w:tc>
        <w:tc>
          <w:tcPr>
            <w:tcW w:w="2552" w:type="dxa"/>
            <w:tcBorders>
              <w:top w:val="single" w:sz="4" w:space="0" w:color="auto"/>
              <w:left w:val="single" w:sz="4" w:space="0" w:color="auto"/>
              <w:bottom w:val="single" w:sz="4" w:space="0" w:color="auto"/>
              <w:right w:val="single" w:sz="4" w:space="0" w:color="auto"/>
            </w:tcBorders>
            <w:hideMark/>
          </w:tcPr>
          <w:p w14:paraId="44E0474E" w14:textId="77777777" w:rsidR="00370535" w:rsidRPr="00370535" w:rsidRDefault="00370535" w:rsidP="00370535">
            <w:pPr>
              <w:rPr>
                <w:rFonts w:cs="Arial"/>
                <w:bCs/>
              </w:rPr>
            </w:pPr>
            <w:r w:rsidRPr="00370535">
              <w:rPr>
                <w:rFonts w:cs="Arial"/>
                <w:bCs/>
              </w:rPr>
              <w:t>17.6%</w:t>
            </w:r>
          </w:p>
        </w:tc>
      </w:tr>
      <w:tr w:rsidR="00370535" w:rsidRPr="00370535" w14:paraId="1E2768F4" w14:textId="77777777" w:rsidTr="00370535">
        <w:tc>
          <w:tcPr>
            <w:tcW w:w="3402" w:type="dxa"/>
            <w:tcBorders>
              <w:top w:val="single" w:sz="4" w:space="0" w:color="auto"/>
              <w:left w:val="single" w:sz="4" w:space="0" w:color="auto"/>
              <w:bottom w:val="single" w:sz="4" w:space="0" w:color="auto"/>
              <w:right w:val="single" w:sz="4" w:space="0" w:color="auto"/>
            </w:tcBorders>
            <w:hideMark/>
          </w:tcPr>
          <w:p w14:paraId="36EE68B0" w14:textId="77777777" w:rsidR="00370535" w:rsidRPr="00370535" w:rsidRDefault="00370535" w:rsidP="00370535">
            <w:pPr>
              <w:rPr>
                <w:rFonts w:cs="Arial"/>
              </w:rPr>
            </w:pPr>
            <w:r w:rsidRPr="00370535">
              <w:rPr>
                <w:rFonts w:cs="Arial"/>
              </w:rPr>
              <w:t>Swansea Bay University Health Board</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32F449" w14:textId="77777777" w:rsidR="00370535" w:rsidRPr="00370535" w:rsidRDefault="00370535" w:rsidP="00370535">
            <w:pPr>
              <w:rPr>
                <w:rFonts w:cs="Arial"/>
              </w:rPr>
            </w:pPr>
          </w:p>
        </w:tc>
        <w:tc>
          <w:tcPr>
            <w:tcW w:w="2552" w:type="dxa"/>
            <w:tcBorders>
              <w:top w:val="single" w:sz="4" w:space="0" w:color="auto"/>
              <w:left w:val="single" w:sz="4" w:space="0" w:color="auto"/>
              <w:bottom w:val="single" w:sz="4" w:space="0" w:color="auto"/>
              <w:right w:val="single" w:sz="4" w:space="0" w:color="auto"/>
            </w:tcBorders>
            <w:hideMark/>
          </w:tcPr>
          <w:p w14:paraId="04D2983F" w14:textId="77777777" w:rsidR="00370535" w:rsidRPr="00370535" w:rsidRDefault="00370535" w:rsidP="00370535">
            <w:pPr>
              <w:rPr>
                <w:rFonts w:cs="Arial"/>
              </w:rPr>
            </w:pPr>
            <w:r w:rsidRPr="00370535">
              <w:rPr>
                <w:rFonts w:cs="Arial"/>
              </w:rPr>
              <w:t>14.9%</w:t>
            </w:r>
          </w:p>
        </w:tc>
      </w:tr>
      <w:tr w:rsidR="00370535" w:rsidRPr="00370535" w14:paraId="604D779D" w14:textId="77777777" w:rsidTr="00370535">
        <w:tc>
          <w:tcPr>
            <w:tcW w:w="3402" w:type="dxa"/>
            <w:tcBorders>
              <w:top w:val="single" w:sz="4" w:space="0" w:color="auto"/>
              <w:left w:val="single" w:sz="4" w:space="0" w:color="auto"/>
              <w:bottom w:val="single" w:sz="4" w:space="0" w:color="auto"/>
              <w:right w:val="single" w:sz="4" w:space="0" w:color="auto"/>
            </w:tcBorders>
            <w:hideMark/>
          </w:tcPr>
          <w:p w14:paraId="68F217BA" w14:textId="77777777" w:rsidR="00370535" w:rsidRPr="00370535" w:rsidRDefault="00370535" w:rsidP="00370535">
            <w:pPr>
              <w:rPr>
                <w:rFonts w:cs="Arial"/>
              </w:rPr>
            </w:pPr>
            <w:r w:rsidRPr="00370535">
              <w:rPr>
                <w:rFonts w:cs="Arial"/>
              </w:rPr>
              <w:t>Wales</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853887" w14:textId="77777777" w:rsidR="00370535" w:rsidRPr="00370535" w:rsidRDefault="00370535" w:rsidP="00370535">
            <w:pPr>
              <w:rPr>
                <w:rFonts w:cs="Arial"/>
              </w:rPr>
            </w:pPr>
          </w:p>
        </w:tc>
        <w:tc>
          <w:tcPr>
            <w:tcW w:w="2552" w:type="dxa"/>
            <w:tcBorders>
              <w:top w:val="single" w:sz="4" w:space="0" w:color="auto"/>
              <w:left w:val="single" w:sz="4" w:space="0" w:color="auto"/>
              <w:bottom w:val="single" w:sz="4" w:space="0" w:color="auto"/>
              <w:right w:val="single" w:sz="4" w:space="0" w:color="auto"/>
            </w:tcBorders>
            <w:hideMark/>
          </w:tcPr>
          <w:p w14:paraId="53D6537B" w14:textId="77777777" w:rsidR="00370535" w:rsidRPr="00370535" w:rsidRDefault="00370535" w:rsidP="00370535">
            <w:pPr>
              <w:rPr>
                <w:rFonts w:cs="Arial"/>
              </w:rPr>
            </w:pPr>
            <w:r w:rsidRPr="00370535">
              <w:rPr>
                <w:rFonts w:cs="Arial"/>
              </w:rPr>
              <w:t>16.3%</w:t>
            </w:r>
          </w:p>
        </w:tc>
      </w:tr>
    </w:tbl>
    <w:p w14:paraId="16F2AB63" w14:textId="77777777" w:rsidR="00370535" w:rsidRPr="00370535" w:rsidRDefault="00370535" w:rsidP="00370535">
      <w:pPr>
        <w:rPr>
          <w:rFonts w:cs="Arial"/>
        </w:rPr>
      </w:pPr>
    </w:p>
    <w:p w14:paraId="76A5B746" w14:textId="77777777" w:rsidR="00370535" w:rsidRPr="00370535" w:rsidRDefault="00370535" w:rsidP="00370535">
      <w:pPr>
        <w:rPr>
          <w:rFonts w:cs="Arial"/>
        </w:rPr>
      </w:pPr>
      <w:r w:rsidRPr="00370535">
        <w:rPr>
          <w:rFonts w:cs="Arial"/>
        </w:rPr>
        <w:t xml:space="preserve">Swansea Bay University Health Board has a lower prevalence of hypertension than the rate for Wales (14.9% and 16.3% respectively). </w:t>
      </w:r>
    </w:p>
    <w:p w14:paraId="4E74EF1E" w14:textId="77777777" w:rsidR="00370535" w:rsidRPr="00370535" w:rsidRDefault="00370535" w:rsidP="00370535">
      <w:pPr>
        <w:rPr>
          <w:rFonts w:cs="Arial"/>
        </w:rPr>
      </w:pPr>
    </w:p>
    <w:p w14:paraId="770620F2" w14:textId="77777777" w:rsidR="00370535" w:rsidRPr="00370535" w:rsidRDefault="00370535" w:rsidP="00370535">
      <w:pPr>
        <w:rPr>
          <w:rFonts w:cs="Arial"/>
        </w:rPr>
      </w:pPr>
      <w:r w:rsidRPr="00370535">
        <w:rPr>
          <w:rFonts w:cs="Arial"/>
        </w:rPr>
        <w:t>As can be seen, across the Swansea clusters, recorded prevalence of hypertension ranges from 12.6% (City Health) to 16.0% (Penderi). Three of the five clusters are lower than both the health board and Wales rates (Bay Health, City Health and Cwmtawe) and two of the five clusters are higher than the health board rate, but lower than the Wales rate (Llwchwr and Penderi).</w:t>
      </w:r>
    </w:p>
    <w:p w14:paraId="412AD5F5" w14:textId="77777777" w:rsidR="00370535" w:rsidRPr="00370535" w:rsidRDefault="00370535" w:rsidP="00370535">
      <w:pPr>
        <w:rPr>
          <w:rFonts w:cs="Arial"/>
        </w:rPr>
      </w:pPr>
    </w:p>
    <w:p w14:paraId="235EDD2A" w14:textId="77777777" w:rsidR="00370535" w:rsidRPr="00370535" w:rsidRDefault="00370535" w:rsidP="00370535">
      <w:pPr>
        <w:rPr>
          <w:rFonts w:cs="Arial"/>
          <w:b/>
        </w:rPr>
      </w:pPr>
      <w:r w:rsidRPr="00370535">
        <w:rPr>
          <w:rFonts w:cs="Arial"/>
        </w:rPr>
        <w:t xml:space="preserve">For the Neath Port Talbot clusters, recorded prevalence of hypertension ranges from 15.2% (Neath) to 17.6% (Upper Valleys). One of the three clusters is higher than the health board rate, but lower than the Wales rate (Neath). Two of the three clusters are higher than both the health board and Wales rates (Afan and Upper Valleys). </w:t>
      </w:r>
    </w:p>
    <w:p w14:paraId="095760D7" w14:textId="77777777" w:rsidR="00370535" w:rsidRPr="00370535" w:rsidRDefault="00370535" w:rsidP="00370535">
      <w:pPr>
        <w:rPr>
          <w:rFonts w:cs="Arial"/>
        </w:rPr>
      </w:pPr>
    </w:p>
    <w:p w14:paraId="782ABDA4" w14:textId="77777777" w:rsidR="00370535" w:rsidRPr="00370535" w:rsidRDefault="00370535" w:rsidP="00370535">
      <w:pPr>
        <w:rPr>
          <w:rFonts w:cs="Arial"/>
          <w:b/>
          <w:bCs/>
        </w:rPr>
      </w:pPr>
      <w:r w:rsidRPr="00370535">
        <w:rPr>
          <w:rFonts w:cs="Arial"/>
          <w:b/>
          <w:bCs/>
        </w:rPr>
        <w:t>Atrial fibrillation</w:t>
      </w:r>
      <w:r w:rsidRPr="00370535">
        <w:rPr>
          <w:rFonts w:cs="Arial"/>
          <w:b/>
          <w:bCs/>
          <w:vertAlign w:val="superscript"/>
        </w:rPr>
        <w:footnoteReference w:id="62"/>
      </w:r>
      <w:r w:rsidRPr="00370535">
        <w:rPr>
          <w:rFonts w:cs="Arial"/>
          <w:b/>
          <w:bCs/>
        </w:rPr>
        <w:t xml:space="preserve"> </w:t>
      </w:r>
    </w:p>
    <w:p w14:paraId="1ABA3CDC" w14:textId="77777777" w:rsidR="00370535" w:rsidRPr="00370535" w:rsidRDefault="00370535" w:rsidP="00370535">
      <w:pPr>
        <w:rPr>
          <w:rFonts w:cs="Arial"/>
        </w:rPr>
      </w:pPr>
    </w:p>
    <w:p w14:paraId="75BD7632" w14:textId="77777777" w:rsidR="00370535" w:rsidRPr="00370535" w:rsidRDefault="00370535" w:rsidP="00B76905">
      <w:pPr>
        <w:numPr>
          <w:ilvl w:val="0"/>
          <w:numId w:val="48"/>
        </w:numPr>
        <w:rPr>
          <w:rFonts w:cs="Arial"/>
        </w:rPr>
      </w:pPr>
      <w:r w:rsidRPr="00370535">
        <w:rPr>
          <w:rFonts w:cs="Arial"/>
        </w:rPr>
        <w:t xml:space="preserve">The most common form of abnormal heart rhythm (arrhythmia) and a major cause of stroke. </w:t>
      </w:r>
    </w:p>
    <w:p w14:paraId="006C57CD" w14:textId="77777777" w:rsidR="00370535" w:rsidRPr="00370535" w:rsidRDefault="00370535" w:rsidP="00B76905">
      <w:pPr>
        <w:numPr>
          <w:ilvl w:val="0"/>
          <w:numId w:val="48"/>
        </w:numPr>
        <w:rPr>
          <w:rFonts w:cs="Arial"/>
        </w:rPr>
      </w:pPr>
      <w:r w:rsidRPr="00370535">
        <w:rPr>
          <w:rFonts w:cs="Arial"/>
        </w:rPr>
        <w:t>Is a contributing factor to one in five strokes in Wales, and people with atrial fibrillation are five times more likely to have a stroke than people without the condition.</w:t>
      </w:r>
    </w:p>
    <w:p w14:paraId="5770FBDC" w14:textId="77777777" w:rsidR="00370535" w:rsidRPr="00370535" w:rsidRDefault="00370535" w:rsidP="00B76905">
      <w:pPr>
        <w:numPr>
          <w:ilvl w:val="0"/>
          <w:numId w:val="48"/>
        </w:numPr>
        <w:rPr>
          <w:rFonts w:cs="Arial"/>
        </w:rPr>
      </w:pPr>
      <w:r w:rsidRPr="00370535">
        <w:rPr>
          <w:rFonts w:cs="Arial"/>
        </w:rPr>
        <w:t xml:space="preserve">In 2009/10 there were approximately 53,400 people diagnosed with atrial fibrillation in Wales, this increased to 84,900 in 2023/24 (59% increase). Public Health Wales projections show this could increase to 106,900 in 2033/34 (26% increase). </w:t>
      </w:r>
    </w:p>
    <w:p w14:paraId="247AFD18" w14:textId="77777777" w:rsidR="00370535" w:rsidRPr="00370535" w:rsidRDefault="00370535" w:rsidP="00B76905">
      <w:pPr>
        <w:numPr>
          <w:ilvl w:val="0"/>
          <w:numId w:val="48"/>
        </w:numPr>
        <w:rPr>
          <w:rFonts w:cs="Arial"/>
        </w:rPr>
      </w:pPr>
      <w:r w:rsidRPr="00370535">
        <w:rPr>
          <w:rFonts w:cs="Arial"/>
        </w:rPr>
        <w:t>Atrial fibrillation is often asymptomatic, frequently undetected and undiagnosed, meaning there are likely to be thousands more affected by the condition across Wales.</w:t>
      </w:r>
    </w:p>
    <w:p w14:paraId="1D4C3C51" w14:textId="77777777" w:rsidR="00370535" w:rsidRPr="00370535" w:rsidRDefault="00370535" w:rsidP="00370535">
      <w:pPr>
        <w:rPr>
          <w:rFonts w:cs="Arial"/>
        </w:rPr>
      </w:pPr>
    </w:p>
    <w:p w14:paraId="10B2A48E" w14:textId="77777777" w:rsidR="00370535" w:rsidRPr="00370535" w:rsidRDefault="00370535" w:rsidP="00370535">
      <w:pPr>
        <w:rPr>
          <w:rFonts w:cs="Arial"/>
        </w:rPr>
      </w:pPr>
      <w:r w:rsidRPr="00370535">
        <w:rPr>
          <w:rFonts w:cs="Arial"/>
        </w:rPr>
        <w:lastRenderedPageBreak/>
        <w:t>Atrial fibrillation is the most common sustained cardiac arrhythmia and is a significant risk factor for stroke and other morbidities. Men are more commonly affected than women and the prevalence increase with age. Hypertension is a risk factor for atrial fibrillation and is the most common cardiovascular condition associated with it.</w:t>
      </w:r>
    </w:p>
    <w:p w14:paraId="305F86BF" w14:textId="77777777" w:rsidR="00370535" w:rsidRPr="00370535" w:rsidRDefault="00370535" w:rsidP="00370535">
      <w:pPr>
        <w:rPr>
          <w:rFonts w:cs="Arial"/>
        </w:rPr>
      </w:pPr>
    </w:p>
    <w:p w14:paraId="5BC118D7" w14:textId="77777777" w:rsidR="00370535" w:rsidRPr="00370535" w:rsidRDefault="00370535" w:rsidP="00370535">
      <w:pPr>
        <w:rPr>
          <w:rFonts w:cs="Arial"/>
        </w:rPr>
      </w:pPr>
      <w:r w:rsidRPr="00370535">
        <w:rPr>
          <w:rFonts w:cs="Arial"/>
        </w:rPr>
        <w:t>The table below shows the recorded prevalence based on the quality outcomes framework 2025 reported prevalence rates by GP practices for atrial fibrillation across the clusters. Figures are compared with the Swansea Bay University Health Board and Wales rates.</w:t>
      </w:r>
    </w:p>
    <w:p w14:paraId="19E2C693" w14:textId="77777777" w:rsidR="00370535" w:rsidRPr="00370535" w:rsidRDefault="00370535" w:rsidP="00370535">
      <w:pPr>
        <w:rPr>
          <w:rFonts w:cs="Arial"/>
          <w:b/>
        </w:rPr>
      </w:pPr>
    </w:p>
    <w:p w14:paraId="2BE8C068" w14:textId="77777777" w:rsidR="00370535" w:rsidRPr="00370535" w:rsidRDefault="00370535" w:rsidP="00370535">
      <w:pPr>
        <w:rPr>
          <w:rFonts w:cs="Arial"/>
          <w:b/>
          <w:bCs/>
        </w:rPr>
      </w:pPr>
      <w:r w:rsidRPr="00370535">
        <w:rPr>
          <w:rFonts w:cs="Arial"/>
          <w:b/>
          <w:bCs/>
        </w:rPr>
        <w:t>Table 3.6: Estimated percentage prevalence of patients registered as having atrial fibrillation by cluster, health board and Wales, 2025</w:t>
      </w:r>
      <w:r w:rsidRPr="00370535">
        <w:rPr>
          <w:rFonts w:cs="Arial"/>
          <w:b/>
          <w:bCs/>
          <w:vertAlign w:val="superscript"/>
        </w:rPr>
        <w:footnoteReference w:id="63"/>
      </w:r>
    </w:p>
    <w:p w14:paraId="1B2A28CE" w14:textId="77777777" w:rsidR="00370535" w:rsidRPr="00370535" w:rsidRDefault="00370535" w:rsidP="00370535">
      <w:pPr>
        <w:rPr>
          <w:rFonts w:cs="Arial"/>
          <w:b/>
        </w:rPr>
      </w:pPr>
    </w:p>
    <w:tbl>
      <w:tblPr>
        <w:tblStyle w:val="TableGrid3"/>
        <w:tblW w:w="8647" w:type="dxa"/>
        <w:tblInd w:w="-5" w:type="dxa"/>
        <w:tblLayout w:type="fixed"/>
        <w:tblLook w:val="04A0" w:firstRow="1" w:lastRow="0" w:firstColumn="1" w:lastColumn="0" w:noHBand="0" w:noVBand="1"/>
      </w:tblPr>
      <w:tblGrid>
        <w:gridCol w:w="4395"/>
        <w:gridCol w:w="2126"/>
        <w:gridCol w:w="2126"/>
      </w:tblGrid>
      <w:tr w:rsidR="00370535" w:rsidRPr="00370535" w14:paraId="172199EE" w14:textId="77777777" w:rsidTr="00C34E73">
        <w:tc>
          <w:tcPr>
            <w:tcW w:w="4395"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3B6C2434" w14:textId="2580161A" w:rsidR="00370535" w:rsidRPr="00370535" w:rsidRDefault="00370535" w:rsidP="00370535">
            <w:pPr>
              <w:rPr>
                <w:rFonts w:cs="Arial"/>
                <w:b/>
              </w:rPr>
            </w:pPr>
            <w:r w:rsidRPr="00370535">
              <w:rPr>
                <w:rFonts w:cs="Arial"/>
                <w:b/>
                <w:bCs/>
              </w:rPr>
              <w:t>Area</w:t>
            </w:r>
          </w:p>
        </w:tc>
        <w:tc>
          <w:tcPr>
            <w:tcW w:w="2126"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3EB5AFAA" w14:textId="77777777" w:rsidR="00370535" w:rsidRPr="00370535" w:rsidRDefault="00370535" w:rsidP="00370535">
            <w:pPr>
              <w:rPr>
                <w:rFonts w:cs="Arial"/>
                <w:b/>
                <w:bCs/>
              </w:rPr>
            </w:pPr>
            <w:r w:rsidRPr="00370535">
              <w:rPr>
                <w:rFonts w:cs="Arial"/>
                <w:b/>
                <w:bCs/>
              </w:rPr>
              <w:t>Local authority</w:t>
            </w:r>
          </w:p>
        </w:tc>
        <w:tc>
          <w:tcPr>
            <w:tcW w:w="2126"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5B20DF41" w14:textId="1519232C" w:rsidR="00370535" w:rsidRPr="00370535" w:rsidRDefault="00370535" w:rsidP="00C34E73">
            <w:pPr>
              <w:jc w:val="center"/>
              <w:rPr>
                <w:rFonts w:cs="Arial"/>
                <w:b/>
                <w:bCs/>
              </w:rPr>
            </w:pPr>
            <w:r w:rsidRPr="00370535">
              <w:rPr>
                <w:rFonts w:cs="Arial"/>
                <w:b/>
                <w:bCs/>
              </w:rPr>
              <w:t>Atrial fibrillation</w:t>
            </w:r>
          </w:p>
        </w:tc>
      </w:tr>
      <w:tr w:rsidR="00370535" w:rsidRPr="00370535" w14:paraId="4207EF8F" w14:textId="77777777" w:rsidTr="00C34E73">
        <w:tc>
          <w:tcPr>
            <w:tcW w:w="4395" w:type="dxa"/>
            <w:tcBorders>
              <w:top w:val="single" w:sz="4" w:space="0" w:color="auto"/>
              <w:left w:val="single" w:sz="4" w:space="0" w:color="auto"/>
              <w:bottom w:val="single" w:sz="4" w:space="0" w:color="auto"/>
              <w:right w:val="single" w:sz="4" w:space="0" w:color="auto"/>
            </w:tcBorders>
            <w:hideMark/>
          </w:tcPr>
          <w:p w14:paraId="7F1B06B7" w14:textId="77777777" w:rsidR="00370535" w:rsidRPr="00370535" w:rsidRDefault="00370535" w:rsidP="00370535">
            <w:pPr>
              <w:rPr>
                <w:rFonts w:cs="Arial"/>
              </w:rPr>
            </w:pPr>
            <w:r w:rsidRPr="00370535">
              <w:rPr>
                <w:rFonts w:cs="Arial"/>
              </w:rPr>
              <w:t>Bay Health</w:t>
            </w:r>
          </w:p>
        </w:tc>
        <w:tc>
          <w:tcPr>
            <w:tcW w:w="2126" w:type="dxa"/>
            <w:tcBorders>
              <w:top w:val="single" w:sz="4" w:space="0" w:color="auto"/>
              <w:left w:val="single" w:sz="4" w:space="0" w:color="auto"/>
              <w:bottom w:val="single" w:sz="4" w:space="0" w:color="auto"/>
              <w:right w:val="single" w:sz="4" w:space="0" w:color="auto"/>
            </w:tcBorders>
            <w:hideMark/>
          </w:tcPr>
          <w:p w14:paraId="4ADD90B8" w14:textId="77777777" w:rsidR="00370535" w:rsidRPr="00370535" w:rsidRDefault="00370535" w:rsidP="00370535">
            <w:pPr>
              <w:rPr>
                <w:rFonts w:cs="Arial"/>
                <w:bCs/>
              </w:rPr>
            </w:pPr>
            <w:r w:rsidRPr="00370535">
              <w:rPr>
                <w:rFonts w:cs="Arial"/>
                <w:bCs/>
              </w:rPr>
              <w:t>Swansea</w:t>
            </w:r>
          </w:p>
        </w:tc>
        <w:tc>
          <w:tcPr>
            <w:tcW w:w="2126" w:type="dxa"/>
            <w:tcBorders>
              <w:top w:val="single" w:sz="4" w:space="0" w:color="auto"/>
              <w:left w:val="single" w:sz="4" w:space="0" w:color="auto"/>
              <w:bottom w:val="single" w:sz="4" w:space="0" w:color="auto"/>
              <w:right w:val="single" w:sz="4" w:space="0" w:color="auto"/>
            </w:tcBorders>
            <w:hideMark/>
          </w:tcPr>
          <w:p w14:paraId="3105AE99" w14:textId="77777777" w:rsidR="00370535" w:rsidRPr="00370535" w:rsidRDefault="00370535" w:rsidP="00C34E73">
            <w:pPr>
              <w:jc w:val="center"/>
              <w:rPr>
                <w:rFonts w:cs="Arial"/>
                <w:bCs/>
              </w:rPr>
            </w:pPr>
            <w:r w:rsidRPr="00370535">
              <w:rPr>
                <w:rFonts w:cs="Arial"/>
                <w:bCs/>
              </w:rPr>
              <w:t>2.8%</w:t>
            </w:r>
          </w:p>
        </w:tc>
      </w:tr>
      <w:tr w:rsidR="00370535" w:rsidRPr="00370535" w14:paraId="7915049A" w14:textId="77777777" w:rsidTr="00C34E73">
        <w:tc>
          <w:tcPr>
            <w:tcW w:w="4395" w:type="dxa"/>
            <w:tcBorders>
              <w:top w:val="single" w:sz="4" w:space="0" w:color="auto"/>
              <w:left w:val="single" w:sz="4" w:space="0" w:color="auto"/>
              <w:bottom w:val="single" w:sz="4" w:space="0" w:color="auto"/>
              <w:right w:val="single" w:sz="4" w:space="0" w:color="auto"/>
            </w:tcBorders>
            <w:hideMark/>
          </w:tcPr>
          <w:p w14:paraId="457E21D5" w14:textId="77777777" w:rsidR="00370535" w:rsidRPr="00370535" w:rsidRDefault="00370535" w:rsidP="00370535">
            <w:pPr>
              <w:rPr>
                <w:rFonts w:cs="Arial"/>
              </w:rPr>
            </w:pPr>
            <w:r w:rsidRPr="00370535">
              <w:rPr>
                <w:rFonts w:cs="Arial"/>
              </w:rPr>
              <w:t>City Health</w:t>
            </w:r>
          </w:p>
        </w:tc>
        <w:tc>
          <w:tcPr>
            <w:tcW w:w="2126" w:type="dxa"/>
            <w:tcBorders>
              <w:top w:val="single" w:sz="4" w:space="0" w:color="auto"/>
              <w:left w:val="single" w:sz="4" w:space="0" w:color="auto"/>
              <w:bottom w:val="single" w:sz="4" w:space="0" w:color="auto"/>
              <w:right w:val="single" w:sz="4" w:space="0" w:color="auto"/>
            </w:tcBorders>
            <w:hideMark/>
          </w:tcPr>
          <w:p w14:paraId="12E4BCE7" w14:textId="77777777" w:rsidR="00370535" w:rsidRPr="00370535" w:rsidRDefault="00370535" w:rsidP="00370535">
            <w:pPr>
              <w:rPr>
                <w:rFonts w:cs="Arial"/>
                <w:bCs/>
              </w:rPr>
            </w:pPr>
            <w:r w:rsidRPr="00370535">
              <w:rPr>
                <w:rFonts w:cs="Arial"/>
                <w:bCs/>
              </w:rPr>
              <w:t>Swansea</w:t>
            </w:r>
          </w:p>
        </w:tc>
        <w:tc>
          <w:tcPr>
            <w:tcW w:w="2126" w:type="dxa"/>
            <w:tcBorders>
              <w:top w:val="single" w:sz="4" w:space="0" w:color="auto"/>
              <w:left w:val="single" w:sz="4" w:space="0" w:color="auto"/>
              <w:bottom w:val="single" w:sz="4" w:space="0" w:color="auto"/>
              <w:right w:val="single" w:sz="4" w:space="0" w:color="auto"/>
            </w:tcBorders>
            <w:hideMark/>
          </w:tcPr>
          <w:p w14:paraId="6C2F9932" w14:textId="77777777" w:rsidR="00370535" w:rsidRPr="00370535" w:rsidRDefault="00370535" w:rsidP="00C34E73">
            <w:pPr>
              <w:jc w:val="center"/>
              <w:rPr>
                <w:rFonts w:cs="Arial"/>
                <w:bCs/>
              </w:rPr>
            </w:pPr>
            <w:r w:rsidRPr="00370535">
              <w:rPr>
                <w:rFonts w:cs="Arial"/>
                <w:bCs/>
              </w:rPr>
              <w:t>1.9%</w:t>
            </w:r>
          </w:p>
        </w:tc>
      </w:tr>
      <w:tr w:rsidR="00370535" w:rsidRPr="00370535" w14:paraId="3B2D3F0B" w14:textId="77777777" w:rsidTr="00C34E73">
        <w:tc>
          <w:tcPr>
            <w:tcW w:w="4395" w:type="dxa"/>
            <w:tcBorders>
              <w:top w:val="single" w:sz="4" w:space="0" w:color="auto"/>
              <w:left w:val="single" w:sz="4" w:space="0" w:color="auto"/>
              <w:bottom w:val="single" w:sz="4" w:space="0" w:color="auto"/>
              <w:right w:val="single" w:sz="4" w:space="0" w:color="auto"/>
            </w:tcBorders>
            <w:hideMark/>
          </w:tcPr>
          <w:p w14:paraId="365E8873" w14:textId="77777777" w:rsidR="00370535" w:rsidRPr="00370535" w:rsidRDefault="00370535" w:rsidP="00370535">
            <w:pPr>
              <w:rPr>
                <w:rFonts w:cs="Arial"/>
              </w:rPr>
            </w:pPr>
            <w:r w:rsidRPr="00370535">
              <w:rPr>
                <w:rFonts w:cs="Arial"/>
              </w:rPr>
              <w:t>Cwmtawe</w:t>
            </w:r>
          </w:p>
        </w:tc>
        <w:tc>
          <w:tcPr>
            <w:tcW w:w="2126" w:type="dxa"/>
            <w:tcBorders>
              <w:top w:val="single" w:sz="4" w:space="0" w:color="auto"/>
              <w:left w:val="single" w:sz="4" w:space="0" w:color="auto"/>
              <w:bottom w:val="single" w:sz="4" w:space="0" w:color="auto"/>
              <w:right w:val="single" w:sz="4" w:space="0" w:color="auto"/>
            </w:tcBorders>
            <w:hideMark/>
          </w:tcPr>
          <w:p w14:paraId="63A56B08" w14:textId="77777777" w:rsidR="00370535" w:rsidRPr="00370535" w:rsidRDefault="00370535" w:rsidP="00370535">
            <w:pPr>
              <w:rPr>
                <w:rFonts w:cs="Arial"/>
                <w:bCs/>
              </w:rPr>
            </w:pPr>
            <w:r w:rsidRPr="00370535">
              <w:rPr>
                <w:rFonts w:cs="Arial"/>
                <w:bCs/>
              </w:rPr>
              <w:t>Swansea</w:t>
            </w:r>
          </w:p>
        </w:tc>
        <w:tc>
          <w:tcPr>
            <w:tcW w:w="2126" w:type="dxa"/>
            <w:tcBorders>
              <w:top w:val="single" w:sz="4" w:space="0" w:color="auto"/>
              <w:left w:val="single" w:sz="4" w:space="0" w:color="auto"/>
              <w:bottom w:val="single" w:sz="4" w:space="0" w:color="auto"/>
              <w:right w:val="single" w:sz="4" w:space="0" w:color="auto"/>
            </w:tcBorders>
            <w:hideMark/>
          </w:tcPr>
          <w:p w14:paraId="5C080824" w14:textId="77777777" w:rsidR="00370535" w:rsidRPr="00370535" w:rsidRDefault="00370535" w:rsidP="00C34E73">
            <w:pPr>
              <w:jc w:val="center"/>
              <w:rPr>
                <w:rFonts w:cs="Arial"/>
                <w:bCs/>
              </w:rPr>
            </w:pPr>
            <w:r w:rsidRPr="00370535">
              <w:rPr>
                <w:rFonts w:cs="Arial"/>
                <w:bCs/>
              </w:rPr>
              <w:t>2.7%</w:t>
            </w:r>
          </w:p>
        </w:tc>
      </w:tr>
      <w:tr w:rsidR="00370535" w:rsidRPr="00370535" w14:paraId="4C088685" w14:textId="77777777" w:rsidTr="00C34E73">
        <w:tc>
          <w:tcPr>
            <w:tcW w:w="4395" w:type="dxa"/>
            <w:tcBorders>
              <w:top w:val="single" w:sz="4" w:space="0" w:color="auto"/>
              <w:left w:val="single" w:sz="4" w:space="0" w:color="auto"/>
              <w:bottom w:val="single" w:sz="4" w:space="0" w:color="auto"/>
              <w:right w:val="single" w:sz="4" w:space="0" w:color="auto"/>
            </w:tcBorders>
            <w:hideMark/>
          </w:tcPr>
          <w:p w14:paraId="51D86D66" w14:textId="77777777" w:rsidR="00370535" w:rsidRPr="00370535" w:rsidRDefault="00370535" w:rsidP="00370535">
            <w:pPr>
              <w:rPr>
                <w:rFonts w:cs="Arial"/>
              </w:rPr>
            </w:pPr>
            <w:r w:rsidRPr="00370535">
              <w:rPr>
                <w:rFonts w:cs="Arial"/>
              </w:rPr>
              <w:t>Llwchwr</w:t>
            </w:r>
          </w:p>
        </w:tc>
        <w:tc>
          <w:tcPr>
            <w:tcW w:w="2126" w:type="dxa"/>
            <w:tcBorders>
              <w:top w:val="single" w:sz="4" w:space="0" w:color="auto"/>
              <w:left w:val="single" w:sz="4" w:space="0" w:color="auto"/>
              <w:bottom w:val="single" w:sz="4" w:space="0" w:color="auto"/>
              <w:right w:val="single" w:sz="4" w:space="0" w:color="auto"/>
            </w:tcBorders>
            <w:hideMark/>
          </w:tcPr>
          <w:p w14:paraId="76E9CB2D" w14:textId="77777777" w:rsidR="00370535" w:rsidRPr="00370535" w:rsidRDefault="00370535" w:rsidP="00370535">
            <w:pPr>
              <w:rPr>
                <w:rFonts w:cs="Arial"/>
                <w:bCs/>
              </w:rPr>
            </w:pPr>
            <w:r w:rsidRPr="00370535">
              <w:rPr>
                <w:rFonts w:cs="Arial"/>
                <w:bCs/>
              </w:rPr>
              <w:t>Swansea</w:t>
            </w:r>
          </w:p>
        </w:tc>
        <w:tc>
          <w:tcPr>
            <w:tcW w:w="2126" w:type="dxa"/>
            <w:tcBorders>
              <w:top w:val="single" w:sz="4" w:space="0" w:color="auto"/>
              <w:left w:val="single" w:sz="4" w:space="0" w:color="auto"/>
              <w:bottom w:val="single" w:sz="4" w:space="0" w:color="auto"/>
              <w:right w:val="single" w:sz="4" w:space="0" w:color="auto"/>
            </w:tcBorders>
            <w:hideMark/>
          </w:tcPr>
          <w:p w14:paraId="0224777C" w14:textId="77777777" w:rsidR="00370535" w:rsidRPr="00370535" w:rsidRDefault="00370535" w:rsidP="00C34E73">
            <w:pPr>
              <w:jc w:val="center"/>
              <w:rPr>
                <w:rFonts w:cs="Arial"/>
                <w:bCs/>
              </w:rPr>
            </w:pPr>
            <w:r w:rsidRPr="00370535">
              <w:rPr>
                <w:rFonts w:cs="Arial"/>
                <w:bCs/>
              </w:rPr>
              <w:t>3.0%</w:t>
            </w:r>
          </w:p>
        </w:tc>
      </w:tr>
      <w:tr w:rsidR="00370535" w:rsidRPr="00370535" w14:paraId="2B853C4B" w14:textId="77777777" w:rsidTr="00C34E73">
        <w:tc>
          <w:tcPr>
            <w:tcW w:w="4395" w:type="dxa"/>
            <w:tcBorders>
              <w:top w:val="single" w:sz="4" w:space="0" w:color="auto"/>
              <w:left w:val="single" w:sz="4" w:space="0" w:color="auto"/>
              <w:bottom w:val="single" w:sz="4" w:space="0" w:color="auto"/>
              <w:right w:val="single" w:sz="4" w:space="0" w:color="auto"/>
            </w:tcBorders>
            <w:hideMark/>
          </w:tcPr>
          <w:p w14:paraId="7E1D782D" w14:textId="77777777" w:rsidR="00370535" w:rsidRPr="00370535" w:rsidRDefault="00370535" w:rsidP="00370535">
            <w:pPr>
              <w:rPr>
                <w:rFonts w:cs="Arial"/>
              </w:rPr>
            </w:pPr>
            <w:r w:rsidRPr="00370535">
              <w:rPr>
                <w:rFonts w:cs="Arial"/>
              </w:rPr>
              <w:t>Penderi</w:t>
            </w:r>
          </w:p>
        </w:tc>
        <w:tc>
          <w:tcPr>
            <w:tcW w:w="2126" w:type="dxa"/>
            <w:tcBorders>
              <w:top w:val="single" w:sz="4" w:space="0" w:color="auto"/>
              <w:left w:val="single" w:sz="4" w:space="0" w:color="auto"/>
              <w:bottom w:val="single" w:sz="4" w:space="0" w:color="auto"/>
              <w:right w:val="single" w:sz="4" w:space="0" w:color="auto"/>
            </w:tcBorders>
            <w:hideMark/>
          </w:tcPr>
          <w:p w14:paraId="4B9861B7" w14:textId="77777777" w:rsidR="00370535" w:rsidRPr="00370535" w:rsidRDefault="00370535" w:rsidP="00370535">
            <w:pPr>
              <w:rPr>
                <w:rFonts w:cs="Arial"/>
                <w:bCs/>
              </w:rPr>
            </w:pPr>
            <w:r w:rsidRPr="00370535">
              <w:rPr>
                <w:rFonts w:cs="Arial"/>
                <w:bCs/>
              </w:rPr>
              <w:t>Swansea</w:t>
            </w:r>
          </w:p>
        </w:tc>
        <w:tc>
          <w:tcPr>
            <w:tcW w:w="2126" w:type="dxa"/>
            <w:tcBorders>
              <w:top w:val="single" w:sz="4" w:space="0" w:color="auto"/>
              <w:left w:val="single" w:sz="4" w:space="0" w:color="auto"/>
              <w:bottom w:val="single" w:sz="4" w:space="0" w:color="auto"/>
              <w:right w:val="single" w:sz="4" w:space="0" w:color="auto"/>
            </w:tcBorders>
            <w:hideMark/>
          </w:tcPr>
          <w:p w14:paraId="2FE97DA0" w14:textId="77777777" w:rsidR="00370535" w:rsidRPr="00370535" w:rsidRDefault="00370535" w:rsidP="00C34E73">
            <w:pPr>
              <w:jc w:val="center"/>
              <w:rPr>
                <w:rFonts w:cs="Arial"/>
                <w:bCs/>
              </w:rPr>
            </w:pPr>
            <w:r w:rsidRPr="00370535">
              <w:rPr>
                <w:rFonts w:cs="Arial"/>
                <w:bCs/>
              </w:rPr>
              <w:t>2.4%</w:t>
            </w:r>
          </w:p>
        </w:tc>
      </w:tr>
      <w:tr w:rsidR="00370535" w:rsidRPr="00370535" w14:paraId="4A5AE307" w14:textId="77777777" w:rsidTr="00C34E73">
        <w:tc>
          <w:tcPr>
            <w:tcW w:w="4395" w:type="dxa"/>
            <w:tcBorders>
              <w:top w:val="single" w:sz="4" w:space="0" w:color="auto"/>
              <w:left w:val="single" w:sz="4" w:space="0" w:color="auto"/>
              <w:bottom w:val="single" w:sz="4" w:space="0" w:color="auto"/>
              <w:right w:val="single" w:sz="4" w:space="0" w:color="auto"/>
            </w:tcBorders>
            <w:hideMark/>
          </w:tcPr>
          <w:p w14:paraId="3166C291" w14:textId="77777777" w:rsidR="00370535" w:rsidRPr="00370535" w:rsidRDefault="00370535" w:rsidP="00370535">
            <w:pPr>
              <w:rPr>
                <w:rFonts w:cs="Arial"/>
              </w:rPr>
            </w:pPr>
            <w:r w:rsidRPr="00370535">
              <w:rPr>
                <w:rFonts w:cs="Arial"/>
              </w:rPr>
              <w:t>Afan</w:t>
            </w:r>
          </w:p>
        </w:tc>
        <w:tc>
          <w:tcPr>
            <w:tcW w:w="2126" w:type="dxa"/>
            <w:tcBorders>
              <w:top w:val="single" w:sz="4" w:space="0" w:color="auto"/>
              <w:left w:val="single" w:sz="4" w:space="0" w:color="auto"/>
              <w:bottom w:val="single" w:sz="4" w:space="0" w:color="auto"/>
              <w:right w:val="single" w:sz="4" w:space="0" w:color="auto"/>
            </w:tcBorders>
            <w:hideMark/>
          </w:tcPr>
          <w:p w14:paraId="4E430CCA" w14:textId="77777777" w:rsidR="00370535" w:rsidRPr="00370535" w:rsidRDefault="00370535" w:rsidP="00370535">
            <w:pPr>
              <w:rPr>
                <w:rFonts w:cs="Arial"/>
                <w:bCs/>
              </w:rPr>
            </w:pPr>
            <w:r w:rsidRPr="00370535">
              <w:rPr>
                <w:rFonts w:cs="Arial"/>
                <w:bCs/>
              </w:rPr>
              <w:t>Neath Port Talbot</w:t>
            </w:r>
          </w:p>
        </w:tc>
        <w:tc>
          <w:tcPr>
            <w:tcW w:w="2126" w:type="dxa"/>
            <w:tcBorders>
              <w:top w:val="single" w:sz="4" w:space="0" w:color="auto"/>
              <w:left w:val="single" w:sz="4" w:space="0" w:color="auto"/>
              <w:bottom w:val="single" w:sz="4" w:space="0" w:color="auto"/>
              <w:right w:val="single" w:sz="4" w:space="0" w:color="auto"/>
            </w:tcBorders>
            <w:hideMark/>
          </w:tcPr>
          <w:p w14:paraId="7D4E9299" w14:textId="77777777" w:rsidR="00370535" w:rsidRPr="00370535" w:rsidRDefault="00370535" w:rsidP="00C34E73">
            <w:pPr>
              <w:jc w:val="center"/>
              <w:rPr>
                <w:rFonts w:cs="Arial"/>
                <w:bCs/>
              </w:rPr>
            </w:pPr>
            <w:r w:rsidRPr="00370535">
              <w:rPr>
                <w:rFonts w:cs="Arial"/>
                <w:bCs/>
              </w:rPr>
              <w:t>2.9%</w:t>
            </w:r>
          </w:p>
        </w:tc>
      </w:tr>
      <w:tr w:rsidR="00370535" w:rsidRPr="00370535" w14:paraId="7E7A0FFC" w14:textId="77777777" w:rsidTr="00C34E73">
        <w:tc>
          <w:tcPr>
            <w:tcW w:w="4395" w:type="dxa"/>
            <w:tcBorders>
              <w:top w:val="single" w:sz="4" w:space="0" w:color="auto"/>
              <w:left w:val="single" w:sz="4" w:space="0" w:color="auto"/>
              <w:bottom w:val="single" w:sz="4" w:space="0" w:color="auto"/>
              <w:right w:val="single" w:sz="4" w:space="0" w:color="auto"/>
            </w:tcBorders>
            <w:hideMark/>
          </w:tcPr>
          <w:p w14:paraId="1BC46FAB" w14:textId="77777777" w:rsidR="00370535" w:rsidRPr="00370535" w:rsidRDefault="00370535" w:rsidP="00370535">
            <w:pPr>
              <w:rPr>
                <w:rFonts w:cs="Arial"/>
              </w:rPr>
            </w:pPr>
            <w:r w:rsidRPr="00370535">
              <w:rPr>
                <w:rFonts w:cs="Arial"/>
              </w:rPr>
              <w:t>Neath</w:t>
            </w:r>
          </w:p>
        </w:tc>
        <w:tc>
          <w:tcPr>
            <w:tcW w:w="2126" w:type="dxa"/>
            <w:tcBorders>
              <w:top w:val="single" w:sz="4" w:space="0" w:color="auto"/>
              <w:left w:val="single" w:sz="4" w:space="0" w:color="auto"/>
              <w:bottom w:val="single" w:sz="4" w:space="0" w:color="auto"/>
              <w:right w:val="single" w:sz="4" w:space="0" w:color="auto"/>
            </w:tcBorders>
            <w:hideMark/>
          </w:tcPr>
          <w:p w14:paraId="59FCAAB7" w14:textId="77777777" w:rsidR="00370535" w:rsidRPr="00370535" w:rsidRDefault="00370535" w:rsidP="00370535">
            <w:pPr>
              <w:rPr>
                <w:rFonts w:cs="Arial"/>
                <w:bCs/>
              </w:rPr>
            </w:pPr>
            <w:r w:rsidRPr="00370535">
              <w:rPr>
                <w:rFonts w:cs="Arial"/>
                <w:bCs/>
              </w:rPr>
              <w:t>Neath Port Talbot</w:t>
            </w:r>
          </w:p>
        </w:tc>
        <w:tc>
          <w:tcPr>
            <w:tcW w:w="2126" w:type="dxa"/>
            <w:tcBorders>
              <w:top w:val="single" w:sz="4" w:space="0" w:color="auto"/>
              <w:left w:val="single" w:sz="4" w:space="0" w:color="auto"/>
              <w:bottom w:val="single" w:sz="4" w:space="0" w:color="auto"/>
              <w:right w:val="single" w:sz="4" w:space="0" w:color="auto"/>
            </w:tcBorders>
            <w:hideMark/>
          </w:tcPr>
          <w:p w14:paraId="4D2E2624" w14:textId="77777777" w:rsidR="00370535" w:rsidRPr="00370535" w:rsidRDefault="00370535" w:rsidP="00C34E73">
            <w:pPr>
              <w:jc w:val="center"/>
              <w:rPr>
                <w:rFonts w:cs="Arial"/>
                <w:bCs/>
              </w:rPr>
            </w:pPr>
            <w:r w:rsidRPr="00370535">
              <w:rPr>
                <w:rFonts w:cs="Arial"/>
                <w:bCs/>
              </w:rPr>
              <w:t>2.7%</w:t>
            </w:r>
          </w:p>
        </w:tc>
      </w:tr>
      <w:tr w:rsidR="00370535" w:rsidRPr="00370535" w14:paraId="16144F93" w14:textId="77777777" w:rsidTr="00C34E73">
        <w:tc>
          <w:tcPr>
            <w:tcW w:w="4395" w:type="dxa"/>
            <w:tcBorders>
              <w:top w:val="single" w:sz="4" w:space="0" w:color="auto"/>
              <w:left w:val="single" w:sz="4" w:space="0" w:color="auto"/>
              <w:bottom w:val="single" w:sz="4" w:space="0" w:color="auto"/>
              <w:right w:val="single" w:sz="4" w:space="0" w:color="auto"/>
            </w:tcBorders>
            <w:hideMark/>
          </w:tcPr>
          <w:p w14:paraId="2BC43FBE" w14:textId="77777777" w:rsidR="00370535" w:rsidRPr="00370535" w:rsidRDefault="00370535" w:rsidP="00370535">
            <w:pPr>
              <w:rPr>
                <w:rFonts w:cs="Arial"/>
              </w:rPr>
            </w:pPr>
            <w:r w:rsidRPr="00370535">
              <w:rPr>
                <w:rFonts w:cs="Arial"/>
              </w:rPr>
              <w:t>Upper Valleys</w:t>
            </w:r>
          </w:p>
        </w:tc>
        <w:tc>
          <w:tcPr>
            <w:tcW w:w="2126" w:type="dxa"/>
            <w:tcBorders>
              <w:top w:val="single" w:sz="4" w:space="0" w:color="auto"/>
              <w:left w:val="single" w:sz="4" w:space="0" w:color="auto"/>
              <w:bottom w:val="single" w:sz="4" w:space="0" w:color="auto"/>
              <w:right w:val="single" w:sz="4" w:space="0" w:color="auto"/>
            </w:tcBorders>
            <w:hideMark/>
          </w:tcPr>
          <w:p w14:paraId="22CE25FB" w14:textId="77777777" w:rsidR="00370535" w:rsidRPr="00370535" w:rsidRDefault="00370535" w:rsidP="00370535">
            <w:pPr>
              <w:rPr>
                <w:rFonts w:cs="Arial"/>
                <w:bCs/>
              </w:rPr>
            </w:pPr>
            <w:r w:rsidRPr="00370535">
              <w:rPr>
                <w:rFonts w:cs="Arial"/>
                <w:bCs/>
              </w:rPr>
              <w:t>Neath Port Talbot</w:t>
            </w:r>
          </w:p>
        </w:tc>
        <w:tc>
          <w:tcPr>
            <w:tcW w:w="2126" w:type="dxa"/>
            <w:tcBorders>
              <w:top w:val="single" w:sz="4" w:space="0" w:color="auto"/>
              <w:left w:val="single" w:sz="4" w:space="0" w:color="auto"/>
              <w:bottom w:val="single" w:sz="4" w:space="0" w:color="auto"/>
              <w:right w:val="single" w:sz="4" w:space="0" w:color="auto"/>
            </w:tcBorders>
            <w:hideMark/>
          </w:tcPr>
          <w:p w14:paraId="5993CC5F" w14:textId="77777777" w:rsidR="00370535" w:rsidRPr="00370535" w:rsidRDefault="00370535" w:rsidP="00C34E73">
            <w:pPr>
              <w:jc w:val="center"/>
              <w:rPr>
                <w:rFonts w:cs="Arial"/>
                <w:bCs/>
              </w:rPr>
            </w:pPr>
            <w:r w:rsidRPr="00370535">
              <w:rPr>
                <w:rFonts w:cs="Arial"/>
                <w:bCs/>
              </w:rPr>
              <w:t>2.9%</w:t>
            </w:r>
          </w:p>
        </w:tc>
      </w:tr>
      <w:tr w:rsidR="00370535" w:rsidRPr="00370535" w14:paraId="485BBA15" w14:textId="77777777" w:rsidTr="00C34E73">
        <w:tc>
          <w:tcPr>
            <w:tcW w:w="4395" w:type="dxa"/>
            <w:tcBorders>
              <w:top w:val="single" w:sz="4" w:space="0" w:color="auto"/>
              <w:left w:val="single" w:sz="4" w:space="0" w:color="auto"/>
              <w:bottom w:val="single" w:sz="4" w:space="0" w:color="auto"/>
              <w:right w:val="single" w:sz="4" w:space="0" w:color="auto"/>
            </w:tcBorders>
            <w:hideMark/>
          </w:tcPr>
          <w:p w14:paraId="243D85EF" w14:textId="77777777" w:rsidR="00370535" w:rsidRPr="00370535" w:rsidRDefault="00370535" w:rsidP="00370535">
            <w:pPr>
              <w:rPr>
                <w:rFonts w:cs="Arial"/>
              </w:rPr>
            </w:pPr>
            <w:r w:rsidRPr="00370535">
              <w:rPr>
                <w:rFonts w:cs="Arial"/>
              </w:rPr>
              <w:t>Swansea Bay University Health Board</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747D8E5" w14:textId="77777777" w:rsidR="00370535" w:rsidRPr="00370535" w:rsidRDefault="00370535" w:rsidP="00370535">
            <w:pPr>
              <w:rPr>
                <w:rFonts w:cs="Arial"/>
              </w:rPr>
            </w:pPr>
          </w:p>
        </w:tc>
        <w:tc>
          <w:tcPr>
            <w:tcW w:w="2126" w:type="dxa"/>
            <w:tcBorders>
              <w:top w:val="single" w:sz="4" w:space="0" w:color="auto"/>
              <w:left w:val="single" w:sz="4" w:space="0" w:color="auto"/>
              <w:bottom w:val="single" w:sz="4" w:space="0" w:color="auto"/>
              <w:right w:val="single" w:sz="4" w:space="0" w:color="auto"/>
            </w:tcBorders>
            <w:hideMark/>
          </w:tcPr>
          <w:p w14:paraId="4A58B670" w14:textId="77777777" w:rsidR="00370535" w:rsidRPr="00370535" w:rsidRDefault="00370535" w:rsidP="00C34E73">
            <w:pPr>
              <w:jc w:val="center"/>
              <w:rPr>
                <w:rFonts w:cs="Arial"/>
              </w:rPr>
            </w:pPr>
            <w:r w:rsidRPr="00370535">
              <w:rPr>
                <w:rFonts w:cs="Arial"/>
              </w:rPr>
              <w:t>2.6%</w:t>
            </w:r>
          </w:p>
        </w:tc>
      </w:tr>
      <w:tr w:rsidR="00370535" w:rsidRPr="00370535" w14:paraId="600A8B2E" w14:textId="77777777" w:rsidTr="00C34E73">
        <w:tc>
          <w:tcPr>
            <w:tcW w:w="4395" w:type="dxa"/>
            <w:tcBorders>
              <w:top w:val="single" w:sz="4" w:space="0" w:color="auto"/>
              <w:left w:val="single" w:sz="4" w:space="0" w:color="auto"/>
              <w:bottom w:val="single" w:sz="4" w:space="0" w:color="auto"/>
              <w:right w:val="single" w:sz="4" w:space="0" w:color="auto"/>
            </w:tcBorders>
            <w:hideMark/>
          </w:tcPr>
          <w:p w14:paraId="01FE97D7" w14:textId="77777777" w:rsidR="00370535" w:rsidRPr="00370535" w:rsidRDefault="00370535" w:rsidP="00370535">
            <w:pPr>
              <w:rPr>
                <w:rFonts w:cs="Arial"/>
              </w:rPr>
            </w:pPr>
            <w:r w:rsidRPr="00370535">
              <w:rPr>
                <w:rFonts w:cs="Arial"/>
              </w:rPr>
              <w:t>Wales</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13CF46" w14:textId="77777777" w:rsidR="00370535" w:rsidRPr="00370535" w:rsidRDefault="00370535" w:rsidP="00370535">
            <w:pPr>
              <w:rPr>
                <w:rFonts w:cs="Arial"/>
              </w:rPr>
            </w:pPr>
          </w:p>
        </w:tc>
        <w:tc>
          <w:tcPr>
            <w:tcW w:w="2126" w:type="dxa"/>
            <w:tcBorders>
              <w:top w:val="single" w:sz="4" w:space="0" w:color="auto"/>
              <w:left w:val="single" w:sz="4" w:space="0" w:color="auto"/>
              <w:bottom w:val="single" w:sz="4" w:space="0" w:color="auto"/>
              <w:right w:val="single" w:sz="4" w:space="0" w:color="auto"/>
            </w:tcBorders>
            <w:hideMark/>
          </w:tcPr>
          <w:p w14:paraId="560384CD" w14:textId="77777777" w:rsidR="00370535" w:rsidRPr="00370535" w:rsidRDefault="00370535" w:rsidP="00C34E73">
            <w:pPr>
              <w:jc w:val="center"/>
              <w:rPr>
                <w:rFonts w:cs="Arial"/>
              </w:rPr>
            </w:pPr>
            <w:r w:rsidRPr="00370535">
              <w:rPr>
                <w:rFonts w:cs="Arial"/>
              </w:rPr>
              <w:t>2.7%</w:t>
            </w:r>
          </w:p>
        </w:tc>
      </w:tr>
    </w:tbl>
    <w:p w14:paraId="0F8A5455" w14:textId="77777777" w:rsidR="00370535" w:rsidRPr="00370535" w:rsidRDefault="00370535" w:rsidP="00370535">
      <w:pPr>
        <w:rPr>
          <w:rFonts w:cs="Arial"/>
        </w:rPr>
      </w:pPr>
    </w:p>
    <w:p w14:paraId="48D1F494" w14:textId="77777777" w:rsidR="00370535" w:rsidRPr="00370535" w:rsidRDefault="00370535" w:rsidP="00370535">
      <w:pPr>
        <w:rPr>
          <w:rFonts w:cs="Arial"/>
        </w:rPr>
      </w:pPr>
      <w:r w:rsidRPr="00370535">
        <w:rPr>
          <w:rFonts w:cs="Arial"/>
        </w:rPr>
        <w:t xml:space="preserve">Swansea Bay University Health Board has a lower prevalence of atrial fibrillation than the Wales rate (2.6% and 2.7% respectively). </w:t>
      </w:r>
    </w:p>
    <w:p w14:paraId="39A0B858" w14:textId="77777777" w:rsidR="00370535" w:rsidRPr="00370535" w:rsidRDefault="00370535" w:rsidP="00370535">
      <w:pPr>
        <w:rPr>
          <w:rFonts w:cs="Arial"/>
        </w:rPr>
      </w:pPr>
    </w:p>
    <w:p w14:paraId="65CCD4FE" w14:textId="77777777" w:rsidR="00370535" w:rsidRPr="00370535" w:rsidRDefault="00370535" w:rsidP="00370535">
      <w:pPr>
        <w:rPr>
          <w:rFonts w:cs="Arial"/>
        </w:rPr>
      </w:pPr>
      <w:r w:rsidRPr="00370535">
        <w:rPr>
          <w:rFonts w:cs="Arial"/>
        </w:rPr>
        <w:t>Across the Swansea clusters, recorded prevalence of atrial fibrillation ranges from 1.9% (City Health) to 3.0% (Llwchwr). Two of the five clusters are lower than both the health board and Wales rates (City Health and Penderi). Three of the five clusters are higher than the health board rate (Bay Health, Cwmtawe and Llwchwr), two clusters are higher than the Wales rate (Bay Health and Llwchwr) and one cluster is equal to the Wales rate (Cwmtawe).</w:t>
      </w:r>
    </w:p>
    <w:p w14:paraId="7E1409FB" w14:textId="77777777" w:rsidR="00370535" w:rsidRPr="00370535" w:rsidRDefault="00370535" w:rsidP="00370535">
      <w:pPr>
        <w:rPr>
          <w:rFonts w:cs="Arial"/>
        </w:rPr>
      </w:pPr>
    </w:p>
    <w:p w14:paraId="61CFF019" w14:textId="77777777" w:rsidR="00370535" w:rsidRPr="00370535" w:rsidRDefault="00370535" w:rsidP="00370535">
      <w:pPr>
        <w:rPr>
          <w:rFonts w:cs="Arial"/>
        </w:rPr>
      </w:pPr>
      <w:r w:rsidRPr="00370535">
        <w:rPr>
          <w:rFonts w:cs="Arial"/>
        </w:rPr>
        <w:t>For the Neath Port Talbot clusters, recorded prevalence of atrial fibrillation ranges from 2.7% (Neath) to 2.9% (Afan and Upper Valleys). All three clusters are higher than the health board rate, two clusters are higher than the Wales rate (Afan and Upper Valley) and one cluster is equal to the Wales rate (Neath).</w:t>
      </w:r>
    </w:p>
    <w:p w14:paraId="013ACA20" w14:textId="77777777" w:rsidR="00370535" w:rsidRPr="00370535" w:rsidRDefault="00370535" w:rsidP="00370535">
      <w:pPr>
        <w:rPr>
          <w:rFonts w:cs="Arial"/>
          <w:b/>
        </w:rPr>
      </w:pPr>
    </w:p>
    <w:p w14:paraId="4768D556" w14:textId="77777777" w:rsidR="00370535" w:rsidRPr="00370535" w:rsidRDefault="00370535" w:rsidP="00370535">
      <w:pPr>
        <w:rPr>
          <w:rFonts w:cs="Arial"/>
          <w:b/>
        </w:rPr>
      </w:pPr>
      <w:r w:rsidRPr="00370535">
        <w:rPr>
          <w:rFonts w:cs="Arial"/>
          <w:b/>
        </w:rPr>
        <w:t>3.2.2 Adult lifestyle behaviours</w:t>
      </w:r>
    </w:p>
    <w:p w14:paraId="1BCD286D" w14:textId="77777777" w:rsidR="00370535" w:rsidRPr="00370535" w:rsidRDefault="00370535" w:rsidP="00370535">
      <w:pPr>
        <w:rPr>
          <w:rFonts w:cs="Arial"/>
        </w:rPr>
      </w:pPr>
    </w:p>
    <w:p w14:paraId="289496EB" w14:textId="77777777" w:rsidR="00370535" w:rsidRPr="00370535" w:rsidRDefault="00370535" w:rsidP="00370535">
      <w:pPr>
        <w:rPr>
          <w:rFonts w:cs="Arial"/>
        </w:rPr>
      </w:pPr>
      <w:r w:rsidRPr="00370535">
        <w:rPr>
          <w:rFonts w:cs="Arial"/>
        </w:rPr>
        <w:t>In February 2025, Public Health Wales published “A summary of trends on risk factors for non-communicable diseases</w:t>
      </w:r>
      <w:r w:rsidRPr="00370535">
        <w:rPr>
          <w:rFonts w:cs="Arial"/>
          <w:vertAlign w:val="superscript"/>
        </w:rPr>
        <w:footnoteReference w:id="64"/>
      </w:r>
      <w:r w:rsidRPr="00370535">
        <w:rPr>
          <w:rFonts w:cs="Arial"/>
        </w:rPr>
        <w:t>” which highlights:</w:t>
      </w:r>
    </w:p>
    <w:p w14:paraId="676E8D7C" w14:textId="77777777" w:rsidR="00370535" w:rsidRPr="00370535" w:rsidRDefault="00370535" w:rsidP="00370535">
      <w:pPr>
        <w:rPr>
          <w:rFonts w:cs="Arial"/>
        </w:rPr>
      </w:pPr>
      <w:r w:rsidRPr="00370535">
        <w:rPr>
          <w:rFonts w:cs="Arial"/>
        </w:rPr>
        <w:t xml:space="preserve"> </w:t>
      </w:r>
    </w:p>
    <w:p w14:paraId="1736BF44" w14:textId="77777777" w:rsidR="00370535" w:rsidRPr="00370535" w:rsidRDefault="00370535" w:rsidP="00B76905">
      <w:pPr>
        <w:numPr>
          <w:ilvl w:val="0"/>
          <w:numId w:val="49"/>
        </w:numPr>
        <w:rPr>
          <w:rFonts w:cs="Arial"/>
        </w:rPr>
      </w:pPr>
      <w:r w:rsidRPr="00370535">
        <w:rPr>
          <w:rFonts w:cs="Arial"/>
        </w:rPr>
        <w:t>Poor diet, alcohol consumption and physical inactivity are not improving.</w:t>
      </w:r>
    </w:p>
    <w:p w14:paraId="2A5458CA" w14:textId="77777777" w:rsidR="00370535" w:rsidRPr="00370535" w:rsidRDefault="00370535" w:rsidP="00B76905">
      <w:pPr>
        <w:numPr>
          <w:ilvl w:val="0"/>
          <w:numId w:val="49"/>
        </w:numPr>
        <w:rPr>
          <w:rFonts w:cs="Arial"/>
        </w:rPr>
      </w:pPr>
      <w:r w:rsidRPr="00370535">
        <w:rPr>
          <w:rFonts w:cs="Arial"/>
        </w:rPr>
        <w:lastRenderedPageBreak/>
        <w:t>The reductions in prevalence of smoking have slowed down.</w:t>
      </w:r>
    </w:p>
    <w:p w14:paraId="00DF02FF" w14:textId="77777777" w:rsidR="00370535" w:rsidRPr="00370535" w:rsidRDefault="00370535" w:rsidP="00B76905">
      <w:pPr>
        <w:numPr>
          <w:ilvl w:val="0"/>
          <w:numId w:val="49"/>
        </w:numPr>
        <w:rPr>
          <w:rFonts w:cs="Arial"/>
        </w:rPr>
      </w:pPr>
      <w:r w:rsidRPr="00370535">
        <w:rPr>
          <w:rFonts w:cs="Arial"/>
        </w:rPr>
        <w:t>Unhealthy behaviours are generally higher in more deprived areas, except for alcohol consumption.</w:t>
      </w:r>
    </w:p>
    <w:p w14:paraId="06829A4D" w14:textId="77777777" w:rsidR="00370535" w:rsidRPr="00370535" w:rsidRDefault="00370535" w:rsidP="00B76905">
      <w:pPr>
        <w:numPr>
          <w:ilvl w:val="0"/>
          <w:numId w:val="49"/>
        </w:numPr>
        <w:rPr>
          <w:rFonts w:cs="Arial"/>
        </w:rPr>
      </w:pPr>
      <w:r w:rsidRPr="00370535">
        <w:rPr>
          <w:rFonts w:cs="Arial"/>
        </w:rPr>
        <w:t xml:space="preserve">Although individuals living in the most deprived areas may consume less alcohol, they tend to suffer worse health outcomes </w:t>
      </w:r>
      <w:r w:rsidRPr="00370535">
        <w:rPr>
          <w:rFonts w:cs="Arial"/>
          <w:vertAlign w:val="superscript"/>
        </w:rPr>
        <w:footnoteReference w:id="65"/>
      </w:r>
    </w:p>
    <w:p w14:paraId="5B662F26" w14:textId="77777777" w:rsidR="00370535" w:rsidRPr="00370535" w:rsidRDefault="00370535" w:rsidP="00B76905">
      <w:pPr>
        <w:numPr>
          <w:ilvl w:val="0"/>
          <w:numId w:val="49"/>
        </w:numPr>
        <w:rPr>
          <w:rFonts w:cs="Arial"/>
        </w:rPr>
      </w:pPr>
      <w:r w:rsidRPr="00370535">
        <w:rPr>
          <w:rFonts w:cs="Arial"/>
        </w:rPr>
        <w:t>The prevalence of adults living with obesity in Wales has increased by 44% in the last 20 years.</w:t>
      </w:r>
    </w:p>
    <w:p w14:paraId="7A2BAC76" w14:textId="77777777" w:rsidR="00370535" w:rsidRPr="00370535" w:rsidRDefault="00370535" w:rsidP="00B76905">
      <w:pPr>
        <w:numPr>
          <w:ilvl w:val="0"/>
          <w:numId w:val="49"/>
        </w:numPr>
        <w:rPr>
          <w:rFonts w:cs="Arial"/>
        </w:rPr>
      </w:pPr>
      <w:r w:rsidRPr="00370535">
        <w:rPr>
          <w:rFonts w:cs="Arial"/>
        </w:rPr>
        <w:t>Since 2003/04, the prevalence of adults living with obesity has increased from just under one in five people, to a little over one in four people in 2022/23.</w:t>
      </w:r>
    </w:p>
    <w:p w14:paraId="78841BC8" w14:textId="77777777" w:rsidR="00370535" w:rsidRPr="00370535" w:rsidRDefault="00370535" w:rsidP="00B76905">
      <w:pPr>
        <w:numPr>
          <w:ilvl w:val="0"/>
          <w:numId w:val="49"/>
        </w:numPr>
        <w:rPr>
          <w:rFonts w:cs="Arial"/>
        </w:rPr>
      </w:pPr>
      <w:r w:rsidRPr="00370535">
        <w:rPr>
          <w:rFonts w:cs="Arial"/>
        </w:rPr>
        <w:t>A multi-pronged approach encompassing education, programmes, services and legislation were successful in reducing the prevalence of smoking. However, this is yet to be replicated to the same extent for other risks factors, such as living with obesity.</w:t>
      </w:r>
    </w:p>
    <w:p w14:paraId="7F2ABDAA" w14:textId="77777777" w:rsidR="00370535" w:rsidRPr="00370535" w:rsidRDefault="00370535" w:rsidP="00370535">
      <w:pPr>
        <w:rPr>
          <w:rFonts w:cs="Arial"/>
        </w:rPr>
      </w:pPr>
    </w:p>
    <w:p w14:paraId="25BB2642" w14:textId="77777777" w:rsidR="00370535" w:rsidRPr="00370535" w:rsidRDefault="00370535" w:rsidP="00370535">
      <w:pPr>
        <w:rPr>
          <w:rFonts w:cs="Arial"/>
        </w:rPr>
      </w:pPr>
      <w:r w:rsidRPr="00370535">
        <w:rPr>
          <w:rFonts w:cs="Arial"/>
        </w:rPr>
        <w:t>The table below presents the percentage of adults aged 16 years and over, in Swansea and Neath Port Talbot who have self-reported engaging in six key lifestyle behaviours, as recorded by the National Survey for Wales</w:t>
      </w:r>
      <w:r w:rsidRPr="00370535">
        <w:rPr>
          <w:rFonts w:cs="Arial"/>
          <w:vertAlign w:val="superscript"/>
        </w:rPr>
        <w:footnoteReference w:id="66"/>
      </w:r>
      <w:r w:rsidRPr="00370535">
        <w:rPr>
          <w:rFonts w:cs="Arial"/>
        </w:rPr>
        <w:t xml:space="preserve"> between 2021 and 2023. </w:t>
      </w:r>
    </w:p>
    <w:p w14:paraId="17B7836D" w14:textId="77777777" w:rsidR="00370535" w:rsidRPr="00370535" w:rsidRDefault="00370535" w:rsidP="00370535">
      <w:pPr>
        <w:rPr>
          <w:rFonts w:cs="Arial"/>
        </w:rPr>
      </w:pPr>
    </w:p>
    <w:p w14:paraId="7639B114" w14:textId="77777777" w:rsidR="00370535" w:rsidRPr="00370535" w:rsidRDefault="00370535" w:rsidP="00370535">
      <w:pPr>
        <w:rPr>
          <w:rFonts w:cs="Arial"/>
          <w:b/>
          <w:bCs/>
        </w:rPr>
      </w:pPr>
      <w:r w:rsidRPr="00370535">
        <w:rPr>
          <w:rFonts w:cs="Arial"/>
          <w:b/>
          <w:bCs/>
        </w:rPr>
        <w:t>Table 3.7: Percentage of adults (aged 16 years and over) reporting lifestyle behaviours by local authority and Wales, 2021 to 2023</w:t>
      </w:r>
      <w:r w:rsidRPr="00370535">
        <w:rPr>
          <w:rFonts w:cs="Arial"/>
          <w:b/>
          <w:bCs/>
          <w:vertAlign w:val="superscript"/>
        </w:rPr>
        <w:footnoteReference w:id="67"/>
      </w:r>
    </w:p>
    <w:p w14:paraId="1E4B4D38" w14:textId="77777777" w:rsidR="00370535" w:rsidRPr="00370535" w:rsidRDefault="00370535" w:rsidP="00370535">
      <w:pPr>
        <w:rPr>
          <w:rFonts w:cs="Arial"/>
          <w:b/>
        </w:rPr>
      </w:pPr>
    </w:p>
    <w:tbl>
      <w:tblPr>
        <w:tblStyle w:val="TableGrid4"/>
        <w:tblW w:w="10406" w:type="dxa"/>
        <w:tblInd w:w="-714" w:type="dxa"/>
        <w:tblLook w:val="04A0" w:firstRow="1" w:lastRow="0" w:firstColumn="1" w:lastColumn="0" w:noHBand="0" w:noVBand="1"/>
      </w:tblPr>
      <w:tblGrid>
        <w:gridCol w:w="1204"/>
        <w:gridCol w:w="1462"/>
        <w:gridCol w:w="1430"/>
        <w:gridCol w:w="1190"/>
        <w:gridCol w:w="1523"/>
        <w:gridCol w:w="950"/>
        <w:gridCol w:w="1190"/>
        <w:gridCol w:w="1457"/>
      </w:tblGrid>
      <w:tr w:rsidR="00370535" w:rsidRPr="00370535" w14:paraId="7DB15F78" w14:textId="77777777" w:rsidTr="00370535">
        <w:trPr>
          <w:trHeight w:val="1807"/>
        </w:trPr>
        <w:tc>
          <w:tcPr>
            <w:tcW w:w="0" w:type="auto"/>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016954B0" w14:textId="77777777" w:rsidR="00370535" w:rsidRPr="00370535" w:rsidRDefault="00370535" w:rsidP="00370535">
            <w:pPr>
              <w:rPr>
                <w:rFonts w:cs="Arial"/>
                <w:b/>
              </w:rPr>
            </w:pPr>
            <w:r w:rsidRPr="00370535">
              <w:rPr>
                <w:rFonts w:cs="Arial"/>
                <w:b/>
              </w:rPr>
              <w:t>Area</w:t>
            </w:r>
          </w:p>
        </w:tc>
        <w:tc>
          <w:tcPr>
            <w:tcW w:w="0" w:type="auto"/>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40E2843B" w14:textId="77777777" w:rsidR="00370535" w:rsidRPr="00370535" w:rsidRDefault="00370535" w:rsidP="00370535">
            <w:pPr>
              <w:rPr>
                <w:rFonts w:cs="Arial"/>
                <w:b/>
              </w:rPr>
            </w:pPr>
            <w:r w:rsidRPr="00370535">
              <w:rPr>
                <w:rFonts w:cs="Arial"/>
                <w:b/>
              </w:rPr>
              <w:t>Population 16 years and over</w:t>
            </w:r>
          </w:p>
        </w:tc>
        <w:tc>
          <w:tcPr>
            <w:tcW w:w="0" w:type="auto"/>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4CF7B04A" w14:textId="77777777" w:rsidR="00370535" w:rsidRPr="00370535" w:rsidRDefault="00370535" w:rsidP="00370535">
            <w:pPr>
              <w:rPr>
                <w:rFonts w:cs="Arial"/>
                <w:b/>
              </w:rPr>
            </w:pPr>
            <w:r w:rsidRPr="00370535">
              <w:rPr>
                <w:rFonts w:cs="Arial"/>
                <w:b/>
              </w:rPr>
              <w:t>Smoking (including e-cigarettes)</w:t>
            </w:r>
          </w:p>
        </w:tc>
        <w:tc>
          <w:tcPr>
            <w:tcW w:w="0" w:type="auto"/>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5532D88E" w14:textId="77777777" w:rsidR="00370535" w:rsidRPr="00370535" w:rsidRDefault="00370535" w:rsidP="00370535">
            <w:pPr>
              <w:rPr>
                <w:rFonts w:cs="Arial"/>
                <w:b/>
              </w:rPr>
            </w:pPr>
            <w:r w:rsidRPr="00370535">
              <w:rPr>
                <w:rFonts w:cs="Arial"/>
                <w:b/>
              </w:rPr>
              <w:t>Drinking more than 14 units per week</w:t>
            </w:r>
          </w:p>
        </w:tc>
        <w:tc>
          <w:tcPr>
            <w:tcW w:w="0" w:type="auto"/>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1AAA98FA" w14:textId="77777777" w:rsidR="00370535" w:rsidRPr="00370535" w:rsidRDefault="00370535" w:rsidP="00370535">
            <w:pPr>
              <w:rPr>
                <w:rFonts w:cs="Arial"/>
                <w:b/>
              </w:rPr>
            </w:pPr>
            <w:r w:rsidRPr="00370535">
              <w:rPr>
                <w:rFonts w:cs="Arial"/>
                <w:b/>
              </w:rPr>
              <w:t>Overweight with a body mass index of 25+</w:t>
            </w:r>
          </w:p>
        </w:tc>
        <w:tc>
          <w:tcPr>
            <w:tcW w:w="0" w:type="auto"/>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1DBB7D0C" w14:textId="77777777" w:rsidR="00370535" w:rsidRPr="00370535" w:rsidRDefault="00370535" w:rsidP="00370535">
            <w:pPr>
              <w:rPr>
                <w:rFonts w:cs="Arial"/>
                <w:b/>
              </w:rPr>
            </w:pPr>
            <w:r w:rsidRPr="00370535">
              <w:rPr>
                <w:rFonts w:cs="Arial"/>
                <w:b/>
              </w:rPr>
              <w:t>Obese with a body mass index of 30+</w:t>
            </w:r>
          </w:p>
        </w:tc>
        <w:tc>
          <w:tcPr>
            <w:tcW w:w="0" w:type="auto"/>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3CB9011D" w14:textId="77777777" w:rsidR="00370535" w:rsidRPr="00370535" w:rsidRDefault="00370535" w:rsidP="00370535">
            <w:pPr>
              <w:rPr>
                <w:rFonts w:cs="Arial"/>
                <w:b/>
              </w:rPr>
            </w:pPr>
            <w:r w:rsidRPr="00370535">
              <w:rPr>
                <w:rFonts w:cs="Arial"/>
                <w:b/>
              </w:rPr>
              <w:t>Physical activity for 150 minutes per week</w:t>
            </w:r>
          </w:p>
        </w:tc>
        <w:tc>
          <w:tcPr>
            <w:tcW w:w="1457"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206C8184" w14:textId="77777777" w:rsidR="00370535" w:rsidRPr="00370535" w:rsidRDefault="00370535" w:rsidP="00370535">
            <w:pPr>
              <w:rPr>
                <w:rFonts w:cs="Arial"/>
                <w:b/>
              </w:rPr>
            </w:pPr>
            <w:r w:rsidRPr="00370535">
              <w:rPr>
                <w:rFonts w:cs="Arial"/>
                <w:b/>
              </w:rPr>
              <w:t>Eating five portions of fruit and vegetables the previous day</w:t>
            </w:r>
          </w:p>
        </w:tc>
      </w:tr>
      <w:tr w:rsidR="00370535" w:rsidRPr="00370535" w14:paraId="497BA888" w14:textId="77777777" w:rsidTr="00370535">
        <w:trPr>
          <w:trHeight w:val="316"/>
        </w:trPr>
        <w:tc>
          <w:tcPr>
            <w:tcW w:w="0" w:type="auto"/>
            <w:tcBorders>
              <w:top w:val="single" w:sz="4" w:space="0" w:color="auto"/>
              <w:left w:val="single" w:sz="4" w:space="0" w:color="auto"/>
              <w:bottom w:val="single" w:sz="4" w:space="0" w:color="auto"/>
              <w:right w:val="single" w:sz="4" w:space="0" w:color="auto"/>
            </w:tcBorders>
          </w:tcPr>
          <w:p w14:paraId="124912F7" w14:textId="261B9732" w:rsidR="00370535" w:rsidRPr="00370535" w:rsidRDefault="00370535" w:rsidP="003F1F07">
            <w:pPr>
              <w:rPr>
                <w:rFonts w:cs="Arial"/>
                <w:bCs/>
              </w:rPr>
            </w:pPr>
            <w:r w:rsidRPr="00370535">
              <w:rPr>
                <w:rFonts w:cs="Arial"/>
                <w:bCs/>
              </w:rPr>
              <w:t>Swansea Local Authority</w:t>
            </w:r>
          </w:p>
        </w:tc>
        <w:tc>
          <w:tcPr>
            <w:tcW w:w="0" w:type="auto"/>
            <w:tcBorders>
              <w:top w:val="single" w:sz="4" w:space="0" w:color="auto"/>
              <w:left w:val="single" w:sz="4" w:space="0" w:color="auto"/>
              <w:bottom w:val="single" w:sz="4" w:space="0" w:color="auto"/>
              <w:right w:val="single" w:sz="4" w:space="0" w:color="auto"/>
            </w:tcBorders>
            <w:hideMark/>
          </w:tcPr>
          <w:p w14:paraId="186958D0" w14:textId="77777777" w:rsidR="00370535" w:rsidRPr="00370535" w:rsidRDefault="00370535" w:rsidP="00370535">
            <w:pPr>
              <w:rPr>
                <w:rFonts w:cs="Arial"/>
                <w:bCs/>
              </w:rPr>
            </w:pPr>
            <w:r w:rsidRPr="00370535">
              <w:rPr>
                <w:rFonts w:cs="Arial"/>
                <w:bCs/>
              </w:rPr>
              <w:t>209,302</w:t>
            </w:r>
            <w:r w:rsidRPr="00370535">
              <w:rPr>
                <w:rFonts w:cs="Arial"/>
                <w:bCs/>
                <w:vertAlign w:val="superscript"/>
              </w:rPr>
              <w:footnoteReference w:id="68"/>
            </w:r>
          </w:p>
        </w:tc>
        <w:tc>
          <w:tcPr>
            <w:tcW w:w="0" w:type="auto"/>
            <w:tcBorders>
              <w:top w:val="single" w:sz="4" w:space="0" w:color="auto"/>
              <w:left w:val="single" w:sz="4" w:space="0" w:color="auto"/>
              <w:bottom w:val="single" w:sz="4" w:space="0" w:color="auto"/>
              <w:right w:val="single" w:sz="4" w:space="0" w:color="auto"/>
            </w:tcBorders>
            <w:hideMark/>
          </w:tcPr>
          <w:p w14:paraId="1C80D731" w14:textId="77777777" w:rsidR="00370535" w:rsidRPr="00370535" w:rsidRDefault="00370535" w:rsidP="00370535">
            <w:pPr>
              <w:rPr>
                <w:rFonts w:cs="Arial"/>
                <w:bCs/>
              </w:rPr>
            </w:pPr>
            <w:r w:rsidRPr="00370535">
              <w:rPr>
                <w:rFonts w:cs="Arial"/>
                <w:bCs/>
              </w:rPr>
              <w:t>20%</w:t>
            </w:r>
          </w:p>
        </w:tc>
        <w:tc>
          <w:tcPr>
            <w:tcW w:w="0" w:type="auto"/>
            <w:tcBorders>
              <w:top w:val="single" w:sz="4" w:space="0" w:color="auto"/>
              <w:left w:val="single" w:sz="4" w:space="0" w:color="auto"/>
              <w:bottom w:val="single" w:sz="4" w:space="0" w:color="auto"/>
              <w:right w:val="single" w:sz="4" w:space="0" w:color="auto"/>
            </w:tcBorders>
            <w:hideMark/>
          </w:tcPr>
          <w:p w14:paraId="15CC2C0D" w14:textId="77777777" w:rsidR="00370535" w:rsidRPr="00370535" w:rsidRDefault="00370535" w:rsidP="00370535">
            <w:pPr>
              <w:rPr>
                <w:rFonts w:cs="Arial"/>
                <w:bCs/>
              </w:rPr>
            </w:pPr>
            <w:r w:rsidRPr="00370535">
              <w:rPr>
                <w:rFonts w:cs="Arial"/>
                <w:bCs/>
              </w:rPr>
              <w:t>16%</w:t>
            </w:r>
          </w:p>
        </w:tc>
        <w:tc>
          <w:tcPr>
            <w:tcW w:w="0" w:type="auto"/>
            <w:tcBorders>
              <w:top w:val="single" w:sz="4" w:space="0" w:color="auto"/>
              <w:left w:val="single" w:sz="4" w:space="0" w:color="auto"/>
              <w:bottom w:val="single" w:sz="4" w:space="0" w:color="auto"/>
              <w:right w:val="single" w:sz="4" w:space="0" w:color="auto"/>
            </w:tcBorders>
            <w:hideMark/>
          </w:tcPr>
          <w:p w14:paraId="54C29981" w14:textId="77777777" w:rsidR="00370535" w:rsidRPr="00370535" w:rsidRDefault="00370535" w:rsidP="00370535">
            <w:pPr>
              <w:rPr>
                <w:rFonts w:cs="Arial"/>
                <w:bCs/>
              </w:rPr>
            </w:pPr>
            <w:r w:rsidRPr="00370535">
              <w:rPr>
                <w:rFonts w:cs="Arial"/>
                <w:bCs/>
              </w:rPr>
              <w:t>61%</w:t>
            </w:r>
          </w:p>
        </w:tc>
        <w:tc>
          <w:tcPr>
            <w:tcW w:w="0" w:type="auto"/>
            <w:tcBorders>
              <w:top w:val="single" w:sz="4" w:space="0" w:color="auto"/>
              <w:left w:val="single" w:sz="4" w:space="0" w:color="auto"/>
              <w:bottom w:val="single" w:sz="4" w:space="0" w:color="auto"/>
              <w:right w:val="single" w:sz="4" w:space="0" w:color="auto"/>
            </w:tcBorders>
            <w:hideMark/>
          </w:tcPr>
          <w:p w14:paraId="4887DF33" w14:textId="77777777" w:rsidR="00370535" w:rsidRPr="00370535" w:rsidRDefault="00370535" w:rsidP="00370535">
            <w:pPr>
              <w:rPr>
                <w:rFonts w:cs="Arial"/>
                <w:bCs/>
              </w:rPr>
            </w:pPr>
            <w:r w:rsidRPr="00370535">
              <w:rPr>
                <w:rFonts w:cs="Arial"/>
                <w:bCs/>
              </w:rPr>
              <w:t>24%</w:t>
            </w:r>
          </w:p>
        </w:tc>
        <w:tc>
          <w:tcPr>
            <w:tcW w:w="0" w:type="auto"/>
            <w:tcBorders>
              <w:top w:val="single" w:sz="4" w:space="0" w:color="auto"/>
              <w:left w:val="single" w:sz="4" w:space="0" w:color="auto"/>
              <w:bottom w:val="single" w:sz="4" w:space="0" w:color="auto"/>
              <w:right w:val="single" w:sz="4" w:space="0" w:color="auto"/>
            </w:tcBorders>
            <w:hideMark/>
          </w:tcPr>
          <w:p w14:paraId="1F8A929A" w14:textId="77777777" w:rsidR="00370535" w:rsidRPr="00370535" w:rsidRDefault="00370535" w:rsidP="00370535">
            <w:pPr>
              <w:rPr>
                <w:rFonts w:cs="Arial"/>
                <w:bCs/>
              </w:rPr>
            </w:pPr>
            <w:r w:rsidRPr="00370535">
              <w:rPr>
                <w:rFonts w:cs="Arial"/>
                <w:bCs/>
              </w:rPr>
              <w:t>59%</w:t>
            </w:r>
          </w:p>
        </w:tc>
        <w:tc>
          <w:tcPr>
            <w:tcW w:w="1457" w:type="dxa"/>
            <w:tcBorders>
              <w:top w:val="single" w:sz="4" w:space="0" w:color="auto"/>
              <w:left w:val="single" w:sz="4" w:space="0" w:color="auto"/>
              <w:bottom w:val="single" w:sz="4" w:space="0" w:color="auto"/>
              <w:right w:val="single" w:sz="4" w:space="0" w:color="auto"/>
            </w:tcBorders>
            <w:hideMark/>
          </w:tcPr>
          <w:p w14:paraId="2226E714" w14:textId="77777777" w:rsidR="00370535" w:rsidRPr="00370535" w:rsidRDefault="00370535" w:rsidP="00370535">
            <w:pPr>
              <w:rPr>
                <w:rFonts w:cs="Arial"/>
                <w:bCs/>
              </w:rPr>
            </w:pPr>
            <w:r w:rsidRPr="00370535">
              <w:rPr>
                <w:rFonts w:cs="Arial"/>
                <w:bCs/>
              </w:rPr>
              <w:t>34%</w:t>
            </w:r>
          </w:p>
        </w:tc>
      </w:tr>
      <w:tr w:rsidR="00370535" w:rsidRPr="00370535" w14:paraId="6C061763" w14:textId="77777777" w:rsidTr="00370535">
        <w:trPr>
          <w:trHeight w:val="316"/>
        </w:trPr>
        <w:tc>
          <w:tcPr>
            <w:tcW w:w="0" w:type="auto"/>
            <w:tcBorders>
              <w:top w:val="single" w:sz="4" w:space="0" w:color="auto"/>
              <w:left w:val="single" w:sz="4" w:space="0" w:color="auto"/>
              <w:bottom w:val="single" w:sz="4" w:space="0" w:color="auto"/>
              <w:right w:val="single" w:sz="4" w:space="0" w:color="auto"/>
            </w:tcBorders>
          </w:tcPr>
          <w:p w14:paraId="39B63D4F" w14:textId="0F2C73F1" w:rsidR="00370535" w:rsidRPr="00370535" w:rsidRDefault="00370535" w:rsidP="003F1F07">
            <w:pPr>
              <w:rPr>
                <w:rFonts w:cs="Arial"/>
                <w:bCs/>
              </w:rPr>
            </w:pPr>
            <w:r w:rsidRPr="00370535">
              <w:rPr>
                <w:rFonts w:cs="Arial"/>
                <w:bCs/>
              </w:rPr>
              <w:t>Neath Port Talbot Local Authority</w:t>
            </w:r>
          </w:p>
        </w:tc>
        <w:tc>
          <w:tcPr>
            <w:tcW w:w="0" w:type="auto"/>
            <w:tcBorders>
              <w:top w:val="single" w:sz="4" w:space="0" w:color="auto"/>
              <w:left w:val="single" w:sz="4" w:space="0" w:color="auto"/>
              <w:bottom w:val="single" w:sz="4" w:space="0" w:color="auto"/>
              <w:right w:val="single" w:sz="4" w:space="0" w:color="auto"/>
            </w:tcBorders>
            <w:hideMark/>
          </w:tcPr>
          <w:p w14:paraId="1F5ADD83" w14:textId="77777777" w:rsidR="00370535" w:rsidRPr="00370535" w:rsidRDefault="00370535" w:rsidP="00370535">
            <w:pPr>
              <w:rPr>
                <w:rFonts w:cs="Arial"/>
                <w:bCs/>
              </w:rPr>
            </w:pPr>
            <w:r w:rsidRPr="00370535">
              <w:rPr>
                <w:rFonts w:cs="Arial"/>
                <w:bCs/>
              </w:rPr>
              <w:t>118,891</w:t>
            </w:r>
            <w:r w:rsidRPr="00370535">
              <w:rPr>
                <w:rFonts w:cs="Arial"/>
                <w:bCs/>
                <w:vertAlign w:val="superscript"/>
              </w:rPr>
              <w:footnoteReference w:id="69"/>
            </w:r>
          </w:p>
        </w:tc>
        <w:tc>
          <w:tcPr>
            <w:tcW w:w="0" w:type="auto"/>
            <w:tcBorders>
              <w:top w:val="single" w:sz="4" w:space="0" w:color="auto"/>
              <w:left w:val="single" w:sz="4" w:space="0" w:color="auto"/>
              <w:bottom w:val="single" w:sz="4" w:space="0" w:color="auto"/>
              <w:right w:val="single" w:sz="4" w:space="0" w:color="auto"/>
            </w:tcBorders>
            <w:hideMark/>
          </w:tcPr>
          <w:p w14:paraId="7BF0ADF2" w14:textId="77777777" w:rsidR="00370535" w:rsidRPr="00370535" w:rsidRDefault="00370535" w:rsidP="00370535">
            <w:pPr>
              <w:rPr>
                <w:rFonts w:cs="Arial"/>
                <w:bCs/>
              </w:rPr>
            </w:pPr>
            <w:r w:rsidRPr="00370535">
              <w:rPr>
                <w:rFonts w:cs="Arial"/>
                <w:bCs/>
              </w:rPr>
              <w:t>27%</w:t>
            </w:r>
          </w:p>
        </w:tc>
        <w:tc>
          <w:tcPr>
            <w:tcW w:w="0" w:type="auto"/>
            <w:tcBorders>
              <w:top w:val="single" w:sz="4" w:space="0" w:color="auto"/>
              <w:left w:val="single" w:sz="4" w:space="0" w:color="auto"/>
              <w:bottom w:val="single" w:sz="4" w:space="0" w:color="auto"/>
              <w:right w:val="single" w:sz="4" w:space="0" w:color="auto"/>
            </w:tcBorders>
            <w:hideMark/>
          </w:tcPr>
          <w:p w14:paraId="5B4E286E" w14:textId="77777777" w:rsidR="00370535" w:rsidRPr="00370535" w:rsidRDefault="00370535" w:rsidP="00370535">
            <w:pPr>
              <w:rPr>
                <w:rFonts w:cs="Arial"/>
                <w:bCs/>
              </w:rPr>
            </w:pPr>
            <w:r w:rsidRPr="00370535">
              <w:rPr>
                <w:rFonts w:cs="Arial"/>
                <w:bCs/>
              </w:rPr>
              <w:t>12%</w:t>
            </w:r>
          </w:p>
        </w:tc>
        <w:tc>
          <w:tcPr>
            <w:tcW w:w="0" w:type="auto"/>
            <w:tcBorders>
              <w:top w:val="single" w:sz="4" w:space="0" w:color="auto"/>
              <w:left w:val="single" w:sz="4" w:space="0" w:color="auto"/>
              <w:bottom w:val="single" w:sz="4" w:space="0" w:color="auto"/>
              <w:right w:val="single" w:sz="4" w:space="0" w:color="auto"/>
            </w:tcBorders>
            <w:hideMark/>
          </w:tcPr>
          <w:p w14:paraId="6071E631" w14:textId="77777777" w:rsidR="00370535" w:rsidRPr="00370535" w:rsidRDefault="00370535" w:rsidP="00370535">
            <w:pPr>
              <w:rPr>
                <w:rFonts w:cs="Arial"/>
                <w:bCs/>
              </w:rPr>
            </w:pPr>
            <w:r w:rsidRPr="00370535">
              <w:rPr>
                <w:rFonts w:cs="Arial"/>
                <w:bCs/>
              </w:rPr>
              <w:t>66%</w:t>
            </w:r>
          </w:p>
        </w:tc>
        <w:tc>
          <w:tcPr>
            <w:tcW w:w="0" w:type="auto"/>
            <w:tcBorders>
              <w:top w:val="single" w:sz="4" w:space="0" w:color="auto"/>
              <w:left w:val="single" w:sz="4" w:space="0" w:color="auto"/>
              <w:bottom w:val="single" w:sz="4" w:space="0" w:color="auto"/>
              <w:right w:val="single" w:sz="4" w:space="0" w:color="auto"/>
            </w:tcBorders>
            <w:hideMark/>
          </w:tcPr>
          <w:p w14:paraId="0C98C4AA" w14:textId="77777777" w:rsidR="00370535" w:rsidRPr="00370535" w:rsidRDefault="00370535" w:rsidP="00370535">
            <w:pPr>
              <w:rPr>
                <w:rFonts w:cs="Arial"/>
                <w:bCs/>
              </w:rPr>
            </w:pPr>
            <w:r w:rsidRPr="00370535">
              <w:rPr>
                <w:rFonts w:cs="Arial"/>
                <w:bCs/>
              </w:rPr>
              <w:t>29%</w:t>
            </w:r>
          </w:p>
        </w:tc>
        <w:tc>
          <w:tcPr>
            <w:tcW w:w="0" w:type="auto"/>
            <w:tcBorders>
              <w:top w:val="single" w:sz="4" w:space="0" w:color="auto"/>
              <w:left w:val="single" w:sz="4" w:space="0" w:color="auto"/>
              <w:bottom w:val="single" w:sz="4" w:space="0" w:color="auto"/>
              <w:right w:val="single" w:sz="4" w:space="0" w:color="auto"/>
            </w:tcBorders>
            <w:hideMark/>
          </w:tcPr>
          <w:p w14:paraId="5BBD5F95" w14:textId="77777777" w:rsidR="00370535" w:rsidRPr="00370535" w:rsidRDefault="00370535" w:rsidP="00370535">
            <w:pPr>
              <w:rPr>
                <w:rFonts w:cs="Arial"/>
                <w:bCs/>
              </w:rPr>
            </w:pPr>
            <w:r w:rsidRPr="00370535">
              <w:rPr>
                <w:rFonts w:cs="Arial"/>
                <w:bCs/>
              </w:rPr>
              <w:t>53%</w:t>
            </w:r>
          </w:p>
        </w:tc>
        <w:tc>
          <w:tcPr>
            <w:tcW w:w="1457" w:type="dxa"/>
            <w:tcBorders>
              <w:top w:val="single" w:sz="4" w:space="0" w:color="auto"/>
              <w:left w:val="single" w:sz="4" w:space="0" w:color="auto"/>
              <w:bottom w:val="single" w:sz="4" w:space="0" w:color="auto"/>
              <w:right w:val="single" w:sz="4" w:space="0" w:color="auto"/>
            </w:tcBorders>
            <w:hideMark/>
          </w:tcPr>
          <w:p w14:paraId="0B08CF51" w14:textId="77777777" w:rsidR="00370535" w:rsidRPr="00370535" w:rsidRDefault="00370535" w:rsidP="00370535">
            <w:pPr>
              <w:rPr>
                <w:rFonts w:cs="Arial"/>
                <w:bCs/>
              </w:rPr>
            </w:pPr>
            <w:r w:rsidRPr="00370535">
              <w:rPr>
                <w:rFonts w:cs="Arial"/>
                <w:bCs/>
              </w:rPr>
              <w:t>22%</w:t>
            </w:r>
          </w:p>
        </w:tc>
      </w:tr>
      <w:tr w:rsidR="00370535" w:rsidRPr="00370535" w14:paraId="602CAD3B" w14:textId="77777777" w:rsidTr="00370535">
        <w:trPr>
          <w:trHeight w:val="328"/>
        </w:trPr>
        <w:tc>
          <w:tcPr>
            <w:tcW w:w="0" w:type="auto"/>
            <w:tcBorders>
              <w:top w:val="single" w:sz="4" w:space="0" w:color="auto"/>
              <w:left w:val="single" w:sz="4" w:space="0" w:color="auto"/>
              <w:bottom w:val="single" w:sz="4" w:space="0" w:color="auto"/>
              <w:right w:val="single" w:sz="4" w:space="0" w:color="auto"/>
            </w:tcBorders>
            <w:hideMark/>
          </w:tcPr>
          <w:p w14:paraId="40BC1D50" w14:textId="77777777" w:rsidR="00370535" w:rsidRPr="00370535" w:rsidRDefault="00370535" w:rsidP="00370535">
            <w:pPr>
              <w:rPr>
                <w:rFonts w:cs="Arial"/>
                <w:bCs/>
              </w:rPr>
            </w:pPr>
            <w:r w:rsidRPr="00370535">
              <w:rPr>
                <w:rFonts w:cs="Arial"/>
                <w:bCs/>
              </w:rPr>
              <w:t>Wales</w:t>
            </w:r>
          </w:p>
        </w:tc>
        <w:tc>
          <w:tcPr>
            <w:tcW w:w="0" w:type="auto"/>
            <w:tcBorders>
              <w:top w:val="single" w:sz="4" w:space="0" w:color="auto"/>
              <w:left w:val="single" w:sz="4" w:space="0" w:color="auto"/>
              <w:bottom w:val="single" w:sz="4" w:space="0" w:color="auto"/>
              <w:right w:val="single" w:sz="4" w:space="0" w:color="auto"/>
            </w:tcBorders>
            <w:hideMark/>
          </w:tcPr>
          <w:p w14:paraId="0BBD52B8" w14:textId="77777777" w:rsidR="00370535" w:rsidRPr="00370535" w:rsidRDefault="00370535" w:rsidP="00370535">
            <w:pPr>
              <w:rPr>
                <w:rFonts w:cs="Arial"/>
                <w:bCs/>
              </w:rPr>
            </w:pPr>
            <w:r w:rsidRPr="00370535">
              <w:rPr>
                <w:rFonts w:cs="Arial"/>
                <w:bCs/>
              </w:rPr>
              <w:t>2,641,000</w:t>
            </w:r>
            <w:r w:rsidRPr="00370535">
              <w:rPr>
                <w:rFonts w:cs="Arial"/>
                <w:bCs/>
                <w:vertAlign w:val="superscript"/>
              </w:rPr>
              <w:footnoteReference w:id="70"/>
            </w:r>
          </w:p>
        </w:tc>
        <w:tc>
          <w:tcPr>
            <w:tcW w:w="0" w:type="auto"/>
            <w:tcBorders>
              <w:top w:val="single" w:sz="4" w:space="0" w:color="auto"/>
              <w:left w:val="single" w:sz="4" w:space="0" w:color="auto"/>
              <w:bottom w:val="single" w:sz="4" w:space="0" w:color="auto"/>
              <w:right w:val="single" w:sz="4" w:space="0" w:color="auto"/>
            </w:tcBorders>
            <w:hideMark/>
          </w:tcPr>
          <w:p w14:paraId="791B0959" w14:textId="77777777" w:rsidR="00370535" w:rsidRPr="00370535" w:rsidRDefault="00370535" w:rsidP="00370535">
            <w:pPr>
              <w:rPr>
                <w:rFonts w:cs="Arial"/>
                <w:bCs/>
              </w:rPr>
            </w:pPr>
            <w:r w:rsidRPr="00370535">
              <w:rPr>
                <w:rFonts w:cs="Arial"/>
                <w:bCs/>
              </w:rPr>
              <w:t>20%</w:t>
            </w:r>
          </w:p>
        </w:tc>
        <w:tc>
          <w:tcPr>
            <w:tcW w:w="0" w:type="auto"/>
            <w:tcBorders>
              <w:top w:val="single" w:sz="4" w:space="0" w:color="auto"/>
              <w:left w:val="single" w:sz="4" w:space="0" w:color="auto"/>
              <w:bottom w:val="single" w:sz="4" w:space="0" w:color="auto"/>
              <w:right w:val="single" w:sz="4" w:space="0" w:color="auto"/>
            </w:tcBorders>
            <w:hideMark/>
          </w:tcPr>
          <w:p w14:paraId="1D42977E" w14:textId="77777777" w:rsidR="00370535" w:rsidRPr="00370535" w:rsidRDefault="00370535" w:rsidP="00370535">
            <w:pPr>
              <w:rPr>
                <w:rFonts w:cs="Arial"/>
                <w:bCs/>
              </w:rPr>
            </w:pPr>
            <w:r w:rsidRPr="00370535">
              <w:rPr>
                <w:rFonts w:cs="Arial"/>
                <w:bCs/>
              </w:rPr>
              <w:t>16%</w:t>
            </w:r>
          </w:p>
        </w:tc>
        <w:tc>
          <w:tcPr>
            <w:tcW w:w="0" w:type="auto"/>
            <w:tcBorders>
              <w:top w:val="single" w:sz="4" w:space="0" w:color="auto"/>
              <w:left w:val="single" w:sz="4" w:space="0" w:color="auto"/>
              <w:bottom w:val="single" w:sz="4" w:space="0" w:color="auto"/>
              <w:right w:val="single" w:sz="4" w:space="0" w:color="auto"/>
            </w:tcBorders>
            <w:hideMark/>
          </w:tcPr>
          <w:p w14:paraId="1EBA6F81" w14:textId="77777777" w:rsidR="00370535" w:rsidRPr="00370535" w:rsidRDefault="00370535" w:rsidP="00370535">
            <w:pPr>
              <w:rPr>
                <w:rFonts w:cs="Arial"/>
                <w:bCs/>
              </w:rPr>
            </w:pPr>
            <w:r w:rsidRPr="00370535">
              <w:rPr>
                <w:rFonts w:cs="Arial"/>
                <w:bCs/>
              </w:rPr>
              <w:t>62%</w:t>
            </w:r>
          </w:p>
        </w:tc>
        <w:tc>
          <w:tcPr>
            <w:tcW w:w="0" w:type="auto"/>
            <w:tcBorders>
              <w:top w:val="single" w:sz="4" w:space="0" w:color="auto"/>
              <w:left w:val="single" w:sz="4" w:space="0" w:color="auto"/>
              <w:bottom w:val="single" w:sz="4" w:space="0" w:color="auto"/>
              <w:right w:val="single" w:sz="4" w:space="0" w:color="auto"/>
            </w:tcBorders>
            <w:hideMark/>
          </w:tcPr>
          <w:p w14:paraId="71545A36" w14:textId="77777777" w:rsidR="00370535" w:rsidRPr="00370535" w:rsidRDefault="00370535" w:rsidP="00370535">
            <w:pPr>
              <w:rPr>
                <w:rFonts w:cs="Arial"/>
                <w:bCs/>
              </w:rPr>
            </w:pPr>
            <w:r w:rsidRPr="00370535">
              <w:rPr>
                <w:rFonts w:cs="Arial"/>
                <w:bCs/>
              </w:rPr>
              <w:t>25%</w:t>
            </w:r>
          </w:p>
        </w:tc>
        <w:tc>
          <w:tcPr>
            <w:tcW w:w="0" w:type="auto"/>
            <w:tcBorders>
              <w:top w:val="single" w:sz="4" w:space="0" w:color="auto"/>
              <w:left w:val="single" w:sz="4" w:space="0" w:color="auto"/>
              <w:bottom w:val="single" w:sz="4" w:space="0" w:color="auto"/>
              <w:right w:val="single" w:sz="4" w:space="0" w:color="auto"/>
            </w:tcBorders>
            <w:hideMark/>
          </w:tcPr>
          <w:p w14:paraId="4C15CC37" w14:textId="77777777" w:rsidR="00370535" w:rsidRPr="00370535" w:rsidRDefault="00370535" w:rsidP="00370535">
            <w:pPr>
              <w:rPr>
                <w:rFonts w:cs="Arial"/>
                <w:bCs/>
              </w:rPr>
            </w:pPr>
            <w:r w:rsidRPr="00370535">
              <w:rPr>
                <w:rFonts w:cs="Arial"/>
                <w:bCs/>
              </w:rPr>
              <w:t>56%</w:t>
            </w:r>
          </w:p>
        </w:tc>
        <w:tc>
          <w:tcPr>
            <w:tcW w:w="1457" w:type="dxa"/>
            <w:tcBorders>
              <w:top w:val="single" w:sz="4" w:space="0" w:color="auto"/>
              <w:left w:val="single" w:sz="4" w:space="0" w:color="auto"/>
              <w:bottom w:val="single" w:sz="4" w:space="0" w:color="auto"/>
              <w:right w:val="single" w:sz="4" w:space="0" w:color="auto"/>
            </w:tcBorders>
          </w:tcPr>
          <w:p w14:paraId="1F6E2922" w14:textId="725557B9" w:rsidR="00370535" w:rsidRPr="00370535" w:rsidRDefault="00370535" w:rsidP="00370535">
            <w:pPr>
              <w:rPr>
                <w:rFonts w:cs="Arial"/>
                <w:bCs/>
              </w:rPr>
            </w:pPr>
            <w:r w:rsidRPr="00370535">
              <w:rPr>
                <w:rFonts w:cs="Arial"/>
                <w:bCs/>
              </w:rPr>
              <w:t>29%</w:t>
            </w:r>
          </w:p>
        </w:tc>
      </w:tr>
    </w:tbl>
    <w:p w14:paraId="6E6C0269" w14:textId="77777777" w:rsidR="003F1F07" w:rsidRPr="00370535" w:rsidRDefault="003F1F07" w:rsidP="00370535">
      <w:pPr>
        <w:rPr>
          <w:rFonts w:cs="Arial"/>
        </w:rPr>
      </w:pPr>
    </w:p>
    <w:p w14:paraId="3C700C93" w14:textId="77777777" w:rsidR="00370535" w:rsidRPr="00370535" w:rsidRDefault="00370535" w:rsidP="00370535">
      <w:pPr>
        <w:rPr>
          <w:rFonts w:cs="Arial"/>
          <w:b/>
        </w:rPr>
      </w:pPr>
      <w:r w:rsidRPr="00370535">
        <w:rPr>
          <w:rFonts w:cs="Arial"/>
          <w:b/>
        </w:rPr>
        <w:t xml:space="preserve">3.2.2.1 Smoking </w:t>
      </w:r>
    </w:p>
    <w:p w14:paraId="6DAB92DC" w14:textId="77777777" w:rsidR="00277B48" w:rsidRDefault="00277B48" w:rsidP="00370535">
      <w:pPr>
        <w:rPr>
          <w:rFonts w:cs="Arial"/>
        </w:rPr>
      </w:pPr>
    </w:p>
    <w:p w14:paraId="082DDAD9" w14:textId="0EC66F61" w:rsidR="00277B48" w:rsidRDefault="00277B48" w:rsidP="00370535">
      <w:pPr>
        <w:rPr>
          <w:rFonts w:cs="Arial"/>
        </w:rPr>
      </w:pPr>
      <w:r>
        <w:rPr>
          <w:rFonts w:cs="Arial"/>
        </w:rPr>
        <w:t>S</w:t>
      </w:r>
      <w:r w:rsidR="00370535" w:rsidRPr="00370535">
        <w:rPr>
          <w:rFonts w:cs="Arial"/>
        </w:rPr>
        <w:t xml:space="preserve">moking is extremely damaging to health. It is the cause of death for around half of </w:t>
      </w:r>
    </w:p>
    <w:p w14:paraId="464D9610" w14:textId="5F883A35" w:rsidR="00370535" w:rsidRPr="00370535" w:rsidRDefault="00370535" w:rsidP="00370535">
      <w:pPr>
        <w:rPr>
          <w:rFonts w:cs="Arial"/>
        </w:rPr>
      </w:pPr>
      <w:r w:rsidRPr="00370535">
        <w:rPr>
          <w:rFonts w:cs="Arial"/>
        </w:rPr>
        <w:lastRenderedPageBreak/>
        <w:t>all long-term smokers</w:t>
      </w:r>
      <w:r w:rsidRPr="00370535">
        <w:rPr>
          <w:rFonts w:cs="Arial"/>
          <w:vertAlign w:val="superscript"/>
        </w:rPr>
        <w:footnoteReference w:id="71"/>
      </w:r>
      <w:r w:rsidRPr="00370535">
        <w:rPr>
          <w:rFonts w:cs="Arial"/>
        </w:rPr>
        <w:t xml:space="preserve"> and the World Health Organisation</w:t>
      </w:r>
      <w:r w:rsidRPr="00370535">
        <w:rPr>
          <w:rFonts w:cs="Arial"/>
          <w:vertAlign w:val="superscript"/>
        </w:rPr>
        <w:footnoteReference w:id="72"/>
      </w:r>
      <w:r w:rsidRPr="00370535">
        <w:rPr>
          <w:rFonts w:cs="Arial"/>
        </w:rPr>
        <w:t xml:space="preserve"> estimates that tobacco kills more than eight million people each year worldwide. </w:t>
      </w:r>
    </w:p>
    <w:p w14:paraId="2982CDC3" w14:textId="77777777" w:rsidR="00370535" w:rsidRPr="00370535" w:rsidRDefault="00370535" w:rsidP="00370535">
      <w:pPr>
        <w:rPr>
          <w:rFonts w:cs="Arial"/>
        </w:rPr>
      </w:pPr>
    </w:p>
    <w:p w14:paraId="1A1C858A" w14:textId="77777777" w:rsidR="00370535" w:rsidRPr="00370535" w:rsidRDefault="00370535" w:rsidP="00370535">
      <w:pPr>
        <w:rPr>
          <w:rFonts w:cs="Arial"/>
        </w:rPr>
      </w:pPr>
      <w:r w:rsidRPr="00370535">
        <w:rPr>
          <w:rFonts w:cs="Arial"/>
        </w:rPr>
        <w:t>Smoking remains a major cause of mortality and ill health in Wales. Over the period 2020 – 2022</w:t>
      </w:r>
      <w:r w:rsidRPr="00370535">
        <w:rPr>
          <w:rFonts w:cs="Arial"/>
          <w:vertAlign w:val="superscript"/>
        </w:rPr>
        <w:footnoteReference w:id="73"/>
      </w:r>
      <w:r w:rsidRPr="00370535">
        <w:rPr>
          <w:rFonts w:cs="Arial"/>
        </w:rPr>
        <w:t>:</w:t>
      </w:r>
    </w:p>
    <w:p w14:paraId="533BAE7D" w14:textId="77777777" w:rsidR="00370535" w:rsidRPr="00370535" w:rsidRDefault="00370535" w:rsidP="00370535">
      <w:pPr>
        <w:rPr>
          <w:rFonts w:cs="Arial"/>
        </w:rPr>
      </w:pPr>
    </w:p>
    <w:p w14:paraId="33A1C375" w14:textId="77777777" w:rsidR="00370535" w:rsidRPr="00370535" w:rsidRDefault="00370535" w:rsidP="00B76905">
      <w:pPr>
        <w:numPr>
          <w:ilvl w:val="0"/>
          <w:numId w:val="50"/>
        </w:numPr>
        <w:rPr>
          <w:rFonts w:cs="Arial"/>
        </w:rPr>
      </w:pPr>
      <w:r w:rsidRPr="00370535">
        <w:rPr>
          <w:rFonts w:cs="Arial"/>
        </w:rPr>
        <w:t>An estimated 3,845 deaths per year amongst those aged 35 and over in Wales were due to smoking. This means that on average 10.7% of all deaths in Wales amongst those aged 35 and over in these years were attributable to smoking.</w:t>
      </w:r>
    </w:p>
    <w:p w14:paraId="5FD4355F" w14:textId="77777777" w:rsidR="00370535" w:rsidRPr="00370535" w:rsidRDefault="00370535" w:rsidP="00B76905">
      <w:pPr>
        <w:numPr>
          <w:ilvl w:val="0"/>
          <w:numId w:val="50"/>
        </w:numPr>
        <w:rPr>
          <w:rFonts w:cs="Arial"/>
        </w:rPr>
      </w:pPr>
      <w:r w:rsidRPr="00370535">
        <w:rPr>
          <w:rFonts w:cs="Arial"/>
        </w:rPr>
        <w:t>The number of deaths attributable to smoking varies considerably by deprivation. Amongst those aged 35 and over living in the most deprived fifth of areas, 14.5% of all deaths were attributable to smoking. The European age-standardised rate of smoking attributable mortality was 337 per 100,000 adults aged 35 and over in the most deprived fifth of areas, more than three times higher compared with the least deprived fifth of areas.</w:t>
      </w:r>
    </w:p>
    <w:p w14:paraId="6B105D7E" w14:textId="77777777" w:rsidR="00370535" w:rsidRPr="00370535" w:rsidRDefault="00370535" w:rsidP="00B76905">
      <w:pPr>
        <w:numPr>
          <w:ilvl w:val="0"/>
          <w:numId w:val="50"/>
        </w:numPr>
        <w:rPr>
          <w:rFonts w:cs="Arial"/>
        </w:rPr>
      </w:pPr>
      <w:r w:rsidRPr="00370535">
        <w:rPr>
          <w:rFonts w:cs="Arial"/>
        </w:rPr>
        <w:t>An estimated 17,195 hospital admissions per year in Wales were due to smoking. This means that on average 3.4% of all hospital admissions in Wales amongst those aged 35 and over in these years were attributable to smoking.</w:t>
      </w:r>
    </w:p>
    <w:p w14:paraId="6DDF9EC3" w14:textId="77777777" w:rsidR="00370535" w:rsidRPr="00370535" w:rsidRDefault="00370535" w:rsidP="00370535">
      <w:pPr>
        <w:rPr>
          <w:rFonts w:cs="Arial"/>
        </w:rPr>
      </w:pPr>
    </w:p>
    <w:p w14:paraId="36DA7F93" w14:textId="77777777" w:rsidR="00370535" w:rsidRPr="00370535" w:rsidRDefault="00370535" w:rsidP="00370535">
      <w:pPr>
        <w:rPr>
          <w:rFonts w:cs="Arial"/>
          <w:lang w:val="en-US"/>
        </w:rPr>
      </w:pPr>
      <w:r w:rsidRPr="00370535">
        <w:rPr>
          <w:rFonts w:cs="Arial"/>
        </w:rPr>
        <w:t xml:space="preserve">The table below shows smoking attributable mortality, by European age-standardised rate per 100,000, persons aged 35 years and over by health board and Wales, 2020-22 </w:t>
      </w:r>
      <w:r w:rsidRPr="00370535">
        <w:rPr>
          <w:rFonts w:cs="Arial"/>
          <w:lang w:val="en-US"/>
        </w:rPr>
        <w:t>for the seven health boards in Wales.</w:t>
      </w:r>
    </w:p>
    <w:p w14:paraId="775CF10F" w14:textId="77777777" w:rsidR="00370535" w:rsidRPr="00370535" w:rsidRDefault="00370535" w:rsidP="00370535">
      <w:pPr>
        <w:rPr>
          <w:rFonts w:cs="Arial"/>
          <w:lang w:val="en-US"/>
        </w:rPr>
      </w:pPr>
    </w:p>
    <w:p w14:paraId="4398B14E" w14:textId="77777777" w:rsidR="00370535" w:rsidRPr="00370535" w:rsidRDefault="00370535" w:rsidP="00370535">
      <w:pPr>
        <w:rPr>
          <w:rFonts w:cs="Arial"/>
          <w:lang w:val="en-US"/>
        </w:rPr>
      </w:pPr>
      <w:r w:rsidRPr="00370535">
        <w:rPr>
          <w:rFonts w:cs="Arial"/>
          <w:lang w:val="en-US"/>
        </w:rPr>
        <w:t>Ranking: First (one) equals the health board with the lowest smoking attributable mortality and seven is the health board with the highest.</w:t>
      </w:r>
    </w:p>
    <w:p w14:paraId="53D6C3B1" w14:textId="77777777" w:rsidR="00370535" w:rsidRPr="00D0306F" w:rsidRDefault="00370535" w:rsidP="00370535">
      <w:pPr>
        <w:rPr>
          <w:rFonts w:cs="Arial"/>
          <w:b/>
          <w:bCs/>
        </w:rPr>
      </w:pPr>
    </w:p>
    <w:p w14:paraId="711E4CA4" w14:textId="77777777" w:rsidR="00370535" w:rsidRPr="00370535" w:rsidRDefault="00370535" w:rsidP="00370535">
      <w:pPr>
        <w:rPr>
          <w:rFonts w:cs="Arial"/>
          <w:b/>
          <w:bCs/>
        </w:rPr>
      </w:pPr>
      <w:r w:rsidRPr="00370535">
        <w:rPr>
          <w:rFonts w:cs="Arial"/>
          <w:b/>
          <w:bCs/>
        </w:rPr>
        <w:t>Table 3.8: Smoking attributable mortality, European age-standardised rate per 100,000, persons aged 35 years and over by health board and Wales, 2020-2022</w:t>
      </w:r>
      <w:r w:rsidRPr="00370535">
        <w:rPr>
          <w:rFonts w:cs="Arial"/>
          <w:b/>
          <w:bCs/>
          <w:vertAlign w:val="superscript"/>
        </w:rPr>
        <w:footnoteReference w:id="74"/>
      </w:r>
      <w:r w:rsidRPr="00370535">
        <w:rPr>
          <w:rFonts w:cs="Arial"/>
          <w:b/>
          <w:bCs/>
        </w:rPr>
        <w:t xml:space="preserve"> </w:t>
      </w:r>
    </w:p>
    <w:p w14:paraId="326F2CA2" w14:textId="77777777" w:rsidR="00370535" w:rsidRPr="00370535" w:rsidRDefault="00370535" w:rsidP="00370535">
      <w:pPr>
        <w:rPr>
          <w:rFonts w:cs="Arial"/>
          <w:lang w:val="en-US"/>
        </w:rPr>
      </w:pP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2835"/>
        <w:gridCol w:w="5245"/>
      </w:tblGrid>
      <w:tr w:rsidR="00370535" w:rsidRPr="00370535" w14:paraId="133CC3C3" w14:textId="77777777" w:rsidTr="00C95FAA">
        <w:trPr>
          <w:trHeight w:val="638"/>
        </w:trPr>
        <w:tc>
          <w:tcPr>
            <w:tcW w:w="846"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6E1022D5" w14:textId="77777777" w:rsidR="00370535" w:rsidRPr="00370535" w:rsidRDefault="00370535" w:rsidP="00370535">
            <w:pPr>
              <w:rPr>
                <w:rFonts w:cs="Arial"/>
                <w:b/>
                <w:bCs/>
              </w:rPr>
            </w:pPr>
            <w:r w:rsidRPr="00370535">
              <w:rPr>
                <w:rFonts w:cs="Arial"/>
                <w:b/>
                <w:bCs/>
              </w:rPr>
              <w:t>Rank</w:t>
            </w:r>
          </w:p>
        </w:tc>
        <w:tc>
          <w:tcPr>
            <w:tcW w:w="2835"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7C15395D" w14:textId="77777777" w:rsidR="00370535" w:rsidRPr="00370535" w:rsidRDefault="00370535" w:rsidP="00370535">
            <w:pPr>
              <w:rPr>
                <w:rFonts w:cs="Arial"/>
                <w:b/>
                <w:bCs/>
              </w:rPr>
            </w:pPr>
            <w:r w:rsidRPr="00370535">
              <w:rPr>
                <w:rFonts w:cs="Arial"/>
                <w:b/>
                <w:bCs/>
              </w:rPr>
              <w:t xml:space="preserve">Health board </w:t>
            </w:r>
          </w:p>
        </w:tc>
        <w:tc>
          <w:tcPr>
            <w:tcW w:w="5245"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5546ABE1" w14:textId="77777777" w:rsidR="00370535" w:rsidRPr="00370535" w:rsidRDefault="00370535" w:rsidP="00370535">
            <w:pPr>
              <w:rPr>
                <w:rFonts w:cs="Arial"/>
                <w:b/>
                <w:bCs/>
              </w:rPr>
            </w:pPr>
            <w:r w:rsidRPr="00370535">
              <w:rPr>
                <w:rFonts w:cs="Arial"/>
                <w:b/>
                <w:bCs/>
              </w:rPr>
              <w:t xml:space="preserve">Smoking attributable mortality per 100,000 persons, 25 years and over </w:t>
            </w:r>
          </w:p>
        </w:tc>
      </w:tr>
      <w:tr w:rsidR="00370535" w:rsidRPr="00370535" w14:paraId="1D4361FE" w14:textId="77777777" w:rsidTr="00C95FAA">
        <w:trPr>
          <w:trHeight w:val="300"/>
        </w:trPr>
        <w:tc>
          <w:tcPr>
            <w:tcW w:w="846" w:type="dxa"/>
            <w:tcBorders>
              <w:top w:val="single" w:sz="4" w:space="0" w:color="auto"/>
              <w:left w:val="single" w:sz="4" w:space="0" w:color="auto"/>
              <w:bottom w:val="single" w:sz="4" w:space="0" w:color="auto"/>
              <w:right w:val="single" w:sz="4" w:space="0" w:color="auto"/>
            </w:tcBorders>
            <w:hideMark/>
          </w:tcPr>
          <w:p w14:paraId="1D2ECE55" w14:textId="77777777" w:rsidR="00370535" w:rsidRPr="00370535" w:rsidRDefault="00370535" w:rsidP="00370535">
            <w:pPr>
              <w:rPr>
                <w:rFonts w:cs="Arial"/>
              </w:rPr>
            </w:pPr>
            <w:r w:rsidRPr="00370535">
              <w:rPr>
                <w:rFonts w:cs="Arial"/>
              </w:rPr>
              <w:t>1</w:t>
            </w:r>
          </w:p>
        </w:tc>
        <w:tc>
          <w:tcPr>
            <w:tcW w:w="2835" w:type="dxa"/>
            <w:tcBorders>
              <w:top w:val="single" w:sz="4" w:space="0" w:color="auto"/>
              <w:left w:val="single" w:sz="4" w:space="0" w:color="auto"/>
              <w:bottom w:val="single" w:sz="4" w:space="0" w:color="auto"/>
              <w:right w:val="single" w:sz="4" w:space="0" w:color="auto"/>
            </w:tcBorders>
            <w:noWrap/>
            <w:hideMark/>
          </w:tcPr>
          <w:p w14:paraId="27AE5917" w14:textId="77777777" w:rsidR="00370535" w:rsidRPr="00370535" w:rsidRDefault="00370535" w:rsidP="00370535">
            <w:pPr>
              <w:rPr>
                <w:rFonts w:cs="Arial"/>
              </w:rPr>
            </w:pPr>
            <w:r w:rsidRPr="00370535">
              <w:rPr>
                <w:rFonts w:cs="Arial"/>
              </w:rPr>
              <w:t xml:space="preserve">Powys </w:t>
            </w:r>
          </w:p>
        </w:tc>
        <w:tc>
          <w:tcPr>
            <w:tcW w:w="5245" w:type="dxa"/>
            <w:tcBorders>
              <w:top w:val="single" w:sz="4" w:space="0" w:color="auto"/>
              <w:left w:val="single" w:sz="4" w:space="0" w:color="auto"/>
              <w:bottom w:val="single" w:sz="4" w:space="0" w:color="auto"/>
              <w:right w:val="single" w:sz="4" w:space="0" w:color="auto"/>
            </w:tcBorders>
            <w:noWrap/>
            <w:hideMark/>
          </w:tcPr>
          <w:p w14:paraId="669C8266" w14:textId="77777777" w:rsidR="00370535" w:rsidRPr="00370535" w:rsidRDefault="00370535" w:rsidP="00C95FAA">
            <w:pPr>
              <w:jc w:val="center"/>
              <w:rPr>
                <w:rFonts w:cs="Arial"/>
              </w:rPr>
            </w:pPr>
            <w:r w:rsidRPr="00370535">
              <w:rPr>
                <w:rFonts w:cs="Arial"/>
              </w:rPr>
              <w:t>152</w:t>
            </w:r>
          </w:p>
        </w:tc>
      </w:tr>
      <w:tr w:rsidR="00370535" w:rsidRPr="00370535" w14:paraId="688C7DBF" w14:textId="77777777" w:rsidTr="00C95FAA">
        <w:trPr>
          <w:trHeight w:val="300"/>
        </w:trPr>
        <w:tc>
          <w:tcPr>
            <w:tcW w:w="846" w:type="dxa"/>
            <w:tcBorders>
              <w:top w:val="single" w:sz="4" w:space="0" w:color="auto"/>
              <w:left w:val="single" w:sz="4" w:space="0" w:color="auto"/>
              <w:bottom w:val="single" w:sz="4" w:space="0" w:color="auto"/>
              <w:right w:val="single" w:sz="4" w:space="0" w:color="auto"/>
            </w:tcBorders>
            <w:hideMark/>
          </w:tcPr>
          <w:p w14:paraId="3D130612" w14:textId="77777777" w:rsidR="00370535" w:rsidRPr="00370535" w:rsidRDefault="00370535" w:rsidP="00370535">
            <w:pPr>
              <w:rPr>
                <w:rFonts w:cs="Arial"/>
              </w:rPr>
            </w:pPr>
            <w:r w:rsidRPr="00370535">
              <w:rPr>
                <w:rFonts w:cs="Arial"/>
              </w:rPr>
              <w:t>2</w:t>
            </w:r>
          </w:p>
        </w:tc>
        <w:tc>
          <w:tcPr>
            <w:tcW w:w="2835" w:type="dxa"/>
            <w:tcBorders>
              <w:top w:val="single" w:sz="4" w:space="0" w:color="auto"/>
              <w:left w:val="single" w:sz="4" w:space="0" w:color="auto"/>
              <w:bottom w:val="single" w:sz="4" w:space="0" w:color="auto"/>
              <w:right w:val="single" w:sz="4" w:space="0" w:color="auto"/>
            </w:tcBorders>
            <w:noWrap/>
            <w:hideMark/>
          </w:tcPr>
          <w:p w14:paraId="1DDCAE3E" w14:textId="77777777" w:rsidR="00370535" w:rsidRPr="00370535" w:rsidRDefault="00370535" w:rsidP="00370535">
            <w:pPr>
              <w:rPr>
                <w:rFonts w:cs="Arial"/>
              </w:rPr>
            </w:pPr>
            <w:r w:rsidRPr="00370535">
              <w:rPr>
                <w:rFonts w:cs="Arial"/>
              </w:rPr>
              <w:t xml:space="preserve">Cardiff and Vale </w:t>
            </w:r>
          </w:p>
        </w:tc>
        <w:tc>
          <w:tcPr>
            <w:tcW w:w="5245" w:type="dxa"/>
            <w:tcBorders>
              <w:top w:val="single" w:sz="4" w:space="0" w:color="auto"/>
              <w:left w:val="single" w:sz="4" w:space="0" w:color="auto"/>
              <w:bottom w:val="single" w:sz="4" w:space="0" w:color="auto"/>
              <w:right w:val="single" w:sz="4" w:space="0" w:color="auto"/>
            </w:tcBorders>
            <w:noWrap/>
            <w:hideMark/>
          </w:tcPr>
          <w:p w14:paraId="361541DD" w14:textId="77777777" w:rsidR="00370535" w:rsidRPr="00370535" w:rsidRDefault="00370535" w:rsidP="00C95FAA">
            <w:pPr>
              <w:jc w:val="center"/>
              <w:rPr>
                <w:rFonts w:cs="Arial"/>
              </w:rPr>
            </w:pPr>
            <w:r w:rsidRPr="00370535">
              <w:rPr>
                <w:rFonts w:cs="Arial"/>
              </w:rPr>
              <w:t>165</w:t>
            </w:r>
          </w:p>
        </w:tc>
      </w:tr>
      <w:tr w:rsidR="00370535" w:rsidRPr="00370535" w14:paraId="2B165292" w14:textId="77777777" w:rsidTr="00C95FAA">
        <w:trPr>
          <w:trHeight w:val="300"/>
        </w:trPr>
        <w:tc>
          <w:tcPr>
            <w:tcW w:w="846" w:type="dxa"/>
            <w:tcBorders>
              <w:top w:val="single" w:sz="4" w:space="0" w:color="auto"/>
              <w:left w:val="single" w:sz="4" w:space="0" w:color="auto"/>
              <w:bottom w:val="single" w:sz="4" w:space="0" w:color="auto"/>
              <w:right w:val="single" w:sz="4" w:space="0" w:color="auto"/>
            </w:tcBorders>
            <w:hideMark/>
          </w:tcPr>
          <w:p w14:paraId="70C0E6A5" w14:textId="77777777" w:rsidR="00370535" w:rsidRPr="00370535" w:rsidRDefault="00370535" w:rsidP="00370535">
            <w:pPr>
              <w:rPr>
                <w:rFonts w:cs="Arial"/>
              </w:rPr>
            </w:pPr>
            <w:r w:rsidRPr="00370535">
              <w:rPr>
                <w:rFonts w:cs="Arial"/>
              </w:rPr>
              <w:t>3</w:t>
            </w:r>
          </w:p>
        </w:tc>
        <w:tc>
          <w:tcPr>
            <w:tcW w:w="2835" w:type="dxa"/>
            <w:tcBorders>
              <w:top w:val="single" w:sz="4" w:space="0" w:color="auto"/>
              <w:left w:val="single" w:sz="4" w:space="0" w:color="auto"/>
              <w:bottom w:val="single" w:sz="4" w:space="0" w:color="auto"/>
              <w:right w:val="single" w:sz="4" w:space="0" w:color="auto"/>
            </w:tcBorders>
            <w:noWrap/>
            <w:hideMark/>
          </w:tcPr>
          <w:p w14:paraId="335D351D" w14:textId="77777777" w:rsidR="00370535" w:rsidRPr="00370535" w:rsidRDefault="00370535" w:rsidP="00370535">
            <w:pPr>
              <w:rPr>
                <w:rFonts w:cs="Arial"/>
              </w:rPr>
            </w:pPr>
            <w:r w:rsidRPr="00370535">
              <w:rPr>
                <w:rFonts w:cs="Arial"/>
              </w:rPr>
              <w:t>Hywel Dda</w:t>
            </w:r>
          </w:p>
        </w:tc>
        <w:tc>
          <w:tcPr>
            <w:tcW w:w="5245" w:type="dxa"/>
            <w:tcBorders>
              <w:top w:val="single" w:sz="4" w:space="0" w:color="auto"/>
              <w:left w:val="single" w:sz="4" w:space="0" w:color="auto"/>
              <w:bottom w:val="single" w:sz="4" w:space="0" w:color="auto"/>
              <w:right w:val="single" w:sz="4" w:space="0" w:color="auto"/>
            </w:tcBorders>
            <w:noWrap/>
            <w:hideMark/>
          </w:tcPr>
          <w:p w14:paraId="19CB660A" w14:textId="77777777" w:rsidR="00370535" w:rsidRPr="00370535" w:rsidRDefault="00370535" w:rsidP="00C95FAA">
            <w:pPr>
              <w:jc w:val="center"/>
              <w:rPr>
                <w:rFonts w:cs="Arial"/>
              </w:rPr>
            </w:pPr>
            <w:r w:rsidRPr="00370535">
              <w:rPr>
                <w:rFonts w:cs="Arial"/>
              </w:rPr>
              <w:t>172</w:t>
            </w:r>
          </w:p>
        </w:tc>
      </w:tr>
      <w:tr w:rsidR="00370535" w:rsidRPr="00370535" w14:paraId="1B95BF89" w14:textId="77777777" w:rsidTr="00C95FAA">
        <w:trPr>
          <w:trHeight w:val="300"/>
        </w:trPr>
        <w:tc>
          <w:tcPr>
            <w:tcW w:w="846" w:type="dxa"/>
            <w:tcBorders>
              <w:top w:val="single" w:sz="4" w:space="0" w:color="auto"/>
              <w:left w:val="single" w:sz="4" w:space="0" w:color="auto"/>
              <w:bottom w:val="single" w:sz="4" w:space="0" w:color="auto"/>
              <w:right w:val="single" w:sz="4" w:space="0" w:color="auto"/>
            </w:tcBorders>
            <w:hideMark/>
          </w:tcPr>
          <w:p w14:paraId="126A62B7" w14:textId="77777777" w:rsidR="00370535" w:rsidRPr="00370535" w:rsidRDefault="00370535" w:rsidP="00370535">
            <w:pPr>
              <w:rPr>
                <w:rFonts w:cs="Arial"/>
              </w:rPr>
            </w:pPr>
            <w:r w:rsidRPr="00370535">
              <w:rPr>
                <w:rFonts w:cs="Arial"/>
              </w:rPr>
              <w:t>4</w:t>
            </w:r>
          </w:p>
        </w:tc>
        <w:tc>
          <w:tcPr>
            <w:tcW w:w="2835" w:type="dxa"/>
            <w:tcBorders>
              <w:top w:val="single" w:sz="4" w:space="0" w:color="auto"/>
              <w:left w:val="single" w:sz="4" w:space="0" w:color="auto"/>
              <w:bottom w:val="single" w:sz="4" w:space="0" w:color="auto"/>
              <w:right w:val="single" w:sz="4" w:space="0" w:color="auto"/>
            </w:tcBorders>
            <w:noWrap/>
            <w:hideMark/>
          </w:tcPr>
          <w:p w14:paraId="1659B863" w14:textId="77777777" w:rsidR="00370535" w:rsidRPr="00370535" w:rsidRDefault="00370535" w:rsidP="00370535">
            <w:pPr>
              <w:rPr>
                <w:rFonts w:cs="Arial"/>
              </w:rPr>
            </w:pPr>
            <w:r w:rsidRPr="00370535">
              <w:rPr>
                <w:rFonts w:cs="Arial"/>
              </w:rPr>
              <w:t>Betsi Cadwaladr</w:t>
            </w:r>
          </w:p>
        </w:tc>
        <w:tc>
          <w:tcPr>
            <w:tcW w:w="5245" w:type="dxa"/>
            <w:tcBorders>
              <w:top w:val="single" w:sz="4" w:space="0" w:color="auto"/>
              <w:left w:val="single" w:sz="4" w:space="0" w:color="auto"/>
              <w:bottom w:val="single" w:sz="4" w:space="0" w:color="auto"/>
              <w:right w:val="single" w:sz="4" w:space="0" w:color="auto"/>
            </w:tcBorders>
            <w:noWrap/>
            <w:hideMark/>
          </w:tcPr>
          <w:p w14:paraId="0B036065" w14:textId="77777777" w:rsidR="00370535" w:rsidRPr="00370535" w:rsidRDefault="00370535" w:rsidP="00C95FAA">
            <w:pPr>
              <w:jc w:val="center"/>
              <w:rPr>
                <w:rFonts w:cs="Arial"/>
              </w:rPr>
            </w:pPr>
            <w:r w:rsidRPr="00370535">
              <w:rPr>
                <w:rFonts w:cs="Arial"/>
              </w:rPr>
              <w:t>188</w:t>
            </w:r>
          </w:p>
        </w:tc>
      </w:tr>
      <w:tr w:rsidR="00370535" w:rsidRPr="00370535" w14:paraId="01427DEF" w14:textId="77777777" w:rsidTr="00C95FAA">
        <w:trPr>
          <w:trHeight w:val="300"/>
        </w:trPr>
        <w:tc>
          <w:tcPr>
            <w:tcW w:w="846" w:type="dxa"/>
            <w:tcBorders>
              <w:top w:val="single" w:sz="4" w:space="0" w:color="auto"/>
              <w:left w:val="single" w:sz="4" w:space="0" w:color="auto"/>
              <w:bottom w:val="single" w:sz="4" w:space="0" w:color="auto"/>
              <w:right w:val="single" w:sz="4" w:space="0" w:color="auto"/>
            </w:tcBorders>
            <w:hideMark/>
          </w:tcPr>
          <w:p w14:paraId="5AE1B120" w14:textId="77777777" w:rsidR="00370535" w:rsidRPr="00370535" w:rsidRDefault="00370535" w:rsidP="00370535">
            <w:pPr>
              <w:rPr>
                <w:rFonts w:cs="Arial"/>
              </w:rPr>
            </w:pPr>
            <w:r w:rsidRPr="00370535">
              <w:rPr>
                <w:rFonts w:cs="Arial"/>
              </w:rPr>
              <w:t>5</w:t>
            </w:r>
          </w:p>
        </w:tc>
        <w:tc>
          <w:tcPr>
            <w:tcW w:w="2835" w:type="dxa"/>
            <w:tcBorders>
              <w:top w:val="single" w:sz="4" w:space="0" w:color="auto"/>
              <w:left w:val="single" w:sz="4" w:space="0" w:color="auto"/>
              <w:bottom w:val="single" w:sz="4" w:space="0" w:color="auto"/>
              <w:right w:val="single" w:sz="4" w:space="0" w:color="auto"/>
            </w:tcBorders>
            <w:noWrap/>
            <w:hideMark/>
          </w:tcPr>
          <w:p w14:paraId="1F5507F9" w14:textId="77777777" w:rsidR="00370535" w:rsidRPr="00370535" w:rsidRDefault="00370535" w:rsidP="00370535">
            <w:pPr>
              <w:rPr>
                <w:rFonts w:cs="Arial"/>
              </w:rPr>
            </w:pPr>
            <w:r w:rsidRPr="00370535">
              <w:rPr>
                <w:rFonts w:cs="Arial"/>
              </w:rPr>
              <w:t xml:space="preserve">Swansea Bay </w:t>
            </w:r>
          </w:p>
        </w:tc>
        <w:tc>
          <w:tcPr>
            <w:tcW w:w="5245" w:type="dxa"/>
            <w:tcBorders>
              <w:top w:val="single" w:sz="4" w:space="0" w:color="auto"/>
              <w:left w:val="single" w:sz="4" w:space="0" w:color="auto"/>
              <w:bottom w:val="single" w:sz="4" w:space="0" w:color="auto"/>
              <w:right w:val="single" w:sz="4" w:space="0" w:color="auto"/>
            </w:tcBorders>
            <w:noWrap/>
            <w:hideMark/>
          </w:tcPr>
          <w:p w14:paraId="1C1F8BCA" w14:textId="77777777" w:rsidR="00370535" w:rsidRPr="00370535" w:rsidRDefault="00370535" w:rsidP="00C95FAA">
            <w:pPr>
              <w:jc w:val="center"/>
              <w:rPr>
                <w:rFonts w:cs="Arial"/>
              </w:rPr>
            </w:pPr>
            <w:r w:rsidRPr="00370535">
              <w:rPr>
                <w:rFonts w:cs="Arial"/>
              </w:rPr>
              <w:t>200</w:t>
            </w:r>
          </w:p>
        </w:tc>
      </w:tr>
      <w:tr w:rsidR="00370535" w:rsidRPr="00370535" w14:paraId="09F07E49" w14:textId="77777777" w:rsidTr="00C95FAA">
        <w:trPr>
          <w:trHeight w:val="300"/>
        </w:trPr>
        <w:tc>
          <w:tcPr>
            <w:tcW w:w="846" w:type="dxa"/>
            <w:tcBorders>
              <w:top w:val="single" w:sz="4" w:space="0" w:color="auto"/>
              <w:left w:val="single" w:sz="4" w:space="0" w:color="auto"/>
              <w:bottom w:val="single" w:sz="4" w:space="0" w:color="auto"/>
              <w:right w:val="single" w:sz="4" w:space="0" w:color="auto"/>
            </w:tcBorders>
            <w:hideMark/>
          </w:tcPr>
          <w:p w14:paraId="6EE5DA1E" w14:textId="77777777" w:rsidR="00370535" w:rsidRPr="00370535" w:rsidRDefault="00370535" w:rsidP="00370535">
            <w:pPr>
              <w:rPr>
                <w:rFonts w:cs="Arial"/>
              </w:rPr>
            </w:pPr>
            <w:r w:rsidRPr="00370535">
              <w:rPr>
                <w:rFonts w:cs="Arial"/>
              </w:rPr>
              <w:t>6</w:t>
            </w:r>
          </w:p>
        </w:tc>
        <w:tc>
          <w:tcPr>
            <w:tcW w:w="2835" w:type="dxa"/>
            <w:tcBorders>
              <w:top w:val="single" w:sz="4" w:space="0" w:color="auto"/>
              <w:left w:val="single" w:sz="4" w:space="0" w:color="auto"/>
              <w:bottom w:val="single" w:sz="4" w:space="0" w:color="auto"/>
              <w:right w:val="single" w:sz="4" w:space="0" w:color="auto"/>
            </w:tcBorders>
            <w:noWrap/>
            <w:hideMark/>
          </w:tcPr>
          <w:p w14:paraId="02ED95C2" w14:textId="77777777" w:rsidR="00370535" w:rsidRPr="00370535" w:rsidRDefault="00370535" w:rsidP="00370535">
            <w:pPr>
              <w:rPr>
                <w:rFonts w:cs="Arial"/>
              </w:rPr>
            </w:pPr>
            <w:r w:rsidRPr="00370535">
              <w:rPr>
                <w:rFonts w:cs="Arial"/>
              </w:rPr>
              <w:t>Aneurin Bevan</w:t>
            </w:r>
          </w:p>
        </w:tc>
        <w:tc>
          <w:tcPr>
            <w:tcW w:w="5245" w:type="dxa"/>
            <w:tcBorders>
              <w:top w:val="single" w:sz="4" w:space="0" w:color="auto"/>
              <w:left w:val="single" w:sz="4" w:space="0" w:color="auto"/>
              <w:bottom w:val="single" w:sz="4" w:space="0" w:color="auto"/>
              <w:right w:val="single" w:sz="4" w:space="0" w:color="auto"/>
            </w:tcBorders>
            <w:noWrap/>
            <w:hideMark/>
          </w:tcPr>
          <w:p w14:paraId="6F96DEDC" w14:textId="77777777" w:rsidR="00370535" w:rsidRPr="00370535" w:rsidRDefault="00370535" w:rsidP="00C95FAA">
            <w:pPr>
              <w:jc w:val="center"/>
              <w:rPr>
                <w:rFonts w:cs="Arial"/>
              </w:rPr>
            </w:pPr>
            <w:r w:rsidRPr="00370535">
              <w:rPr>
                <w:rFonts w:cs="Arial"/>
              </w:rPr>
              <w:t>206</w:t>
            </w:r>
          </w:p>
        </w:tc>
      </w:tr>
      <w:tr w:rsidR="00370535" w:rsidRPr="00370535" w14:paraId="582F3973" w14:textId="77777777" w:rsidTr="00C95FAA">
        <w:trPr>
          <w:trHeight w:val="300"/>
        </w:trPr>
        <w:tc>
          <w:tcPr>
            <w:tcW w:w="846" w:type="dxa"/>
            <w:tcBorders>
              <w:top w:val="single" w:sz="4" w:space="0" w:color="auto"/>
              <w:left w:val="single" w:sz="4" w:space="0" w:color="auto"/>
              <w:bottom w:val="single" w:sz="4" w:space="0" w:color="auto"/>
              <w:right w:val="single" w:sz="4" w:space="0" w:color="auto"/>
            </w:tcBorders>
            <w:hideMark/>
          </w:tcPr>
          <w:p w14:paraId="6A297156" w14:textId="77777777" w:rsidR="00370535" w:rsidRPr="00370535" w:rsidRDefault="00370535" w:rsidP="00370535">
            <w:pPr>
              <w:rPr>
                <w:rFonts w:cs="Arial"/>
              </w:rPr>
            </w:pPr>
            <w:r w:rsidRPr="00370535">
              <w:rPr>
                <w:rFonts w:cs="Arial"/>
              </w:rPr>
              <w:t>7</w:t>
            </w:r>
          </w:p>
        </w:tc>
        <w:tc>
          <w:tcPr>
            <w:tcW w:w="2835" w:type="dxa"/>
            <w:tcBorders>
              <w:top w:val="single" w:sz="4" w:space="0" w:color="auto"/>
              <w:left w:val="single" w:sz="4" w:space="0" w:color="auto"/>
              <w:bottom w:val="single" w:sz="4" w:space="0" w:color="auto"/>
              <w:right w:val="single" w:sz="4" w:space="0" w:color="auto"/>
            </w:tcBorders>
            <w:noWrap/>
            <w:hideMark/>
          </w:tcPr>
          <w:p w14:paraId="52EDE0A2" w14:textId="77777777" w:rsidR="00370535" w:rsidRPr="00370535" w:rsidRDefault="00370535" w:rsidP="00370535">
            <w:pPr>
              <w:rPr>
                <w:rFonts w:cs="Arial"/>
              </w:rPr>
            </w:pPr>
            <w:r w:rsidRPr="00370535">
              <w:rPr>
                <w:rFonts w:cs="Arial"/>
              </w:rPr>
              <w:t>Cwm Taf Morgannwg</w:t>
            </w:r>
          </w:p>
        </w:tc>
        <w:tc>
          <w:tcPr>
            <w:tcW w:w="5245" w:type="dxa"/>
            <w:tcBorders>
              <w:top w:val="single" w:sz="4" w:space="0" w:color="auto"/>
              <w:left w:val="single" w:sz="4" w:space="0" w:color="auto"/>
              <w:bottom w:val="single" w:sz="4" w:space="0" w:color="auto"/>
              <w:right w:val="single" w:sz="4" w:space="0" w:color="auto"/>
            </w:tcBorders>
            <w:noWrap/>
            <w:hideMark/>
          </w:tcPr>
          <w:p w14:paraId="0ACF9261" w14:textId="77777777" w:rsidR="00370535" w:rsidRPr="00370535" w:rsidRDefault="00370535" w:rsidP="00C95FAA">
            <w:pPr>
              <w:jc w:val="center"/>
              <w:rPr>
                <w:rFonts w:cs="Arial"/>
              </w:rPr>
            </w:pPr>
            <w:r w:rsidRPr="00370535">
              <w:rPr>
                <w:rFonts w:cs="Arial"/>
              </w:rPr>
              <w:t>220</w:t>
            </w:r>
          </w:p>
        </w:tc>
      </w:tr>
      <w:tr w:rsidR="00370535" w:rsidRPr="00370535" w14:paraId="698BC2C9" w14:textId="77777777" w:rsidTr="00C95FAA">
        <w:trPr>
          <w:trHeight w:val="300"/>
        </w:trPr>
        <w:tc>
          <w:tcPr>
            <w:tcW w:w="846" w:type="dxa"/>
            <w:tcBorders>
              <w:top w:val="single" w:sz="4" w:space="0" w:color="auto"/>
              <w:left w:val="single" w:sz="4" w:space="0" w:color="auto"/>
              <w:bottom w:val="single" w:sz="4" w:space="0" w:color="auto"/>
              <w:right w:val="single" w:sz="4" w:space="0" w:color="auto"/>
            </w:tcBorders>
          </w:tcPr>
          <w:p w14:paraId="26BBE30B" w14:textId="77777777" w:rsidR="00370535" w:rsidRPr="00370535" w:rsidRDefault="00370535" w:rsidP="00370535">
            <w:pPr>
              <w:rPr>
                <w:rFonts w:cs="Arial"/>
              </w:rPr>
            </w:pPr>
          </w:p>
        </w:tc>
        <w:tc>
          <w:tcPr>
            <w:tcW w:w="2835" w:type="dxa"/>
            <w:tcBorders>
              <w:top w:val="single" w:sz="4" w:space="0" w:color="auto"/>
              <w:left w:val="single" w:sz="4" w:space="0" w:color="auto"/>
              <w:bottom w:val="single" w:sz="4" w:space="0" w:color="auto"/>
              <w:right w:val="single" w:sz="4" w:space="0" w:color="auto"/>
            </w:tcBorders>
            <w:noWrap/>
            <w:hideMark/>
          </w:tcPr>
          <w:p w14:paraId="1101F6EA" w14:textId="77777777" w:rsidR="00370535" w:rsidRPr="00370535" w:rsidRDefault="00370535" w:rsidP="00370535">
            <w:pPr>
              <w:rPr>
                <w:rFonts w:cs="Arial"/>
              </w:rPr>
            </w:pPr>
            <w:r w:rsidRPr="00370535">
              <w:rPr>
                <w:rFonts w:cs="Arial"/>
              </w:rPr>
              <w:t xml:space="preserve">Wales </w:t>
            </w:r>
          </w:p>
        </w:tc>
        <w:tc>
          <w:tcPr>
            <w:tcW w:w="5245" w:type="dxa"/>
            <w:tcBorders>
              <w:top w:val="single" w:sz="4" w:space="0" w:color="auto"/>
              <w:left w:val="single" w:sz="4" w:space="0" w:color="auto"/>
              <w:bottom w:val="single" w:sz="4" w:space="0" w:color="auto"/>
              <w:right w:val="single" w:sz="4" w:space="0" w:color="auto"/>
            </w:tcBorders>
            <w:noWrap/>
            <w:hideMark/>
          </w:tcPr>
          <w:p w14:paraId="136A214A" w14:textId="77777777" w:rsidR="00370535" w:rsidRPr="00370535" w:rsidRDefault="00370535" w:rsidP="00C95FAA">
            <w:pPr>
              <w:jc w:val="center"/>
              <w:rPr>
                <w:rFonts w:cs="Arial"/>
              </w:rPr>
            </w:pPr>
            <w:r w:rsidRPr="00370535">
              <w:rPr>
                <w:rFonts w:cs="Arial"/>
              </w:rPr>
              <w:t>190</w:t>
            </w:r>
          </w:p>
        </w:tc>
      </w:tr>
    </w:tbl>
    <w:p w14:paraId="31BC8DFC" w14:textId="77777777" w:rsidR="00370535" w:rsidRPr="00370535" w:rsidRDefault="00370535" w:rsidP="00370535">
      <w:pPr>
        <w:rPr>
          <w:rFonts w:cs="Arial"/>
        </w:rPr>
      </w:pPr>
    </w:p>
    <w:p w14:paraId="299FC4C8" w14:textId="77777777" w:rsidR="00370535" w:rsidRPr="00370535" w:rsidRDefault="00370535" w:rsidP="00370535">
      <w:pPr>
        <w:rPr>
          <w:rFonts w:cs="Arial"/>
        </w:rPr>
      </w:pPr>
      <w:r w:rsidRPr="00370535">
        <w:rPr>
          <w:rFonts w:cs="Arial"/>
        </w:rPr>
        <w:t>Smoking is also known to increase people’s risk of developing a wide range of illnesses, which can be fatal or cause irreversible long-term damage to health</w:t>
      </w:r>
      <w:r w:rsidRPr="00370535">
        <w:rPr>
          <w:rFonts w:cs="Arial"/>
          <w:vertAlign w:val="superscript"/>
        </w:rPr>
        <w:footnoteReference w:id="75"/>
      </w:r>
      <w:r w:rsidRPr="00370535">
        <w:rPr>
          <w:rFonts w:cs="Arial"/>
        </w:rPr>
        <w:t xml:space="preserve">. These include cancers, respiratory diseases, and cardio-vascular diseases, including strokes, heart attacks and dementia. </w:t>
      </w:r>
    </w:p>
    <w:p w14:paraId="714CE407" w14:textId="77777777" w:rsidR="00370535" w:rsidRPr="00370535" w:rsidRDefault="00370535" w:rsidP="00370535">
      <w:pPr>
        <w:rPr>
          <w:rFonts w:cs="Arial"/>
        </w:rPr>
      </w:pPr>
    </w:p>
    <w:p w14:paraId="2DD4C34D" w14:textId="77777777" w:rsidR="00370535" w:rsidRPr="00370535" w:rsidRDefault="00370535" w:rsidP="00370535">
      <w:pPr>
        <w:rPr>
          <w:rFonts w:cs="Arial"/>
        </w:rPr>
      </w:pPr>
      <w:r w:rsidRPr="00370535">
        <w:rPr>
          <w:rFonts w:cs="Arial"/>
        </w:rPr>
        <w:t>Exposure to second-hand smoke has been shown to cause significant harm, increasing non-smokers risks of developing smoking related diseases including lung cancer and cardio-vascular disease</w:t>
      </w:r>
      <w:r w:rsidRPr="00370535">
        <w:rPr>
          <w:rFonts w:cs="Arial"/>
          <w:vertAlign w:val="superscript"/>
        </w:rPr>
        <w:footnoteReference w:id="76"/>
      </w:r>
      <w:r w:rsidRPr="00370535">
        <w:rPr>
          <w:rFonts w:cs="Arial"/>
        </w:rPr>
        <w:t>. Exposure to second-hand smoke is particularly harmful to children, leading to conditions including middle-ear disease, asthma and allergies</w:t>
      </w:r>
      <w:r w:rsidRPr="00370535">
        <w:rPr>
          <w:rFonts w:cs="Arial"/>
          <w:vertAlign w:val="superscript"/>
        </w:rPr>
        <w:footnoteReference w:id="77"/>
      </w:r>
      <w:r w:rsidRPr="00370535">
        <w:rPr>
          <w:rFonts w:cs="Arial"/>
        </w:rPr>
        <w:t xml:space="preserve">. </w:t>
      </w:r>
    </w:p>
    <w:p w14:paraId="56552408" w14:textId="77777777" w:rsidR="00370535" w:rsidRPr="00370535" w:rsidRDefault="00370535" w:rsidP="00370535">
      <w:pPr>
        <w:rPr>
          <w:rFonts w:cs="Arial"/>
        </w:rPr>
      </w:pPr>
      <w:r w:rsidRPr="00370535">
        <w:rPr>
          <w:rFonts w:cs="Arial"/>
        </w:rPr>
        <w:t>Smoking in pregnancy is known to have a range of impacts on the pregnancy and child in later life, including increased risk of miscarriage, premature birth and sudden infant death syndrome</w:t>
      </w:r>
      <w:r w:rsidRPr="00370535">
        <w:rPr>
          <w:rFonts w:cs="Arial"/>
          <w:vertAlign w:val="superscript"/>
        </w:rPr>
        <w:footnoteReference w:id="78"/>
      </w:r>
      <w:r w:rsidRPr="00370535">
        <w:rPr>
          <w:rFonts w:cs="Arial"/>
        </w:rPr>
        <w:t xml:space="preserve">. </w:t>
      </w:r>
    </w:p>
    <w:p w14:paraId="1B54368D" w14:textId="77777777" w:rsidR="00370535" w:rsidRPr="00370535" w:rsidRDefault="00370535" w:rsidP="00370535">
      <w:pPr>
        <w:rPr>
          <w:rFonts w:cs="Arial"/>
        </w:rPr>
      </w:pPr>
    </w:p>
    <w:p w14:paraId="08BD8B6E" w14:textId="77777777" w:rsidR="00370535" w:rsidRPr="00370535" w:rsidRDefault="00370535" w:rsidP="00370535">
      <w:pPr>
        <w:rPr>
          <w:rFonts w:cs="Arial"/>
        </w:rPr>
      </w:pPr>
      <w:r w:rsidRPr="00370535">
        <w:rPr>
          <w:rFonts w:cs="Arial"/>
        </w:rPr>
        <w:t xml:space="preserve">The table below, shows the average percentage of current smokers (adults 18 years and over) across the 22 local authorities in Wales between 2020 to 2024. (The averages presented are five-year averages, calculated using data from 2020 to 2024, where available.) </w:t>
      </w:r>
    </w:p>
    <w:p w14:paraId="6A9AA405" w14:textId="77777777" w:rsidR="00370535" w:rsidRPr="00370535" w:rsidRDefault="00370535" w:rsidP="00370535">
      <w:pPr>
        <w:rPr>
          <w:rFonts w:cs="Arial"/>
        </w:rPr>
      </w:pPr>
    </w:p>
    <w:p w14:paraId="49934256" w14:textId="77777777" w:rsidR="00370535" w:rsidRPr="00370535" w:rsidRDefault="00370535" w:rsidP="00370535">
      <w:pPr>
        <w:rPr>
          <w:rFonts w:cs="Arial"/>
        </w:rPr>
      </w:pPr>
      <w:r w:rsidRPr="00370535">
        <w:rPr>
          <w:rFonts w:cs="Arial"/>
        </w:rPr>
        <w:t>The local authorities are ranked based on the average percentage of current smokers. Number one is the lowest average percentage of smokers by local authority and 22 being the highest.</w:t>
      </w:r>
    </w:p>
    <w:p w14:paraId="3164B403" w14:textId="77777777" w:rsidR="00370535" w:rsidRPr="00370535" w:rsidRDefault="00370535" w:rsidP="00370535">
      <w:pPr>
        <w:rPr>
          <w:rFonts w:cs="Arial"/>
        </w:rPr>
      </w:pPr>
    </w:p>
    <w:p w14:paraId="7F5A9799" w14:textId="77777777" w:rsidR="00370535" w:rsidRPr="00370535" w:rsidRDefault="00370535" w:rsidP="00370535">
      <w:pPr>
        <w:rPr>
          <w:rFonts w:cs="Arial"/>
        </w:rPr>
      </w:pPr>
      <w:r w:rsidRPr="00370535">
        <w:rPr>
          <w:rFonts w:cs="Arial"/>
        </w:rPr>
        <w:t>Swansea Local Authority is nineth (12.6%), and Neath Port Talbot Local Authority is 17th (14.2%) out of 22 local authorities.</w:t>
      </w:r>
    </w:p>
    <w:p w14:paraId="5176D7D8" w14:textId="77777777" w:rsidR="00370535" w:rsidRPr="00370535" w:rsidRDefault="00370535" w:rsidP="00370535">
      <w:pPr>
        <w:rPr>
          <w:rFonts w:cs="Arial"/>
        </w:rPr>
      </w:pPr>
    </w:p>
    <w:p w14:paraId="57435EB2" w14:textId="77777777" w:rsidR="00370535" w:rsidRPr="00370535" w:rsidRDefault="00370535" w:rsidP="00370535">
      <w:pPr>
        <w:rPr>
          <w:rFonts w:cs="Arial"/>
          <w:b/>
          <w:bCs/>
        </w:rPr>
      </w:pPr>
      <w:r w:rsidRPr="00370535">
        <w:rPr>
          <w:rFonts w:cs="Arial"/>
          <w:b/>
          <w:bCs/>
        </w:rPr>
        <w:t>Table 3.9: The average percentage of current smokers (adults 18 years and over) across the 22 local authorities in Wales between 2020 to 2024</w:t>
      </w:r>
      <w:r w:rsidRPr="00370535">
        <w:rPr>
          <w:rFonts w:cs="Arial"/>
          <w:b/>
          <w:bCs/>
          <w:vertAlign w:val="superscript"/>
        </w:rPr>
        <w:footnoteReference w:id="79"/>
      </w:r>
    </w:p>
    <w:p w14:paraId="4E94BBB7" w14:textId="77777777" w:rsidR="00370535" w:rsidRPr="00370535" w:rsidRDefault="00370535" w:rsidP="00370535">
      <w:pPr>
        <w:rPr>
          <w:rFonts w:cs="Arial"/>
          <w:b/>
          <w:bCs/>
        </w:rPr>
      </w:pPr>
    </w:p>
    <w:tbl>
      <w:tblPr>
        <w:tblW w:w="8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3544"/>
        <w:gridCol w:w="3685"/>
      </w:tblGrid>
      <w:tr w:rsidR="00370535" w:rsidRPr="00370535" w14:paraId="4347D2FF" w14:textId="77777777" w:rsidTr="00370535">
        <w:trPr>
          <w:trHeight w:val="688"/>
        </w:trPr>
        <w:tc>
          <w:tcPr>
            <w:tcW w:w="846"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3AF22848" w14:textId="77777777" w:rsidR="00370535" w:rsidRPr="00370535" w:rsidRDefault="00370535" w:rsidP="00370535">
            <w:pPr>
              <w:rPr>
                <w:rFonts w:cs="Arial"/>
                <w:b/>
                <w:bCs/>
              </w:rPr>
            </w:pPr>
            <w:r w:rsidRPr="00370535">
              <w:rPr>
                <w:rFonts w:cs="Arial"/>
                <w:b/>
                <w:bCs/>
              </w:rPr>
              <w:t>Rank</w:t>
            </w:r>
          </w:p>
        </w:tc>
        <w:tc>
          <w:tcPr>
            <w:tcW w:w="3544"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770032F6" w14:textId="77777777" w:rsidR="00370535" w:rsidRPr="00370535" w:rsidRDefault="00370535" w:rsidP="00370535">
            <w:pPr>
              <w:rPr>
                <w:rFonts w:cs="Arial"/>
                <w:b/>
                <w:bCs/>
              </w:rPr>
            </w:pPr>
            <w:r w:rsidRPr="00370535">
              <w:rPr>
                <w:rFonts w:cs="Arial"/>
                <w:b/>
                <w:bCs/>
              </w:rPr>
              <w:t>Local Authority Name</w:t>
            </w:r>
          </w:p>
        </w:tc>
        <w:tc>
          <w:tcPr>
            <w:tcW w:w="3685"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5DAFFB48" w14:textId="77777777" w:rsidR="00370535" w:rsidRPr="00370535" w:rsidRDefault="00370535" w:rsidP="00370535">
            <w:pPr>
              <w:rPr>
                <w:rFonts w:cs="Arial"/>
                <w:b/>
                <w:bCs/>
              </w:rPr>
            </w:pPr>
            <w:r w:rsidRPr="00370535">
              <w:rPr>
                <w:rFonts w:cs="Arial"/>
                <w:b/>
                <w:bCs/>
              </w:rPr>
              <w:t>2020 to 2024 Current smokers % (average)</w:t>
            </w:r>
          </w:p>
        </w:tc>
      </w:tr>
      <w:tr w:rsidR="00370535" w:rsidRPr="00370535" w14:paraId="3B3C29E2" w14:textId="77777777" w:rsidTr="00370535">
        <w:trPr>
          <w:trHeight w:val="300"/>
        </w:trPr>
        <w:tc>
          <w:tcPr>
            <w:tcW w:w="846" w:type="dxa"/>
            <w:tcBorders>
              <w:top w:val="single" w:sz="4" w:space="0" w:color="auto"/>
              <w:left w:val="single" w:sz="4" w:space="0" w:color="auto"/>
              <w:bottom w:val="single" w:sz="4" w:space="0" w:color="auto"/>
              <w:right w:val="single" w:sz="4" w:space="0" w:color="auto"/>
            </w:tcBorders>
            <w:hideMark/>
          </w:tcPr>
          <w:p w14:paraId="3576524F" w14:textId="77777777" w:rsidR="00370535" w:rsidRPr="00370535" w:rsidRDefault="00370535" w:rsidP="00370535">
            <w:pPr>
              <w:rPr>
                <w:rFonts w:cs="Arial"/>
              </w:rPr>
            </w:pPr>
            <w:r w:rsidRPr="00370535">
              <w:rPr>
                <w:rFonts w:cs="Arial"/>
              </w:rPr>
              <w:t>1</w:t>
            </w:r>
          </w:p>
        </w:tc>
        <w:tc>
          <w:tcPr>
            <w:tcW w:w="3544" w:type="dxa"/>
            <w:tcBorders>
              <w:top w:val="single" w:sz="4" w:space="0" w:color="auto"/>
              <w:left w:val="single" w:sz="4" w:space="0" w:color="auto"/>
              <w:bottom w:val="single" w:sz="4" w:space="0" w:color="auto"/>
              <w:right w:val="single" w:sz="4" w:space="0" w:color="auto"/>
            </w:tcBorders>
            <w:noWrap/>
            <w:hideMark/>
          </w:tcPr>
          <w:p w14:paraId="17407A17" w14:textId="77777777" w:rsidR="00370535" w:rsidRPr="00370535" w:rsidRDefault="00370535" w:rsidP="00370535">
            <w:pPr>
              <w:rPr>
                <w:rFonts w:cs="Arial"/>
              </w:rPr>
            </w:pPr>
            <w:r w:rsidRPr="00370535">
              <w:rPr>
                <w:rFonts w:cs="Arial"/>
              </w:rPr>
              <w:t>Monmouthshire</w:t>
            </w:r>
          </w:p>
        </w:tc>
        <w:tc>
          <w:tcPr>
            <w:tcW w:w="3685" w:type="dxa"/>
            <w:tcBorders>
              <w:top w:val="single" w:sz="4" w:space="0" w:color="auto"/>
              <w:left w:val="single" w:sz="4" w:space="0" w:color="auto"/>
              <w:bottom w:val="single" w:sz="4" w:space="0" w:color="auto"/>
              <w:right w:val="single" w:sz="4" w:space="0" w:color="auto"/>
            </w:tcBorders>
            <w:noWrap/>
            <w:hideMark/>
          </w:tcPr>
          <w:p w14:paraId="1F989295" w14:textId="77777777" w:rsidR="00370535" w:rsidRPr="00370535" w:rsidRDefault="00370535" w:rsidP="00C95FAA">
            <w:pPr>
              <w:jc w:val="center"/>
              <w:rPr>
                <w:rFonts w:cs="Arial"/>
              </w:rPr>
            </w:pPr>
            <w:r w:rsidRPr="00370535">
              <w:rPr>
                <w:rFonts w:cs="Arial"/>
              </w:rPr>
              <w:t>7.6</w:t>
            </w:r>
          </w:p>
        </w:tc>
      </w:tr>
      <w:tr w:rsidR="00370535" w:rsidRPr="00370535" w14:paraId="13E49ECC" w14:textId="77777777" w:rsidTr="00370535">
        <w:trPr>
          <w:trHeight w:val="300"/>
        </w:trPr>
        <w:tc>
          <w:tcPr>
            <w:tcW w:w="846" w:type="dxa"/>
            <w:tcBorders>
              <w:top w:val="single" w:sz="4" w:space="0" w:color="auto"/>
              <w:left w:val="single" w:sz="4" w:space="0" w:color="auto"/>
              <w:bottom w:val="single" w:sz="4" w:space="0" w:color="auto"/>
              <w:right w:val="single" w:sz="4" w:space="0" w:color="auto"/>
            </w:tcBorders>
            <w:hideMark/>
          </w:tcPr>
          <w:p w14:paraId="0E1F8F15" w14:textId="77777777" w:rsidR="00370535" w:rsidRPr="00370535" w:rsidRDefault="00370535" w:rsidP="00370535">
            <w:pPr>
              <w:rPr>
                <w:rFonts w:cs="Arial"/>
              </w:rPr>
            </w:pPr>
            <w:r w:rsidRPr="00370535">
              <w:rPr>
                <w:rFonts w:cs="Arial"/>
              </w:rPr>
              <w:t>2</w:t>
            </w:r>
          </w:p>
        </w:tc>
        <w:tc>
          <w:tcPr>
            <w:tcW w:w="3544" w:type="dxa"/>
            <w:tcBorders>
              <w:top w:val="single" w:sz="4" w:space="0" w:color="auto"/>
              <w:left w:val="single" w:sz="4" w:space="0" w:color="auto"/>
              <w:bottom w:val="single" w:sz="4" w:space="0" w:color="auto"/>
              <w:right w:val="single" w:sz="4" w:space="0" w:color="auto"/>
            </w:tcBorders>
            <w:noWrap/>
            <w:hideMark/>
          </w:tcPr>
          <w:p w14:paraId="6BC0D325" w14:textId="77777777" w:rsidR="00370535" w:rsidRPr="00370535" w:rsidRDefault="00370535" w:rsidP="00370535">
            <w:pPr>
              <w:rPr>
                <w:rFonts w:cs="Arial"/>
              </w:rPr>
            </w:pPr>
            <w:r w:rsidRPr="00370535">
              <w:rPr>
                <w:rFonts w:cs="Arial"/>
              </w:rPr>
              <w:t>Vale of Glamorgan</w:t>
            </w:r>
          </w:p>
        </w:tc>
        <w:tc>
          <w:tcPr>
            <w:tcW w:w="3685" w:type="dxa"/>
            <w:tcBorders>
              <w:top w:val="single" w:sz="4" w:space="0" w:color="auto"/>
              <w:left w:val="single" w:sz="4" w:space="0" w:color="auto"/>
              <w:bottom w:val="single" w:sz="4" w:space="0" w:color="auto"/>
              <w:right w:val="single" w:sz="4" w:space="0" w:color="auto"/>
            </w:tcBorders>
            <w:noWrap/>
            <w:hideMark/>
          </w:tcPr>
          <w:p w14:paraId="5F712D52" w14:textId="77777777" w:rsidR="00370535" w:rsidRPr="00370535" w:rsidRDefault="00370535" w:rsidP="00C95FAA">
            <w:pPr>
              <w:jc w:val="center"/>
              <w:rPr>
                <w:rFonts w:cs="Arial"/>
              </w:rPr>
            </w:pPr>
            <w:r w:rsidRPr="00370535">
              <w:rPr>
                <w:rFonts w:cs="Arial"/>
              </w:rPr>
              <w:t>8.5</w:t>
            </w:r>
          </w:p>
        </w:tc>
      </w:tr>
      <w:tr w:rsidR="00370535" w:rsidRPr="00370535" w14:paraId="17227567" w14:textId="77777777" w:rsidTr="00370535">
        <w:trPr>
          <w:trHeight w:val="300"/>
        </w:trPr>
        <w:tc>
          <w:tcPr>
            <w:tcW w:w="846" w:type="dxa"/>
            <w:tcBorders>
              <w:top w:val="single" w:sz="4" w:space="0" w:color="auto"/>
              <w:left w:val="single" w:sz="4" w:space="0" w:color="auto"/>
              <w:bottom w:val="single" w:sz="4" w:space="0" w:color="auto"/>
              <w:right w:val="single" w:sz="4" w:space="0" w:color="auto"/>
            </w:tcBorders>
            <w:hideMark/>
          </w:tcPr>
          <w:p w14:paraId="44ACC330" w14:textId="77777777" w:rsidR="00370535" w:rsidRPr="00370535" w:rsidRDefault="00370535" w:rsidP="00370535">
            <w:pPr>
              <w:rPr>
                <w:rFonts w:cs="Arial"/>
              </w:rPr>
            </w:pPr>
            <w:r w:rsidRPr="00370535">
              <w:rPr>
                <w:rFonts w:cs="Arial"/>
              </w:rPr>
              <w:t>3</w:t>
            </w:r>
          </w:p>
        </w:tc>
        <w:tc>
          <w:tcPr>
            <w:tcW w:w="3544" w:type="dxa"/>
            <w:tcBorders>
              <w:top w:val="single" w:sz="4" w:space="0" w:color="auto"/>
              <w:left w:val="single" w:sz="4" w:space="0" w:color="auto"/>
              <w:bottom w:val="single" w:sz="4" w:space="0" w:color="auto"/>
              <w:right w:val="single" w:sz="4" w:space="0" w:color="auto"/>
            </w:tcBorders>
            <w:noWrap/>
            <w:hideMark/>
          </w:tcPr>
          <w:p w14:paraId="32C8E26D" w14:textId="77777777" w:rsidR="00370535" w:rsidRPr="00370535" w:rsidRDefault="00370535" w:rsidP="00370535">
            <w:pPr>
              <w:rPr>
                <w:rFonts w:cs="Arial"/>
              </w:rPr>
            </w:pPr>
            <w:r w:rsidRPr="00370535">
              <w:rPr>
                <w:rFonts w:cs="Arial"/>
              </w:rPr>
              <w:t>Powys</w:t>
            </w:r>
          </w:p>
        </w:tc>
        <w:tc>
          <w:tcPr>
            <w:tcW w:w="3685" w:type="dxa"/>
            <w:tcBorders>
              <w:top w:val="single" w:sz="4" w:space="0" w:color="auto"/>
              <w:left w:val="single" w:sz="4" w:space="0" w:color="auto"/>
              <w:bottom w:val="single" w:sz="4" w:space="0" w:color="auto"/>
              <w:right w:val="single" w:sz="4" w:space="0" w:color="auto"/>
            </w:tcBorders>
            <w:noWrap/>
            <w:hideMark/>
          </w:tcPr>
          <w:p w14:paraId="5FA34F34" w14:textId="77777777" w:rsidR="00370535" w:rsidRPr="00370535" w:rsidRDefault="00370535" w:rsidP="00C95FAA">
            <w:pPr>
              <w:jc w:val="center"/>
              <w:rPr>
                <w:rFonts w:cs="Arial"/>
              </w:rPr>
            </w:pPr>
            <w:r w:rsidRPr="00370535">
              <w:rPr>
                <w:rFonts w:cs="Arial"/>
              </w:rPr>
              <w:t>9.5</w:t>
            </w:r>
          </w:p>
        </w:tc>
      </w:tr>
      <w:tr w:rsidR="00370535" w:rsidRPr="00370535" w14:paraId="7257517C" w14:textId="77777777" w:rsidTr="00370535">
        <w:trPr>
          <w:trHeight w:val="300"/>
        </w:trPr>
        <w:tc>
          <w:tcPr>
            <w:tcW w:w="846" w:type="dxa"/>
            <w:tcBorders>
              <w:top w:val="single" w:sz="4" w:space="0" w:color="auto"/>
              <w:left w:val="single" w:sz="4" w:space="0" w:color="auto"/>
              <w:bottom w:val="single" w:sz="4" w:space="0" w:color="auto"/>
              <w:right w:val="single" w:sz="4" w:space="0" w:color="auto"/>
            </w:tcBorders>
            <w:hideMark/>
          </w:tcPr>
          <w:p w14:paraId="1FFEBF65" w14:textId="77777777" w:rsidR="00370535" w:rsidRPr="00370535" w:rsidRDefault="00370535" w:rsidP="00370535">
            <w:pPr>
              <w:rPr>
                <w:rFonts w:cs="Arial"/>
              </w:rPr>
            </w:pPr>
            <w:r w:rsidRPr="00370535">
              <w:rPr>
                <w:rFonts w:cs="Arial"/>
              </w:rPr>
              <w:t>4</w:t>
            </w:r>
          </w:p>
        </w:tc>
        <w:tc>
          <w:tcPr>
            <w:tcW w:w="3544" w:type="dxa"/>
            <w:tcBorders>
              <w:top w:val="single" w:sz="4" w:space="0" w:color="auto"/>
              <w:left w:val="single" w:sz="4" w:space="0" w:color="auto"/>
              <w:bottom w:val="single" w:sz="4" w:space="0" w:color="auto"/>
              <w:right w:val="single" w:sz="4" w:space="0" w:color="auto"/>
            </w:tcBorders>
            <w:noWrap/>
            <w:hideMark/>
          </w:tcPr>
          <w:p w14:paraId="0B014A67" w14:textId="77777777" w:rsidR="00370535" w:rsidRPr="00370535" w:rsidRDefault="00370535" w:rsidP="00370535">
            <w:pPr>
              <w:rPr>
                <w:rFonts w:cs="Arial"/>
              </w:rPr>
            </w:pPr>
            <w:r w:rsidRPr="00370535">
              <w:rPr>
                <w:rFonts w:cs="Arial"/>
              </w:rPr>
              <w:t>Carmarthenshire</w:t>
            </w:r>
          </w:p>
        </w:tc>
        <w:tc>
          <w:tcPr>
            <w:tcW w:w="3685" w:type="dxa"/>
            <w:tcBorders>
              <w:top w:val="single" w:sz="4" w:space="0" w:color="auto"/>
              <w:left w:val="single" w:sz="4" w:space="0" w:color="auto"/>
              <w:bottom w:val="single" w:sz="4" w:space="0" w:color="auto"/>
              <w:right w:val="single" w:sz="4" w:space="0" w:color="auto"/>
            </w:tcBorders>
            <w:noWrap/>
            <w:hideMark/>
          </w:tcPr>
          <w:p w14:paraId="4B901A8C" w14:textId="77777777" w:rsidR="00370535" w:rsidRPr="00370535" w:rsidRDefault="00370535" w:rsidP="00C95FAA">
            <w:pPr>
              <w:jc w:val="center"/>
              <w:rPr>
                <w:rFonts w:cs="Arial"/>
              </w:rPr>
            </w:pPr>
            <w:r w:rsidRPr="00370535">
              <w:rPr>
                <w:rFonts w:cs="Arial"/>
              </w:rPr>
              <w:t>11.6</w:t>
            </w:r>
          </w:p>
        </w:tc>
      </w:tr>
      <w:tr w:rsidR="00370535" w:rsidRPr="00370535" w14:paraId="25ED04C1" w14:textId="77777777" w:rsidTr="00370535">
        <w:trPr>
          <w:trHeight w:val="300"/>
        </w:trPr>
        <w:tc>
          <w:tcPr>
            <w:tcW w:w="846" w:type="dxa"/>
            <w:tcBorders>
              <w:top w:val="single" w:sz="4" w:space="0" w:color="auto"/>
              <w:left w:val="single" w:sz="4" w:space="0" w:color="auto"/>
              <w:bottom w:val="single" w:sz="4" w:space="0" w:color="auto"/>
              <w:right w:val="single" w:sz="4" w:space="0" w:color="auto"/>
            </w:tcBorders>
            <w:hideMark/>
          </w:tcPr>
          <w:p w14:paraId="1ADE0014" w14:textId="77777777" w:rsidR="00370535" w:rsidRPr="00370535" w:rsidRDefault="00370535" w:rsidP="00370535">
            <w:pPr>
              <w:rPr>
                <w:rFonts w:cs="Arial"/>
              </w:rPr>
            </w:pPr>
            <w:r w:rsidRPr="00370535">
              <w:rPr>
                <w:rFonts w:cs="Arial"/>
              </w:rPr>
              <w:t>5</w:t>
            </w:r>
          </w:p>
        </w:tc>
        <w:tc>
          <w:tcPr>
            <w:tcW w:w="3544" w:type="dxa"/>
            <w:tcBorders>
              <w:top w:val="single" w:sz="4" w:space="0" w:color="auto"/>
              <w:left w:val="single" w:sz="4" w:space="0" w:color="auto"/>
              <w:bottom w:val="single" w:sz="4" w:space="0" w:color="auto"/>
              <w:right w:val="single" w:sz="4" w:space="0" w:color="auto"/>
            </w:tcBorders>
            <w:noWrap/>
            <w:hideMark/>
          </w:tcPr>
          <w:p w14:paraId="51B5C6D2" w14:textId="77777777" w:rsidR="00370535" w:rsidRPr="00370535" w:rsidRDefault="00370535" w:rsidP="00370535">
            <w:pPr>
              <w:rPr>
                <w:rFonts w:cs="Arial"/>
              </w:rPr>
            </w:pPr>
            <w:r w:rsidRPr="00370535">
              <w:rPr>
                <w:rFonts w:cs="Arial"/>
              </w:rPr>
              <w:t>Cardiff</w:t>
            </w:r>
          </w:p>
        </w:tc>
        <w:tc>
          <w:tcPr>
            <w:tcW w:w="3685" w:type="dxa"/>
            <w:tcBorders>
              <w:top w:val="single" w:sz="4" w:space="0" w:color="auto"/>
              <w:left w:val="single" w:sz="4" w:space="0" w:color="auto"/>
              <w:bottom w:val="single" w:sz="4" w:space="0" w:color="auto"/>
              <w:right w:val="single" w:sz="4" w:space="0" w:color="auto"/>
            </w:tcBorders>
            <w:noWrap/>
            <w:hideMark/>
          </w:tcPr>
          <w:p w14:paraId="45995209" w14:textId="77777777" w:rsidR="00370535" w:rsidRPr="00370535" w:rsidRDefault="00370535" w:rsidP="00C95FAA">
            <w:pPr>
              <w:jc w:val="center"/>
              <w:rPr>
                <w:rFonts w:cs="Arial"/>
              </w:rPr>
            </w:pPr>
            <w:r w:rsidRPr="00370535">
              <w:rPr>
                <w:rFonts w:cs="Arial"/>
              </w:rPr>
              <w:t>11.8</w:t>
            </w:r>
          </w:p>
        </w:tc>
      </w:tr>
      <w:tr w:rsidR="00370535" w:rsidRPr="00370535" w14:paraId="663B0631" w14:textId="77777777" w:rsidTr="00370535">
        <w:trPr>
          <w:trHeight w:val="300"/>
        </w:trPr>
        <w:tc>
          <w:tcPr>
            <w:tcW w:w="846" w:type="dxa"/>
            <w:tcBorders>
              <w:top w:val="single" w:sz="4" w:space="0" w:color="auto"/>
              <w:left w:val="single" w:sz="4" w:space="0" w:color="auto"/>
              <w:bottom w:val="single" w:sz="4" w:space="0" w:color="auto"/>
              <w:right w:val="single" w:sz="4" w:space="0" w:color="auto"/>
            </w:tcBorders>
            <w:hideMark/>
          </w:tcPr>
          <w:p w14:paraId="10DC1FA8" w14:textId="77777777" w:rsidR="00370535" w:rsidRPr="00370535" w:rsidRDefault="00370535" w:rsidP="00370535">
            <w:pPr>
              <w:rPr>
                <w:rFonts w:cs="Arial"/>
              </w:rPr>
            </w:pPr>
            <w:r w:rsidRPr="00370535">
              <w:rPr>
                <w:rFonts w:cs="Arial"/>
              </w:rPr>
              <w:t>6</w:t>
            </w:r>
          </w:p>
        </w:tc>
        <w:tc>
          <w:tcPr>
            <w:tcW w:w="3544" w:type="dxa"/>
            <w:tcBorders>
              <w:top w:val="single" w:sz="4" w:space="0" w:color="auto"/>
              <w:left w:val="single" w:sz="4" w:space="0" w:color="auto"/>
              <w:bottom w:val="single" w:sz="4" w:space="0" w:color="auto"/>
              <w:right w:val="single" w:sz="4" w:space="0" w:color="auto"/>
            </w:tcBorders>
            <w:noWrap/>
            <w:hideMark/>
          </w:tcPr>
          <w:p w14:paraId="67B724B4" w14:textId="77777777" w:rsidR="00370535" w:rsidRPr="00370535" w:rsidRDefault="00370535" w:rsidP="00370535">
            <w:pPr>
              <w:rPr>
                <w:rFonts w:cs="Arial"/>
              </w:rPr>
            </w:pPr>
            <w:r w:rsidRPr="00370535">
              <w:rPr>
                <w:rFonts w:cs="Arial"/>
              </w:rPr>
              <w:t>Ceredigion</w:t>
            </w:r>
          </w:p>
        </w:tc>
        <w:tc>
          <w:tcPr>
            <w:tcW w:w="3685" w:type="dxa"/>
            <w:tcBorders>
              <w:top w:val="single" w:sz="4" w:space="0" w:color="auto"/>
              <w:left w:val="single" w:sz="4" w:space="0" w:color="auto"/>
              <w:bottom w:val="single" w:sz="4" w:space="0" w:color="auto"/>
              <w:right w:val="single" w:sz="4" w:space="0" w:color="auto"/>
            </w:tcBorders>
            <w:noWrap/>
            <w:hideMark/>
          </w:tcPr>
          <w:p w14:paraId="780801D3" w14:textId="77777777" w:rsidR="00370535" w:rsidRPr="00370535" w:rsidRDefault="00370535" w:rsidP="00C95FAA">
            <w:pPr>
              <w:jc w:val="center"/>
              <w:rPr>
                <w:rFonts w:cs="Arial"/>
              </w:rPr>
            </w:pPr>
            <w:r w:rsidRPr="00370535">
              <w:rPr>
                <w:rFonts w:cs="Arial"/>
              </w:rPr>
              <w:t>11.9</w:t>
            </w:r>
          </w:p>
        </w:tc>
      </w:tr>
      <w:tr w:rsidR="00370535" w:rsidRPr="00370535" w14:paraId="58B17E14" w14:textId="77777777" w:rsidTr="00370535">
        <w:trPr>
          <w:trHeight w:val="300"/>
        </w:trPr>
        <w:tc>
          <w:tcPr>
            <w:tcW w:w="846" w:type="dxa"/>
            <w:tcBorders>
              <w:top w:val="single" w:sz="4" w:space="0" w:color="auto"/>
              <w:left w:val="single" w:sz="4" w:space="0" w:color="auto"/>
              <w:bottom w:val="single" w:sz="4" w:space="0" w:color="auto"/>
              <w:right w:val="single" w:sz="4" w:space="0" w:color="auto"/>
            </w:tcBorders>
            <w:hideMark/>
          </w:tcPr>
          <w:p w14:paraId="01698076" w14:textId="77777777" w:rsidR="00370535" w:rsidRPr="00370535" w:rsidRDefault="00370535" w:rsidP="00370535">
            <w:pPr>
              <w:rPr>
                <w:rFonts w:cs="Arial"/>
              </w:rPr>
            </w:pPr>
            <w:r w:rsidRPr="00370535">
              <w:rPr>
                <w:rFonts w:cs="Arial"/>
              </w:rPr>
              <w:t>7</w:t>
            </w:r>
          </w:p>
        </w:tc>
        <w:tc>
          <w:tcPr>
            <w:tcW w:w="3544" w:type="dxa"/>
            <w:tcBorders>
              <w:top w:val="single" w:sz="4" w:space="0" w:color="auto"/>
              <w:left w:val="single" w:sz="4" w:space="0" w:color="auto"/>
              <w:bottom w:val="single" w:sz="4" w:space="0" w:color="auto"/>
              <w:right w:val="single" w:sz="4" w:space="0" w:color="auto"/>
            </w:tcBorders>
            <w:noWrap/>
            <w:hideMark/>
          </w:tcPr>
          <w:p w14:paraId="4771EF9B" w14:textId="77777777" w:rsidR="00370535" w:rsidRPr="00370535" w:rsidRDefault="00370535" w:rsidP="00370535">
            <w:pPr>
              <w:rPr>
                <w:rFonts w:cs="Arial"/>
              </w:rPr>
            </w:pPr>
            <w:r w:rsidRPr="00370535">
              <w:rPr>
                <w:rFonts w:cs="Arial"/>
              </w:rPr>
              <w:t>Flintshire</w:t>
            </w:r>
          </w:p>
        </w:tc>
        <w:tc>
          <w:tcPr>
            <w:tcW w:w="3685" w:type="dxa"/>
            <w:tcBorders>
              <w:top w:val="single" w:sz="4" w:space="0" w:color="auto"/>
              <w:left w:val="single" w:sz="4" w:space="0" w:color="auto"/>
              <w:bottom w:val="single" w:sz="4" w:space="0" w:color="auto"/>
              <w:right w:val="single" w:sz="4" w:space="0" w:color="auto"/>
            </w:tcBorders>
            <w:noWrap/>
            <w:hideMark/>
          </w:tcPr>
          <w:p w14:paraId="7901E4BF" w14:textId="77777777" w:rsidR="00370535" w:rsidRPr="00370535" w:rsidRDefault="00370535" w:rsidP="00C95FAA">
            <w:pPr>
              <w:jc w:val="center"/>
              <w:rPr>
                <w:rFonts w:cs="Arial"/>
              </w:rPr>
            </w:pPr>
            <w:r w:rsidRPr="00370535">
              <w:rPr>
                <w:rFonts w:cs="Arial"/>
              </w:rPr>
              <w:t>12.3</w:t>
            </w:r>
          </w:p>
        </w:tc>
      </w:tr>
      <w:tr w:rsidR="00370535" w:rsidRPr="00370535" w14:paraId="785785E9" w14:textId="77777777" w:rsidTr="00370535">
        <w:trPr>
          <w:trHeight w:val="300"/>
        </w:trPr>
        <w:tc>
          <w:tcPr>
            <w:tcW w:w="846" w:type="dxa"/>
            <w:tcBorders>
              <w:top w:val="single" w:sz="4" w:space="0" w:color="auto"/>
              <w:left w:val="single" w:sz="4" w:space="0" w:color="auto"/>
              <w:bottom w:val="single" w:sz="4" w:space="0" w:color="auto"/>
              <w:right w:val="single" w:sz="4" w:space="0" w:color="auto"/>
            </w:tcBorders>
            <w:hideMark/>
          </w:tcPr>
          <w:p w14:paraId="2C3EA780" w14:textId="77777777" w:rsidR="00370535" w:rsidRPr="00370535" w:rsidRDefault="00370535" w:rsidP="00370535">
            <w:pPr>
              <w:rPr>
                <w:rFonts w:cs="Arial"/>
              </w:rPr>
            </w:pPr>
            <w:r w:rsidRPr="00370535">
              <w:rPr>
                <w:rFonts w:cs="Arial"/>
              </w:rPr>
              <w:t>8</w:t>
            </w:r>
          </w:p>
        </w:tc>
        <w:tc>
          <w:tcPr>
            <w:tcW w:w="3544" w:type="dxa"/>
            <w:tcBorders>
              <w:top w:val="single" w:sz="4" w:space="0" w:color="auto"/>
              <w:left w:val="single" w:sz="4" w:space="0" w:color="auto"/>
              <w:bottom w:val="single" w:sz="4" w:space="0" w:color="auto"/>
              <w:right w:val="single" w:sz="4" w:space="0" w:color="auto"/>
            </w:tcBorders>
            <w:noWrap/>
            <w:hideMark/>
          </w:tcPr>
          <w:p w14:paraId="7AAC91FE" w14:textId="77777777" w:rsidR="00370535" w:rsidRPr="00370535" w:rsidRDefault="00370535" w:rsidP="00370535">
            <w:pPr>
              <w:rPr>
                <w:rFonts w:cs="Arial"/>
              </w:rPr>
            </w:pPr>
            <w:r w:rsidRPr="00370535">
              <w:rPr>
                <w:rFonts w:cs="Arial"/>
              </w:rPr>
              <w:t>Bridgend</w:t>
            </w:r>
          </w:p>
        </w:tc>
        <w:tc>
          <w:tcPr>
            <w:tcW w:w="3685" w:type="dxa"/>
            <w:tcBorders>
              <w:top w:val="single" w:sz="4" w:space="0" w:color="auto"/>
              <w:left w:val="single" w:sz="4" w:space="0" w:color="auto"/>
              <w:bottom w:val="single" w:sz="4" w:space="0" w:color="auto"/>
              <w:right w:val="single" w:sz="4" w:space="0" w:color="auto"/>
            </w:tcBorders>
            <w:noWrap/>
            <w:hideMark/>
          </w:tcPr>
          <w:p w14:paraId="4969BBD4" w14:textId="77777777" w:rsidR="00370535" w:rsidRPr="00370535" w:rsidRDefault="00370535" w:rsidP="00C95FAA">
            <w:pPr>
              <w:jc w:val="center"/>
              <w:rPr>
                <w:rFonts w:cs="Arial"/>
              </w:rPr>
            </w:pPr>
            <w:r w:rsidRPr="00370535">
              <w:rPr>
                <w:rFonts w:cs="Arial"/>
              </w:rPr>
              <w:t>12.5</w:t>
            </w:r>
          </w:p>
        </w:tc>
      </w:tr>
      <w:tr w:rsidR="00370535" w:rsidRPr="00370535" w14:paraId="0C290E61" w14:textId="77777777" w:rsidTr="00370535">
        <w:trPr>
          <w:trHeight w:val="300"/>
        </w:trPr>
        <w:tc>
          <w:tcPr>
            <w:tcW w:w="846" w:type="dxa"/>
            <w:tcBorders>
              <w:top w:val="single" w:sz="4" w:space="0" w:color="auto"/>
              <w:left w:val="single" w:sz="4" w:space="0" w:color="auto"/>
              <w:bottom w:val="single" w:sz="4" w:space="0" w:color="auto"/>
              <w:right w:val="single" w:sz="4" w:space="0" w:color="auto"/>
            </w:tcBorders>
            <w:hideMark/>
          </w:tcPr>
          <w:p w14:paraId="50B929F0" w14:textId="77777777" w:rsidR="00370535" w:rsidRPr="00370535" w:rsidRDefault="00370535" w:rsidP="00370535">
            <w:pPr>
              <w:rPr>
                <w:rFonts w:cs="Arial"/>
              </w:rPr>
            </w:pPr>
            <w:r w:rsidRPr="00370535">
              <w:rPr>
                <w:rFonts w:cs="Arial"/>
              </w:rPr>
              <w:t>9</w:t>
            </w:r>
          </w:p>
        </w:tc>
        <w:tc>
          <w:tcPr>
            <w:tcW w:w="3544" w:type="dxa"/>
            <w:tcBorders>
              <w:top w:val="single" w:sz="4" w:space="0" w:color="auto"/>
              <w:left w:val="single" w:sz="4" w:space="0" w:color="auto"/>
              <w:bottom w:val="single" w:sz="4" w:space="0" w:color="auto"/>
              <w:right w:val="single" w:sz="4" w:space="0" w:color="auto"/>
            </w:tcBorders>
            <w:noWrap/>
            <w:hideMark/>
          </w:tcPr>
          <w:p w14:paraId="6A8AC469" w14:textId="77777777" w:rsidR="00370535" w:rsidRPr="00370535" w:rsidRDefault="00370535" w:rsidP="00370535">
            <w:pPr>
              <w:rPr>
                <w:rFonts w:cs="Arial"/>
              </w:rPr>
            </w:pPr>
            <w:r w:rsidRPr="00370535">
              <w:rPr>
                <w:rFonts w:cs="Arial"/>
              </w:rPr>
              <w:t>Swansea</w:t>
            </w:r>
          </w:p>
        </w:tc>
        <w:tc>
          <w:tcPr>
            <w:tcW w:w="3685" w:type="dxa"/>
            <w:tcBorders>
              <w:top w:val="single" w:sz="4" w:space="0" w:color="auto"/>
              <w:left w:val="single" w:sz="4" w:space="0" w:color="auto"/>
              <w:bottom w:val="single" w:sz="4" w:space="0" w:color="auto"/>
              <w:right w:val="single" w:sz="4" w:space="0" w:color="auto"/>
            </w:tcBorders>
            <w:noWrap/>
            <w:hideMark/>
          </w:tcPr>
          <w:p w14:paraId="689DE362" w14:textId="77777777" w:rsidR="00370535" w:rsidRPr="00370535" w:rsidRDefault="00370535" w:rsidP="00C95FAA">
            <w:pPr>
              <w:jc w:val="center"/>
              <w:rPr>
                <w:rFonts w:cs="Arial"/>
              </w:rPr>
            </w:pPr>
            <w:r w:rsidRPr="00370535">
              <w:rPr>
                <w:rFonts w:cs="Arial"/>
              </w:rPr>
              <w:t>12.6</w:t>
            </w:r>
          </w:p>
        </w:tc>
      </w:tr>
      <w:tr w:rsidR="00370535" w:rsidRPr="00370535" w14:paraId="3C779C96" w14:textId="77777777" w:rsidTr="00370535">
        <w:trPr>
          <w:trHeight w:val="300"/>
        </w:trPr>
        <w:tc>
          <w:tcPr>
            <w:tcW w:w="846" w:type="dxa"/>
            <w:tcBorders>
              <w:top w:val="single" w:sz="4" w:space="0" w:color="auto"/>
              <w:left w:val="single" w:sz="4" w:space="0" w:color="auto"/>
              <w:bottom w:val="single" w:sz="4" w:space="0" w:color="auto"/>
              <w:right w:val="single" w:sz="4" w:space="0" w:color="auto"/>
            </w:tcBorders>
            <w:hideMark/>
          </w:tcPr>
          <w:p w14:paraId="1E1968AC" w14:textId="77777777" w:rsidR="00370535" w:rsidRPr="00370535" w:rsidRDefault="00370535" w:rsidP="00370535">
            <w:pPr>
              <w:rPr>
                <w:rFonts w:cs="Arial"/>
              </w:rPr>
            </w:pPr>
            <w:r w:rsidRPr="00370535">
              <w:rPr>
                <w:rFonts w:cs="Arial"/>
              </w:rPr>
              <w:t>10</w:t>
            </w:r>
          </w:p>
        </w:tc>
        <w:tc>
          <w:tcPr>
            <w:tcW w:w="3544" w:type="dxa"/>
            <w:tcBorders>
              <w:top w:val="single" w:sz="4" w:space="0" w:color="auto"/>
              <w:left w:val="single" w:sz="4" w:space="0" w:color="auto"/>
              <w:bottom w:val="single" w:sz="4" w:space="0" w:color="auto"/>
              <w:right w:val="single" w:sz="4" w:space="0" w:color="auto"/>
            </w:tcBorders>
            <w:noWrap/>
            <w:hideMark/>
          </w:tcPr>
          <w:p w14:paraId="4FD14242" w14:textId="77777777" w:rsidR="00370535" w:rsidRPr="00370535" w:rsidRDefault="00370535" w:rsidP="00370535">
            <w:pPr>
              <w:rPr>
                <w:rFonts w:cs="Arial"/>
              </w:rPr>
            </w:pPr>
            <w:r w:rsidRPr="00370535">
              <w:rPr>
                <w:rFonts w:cs="Arial"/>
              </w:rPr>
              <w:t>Isle of Anglesey</w:t>
            </w:r>
          </w:p>
        </w:tc>
        <w:tc>
          <w:tcPr>
            <w:tcW w:w="3685" w:type="dxa"/>
            <w:tcBorders>
              <w:top w:val="single" w:sz="4" w:space="0" w:color="auto"/>
              <w:left w:val="single" w:sz="4" w:space="0" w:color="auto"/>
              <w:bottom w:val="single" w:sz="4" w:space="0" w:color="auto"/>
              <w:right w:val="single" w:sz="4" w:space="0" w:color="auto"/>
            </w:tcBorders>
            <w:noWrap/>
            <w:hideMark/>
          </w:tcPr>
          <w:p w14:paraId="29E7CB86" w14:textId="77777777" w:rsidR="00370535" w:rsidRPr="00370535" w:rsidRDefault="00370535" w:rsidP="00C95FAA">
            <w:pPr>
              <w:jc w:val="center"/>
              <w:rPr>
                <w:rFonts w:cs="Arial"/>
              </w:rPr>
            </w:pPr>
            <w:r w:rsidRPr="00370535">
              <w:rPr>
                <w:rFonts w:cs="Arial"/>
              </w:rPr>
              <w:t>12.7</w:t>
            </w:r>
          </w:p>
        </w:tc>
      </w:tr>
      <w:tr w:rsidR="00277B48" w:rsidRPr="00370535" w14:paraId="340483FF" w14:textId="77777777" w:rsidTr="00A078DA">
        <w:trPr>
          <w:trHeight w:val="688"/>
        </w:trPr>
        <w:tc>
          <w:tcPr>
            <w:tcW w:w="846"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618177B9" w14:textId="77777777" w:rsidR="00277B48" w:rsidRPr="00370535" w:rsidRDefault="00277B48" w:rsidP="00A078DA">
            <w:pPr>
              <w:rPr>
                <w:rFonts w:cs="Arial"/>
                <w:b/>
                <w:bCs/>
              </w:rPr>
            </w:pPr>
            <w:r w:rsidRPr="00370535">
              <w:rPr>
                <w:rFonts w:cs="Arial"/>
                <w:b/>
                <w:bCs/>
              </w:rPr>
              <w:lastRenderedPageBreak/>
              <w:t>Rank</w:t>
            </w:r>
          </w:p>
        </w:tc>
        <w:tc>
          <w:tcPr>
            <w:tcW w:w="3544"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3EDAE6EC" w14:textId="77777777" w:rsidR="00277B48" w:rsidRPr="00370535" w:rsidRDefault="00277B48" w:rsidP="00A078DA">
            <w:pPr>
              <w:rPr>
                <w:rFonts w:cs="Arial"/>
                <w:b/>
                <w:bCs/>
              </w:rPr>
            </w:pPr>
            <w:r w:rsidRPr="00370535">
              <w:rPr>
                <w:rFonts w:cs="Arial"/>
                <w:b/>
                <w:bCs/>
              </w:rPr>
              <w:t>Local Authority Name</w:t>
            </w:r>
          </w:p>
        </w:tc>
        <w:tc>
          <w:tcPr>
            <w:tcW w:w="3685"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6ED9C918" w14:textId="77777777" w:rsidR="00277B48" w:rsidRPr="00370535" w:rsidRDefault="00277B48" w:rsidP="00A078DA">
            <w:pPr>
              <w:rPr>
                <w:rFonts w:cs="Arial"/>
                <w:b/>
                <w:bCs/>
              </w:rPr>
            </w:pPr>
            <w:r w:rsidRPr="00370535">
              <w:rPr>
                <w:rFonts w:cs="Arial"/>
                <w:b/>
                <w:bCs/>
              </w:rPr>
              <w:t>2020 to 2024 Current smokers % (average)</w:t>
            </w:r>
          </w:p>
        </w:tc>
      </w:tr>
      <w:tr w:rsidR="00370535" w:rsidRPr="00370535" w14:paraId="35FB59E3" w14:textId="77777777" w:rsidTr="00370535">
        <w:trPr>
          <w:trHeight w:val="300"/>
        </w:trPr>
        <w:tc>
          <w:tcPr>
            <w:tcW w:w="846" w:type="dxa"/>
            <w:tcBorders>
              <w:top w:val="single" w:sz="4" w:space="0" w:color="auto"/>
              <w:left w:val="single" w:sz="4" w:space="0" w:color="auto"/>
              <w:bottom w:val="single" w:sz="4" w:space="0" w:color="auto"/>
              <w:right w:val="single" w:sz="4" w:space="0" w:color="auto"/>
            </w:tcBorders>
            <w:hideMark/>
          </w:tcPr>
          <w:p w14:paraId="53BEF637" w14:textId="77777777" w:rsidR="00370535" w:rsidRPr="00370535" w:rsidRDefault="00370535" w:rsidP="00370535">
            <w:pPr>
              <w:rPr>
                <w:rFonts w:cs="Arial"/>
              </w:rPr>
            </w:pPr>
            <w:r w:rsidRPr="00370535">
              <w:rPr>
                <w:rFonts w:cs="Arial"/>
              </w:rPr>
              <w:t>11</w:t>
            </w:r>
          </w:p>
        </w:tc>
        <w:tc>
          <w:tcPr>
            <w:tcW w:w="3544" w:type="dxa"/>
            <w:tcBorders>
              <w:top w:val="single" w:sz="4" w:space="0" w:color="auto"/>
              <w:left w:val="single" w:sz="4" w:space="0" w:color="auto"/>
              <w:bottom w:val="single" w:sz="4" w:space="0" w:color="auto"/>
              <w:right w:val="single" w:sz="4" w:space="0" w:color="auto"/>
            </w:tcBorders>
            <w:noWrap/>
            <w:hideMark/>
          </w:tcPr>
          <w:p w14:paraId="5FF88002" w14:textId="77777777" w:rsidR="00370535" w:rsidRPr="00370535" w:rsidRDefault="00370535" w:rsidP="00370535">
            <w:pPr>
              <w:rPr>
                <w:rFonts w:cs="Arial"/>
              </w:rPr>
            </w:pPr>
            <w:r w:rsidRPr="00370535">
              <w:rPr>
                <w:rFonts w:cs="Arial"/>
              </w:rPr>
              <w:t>Conwy</w:t>
            </w:r>
          </w:p>
        </w:tc>
        <w:tc>
          <w:tcPr>
            <w:tcW w:w="3685" w:type="dxa"/>
            <w:tcBorders>
              <w:top w:val="single" w:sz="4" w:space="0" w:color="auto"/>
              <w:left w:val="single" w:sz="4" w:space="0" w:color="auto"/>
              <w:bottom w:val="single" w:sz="4" w:space="0" w:color="auto"/>
              <w:right w:val="single" w:sz="4" w:space="0" w:color="auto"/>
            </w:tcBorders>
            <w:noWrap/>
            <w:hideMark/>
          </w:tcPr>
          <w:p w14:paraId="5B53B95F" w14:textId="77777777" w:rsidR="00370535" w:rsidRPr="00370535" w:rsidRDefault="00370535" w:rsidP="00C95FAA">
            <w:pPr>
              <w:jc w:val="center"/>
              <w:rPr>
                <w:rFonts w:cs="Arial"/>
              </w:rPr>
            </w:pPr>
            <w:r w:rsidRPr="00370535">
              <w:rPr>
                <w:rFonts w:cs="Arial"/>
              </w:rPr>
              <w:t>12.7</w:t>
            </w:r>
          </w:p>
        </w:tc>
      </w:tr>
      <w:tr w:rsidR="00370535" w:rsidRPr="00370535" w14:paraId="5BF13EC2" w14:textId="77777777" w:rsidTr="00370535">
        <w:trPr>
          <w:trHeight w:val="300"/>
        </w:trPr>
        <w:tc>
          <w:tcPr>
            <w:tcW w:w="846" w:type="dxa"/>
            <w:tcBorders>
              <w:top w:val="single" w:sz="4" w:space="0" w:color="auto"/>
              <w:left w:val="single" w:sz="4" w:space="0" w:color="auto"/>
              <w:bottom w:val="single" w:sz="4" w:space="0" w:color="auto"/>
              <w:right w:val="single" w:sz="4" w:space="0" w:color="auto"/>
            </w:tcBorders>
            <w:hideMark/>
          </w:tcPr>
          <w:p w14:paraId="06B43448" w14:textId="77777777" w:rsidR="00370535" w:rsidRPr="00370535" w:rsidRDefault="00370535" w:rsidP="00370535">
            <w:pPr>
              <w:rPr>
                <w:rFonts w:cs="Arial"/>
              </w:rPr>
            </w:pPr>
            <w:r w:rsidRPr="00370535">
              <w:rPr>
                <w:rFonts w:cs="Arial"/>
              </w:rPr>
              <w:t>12</w:t>
            </w:r>
          </w:p>
        </w:tc>
        <w:tc>
          <w:tcPr>
            <w:tcW w:w="3544" w:type="dxa"/>
            <w:tcBorders>
              <w:top w:val="single" w:sz="4" w:space="0" w:color="auto"/>
              <w:left w:val="single" w:sz="4" w:space="0" w:color="auto"/>
              <w:bottom w:val="single" w:sz="4" w:space="0" w:color="auto"/>
              <w:right w:val="single" w:sz="4" w:space="0" w:color="auto"/>
            </w:tcBorders>
            <w:noWrap/>
            <w:hideMark/>
          </w:tcPr>
          <w:p w14:paraId="4A466754" w14:textId="77777777" w:rsidR="00370535" w:rsidRPr="00370535" w:rsidRDefault="00370535" w:rsidP="00370535">
            <w:pPr>
              <w:rPr>
                <w:rFonts w:cs="Arial"/>
              </w:rPr>
            </w:pPr>
            <w:r w:rsidRPr="00370535">
              <w:rPr>
                <w:rFonts w:cs="Arial"/>
              </w:rPr>
              <w:t>Pembrokeshire</w:t>
            </w:r>
          </w:p>
        </w:tc>
        <w:tc>
          <w:tcPr>
            <w:tcW w:w="3685" w:type="dxa"/>
            <w:tcBorders>
              <w:top w:val="single" w:sz="4" w:space="0" w:color="auto"/>
              <w:left w:val="single" w:sz="4" w:space="0" w:color="auto"/>
              <w:bottom w:val="single" w:sz="4" w:space="0" w:color="auto"/>
              <w:right w:val="single" w:sz="4" w:space="0" w:color="auto"/>
            </w:tcBorders>
            <w:noWrap/>
            <w:hideMark/>
          </w:tcPr>
          <w:p w14:paraId="09F6CBB3" w14:textId="77777777" w:rsidR="00370535" w:rsidRPr="00370535" w:rsidRDefault="00370535" w:rsidP="00C95FAA">
            <w:pPr>
              <w:jc w:val="center"/>
              <w:rPr>
                <w:rFonts w:cs="Arial"/>
              </w:rPr>
            </w:pPr>
            <w:r w:rsidRPr="00370535">
              <w:rPr>
                <w:rFonts w:cs="Arial"/>
              </w:rPr>
              <w:t>13.3</w:t>
            </w:r>
          </w:p>
        </w:tc>
      </w:tr>
      <w:tr w:rsidR="00370535" w:rsidRPr="00370535" w14:paraId="77593CCD" w14:textId="77777777" w:rsidTr="00370535">
        <w:trPr>
          <w:trHeight w:val="300"/>
        </w:trPr>
        <w:tc>
          <w:tcPr>
            <w:tcW w:w="846" w:type="dxa"/>
            <w:tcBorders>
              <w:top w:val="single" w:sz="4" w:space="0" w:color="auto"/>
              <w:left w:val="single" w:sz="4" w:space="0" w:color="auto"/>
              <w:bottom w:val="single" w:sz="4" w:space="0" w:color="auto"/>
              <w:right w:val="single" w:sz="4" w:space="0" w:color="auto"/>
            </w:tcBorders>
            <w:hideMark/>
          </w:tcPr>
          <w:p w14:paraId="5101832C" w14:textId="77777777" w:rsidR="00370535" w:rsidRPr="00370535" w:rsidRDefault="00370535" w:rsidP="00370535">
            <w:pPr>
              <w:rPr>
                <w:rFonts w:cs="Arial"/>
              </w:rPr>
            </w:pPr>
            <w:r w:rsidRPr="00370535">
              <w:rPr>
                <w:rFonts w:cs="Arial"/>
              </w:rPr>
              <w:t>13</w:t>
            </w:r>
          </w:p>
        </w:tc>
        <w:tc>
          <w:tcPr>
            <w:tcW w:w="3544" w:type="dxa"/>
            <w:tcBorders>
              <w:top w:val="single" w:sz="4" w:space="0" w:color="auto"/>
              <w:left w:val="single" w:sz="4" w:space="0" w:color="auto"/>
              <w:bottom w:val="single" w:sz="4" w:space="0" w:color="auto"/>
              <w:right w:val="single" w:sz="4" w:space="0" w:color="auto"/>
            </w:tcBorders>
            <w:noWrap/>
            <w:hideMark/>
          </w:tcPr>
          <w:p w14:paraId="42122200" w14:textId="77777777" w:rsidR="00370535" w:rsidRPr="00370535" w:rsidRDefault="00370535" w:rsidP="00370535">
            <w:pPr>
              <w:rPr>
                <w:rFonts w:cs="Arial"/>
              </w:rPr>
            </w:pPr>
            <w:r w:rsidRPr="00370535">
              <w:rPr>
                <w:rFonts w:cs="Arial"/>
              </w:rPr>
              <w:t>Wrexham</w:t>
            </w:r>
          </w:p>
        </w:tc>
        <w:tc>
          <w:tcPr>
            <w:tcW w:w="3685" w:type="dxa"/>
            <w:tcBorders>
              <w:top w:val="single" w:sz="4" w:space="0" w:color="auto"/>
              <w:left w:val="single" w:sz="4" w:space="0" w:color="auto"/>
              <w:bottom w:val="single" w:sz="4" w:space="0" w:color="auto"/>
              <w:right w:val="single" w:sz="4" w:space="0" w:color="auto"/>
            </w:tcBorders>
            <w:noWrap/>
            <w:hideMark/>
          </w:tcPr>
          <w:p w14:paraId="4CAF2CDF" w14:textId="77777777" w:rsidR="00370535" w:rsidRPr="00370535" w:rsidRDefault="00370535" w:rsidP="00C95FAA">
            <w:pPr>
              <w:jc w:val="center"/>
              <w:rPr>
                <w:rFonts w:cs="Arial"/>
              </w:rPr>
            </w:pPr>
            <w:r w:rsidRPr="00370535">
              <w:rPr>
                <w:rFonts w:cs="Arial"/>
              </w:rPr>
              <w:t>13.4</w:t>
            </w:r>
          </w:p>
        </w:tc>
      </w:tr>
      <w:tr w:rsidR="00370535" w:rsidRPr="00370535" w14:paraId="0B9C88C1" w14:textId="77777777" w:rsidTr="00370535">
        <w:trPr>
          <w:trHeight w:val="300"/>
        </w:trPr>
        <w:tc>
          <w:tcPr>
            <w:tcW w:w="846" w:type="dxa"/>
            <w:tcBorders>
              <w:top w:val="single" w:sz="4" w:space="0" w:color="auto"/>
              <w:left w:val="single" w:sz="4" w:space="0" w:color="auto"/>
              <w:bottom w:val="single" w:sz="4" w:space="0" w:color="auto"/>
              <w:right w:val="single" w:sz="4" w:space="0" w:color="auto"/>
            </w:tcBorders>
            <w:hideMark/>
          </w:tcPr>
          <w:p w14:paraId="357E83DA" w14:textId="77777777" w:rsidR="00370535" w:rsidRPr="00370535" w:rsidRDefault="00370535" w:rsidP="00370535">
            <w:pPr>
              <w:rPr>
                <w:rFonts w:cs="Arial"/>
              </w:rPr>
            </w:pPr>
            <w:r w:rsidRPr="00370535">
              <w:rPr>
                <w:rFonts w:cs="Arial"/>
              </w:rPr>
              <w:t>14</w:t>
            </w:r>
          </w:p>
        </w:tc>
        <w:tc>
          <w:tcPr>
            <w:tcW w:w="3544" w:type="dxa"/>
            <w:tcBorders>
              <w:top w:val="single" w:sz="4" w:space="0" w:color="auto"/>
              <w:left w:val="single" w:sz="4" w:space="0" w:color="auto"/>
              <w:bottom w:val="single" w:sz="4" w:space="0" w:color="auto"/>
              <w:right w:val="single" w:sz="4" w:space="0" w:color="auto"/>
            </w:tcBorders>
            <w:noWrap/>
            <w:hideMark/>
          </w:tcPr>
          <w:p w14:paraId="519513F1" w14:textId="77777777" w:rsidR="00370535" w:rsidRPr="00370535" w:rsidRDefault="00370535" w:rsidP="00370535">
            <w:pPr>
              <w:rPr>
                <w:rFonts w:cs="Arial"/>
              </w:rPr>
            </w:pPr>
            <w:r w:rsidRPr="00370535">
              <w:rPr>
                <w:rFonts w:cs="Arial"/>
              </w:rPr>
              <w:t>Denbighshire</w:t>
            </w:r>
          </w:p>
        </w:tc>
        <w:tc>
          <w:tcPr>
            <w:tcW w:w="3685" w:type="dxa"/>
            <w:tcBorders>
              <w:top w:val="single" w:sz="4" w:space="0" w:color="auto"/>
              <w:left w:val="single" w:sz="4" w:space="0" w:color="auto"/>
              <w:bottom w:val="single" w:sz="4" w:space="0" w:color="auto"/>
              <w:right w:val="single" w:sz="4" w:space="0" w:color="auto"/>
            </w:tcBorders>
            <w:noWrap/>
            <w:hideMark/>
          </w:tcPr>
          <w:p w14:paraId="5F2AE4E8" w14:textId="77777777" w:rsidR="00370535" w:rsidRPr="00370535" w:rsidRDefault="00370535" w:rsidP="00C95FAA">
            <w:pPr>
              <w:jc w:val="center"/>
              <w:rPr>
                <w:rFonts w:cs="Arial"/>
              </w:rPr>
            </w:pPr>
            <w:r w:rsidRPr="00370535">
              <w:rPr>
                <w:rFonts w:cs="Arial"/>
              </w:rPr>
              <w:t>14.0</w:t>
            </w:r>
          </w:p>
        </w:tc>
      </w:tr>
      <w:tr w:rsidR="00370535" w:rsidRPr="00370535" w14:paraId="1A160472" w14:textId="77777777" w:rsidTr="00370535">
        <w:trPr>
          <w:trHeight w:val="300"/>
        </w:trPr>
        <w:tc>
          <w:tcPr>
            <w:tcW w:w="846" w:type="dxa"/>
            <w:tcBorders>
              <w:top w:val="single" w:sz="4" w:space="0" w:color="auto"/>
              <w:left w:val="single" w:sz="4" w:space="0" w:color="auto"/>
              <w:bottom w:val="single" w:sz="4" w:space="0" w:color="auto"/>
              <w:right w:val="single" w:sz="4" w:space="0" w:color="auto"/>
            </w:tcBorders>
            <w:hideMark/>
          </w:tcPr>
          <w:p w14:paraId="0F36F9E1" w14:textId="77777777" w:rsidR="00370535" w:rsidRPr="00370535" w:rsidRDefault="00370535" w:rsidP="00370535">
            <w:pPr>
              <w:rPr>
                <w:rFonts w:cs="Arial"/>
              </w:rPr>
            </w:pPr>
            <w:r w:rsidRPr="00370535">
              <w:rPr>
                <w:rFonts w:cs="Arial"/>
              </w:rPr>
              <w:t>15</w:t>
            </w:r>
          </w:p>
        </w:tc>
        <w:tc>
          <w:tcPr>
            <w:tcW w:w="3544" w:type="dxa"/>
            <w:tcBorders>
              <w:top w:val="single" w:sz="4" w:space="0" w:color="auto"/>
              <w:left w:val="single" w:sz="4" w:space="0" w:color="auto"/>
              <w:bottom w:val="single" w:sz="4" w:space="0" w:color="auto"/>
              <w:right w:val="single" w:sz="4" w:space="0" w:color="auto"/>
            </w:tcBorders>
            <w:noWrap/>
            <w:hideMark/>
          </w:tcPr>
          <w:p w14:paraId="4B1CF532" w14:textId="77777777" w:rsidR="00370535" w:rsidRPr="00370535" w:rsidRDefault="00370535" w:rsidP="00370535">
            <w:pPr>
              <w:rPr>
                <w:rFonts w:cs="Arial"/>
              </w:rPr>
            </w:pPr>
            <w:r w:rsidRPr="00370535">
              <w:rPr>
                <w:rFonts w:cs="Arial"/>
              </w:rPr>
              <w:t>Caerphilly</w:t>
            </w:r>
          </w:p>
        </w:tc>
        <w:tc>
          <w:tcPr>
            <w:tcW w:w="3685" w:type="dxa"/>
            <w:tcBorders>
              <w:top w:val="single" w:sz="4" w:space="0" w:color="auto"/>
              <w:left w:val="single" w:sz="4" w:space="0" w:color="auto"/>
              <w:bottom w:val="single" w:sz="4" w:space="0" w:color="auto"/>
              <w:right w:val="single" w:sz="4" w:space="0" w:color="auto"/>
            </w:tcBorders>
            <w:noWrap/>
            <w:hideMark/>
          </w:tcPr>
          <w:p w14:paraId="30F74B71" w14:textId="77777777" w:rsidR="00370535" w:rsidRPr="00370535" w:rsidRDefault="00370535" w:rsidP="00C95FAA">
            <w:pPr>
              <w:jc w:val="center"/>
              <w:rPr>
                <w:rFonts w:cs="Arial"/>
              </w:rPr>
            </w:pPr>
            <w:r w:rsidRPr="00370535">
              <w:rPr>
                <w:rFonts w:cs="Arial"/>
              </w:rPr>
              <w:t>14.0</w:t>
            </w:r>
          </w:p>
        </w:tc>
      </w:tr>
      <w:tr w:rsidR="00370535" w:rsidRPr="00370535" w14:paraId="6716C8DD" w14:textId="77777777" w:rsidTr="00370535">
        <w:trPr>
          <w:trHeight w:val="300"/>
        </w:trPr>
        <w:tc>
          <w:tcPr>
            <w:tcW w:w="846" w:type="dxa"/>
            <w:tcBorders>
              <w:top w:val="single" w:sz="4" w:space="0" w:color="auto"/>
              <w:left w:val="single" w:sz="4" w:space="0" w:color="auto"/>
              <w:bottom w:val="single" w:sz="4" w:space="0" w:color="auto"/>
              <w:right w:val="single" w:sz="4" w:space="0" w:color="auto"/>
            </w:tcBorders>
            <w:hideMark/>
          </w:tcPr>
          <w:p w14:paraId="59B54D73" w14:textId="77777777" w:rsidR="00370535" w:rsidRPr="00370535" w:rsidRDefault="00370535" w:rsidP="00370535">
            <w:pPr>
              <w:rPr>
                <w:rFonts w:cs="Arial"/>
              </w:rPr>
            </w:pPr>
            <w:r w:rsidRPr="00370535">
              <w:rPr>
                <w:rFonts w:cs="Arial"/>
              </w:rPr>
              <w:t>16</w:t>
            </w:r>
          </w:p>
        </w:tc>
        <w:tc>
          <w:tcPr>
            <w:tcW w:w="3544" w:type="dxa"/>
            <w:tcBorders>
              <w:top w:val="single" w:sz="4" w:space="0" w:color="auto"/>
              <w:left w:val="single" w:sz="4" w:space="0" w:color="auto"/>
              <w:bottom w:val="single" w:sz="4" w:space="0" w:color="auto"/>
              <w:right w:val="single" w:sz="4" w:space="0" w:color="auto"/>
            </w:tcBorders>
            <w:noWrap/>
            <w:hideMark/>
          </w:tcPr>
          <w:p w14:paraId="1B690BEC" w14:textId="77777777" w:rsidR="00370535" w:rsidRPr="00370535" w:rsidRDefault="00370535" w:rsidP="00370535">
            <w:pPr>
              <w:rPr>
                <w:rFonts w:cs="Arial"/>
              </w:rPr>
            </w:pPr>
            <w:r w:rsidRPr="00370535">
              <w:rPr>
                <w:rFonts w:cs="Arial"/>
              </w:rPr>
              <w:t>Newport</w:t>
            </w:r>
          </w:p>
        </w:tc>
        <w:tc>
          <w:tcPr>
            <w:tcW w:w="3685" w:type="dxa"/>
            <w:tcBorders>
              <w:top w:val="single" w:sz="4" w:space="0" w:color="auto"/>
              <w:left w:val="single" w:sz="4" w:space="0" w:color="auto"/>
              <w:bottom w:val="single" w:sz="4" w:space="0" w:color="auto"/>
              <w:right w:val="single" w:sz="4" w:space="0" w:color="auto"/>
            </w:tcBorders>
            <w:noWrap/>
            <w:hideMark/>
          </w:tcPr>
          <w:p w14:paraId="27FB19BA" w14:textId="77777777" w:rsidR="00370535" w:rsidRPr="00370535" w:rsidRDefault="00370535" w:rsidP="00C95FAA">
            <w:pPr>
              <w:jc w:val="center"/>
              <w:rPr>
                <w:rFonts w:cs="Arial"/>
              </w:rPr>
            </w:pPr>
            <w:r w:rsidRPr="00370535">
              <w:rPr>
                <w:rFonts w:cs="Arial"/>
              </w:rPr>
              <w:t>14.0</w:t>
            </w:r>
          </w:p>
        </w:tc>
      </w:tr>
      <w:tr w:rsidR="00370535" w:rsidRPr="00370535" w14:paraId="6623AFFC" w14:textId="77777777" w:rsidTr="00370535">
        <w:trPr>
          <w:trHeight w:val="300"/>
        </w:trPr>
        <w:tc>
          <w:tcPr>
            <w:tcW w:w="846" w:type="dxa"/>
            <w:tcBorders>
              <w:top w:val="single" w:sz="4" w:space="0" w:color="auto"/>
              <w:left w:val="single" w:sz="4" w:space="0" w:color="auto"/>
              <w:bottom w:val="single" w:sz="4" w:space="0" w:color="auto"/>
              <w:right w:val="single" w:sz="4" w:space="0" w:color="auto"/>
            </w:tcBorders>
            <w:hideMark/>
          </w:tcPr>
          <w:p w14:paraId="7024AD62" w14:textId="77777777" w:rsidR="00370535" w:rsidRPr="00370535" w:rsidRDefault="00370535" w:rsidP="00370535">
            <w:pPr>
              <w:rPr>
                <w:rFonts w:cs="Arial"/>
              </w:rPr>
            </w:pPr>
            <w:r w:rsidRPr="00370535">
              <w:rPr>
                <w:rFonts w:cs="Arial"/>
              </w:rPr>
              <w:t>17</w:t>
            </w:r>
          </w:p>
        </w:tc>
        <w:tc>
          <w:tcPr>
            <w:tcW w:w="3544" w:type="dxa"/>
            <w:tcBorders>
              <w:top w:val="single" w:sz="4" w:space="0" w:color="auto"/>
              <w:left w:val="single" w:sz="4" w:space="0" w:color="auto"/>
              <w:bottom w:val="single" w:sz="4" w:space="0" w:color="auto"/>
              <w:right w:val="single" w:sz="4" w:space="0" w:color="auto"/>
            </w:tcBorders>
            <w:noWrap/>
            <w:hideMark/>
          </w:tcPr>
          <w:p w14:paraId="4A1C8668" w14:textId="77777777" w:rsidR="00370535" w:rsidRPr="00370535" w:rsidRDefault="00370535" w:rsidP="00370535">
            <w:pPr>
              <w:rPr>
                <w:rFonts w:cs="Arial"/>
              </w:rPr>
            </w:pPr>
            <w:r w:rsidRPr="00370535">
              <w:rPr>
                <w:rFonts w:cs="Arial"/>
              </w:rPr>
              <w:t>Neath Port Talbot</w:t>
            </w:r>
          </w:p>
        </w:tc>
        <w:tc>
          <w:tcPr>
            <w:tcW w:w="3685" w:type="dxa"/>
            <w:tcBorders>
              <w:top w:val="single" w:sz="4" w:space="0" w:color="auto"/>
              <w:left w:val="single" w:sz="4" w:space="0" w:color="auto"/>
              <w:bottom w:val="single" w:sz="4" w:space="0" w:color="auto"/>
              <w:right w:val="single" w:sz="4" w:space="0" w:color="auto"/>
            </w:tcBorders>
            <w:noWrap/>
            <w:hideMark/>
          </w:tcPr>
          <w:p w14:paraId="435D1CB9" w14:textId="77777777" w:rsidR="00370535" w:rsidRPr="00370535" w:rsidRDefault="00370535" w:rsidP="00C95FAA">
            <w:pPr>
              <w:jc w:val="center"/>
              <w:rPr>
                <w:rFonts w:cs="Arial"/>
              </w:rPr>
            </w:pPr>
            <w:r w:rsidRPr="00370535">
              <w:rPr>
                <w:rFonts w:cs="Arial"/>
              </w:rPr>
              <w:t>14.2</w:t>
            </w:r>
          </w:p>
        </w:tc>
      </w:tr>
      <w:tr w:rsidR="00370535" w:rsidRPr="00370535" w14:paraId="38981955" w14:textId="77777777" w:rsidTr="00370535">
        <w:trPr>
          <w:trHeight w:val="300"/>
        </w:trPr>
        <w:tc>
          <w:tcPr>
            <w:tcW w:w="846" w:type="dxa"/>
            <w:tcBorders>
              <w:top w:val="single" w:sz="4" w:space="0" w:color="auto"/>
              <w:left w:val="single" w:sz="4" w:space="0" w:color="auto"/>
              <w:bottom w:val="single" w:sz="4" w:space="0" w:color="auto"/>
              <w:right w:val="single" w:sz="4" w:space="0" w:color="auto"/>
            </w:tcBorders>
            <w:hideMark/>
          </w:tcPr>
          <w:p w14:paraId="02233B08" w14:textId="77777777" w:rsidR="00370535" w:rsidRPr="00370535" w:rsidRDefault="00370535" w:rsidP="00370535">
            <w:pPr>
              <w:rPr>
                <w:rFonts w:cs="Arial"/>
              </w:rPr>
            </w:pPr>
            <w:r w:rsidRPr="00370535">
              <w:rPr>
                <w:rFonts w:cs="Arial"/>
              </w:rPr>
              <w:t>18</w:t>
            </w:r>
          </w:p>
        </w:tc>
        <w:tc>
          <w:tcPr>
            <w:tcW w:w="3544" w:type="dxa"/>
            <w:tcBorders>
              <w:top w:val="single" w:sz="4" w:space="0" w:color="auto"/>
              <w:left w:val="single" w:sz="4" w:space="0" w:color="auto"/>
              <w:bottom w:val="single" w:sz="4" w:space="0" w:color="auto"/>
              <w:right w:val="single" w:sz="4" w:space="0" w:color="auto"/>
            </w:tcBorders>
            <w:noWrap/>
            <w:hideMark/>
          </w:tcPr>
          <w:p w14:paraId="1C9C4546" w14:textId="77777777" w:rsidR="00370535" w:rsidRPr="00370535" w:rsidRDefault="00370535" w:rsidP="00370535">
            <w:pPr>
              <w:rPr>
                <w:rFonts w:cs="Arial"/>
              </w:rPr>
            </w:pPr>
            <w:r w:rsidRPr="00370535">
              <w:rPr>
                <w:rFonts w:cs="Arial"/>
              </w:rPr>
              <w:t>Gwynedd</w:t>
            </w:r>
          </w:p>
        </w:tc>
        <w:tc>
          <w:tcPr>
            <w:tcW w:w="3685" w:type="dxa"/>
            <w:tcBorders>
              <w:top w:val="single" w:sz="4" w:space="0" w:color="auto"/>
              <w:left w:val="single" w:sz="4" w:space="0" w:color="auto"/>
              <w:bottom w:val="single" w:sz="4" w:space="0" w:color="auto"/>
              <w:right w:val="single" w:sz="4" w:space="0" w:color="auto"/>
            </w:tcBorders>
            <w:noWrap/>
            <w:hideMark/>
          </w:tcPr>
          <w:p w14:paraId="321A5E15" w14:textId="77777777" w:rsidR="00370535" w:rsidRPr="00370535" w:rsidRDefault="00370535" w:rsidP="00C95FAA">
            <w:pPr>
              <w:jc w:val="center"/>
              <w:rPr>
                <w:rFonts w:cs="Arial"/>
              </w:rPr>
            </w:pPr>
            <w:r w:rsidRPr="00370535">
              <w:rPr>
                <w:rFonts w:cs="Arial"/>
              </w:rPr>
              <w:t>14.4</w:t>
            </w:r>
          </w:p>
        </w:tc>
      </w:tr>
      <w:tr w:rsidR="00370535" w:rsidRPr="00370535" w14:paraId="04D5E3E5" w14:textId="77777777" w:rsidTr="00370535">
        <w:trPr>
          <w:trHeight w:val="300"/>
        </w:trPr>
        <w:tc>
          <w:tcPr>
            <w:tcW w:w="846" w:type="dxa"/>
            <w:tcBorders>
              <w:top w:val="single" w:sz="4" w:space="0" w:color="auto"/>
              <w:left w:val="single" w:sz="4" w:space="0" w:color="auto"/>
              <w:bottom w:val="single" w:sz="4" w:space="0" w:color="auto"/>
              <w:right w:val="single" w:sz="4" w:space="0" w:color="auto"/>
            </w:tcBorders>
            <w:hideMark/>
          </w:tcPr>
          <w:p w14:paraId="3E109338" w14:textId="77777777" w:rsidR="00370535" w:rsidRPr="00370535" w:rsidRDefault="00370535" w:rsidP="00370535">
            <w:pPr>
              <w:rPr>
                <w:rFonts w:cs="Arial"/>
              </w:rPr>
            </w:pPr>
            <w:r w:rsidRPr="00370535">
              <w:rPr>
                <w:rFonts w:cs="Arial"/>
              </w:rPr>
              <w:t>19</w:t>
            </w:r>
          </w:p>
        </w:tc>
        <w:tc>
          <w:tcPr>
            <w:tcW w:w="3544" w:type="dxa"/>
            <w:tcBorders>
              <w:top w:val="single" w:sz="4" w:space="0" w:color="auto"/>
              <w:left w:val="single" w:sz="4" w:space="0" w:color="auto"/>
              <w:bottom w:val="single" w:sz="4" w:space="0" w:color="auto"/>
              <w:right w:val="single" w:sz="4" w:space="0" w:color="auto"/>
            </w:tcBorders>
            <w:noWrap/>
            <w:hideMark/>
          </w:tcPr>
          <w:p w14:paraId="1CEC8DCF" w14:textId="77777777" w:rsidR="00370535" w:rsidRPr="00370535" w:rsidRDefault="00370535" w:rsidP="00370535">
            <w:pPr>
              <w:rPr>
                <w:rFonts w:cs="Arial"/>
              </w:rPr>
            </w:pPr>
            <w:r w:rsidRPr="00370535">
              <w:rPr>
                <w:rFonts w:cs="Arial"/>
              </w:rPr>
              <w:t>Rhondda Cynon Taf</w:t>
            </w:r>
          </w:p>
        </w:tc>
        <w:tc>
          <w:tcPr>
            <w:tcW w:w="3685" w:type="dxa"/>
            <w:tcBorders>
              <w:top w:val="single" w:sz="4" w:space="0" w:color="auto"/>
              <w:left w:val="single" w:sz="4" w:space="0" w:color="auto"/>
              <w:bottom w:val="single" w:sz="4" w:space="0" w:color="auto"/>
              <w:right w:val="single" w:sz="4" w:space="0" w:color="auto"/>
            </w:tcBorders>
            <w:noWrap/>
            <w:hideMark/>
          </w:tcPr>
          <w:p w14:paraId="3A08F619" w14:textId="77777777" w:rsidR="00370535" w:rsidRPr="00370535" w:rsidRDefault="00370535" w:rsidP="00C95FAA">
            <w:pPr>
              <w:jc w:val="center"/>
              <w:rPr>
                <w:rFonts w:cs="Arial"/>
              </w:rPr>
            </w:pPr>
            <w:r w:rsidRPr="00370535">
              <w:rPr>
                <w:rFonts w:cs="Arial"/>
              </w:rPr>
              <w:t>14.4</w:t>
            </w:r>
          </w:p>
        </w:tc>
      </w:tr>
      <w:tr w:rsidR="00370535" w:rsidRPr="00370535" w14:paraId="094629A6" w14:textId="77777777" w:rsidTr="00370535">
        <w:trPr>
          <w:trHeight w:val="300"/>
        </w:trPr>
        <w:tc>
          <w:tcPr>
            <w:tcW w:w="846" w:type="dxa"/>
            <w:tcBorders>
              <w:top w:val="single" w:sz="4" w:space="0" w:color="auto"/>
              <w:left w:val="single" w:sz="4" w:space="0" w:color="auto"/>
              <w:bottom w:val="single" w:sz="4" w:space="0" w:color="auto"/>
              <w:right w:val="single" w:sz="4" w:space="0" w:color="auto"/>
            </w:tcBorders>
            <w:hideMark/>
          </w:tcPr>
          <w:p w14:paraId="1C946E42" w14:textId="77777777" w:rsidR="00370535" w:rsidRPr="00370535" w:rsidRDefault="00370535" w:rsidP="00370535">
            <w:pPr>
              <w:rPr>
                <w:rFonts w:cs="Arial"/>
              </w:rPr>
            </w:pPr>
            <w:r w:rsidRPr="00370535">
              <w:rPr>
                <w:rFonts w:cs="Arial"/>
              </w:rPr>
              <w:t>20</w:t>
            </w:r>
          </w:p>
        </w:tc>
        <w:tc>
          <w:tcPr>
            <w:tcW w:w="3544" w:type="dxa"/>
            <w:tcBorders>
              <w:top w:val="single" w:sz="4" w:space="0" w:color="auto"/>
              <w:left w:val="single" w:sz="4" w:space="0" w:color="auto"/>
              <w:bottom w:val="single" w:sz="4" w:space="0" w:color="auto"/>
              <w:right w:val="single" w:sz="4" w:space="0" w:color="auto"/>
            </w:tcBorders>
            <w:noWrap/>
            <w:hideMark/>
          </w:tcPr>
          <w:p w14:paraId="055697F2" w14:textId="77777777" w:rsidR="00370535" w:rsidRPr="00370535" w:rsidRDefault="00370535" w:rsidP="00370535">
            <w:pPr>
              <w:rPr>
                <w:rFonts w:cs="Arial"/>
              </w:rPr>
            </w:pPr>
            <w:r w:rsidRPr="00370535">
              <w:rPr>
                <w:rFonts w:cs="Arial"/>
              </w:rPr>
              <w:t>Blaenau Gwent</w:t>
            </w:r>
          </w:p>
        </w:tc>
        <w:tc>
          <w:tcPr>
            <w:tcW w:w="3685" w:type="dxa"/>
            <w:tcBorders>
              <w:top w:val="single" w:sz="4" w:space="0" w:color="auto"/>
              <w:left w:val="single" w:sz="4" w:space="0" w:color="auto"/>
              <w:bottom w:val="single" w:sz="4" w:space="0" w:color="auto"/>
              <w:right w:val="single" w:sz="4" w:space="0" w:color="auto"/>
            </w:tcBorders>
            <w:noWrap/>
            <w:hideMark/>
          </w:tcPr>
          <w:p w14:paraId="660FDAB4" w14:textId="77777777" w:rsidR="00370535" w:rsidRPr="00370535" w:rsidRDefault="00370535" w:rsidP="00C95FAA">
            <w:pPr>
              <w:jc w:val="center"/>
              <w:rPr>
                <w:rFonts w:cs="Arial"/>
              </w:rPr>
            </w:pPr>
            <w:r w:rsidRPr="00370535">
              <w:rPr>
                <w:rFonts w:cs="Arial"/>
              </w:rPr>
              <w:t>15.4</w:t>
            </w:r>
          </w:p>
        </w:tc>
      </w:tr>
      <w:tr w:rsidR="00370535" w:rsidRPr="00370535" w14:paraId="40D22E33" w14:textId="77777777" w:rsidTr="00370535">
        <w:trPr>
          <w:trHeight w:val="300"/>
        </w:trPr>
        <w:tc>
          <w:tcPr>
            <w:tcW w:w="846" w:type="dxa"/>
            <w:tcBorders>
              <w:top w:val="single" w:sz="4" w:space="0" w:color="auto"/>
              <w:left w:val="single" w:sz="4" w:space="0" w:color="auto"/>
              <w:bottom w:val="single" w:sz="4" w:space="0" w:color="auto"/>
              <w:right w:val="single" w:sz="4" w:space="0" w:color="auto"/>
            </w:tcBorders>
            <w:hideMark/>
          </w:tcPr>
          <w:p w14:paraId="63B87B40" w14:textId="77777777" w:rsidR="00370535" w:rsidRPr="00370535" w:rsidRDefault="00370535" w:rsidP="00370535">
            <w:pPr>
              <w:rPr>
                <w:rFonts w:cs="Arial"/>
              </w:rPr>
            </w:pPr>
            <w:r w:rsidRPr="00370535">
              <w:rPr>
                <w:rFonts w:cs="Arial"/>
              </w:rPr>
              <w:t>21</w:t>
            </w:r>
          </w:p>
        </w:tc>
        <w:tc>
          <w:tcPr>
            <w:tcW w:w="3544" w:type="dxa"/>
            <w:tcBorders>
              <w:top w:val="single" w:sz="4" w:space="0" w:color="auto"/>
              <w:left w:val="single" w:sz="4" w:space="0" w:color="auto"/>
              <w:bottom w:val="single" w:sz="4" w:space="0" w:color="auto"/>
              <w:right w:val="single" w:sz="4" w:space="0" w:color="auto"/>
            </w:tcBorders>
            <w:noWrap/>
            <w:hideMark/>
          </w:tcPr>
          <w:p w14:paraId="375D3E10" w14:textId="77777777" w:rsidR="00370535" w:rsidRPr="00370535" w:rsidRDefault="00370535" w:rsidP="00370535">
            <w:pPr>
              <w:rPr>
                <w:rFonts w:cs="Arial"/>
              </w:rPr>
            </w:pPr>
            <w:r w:rsidRPr="00370535">
              <w:rPr>
                <w:rFonts w:cs="Arial"/>
              </w:rPr>
              <w:t>Torfaen</w:t>
            </w:r>
          </w:p>
        </w:tc>
        <w:tc>
          <w:tcPr>
            <w:tcW w:w="3685" w:type="dxa"/>
            <w:tcBorders>
              <w:top w:val="single" w:sz="4" w:space="0" w:color="auto"/>
              <w:left w:val="single" w:sz="4" w:space="0" w:color="auto"/>
              <w:bottom w:val="single" w:sz="4" w:space="0" w:color="auto"/>
              <w:right w:val="single" w:sz="4" w:space="0" w:color="auto"/>
            </w:tcBorders>
            <w:noWrap/>
            <w:hideMark/>
          </w:tcPr>
          <w:p w14:paraId="0F22B04D" w14:textId="77777777" w:rsidR="00370535" w:rsidRPr="00370535" w:rsidRDefault="00370535" w:rsidP="00C95FAA">
            <w:pPr>
              <w:jc w:val="center"/>
              <w:rPr>
                <w:rFonts w:cs="Arial"/>
              </w:rPr>
            </w:pPr>
            <w:r w:rsidRPr="00370535">
              <w:rPr>
                <w:rFonts w:cs="Arial"/>
              </w:rPr>
              <w:t>15.4</w:t>
            </w:r>
          </w:p>
        </w:tc>
      </w:tr>
      <w:tr w:rsidR="00370535" w:rsidRPr="00370535" w14:paraId="0E5D1847" w14:textId="77777777" w:rsidTr="00370535">
        <w:trPr>
          <w:trHeight w:val="300"/>
        </w:trPr>
        <w:tc>
          <w:tcPr>
            <w:tcW w:w="846" w:type="dxa"/>
            <w:tcBorders>
              <w:top w:val="single" w:sz="4" w:space="0" w:color="auto"/>
              <w:left w:val="single" w:sz="4" w:space="0" w:color="auto"/>
              <w:bottom w:val="single" w:sz="4" w:space="0" w:color="auto"/>
              <w:right w:val="single" w:sz="4" w:space="0" w:color="auto"/>
            </w:tcBorders>
            <w:hideMark/>
          </w:tcPr>
          <w:p w14:paraId="5A432528" w14:textId="77777777" w:rsidR="00370535" w:rsidRPr="00370535" w:rsidRDefault="00370535" w:rsidP="00370535">
            <w:pPr>
              <w:rPr>
                <w:rFonts w:cs="Arial"/>
              </w:rPr>
            </w:pPr>
            <w:r w:rsidRPr="00370535">
              <w:rPr>
                <w:rFonts w:cs="Arial"/>
              </w:rPr>
              <w:t>22</w:t>
            </w:r>
          </w:p>
        </w:tc>
        <w:tc>
          <w:tcPr>
            <w:tcW w:w="3544" w:type="dxa"/>
            <w:tcBorders>
              <w:top w:val="single" w:sz="4" w:space="0" w:color="auto"/>
              <w:left w:val="single" w:sz="4" w:space="0" w:color="auto"/>
              <w:bottom w:val="single" w:sz="4" w:space="0" w:color="auto"/>
              <w:right w:val="single" w:sz="4" w:space="0" w:color="auto"/>
            </w:tcBorders>
            <w:noWrap/>
            <w:hideMark/>
          </w:tcPr>
          <w:p w14:paraId="5CF54612" w14:textId="77777777" w:rsidR="00370535" w:rsidRPr="00370535" w:rsidRDefault="00370535" w:rsidP="00370535">
            <w:pPr>
              <w:rPr>
                <w:rFonts w:cs="Arial"/>
              </w:rPr>
            </w:pPr>
            <w:r w:rsidRPr="00370535">
              <w:rPr>
                <w:rFonts w:cs="Arial"/>
              </w:rPr>
              <w:t>Merthyr Tydfil</w:t>
            </w:r>
          </w:p>
        </w:tc>
        <w:tc>
          <w:tcPr>
            <w:tcW w:w="3685" w:type="dxa"/>
            <w:tcBorders>
              <w:top w:val="single" w:sz="4" w:space="0" w:color="auto"/>
              <w:left w:val="single" w:sz="4" w:space="0" w:color="auto"/>
              <w:bottom w:val="single" w:sz="4" w:space="0" w:color="auto"/>
              <w:right w:val="single" w:sz="4" w:space="0" w:color="auto"/>
            </w:tcBorders>
            <w:noWrap/>
            <w:hideMark/>
          </w:tcPr>
          <w:p w14:paraId="488E18E0" w14:textId="77777777" w:rsidR="00370535" w:rsidRPr="00370535" w:rsidRDefault="00370535" w:rsidP="00C95FAA">
            <w:pPr>
              <w:jc w:val="center"/>
              <w:rPr>
                <w:rFonts w:cs="Arial"/>
              </w:rPr>
            </w:pPr>
            <w:r w:rsidRPr="00370535">
              <w:rPr>
                <w:rFonts w:cs="Arial"/>
              </w:rPr>
              <w:t>15.7</w:t>
            </w:r>
          </w:p>
        </w:tc>
      </w:tr>
    </w:tbl>
    <w:p w14:paraId="24791989" w14:textId="77777777" w:rsidR="00370535" w:rsidRPr="00370535" w:rsidRDefault="00370535" w:rsidP="00370535">
      <w:pPr>
        <w:rPr>
          <w:rFonts w:cs="Arial"/>
        </w:rPr>
      </w:pPr>
    </w:p>
    <w:p w14:paraId="54D56A05" w14:textId="77777777" w:rsidR="00370535" w:rsidRPr="00370535" w:rsidRDefault="00370535" w:rsidP="00370535">
      <w:pPr>
        <w:rPr>
          <w:rFonts w:cs="Arial"/>
        </w:rPr>
      </w:pPr>
      <w:r w:rsidRPr="00370535">
        <w:rPr>
          <w:rFonts w:cs="Arial"/>
        </w:rPr>
        <w:t>The table below shows the percentage of adults aged 16 years and over, in Swansea and Neath Port Talbot who have self-reported engaging in smoking and e-cigarettes as recorded by the National Survey for Wales</w:t>
      </w:r>
      <w:r w:rsidRPr="00370535">
        <w:rPr>
          <w:rFonts w:cs="Arial"/>
          <w:vertAlign w:val="superscript"/>
        </w:rPr>
        <w:footnoteReference w:id="80"/>
      </w:r>
      <w:r w:rsidRPr="00370535">
        <w:rPr>
          <w:rFonts w:cs="Arial"/>
        </w:rPr>
        <w:t xml:space="preserve"> between 2021 and 2023. </w:t>
      </w:r>
    </w:p>
    <w:p w14:paraId="17871853" w14:textId="77777777" w:rsidR="00C95FAA" w:rsidRPr="00370535" w:rsidRDefault="00C95FAA" w:rsidP="00370535">
      <w:pPr>
        <w:rPr>
          <w:rFonts w:cs="Arial"/>
        </w:rPr>
      </w:pPr>
    </w:p>
    <w:p w14:paraId="362E5BBA" w14:textId="77777777" w:rsidR="00370535" w:rsidRPr="00370535" w:rsidRDefault="00370535" w:rsidP="00370535">
      <w:pPr>
        <w:rPr>
          <w:rFonts w:cs="Arial"/>
          <w:b/>
          <w:bCs/>
        </w:rPr>
      </w:pPr>
      <w:r w:rsidRPr="00370535">
        <w:rPr>
          <w:rFonts w:cs="Arial"/>
          <w:b/>
          <w:bCs/>
        </w:rPr>
        <w:t>Table 3.10: Percentage of adults (aged 16 years and over) who self-reported engaging in smoking and e-cigarettes by local authority and Wales, 2021 to 2023</w:t>
      </w:r>
      <w:r w:rsidRPr="00370535">
        <w:rPr>
          <w:rFonts w:cs="Arial"/>
          <w:b/>
          <w:bCs/>
          <w:vertAlign w:val="superscript"/>
        </w:rPr>
        <w:footnoteReference w:id="81"/>
      </w:r>
    </w:p>
    <w:p w14:paraId="2B81CA95" w14:textId="77777777" w:rsidR="00370535" w:rsidRPr="00370535" w:rsidRDefault="00370535" w:rsidP="00370535">
      <w:pPr>
        <w:rPr>
          <w:rFonts w:cs="Arial"/>
          <w:b/>
        </w:rPr>
      </w:pPr>
    </w:p>
    <w:tbl>
      <w:tblPr>
        <w:tblStyle w:val="TableGrid4"/>
        <w:tblW w:w="9072" w:type="dxa"/>
        <w:tblInd w:w="-5" w:type="dxa"/>
        <w:tblLook w:val="04A0" w:firstRow="1" w:lastRow="0" w:firstColumn="1" w:lastColumn="0" w:noHBand="0" w:noVBand="1"/>
      </w:tblPr>
      <w:tblGrid>
        <w:gridCol w:w="2103"/>
        <w:gridCol w:w="1725"/>
        <w:gridCol w:w="2693"/>
        <w:gridCol w:w="2551"/>
      </w:tblGrid>
      <w:tr w:rsidR="00370535" w:rsidRPr="00370535" w14:paraId="07A32E81" w14:textId="77777777" w:rsidTr="00C95FAA">
        <w:trPr>
          <w:trHeight w:val="768"/>
        </w:trPr>
        <w:tc>
          <w:tcPr>
            <w:tcW w:w="0" w:type="auto"/>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2D459211" w14:textId="77777777" w:rsidR="00370535" w:rsidRPr="00370535" w:rsidRDefault="00370535" w:rsidP="00370535">
            <w:pPr>
              <w:rPr>
                <w:rFonts w:cs="Arial"/>
                <w:b/>
              </w:rPr>
            </w:pPr>
            <w:r w:rsidRPr="00370535">
              <w:rPr>
                <w:rFonts w:cs="Arial"/>
                <w:b/>
              </w:rPr>
              <w:t>Area</w:t>
            </w:r>
          </w:p>
        </w:tc>
        <w:tc>
          <w:tcPr>
            <w:tcW w:w="1725"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61016B25" w14:textId="77777777" w:rsidR="00370535" w:rsidRPr="00370535" w:rsidRDefault="00370535" w:rsidP="00370535">
            <w:pPr>
              <w:rPr>
                <w:rFonts w:cs="Arial"/>
                <w:b/>
              </w:rPr>
            </w:pPr>
            <w:r w:rsidRPr="00370535">
              <w:rPr>
                <w:rFonts w:cs="Arial"/>
                <w:b/>
              </w:rPr>
              <w:t>Population 16 years and over</w:t>
            </w:r>
          </w:p>
        </w:tc>
        <w:tc>
          <w:tcPr>
            <w:tcW w:w="2693"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0E784389" w14:textId="77777777" w:rsidR="00370535" w:rsidRPr="00370535" w:rsidRDefault="00370535" w:rsidP="00370535">
            <w:pPr>
              <w:rPr>
                <w:rFonts w:cs="Arial"/>
                <w:b/>
              </w:rPr>
            </w:pPr>
            <w:r w:rsidRPr="00370535">
              <w:rPr>
                <w:rFonts w:cs="Arial"/>
                <w:b/>
              </w:rPr>
              <w:t>Percentage of self-reported smokers</w:t>
            </w:r>
          </w:p>
        </w:tc>
        <w:tc>
          <w:tcPr>
            <w:tcW w:w="2551"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36C3911F" w14:textId="77777777" w:rsidR="00370535" w:rsidRPr="00370535" w:rsidRDefault="00370535" w:rsidP="00370535">
            <w:pPr>
              <w:rPr>
                <w:rFonts w:cs="Arial"/>
                <w:b/>
              </w:rPr>
            </w:pPr>
            <w:r w:rsidRPr="00370535">
              <w:rPr>
                <w:rFonts w:cs="Arial"/>
                <w:b/>
              </w:rPr>
              <w:t>Percentage of self-reported e-cigarette users</w:t>
            </w:r>
          </w:p>
        </w:tc>
      </w:tr>
      <w:tr w:rsidR="00370535" w:rsidRPr="00370535" w14:paraId="64433E27" w14:textId="77777777" w:rsidTr="00370535">
        <w:trPr>
          <w:trHeight w:val="698"/>
        </w:trPr>
        <w:tc>
          <w:tcPr>
            <w:tcW w:w="0" w:type="auto"/>
            <w:tcBorders>
              <w:top w:val="single" w:sz="4" w:space="0" w:color="auto"/>
              <w:left w:val="single" w:sz="4" w:space="0" w:color="auto"/>
              <w:bottom w:val="single" w:sz="4" w:space="0" w:color="auto"/>
              <w:right w:val="single" w:sz="4" w:space="0" w:color="auto"/>
            </w:tcBorders>
            <w:hideMark/>
          </w:tcPr>
          <w:p w14:paraId="1A3BAEFB" w14:textId="77777777" w:rsidR="00370535" w:rsidRPr="00370535" w:rsidRDefault="00370535" w:rsidP="00370535">
            <w:pPr>
              <w:rPr>
                <w:rFonts w:cs="Arial"/>
                <w:bCs/>
              </w:rPr>
            </w:pPr>
            <w:r w:rsidRPr="00370535">
              <w:rPr>
                <w:rFonts w:cs="Arial"/>
                <w:bCs/>
              </w:rPr>
              <w:t>Swansea Local Authority</w:t>
            </w:r>
          </w:p>
        </w:tc>
        <w:tc>
          <w:tcPr>
            <w:tcW w:w="1725" w:type="dxa"/>
            <w:tcBorders>
              <w:top w:val="single" w:sz="4" w:space="0" w:color="auto"/>
              <w:left w:val="single" w:sz="4" w:space="0" w:color="auto"/>
              <w:bottom w:val="single" w:sz="4" w:space="0" w:color="auto"/>
              <w:right w:val="single" w:sz="4" w:space="0" w:color="auto"/>
            </w:tcBorders>
            <w:hideMark/>
          </w:tcPr>
          <w:p w14:paraId="7EB49BC9" w14:textId="77777777" w:rsidR="00370535" w:rsidRPr="00370535" w:rsidRDefault="00370535" w:rsidP="00370535">
            <w:pPr>
              <w:rPr>
                <w:rFonts w:cs="Arial"/>
                <w:bCs/>
              </w:rPr>
            </w:pPr>
            <w:r w:rsidRPr="00370535">
              <w:rPr>
                <w:rFonts w:cs="Arial"/>
                <w:bCs/>
              </w:rPr>
              <w:t>209,302</w:t>
            </w:r>
            <w:r w:rsidRPr="00370535">
              <w:rPr>
                <w:rFonts w:cs="Arial"/>
                <w:bCs/>
                <w:vertAlign w:val="superscript"/>
              </w:rPr>
              <w:footnoteReference w:id="82"/>
            </w:r>
          </w:p>
        </w:tc>
        <w:tc>
          <w:tcPr>
            <w:tcW w:w="2693" w:type="dxa"/>
            <w:tcBorders>
              <w:top w:val="single" w:sz="4" w:space="0" w:color="auto"/>
              <w:left w:val="single" w:sz="4" w:space="0" w:color="auto"/>
              <w:bottom w:val="single" w:sz="4" w:space="0" w:color="auto"/>
              <w:right w:val="single" w:sz="4" w:space="0" w:color="auto"/>
            </w:tcBorders>
            <w:hideMark/>
          </w:tcPr>
          <w:p w14:paraId="71C96E98" w14:textId="77777777" w:rsidR="00370535" w:rsidRPr="00370535" w:rsidRDefault="00370535" w:rsidP="00370535">
            <w:pPr>
              <w:rPr>
                <w:rFonts w:cs="Arial"/>
                <w:bCs/>
              </w:rPr>
            </w:pPr>
            <w:r w:rsidRPr="00370535">
              <w:rPr>
                <w:rFonts w:cs="Arial"/>
                <w:bCs/>
              </w:rPr>
              <w:t>12.0%</w:t>
            </w:r>
          </w:p>
        </w:tc>
        <w:tc>
          <w:tcPr>
            <w:tcW w:w="2551" w:type="dxa"/>
            <w:tcBorders>
              <w:top w:val="single" w:sz="4" w:space="0" w:color="auto"/>
              <w:left w:val="single" w:sz="4" w:space="0" w:color="auto"/>
              <w:bottom w:val="single" w:sz="4" w:space="0" w:color="auto"/>
              <w:right w:val="single" w:sz="4" w:space="0" w:color="auto"/>
            </w:tcBorders>
            <w:hideMark/>
          </w:tcPr>
          <w:p w14:paraId="57A4B1BB" w14:textId="77777777" w:rsidR="00370535" w:rsidRPr="00370535" w:rsidRDefault="00370535" w:rsidP="00370535">
            <w:pPr>
              <w:rPr>
                <w:rFonts w:cs="Arial"/>
                <w:bCs/>
              </w:rPr>
            </w:pPr>
            <w:r w:rsidRPr="00370535">
              <w:rPr>
                <w:rFonts w:cs="Arial"/>
                <w:bCs/>
              </w:rPr>
              <w:t>8.0%</w:t>
            </w:r>
          </w:p>
        </w:tc>
      </w:tr>
      <w:tr w:rsidR="00370535" w:rsidRPr="00370535" w14:paraId="5920EB0D" w14:textId="77777777" w:rsidTr="00370535">
        <w:trPr>
          <w:trHeight w:val="316"/>
        </w:trPr>
        <w:tc>
          <w:tcPr>
            <w:tcW w:w="0" w:type="auto"/>
            <w:tcBorders>
              <w:top w:val="single" w:sz="4" w:space="0" w:color="auto"/>
              <w:left w:val="single" w:sz="4" w:space="0" w:color="auto"/>
              <w:bottom w:val="single" w:sz="4" w:space="0" w:color="auto"/>
              <w:right w:val="single" w:sz="4" w:space="0" w:color="auto"/>
            </w:tcBorders>
            <w:hideMark/>
          </w:tcPr>
          <w:p w14:paraId="02B45B9A" w14:textId="77777777" w:rsidR="00370535" w:rsidRPr="00370535" w:rsidRDefault="00370535" w:rsidP="00370535">
            <w:pPr>
              <w:rPr>
                <w:rFonts w:cs="Arial"/>
                <w:bCs/>
              </w:rPr>
            </w:pPr>
            <w:r w:rsidRPr="00370535">
              <w:rPr>
                <w:rFonts w:cs="Arial"/>
                <w:bCs/>
              </w:rPr>
              <w:t>Neath Port Talbot Local Authority</w:t>
            </w:r>
          </w:p>
        </w:tc>
        <w:tc>
          <w:tcPr>
            <w:tcW w:w="1725" w:type="dxa"/>
            <w:tcBorders>
              <w:top w:val="single" w:sz="4" w:space="0" w:color="auto"/>
              <w:left w:val="single" w:sz="4" w:space="0" w:color="auto"/>
              <w:bottom w:val="single" w:sz="4" w:space="0" w:color="auto"/>
              <w:right w:val="single" w:sz="4" w:space="0" w:color="auto"/>
            </w:tcBorders>
            <w:hideMark/>
          </w:tcPr>
          <w:p w14:paraId="5C2AD8F8" w14:textId="77777777" w:rsidR="00370535" w:rsidRPr="00370535" w:rsidRDefault="00370535" w:rsidP="00370535">
            <w:pPr>
              <w:rPr>
                <w:rFonts w:cs="Arial"/>
                <w:bCs/>
              </w:rPr>
            </w:pPr>
            <w:r w:rsidRPr="00370535">
              <w:rPr>
                <w:rFonts w:cs="Arial"/>
                <w:bCs/>
              </w:rPr>
              <w:t>118,891</w:t>
            </w:r>
            <w:r w:rsidRPr="00370535">
              <w:rPr>
                <w:rFonts w:cs="Arial"/>
                <w:bCs/>
                <w:vertAlign w:val="superscript"/>
              </w:rPr>
              <w:footnoteReference w:id="83"/>
            </w:r>
          </w:p>
        </w:tc>
        <w:tc>
          <w:tcPr>
            <w:tcW w:w="2693" w:type="dxa"/>
            <w:tcBorders>
              <w:top w:val="single" w:sz="4" w:space="0" w:color="auto"/>
              <w:left w:val="single" w:sz="4" w:space="0" w:color="auto"/>
              <w:bottom w:val="single" w:sz="4" w:space="0" w:color="auto"/>
              <w:right w:val="single" w:sz="4" w:space="0" w:color="auto"/>
            </w:tcBorders>
            <w:hideMark/>
          </w:tcPr>
          <w:p w14:paraId="72D27A82" w14:textId="77777777" w:rsidR="00370535" w:rsidRPr="00370535" w:rsidRDefault="00370535" w:rsidP="00370535">
            <w:pPr>
              <w:rPr>
                <w:rFonts w:cs="Arial"/>
                <w:bCs/>
              </w:rPr>
            </w:pPr>
            <w:r w:rsidRPr="00370535">
              <w:rPr>
                <w:rFonts w:cs="Arial"/>
                <w:bCs/>
              </w:rPr>
              <w:t>17.0%</w:t>
            </w:r>
          </w:p>
        </w:tc>
        <w:tc>
          <w:tcPr>
            <w:tcW w:w="2551" w:type="dxa"/>
            <w:tcBorders>
              <w:top w:val="single" w:sz="4" w:space="0" w:color="auto"/>
              <w:left w:val="single" w:sz="4" w:space="0" w:color="auto"/>
              <w:bottom w:val="single" w:sz="4" w:space="0" w:color="auto"/>
              <w:right w:val="single" w:sz="4" w:space="0" w:color="auto"/>
            </w:tcBorders>
            <w:hideMark/>
          </w:tcPr>
          <w:p w14:paraId="0FB2CAF6" w14:textId="77777777" w:rsidR="00370535" w:rsidRPr="00370535" w:rsidRDefault="00370535" w:rsidP="00370535">
            <w:pPr>
              <w:rPr>
                <w:rFonts w:cs="Arial"/>
                <w:bCs/>
              </w:rPr>
            </w:pPr>
            <w:r w:rsidRPr="00370535">
              <w:rPr>
                <w:rFonts w:cs="Arial"/>
                <w:bCs/>
              </w:rPr>
              <w:t>10%</w:t>
            </w:r>
          </w:p>
        </w:tc>
      </w:tr>
      <w:tr w:rsidR="00370535" w:rsidRPr="00370535" w14:paraId="107838B5" w14:textId="77777777" w:rsidTr="00370535">
        <w:trPr>
          <w:trHeight w:val="328"/>
        </w:trPr>
        <w:tc>
          <w:tcPr>
            <w:tcW w:w="0" w:type="auto"/>
            <w:tcBorders>
              <w:top w:val="single" w:sz="4" w:space="0" w:color="auto"/>
              <w:left w:val="single" w:sz="4" w:space="0" w:color="auto"/>
              <w:bottom w:val="single" w:sz="4" w:space="0" w:color="auto"/>
              <w:right w:val="single" w:sz="4" w:space="0" w:color="auto"/>
            </w:tcBorders>
            <w:hideMark/>
          </w:tcPr>
          <w:p w14:paraId="5EE62797" w14:textId="77777777" w:rsidR="00370535" w:rsidRPr="00370535" w:rsidRDefault="00370535" w:rsidP="00370535">
            <w:pPr>
              <w:rPr>
                <w:rFonts w:cs="Arial"/>
                <w:bCs/>
              </w:rPr>
            </w:pPr>
            <w:r w:rsidRPr="00370535">
              <w:rPr>
                <w:rFonts w:cs="Arial"/>
                <w:bCs/>
              </w:rPr>
              <w:t>Wales</w:t>
            </w:r>
          </w:p>
        </w:tc>
        <w:tc>
          <w:tcPr>
            <w:tcW w:w="1725" w:type="dxa"/>
            <w:tcBorders>
              <w:top w:val="single" w:sz="4" w:space="0" w:color="auto"/>
              <w:left w:val="single" w:sz="4" w:space="0" w:color="auto"/>
              <w:bottom w:val="single" w:sz="4" w:space="0" w:color="auto"/>
              <w:right w:val="single" w:sz="4" w:space="0" w:color="auto"/>
            </w:tcBorders>
            <w:hideMark/>
          </w:tcPr>
          <w:p w14:paraId="3E89ABD7" w14:textId="77777777" w:rsidR="00370535" w:rsidRPr="00370535" w:rsidRDefault="00370535" w:rsidP="00370535">
            <w:pPr>
              <w:rPr>
                <w:rFonts w:cs="Arial"/>
                <w:bCs/>
              </w:rPr>
            </w:pPr>
            <w:r w:rsidRPr="00370535">
              <w:rPr>
                <w:rFonts w:cs="Arial"/>
                <w:bCs/>
              </w:rPr>
              <w:t>2,641,000</w:t>
            </w:r>
            <w:r w:rsidRPr="00370535">
              <w:rPr>
                <w:rFonts w:cs="Arial"/>
                <w:bCs/>
                <w:vertAlign w:val="superscript"/>
              </w:rPr>
              <w:footnoteReference w:id="84"/>
            </w:r>
          </w:p>
        </w:tc>
        <w:tc>
          <w:tcPr>
            <w:tcW w:w="2693" w:type="dxa"/>
            <w:tcBorders>
              <w:top w:val="single" w:sz="4" w:space="0" w:color="auto"/>
              <w:left w:val="single" w:sz="4" w:space="0" w:color="auto"/>
              <w:bottom w:val="single" w:sz="4" w:space="0" w:color="auto"/>
              <w:right w:val="single" w:sz="4" w:space="0" w:color="auto"/>
            </w:tcBorders>
            <w:hideMark/>
          </w:tcPr>
          <w:p w14:paraId="429224BB" w14:textId="77777777" w:rsidR="00370535" w:rsidRPr="00370535" w:rsidRDefault="00370535" w:rsidP="00370535">
            <w:pPr>
              <w:rPr>
                <w:rFonts w:cs="Arial"/>
                <w:bCs/>
              </w:rPr>
            </w:pPr>
            <w:r w:rsidRPr="00370535">
              <w:rPr>
                <w:rFonts w:cs="Arial"/>
                <w:bCs/>
              </w:rPr>
              <w:t>13.0%</w:t>
            </w:r>
          </w:p>
        </w:tc>
        <w:tc>
          <w:tcPr>
            <w:tcW w:w="2551" w:type="dxa"/>
            <w:tcBorders>
              <w:top w:val="single" w:sz="4" w:space="0" w:color="auto"/>
              <w:left w:val="single" w:sz="4" w:space="0" w:color="auto"/>
              <w:bottom w:val="single" w:sz="4" w:space="0" w:color="auto"/>
              <w:right w:val="single" w:sz="4" w:space="0" w:color="auto"/>
            </w:tcBorders>
            <w:hideMark/>
          </w:tcPr>
          <w:p w14:paraId="7B97FAAA" w14:textId="77777777" w:rsidR="00370535" w:rsidRPr="00370535" w:rsidRDefault="00370535" w:rsidP="00370535">
            <w:pPr>
              <w:rPr>
                <w:rFonts w:cs="Arial"/>
                <w:bCs/>
              </w:rPr>
            </w:pPr>
            <w:r w:rsidRPr="00370535">
              <w:rPr>
                <w:rFonts w:cs="Arial"/>
                <w:bCs/>
              </w:rPr>
              <w:t>7.0%</w:t>
            </w:r>
          </w:p>
        </w:tc>
      </w:tr>
    </w:tbl>
    <w:p w14:paraId="6F242F6C" w14:textId="77777777" w:rsidR="00370535" w:rsidRPr="00370535" w:rsidRDefault="00370535" w:rsidP="00370535">
      <w:pPr>
        <w:rPr>
          <w:rFonts w:cs="Arial"/>
        </w:rPr>
      </w:pPr>
    </w:p>
    <w:p w14:paraId="5A3C40DD" w14:textId="77777777" w:rsidR="00370535" w:rsidRPr="00370535" w:rsidRDefault="00370535" w:rsidP="00370535">
      <w:pPr>
        <w:rPr>
          <w:rFonts w:cs="Arial"/>
        </w:rPr>
      </w:pPr>
      <w:r w:rsidRPr="00370535">
        <w:rPr>
          <w:rFonts w:cs="Arial"/>
        </w:rPr>
        <w:t>The numbers of young people vaping have risen substantially in Wales in recent years, even though it has been illegal to sell a vape to anyone under 18 years since 2015</w:t>
      </w:r>
      <w:r w:rsidRPr="00370535">
        <w:rPr>
          <w:rFonts w:cs="Arial"/>
          <w:b/>
          <w:bCs/>
          <w:vertAlign w:val="superscript"/>
        </w:rPr>
        <w:footnoteReference w:id="85"/>
      </w:r>
      <w:r w:rsidRPr="00370535">
        <w:rPr>
          <w:rFonts w:cs="Arial"/>
        </w:rPr>
        <w:t>.</w:t>
      </w:r>
    </w:p>
    <w:p w14:paraId="54913739" w14:textId="77777777" w:rsidR="00370535" w:rsidRPr="00370535" w:rsidRDefault="00370535" w:rsidP="00370535">
      <w:pPr>
        <w:rPr>
          <w:rFonts w:cs="Arial"/>
        </w:rPr>
      </w:pPr>
    </w:p>
    <w:p w14:paraId="620076D9" w14:textId="77777777" w:rsidR="00370535" w:rsidRPr="00370535" w:rsidRDefault="00370535" w:rsidP="00370535">
      <w:pPr>
        <w:rPr>
          <w:rFonts w:cs="Arial"/>
        </w:rPr>
      </w:pPr>
      <w:r w:rsidRPr="00370535">
        <w:rPr>
          <w:rFonts w:cs="Arial"/>
        </w:rPr>
        <w:t xml:space="preserve">The evidence suggests that the availability of disposable devices and the ways in which vapes are marketed have strongly contributed to their appeal amongst young people. Several pieces of legislation have been announced to address rises in </w:t>
      </w:r>
      <w:r w:rsidRPr="00370535">
        <w:rPr>
          <w:rFonts w:cs="Arial"/>
        </w:rPr>
        <w:lastRenderedPageBreak/>
        <w:t xml:space="preserve">vaping amongst young people, including banning the sale of tobacco products to anyone born after 1 January 2009. </w:t>
      </w:r>
    </w:p>
    <w:p w14:paraId="46DC4750" w14:textId="77777777" w:rsidR="00370535" w:rsidRPr="00370535" w:rsidRDefault="00370535" w:rsidP="00370535">
      <w:pPr>
        <w:rPr>
          <w:rFonts w:cs="Arial"/>
        </w:rPr>
      </w:pPr>
    </w:p>
    <w:p w14:paraId="0BA891CC" w14:textId="77777777" w:rsidR="00370535" w:rsidRPr="00370535" w:rsidRDefault="00370535" w:rsidP="00370535">
      <w:pPr>
        <w:rPr>
          <w:rFonts w:cs="Arial"/>
        </w:rPr>
      </w:pPr>
      <w:r w:rsidRPr="00370535">
        <w:rPr>
          <w:rFonts w:cs="Arial"/>
        </w:rPr>
        <w:t>The School Health Research Network Student Health and Well-being Survey in secondary schools, 2023 is based on 129,761 learners from year seven to 11 from 201 schools in Wales responding to The Student Health and Well-being survey administered between September and December 2023. The key findings were:</w:t>
      </w:r>
    </w:p>
    <w:p w14:paraId="5CEDE865" w14:textId="77777777" w:rsidR="00370535" w:rsidRPr="00370535" w:rsidRDefault="00370535" w:rsidP="00370535">
      <w:pPr>
        <w:rPr>
          <w:rFonts w:cs="Arial"/>
        </w:rPr>
      </w:pPr>
    </w:p>
    <w:p w14:paraId="2DF947C1" w14:textId="77777777" w:rsidR="00370535" w:rsidRPr="00370535" w:rsidRDefault="00370535" w:rsidP="00B76905">
      <w:pPr>
        <w:numPr>
          <w:ilvl w:val="0"/>
          <w:numId w:val="51"/>
        </w:numPr>
        <w:rPr>
          <w:rFonts w:cs="Arial"/>
        </w:rPr>
      </w:pPr>
      <w:r w:rsidRPr="00370535">
        <w:rPr>
          <w:rFonts w:cs="Arial"/>
        </w:rPr>
        <w:t xml:space="preserve">The number of learners in year seven to 11 in Wales reporting vaping at least once a week is 7.0%, an increase from 5.4% (2021) and 2.7% (2019) </w:t>
      </w:r>
    </w:p>
    <w:p w14:paraId="4F428184" w14:textId="77777777" w:rsidR="00370535" w:rsidRPr="00370535" w:rsidRDefault="00370535" w:rsidP="00B76905">
      <w:pPr>
        <w:numPr>
          <w:ilvl w:val="0"/>
          <w:numId w:val="51"/>
        </w:numPr>
        <w:rPr>
          <w:rFonts w:cs="Arial"/>
        </w:rPr>
      </w:pPr>
      <w:r w:rsidRPr="00370535">
        <w:rPr>
          <w:rFonts w:cs="Arial"/>
        </w:rPr>
        <w:t>Since 2021, vaping has increased amongst girls, year 11 learners and non-smokers, but weekly vaping increased between 2021 and 2023 in all year groups except year seven</w:t>
      </w:r>
    </w:p>
    <w:p w14:paraId="456F8CF4" w14:textId="77777777" w:rsidR="00370535" w:rsidRPr="00370535" w:rsidRDefault="00370535" w:rsidP="00B76905">
      <w:pPr>
        <w:numPr>
          <w:ilvl w:val="0"/>
          <w:numId w:val="51"/>
        </w:numPr>
        <w:rPr>
          <w:rFonts w:cs="Arial"/>
        </w:rPr>
      </w:pPr>
      <w:r w:rsidRPr="00370535">
        <w:rPr>
          <w:rFonts w:cs="Arial"/>
        </w:rPr>
        <w:t xml:space="preserve">Girls (8.6%) are more likely to vape regularly than boys (5.1%). Those in year 11 (15.9%) are more likely to vape than those in younger year groups </w:t>
      </w:r>
    </w:p>
    <w:p w14:paraId="637F4AF9" w14:textId="77777777" w:rsidR="00370535" w:rsidRPr="00370535" w:rsidRDefault="00370535" w:rsidP="00B76905">
      <w:pPr>
        <w:numPr>
          <w:ilvl w:val="0"/>
          <w:numId w:val="51"/>
        </w:numPr>
        <w:rPr>
          <w:rFonts w:cs="Arial"/>
        </w:rPr>
      </w:pPr>
      <w:r w:rsidRPr="00370535">
        <w:rPr>
          <w:rFonts w:cs="Arial"/>
        </w:rPr>
        <w:t xml:space="preserve">More than a quarter (25.7%) of all learners in year seven to 11 have tried a vape, an increase from 20.5% (2021). Amongst year 11 learners the figure was 45.4% </w:t>
      </w:r>
    </w:p>
    <w:p w14:paraId="256C2699" w14:textId="77777777" w:rsidR="00370535" w:rsidRPr="00370535" w:rsidRDefault="00370535" w:rsidP="00B76905">
      <w:pPr>
        <w:numPr>
          <w:ilvl w:val="0"/>
          <w:numId w:val="51"/>
        </w:numPr>
        <w:rPr>
          <w:rFonts w:cs="Arial"/>
        </w:rPr>
      </w:pPr>
      <w:r w:rsidRPr="00370535">
        <w:rPr>
          <w:rFonts w:cs="Arial"/>
        </w:rPr>
        <w:t xml:space="preserve">Only 2.7% of learners in years seven to 11 now smoke regularly. The majority of these also vape </w:t>
      </w:r>
    </w:p>
    <w:p w14:paraId="411183E3" w14:textId="77777777" w:rsidR="00370535" w:rsidRPr="00370535" w:rsidRDefault="00370535" w:rsidP="00B76905">
      <w:pPr>
        <w:numPr>
          <w:ilvl w:val="0"/>
          <w:numId w:val="51"/>
        </w:numPr>
        <w:rPr>
          <w:rFonts w:cs="Arial"/>
        </w:rPr>
      </w:pPr>
      <w:r w:rsidRPr="00370535">
        <w:rPr>
          <w:rFonts w:cs="Arial"/>
        </w:rPr>
        <w:t xml:space="preserve">The number of learners in year seven to 11 who only vape is 5.2%, higher than in 2021 (3.5%) </w:t>
      </w:r>
    </w:p>
    <w:p w14:paraId="57FD802B" w14:textId="77777777" w:rsidR="00370535" w:rsidRPr="00370535" w:rsidRDefault="00370535" w:rsidP="00B76905">
      <w:pPr>
        <w:numPr>
          <w:ilvl w:val="0"/>
          <w:numId w:val="51"/>
        </w:numPr>
        <w:rPr>
          <w:rFonts w:cs="Arial"/>
        </w:rPr>
      </w:pPr>
      <w:r w:rsidRPr="00370535">
        <w:rPr>
          <w:rFonts w:cs="Arial"/>
        </w:rPr>
        <w:t xml:space="preserve">The proportion of learners who only smoke and the proportion who smoke and vape regularly have both fallen since 2021 </w:t>
      </w:r>
    </w:p>
    <w:p w14:paraId="332AD042" w14:textId="77777777" w:rsidR="00370535" w:rsidRPr="00370535" w:rsidRDefault="00370535" w:rsidP="00B76905">
      <w:pPr>
        <w:numPr>
          <w:ilvl w:val="0"/>
          <w:numId w:val="51"/>
        </w:numPr>
        <w:rPr>
          <w:rFonts w:cs="Arial"/>
        </w:rPr>
      </w:pPr>
      <w:r w:rsidRPr="00370535">
        <w:rPr>
          <w:rFonts w:cs="Arial"/>
        </w:rPr>
        <w:t xml:space="preserve">Nicotine use by smoking or vaping at least weekly is currently 8.0% amongst learners in years seven to 11. This proportion has risen on every Survey since 2019 when it was 5.4% </w:t>
      </w:r>
    </w:p>
    <w:p w14:paraId="0C843744" w14:textId="77777777" w:rsidR="00370535" w:rsidRPr="00370535" w:rsidRDefault="00370535" w:rsidP="00B76905">
      <w:pPr>
        <w:numPr>
          <w:ilvl w:val="0"/>
          <w:numId w:val="51"/>
        </w:numPr>
        <w:rPr>
          <w:rFonts w:cs="Arial"/>
        </w:rPr>
      </w:pPr>
      <w:r w:rsidRPr="00370535">
        <w:rPr>
          <w:rFonts w:cs="Arial"/>
        </w:rPr>
        <w:t>The data provides evidence that an increasing number of learners who have never and would never smoke regularly, are vaping regularly</w:t>
      </w:r>
    </w:p>
    <w:p w14:paraId="4748E386" w14:textId="77777777" w:rsidR="00370535" w:rsidRPr="00370535" w:rsidRDefault="00370535" w:rsidP="00370535">
      <w:pPr>
        <w:rPr>
          <w:rFonts w:cs="Arial"/>
        </w:rPr>
      </w:pPr>
    </w:p>
    <w:p w14:paraId="524D71E2" w14:textId="77777777" w:rsidR="00370535" w:rsidRPr="00370535" w:rsidRDefault="00370535" w:rsidP="00370535">
      <w:pPr>
        <w:rPr>
          <w:rFonts w:cs="Arial"/>
        </w:rPr>
      </w:pPr>
      <w:r w:rsidRPr="00370535">
        <w:rPr>
          <w:rFonts w:cs="Arial"/>
        </w:rPr>
        <w:t>The table below shows the percentage of 11- to 16-year-olds who were weekly smokers and daily E-cigarette smokers in 2023. The results are taken from Public Health Wales NHS Trust’s Secondary School Children's Health and Well-being Dashboard: School Health Research Network Survey Data</w:t>
      </w:r>
      <w:r w:rsidRPr="00370535">
        <w:rPr>
          <w:rFonts w:cs="Arial"/>
          <w:vertAlign w:val="superscript"/>
        </w:rPr>
        <w:footnoteReference w:id="86"/>
      </w:r>
      <w:r w:rsidRPr="00370535">
        <w:rPr>
          <w:rFonts w:cs="Arial"/>
        </w:rPr>
        <w:t>.</w:t>
      </w:r>
    </w:p>
    <w:p w14:paraId="0016BBA7" w14:textId="77777777" w:rsidR="00370535" w:rsidRDefault="00370535" w:rsidP="00370535">
      <w:pPr>
        <w:rPr>
          <w:rFonts w:cs="Arial"/>
        </w:rPr>
      </w:pPr>
    </w:p>
    <w:p w14:paraId="58309E80" w14:textId="77777777" w:rsidR="00277B48" w:rsidRDefault="00277B48" w:rsidP="00370535">
      <w:pPr>
        <w:rPr>
          <w:rFonts w:cs="Arial"/>
        </w:rPr>
      </w:pPr>
    </w:p>
    <w:p w14:paraId="3FA16488" w14:textId="77777777" w:rsidR="00277B48" w:rsidRDefault="00277B48" w:rsidP="00370535">
      <w:pPr>
        <w:rPr>
          <w:rFonts w:cs="Arial"/>
        </w:rPr>
      </w:pPr>
    </w:p>
    <w:p w14:paraId="1C6DC176" w14:textId="77777777" w:rsidR="00277B48" w:rsidRDefault="00277B48" w:rsidP="00370535">
      <w:pPr>
        <w:rPr>
          <w:rFonts w:cs="Arial"/>
        </w:rPr>
      </w:pPr>
    </w:p>
    <w:p w14:paraId="4F9B6D2D" w14:textId="77777777" w:rsidR="00277B48" w:rsidRDefault="00277B48" w:rsidP="00370535">
      <w:pPr>
        <w:rPr>
          <w:rFonts w:cs="Arial"/>
        </w:rPr>
      </w:pPr>
    </w:p>
    <w:p w14:paraId="6DB6CAEF" w14:textId="77777777" w:rsidR="00277B48" w:rsidRDefault="00277B48" w:rsidP="00370535">
      <w:pPr>
        <w:rPr>
          <w:rFonts w:cs="Arial"/>
        </w:rPr>
      </w:pPr>
    </w:p>
    <w:p w14:paraId="06B039BA" w14:textId="77777777" w:rsidR="00277B48" w:rsidRDefault="00277B48" w:rsidP="00370535">
      <w:pPr>
        <w:rPr>
          <w:rFonts w:cs="Arial"/>
        </w:rPr>
      </w:pPr>
    </w:p>
    <w:p w14:paraId="60E19C97" w14:textId="77777777" w:rsidR="00277B48" w:rsidRDefault="00277B48" w:rsidP="00370535">
      <w:pPr>
        <w:rPr>
          <w:rFonts w:cs="Arial"/>
        </w:rPr>
      </w:pPr>
    </w:p>
    <w:p w14:paraId="414DE2A3" w14:textId="77777777" w:rsidR="00277B48" w:rsidRDefault="00277B48" w:rsidP="00370535">
      <w:pPr>
        <w:rPr>
          <w:rFonts w:cs="Arial"/>
        </w:rPr>
      </w:pPr>
    </w:p>
    <w:p w14:paraId="63BF8C48" w14:textId="77777777" w:rsidR="00277B48" w:rsidRPr="00370535" w:rsidRDefault="00277B48" w:rsidP="00370535">
      <w:pPr>
        <w:rPr>
          <w:rFonts w:cs="Arial"/>
        </w:rPr>
      </w:pPr>
    </w:p>
    <w:p w14:paraId="0329B343" w14:textId="77777777" w:rsidR="00370535" w:rsidRPr="00370535" w:rsidRDefault="00370535" w:rsidP="00370535">
      <w:pPr>
        <w:rPr>
          <w:rFonts w:cs="Arial"/>
          <w:b/>
          <w:bCs/>
        </w:rPr>
      </w:pPr>
      <w:r w:rsidRPr="00370535">
        <w:rPr>
          <w:rFonts w:cs="Arial"/>
          <w:b/>
          <w:bCs/>
        </w:rPr>
        <w:lastRenderedPageBreak/>
        <w:t>Table 3.11: Percentage of adolescent weekly smokers and e-cigarette users by local authority, health board and Wales, 2023</w:t>
      </w:r>
      <w:r w:rsidRPr="00370535">
        <w:rPr>
          <w:rFonts w:cs="Arial"/>
          <w:b/>
          <w:bCs/>
          <w:vertAlign w:val="superscript"/>
        </w:rPr>
        <w:footnoteReference w:id="87"/>
      </w:r>
    </w:p>
    <w:p w14:paraId="71CED0A7" w14:textId="77777777" w:rsidR="00370535" w:rsidRPr="00D0306F" w:rsidRDefault="00370535" w:rsidP="00370535">
      <w:pPr>
        <w:rPr>
          <w:rFonts w:cs="Arial"/>
          <w:b/>
          <w:bCs/>
        </w:rPr>
      </w:pPr>
    </w:p>
    <w:tbl>
      <w:tblPr>
        <w:tblStyle w:val="TableGrid"/>
        <w:tblW w:w="9064" w:type="dxa"/>
        <w:tblInd w:w="-5" w:type="dxa"/>
        <w:tblLook w:val="04A0" w:firstRow="1" w:lastRow="0" w:firstColumn="1" w:lastColumn="0" w:noHBand="0" w:noVBand="1"/>
      </w:tblPr>
      <w:tblGrid>
        <w:gridCol w:w="3256"/>
        <w:gridCol w:w="2802"/>
        <w:gridCol w:w="3006"/>
      </w:tblGrid>
      <w:tr w:rsidR="00C95FAA" w:rsidRPr="00D0306F" w14:paraId="5AC4ED85" w14:textId="77777777" w:rsidTr="00C95FAA">
        <w:tc>
          <w:tcPr>
            <w:tcW w:w="3256" w:type="dxa"/>
            <w:tcBorders>
              <w:top w:val="single" w:sz="8" w:space="0" w:color="auto"/>
              <w:left w:val="single" w:sz="8" w:space="0" w:color="auto"/>
              <w:bottom w:val="single" w:sz="8" w:space="0" w:color="auto"/>
              <w:right w:val="single" w:sz="8" w:space="0" w:color="auto"/>
            </w:tcBorders>
            <w:shd w:val="clear" w:color="auto" w:fill="153D63" w:themeFill="text2" w:themeFillTint="E6"/>
            <w:vAlign w:val="center"/>
          </w:tcPr>
          <w:p w14:paraId="0C9CA75A" w14:textId="520102BB" w:rsidR="00C95FAA" w:rsidRPr="00D0306F" w:rsidRDefault="00C95FAA" w:rsidP="00C95FAA">
            <w:pPr>
              <w:rPr>
                <w:rFonts w:cs="Arial"/>
                <w:b/>
                <w:bCs/>
              </w:rPr>
            </w:pPr>
            <w:r w:rsidRPr="00370535">
              <w:rPr>
                <w:rFonts w:cs="Arial"/>
                <w:b/>
                <w:bCs/>
              </w:rPr>
              <w:t>Area</w:t>
            </w:r>
          </w:p>
        </w:tc>
        <w:tc>
          <w:tcPr>
            <w:tcW w:w="2802" w:type="dxa"/>
            <w:tcBorders>
              <w:top w:val="single" w:sz="8" w:space="0" w:color="auto"/>
              <w:left w:val="nil"/>
              <w:bottom w:val="single" w:sz="8" w:space="0" w:color="auto"/>
              <w:right w:val="single" w:sz="8" w:space="0" w:color="auto"/>
            </w:tcBorders>
            <w:shd w:val="clear" w:color="auto" w:fill="153D63" w:themeFill="text2" w:themeFillTint="E6"/>
            <w:vAlign w:val="center"/>
          </w:tcPr>
          <w:p w14:paraId="70CCE403" w14:textId="0BD2AFCE" w:rsidR="00C95FAA" w:rsidRPr="00D0306F" w:rsidRDefault="00C95FAA" w:rsidP="00C95FAA">
            <w:pPr>
              <w:rPr>
                <w:rFonts w:cs="Arial"/>
                <w:b/>
                <w:bCs/>
              </w:rPr>
            </w:pPr>
            <w:r w:rsidRPr="00370535">
              <w:rPr>
                <w:rFonts w:cs="Arial"/>
                <w:b/>
                <w:bCs/>
              </w:rPr>
              <w:t>Percentage of weekly smokers aged 11 to 16 years</w:t>
            </w:r>
          </w:p>
        </w:tc>
        <w:tc>
          <w:tcPr>
            <w:tcW w:w="3006" w:type="dxa"/>
            <w:tcBorders>
              <w:top w:val="single" w:sz="8" w:space="0" w:color="auto"/>
              <w:left w:val="nil"/>
              <w:bottom w:val="single" w:sz="8" w:space="0" w:color="auto"/>
              <w:right w:val="single" w:sz="8" w:space="0" w:color="auto"/>
            </w:tcBorders>
            <w:shd w:val="clear" w:color="auto" w:fill="153D63" w:themeFill="text2" w:themeFillTint="E6"/>
          </w:tcPr>
          <w:p w14:paraId="7F542964" w14:textId="2CAF2C95" w:rsidR="00C95FAA" w:rsidRPr="00D0306F" w:rsidRDefault="00C95FAA" w:rsidP="00C95FAA">
            <w:pPr>
              <w:rPr>
                <w:rFonts w:cs="Arial"/>
                <w:b/>
                <w:bCs/>
              </w:rPr>
            </w:pPr>
            <w:r w:rsidRPr="00370535">
              <w:rPr>
                <w:rFonts w:cs="Arial"/>
                <w:b/>
                <w:bCs/>
              </w:rPr>
              <w:t>Percentage of weekly e-cigarette users aged 11 to 16 years</w:t>
            </w:r>
          </w:p>
        </w:tc>
      </w:tr>
      <w:tr w:rsidR="00C95FAA" w:rsidRPr="00D0306F" w14:paraId="4EA111F8" w14:textId="77777777" w:rsidTr="00C95FAA">
        <w:tc>
          <w:tcPr>
            <w:tcW w:w="3256" w:type="dxa"/>
            <w:tcBorders>
              <w:top w:val="nil"/>
              <w:left w:val="single" w:sz="8" w:space="0" w:color="auto"/>
              <w:bottom w:val="single" w:sz="8" w:space="0" w:color="auto"/>
              <w:right w:val="single" w:sz="8" w:space="0" w:color="auto"/>
            </w:tcBorders>
            <w:vAlign w:val="center"/>
          </w:tcPr>
          <w:p w14:paraId="4FD8DB76" w14:textId="346C65EF" w:rsidR="00C95FAA" w:rsidRPr="00D0306F" w:rsidRDefault="00C95FAA" w:rsidP="00C95FAA">
            <w:pPr>
              <w:rPr>
                <w:rFonts w:cs="Arial"/>
                <w:b/>
                <w:bCs/>
              </w:rPr>
            </w:pPr>
            <w:r w:rsidRPr="00370535">
              <w:rPr>
                <w:rFonts w:cs="Arial"/>
              </w:rPr>
              <w:t>Swansea Local Authority</w:t>
            </w:r>
          </w:p>
        </w:tc>
        <w:tc>
          <w:tcPr>
            <w:tcW w:w="2802" w:type="dxa"/>
            <w:tcBorders>
              <w:top w:val="nil"/>
              <w:left w:val="nil"/>
              <w:bottom w:val="single" w:sz="8" w:space="0" w:color="auto"/>
              <w:right w:val="single" w:sz="8" w:space="0" w:color="auto"/>
            </w:tcBorders>
            <w:vAlign w:val="center"/>
          </w:tcPr>
          <w:p w14:paraId="4D681708" w14:textId="3D8F44F6" w:rsidR="00C95FAA" w:rsidRPr="00D0306F" w:rsidRDefault="00C95FAA" w:rsidP="00C95FAA">
            <w:pPr>
              <w:jc w:val="center"/>
              <w:rPr>
                <w:rFonts w:cs="Arial"/>
                <w:b/>
                <w:bCs/>
              </w:rPr>
            </w:pPr>
            <w:r w:rsidRPr="00370535">
              <w:rPr>
                <w:rFonts w:cs="Arial"/>
              </w:rPr>
              <w:t>2.2%</w:t>
            </w:r>
          </w:p>
        </w:tc>
        <w:tc>
          <w:tcPr>
            <w:tcW w:w="3006" w:type="dxa"/>
            <w:tcBorders>
              <w:top w:val="nil"/>
              <w:left w:val="nil"/>
              <w:bottom w:val="single" w:sz="8" w:space="0" w:color="auto"/>
              <w:right w:val="single" w:sz="8" w:space="0" w:color="auto"/>
            </w:tcBorders>
          </w:tcPr>
          <w:p w14:paraId="2D486D97" w14:textId="3C55619E" w:rsidR="00C95FAA" w:rsidRPr="00D0306F" w:rsidRDefault="00C95FAA" w:rsidP="00C95FAA">
            <w:pPr>
              <w:jc w:val="center"/>
              <w:rPr>
                <w:rFonts w:cs="Arial"/>
                <w:b/>
                <w:bCs/>
              </w:rPr>
            </w:pPr>
            <w:r w:rsidRPr="00370535">
              <w:rPr>
                <w:rFonts w:cs="Arial"/>
              </w:rPr>
              <w:t>6.7%</w:t>
            </w:r>
          </w:p>
        </w:tc>
      </w:tr>
      <w:tr w:rsidR="00C95FAA" w:rsidRPr="00D0306F" w14:paraId="078EA789" w14:textId="77777777" w:rsidTr="00C95FAA">
        <w:tc>
          <w:tcPr>
            <w:tcW w:w="3256" w:type="dxa"/>
            <w:tcBorders>
              <w:top w:val="nil"/>
              <w:left w:val="single" w:sz="8" w:space="0" w:color="auto"/>
              <w:bottom w:val="single" w:sz="8" w:space="0" w:color="auto"/>
              <w:right w:val="single" w:sz="8" w:space="0" w:color="auto"/>
            </w:tcBorders>
            <w:vAlign w:val="center"/>
          </w:tcPr>
          <w:p w14:paraId="143B4850" w14:textId="328EB27B" w:rsidR="00C95FAA" w:rsidRPr="00D0306F" w:rsidRDefault="00C95FAA" w:rsidP="00C95FAA">
            <w:pPr>
              <w:rPr>
                <w:rFonts w:cs="Arial"/>
                <w:b/>
                <w:bCs/>
              </w:rPr>
            </w:pPr>
            <w:r w:rsidRPr="00370535">
              <w:rPr>
                <w:rFonts w:cs="Arial"/>
              </w:rPr>
              <w:t>Neath Port Talbot Local Authority</w:t>
            </w:r>
          </w:p>
        </w:tc>
        <w:tc>
          <w:tcPr>
            <w:tcW w:w="2802" w:type="dxa"/>
            <w:tcBorders>
              <w:top w:val="nil"/>
              <w:left w:val="nil"/>
              <w:bottom w:val="single" w:sz="8" w:space="0" w:color="auto"/>
              <w:right w:val="single" w:sz="8" w:space="0" w:color="auto"/>
            </w:tcBorders>
            <w:vAlign w:val="center"/>
          </w:tcPr>
          <w:p w14:paraId="4151EA26" w14:textId="2761E87C" w:rsidR="00C95FAA" w:rsidRPr="00D0306F" w:rsidRDefault="00C95FAA" w:rsidP="00C95FAA">
            <w:pPr>
              <w:jc w:val="center"/>
              <w:rPr>
                <w:rFonts w:cs="Arial"/>
                <w:b/>
                <w:bCs/>
              </w:rPr>
            </w:pPr>
            <w:r w:rsidRPr="00370535">
              <w:rPr>
                <w:rFonts w:cs="Arial"/>
              </w:rPr>
              <w:t>2.1%</w:t>
            </w:r>
          </w:p>
        </w:tc>
        <w:tc>
          <w:tcPr>
            <w:tcW w:w="3006" w:type="dxa"/>
            <w:tcBorders>
              <w:top w:val="nil"/>
              <w:left w:val="nil"/>
              <w:bottom w:val="single" w:sz="8" w:space="0" w:color="auto"/>
              <w:right w:val="single" w:sz="8" w:space="0" w:color="auto"/>
            </w:tcBorders>
          </w:tcPr>
          <w:p w14:paraId="7220A1AE" w14:textId="77777777" w:rsidR="00C95FAA" w:rsidRPr="00370535" w:rsidRDefault="00C95FAA" w:rsidP="00C95FAA">
            <w:pPr>
              <w:jc w:val="center"/>
              <w:rPr>
                <w:rFonts w:cs="Arial"/>
              </w:rPr>
            </w:pPr>
          </w:p>
          <w:p w14:paraId="7E907969" w14:textId="68E778BC" w:rsidR="00C95FAA" w:rsidRPr="00D0306F" w:rsidRDefault="00C95FAA" w:rsidP="00C95FAA">
            <w:pPr>
              <w:jc w:val="center"/>
              <w:rPr>
                <w:rFonts w:cs="Arial"/>
                <w:b/>
                <w:bCs/>
              </w:rPr>
            </w:pPr>
            <w:r w:rsidRPr="00370535">
              <w:rPr>
                <w:rFonts w:cs="Arial"/>
              </w:rPr>
              <w:t>7.2%</w:t>
            </w:r>
          </w:p>
        </w:tc>
      </w:tr>
      <w:tr w:rsidR="00C95FAA" w:rsidRPr="00D0306F" w14:paraId="007FB206" w14:textId="77777777" w:rsidTr="00C95FAA">
        <w:tc>
          <w:tcPr>
            <w:tcW w:w="3256" w:type="dxa"/>
            <w:tcBorders>
              <w:top w:val="nil"/>
              <w:left w:val="single" w:sz="8" w:space="0" w:color="auto"/>
              <w:bottom w:val="single" w:sz="8" w:space="0" w:color="auto"/>
              <w:right w:val="single" w:sz="8" w:space="0" w:color="auto"/>
            </w:tcBorders>
            <w:vAlign w:val="center"/>
          </w:tcPr>
          <w:p w14:paraId="06BDE5F3" w14:textId="130FAD20" w:rsidR="00C95FAA" w:rsidRPr="00D0306F" w:rsidRDefault="00C95FAA" w:rsidP="00C95FAA">
            <w:pPr>
              <w:rPr>
                <w:rFonts w:cs="Arial"/>
                <w:b/>
                <w:bCs/>
              </w:rPr>
            </w:pPr>
            <w:r w:rsidRPr="00370535">
              <w:rPr>
                <w:rFonts w:cs="Arial"/>
              </w:rPr>
              <w:t>Swansea Bay University Health Board</w:t>
            </w:r>
          </w:p>
        </w:tc>
        <w:tc>
          <w:tcPr>
            <w:tcW w:w="2802" w:type="dxa"/>
            <w:tcBorders>
              <w:top w:val="nil"/>
              <w:left w:val="nil"/>
              <w:bottom w:val="single" w:sz="8" w:space="0" w:color="auto"/>
              <w:right w:val="single" w:sz="8" w:space="0" w:color="auto"/>
            </w:tcBorders>
            <w:vAlign w:val="center"/>
          </w:tcPr>
          <w:p w14:paraId="3E2B5114" w14:textId="5B715C85" w:rsidR="00C95FAA" w:rsidRPr="00D0306F" w:rsidRDefault="00C95FAA" w:rsidP="00C95FAA">
            <w:pPr>
              <w:jc w:val="center"/>
              <w:rPr>
                <w:rFonts w:cs="Arial"/>
                <w:b/>
                <w:bCs/>
              </w:rPr>
            </w:pPr>
            <w:r w:rsidRPr="00370535">
              <w:rPr>
                <w:rFonts w:cs="Arial"/>
              </w:rPr>
              <w:t>2.2%</w:t>
            </w:r>
          </w:p>
        </w:tc>
        <w:tc>
          <w:tcPr>
            <w:tcW w:w="3006" w:type="dxa"/>
            <w:tcBorders>
              <w:top w:val="nil"/>
              <w:left w:val="nil"/>
              <w:bottom w:val="single" w:sz="8" w:space="0" w:color="auto"/>
              <w:right w:val="single" w:sz="8" w:space="0" w:color="auto"/>
            </w:tcBorders>
          </w:tcPr>
          <w:p w14:paraId="26F7477D" w14:textId="77777777" w:rsidR="00C95FAA" w:rsidRPr="00370535" w:rsidRDefault="00C95FAA" w:rsidP="00C95FAA">
            <w:pPr>
              <w:jc w:val="center"/>
              <w:rPr>
                <w:rFonts w:cs="Arial"/>
              </w:rPr>
            </w:pPr>
          </w:p>
          <w:p w14:paraId="1ED22FC7" w14:textId="777E52D5" w:rsidR="00C95FAA" w:rsidRPr="00D0306F" w:rsidRDefault="00C95FAA" w:rsidP="00C95FAA">
            <w:pPr>
              <w:jc w:val="center"/>
              <w:rPr>
                <w:rFonts w:cs="Arial"/>
                <w:b/>
                <w:bCs/>
              </w:rPr>
            </w:pPr>
            <w:r w:rsidRPr="00370535">
              <w:rPr>
                <w:rFonts w:cs="Arial"/>
              </w:rPr>
              <w:t>6.9%</w:t>
            </w:r>
          </w:p>
        </w:tc>
      </w:tr>
      <w:tr w:rsidR="00C95FAA" w:rsidRPr="00D0306F" w14:paraId="0D8A9A3F" w14:textId="77777777" w:rsidTr="00C95FAA">
        <w:tc>
          <w:tcPr>
            <w:tcW w:w="3256" w:type="dxa"/>
            <w:tcBorders>
              <w:top w:val="nil"/>
              <w:left w:val="single" w:sz="8" w:space="0" w:color="auto"/>
              <w:bottom w:val="single" w:sz="8" w:space="0" w:color="auto"/>
              <w:right w:val="single" w:sz="8" w:space="0" w:color="auto"/>
            </w:tcBorders>
            <w:vAlign w:val="center"/>
          </w:tcPr>
          <w:p w14:paraId="3DDD43A8" w14:textId="443CC012" w:rsidR="00C95FAA" w:rsidRPr="00D0306F" w:rsidRDefault="00C95FAA" w:rsidP="00C95FAA">
            <w:pPr>
              <w:rPr>
                <w:rFonts w:cs="Arial"/>
                <w:b/>
                <w:bCs/>
              </w:rPr>
            </w:pPr>
            <w:r w:rsidRPr="00370535">
              <w:rPr>
                <w:rFonts w:cs="Arial"/>
              </w:rPr>
              <w:t>Wales</w:t>
            </w:r>
          </w:p>
        </w:tc>
        <w:tc>
          <w:tcPr>
            <w:tcW w:w="2802" w:type="dxa"/>
            <w:tcBorders>
              <w:top w:val="nil"/>
              <w:left w:val="nil"/>
              <w:bottom w:val="single" w:sz="8" w:space="0" w:color="auto"/>
              <w:right w:val="single" w:sz="8" w:space="0" w:color="auto"/>
            </w:tcBorders>
            <w:vAlign w:val="center"/>
          </w:tcPr>
          <w:p w14:paraId="6C7955B4" w14:textId="69A154C5" w:rsidR="00C95FAA" w:rsidRPr="00D0306F" w:rsidRDefault="00C95FAA" w:rsidP="00C95FAA">
            <w:pPr>
              <w:jc w:val="center"/>
              <w:rPr>
                <w:rFonts w:cs="Arial"/>
                <w:b/>
                <w:bCs/>
              </w:rPr>
            </w:pPr>
            <w:r w:rsidRPr="00370535">
              <w:rPr>
                <w:rFonts w:cs="Arial"/>
              </w:rPr>
              <w:t>2.6%</w:t>
            </w:r>
          </w:p>
        </w:tc>
        <w:tc>
          <w:tcPr>
            <w:tcW w:w="3006" w:type="dxa"/>
            <w:tcBorders>
              <w:top w:val="nil"/>
              <w:left w:val="nil"/>
              <w:bottom w:val="single" w:sz="8" w:space="0" w:color="auto"/>
              <w:right w:val="single" w:sz="8" w:space="0" w:color="auto"/>
            </w:tcBorders>
          </w:tcPr>
          <w:p w14:paraId="05D9BF3F" w14:textId="6D3DE86C" w:rsidR="00C95FAA" w:rsidRPr="00D0306F" w:rsidRDefault="00C95FAA" w:rsidP="00C95FAA">
            <w:pPr>
              <w:jc w:val="center"/>
              <w:rPr>
                <w:rFonts w:cs="Arial"/>
                <w:b/>
                <w:bCs/>
              </w:rPr>
            </w:pPr>
            <w:r w:rsidRPr="00370535">
              <w:rPr>
                <w:rFonts w:cs="Arial"/>
              </w:rPr>
              <w:t>6.9%</w:t>
            </w:r>
          </w:p>
        </w:tc>
      </w:tr>
    </w:tbl>
    <w:p w14:paraId="271AE68B" w14:textId="77777777" w:rsidR="00370535" w:rsidRPr="00370535" w:rsidRDefault="00370535" w:rsidP="00370535">
      <w:pPr>
        <w:rPr>
          <w:rFonts w:cs="Arial"/>
        </w:rPr>
      </w:pPr>
    </w:p>
    <w:p w14:paraId="4E0B2D33" w14:textId="77777777" w:rsidR="00370535" w:rsidRPr="00370535" w:rsidRDefault="00370535" w:rsidP="00370535">
      <w:pPr>
        <w:rPr>
          <w:rFonts w:cs="Arial"/>
          <w:b/>
        </w:rPr>
      </w:pPr>
      <w:r w:rsidRPr="00370535">
        <w:rPr>
          <w:rFonts w:cs="Arial"/>
          <w:b/>
        </w:rPr>
        <w:t>3.2.2.2 Obesity, diet and physical activity</w:t>
      </w:r>
    </w:p>
    <w:p w14:paraId="1DD1DB0A" w14:textId="77777777" w:rsidR="00370535" w:rsidRPr="00370535" w:rsidRDefault="00370535" w:rsidP="00370535">
      <w:pPr>
        <w:rPr>
          <w:rFonts w:cs="Arial"/>
        </w:rPr>
      </w:pPr>
    </w:p>
    <w:p w14:paraId="16CCDC7C" w14:textId="77777777" w:rsidR="00370535" w:rsidRPr="00370535" w:rsidRDefault="00370535" w:rsidP="00370535">
      <w:pPr>
        <w:rPr>
          <w:rFonts w:cs="Arial"/>
        </w:rPr>
      </w:pPr>
      <w:r w:rsidRPr="00370535">
        <w:rPr>
          <w:rFonts w:cs="Arial"/>
        </w:rPr>
        <w:t>Obesity prevalence is rising in Wales, (as it is globally). Being overweight or obese increases the risk of a wide range of chronic diseases, principally type 2 diabetes, hypertension, cardiovascular disease including stroke, as well as some types of cancer, kidney disease, obstructive sleep apnoea, gout, osteoarthritis, and liver disease, among others</w:t>
      </w:r>
      <w:r w:rsidRPr="00370535">
        <w:rPr>
          <w:rFonts w:cs="Arial"/>
          <w:vertAlign w:val="superscript"/>
        </w:rPr>
        <w:footnoteReference w:id="88"/>
      </w:r>
      <w:r w:rsidRPr="00370535">
        <w:rPr>
          <w:rFonts w:cs="Arial"/>
        </w:rPr>
        <w:t xml:space="preserve">. </w:t>
      </w:r>
    </w:p>
    <w:p w14:paraId="4C335052" w14:textId="77777777" w:rsidR="00370535" w:rsidRPr="00370535" w:rsidRDefault="00370535" w:rsidP="00370535">
      <w:pPr>
        <w:rPr>
          <w:rFonts w:cs="Arial"/>
          <w:bCs/>
        </w:rPr>
      </w:pPr>
    </w:p>
    <w:p w14:paraId="679D3A5F" w14:textId="77777777" w:rsidR="00370535" w:rsidRPr="00370535" w:rsidRDefault="00370535" w:rsidP="00370535">
      <w:pPr>
        <w:rPr>
          <w:rFonts w:cs="Arial"/>
          <w:bCs/>
        </w:rPr>
      </w:pPr>
      <w:r w:rsidRPr="00370535">
        <w:rPr>
          <w:rFonts w:cs="Arial"/>
          <w:bCs/>
        </w:rPr>
        <w:t>Obesity is complex and can be influenced by a number of factors including economic, commercial, social and environmental determinants, cutting across government departments.</w:t>
      </w:r>
    </w:p>
    <w:p w14:paraId="15D52D86" w14:textId="77777777" w:rsidR="00370535" w:rsidRPr="00370535" w:rsidRDefault="00370535" w:rsidP="00370535">
      <w:pPr>
        <w:rPr>
          <w:rFonts w:cs="Arial"/>
          <w:bCs/>
        </w:rPr>
      </w:pPr>
    </w:p>
    <w:p w14:paraId="2E402D72" w14:textId="77777777" w:rsidR="00370535" w:rsidRPr="00370535" w:rsidRDefault="00370535" w:rsidP="00370535">
      <w:pPr>
        <w:rPr>
          <w:rFonts w:cs="Arial"/>
          <w:bCs/>
        </w:rPr>
      </w:pPr>
      <w:r w:rsidRPr="00370535">
        <w:rPr>
          <w:rFonts w:cs="Arial"/>
          <w:bCs/>
        </w:rPr>
        <w:t>Having a high body mass index (ie being overweight or obese) and physical inactivity are the third and fourth leading causes of ill health in the UK. Taken together they are arguably the most important contributor to poor wellbeing in communities today. Childhood obesity leads to and exacerbates adult obesity which in turn causes or exacerbates our most prevalent limiting long term ill health conditions. It is well accepted that adult obesity results in less healthy life expectancy and shorter life expectancy.</w:t>
      </w:r>
    </w:p>
    <w:p w14:paraId="6F1C37FE" w14:textId="77777777" w:rsidR="00370535" w:rsidRPr="00370535" w:rsidRDefault="00370535" w:rsidP="00370535">
      <w:pPr>
        <w:rPr>
          <w:rFonts w:cs="Arial"/>
          <w:bCs/>
        </w:rPr>
      </w:pPr>
      <w:r w:rsidRPr="00370535">
        <w:rPr>
          <w:rFonts w:cs="Arial"/>
          <w:bCs/>
        </w:rPr>
        <w:t xml:space="preserve"> </w:t>
      </w:r>
    </w:p>
    <w:p w14:paraId="289CF35A" w14:textId="77777777" w:rsidR="00370535" w:rsidRPr="00370535" w:rsidRDefault="00370535" w:rsidP="00370535">
      <w:pPr>
        <w:rPr>
          <w:rFonts w:cs="Arial"/>
          <w:bCs/>
        </w:rPr>
      </w:pPr>
      <w:r w:rsidRPr="00370535">
        <w:rPr>
          <w:rFonts w:cs="Arial"/>
          <w:bCs/>
        </w:rPr>
        <w:t xml:space="preserve">A healthy, balanced diet is an essential component of healthy living. A balanced diet combined with physical activity helps to regulate body weight and contributes to good health. Maintaining a healthy body weight also reduces the risk of health problems such as diabetes, coronary heart disease, stroke and some cancers. Regular physical activity is an essential part of healthy living. A lack of physical activity is among the leading causes of avoidable illness and premature death. </w:t>
      </w:r>
    </w:p>
    <w:p w14:paraId="283082B6" w14:textId="77777777" w:rsidR="00370535" w:rsidRPr="00370535" w:rsidRDefault="00370535" w:rsidP="00370535">
      <w:pPr>
        <w:rPr>
          <w:rFonts w:cs="Arial"/>
          <w:bCs/>
        </w:rPr>
      </w:pPr>
      <w:r w:rsidRPr="00370535">
        <w:rPr>
          <w:rFonts w:cs="Arial"/>
          <w:bCs/>
        </w:rPr>
        <w:t xml:space="preserve"> </w:t>
      </w:r>
    </w:p>
    <w:p w14:paraId="681350BD" w14:textId="77777777" w:rsidR="00370535" w:rsidRPr="00370535" w:rsidRDefault="00370535" w:rsidP="00370535">
      <w:pPr>
        <w:rPr>
          <w:rFonts w:cs="Arial"/>
          <w:bCs/>
        </w:rPr>
      </w:pPr>
      <w:r w:rsidRPr="00370535">
        <w:rPr>
          <w:rFonts w:cs="Arial"/>
          <w:bCs/>
        </w:rPr>
        <w:t xml:space="preserve">Government advice is that everyone should have at least five portions of a variety of fruit and vegetables every day. An adult portion of fruit or vegetables is 80g. Physical activity guidelines for adults aged 19 to 64 include at least 150 minutes of moderate intensity activity a week or 75 minutes of vigorous intensity activity a week. </w:t>
      </w:r>
    </w:p>
    <w:p w14:paraId="480D4D95" w14:textId="77777777" w:rsidR="00370535" w:rsidRPr="00370535" w:rsidRDefault="00370535" w:rsidP="00370535">
      <w:pPr>
        <w:rPr>
          <w:rFonts w:cs="Arial"/>
          <w:bCs/>
        </w:rPr>
      </w:pPr>
      <w:r w:rsidRPr="00370535">
        <w:rPr>
          <w:rFonts w:cs="Arial"/>
          <w:bCs/>
        </w:rPr>
        <w:t xml:space="preserve"> </w:t>
      </w:r>
    </w:p>
    <w:p w14:paraId="41662EB0" w14:textId="77777777" w:rsidR="00370535" w:rsidRPr="00370535" w:rsidRDefault="00370535" w:rsidP="00370535">
      <w:pPr>
        <w:rPr>
          <w:rFonts w:cs="Arial"/>
        </w:rPr>
      </w:pPr>
      <w:r w:rsidRPr="00370535">
        <w:rPr>
          <w:rFonts w:cs="Arial"/>
        </w:rPr>
        <w:lastRenderedPageBreak/>
        <w:t>The table below shows the percentage of adults aged 16 years and over, in Swansea and Neath Port Talbot who have self-reported lifestyle behaviours, as recorded by the National Survey for Wales</w:t>
      </w:r>
      <w:r w:rsidRPr="00370535">
        <w:rPr>
          <w:rFonts w:cs="Arial"/>
          <w:vertAlign w:val="superscript"/>
        </w:rPr>
        <w:footnoteReference w:id="89"/>
      </w:r>
      <w:r w:rsidRPr="00370535">
        <w:rPr>
          <w:rFonts w:cs="Arial"/>
        </w:rPr>
        <w:t xml:space="preserve"> between 2021 and 2023. </w:t>
      </w:r>
    </w:p>
    <w:p w14:paraId="0819DC73" w14:textId="77777777" w:rsidR="00370535" w:rsidRPr="00370535" w:rsidRDefault="00370535" w:rsidP="00370535">
      <w:pPr>
        <w:rPr>
          <w:rFonts w:cs="Arial"/>
        </w:rPr>
      </w:pPr>
    </w:p>
    <w:p w14:paraId="632AD854" w14:textId="77777777" w:rsidR="00370535" w:rsidRPr="00370535" w:rsidRDefault="00370535" w:rsidP="00370535">
      <w:pPr>
        <w:rPr>
          <w:rFonts w:cs="Arial"/>
          <w:b/>
          <w:bCs/>
        </w:rPr>
      </w:pPr>
      <w:r w:rsidRPr="00370535">
        <w:rPr>
          <w:rFonts w:cs="Arial"/>
          <w:b/>
          <w:bCs/>
        </w:rPr>
        <w:t>Table 3.12: Percentage of adults (aged 16 years and over) self-reporting lifestyle behaviours by local authority and Wales, 2021 to 2023</w:t>
      </w:r>
      <w:r w:rsidRPr="00370535">
        <w:rPr>
          <w:rFonts w:cs="Arial"/>
          <w:b/>
          <w:bCs/>
          <w:vertAlign w:val="superscript"/>
        </w:rPr>
        <w:footnoteReference w:id="90"/>
      </w:r>
    </w:p>
    <w:p w14:paraId="7DBA0353" w14:textId="77777777" w:rsidR="00370535" w:rsidRPr="00370535" w:rsidRDefault="00370535" w:rsidP="00370535">
      <w:pPr>
        <w:rPr>
          <w:rFonts w:cs="Arial"/>
          <w:b/>
        </w:rPr>
      </w:pPr>
    </w:p>
    <w:tbl>
      <w:tblPr>
        <w:tblStyle w:val="TableGrid4"/>
        <w:tblW w:w="10065" w:type="dxa"/>
        <w:tblInd w:w="-431" w:type="dxa"/>
        <w:tblLayout w:type="fixed"/>
        <w:tblLook w:val="04A0" w:firstRow="1" w:lastRow="0" w:firstColumn="1" w:lastColumn="0" w:noHBand="0" w:noVBand="1"/>
      </w:tblPr>
      <w:tblGrid>
        <w:gridCol w:w="1546"/>
        <w:gridCol w:w="1573"/>
        <w:gridCol w:w="1843"/>
        <w:gridCol w:w="1811"/>
        <w:gridCol w:w="1732"/>
        <w:gridCol w:w="1560"/>
      </w:tblGrid>
      <w:tr w:rsidR="00370535" w:rsidRPr="00370535" w14:paraId="26AD0BF0" w14:textId="77777777" w:rsidTr="00370535">
        <w:trPr>
          <w:trHeight w:val="1807"/>
        </w:trPr>
        <w:tc>
          <w:tcPr>
            <w:tcW w:w="1546"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641E8E2C" w14:textId="77777777" w:rsidR="00370535" w:rsidRPr="00370535" w:rsidRDefault="00370535" w:rsidP="00370535">
            <w:pPr>
              <w:rPr>
                <w:rFonts w:cs="Arial"/>
                <w:b/>
              </w:rPr>
            </w:pPr>
            <w:r w:rsidRPr="00370535">
              <w:rPr>
                <w:rFonts w:cs="Arial"/>
                <w:b/>
              </w:rPr>
              <w:t>Area</w:t>
            </w:r>
          </w:p>
        </w:tc>
        <w:tc>
          <w:tcPr>
            <w:tcW w:w="1573"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0341141E" w14:textId="48BA6484" w:rsidR="00370535" w:rsidRPr="00370535" w:rsidRDefault="00C95FAA" w:rsidP="00370535">
            <w:pPr>
              <w:rPr>
                <w:rFonts w:cs="Arial"/>
                <w:b/>
              </w:rPr>
            </w:pPr>
            <w:r w:rsidRPr="00D0306F">
              <w:rPr>
                <w:rFonts w:cs="Arial"/>
                <w:b/>
              </w:rPr>
              <w:t>P</w:t>
            </w:r>
            <w:r w:rsidR="00370535" w:rsidRPr="00370535">
              <w:rPr>
                <w:rFonts w:cs="Arial"/>
                <w:b/>
              </w:rPr>
              <w:t>opulation 16 years and over</w:t>
            </w:r>
            <w:r w:rsidR="0056343F" w:rsidRPr="00D0306F">
              <w:rPr>
                <w:rStyle w:val="FootnoteReference"/>
                <w:b/>
              </w:rPr>
              <w:footnoteReference w:id="91"/>
            </w:r>
            <w:r w:rsidR="0056343F" w:rsidRPr="00D0306F">
              <w:rPr>
                <w:rFonts w:cs="Arial"/>
                <w:b/>
                <w:vertAlign w:val="superscript"/>
              </w:rPr>
              <w:t>,</w:t>
            </w:r>
            <w:r w:rsidR="0056343F" w:rsidRPr="00D0306F">
              <w:rPr>
                <w:rStyle w:val="FootnoteReference"/>
                <w:b/>
              </w:rPr>
              <w:footnoteReference w:id="92"/>
            </w:r>
          </w:p>
        </w:tc>
        <w:tc>
          <w:tcPr>
            <w:tcW w:w="1843"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72AD661D" w14:textId="77777777" w:rsidR="00370535" w:rsidRPr="00370535" w:rsidRDefault="00370535" w:rsidP="00370535">
            <w:pPr>
              <w:rPr>
                <w:rFonts w:cs="Arial"/>
                <w:b/>
              </w:rPr>
            </w:pPr>
            <w:r w:rsidRPr="00370535">
              <w:rPr>
                <w:rFonts w:cs="Arial"/>
                <w:b/>
              </w:rPr>
              <w:t>Overweight with a body mass index of 25+</w:t>
            </w:r>
          </w:p>
        </w:tc>
        <w:tc>
          <w:tcPr>
            <w:tcW w:w="1811"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01334E9E" w14:textId="77777777" w:rsidR="00370535" w:rsidRPr="00370535" w:rsidRDefault="00370535" w:rsidP="00370535">
            <w:pPr>
              <w:rPr>
                <w:rFonts w:cs="Arial"/>
                <w:b/>
              </w:rPr>
            </w:pPr>
            <w:r w:rsidRPr="00370535">
              <w:rPr>
                <w:rFonts w:cs="Arial"/>
                <w:b/>
              </w:rPr>
              <w:t>Obese with a body mass index of 30+</w:t>
            </w:r>
          </w:p>
        </w:tc>
        <w:tc>
          <w:tcPr>
            <w:tcW w:w="1732"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285BB2FB" w14:textId="77777777" w:rsidR="00370535" w:rsidRPr="00370535" w:rsidRDefault="00370535" w:rsidP="00370535">
            <w:pPr>
              <w:rPr>
                <w:rFonts w:cs="Arial"/>
                <w:b/>
              </w:rPr>
            </w:pPr>
            <w:r w:rsidRPr="00370535">
              <w:rPr>
                <w:rFonts w:cs="Arial"/>
                <w:b/>
              </w:rPr>
              <w:t>Physical activity for 150 minutes per week</w:t>
            </w:r>
          </w:p>
        </w:tc>
        <w:tc>
          <w:tcPr>
            <w:tcW w:w="1560"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60EE07C5" w14:textId="77777777" w:rsidR="00370535" w:rsidRPr="00370535" w:rsidRDefault="00370535" w:rsidP="00370535">
            <w:pPr>
              <w:rPr>
                <w:rFonts w:cs="Arial"/>
                <w:b/>
              </w:rPr>
            </w:pPr>
            <w:r w:rsidRPr="00370535">
              <w:rPr>
                <w:rFonts w:cs="Arial"/>
                <w:b/>
              </w:rPr>
              <w:t>Eating five portions of fruit and vegetables the previous day</w:t>
            </w:r>
          </w:p>
        </w:tc>
      </w:tr>
      <w:tr w:rsidR="00370535" w:rsidRPr="00370535" w14:paraId="602D10FE" w14:textId="77777777" w:rsidTr="00370535">
        <w:trPr>
          <w:trHeight w:val="316"/>
        </w:trPr>
        <w:tc>
          <w:tcPr>
            <w:tcW w:w="1546" w:type="dxa"/>
            <w:tcBorders>
              <w:top w:val="single" w:sz="4" w:space="0" w:color="auto"/>
              <w:left w:val="single" w:sz="4" w:space="0" w:color="auto"/>
              <w:bottom w:val="single" w:sz="4" w:space="0" w:color="auto"/>
              <w:right w:val="single" w:sz="4" w:space="0" w:color="auto"/>
            </w:tcBorders>
            <w:hideMark/>
          </w:tcPr>
          <w:p w14:paraId="57AFBF9E" w14:textId="77777777" w:rsidR="00370535" w:rsidRPr="00370535" w:rsidRDefault="00370535" w:rsidP="00370535">
            <w:pPr>
              <w:rPr>
                <w:rFonts w:cs="Arial"/>
                <w:bCs/>
              </w:rPr>
            </w:pPr>
            <w:r w:rsidRPr="00370535">
              <w:rPr>
                <w:rFonts w:cs="Arial"/>
                <w:bCs/>
              </w:rPr>
              <w:t>Swansea Local Authority</w:t>
            </w:r>
          </w:p>
        </w:tc>
        <w:tc>
          <w:tcPr>
            <w:tcW w:w="1573" w:type="dxa"/>
            <w:tcBorders>
              <w:top w:val="single" w:sz="4" w:space="0" w:color="auto"/>
              <w:left w:val="single" w:sz="4" w:space="0" w:color="auto"/>
              <w:bottom w:val="single" w:sz="4" w:space="0" w:color="auto"/>
              <w:right w:val="single" w:sz="4" w:space="0" w:color="auto"/>
            </w:tcBorders>
            <w:hideMark/>
          </w:tcPr>
          <w:p w14:paraId="0C56EA8A" w14:textId="3E3A9FD8" w:rsidR="00370535" w:rsidRPr="00370535" w:rsidRDefault="00370535" w:rsidP="00370535">
            <w:pPr>
              <w:rPr>
                <w:rFonts w:cs="Arial"/>
                <w:bCs/>
              </w:rPr>
            </w:pPr>
            <w:r w:rsidRPr="00370535">
              <w:rPr>
                <w:rFonts w:cs="Arial"/>
                <w:bCs/>
              </w:rPr>
              <w:t>209,302</w:t>
            </w:r>
          </w:p>
        </w:tc>
        <w:tc>
          <w:tcPr>
            <w:tcW w:w="1843" w:type="dxa"/>
            <w:tcBorders>
              <w:top w:val="single" w:sz="4" w:space="0" w:color="auto"/>
              <w:left w:val="single" w:sz="4" w:space="0" w:color="auto"/>
              <w:bottom w:val="single" w:sz="4" w:space="0" w:color="auto"/>
              <w:right w:val="single" w:sz="4" w:space="0" w:color="auto"/>
            </w:tcBorders>
            <w:hideMark/>
          </w:tcPr>
          <w:p w14:paraId="7D707750" w14:textId="77777777" w:rsidR="00370535" w:rsidRPr="00370535" w:rsidRDefault="00370535" w:rsidP="0056343F">
            <w:pPr>
              <w:jc w:val="center"/>
              <w:rPr>
                <w:rFonts w:cs="Arial"/>
                <w:bCs/>
              </w:rPr>
            </w:pPr>
            <w:r w:rsidRPr="00370535">
              <w:rPr>
                <w:rFonts w:cs="Arial"/>
                <w:bCs/>
              </w:rPr>
              <w:t>61%</w:t>
            </w:r>
          </w:p>
        </w:tc>
        <w:tc>
          <w:tcPr>
            <w:tcW w:w="1811" w:type="dxa"/>
            <w:tcBorders>
              <w:top w:val="single" w:sz="4" w:space="0" w:color="auto"/>
              <w:left w:val="single" w:sz="4" w:space="0" w:color="auto"/>
              <w:bottom w:val="single" w:sz="4" w:space="0" w:color="auto"/>
              <w:right w:val="single" w:sz="4" w:space="0" w:color="auto"/>
            </w:tcBorders>
            <w:hideMark/>
          </w:tcPr>
          <w:p w14:paraId="5E9E2754" w14:textId="77777777" w:rsidR="00370535" w:rsidRPr="00370535" w:rsidRDefault="00370535" w:rsidP="0056343F">
            <w:pPr>
              <w:jc w:val="center"/>
              <w:rPr>
                <w:rFonts w:cs="Arial"/>
                <w:bCs/>
              </w:rPr>
            </w:pPr>
            <w:r w:rsidRPr="00370535">
              <w:rPr>
                <w:rFonts w:cs="Arial"/>
                <w:bCs/>
              </w:rPr>
              <w:t>24%</w:t>
            </w:r>
          </w:p>
        </w:tc>
        <w:tc>
          <w:tcPr>
            <w:tcW w:w="1732" w:type="dxa"/>
            <w:tcBorders>
              <w:top w:val="single" w:sz="4" w:space="0" w:color="auto"/>
              <w:left w:val="single" w:sz="4" w:space="0" w:color="auto"/>
              <w:bottom w:val="single" w:sz="4" w:space="0" w:color="auto"/>
              <w:right w:val="single" w:sz="4" w:space="0" w:color="auto"/>
            </w:tcBorders>
            <w:hideMark/>
          </w:tcPr>
          <w:p w14:paraId="7457B7AD" w14:textId="77777777" w:rsidR="00370535" w:rsidRPr="00370535" w:rsidRDefault="00370535" w:rsidP="0056343F">
            <w:pPr>
              <w:jc w:val="center"/>
              <w:rPr>
                <w:rFonts w:cs="Arial"/>
                <w:bCs/>
              </w:rPr>
            </w:pPr>
            <w:r w:rsidRPr="00370535">
              <w:rPr>
                <w:rFonts w:cs="Arial"/>
                <w:bCs/>
              </w:rPr>
              <w:t>59%</w:t>
            </w:r>
          </w:p>
        </w:tc>
        <w:tc>
          <w:tcPr>
            <w:tcW w:w="1560" w:type="dxa"/>
            <w:tcBorders>
              <w:top w:val="single" w:sz="4" w:space="0" w:color="auto"/>
              <w:left w:val="single" w:sz="4" w:space="0" w:color="auto"/>
              <w:bottom w:val="single" w:sz="4" w:space="0" w:color="auto"/>
              <w:right w:val="single" w:sz="4" w:space="0" w:color="auto"/>
            </w:tcBorders>
            <w:hideMark/>
          </w:tcPr>
          <w:p w14:paraId="642E52D8" w14:textId="77777777" w:rsidR="00370535" w:rsidRPr="00370535" w:rsidRDefault="00370535" w:rsidP="0056343F">
            <w:pPr>
              <w:jc w:val="center"/>
              <w:rPr>
                <w:rFonts w:cs="Arial"/>
                <w:bCs/>
              </w:rPr>
            </w:pPr>
            <w:r w:rsidRPr="00370535">
              <w:rPr>
                <w:rFonts w:cs="Arial"/>
                <w:bCs/>
              </w:rPr>
              <w:t>34%</w:t>
            </w:r>
          </w:p>
        </w:tc>
      </w:tr>
      <w:tr w:rsidR="00370535" w:rsidRPr="00370535" w14:paraId="6B4A9C1C" w14:textId="77777777" w:rsidTr="00370535">
        <w:trPr>
          <w:trHeight w:val="316"/>
        </w:trPr>
        <w:tc>
          <w:tcPr>
            <w:tcW w:w="1546" w:type="dxa"/>
            <w:tcBorders>
              <w:top w:val="single" w:sz="4" w:space="0" w:color="auto"/>
              <w:left w:val="single" w:sz="4" w:space="0" w:color="auto"/>
              <w:bottom w:val="single" w:sz="4" w:space="0" w:color="auto"/>
              <w:right w:val="single" w:sz="4" w:space="0" w:color="auto"/>
            </w:tcBorders>
            <w:hideMark/>
          </w:tcPr>
          <w:p w14:paraId="3BF1C906" w14:textId="77777777" w:rsidR="00370535" w:rsidRPr="00370535" w:rsidRDefault="00370535" w:rsidP="00370535">
            <w:pPr>
              <w:rPr>
                <w:rFonts w:cs="Arial"/>
                <w:bCs/>
              </w:rPr>
            </w:pPr>
            <w:r w:rsidRPr="00370535">
              <w:rPr>
                <w:rFonts w:cs="Arial"/>
                <w:bCs/>
              </w:rPr>
              <w:t>Neath Port Talbot Local Authority</w:t>
            </w:r>
          </w:p>
        </w:tc>
        <w:tc>
          <w:tcPr>
            <w:tcW w:w="1573" w:type="dxa"/>
            <w:tcBorders>
              <w:top w:val="single" w:sz="4" w:space="0" w:color="auto"/>
              <w:left w:val="single" w:sz="4" w:space="0" w:color="auto"/>
              <w:bottom w:val="single" w:sz="4" w:space="0" w:color="auto"/>
              <w:right w:val="single" w:sz="4" w:space="0" w:color="auto"/>
            </w:tcBorders>
            <w:hideMark/>
          </w:tcPr>
          <w:p w14:paraId="45B9C279" w14:textId="162545EC" w:rsidR="00370535" w:rsidRPr="00370535" w:rsidRDefault="00370535" w:rsidP="00370535">
            <w:pPr>
              <w:rPr>
                <w:rFonts w:cs="Arial"/>
                <w:bCs/>
              </w:rPr>
            </w:pPr>
            <w:r w:rsidRPr="00370535">
              <w:rPr>
                <w:rFonts w:cs="Arial"/>
                <w:bCs/>
              </w:rPr>
              <w:t>118,891</w:t>
            </w:r>
          </w:p>
        </w:tc>
        <w:tc>
          <w:tcPr>
            <w:tcW w:w="1843" w:type="dxa"/>
            <w:tcBorders>
              <w:top w:val="single" w:sz="4" w:space="0" w:color="auto"/>
              <w:left w:val="single" w:sz="4" w:space="0" w:color="auto"/>
              <w:bottom w:val="single" w:sz="4" w:space="0" w:color="auto"/>
              <w:right w:val="single" w:sz="4" w:space="0" w:color="auto"/>
            </w:tcBorders>
            <w:hideMark/>
          </w:tcPr>
          <w:p w14:paraId="026666E4" w14:textId="77777777" w:rsidR="00370535" w:rsidRPr="00370535" w:rsidRDefault="00370535" w:rsidP="0056343F">
            <w:pPr>
              <w:jc w:val="center"/>
              <w:rPr>
                <w:rFonts w:cs="Arial"/>
                <w:bCs/>
              </w:rPr>
            </w:pPr>
            <w:r w:rsidRPr="00370535">
              <w:rPr>
                <w:rFonts w:cs="Arial"/>
                <w:bCs/>
              </w:rPr>
              <w:t>66%</w:t>
            </w:r>
          </w:p>
        </w:tc>
        <w:tc>
          <w:tcPr>
            <w:tcW w:w="1811" w:type="dxa"/>
            <w:tcBorders>
              <w:top w:val="single" w:sz="4" w:space="0" w:color="auto"/>
              <w:left w:val="single" w:sz="4" w:space="0" w:color="auto"/>
              <w:bottom w:val="single" w:sz="4" w:space="0" w:color="auto"/>
              <w:right w:val="single" w:sz="4" w:space="0" w:color="auto"/>
            </w:tcBorders>
            <w:hideMark/>
          </w:tcPr>
          <w:p w14:paraId="2D85DE85" w14:textId="77777777" w:rsidR="00370535" w:rsidRPr="00370535" w:rsidRDefault="00370535" w:rsidP="0056343F">
            <w:pPr>
              <w:jc w:val="center"/>
              <w:rPr>
                <w:rFonts w:cs="Arial"/>
                <w:bCs/>
              </w:rPr>
            </w:pPr>
            <w:r w:rsidRPr="00370535">
              <w:rPr>
                <w:rFonts w:cs="Arial"/>
                <w:bCs/>
              </w:rPr>
              <w:t>29%</w:t>
            </w:r>
          </w:p>
        </w:tc>
        <w:tc>
          <w:tcPr>
            <w:tcW w:w="1732" w:type="dxa"/>
            <w:tcBorders>
              <w:top w:val="single" w:sz="4" w:space="0" w:color="auto"/>
              <w:left w:val="single" w:sz="4" w:space="0" w:color="auto"/>
              <w:bottom w:val="single" w:sz="4" w:space="0" w:color="auto"/>
              <w:right w:val="single" w:sz="4" w:space="0" w:color="auto"/>
            </w:tcBorders>
            <w:hideMark/>
          </w:tcPr>
          <w:p w14:paraId="03B655CF" w14:textId="77777777" w:rsidR="00370535" w:rsidRPr="00370535" w:rsidRDefault="00370535" w:rsidP="0056343F">
            <w:pPr>
              <w:jc w:val="center"/>
              <w:rPr>
                <w:rFonts w:cs="Arial"/>
                <w:bCs/>
              </w:rPr>
            </w:pPr>
            <w:r w:rsidRPr="00370535">
              <w:rPr>
                <w:rFonts w:cs="Arial"/>
                <w:bCs/>
              </w:rPr>
              <w:t>53%</w:t>
            </w:r>
          </w:p>
        </w:tc>
        <w:tc>
          <w:tcPr>
            <w:tcW w:w="1560" w:type="dxa"/>
            <w:tcBorders>
              <w:top w:val="single" w:sz="4" w:space="0" w:color="auto"/>
              <w:left w:val="single" w:sz="4" w:space="0" w:color="auto"/>
              <w:bottom w:val="single" w:sz="4" w:space="0" w:color="auto"/>
              <w:right w:val="single" w:sz="4" w:space="0" w:color="auto"/>
            </w:tcBorders>
            <w:hideMark/>
          </w:tcPr>
          <w:p w14:paraId="0506A73E" w14:textId="77777777" w:rsidR="00370535" w:rsidRPr="00370535" w:rsidRDefault="00370535" w:rsidP="0056343F">
            <w:pPr>
              <w:jc w:val="center"/>
              <w:rPr>
                <w:rFonts w:cs="Arial"/>
                <w:bCs/>
              </w:rPr>
            </w:pPr>
            <w:r w:rsidRPr="00370535">
              <w:rPr>
                <w:rFonts w:cs="Arial"/>
                <w:bCs/>
              </w:rPr>
              <w:t>22%</w:t>
            </w:r>
          </w:p>
        </w:tc>
      </w:tr>
      <w:tr w:rsidR="00370535" w:rsidRPr="00370535" w14:paraId="537B6172" w14:textId="77777777" w:rsidTr="00370535">
        <w:trPr>
          <w:trHeight w:val="328"/>
        </w:trPr>
        <w:tc>
          <w:tcPr>
            <w:tcW w:w="1546" w:type="dxa"/>
            <w:tcBorders>
              <w:top w:val="single" w:sz="4" w:space="0" w:color="auto"/>
              <w:left w:val="single" w:sz="4" w:space="0" w:color="auto"/>
              <w:bottom w:val="single" w:sz="4" w:space="0" w:color="auto"/>
              <w:right w:val="single" w:sz="4" w:space="0" w:color="auto"/>
            </w:tcBorders>
            <w:hideMark/>
          </w:tcPr>
          <w:p w14:paraId="2853CCEB" w14:textId="77777777" w:rsidR="00370535" w:rsidRPr="00370535" w:rsidRDefault="00370535" w:rsidP="00370535">
            <w:pPr>
              <w:rPr>
                <w:rFonts w:cs="Arial"/>
                <w:bCs/>
              </w:rPr>
            </w:pPr>
            <w:r w:rsidRPr="00370535">
              <w:rPr>
                <w:rFonts w:cs="Arial"/>
                <w:bCs/>
              </w:rPr>
              <w:t>Wales</w:t>
            </w:r>
          </w:p>
        </w:tc>
        <w:tc>
          <w:tcPr>
            <w:tcW w:w="1573" w:type="dxa"/>
            <w:tcBorders>
              <w:top w:val="single" w:sz="4" w:space="0" w:color="auto"/>
              <w:left w:val="single" w:sz="4" w:space="0" w:color="auto"/>
              <w:bottom w:val="single" w:sz="4" w:space="0" w:color="auto"/>
              <w:right w:val="single" w:sz="4" w:space="0" w:color="auto"/>
            </w:tcBorders>
            <w:hideMark/>
          </w:tcPr>
          <w:p w14:paraId="31E918D5" w14:textId="1D74BC9E" w:rsidR="00370535" w:rsidRPr="00370535" w:rsidRDefault="00370535" w:rsidP="00370535">
            <w:pPr>
              <w:rPr>
                <w:rFonts w:cs="Arial"/>
                <w:bCs/>
              </w:rPr>
            </w:pPr>
            <w:r w:rsidRPr="00370535">
              <w:rPr>
                <w:rFonts w:cs="Arial"/>
                <w:bCs/>
              </w:rPr>
              <w:t>2,641,000</w:t>
            </w:r>
          </w:p>
        </w:tc>
        <w:tc>
          <w:tcPr>
            <w:tcW w:w="1843" w:type="dxa"/>
            <w:tcBorders>
              <w:top w:val="single" w:sz="4" w:space="0" w:color="auto"/>
              <w:left w:val="single" w:sz="4" w:space="0" w:color="auto"/>
              <w:bottom w:val="single" w:sz="4" w:space="0" w:color="auto"/>
              <w:right w:val="single" w:sz="4" w:space="0" w:color="auto"/>
            </w:tcBorders>
            <w:hideMark/>
          </w:tcPr>
          <w:p w14:paraId="566A6577" w14:textId="77777777" w:rsidR="00370535" w:rsidRPr="00370535" w:rsidRDefault="00370535" w:rsidP="0056343F">
            <w:pPr>
              <w:jc w:val="center"/>
              <w:rPr>
                <w:rFonts w:cs="Arial"/>
                <w:bCs/>
              </w:rPr>
            </w:pPr>
            <w:r w:rsidRPr="00370535">
              <w:rPr>
                <w:rFonts w:cs="Arial"/>
                <w:bCs/>
              </w:rPr>
              <w:t>62%</w:t>
            </w:r>
          </w:p>
        </w:tc>
        <w:tc>
          <w:tcPr>
            <w:tcW w:w="1811" w:type="dxa"/>
            <w:tcBorders>
              <w:top w:val="single" w:sz="4" w:space="0" w:color="auto"/>
              <w:left w:val="single" w:sz="4" w:space="0" w:color="auto"/>
              <w:bottom w:val="single" w:sz="4" w:space="0" w:color="auto"/>
              <w:right w:val="single" w:sz="4" w:space="0" w:color="auto"/>
            </w:tcBorders>
            <w:hideMark/>
          </w:tcPr>
          <w:p w14:paraId="4AC36803" w14:textId="77777777" w:rsidR="00370535" w:rsidRPr="00370535" w:rsidRDefault="00370535" w:rsidP="0056343F">
            <w:pPr>
              <w:jc w:val="center"/>
              <w:rPr>
                <w:rFonts w:cs="Arial"/>
                <w:bCs/>
              </w:rPr>
            </w:pPr>
            <w:r w:rsidRPr="00370535">
              <w:rPr>
                <w:rFonts w:cs="Arial"/>
                <w:bCs/>
              </w:rPr>
              <w:t>25%</w:t>
            </w:r>
          </w:p>
        </w:tc>
        <w:tc>
          <w:tcPr>
            <w:tcW w:w="1732" w:type="dxa"/>
            <w:tcBorders>
              <w:top w:val="single" w:sz="4" w:space="0" w:color="auto"/>
              <w:left w:val="single" w:sz="4" w:space="0" w:color="auto"/>
              <w:bottom w:val="single" w:sz="4" w:space="0" w:color="auto"/>
              <w:right w:val="single" w:sz="4" w:space="0" w:color="auto"/>
            </w:tcBorders>
            <w:hideMark/>
          </w:tcPr>
          <w:p w14:paraId="457A1681" w14:textId="77777777" w:rsidR="00370535" w:rsidRPr="00370535" w:rsidRDefault="00370535" w:rsidP="0056343F">
            <w:pPr>
              <w:jc w:val="center"/>
              <w:rPr>
                <w:rFonts w:cs="Arial"/>
                <w:bCs/>
              </w:rPr>
            </w:pPr>
            <w:r w:rsidRPr="00370535">
              <w:rPr>
                <w:rFonts w:cs="Arial"/>
                <w:bCs/>
              </w:rPr>
              <w:t>56%</w:t>
            </w:r>
          </w:p>
        </w:tc>
        <w:tc>
          <w:tcPr>
            <w:tcW w:w="1560" w:type="dxa"/>
            <w:tcBorders>
              <w:top w:val="single" w:sz="4" w:space="0" w:color="auto"/>
              <w:left w:val="single" w:sz="4" w:space="0" w:color="auto"/>
              <w:bottom w:val="single" w:sz="4" w:space="0" w:color="auto"/>
              <w:right w:val="single" w:sz="4" w:space="0" w:color="auto"/>
            </w:tcBorders>
            <w:hideMark/>
          </w:tcPr>
          <w:p w14:paraId="77BE1D6A" w14:textId="77777777" w:rsidR="00370535" w:rsidRPr="00370535" w:rsidRDefault="00370535" w:rsidP="0056343F">
            <w:pPr>
              <w:jc w:val="center"/>
              <w:rPr>
                <w:rFonts w:cs="Arial"/>
                <w:bCs/>
              </w:rPr>
            </w:pPr>
            <w:r w:rsidRPr="00370535">
              <w:rPr>
                <w:rFonts w:cs="Arial"/>
                <w:bCs/>
              </w:rPr>
              <w:t>29%</w:t>
            </w:r>
          </w:p>
        </w:tc>
      </w:tr>
    </w:tbl>
    <w:p w14:paraId="3F5628A8" w14:textId="77777777" w:rsidR="00370535" w:rsidRPr="00370535" w:rsidRDefault="00370535" w:rsidP="00370535">
      <w:pPr>
        <w:rPr>
          <w:rFonts w:cs="Arial"/>
          <w:bCs/>
        </w:rPr>
      </w:pPr>
    </w:p>
    <w:p w14:paraId="6762917E" w14:textId="77777777" w:rsidR="00370535" w:rsidRPr="00370535" w:rsidRDefault="00370535" w:rsidP="00370535">
      <w:pPr>
        <w:rPr>
          <w:rFonts w:cs="Arial"/>
          <w:lang w:val="en-US"/>
        </w:rPr>
      </w:pPr>
      <w:r w:rsidRPr="00370535">
        <w:rPr>
          <w:rFonts w:cs="Arial"/>
          <w:lang w:val="en-US"/>
        </w:rPr>
        <w:t>The table below is a comparison of the 22 local authorities in Wales and shows the percentages of adults (16 years and over) who self-reported lifestyle behaviours in the period 2021-2023, and where both Swansea and Neath Port Talbot Local Authorities rank.</w:t>
      </w:r>
    </w:p>
    <w:p w14:paraId="4B746E28" w14:textId="77777777" w:rsidR="00370535" w:rsidRPr="00370535" w:rsidRDefault="00370535" w:rsidP="00370535">
      <w:pPr>
        <w:rPr>
          <w:rFonts w:cs="Arial"/>
          <w:lang w:val="en-US"/>
        </w:rPr>
      </w:pPr>
    </w:p>
    <w:p w14:paraId="4CB2D723" w14:textId="77777777" w:rsidR="00370535" w:rsidRPr="00370535" w:rsidRDefault="00370535" w:rsidP="00370535">
      <w:pPr>
        <w:rPr>
          <w:rFonts w:cs="Arial"/>
          <w:lang w:val="en-US"/>
        </w:rPr>
      </w:pPr>
      <w:r w:rsidRPr="00370535">
        <w:rPr>
          <w:rFonts w:cs="Arial"/>
          <w:lang w:val="en-US"/>
        </w:rPr>
        <w:t>Ranking: First (one) equals the local authority with the lowest percentage of adults and 22 is the local authority with the highest.</w:t>
      </w:r>
    </w:p>
    <w:p w14:paraId="03F4350E" w14:textId="77777777" w:rsidR="00370535" w:rsidRPr="00370535" w:rsidRDefault="00370535" w:rsidP="00370535">
      <w:pPr>
        <w:rPr>
          <w:rFonts w:cs="Arial"/>
          <w:lang w:val="en-US"/>
        </w:rPr>
      </w:pPr>
    </w:p>
    <w:p w14:paraId="7BBEF4AF" w14:textId="77777777" w:rsidR="00370535" w:rsidRPr="00370535" w:rsidRDefault="00370535" w:rsidP="00370535">
      <w:pPr>
        <w:rPr>
          <w:rFonts w:cs="Arial"/>
          <w:b/>
          <w:bCs/>
          <w:lang w:val="en-US"/>
        </w:rPr>
      </w:pPr>
      <w:r w:rsidRPr="00370535">
        <w:rPr>
          <w:rFonts w:cs="Arial"/>
          <w:b/>
          <w:bCs/>
          <w:lang w:val="en-US"/>
        </w:rPr>
        <w:t>Table 3.13: Comparison of adults (16 years and over) who self-reported lifestyle behaviors for the period 2021-2023 across the 22 local authorities in Wales, and where Swansea and Neath Port Talbot Local Authorities rank</w:t>
      </w:r>
      <w:r w:rsidRPr="00370535">
        <w:rPr>
          <w:rFonts w:cs="Arial"/>
          <w:b/>
          <w:bCs/>
          <w:vertAlign w:val="superscript"/>
          <w:lang w:val="en-US"/>
        </w:rPr>
        <w:footnoteReference w:id="93"/>
      </w:r>
    </w:p>
    <w:p w14:paraId="67BDCA98" w14:textId="77777777" w:rsidR="00370535" w:rsidRPr="00370535" w:rsidRDefault="00370535" w:rsidP="00370535">
      <w:pPr>
        <w:rPr>
          <w:rFonts w:cs="Arial"/>
          <w:b/>
        </w:rPr>
      </w:pPr>
    </w:p>
    <w:tbl>
      <w:tblPr>
        <w:tblStyle w:val="TableGrid5"/>
        <w:tblW w:w="9795" w:type="dxa"/>
        <w:tblInd w:w="-431" w:type="dxa"/>
        <w:tblLayout w:type="fixed"/>
        <w:tblLook w:val="04A0" w:firstRow="1" w:lastRow="0" w:firstColumn="1" w:lastColumn="0" w:noHBand="0" w:noVBand="1"/>
      </w:tblPr>
      <w:tblGrid>
        <w:gridCol w:w="1846"/>
        <w:gridCol w:w="1702"/>
        <w:gridCol w:w="1277"/>
        <w:gridCol w:w="999"/>
        <w:gridCol w:w="1985"/>
        <w:gridCol w:w="1986"/>
      </w:tblGrid>
      <w:tr w:rsidR="00370535" w:rsidRPr="00370535" w14:paraId="18512D7A" w14:textId="77777777" w:rsidTr="00370535">
        <w:trPr>
          <w:trHeight w:val="1016"/>
        </w:trPr>
        <w:tc>
          <w:tcPr>
            <w:tcW w:w="1844" w:type="dxa"/>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hideMark/>
          </w:tcPr>
          <w:p w14:paraId="77120E25" w14:textId="77777777" w:rsidR="00370535" w:rsidRPr="00370535" w:rsidRDefault="00370535" w:rsidP="00370535">
            <w:pPr>
              <w:rPr>
                <w:rFonts w:cs="Arial"/>
              </w:rPr>
            </w:pPr>
            <w:r w:rsidRPr="00370535">
              <w:rPr>
                <w:rFonts w:cs="Arial"/>
                <w:b/>
                <w:bCs/>
              </w:rPr>
              <w:t>Lifestyle behaviour</w:t>
            </w:r>
          </w:p>
        </w:tc>
        <w:tc>
          <w:tcPr>
            <w:tcW w:w="1701" w:type="dxa"/>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hideMark/>
          </w:tcPr>
          <w:p w14:paraId="0AB594FC" w14:textId="77777777" w:rsidR="00370535" w:rsidRPr="00370535" w:rsidRDefault="00370535" w:rsidP="00370535">
            <w:pPr>
              <w:rPr>
                <w:rFonts w:cs="Arial"/>
              </w:rPr>
            </w:pPr>
            <w:r w:rsidRPr="00370535">
              <w:rPr>
                <w:rFonts w:cs="Arial"/>
                <w:b/>
                <w:bCs/>
              </w:rPr>
              <w:t>Lifestyle percentage range</w:t>
            </w:r>
          </w:p>
        </w:tc>
        <w:tc>
          <w:tcPr>
            <w:tcW w:w="1276" w:type="dxa"/>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hideMark/>
          </w:tcPr>
          <w:p w14:paraId="73213E9E" w14:textId="77777777" w:rsidR="00370535" w:rsidRPr="00370535" w:rsidRDefault="00370535" w:rsidP="00370535">
            <w:pPr>
              <w:rPr>
                <w:rFonts w:cs="Arial"/>
              </w:rPr>
            </w:pPr>
            <w:r w:rsidRPr="00370535">
              <w:rPr>
                <w:rFonts w:cs="Arial"/>
                <w:b/>
                <w:bCs/>
              </w:rPr>
              <w:t xml:space="preserve">Swansea </w:t>
            </w:r>
          </w:p>
        </w:tc>
        <w:tc>
          <w:tcPr>
            <w:tcW w:w="998" w:type="dxa"/>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hideMark/>
          </w:tcPr>
          <w:p w14:paraId="5D6C20A4" w14:textId="77777777" w:rsidR="00370535" w:rsidRPr="00370535" w:rsidRDefault="00370535" w:rsidP="00370535">
            <w:pPr>
              <w:rPr>
                <w:rFonts w:cs="Arial"/>
              </w:rPr>
            </w:pPr>
            <w:r w:rsidRPr="00370535">
              <w:rPr>
                <w:rFonts w:cs="Arial"/>
                <w:b/>
                <w:bCs/>
              </w:rPr>
              <w:t>Neath Port Talbot</w:t>
            </w:r>
          </w:p>
        </w:tc>
        <w:tc>
          <w:tcPr>
            <w:tcW w:w="1984" w:type="dxa"/>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hideMark/>
          </w:tcPr>
          <w:p w14:paraId="182D2D7D" w14:textId="77777777" w:rsidR="00370535" w:rsidRPr="00370535" w:rsidRDefault="00370535" w:rsidP="00370535">
            <w:pPr>
              <w:rPr>
                <w:rFonts w:cs="Arial"/>
                <w:b/>
                <w:bCs/>
              </w:rPr>
            </w:pPr>
            <w:r w:rsidRPr="00370535">
              <w:rPr>
                <w:rFonts w:cs="Arial"/>
                <w:b/>
                <w:bCs/>
              </w:rPr>
              <w:t>Local authority</w:t>
            </w:r>
          </w:p>
          <w:p w14:paraId="1836DC32" w14:textId="77777777" w:rsidR="00370535" w:rsidRPr="00370535" w:rsidRDefault="00370535" w:rsidP="00370535">
            <w:pPr>
              <w:rPr>
                <w:rFonts w:cs="Arial"/>
              </w:rPr>
            </w:pPr>
            <w:r w:rsidRPr="00370535">
              <w:rPr>
                <w:rFonts w:cs="Arial"/>
                <w:b/>
                <w:bCs/>
              </w:rPr>
              <w:t>at one (lowest)</w:t>
            </w:r>
          </w:p>
        </w:tc>
        <w:tc>
          <w:tcPr>
            <w:tcW w:w="1985" w:type="dxa"/>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hideMark/>
          </w:tcPr>
          <w:p w14:paraId="0BAA1E18" w14:textId="77777777" w:rsidR="00370535" w:rsidRPr="00370535" w:rsidRDefault="00370535" w:rsidP="00370535">
            <w:pPr>
              <w:rPr>
                <w:rFonts w:cs="Arial"/>
              </w:rPr>
            </w:pPr>
            <w:r w:rsidRPr="00370535">
              <w:rPr>
                <w:rFonts w:cs="Arial"/>
                <w:b/>
                <w:bCs/>
              </w:rPr>
              <w:t>Local authority at 22 (highest)</w:t>
            </w:r>
          </w:p>
        </w:tc>
      </w:tr>
      <w:tr w:rsidR="00370535" w:rsidRPr="00370535" w14:paraId="1FC4B330" w14:textId="77777777" w:rsidTr="00370535">
        <w:tc>
          <w:tcPr>
            <w:tcW w:w="1844" w:type="dxa"/>
            <w:tcBorders>
              <w:top w:val="single" w:sz="4" w:space="0" w:color="auto"/>
              <w:left w:val="single" w:sz="4" w:space="0" w:color="auto"/>
              <w:bottom w:val="single" w:sz="4" w:space="0" w:color="auto"/>
              <w:right w:val="single" w:sz="4" w:space="0" w:color="auto"/>
            </w:tcBorders>
            <w:vAlign w:val="center"/>
            <w:hideMark/>
          </w:tcPr>
          <w:p w14:paraId="7D4A61FB" w14:textId="77777777" w:rsidR="00370535" w:rsidRPr="00370535" w:rsidRDefault="00370535" w:rsidP="00370535">
            <w:pPr>
              <w:rPr>
                <w:rFonts w:cs="Arial"/>
              </w:rPr>
            </w:pPr>
            <w:r w:rsidRPr="00370535">
              <w:rPr>
                <w:rFonts w:cs="Arial"/>
              </w:rPr>
              <w:t>Being overweight (body mass index over 25)</w:t>
            </w:r>
          </w:p>
        </w:tc>
        <w:tc>
          <w:tcPr>
            <w:tcW w:w="1701" w:type="dxa"/>
            <w:tcBorders>
              <w:top w:val="single" w:sz="4" w:space="0" w:color="auto"/>
              <w:left w:val="single" w:sz="4" w:space="0" w:color="auto"/>
              <w:bottom w:val="single" w:sz="4" w:space="0" w:color="auto"/>
              <w:right w:val="single" w:sz="4" w:space="0" w:color="auto"/>
            </w:tcBorders>
            <w:vAlign w:val="center"/>
            <w:hideMark/>
          </w:tcPr>
          <w:p w14:paraId="299DD106" w14:textId="77777777" w:rsidR="00370535" w:rsidRPr="00370535" w:rsidRDefault="00370535" w:rsidP="00370535">
            <w:pPr>
              <w:rPr>
                <w:rFonts w:cs="Arial"/>
              </w:rPr>
            </w:pPr>
            <w:r w:rsidRPr="00370535">
              <w:rPr>
                <w:rFonts w:cs="Arial"/>
              </w:rPr>
              <w:t>51.0% - 77.0%</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66889F4" w14:textId="77777777" w:rsidR="00370535" w:rsidRPr="00370535" w:rsidRDefault="00370535" w:rsidP="00370535">
            <w:pPr>
              <w:rPr>
                <w:rFonts w:cs="Arial"/>
              </w:rPr>
            </w:pPr>
            <w:r w:rsidRPr="00370535">
              <w:rPr>
                <w:rFonts w:cs="Arial"/>
              </w:rPr>
              <w:t>12th</w:t>
            </w:r>
          </w:p>
        </w:tc>
        <w:tc>
          <w:tcPr>
            <w:tcW w:w="998" w:type="dxa"/>
            <w:tcBorders>
              <w:top w:val="single" w:sz="4" w:space="0" w:color="auto"/>
              <w:left w:val="single" w:sz="4" w:space="0" w:color="auto"/>
              <w:bottom w:val="single" w:sz="4" w:space="0" w:color="auto"/>
              <w:right w:val="single" w:sz="4" w:space="0" w:color="auto"/>
            </w:tcBorders>
            <w:vAlign w:val="center"/>
            <w:hideMark/>
          </w:tcPr>
          <w:p w14:paraId="13812704" w14:textId="77777777" w:rsidR="00370535" w:rsidRPr="00370535" w:rsidRDefault="00370535" w:rsidP="00370535">
            <w:pPr>
              <w:rPr>
                <w:rFonts w:cs="Arial"/>
              </w:rPr>
            </w:pPr>
            <w:r w:rsidRPr="00370535">
              <w:rPr>
                <w:rFonts w:cs="Arial"/>
              </w:rPr>
              <w:t>17th</w:t>
            </w:r>
          </w:p>
        </w:tc>
        <w:tc>
          <w:tcPr>
            <w:tcW w:w="1984" w:type="dxa"/>
            <w:tcBorders>
              <w:top w:val="single" w:sz="4" w:space="0" w:color="auto"/>
              <w:left w:val="single" w:sz="4" w:space="0" w:color="auto"/>
              <w:bottom w:val="single" w:sz="4" w:space="0" w:color="auto"/>
              <w:right w:val="single" w:sz="4" w:space="0" w:color="auto"/>
            </w:tcBorders>
            <w:vAlign w:val="center"/>
          </w:tcPr>
          <w:p w14:paraId="5CC281F8" w14:textId="77777777" w:rsidR="00370535" w:rsidRPr="00370535" w:rsidRDefault="00370535" w:rsidP="00370535">
            <w:pPr>
              <w:rPr>
                <w:rFonts w:cs="Arial"/>
              </w:rPr>
            </w:pPr>
          </w:p>
          <w:p w14:paraId="2D00E5CE" w14:textId="77777777" w:rsidR="00370535" w:rsidRPr="00370535" w:rsidRDefault="00370535" w:rsidP="00370535">
            <w:pPr>
              <w:rPr>
                <w:rFonts w:cs="Arial"/>
              </w:rPr>
            </w:pPr>
            <w:r w:rsidRPr="00370535">
              <w:rPr>
                <w:rFonts w:cs="Arial"/>
              </w:rPr>
              <w:t>Powys</w:t>
            </w:r>
          </w:p>
          <w:p w14:paraId="167CDA18" w14:textId="77777777" w:rsidR="00370535" w:rsidRPr="00370535" w:rsidRDefault="00370535" w:rsidP="00370535">
            <w:pPr>
              <w:rPr>
                <w:rFonts w:cs="Arial"/>
              </w:rPr>
            </w:pPr>
          </w:p>
        </w:tc>
        <w:tc>
          <w:tcPr>
            <w:tcW w:w="1985" w:type="dxa"/>
            <w:tcBorders>
              <w:top w:val="single" w:sz="4" w:space="0" w:color="auto"/>
              <w:left w:val="single" w:sz="4" w:space="0" w:color="auto"/>
              <w:bottom w:val="single" w:sz="4" w:space="0" w:color="auto"/>
              <w:right w:val="single" w:sz="4" w:space="0" w:color="auto"/>
            </w:tcBorders>
            <w:vAlign w:val="center"/>
          </w:tcPr>
          <w:p w14:paraId="4EC77E6B" w14:textId="77777777" w:rsidR="00370535" w:rsidRPr="00370535" w:rsidRDefault="00370535" w:rsidP="00370535">
            <w:pPr>
              <w:rPr>
                <w:rFonts w:cs="Arial"/>
              </w:rPr>
            </w:pPr>
          </w:p>
          <w:p w14:paraId="5649B572" w14:textId="77777777" w:rsidR="00370535" w:rsidRPr="00370535" w:rsidRDefault="00370535" w:rsidP="00370535">
            <w:pPr>
              <w:rPr>
                <w:rFonts w:cs="Arial"/>
              </w:rPr>
            </w:pPr>
            <w:r w:rsidRPr="00370535">
              <w:rPr>
                <w:rFonts w:cs="Arial"/>
              </w:rPr>
              <w:t>Blaenau Gwent</w:t>
            </w:r>
          </w:p>
          <w:p w14:paraId="64C2C9CD" w14:textId="77777777" w:rsidR="00370535" w:rsidRPr="00370535" w:rsidRDefault="00370535" w:rsidP="00370535">
            <w:pPr>
              <w:rPr>
                <w:rFonts w:cs="Arial"/>
              </w:rPr>
            </w:pPr>
          </w:p>
        </w:tc>
      </w:tr>
      <w:tr w:rsidR="00370535" w:rsidRPr="00370535" w14:paraId="60C8DA0E" w14:textId="77777777" w:rsidTr="00370535">
        <w:tc>
          <w:tcPr>
            <w:tcW w:w="1844" w:type="dxa"/>
            <w:tcBorders>
              <w:top w:val="single" w:sz="4" w:space="0" w:color="auto"/>
              <w:left w:val="single" w:sz="4" w:space="0" w:color="auto"/>
              <w:bottom w:val="single" w:sz="4" w:space="0" w:color="auto"/>
              <w:right w:val="single" w:sz="4" w:space="0" w:color="auto"/>
            </w:tcBorders>
            <w:vAlign w:val="center"/>
            <w:hideMark/>
          </w:tcPr>
          <w:p w14:paraId="581AF9A0" w14:textId="77777777" w:rsidR="00370535" w:rsidRPr="00370535" w:rsidRDefault="00370535" w:rsidP="00370535">
            <w:pPr>
              <w:rPr>
                <w:rFonts w:cs="Arial"/>
              </w:rPr>
            </w:pPr>
            <w:r w:rsidRPr="00370535">
              <w:rPr>
                <w:rFonts w:cs="Arial"/>
              </w:rPr>
              <w:t>Being obese (body mass index over 30)</w:t>
            </w:r>
          </w:p>
        </w:tc>
        <w:tc>
          <w:tcPr>
            <w:tcW w:w="1701" w:type="dxa"/>
            <w:tcBorders>
              <w:top w:val="single" w:sz="4" w:space="0" w:color="auto"/>
              <w:left w:val="single" w:sz="4" w:space="0" w:color="auto"/>
              <w:bottom w:val="single" w:sz="4" w:space="0" w:color="auto"/>
              <w:right w:val="single" w:sz="4" w:space="0" w:color="auto"/>
            </w:tcBorders>
            <w:vAlign w:val="center"/>
            <w:hideMark/>
          </w:tcPr>
          <w:p w14:paraId="1DE74A04" w14:textId="77777777" w:rsidR="00370535" w:rsidRPr="00370535" w:rsidRDefault="00370535" w:rsidP="00370535">
            <w:pPr>
              <w:rPr>
                <w:rFonts w:cs="Arial"/>
              </w:rPr>
            </w:pPr>
            <w:r w:rsidRPr="00370535">
              <w:rPr>
                <w:rFonts w:cs="Arial"/>
              </w:rPr>
              <w:t>17.0% - 37.0%</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D0F3B97" w14:textId="77777777" w:rsidR="00370535" w:rsidRPr="00370535" w:rsidRDefault="00370535" w:rsidP="00370535">
            <w:pPr>
              <w:rPr>
                <w:rFonts w:cs="Arial"/>
              </w:rPr>
            </w:pPr>
            <w:r w:rsidRPr="00370535">
              <w:rPr>
                <w:rFonts w:cs="Arial"/>
              </w:rPr>
              <w:t>Eighth</w:t>
            </w:r>
          </w:p>
        </w:tc>
        <w:tc>
          <w:tcPr>
            <w:tcW w:w="998" w:type="dxa"/>
            <w:tcBorders>
              <w:top w:val="single" w:sz="4" w:space="0" w:color="auto"/>
              <w:left w:val="single" w:sz="4" w:space="0" w:color="auto"/>
              <w:bottom w:val="single" w:sz="4" w:space="0" w:color="auto"/>
              <w:right w:val="single" w:sz="4" w:space="0" w:color="auto"/>
            </w:tcBorders>
            <w:vAlign w:val="center"/>
            <w:hideMark/>
          </w:tcPr>
          <w:p w14:paraId="5C6DFC46" w14:textId="77777777" w:rsidR="00370535" w:rsidRPr="00370535" w:rsidRDefault="00370535" w:rsidP="00370535">
            <w:pPr>
              <w:rPr>
                <w:rFonts w:cs="Arial"/>
              </w:rPr>
            </w:pPr>
            <w:r w:rsidRPr="00370535">
              <w:rPr>
                <w:rFonts w:cs="Arial"/>
              </w:rPr>
              <w:t>16th</w:t>
            </w:r>
          </w:p>
        </w:tc>
        <w:tc>
          <w:tcPr>
            <w:tcW w:w="1984" w:type="dxa"/>
            <w:tcBorders>
              <w:top w:val="single" w:sz="4" w:space="0" w:color="auto"/>
              <w:left w:val="single" w:sz="4" w:space="0" w:color="auto"/>
              <w:bottom w:val="single" w:sz="4" w:space="0" w:color="auto"/>
              <w:right w:val="single" w:sz="4" w:space="0" w:color="auto"/>
            </w:tcBorders>
            <w:vAlign w:val="center"/>
          </w:tcPr>
          <w:p w14:paraId="02740344" w14:textId="77777777" w:rsidR="00370535" w:rsidRPr="00370535" w:rsidRDefault="00370535" w:rsidP="00370535">
            <w:pPr>
              <w:rPr>
                <w:rFonts w:cs="Arial"/>
              </w:rPr>
            </w:pPr>
          </w:p>
          <w:p w14:paraId="37AE0884" w14:textId="77777777" w:rsidR="00370535" w:rsidRPr="00370535" w:rsidRDefault="00370535" w:rsidP="00370535">
            <w:pPr>
              <w:rPr>
                <w:rFonts w:cs="Arial"/>
              </w:rPr>
            </w:pPr>
            <w:r w:rsidRPr="00370535">
              <w:rPr>
                <w:rFonts w:cs="Arial"/>
              </w:rPr>
              <w:t>Denbighshire</w:t>
            </w:r>
          </w:p>
          <w:p w14:paraId="2A898E5E" w14:textId="77777777" w:rsidR="00370535" w:rsidRPr="00370535" w:rsidRDefault="00370535" w:rsidP="00370535">
            <w:pPr>
              <w:rPr>
                <w:rFonts w:cs="Arial"/>
              </w:rPr>
            </w:pPr>
          </w:p>
        </w:tc>
        <w:tc>
          <w:tcPr>
            <w:tcW w:w="1985" w:type="dxa"/>
            <w:tcBorders>
              <w:top w:val="single" w:sz="4" w:space="0" w:color="auto"/>
              <w:left w:val="single" w:sz="4" w:space="0" w:color="auto"/>
              <w:bottom w:val="single" w:sz="4" w:space="0" w:color="auto"/>
              <w:right w:val="single" w:sz="4" w:space="0" w:color="auto"/>
            </w:tcBorders>
            <w:vAlign w:val="center"/>
          </w:tcPr>
          <w:p w14:paraId="7A277187" w14:textId="77777777" w:rsidR="00370535" w:rsidRPr="00370535" w:rsidRDefault="00370535" w:rsidP="00370535">
            <w:pPr>
              <w:rPr>
                <w:rFonts w:cs="Arial"/>
              </w:rPr>
            </w:pPr>
          </w:p>
          <w:p w14:paraId="563B4FE3" w14:textId="77777777" w:rsidR="00370535" w:rsidRPr="00370535" w:rsidRDefault="00370535" w:rsidP="00370535">
            <w:pPr>
              <w:rPr>
                <w:rFonts w:cs="Arial"/>
              </w:rPr>
            </w:pPr>
            <w:r w:rsidRPr="00370535">
              <w:rPr>
                <w:rFonts w:cs="Arial"/>
              </w:rPr>
              <w:t>Blaenau Gwent</w:t>
            </w:r>
          </w:p>
          <w:p w14:paraId="3C749D71" w14:textId="77777777" w:rsidR="00370535" w:rsidRPr="00370535" w:rsidRDefault="00370535" w:rsidP="00370535">
            <w:pPr>
              <w:rPr>
                <w:rFonts w:cs="Arial"/>
              </w:rPr>
            </w:pPr>
          </w:p>
        </w:tc>
      </w:tr>
      <w:tr w:rsidR="00370535" w:rsidRPr="00370535" w14:paraId="2EDB61BB" w14:textId="77777777" w:rsidTr="00370535">
        <w:tc>
          <w:tcPr>
            <w:tcW w:w="1844" w:type="dxa"/>
            <w:tcBorders>
              <w:top w:val="single" w:sz="4" w:space="0" w:color="auto"/>
              <w:left w:val="single" w:sz="4" w:space="0" w:color="auto"/>
              <w:bottom w:val="single" w:sz="4" w:space="0" w:color="auto"/>
              <w:right w:val="single" w:sz="4" w:space="0" w:color="auto"/>
            </w:tcBorders>
            <w:vAlign w:val="center"/>
            <w:hideMark/>
          </w:tcPr>
          <w:p w14:paraId="14623B68" w14:textId="77777777" w:rsidR="00370535" w:rsidRPr="00370535" w:rsidRDefault="00370535" w:rsidP="00370535">
            <w:pPr>
              <w:rPr>
                <w:rFonts w:cs="Arial"/>
              </w:rPr>
            </w:pPr>
            <w:r w:rsidRPr="00370535">
              <w:rPr>
                <w:rFonts w:cs="Arial"/>
              </w:rPr>
              <w:lastRenderedPageBreak/>
              <w:t>Being active for 150 minutes in the week</w:t>
            </w:r>
          </w:p>
        </w:tc>
        <w:tc>
          <w:tcPr>
            <w:tcW w:w="1701" w:type="dxa"/>
            <w:tcBorders>
              <w:top w:val="single" w:sz="4" w:space="0" w:color="auto"/>
              <w:left w:val="single" w:sz="4" w:space="0" w:color="auto"/>
              <w:bottom w:val="single" w:sz="4" w:space="0" w:color="auto"/>
              <w:right w:val="single" w:sz="4" w:space="0" w:color="auto"/>
            </w:tcBorders>
            <w:vAlign w:val="center"/>
            <w:hideMark/>
          </w:tcPr>
          <w:p w14:paraId="178DC2F9" w14:textId="77777777" w:rsidR="00370535" w:rsidRPr="00370535" w:rsidRDefault="00370535" w:rsidP="00370535">
            <w:pPr>
              <w:rPr>
                <w:rFonts w:cs="Arial"/>
              </w:rPr>
            </w:pPr>
            <w:r w:rsidRPr="00370535">
              <w:rPr>
                <w:rFonts w:cs="Arial"/>
              </w:rPr>
              <w:t>37.0% - 69.0%</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47D9B28" w14:textId="77777777" w:rsidR="00370535" w:rsidRPr="00370535" w:rsidRDefault="00370535" w:rsidP="00370535">
            <w:pPr>
              <w:rPr>
                <w:rFonts w:cs="Arial"/>
              </w:rPr>
            </w:pPr>
            <w:r w:rsidRPr="00370535">
              <w:rPr>
                <w:rFonts w:cs="Arial"/>
              </w:rPr>
              <w:t>16th</w:t>
            </w:r>
          </w:p>
        </w:tc>
        <w:tc>
          <w:tcPr>
            <w:tcW w:w="998" w:type="dxa"/>
            <w:tcBorders>
              <w:top w:val="single" w:sz="4" w:space="0" w:color="auto"/>
              <w:left w:val="single" w:sz="4" w:space="0" w:color="auto"/>
              <w:bottom w:val="single" w:sz="4" w:space="0" w:color="auto"/>
              <w:right w:val="single" w:sz="4" w:space="0" w:color="auto"/>
            </w:tcBorders>
            <w:vAlign w:val="center"/>
            <w:hideMark/>
          </w:tcPr>
          <w:p w14:paraId="51B6190F" w14:textId="77777777" w:rsidR="00370535" w:rsidRPr="00370535" w:rsidRDefault="00370535" w:rsidP="00370535">
            <w:pPr>
              <w:rPr>
                <w:rFonts w:cs="Arial"/>
              </w:rPr>
            </w:pPr>
            <w:r w:rsidRPr="00370535">
              <w:rPr>
                <w:rFonts w:cs="Arial"/>
              </w:rPr>
              <w:t>11th</w:t>
            </w:r>
          </w:p>
        </w:tc>
        <w:tc>
          <w:tcPr>
            <w:tcW w:w="1984" w:type="dxa"/>
            <w:tcBorders>
              <w:top w:val="single" w:sz="4" w:space="0" w:color="auto"/>
              <w:left w:val="single" w:sz="4" w:space="0" w:color="auto"/>
              <w:bottom w:val="single" w:sz="4" w:space="0" w:color="auto"/>
              <w:right w:val="single" w:sz="4" w:space="0" w:color="auto"/>
            </w:tcBorders>
            <w:vAlign w:val="center"/>
            <w:hideMark/>
          </w:tcPr>
          <w:p w14:paraId="51EC31E2" w14:textId="77777777" w:rsidR="00370535" w:rsidRPr="00370535" w:rsidRDefault="00370535" w:rsidP="00370535">
            <w:pPr>
              <w:rPr>
                <w:rFonts w:cs="Arial"/>
              </w:rPr>
            </w:pPr>
            <w:r w:rsidRPr="00370535">
              <w:rPr>
                <w:rFonts w:cs="Arial"/>
              </w:rPr>
              <w:t>Conway</w:t>
            </w:r>
          </w:p>
        </w:tc>
        <w:tc>
          <w:tcPr>
            <w:tcW w:w="1985" w:type="dxa"/>
            <w:tcBorders>
              <w:top w:val="single" w:sz="4" w:space="0" w:color="auto"/>
              <w:left w:val="single" w:sz="4" w:space="0" w:color="auto"/>
              <w:bottom w:val="single" w:sz="4" w:space="0" w:color="auto"/>
              <w:right w:val="single" w:sz="4" w:space="0" w:color="auto"/>
            </w:tcBorders>
            <w:vAlign w:val="center"/>
            <w:hideMark/>
          </w:tcPr>
          <w:p w14:paraId="6D429858" w14:textId="77777777" w:rsidR="00370535" w:rsidRPr="00370535" w:rsidRDefault="00370535" w:rsidP="00370535">
            <w:pPr>
              <w:rPr>
                <w:rFonts w:cs="Arial"/>
              </w:rPr>
            </w:pPr>
            <w:r w:rsidRPr="00370535">
              <w:rPr>
                <w:rFonts w:cs="Arial"/>
              </w:rPr>
              <w:t>The Vale of Glamorgan</w:t>
            </w:r>
          </w:p>
        </w:tc>
      </w:tr>
      <w:tr w:rsidR="00370535" w:rsidRPr="00370535" w14:paraId="48848713" w14:textId="77777777" w:rsidTr="00370535">
        <w:tc>
          <w:tcPr>
            <w:tcW w:w="1844" w:type="dxa"/>
            <w:tcBorders>
              <w:top w:val="single" w:sz="4" w:space="0" w:color="auto"/>
              <w:left w:val="single" w:sz="4" w:space="0" w:color="auto"/>
              <w:bottom w:val="single" w:sz="4" w:space="0" w:color="auto"/>
              <w:right w:val="single" w:sz="4" w:space="0" w:color="auto"/>
            </w:tcBorders>
            <w:vAlign w:val="center"/>
            <w:hideMark/>
          </w:tcPr>
          <w:p w14:paraId="3140FCDB" w14:textId="77777777" w:rsidR="00370535" w:rsidRPr="00370535" w:rsidRDefault="00370535" w:rsidP="00370535">
            <w:pPr>
              <w:rPr>
                <w:rFonts w:cs="Arial"/>
              </w:rPr>
            </w:pPr>
            <w:r w:rsidRPr="00370535">
              <w:rPr>
                <w:rFonts w:cs="Arial"/>
              </w:rPr>
              <w:t>Eating five portions of fruit and vegetables the previous day</w:t>
            </w:r>
          </w:p>
        </w:tc>
        <w:tc>
          <w:tcPr>
            <w:tcW w:w="1701" w:type="dxa"/>
            <w:tcBorders>
              <w:top w:val="single" w:sz="4" w:space="0" w:color="auto"/>
              <w:left w:val="single" w:sz="4" w:space="0" w:color="auto"/>
              <w:bottom w:val="single" w:sz="4" w:space="0" w:color="auto"/>
              <w:right w:val="single" w:sz="4" w:space="0" w:color="auto"/>
            </w:tcBorders>
            <w:vAlign w:val="center"/>
            <w:hideMark/>
          </w:tcPr>
          <w:p w14:paraId="253120B2" w14:textId="77777777" w:rsidR="00370535" w:rsidRPr="00370535" w:rsidRDefault="00370535" w:rsidP="00370535">
            <w:pPr>
              <w:rPr>
                <w:rFonts w:cs="Arial"/>
              </w:rPr>
            </w:pPr>
            <w:r w:rsidRPr="00370535">
              <w:rPr>
                <w:rFonts w:cs="Arial"/>
              </w:rPr>
              <w:t>14.0% - 41-%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8C01CE9" w14:textId="77777777" w:rsidR="00370535" w:rsidRPr="00370535" w:rsidRDefault="00370535" w:rsidP="00370535">
            <w:pPr>
              <w:rPr>
                <w:rFonts w:cs="Arial"/>
              </w:rPr>
            </w:pPr>
            <w:r w:rsidRPr="00370535">
              <w:rPr>
                <w:rFonts w:cs="Arial"/>
              </w:rPr>
              <w:t>18th</w:t>
            </w:r>
          </w:p>
        </w:tc>
        <w:tc>
          <w:tcPr>
            <w:tcW w:w="998" w:type="dxa"/>
            <w:tcBorders>
              <w:top w:val="single" w:sz="4" w:space="0" w:color="auto"/>
              <w:left w:val="single" w:sz="4" w:space="0" w:color="auto"/>
              <w:bottom w:val="single" w:sz="4" w:space="0" w:color="auto"/>
              <w:right w:val="single" w:sz="4" w:space="0" w:color="auto"/>
            </w:tcBorders>
            <w:vAlign w:val="center"/>
            <w:hideMark/>
          </w:tcPr>
          <w:p w14:paraId="2D220517" w14:textId="77777777" w:rsidR="00370535" w:rsidRPr="00370535" w:rsidRDefault="00370535" w:rsidP="00370535">
            <w:pPr>
              <w:rPr>
                <w:rFonts w:cs="Arial"/>
              </w:rPr>
            </w:pPr>
            <w:r w:rsidRPr="00370535">
              <w:rPr>
                <w:rFonts w:cs="Arial"/>
              </w:rPr>
              <w:t>Fifth</w:t>
            </w:r>
          </w:p>
        </w:tc>
        <w:tc>
          <w:tcPr>
            <w:tcW w:w="1984" w:type="dxa"/>
            <w:tcBorders>
              <w:top w:val="single" w:sz="4" w:space="0" w:color="auto"/>
              <w:left w:val="single" w:sz="4" w:space="0" w:color="auto"/>
              <w:bottom w:val="single" w:sz="4" w:space="0" w:color="auto"/>
              <w:right w:val="single" w:sz="4" w:space="0" w:color="auto"/>
            </w:tcBorders>
            <w:vAlign w:val="center"/>
            <w:hideMark/>
          </w:tcPr>
          <w:p w14:paraId="0D2A1328" w14:textId="77777777" w:rsidR="00370535" w:rsidRPr="00370535" w:rsidRDefault="00370535" w:rsidP="00370535">
            <w:pPr>
              <w:rPr>
                <w:rFonts w:cs="Arial"/>
              </w:rPr>
            </w:pPr>
            <w:r w:rsidRPr="00370535">
              <w:rPr>
                <w:rFonts w:cs="Arial"/>
              </w:rPr>
              <w:t>Blaenau Gwent</w:t>
            </w:r>
          </w:p>
        </w:tc>
        <w:tc>
          <w:tcPr>
            <w:tcW w:w="1985" w:type="dxa"/>
            <w:tcBorders>
              <w:top w:val="single" w:sz="4" w:space="0" w:color="auto"/>
              <w:left w:val="single" w:sz="4" w:space="0" w:color="auto"/>
              <w:bottom w:val="single" w:sz="4" w:space="0" w:color="auto"/>
              <w:right w:val="single" w:sz="4" w:space="0" w:color="auto"/>
            </w:tcBorders>
            <w:vAlign w:val="center"/>
          </w:tcPr>
          <w:p w14:paraId="222DAA2B" w14:textId="77777777" w:rsidR="00370535" w:rsidRPr="00370535" w:rsidRDefault="00370535" w:rsidP="00370535">
            <w:pPr>
              <w:rPr>
                <w:rFonts w:cs="Arial"/>
              </w:rPr>
            </w:pPr>
          </w:p>
          <w:p w14:paraId="4CE5F5C8" w14:textId="77777777" w:rsidR="00370535" w:rsidRPr="00370535" w:rsidRDefault="00370535" w:rsidP="00370535">
            <w:pPr>
              <w:rPr>
                <w:rFonts w:cs="Arial"/>
              </w:rPr>
            </w:pPr>
            <w:r w:rsidRPr="00370535">
              <w:rPr>
                <w:rFonts w:cs="Arial"/>
              </w:rPr>
              <w:t>Cardiff</w:t>
            </w:r>
          </w:p>
          <w:p w14:paraId="2D12E268" w14:textId="77777777" w:rsidR="00370535" w:rsidRPr="00370535" w:rsidRDefault="00370535" w:rsidP="00370535">
            <w:pPr>
              <w:rPr>
                <w:rFonts w:cs="Arial"/>
              </w:rPr>
            </w:pPr>
          </w:p>
        </w:tc>
      </w:tr>
    </w:tbl>
    <w:p w14:paraId="1F3EAED5" w14:textId="77777777" w:rsidR="00370535" w:rsidRPr="00370535" w:rsidRDefault="00370535" w:rsidP="00370535">
      <w:pPr>
        <w:rPr>
          <w:rFonts w:cs="Arial"/>
          <w:b/>
        </w:rPr>
      </w:pPr>
    </w:p>
    <w:p w14:paraId="42C5ED6E" w14:textId="77777777" w:rsidR="00370535" w:rsidRPr="00370535" w:rsidRDefault="00370535" w:rsidP="00370535">
      <w:pPr>
        <w:rPr>
          <w:rFonts w:cs="Arial"/>
        </w:rPr>
      </w:pPr>
      <w:r w:rsidRPr="00370535">
        <w:rPr>
          <w:rFonts w:cs="Arial"/>
        </w:rPr>
        <w:t>The table below shows the recorded prevalence based on the quality and outcomes framework 2025, reported prevalence rates by GP practices for obesity across the clusters. Figures are compared with the Swansea Bay University Health Board and Wales rates.</w:t>
      </w:r>
    </w:p>
    <w:p w14:paraId="3E327CD0" w14:textId="77777777" w:rsidR="00370535" w:rsidRPr="00370535" w:rsidRDefault="00370535" w:rsidP="00370535">
      <w:pPr>
        <w:rPr>
          <w:rFonts w:cs="Arial"/>
        </w:rPr>
      </w:pPr>
    </w:p>
    <w:p w14:paraId="31EB07F6" w14:textId="77777777" w:rsidR="00370535" w:rsidRPr="00370535" w:rsidRDefault="00370535" w:rsidP="00370535">
      <w:pPr>
        <w:rPr>
          <w:rFonts w:cs="Arial"/>
          <w:b/>
          <w:bCs/>
        </w:rPr>
      </w:pPr>
      <w:r w:rsidRPr="00370535">
        <w:rPr>
          <w:rFonts w:cs="Arial"/>
          <w:b/>
          <w:bCs/>
        </w:rPr>
        <w:t>Table 3.14: Estimated percentage prevalence of patients registered as having obesity by cluster, health board and Wales, 2025</w:t>
      </w:r>
      <w:r w:rsidRPr="00370535">
        <w:rPr>
          <w:rFonts w:cs="Arial"/>
          <w:b/>
          <w:bCs/>
          <w:vertAlign w:val="superscript"/>
        </w:rPr>
        <w:footnoteReference w:id="94"/>
      </w:r>
    </w:p>
    <w:p w14:paraId="209D3E63" w14:textId="77777777" w:rsidR="00370535" w:rsidRPr="00370535" w:rsidRDefault="00370535" w:rsidP="00370535">
      <w:pPr>
        <w:rPr>
          <w:rFonts w:cs="Arial"/>
          <w:b/>
        </w:rPr>
      </w:pPr>
    </w:p>
    <w:tbl>
      <w:tblPr>
        <w:tblStyle w:val="TableGrid3"/>
        <w:tblW w:w="8505" w:type="dxa"/>
        <w:tblInd w:w="-5" w:type="dxa"/>
        <w:tblLayout w:type="fixed"/>
        <w:tblLook w:val="04A0" w:firstRow="1" w:lastRow="0" w:firstColumn="1" w:lastColumn="0" w:noHBand="0" w:noVBand="1"/>
      </w:tblPr>
      <w:tblGrid>
        <w:gridCol w:w="4820"/>
        <w:gridCol w:w="2267"/>
        <w:gridCol w:w="1418"/>
      </w:tblGrid>
      <w:tr w:rsidR="00370535" w:rsidRPr="00370535" w14:paraId="0D6FC728" w14:textId="77777777" w:rsidTr="00001F0F">
        <w:tc>
          <w:tcPr>
            <w:tcW w:w="4820"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4B6F2385" w14:textId="77777777" w:rsidR="00370535" w:rsidRPr="00370535" w:rsidRDefault="00370535" w:rsidP="00370535">
            <w:pPr>
              <w:rPr>
                <w:rFonts w:cs="Arial"/>
                <w:b/>
              </w:rPr>
            </w:pPr>
            <w:r w:rsidRPr="00370535">
              <w:rPr>
                <w:rFonts w:cs="Arial"/>
                <w:b/>
                <w:bCs/>
              </w:rPr>
              <w:t>Area</w:t>
            </w:r>
          </w:p>
        </w:tc>
        <w:tc>
          <w:tcPr>
            <w:tcW w:w="2267"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01B29111" w14:textId="77777777" w:rsidR="00370535" w:rsidRPr="00370535" w:rsidRDefault="00370535" w:rsidP="00370535">
            <w:pPr>
              <w:rPr>
                <w:rFonts w:cs="Arial"/>
                <w:b/>
                <w:bCs/>
              </w:rPr>
            </w:pPr>
            <w:r w:rsidRPr="00370535">
              <w:rPr>
                <w:rFonts w:cs="Arial"/>
                <w:b/>
                <w:bCs/>
              </w:rPr>
              <w:t>Local authority</w:t>
            </w:r>
          </w:p>
        </w:tc>
        <w:tc>
          <w:tcPr>
            <w:tcW w:w="1418"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3A73F44B" w14:textId="77777777" w:rsidR="00370535" w:rsidRPr="00370535" w:rsidRDefault="00370535" w:rsidP="00001F0F">
            <w:pPr>
              <w:jc w:val="center"/>
              <w:rPr>
                <w:rFonts w:cs="Arial"/>
                <w:b/>
                <w:bCs/>
              </w:rPr>
            </w:pPr>
            <w:r w:rsidRPr="00370535">
              <w:rPr>
                <w:rFonts w:cs="Arial"/>
                <w:b/>
                <w:bCs/>
              </w:rPr>
              <w:t>Obesity</w:t>
            </w:r>
          </w:p>
        </w:tc>
      </w:tr>
      <w:tr w:rsidR="00370535" w:rsidRPr="00370535" w14:paraId="2A3D8651" w14:textId="77777777" w:rsidTr="00001F0F">
        <w:tc>
          <w:tcPr>
            <w:tcW w:w="4820" w:type="dxa"/>
            <w:tcBorders>
              <w:top w:val="single" w:sz="4" w:space="0" w:color="auto"/>
              <w:left w:val="single" w:sz="4" w:space="0" w:color="auto"/>
              <w:bottom w:val="single" w:sz="4" w:space="0" w:color="auto"/>
              <w:right w:val="single" w:sz="4" w:space="0" w:color="auto"/>
            </w:tcBorders>
            <w:hideMark/>
          </w:tcPr>
          <w:p w14:paraId="1437EED9" w14:textId="77777777" w:rsidR="00370535" w:rsidRPr="00370535" w:rsidRDefault="00370535" w:rsidP="00370535">
            <w:pPr>
              <w:rPr>
                <w:rFonts w:cs="Arial"/>
              </w:rPr>
            </w:pPr>
            <w:r w:rsidRPr="00370535">
              <w:rPr>
                <w:rFonts w:cs="Arial"/>
              </w:rPr>
              <w:t>Bay Health</w:t>
            </w:r>
          </w:p>
        </w:tc>
        <w:tc>
          <w:tcPr>
            <w:tcW w:w="2267" w:type="dxa"/>
            <w:tcBorders>
              <w:top w:val="single" w:sz="4" w:space="0" w:color="auto"/>
              <w:left w:val="single" w:sz="4" w:space="0" w:color="auto"/>
              <w:bottom w:val="single" w:sz="4" w:space="0" w:color="auto"/>
              <w:right w:val="single" w:sz="4" w:space="0" w:color="auto"/>
            </w:tcBorders>
            <w:hideMark/>
          </w:tcPr>
          <w:p w14:paraId="40D2BFD7" w14:textId="77777777" w:rsidR="00370535" w:rsidRPr="00370535" w:rsidRDefault="00370535" w:rsidP="00370535">
            <w:pPr>
              <w:rPr>
                <w:rFonts w:cs="Arial"/>
                <w:bCs/>
              </w:rPr>
            </w:pPr>
            <w:r w:rsidRPr="00370535">
              <w:rPr>
                <w:rFonts w:cs="Arial"/>
                <w:bCs/>
              </w:rPr>
              <w:t>Swansea</w:t>
            </w:r>
          </w:p>
        </w:tc>
        <w:tc>
          <w:tcPr>
            <w:tcW w:w="1418" w:type="dxa"/>
            <w:tcBorders>
              <w:top w:val="single" w:sz="4" w:space="0" w:color="auto"/>
              <w:left w:val="single" w:sz="4" w:space="0" w:color="auto"/>
              <w:bottom w:val="single" w:sz="4" w:space="0" w:color="auto"/>
              <w:right w:val="single" w:sz="4" w:space="0" w:color="auto"/>
            </w:tcBorders>
            <w:hideMark/>
          </w:tcPr>
          <w:p w14:paraId="7016801B" w14:textId="77777777" w:rsidR="00370535" w:rsidRPr="00370535" w:rsidRDefault="00370535" w:rsidP="00001F0F">
            <w:pPr>
              <w:jc w:val="center"/>
              <w:rPr>
                <w:rFonts w:cs="Arial"/>
                <w:bCs/>
              </w:rPr>
            </w:pPr>
            <w:r w:rsidRPr="00370535">
              <w:rPr>
                <w:rFonts w:cs="Arial"/>
                <w:bCs/>
              </w:rPr>
              <w:t>9.9%</w:t>
            </w:r>
          </w:p>
        </w:tc>
      </w:tr>
      <w:tr w:rsidR="00370535" w:rsidRPr="00370535" w14:paraId="3555324F" w14:textId="77777777" w:rsidTr="00001F0F">
        <w:tc>
          <w:tcPr>
            <w:tcW w:w="4820" w:type="dxa"/>
            <w:tcBorders>
              <w:top w:val="single" w:sz="4" w:space="0" w:color="auto"/>
              <w:left w:val="single" w:sz="4" w:space="0" w:color="auto"/>
              <w:bottom w:val="single" w:sz="4" w:space="0" w:color="auto"/>
              <w:right w:val="single" w:sz="4" w:space="0" w:color="auto"/>
            </w:tcBorders>
            <w:hideMark/>
          </w:tcPr>
          <w:p w14:paraId="1556AAAB" w14:textId="77777777" w:rsidR="00370535" w:rsidRPr="00370535" w:rsidRDefault="00370535" w:rsidP="00370535">
            <w:pPr>
              <w:rPr>
                <w:rFonts w:cs="Arial"/>
              </w:rPr>
            </w:pPr>
            <w:r w:rsidRPr="00370535">
              <w:rPr>
                <w:rFonts w:cs="Arial"/>
              </w:rPr>
              <w:t>City Health</w:t>
            </w:r>
          </w:p>
        </w:tc>
        <w:tc>
          <w:tcPr>
            <w:tcW w:w="2267" w:type="dxa"/>
            <w:tcBorders>
              <w:top w:val="single" w:sz="4" w:space="0" w:color="auto"/>
              <w:left w:val="single" w:sz="4" w:space="0" w:color="auto"/>
              <w:bottom w:val="single" w:sz="4" w:space="0" w:color="auto"/>
              <w:right w:val="single" w:sz="4" w:space="0" w:color="auto"/>
            </w:tcBorders>
            <w:hideMark/>
          </w:tcPr>
          <w:p w14:paraId="38DE2269" w14:textId="77777777" w:rsidR="00370535" w:rsidRPr="00370535" w:rsidRDefault="00370535" w:rsidP="00370535">
            <w:pPr>
              <w:rPr>
                <w:rFonts w:cs="Arial"/>
                <w:bCs/>
              </w:rPr>
            </w:pPr>
            <w:r w:rsidRPr="00370535">
              <w:rPr>
                <w:rFonts w:cs="Arial"/>
                <w:bCs/>
              </w:rPr>
              <w:t>Swansea</w:t>
            </w:r>
          </w:p>
        </w:tc>
        <w:tc>
          <w:tcPr>
            <w:tcW w:w="1418" w:type="dxa"/>
            <w:tcBorders>
              <w:top w:val="single" w:sz="4" w:space="0" w:color="auto"/>
              <w:left w:val="single" w:sz="4" w:space="0" w:color="auto"/>
              <w:bottom w:val="single" w:sz="4" w:space="0" w:color="auto"/>
              <w:right w:val="single" w:sz="4" w:space="0" w:color="auto"/>
            </w:tcBorders>
            <w:hideMark/>
          </w:tcPr>
          <w:p w14:paraId="3CDAEA24" w14:textId="77777777" w:rsidR="00370535" w:rsidRPr="00370535" w:rsidRDefault="00370535" w:rsidP="00001F0F">
            <w:pPr>
              <w:jc w:val="center"/>
              <w:rPr>
                <w:rFonts w:cs="Arial"/>
                <w:bCs/>
              </w:rPr>
            </w:pPr>
            <w:r w:rsidRPr="00370535">
              <w:rPr>
                <w:rFonts w:cs="Arial"/>
                <w:bCs/>
              </w:rPr>
              <w:t>13.0%</w:t>
            </w:r>
          </w:p>
        </w:tc>
      </w:tr>
      <w:tr w:rsidR="00370535" w:rsidRPr="00370535" w14:paraId="0668CE9A" w14:textId="77777777" w:rsidTr="00001F0F">
        <w:tc>
          <w:tcPr>
            <w:tcW w:w="4820" w:type="dxa"/>
            <w:tcBorders>
              <w:top w:val="single" w:sz="4" w:space="0" w:color="auto"/>
              <w:left w:val="single" w:sz="4" w:space="0" w:color="auto"/>
              <w:bottom w:val="single" w:sz="4" w:space="0" w:color="auto"/>
              <w:right w:val="single" w:sz="4" w:space="0" w:color="auto"/>
            </w:tcBorders>
            <w:hideMark/>
          </w:tcPr>
          <w:p w14:paraId="2077C244" w14:textId="77777777" w:rsidR="00370535" w:rsidRPr="00370535" w:rsidRDefault="00370535" w:rsidP="00370535">
            <w:pPr>
              <w:rPr>
                <w:rFonts w:cs="Arial"/>
              </w:rPr>
            </w:pPr>
            <w:r w:rsidRPr="00370535">
              <w:rPr>
                <w:rFonts w:cs="Arial"/>
              </w:rPr>
              <w:t>Cwmtawe</w:t>
            </w:r>
          </w:p>
        </w:tc>
        <w:tc>
          <w:tcPr>
            <w:tcW w:w="2267" w:type="dxa"/>
            <w:tcBorders>
              <w:top w:val="single" w:sz="4" w:space="0" w:color="auto"/>
              <w:left w:val="single" w:sz="4" w:space="0" w:color="auto"/>
              <w:bottom w:val="single" w:sz="4" w:space="0" w:color="auto"/>
              <w:right w:val="single" w:sz="4" w:space="0" w:color="auto"/>
            </w:tcBorders>
            <w:hideMark/>
          </w:tcPr>
          <w:p w14:paraId="2D645BB5" w14:textId="77777777" w:rsidR="00370535" w:rsidRPr="00370535" w:rsidRDefault="00370535" w:rsidP="00370535">
            <w:pPr>
              <w:rPr>
                <w:rFonts w:cs="Arial"/>
                <w:bCs/>
              </w:rPr>
            </w:pPr>
            <w:r w:rsidRPr="00370535">
              <w:rPr>
                <w:rFonts w:cs="Arial"/>
                <w:bCs/>
              </w:rPr>
              <w:t>Swansea</w:t>
            </w:r>
          </w:p>
        </w:tc>
        <w:tc>
          <w:tcPr>
            <w:tcW w:w="1418" w:type="dxa"/>
            <w:tcBorders>
              <w:top w:val="single" w:sz="4" w:space="0" w:color="auto"/>
              <w:left w:val="single" w:sz="4" w:space="0" w:color="auto"/>
              <w:bottom w:val="single" w:sz="4" w:space="0" w:color="auto"/>
              <w:right w:val="single" w:sz="4" w:space="0" w:color="auto"/>
            </w:tcBorders>
            <w:hideMark/>
          </w:tcPr>
          <w:p w14:paraId="7E1F00A6" w14:textId="77777777" w:rsidR="00370535" w:rsidRPr="00370535" w:rsidRDefault="00370535" w:rsidP="00001F0F">
            <w:pPr>
              <w:jc w:val="center"/>
              <w:rPr>
                <w:rFonts w:cs="Arial"/>
                <w:bCs/>
              </w:rPr>
            </w:pPr>
            <w:r w:rsidRPr="00370535">
              <w:rPr>
                <w:rFonts w:cs="Arial"/>
                <w:bCs/>
              </w:rPr>
              <w:t>13.7%</w:t>
            </w:r>
          </w:p>
        </w:tc>
      </w:tr>
      <w:tr w:rsidR="00370535" w:rsidRPr="00370535" w14:paraId="5F649561" w14:textId="77777777" w:rsidTr="00001F0F">
        <w:tc>
          <w:tcPr>
            <w:tcW w:w="4820" w:type="dxa"/>
            <w:tcBorders>
              <w:top w:val="single" w:sz="4" w:space="0" w:color="auto"/>
              <w:left w:val="single" w:sz="4" w:space="0" w:color="auto"/>
              <w:bottom w:val="single" w:sz="4" w:space="0" w:color="auto"/>
              <w:right w:val="single" w:sz="4" w:space="0" w:color="auto"/>
            </w:tcBorders>
            <w:hideMark/>
          </w:tcPr>
          <w:p w14:paraId="7DCAABCE" w14:textId="77777777" w:rsidR="00370535" w:rsidRPr="00370535" w:rsidRDefault="00370535" w:rsidP="00370535">
            <w:pPr>
              <w:rPr>
                <w:rFonts w:cs="Arial"/>
              </w:rPr>
            </w:pPr>
            <w:r w:rsidRPr="00370535">
              <w:rPr>
                <w:rFonts w:cs="Arial"/>
              </w:rPr>
              <w:t>Llwchwr</w:t>
            </w:r>
          </w:p>
        </w:tc>
        <w:tc>
          <w:tcPr>
            <w:tcW w:w="2267" w:type="dxa"/>
            <w:tcBorders>
              <w:top w:val="single" w:sz="4" w:space="0" w:color="auto"/>
              <w:left w:val="single" w:sz="4" w:space="0" w:color="auto"/>
              <w:bottom w:val="single" w:sz="4" w:space="0" w:color="auto"/>
              <w:right w:val="single" w:sz="4" w:space="0" w:color="auto"/>
            </w:tcBorders>
            <w:hideMark/>
          </w:tcPr>
          <w:p w14:paraId="632DF113" w14:textId="77777777" w:rsidR="00370535" w:rsidRPr="00370535" w:rsidRDefault="00370535" w:rsidP="00370535">
            <w:pPr>
              <w:rPr>
                <w:rFonts w:cs="Arial"/>
                <w:bCs/>
              </w:rPr>
            </w:pPr>
            <w:r w:rsidRPr="00370535">
              <w:rPr>
                <w:rFonts w:cs="Arial"/>
                <w:bCs/>
              </w:rPr>
              <w:t>Swansea</w:t>
            </w:r>
          </w:p>
        </w:tc>
        <w:tc>
          <w:tcPr>
            <w:tcW w:w="1418" w:type="dxa"/>
            <w:tcBorders>
              <w:top w:val="single" w:sz="4" w:space="0" w:color="auto"/>
              <w:left w:val="single" w:sz="4" w:space="0" w:color="auto"/>
              <w:bottom w:val="single" w:sz="4" w:space="0" w:color="auto"/>
              <w:right w:val="single" w:sz="4" w:space="0" w:color="auto"/>
            </w:tcBorders>
            <w:hideMark/>
          </w:tcPr>
          <w:p w14:paraId="74864DD3" w14:textId="77777777" w:rsidR="00370535" w:rsidRPr="00370535" w:rsidRDefault="00370535" w:rsidP="00001F0F">
            <w:pPr>
              <w:jc w:val="center"/>
              <w:rPr>
                <w:rFonts w:cs="Arial"/>
                <w:bCs/>
              </w:rPr>
            </w:pPr>
            <w:r w:rsidRPr="00370535">
              <w:rPr>
                <w:rFonts w:cs="Arial"/>
                <w:bCs/>
              </w:rPr>
              <w:t>12.8%</w:t>
            </w:r>
          </w:p>
        </w:tc>
      </w:tr>
      <w:tr w:rsidR="00370535" w:rsidRPr="00370535" w14:paraId="174A42B9" w14:textId="77777777" w:rsidTr="00001F0F">
        <w:tc>
          <w:tcPr>
            <w:tcW w:w="4820" w:type="dxa"/>
            <w:tcBorders>
              <w:top w:val="single" w:sz="4" w:space="0" w:color="auto"/>
              <w:left w:val="single" w:sz="4" w:space="0" w:color="auto"/>
              <w:bottom w:val="single" w:sz="4" w:space="0" w:color="auto"/>
              <w:right w:val="single" w:sz="4" w:space="0" w:color="auto"/>
            </w:tcBorders>
            <w:hideMark/>
          </w:tcPr>
          <w:p w14:paraId="30C3A2A6" w14:textId="77777777" w:rsidR="00370535" w:rsidRPr="00370535" w:rsidRDefault="00370535" w:rsidP="00370535">
            <w:pPr>
              <w:rPr>
                <w:rFonts w:cs="Arial"/>
              </w:rPr>
            </w:pPr>
            <w:r w:rsidRPr="00370535">
              <w:rPr>
                <w:rFonts w:cs="Arial"/>
              </w:rPr>
              <w:t>Penderi</w:t>
            </w:r>
          </w:p>
        </w:tc>
        <w:tc>
          <w:tcPr>
            <w:tcW w:w="2267" w:type="dxa"/>
            <w:tcBorders>
              <w:top w:val="single" w:sz="4" w:space="0" w:color="auto"/>
              <w:left w:val="single" w:sz="4" w:space="0" w:color="auto"/>
              <w:bottom w:val="single" w:sz="4" w:space="0" w:color="auto"/>
              <w:right w:val="single" w:sz="4" w:space="0" w:color="auto"/>
            </w:tcBorders>
            <w:hideMark/>
          </w:tcPr>
          <w:p w14:paraId="5C43902C" w14:textId="77777777" w:rsidR="00370535" w:rsidRPr="00370535" w:rsidRDefault="00370535" w:rsidP="00370535">
            <w:pPr>
              <w:rPr>
                <w:rFonts w:cs="Arial"/>
                <w:bCs/>
              </w:rPr>
            </w:pPr>
            <w:r w:rsidRPr="00370535">
              <w:rPr>
                <w:rFonts w:cs="Arial"/>
                <w:bCs/>
              </w:rPr>
              <w:t>Swansea</w:t>
            </w:r>
          </w:p>
        </w:tc>
        <w:tc>
          <w:tcPr>
            <w:tcW w:w="1418" w:type="dxa"/>
            <w:tcBorders>
              <w:top w:val="single" w:sz="4" w:space="0" w:color="auto"/>
              <w:left w:val="single" w:sz="4" w:space="0" w:color="auto"/>
              <w:bottom w:val="single" w:sz="4" w:space="0" w:color="auto"/>
              <w:right w:val="single" w:sz="4" w:space="0" w:color="auto"/>
            </w:tcBorders>
            <w:hideMark/>
          </w:tcPr>
          <w:p w14:paraId="26FEC7F8" w14:textId="77777777" w:rsidR="00370535" w:rsidRPr="00370535" w:rsidRDefault="00370535" w:rsidP="00001F0F">
            <w:pPr>
              <w:jc w:val="center"/>
              <w:rPr>
                <w:rFonts w:cs="Arial"/>
                <w:bCs/>
              </w:rPr>
            </w:pPr>
            <w:r w:rsidRPr="00370535">
              <w:rPr>
                <w:rFonts w:cs="Arial"/>
                <w:bCs/>
              </w:rPr>
              <w:t>17.3%</w:t>
            </w:r>
          </w:p>
        </w:tc>
      </w:tr>
      <w:tr w:rsidR="00370535" w:rsidRPr="00370535" w14:paraId="0EB7C7AD" w14:textId="77777777" w:rsidTr="00001F0F">
        <w:tc>
          <w:tcPr>
            <w:tcW w:w="4820" w:type="dxa"/>
            <w:tcBorders>
              <w:top w:val="single" w:sz="4" w:space="0" w:color="auto"/>
              <w:left w:val="single" w:sz="4" w:space="0" w:color="auto"/>
              <w:bottom w:val="single" w:sz="4" w:space="0" w:color="auto"/>
              <w:right w:val="single" w:sz="4" w:space="0" w:color="auto"/>
            </w:tcBorders>
            <w:hideMark/>
          </w:tcPr>
          <w:p w14:paraId="16EE6D94" w14:textId="77777777" w:rsidR="00370535" w:rsidRPr="00370535" w:rsidRDefault="00370535" w:rsidP="00370535">
            <w:pPr>
              <w:rPr>
                <w:rFonts w:cs="Arial"/>
              </w:rPr>
            </w:pPr>
            <w:r w:rsidRPr="00370535">
              <w:rPr>
                <w:rFonts w:cs="Arial"/>
              </w:rPr>
              <w:t>Afan</w:t>
            </w:r>
          </w:p>
        </w:tc>
        <w:tc>
          <w:tcPr>
            <w:tcW w:w="2267" w:type="dxa"/>
            <w:tcBorders>
              <w:top w:val="single" w:sz="4" w:space="0" w:color="auto"/>
              <w:left w:val="single" w:sz="4" w:space="0" w:color="auto"/>
              <w:bottom w:val="single" w:sz="4" w:space="0" w:color="auto"/>
              <w:right w:val="single" w:sz="4" w:space="0" w:color="auto"/>
            </w:tcBorders>
            <w:hideMark/>
          </w:tcPr>
          <w:p w14:paraId="53EE8D59" w14:textId="77777777" w:rsidR="00370535" w:rsidRPr="00370535" w:rsidRDefault="00370535" w:rsidP="00370535">
            <w:pPr>
              <w:rPr>
                <w:rFonts w:cs="Arial"/>
                <w:bCs/>
              </w:rPr>
            </w:pPr>
            <w:r w:rsidRPr="00370535">
              <w:rPr>
                <w:rFonts w:cs="Arial"/>
                <w:bCs/>
              </w:rPr>
              <w:t>Neath Port Talbot</w:t>
            </w:r>
          </w:p>
        </w:tc>
        <w:tc>
          <w:tcPr>
            <w:tcW w:w="1418" w:type="dxa"/>
            <w:tcBorders>
              <w:top w:val="single" w:sz="4" w:space="0" w:color="auto"/>
              <w:left w:val="single" w:sz="4" w:space="0" w:color="auto"/>
              <w:bottom w:val="single" w:sz="4" w:space="0" w:color="auto"/>
              <w:right w:val="single" w:sz="4" w:space="0" w:color="auto"/>
            </w:tcBorders>
            <w:hideMark/>
          </w:tcPr>
          <w:p w14:paraId="01B16D39" w14:textId="77777777" w:rsidR="00370535" w:rsidRPr="00370535" w:rsidRDefault="00370535" w:rsidP="00001F0F">
            <w:pPr>
              <w:jc w:val="center"/>
              <w:rPr>
                <w:rFonts w:cs="Arial"/>
                <w:bCs/>
              </w:rPr>
            </w:pPr>
            <w:r w:rsidRPr="00370535">
              <w:rPr>
                <w:rFonts w:cs="Arial"/>
                <w:bCs/>
              </w:rPr>
              <w:t>14.1%</w:t>
            </w:r>
          </w:p>
        </w:tc>
      </w:tr>
      <w:tr w:rsidR="00370535" w:rsidRPr="00370535" w14:paraId="63C1BC1E" w14:textId="77777777" w:rsidTr="00001F0F">
        <w:tc>
          <w:tcPr>
            <w:tcW w:w="4820" w:type="dxa"/>
            <w:tcBorders>
              <w:top w:val="single" w:sz="4" w:space="0" w:color="auto"/>
              <w:left w:val="single" w:sz="4" w:space="0" w:color="auto"/>
              <w:bottom w:val="single" w:sz="4" w:space="0" w:color="auto"/>
              <w:right w:val="single" w:sz="4" w:space="0" w:color="auto"/>
            </w:tcBorders>
            <w:hideMark/>
          </w:tcPr>
          <w:p w14:paraId="3B73F285" w14:textId="77777777" w:rsidR="00370535" w:rsidRPr="00370535" w:rsidRDefault="00370535" w:rsidP="00370535">
            <w:pPr>
              <w:rPr>
                <w:rFonts w:cs="Arial"/>
              </w:rPr>
            </w:pPr>
            <w:r w:rsidRPr="00370535">
              <w:rPr>
                <w:rFonts w:cs="Arial"/>
              </w:rPr>
              <w:t>Neath</w:t>
            </w:r>
          </w:p>
        </w:tc>
        <w:tc>
          <w:tcPr>
            <w:tcW w:w="2267" w:type="dxa"/>
            <w:tcBorders>
              <w:top w:val="single" w:sz="4" w:space="0" w:color="auto"/>
              <w:left w:val="single" w:sz="4" w:space="0" w:color="auto"/>
              <w:bottom w:val="single" w:sz="4" w:space="0" w:color="auto"/>
              <w:right w:val="single" w:sz="4" w:space="0" w:color="auto"/>
            </w:tcBorders>
            <w:hideMark/>
          </w:tcPr>
          <w:p w14:paraId="6A2BAB69" w14:textId="77777777" w:rsidR="00370535" w:rsidRPr="00370535" w:rsidRDefault="00370535" w:rsidP="00370535">
            <w:pPr>
              <w:rPr>
                <w:rFonts w:cs="Arial"/>
                <w:bCs/>
              </w:rPr>
            </w:pPr>
            <w:r w:rsidRPr="00370535">
              <w:rPr>
                <w:rFonts w:cs="Arial"/>
                <w:bCs/>
              </w:rPr>
              <w:t>Neath Port Talbot</w:t>
            </w:r>
          </w:p>
        </w:tc>
        <w:tc>
          <w:tcPr>
            <w:tcW w:w="1418" w:type="dxa"/>
            <w:tcBorders>
              <w:top w:val="single" w:sz="4" w:space="0" w:color="auto"/>
              <w:left w:val="single" w:sz="4" w:space="0" w:color="auto"/>
              <w:bottom w:val="single" w:sz="4" w:space="0" w:color="auto"/>
              <w:right w:val="single" w:sz="4" w:space="0" w:color="auto"/>
            </w:tcBorders>
            <w:hideMark/>
          </w:tcPr>
          <w:p w14:paraId="285BC5D8" w14:textId="77777777" w:rsidR="00370535" w:rsidRPr="00370535" w:rsidRDefault="00370535" w:rsidP="00001F0F">
            <w:pPr>
              <w:jc w:val="center"/>
              <w:rPr>
                <w:rFonts w:cs="Arial"/>
                <w:bCs/>
              </w:rPr>
            </w:pPr>
            <w:r w:rsidRPr="00370535">
              <w:rPr>
                <w:rFonts w:cs="Arial"/>
                <w:bCs/>
              </w:rPr>
              <w:t>15.7%</w:t>
            </w:r>
          </w:p>
        </w:tc>
      </w:tr>
      <w:tr w:rsidR="00370535" w:rsidRPr="00370535" w14:paraId="34546040" w14:textId="77777777" w:rsidTr="00001F0F">
        <w:tc>
          <w:tcPr>
            <w:tcW w:w="4820" w:type="dxa"/>
            <w:tcBorders>
              <w:top w:val="single" w:sz="4" w:space="0" w:color="auto"/>
              <w:left w:val="single" w:sz="4" w:space="0" w:color="auto"/>
              <w:bottom w:val="single" w:sz="4" w:space="0" w:color="auto"/>
              <w:right w:val="single" w:sz="4" w:space="0" w:color="auto"/>
            </w:tcBorders>
            <w:hideMark/>
          </w:tcPr>
          <w:p w14:paraId="1A5AC423" w14:textId="77777777" w:rsidR="00370535" w:rsidRPr="00370535" w:rsidRDefault="00370535" w:rsidP="00370535">
            <w:pPr>
              <w:rPr>
                <w:rFonts w:cs="Arial"/>
              </w:rPr>
            </w:pPr>
            <w:r w:rsidRPr="00370535">
              <w:rPr>
                <w:rFonts w:cs="Arial"/>
              </w:rPr>
              <w:t>Upper Valleys</w:t>
            </w:r>
          </w:p>
        </w:tc>
        <w:tc>
          <w:tcPr>
            <w:tcW w:w="2267" w:type="dxa"/>
            <w:tcBorders>
              <w:top w:val="single" w:sz="4" w:space="0" w:color="auto"/>
              <w:left w:val="single" w:sz="4" w:space="0" w:color="auto"/>
              <w:bottom w:val="single" w:sz="4" w:space="0" w:color="auto"/>
              <w:right w:val="single" w:sz="4" w:space="0" w:color="auto"/>
            </w:tcBorders>
            <w:hideMark/>
          </w:tcPr>
          <w:p w14:paraId="27232225" w14:textId="77777777" w:rsidR="00370535" w:rsidRPr="00370535" w:rsidRDefault="00370535" w:rsidP="00370535">
            <w:pPr>
              <w:rPr>
                <w:rFonts w:cs="Arial"/>
                <w:bCs/>
              </w:rPr>
            </w:pPr>
            <w:r w:rsidRPr="00370535">
              <w:rPr>
                <w:rFonts w:cs="Arial"/>
                <w:bCs/>
              </w:rPr>
              <w:t>Neath Port Talbot</w:t>
            </w:r>
          </w:p>
        </w:tc>
        <w:tc>
          <w:tcPr>
            <w:tcW w:w="1418" w:type="dxa"/>
            <w:tcBorders>
              <w:top w:val="single" w:sz="4" w:space="0" w:color="auto"/>
              <w:left w:val="single" w:sz="4" w:space="0" w:color="auto"/>
              <w:bottom w:val="single" w:sz="4" w:space="0" w:color="auto"/>
              <w:right w:val="single" w:sz="4" w:space="0" w:color="auto"/>
            </w:tcBorders>
            <w:hideMark/>
          </w:tcPr>
          <w:p w14:paraId="09E1BE76" w14:textId="77777777" w:rsidR="00370535" w:rsidRPr="00370535" w:rsidRDefault="00370535" w:rsidP="00001F0F">
            <w:pPr>
              <w:jc w:val="center"/>
              <w:rPr>
                <w:rFonts w:cs="Arial"/>
                <w:bCs/>
              </w:rPr>
            </w:pPr>
            <w:r w:rsidRPr="00370535">
              <w:rPr>
                <w:rFonts w:cs="Arial"/>
                <w:bCs/>
              </w:rPr>
              <w:t>13.4%</w:t>
            </w:r>
          </w:p>
        </w:tc>
      </w:tr>
      <w:tr w:rsidR="00370535" w:rsidRPr="00370535" w14:paraId="7A5E0AB0" w14:textId="77777777" w:rsidTr="00001F0F">
        <w:tc>
          <w:tcPr>
            <w:tcW w:w="4820" w:type="dxa"/>
            <w:tcBorders>
              <w:top w:val="single" w:sz="4" w:space="0" w:color="auto"/>
              <w:left w:val="single" w:sz="4" w:space="0" w:color="auto"/>
              <w:bottom w:val="single" w:sz="4" w:space="0" w:color="auto"/>
              <w:right w:val="single" w:sz="4" w:space="0" w:color="auto"/>
            </w:tcBorders>
            <w:hideMark/>
          </w:tcPr>
          <w:p w14:paraId="23FD579C" w14:textId="77777777" w:rsidR="00370535" w:rsidRPr="00370535" w:rsidRDefault="00370535" w:rsidP="00370535">
            <w:pPr>
              <w:rPr>
                <w:rFonts w:cs="Arial"/>
              </w:rPr>
            </w:pPr>
            <w:r w:rsidRPr="00370535">
              <w:rPr>
                <w:rFonts w:cs="Arial"/>
              </w:rPr>
              <w:t>Swansea Bay University Health Board</w:t>
            </w:r>
          </w:p>
        </w:tc>
        <w:tc>
          <w:tcPr>
            <w:tcW w:w="22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16C5C7" w14:textId="77777777" w:rsidR="00370535" w:rsidRPr="00370535" w:rsidRDefault="00370535" w:rsidP="00370535">
            <w:pPr>
              <w:rPr>
                <w:rFonts w:cs="Arial"/>
              </w:rPr>
            </w:pPr>
          </w:p>
        </w:tc>
        <w:tc>
          <w:tcPr>
            <w:tcW w:w="1418" w:type="dxa"/>
            <w:tcBorders>
              <w:top w:val="single" w:sz="4" w:space="0" w:color="auto"/>
              <w:left w:val="single" w:sz="4" w:space="0" w:color="auto"/>
              <w:bottom w:val="single" w:sz="4" w:space="0" w:color="auto"/>
              <w:right w:val="single" w:sz="4" w:space="0" w:color="auto"/>
            </w:tcBorders>
            <w:hideMark/>
          </w:tcPr>
          <w:p w14:paraId="09AE2F6C" w14:textId="77777777" w:rsidR="00370535" w:rsidRPr="00370535" w:rsidRDefault="00370535" w:rsidP="00001F0F">
            <w:pPr>
              <w:jc w:val="center"/>
              <w:rPr>
                <w:rFonts w:cs="Arial"/>
              </w:rPr>
            </w:pPr>
            <w:r w:rsidRPr="00370535">
              <w:rPr>
                <w:rFonts w:cs="Arial"/>
              </w:rPr>
              <w:t>13.4%</w:t>
            </w:r>
          </w:p>
        </w:tc>
      </w:tr>
      <w:tr w:rsidR="00370535" w:rsidRPr="00370535" w14:paraId="131E8563" w14:textId="77777777" w:rsidTr="00001F0F">
        <w:tc>
          <w:tcPr>
            <w:tcW w:w="4820" w:type="dxa"/>
            <w:tcBorders>
              <w:top w:val="single" w:sz="4" w:space="0" w:color="auto"/>
              <w:left w:val="single" w:sz="4" w:space="0" w:color="auto"/>
              <w:bottom w:val="single" w:sz="4" w:space="0" w:color="auto"/>
              <w:right w:val="single" w:sz="4" w:space="0" w:color="auto"/>
            </w:tcBorders>
            <w:hideMark/>
          </w:tcPr>
          <w:p w14:paraId="04CCF495" w14:textId="77777777" w:rsidR="00370535" w:rsidRPr="00370535" w:rsidRDefault="00370535" w:rsidP="00370535">
            <w:pPr>
              <w:rPr>
                <w:rFonts w:cs="Arial"/>
              </w:rPr>
            </w:pPr>
            <w:r w:rsidRPr="00370535">
              <w:rPr>
                <w:rFonts w:cs="Arial"/>
              </w:rPr>
              <w:t>Wales</w:t>
            </w:r>
          </w:p>
        </w:tc>
        <w:tc>
          <w:tcPr>
            <w:tcW w:w="22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CFA84F" w14:textId="77777777" w:rsidR="00370535" w:rsidRPr="00370535" w:rsidRDefault="00370535" w:rsidP="00370535">
            <w:pPr>
              <w:rPr>
                <w:rFonts w:cs="Arial"/>
              </w:rPr>
            </w:pPr>
          </w:p>
        </w:tc>
        <w:tc>
          <w:tcPr>
            <w:tcW w:w="1418" w:type="dxa"/>
            <w:tcBorders>
              <w:top w:val="single" w:sz="4" w:space="0" w:color="auto"/>
              <w:left w:val="single" w:sz="4" w:space="0" w:color="auto"/>
              <w:bottom w:val="single" w:sz="4" w:space="0" w:color="auto"/>
              <w:right w:val="single" w:sz="4" w:space="0" w:color="auto"/>
            </w:tcBorders>
            <w:hideMark/>
          </w:tcPr>
          <w:p w14:paraId="4A78B0AC" w14:textId="77777777" w:rsidR="00370535" w:rsidRPr="00370535" w:rsidRDefault="00370535" w:rsidP="00001F0F">
            <w:pPr>
              <w:jc w:val="center"/>
              <w:rPr>
                <w:rFonts w:cs="Arial"/>
              </w:rPr>
            </w:pPr>
            <w:r w:rsidRPr="00370535">
              <w:rPr>
                <w:rFonts w:cs="Arial"/>
              </w:rPr>
              <w:t>14.4%</w:t>
            </w:r>
          </w:p>
        </w:tc>
      </w:tr>
    </w:tbl>
    <w:p w14:paraId="14EFE4B5" w14:textId="77777777" w:rsidR="00370535" w:rsidRPr="00370535" w:rsidRDefault="00370535" w:rsidP="00370535">
      <w:pPr>
        <w:rPr>
          <w:rFonts w:cs="Arial"/>
        </w:rPr>
      </w:pPr>
    </w:p>
    <w:p w14:paraId="5225C101" w14:textId="77777777" w:rsidR="00370535" w:rsidRPr="00370535" w:rsidRDefault="00370535" w:rsidP="00370535">
      <w:pPr>
        <w:rPr>
          <w:rFonts w:cs="Arial"/>
        </w:rPr>
      </w:pPr>
      <w:r w:rsidRPr="00370535">
        <w:rPr>
          <w:rFonts w:cs="Arial"/>
        </w:rPr>
        <w:t xml:space="preserve">Swansea Bay University Health Board has a lower prevalence of obesity than the average for Wales (13.4% and 14.4% respectively). </w:t>
      </w:r>
    </w:p>
    <w:p w14:paraId="0D6A279F" w14:textId="77777777" w:rsidR="00370535" w:rsidRPr="00370535" w:rsidRDefault="00370535" w:rsidP="00370535">
      <w:pPr>
        <w:rPr>
          <w:rFonts w:cs="Arial"/>
        </w:rPr>
      </w:pPr>
    </w:p>
    <w:p w14:paraId="3C7EB396" w14:textId="77777777" w:rsidR="00370535" w:rsidRPr="00370535" w:rsidRDefault="00370535" w:rsidP="00370535">
      <w:pPr>
        <w:rPr>
          <w:rFonts w:cs="Arial"/>
        </w:rPr>
      </w:pPr>
      <w:r w:rsidRPr="00370535">
        <w:rPr>
          <w:rFonts w:cs="Arial"/>
        </w:rPr>
        <w:t>Across the Swansea clusters, recorded prevalence of obesity ranges from 9.9% (Bay Health) to 17.3% (Penderi). Three of the five clusters are lower than both the health board and Wales rates (Bay Health, City Health and Llwchwr). One cluster is higher than the health board rate but lower than the Wales rate (Cwmtawe) and one cluster is higher than both the health board and Wales rates ((Penderi).</w:t>
      </w:r>
    </w:p>
    <w:p w14:paraId="63BC5D81" w14:textId="77777777" w:rsidR="00370535" w:rsidRPr="00370535" w:rsidRDefault="00370535" w:rsidP="00370535">
      <w:pPr>
        <w:rPr>
          <w:rFonts w:cs="Arial"/>
        </w:rPr>
      </w:pPr>
    </w:p>
    <w:p w14:paraId="4C5BF9CD" w14:textId="77777777" w:rsidR="00370535" w:rsidRPr="00370535" w:rsidRDefault="00370535" w:rsidP="00370535">
      <w:pPr>
        <w:rPr>
          <w:rFonts w:cs="Arial"/>
        </w:rPr>
      </w:pPr>
      <w:r w:rsidRPr="00370535">
        <w:rPr>
          <w:rFonts w:cs="Arial"/>
        </w:rPr>
        <w:t>For the Neath Port Talbot clusters, recorded prevalence of obesity ranges from 13.4% (Upper Valleys) to 15.7% (Neath). One of the three clusters is equal to the health board rate, but lower than the Wales rate (Upper Valleys). One cluster is higher than the health board rate, but lower than the Wales rate (Afan), and one cluster is higher than both the health board and Wales rates (Neath).</w:t>
      </w:r>
    </w:p>
    <w:p w14:paraId="7F8B0270" w14:textId="77777777" w:rsidR="00370535" w:rsidRPr="00370535" w:rsidRDefault="00370535" w:rsidP="00370535">
      <w:pPr>
        <w:rPr>
          <w:rFonts w:cs="Arial"/>
          <w:b/>
          <w:bCs/>
        </w:rPr>
      </w:pPr>
    </w:p>
    <w:p w14:paraId="12E98225" w14:textId="77777777" w:rsidR="00370535" w:rsidRPr="00370535" w:rsidRDefault="00370535" w:rsidP="00370535">
      <w:pPr>
        <w:rPr>
          <w:rFonts w:cs="Arial"/>
        </w:rPr>
      </w:pPr>
      <w:r w:rsidRPr="00370535">
        <w:rPr>
          <w:rFonts w:cs="Arial"/>
        </w:rPr>
        <w:t>The table below shows the recorded prevalence range of obesity by local authority areas, compared with health board and Wales rates.</w:t>
      </w:r>
    </w:p>
    <w:p w14:paraId="233277DF" w14:textId="77777777" w:rsidR="00370535" w:rsidRPr="00370535" w:rsidRDefault="00370535" w:rsidP="00370535">
      <w:pPr>
        <w:rPr>
          <w:rFonts w:cs="Arial"/>
        </w:rPr>
      </w:pPr>
    </w:p>
    <w:p w14:paraId="622D62DA" w14:textId="77777777" w:rsidR="00370535" w:rsidRPr="00370535" w:rsidRDefault="00370535" w:rsidP="00370535">
      <w:pPr>
        <w:rPr>
          <w:rFonts w:cs="Arial"/>
          <w:b/>
          <w:bCs/>
        </w:rPr>
      </w:pPr>
      <w:r w:rsidRPr="00370535">
        <w:rPr>
          <w:rFonts w:cs="Arial"/>
          <w:b/>
          <w:bCs/>
        </w:rPr>
        <w:lastRenderedPageBreak/>
        <w:t>Table 3.15: Range of estimated percentage prevalence of obesity based on people on GP practice registers by local authority area, health board and Wales, 2025</w:t>
      </w:r>
      <w:r w:rsidRPr="00370535">
        <w:rPr>
          <w:rFonts w:cs="Arial"/>
          <w:b/>
          <w:bCs/>
          <w:vertAlign w:val="superscript"/>
        </w:rPr>
        <w:footnoteReference w:id="95"/>
      </w:r>
    </w:p>
    <w:p w14:paraId="023631EC" w14:textId="77777777" w:rsidR="00370535" w:rsidRPr="00D0306F" w:rsidRDefault="00370535" w:rsidP="00370535">
      <w:pPr>
        <w:rPr>
          <w:rFonts w:cs="Arial"/>
          <w:b/>
          <w:bCs/>
        </w:rPr>
      </w:pPr>
    </w:p>
    <w:tbl>
      <w:tblPr>
        <w:tblStyle w:val="TableGrid"/>
        <w:tblW w:w="9016" w:type="dxa"/>
        <w:tblInd w:w="-5" w:type="dxa"/>
        <w:tblLook w:val="04A0" w:firstRow="1" w:lastRow="0" w:firstColumn="1" w:lastColumn="0" w:noHBand="0" w:noVBand="1"/>
      </w:tblPr>
      <w:tblGrid>
        <w:gridCol w:w="4508"/>
        <w:gridCol w:w="4508"/>
      </w:tblGrid>
      <w:tr w:rsidR="00E32D12" w:rsidRPr="00D0306F" w14:paraId="2D073E6C" w14:textId="77777777" w:rsidTr="00E32D12">
        <w:tc>
          <w:tcPr>
            <w:tcW w:w="4508" w:type="dxa"/>
            <w:tcBorders>
              <w:top w:val="single" w:sz="8" w:space="0" w:color="auto"/>
              <w:left w:val="single" w:sz="8" w:space="0" w:color="auto"/>
              <w:bottom w:val="single" w:sz="8" w:space="0" w:color="auto"/>
              <w:right w:val="single" w:sz="8" w:space="0" w:color="auto"/>
            </w:tcBorders>
            <w:shd w:val="clear" w:color="auto" w:fill="153D63" w:themeFill="text2" w:themeFillTint="E6"/>
            <w:vAlign w:val="center"/>
          </w:tcPr>
          <w:p w14:paraId="67692354" w14:textId="74C157C1" w:rsidR="00E32D12" w:rsidRPr="00D0306F" w:rsidRDefault="00E32D12" w:rsidP="00E32D12">
            <w:pPr>
              <w:rPr>
                <w:rFonts w:cs="Arial"/>
                <w:b/>
                <w:bCs/>
              </w:rPr>
            </w:pPr>
            <w:r w:rsidRPr="00370535">
              <w:rPr>
                <w:rFonts w:cs="Arial"/>
                <w:b/>
                <w:bCs/>
              </w:rPr>
              <w:t>Area</w:t>
            </w:r>
          </w:p>
        </w:tc>
        <w:tc>
          <w:tcPr>
            <w:tcW w:w="4508" w:type="dxa"/>
            <w:tcBorders>
              <w:top w:val="single" w:sz="8" w:space="0" w:color="auto"/>
              <w:left w:val="nil"/>
              <w:bottom w:val="single" w:sz="8" w:space="0" w:color="auto"/>
              <w:right w:val="single" w:sz="8" w:space="0" w:color="auto"/>
            </w:tcBorders>
            <w:shd w:val="clear" w:color="auto" w:fill="153D63" w:themeFill="text2" w:themeFillTint="E6"/>
            <w:vAlign w:val="center"/>
          </w:tcPr>
          <w:p w14:paraId="477D4D31" w14:textId="38508D29" w:rsidR="00E32D12" w:rsidRPr="00D0306F" w:rsidRDefault="00E32D12" w:rsidP="00E32D12">
            <w:pPr>
              <w:rPr>
                <w:rFonts w:cs="Arial"/>
                <w:b/>
                <w:bCs/>
              </w:rPr>
            </w:pPr>
            <w:r w:rsidRPr="00370535">
              <w:rPr>
                <w:rFonts w:cs="Arial"/>
                <w:b/>
                <w:bCs/>
              </w:rPr>
              <w:t>Obesity</w:t>
            </w:r>
          </w:p>
        </w:tc>
      </w:tr>
      <w:tr w:rsidR="00E32D12" w:rsidRPr="00D0306F" w14:paraId="0C7FE656" w14:textId="77777777" w:rsidTr="00E32D12">
        <w:tc>
          <w:tcPr>
            <w:tcW w:w="4508" w:type="dxa"/>
            <w:tcBorders>
              <w:top w:val="nil"/>
              <w:left w:val="single" w:sz="8" w:space="0" w:color="auto"/>
              <w:bottom w:val="single" w:sz="8" w:space="0" w:color="auto"/>
              <w:right w:val="single" w:sz="8" w:space="0" w:color="auto"/>
            </w:tcBorders>
            <w:vAlign w:val="center"/>
          </w:tcPr>
          <w:p w14:paraId="09F2851D" w14:textId="60DC2C9D" w:rsidR="00E32D12" w:rsidRPr="00D0306F" w:rsidRDefault="00E32D12" w:rsidP="00E32D12">
            <w:pPr>
              <w:rPr>
                <w:rFonts w:cs="Arial"/>
                <w:b/>
                <w:bCs/>
              </w:rPr>
            </w:pPr>
            <w:r w:rsidRPr="00370535">
              <w:rPr>
                <w:rFonts w:cs="Arial"/>
              </w:rPr>
              <w:t>Swansea</w:t>
            </w:r>
          </w:p>
        </w:tc>
        <w:tc>
          <w:tcPr>
            <w:tcW w:w="4508" w:type="dxa"/>
            <w:tcBorders>
              <w:top w:val="nil"/>
              <w:left w:val="nil"/>
              <w:bottom w:val="single" w:sz="8" w:space="0" w:color="auto"/>
              <w:right w:val="single" w:sz="8" w:space="0" w:color="auto"/>
            </w:tcBorders>
            <w:vAlign w:val="center"/>
          </w:tcPr>
          <w:p w14:paraId="37E94EC6" w14:textId="79A87945" w:rsidR="00E32D12" w:rsidRPr="00D0306F" w:rsidRDefault="00E32D12" w:rsidP="00E32D12">
            <w:pPr>
              <w:rPr>
                <w:rFonts w:cs="Arial"/>
                <w:b/>
                <w:bCs/>
              </w:rPr>
            </w:pPr>
            <w:r w:rsidRPr="00370535">
              <w:rPr>
                <w:rFonts w:cs="Arial"/>
              </w:rPr>
              <w:t>9.9% - 17.3%</w:t>
            </w:r>
          </w:p>
        </w:tc>
      </w:tr>
      <w:tr w:rsidR="00E32D12" w:rsidRPr="00D0306F" w14:paraId="28C59B0A" w14:textId="77777777" w:rsidTr="00E32D12">
        <w:tc>
          <w:tcPr>
            <w:tcW w:w="4508" w:type="dxa"/>
            <w:tcBorders>
              <w:top w:val="nil"/>
              <w:left w:val="single" w:sz="8" w:space="0" w:color="auto"/>
              <w:bottom w:val="single" w:sz="8" w:space="0" w:color="auto"/>
              <w:right w:val="single" w:sz="8" w:space="0" w:color="auto"/>
            </w:tcBorders>
            <w:vAlign w:val="center"/>
          </w:tcPr>
          <w:p w14:paraId="21B43401" w14:textId="4F413E08" w:rsidR="00E32D12" w:rsidRPr="00D0306F" w:rsidRDefault="00E32D12" w:rsidP="00E32D12">
            <w:pPr>
              <w:rPr>
                <w:rFonts w:cs="Arial"/>
                <w:b/>
                <w:bCs/>
              </w:rPr>
            </w:pPr>
            <w:r w:rsidRPr="00370535">
              <w:rPr>
                <w:rFonts w:cs="Arial"/>
              </w:rPr>
              <w:t>Neath Port Talbot</w:t>
            </w:r>
          </w:p>
        </w:tc>
        <w:tc>
          <w:tcPr>
            <w:tcW w:w="4508" w:type="dxa"/>
            <w:tcBorders>
              <w:top w:val="nil"/>
              <w:left w:val="nil"/>
              <w:bottom w:val="single" w:sz="8" w:space="0" w:color="auto"/>
              <w:right w:val="single" w:sz="8" w:space="0" w:color="auto"/>
            </w:tcBorders>
            <w:vAlign w:val="center"/>
          </w:tcPr>
          <w:p w14:paraId="193BDE23" w14:textId="14F59D63" w:rsidR="00E32D12" w:rsidRPr="00D0306F" w:rsidRDefault="00E32D12" w:rsidP="00E32D12">
            <w:pPr>
              <w:rPr>
                <w:rFonts w:cs="Arial"/>
                <w:b/>
                <w:bCs/>
              </w:rPr>
            </w:pPr>
            <w:r w:rsidRPr="00370535">
              <w:rPr>
                <w:rFonts w:cs="Arial"/>
              </w:rPr>
              <w:t>13.4% - 15.7%</w:t>
            </w:r>
          </w:p>
        </w:tc>
      </w:tr>
      <w:tr w:rsidR="00E32D12" w:rsidRPr="00D0306F" w14:paraId="3AA66443" w14:textId="77777777" w:rsidTr="00E32D12">
        <w:tc>
          <w:tcPr>
            <w:tcW w:w="4508" w:type="dxa"/>
            <w:tcBorders>
              <w:top w:val="nil"/>
              <w:left w:val="single" w:sz="8" w:space="0" w:color="auto"/>
              <w:bottom w:val="single" w:sz="8" w:space="0" w:color="auto"/>
              <w:right w:val="single" w:sz="8" w:space="0" w:color="auto"/>
            </w:tcBorders>
            <w:vAlign w:val="center"/>
          </w:tcPr>
          <w:p w14:paraId="3FD99C8F" w14:textId="2DA3A8B2" w:rsidR="00E32D12" w:rsidRPr="00D0306F" w:rsidRDefault="00E32D12" w:rsidP="00E32D12">
            <w:pPr>
              <w:rPr>
                <w:rFonts w:cs="Arial"/>
                <w:b/>
                <w:bCs/>
              </w:rPr>
            </w:pPr>
            <w:r w:rsidRPr="00370535">
              <w:rPr>
                <w:rFonts w:cs="Arial"/>
              </w:rPr>
              <w:t>Swansea Bay University Health Board</w:t>
            </w:r>
          </w:p>
        </w:tc>
        <w:tc>
          <w:tcPr>
            <w:tcW w:w="4508" w:type="dxa"/>
            <w:tcBorders>
              <w:top w:val="nil"/>
              <w:left w:val="nil"/>
              <w:bottom w:val="single" w:sz="8" w:space="0" w:color="auto"/>
              <w:right w:val="single" w:sz="8" w:space="0" w:color="auto"/>
            </w:tcBorders>
            <w:vAlign w:val="center"/>
          </w:tcPr>
          <w:p w14:paraId="1A57F032" w14:textId="7A8B844F" w:rsidR="00E32D12" w:rsidRPr="00D0306F" w:rsidRDefault="00E32D12" w:rsidP="00E32D12">
            <w:pPr>
              <w:rPr>
                <w:rFonts w:cs="Arial"/>
                <w:b/>
                <w:bCs/>
              </w:rPr>
            </w:pPr>
            <w:r w:rsidRPr="00370535">
              <w:rPr>
                <w:rFonts w:cs="Arial"/>
              </w:rPr>
              <w:t>13.4%</w:t>
            </w:r>
          </w:p>
        </w:tc>
      </w:tr>
      <w:tr w:rsidR="00E32D12" w:rsidRPr="00D0306F" w14:paraId="15503AE7" w14:textId="77777777" w:rsidTr="00E32D12">
        <w:tc>
          <w:tcPr>
            <w:tcW w:w="4508" w:type="dxa"/>
            <w:tcBorders>
              <w:top w:val="nil"/>
              <w:left w:val="single" w:sz="8" w:space="0" w:color="auto"/>
              <w:bottom w:val="single" w:sz="8" w:space="0" w:color="auto"/>
              <w:right w:val="single" w:sz="8" w:space="0" w:color="auto"/>
            </w:tcBorders>
            <w:vAlign w:val="center"/>
          </w:tcPr>
          <w:p w14:paraId="1C613DBA" w14:textId="555FCE1F" w:rsidR="00E32D12" w:rsidRPr="00D0306F" w:rsidRDefault="00E32D12" w:rsidP="00E32D12">
            <w:pPr>
              <w:rPr>
                <w:rFonts w:cs="Arial"/>
                <w:b/>
                <w:bCs/>
              </w:rPr>
            </w:pPr>
            <w:r w:rsidRPr="00370535">
              <w:rPr>
                <w:rFonts w:cs="Arial"/>
              </w:rPr>
              <w:t>Wales</w:t>
            </w:r>
          </w:p>
        </w:tc>
        <w:tc>
          <w:tcPr>
            <w:tcW w:w="4508" w:type="dxa"/>
            <w:tcBorders>
              <w:top w:val="nil"/>
              <w:left w:val="nil"/>
              <w:bottom w:val="single" w:sz="8" w:space="0" w:color="auto"/>
              <w:right w:val="single" w:sz="8" w:space="0" w:color="auto"/>
            </w:tcBorders>
            <w:vAlign w:val="center"/>
          </w:tcPr>
          <w:p w14:paraId="5989C4D0" w14:textId="57736C2D" w:rsidR="00E32D12" w:rsidRPr="00D0306F" w:rsidRDefault="00E32D12" w:rsidP="00E32D12">
            <w:pPr>
              <w:rPr>
                <w:rFonts w:cs="Arial"/>
                <w:b/>
                <w:bCs/>
              </w:rPr>
            </w:pPr>
            <w:r w:rsidRPr="00370535">
              <w:rPr>
                <w:rFonts w:cs="Arial"/>
              </w:rPr>
              <w:t>14.4%</w:t>
            </w:r>
          </w:p>
        </w:tc>
      </w:tr>
    </w:tbl>
    <w:p w14:paraId="1725CBE9" w14:textId="77777777" w:rsidR="00001F0F" w:rsidRPr="00370535" w:rsidRDefault="00001F0F" w:rsidP="00370535">
      <w:pPr>
        <w:rPr>
          <w:rFonts w:cs="Arial"/>
          <w:b/>
          <w:bCs/>
        </w:rPr>
      </w:pPr>
    </w:p>
    <w:p w14:paraId="64CBEA86" w14:textId="77777777" w:rsidR="00370535" w:rsidRPr="00370535" w:rsidRDefault="00370535" w:rsidP="00370535">
      <w:pPr>
        <w:rPr>
          <w:rFonts w:cs="Arial"/>
          <w:b/>
        </w:rPr>
      </w:pPr>
      <w:r w:rsidRPr="00370535">
        <w:rPr>
          <w:rFonts w:cs="Arial"/>
          <w:b/>
        </w:rPr>
        <w:t>3.2.2.3 Alcohol</w:t>
      </w:r>
      <w:r w:rsidRPr="00370535">
        <w:rPr>
          <w:rFonts w:cs="Arial"/>
          <w:b/>
          <w:vertAlign w:val="superscript"/>
        </w:rPr>
        <w:footnoteReference w:id="96"/>
      </w:r>
      <w:r w:rsidRPr="00370535">
        <w:rPr>
          <w:rFonts w:cs="Arial"/>
          <w:b/>
        </w:rPr>
        <w:t xml:space="preserve"> </w:t>
      </w:r>
      <w:r w:rsidRPr="00370535">
        <w:rPr>
          <w:rFonts w:cs="Arial"/>
          <w:b/>
          <w:vertAlign w:val="superscript"/>
        </w:rPr>
        <w:footnoteReference w:id="97"/>
      </w:r>
    </w:p>
    <w:p w14:paraId="7DF10352" w14:textId="77777777" w:rsidR="00370535" w:rsidRPr="00370535" w:rsidRDefault="00370535" w:rsidP="00370535">
      <w:pPr>
        <w:rPr>
          <w:rFonts w:cs="Arial"/>
          <w:bCs/>
        </w:rPr>
      </w:pPr>
    </w:p>
    <w:p w14:paraId="22196F88" w14:textId="77777777" w:rsidR="00370535" w:rsidRPr="00370535" w:rsidRDefault="00370535" w:rsidP="00370535">
      <w:pPr>
        <w:rPr>
          <w:rFonts w:cs="Arial"/>
          <w:bCs/>
        </w:rPr>
      </w:pPr>
      <w:r w:rsidRPr="00370535">
        <w:rPr>
          <w:rFonts w:cs="Arial"/>
          <w:bCs/>
        </w:rPr>
        <w:t>In 2016, the UK Chief Medical Officer published new guidelines that advise drinking no more than 14 units of alcohol a week to keep health risks low</w:t>
      </w:r>
      <w:r w:rsidRPr="00370535">
        <w:rPr>
          <w:rFonts w:cs="Arial"/>
          <w:bCs/>
          <w:vertAlign w:val="superscript"/>
        </w:rPr>
        <w:footnoteReference w:id="98"/>
      </w:r>
      <w:r w:rsidRPr="00370535">
        <w:rPr>
          <w:rFonts w:cs="Arial"/>
          <w:bCs/>
        </w:rPr>
        <w:t>. Alcohol use remains a major public health challenge in Wales. It is associated with the development of many health conditions such as high blood pressure, heart disease, cirrhosis of the liver and cancers of the mouth, throat and breast cancer.</w:t>
      </w:r>
      <w:r w:rsidRPr="00370535">
        <w:rPr>
          <w:rFonts w:cs="Arial"/>
        </w:rPr>
        <w:t xml:space="preserve"> </w:t>
      </w:r>
      <w:r w:rsidRPr="00370535">
        <w:rPr>
          <w:rFonts w:cs="Arial"/>
          <w:bCs/>
        </w:rPr>
        <w:t xml:space="preserve">It has also been identified as a causal factor (consuming alcohol is a direct or partial cause) in more than 200 medical conditions. </w:t>
      </w:r>
    </w:p>
    <w:p w14:paraId="44D868EE" w14:textId="77777777" w:rsidR="00370535" w:rsidRPr="00370535" w:rsidRDefault="00370535" w:rsidP="00370535">
      <w:pPr>
        <w:rPr>
          <w:rFonts w:cs="Arial"/>
          <w:bCs/>
        </w:rPr>
      </w:pPr>
    </w:p>
    <w:p w14:paraId="3D3E58F7" w14:textId="77777777" w:rsidR="00370535" w:rsidRPr="00370535" w:rsidRDefault="00370535" w:rsidP="00370535">
      <w:pPr>
        <w:rPr>
          <w:rFonts w:cs="Arial"/>
          <w:bCs/>
        </w:rPr>
      </w:pPr>
      <w:r w:rsidRPr="00370535">
        <w:rPr>
          <w:rFonts w:cs="Arial"/>
          <w:bCs/>
        </w:rPr>
        <w:t>Alcohol misuse is also a cause of falls, accidents, and injuries as well as social problems such as assaults and crimes. In Wales, 49% of all violent crime is alcohol related, as well as contributing to public order and anti-social behaviour in communities, child neglect, domestic and intimate partner violence and the abuse of vulnerable individuals</w:t>
      </w:r>
      <w:r w:rsidRPr="00370535">
        <w:rPr>
          <w:rFonts w:cs="Arial"/>
          <w:bCs/>
          <w:vertAlign w:val="superscript"/>
        </w:rPr>
        <w:footnoteReference w:id="99"/>
      </w:r>
      <w:r w:rsidRPr="00370535">
        <w:rPr>
          <w:rFonts w:cs="Arial"/>
          <w:bCs/>
        </w:rPr>
        <w:t xml:space="preserve">. </w:t>
      </w:r>
    </w:p>
    <w:p w14:paraId="1BE7C1CA" w14:textId="77777777" w:rsidR="00370535" w:rsidRPr="00370535" w:rsidRDefault="00370535" w:rsidP="00370535">
      <w:pPr>
        <w:rPr>
          <w:rFonts w:cs="Arial"/>
          <w:bCs/>
        </w:rPr>
      </w:pPr>
    </w:p>
    <w:p w14:paraId="250235DB" w14:textId="77777777" w:rsidR="00370535" w:rsidRPr="00370535" w:rsidRDefault="00370535" w:rsidP="00370535">
      <w:pPr>
        <w:rPr>
          <w:rFonts w:cs="Arial"/>
          <w:bCs/>
        </w:rPr>
      </w:pPr>
      <w:r w:rsidRPr="00370535">
        <w:rPr>
          <w:rFonts w:cs="Arial"/>
          <w:bCs/>
        </w:rPr>
        <w:t>Growing up in families where alcohol or substance misuse is a problem can have negative impacts which persist long into adulthood. 14% of adults have been exposed to alcohol misuse during childhood. Reducing adverse childhood experiences can reduce levels of harmful drinking by 35%.</w:t>
      </w:r>
    </w:p>
    <w:p w14:paraId="60D8D35F" w14:textId="77777777" w:rsidR="00370535" w:rsidRPr="00370535" w:rsidRDefault="00370535" w:rsidP="00370535">
      <w:pPr>
        <w:rPr>
          <w:rFonts w:cs="Arial"/>
          <w:bCs/>
        </w:rPr>
      </w:pPr>
    </w:p>
    <w:p w14:paraId="7931C1EB" w14:textId="77777777" w:rsidR="00370535" w:rsidRPr="00370535" w:rsidRDefault="00370535" w:rsidP="00370535">
      <w:pPr>
        <w:rPr>
          <w:rFonts w:cs="Arial"/>
          <w:bCs/>
        </w:rPr>
      </w:pPr>
      <w:r w:rsidRPr="00370535">
        <w:rPr>
          <w:rFonts w:cs="Arial"/>
          <w:bCs/>
        </w:rPr>
        <w:t>In 2023, alcohol specific death (wholly caused by alcohol) in Wales increased to a new record high with 562 deaths recorded, marking a 16.0% increase from the previous year (486). Of the alcohol specific deaths in 2023, nearly two thirds (64.8%) involved males.</w:t>
      </w:r>
    </w:p>
    <w:p w14:paraId="04E94F7B" w14:textId="77777777" w:rsidR="00370535" w:rsidRPr="00370535" w:rsidRDefault="00370535" w:rsidP="00370535">
      <w:pPr>
        <w:rPr>
          <w:rFonts w:cs="Arial"/>
          <w:bCs/>
        </w:rPr>
      </w:pPr>
    </w:p>
    <w:p w14:paraId="059AE5F2" w14:textId="77777777" w:rsidR="00370535" w:rsidRPr="00370535" w:rsidRDefault="00370535" w:rsidP="00370535">
      <w:pPr>
        <w:rPr>
          <w:rFonts w:cs="Arial"/>
          <w:bCs/>
        </w:rPr>
      </w:pPr>
      <w:r w:rsidRPr="00370535">
        <w:rPr>
          <w:rFonts w:cs="Arial"/>
          <w:bCs/>
        </w:rPr>
        <w:t xml:space="preserve">Alcohol-specific hospital admissions continue to rise with over 12,000 admissions involving more than 8,000 individuals. Older adults aged 50 years and over made up two thirds (67.0%) of those cases. </w:t>
      </w:r>
    </w:p>
    <w:p w14:paraId="22743A99" w14:textId="77777777" w:rsidR="00370535" w:rsidRPr="00370535" w:rsidRDefault="00370535" w:rsidP="00370535">
      <w:pPr>
        <w:rPr>
          <w:rFonts w:cs="Arial"/>
          <w:bCs/>
        </w:rPr>
      </w:pPr>
    </w:p>
    <w:p w14:paraId="5FF8D692" w14:textId="77777777" w:rsidR="00370535" w:rsidRPr="00370535" w:rsidRDefault="00370535" w:rsidP="00370535">
      <w:pPr>
        <w:rPr>
          <w:rFonts w:cs="Arial"/>
          <w:bCs/>
        </w:rPr>
      </w:pPr>
      <w:r w:rsidRPr="00370535">
        <w:rPr>
          <w:rFonts w:cs="Arial"/>
          <w:bCs/>
        </w:rPr>
        <w:t>While overall alcohol-specific hospital admissions among those under 25 declined by 17.4% compared to the previous year, school exclusions related to drugs and alcohol reached a new record high of 939 cases in the 2022/23 academic year.</w:t>
      </w:r>
    </w:p>
    <w:p w14:paraId="684C9AD2" w14:textId="77777777" w:rsidR="00370535" w:rsidRPr="00370535" w:rsidRDefault="00370535" w:rsidP="00370535">
      <w:pPr>
        <w:rPr>
          <w:rFonts w:cs="Arial"/>
        </w:rPr>
      </w:pPr>
    </w:p>
    <w:p w14:paraId="5DDC46D3" w14:textId="77777777" w:rsidR="00370535" w:rsidRPr="00370535" w:rsidRDefault="00370535" w:rsidP="00370535">
      <w:pPr>
        <w:rPr>
          <w:rFonts w:cs="Arial"/>
        </w:rPr>
      </w:pPr>
      <w:r w:rsidRPr="00370535">
        <w:rPr>
          <w:rFonts w:cs="Arial"/>
        </w:rPr>
        <w:t>The table below presents the percentage of adults aged 16 years and over, in Swansea and Neath Port Talbot who have self-reported engaging in drinking 14 units or more per week, as recorded by the National Survey for Wales</w:t>
      </w:r>
      <w:r w:rsidRPr="00370535">
        <w:rPr>
          <w:rFonts w:cs="Arial"/>
          <w:vertAlign w:val="superscript"/>
        </w:rPr>
        <w:footnoteReference w:id="100"/>
      </w:r>
      <w:r w:rsidRPr="00370535">
        <w:rPr>
          <w:rFonts w:cs="Arial"/>
        </w:rPr>
        <w:t xml:space="preserve"> between 2021 and 2023. </w:t>
      </w:r>
    </w:p>
    <w:p w14:paraId="6695F301" w14:textId="77777777" w:rsidR="00370535" w:rsidRPr="00370535" w:rsidRDefault="00370535" w:rsidP="00370535">
      <w:pPr>
        <w:rPr>
          <w:rFonts w:cs="Arial"/>
        </w:rPr>
      </w:pPr>
    </w:p>
    <w:p w14:paraId="21984BDA" w14:textId="00898501" w:rsidR="00370535" w:rsidRPr="00370535" w:rsidRDefault="00370535" w:rsidP="00370535">
      <w:pPr>
        <w:rPr>
          <w:rFonts w:cs="Arial"/>
          <w:b/>
          <w:bCs/>
        </w:rPr>
      </w:pPr>
      <w:r w:rsidRPr="00370535">
        <w:rPr>
          <w:rFonts w:cs="Arial"/>
          <w:b/>
          <w:bCs/>
        </w:rPr>
        <w:t>Table 3.16: Percentage of adults (aged 16 years and over) self-reporting drinking 14 units or more per week, by local authority and Wales, 2021 to 2023</w:t>
      </w:r>
    </w:p>
    <w:p w14:paraId="6AA29F8B" w14:textId="77777777" w:rsidR="00370535" w:rsidRPr="00370535" w:rsidRDefault="00370535" w:rsidP="00370535">
      <w:pPr>
        <w:rPr>
          <w:rFonts w:cs="Arial"/>
          <w:b/>
        </w:rPr>
      </w:pPr>
    </w:p>
    <w:tbl>
      <w:tblPr>
        <w:tblStyle w:val="TableGrid4"/>
        <w:tblW w:w="9072" w:type="dxa"/>
        <w:tblInd w:w="-5" w:type="dxa"/>
        <w:tblLook w:val="04A0" w:firstRow="1" w:lastRow="0" w:firstColumn="1" w:lastColumn="0" w:noHBand="0" w:noVBand="1"/>
      </w:tblPr>
      <w:tblGrid>
        <w:gridCol w:w="2835"/>
        <w:gridCol w:w="3119"/>
        <w:gridCol w:w="3118"/>
      </w:tblGrid>
      <w:tr w:rsidR="00370535" w:rsidRPr="00370535" w14:paraId="6DC20415" w14:textId="77777777" w:rsidTr="00E32D12">
        <w:trPr>
          <w:trHeight w:val="904"/>
        </w:trPr>
        <w:tc>
          <w:tcPr>
            <w:tcW w:w="2835"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7BCF7DEB" w14:textId="77777777" w:rsidR="00370535" w:rsidRPr="00370535" w:rsidRDefault="00370535" w:rsidP="00370535">
            <w:pPr>
              <w:rPr>
                <w:rFonts w:cs="Arial"/>
                <w:b/>
              </w:rPr>
            </w:pPr>
            <w:r w:rsidRPr="00370535">
              <w:rPr>
                <w:rFonts w:cs="Arial"/>
                <w:b/>
              </w:rPr>
              <w:t>Area</w:t>
            </w:r>
          </w:p>
        </w:tc>
        <w:tc>
          <w:tcPr>
            <w:tcW w:w="3119"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621EAC2F" w14:textId="4FC487D0" w:rsidR="00370535" w:rsidRPr="00370535" w:rsidRDefault="00370535" w:rsidP="00370535">
            <w:pPr>
              <w:rPr>
                <w:rFonts w:cs="Arial"/>
                <w:b/>
              </w:rPr>
            </w:pPr>
            <w:r w:rsidRPr="00370535">
              <w:rPr>
                <w:rFonts w:cs="Arial"/>
                <w:b/>
              </w:rPr>
              <w:t>Population 16 years and over</w:t>
            </w:r>
            <w:r w:rsidR="00E32D12" w:rsidRPr="00D0306F">
              <w:rPr>
                <w:rStyle w:val="FootnoteReference"/>
                <w:b/>
              </w:rPr>
              <w:footnoteReference w:id="101"/>
            </w:r>
            <w:r w:rsidR="00E32D12" w:rsidRPr="00D0306F">
              <w:rPr>
                <w:rFonts w:cs="Arial"/>
                <w:b/>
                <w:vertAlign w:val="superscript"/>
              </w:rPr>
              <w:t xml:space="preserve">, </w:t>
            </w:r>
            <w:r w:rsidR="00E32D12" w:rsidRPr="00D0306F">
              <w:rPr>
                <w:rStyle w:val="FootnoteReference"/>
                <w:b/>
              </w:rPr>
              <w:footnoteReference w:id="102"/>
            </w:r>
          </w:p>
        </w:tc>
        <w:tc>
          <w:tcPr>
            <w:tcW w:w="3118"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4DC0852E" w14:textId="77777777" w:rsidR="00370535" w:rsidRPr="00370535" w:rsidRDefault="00370535" w:rsidP="00370535">
            <w:pPr>
              <w:rPr>
                <w:rFonts w:cs="Arial"/>
                <w:b/>
              </w:rPr>
            </w:pPr>
            <w:r w:rsidRPr="00370535">
              <w:rPr>
                <w:rFonts w:cs="Arial"/>
                <w:b/>
              </w:rPr>
              <w:t>Percentage of adult who self-reported drinking 14 units or more per week</w:t>
            </w:r>
          </w:p>
        </w:tc>
      </w:tr>
      <w:tr w:rsidR="00370535" w:rsidRPr="00370535" w14:paraId="384A6E3F" w14:textId="77777777" w:rsidTr="00370535">
        <w:trPr>
          <w:trHeight w:val="688"/>
        </w:trPr>
        <w:tc>
          <w:tcPr>
            <w:tcW w:w="2835" w:type="dxa"/>
            <w:tcBorders>
              <w:top w:val="single" w:sz="4" w:space="0" w:color="auto"/>
              <w:left w:val="single" w:sz="4" w:space="0" w:color="auto"/>
              <w:bottom w:val="single" w:sz="4" w:space="0" w:color="auto"/>
              <w:right w:val="single" w:sz="4" w:space="0" w:color="auto"/>
            </w:tcBorders>
            <w:hideMark/>
          </w:tcPr>
          <w:p w14:paraId="472399AE" w14:textId="77777777" w:rsidR="00370535" w:rsidRPr="00370535" w:rsidRDefault="00370535" w:rsidP="00370535">
            <w:pPr>
              <w:rPr>
                <w:rFonts w:cs="Arial"/>
                <w:bCs/>
              </w:rPr>
            </w:pPr>
            <w:r w:rsidRPr="00370535">
              <w:rPr>
                <w:rFonts w:cs="Arial"/>
                <w:bCs/>
              </w:rPr>
              <w:t>Swansea Local Authority</w:t>
            </w:r>
          </w:p>
        </w:tc>
        <w:tc>
          <w:tcPr>
            <w:tcW w:w="3119" w:type="dxa"/>
            <w:tcBorders>
              <w:top w:val="single" w:sz="4" w:space="0" w:color="auto"/>
              <w:left w:val="single" w:sz="4" w:space="0" w:color="auto"/>
              <w:bottom w:val="single" w:sz="4" w:space="0" w:color="auto"/>
              <w:right w:val="single" w:sz="4" w:space="0" w:color="auto"/>
            </w:tcBorders>
            <w:hideMark/>
          </w:tcPr>
          <w:p w14:paraId="3BCB9263" w14:textId="523D81D4" w:rsidR="00370535" w:rsidRPr="00370535" w:rsidRDefault="00370535" w:rsidP="00370535">
            <w:pPr>
              <w:rPr>
                <w:rFonts w:cs="Arial"/>
                <w:bCs/>
              </w:rPr>
            </w:pPr>
            <w:r w:rsidRPr="00370535">
              <w:rPr>
                <w:rFonts w:cs="Arial"/>
                <w:bCs/>
              </w:rPr>
              <w:t>209,302</w:t>
            </w:r>
          </w:p>
        </w:tc>
        <w:tc>
          <w:tcPr>
            <w:tcW w:w="3118" w:type="dxa"/>
            <w:tcBorders>
              <w:top w:val="single" w:sz="4" w:space="0" w:color="auto"/>
              <w:left w:val="single" w:sz="4" w:space="0" w:color="auto"/>
              <w:bottom w:val="single" w:sz="4" w:space="0" w:color="auto"/>
              <w:right w:val="single" w:sz="4" w:space="0" w:color="auto"/>
            </w:tcBorders>
            <w:hideMark/>
          </w:tcPr>
          <w:p w14:paraId="0BBBA234" w14:textId="77777777" w:rsidR="00370535" w:rsidRPr="00370535" w:rsidRDefault="00370535" w:rsidP="00E32D12">
            <w:pPr>
              <w:jc w:val="center"/>
              <w:rPr>
                <w:rFonts w:cs="Arial"/>
                <w:bCs/>
              </w:rPr>
            </w:pPr>
            <w:r w:rsidRPr="00370535">
              <w:rPr>
                <w:rFonts w:cs="Arial"/>
                <w:bCs/>
              </w:rPr>
              <w:t>16.0%</w:t>
            </w:r>
          </w:p>
        </w:tc>
      </w:tr>
      <w:tr w:rsidR="00370535" w:rsidRPr="00370535" w14:paraId="18C9ED31" w14:textId="77777777" w:rsidTr="00370535">
        <w:trPr>
          <w:trHeight w:val="316"/>
        </w:trPr>
        <w:tc>
          <w:tcPr>
            <w:tcW w:w="2835" w:type="dxa"/>
            <w:tcBorders>
              <w:top w:val="single" w:sz="4" w:space="0" w:color="auto"/>
              <w:left w:val="single" w:sz="4" w:space="0" w:color="auto"/>
              <w:bottom w:val="single" w:sz="4" w:space="0" w:color="auto"/>
              <w:right w:val="single" w:sz="4" w:space="0" w:color="auto"/>
            </w:tcBorders>
            <w:hideMark/>
          </w:tcPr>
          <w:p w14:paraId="1A743A0F" w14:textId="77777777" w:rsidR="00370535" w:rsidRPr="00370535" w:rsidRDefault="00370535" w:rsidP="00370535">
            <w:pPr>
              <w:rPr>
                <w:rFonts w:cs="Arial"/>
                <w:bCs/>
              </w:rPr>
            </w:pPr>
            <w:r w:rsidRPr="00370535">
              <w:rPr>
                <w:rFonts w:cs="Arial"/>
                <w:bCs/>
              </w:rPr>
              <w:t>Neath Port Talbot Local Authority</w:t>
            </w:r>
          </w:p>
        </w:tc>
        <w:tc>
          <w:tcPr>
            <w:tcW w:w="3119" w:type="dxa"/>
            <w:tcBorders>
              <w:top w:val="single" w:sz="4" w:space="0" w:color="auto"/>
              <w:left w:val="single" w:sz="4" w:space="0" w:color="auto"/>
              <w:bottom w:val="single" w:sz="4" w:space="0" w:color="auto"/>
              <w:right w:val="single" w:sz="4" w:space="0" w:color="auto"/>
            </w:tcBorders>
            <w:hideMark/>
          </w:tcPr>
          <w:p w14:paraId="77E41CC0" w14:textId="7602DE35" w:rsidR="00370535" w:rsidRPr="00370535" w:rsidRDefault="00370535" w:rsidP="00370535">
            <w:pPr>
              <w:rPr>
                <w:rFonts w:cs="Arial"/>
                <w:bCs/>
              </w:rPr>
            </w:pPr>
            <w:r w:rsidRPr="00370535">
              <w:rPr>
                <w:rFonts w:cs="Arial"/>
                <w:bCs/>
              </w:rPr>
              <w:t>118,891</w:t>
            </w:r>
          </w:p>
        </w:tc>
        <w:tc>
          <w:tcPr>
            <w:tcW w:w="3118" w:type="dxa"/>
            <w:tcBorders>
              <w:top w:val="single" w:sz="4" w:space="0" w:color="auto"/>
              <w:left w:val="single" w:sz="4" w:space="0" w:color="auto"/>
              <w:bottom w:val="single" w:sz="4" w:space="0" w:color="auto"/>
              <w:right w:val="single" w:sz="4" w:space="0" w:color="auto"/>
            </w:tcBorders>
            <w:hideMark/>
          </w:tcPr>
          <w:p w14:paraId="052FE0A6" w14:textId="77777777" w:rsidR="00370535" w:rsidRPr="00370535" w:rsidRDefault="00370535" w:rsidP="00E32D12">
            <w:pPr>
              <w:jc w:val="center"/>
              <w:rPr>
                <w:rFonts w:cs="Arial"/>
                <w:bCs/>
              </w:rPr>
            </w:pPr>
            <w:r w:rsidRPr="00370535">
              <w:rPr>
                <w:rFonts w:cs="Arial"/>
                <w:bCs/>
              </w:rPr>
              <w:t>12.0%</w:t>
            </w:r>
          </w:p>
        </w:tc>
      </w:tr>
      <w:tr w:rsidR="00370535" w:rsidRPr="00370535" w14:paraId="73FFC481" w14:textId="77777777" w:rsidTr="00370535">
        <w:trPr>
          <w:trHeight w:val="328"/>
        </w:trPr>
        <w:tc>
          <w:tcPr>
            <w:tcW w:w="2835" w:type="dxa"/>
            <w:tcBorders>
              <w:top w:val="single" w:sz="4" w:space="0" w:color="auto"/>
              <w:left w:val="single" w:sz="4" w:space="0" w:color="auto"/>
              <w:bottom w:val="single" w:sz="4" w:space="0" w:color="auto"/>
              <w:right w:val="single" w:sz="4" w:space="0" w:color="auto"/>
            </w:tcBorders>
            <w:hideMark/>
          </w:tcPr>
          <w:p w14:paraId="159D1CB6" w14:textId="77777777" w:rsidR="00370535" w:rsidRPr="00370535" w:rsidRDefault="00370535" w:rsidP="00370535">
            <w:pPr>
              <w:rPr>
                <w:rFonts w:cs="Arial"/>
                <w:bCs/>
              </w:rPr>
            </w:pPr>
            <w:r w:rsidRPr="00370535">
              <w:rPr>
                <w:rFonts w:cs="Arial"/>
                <w:bCs/>
              </w:rPr>
              <w:t>Wales</w:t>
            </w:r>
          </w:p>
        </w:tc>
        <w:tc>
          <w:tcPr>
            <w:tcW w:w="3119" w:type="dxa"/>
            <w:tcBorders>
              <w:top w:val="single" w:sz="4" w:space="0" w:color="auto"/>
              <w:left w:val="single" w:sz="4" w:space="0" w:color="auto"/>
              <w:bottom w:val="single" w:sz="4" w:space="0" w:color="auto"/>
              <w:right w:val="single" w:sz="4" w:space="0" w:color="auto"/>
            </w:tcBorders>
            <w:hideMark/>
          </w:tcPr>
          <w:p w14:paraId="47633687" w14:textId="1489082D" w:rsidR="00370535" w:rsidRPr="00370535" w:rsidRDefault="00370535" w:rsidP="00370535">
            <w:pPr>
              <w:rPr>
                <w:rFonts w:cs="Arial"/>
                <w:bCs/>
              </w:rPr>
            </w:pPr>
            <w:r w:rsidRPr="00370535">
              <w:rPr>
                <w:rFonts w:cs="Arial"/>
                <w:bCs/>
              </w:rPr>
              <w:t>2,641,000</w:t>
            </w:r>
          </w:p>
        </w:tc>
        <w:tc>
          <w:tcPr>
            <w:tcW w:w="3118" w:type="dxa"/>
            <w:tcBorders>
              <w:top w:val="single" w:sz="4" w:space="0" w:color="auto"/>
              <w:left w:val="single" w:sz="4" w:space="0" w:color="auto"/>
              <w:bottom w:val="single" w:sz="4" w:space="0" w:color="auto"/>
              <w:right w:val="single" w:sz="4" w:space="0" w:color="auto"/>
            </w:tcBorders>
            <w:hideMark/>
          </w:tcPr>
          <w:p w14:paraId="442FACAA" w14:textId="77777777" w:rsidR="00370535" w:rsidRPr="00370535" w:rsidRDefault="00370535" w:rsidP="00E32D12">
            <w:pPr>
              <w:jc w:val="center"/>
              <w:rPr>
                <w:rFonts w:cs="Arial"/>
                <w:bCs/>
              </w:rPr>
            </w:pPr>
            <w:r w:rsidRPr="00370535">
              <w:rPr>
                <w:rFonts w:cs="Arial"/>
                <w:bCs/>
              </w:rPr>
              <w:t>16.0%</w:t>
            </w:r>
          </w:p>
        </w:tc>
      </w:tr>
    </w:tbl>
    <w:p w14:paraId="36228565" w14:textId="77777777" w:rsidR="00370535" w:rsidRPr="00370535" w:rsidRDefault="00370535" w:rsidP="00370535">
      <w:pPr>
        <w:rPr>
          <w:rFonts w:cs="Arial"/>
        </w:rPr>
      </w:pPr>
    </w:p>
    <w:p w14:paraId="65644955" w14:textId="77777777" w:rsidR="00370535" w:rsidRPr="00370535" w:rsidRDefault="00370535" w:rsidP="00370535">
      <w:pPr>
        <w:rPr>
          <w:rFonts w:cs="Arial"/>
        </w:rPr>
      </w:pPr>
      <w:r w:rsidRPr="00370535">
        <w:rPr>
          <w:rFonts w:cs="Arial"/>
        </w:rPr>
        <w:t>The percentage of adults who self-reported drinking 14 or more units of alcohol per week in the period 2021-2023, across the 22 local authorities in Wales, showed the lowest percentage of adults were in the Isle of Anglesey Local Authority (12.0%) and the highest percentage was in Monmouthshire Local Authority (24%), Swansea Local Authority ranked 14th and Neath Port Talbot Local Authority ranked second.</w:t>
      </w:r>
    </w:p>
    <w:p w14:paraId="535E3352" w14:textId="77777777" w:rsidR="00370535" w:rsidRPr="00370535" w:rsidRDefault="00370535" w:rsidP="00370535">
      <w:pPr>
        <w:rPr>
          <w:rFonts w:cs="Arial"/>
        </w:rPr>
      </w:pPr>
    </w:p>
    <w:p w14:paraId="5FE3AAC7" w14:textId="77777777" w:rsidR="00370535" w:rsidRPr="00370535" w:rsidRDefault="00370535" w:rsidP="00370535">
      <w:pPr>
        <w:rPr>
          <w:rFonts w:cs="Arial"/>
        </w:rPr>
      </w:pPr>
      <w:r w:rsidRPr="00370535">
        <w:rPr>
          <w:rFonts w:cs="Arial"/>
        </w:rPr>
        <w:t xml:space="preserve">The figure below highlights the reported drinking patterns in Swansea Bay University Health Board, Swansea and Neath Port Talbot Local Authorities compared to the average for Wales. </w:t>
      </w:r>
    </w:p>
    <w:p w14:paraId="3C1B73E7" w14:textId="77777777" w:rsidR="00370535" w:rsidRDefault="00370535" w:rsidP="00370535">
      <w:pPr>
        <w:rPr>
          <w:rFonts w:cs="Arial"/>
        </w:rPr>
      </w:pPr>
    </w:p>
    <w:p w14:paraId="38197AA1" w14:textId="77777777" w:rsidR="000F4AA2" w:rsidRDefault="000F4AA2" w:rsidP="00370535">
      <w:pPr>
        <w:rPr>
          <w:rFonts w:cs="Arial"/>
        </w:rPr>
      </w:pPr>
    </w:p>
    <w:p w14:paraId="5685FAE0" w14:textId="77777777" w:rsidR="000F4AA2" w:rsidRDefault="000F4AA2" w:rsidP="00370535">
      <w:pPr>
        <w:rPr>
          <w:rFonts w:cs="Arial"/>
        </w:rPr>
      </w:pPr>
    </w:p>
    <w:p w14:paraId="3F0CE7D7" w14:textId="77777777" w:rsidR="000F4AA2" w:rsidRDefault="000F4AA2" w:rsidP="00370535">
      <w:pPr>
        <w:rPr>
          <w:rFonts w:cs="Arial"/>
        </w:rPr>
      </w:pPr>
    </w:p>
    <w:p w14:paraId="0BE5200A" w14:textId="77777777" w:rsidR="000F4AA2" w:rsidRDefault="000F4AA2" w:rsidP="00370535">
      <w:pPr>
        <w:rPr>
          <w:rFonts w:cs="Arial"/>
        </w:rPr>
      </w:pPr>
    </w:p>
    <w:p w14:paraId="689CBE80" w14:textId="77777777" w:rsidR="000F4AA2" w:rsidRDefault="000F4AA2" w:rsidP="00370535">
      <w:pPr>
        <w:rPr>
          <w:rFonts w:cs="Arial"/>
        </w:rPr>
      </w:pPr>
    </w:p>
    <w:p w14:paraId="561B5C11" w14:textId="77777777" w:rsidR="000F4AA2" w:rsidRDefault="000F4AA2" w:rsidP="00370535">
      <w:pPr>
        <w:rPr>
          <w:rFonts w:cs="Arial"/>
        </w:rPr>
      </w:pPr>
    </w:p>
    <w:p w14:paraId="2D52DC8E" w14:textId="77777777" w:rsidR="000F4AA2" w:rsidRDefault="000F4AA2" w:rsidP="00370535">
      <w:pPr>
        <w:rPr>
          <w:rFonts w:cs="Arial"/>
        </w:rPr>
      </w:pPr>
    </w:p>
    <w:p w14:paraId="6B76FC34" w14:textId="77777777" w:rsidR="000F4AA2" w:rsidRDefault="000F4AA2" w:rsidP="00370535">
      <w:pPr>
        <w:rPr>
          <w:rFonts w:cs="Arial"/>
        </w:rPr>
      </w:pPr>
    </w:p>
    <w:p w14:paraId="3F91FB02" w14:textId="77777777" w:rsidR="000F4AA2" w:rsidRDefault="000F4AA2" w:rsidP="00370535">
      <w:pPr>
        <w:rPr>
          <w:rFonts w:cs="Arial"/>
        </w:rPr>
      </w:pPr>
    </w:p>
    <w:p w14:paraId="556C6503" w14:textId="77777777" w:rsidR="000F4AA2" w:rsidRDefault="000F4AA2" w:rsidP="00370535">
      <w:pPr>
        <w:rPr>
          <w:rFonts w:cs="Arial"/>
        </w:rPr>
      </w:pPr>
    </w:p>
    <w:p w14:paraId="5FB0DA53" w14:textId="77777777" w:rsidR="000F4AA2" w:rsidRDefault="000F4AA2" w:rsidP="00370535">
      <w:pPr>
        <w:rPr>
          <w:rFonts w:cs="Arial"/>
        </w:rPr>
      </w:pPr>
    </w:p>
    <w:p w14:paraId="0F80D45E" w14:textId="77777777" w:rsidR="000F4AA2" w:rsidRDefault="000F4AA2" w:rsidP="00370535">
      <w:pPr>
        <w:rPr>
          <w:rFonts w:cs="Arial"/>
        </w:rPr>
      </w:pPr>
    </w:p>
    <w:p w14:paraId="63CD545F" w14:textId="77777777" w:rsidR="000F4AA2" w:rsidRDefault="000F4AA2" w:rsidP="00370535">
      <w:pPr>
        <w:rPr>
          <w:rFonts w:cs="Arial"/>
        </w:rPr>
      </w:pPr>
    </w:p>
    <w:p w14:paraId="1A6D097B" w14:textId="77777777" w:rsidR="000F4AA2" w:rsidRDefault="000F4AA2" w:rsidP="00370535">
      <w:pPr>
        <w:rPr>
          <w:rFonts w:cs="Arial"/>
        </w:rPr>
      </w:pPr>
    </w:p>
    <w:p w14:paraId="0A8A0340" w14:textId="77777777" w:rsidR="000F4AA2" w:rsidRDefault="000F4AA2" w:rsidP="00370535">
      <w:pPr>
        <w:rPr>
          <w:rFonts w:cs="Arial"/>
        </w:rPr>
      </w:pPr>
    </w:p>
    <w:p w14:paraId="2B0734C4" w14:textId="77777777" w:rsidR="000F4AA2" w:rsidRPr="00370535" w:rsidRDefault="000F4AA2" w:rsidP="00370535">
      <w:pPr>
        <w:rPr>
          <w:rFonts w:cs="Arial"/>
        </w:rPr>
      </w:pPr>
    </w:p>
    <w:p w14:paraId="043A3612" w14:textId="77777777" w:rsidR="00370535" w:rsidRPr="00370535" w:rsidRDefault="00370535" w:rsidP="00370535">
      <w:pPr>
        <w:rPr>
          <w:rFonts w:cs="Arial"/>
          <w:b/>
          <w:bCs/>
        </w:rPr>
      </w:pPr>
      <w:r w:rsidRPr="00370535">
        <w:rPr>
          <w:rFonts w:cs="Arial"/>
          <w:b/>
          <w:bCs/>
        </w:rPr>
        <w:lastRenderedPageBreak/>
        <w:t>Figure 3.1: Adult weekly drinking levels by local authority, health board and Wales (2021-2023)</w:t>
      </w:r>
      <w:r w:rsidRPr="00370535">
        <w:rPr>
          <w:rFonts w:cs="Arial"/>
          <w:b/>
          <w:bCs/>
          <w:vertAlign w:val="superscript"/>
        </w:rPr>
        <w:footnoteReference w:id="103"/>
      </w:r>
    </w:p>
    <w:p w14:paraId="4838F926" w14:textId="77777777" w:rsidR="00370535" w:rsidRPr="00370535" w:rsidRDefault="00370535" w:rsidP="00370535">
      <w:pPr>
        <w:rPr>
          <w:rFonts w:cs="Arial"/>
        </w:rPr>
      </w:pPr>
    </w:p>
    <w:p w14:paraId="4CBB11E0" w14:textId="2436413E" w:rsidR="00370535" w:rsidRPr="00370535" w:rsidRDefault="00903E25" w:rsidP="00370535">
      <w:pPr>
        <w:rPr>
          <w:rFonts w:cs="Arial"/>
        </w:rPr>
      </w:pPr>
      <w:r>
        <w:rPr>
          <w:rFonts w:cs="Arial"/>
          <w:noProof/>
        </w:rPr>
        <w:drawing>
          <wp:inline distT="0" distB="0" distL="0" distR="0" wp14:anchorId="2B8040CE" wp14:editId="1FFB0263">
            <wp:extent cx="5597022" cy="3238500"/>
            <wp:effectExtent l="0" t="0" r="3810" b="0"/>
            <wp:docPr id="1680278741" name="Picture 3" descr="Clustered bar chart comparing four categories of weekly alcohol consumption across Wales, the health board, Swansea local authority, and Neath Port Talbot local authority. ‘Moderate drinker’ (up to and including 14 units per week) is the most common level of consumption in all areas, accounting for around 66–69% of adults, with the highest proportion in Neath Port Talbot (68.8%). ‘Non-drinker’ accounts for about 18–19% of adults, while ‘Hazardous drinker’ (up to 35 units for females and 50 units for males) represents approximately 10–14%, with Wales having the highest proportion (14.0%). ‘Harmful drinker’ (more than 35 units for females and 50 units for males) is the least common, accounting for only 2.0–3.0% of adults. Overall, the distribution is similar across all four ar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0278741" name="Picture 3" descr="Clustered bar chart comparing four categories of weekly alcohol consumption across Wales, the health board, Swansea local authority, and Neath Port Talbot local authority. ‘Moderate drinker’ (up to and including 14 units per week) is the most common level of consumption in all areas, accounting for around 66–69% of adults, with the highest proportion in Neath Port Talbot (68.8%). ‘Non-drinker’ accounts for about 18–19% of adults, while ‘Hazardous drinker’ (up to 35 units for females and 50 units for males) represents approximately 10–14%, with Wales having the highest proportion (14.0%). ‘Harmful drinker’ (more than 35 units for females and 50 units for males) is the least common, accounting for only 2.0–3.0% of adults. Overall, the distribution is similar across all four areas."/>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04340" cy="3242734"/>
                    </a:xfrm>
                    <a:prstGeom prst="rect">
                      <a:avLst/>
                    </a:prstGeom>
                    <a:noFill/>
                  </pic:spPr>
                </pic:pic>
              </a:graphicData>
            </a:graphic>
          </wp:inline>
        </w:drawing>
      </w:r>
    </w:p>
    <w:p w14:paraId="3FA9ADDE" w14:textId="77777777" w:rsidR="00370535" w:rsidRPr="00370535" w:rsidRDefault="00370535" w:rsidP="00370535">
      <w:pPr>
        <w:rPr>
          <w:rFonts w:cs="Arial"/>
        </w:rPr>
      </w:pPr>
    </w:p>
    <w:p w14:paraId="6B800246" w14:textId="77777777" w:rsidR="00370535" w:rsidRPr="00370535" w:rsidRDefault="00370535" w:rsidP="00370535">
      <w:pPr>
        <w:rPr>
          <w:rFonts w:cs="Arial"/>
          <w:b/>
          <w:bCs/>
        </w:rPr>
      </w:pPr>
      <w:r w:rsidRPr="00370535">
        <w:rPr>
          <w:rFonts w:cs="Arial"/>
          <w:b/>
          <w:bCs/>
        </w:rPr>
        <w:t>Key</w:t>
      </w:r>
    </w:p>
    <w:p w14:paraId="28E43576" w14:textId="77777777" w:rsidR="00370535" w:rsidRPr="00370535" w:rsidRDefault="00370535" w:rsidP="00370535">
      <w:pPr>
        <w:rPr>
          <w:rFonts w:cs="Arial"/>
          <w:b/>
          <w:bCs/>
        </w:rPr>
      </w:pPr>
    </w:p>
    <w:tbl>
      <w:tblPr>
        <w:tblStyle w:val="TableGrid"/>
        <w:tblW w:w="8925" w:type="dxa"/>
        <w:tblInd w:w="0" w:type="dxa"/>
        <w:tblLayout w:type="fixed"/>
        <w:tblLook w:val="04A0" w:firstRow="1" w:lastRow="0" w:firstColumn="1" w:lastColumn="0" w:noHBand="0" w:noVBand="1"/>
      </w:tblPr>
      <w:tblGrid>
        <w:gridCol w:w="8925"/>
      </w:tblGrid>
      <w:tr w:rsidR="00370535" w:rsidRPr="00370535" w14:paraId="1C0095FC" w14:textId="77777777" w:rsidTr="00370535">
        <w:trPr>
          <w:trHeight w:val="288"/>
        </w:trPr>
        <w:tc>
          <w:tcPr>
            <w:tcW w:w="8926" w:type="dxa"/>
            <w:tcBorders>
              <w:top w:val="single" w:sz="4" w:space="0" w:color="auto"/>
              <w:left w:val="single" w:sz="4" w:space="0" w:color="auto"/>
              <w:bottom w:val="single" w:sz="4" w:space="0" w:color="auto"/>
              <w:right w:val="single" w:sz="4" w:space="0" w:color="auto"/>
            </w:tcBorders>
            <w:shd w:val="clear" w:color="auto" w:fill="153D63" w:themeFill="text2" w:themeFillTint="E6"/>
            <w:noWrap/>
            <w:hideMark/>
          </w:tcPr>
          <w:p w14:paraId="55E3B76C" w14:textId="77777777" w:rsidR="00370535" w:rsidRPr="00370535" w:rsidRDefault="00370535" w:rsidP="00370535">
            <w:pPr>
              <w:rPr>
                <w:rFonts w:eastAsiaTheme="minorHAnsi" w:cs="Arial"/>
                <w:b/>
                <w:bCs/>
              </w:rPr>
            </w:pPr>
            <w:r w:rsidRPr="00370535">
              <w:rPr>
                <w:rFonts w:eastAsiaTheme="minorHAnsi" w:cs="Arial"/>
                <w:b/>
                <w:bCs/>
              </w:rPr>
              <w:t xml:space="preserve">Alcohol drinking levels per week </w:t>
            </w:r>
          </w:p>
        </w:tc>
      </w:tr>
      <w:tr w:rsidR="00370535" w:rsidRPr="00370535" w14:paraId="10A822AA" w14:textId="77777777" w:rsidTr="00370535">
        <w:trPr>
          <w:trHeight w:val="288"/>
        </w:trPr>
        <w:tc>
          <w:tcPr>
            <w:tcW w:w="8926" w:type="dxa"/>
            <w:tcBorders>
              <w:top w:val="single" w:sz="4" w:space="0" w:color="auto"/>
              <w:left w:val="single" w:sz="4" w:space="0" w:color="auto"/>
              <w:bottom w:val="single" w:sz="4" w:space="0" w:color="auto"/>
              <w:right w:val="single" w:sz="4" w:space="0" w:color="auto"/>
            </w:tcBorders>
            <w:hideMark/>
          </w:tcPr>
          <w:p w14:paraId="5D869FAA" w14:textId="77777777" w:rsidR="00370535" w:rsidRPr="00370535" w:rsidRDefault="00370535" w:rsidP="00370535">
            <w:pPr>
              <w:rPr>
                <w:rFonts w:eastAsiaTheme="minorHAnsi" w:cs="Arial"/>
              </w:rPr>
            </w:pPr>
            <w:r w:rsidRPr="00370535">
              <w:rPr>
                <w:rFonts w:eastAsiaTheme="minorHAnsi" w:cs="Arial"/>
              </w:rPr>
              <w:t>1. Non-drinker (zero units)</w:t>
            </w:r>
          </w:p>
        </w:tc>
      </w:tr>
      <w:tr w:rsidR="00370535" w:rsidRPr="00370535" w14:paraId="35ECD867" w14:textId="77777777" w:rsidTr="00370535">
        <w:trPr>
          <w:trHeight w:val="288"/>
        </w:trPr>
        <w:tc>
          <w:tcPr>
            <w:tcW w:w="8926" w:type="dxa"/>
            <w:tcBorders>
              <w:top w:val="single" w:sz="4" w:space="0" w:color="auto"/>
              <w:left w:val="single" w:sz="4" w:space="0" w:color="auto"/>
              <w:bottom w:val="single" w:sz="4" w:space="0" w:color="auto"/>
              <w:right w:val="single" w:sz="4" w:space="0" w:color="auto"/>
            </w:tcBorders>
            <w:hideMark/>
          </w:tcPr>
          <w:p w14:paraId="1D46886F" w14:textId="77777777" w:rsidR="00370535" w:rsidRPr="00370535" w:rsidRDefault="00370535" w:rsidP="00370535">
            <w:pPr>
              <w:rPr>
                <w:rFonts w:eastAsiaTheme="minorHAnsi" w:cs="Arial"/>
              </w:rPr>
            </w:pPr>
            <w:r w:rsidRPr="00370535">
              <w:rPr>
                <w:rFonts w:eastAsiaTheme="minorHAnsi" w:cs="Arial"/>
              </w:rPr>
              <w:t>2. Moderate drinker (up to and including 14 units)</w:t>
            </w:r>
          </w:p>
        </w:tc>
      </w:tr>
      <w:tr w:rsidR="00370535" w:rsidRPr="00370535" w14:paraId="7D6DC303" w14:textId="77777777" w:rsidTr="00370535">
        <w:trPr>
          <w:trHeight w:val="288"/>
        </w:trPr>
        <w:tc>
          <w:tcPr>
            <w:tcW w:w="8926" w:type="dxa"/>
            <w:tcBorders>
              <w:top w:val="single" w:sz="4" w:space="0" w:color="auto"/>
              <w:left w:val="single" w:sz="4" w:space="0" w:color="auto"/>
              <w:bottom w:val="single" w:sz="4" w:space="0" w:color="auto"/>
              <w:right w:val="single" w:sz="4" w:space="0" w:color="auto"/>
            </w:tcBorders>
            <w:hideMark/>
          </w:tcPr>
          <w:p w14:paraId="5A36A53C" w14:textId="6A3F0879" w:rsidR="00370535" w:rsidRPr="00370535" w:rsidRDefault="00370535" w:rsidP="00370535">
            <w:pPr>
              <w:rPr>
                <w:rFonts w:eastAsiaTheme="minorHAnsi" w:cs="Arial"/>
              </w:rPr>
            </w:pPr>
            <w:r w:rsidRPr="00370535">
              <w:rPr>
                <w:rFonts w:eastAsiaTheme="minorHAnsi" w:cs="Arial"/>
              </w:rPr>
              <w:t>3. Hazardous drinker (up to 35 units for females and 50 unit</w:t>
            </w:r>
            <w:r w:rsidR="00332786">
              <w:rPr>
                <w:rFonts w:eastAsiaTheme="minorHAnsi" w:cs="Arial"/>
              </w:rPr>
              <w:t>s</w:t>
            </w:r>
            <w:r w:rsidRPr="00370535">
              <w:rPr>
                <w:rFonts w:eastAsiaTheme="minorHAnsi" w:cs="Arial"/>
              </w:rPr>
              <w:t xml:space="preserve"> for males)</w:t>
            </w:r>
          </w:p>
        </w:tc>
      </w:tr>
      <w:tr w:rsidR="00370535" w:rsidRPr="00370535" w14:paraId="70236620" w14:textId="77777777" w:rsidTr="00370535">
        <w:trPr>
          <w:trHeight w:val="288"/>
        </w:trPr>
        <w:tc>
          <w:tcPr>
            <w:tcW w:w="8926" w:type="dxa"/>
            <w:tcBorders>
              <w:top w:val="single" w:sz="4" w:space="0" w:color="auto"/>
              <w:left w:val="single" w:sz="4" w:space="0" w:color="auto"/>
              <w:bottom w:val="single" w:sz="4" w:space="0" w:color="auto"/>
              <w:right w:val="single" w:sz="4" w:space="0" w:color="auto"/>
            </w:tcBorders>
            <w:hideMark/>
          </w:tcPr>
          <w:p w14:paraId="76DF5095" w14:textId="77777777" w:rsidR="00370535" w:rsidRPr="00370535" w:rsidRDefault="00370535" w:rsidP="00370535">
            <w:pPr>
              <w:rPr>
                <w:rFonts w:eastAsiaTheme="minorHAnsi" w:cs="Arial"/>
              </w:rPr>
            </w:pPr>
            <w:r w:rsidRPr="00370535">
              <w:rPr>
                <w:rFonts w:eastAsiaTheme="minorHAnsi" w:cs="Arial"/>
              </w:rPr>
              <w:t>4. Harmful drinker (more than 35 units for females and 50 units for males)</w:t>
            </w:r>
          </w:p>
        </w:tc>
      </w:tr>
    </w:tbl>
    <w:p w14:paraId="1911DF86" w14:textId="77777777" w:rsidR="00370535" w:rsidRPr="00370535" w:rsidRDefault="00370535" w:rsidP="00370535">
      <w:pPr>
        <w:rPr>
          <w:rFonts w:cs="Arial"/>
        </w:rPr>
      </w:pPr>
    </w:p>
    <w:p w14:paraId="5DB8E1EF" w14:textId="77777777" w:rsidR="00370535" w:rsidRPr="00370535" w:rsidRDefault="00370535" w:rsidP="00370535">
      <w:pPr>
        <w:rPr>
          <w:rFonts w:cs="Arial"/>
        </w:rPr>
      </w:pPr>
      <w:r w:rsidRPr="00370535">
        <w:rPr>
          <w:rFonts w:cs="Arial"/>
        </w:rPr>
        <w:t>In 2021-23, the European age-standardised rate of alcohol-attributable mortality in Wales was 54.9 deaths per 100,000 population, an increase of 3.4% compared to 2020-22</w:t>
      </w:r>
      <w:r w:rsidRPr="00370535">
        <w:rPr>
          <w:rFonts w:cs="Arial"/>
          <w:vertAlign w:val="superscript"/>
        </w:rPr>
        <w:footnoteReference w:id="104"/>
      </w:r>
      <w:r w:rsidRPr="00370535">
        <w:rPr>
          <w:rFonts w:cs="Arial"/>
        </w:rPr>
        <w:t>.</w:t>
      </w:r>
    </w:p>
    <w:p w14:paraId="18C067E4" w14:textId="77777777" w:rsidR="00370535" w:rsidRPr="00370535" w:rsidRDefault="00370535" w:rsidP="00370535">
      <w:pPr>
        <w:rPr>
          <w:rFonts w:cs="Arial"/>
        </w:rPr>
      </w:pPr>
    </w:p>
    <w:p w14:paraId="285E560B" w14:textId="77777777" w:rsidR="00370535" w:rsidRPr="00370535" w:rsidRDefault="00370535" w:rsidP="00370535">
      <w:pPr>
        <w:rPr>
          <w:rFonts w:cs="Arial"/>
        </w:rPr>
      </w:pPr>
      <w:r w:rsidRPr="00370535">
        <w:rPr>
          <w:rFonts w:cs="Arial"/>
        </w:rPr>
        <w:t xml:space="preserve">The three-year rolling average of deaths from alcohol-specific causes over the most recent five-year reporting period shows that the European age-standardised rate of deaths per 100,000 population increased between 2017-19 and 2021-23. In 2021-23, the three-year rolling average European age-standardised rate was 16.0 alcohol-specific deaths per 100,000 population. This rate has gradually increased in recent years. The rate per 100,000 in Swansea Bay University Health Board area was 18.4. The health board was the second highest of the seven health boards, the highest being Cwm Taf Morgannwg University Health Board (21.0). </w:t>
      </w:r>
    </w:p>
    <w:p w14:paraId="4617B106" w14:textId="77777777" w:rsidR="00370535" w:rsidRPr="00D0306F" w:rsidRDefault="00370535" w:rsidP="00370535">
      <w:pPr>
        <w:rPr>
          <w:rFonts w:cs="Arial"/>
          <w:b/>
          <w:bCs/>
        </w:rPr>
      </w:pPr>
    </w:p>
    <w:p w14:paraId="76B67E0B" w14:textId="77777777" w:rsidR="00CD0092" w:rsidRPr="00D0306F" w:rsidRDefault="00CD0092" w:rsidP="00370535">
      <w:pPr>
        <w:rPr>
          <w:rFonts w:cs="Arial"/>
          <w:b/>
          <w:bCs/>
        </w:rPr>
      </w:pPr>
    </w:p>
    <w:p w14:paraId="0A51C0A1" w14:textId="77777777" w:rsidR="00CD0092" w:rsidRPr="00D0306F" w:rsidRDefault="00CD0092" w:rsidP="00370535">
      <w:pPr>
        <w:rPr>
          <w:rFonts w:cs="Arial"/>
          <w:b/>
          <w:bCs/>
        </w:rPr>
      </w:pPr>
    </w:p>
    <w:p w14:paraId="2701B7CE" w14:textId="77777777" w:rsidR="00CD0092" w:rsidRPr="00D0306F" w:rsidRDefault="00CD0092" w:rsidP="00370535">
      <w:pPr>
        <w:rPr>
          <w:rFonts w:cs="Arial"/>
          <w:b/>
          <w:bCs/>
        </w:rPr>
      </w:pPr>
    </w:p>
    <w:p w14:paraId="15EF0288" w14:textId="77777777" w:rsidR="00370535" w:rsidRPr="00370535" w:rsidRDefault="00370535" w:rsidP="00370535">
      <w:pPr>
        <w:rPr>
          <w:rFonts w:cs="Arial"/>
          <w:b/>
          <w:bCs/>
          <w:sz w:val="26"/>
          <w:szCs w:val="26"/>
        </w:rPr>
      </w:pPr>
      <w:r w:rsidRPr="00370535">
        <w:rPr>
          <w:rFonts w:cs="Arial"/>
          <w:b/>
          <w:bCs/>
          <w:sz w:val="26"/>
          <w:szCs w:val="26"/>
        </w:rPr>
        <w:lastRenderedPageBreak/>
        <w:t xml:space="preserve">3.3 Healthy aging </w:t>
      </w:r>
    </w:p>
    <w:p w14:paraId="0D40DC99" w14:textId="77777777" w:rsidR="00370535" w:rsidRPr="00370535" w:rsidRDefault="00370535" w:rsidP="00370535">
      <w:pPr>
        <w:rPr>
          <w:rFonts w:cs="Arial"/>
          <w:b/>
          <w:bCs/>
        </w:rPr>
      </w:pPr>
    </w:p>
    <w:p w14:paraId="0C5B8E1C" w14:textId="77777777" w:rsidR="00370535" w:rsidRPr="00370535" w:rsidRDefault="00370535" w:rsidP="00370535">
      <w:pPr>
        <w:rPr>
          <w:rFonts w:cs="Arial"/>
          <w:b/>
          <w:bCs/>
        </w:rPr>
      </w:pPr>
      <w:r w:rsidRPr="00370535">
        <w:rPr>
          <w:rFonts w:cs="Arial"/>
          <w:b/>
          <w:bCs/>
        </w:rPr>
        <w:t>3.3.1 Low birthweight</w:t>
      </w:r>
    </w:p>
    <w:p w14:paraId="2F678850" w14:textId="77777777" w:rsidR="00370535" w:rsidRPr="00370535" w:rsidRDefault="00370535" w:rsidP="00370535">
      <w:pPr>
        <w:rPr>
          <w:rFonts w:cs="Arial"/>
        </w:rPr>
      </w:pPr>
    </w:p>
    <w:p w14:paraId="31E52B1F" w14:textId="77777777" w:rsidR="00370535" w:rsidRPr="00370535" w:rsidRDefault="00370535" w:rsidP="00370535">
      <w:pPr>
        <w:rPr>
          <w:rFonts w:cs="Arial"/>
        </w:rPr>
      </w:pPr>
      <w:r w:rsidRPr="00370535">
        <w:rPr>
          <w:rFonts w:cs="Arial"/>
        </w:rPr>
        <w:t>Low birthweight is defined as a birthweight of less than 2.5kg (around 5.5lbs) and can be associated with health risks in an infant's first year of life</w:t>
      </w:r>
      <w:r w:rsidRPr="00370535">
        <w:rPr>
          <w:rFonts w:cs="Arial"/>
          <w:vertAlign w:val="superscript"/>
        </w:rPr>
        <w:footnoteReference w:id="105"/>
      </w:r>
      <w:r w:rsidRPr="00370535">
        <w:rPr>
          <w:rFonts w:cs="Arial"/>
        </w:rPr>
        <w:t>. Low birth weight is influenced by maternal lifestyle issues such as smoking. Birth weight is inversely associated with infant mortality, life expectancy, and is predictive of the onset of chronic conditions in adult life</w:t>
      </w:r>
      <w:r w:rsidRPr="00370535">
        <w:rPr>
          <w:rFonts w:cs="Arial"/>
          <w:vertAlign w:val="superscript"/>
        </w:rPr>
        <w:footnoteReference w:id="106"/>
      </w:r>
      <w:r w:rsidRPr="00370535">
        <w:rPr>
          <w:rFonts w:cs="Arial"/>
        </w:rPr>
        <w:t>.</w:t>
      </w:r>
    </w:p>
    <w:p w14:paraId="3FB417BB" w14:textId="77777777" w:rsidR="00370535" w:rsidRPr="00370535" w:rsidRDefault="00370535" w:rsidP="00370535">
      <w:pPr>
        <w:rPr>
          <w:rFonts w:cs="Arial"/>
        </w:rPr>
      </w:pPr>
    </w:p>
    <w:p w14:paraId="7AFF481B" w14:textId="77777777" w:rsidR="00370535" w:rsidRPr="00370535" w:rsidRDefault="00370535" w:rsidP="00370535">
      <w:pPr>
        <w:rPr>
          <w:rFonts w:cs="Arial"/>
        </w:rPr>
      </w:pPr>
      <w:r w:rsidRPr="00370535">
        <w:rPr>
          <w:rFonts w:cs="Arial"/>
        </w:rPr>
        <w:t>In 2024 Swansea Bay University Health Board had a higher percentage of low birthweights compared to Wales (6.6% and 6.3% respectively), with Swansea local authority higher than Neath Port Talbot (7.0% and 6.0% respectively)</w:t>
      </w:r>
      <w:r w:rsidRPr="00370535">
        <w:rPr>
          <w:rFonts w:cs="Arial"/>
          <w:vertAlign w:val="superscript"/>
        </w:rPr>
        <w:footnoteReference w:id="107"/>
      </w:r>
      <w:r w:rsidRPr="00370535">
        <w:rPr>
          <w:rFonts w:cs="Arial"/>
        </w:rPr>
        <w:t>.</w:t>
      </w:r>
    </w:p>
    <w:p w14:paraId="2E7E3895" w14:textId="77777777" w:rsidR="00370535" w:rsidRPr="00370535" w:rsidRDefault="00370535" w:rsidP="00370535">
      <w:pPr>
        <w:rPr>
          <w:rFonts w:cs="Arial"/>
        </w:rPr>
      </w:pPr>
    </w:p>
    <w:p w14:paraId="3B4D80E0" w14:textId="77777777" w:rsidR="00370535" w:rsidRPr="00370535" w:rsidRDefault="00370535" w:rsidP="00370535">
      <w:pPr>
        <w:rPr>
          <w:rFonts w:cs="Arial"/>
          <w:b/>
          <w:bCs/>
          <w:iCs/>
        </w:rPr>
      </w:pPr>
      <w:r w:rsidRPr="00370535">
        <w:rPr>
          <w:rFonts w:cs="Arial"/>
          <w:b/>
          <w:bCs/>
          <w:iCs/>
        </w:rPr>
        <w:t>3.3.2 Breastfeeding</w:t>
      </w:r>
    </w:p>
    <w:p w14:paraId="2755D590" w14:textId="77777777" w:rsidR="00370535" w:rsidRPr="00370535" w:rsidRDefault="00370535" w:rsidP="00370535">
      <w:pPr>
        <w:rPr>
          <w:rFonts w:cs="Arial"/>
        </w:rPr>
      </w:pPr>
    </w:p>
    <w:p w14:paraId="22EEB408" w14:textId="77777777" w:rsidR="00370535" w:rsidRPr="00370535" w:rsidRDefault="00370535" w:rsidP="00370535">
      <w:pPr>
        <w:rPr>
          <w:rFonts w:cs="Arial"/>
        </w:rPr>
      </w:pPr>
      <w:r w:rsidRPr="00370535">
        <w:rPr>
          <w:rFonts w:cs="Arial"/>
        </w:rPr>
        <w:t xml:space="preserve">Breastfeeding provides the best nutritional start in life for a baby. In 2024, breastfeeding rates in Wales were the highest on record at ten days, six weeks and six months. 64.0% of babies were breastfed at birth. 57.3% of babies were breastfed at ten days, 44.1% at six weeks and 32.5% at six months. </w:t>
      </w:r>
    </w:p>
    <w:p w14:paraId="3A7D4BA8" w14:textId="77777777" w:rsidR="00370535" w:rsidRPr="00370535" w:rsidRDefault="00370535" w:rsidP="00370535">
      <w:pPr>
        <w:rPr>
          <w:rFonts w:cs="Arial"/>
        </w:rPr>
      </w:pPr>
    </w:p>
    <w:p w14:paraId="73CC4112" w14:textId="77777777" w:rsidR="00370535" w:rsidRPr="00370535" w:rsidRDefault="00370535" w:rsidP="00370535">
      <w:pPr>
        <w:rPr>
          <w:rFonts w:cs="Arial"/>
        </w:rPr>
      </w:pPr>
      <w:r w:rsidRPr="00370535">
        <w:rPr>
          <w:rFonts w:cs="Arial"/>
        </w:rPr>
        <w:t>In 2024, the percentage of babies that were breastfed (any breastfeeding) in the health board’s area</w:t>
      </w:r>
      <w:r w:rsidRPr="00370535">
        <w:rPr>
          <w:rFonts w:cs="Arial"/>
          <w:vertAlign w:val="superscript"/>
        </w:rPr>
        <w:footnoteReference w:id="108"/>
      </w:r>
      <w:r w:rsidRPr="00370535">
        <w:rPr>
          <w:rFonts w:cs="Arial"/>
        </w:rPr>
        <w:t xml:space="preserve"> at birth was 66.5%, at ten days 57.3%, at six weeks 44.7% and 32.1% at six months. These percentage rates were comparable with the Wales rate, except for babies breastfed at birth which was 2.5% higher than the Wales rate.</w:t>
      </w:r>
    </w:p>
    <w:p w14:paraId="7DE955F5" w14:textId="77777777" w:rsidR="00370535" w:rsidRPr="00370535" w:rsidRDefault="00370535" w:rsidP="00370535">
      <w:pPr>
        <w:rPr>
          <w:rFonts w:cs="Arial"/>
          <w:b/>
          <w:bCs/>
        </w:rPr>
      </w:pPr>
    </w:p>
    <w:p w14:paraId="7B93931C" w14:textId="77777777" w:rsidR="00370535" w:rsidRPr="00370535" w:rsidRDefault="00370535" w:rsidP="00370535">
      <w:pPr>
        <w:rPr>
          <w:rFonts w:cs="Arial"/>
          <w:b/>
          <w:bCs/>
        </w:rPr>
      </w:pPr>
      <w:r w:rsidRPr="00370535">
        <w:rPr>
          <w:rFonts w:cs="Arial"/>
          <w:b/>
          <w:bCs/>
        </w:rPr>
        <w:t>3.3.3 Children living in poverty</w:t>
      </w:r>
    </w:p>
    <w:p w14:paraId="677F83CB" w14:textId="77777777" w:rsidR="00370535" w:rsidRPr="00370535" w:rsidRDefault="00370535" w:rsidP="00370535">
      <w:pPr>
        <w:rPr>
          <w:rFonts w:cs="Arial"/>
        </w:rPr>
      </w:pPr>
    </w:p>
    <w:p w14:paraId="21EFEEDF" w14:textId="77777777" w:rsidR="00370535" w:rsidRPr="00370535" w:rsidRDefault="00370535" w:rsidP="00370535">
      <w:pPr>
        <w:rPr>
          <w:rFonts w:cs="Arial"/>
        </w:rPr>
      </w:pPr>
      <w:r w:rsidRPr="00370535">
        <w:rPr>
          <w:rFonts w:cs="Arial"/>
        </w:rPr>
        <w:t>In January 2024, Welsh Government published a new “Child Poverty Strategy for Wales 2024</w:t>
      </w:r>
      <w:r w:rsidRPr="00370535">
        <w:rPr>
          <w:rFonts w:cs="Arial"/>
          <w:vertAlign w:val="superscript"/>
        </w:rPr>
        <w:footnoteReference w:id="109"/>
      </w:r>
      <w:r w:rsidRPr="00370535">
        <w:rPr>
          <w:rFonts w:cs="Arial"/>
        </w:rPr>
        <w:t xml:space="preserve">”a ten-year strategy, replacing the 2015 version. The strategy sets out the long-term approach to tackling child poverty and achieving better outcomes for children and young people, regardless of their background or circumstances. Providing a strategic framework to make the most of the levers available to contributing to the eradication of child poverty. </w:t>
      </w:r>
    </w:p>
    <w:p w14:paraId="0CAB989D" w14:textId="77777777" w:rsidR="00370535" w:rsidRPr="00370535" w:rsidRDefault="00370535" w:rsidP="00370535">
      <w:pPr>
        <w:rPr>
          <w:rFonts w:cs="Arial"/>
        </w:rPr>
      </w:pPr>
    </w:p>
    <w:p w14:paraId="2E0A69F8" w14:textId="77777777" w:rsidR="00370535" w:rsidRDefault="00370535" w:rsidP="00370535">
      <w:pPr>
        <w:rPr>
          <w:rFonts w:cs="Arial"/>
        </w:rPr>
      </w:pPr>
      <w:r w:rsidRPr="00370535">
        <w:rPr>
          <w:rFonts w:cs="Arial"/>
        </w:rPr>
        <w:t>In December 2025, Welsh Government published a new “Child Poverty Strategy Monitoring Framework</w:t>
      </w:r>
      <w:r w:rsidRPr="00370535">
        <w:rPr>
          <w:rFonts w:cs="Arial"/>
          <w:vertAlign w:val="superscript"/>
        </w:rPr>
        <w:footnoteReference w:id="110"/>
      </w:r>
      <w:r w:rsidRPr="00370535">
        <w:rPr>
          <w:rFonts w:cs="Arial"/>
        </w:rPr>
        <w:t>” replacing the 2024 version. The monitoring framework presents robust population-level data across a range of child poverty indicators, offering insight into the impact of actions and the direction of travel in improving outcomes for children and young people.</w:t>
      </w:r>
    </w:p>
    <w:p w14:paraId="449DEC6C" w14:textId="77777777" w:rsidR="000F4AA2" w:rsidRDefault="000F4AA2" w:rsidP="00370535">
      <w:pPr>
        <w:rPr>
          <w:rFonts w:cs="Arial"/>
        </w:rPr>
      </w:pPr>
    </w:p>
    <w:p w14:paraId="22EA0C0D" w14:textId="73025221" w:rsidR="000F4AA2" w:rsidRDefault="00370535" w:rsidP="00370535">
      <w:pPr>
        <w:rPr>
          <w:rFonts w:cs="Arial"/>
        </w:rPr>
      </w:pPr>
      <w:r w:rsidRPr="00370535">
        <w:rPr>
          <w:rFonts w:cs="Arial"/>
        </w:rPr>
        <w:lastRenderedPageBreak/>
        <w:t>In Wales, 32%</w:t>
      </w:r>
      <w:r w:rsidRPr="00370535">
        <w:rPr>
          <w:rFonts w:cs="Arial"/>
          <w:vertAlign w:val="superscript"/>
        </w:rPr>
        <w:footnoteReference w:id="111"/>
      </w:r>
      <w:r w:rsidRPr="00370535">
        <w:rPr>
          <w:rFonts w:cs="Arial"/>
        </w:rPr>
        <w:t xml:space="preserve"> of children were living in relative income poverty (living in a </w:t>
      </w:r>
    </w:p>
    <w:p w14:paraId="15F50532" w14:textId="05BD1551" w:rsidR="00370535" w:rsidRPr="00370535" w:rsidRDefault="00370535" w:rsidP="00370535">
      <w:pPr>
        <w:rPr>
          <w:rFonts w:cs="Arial"/>
        </w:rPr>
      </w:pPr>
      <w:r w:rsidRPr="00370535">
        <w:rPr>
          <w:rFonts w:cs="Arial"/>
        </w:rPr>
        <w:t xml:space="preserve">household with income below 60% of the UK median) in the financial years ending 2023 to 2025. 10% of children were in deep material poverty (more severe measure, indicating households that cannot afford essential items like heating or nutritious food) for the financial year ending 2024/25. This corresponds to 67,000 children of the 650,000 children living in Wales. </w:t>
      </w:r>
    </w:p>
    <w:p w14:paraId="73D5190A" w14:textId="77777777" w:rsidR="00370535" w:rsidRPr="00370535" w:rsidRDefault="00370535" w:rsidP="00370535">
      <w:pPr>
        <w:rPr>
          <w:rFonts w:cs="Arial"/>
        </w:rPr>
      </w:pPr>
    </w:p>
    <w:p w14:paraId="512E9895" w14:textId="77777777" w:rsidR="00370535" w:rsidRPr="00370535" w:rsidRDefault="00370535" w:rsidP="00370535">
      <w:pPr>
        <w:rPr>
          <w:rFonts w:cs="Arial"/>
        </w:rPr>
      </w:pPr>
      <w:r w:rsidRPr="00370535">
        <w:rPr>
          <w:rFonts w:cs="Arial"/>
        </w:rPr>
        <w:t>In Swansea Bay this translates to approximately 32,500 children aged 0-24 living in real poverty and the numbers continues to rise</w:t>
      </w:r>
      <w:r w:rsidRPr="00370535">
        <w:rPr>
          <w:rFonts w:cs="Arial"/>
          <w:vertAlign w:val="superscript"/>
        </w:rPr>
        <w:footnoteReference w:id="112"/>
      </w:r>
      <w:r w:rsidRPr="00370535">
        <w:rPr>
          <w:rFonts w:cs="Arial"/>
        </w:rPr>
        <w:t>.</w:t>
      </w:r>
    </w:p>
    <w:p w14:paraId="03A06107" w14:textId="77777777" w:rsidR="00370535" w:rsidRPr="00370535" w:rsidRDefault="00370535" w:rsidP="00370535">
      <w:pPr>
        <w:rPr>
          <w:rFonts w:cs="Arial"/>
        </w:rPr>
      </w:pPr>
    </w:p>
    <w:p w14:paraId="3AB6F54D" w14:textId="77777777" w:rsidR="00370535" w:rsidRPr="00370535" w:rsidRDefault="00370535" w:rsidP="00370535">
      <w:pPr>
        <w:rPr>
          <w:rFonts w:cs="Arial"/>
          <w:b/>
          <w:bCs/>
        </w:rPr>
      </w:pPr>
      <w:r w:rsidRPr="00370535">
        <w:rPr>
          <w:rFonts w:cs="Arial"/>
          <w:b/>
          <w:bCs/>
        </w:rPr>
        <w:t>3.3.4 Oral health</w:t>
      </w:r>
    </w:p>
    <w:p w14:paraId="17ED67D0" w14:textId="77777777" w:rsidR="00370535" w:rsidRPr="00370535" w:rsidRDefault="00370535" w:rsidP="00370535">
      <w:pPr>
        <w:rPr>
          <w:rFonts w:cs="Arial"/>
          <w:b/>
          <w:bCs/>
        </w:rPr>
      </w:pPr>
    </w:p>
    <w:p w14:paraId="09B44C11" w14:textId="77777777" w:rsidR="00370535" w:rsidRPr="00370535" w:rsidRDefault="00370535" w:rsidP="00370535">
      <w:pPr>
        <w:rPr>
          <w:rFonts w:cs="Arial"/>
        </w:rPr>
      </w:pPr>
      <w:r w:rsidRPr="00370535">
        <w:rPr>
          <w:rFonts w:cs="Arial"/>
        </w:rPr>
        <w:t>Tooth decay in young children is largely preventable. It can lead to pain, infections, and difficulties with eating, sleeping and socialising. It is associated with poor nutrition and obesity and is closely linked to social and economic disadvantage. Oral health is an important aspect of a child’s overall health status and of their school readiness</w:t>
      </w:r>
      <w:r w:rsidRPr="00370535">
        <w:rPr>
          <w:rFonts w:cs="Arial"/>
          <w:vertAlign w:val="superscript"/>
        </w:rPr>
        <w:footnoteReference w:id="113"/>
      </w:r>
      <w:r w:rsidRPr="00370535">
        <w:rPr>
          <w:rFonts w:cs="Arial"/>
        </w:rPr>
        <w:t>.</w:t>
      </w:r>
    </w:p>
    <w:p w14:paraId="64D6CFD0" w14:textId="77777777" w:rsidR="00370535" w:rsidRPr="00370535" w:rsidRDefault="00370535" w:rsidP="00370535">
      <w:pPr>
        <w:rPr>
          <w:rFonts w:cs="Arial"/>
        </w:rPr>
      </w:pPr>
    </w:p>
    <w:p w14:paraId="1FEF3BC7" w14:textId="77777777" w:rsidR="00370535" w:rsidRPr="00370535" w:rsidRDefault="00370535" w:rsidP="00370535">
      <w:pPr>
        <w:rPr>
          <w:rFonts w:cs="Arial"/>
        </w:rPr>
      </w:pPr>
      <w:r w:rsidRPr="00370535">
        <w:rPr>
          <w:rFonts w:cs="Arial"/>
        </w:rPr>
        <w:t>In 2024/25, of the 1,219 five-year-olds examined at 87 state-maintained schools across the health board’s area</w:t>
      </w:r>
      <w:r w:rsidRPr="00370535">
        <w:rPr>
          <w:rFonts w:cs="Arial"/>
          <w:vertAlign w:val="superscript"/>
        </w:rPr>
        <w:footnoteReference w:id="114"/>
      </w:r>
      <w:r w:rsidRPr="00370535">
        <w:rPr>
          <w:rFonts w:cs="Arial"/>
        </w:rPr>
        <w:t xml:space="preserve">: </w:t>
      </w:r>
    </w:p>
    <w:p w14:paraId="37D4F345" w14:textId="77777777" w:rsidR="00370535" w:rsidRPr="00370535" w:rsidRDefault="00370535" w:rsidP="00370535">
      <w:pPr>
        <w:rPr>
          <w:rFonts w:cs="Arial"/>
        </w:rPr>
      </w:pPr>
    </w:p>
    <w:p w14:paraId="7F857DD2" w14:textId="77777777" w:rsidR="00370535" w:rsidRPr="00370535" w:rsidRDefault="00370535" w:rsidP="00B76905">
      <w:pPr>
        <w:numPr>
          <w:ilvl w:val="0"/>
          <w:numId w:val="52"/>
        </w:numPr>
        <w:rPr>
          <w:rFonts w:cs="Arial"/>
        </w:rPr>
      </w:pPr>
      <w:r w:rsidRPr="00370535">
        <w:rPr>
          <w:rFonts w:cs="Arial"/>
        </w:rPr>
        <w:t xml:space="preserve">29.2% children were affected by tooth decay, higher than Wales. </w:t>
      </w:r>
    </w:p>
    <w:p w14:paraId="3F38E6BD" w14:textId="77777777" w:rsidR="00370535" w:rsidRPr="00370535" w:rsidRDefault="00370535" w:rsidP="00B76905">
      <w:pPr>
        <w:numPr>
          <w:ilvl w:val="0"/>
          <w:numId w:val="52"/>
        </w:numPr>
        <w:rPr>
          <w:rFonts w:cs="Arial"/>
        </w:rPr>
      </w:pPr>
      <w:r w:rsidRPr="00370535">
        <w:rPr>
          <w:rFonts w:cs="Arial"/>
        </w:rPr>
        <w:t>Across Wales, the prevalence of children affected by tooth decay ranged from 20.2% to 36.0%.</w:t>
      </w:r>
    </w:p>
    <w:p w14:paraId="04F8A779" w14:textId="77777777" w:rsidR="00370535" w:rsidRPr="00370535" w:rsidRDefault="00370535" w:rsidP="00B76905">
      <w:pPr>
        <w:numPr>
          <w:ilvl w:val="0"/>
          <w:numId w:val="52"/>
        </w:numPr>
        <w:rPr>
          <w:rFonts w:cs="Arial"/>
        </w:rPr>
      </w:pPr>
      <w:r w:rsidRPr="00370535">
        <w:rPr>
          <w:rFonts w:cs="Arial"/>
        </w:rPr>
        <w:t>Across local authorities, prevalence in Swansea was 28.0% and Neath Port Talbot 31.6%.</w:t>
      </w:r>
    </w:p>
    <w:p w14:paraId="523D7305" w14:textId="77777777" w:rsidR="00370535" w:rsidRPr="00370535" w:rsidRDefault="00370535" w:rsidP="00B76905">
      <w:pPr>
        <w:numPr>
          <w:ilvl w:val="0"/>
          <w:numId w:val="52"/>
        </w:numPr>
        <w:rPr>
          <w:rFonts w:cs="Arial"/>
        </w:rPr>
      </w:pPr>
      <w:r w:rsidRPr="00370535">
        <w:rPr>
          <w:rFonts w:cs="Arial"/>
        </w:rPr>
        <w:t>Approximately one in four children had untreated tooth decay (26.5%), higher than Wales.</w:t>
      </w:r>
    </w:p>
    <w:p w14:paraId="1A726B26" w14:textId="77777777" w:rsidR="00370535" w:rsidRPr="00370535" w:rsidRDefault="00370535" w:rsidP="00B76905">
      <w:pPr>
        <w:numPr>
          <w:ilvl w:val="0"/>
          <w:numId w:val="52"/>
        </w:numPr>
        <w:rPr>
          <w:rFonts w:cs="Arial"/>
        </w:rPr>
      </w:pPr>
      <w:r w:rsidRPr="00370535">
        <w:rPr>
          <w:rFonts w:cs="Arial"/>
        </w:rPr>
        <w:t>Oral health had a negative impact on 21.5% of the children examined, compared to 17.7% across Wales.</w:t>
      </w:r>
    </w:p>
    <w:p w14:paraId="32854C99" w14:textId="77777777" w:rsidR="00370535" w:rsidRPr="00370535" w:rsidRDefault="00370535" w:rsidP="00370535">
      <w:pPr>
        <w:rPr>
          <w:rFonts w:cs="Arial"/>
        </w:rPr>
      </w:pPr>
    </w:p>
    <w:p w14:paraId="3ED86179" w14:textId="77777777" w:rsidR="00370535" w:rsidRPr="00370535" w:rsidRDefault="00370535" w:rsidP="00370535">
      <w:pPr>
        <w:rPr>
          <w:rFonts w:cs="Arial"/>
        </w:rPr>
      </w:pPr>
      <w:r w:rsidRPr="00370535">
        <w:rPr>
          <w:rFonts w:cs="Arial"/>
        </w:rPr>
        <w:t>In 2023/24, of 663 12-year-olds examined from 23 state-maintained schools across the health board’s area:</w:t>
      </w:r>
      <w:r w:rsidRPr="00370535">
        <w:rPr>
          <w:rFonts w:cs="Arial"/>
          <w:vertAlign w:val="superscript"/>
        </w:rPr>
        <w:footnoteReference w:id="115"/>
      </w:r>
      <w:r w:rsidRPr="00370535">
        <w:rPr>
          <w:rFonts w:cs="Arial"/>
        </w:rPr>
        <w:t xml:space="preserve"> </w:t>
      </w:r>
    </w:p>
    <w:p w14:paraId="0E203B46" w14:textId="77777777" w:rsidR="00370535" w:rsidRPr="00370535" w:rsidRDefault="00370535" w:rsidP="00370535">
      <w:pPr>
        <w:rPr>
          <w:rFonts w:cs="Arial"/>
        </w:rPr>
      </w:pPr>
    </w:p>
    <w:p w14:paraId="058E9784" w14:textId="77777777" w:rsidR="00370535" w:rsidRPr="00370535" w:rsidRDefault="00370535" w:rsidP="00B76905">
      <w:pPr>
        <w:numPr>
          <w:ilvl w:val="0"/>
          <w:numId w:val="53"/>
        </w:numPr>
        <w:rPr>
          <w:rFonts w:cs="Arial"/>
        </w:rPr>
      </w:pPr>
      <w:r w:rsidRPr="00370535">
        <w:rPr>
          <w:rFonts w:cs="Arial"/>
        </w:rPr>
        <w:t xml:space="preserve">23.2% (under one in four) children were affected by tooth decay, lower than Wales. </w:t>
      </w:r>
    </w:p>
    <w:p w14:paraId="4A576770" w14:textId="77777777" w:rsidR="00370535" w:rsidRPr="00370535" w:rsidRDefault="00370535" w:rsidP="00B76905">
      <w:pPr>
        <w:numPr>
          <w:ilvl w:val="0"/>
          <w:numId w:val="53"/>
        </w:numPr>
        <w:rPr>
          <w:rFonts w:cs="Arial"/>
        </w:rPr>
      </w:pPr>
      <w:r w:rsidRPr="00370535">
        <w:rPr>
          <w:rFonts w:cs="Arial"/>
        </w:rPr>
        <w:t>Across Wales, the prevalence of children affected by tooth decay ranged from 16.8% to 36.4%.</w:t>
      </w:r>
    </w:p>
    <w:p w14:paraId="16280E47" w14:textId="77777777" w:rsidR="00370535" w:rsidRPr="00370535" w:rsidRDefault="00370535" w:rsidP="00B76905">
      <w:pPr>
        <w:numPr>
          <w:ilvl w:val="0"/>
          <w:numId w:val="53"/>
        </w:numPr>
        <w:rPr>
          <w:rFonts w:cs="Arial"/>
        </w:rPr>
      </w:pPr>
      <w:r w:rsidRPr="00370535">
        <w:rPr>
          <w:rFonts w:cs="Arial"/>
        </w:rPr>
        <w:t>Across local authorities and Wales, prevalence in Swansea was 27.1%, Neath Port Talbot 20.8% and Wales 25%.</w:t>
      </w:r>
    </w:p>
    <w:p w14:paraId="19B8846D" w14:textId="77777777" w:rsidR="00370535" w:rsidRPr="00370535" w:rsidRDefault="00370535" w:rsidP="00B76905">
      <w:pPr>
        <w:numPr>
          <w:ilvl w:val="0"/>
          <w:numId w:val="53"/>
        </w:numPr>
        <w:rPr>
          <w:rFonts w:cs="Arial"/>
        </w:rPr>
      </w:pPr>
      <w:r w:rsidRPr="00370535">
        <w:rPr>
          <w:rFonts w:cs="Arial"/>
        </w:rPr>
        <w:t>Approximately one in six children has untreated tooth decay (16.6%).</w:t>
      </w:r>
    </w:p>
    <w:p w14:paraId="56BCF9C7" w14:textId="77777777" w:rsidR="00370535" w:rsidRPr="00370535" w:rsidRDefault="00370535" w:rsidP="00B76905">
      <w:pPr>
        <w:numPr>
          <w:ilvl w:val="0"/>
          <w:numId w:val="53"/>
        </w:numPr>
        <w:rPr>
          <w:rFonts w:cs="Arial"/>
        </w:rPr>
      </w:pPr>
      <w:r w:rsidRPr="00370535">
        <w:rPr>
          <w:rFonts w:cs="Arial"/>
        </w:rPr>
        <w:lastRenderedPageBreak/>
        <w:t>Oral health had a negative impact on 8.5% of children examined, compared to 28.1% across Wales.</w:t>
      </w:r>
    </w:p>
    <w:p w14:paraId="2AC71944" w14:textId="77777777" w:rsidR="00370535" w:rsidRPr="00370535" w:rsidRDefault="00370535" w:rsidP="00370535">
      <w:pPr>
        <w:rPr>
          <w:rFonts w:cs="Arial"/>
        </w:rPr>
      </w:pPr>
    </w:p>
    <w:p w14:paraId="3321149B" w14:textId="77777777" w:rsidR="00370535" w:rsidRPr="00370535" w:rsidRDefault="00370535" w:rsidP="00370535">
      <w:pPr>
        <w:rPr>
          <w:rFonts w:cs="Arial"/>
          <w:b/>
        </w:rPr>
      </w:pPr>
      <w:r w:rsidRPr="00370535">
        <w:rPr>
          <w:rFonts w:cs="Arial"/>
          <w:b/>
        </w:rPr>
        <w:t>3.3.5 Sexual health</w:t>
      </w:r>
    </w:p>
    <w:p w14:paraId="17203C0D" w14:textId="77777777" w:rsidR="00370535" w:rsidRPr="00370535" w:rsidRDefault="00370535" w:rsidP="00370535">
      <w:pPr>
        <w:rPr>
          <w:rFonts w:cs="Arial"/>
          <w:b/>
        </w:rPr>
      </w:pPr>
    </w:p>
    <w:p w14:paraId="4AAC8BF9" w14:textId="77777777" w:rsidR="00370535" w:rsidRPr="00370535" w:rsidRDefault="00370535" w:rsidP="00370535">
      <w:pPr>
        <w:rPr>
          <w:rFonts w:cs="Arial"/>
        </w:rPr>
      </w:pPr>
      <w:r w:rsidRPr="00370535">
        <w:rPr>
          <w:rFonts w:cs="Arial"/>
        </w:rPr>
        <w:t>The Royal College of Midwives published a “Wales state of maternity service 2023”</w:t>
      </w:r>
      <w:r w:rsidRPr="00370535">
        <w:rPr>
          <w:rFonts w:cs="Arial"/>
          <w:vertAlign w:val="superscript"/>
        </w:rPr>
        <w:footnoteReference w:id="116"/>
      </w:r>
      <w:r w:rsidRPr="00370535">
        <w:rPr>
          <w:rFonts w:cs="Arial"/>
        </w:rPr>
        <w:t xml:space="preserve"> below are some of the findings from this document:</w:t>
      </w:r>
    </w:p>
    <w:p w14:paraId="5882B3B6" w14:textId="77777777" w:rsidR="00370535" w:rsidRPr="00370535" w:rsidRDefault="00370535" w:rsidP="00370535">
      <w:pPr>
        <w:rPr>
          <w:rFonts w:cs="Arial"/>
        </w:rPr>
      </w:pPr>
    </w:p>
    <w:p w14:paraId="2935284E" w14:textId="77777777" w:rsidR="00370535" w:rsidRPr="00370535" w:rsidRDefault="00370535" w:rsidP="00B76905">
      <w:pPr>
        <w:numPr>
          <w:ilvl w:val="0"/>
          <w:numId w:val="54"/>
        </w:numPr>
        <w:rPr>
          <w:rFonts w:cs="Arial"/>
        </w:rPr>
      </w:pPr>
      <w:r w:rsidRPr="00370535">
        <w:rPr>
          <w:rFonts w:cs="Arial"/>
        </w:rPr>
        <w:t xml:space="preserve">The demographic makeup of women using maternity service in Wales is changing, for example the majority of women giving birth in Wales are now over 30 years. This is a significant shift over the past decade, where the proportion of births to women aged 30 or older has jumped from 42% (2011) to 53% (2021). </w:t>
      </w:r>
    </w:p>
    <w:p w14:paraId="77581458" w14:textId="77777777" w:rsidR="00370535" w:rsidRPr="00370535" w:rsidRDefault="00370535" w:rsidP="00B76905">
      <w:pPr>
        <w:numPr>
          <w:ilvl w:val="0"/>
          <w:numId w:val="54"/>
        </w:numPr>
        <w:rPr>
          <w:rFonts w:cs="Arial"/>
        </w:rPr>
      </w:pPr>
      <w:r w:rsidRPr="00370535">
        <w:rPr>
          <w:rFonts w:cs="Arial"/>
        </w:rPr>
        <w:t>There were just over 15,000 babies born to women agreed 30 years or older, with just over 13,500 births to younger women and girls.</w:t>
      </w:r>
    </w:p>
    <w:p w14:paraId="09117646" w14:textId="77777777" w:rsidR="00370535" w:rsidRPr="00370535" w:rsidRDefault="00370535" w:rsidP="00B76905">
      <w:pPr>
        <w:numPr>
          <w:ilvl w:val="0"/>
          <w:numId w:val="54"/>
        </w:numPr>
        <w:rPr>
          <w:rFonts w:cs="Arial"/>
        </w:rPr>
      </w:pPr>
      <w:r w:rsidRPr="00370535">
        <w:rPr>
          <w:rFonts w:cs="Arial"/>
        </w:rPr>
        <w:t xml:space="preserve">Nearly six in ten pregnant women in Wales in 2021 were overweight or obese. Higher body mass index during pregnancy is a significant risk factor, for both women and their babies, and can lead to conditions such as gestational diabetes. </w:t>
      </w:r>
    </w:p>
    <w:p w14:paraId="7DF30A1B" w14:textId="77777777" w:rsidR="00370535" w:rsidRPr="00370535" w:rsidRDefault="00370535" w:rsidP="00B76905">
      <w:pPr>
        <w:numPr>
          <w:ilvl w:val="0"/>
          <w:numId w:val="54"/>
        </w:numPr>
        <w:rPr>
          <w:rFonts w:cs="Arial"/>
        </w:rPr>
      </w:pPr>
      <w:r w:rsidRPr="00370535">
        <w:rPr>
          <w:rFonts w:cs="Arial"/>
        </w:rPr>
        <w:t>In 2021 the total number of “live” births in Wales was 28,879 of which 3,315 were in Swansea Bay University Health Board.</w:t>
      </w:r>
    </w:p>
    <w:p w14:paraId="6FD7B43A" w14:textId="77777777" w:rsidR="00370535" w:rsidRPr="00370535" w:rsidRDefault="00370535" w:rsidP="00B76905">
      <w:pPr>
        <w:numPr>
          <w:ilvl w:val="0"/>
          <w:numId w:val="54"/>
        </w:numPr>
        <w:rPr>
          <w:rFonts w:cs="Arial"/>
        </w:rPr>
      </w:pPr>
      <w:r w:rsidRPr="00370535">
        <w:rPr>
          <w:rFonts w:cs="Arial"/>
        </w:rPr>
        <w:t>In 2021, the most common ages for mothers in Swansea Bay University Health Board were 25-29 and 30–34. The least common ages were 19 years and under and 40 years and older.</w:t>
      </w:r>
    </w:p>
    <w:p w14:paraId="412A102E" w14:textId="77777777" w:rsidR="00370535" w:rsidRPr="00370535" w:rsidRDefault="00370535" w:rsidP="00370535">
      <w:pPr>
        <w:rPr>
          <w:rFonts w:cs="Arial"/>
        </w:rPr>
      </w:pPr>
    </w:p>
    <w:p w14:paraId="05BB78F9" w14:textId="77777777" w:rsidR="00370535" w:rsidRPr="00370535" w:rsidRDefault="00370535" w:rsidP="00370535">
      <w:pPr>
        <w:rPr>
          <w:rFonts w:cs="Arial"/>
        </w:rPr>
      </w:pPr>
      <w:r w:rsidRPr="00370535">
        <w:rPr>
          <w:rFonts w:cs="Arial"/>
        </w:rPr>
        <w:t>In 2022, out of the 22 local authorities in Wales, Swansea Local Authority was ranked fifth with 12.9 conceptions per 1,000 women 18 years and under, while Neath Port Talbot Local Authority ranked 11th (16.2)</w:t>
      </w:r>
      <w:r w:rsidRPr="00370535">
        <w:rPr>
          <w:rFonts w:cs="Arial"/>
          <w:vertAlign w:val="superscript"/>
        </w:rPr>
        <w:footnoteReference w:id="117"/>
      </w:r>
      <w:r w:rsidRPr="00370535">
        <w:rPr>
          <w:rFonts w:cs="Arial"/>
        </w:rPr>
        <w:t>.</w:t>
      </w:r>
    </w:p>
    <w:p w14:paraId="041CAE25" w14:textId="77777777" w:rsidR="00370535" w:rsidRPr="00370535" w:rsidRDefault="00370535" w:rsidP="00370535">
      <w:pPr>
        <w:rPr>
          <w:rFonts w:cs="Arial"/>
        </w:rPr>
      </w:pPr>
    </w:p>
    <w:p w14:paraId="5B517212" w14:textId="77777777" w:rsidR="00370535" w:rsidRPr="00370535" w:rsidRDefault="00370535" w:rsidP="00370535">
      <w:pPr>
        <w:rPr>
          <w:rFonts w:cs="Arial"/>
        </w:rPr>
      </w:pPr>
      <w:r w:rsidRPr="00370535">
        <w:rPr>
          <w:rFonts w:cs="Arial"/>
        </w:rPr>
        <w:t>Data from the latest Sexual Health Trends in Wales report</w:t>
      </w:r>
      <w:r w:rsidRPr="00370535">
        <w:rPr>
          <w:rFonts w:cs="Arial"/>
          <w:vertAlign w:val="superscript"/>
        </w:rPr>
        <w:footnoteReference w:id="118"/>
      </w:r>
      <w:r w:rsidRPr="00370535">
        <w:rPr>
          <w:rFonts w:cs="Arial"/>
        </w:rPr>
        <w:t xml:space="preserve"> show the number of gonorrhoea diagnoses increased by 27.0% in 2023 compared to the previous year, reaching a total of 5,292 cases. Similarly, syphilis diagnoses saw a 20.0% increase, with 507 cases reported, marking a 17.0% rise from the previous peak in 2019</w:t>
      </w:r>
      <w:r w:rsidRPr="00370535">
        <w:rPr>
          <w:rFonts w:cs="Arial"/>
          <w:vertAlign w:val="superscript"/>
        </w:rPr>
        <w:footnoteReference w:id="119"/>
      </w:r>
      <w:r w:rsidRPr="00370535">
        <w:rPr>
          <w:rFonts w:cs="Arial"/>
        </w:rPr>
        <w:t xml:space="preserve">. </w:t>
      </w:r>
    </w:p>
    <w:p w14:paraId="5E91F1F5" w14:textId="77777777" w:rsidR="00370535" w:rsidRPr="00370535" w:rsidRDefault="00370535" w:rsidP="00370535">
      <w:pPr>
        <w:rPr>
          <w:rFonts w:cs="Arial"/>
        </w:rPr>
      </w:pPr>
    </w:p>
    <w:p w14:paraId="1FFC208B" w14:textId="77777777" w:rsidR="00370535" w:rsidRPr="00370535" w:rsidRDefault="00370535" w:rsidP="00370535">
      <w:pPr>
        <w:rPr>
          <w:rFonts w:cs="Arial"/>
        </w:rPr>
      </w:pPr>
      <w:r w:rsidRPr="00370535">
        <w:rPr>
          <w:rFonts w:cs="Arial"/>
        </w:rPr>
        <w:t>This increase may in part be due to enhanced testing efforts, which have improved case detection. However, it is also likely to represent increased transmission of these diseases in Wales. The introduction of the Test and Post home testing service</w:t>
      </w:r>
      <w:r w:rsidRPr="00370535">
        <w:rPr>
          <w:rFonts w:cs="Arial"/>
          <w:vertAlign w:val="superscript"/>
        </w:rPr>
        <w:footnoteReference w:id="120"/>
      </w:r>
      <w:r w:rsidRPr="00370535">
        <w:rPr>
          <w:rFonts w:cs="Arial"/>
        </w:rPr>
        <w:t xml:space="preserve"> in 2020 has been important in making confidential sexual transmitted infections testing available to all in Wales. These kits allow individuals to test for sexually transmitted infections at home.</w:t>
      </w:r>
    </w:p>
    <w:p w14:paraId="2793916E" w14:textId="77777777" w:rsidR="003345AD" w:rsidRPr="00370535" w:rsidRDefault="003345AD" w:rsidP="00370535">
      <w:pPr>
        <w:rPr>
          <w:rFonts w:cs="Arial"/>
        </w:rPr>
      </w:pPr>
    </w:p>
    <w:p w14:paraId="0110DE88" w14:textId="77777777" w:rsidR="003345AD" w:rsidRDefault="00370535" w:rsidP="00370535">
      <w:pPr>
        <w:rPr>
          <w:rFonts w:cs="Arial"/>
        </w:rPr>
      </w:pPr>
      <w:r w:rsidRPr="00370535">
        <w:rPr>
          <w:rFonts w:cs="Arial"/>
        </w:rPr>
        <w:t xml:space="preserve">The report outlines that the overall sexually transmitted infections testing is at a </w:t>
      </w:r>
    </w:p>
    <w:p w14:paraId="12DF5789" w14:textId="7F35B722" w:rsidR="00370535" w:rsidRPr="00370535" w:rsidRDefault="00370535" w:rsidP="00370535">
      <w:pPr>
        <w:rPr>
          <w:rFonts w:cs="Arial"/>
        </w:rPr>
      </w:pPr>
      <w:r w:rsidRPr="00370535">
        <w:rPr>
          <w:rFonts w:cs="Arial"/>
        </w:rPr>
        <w:lastRenderedPageBreak/>
        <w:t xml:space="preserve">decade-high level. In 2023, 87,235 individuals were tested for gonorrhoea, and 65,742 for syphilis, showing a significant rise in testing numbers compared to previous years​​. This increased accessibility to testing is likely uncovering more cases that might have gone undiagnosed in the past, providing a clearer picture of the sexually transmitted infections across Wales. </w:t>
      </w:r>
    </w:p>
    <w:p w14:paraId="1D2DD81F" w14:textId="77777777" w:rsidR="00370535" w:rsidRPr="00370535" w:rsidRDefault="00370535" w:rsidP="00370535">
      <w:pPr>
        <w:rPr>
          <w:rFonts w:cs="Arial"/>
          <w:b/>
          <w:bCs/>
        </w:rPr>
      </w:pPr>
    </w:p>
    <w:p w14:paraId="02C8DD54" w14:textId="77777777" w:rsidR="00370535" w:rsidRPr="00370535" w:rsidRDefault="00370535" w:rsidP="00370535">
      <w:pPr>
        <w:rPr>
          <w:rFonts w:cs="Arial"/>
          <w:b/>
          <w:bCs/>
        </w:rPr>
      </w:pPr>
      <w:r w:rsidRPr="00370535">
        <w:rPr>
          <w:rFonts w:cs="Arial"/>
          <w:b/>
          <w:bCs/>
        </w:rPr>
        <w:t>3.3.6 Frailty and falls in older people</w:t>
      </w:r>
    </w:p>
    <w:p w14:paraId="6EDF9E9A" w14:textId="77777777" w:rsidR="00370535" w:rsidRPr="00370535" w:rsidRDefault="00370535" w:rsidP="00370535">
      <w:pPr>
        <w:rPr>
          <w:rFonts w:cs="Arial"/>
        </w:rPr>
      </w:pPr>
    </w:p>
    <w:p w14:paraId="13D477E8" w14:textId="77777777" w:rsidR="00370535" w:rsidRPr="00370535" w:rsidRDefault="00370535" w:rsidP="00370535">
      <w:pPr>
        <w:rPr>
          <w:rFonts w:cs="Arial"/>
        </w:rPr>
      </w:pPr>
      <w:r w:rsidRPr="00370535">
        <w:rPr>
          <w:rFonts w:cs="Arial"/>
        </w:rPr>
        <w:t>Older people are more likely to fall. They are also more likely to suffer significant consequences, such as a loss of independence and confidence, leading to physical and mental deterioration and frailty. Frailty itself can cause falls. Frailty can be either physical or psychological, or a combination of the two. It typically means a person is at a higher risk of a sudden deterioration in their physical and mental health. Identifying people who may be living with frailty is a key intervention in the prevention of falls.</w:t>
      </w:r>
    </w:p>
    <w:p w14:paraId="5908B05C" w14:textId="77777777" w:rsidR="00370535" w:rsidRPr="00370535" w:rsidRDefault="00370535" w:rsidP="00370535">
      <w:pPr>
        <w:rPr>
          <w:rFonts w:cs="Arial"/>
        </w:rPr>
      </w:pPr>
    </w:p>
    <w:p w14:paraId="3D62924A" w14:textId="77777777" w:rsidR="00370535" w:rsidRPr="00370535" w:rsidRDefault="00370535" w:rsidP="00370535">
      <w:pPr>
        <w:rPr>
          <w:rFonts w:cs="Arial"/>
        </w:rPr>
      </w:pPr>
      <w:r w:rsidRPr="00370535">
        <w:rPr>
          <w:rFonts w:cs="Arial"/>
        </w:rPr>
        <w:t>Falls and fractures in older people are often preventable. Reducing falls and fractures is important for maintaining the health, wellbeing and independence of older people.</w:t>
      </w:r>
    </w:p>
    <w:p w14:paraId="0992E4B2" w14:textId="77777777" w:rsidR="00370535" w:rsidRPr="00370535" w:rsidRDefault="00370535" w:rsidP="00370535">
      <w:pPr>
        <w:rPr>
          <w:rFonts w:cs="Arial"/>
        </w:rPr>
      </w:pPr>
    </w:p>
    <w:p w14:paraId="635C42E6" w14:textId="77777777" w:rsidR="00370535" w:rsidRPr="00370535" w:rsidRDefault="00370535" w:rsidP="00370535">
      <w:pPr>
        <w:rPr>
          <w:rFonts w:cs="Arial"/>
        </w:rPr>
      </w:pPr>
      <w:r w:rsidRPr="00370535">
        <w:rPr>
          <w:rFonts w:cs="Arial"/>
        </w:rPr>
        <w:t>The causes of having a fall are multifactorial – a fall is the result of the interaction of multiple risk factors. These include:</w:t>
      </w:r>
    </w:p>
    <w:p w14:paraId="657F6145" w14:textId="77777777" w:rsidR="00370535" w:rsidRPr="00370535" w:rsidRDefault="00370535" w:rsidP="00370535">
      <w:pPr>
        <w:rPr>
          <w:rFonts w:cs="Arial"/>
        </w:rPr>
      </w:pPr>
    </w:p>
    <w:p w14:paraId="62C38D99" w14:textId="77777777" w:rsidR="00370535" w:rsidRPr="00370535" w:rsidRDefault="00370535" w:rsidP="00B76905">
      <w:pPr>
        <w:numPr>
          <w:ilvl w:val="0"/>
          <w:numId w:val="55"/>
        </w:numPr>
        <w:rPr>
          <w:rFonts w:cs="Arial"/>
        </w:rPr>
      </w:pPr>
      <w:r w:rsidRPr="00370535">
        <w:rPr>
          <w:rFonts w:cs="Arial"/>
        </w:rPr>
        <w:t xml:space="preserve">Muscle weakness </w:t>
      </w:r>
    </w:p>
    <w:p w14:paraId="031C1841" w14:textId="77777777" w:rsidR="00370535" w:rsidRPr="00370535" w:rsidRDefault="00370535" w:rsidP="00B76905">
      <w:pPr>
        <w:numPr>
          <w:ilvl w:val="0"/>
          <w:numId w:val="55"/>
        </w:numPr>
        <w:rPr>
          <w:rFonts w:cs="Arial"/>
        </w:rPr>
      </w:pPr>
      <w:r w:rsidRPr="00370535">
        <w:rPr>
          <w:rFonts w:cs="Arial"/>
        </w:rPr>
        <w:t>Poor balance</w:t>
      </w:r>
    </w:p>
    <w:p w14:paraId="67DB17C7" w14:textId="77777777" w:rsidR="00370535" w:rsidRPr="00370535" w:rsidRDefault="00370535" w:rsidP="00B76905">
      <w:pPr>
        <w:numPr>
          <w:ilvl w:val="0"/>
          <w:numId w:val="55"/>
        </w:numPr>
        <w:rPr>
          <w:rFonts w:cs="Arial"/>
        </w:rPr>
      </w:pPr>
      <w:r w:rsidRPr="00370535">
        <w:rPr>
          <w:rFonts w:cs="Arial"/>
        </w:rPr>
        <w:t>Visual impairment</w:t>
      </w:r>
    </w:p>
    <w:p w14:paraId="5B2C26E7" w14:textId="77777777" w:rsidR="00370535" w:rsidRPr="00370535" w:rsidRDefault="00370535" w:rsidP="00B76905">
      <w:pPr>
        <w:numPr>
          <w:ilvl w:val="0"/>
          <w:numId w:val="55"/>
        </w:numPr>
        <w:rPr>
          <w:rFonts w:cs="Arial"/>
        </w:rPr>
      </w:pPr>
      <w:r w:rsidRPr="00370535">
        <w:rPr>
          <w:rFonts w:cs="Arial"/>
        </w:rPr>
        <w:t>Polypharmacy – and the use of certain medicines</w:t>
      </w:r>
    </w:p>
    <w:p w14:paraId="47DD5531" w14:textId="77777777" w:rsidR="00370535" w:rsidRPr="00370535" w:rsidRDefault="00370535" w:rsidP="00B76905">
      <w:pPr>
        <w:numPr>
          <w:ilvl w:val="0"/>
          <w:numId w:val="55"/>
        </w:numPr>
        <w:rPr>
          <w:rFonts w:cs="Arial"/>
        </w:rPr>
      </w:pPr>
      <w:r w:rsidRPr="00370535">
        <w:rPr>
          <w:rFonts w:cs="Arial"/>
        </w:rPr>
        <w:t>Environmental hazards</w:t>
      </w:r>
    </w:p>
    <w:p w14:paraId="111A1A83" w14:textId="77777777" w:rsidR="00370535" w:rsidRPr="00370535" w:rsidRDefault="00370535" w:rsidP="00B76905">
      <w:pPr>
        <w:numPr>
          <w:ilvl w:val="0"/>
          <w:numId w:val="55"/>
        </w:numPr>
        <w:rPr>
          <w:rFonts w:cs="Arial"/>
        </w:rPr>
      </w:pPr>
      <w:r w:rsidRPr="00370535">
        <w:rPr>
          <w:rFonts w:cs="Arial"/>
        </w:rPr>
        <w:t>Some specific medical conditions, which might make a person more likely to fall</w:t>
      </w:r>
    </w:p>
    <w:p w14:paraId="3177C1AC" w14:textId="77777777" w:rsidR="00370535" w:rsidRPr="00370535" w:rsidRDefault="00370535" w:rsidP="00370535">
      <w:pPr>
        <w:rPr>
          <w:rFonts w:cs="Arial"/>
        </w:rPr>
      </w:pPr>
    </w:p>
    <w:p w14:paraId="5A4DB228" w14:textId="77777777" w:rsidR="00370535" w:rsidRPr="00370535" w:rsidRDefault="00370535" w:rsidP="00370535">
      <w:pPr>
        <w:rPr>
          <w:rFonts w:cs="Arial"/>
        </w:rPr>
      </w:pPr>
      <w:r w:rsidRPr="00370535">
        <w:rPr>
          <w:rFonts w:cs="Arial"/>
        </w:rPr>
        <w:t>Falls are events resulting from the presence of risk factors. The likelihood and severity of injury resulting from an event is related to a number of possible factors including bone health, risk of falls, frailty and low weight. Strong bones are important for a person’s health. People with low bone mineral density are more likely to experience a fracture following a fall. Osteoporosis is one of the reasons why people have low bone mineral density.</w:t>
      </w:r>
    </w:p>
    <w:p w14:paraId="71B89E17" w14:textId="77777777" w:rsidR="00370535" w:rsidRPr="00370535" w:rsidRDefault="00370535" w:rsidP="00370535">
      <w:pPr>
        <w:rPr>
          <w:rFonts w:cs="Arial"/>
        </w:rPr>
      </w:pPr>
    </w:p>
    <w:p w14:paraId="5295D855" w14:textId="77777777" w:rsidR="00370535" w:rsidRPr="00370535" w:rsidRDefault="00370535" w:rsidP="00370535">
      <w:pPr>
        <w:rPr>
          <w:rFonts w:cs="Arial"/>
        </w:rPr>
      </w:pPr>
      <w:r w:rsidRPr="00370535">
        <w:rPr>
          <w:rFonts w:cs="Arial"/>
        </w:rPr>
        <w:t>Over three million people in the UK have osteoporosis and they are at much greater risk of fragility fractures. Fragility fractures are fractures that result from mechanical forces that would not ordinarily result in fracture, known as low-level (or ‘low energy’) trauma. Hip fractures alone account for 1.8 million hospital bed days and £1.1 billion in hospital costs every year, excluding the high cost of social care.</w:t>
      </w:r>
    </w:p>
    <w:p w14:paraId="59991802" w14:textId="77777777" w:rsidR="00370535" w:rsidRPr="00370535" w:rsidRDefault="00370535" w:rsidP="00370535">
      <w:pPr>
        <w:rPr>
          <w:rFonts w:cs="Arial"/>
        </w:rPr>
      </w:pPr>
    </w:p>
    <w:p w14:paraId="613AEA7A" w14:textId="77777777" w:rsidR="00370535" w:rsidRPr="00370535" w:rsidRDefault="00370535" w:rsidP="00370535">
      <w:pPr>
        <w:rPr>
          <w:rFonts w:cs="Arial"/>
        </w:rPr>
      </w:pPr>
      <w:r w:rsidRPr="00370535">
        <w:rPr>
          <w:rFonts w:cs="Arial"/>
        </w:rPr>
        <w:t xml:space="preserve">In the UK, almost a third of people aged over 65 fall at least once and there are an estimated 500,000 fragility fractures each year. </w:t>
      </w:r>
    </w:p>
    <w:p w14:paraId="2C423DC9" w14:textId="77777777" w:rsidR="00370535" w:rsidRPr="00370535" w:rsidRDefault="00370535" w:rsidP="00370535">
      <w:pPr>
        <w:rPr>
          <w:rFonts w:cs="Arial"/>
        </w:rPr>
      </w:pPr>
    </w:p>
    <w:p w14:paraId="04491E57" w14:textId="77777777" w:rsidR="00370535" w:rsidRPr="00370535" w:rsidRDefault="00370535" w:rsidP="00370535">
      <w:pPr>
        <w:rPr>
          <w:rFonts w:cs="Arial"/>
        </w:rPr>
      </w:pPr>
      <w:r w:rsidRPr="00370535">
        <w:rPr>
          <w:rFonts w:cs="Arial"/>
        </w:rPr>
        <w:t xml:space="preserve">Fragility fractures are most common in bones of the spine, wrists and hips. The risk of osteoporosis starts to increase in women after the menopause because their ovaries no longer produce oestrogen, which helps to protect the bones. People may </w:t>
      </w:r>
      <w:r w:rsidRPr="00370535">
        <w:rPr>
          <w:rFonts w:cs="Arial"/>
        </w:rPr>
        <w:lastRenderedPageBreak/>
        <w:t xml:space="preserve">also be at increased risk of osteoporosis because it runs in their family or because of the side effects of some medications such as steroid tablets or injections. Therapies and treatments are available to help prevent fractures in people with osteoporosis. </w:t>
      </w:r>
    </w:p>
    <w:p w14:paraId="041DACAD" w14:textId="77777777" w:rsidR="00370535" w:rsidRPr="00370535" w:rsidRDefault="00370535" w:rsidP="00370535">
      <w:pPr>
        <w:rPr>
          <w:rFonts w:cs="Arial"/>
        </w:rPr>
      </w:pPr>
    </w:p>
    <w:p w14:paraId="01761DC0" w14:textId="77777777" w:rsidR="00370535" w:rsidRPr="00370535" w:rsidRDefault="00370535" w:rsidP="00370535">
      <w:pPr>
        <w:rPr>
          <w:rFonts w:cs="Arial"/>
        </w:rPr>
      </w:pPr>
      <w:r w:rsidRPr="00370535">
        <w:rPr>
          <w:rFonts w:cs="Arial"/>
        </w:rPr>
        <w:t xml:space="preserve">Other factors can also put a person at risk of fractures are: </w:t>
      </w:r>
    </w:p>
    <w:p w14:paraId="2B600B5E" w14:textId="77777777" w:rsidR="00370535" w:rsidRPr="00370535" w:rsidRDefault="00370535" w:rsidP="00370535">
      <w:pPr>
        <w:rPr>
          <w:rFonts w:cs="Arial"/>
        </w:rPr>
      </w:pPr>
    </w:p>
    <w:p w14:paraId="1EA0ECF8" w14:textId="77777777" w:rsidR="00370535" w:rsidRPr="00370535" w:rsidRDefault="00370535" w:rsidP="00B76905">
      <w:pPr>
        <w:numPr>
          <w:ilvl w:val="0"/>
          <w:numId w:val="56"/>
        </w:numPr>
        <w:rPr>
          <w:rFonts w:cs="Arial"/>
        </w:rPr>
      </w:pPr>
      <w:r w:rsidRPr="00370535">
        <w:rPr>
          <w:rFonts w:cs="Arial"/>
        </w:rPr>
        <w:t xml:space="preserve">Low body weight (body mass index less than 19) </w:t>
      </w:r>
    </w:p>
    <w:p w14:paraId="1EAFA094" w14:textId="77777777" w:rsidR="00370535" w:rsidRPr="00370535" w:rsidRDefault="00370535" w:rsidP="00B76905">
      <w:pPr>
        <w:numPr>
          <w:ilvl w:val="0"/>
          <w:numId w:val="56"/>
        </w:numPr>
        <w:rPr>
          <w:rFonts w:cs="Arial"/>
        </w:rPr>
      </w:pPr>
      <w:r w:rsidRPr="00370535">
        <w:rPr>
          <w:rFonts w:cs="Arial"/>
        </w:rPr>
        <w:t xml:space="preserve">Diet lacking in calcium and vitamin D </w:t>
      </w:r>
    </w:p>
    <w:p w14:paraId="52B00B9E" w14:textId="77777777" w:rsidR="00370535" w:rsidRPr="00370535" w:rsidRDefault="00370535" w:rsidP="00B76905">
      <w:pPr>
        <w:numPr>
          <w:ilvl w:val="0"/>
          <w:numId w:val="56"/>
        </w:numPr>
        <w:rPr>
          <w:rFonts w:cs="Arial"/>
        </w:rPr>
      </w:pPr>
      <w:r w:rsidRPr="00370535">
        <w:rPr>
          <w:rFonts w:cs="Arial"/>
        </w:rPr>
        <w:t>Poor mobility</w:t>
      </w:r>
    </w:p>
    <w:p w14:paraId="46BA9749" w14:textId="77777777" w:rsidR="00370535" w:rsidRPr="00370535" w:rsidRDefault="00370535" w:rsidP="00B76905">
      <w:pPr>
        <w:numPr>
          <w:ilvl w:val="0"/>
          <w:numId w:val="56"/>
        </w:numPr>
        <w:rPr>
          <w:rFonts w:cs="Arial"/>
        </w:rPr>
      </w:pPr>
      <w:r w:rsidRPr="00370535">
        <w:rPr>
          <w:rFonts w:cs="Arial"/>
        </w:rPr>
        <w:t xml:space="preserve">Smoking </w:t>
      </w:r>
    </w:p>
    <w:p w14:paraId="7F4A9672" w14:textId="77777777" w:rsidR="00370535" w:rsidRPr="00370535" w:rsidRDefault="00370535" w:rsidP="00B76905">
      <w:pPr>
        <w:numPr>
          <w:ilvl w:val="0"/>
          <w:numId w:val="56"/>
        </w:numPr>
        <w:rPr>
          <w:rFonts w:cs="Arial"/>
        </w:rPr>
      </w:pPr>
      <w:r w:rsidRPr="00370535">
        <w:rPr>
          <w:rFonts w:cs="Arial"/>
        </w:rPr>
        <w:t xml:space="preserve">Alcohol </w:t>
      </w:r>
    </w:p>
    <w:p w14:paraId="6B7A85D4" w14:textId="77777777" w:rsidR="00370535" w:rsidRPr="00370535" w:rsidRDefault="00370535" w:rsidP="00B76905">
      <w:pPr>
        <w:numPr>
          <w:ilvl w:val="0"/>
          <w:numId w:val="56"/>
        </w:numPr>
        <w:rPr>
          <w:rFonts w:cs="Arial"/>
        </w:rPr>
      </w:pPr>
      <w:r w:rsidRPr="00370535">
        <w:rPr>
          <w:rFonts w:cs="Arial"/>
        </w:rPr>
        <w:t>Diabetes, and</w:t>
      </w:r>
    </w:p>
    <w:p w14:paraId="566CFDF1" w14:textId="77777777" w:rsidR="00370535" w:rsidRPr="00370535" w:rsidRDefault="00370535" w:rsidP="00B76905">
      <w:pPr>
        <w:numPr>
          <w:ilvl w:val="0"/>
          <w:numId w:val="56"/>
        </w:numPr>
        <w:rPr>
          <w:rFonts w:cs="Arial"/>
        </w:rPr>
      </w:pPr>
      <w:r w:rsidRPr="00370535">
        <w:rPr>
          <w:rFonts w:cs="Arial"/>
        </w:rPr>
        <w:t>Certain long-term medications, especially corticosteroids.</w:t>
      </w:r>
    </w:p>
    <w:p w14:paraId="2E56DDFE" w14:textId="77777777" w:rsidR="00370535" w:rsidRPr="00370535" w:rsidRDefault="00370535" w:rsidP="00370535">
      <w:pPr>
        <w:rPr>
          <w:rFonts w:cs="Arial"/>
        </w:rPr>
      </w:pPr>
    </w:p>
    <w:p w14:paraId="558F3223" w14:textId="77777777" w:rsidR="00370535" w:rsidRPr="00370535" w:rsidRDefault="00370535" w:rsidP="00370535">
      <w:pPr>
        <w:rPr>
          <w:rFonts w:cs="Arial"/>
        </w:rPr>
      </w:pPr>
      <w:r w:rsidRPr="00370535">
        <w:rPr>
          <w:rFonts w:cs="Arial"/>
        </w:rPr>
        <w:t>The table below shows the recorded prevalence based on the quality and outcomes framework 2025 reported prevalence rates by GP practices for osteoporosis (50 years and over) across clusters in Swansea and Neath Port Talbot. Figures are compared with the Swansea Bay University Health Board and Wales rates.</w:t>
      </w:r>
    </w:p>
    <w:p w14:paraId="718352E3" w14:textId="77777777" w:rsidR="00370535" w:rsidRPr="00370535" w:rsidRDefault="00370535" w:rsidP="00370535">
      <w:pPr>
        <w:rPr>
          <w:rFonts w:cs="Arial"/>
          <w:b/>
        </w:rPr>
      </w:pPr>
    </w:p>
    <w:p w14:paraId="560FB710" w14:textId="77777777" w:rsidR="00370535" w:rsidRPr="00370535" w:rsidRDefault="00370535" w:rsidP="00370535">
      <w:pPr>
        <w:rPr>
          <w:rFonts w:cs="Arial"/>
          <w:b/>
          <w:bCs/>
        </w:rPr>
      </w:pPr>
      <w:r w:rsidRPr="00370535">
        <w:rPr>
          <w:rFonts w:cs="Arial"/>
          <w:b/>
          <w:bCs/>
        </w:rPr>
        <w:t>Table 3.17: Estimated percentage prevalence of patients registered as having</w:t>
      </w:r>
      <w:r w:rsidRPr="00370535">
        <w:rPr>
          <w:rFonts w:cs="Arial"/>
        </w:rPr>
        <w:t xml:space="preserve"> </w:t>
      </w:r>
      <w:r w:rsidRPr="00370535">
        <w:rPr>
          <w:rFonts w:cs="Arial"/>
          <w:b/>
          <w:bCs/>
        </w:rPr>
        <w:t>osteoporosis (50 years and over) by cluster, health board and Wales, 2025</w:t>
      </w:r>
      <w:r w:rsidRPr="00370535">
        <w:rPr>
          <w:rFonts w:cs="Arial"/>
          <w:b/>
          <w:bCs/>
          <w:vertAlign w:val="superscript"/>
        </w:rPr>
        <w:footnoteReference w:id="121"/>
      </w:r>
    </w:p>
    <w:p w14:paraId="33EED088" w14:textId="77777777" w:rsidR="00370535" w:rsidRPr="00370535" w:rsidRDefault="00370535" w:rsidP="00370535">
      <w:pPr>
        <w:rPr>
          <w:rFonts w:cs="Arial"/>
          <w:b/>
        </w:rPr>
      </w:pPr>
    </w:p>
    <w:tbl>
      <w:tblPr>
        <w:tblStyle w:val="TableGrid3"/>
        <w:tblW w:w="8646" w:type="dxa"/>
        <w:tblInd w:w="-5" w:type="dxa"/>
        <w:tblLayout w:type="fixed"/>
        <w:tblLook w:val="04A0" w:firstRow="1" w:lastRow="0" w:firstColumn="1" w:lastColumn="0" w:noHBand="0" w:noVBand="1"/>
      </w:tblPr>
      <w:tblGrid>
        <w:gridCol w:w="3969"/>
        <w:gridCol w:w="2267"/>
        <w:gridCol w:w="2410"/>
      </w:tblGrid>
      <w:tr w:rsidR="00370535" w:rsidRPr="00370535" w14:paraId="09DE202F" w14:textId="77777777" w:rsidTr="00CD0092">
        <w:tc>
          <w:tcPr>
            <w:tcW w:w="3969"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6BC2C493" w14:textId="57554FD6" w:rsidR="00370535" w:rsidRPr="00370535" w:rsidRDefault="00370535" w:rsidP="00370535">
            <w:pPr>
              <w:rPr>
                <w:rFonts w:cs="Arial"/>
                <w:b/>
              </w:rPr>
            </w:pPr>
            <w:r w:rsidRPr="00370535">
              <w:rPr>
                <w:rFonts w:cs="Arial"/>
                <w:b/>
                <w:bCs/>
              </w:rPr>
              <w:t>Area</w:t>
            </w:r>
          </w:p>
        </w:tc>
        <w:tc>
          <w:tcPr>
            <w:tcW w:w="2267"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29FC2D12" w14:textId="77777777" w:rsidR="00370535" w:rsidRPr="00370535" w:rsidRDefault="00370535" w:rsidP="00370535">
            <w:pPr>
              <w:rPr>
                <w:rFonts w:cs="Arial"/>
                <w:b/>
                <w:bCs/>
              </w:rPr>
            </w:pPr>
            <w:r w:rsidRPr="00370535">
              <w:rPr>
                <w:rFonts w:cs="Arial"/>
                <w:b/>
                <w:bCs/>
              </w:rPr>
              <w:t>Local authority</w:t>
            </w:r>
          </w:p>
        </w:tc>
        <w:tc>
          <w:tcPr>
            <w:tcW w:w="2410"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4A59D425" w14:textId="77777777" w:rsidR="00370535" w:rsidRPr="00370535" w:rsidRDefault="00370535" w:rsidP="00370535">
            <w:pPr>
              <w:rPr>
                <w:rFonts w:cs="Arial"/>
                <w:b/>
                <w:bCs/>
              </w:rPr>
            </w:pPr>
            <w:r w:rsidRPr="00370535">
              <w:rPr>
                <w:rFonts w:cs="Arial"/>
                <w:b/>
                <w:bCs/>
              </w:rPr>
              <w:t xml:space="preserve">Osteoporosis </w:t>
            </w:r>
          </w:p>
          <w:p w14:paraId="732C69A7" w14:textId="77777777" w:rsidR="00370535" w:rsidRPr="00370535" w:rsidRDefault="00370535" w:rsidP="00370535">
            <w:pPr>
              <w:rPr>
                <w:rFonts w:cs="Arial"/>
                <w:b/>
                <w:bCs/>
              </w:rPr>
            </w:pPr>
            <w:r w:rsidRPr="00370535">
              <w:rPr>
                <w:rFonts w:cs="Arial"/>
                <w:b/>
                <w:bCs/>
              </w:rPr>
              <w:t xml:space="preserve">(50 years and over) </w:t>
            </w:r>
          </w:p>
        </w:tc>
      </w:tr>
      <w:tr w:rsidR="00370535" w:rsidRPr="00370535" w14:paraId="5F05EB78" w14:textId="77777777" w:rsidTr="00CD0092">
        <w:tc>
          <w:tcPr>
            <w:tcW w:w="3969" w:type="dxa"/>
            <w:tcBorders>
              <w:top w:val="single" w:sz="4" w:space="0" w:color="auto"/>
              <w:left w:val="single" w:sz="4" w:space="0" w:color="auto"/>
              <w:bottom w:val="single" w:sz="4" w:space="0" w:color="auto"/>
              <w:right w:val="single" w:sz="4" w:space="0" w:color="auto"/>
            </w:tcBorders>
            <w:hideMark/>
          </w:tcPr>
          <w:p w14:paraId="29856FEF" w14:textId="77777777" w:rsidR="00370535" w:rsidRPr="00370535" w:rsidRDefault="00370535" w:rsidP="00370535">
            <w:pPr>
              <w:rPr>
                <w:rFonts w:cs="Arial"/>
              </w:rPr>
            </w:pPr>
            <w:r w:rsidRPr="00370535">
              <w:rPr>
                <w:rFonts w:cs="Arial"/>
              </w:rPr>
              <w:t>Bay Health</w:t>
            </w:r>
          </w:p>
        </w:tc>
        <w:tc>
          <w:tcPr>
            <w:tcW w:w="2267" w:type="dxa"/>
            <w:tcBorders>
              <w:top w:val="single" w:sz="4" w:space="0" w:color="auto"/>
              <w:left w:val="single" w:sz="4" w:space="0" w:color="auto"/>
              <w:bottom w:val="single" w:sz="4" w:space="0" w:color="auto"/>
              <w:right w:val="single" w:sz="4" w:space="0" w:color="auto"/>
            </w:tcBorders>
            <w:hideMark/>
          </w:tcPr>
          <w:p w14:paraId="7F23FAE3" w14:textId="77777777" w:rsidR="00370535" w:rsidRPr="00370535" w:rsidRDefault="00370535" w:rsidP="00370535">
            <w:pPr>
              <w:rPr>
                <w:rFonts w:cs="Arial"/>
                <w:bCs/>
              </w:rPr>
            </w:pPr>
            <w:r w:rsidRPr="00370535">
              <w:rPr>
                <w:rFonts w:cs="Arial"/>
                <w:bCs/>
              </w:rPr>
              <w:t>Swansea</w:t>
            </w:r>
          </w:p>
        </w:tc>
        <w:tc>
          <w:tcPr>
            <w:tcW w:w="2410" w:type="dxa"/>
            <w:tcBorders>
              <w:top w:val="single" w:sz="4" w:space="0" w:color="auto"/>
              <w:left w:val="single" w:sz="4" w:space="0" w:color="auto"/>
              <w:bottom w:val="single" w:sz="4" w:space="0" w:color="auto"/>
              <w:right w:val="single" w:sz="4" w:space="0" w:color="auto"/>
            </w:tcBorders>
            <w:hideMark/>
          </w:tcPr>
          <w:p w14:paraId="225CD938" w14:textId="77777777" w:rsidR="00370535" w:rsidRPr="00370535" w:rsidRDefault="00370535" w:rsidP="00370535">
            <w:pPr>
              <w:rPr>
                <w:rFonts w:cs="Arial"/>
                <w:bCs/>
              </w:rPr>
            </w:pPr>
            <w:r w:rsidRPr="00370535">
              <w:rPr>
                <w:rFonts w:cs="Arial"/>
                <w:bCs/>
              </w:rPr>
              <w:t>0.6%</w:t>
            </w:r>
          </w:p>
        </w:tc>
      </w:tr>
      <w:tr w:rsidR="00370535" w:rsidRPr="00370535" w14:paraId="52640AF7" w14:textId="77777777" w:rsidTr="00CD0092">
        <w:tc>
          <w:tcPr>
            <w:tcW w:w="3969" w:type="dxa"/>
            <w:tcBorders>
              <w:top w:val="single" w:sz="4" w:space="0" w:color="auto"/>
              <w:left w:val="single" w:sz="4" w:space="0" w:color="auto"/>
              <w:bottom w:val="single" w:sz="4" w:space="0" w:color="auto"/>
              <w:right w:val="single" w:sz="4" w:space="0" w:color="auto"/>
            </w:tcBorders>
            <w:hideMark/>
          </w:tcPr>
          <w:p w14:paraId="0127484B" w14:textId="77777777" w:rsidR="00370535" w:rsidRPr="00370535" w:rsidRDefault="00370535" w:rsidP="00370535">
            <w:pPr>
              <w:rPr>
                <w:rFonts w:cs="Arial"/>
              </w:rPr>
            </w:pPr>
            <w:r w:rsidRPr="00370535">
              <w:rPr>
                <w:rFonts w:cs="Arial"/>
              </w:rPr>
              <w:t>City Health</w:t>
            </w:r>
          </w:p>
        </w:tc>
        <w:tc>
          <w:tcPr>
            <w:tcW w:w="2267" w:type="dxa"/>
            <w:tcBorders>
              <w:top w:val="single" w:sz="4" w:space="0" w:color="auto"/>
              <w:left w:val="single" w:sz="4" w:space="0" w:color="auto"/>
              <w:bottom w:val="single" w:sz="4" w:space="0" w:color="auto"/>
              <w:right w:val="single" w:sz="4" w:space="0" w:color="auto"/>
            </w:tcBorders>
            <w:hideMark/>
          </w:tcPr>
          <w:p w14:paraId="5B0D15B9" w14:textId="77777777" w:rsidR="00370535" w:rsidRPr="00370535" w:rsidRDefault="00370535" w:rsidP="00370535">
            <w:pPr>
              <w:rPr>
                <w:rFonts w:cs="Arial"/>
                <w:bCs/>
              </w:rPr>
            </w:pPr>
            <w:r w:rsidRPr="00370535">
              <w:rPr>
                <w:rFonts w:cs="Arial"/>
                <w:bCs/>
              </w:rPr>
              <w:t>Swansea</w:t>
            </w:r>
          </w:p>
        </w:tc>
        <w:tc>
          <w:tcPr>
            <w:tcW w:w="2410" w:type="dxa"/>
            <w:tcBorders>
              <w:top w:val="single" w:sz="4" w:space="0" w:color="auto"/>
              <w:left w:val="single" w:sz="4" w:space="0" w:color="auto"/>
              <w:bottom w:val="single" w:sz="4" w:space="0" w:color="auto"/>
              <w:right w:val="single" w:sz="4" w:space="0" w:color="auto"/>
            </w:tcBorders>
            <w:hideMark/>
          </w:tcPr>
          <w:p w14:paraId="2007480E" w14:textId="77777777" w:rsidR="00370535" w:rsidRPr="00370535" w:rsidRDefault="00370535" w:rsidP="00370535">
            <w:pPr>
              <w:rPr>
                <w:rFonts w:cs="Arial"/>
                <w:bCs/>
              </w:rPr>
            </w:pPr>
            <w:r w:rsidRPr="00370535">
              <w:rPr>
                <w:rFonts w:cs="Arial"/>
                <w:bCs/>
              </w:rPr>
              <w:t>0.3%</w:t>
            </w:r>
          </w:p>
        </w:tc>
      </w:tr>
      <w:tr w:rsidR="00370535" w:rsidRPr="00370535" w14:paraId="33307397" w14:textId="77777777" w:rsidTr="00CD0092">
        <w:tc>
          <w:tcPr>
            <w:tcW w:w="3969" w:type="dxa"/>
            <w:tcBorders>
              <w:top w:val="single" w:sz="4" w:space="0" w:color="auto"/>
              <w:left w:val="single" w:sz="4" w:space="0" w:color="auto"/>
              <w:bottom w:val="single" w:sz="4" w:space="0" w:color="auto"/>
              <w:right w:val="single" w:sz="4" w:space="0" w:color="auto"/>
            </w:tcBorders>
            <w:hideMark/>
          </w:tcPr>
          <w:p w14:paraId="63058350" w14:textId="77777777" w:rsidR="00370535" w:rsidRPr="00370535" w:rsidRDefault="00370535" w:rsidP="00370535">
            <w:pPr>
              <w:rPr>
                <w:rFonts w:cs="Arial"/>
              </w:rPr>
            </w:pPr>
            <w:r w:rsidRPr="00370535">
              <w:rPr>
                <w:rFonts w:cs="Arial"/>
              </w:rPr>
              <w:t>Cwmtawe</w:t>
            </w:r>
          </w:p>
        </w:tc>
        <w:tc>
          <w:tcPr>
            <w:tcW w:w="2267" w:type="dxa"/>
            <w:tcBorders>
              <w:top w:val="single" w:sz="4" w:space="0" w:color="auto"/>
              <w:left w:val="single" w:sz="4" w:space="0" w:color="auto"/>
              <w:bottom w:val="single" w:sz="4" w:space="0" w:color="auto"/>
              <w:right w:val="single" w:sz="4" w:space="0" w:color="auto"/>
            </w:tcBorders>
            <w:hideMark/>
          </w:tcPr>
          <w:p w14:paraId="658B8F3E" w14:textId="77777777" w:rsidR="00370535" w:rsidRPr="00370535" w:rsidRDefault="00370535" w:rsidP="00370535">
            <w:pPr>
              <w:rPr>
                <w:rFonts w:cs="Arial"/>
                <w:bCs/>
              </w:rPr>
            </w:pPr>
            <w:r w:rsidRPr="00370535">
              <w:rPr>
                <w:rFonts w:cs="Arial"/>
                <w:bCs/>
              </w:rPr>
              <w:t>Swansea</w:t>
            </w:r>
          </w:p>
        </w:tc>
        <w:tc>
          <w:tcPr>
            <w:tcW w:w="2410" w:type="dxa"/>
            <w:tcBorders>
              <w:top w:val="single" w:sz="4" w:space="0" w:color="auto"/>
              <w:left w:val="single" w:sz="4" w:space="0" w:color="auto"/>
              <w:bottom w:val="single" w:sz="4" w:space="0" w:color="auto"/>
              <w:right w:val="single" w:sz="4" w:space="0" w:color="auto"/>
            </w:tcBorders>
            <w:hideMark/>
          </w:tcPr>
          <w:p w14:paraId="36032F0A" w14:textId="77777777" w:rsidR="00370535" w:rsidRPr="00370535" w:rsidRDefault="00370535" w:rsidP="00370535">
            <w:pPr>
              <w:rPr>
                <w:rFonts w:cs="Arial"/>
                <w:bCs/>
              </w:rPr>
            </w:pPr>
            <w:r w:rsidRPr="00370535">
              <w:rPr>
                <w:rFonts w:cs="Arial"/>
                <w:bCs/>
              </w:rPr>
              <w:t>0.5%</w:t>
            </w:r>
          </w:p>
        </w:tc>
      </w:tr>
      <w:tr w:rsidR="00370535" w:rsidRPr="00370535" w14:paraId="7FD1789C" w14:textId="77777777" w:rsidTr="00CD0092">
        <w:tc>
          <w:tcPr>
            <w:tcW w:w="3969" w:type="dxa"/>
            <w:tcBorders>
              <w:top w:val="single" w:sz="4" w:space="0" w:color="auto"/>
              <w:left w:val="single" w:sz="4" w:space="0" w:color="auto"/>
              <w:bottom w:val="single" w:sz="4" w:space="0" w:color="auto"/>
              <w:right w:val="single" w:sz="4" w:space="0" w:color="auto"/>
            </w:tcBorders>
            <w:hideMark/>
          </w:tcPr>
          <w:p w14:paraId="64CF4357" w14:textId="77777777" w:rsidR="00370535" w:rsidRPr="00370535" w:rsidRDefault="00370535" w:rsidP="00370535">
            <w:pPr>
              <w:rPr>
                <w:rFonts w:cs="Arial"/>
              </w:rPr>
            </w:pPr>
            <w:r w:rsidRPr="00370535">
              <w:rPr>
                <w:rFonts w:cs="Arial"/>
              </w:rPr>
              <w:t>Llwchwr</w:t>
            </w:r>
          </w:p>
        </w:tc>
        <w:tc>
          <w:tcPr>
            <w:tcW w:w="2267" w:type="dxa"/>
            <w:tcBorders>
              <w:top w:val="single" w:sz="4" w:space="0" w:color="auto"/>
              <w:left w:val="single" w:sz="4" w:space="0" w:color="auto"/>
              <w:bottom w:val="single" w:sz="4" w:space="0" w:color="auto"/>
              <w:right w:val="single" w:sz="4" w:space="0" w:color="auto"/>
            </w:tcBorders>
            <w:hideMark/>
          </w:tcPr>
          <w:p w14:paraId="7E57587D" w14:textId="77777777" w:rsidR="00370535" w:rsidRPr="00370535" w:rsidRDefault="00370535" w:rsidP="00370535">
            <w:pPr>
              <w:rPr>
                <w:rFonts w:cs="Arial"/>
                <w:bCs/>
              </w:rPr>
            </w:pPr>
            <w:r w:rsidRPr="00370535">
              <w:rPr>
                <w:rFonts w:cs="Arial"/>
                <w:bCs/>
              </w:rPr>
              <w:t>Swansea</w:t>
            </w:r>
          </w:p>
        </w:tc>
        <w:tc>
          <w:tcPr>
            <w:tcW w:w="2410" w:type="dxa"/>
            <w:tcBorders>
              <w:top w:val="single" w:sz="4" w:space="0" w:color="auto"/>
              <w:left w:val="single" w:sz="4" w:space="0" w:color="auto"/>
              <w:bottom w:val="single" w:sz="4" w:space="0" w:color="auto"/>
              <w:right w:val="single" w:sz="4" w:space="0" w:color="auto"/>
            </w:tcBorders>
            <w:hideMark/>
          </w:tcPr>
          <w:p w14:paraId="77EAA539" w14:textId="77777777" w:rsidR="00370535" w:rsidRPr="00370535" w:rsidRDefault="00370535" w:rsidP="00370535">
            <w:pPr>
              <w:rPr>
                <w:rFonts w:cs="Arial"/>
                <w:bCs/>
              </w:rPr>
            </w:pPr>
            <w:r w:rsidRPr="00370535">
              <w:rPr>
                <w:rFonts w:cs="Arial"/>
                <w:bCs/>
              </w:rPr>
              <w:t>0.8%</w:t>
            </w:r>
          </w:p>
        </w:tc>
      </w:tr>
      <w:tr w:rsidR="00370535" w:rsidRPr="00370535" w14:paraId="5AC2ECC7" w14:textId="77777777" w:rsidTr="00CD0092">
        <w:tc>
          <w:tcPr>
            <w:tcW w:w="3969" w:type="dxa"/>
            <w:tcBorders>
              <w:top w:val="single" w:sz="4" w:space="0" w:color="auto"/>
              <w:left w:val="single" w:sz="4" w:space="0" w:color="auto"/>
              <w:bottom w:val="single" w:sz="4" w:space="0" w:color="auto"/>
              <w:right w:val="single" w:sz="4" w:space="0" w:color="auto"/>
            </w:tcBorders>
            <w:hideMark/>
          </w:tcPr>
          <w:p w14:paraId="220CF115" w14:textId="77777777" w:rsidR="00370535" w:rsidRPr="00370535" w:rsidRDefault="00370535" w:rsidP="00370535">
            <w:pPr>
              <w:rPr>
                <w:rFonts w:cs="Arial"/>
              </w:rPr>
            </w:pPr>
            <w:r w:rsidRPr="00370535">
              <w:rPr>
                <w:rFonts w:cs="Arial"/>
              </w:rPr>
              <w:t>Penderi</w:t>
            </w:r>
          </w:p>
        </w:tc>
        <w:tc>
          <w:tcPr>
            <w:tcW w:w="2267" w:type="dxa"/>
            <w:tcBorders>
              <w:top w:val="single" w:sz="4" w:space="0" w:color="auto"/>
              <w:left w:val="single" w:sz="4" w:space="0" w:color="auto"/>
              <w:bottom w:val="single" w:sz="4" w:space="0" w:color="auto"/>
              <w:right w:val="single" w:sz="4" w:space="0" w:color="auto"/>
            </w:tcBorders>
            <w:hideMark/>
          </w:tcPr>
          <w:p w14:paraId="65898892" w14:textId="77777777" w:rsidR="00370535" w:rsidRPr="00370535" w:rsidRDefault="00370535" w:rsidP="00370535">
            <w:pPr>
              <w:rPr>
                <w:rFonts w:cs="Arial"/>
                <w:bCs/>
              </w:rPr>
            </w:pPr>
            <w:r w:rsidRPr="00370535">
              <w:rPr>
                <w:rFonts w:cs="Arial"/>
                <w:bCs/>
              </w:rPr>
              <w:t>Swansea</w:t>
            </w:r>
          </w:p>
        </w:tc>
        <w:tc>
          <w:tcPr>
            <w:tcW w:w="2410" w:type="dxa"/>
            <w:tcBorders>
              <w:top w:val="single" w:sz="4" w:space="0" w:color="auto"/>
              <w:left w:val="single" w:sz="4" w:space="0" w:color="auto"/>
              <w:bottom w:val="single" w:sz="4" w:space="0" w:color="auto"/>
              <w:right w:val="single" w:sz="4" w:space="0" w:color="auto"/>
            </w:tcBorders>
            <w:hideMark/>
          </w:tcPr>
          <w:p w14:paraId="68492FFD" w14:textId="77777777" w:rsidR="00370535" w:rsidRPr="00370535" w:rsidRDefault="00370535" w:rsidP="00370535">
            <w:pPr>
              <w:rPr>
                <w:rFonts w:cs="Arial"/>
                <w:bCs/>
              </w:rPr>
            </w:pPr>
            <w:r w:rsidRPr="00370535">
              <w:rPr>
                <w:rFonts w:cs="Arial"/>
                <w:bCs/>
              </w:rPr>
              <w:t>0.8%</w:t>
            </w:r>
          </w:p>
        </w:tc>
      </w:tr>
      <w:tr w:rsidR="00370535" w:rsidRPr="00370535" w14:paraId="72844EEF" w14:textId="77777777" w:rsidTr="00CD0092">
        <w:tc>
          <w:tcPr>
            <w:tcW w:w="3969" w:type="dxa"/>
            <w:tcBorders>
              <w:top w:val="single" w:sz="4" w:space="0" w:color="auto"/>
              <w:left w:val="single" w:sz="4" w:space="0" w:color="auto"/>
              <w:bottom w:val="single" w:sz="4" w:space="0" w:color="auto"/>
              <w:right w:val="single" w:sz="4" w:space="0" w:color="auto"/>
            </w:tcBorders>
            <w:hideMark/>
          </w:tcPr>
          <w:p w14:paraId="03026F67" w14:textId="77777777" w:rsidR="00370535" w:rsidRPr="00370535" w:rsidRDefault="00370535" w:rsidP="00370535">
            <w:pPr>
              <w:rPr>
                <w:rFonts w:cs="Arial"/>
              </w:rPr>
            </w:pPr>
            <w:r w:rsidRPr="00370535">
              <w:rPr>
                <w:rFonts w:cs="Arial"/>
              </w:rPr>
              <w:t>Afan</w:t>
            </w:r>
          </w:p>
        </w:tc>
        <w:tc>
          <w:tcPr>
            <w:tcW w:w="2267" w:type="dxa"/>
            <w:tcBorders>
              <w:top w:val="single" w:sz="4" w:space="0" w:color="auto"/>
              <w:left w:val="single" w:sz="4" w:space="0" w:color="auto"/>
              <w:bottom w:val="single" w:sz="4" w:space="0" w:color="auto"/>
              <w:right w:val="single" w:sz="4" w:space="0" w:color="auto"/>
            </w:tcBorders>
            <w:hideMark/>
          </w:tcPr>
          <w:p w14:paraId="0F78857B" w14:textId="77777777" w:rsidR="00370535" w:rsidRPr="00370535" w:rsidRDefault="00370535" w:rsidP="00370535">
            <w:pPr>
              <w:rPr>
                <w:rFonts w:cs="Arial"/>
                <w:bCs/>
              </w:rPr>
            </w:pPr>
            <w:r w:rsidRPr="00370535">
              <w:rPr>
                <w:rFonts w:cs="Arial"/>
                <w:bCs/>
              </w:rPr>
              <w:t>Neath Port Talbot</w:t>
            </w:r>
          </w:p>
        </w:tc>
        <w:tc>
          <w:tcPr>
            <w:tcW w:w="2410" w:type="dxa"/>
            <w:tcBorders>
              <w:top w:val="single" w:sz="4" w:space="0" w:color="auto"/>
              <w:left w:val="single" w:sz="4" w:space="0" w:color="auto"/>
              <w:bottom w:val="single" w:sz="4" w:space="0" w:color="auto"/>
              <w:right w:val="single" w:sz="4" w:space="0" w:color="auto"/>
            </w:tcBorders>
            <w:hideMark/>
          </w:tcPr>
          <w:p w14:paraId="1DA588F8" w14:textId="77777777" w:rsidR="00370535" w:rsidRPr="00370535" w:rsidRDefault="00370535" w:rsidP="00370535">
            <w:pPr>
              <w:rPr>
                <w:rFonts w:cs="Arial"/>
                <w:bCs/>
              </w:rPr>
            </w:pPr>
            <w:r w:rsidRPr="00370535">
              <w:rPr>
                <w:rFonts w:cs="Arial"/>
                <w:bCs/>
              </w:rPr>
              <w:t>0.5%</w:t>
            </w:r>
          </w:p>
        </w:tc>
      </w:tr>
      <w:tr w:rsidR="00370535" w:rsidRPr="00370535" w14:paraId="2C5E6BE9" w14:textId="77777777" w:rsidTr="00CD0092">
        <w:tc>
          <w:tcPr>
            <w:tcW w:w="3969" w:type="dxa"/>
            <w:tcBorders>
              <w:top w:val="single" w:sz="4" w:space="0" w:color="auto"/>
              <w:left w:val="single" w:sz="4" w:space="0" w:color="auto"/>
              <w:bottom w:val="single" w:sz="4" w:space="0" w:color="auto"/>
              <w:right w:val="single" w:sz="4" w:space="0" w:color="auto"/>
            </w:tcBorders>
            <w:hideMark/>
          </w:tcPr>
          <w:p w14:paraId="58D5138B" w14:textId="77777777" w:rsidR="00370535" w:rsidRPr="00370535" w:rsidRDefault="00370535" w:rsidP="00370535">
            <w:pPr>
              <w:rPr>
                <w:rFonts w:cs="Arial"/>
              </w:rPr>
            </w:pPr>
            <w:r w:rsidRPr="00370535">
              <w:rPr>
                <w:rFonts w:cs="Arial"/>
              </w:rPr>
              <w:t>Neath</w:t>
            </w:r>
          </w:p>
        </w:tc>
        <w:tc>
          <w:tcPr>
            <w:tcW w:w="2267" w:type="dxa"/>
            <w:tcBorders>
              <w:top w:val="single" w:sz="4" w:space="0" w:color="auto"/>
              <w:left w:val="single" w:sz="4" w:space="0" w:color="auto"/>
              <w:bottom w:val="single" w:sz="4" w:space="0" w:color="auto"/>
              <w:right w:val="single" w:sz="4" w:space="0" w:color="auto"/>
            </w:tcBorders>
            <w:hideMark/>
          </w:tcPr>
          <w:p w14:paraId="015BAAEB" w14:textId="77777777" w:rsidR="00370535" w:rsidRPr="00370535" w:rsidRDefault="00370535" w:rsidP="00370535">
            <w:pPr>
              <w:rPr>
                <w:rFonts w:cs="Arial"/>
                <w:bCs/>
              </w:rPr>
            </w:pPr>
            <w:r w:rsidRPr="00370535">
              <w:rPr>
                <w:rFonts w:cs="Arial"/>
                <w:bCs/>
              </w:rPr>
              <w:t>Neath Port Talbot</w:t>
            </w:r>
          </w:p>
        </w:tc>
        <w:tc>
          <w:tcPr>
            <w:tcW w:w="2410" w:type="dxa"/>
            <w:tcBorders>
              <w:top w:val="single" w:sz="4" w:space="0" w:color="auto"/>
              <w:left w:val="single" w:sz="4" w:space="0" w:color="auto"/>
              <w:bottom w:val="single" w:sz="4" w:space="0" w:color="auto"/>
              <w:right w:val="single" w:sz="4" w:space="0" w:color="auto"/>
            </w:tcBorders>
            <w:hideMark/>
          </w:tcPr>
          <w:p w14:paraId="34B8B0AB" w14:textId="77777777" w:rsidR="00370535" w:rsidRPr="00370535" w:rsidRDefault="00370535" w:rsidP="00370535">
            <w:pPr>
              <w:rPr>
                <w:rFonts w:cs="Arial"/>
                <w:bCs/>
              </w:rPr>
            </w:pPr>
            <w:r w:rsidRPr="00370535">
              <w:rPr>
                <w:rFonts w:cs="Arial"/>
                <w:bCs/>
              </w:rPr>
              <w:t>0.7%</w:t>
            </w:r>
          </w:p>
        </w:tc>
      </w:tr>
      <w:tr w:rsidR="00370535" w:rsidRPr="00370535" w14:paraId="06643131" w14:textId="77777777" w:rsidTr="00CD0092">
        <w:tc>
          <w:tcPr>
            <w:tcW w:w="3969" w:type="dxa"/>
            <w:tcBorders>
              <w:top w:val="single" w:sz="4" w:space="0" w:color="auto"/>
              <w:left w:val="single" w:sz="4" w:space="0" w:color="auto"/>
              <w:bottom w:val="single" w:sz="4" w:space="0" w:color="auto"/>
              <w:right w:val="single" w:sz="4" w:space="0" w:color="auto"/>
            </w:tcBorders>
            <w:hideMark/>
          </w:tcPr>
          <w:p w14:paraId="3D5E9C2E" w14:textId="77777777" w:rsidR="00370535" w:rsidRPr="00370535" w:rsidRDefault="00370535" w:rsidP="00370535">
            <w:pPr>
              <w:rPr>
                <w:rFonts w:cs="Arial"/>
              </w:rPr>
            </w:pPr>
            <w:r w:rsidRPr="00370535">
              <w:rPr>
                <w:rFonts w:cs="Arial"/>
              </w:rPr>
              <w:t>Upper Valleys</w:t>
            </w:r>
          </w:p>
        </w:tc>
        <w:tc>
          <w:tcPr>
            <w:tcW w:w="2267" w:type="dxa"/>
            <w:tcBorders>
              <w:top w:val="single" w:sz="4" w:space="0" w:color="auto"/>
              <w:left w:val="single" w:sz="4" w:space="0" w:color="auto"/>
              <w:bottom w:val="single" w:sz="4" w:space="0" w:color="auto"/>
              <w:right w:val="single" w:sz="4" w:space="0" w:color="auto"/>
            </w:tcBorders>
            <w:hideMark/>
          </w:tcPr>
          <w:p w14:paraId="719A5A53" w14:textId="77777777" w:rsidR="00370535" w:rsidRPr="00370535" w:rsidRDefault="00370535" w:rsidP="00370535">
            <w:pPr>
              <w:rPr>
                <w:rFonts w:cs="Arial"/>
                <w:bCs/>
              </w:rPr>
            </w:pPr>
            <w:r w:rsidRPr="00370535">
              <w:rPr>
                <w:rFonts w:cs="Arial"/>
                <w:bCs/>
              </w:rPr>
              <w:t>Neath Port Talbot</w:t>
            </w:r>
          </w:p>
        </w:tc>
        <w:tc>
          <w:tcPr>
            <w:tcW w:w="2410" w:type="dxa"/>
            <w:tcBorders>
              <w:top w:val="single" w:sz="4" w:space="0" w:color="auto"/>
              <w:left w:val="single" w:sz="4" w:space="0" w:color="auto"/>
              <w:bottom w:val="single" w:sz="4" w:space="0" w:color="auto"/>
              <w:right w:val="single" w:sz="4" w:space="0" w:color="auto"/>
            </w:tcBorders>
            <w:hideMark/>
          </w:tcPr>
          <w:p w14:paraId="498820EE" w14:textId="77777777" w:rsidR="00370535" w:rsidRPr="00370535" w:rsidRDefault="00370535" w:rsidP="00370535">
            <w:pPr>
              <w:rPr>
                <w:rFonts w:cs="Arial"/>
                <w:bCs/>
              </w:rPr>
            </w:pPr>
            <w:r w:rsidRPr="00370535">
              <w:rPr>
                <w:rFonts w:cs="Arial"/>
                <w:bCs/>
              </w:rPr>
              <w:t>1.3%</w:t>
            </w:r>
          </w:p>
        </w:tc>
      </w:tr>
      <w:tr w:rsidR="00370535" w:rsidRPr="00370535" w14:paraId="7EE1A006" w14:textId="77777777" w:rsidTr="00CD0092">
        <w:tc>
          <w:tcPr>
            <w:tcW w:w="3969" w:type="dxa"/>
            <w:tcBorders>
              <w:top w:val="single" w:sz="4" w:space="0" w:color="auto"/>
              <w:left w:val="single" w:sz="4" w:space="0" w:color="auto"/>
              <w:bottom w:val="single" w:sz="4" w:space="0" w:color="auto"/>
              <w:right w:val="single" w:sz="4" w:space="0" w:color="auto"/>
            </w:tcBorders>
            <w:hideMark/>
          </w:tcPr>
          <w:p w14:paraId="4CBFD966" w14:textId="77777777" w:rsidR="00370535" w:rsidRPr="00370535" w:rsidRDefault="00370535" w:rsidP="00370535">
            <w:pPr>
              <w:rPr>
                <w:rFonts w:cs="Arial"/>
              </w:rPr>
            </w:pPr>
            <w:r w:rsidRPr="00370535">
              <w:rPr>
                <w:rFonts w:cs="Arial"/>
              </w:rPr>
              <w:t>Swansea Bay University Health Board</w:t>
            </w:r>
          </w:p>
        </w:tc>
        <w:tc>
          <w:tcPr>
            <w:tcW w:w="22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040B86" w14:textId="77777777" w:rsidR="00370535" w:rsidRPr="00370535" w:rsidRDefault="00370535" w:rsidP="00370535">
            <w:pPr>
              <w:rPr>
                <w:rFonts w:cs="Arial"/>
              </w:rPr>
            </w:pPr>
          </w:p>
        </w:tc>
        <w:tc>
          <w:tcPr>
            <w:tcW w:w="2410" w:type="dxa"/>
            <w:tcBorders>
              <w:top w:val="single" w:sz="4" w:space="0" w:color="auto"/>
              <w:left w:val="single" w:sz="4" w:space="0" w:color="auto"/>
              <w:bottom w:val="single" w:sz="4" w:space="0" w:color="auto"/>
              <w:right w:val="single" w:sz="4" w:space="0" w:color="auto"/>
            </w:tcBorders>
            <w:hideMark/>
          </w:tcPr>
          <w:p w14:paraId="713AFBFA" w14:textId="77777777" w:rsidR="00370535" w:rsidRPr="00370535" w:rsidRDefault="00370535" w:rsidP="00370535">
            <w:pPr>
              <w:rPr>
                <w:rFonts w:cs="Arial"/>
              </w:rPr>
            </w:pPr>
            <w:r w:rsidRPr="00370535">
              <w:rPr>
                <w:rFonts w:cs="Arial"/>
              </w:rPr>
              <w:t>0.7%</w:t>
            </w:r>
          </w:p>
        </w:tc>
      </w:tr>
      <w:tr w:rsidR="00370535" w:rsidRPr="00370535" w14:paraId="3368B02C" w14:textId="77777777" w:rsidTr="00CD0092">
        <w:tc>
          <w:tcPr>
            <w:tcW w:w="3969" w:type="dxa"/>
            <w:tcBorders>
              <w:top w:val="single" w:sz="4" w:space="0" w:color="auto"/>
              <w:left w:val="single" w:sz="4" w:space="0" w:color="auto"/>
              <w:bottom w:val="single" w:sz="4" w:space="0" w:color="auto"/>
              <w:right w:val="single" w:sz="4" w:space="0" w:color="auto"/>
            </w:tcBorders>
            <w:hideMark/>
          </w:tcPr>
          <w:p w14:paraId="30C51046" w14:textId="77777777" w:rsidR="00370535" w:rsidRPr="00370535" w:rsidRDefault="00370535" w:rsidP="00370535">
            <w:pPr>
              <w:rPr>
                <w:rFonts w:cs="Arial"/>
              </w:rPr>
            </w:pPr>
            <w:r w:rsidRPr="00370535">
              <w:rPr>
                <w:rFonts w:cs="Arial"/>
              </w:rPr>
              <w:t>Wales</w:t>
            </w:r>
          </w:p>
        </w:tc>
        <w:tc>
          <w:tcPr>
            <w:tcW w:w="22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0E1E48" w14:textId="77777777" w:rsidR="00370535" w:rsidRPr="00370535" w:rsidRDefault="00370535" w:rsidP="00370535">
            <w:pPr>
              <w:rPr>
                <w:rFonts w:cs="Arial"/>
              </w:rPr>
            </w:pPr>
          </w:p>
        </w:tc>
        <w:tc>
          <w:tcPr>
            <w:tcW w:w="2410" w:type="dxa"/>
            <w:tcBorders>
              <w:top w:val="single" w:sz="4" w:space="0" w:color="auto"/>
              <w:left w:val="single" w:sz="4" w:space="0" w:color="auto"/>
              <w:bottom w:val="single" w:sz="4" w:space="0" w:color="auto"/>
              <w:right w:val="single" w:sz="4" w:space="0" w:color="auto"/>
            </w:tcBorders>
            <w:hideMark/>
          </w:tcPr>
          <w:p w14:paraId="1FAC6342" w14:textId="77777777" w:rsidR="00370535" w:rsidRPr="00370535" w:rsidRDefault="00370535" w:rsidP="00370535">
            <w:pPr>
              <w:rPr>
                <w:rFonts w:cs="Arial"/>
              </w:rPr>
            </w:pPr>
            <w:r w:rsidRPr="00370535">
              <w:rPr>
                <w:rFonts w:cs="Arial"/>
              </w:rPr>
              <w:t>0.6%</w:t>
            </w:r>
          </w:p>
        </w:tc>
      </w:tr>
    </w:tbl>
    <w:p w14:paraId="523B4F9D" w14:textId="77777777" w:rsidR="00370535" w:rsidRPr="00370535" w:rsidRDefault="00370535" w:rsidP="00370535">
      <w:pPr>
        <w:rPr>
          <w:rFonts w:cs="Arial"/>
        </w:rPr>
      </w:pPr>
    </w:p>
    <w:p w14:paraId="486A2CC0" w14:textId="77777777" w:rsidR="00370535" w:rsidRPr="00370535" w:rsidRDefault="00370535" w:rsidP="00370535">
      <w:pPr>
        <w:rPr>
          <w:rFonts w:cs="Arial"/>
        </w:rPr>
      </w:pPr>
      <w:r w:rsidRPr="00370535">
        <w:rPr>
          <w:rFonts w:cs="Arial"/>
        </w:rPr>
        <w:t xml:space="preserve">Swansea Bay University Health Board (0.7%) has a higher prevalence of osteoporosis (50 years and over) than the average for Wales (0.6%). </w:t>
      </w:r>
    </w:p>
    <w:p w14:paraId="2C439F1D" w14:textId="77777777" w:rsidR="00370535" w:rsidRPr="00370535" w:rsidRDefault="00370535" w:rsidP="00370535">
      <w:pPr>
        <w:rPr>
          <w:rFonts w:cs="Arial"/>
        </w:rPr>
      </w:pPr>
    </w:p>
    <w:p w14:paraId="393BDB73" w14:textId="77777777" w:rsidR="00370535" w:rsidRPr="00370535" w:rsidRDefault="00370535" w:rsidP="00370535">
      <w:pPr>
        <w:rPr>
          <w:rFonts w:cs="Arial"/>
        </w:rPr>
      </w:pPr>
      <w:r w:rsidRPr="00370535">
        <w:rPr>
          <w:rFonts w:cs="Arial"/>
        </w:rPr>
        <w:t>Across the Swansea clusters, recorded prevalence of osteoporosis (50 years and over) ranges from 0.3% (City Health) to 0.8% (Llwchwr and Penderi). Two of the five clusters are lower than both the health board and Wales rates (City Health and Cwmtawe). One of the five clusters is higher than the health board rate, but equal to the Wales rate (Bay Health) and two clusters are higher than the health board and Wales rates (Llwchwr and Penderi)</w:t>
      </w:r>
    </w:p>
    <w:p w14:paraId="485EA24B" w14:textId="77777777" w:rsidR="00370535" w:rsidRPr="00370535" w:rsidRDefault="00370535" w:rsidP="00370535">
      <w:pPr>
        <w:rPr>
          <w:rFonts w:cs="Arial"/>
        </w:rPr>
      </w:pPr>
    </w:p>
    <w:p w14:paraId="7184F714" w14:textId="77777777" w:rsidR="00370535" w:rsidRPr="00370535" w:rsidRDefault="00370535" w:rsidP="00370535">
      <w:pPr>
        <w:rPr>
          <w:rFonts w:cs="Arial"/>
        </w:rPr>
      </w:pPr>
      <w:r w:rsidRPr="00370535">
        <w:rPr>
          <w:rFonts w:cs="Arial"/>
        </w:rPr>
        <w:lastRenderedPageBreak/>
        <w:t xml:space="preserve">For the Neath Port Talbot clusters, recorded prevalence of osteoporosis (50 years and over) ranges from 0.5% (Afan) to 1.3% (Upper Valleys). One cluster is lower than both the health board and Wales rates (Afan). One cluster is higher than the health board rate, but equal to the Wales rate (Neath), and one cluster is higher than both the health board and Wales rates (Upper Valleys). </w:t>
      </w:r>
    </w:p>
    <w:p w14:paraId="1507A052" w14:textId="77777777" w:rsidR="00370535" w:rsidRPr="00370535" w:rsidRDefault="00370535" w:rsidP="00370535">
      <w:pPr>
        <w:rPr>
          <w:rFonts w:cs="Arial"/>
        </w:rPr>
      </w:pPr>
    </w:p>
    <w:p w14:paraId="609E2C8C" w14:textId="77777777" w:rsidR="00370535" w:rsidRPr="00370535" w:rsidRDefault="00370535" w:rsidP="00370535">
      <w:pPr>
        <w:rPr>
          <w:rFonts w:cs="Arial"/>
        </w:rPr>
      </w:pPr>
      <w:r w:rsidRPr="00370535">
        <w:rPr>
          <w:rFonts w:cs="Arial"/>
        </w:rPr>
        <w:t>The table below shows the recorded prevalence range of osteoporosis (50 years and over) by local authority areas, compared with health board and Wales rates.</w:t>
      </w:r>
    </w:p>
    <w:p w14:paraId="2F1FF0FE" w14:textId="77777777" w:rsidR="00370535" w:rsidRPr="00370535" w:rsidRDefault="00370535" w:rsidP="00370535">
      <w:pPr>
        <w:rPr>
          <w:rFonts w:cs="Arial"/>
        </w:rPr>
      </w:pPr>
    </w:p>
    <w:p w14:paraId="776D1CF5" w14:textId="77777777" w:rsidR="00370535" w:rsidRPr="00370535" w:rsidRDefault="00370535" w:rsidP="00370535">
      <w:pPr>
        <w:rPr>
          <w:rFonts w:cs="Arial"/>
          <w:b/>
          <w:bCs/>
        </w:rPr>
      </w:pPr>
      <w:r w:rsidRPr="00370535">
        <w:rPr>
          <w:rFonts w:cs="Arial"/>
          <w:b/>
          <w:bCs/>
        </w:rPr>
        <w:t>Table 3.18: Range of estimated percentage prevalence of osteoporosis (50 years and over) based on people on GP practice registers by local authority area, health board and Wales, 2025</w:t>
      </w:r>
    </w:p>
    <w:p w14:paraId="2FFCD74B" w14:textId="77777777" w:rsidR="00370535" w:rsidRPr="00D0306F" w:rsidRDefault="00370535" w:rsidP="00370535">
      <w:pPr>
        <w:rPr>
          <w:rFonts w:cs="Arial"/>
          <w:b/>
          <w:bCs/>
        </w:rPr>
      </w:pPr>
    </w:p>
    <w:tbl>
      <w:tblPr>
        <w:tblStyle w:val="TableGrid"/>
        <w:tblW w:w="8784" w:type="dxa"/>
        <w:tblInd w:w="-5" w:type="dxa"/>
        <w:tblLook w:val="04A0" w:firstRow="1" w:lastRow="0" w:firstColumn="1" w:lastColumn="0" w:noHBand="0" w:noVBand="1"/>
      </w:tblPr>
      <w:tblGrid>
        <w:gridCol w:w="4531"/>
        <w:gridCol w:w="4253"/>
      </w:tblGrid>
      <w:tr w:rsidR="00A9466B" w:rsidRPr="00D0306F" w14:paraId="31D755B2" w14:textId="77777777" w:rsidTr="00A9466B">
        <w:tc>
          <w:tcPr>
            <w:tcW w:w="4531" w:type="dxa"/>
            <w:tcBorders>
              <w:top w:val="single" w:sz="8" w:space="0" w:color="auto"/>
              <w:left w:val="single" w:sz="8" w:space="0" w:color="auto"/>
              <w:bottom w:val="single" w:sz="8" w:space="0" w:color="auto"/>
              <w:right w:val="single" w:sz="8" w:space="0" w:color="auto"/>
            </w:tcBorders>
            <w:shd w:val="clear" w:color="auto" w:fill="153D63" w:themeFill="text2" w:themeFillTint="E6"/>
            <w:vAlign w:val="center"/>
          </w:tcPr>
          <w:p w14:paraId="44466EBA" w14:textId="771B089F" w:rsidR="00A9466B" w:rsidRPr="00D0306F" w:rsidRDefault="00A9466B" w:rsidP="00A9466B">
            <w:pPr>
              <w:rPr>
                <w:rFonts w:cs="Arial"/>
                <w:b/>
                <w:bCs/>
              </w:rPr>
            </w:pPr>
            <w:r w:rsidRPr="00370535">
              <w:rPr>
                <w:rFonts w:cs="Arial"/>
                <w:b/>
                <w:bCs/>
              </w:rPr>
              <w:t>Area</w:t>
            </w:r>
          </w:p>
        </w:tc>
        <w:tc>
          <w:tcPr>
            <w:tcW w:w="4253" w:type="dxa"/>
            <w:tcBorders>
              <w:top w:val="single" w:sz="8" w:space="0" w:color="auto"/>
              <w:left w:val="nil"/>
              <w:bottom w:val="single" w:sz="8" w:space="0" w:color="auto"/>
              <w:right w:val="single" w:sz="8" w:space="0" w:color="auto"/>
            </w:tcBorders>
            <w:shd w:val="clear" w:color="auto" w:fill="153D63" w:themeFill="text2" w:themeFillTint="E6"/>
            <w:vAlign w:val="center"/>
          </w:tcPr>
          <w:p w14:paraId="5D12B5DA" w14:textId="6326A555" w:rsidR="00A9466B" w:rsidRPr="00D0306F" w:rsidRDefault="00A9466B" w:rsidP="00A9466B">
            <w:pPr>
              <w:rPr>
                <w:rFonts w:cs="Arial"/>
                <w:b/>
                <w:bCs/>
              </w:rPr>
            </w:pPr>
            <w:r w:rsidRPr="00370535">
              <w:rPr>
                <w:rFonts w:cs="Arial"/>
                <w:b/>
                <w:bCs/>
              </w:rPr>
              <w:t>Osteoporosis (50 years and over) percentage prevalence range at cluster level</w:t>
            </w:r>
          </w:p>
        </w:tc>
      </w:tr>
      <w:tr w:rsidR="00A9466B" w:rsidRPr="00D0306F" w14:paraId="54D11C27" w14:textId="77777777" w:rsidTr="00A9466B">
        <w:tc>
          <w:tcPr>
            <w:tcW w:w="4531" w:type="dxa"/>
            <w:tcBorders>
              <w:top w:val="nil"/>
              <w:left w:val="single" w:sz="8" w:space="0" w:color="auto"/>
              <w:bottom w:val="single" w:sz="8" w:space="0" w:color="auto"/>
              <w:right w:val="single" w:sz="8" w:space="0" w:color="auto"/>
            </w:tcBorders>
            <w:shd w:val="clear" w:color="auto" w:fill="auto"/>
            <w:vAlign w:val="center"/>
          </w:tcPr>
          <w:p w14:paraId="2CFF5DEA" w14:textId="666132A0" w:rsidR="00A9466B" w:rsidRPr="00D0306F" w:rsidRDefault="00A9466B" w:rsidP="00A9466B">
            <w:pPr>
              <w:rPr>
                <w:rFonts w:cs="Arial"/>
                <w:b/>
                <w:bCs/>
              </w:rPr>
            </w:pPr>
            <w:r w:rsidRPr="00370535">
              <w:rPr>
                <w:rFonts w:cs="Arial"/>
              </w:rPr>
              <w:t>Swansea</w:t>
            </w:r>
          </w:p>
        </w:tc>
        <w:tc>
          <w:tcPr>
            <w:tcW w:w="4253" w:type="dxa"/>
            <w:tcBorders>
              <w:top w:val="nil"/>
              <w:left w:val="nil"/>
              <w:bottom w:val="single" w:sz="8" w:space="0" w:color="auto"/>
              <w:right w:val="single" w:sz="8" w:space="0" w:color="auto"/>
            </w:tcBorders>
            <w:shd w:val="clear" w:color="auto" w:fill="auto"/>
            <w:vAlign w:val="center"/>
          </w:tcPr>
          <w:p w14:paraId="5BC2A216" w14:textId="39E00E13" w:rsidR="00A9466B" w:rsidRPr="00D0306F" w:rsidRDefault="00A9466B" w:rsidP="00A9466B">
            <w:pPr>
              <w:jc w:val="center"/>
              <w:rPr>
                <w:rFonts w:cs="Arial"/>
                <w:b/>
                <w:bCs/>
              </w:rPr>
            </w:pPr>
            <w:r w:rsidRPr="00370535">
              <w:rPr>
                <w:rFonts w:cs="Arial"/>
              </w:rPr>
              <w:t>0.3% - 0.8%</w:t>
            </w:r>
          </w:p>
        </w:tc>
      </w:tr>
      <w:tr w:rsidR="00A9466B" w:rsidRPr="00D0306F" w14:paraId="7D5E0F7A" w14:textId="77777777" w:rsidTr="00A9466B">
        <w:tc>
          <w:tcPr>
            <w:tcW w:w="4531" w:type="dxa"/>
            <w:tcBorders>
              <w:top w:val="nil"/>
              <w:left w:val="single" w:sz="8" w:space="0" w:color="auto"/>
              <w:bottom w:val="single" w:sz="8" w:space="0" w:color="auto"/>
              <w:right w:val="single" w:sz="8" w:space="0" w:color="auto"/>
            </w:tcBorders>
            <w:shd w:val="clear" w:color="auto" w:fill="auto"/>
            <w:vAlign w:val="center"/>
          </w:tcPr>
          <w:p w14:paraId="7531EF2A" w14:textId="6388C298" w:rsidR="00A9466B" w:rsidRPr="00D0306F" w:rsidRDefault="00A9466B" w:rsidP="00A9466B">
            <w:pPr>
              <w:rPr>
                <w:rFonts w:cs="Arial"/>
                <w:b/>
                <w:bCs/>
              </w:rPr>
            </w:pPr>
            <w:r w:rsidRPr="00370535">
              <w:rPr>
                <w:rFonts w:cs="Arial"/>
              </w:rPr>
              <w:t>Neath Port Talbot</w:t>
            </w:r>
          </w:p>
        </w:tc>
        <w:tc>
          <w:tcPr>
            <w:tcW w:w="4253" w:type="dxa"/>
            <w:tcBorders>
              <w:top w:val="nil"/>
              <w:left w:val="nil"/>
              <w:bottom w:val="single" w:sz="8" w:space="0" w:color="auto"/>
              <w:right w:val="single" w:sz="8" w:space="0" w:color="auto"/>
            </w:tcBorders>
            <w:shd w:val="clear" w:color="auto" w:fill="auto"/>
            <w:vAlign w:val="center"/>
          </w:tcPr>
          <w:p w14:paraId="17B106C9" w14:textId="109E3D4E" w:rsidR="00A9466B" w:rsidRPr="00D0306F" w:rsidRDefault="00A9466B" w:rsidP="00A9466B">
            <w:pPr>
              <w:jc w:val="center"/>
              <w:rPr>
                <w:rFonts w:cs="Arial"/>
                <w:b/>
                <w:bCs/>
              </w:rPr>
            </w:pPr>
            <w:r w:rsidRPr="00370535">
              <w:rPr>
                <w:rFonts w:cs="Arial"/>
              </w:rPr>
              <w:t>0.7% - 1.3%</w:t>
            </w:r>
          </w:p>
        </w:tc>
      </w:tr>
      <w:tr w:rsidR="00A9466B" w:rsidRPr="00D0306F" w14:paraId="29B7DE60" w14:textId="77777777" w:rsidTr="00A9466B">
        <w:tc>
          <w:tcPr>
            <w:tcW w:w="4531" w:type="dxa"/>
            <w:tcBorders>
              <w:top w:val="nil"/>
              <w:left w:val="single" w:sz="8" w:space="0" w:color="auto"/>
              <w:bottom w:val="single" w:sz="8" w:space="0" w:color="auto"/>
              <w:right w:val="single" w:sz="8" w:space="0" w:color="auto"/>
            </w:tcBorders>
            <w:shd w:val="clear" w:color="auto" w:fill="auto"/>
            <w:vAlign w:val="center"/>
          </w:tcPr>
          <w:p w14:paraId="1C84BFF2" w14:textId="21A28505" w:rsidR="00A9466B" w:rsidRPr="00D0306F" w:rsidRDefault="00A9466B" w:rsidP="00A9466B">
            <w:pPr>
              <w:rPr>
                <w:rFonts w:cs="Arial"/>
                <w:b/>
                <w:bCs/>
              </w:rPr>
            </w:pPr>
            <w:r w:rsidRPr="00370535">
              <w:rPr>
                <w:rFonts w:cs="Arial"/>
              </w:rPr>
              <w:t>Swansea Bay University Health Board</w:t>
            </w:r>
          </w:p>
        </w:tc>
        <w:tc>
          <w:tcPr>
            <w:tcW w:w="4253" w:type="dxa"/>
            <w:tcBorders>
              <w:top w:val="nil"/>
              <w:left w:val="nil"/>
              <w:bottom w:val="single" w:sz="8" w:space="0" w:color="auto"/>
              <w:right w:val="single" w:sz="8" w:space="0" w:color="auto"/>
            </w:tcBorders>
            <w:shd w:val="clear" w:color="auto" w:fill="auto"/>
            <w:vAlign w:val="center"/>
          </w:tcPr>
          <w:p w14:paraId="2BC46DDF" w14:textId="72D5E6AE" w:rsidR="00A9466B" w:rsidRPr="00D0306F" w:rsidRDefault="00A9466B" w:rsidP="00A9466B">
            <w:pPr>
              <w:jc w:val="center"/>
              <w:rPr>
                <w:rFonts w:cs="Arial"/>
                <w:b/>
                <w:bCs/>
              </w:rPr>
            </w:pPr>
            <w:r w:rsidRPr="00370535">
              <w:rPr>
                <w:rFonts w:cs="Arial"/>
              </w:rPr>
              <w:t>0.7%</w:t>
            </w:r>
          </w:p>
        </w:tc>
      </w:tr>
      <w:tr w:rsidR="00A9466B" w:rsidRPr="00D0306F" w14:paraId="75DB1246" w14:textId="77777777" w:rsidTr="00A9466B">
        <w:tc>
          <w:tcPr>
            <w:tcW w:w="4531" w:type="dxa"/>
            <w:tcBorders>
              <w:top w:val="nil"/>
              <w:left w:val="single" w:sz="8" w:space="0" w:color="auto"/>
              <w:bottom w:val="single" w:sz="8" w:space="0" w:color="auto"/>
              <w:right w:val="single" w:sz="8" w:space="0" w:color="auto"/>
            </w:tcBorders>
            <w:shd w:val="clear" w:color="auto" w:fill="auto"/>
            <w:vAlign w:val="center"/>
          </w:tcPr>
          <w:p w14:paraId="0DDAE4F7" w14:textId="12FFA78F" w:rsidR="00A9466B" w:rsidRPr="00D0306F" w:rsidRDefault="00A9466B" w:rsidP="00A9466B">
            <w:pPr>
              <w:rPr>
                <w:rFonts w:cs="Arial"/>
                <w:b/>
                <w:bCs/>
              </w:rPr>
            </w:pPr>
            <w:r w:rsidRPr="00370535">
              <w:rPr>
                <w:rFonts w:cs="Arial"/>
              </w:rPr>
              <w:t>Wales</w:t>
            </w:r>
          </w:p>
        </w:tc>
        <w:tc>
          <w:tcPr>
            <w:tcW w:w="4253" w:type="dxa"/>
            <w:tcBorders>
              <w:top w:val="nil"/>
              <w:left w:val="nil"/>
              <w:bottom w:val="single" w:sz="8" w:space="0" w:color="auto"/>
              <w:right w:val="single" w:sz="8" w:space="0" w:color="auto"/>
            </w:tcBorders>
            <w:shd w:val="clear" w:color="auto" w:fill="auto"/>
            <w:vAlign w:val="center"/>
          </w:tcPr>
          <w:p w14:paraId="218E9446" w14:textId="74CBE6A6" w:rsidR="00A9466B" w:rsidRPr="00D0306F" w:rsidRDefault="00A9466B" w:rsidP="00A9466B">
            <w:pPr>
              <w:jc w:val="center"/>
              <w:rPr>
                <w:rFonts w:cs="Arial"/>
                <w:b/>
                <w:bCs/>
              </w:rPr>
            </w:pPr>
            <w:r w:rsidRPr="00370535">
              <w:rPr>
                <w:rFonts w:cs="Arial"/>
              </w:rPr>
              <w:t>0.6%</w:t>
            </w:r>
          </w:p>
        </w:tc>
      </w:tr>
    </w:tbl>
    <w:p w14:paraId="6E9F9D44" w14:textId="77777777" w:rsidR="00370535" w:rsidRPr="00370535" w:rsidRDefault="00370535" w:rsidP="00370535">
      <w:pPr>
        <w:rPr>
          <w:rFonts w:cs="Arial"/>
          <w:b/>
          <w:bCs/>
        </w:rPr>
      </w:pPr>
    </w:p>
    <w:p w14:paraId="7C612A78" w14:textId="77777777" w:rsidR="00370535" w:rsidRPr="00370535" w:rsidRDefault="00370535" w:rsidP="00370535">
      <w:pPr>
        <w:rPr>
          <w:rFonts w:cs="Arial"/>
          <w:b/>
          <w:bCs/>
        </w:rPr>
      </w:pPr>
      <w:r w:rsidRPr="00370535">
        <w:rPr>
          <w:rFonts w:cs="Arial"/>
          <w:b/>
          <w:bCs/>
        </w:rPr>
        <w:t>3.3.7 Dementia</w:t>
      </w:r>
    </w:p>
    <w:p w14:paraId="36A725AC" w14:textId="77777777" w:rsidR="00370535" w:rsidRPr="00370535" w:rsidRDefault="00370535" w:rsidP="00370535">
      <w:pPr>
        <w:rPr>
          <w:rFonts w:cs="Arial"/>
        </w:rPr>
      </w:pPr>
    </w:p>
    <w:p w14:paraId="455CF680" w14:textId="77777777" w:rsidR="00370535" w:rsidRPr="00370535" w:rsidRDefault="00370535" w:rsidP="00370535">
      <w:pPr>
        <w:rPr>
          <w:rFonts w:cs="Arial"/>
        </w:rPr>
      </w:pPr>
      <w:r w:rsidRPr="00370535">
        <w:rPr>
          <w:rFonts w:cs="Arial"/>
        </w:rPr>
        <w:t xml:space="preserve">Dementia is a term used to describe a collection of symptoms including memory loss, problems with reasoning, perception and communication skills. It is caused by different brain diseases, most commonly Alzheimer’s disease. Dementia is a significant health and social care issue which impacts not only on those living with dementia, but on their families, friends and carers too. It is more common in older people. </w:t>
      </w:r>
    </w:p>
    <w:p w14:paraId="1A695D20" w14:textId="77777777" w:rsidR="00370535" w:rsidRPr="00370535" w:rsidRDefault="00370535" w:rsidP="00370535">
      <w:pPr>
        <w:rPr>
          <w:rFonts w:cs="Arial"/>
        </w:rPr>
      </w:pPr>
    </w:p>
    <w:p w14:paraId="5726592F" w14:textId="77777777" w:rsidR="00370535" w:rsidRPr="00370535" w:rsidRDefault="00370535" w:rsidP="00370535">
      <w:pPr>
        <w:rPr>
          <w:rFonts w:cs="Arial"/>
        </w:rPr>
      </w:pPr>
      <w:r w:rsidRPr="00370535">
        <w:rPr>
          <w:rFonts w:cs="Arial"/>
        </w:rPr>
        <w:t>Dementia is a major and growing global health challenge</w:t>
      </w:r>
      <w:r w:rsidRPr="00370535">
        <w:rPr>
          <w:rFonts w:cs="Arial"/>
          <w:vertAlign w:val="superscript"/>
        </w:rPr>
        <w:footnoteReference w:id="122"/>
      </w:r>
      <w:r w:rsidRPr="00370535">
        <w:rPr>
          <w:rFonts w:cs="Arial"/>
        </w:rPr>
        <w:t xml:space="preserve">. In 2019, an estimated 57 million people worldwide were living with the condition, a figure projected to rise to 153 million by 2050. It is currently the seventh leading cause of death globally and a major contributor to disability among older adults. </w:t>
      </w:r>
    </w:p>
    <w:p w14:paraId="753841A1" w14:textId="77777777" w:rsidR="00370535" w:rsidRPr="00370535" w:rsidRDefault="00370535" w:rsidP="00370535">
      <w:pPr>
        <w:rPr>
          <w:rFonts w:cs="Arial"/>
        </w:rPr>
      </w:pPr>
    </w:p>
    <w:p w14:paraId="0A3AAA5D" w14:textId="77777777" w:rsidR="00370535" w:rsidRPr="00370535" w:rsidRDefault="00370535" w:rsidP="00370535">
      <w:pPr>
        <w:rPr>
          <w:rFonts w:cs="Arial"/>
        </w:rPr>
      </w:pPr>
      <w:r w:rsidRPr="00370535">
        <w:rPr>
          <w:rFonts w:cs="Arial"/>
        </w:rPr>
        <w:t>Research suggests that up to 45.0% of dementia cases could be prevented by addressing 14 modifiable risk factors across the life course. These include:</w:t>
      </w:r>
    </w:p>
    <w:p w14:paraId="07A6626B" w14:textId="77777777" w:rsidR="00370535" w:rsidRPr="00370535" w:rsidRDefault="00370535" w:rsidP="00370535">
      <w:pPr>
        <w:rPr>
          <w:rFonts w:cs="Arial"/>
        </w:rPr>
      </w:pPr>
    </w:p>
    <w:p w14:paraId="151A51EE" w14:textId="77777777" w:rsidR="00370535" w:rsidRPr="00370535" w:rsidRDefault="00370535" w:rsidP="00B76905">
      <w:pPr>
        <w:numPr>
          <w:ilvl w:val="0"/>
          <w:numId w:val="57"/>
        </w:numPr>
        <w:rPr>
          <w:rFonts w:cs="Arial"/>
        </w:rPr>
      </w:pPr>
      <w:r w:rsidRPr="00370535">
        <w:rPr>
          <w:rFonts w:cs="Arial"/>
        </w:rPr>
        <w:t>Physical inactivity,</w:t>
      </w:r>
    </w:p>
    <w:p w14:paraId="2DC5CDA3" w14:textId="77777777" w:rsidR="00370535" w:rsidRPr="00370535" w:rsidRDefault="00370535" w:rsidP="00B76905">
      <w:pPr>
        <w:numPr>
          <w:ilvl w:val="0"/>
          <w:numId w:val="57"/>
        </w:numPr>
        <w:rPr>
          <w:rFonts w:cs="Arial"/>
        </w:rPr>
      </w:pPr>
      <w:r w:rsidRPr="00370535">
        <w:rPr>
          <w:rFonts w:cs="Arial"/>
        </w:rPr>
        <w:t>Smoking,</w:t>
      </w:r>
    </w:p>
    <w:p w14:paraId="186EA635" w14:textId="77777777" w:rsidR="00370535" w:rsidRPr="00370535" w:rsidRDefault="00370535" w:rsidP="00B76905">
      <w:pPr>
        <w:numPr>
          <w:ilvl w:val="0"/>
          <w:numId w:val="57"/>
        </w:numPr>
        <w:rPr>
          <w:rFonts w:cs="Arial"/>
        </w:rPr>
      </w:pPr>
      <w:r w:rsidRPr="00370535">
        <w:rPr>
          <w:rFonts w:cs="Arial"/>
        </w:rPr>
        <w:t>Excessive alcohol consumption,</w:t>
      </w:r>
    </w:p>
    <w:p w14:paraId="67EAF760" w14:textId="77777777" w:rsidR="00370535" w:rsidRPr="00370535" w:rsidRDefault="00370535" w:rsidP="00B76905">
      <w:pPr>
        <w:numPr>
          <w:ilvl w:val="0"/>
          <w:numId w:val="57"/>
        </w:numPr>
        <w:rPr>
          <w:rFonts w:cs="Arial"/>
        </w:rPr>
      </w:pPr>
      <w:r w:rsidRPr="00370535">
        <w:rPr>
          <w:rFonts w:cs="Arial"/>
        </w:rPr>
        <w:t>Untreated hearing and vision loss,</w:t>
      </w:r>
    </w:p>
    <w:p w14:paraId="3C20F996" w14:textId="77777777" w:rsidR="00370535" w:rsidRPr="00370535" w:rsidRDefault="00370535" w:rsidP="00B76905">
      <w:pPr>
        <w:numPr>
          <w:ilvl w:val="0"/>
          <w:numId w:val="57"/>
        </w:numPr>
        <w:rPr>
          <w:rFonts w:cs="Arial"/>
        </w:rPr>
      </w:pPr>
      <w:r w:rsidRPr="00370535">
        <w:rPr>
          <w:rFonts w:cs="Arial"/>
        </w:rPr>
        <w:t xml:space="preserve">Social isolation, and </w:t>
      </w:r>
    </w:p>
    <w:p w14:paraId="5813D5EB" w14:textId="77777777" w:rsidR="00370535" w:rsidRPr="00370535" w:rsidRDefault="00370535" w:rsidP="00B76905">
      <w:pPr>
        <w:numPr>
          <w:ilvl w:val="0"/>
          <w:numId w:val="57"/>
        </w:numPr>
        <w:rPr>
          <w:rFonts w:cs="Arial"/>
        </w:rPr>
      </w:pPr>
      <w:r w:rsidRPr="00370535">
        <w:rPr>
          <w:rFonts w:cs="Arial"/>
        </w:rPr>
        <w:t xml:space="preserve">Conditions such as hypertension, diabetes, and obesity. </w:t>
      </w:r>
    </w:p>
    <w:p w14:paraId="0C027DD4" w14:textId="77777777" w:rsidR="00370535" w:rsidRDefault="00370535" w:rsidP="00370535">
      <w:pPr>
        <w:rPr>
          <w:rFonts w:cs="Arial"/>
        </w:rPr>
      </w:pPr>
    </w:p>
    <w:p w14:paraId="63A3920A" w14:textId="15267528" w:rsidR="003345AD" w:rsidRDefault="00370535" w:rsidP="00370535">
      <w:pPr>
        <w:rPr>
          <w:rFonts w:cs="Arial"/>
        </w:rPr>
      </w:pPr>
      <w:r w:rsidRPr="00370535">
        <w:rPr>
          <w:rFonts w:cs="Arial"/>
        </w:rPr>
        <w:t>This evidence challenges the long-held view that dementia is an unavoidable part of ageing and highlights the importance of early and sustained action to protect brain</w:t>
      </w:r>
      <w:r w:rsidR="003345AD">
        <w:rPr>
          <w:rFonts w:cs="Arial"/>
        </w:rPr>
        <w:t xml:space="preserve"> </w:t>
      </w:r>
    </w:p>
    <w:p w14:paraId="56A1DF3E" w14:textId="7F694C1B" w:rsidR="00370535" w:rsidRPr="00370535" w:rsidRDefault="00370535" w:rsidP="00370535">
      <w:pPr>
        <w:rPr>
          <w:rFonts w:cs="Arial"/>
        </w:rPr>
      </w:pPr>
      <w:r w:rsidRPr="00370535">
        <w:rPr>
          <w:rFonts w:cs="Arial"/>
        </w:rPr>
        <w:lastRenderedPageBreak/>
        <w:t>health.</w:t>
      </w:r>
    </w:p>
    <w:p w14:paraId="1AFE3454" w14:textId="77777777" w:rsidR="00370535" w:rsidRPr="00370535" w:rsidRDefault="00370535" w:rsidP="00370535">
      <w:pPr>
        <w:rPr>
          <w:rFonts w:cs="Arial"/>
        </w:rPr>
      </w:pPr>
    </w:p>
    <w:p w14:paraId="252A3616" w14:textId="77777777" w:rsidR="00370535" w:rsidRPr="00370535" w:rsidRDefault="00370535" w:rsidP="00370535">
      <w:pPr>
        <w:rPr>
          <w:rFonts w:cs="Arial"/>
        </w:rPr>
      </w:pPr>
      <w:r w:rsidRPr="00370535">
        <w:rPr>
          <w:rFonts w:cs="Arial"/>
        </w:rPr>
        <w:t>The table below shows the recorded prevalence based on the quality outcomes framework 2025 reported prevalence rates by GP practices for dementia across clusters in Swansea and Neath Port Talbot. Figures are compared with the Swansea Bay University Health Board and the Wales rates.</w:t>
      </w:r>
    </w:p>
    <w:p w14:paraId="5F69ACFA" w14:textId="77777777" w:rsidR="00370535" w:rsidRPr="00370535" w:rsidRDefault="00370535" w:rsidP="00370535">
      <w:pPr>
        <w:rPr>
          <w:rFonts w:cs="Arial"/>
          <w:b/>
        </w:rPr>
      </w:pPr>
    </w:p>
    <w:p w14:paraId="741DDB7E" w14:textId="77777777" w:rsidR="00370535" w:rsidRPr="00370535" w:rsidRDefault="00370535" w:rsidP="00370535">
      <w:pPr>
        <w:rPr>
          <w:rFonts w:cs="Arial"/>
          <w:b/>
          <w:bCs/>
        </w:rPr>
      </w:pPr>
      <w:r w:rsidRPr="00370535">
        <w:rPr>
          <w:rFonts w:cs="Arial"/>
          <w:b/>
          <w:bCs/>
        </w:rPr>
        <w:t>Table 3.19: Estimated percentage prevalence of patients registered as having</w:t>
      </w:r>
      <w:r w:rsidRPr="00370535">
        <w:rPr>
          <w:rFonts w:cs="Arial"/>
        </w:rPr>
        <w:t xml:space="preserve"> </w:t>
      </w:r>
      <w:r w:rsidRPr="00370535">
        <w:rPr>
          <w:rFonts w:cs="Arial"/>
          <w:b/>
          <w:bCs/>
        </w:rPr>
        <w:t>dementia by cluster, health board and Wales, 2025</w:t>
      </w:r>
      <w:r w:rsidRPr="00370535">
        <w:rPr>
          <w:rFonts w:cs="Arial"/>
          <w:b/>
          <w:bCs/>
          <w:vertAlign w:val="superscript"/>
        </w:rPr>
        <w:footnoteReference w:id="123"/>
      </w:r>
    </w:p>
    <w:p w14:paraId="387A6776" w14:textId="77777777" w:rsidR="00370535" w:rsidRPr="00370535" w:rsidRDefault="00370535" w:rsidP="00370535">
      <w:pPr>
        <w:rPr>
          <w:rFonts w:cs="Arial"/>
          <w:b/>
        </w:rPr>
      </w:pPr>
    </w:p>
    <w:tbl>
      <w:tblPr>
        <w:tblStyle w:val="TableGrid3"/>
        <w:tblW w:w="8640" w:type="dxa"/>
        <w:tblInd w:w="-5" w:type="dxa"/>
        <w:tblLayout w:type="fixed"/>
        <w:tblLook w:val="04A0" w:firstRow="1" w:lastRow="0" w:firstColumn="1" w:lastColumn="0" w:noHBand="0" w:noVBand="1"/>
      </w:tblPr>
      <w:tblGrid>
        <w:gridCol w:w="4392"/>
        <w:gridCol w:w="2266"/>
        <w:gridCol w:w="1982"/>
      </w:tblGrid>
      <w:tr w:rsidR="00370535" w:rsidRPr="00370535" w14:paraId="423448F0" w14:textId="77777777" w:rsidTr="00370535">
        <w:tc>
          <w:tcPr>
            <w:tcW w:w="4395"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4ADFE8EB" w14:textId="77777777" w:rsidR="00370535" w:rsidRPr="00370535" w:rsidRDefault="00370535" w:rsidP="00370535">
            <w:pPr>
              <w:rPr>
                <w:rFonts w:cs="Arial"/>
                <w:b/>
              </w:rPr>
            </w:pPr>
            <w:r w:rsidRPr="00370535">
              <w:rPr>
                <w:rFonts w:cs="Arial"/>
                <w:b/>
                <w:bCs/>
              </w:rPr>
              <w:t>Cluster/Area</w:t>
            </w:r>
          </w:p>
        </w:tc>
        <w:tc>
          <w:tcPr>
            <w:tcW w:w="2268"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0AF74B0D" w14:textId="77777777" w:rsidR="00370535" w:rsidRPr="00370535" w:rsidRDefault="00370535" w:rsidP="00370535">
            <w:pPr>
              <w:rPr>
                <w:rFonts w:cs="Arial"/>
                <w:b/>
                <w:bCs/>
              </w:rPr>
            </w:pPr>
            <w:r w:rsidRPr="00370535">
              <w:rPr>
                <w:rFonts w:cs="Arial"/>
                <w:b/>
                <w:bCs/>
              </w:rPr>
              <w:t>Local authority</w:t>
            </w:r>
          </w:p>
        </w:tc>
        <w:tc>
          <w:tcPr>
            <w:tcW w:w="1984"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4C06F6BB" w14:textId="77777777" w:rsidR="00370535" w:rsidRPr="00370535" w:rsidRDefault="00370535" w:rsidP="00A9466B">
            <w:pPr>
              <w:jc w:val="center"/>
              <w:rPr>
                <w:rFonts w:cs="Arial"/>
                <w:b/>
                <w:bCs/>
              </w:rPr>
            </w:pPr>
            <w:r w:rsidRPr="00370535">
              <w:rPr>
                <w:rFonts w:cs="Arial"/>
                <w:b/>
                <w:bCs/>
              </w:rPr>
              <w:t>Dementia</w:t>
            </w:r>
          </w:p>
        </w:tc>
      </w:tr>
      <w:tr w:rsidR="00370535" w:rsidRPr="00370535" w14:paraId="39388112" w14:textId="77777777" w:rsidTr="00370535">
        <w:tc>
          <w:tcPr>
            <w:tcW w:w="4395" w:type="dxa"/>
            <w:tcBorders>
              <w:top w:val="single" w:sz="4" w:space="0" w:color="auto"/>
              <w:left w:val="single" w:sz="4" w:space="0" w:color="auto"/>
              <w:bottom w:val="single" w:sz="4" w:space="0" w:color="auto"/>
              <w:right w:val="single" w:sz="4" w:space="0" w:color="auto"/>
            </w:tcBorders>
            <w:hideMark/>
          </w:tcPr>
          <w:p w14:paraId="6ADEF354" w14:textId="77777777" w:rsidR="00370535" w:rsidRPr="00370535" w:rsidRDefault="00370535" w:rsidP="00370535">
            <w:pPr>
              <w:rPr>
                <w:rFonts w:cs="Arial"/>
              </w:rPr>
            </w:pPr>
            <w:r w:rsidRPr="00370535">
              <w:rPr>
                <w:rFonts w:cs="Arial"/>
              </w:rPr>
              <w:t>Bay Health</w:t>
            </w:r>
          </w:p>
        </w:tc>
        <w:tc>
          <w:tcPr>
            <w:tcW w:w="2268" w:type="dxa"/>
            <w:tcBorders>
              <w:top w:val="single" w:sz="4" w:space="0" w:color="auto"/>
              <w:left w:val="single" w:sz="4" w:space="0" w:color="auto"/>
              <w:bottom w:val="single" w:sz="4" w:space="0" w:color="auto"/>
              <w:right w:val="single" w:sz="4" w:space="0" w:color="auto"/>
            </w:tcBorders>
            <w:hideMark/>
          </w:tcPr>
          <w:p w14:paraId="0629DD0C" w14:textId="77777777" w:rsidR="00370535" w:rsidRPr="00370535" w:rsidRDefault="00370535" w:rsidP="00370535">
            <w:pPr>
              <w:rPr>
                <w:rFonts w:cs="Arial"/>
                <w:bCs/>
              </w:rPr>
            </w:pPr>
            <w:r w:rsidRPr="00370535">
              <w:rPr>
                <w:rFonts w:cs="Arial"/>
                <w:bCs/>
              </w:rPr>
              <w:t>Swansea</w:t>
            </w:r>
          </w:p>
        </w:tc>
        <w:tc>
          <w:tcPr>
            <w:tcW w:w="1984" w:type="dxa"/>
            <w:tcBorders>
              <w:top w:val="single" w:sz="4" w:space="0" w:color="auto"/>
              <w:left w:val="single" w:sz="4" w:space="0" w:color="auto"/>
              <w:bottom w:val="single" w:sz="4" w:space="0" w:color="auto"/>
              <w:right w:val="single" w:sz="4" w:space="0" w:color="auto"/>
            </w:tcBorders>
            <w:hideMark/>
          </w:tcPr>
          <w:p w14:paraId="0F11CED5" w14:textId="77777777" w:rsidR="00370535" w:rsidRPr="00370535" w:rsidRDefault="00370535" w:rsidP="00A9466B">
            <w:pPr>
              <w:jc w:val="center"/>
              <w:rPr>
                <w:rFonts w:cs="Arial"/>
                <w:bCs/>
              </w:rPr>
            </w:pPr>
            <w:r w:rsidRPr="00370535">
              <w:rPr>
                <w:rFonts w:cs="Arial"/>
                <w:bCs/>
              </w:rPr>
              <w:t>0.8%</w:t>
            </w:r>
          </w:p>
        </w:tc>
      </w:tr>
      <w:tr w:rsidR="00370535" w:rsidRPr="00370535" w14:paraId="57B8F3A3" w14:textId="77777777" w:rsidTr="00370535">
        <w:tc>
          <w:tcPr>
            <w:tcW w:w="4395" w:type="dxa"/>
            <w:tcBorders>
              <w:top w:val="single" w:sz="4" w:space="0" w:color="auto"/>
              <w:left w:val="single" w:sz="4" w:space="0" w:color="auto"/>
              <w:bottom w:val="single" w:sz="4" w:space="0" w:color="auto"/>
              <w:right w:val="single" w:sz="4" w:space="0" w:color="auto"/>
            </w:tcBorders>
            <w:hideMark/>
          </w:tcPr>
          <w:p w14:paraId="47BC5226" w14:textId="77777777" w:rsidR="00370535" w:rsidRPr="00370535" w:rsidRDefault="00370535" w:rsidP="00370535">
            <w:pPr>
              <w:rPr>
                <w:rFonts w:cs="Arial"/>
              </w:rPr>
            </w:pPr>
            <w:r w:rsidRPr="00370535">
              <w:rPr>
                <w:rFonts w:cs="Arial"/>
              </w:rPr>
              <w:t>City Health</w:t>
            </w:r>
          </w:p>
        </w:tc>
        <w:tc>
          <w:tcPr>
            <w:tcW w:w="2268" w:type="dxa"/>
            <w:tcBorders>
              <w:top w:val="single" w:sz="4" w:space="0" w:color="auto"/>
              <w:left w:val="single" w:sz="4" w:space="0" w:color="auto"/>
              <w:bottom w:val="single" w:sz="4" w:space="0" w:color="auto"/>
              <w:right w:val="single" w:sz="4" w:space="0" w:color="auto"/>
            </w:tcBorders>
            <w:hideMark/>
          </w:tcPr>
          <w:p w14:paraId="1EA86801" w14:textId="77777777" w:rsidR="00370535" w:rsidRPr="00370535" w:rsidRDefault="00370535" w:rsidP="00370535">
            <w:pPr>
              <w:rPr>
                <w:rFonts w:cs="Arial"/>
                <w:bCs/>
              </w:rPr>
            </w:pPr>
            <w:r w:rsidRPr="00370535">
              <w:rPr>
                <w:rFonts w:cs="Arial"/>
                <w:bCs/>
              </w:rPr>
              <w:t>Swansea</w:t>
            </w:r>
          </w:p>
        </w:tc>
        <w:tc>
          <w:tcPr>
            <w:tcW w:w="1984" w:type="dxa"/>
            <w:tcBorders>
              <w:top w:val="single" w:sz="4" w:space="0" w:color="auto"/>
              <w:left w:val="single" w:sz="4" w:space="0" w:color="auto"/>
              <w:bottom w:val="single" w:sz="4" w:space="0" w:color="auto"/>
              <w:right w:val="single" w:sz="4" w:space="0" w:color="auto"/>
            </w:tcBorders>
            <w:hideMark/>
          </w:tcPr>
          <w:p w14:paraId="3DAAACEE" w14:textId="77777777" w:rsidR="00370535" w:rsidRPr="00370535" w:rsidRDefault="00370535" w:rsidP="00A9466B">
            <w:pPr>
              <w:jc w:val="center"/>
              <w:rPr>
                <w:rFonts w:cs="Arial"/>
                <w:bCs/>
              </w:rPr>
            </w:pPr>
            <w:r w:rsidRPr="00370535">
              <w:rPr>
                <w:rFonts w:cs="Arial"/>
                <w:bCs/>
              </w:rPr>
              <w:t>0.5%</w:t>
            </w:r>
          </w:p>
        </w:tc>
      </w:tr>
      <w:tr w:rsidR="00370535" w:rsidRPr="00370535" w14:paraId="356E5B34" w14:textId="77777777" w:rsidTr="00370535">
        <w:tc>
          <w:tcPr>
            <w:tcW w:w="4395" w:type="dxa"/>
            <w:tcBorders>
              <w:top w:val="single" w:sz="4" w:space="0" w:color="auto"/>
              <w:left w:val="single" w:sz="4" w:space="0" w:color="auto"/>
              <w:bottom w:val="single" w:sz="4" w:space="0" w:color="auto"/>
              <w:right w:val="single" w:sz="4" w:space="0" w:color="auto"/>
            </w:tcBorders>
            <w:hideMark/>
          </w:tcPr>
          <w:p w14:paraId="6D679180" w14:textId="77777777" w:rsidR="00370535" w:rsidRPr="00370535" w:rsidRDefault="00370535" w:rsidP="00370535">
            <w:pPr>
              <w:rPr>
                <w:rFonts w:cs="Arial"/>
              </w:rPr>
            </w:pPr>
            <w:r w:rsidRPr="00370535">
              <w:rPr>
                <w:rFonts w:cs="Arial"/>
              </w:rPr>
              <w:t>Cwmtawe</w:t>
            </w:r>
          </w:p>
        </w:tc>
        <w:tc>
          <w:tcPr>
            <w:tcW w:w="2268" w:type="dxa"/>
            <w:tcBorders>
              <w:top w:val="single" w:sz="4" w:space="0" w:color="auto"/>
              <w:left w:val="single" w:sz="4" w:space="0" w:color="auto"/>
              <w:bottom w:val="single" w:sz="4" w:space="0" w:color="auto"/>
              <w:right w:val="single" w:sz="4" w:space="0" w:color="auto"/>
            </w:tcBorders>
            <w:hideMark/>
          </w:tcPr>
          <w:p w14:paraId="3945BACF" w14:textId="77777777" w:rsidR="00370535" w:rsidRPr="00370535" w:rsidRDefault="00370535" w:rsidP="00370535">
            <w:pPr>
              <w:rPr>
                <w:rFonts w:cs="Arial"/>
                <w:bCs/>
              </w:rPr>
            </w:pPr>
            <w:r w:rsidRPr="00370535">
              <w:rPr>
                <w:rFonts w:cs="Arial"/>
                <w:bCs/>
              </w:rPr>
              <w:t>Swansea</w:t>
            </w:r>
          </w:p>
        </w:tc>
        <w:tc>
          <w:tcPr>
            <w:tcW w:w="1984" w:type="dxa"/>
            <w:tcBorders>
              <w:top w:val="single" w:sz="4" w:space="0" w:color="auto"/>
              <w:left w:val="single" w:sz="4" w:space="0" w:color="auto"/>
              <w:bottom w:val="single" w:sz="4" w:space="0" w:color="auto"/>
              <w:right w:val="single" w:sz="4" w:space="0" w:color="auto"/>
            </w:tcBorders>
            <w:hideMark/>
          </w:tcPr>
          <w:p w14:paraId="431C72D6" w14:textId="77777777" w:rsidR="00370535" w:rsidRPr="00370535" w:rsidRDefault="00370535" w:rsidP="00A9466B">
            <w:pPr>
              <w:jc w:val="center"/>
              <w:rPr>
                <w:rFonts w:cs="Arial"/>
                <w:bCs/>
              </w:rPr>
            </w:pPr>
            <w:r w:rsidRPr="00370535">
              <w:rPr>
                <w:rFonts w:cs="Arial"/>
                <w:bCs/>
              </w:rPr>
              <w:t>0.7%</w:t>
            </w:r>
          </w:p>
        </w:tc>
      </w:tr>
      <w:tr w:rsidR="00370535" w:rsidRPr="00370535" w14:paraId="0A163905" w14:textId="77777777" w:rsidTr="00370535">
        <w:tc>
          <w:tcPr>
            <w:tcW w:w="4395" w:type="dxa"/>
            <w:tcBorders>
              <w:top w:val="single" w:sz="4" w:space="0" w:color="auto"/>
              <w:left w:val="single" w:sz="4" w:space="0" w:color="auto"/>
              <w:bottom w:val="single" w:sz="4" w:space="0" w:color="auto"/>
              <w:right w:val="single" w:sz="4" w:space="0" w:color="auto"/>
            </w:tcBorders>
            <w:hideMark/>
          </w:tcPr>
          <w:p w14:paraId="65AD9D19" w14:textId="77777777" w:rsidR="00370535" w:rsidRPr="00370535" w:rsidRDefault="00370535" w:rsidP="00370535">
            <w:pPr>
              <w:rPr>
                <w:rFonts w:cs="Arial"/>
              </w:rPr>
            </w:pPr>
            <w:r w:rsidRPr="00370535">
              <w:rPr>
                <w:rFonts w:cs="Arial"/>
              </w:rPr>
              <w:t>Llwchwr</w:t>
            </w:r>
          </w:p>
        </w:tc>
        <w:tc>
          <w:tcPr>
            <w:tcW w:w="2268" w:type="dxa"/>
            <w:tcBorders>
              <w:top w:val="single" w:sz="4" w:space="0" w:color="auto"/>
              <w:left w:val="single" w:sz="4" w:space="0" w:color="auto"/>
              <w:bottom w:val="single" w:sz="4" w:space="0" w:color="auto"/>
              <w:right w:val="single" w:sz="4" w:space="0" w:color="auto"/>
            </w:tcBorders>
            <w:hideMark/>
          </w:tcPr>
          <w:p w14:paraId="5070C5A9" w14:textId="77777777" w:rsidR="00370535" w:rsidRPr="00370535" w:rsidRDefault="00370535" w:rsidP="00370535">
            <w:pPr>
              <w:rPr>
                <w:rFonts w:cs="Arial"/>
                <w:bCs/>
              </w:rPr>
            </w:pPr>
            <w:r w:rsidRPr="00370535">
              <w:rPr>
                <w:rFonts w:cs="Arial"/>
                <w:bCs/>
              </w:rPr>
              <w:t>Swansea</w:t>
            </w:r>
          </w:p>
        </w:tc>
        <w:tc>
          <w:tcPr>
            <w:tcW w:w="1984" w:type="dxa"/>
            <w:tcBorders>
              <w:top w:val="single" w:sz="4" w:space="0" w:color="auto"/>
              <w:left w:val="single" w:sz="4" w:space="0" w:color="auto"/>
              <w:bottom w:val="single" w:sz="4" w:space="0" w:color="auto"/>
              <w:right w:val="single" w:sz="4" w:space="0" w:color="auto"/>
            </w:tcBorders>
            <w:hideMark/>
          </w:tcPr>
          <w:p w14:paraId="115BCEB9" w14:textId="77777777" w:rsidR="00370535" w:rsidRPr="00370535" w:rsidRDefault="00370535" w:rsidP="00A9466B">
            <w:pPr>
              <w:jc w:val="center"/>
              <w:rPr>
                <w:rFonts w:cs="Arial"/>
                <w:bCs/>
              </w:rPr>
            </w:pPr>
            <w:r w:rsidRPr="00370535">
              <w:rPr>
                <w:rFonts w:cs="Arial"/>
                <w:bCs/>
              </w:rPr>
              <w:t>0.8%</w:t>
            </w:r>
          </w:p>
        </w:tc>
      </w:tr>
      <w:tr w:rsidR="00370535" w:rsidRPr="00370535" w14:paraId="0FA8A1F9" w14:textId="77777777" w:rsidTr="00370535">
        <w:tc>
          <w:tcPr>
            <w:tcW w:w="4395" w:type="dxa"/>
            <w:tcBorders>
              <w:top w:val="single" w:sz="4" w:space="0" w:color="auto"/>
              <w:left w:val="single" w:sz="4" w:space="0" w:color="auto"/>
              <w:bottom w:val="single" w:sz="4" w:space="0" w:color="auto"/>
              <w:right w:val="single" w:sz="4" w:space="0" w:color="auto"/>
            </w:tcBorders>
            <w:hideMark/>
          </w:tcPr>
          <w:p w14:paraId="119635EF" w14:textId="77777777" w:rsidR="00370535" w:rsidRPr="00370535" w:rsidRDefault="00370535" w:rsidP="00370535">
            <w:pPr>
              <w:rPr>
                <w:rFonts w:cs="Arial"/>
              </w:rPr>
            </w:pPr>
            <w:r w:rsidRPr="00370535">
              <w:rPr>
                <w:rFonts w:cs="Arial"/>
              </w:rPr>
              <w:t>Penderi</w:t>
            </w:r>
          </w:p>
        </w:tc>
        <w:tc>
          <w:tcPr>
            <w:tcW w:w="2268" w:type="dxa"/>
            <w:tcBorders>
              <w:top w:val="single" w:sz="4" w:space="0" w:color="auto"/>
              <w:left w:val="single" w:sz="4" w:space="0" w:color="auto"/>
              <w:bottom w:val="single" w:sz="4" w:space="0" w:color="auto"/>
              <w:right w:val="single" w:sz="4" w:space="0" w:color="auto"/>
            </w:tcBorders>
            <w:hideMark/>
          </w:tcPr>
          <w:p w14:paraId="4A9FBF61" w14:textId="77777777" w:rsidR="00370535" w:rsidRPr="00370535" w:rsidRDefault="00370535" w:rsidP="00370535">
            <w:pPr>
              <w:rPr>
                <w:rFonts w:cs="Arial"/>
                <w:bCs/>
              </w:rPr>
            </w:pPr>
            <w:r w:rsidRPr="00370535">
              <w:rPr>
                <w:rFonts w:cs="Arial"/>
                <w:bCs/>
              </w:rPr>
              <w:t>Swansea</w:t>
            </w:r>
          </w:p>
        </w:tc>
        <w:tc>
          <w:tcPr>
            <w:tcW w:w="1984" w:type="dxa"/>
            <w:tcBorders>
              <w:top w:val="single" w:sz="4" w:space="0" w:color="auto"/>
              <w:left w:val="single" w:sz="4" w:space="0" w:color="auto"/>
              <w:bottom w:val="single" w:sz="4" w:space="0" w:color="auto"/>
              <w:right w:val="single" w:sz="4" w:space="0" w:color="auto"/>
            </w:tcBorders>
            <w:hideMark/>
          </w:tcPr>
          <w:p w14:paraId="6D7DD6DC" w14:textId="77777777" w:rsidR="00370535" w:rsidRPr="00370535" w:rsidRDefault="00370535" w:rsidP="00A9466B">
            <w:pPr>
              <w:jc w:val="center"/>
              <w:rPr>
                <w:rFonts w:cs="Arial"/>
                <w:bCs/>
              </w:rPr>
            </w:pPr>
            <w:r w:rsidRPr="00370535">
              <w:rPr>
                <w:rFonts w:cs="Arial"/>
                <w:bCs/>
              </w:rPr>
              <w:t>0.7%</w:t>
            </w:r>
          </w:p>
        </w:tc>
      </w:tr>
      <w:tr w:rsidR="00370535" w:rsidRPr="00370535" w14:paraId="2DEE30F8" w14:textId="77777777" w:rsidTr="00370535">
        <w:tc>
          <w:tcPr>
            <w:tcW w:w="4395" w:type="dxa"/>
            <w:tcBorders>
              <w:top w:val="single" w:sz="4" w:space="0" w:color="auto"/>
              <w:left w:val="single" w:sz="4" w:space="0" w:color="auto"/>
              <w:bottom w:val="single" w:sz="4" w:space="0" w:color="auto"/>
              <w:right w:val="single" w:sz="4" w:space="0" w:color="auto"/>
            </w:tcBorders>
            <w:hideMark/>
          </w:tcPr>
          <w:p w14:paraId="535A7E3C" w14:textId="77777777" w:rsidR="00370535" w:rsidRPr="00370535" w:rsidRDefault="00370535" w:rsidP="00370535">
            <w:pPr>
              <w:rPr>
                <w:rFonts w:cs="Arial"/>
              </w:rPr>
            </w:pPr>
            <w:r w:rsidRPr="00370535">
              <w:rPr>
                <w:rFonts w:cs="Arial"/>
              </w:rPr>
              <w:t>Afan</w:t>
            </w:r>
          </w:p>
        </w:tc>
        <w:tc>
          <w:tcPr>
            <w:tcW w:w="2268" w:type="dxa"/>
            <w:tcBorders>
              <w:top w:val="single" w:sz="4" w:space="0" w:color="auto"/>
              <w:left w:val="single" w:sz="4" w:space="0" w:color="auto"/>
              <w:bottom w:val="single" w:sz="4" w:space="0" w:color="auto"/>
              <w:right w:val="single" w:sz="4" w:space="0" w:color="auto"/>
            </w:tcBorders>
            <w:hideMark/>
          </w:tcPr>
          <w:p w14:paraId="51A9A727" w14:textId="77777777" w:rsidR="00370535" w:rsidRPr="00370535" w:rsidRDefault="00370535" w:rsidP="00370535">
            <w:pPr>
              <w:rPr>
                <w:rFonts w:cs="Arial"/>
                <w:bCs/>
              </w:rPr>
            </w:pPr>
            <w:r w:rsidRPr="00370535">
              <w:rPr>
                <w:rFonts w:cs="Arial"/>
                <w:bCs/>
              </w:rPr>
              <w:t>Neath Port Talbot</w:t>
            </w:r>
          </w:p>
        </w:tc>
        <w:tc>
          <w:tcPr>
            <w:tcW w:w="1984" w:type="dxa"/>
            <w:tcBorders>
              <w:top w:val="single" w:sz="4" w:space="0" w:color="auto"/>
              <w:left w:val="single" w:sz="4" w:space="0" w:color="auto"/>
              <w:bottom w:val="single" w:sz="4" w:space="0" w:color="auto"/>
              <w:right w:val="single" w:sz="4" w:space="0" w:color="auto"/>
            </w:tcBorders>
            <w:hideMark/>
          </w:tcPr>
          <w:p w14:paraId="747E5776" w14:textId="77777777" w:rsidR="00370535" w:rsidRPr="00370535" w:rsidRDefault="00370535" w:rsidP="00A9466B">
            <w:pPr>
              <w:jc w:val="center"/>
              <w:rPr>
                <w:rFonts w:cs="Arial"/>
                <w:bCs/>
              </w:rPr>
            </w:pPr>
            <w:r w:rsidRPr="00370535">
              <w:rPr>
                <w:rFonts w:cs="Arial"/>
                <w:bCs/>
              </w:rPr>
              <w:t>1.0%</w:t>
            </w:r>
          </w:p>
        </w:tc>
      </w:tr>
      <w:tr w:rsidR="00370535" w:rsidRPr="00370535" w14:paraId="4E7230C7" w14:textId="77777777" w:rsidTr="00370535">
        <w:tc>
          <w:tcPr>
            <w:tcW w:w="4395" w:type="dxa"/>
            <w:tcBorders>
              <w:top w:val="single" w:sz="4" w:space="0" w:color="auto"/>
              <w:left w:val="single" w:sz="4" w:space="0" w:color="auto"/>
              <w:bottom w:val="single" w:sz="4" w:space="0" w:color="auto"/>
              <w:right w:val="single" w:sz="4" w:space="0" w:color="auto"/>
            </w:tcBorders>
            <w:hideMark/>
          </w:tcPr>
          <w:p w14:paraId="25D97189" w14:textId="77777777" w:rsidR="00370535" w:rsidRPr="00370535" w:rsidRDefault="00370535" w:rsidP="00370535">
            <w:pPr>
              <w:rPr>
                <w:rFonts w:cs="Arial"/>
              </w:rPr>
            </w:pPr>
            <w:r w:rsidRPr="00370535">
              <w:rPr>
                <w:rFonts w:cs="Arial"/>
              </w:rPr>
              <w:t>Neath</w:t>
            </w:r>
          </w:p>
        </w:tc>
        <w:tc>
          <w:tcPr>
            <w:tcW w:w="2268" w:type="dxa"/>
            <w:tcBorders>
              <w:top w:val="single" w:sz="4" w:space="0" w:color="auto"/>
              <w:left w:val="single" w:sz="4" w:space="0" w:color="auto"/>
              <w:bottom w:val="single" w:sz="4" w:space="0" w:color="auto"/>
              <w:right w:val="single" w:sz="4" w:space="0" w:color="auto"/>
            </w:tcBorders>
            <w:hideMark/>
          </w:tcPr>
          <w:p w14:paraId="21E56DA3" w14:textId="77777777" w:rsidR="00370535" w:rsidRPr="00370535" w:rsidRDefault="00370535" w:rsidP="00370535">
            <w:pPr>
              <w:rPr>
                <w:rFonts w:cs="Arial"/>
                <w:bCs/>
              </w:rPr>
            </w:pPr>
            <w:r w:rsidRPr="00370535">
              <w:rPr>
                <w:rFonts w:cs="Arial"/>
                <w:bCs/>
              </w:rPr>
              <w:t>Neath Port Talbot</w:t>
            </w:r>
          </w:p>
        </w:tc>
        <w:tc>
          <w:tcPr>
            <w:tcW w:w="1984" w:type="dxa"/>
            <w:tcBorders>
              <w:top w:val="single" w:sz="4" w:space="0" w:color="auto"/>
              <w:left w:val="single" w:sz="4" w:space="0" w:color="auto"/>
              <w:bottom w:val="single" w:sz="4" w:space="0" w:color="auto"/>
              <w:right w:val="single" w:sz="4" w:space="0" w:color="auto"/>
            </w:tcBorders>
            <w:hideMark/>
          </w:tcPr>
          <w:p w14:paraId="79ABCA06" w14:textId="77777777" w:rsidR="00370535" w:rsidRPr="00370535" w:rsidRDefault="00370535" w:rsidP="00A9466B">
            <w:pPr>
              <w:jc w:val="center"/>
              <w:rPr>
                <w:rFonts w:cs="Arial"/>
                <w:bCs/>
              </w:rPr>
            </w:pPr>
            <w:r w:rsidRPr="00370535">
              <w:rPr>
                <w:rFonts w:cs="Arial"/>
                <w:bCs/>
              </w:rPr>
              <w:t>0.8%</w:t>
            </w:r>
          </w:p>
        </w:tc>
      </w:tr>
      <w:tr w:rsidR="00370535" w:rsidRPr="00370535" w14:paraId="6C17D378" w14:textId="77777777" w:rsidTr="00370535">
        <w:tc>
          <w:tcPr>
            <w:tcW w:w="4395" w:type="dxa"/>
            <w:tcBorders>
              <w:top w:val="single" w:sz="4" w:space="0" w:color="auto"/>
              <w:left w:val="single" w:sz="4" w:space="0" w:color="auto"/>
              <w:bottom w:val="single" w:sz="4" w:space="0" w:color="auto"/>
              <w:right w:val="single" w:sz="4" w:space="0" w:color="auto"/>
            </w:tcBorders>
            <w:hideMark/>
          </w:tcPr>
          <w:p w14:paraId="0DC63204" w14:textId="77777777" w:rsidR="00370535" w:rsidRPr="00370535" w:rsidRDefault="00370535" w:rsidP="00370535">
            <w:pPr>
              <w:rPr>
                <w:rFonts w:cs="Arial"/>
              </w:rPr>
            </w:pPr>
            <w:r w:rsidRPr="00370535">
              <w:rPr>
                <w:rFonts w:cs="Arial"/>
              </w:rPr>
              <w:t>Upper Valleys</w:t>
            </w:r>
          </w:p>
        </w:tc>
        <w:tc>
          <w:tcPr>
            <w:tcW w:w="2268" w:type="dxa"/>
            <w:tcBorders>
              <w:top w:val="single" w:sz="4" w:space="0" w:color="auto"/>
              <w:left w:val="single" w:sz="4" w:space="0" w:color="auto"/>
              <w:bottom w:val="single" w:sz="4" w:space="0" w:color="auto"/>
              <w:right w:val="single" w:sz="4" w:space="0" w:color="auto"/>
            </w:tcBorders>
            <w:hideMark/>
          </w:tcPr>
          <w:p w14:paraId="07797044" w14:textId="77777777" w:rsidR="00370535" w:rsidRPr="00370535" w:rsidRDefault="00370535" w:rsidP="00370535">
            <w:pPr>
              <w:rPr>
                <w:rFonts w:cs="Arial"/>
                <w:bCs/>
              </w:rPr>
            </w:pPr>
            <w:r w:rsidRPr="00370535">
              <w:rPr>
                <w:rFonts w:cs="Arial"/>
                <w:bCs/>
              </w:rPr>
              <w:t>Neath Port Talbot</w:t>
            </w:r>
          </w:p>
        </w:tc>
        <w:tc>
          <w:tcPr>
            <w:tcW w:w="1984" w:type="dxa"/>
            <w:tcBorders>
              <w:top w:val="single" w:sz="4" w:space="0" w:color="auto"/>
              <w:left w:val="single" w:sz="4" w:space="0" w:color="auto"/>
              <w:bottom w:val="single" w:sz="4" w:space="0" w:color="auto"/>
              <w:right w:val="single" w:sz="4" w:space="0" w:color="auto"/>
            </w:tcBorders>
            <w:hideMark/>
          </w:tcPr>
          <w:p w14:paraId="58D485A4" w14:textId="77777777" w:rsidR="00370535" w:rsidRPr="00370535" w:rsidRDefault="00370535" w:rsidP="00A9466B">
            <w:pPr>
              <w:jc w:val="center"/>
              <w:rPr>
                <w:rFonts w:cs="Arial"/>
                <w:bCs/>
              </w:rPr>
            </w:pPr>
            <w:r w:rsidRPr="00370535">
              <w:rPr>
                <w:rFonts w:cs="Arial"/>
                <w:bCs/>
              </w:rPr>
              <w:t>0.8%</w:t>
            </w:r>
          </w:p>
        </w:tc>
      </w:tr>
      <w:tr w:rsidR="00370535" w:rsidRPr="00370535" w14:paraId="2D06A1C8" w14:textId="77777777" w:rsidTr="00370535">
        <w:tc>
          <w:tcPr>
            <w:tcW w:w="4395" w:type="dxa"/>
            <w:tcBorders>
              <w:top w:val="single" w:sz="4" w:space="0" w:color="auto"/>
              <w:left w:val="single" w:sz="4" w:space="0" w:color="auto"/>
              <w:bottom w:val="single" w:sz="4" w:space="0" w:color="auto"/>
              <w:right w:val="single" w:sz="4" w:space="0" w:color="auto"/>
            </w:tcBorders>
            <w:hideMark/>
          </w:tcPr>
          <w:p w14:paraId="69189C33" w14:textId="77777777" w:rsidR="00370535" w:rsidRPr="00370535" w:rsidRDefault="00370535" w:rsidP="00370535">
            <w:pPr>
              <w:rPr>
                <w:rFonts w:cs="Arial"/>
              </w:rPr>
            </w:pPr>
            <w:r w:rsidRPr="00370535">
              <w:rPr>
                <w:rFonts w:cs="Arial"/>
              </w:rPr>
              <w:t>Swansea Bay University Health Board</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2D493C" w14:textId="77777777" w:rsidR="00370535" w:rsidRPr="00370535" w:rsidRDefault="00370535" w:rsidP="00370535">
            <w:pPr>
              <w:rPr>
                <w:rFonts w:cs="Arial"/>
              </w:rPr>
            </w:pPr>
          </w:p>
        </w:tc>
        <w:tc>
          <w:tcPr>
            <w:tcW w:w="1984" w:type="dxa"/>
            <w:tcBorders>
              <w:top w:val="single" w:sz="4" w:space="0" w:color="auto"/>
              <w:left w:val="single" w:sz="4" w:space="0" w:color="auto"/>
              <w:bottom w:val="single" w:sz="4" w:space="0" w:color="auto"/>
              <w:right w:val="single" w:sz="4" w:space="0" w:color="auto"/>
            </w:tcBorders>
            <w:hideMark/>
          </w:tcPr>
          <w:p w14:paraId="145F748B" w14:textId="77777777" w:rsidR="00370535" w:rsidRPr="00370535" w:rsidRDefault="00370535" w:rsidP="00A9466B">
            <w:pPr>
              <w:jc w:val="center"/>
              <w:rPr>
                <w:rFonts w:cs="Arial"/>
              </w:rPr>
            </w:pPr>
            <w:r w:rsidRPr="00370535">
              <w:rPr>
                <w:rFonts w:cs="Arial"/>
              </w:rPr>
              <w:t>0.8%</w:t>
            </w:r>
          </w:p>
        </w:tc>
      </w:tr>
      <w:tr w:rsidR="00370535" w:rsidRPr="00370535" w14:paraId="602859AB" w14:textId="77777777" w:rsidTr="00370535">
        <w:tc>
          <w:tcPr>
            <w:tcW w:w="4395" w:type="dxa"/>
            <w:tcBorders>
              <w:top w:val="single" w:sz="4" w:space="0" w:color="auto"/>
              <w:left w:val="single" w:sz="4" w:space="0" w:color="auto"/>
              <w:bottom w:val="single" w:sz="4" w:space="0" w:color="auto"/>
              <w:right w:val="single" w:sz="4" w:space="0" w:color="auto"/>
            </w:tcBorders>
            <w:hideMark/>
          </w:tcPr>
          <w:p w14:paraId="727952B7" w14:textId="77777777" w:rsidR="00370535" w:rsidRPr="00370535" w:rsidRDefault="00370535" w:rsidP="00370535">
            <w:pPr>
              <w:rPr>
                <w:rFonts w:cs="Arial"/>
              </w:rPr>
            </w:pPr>
            <w:r w:rsidRPr="00370535">
              <w:rPr>
                <w:rFonts w:cs="Arial"/>
              </w:rPr>
              <w:t>Wales</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672740" w14:textId="77777777" w:rsidR="00370535" w:rsidRPr="00370535" w:rsidRDefault="00370535" w:rsidP="00370535">
            <w:pPr>
              <w:rPr>
                <w:rFonts w:cs="Arial"/>
              </w:rPr>
            </w:pPr>
          </w:p>
        </w:tc>
        <w:tc>
          <w:tcPr>
            <w:tcW w:w="1984" w:type="dxa"/>
            <w:tcBorders>
              <w:top w:val="single" w:sz="4" w:space="0" w:color="auto"/>
              <w:left w:val="single" w:sz="4" w:space="0" w:color="auto"/>
              <w:bottom w:val="single" w:sz="4" w:space="0" w:color="auto"/>
              <w:right w:val="single" w:sz="4" w:space="0" w:color="auto"/>
            </w:tcBorders>
            <w:hideMark/>
          </w:tcPr>
          <w:p w14:paraId="175983F7" w14:textId="77777777" w:rsidR="00370535" w:rsidRPr="00370535" w:rsidRDefault="00370535" w:rsidP="00A9466B">
            <w:pPr>
              <w:jc w:val="center"/>
              <w:rPr>
                <w:rFonts w:cs="Arial"/>
              </w:rPr>
            </w:pPr>
            <w:r w:rsidRPr="00370535">
              <w:rPr>
                <w:rFonts w:cs="Arial"/>
              </w:rPr>
              <w:t>0.8%</w:t>
            </w:r>
          </w:p>
        </w:tc>
      </w:tr>
    </w:tbl>
    <w:p w14:paraId="0704E525" w14:textId="77777777" w:rsidR="00370535" w:rsidRPr="00370535" w:rsidRDefault="00370535" w:rsidP="00370535">
      <w:pPr>
        <w:rPr>
          <w:rFonts w:cs="Arial"/>
        </w:rPr>
      </w:pPr>
    </w:p>
    <w:p w14:paraId="61D75EC2" w14:textId="77777777" w:rsidR="00370535" w:rsidRPr="00370535" w:rsidRDefault="00370535" w:rsidP="00370535">
      <w:pPr>
        <w:rPr>
          <w:rFonts w:cs="Arial"/>
        </w:rPr>
      </w:pPr>
      <w:r w:rsidRPr="00370535">
        <w:rPr>
          <w:rFonts w:cs="Arial"/>
        </w:rPr>
        <w:t xml:space="preserve">Swansea Bay University Health Board has the same prevalence of dementia as Wales (0.8%). </w:t>
      </w:r>
    </w:p>
    <w:p w14:paraId="1E5B19A9" w14:textId="77777777" w:rsidR="00370535" w:rsidRPr="00370535" w:rsidRDefault="00370535" w:rsidP="00370535">
      <w:pPr>
        <w:rPr>
          <w:rFonts w:cs="Arial"/>
        </w:rPr>
      </w:pPr>
    </w:p>
    <w:p w14:paraId="27F4326D" w14:textId="77777777" w:rsidR="00370535" w:rsidRPr="00370535" w:rsidRDefault="00370535" w:rsidP="00370535">
      <w:pPr>
        <w:rPr>
          <w:rFonts w:cs="Arial"/>
        </w:rPr>
      </w:pPr>
      <w:r w:rsidRPr="00370535">
        <w:rPr>
          <w:rFonts w:cs="Arial"/>
        </w:rPr>
        <w:t>Across Swansea clusters, recorded prevalence of dementia ranges from 0.5% (City Health) to 0.8% (Bay Health and Llwchwr). Three of the five clusters are lower than both the health board and Wales rates (City Health, Cwmtawe and Penderi). Two of the five clusters are equal to the health board and Wales rates (Bay Health and Llwchwr)</w:t>
      </w:r>
    </w:p>
    <w:p w14:paraId="5E3F44C1" w14:textId="77777777" w:rsidR="00370535" w:rsidRPr="00370535" w:rsidRDefault="00370535" w:rsidP="00370535">
      <w:pPr>
        <w:rPr>
          <w:rFonts w:cs="Arial"/>
        </w:rPr>
      </w:pPr>
    </w:p>
    <w:p w14:paraId="3C3D930E" w14:textId="77777777" w:rsidR="00370535" w:rsidRPr="00370535" w:rsidRDefault="00370535" w:rsidP="00370535">
      <w:pPr>
        <w:rPr>
          <w:rFonts w:cs="Arial"/>
          <w:b/>
          <w:bCs/>
        </w:rPr>
      </w:pPr>
      <w:r w:rsidRPr="00370535">
        <w:rPr>
          <w:rFonts w:cs="Arial"/>
        </w:rPr>
        <w:t xml:space="preserve">For Neath Port Talbot clusters, recorded prevalence of dementia ranges from 0.8% (Neath and Upper Valleys) to 1.0% (Afan). Two of the three clusters are equal to both the health board and Wales rates (Neath and Upper Valleys), and one cluster high than both the health board and Wales rates (Afan). </w:t>
      </w:r>
    </w:p>
    <w:p w14:paraId="213F4BFE" w14:textId="77777777" w:rsidR="00370535" w:rsidRPr="00370535" w:rsidRDefault="00370535" w:rsidP="00370535">
      <w:pPr>
        <w:rPr>
          <w:rFonts w:cs="Arial"/>
        </w:rPr>
      </w:pPr>
    </w:p>
    <w:p w14:paraId="145302D4" w14:textId="77777777" w:rsidR="00370535" w:rsidRPr="00370535" w:rsidRDefault="00370535" w:rsidP="00370535">
      <w:pPr>
        <w:rPr>
          <w:rFonts w:cs="Arial"/>
          <w:b/>
          <w:sz w:val="26"/>
          <w:szCs w:val="26"/>
        </w:rPr>
      </w:pPr>
      <w:r w:rsidRPr="00370535">
        <w:rPr>
          <w:rFonts w:cs="Arial"/>
          <w:b/>
          <w:sz w:val="26"/>
          <w:szCs w:val="26"/>
        </w:rPr>
        <w:t>3.4 Cancer and screening</w:t>
      </w:r>
    </w:p>
    <w:p w14:paraId="4FA0314B" w14:textId="77777777" w:rsidR="00370535" w:rsidRPr="00370535" w:rsidRDefault="00370535" w:rsidP="00370535">
      <w:pPr>
        <w:rPr>
          <w:rFonts w:cs="Arial"/>
          <w:b/>
        </w:rPr>
      </w:pPr>
    </w:p>
    <w:p w14:paraId="4F8FDF84" w14:textId="77777777" w:rsidR="00370535" w:rsidRPr="00370535" w:rsidRDefault="00370535" w:rsidP="00370535">
      <w:pPr>
        <w:rPr>
          <w:rFonts w:cs="Arial"/>
          <w:b/>
        </w:rPr>
      </w:pPr>
      <w:r w:rsidRPr="00370535">
        <w:rPr>
          <w:rFonts w:cs="Arial"/>
          <w:b/>
        </w:rPr>
        <w:t>3.4.1 Cancer</w:t>
      </w:r>
      <w:bookmarkStart w:id="15" w:name="_Toc64971997"/>
      <w:bookmarkStart w:id="16" w:name="_Hlk62412464"/>
    </w:p>
    <w:p w14:paraId="5D7E998D" w14:textId="77777777" w:rsidR="00370535" w:rsidRPr="00370535" w:rsidRDefault="00370535" w:rsidP="00370535">
      <w:pPr>
        <w:rPr>
          <w:rFonts w:cs="Arial"/>
          <w:b/>
        </w:rPr>
      </w:pPr>
    </w:p>
    <w:p w14:paraId="5CD5A4D1" w14:textId="77777777" w:rsidR="00370535" w:rsidRPr="00370535" w:rsidRDefault="00370535" w:rsidP="00370535">
      <w:pPr>
        <w:rPr>
          <w:rFonts w:cs="Arial"/>
        </w:rPr>
      </w:pPr>
      <w:r w:rsidRPr="00370535">
        <w:rPr>
          <w:rFonts w:cs="Arial"/>
        </w:rPr>
        <w:t>The four most common types of cancer in Wales</w:t>
      </w:r>
      <w:r w:rsidRPr="00370535">
        <w:rPr>
          <w:rFonts w:cs="Arial"/>
          <w:vertAlign w:val="superscript"/>
        </w:rPr>
        <w:footnoteReference w:id="124"/>
      </w:r>
      <w:r w:rsidRPr="00370535">
        <w:rPr>
          <w:rFonts w:cs="Arial"/>
        </w:rPr>
        <w:t xml:space="preserve"> are prostate cancer, breast cancer, lung cancer, and colorectal cancer. These cancer types had between 2,500 and 3,100 new cases each in 2019. Together, they made up more than half of all new cancer cases in Wales (not including non-melanoma skin cancer).</w:t>
      </w:r>
    </w:p>
    <w:p w14:paraId="0B20C3AA" w14:textId="77777777" w:rsidR="00370535" w:rsidRPr="00370535" w:rsidRDefault="00370535" w:rsidP="00370535">
      <w:pPr>
        <w:rPr>
          <w:rFonts w:cs="Arial"/>
        </w:rPr>
      </w:pPr>
    </w:p>
    <w:p w14:paraId="02FF0D27" w14:textId="77777777" w:rsidR="00370535" w:rsidRPr="00370535" w:rsidRDefault="00370535" w:rsidP="00370535">
      <w:pPr>
        <w:rPr>
          <w:rFonts w:cs="Arial"/>
        </w:rPr>
      </w:pPr>
      <w:r w:rsidRPr="00370535">
        <w:rPr>
          <w:rFonts w:cs="Arial"/>
        </w:rPr>
        <w:t xml:space="preserve">By 2025, Public Health Wales projected that there would be around 24,000 new cancer cases each year among people living in Wales, up from around 20,000 in </w:t>
      </w:r>
      <w:r w:rsidRPr="00370535">
        <w:rPr>
          <w:rFonts w:cs="Arial"/>
        </w:rPr>
        <w:lastRenderedPageBreak/>
        <w:t>2019, This is mostly because there will be more older people than in the past and cancer is more common in older people.</w:t>
      </w:r>
    </w:p>
    <w:p w14:paraId="0DA85415" w14:textId="77777777" w:rsidR="00370535" w:rsidRPr="00370535" w:rsidRDefault="00370535" w:rsidP="00370535">
      <w:pPr>
        <w:rPr>
          <w:rFonts w:cs="Arial"/>
        </w:rPr>
      </w:pPr>
    </w:p>
    <w:p w14:paraId="0DAE64FA" w14:textId="77777777" w:rsidR="00370535" w:rsidRPr="00370535" w:rsidRDefault="00370535" w:rsidP="00370535">
      <w:pPr>
        <w:rPr>
          <w:rFonts w:cs="Arial"/>
        </w:rPr>
      </w:pPr>
      <w:r w:rsidRPr="00370535">
        <w:rPr>
          <w:rFonts w:cs="Arial"/>
        </w:rPr>
        <w:t>Cancer causes around one in four of all deaths of people living in Wales (2024). Lung cancer is the leading cause of cancer death in Wales and in 2024, it caused 1,759 deaths, almost twice as many as the next most common cause. Other cancers that caused more than 500 deaths in 2024) were colorectal cancer (987), cancer of unknown primary origin (659), prostate cancer (624), breast cancer (590, 589 female breast), and pancreatic cancer (555).</w:t>
      </w:r>
    </w:p>
    <w:p w14:paraId="76648FE7" w14:textId="77777777" w:rsidR="00370535" w:rsidRPr="00370535" w:rsidRDefault="00370535" w:rsidP="00370535">
      <w:pPr>
        <w:rPr>
          <w:rFonts w:cs="Arial"/>
        </w:rPr>
      </w:pPr>
    </w:p>
    <w:p w14:paraId="0AF17CE5" w14:textId="77777777" w:rsidR="00370535" w:rsidRPr="00370535" w:rsidRDefault="00370535" w:rsidP="00370535">
      <w:pPr>
        <w:rPr>
          <w:rFonts w:cs="Arial"/>
        </w:rPr>
      </w:pPr>
      <w:r w:rsidRPr="00370535">
        <w:rPr>
          <w:rFonts w:cs="Arial"/>
        </w:rPr>
        <w:t>In 2015, over 7,000 new cancer cases (around four in ten) in Wales each year were linked to risk factors that can be changed</w:t>
      </w:r>
      <w:r w:rsidRPr="00370535">
        <w:rPr>
          <w:rFonts w:cs="Arial"/>
          <w:vertAlign w:val="superscript"/>
        </w:rPr>
        <w:footnoteReference w:id="125"/>
      </w:r>
      <w:r w:rsidRPr="00370535">
        <w:rPr>
          <w:rFonts w:cs="Arial"/>
        </w:rPr>
        <w:t>. Lung cancer, colorectal cancer, melanoma skin cancer, and breast cancer together accounted for over three fifths of potentially preventable cancer cases). Some of the most important risk factors for cancer are:</w:t>
      </w:r>
    </w:p>
    <w:p w14:paraId="6D5106ED" w14:textId="77777777" w:rsidR="00370535" w:rsidRPr="00370535" w:rsidRDefault="00370535" w:rsidP="00370535">
      <w:pPr>
        <w:rPr>
          <w:rFonts w:cs="Arial"/>
        </w:rPr>
      </w:pPr>
    </w:p>
    <w:p w14:paraId="5883929B" w14:textId="77777777" w:rsidR="00370535" w:rsidRPr="00370535" w:rsidRDefault="00370535" w:rsidP="00B76905">
      <w:pPr>
        <w:numPr>
          <w:ilvl w:val="0"/>
          <w:numId w:val="58"/>
        </w:numPr>
        <w:rPr>
          <w:rFonts w:cs="Arial"/>
        </w:rPr>
      </w:pPr>
      <w:r w:rsidRPr="00370535">
        <w:rPr>
          <w:rFonts w:cs="Arial"/>
        </w:rPr>
        <w:t>Smoking</w:t>
      </w:r>
    </w:p>
    <w:p w14:paraId="4A9C1C59" w14:textId="77777777" w:rsidR="00370535" w:rsidRPr="00370535" w:rsidRDefault="00370535" w:rsidP="00B76905">
      <w:pPr>
        <w:numPr>
          <w:ilvl w:val="0"/>
          <w:numId w:val="58"/>
        </w:numPr>
        <w:rPr>
          <w:rFonts w:cs="Arial"/>
        </w:rPr>
      </w:pPr>
      <w:r w:rsidRPr="00370535">
        <w:rPr>
          <w:rFonts w:cs="Arial"/>
        </w:rPr>
        <w:t>Living with overweight or obesity</w:t>
      </w:r>
    </w:p>
    <w:p w14:paraId="61F86C94" w14:textId="77777777" w:rsidR="00370535" w:rsidRPr="00370535" w:rsidRDefault="00370535" w:rsidP="00B76905">
      <w:pPr>
        <w:numPr>
          <w:ilvl w:val="0"/>
          <w:numId w:val="58"/>
        </w:numPr>
        <w:rPr>
          <w:rFonts w:cs="Arial"/>
        </w:rPr>
      </w:pPr>
      <w:r w:rsidRPr="00370535">
        <w:rPr>
          <w:rFonts w:cs="Arial"/>
        </w:rPr>
        <w:t>Getting too much ultraviolet radiation (from the sun or sunbeds)</w:t>
      </w:r>
    </w:p>
    <w:p w14:paraId="126A5956" w14:textId="77777777" w:rsidR="00370535" w:rsidRPr="00370535" w:rsidRDefault="00370535" w:rsidP="00B76905">
      <w:pPr>
        <w:numPr>
          <w:ilvl w:val="0"/>
          <w:numId w:val="58"/>
        </w:numPr>
        <w:rPr>
          <w:rFonts w:cs="Arial"/>
        </w:rPr>
      </w:pPr>
      <w:r w:rsidRPr="00370535">
        <w:rPr>
          <w:rFonts w:cs="Arial"/>
        </w:rPr>
        <w:t>Being exposed to harmful substances at work (like asbestos)</w:t>
      </w:r>
    </w:p>
    <w:p w14:paraId="14F1FD7B" w14:textId="77777777" w:rsidR="00370535" w:rsidRPr="00370535" w:rsidRDefault="00370535" w:rsidP="00B76905">
      <w:pPr>
        <w:numPr>
          <w:ilvl w:val="0"/>
          <w:numId w:val="58"/>
        </w:numPr>
        <w:rPr>
          <w:rFonts w:cs="Arial"/>
        </w:rPr>
      </w:pPr>
      <w:r w:rsidRPr="00370535">
        <w:rPr>
          <w:rFonts w:cs="Arial"/>
        </w:rPr>
        <w:t>Certain infections (like human papillomavirus)</w:t>
      </w:r>
    </w:p>
    <w:p w14:paraId="229604DE" w14:textId="77777777" w:rsidR="00370535" w:rsidRPr="00370535" w:rsidRDefault="00370535" w:rsidP="00B76905">
      <w:pPr>
        <w:numPr>
          <w:ilvl w:val="0"/>
          <w:numId w:val="58"/>
        </w:numPr>
        <w:rPr>
          <w:rFonts w:cs="Arial"/>
        </w:rPr>
      </w:pPr>
      <w:r w:rsidRPr="00370535">
        <w:rPr>
          <w:rFonts w:cs="Arial"/>
        </w:rPr>
        <w:t>Drinking alcohol</w:t>
      </w:r>
    </w:p>
    <w:p w14:paraId="7045806D" w14:textId="77777777" w:rsidR="00370535" w:rsidRPr="00370535" w:rsidRDefault="00370535" w:rsidP="00B76905">
      <w:pPr>
        <w:numPr>
          <w:ilvl w:val="0"/>
          <w:numId w:val="58"/>
        </w:numPr>
        <w:rPr>
          <w:rFonts w:cs="Arial"/>
        </w:rPr>
      </w:pPr>
      <w:r w:rsidRPr="00370535">
        <w:rPr>
          <w:rFonts w:cs="Arial"/>
        </w:rPr>
        <w:t>Eating too little fibre</w:t>
      </w:r>
    </w:p>
    <w:p w14:paraId="355CD640" w14:textId="77777777" w:rsidR="00370535" w:rsidRPr="00370535" w:rsidRDefault="00370535" w:rsidP="00B76905">
      <w:pPr>
        <w:numPr>
          <w:ilvl w:val="0"/>
          <w:numId w:val="58"/>
        </w:numPr>
        <w:rPr>
          <w:rFonts w:cs="Arial"/>
        </w:rPr>
      </w:pPr>
      <w:r w:rsidRPr="00370535">
        <w:rPr>
          <w:rFonts w:cs="Arial"/>
        </w:rPr>
        <w:t>Being exposed to ionising radiation</w:t>
      </w:r>
    </w:p>
    <w:p w14:paraId="45942A72" w14:textId="77777777" w:rsidR="00370535" w:rsidRPr="00370535" w:rsidRDefault="00370535" w:rsidP="00B76905">
      <w:pPr>
        <w:numPr>
          <w:ilvl w:val="0"/>
          <w:numId w:val="58"/>
        </w:numPr>
        <w:rPr>
          <w:rFonts w:cs="Arial"/>
        </w:rPr>
      </w:pPr>
      <w:r w:rsidRPr="00370535">
        <w:rPr>
          <w:rFonts w:cs="Arial"/>
        </w:rPr>
        <w:t>Eating processed meat</w:t>
      </w:r>
    </w:p>
    <w:p w14:paraId="602D1F0B" w14:textId="77777777" w:rsidR="00370535" w:rsidRPr="00370535" w:rsidRDefault="00370535" w:rsidP="00370535">
      <w:pPr>
        <w:rPr>
          <w:rFonts w:cs="Arial"/>
        </w:rPr>
      </w:pPr>
    </w:p>
    <w:p w14:paraId="3E0CDBB6" w14:textId="77777777" w:rsidR="00370535" w:rsidRPr="00370535" w:rsidRDefault="00370535" w:rsidP="00370535">
      <w:pPr>
        <w:rPr>
          <w:rFonts w:cs="Arial"/>
        </w:rPr>
      </w:pPr>
      <w:r w:rsidRPr="00370535">
        <w:rPr>
          <w:rFonts w:cs="Arial"/>
        </w:rPr>
        <w:t>Different cancers have different risk factors: some of these are only a risk factor for certain cancer types, while others are a risk factor for many different types of cancer.</w:t>
      </w:r>
    </w:p>
    <w:p w14:paraId="0E55B27B" w14:textId="77777777" w:rsidR="00370535" w:rsidRPr="00370535" w:rsidRDefault="00370535" w:rsidP="00370535">
      <w:pPr>
        <w:rPr>
          <w:rFonts w:cs="Arial"/>
        </w:rPr>
      </w:pPr>
      <w:bookmarkStart w:id="17" w:name="_Hlk62411353"/>
      <w:bookmarkEnd w:id="15"/>
      <w:bookmarkEnd w:id="16"/>
    </w:p>
    <w:p w14:paraId="08ACD89A" w14:textId="77777777" w:rsidR="00370535" w:rsidRPr="00370535" w:rsidRDefault="00370535" w:rsidP="00370535">
      <w:pPr>
        <w:rPr>
          <w:rFonts w:cs="Arial"/>
        </w:rPr>
      </w:pPr>
      <w:r w:rsidRPr="00370535">
        <w:rPr>
          <w:rFonts w:cs="Arial"/>
        </w:rPr>
        <w:t>The most common cancer types in the health board’s area are identified in the Public Health Wales Cancer Reporting Tool (March 2026)</w:t>
      </w:r>
      <w:bookmarkStart w:id="18" w:name="_ftnref1"/>
      <w:r w:rsidRPr="00370535">
        <w:rPr>
          <w:rFonts w:cs="Arial"/>
          <w:vertAlign w:val="superscript"/>
        </w:rPr>
        <w:footnoteReference w:id="126"/>
      </w:r>
      <w:bookmarkEnd w:id="18"/>
      <w:r w:rsidRPr="00370535">
        <w:rPr>
          <w:rFonts w:cs="Arial"/>
        </w:rPr>
        <w:t xml:space="preserve">. </w:t>
      </w:r>
    </w:p>
    <w:p w14:paraId="69FE3D19" w14:textId="77777777" w:rsidR="00370535" w:rsidRPr="00370535" w:rsidRDefault="00370535" w:rsidP="00370535">
      <w:pPr>
        <w:rPr>
          <w:rFonts w:cs="Arial"/>
        </w:rPr>
      </w:pPr>
    </w:p>
    <w:p w14:paraId="597AC7EA" w14:textId="77777777" w:rsidR="00370535" w:rsidRPr="00370535" w:rsidRDefault="00370535" w:rsidP="00370535">
      <w:pPr>
        <w:rPr>
          <w:rFonts w:cs="Arial"/>
        </w:rPr>
      </w:pPr>
      <w:r w:rsidRPr="00370535">
        <w:rPr>
          <w:rFonts w:cs="Arial"/>
        </w:rPr>
        <w:t>The table below shows the incidence of the six most common types of cancer for women between 2020 and 2022.</w:t>
      </w:r>
    </w:p>
    <w:p w14:paraId="5654420F" w14:textId="77777777" w:rsidR="00370535" w:rsidRPr="00D0306F" w:rsidRDefault="00370535" w:rsidP="00370535">
      <w:pPr>
        <w:rPr>
          <w:rFonts w:cs="Arial"/>
        </w:rPr>
      </w:pPr>
    </w:p>
    <w:p w14:paraId="1F47B0D6" w14:textId="77777777" w:rsidR="00A9466B" w:rsidRDefault="00A9466B" w:rsidP="00370535">
      <w:pPr>
        <w:rPr>
          <w:rFonts w:cs="Arial"/>
        </w:rPr>
      </w:pPr>
    </w:p>
    <w:p w14:paraId="70B8A4E3" w14:textId="77777777" w:rsidR="003345AD" w:rsidRDefault="003345AD" w:rsidP="00370535">
      <w:pPr>
        <w:rPr>
          <w:rFonts w:cs="Arial"/>
        </w:rPr>
      </w:pPr>
    </w:p>
    <w:p w14:paraId="24BCFFD6" w14:textId="77777777" w:rsidR="003345AD" w:rsidRPr="00D0306F" w:rsidRDefault="003345AD" w:rsidP="00370535">
      <w:pPr>
        <w:rPr>
          <w:rFonts w:cs="Arial"/>
        </w:rPr>
      </w:pPr>
    </w:p>
    <w:p w14:paraId="6DA1A210" w14:textId="77777777" w:rsidR="00A9466B" w:rsidRPr="00D0306F" w:rsidRDefault="00A9466B" w:rsidP="00370535">
      <w:pPr>
        <w:rPr>
          <w:rFonts w:cs="Arial"/>
        </w:rPr>
      </w:pPr>
    </w:p>
    <w:p w14:paraId="7CEA469D" w14:textId="77777777" w:rsidR="00A9466B" w:rsidRPr="00D0306F" w:rsidRDefault="00A9466B" w:rsidP="00370535">
      <w:pPr>
        <w:rPr>
          <w:rFonts w:cs="Arial"/>
        </w:rPr>
      </w:pPr>
    </w:p>
    <w:p w14:paraId="26B37A88" w14:textId="77777777" w:rsidR="00A9466B" w:rsidRPr="00D0306F" w:rsidRDefault="00A9466B" w:rsidP="00370535">
      <w:pPr>
        <w:rPr>
          <w:rFonts w:cs="Arial"/>
        </w:rPr>
      </w:pPr>
    </w:p>
    <w:p w14:paraId="4A2D5201" w14:textId="77777777" w:rsidR="00A9466B" w:rsidRPr="00370535" w:rsidRDefault="00A9466B" w:rsidP="00370535">
      <w:pPr>
        <w:rPr>
          <w:rFonts w:cs="Arial"/>
        </w:rPr>
      </w:pPr>
    </w:p>
    <w:p w14:paraId="7977226C" w14:textId="77777777" w:rsidR="00370535" w:rsidRPr="00370535" w:rsidRDefault="00370535" w:rsidP="00370535">
      <w:pPr>
        <w:rPr>
          <w:rFonts w:cs="Arial"/>
          <w:b/>
          <w:bCs/>
        </w:rPr>
      </w:pPr>
      <w:r w:rsidRPr="00370535">
        <w:rPr>
          <w:rFonts w:cs="Arial"/>
          <w:b/>
          <w:bCs/>
        </w:rPr>
        <w:lastRenderedPageBreak/>
        <w:t>Table 3.20 Cancer incidence by cancer type, European age-standardised rate per 100,000, women, all ages, by health board, local authority and Wales (three-year period, 2020 – 2022)</w:t>
      </w:r>
      <w:r w:rsidRPr="00370535">
        <w:rPr>
          <w:rFonts w:cs="Arial"/>
          <w:b/>
          <w:bCs/>
          <w:vertAlign w:val="superscript"/>
        </w:rPr>
        <w:footnoteReference w:id="127"/>
      </w:r>
    </w:p>
    <w:p w14:paraId="6A70756E" w14:textId="77777777" w:rsidR="00370535" w:rsidRPr="00370535" w:rsidRDefault="00370535" w:rsidP="00370535">
      <w:pPr>
        <w:rPr>
          <w:rFonts w:cs="Arial"/>
        </w:rPr>
      </w:pPr>
    </w:p>
    <w:tbl>
      <w:tblPr>
        <w:tblStyle w:val="TableGrid"/>
        <w:tblW w:w="8770" w:type="dxa"/>
        <w:tblInd w:w="0" w:type="dxa"/>
        <w:tblLook w:val="04A0" w:firstRow="1" w:lastRow="0" w:firstColumn="1" w:lastColumn="0" w:noHBand="0" w:noVBand="1"/>
      </w:tblPr>
      <w:tblGrid>
        <w:gridCol w:w="1696"/>
        <w:gridCol w:w="978"/>
        <w:gridCol w:w="851"/>
        <w:gridCol w:w="1390"/>
        <w:gridCol w:w="1390"/>
        <w:gridCol w:w="997"/>
        <w:gridCol w:w="1468"/>
      </w:tblGrid>
      <w:tr w:rsidR="00472864" w:rsidRPr="00D0306F" w14:paraId="59392E0F" w14:textId="77777777" w:rsidTr="00472864">
        <w:tc>
          <w:tcPr>
            <w:tcW w:w="1696" w:type="dxa"/>
            <w:tcBorders>
              <w:top w:val="single" w:sz="4" w:space="0" w:color="auto"/>
              <w:left w:val="single" w:sz="4" w:space="0" w:color="auto"/>
              <w:bottom w:val="single" w:sz="4" w:space="0" w:color="auto"/>
              <w:right w:val="single" w:sz="4" w:space="0" w:color="auto"/>
            </w:tcBorders>
            <w:shd w:val="clear" w:color="auto" w:fill="153D63"/>
            <w:hideMark/>
          </w:tcPr>
          <w:p w14:paraId="7755E1E3" w14:textId="77777777" w:rsidR="00370535" w:rsidRPr="00370535" w:rsidRDefault="00370535" w:rsidP="00370535">
            <w:pPr>
              <w:rPr>
                <w:rFonts w:eastAsiaTheme="minorHAnsi" w:cs="Arial"/>
              </w:rPr>
            </w:pPr>
            <w:r w:rsidRPr="00370535">
              <w:rPr>
                <w:rFonts w:eastAsiaTheme="minorHAnsi" w:cs="Arial"/>
                <w:b/>
                <w:bCs/>
              </w:rPr>
              <w:t>Area</w:t>
            </w:r>
          </w:p>
        </w:tc>
        <w:tc>
          <w:tcPr>
            <w:tcW w:w="978" w:type="dxa"/>
            <w:tcBorders>
              <w:top w:val="single" w:sz="4" w:space="0" w:color="auto"/>
              <w:left w:val="single" w:sz="4" w:space="0" w:color="auto"/>
              <w:bottom w:val="single" w:sz="4" w:space="0" w:color="auto"/>
              <w:right w:val="single" w:sz="4" w:space="0" w:color="auto"/>
            </w:tcBorders>
            <w:shd w:val="clear" w:color="auto" w:fill="153D63"/>
            <w:hideMark/>
          </w:tcPr>
          <w:p w14:paraId="34C7B501" w14:textId="77777777" w:rsidR="00370535" w:rsidRPr="00370535" w:rsidRDefault="00370535" w:rsidP="00370535">
            <w:pPr>
              <w:rPr>
                <w:rFonts w:eastAsiaTheme="minorHAnsi" w:cs="Arial"/>
              </w:rPr>
            </w:pPr>
            <w:r w:rsidRPr="00370535">
              <w:rPr>
                <w:rFonts w:eastAsiaTheme="minorHAnsi" w:cs="Arial"/>
                <w:b/>
                <w:bCs/>
              </w:rPr>
              <w:t>Breast</w:t>
            </w:r>
          </w:p>
        </w:tc>
        <w:tc>
          <w:tcPr>
            <w:tcW w:w="851" w:type="dxa"/>
            <w:tcBorders>
              <w:top w:val="single" w:sz="4" w:space="0" w:color="auto"/>
              <w:left w:val="single" w:sz="4" w:space="0" w:color="auto"/>
              <w:bottom w:val="single" w:sz="4" w:space="0" w:color="auto"/>
              <w:right w:val="single" w:sz="4" w:space="0" w:color="auto"/>
            </w:tcBorders>
            <w:shd w:val="clear" w:color="auto" w:fill="153D63"/>
            <w:hideMark/>
          </w:tcPr>
          <w:p w14:paraId="6C77C4CC" w14:textId="77777777" w:rsidR="00370535" w:rsidRPr="00370535" w:rsidRDefault="00370535" w:rsidP="00370535">
            <w:pPr>
              <w:rPr>
                <w:rFonts w:eastAsiaTheme="minorHAnsi" w:cs="Arial"/>
              </w:rPr>
            </w:pPr>
            <w:r w:rsidRPr="00370535">
              <w:rPr>
                <w:rFonts w:eastAsiaTheme="minorHAnsi" w:cs="Arial"/>
                <w:b/>
                <w:bCs/>
              </w:rPr>
              <w:t>Lung</w:t>
            </w:r>
          </w:p>
        </w:tc>
        <w:tc>
          <w:tcPr>
            <w:tcW w:w="1390" w:type="dxa"/>
            <w:tcBorders>
              <w:top w:val="single" w:sz="4" w:space="0" w:color="auto"/>
              <w:left w:val="single" w:sz="4" w:space="0" w:color="auto"/>
              <w:bottom w:val="single" w:sz="4" w:space="0" w:color="auto"/>
              <w:right w:val="single" w:sz="4" w:space="0" w:color="auto"/>
            </w:tcBorders>
            <w:shd w:val="clear" w:color="auto" w:fill="153D63"/>
            <w:hideMark/>
          </w:tcPr>
          <w:p w14:paraId="49C5B35B" w14:textId="77777777" w:rsidR="00370535" w:rsidRPr="00370535" w:rsidRDefault="00370535" w:rsidP="00370535">
            <w:pPr>
              <w:rPr>
                <w:rFonts w:eastAsiaTheme="minorHAnsi" w:cs="Arial"/>
              </w:rPr>
            </w:pPr>
            <w:r w:rsidRPr="00370535">
              <w:rPr>
                <w:rFonts w:eastAsiaTheme="minorHAnsi" w:cs="Arial"/>
                <w:b/>
                <w:bCs/>
              </w:rPr>
              <w:t>Colorectal</w:t>
            </w:r>
          </w:p>
        </w:tc>
        <w:tc>
          <w:tcPr>
            <w:tcW w:w="1390" w:type="dxa"/>
            <w:tcBorders>
              <w:top w:val="single" w:sz="4" w:space="0" w:color="auto"/>
              <w:left w:val="single" w:sz="4" w:space="0" w:color="auto"/>
              <w:bottom w:val="single" w:sz="4" w:space="0" w:color="auto"/>
              <w:right w:val="single" w:sz="4" w:space="0" w:color="auto"/>
            </w:tcBorders>
            <w:shd w:val="clear" w:color="auto" w:fill="153D63"/>
            <w:hideMark/>
          </w:tcPr>
          <w:p w14:paraId="407E7D9B" w14:textId="77777777" w:rsidR="00370535" w:rsidRPr="00370535" w:rsidRDefault="00370535" w:rsidP="00370535">
            <w:pPr>
              <w:rPr>
                <w:rFonts w:eastAsiaTheme="minorHAnsi" w:cs="Arial"/>
              </w:rPr>
            </w:pPr>
            <w:r w:rsidRPr="00370535">
              <w:rPr>
                <w:rFonts w:eastAsiaTheme="minorHAnsi" w:cs="Arial"/>
                <w:b/>
                <w:bCs/>
              </w:rPr>
              <w:t>Melanoma of the skin</w:t>
            </w:r>
          </w:p>
        </w:tc>
        <w:tc>
          <w:tcPr>
            <w:tcW w:w="997" w:type="dxa"/>
            <w:tcBorders>
              <w:top w:val="single" w:sz="4" w:space="0" w:color="auto"/>
              <w:left w:val="single" w:sz="4" w:space="0" w:color="auto"/>
              <w:bottom w:val="single" w:sz="4" w:space="0" w:color="auto"/>
              <w:right w:val="single" w:sz="4" w:space="0" w:color="auto"/>
            </w:tcBorders>
            <w:shd w:val="clear" w:color="auto" w:fill="153D63"/>
            <w:hideMark/>
          </w:tcPr>
          <w:p w14:paraId="4FA56B17" w14:textId="77777777" w:rsidR="00370535" w:rsidRPr="00370535" w:rsidRDefault="00370535" w:rsidP="00370535">
            <w:pPr>
              <w:rPr>
                <w:rFonts w:eastAsiaTheme="minorHAnsi" w:cs="Arial"/>
              </w:rPr>
            </w:pPr>
            <w:r w:rsidRPr="00370535">
              <w:rPr>
                <w:rFonts w:eastAsiaTheme="minorHAnsi" w:cs="Arial"/>
                <w:b/>
                <w:bCs/>
              </w:rPr>
              <w:t>Uterus</w:t>
            </w:r>
          </w:p>
        </w:tc>
        <w:tc>
          <w:tcPr>
            <w:tcW w:w="1468" w:type="dxa"/>
            <w:tcBorders>
              <w:top w:val="single" w:sz="4" w:space="0" w:color="auto"/>
              <w:left w:val="single" w:sz="4" w:space="0" w:color="auto"/>
              <w:bottom w:val="single" w:sz="4" w:space="0" w:color="auto"/>
              <w:right w:val="single" w:sz="4" w:space="0" w:color="auto"/>
            </w:tcBorders>
            <w:shd w:val="clear" w:color="auto" w:fill="153D63"/>
            <w:hideMark/>
          </w:tcPr>
          <w:p w14:paraId="180A2BA6" w14:textId="77777777" w:rsidR="00370535" w:rsidRPr="00370535" w:rsidRDefault="00370535" w:rsidP="00370535">
            <w:pPr>
              <w:rPr>
                <w:rFonts w:eastAsiaTheme="minorHAnsi" w:cs="Arial"/>
              </w:rPr>
            </w:pPr>
            <w:r w:rsidRPr="00370535">
              <w:rPr>
                <w:rFonts w:eastAsiaTheme="minorHAnsi" w:cs="Arial"/>
                <w:b/>
                <w:bCs/>
              </w:rPr>
              <w:t>Ovary and fallopian tube</w:t>
            </w:r>
          </w:p>
        </w:tc>
      </w:tr>
      <w:tr w:rsidR="00370535" w:rsidRPr="00370535" w14:paraId="24AB7E45" w14:textId="77777777" w:rsidTr="00472864">
        <w:tc>
          <w:tcPr>
            <w:tcW w:w="1696" w:type="dxa"/>
            <w:tcBorders>
              <w:top w:val="single" w:sz="4" w:space="0" w:color="auto"/>
              <w:left w:val="single" w:sz="4" w:space="0" w:color="auto"/>
              <w:bottom w:val="single" w:sz="4" w:space="0" w:color="auto"/>
              <w:right w:val="single" w:sz="4" w:space="0" w:color="auto"/>
            </w:tcBorders>
            <w:vAlign w:val="center"/>
            <w:hideMark/>
          </w:tcPr>
          <w:p w14:paraId="01A8DC7B" w14:textId="77777777" w:rsidR="00370535" w:rsidRPr="00370535" w:rsidRDefault="00370535" w:rsidP="00370535">
            <w:pPr>
              <w:rPr>
                <w:rFonts w:eastAsiaTheme="minorHAnsi" w:cs="Arial"/>
              </w:rPr>
            </w:pPr>
            <w:r w:rsidRPr="00370535">
              <w:rPr>
                <w:rFonts w:eastAsiaTheme="minorHAnsi" w:cs="Arial"/>
              </w:rPr>
              <w:t>Swansea Local Authority</w:t>
            </w:r>
          </w:p>
        </w:tc>
        <w:tc>
          <w:tcPr>
            <w:tcW w:w="978" w:type="dxa"/>
            <w:tcBorders>
              <w:top w:val="single" w:sz="4" w:space="0" w:color="auto"/>
              <w:left w:val="single" w:sz="4" w:space="0" w:color="auto"/>
              <w:bottom w:val="single" w:sz="4" w:space="0" w:color="auto"/>
              <w:right w:val="single" w:sz="4" w:space="0" w:color="auto"/>
            </w:tcBorders>
            <w:vAlign w:val="center"/>
            <w:hideMark/>
          </w:tcPr>
          <w:p w14:paraId="461F04CB" w14:textId="77777777" w:rsidR="00370535" w:rsidRPr="00370535" w:rsidRDefault="00370535" w:rsidP="00370535">
            <w:pPr>
              <w:rPr>
                <w:rFonts w:eastAsiaTheme="minorHAnsi" w:cs="Arial"/>
              </w:rPr>
            </w:pPr>
            <w:r w:rsidRPr="00370535">
              <w:rPr>
                <w:rFonts w:eastAsiaTheme="minorHAnsi" w:cs="Arial"/>
              </w:rPr>
              <w:t>165.8</w:t>
            </w:r>
          </w:p>
        </w:tc>
        <w:tc>
          <w:tcPr>
            <w:tcW w:w="851" w:type="dxa"/>
            <w:tcBorders>
              <w:top w:val="single" w:sz="4" w:space="0" w:color="auto"/>
              <w:left w:val="single" w:sz="4" w:space="0" w:color="auto"/>
              <w:bottom w:val="single" w:sz="4" w:space="0" w:color="auto"/>
              <w:right w:val="single" w:sz="4" w:space="0" w:color="auto"/>
            </w:tcBorders>
            <w:vAlign w:val="center"/>
            <w:hideMark/>
          </w:tcPr>
          <w:p w14:paraId="2F07BCBC" w14:textId="77777777" w:rsidR="00370535" w:rsidRPr="00370535" w:rsidRDefault="00370535" w:rsidP="00370535">
            <w:pPr>
              <w:rPr>
                <w:rFonts w:eastAsiaTheme="minorHAnsi" w:cs="Arial"/>
              </w:rPr>
            </w:pPr>
            <w:r w:rsidRPr="00370535">
              <w:rPr>
                <w:rFonts w:eastAsiaTheme="minorHAnsi" w:cs="Arial"/>
              </w:rPr>
              <w:t>71.1</w:t>
            </w:r>
          </w:p>
        </w:tc>
        <w:tc>
          <w:tcPr>
            <w:tcW w:w="1390" w:type="dxa"/>
            <w:tcBorders>
              <w:top w:val="single" w:sz="4" w:space="0" w:color="auto"/>
              <w:left w:val="single" w:sz="4" w:space="0" w:color="auto"/>
              <w:bottom w:val="single" w:sz="4" w:space="0" w:color="auto"/>
              <w:right w:val="single" w:sz="4" w:space="0" w:color="auto"/>
            </w:tcBorders>
            <w:vAlign w:val="center"/>
            <w:hideMark/>
          </w:tcPr>
          <w:p w14:paraId="56E04732" w14:textId="77777777" w:rsidR="00370535" w:rsidRPr="00370535" w:rsidRDefault="00370535" w:rsidP="00370535">
            <w:pPr>
              <w:rPr>
                <w:rFonts w:eastAsiaTheme="minorHAnsi" w:cs="Arial"/>
              </w:rPr>
            </w:pPr>
            <w:r w:rsidRPr="00370535">
              <w:rPr>
                <w:rFonts w:eastAsiaTheme="minorHAnsi" w:cs="Arial"/>
              </w:rPr>
              <w:t>53.5</w:t>
            </w:r>
          </w:p>
        </w:tc>
        <w:tc>
          <w:tcPr>
            <w:tcW w:w="1390" w:type="dxa"/>
            <w:tcBorders>
              <w:top w:val="single" w:sz="4" w:space="0" w:color="auto"/>
              <w:left w:val="single" w:sz="4" w:space="0" w:color="auto"/>
              <w:bottom w:val="single" w:sz="4" w:space="0" w:color="auto"/>
              <w:right w:val="single" w:sz="4" w:space="0" w:color="auto"/>
            </w:tcBorders>
            <w:vAlign w:val="center"/>
            <w:hideMark/>
          </w:tcPr>
          <w:p w14:paraId="75182D44" w14:textId="77777777" w:rsidR="00370535" w:rsidRPr="00370535" w:rsidRDefault="00370535" w:rsidP="00370535">
            <w:pPr>
              <w:rPr>
                <w:rFonts w:eastAsiaTheme="minorHAnsi" w:cs="Arial"/>
              </w:rPr>
            </w:pPr>
            <w:r w:rsidRPr="00370535">
              <w:rPr>
                <w:rFonts w:eastAsiaTheme="minorHAnsi" w:cs="Arial"/>
              </w:rPr>
              <w:t>34.5</w:t>
            </w:r>
          </w:p>
        </w:tc>
        <w:tc>
          <w:tcPr>
            <w:tcW w:w="997" w:type="dxa"/>
            <w:tcBorders>
              <w:top w:val="single" w:sz="4" w:space="0" w:color="auto"/>
              <w:left w:val="single" w:sz="4" w:space="0" w:color="auto"/>
              <w:bottom w:val="single" w:sz="4" w:space="0" w:color="auto"/>
              <w:right w:val="single" w:sz="4" w:space="0" w:color="auto"/>
            </w:tcBorders>
            <w:vAlign w:val="center"/>
            <w:hideMark/>
          </w:tcPr>
          <w:p w14:paraId="3B8D7D51" w14:textId="77777777" w:rsidR="00370535" w:rsidRPr="00370535" w:rsidRDefault="00370535" w:rsidP="00370535">
            <w:pPr>
              <w:rPr>
                <w:rFonts w:eastAsiaTheme="minorHAnsi" w:cs="Arial"/>
              </w:rPr>
            </w:pPr>
            <w:r w:rsidRPr="00370535">
              <w:rPr>
                <w:rFonts w:eastAsiaTheme="minorHAnsi" w:cs="Arial"/>
              </w:rPr>
              <w:t>24.2</w:t>
            </w:r>
          </w:p>
        </w:tc>
        <w:tc>
          <w:tcPr>
            <w:tcW w:w="1468" w:type="dxa"/>
            <w:tcBorders>
              <w:top w:val="single" w:sz="4" w:space="0" w:color="auto"/>
              <w:left w:val="single" w:sz="4" w:space="0" w:color="auto"/>
              <w:bottom w:val="single" w:sz="4" w:space="0" w:color="auto"/>
              <w:right w:val="single" w:sz="4" w:space="0" w:color="auto"/>
            </w:tcBorders>
            <w:vAlign w:val="center"/>
            <w:hideMark/>
          </w:tcPr>
          <w:p w14:paraId="3E0D70C1" w14:textId="77777777" w:rsidR="00370535" w:rsidRPr="00370535" w:rsidRDefault="00370535" w:rsidP="00370535">
            <w:pPr>
              <w:rPr>
                <w:rFonts w:eastAsiaTheme="minorHAnsi" w:cs="Arial"/>
              </w:rPr>
            </w:pPr>
            <w:r w:rsidRPr="00370535">
              <w:rPr>
                <w:rFonts w:eastAsiaTheme="minorHAnsi" w:cs="Arial"/>
              </w:rPr>
              <w:t>21.2</w:t>
            </w:r>
          </w:p>
        </w:tc>
      </w:tr>
      <w:tr w:rsidR="00370535" w:rsidRPr="00370535" w14:paraId="47817670" w14:textId="77777777" w:rsidTr="00472864">
        <w:tc>
          <w:tcPr>
            <w:tcW w:w="1696" w:type="dxa"/>
            <w:tcBorders>
              <w:top w:val="single" w:sz="4" w:space="0" w:color="auto"/>
              <w:left w:val="single" w:sz="4" w:space="0" w:color="auto"/>
              <w:bottom w:val="single" w:sz="4" w:space="0" w:color="auto"/>
              <w:right w:val="single" w:sz="4" w:space="0" w:color="auto"/>
            </w:tcBorders>
            <w:vAlign w:val="center"/>
            <w:hideMark/>
          </w:tcPr>
          <w:p w14:paraId="6217F4F5" w14:textId="77777777" w:rsidR="00370535" w:rsidRPr="00370535" w:rsidRDefault="00370535" w:rsidP="00370535">
            <w:pPr>
              <w:rPr>
                <w:rFonts w:eastAsiaTheme="minorHAnsi" w:cs="Arial"/>
              </w:rPr>
            </w:pPr>
            <w:r w:rsidRPr="00370535">
              <w:rPr>
                <w:rFonts w:eastAsiaTheme="minorHAnsi" w:cs="Arial"/>
              </w:rPr>
              <w:t>Neath Port Talbot Local Authority</w:t>
            </w:r>
          </w:p>
        </w:tc>
        <w:tc>
          <w:tcPr>
            <w:tcW w:w="978" w:type="dxa"/>
            <w:tcBorders>
              <w:top w:val="single" w:sz="4" w:space="0" w:color="auto"/>
              <w:left w:val="single" w:sz="4" w:space="0" w:color="auto"/>
              <w:bottom w:val="single" w:sz="4" w:space="0" w:color="auto"/>
              <w:right w:val="single" w:sz="4" w:space="0" w:color="auto"/>
            </w:tcBorders>
            <w:vAlign w:val="center"/>
            <w:hideMark/>
          </w:tcPr>
          <w:p w14:paraId="4C1D3751" w14:textId="77777777" w:rsidR="00370535" w:rsidRPr="00370535" w:rsidRDefault="00370535" w:rsidP="00370535">
            <w:pPr>
              <w:rPr>
                <w:rFonts w:eastAsiaTheme="minorHAnsi" w:cs="Arial"/>
              </w:rPr>
            </w:pPr>
            <w:r w:rsidRPr="00370535">
              <w:rPr>
                <w:rFonts w:eastAsiaTheme="minorHAnsi" w:cs="Arial"/>
              </w:rPr>
              <w:t>145.4</w:t>
            </w:r>
          </w:p>
        </w:tc>
        <w:tc>
          <w:tcPr>
            <w:tcW w:w="851" w:type="dxa"/>
            <w:tcBorders>
              <w:top w:val="single" w:sz="4" w:space="0" w:color="auto"/>
              <w:left w:val="single" w:sz="4" w:space="0" w:color="auto"/>
              <w:bottom w:val="single" w:sz="4" w:space="0" w:color="auto"/>
              <w:right w:val="single" w:sz="4" w:space="0" w:color="auto"/>
            </w:tcBorders>
            <w:vAlign w:val="center"/>
            <w:hideMark/>
          </w:tcPr>
          <w:p w14:paraId="17DFEFE0" w14:textId="77777777" w:rsidR="00370535" w:rsidRPr="00370535" w:rsidRDefault="00370535" w:rsidP="00370535">
            <w:pPr>
              <w:rPr>
                <w:rFonts w:eastAsiaTheme="minorHAnsi" w:cs="Arial"/>
              </w:rPr>
            </w:pPr>
            <w:r w:rsidRPr="00370535">
              <w:rPr>
                <w:rFonts w:eastAsiaTheme="minorHAnsi" w:cs="Arial"/>
              </w:rPr>
              <w:t>79.1</w:t>
            </w:r>
          </w:p>
        </w:tc>
        <w:tc>
          <w:tcPr>
            <w:tcW w:w="1390" w:type="dxa"/>
            <w:tcBorders>
              <w:top w:val="single" w:sz="4" w:space="0" w:color="auto"/>
              <w:left w:val="single" w:sz="4" w:space="0" w:color="auto"/>
              <w:bottom w:val="single" w:sz="4" w:space="0" w:color="auto"/>
              <w:right w:val="single" w:sz="4" w:space="0" w:color="auto"/>
            </w:tcBorders>
            <w:vAlign w:val="center"/>
            <w:hideMark/>
          </w:tcPr>
          <w:p w14:paraId="050228DD" w14:textId="77777777" w:rsidR="00370535" w:rsidRPr="00370535" w:rsidRDefault="00370535" w:rsidP="00370535">
            <w:pPr>
              <w:rPr>
                <w:rFonts w:eastAsiaTheme="minorHAnsi" w:cs="Arial"/>
              </w:rPr>
            </w:pPr>
            <w:r w:rsidRPr="00370535">
              <w:rPr>
                <w:rFonts w:eastAsiaTheme="minorHAnsi" w:cs="Arial"/>
              </w:rPr>
              <w:t>54.9</w:t>
            </w:r>
          </w:p>
        </w:tc>
        <w:tc>
          <w:tcPr>
            <w:tcW w:w="1390" w:type="dxa"/>
            <w:tcBorders>
              <w:top w:val="single" w:sz="4" w:space="0" w:color="auto"/>
              <w:left w:val="single" w:sz="4" w:space="0" w:color="auto"/>
              <w:bottom w:val="single" w:sz="4" w:space="0" w:color="auto"/>
              <w:right w:val="single" w:sz="4" w:space="0" w:color="auto"/>
            </w:tcBorders>
            <w:vAlign w:val="center"/>
            <w:hideMark/>
          </w:tcPr>
          <w:p w14:paraId="3EE65A83" w14:textId="77777777" w:rsidR="00370535" w:rsidRPr="00370535" w:rsidRDefault="00370535" w:rsidP="00370535">
            <w:pPr>
              <w:rPr>
                <w:rFonts w:eastAsiaTheme="minorHAnsi" w:cs="Arial"/>
              </w:rPr>
            </w:pPr>
            <w:r w:rsidRPr="00370535">
              <w:rPr>
                <w:rFonts w:eastAsiaTheme="minorHAnsi" w:cs="Arial"/>
              </w:rPr>
              <w:t>24.5</w:t>
            </w:r>
          </w:p>
        </w:tc>
        <w:tc>
          <w:tcPr>
            <w:tcW w:w="997" w:type="dxa"/>
            <w:tcBorders>
              <w:top w:val="single" w:sz="4" w:space="0" w:color="auto"/>
              <w:left w:val="single" w:sz="4" w:space="0" w:color="auto"/>
              <w:bottom w:val="single" w:sz="4" w:space="0" w:color="auto"/>
              <w:right w:val="single" w:sz="4" w:space="0" w:color="auto"/>
            </w:tcBorders>
            <w:vAlign w:val="center"/>
            <w:hideMark/>
          </w:tcPr>
          <w:p w14:paraId="262B1E38" w14:textId="77777777" w:rsidR="00370535" w:rsidRPr="00370535" w:rsidRDefault="00370535" w:rsidP="00370535">
            <w:pPr>
              <w:rPr>
                <w:rFonts w:eastAsiaTheme="minorHAnsi" w:cs="Arial"/>
              </w:rPr>
            </w:pPr>
            <w:r w:rsidRPr="00370535">
              <w:rPr>
                <w:rFonts w:eastAsiaTheme="minorHAnsi" w:cs="Arial"/>
              </w:rPr>
              <w:t>36.3</w:t>
            </w:r>
          </w:p>
        </w:tc>
        <w:tc>
          <w:tcPr>
            <w:tcW w:w="1468" w:type="dxa"/>
            <w:tcBorders>
              <w:top w:val="single" w:sz="4" w:space="0" w:color="auto"/>
              <w:left w:val="single" w:sz="4" w:space="0" w:color="auto"/>
              <w:bottom w:val="single" w:sz="4" w:space="0" w:color="auto"/>
              <w:right w:val="single" w:sz="4" w:space="0" w:color="auto"/>
            </w:tcBorders>
            <w:vAlign w:val="center"/>
            <w:hideMark/>
          </w:tcPr>
          <w:p w14:paraId="5F3320E2" w14:textId="77777777" w:rsidR="00370535" w:rsidRPr="00370535" w:rsidRDefault="00370535" w:rsidP="00370535">
            <w:pPr>
              <w:rPr>
                <w:rFonts w:eastAsiaTheme="minorHAnsi" w:cs="Arial"/>
              </w:rPr>
            </w:pPr>
            <w:r w:rsidRPr="00370535">
              <w:rPr>
                <w:rFonts w:eastAsiaTheme="minorHAnsi" w:cs="Arial"/>
              </w:rPr>
              <w:t>20.1</w:t>
            </w:r>
          </w:p>
        </w:tc>
      </w:tr>
      <w:tr w:rsidR="00370535" w:rsidRPr="00370535" w14:paraId="0610C2B6" w14:textId="77777777" w:rsidTr="00472864">
        <w:tc>
          <w:tcPr>
            <w:tcW w:w="1696" w:type="dxa"/>
            <w:tcBorders>
              <w:top w:val="single" w:sz="4" w:space="0" w:color="auto"/>
              <w:left w:val="single" w:sz="4" w:space="0" w:color="auto"/>
              <w:bottom w:val="single" w:sz="4" w:space="0" w:color="auto"/>
              <w:right w:val="single" w:sz="4" w:space="0" w:color="auto"/>
            </w:tcBorders>
            <w:vAlign w:val="center"/>
            <w:hideMark/>
          </w:tcPr>
          <w:p w14:paraId="4CA97596" w14:textId="77777777" w:rsidR="00370535" w:rsidRPr="00370535" w:rsidRDefault="00370535" w:rsidP="00370535">
            <w:pPr>
              <w:rPr>
                <w:rFonts w:eastAsiaTheme="minorHAnsi" w:cs="Arial"/>
              </w:rPr>
            </w:pPr>
            <w:r w:rsidRPr="00370535">
              <w:rPr>
                <w:rFonts w:eastAsiaTheme="minorHAnsi" w:cs="Arial"/>
              </w:rPr>
              <w:t>Swansea Bay University Health Board</w:t>
            </w:r>
          </w:p>
        </w:tc>
        <w:tc>
          <w:tcPr>
            <w:tcW w:w="978" w:type="dxa"/>
            <w:tcBorders>
              <w:top w:val="single" w:sz="4" w:space="0" w:color="auto"/>
              <w:left w:val="single" w:sz="4" w:space="0" w:color="auto"/>
              <w:bottom w:val="single" w:sz="4" w:space="0" w:color="auto"/>
              <w:right w:val="single" w:sz="4" w:space="0" w:color="auto"/>
            </w:tcBorders>
            <w:vAlign w:val="center"/>
            <w:hideMark/>
          </w:tcPr>
          <w:p w14:paraId="1C10DF99" w14:textId="77777777" w:rsidR="00370535" w:rsidRPr="00370535" w:rsidRDefault="00370535" w:rsidP="00370535">
            <w:pPr>
              <w:rPr>
                <w:rFonts w:eastAsiaTheme="minorHAnsi" w:cs="Arial"/>
              </w:rPr>
            </w:pPr>
            <w:r w:rsidRPr="00370535">
              <w:rPr>
                <w:rFonts w:eastAsiaTheme="minorHAnsi" w:cs="Arial"/>
              </w:rPr>
              <w:t>157.7</w:t>
            </w:r>
          </w:p>
        </w:tc>
        <w:tc>
          <w:tcPr>
            <w:tcW w:w="851" w:type="dxa"/>
            <w:tcBorders>
              <w:top w:val="single" w:sz="4" w:space="0" w:color="auto"/>
              <w:left w:val="single" w:sz="4" w:space="0" w:color="auto"/>
              <w:bottom w:val="single" w:sz="4" w:space="0" w:color="auto"/>
              <w:right w:val="single" w:sz="4" w:space="0" w:color="auto"/>
            </w:tcBorders>
            <w:vAlign w:val="center"/>
            <w:hideMark/>
          </w:tcPr>
          <w:p w14:paraId="4E5EBDD5" w14:textId="77777777" w:rsidR="00370535" w:rsidRPr="00370535" w:rsidRDefault="00370535" w:rsidP="00370535">
            <w:pPr>
              <w:rPr>
                <w:rFonts w:eastAsiaTheme="minorHAnsi" w:cs="Arial"/>
              </w:rPr>
            </w:pPr>
            <w:r w:rsidRPr="00370535">
              <w:rPr>
                <w:rFonts w:eastAsiaTheme="minorHAnsi" w:cs="Arial"/>
              </w:rPr>
              <w:t>74.2</w:t>
            </w:r>
          </w:p>
        </w:tc>
        <w:tc>
          <w:tcPr>
            <w:tcW w:w="1390" w:type="dxa"/>
            <w:tcBorders>
              <w:top w:val="single" w:sz="4" w:space="0" w:color="auto"/>
              <w:left w:val="single" w:sz="4" w:space="0" w:color="auto"/>
              <w:bottom w:val="single" w:sz="4" w:space="0" w:color="auto"/>
              <w:right w:val="single" w:sz="4" w:space="0" w:color="auto"/>
            </w:tcBorders>
            <w:vAlign w:val="center"/>
            <w:hideMark/>
          </w:tcPr>
          <w:p w14:paraId="23A578A3" w14:textId="77777777" w:rsidR="00370535" w:rsidRPr="00370535" w:rsidRDefault="00370535" w:rsidP="00370535">
            <w:pPr>
              <w:rPr>
                <w:rFonts w:eastAsiaTheme="minorHAnsi" w:cs="Arial"/>
              </w:rPr>
            </w:pPr>
            <w:r w:rsidRPr="00370535">
              <w:rPr>
                <w:rFonts w:eastAsiaTheme="minorHAnsi" w:cs="Arial"/>
              </w:rPr>
              <w:t>54.0</w:t>
            </w:r>
          </w:p>
        </w:tc>
        <w:tc>
          <w:tcPr>
            <w:tcW w:w="1390" w:type="dxa"/>
            <w:tcBorders>
              <w:top w:val="single" w:sz="4" w:space="0" w:color="auto"/>
              <w:left w:val="single" w:sz="4" w:space="0" w:color="auto"/>
              <w:bottom w:val="single" w:sz="4" w:space="0" w:color="auto"/>
              <w:right w:val="single" w:sz="4" w:space="0" w:color="auto"/>
            </w:tcBorders>
            <w:vAlign w:val="center"/>
            <w:hideMark/>
          </w:tcPr>
          <w:p w14:paraId="1E11BA0B" w14:textId="77777777" w:rsidR="00370535" w:rsidRPr="00370535" w:rsidRDefault="00370535" w:rsidP="00370535">
            <w:pPr>
              <w:rPr>
                <w:rFonts w:eastAsiaTheme="minorHAnsi" w:cs="Arial"/>
              </w:rPr>
            </w:pPr>
            <w:r w:rsidRPr="00370535">
              <w:rPr>
                <w:rFonts w:eastAsiaTheme="minorHAnsi" w:cs="Arial"/>
              </w:rPr>
              <w:t>30.6</w:t>
            </w:r>
          </w:p>
        </w:tc>
        <w:tc>
          <w:tcPr>
            <w:tcW w:w="997" w:type="dxa"/>
            <w:tcBorders>
              <w:top w:val="single" w:sz="4" w:space="0" w:color="auto"/>
              <w:left w:val="single" w:sz="4" w:space="0" w:color="auto"/>
              <w:bottom w:val="single" w:sz="4" w:space="0" w:color="auto"/>
              <w:right w:val="single" w:sz="4" w:space="0" w:color="auto"/>
            </w:tcBorders>
            <w:vAlign w:val="center"/>
            <w:hideMark/>
          </w:tcPr>
          <w:p w14:paraId="291AEDA5" w14:textId="77777777" w:rsidR="00370535" w:rsidRPr="00370535" w:rsidRDefault="00370535" w:rsidP="00370535">
            <w:pPr>
              <w:rPr>
                <w:rFonts w:eastAsiaTheme="minorHAnsi" w:cs="Arial"/>
              </w:rPr>
            </w:pPr>
            <w:r w:rsidRPr="00370535">
              <w:rPr>
                <w:rFonts w:eastAsiaTheme="minorHAnsi" w:cs="Arial"/>
              </w:rPr>
              <w:t>28.8</w:t>
            </w:r>
          </w:p>
        </w:tc>
        <w:tc>
          <w:tcPr>
            <w:tcW w:w="1468" w:type="dxa"/>
            <w:tcBorders>
              <w:top w:val="single" w:sz="4" w:space="0" w:color="auto"/>
              <w:left w:val="single" w:sz="4" w:space="0" w:color="auto"/>
              <w:bottom w:val="single" w:sz="4" w:space="0" w:color="auto"/>
              <w:right w:val="single" w:sz="4" w:space="0" w:color="auto"/>
            </w:tcBorders>
            <w:vAlign w:val="center"/>
            <w:hideMark/>
          </w:tcPr>
          <w:p w14:paraId="091BAEE2" w14:textId="77777777" w:rsidR="00370535" w:rsidRPr="00370535" w:rsidRDefault="00370535" w:rsidP="00370535">
            <w:pPr>
              <w:rPr>
                <w:rFonts w:eastAsiaTheme="minorHAnsi" w:cs="Arial"/>
              </w:rPr>
            </w:pPr>
            <w:r w:rsidRPr="00370535">
              <w:rPr>
                <w:rFonts w:eastAsiaTheme="minorHAnsi" w:cs="Arial"/>
              </w:rPr>
              <w:t>20.8</w:t>
            </w:r>
          </w:p>
        </w:tc>
      </w:tr>
      <w:tr w:rsidR="00370535" w:rsidRPr="00370535" w14:paraId="365CBD31" w14:textId="77777777" w:rsidTr="00472864">
        <w:tc>
          <w:tcPr>
            <w:tcW w:w="1696" w:type="dxa"/>
            <w:tcBorders>
              <w:top w:val="single" w:sz="4" w:space="0" w:color="auto"/>
              <w:left w:val="single" w:sz="4" w:space="0" w:color="auto"/>
              <w:bottom w:val="single" w:sz="4" w:space="0" w:color="auto"/>
              <w:right w:val="single" w:sz="4" w:space="0" w:color="auto"/>
            </w:tcBorders>
            <w:vAlign w:val="center"/>
          </w:tcPr>
          <w:p w14:paraId="4C0A72D8" w14:textId="77777777" w:rsidR="00370535" w:rsidRPr="00370535" w:rsidRDefault="00370535" w:rsidP="00370535">
            <w:pPr>
              <w:rPr>
                <w:rFonts w:eastAsiaTheme="minorHAnsi" w:cs="Arial"/>
              </w:rPr>
            </w:pPr>
            <w:r w:rsidRPr="00370535">
              <w:rPr>
                <w:rFonts w:eastAsiaTheme="minorHAnsi" w:cs="Arial"/>
              </w:rPr>
              <w:t>Wales</w:t>
            </w:r>
          </w:p>
          <w:p w14:paraId="47E4A12F" w14:textId="77777777" w:rsidR="00370535" w:rsidRPr="00370535" w:rsidRDefault="00370535" w:rsidP="00370535">
            <w:pPr>
              <w:rPr>
                <w:rFonts w:eastAsiaTheme="minorHAnsi" w:cs="Arial"/>
              </w:rPr>
            </w:pPr>
          </w:p>
        </w:tc>
        <w:tc>
          <w:tcPr>
            <w:tcW w:w="978" w:type="dxa"/>
            <w:tcBorders>
              <w:top w:val="single" w:sz="4" w:space="0" w:color="auto"/>
              <w:left w:val="single" w:sz="4" w:space="0" w:color="auto"/>
              <w:bottom w:val="single" w:sz="4" w:space="0" w:color="auto"/>
              <w:right w:val="single" w:sz="4" w:space="0" w:color="auto"/>
            </w:tcBorders>
            <w:vAlign w:val="center"/>
            <w:hideMark/>
          </w:tcPr>
          <w:p w14:paraId="29086450" w14:textId="77777777" w:rsidR="00370535" w:rsidRPr="00370535" w:rsidRDefault="00370535" w:rsidP="00370535">
            <w:pPr>
              <w:rPr>
                <w:rFonts w:eastAsiaTheme="minorHAnsi" w:cs="Arial"/>
              </w:rPr>
            </w:pPr>
            <w:r w:rsidRPr="00370535">
              <w:rPr>
                <w:rFonts w:eastAsiaTheme="minorHAnsi" w:cs="Arial"/>
              </w:rPr>
              <w:t>163.3</w:t>
            </w:r>
          </w:p>
        </w:tc>
        <w:tc>
          <w:tcPr>
            <w:tcW w:w="851" w:type="dxa"/>
            <w:tcBorders>
              <w:top w:val="single" w:sz="4" w:space="0" w:color="auto"/>
              <w:left w:val="single" w:sz="4" w:space="0" w:color="auto"/>
              <w:bottom w:val="single" w:sz="4" w:space="0" w:color="auto"/>
              <w:right w:val="single" w:sz="4" w:space="0" w:color="auto"/>
            </w:tcBorders>
            <w:vAlign w:val="center"/>
            <w:hideMark/>
          </w:tcPr>
          <w:p w14:paraId="41FD1B8B" w14:textId="77777777" w:rsidR="00370535" w:rsidRPr="00370535" w:rsidRDefault="00370535" w:rsidP="00370535">
            <w:pPr>
              <w:rPr>
                <w:rFonts w:eastAsiaTheme="minorHAnsi" w:cs="Arial"/>
              </w:rPr>
            </w:pPr>
            <w:r w:rsidRPr="00370535">
              <w:rPr>
                <w:rFonts w:eastAsiaTheme="minorHAnsi" w:cs="Arial"/>
              </w:rPr>
              <w:t>68.1</w:t>
            </w:r>
          </w:p>
        </w:tc>
        <w:tc>
          <w:tcPr>
            <w:tcW w:w="1390" w:type="dxa"/>
            <w:tcBorders>
              <w:top w:val="single" w:sz="4" w:space="0" w:color="auto"/>
              <w:left w:val="single" w:sz="4" w:space="0" w:color="auto"/>
              <w:bottom w:val="single" w:sz="4" w:space="0" w:color="auto"/>
              <w:right w:val="single" w:sz="4" w:space="0" w:color="auto"/>
            </w:tcBorders>
            <w:vAlign w:val="center"/>
            <w:hideMark/>
          </w:tcPr>
          <w:p w14:paraId="26166C1B" w14:textId="77777777" w:rsidR="00370535" w:rsidRPr="00370535" w:rsidRDefault="00370535" w:rsidP="00370535">
            <w:pPr>
              <w:rPr>
                <w:rFonts w:eastAsiaTheme="minorHAnsi" w:cs="Arial"/>
              </w:rPr>
            </w:pPr>
            <w:r w:rsidRPr="00370535">
              <w:rPr>
                <w:rFonts w:eastAsiaTheme="minorHAnsi" w:cs="Arial"/>
              </w:rPr>
              <w:t>58.7</w:t>
            </w:r>
          </w:p>
        </w:tc>
        <w:tc>
          <w:tcPr>
            <w:tcW w:w="1390" w:type="dxa"/>
            <w:tcBorders>
              <w:top w:val="single" w:sz="4" w:space="0" w:color="auto"/>
              <w:left w:val="single" w:sz="4" w:space="0" w:color="auto"/>
              <w:bottom w:val="single" w:sz="4" w:space="0" w:color="auto"/>
              <w:right w:val="single" w:sz="4" w:space="0" w:color="auto"/>
            </w:tcBorders>
            <w:vAlign w:val="center"/>
            <w:hideMark/>
          </w:tcPr>
          <w:p w14:paraId="453DFBA9" w14:textId="77777777" w:rsidR="00370535" w:rsidRPr="00370535" w:rsidRDefault="00370535" w:rsidP="00370535">
            <w:pPr>
              <w:rPr>
                <w:rFonts w:eastAsiaTheme="minorHAnsi" w:cs="Arial"/>
              </w:rPr>
            </w:pPr>
            <w:r w:rsidRPr="00370535">
              <w:rPr>
                <w:rFonts w:eastAsiaTheme="minorHAnsi" w:cs="Arial"/>
              </w:rPr>
              <w:t>28.4</w:t>
            </w:r>
          </w:p>
        </w:tc>
        <w:tc>
          <w:tcPr>
            <w:tcW w:w="997" w:type="dxa"/>
            <w:tcBorders>
              <w:top w:val="single" w:sz="4" w:space="0" w:color="auto"/>
              <w:left w:val="single" w:sz="4" w:space="0" w:color="auto"/>
              <w:bottom w:val="single" w:sz="4" w:space="0" w:color="auto"/>
              <w:right w:val="single" w:sz="4" w:space="0" w:color="auto"/>
            </w:tcBorders>
            <w:vAlign w:val="center"/>
            <w:hideMark/>
          </w:tcPr>
          <w:p w14:paraId="75EC508B" w14:textId="77777777" w:rsidR="00370535" w:rsidRPr="00370535" w:rsidRDefault="00370535" w:rsidP="00370535">
            <w:pPr>
              <w:rPr>
                <w:rFonts w:eastAsiaTheme="minorHAnsi" w:cs="Arial"/>
              </w:rPr>
            </w:pPr>
            <w:r w:rsidRPr="00370535">
              <w:rPr>
                <w:rFonts w:eastAsiaTheme="minorHAnsi" w:cs="Arial"/>
              </w:rPr>
              <w:t>31.4</w:t>
            </w:r>
          </w:p>
        </w:tc>
        <w:tc>
          <w:tcPr>
            <w:tcW w:w="1468" w:type="dxa"/>
            <w:tcBorders>
              <w:top w:val="single" w:sz="4" w:space="0" w:color="auto"/>
              <w:left w:val="single" w:sz="4" w:space="0" w:color="auto"/>
              <w:bottom w:val="single" w:sz="4" w:space="0" w:color="auto"/>
              <w:right w:val="single" w:sz="4" w:space="0" w:color="auto"/>
            </w:tcBorders>
            <w:vAlign w:val="center"/>
            <w:hideMark/>
          </w:tcPr>
          <w:p w14:paraId="05DACFA6" w14:textId="77777777" w:rsidR="00370535" w:rsidRPr="00370535" w:rsidRDefault="00370535" w:rsidP="00370535">
            <w:pPr>
              <w:rPr>
                <w:rFonts w:eastAsiaTheme="minorHAnsi" w:cs="Arial"/>
              </w:rPr>
            </w:pPr>
            <w:r w:rsidRPr="00370535">
              <w:rPr>
                <w:rFonts w:eastAsiaTheme="minorHAnsi" w:cs="Arial"/>
              </w:rPr>
              <w:t>21.8</w:t>
            </w:r>
          </w:p>
        </w:tc>
      </w:tr>
    </w:tbl>
    <w:p w14:paraId="1ED2C8E2" w14:textId="77777777" w:rsidR="00370535" w:rsidRPr="00370535" w:rsidRDefault="00370535" w:rsidP="00370535">
      <w:pPr>
        <w:rPr>
          <w:rFonts w:cs="Arial"/>
        </w:rPr>
      </w:pPr>
    </w:p>
    <w:p w14:paraId="177155E7" w14:textId="77777777" w:rsidR="00370535" w:rsidRPr="00370535" w:rsidRDefault="00370535" w:rsidP="00370535">
      <w:pPr>
        <w:rPr>
          <w:rFonts w:cs="Arial"/>
        </w:rPr>
      </w:pPr>
      <w:r w:rsidRPr="00370535">
        <w:rPr>
          <w:rFonts w:cs="Arial"/>
        </w:rPr>
        <w:t>Across the three-year period (2020–2022), Swansea and Neath Port Talbot show different incidence patterns across the cancer types shown for females (all ages) per 100,000.</w:t>
      </w:r>
    </w:p>
    <w:p w14:paraId="71F9438D" w14:textId="77777777" w:rsidR="00370535" w:rsidRPr="00370535" w:rsidRDefault="00370535" w:rsidP="00370535">
      <w:pPr>
        <w:rPr>
          <w:rFonts w:cs="Arial"/>
        </w:rPr>
      </w:pPr>
    </w:p>
    <w:p w14:paraId="02A160C0" w14:textId="77777777" w:rsidR="00370535" w:rsidRPr="00370535" w:rsidRDefault="00370535" w:rsidP="00B76905">
      <w:pPr>
        <w:numPr>
          <w:ilvl w:val="0"/>
          <w:numId w:val="59"/>
        </w:numPr>
        <w:rPr>
          <w:rFonts w:cs="Arial"/>
        </w:rPr>
      </w:pPr>
      <w:r w:rsidRPr="00370535">
        <w:rPr>
          <w:rFonts w:cs="Arial"/>
        </w:rPr>
        <w:t xml:space="preserve">Breast cancer incidence was higher in Swansea (165.8 per 100,000) than Neath Port Talbot (145.4). Swansea was higher than the health board (157.7) and Wales rates (157.7 and 163.3 respectively), while Neath Port Talbot was lower than both. </w:t>
      </w:r>
    </w:p>
    <w:p w14:paraId="04096837" w14:textId="77777777" w:rsidR="00370535" w:rsidRPr="00370535" w:rsidRDefault="00370535" w:rsidP="00B76905">
      <w:pPr>
        <w:numPr>
          <w:ilvl w:val="0"/>
          <w:numId w:val="59"/>
        </w:numPr>
        <w:rPr>
          <w:rFonts w:cs="Arial"/>
        </w:rPr>
      </w:pPr>
      <w:r w:rsidRPr="00370535">
        <w:rPr>
          <w:rFonts w:cs="Arial"/>
        </w:rPr>
        <w:t>Lung cancer incidence was higher in Neath Port Talbot (79.1) than Swansea (71.1). Neath Port Talbot was higher than both the health board (and Wales rates (74.2 and 68.1 respectively), while Swansea was lower than the health board, but higher than Wales.</w:t>
      </w:r>
    </w:p>
    <w:p w14:paraId="77EFBDE0" w14:textId="77777777" w:rsidR="00370535" w:rsidRPr="00370535" w:rsidRDefault="00370535" w:rsidP="00B76905">
      <w:pPr>
        <w:numPr>
          <w:ilvl w:val="0"/>
          <w:numId w:val="59"/>
        </w:numPr>
        <w:rPr>
          <w:rFonts w:cs="Arial"/>
        </w:rPr>
      </w:pPr>
      <w:r w:rsidRPr="00370535">
        <w:rPr>
          <w:rFonts w:cs="Arial"/>
        </w:rPr>
        <w:t xml:space="preserve">Colorectal cancer incidence was higher in Neath Port Talbot (54.9) than Swansea (53.5). Neath Port Talbot was higher than the health board rate (54.0), while Swansea was lower. Both local authorities were lower than the rate for Wales (58.7). </w:t>
      </w:r>
    </w:p>
    <w:p w14:paraId="43543E8A" w14:textId="77777777" w:rsidR="00370535" w:rsidRPr="00370535" w:rsidRDefault="00370535" w:rsidP="00B76905">
      <w:pPr>
        <w:numPr>
          <w:ilvl w:val="0"/>
          <w:numId w:val="59"/>
        </w:numPr>
        <w:rPr>
          <w:rFonts w:cs="Arial"/>
        </w:rPr>
      </w:pPr>
      <w:r w:rsidRPr="00370535">
        <w:rPr>
          <w:rFonts w:cs="Arial"/>
        </w:rPr>
        <w:t xml:space="preserve">Melanoma cancer incidence was higher in Swansea (34.5) than Neath Port Talbot (24.5). Swansea was higher than both the health board and Wales rates (30.6 and 28.4 respectively), while Neath Port Talbot was below both. </w:t>
      </w:r>
    </w:p>
    <w:p w14:paraId="11F00EB9" w14:textId="77777777" w:rsidR="00370535" w:rsidRPr="00370535" w:rsidRDefault="00370535" w:rsidP="00B76905">
      <w:pPr>
        <w:numPr>
          <w:ilvl w:val="0"/>
          <w:numId w:val="59"/>
        </w:numPr>
        <w:rPr>
          <w:rFonts w:cs="Arial"/>
        </w:rPr>
      </w:pPr>
      <w:r w:rsidRPr="00370535">
        <w:rPr>
          <w:rFonts w:cs="Arial"/>
        </w:rPr>
        <w:t>Uterus cancer incidence was higher in Neath Port Talbot (36.3) than Swansea (24.2). Neath Port Talbot was above both the health board and Wales rates (28.8 and 31.4 respectively), while Swansea was lower than both.</w:t>
      </w:r>
    </w:p>
    <w:p w14:paraId="417199D6" w14:textId="77777777" w:rsidR="00370535" w:rsidRPr="00370535" w:rsidRDefault="00370535" w:rsidP="00B76905">
      <w:pPr>
        <w:numPr>
          <w:ilvl w:val="0"/>
          <w:numId w:val="59"/>
        </w:numPr>
        <w:rPr>
          <w:rFonts w:cs="Arial"/>
        </w:rPr>
      </w:pPr>
      <w:r w:rsidRPr="00370535">
        <w:rPr>
          <w:rFonts w:cs="Arial"/>
        </w:rPr>
        <w:t>Ovary and fallopian tube cancer incidence was higher in Swansea (21.2) than Neath Port Talbot (20.1). Swansea was higher than the health board rate (20.8), but lower than Wales (21.8), while Neath Port Talbot was lower than both.</w:t>
      </w:r>
    </w:p>
    <w:p w14:paraId="3E277D49" w14:textId="77777777" w:rsidR="00370535" w:rsidRPr="00370535" w:rsidRDefault="00370535" w:rsidP="00370535">
      <w:pPr>
        <w:rPr>
          <w:rFonts w:cs="Arial"/>
        </w:rPr>
      </w:pPr>
      <w:bookmarkStart w:id="19" w:name="_Hlk62412635"/>
      <w:bookmarkEnd w:id="17"/>
    </w:p>
    <w:p w14:paraId="0BFE2B7F" w14:textId="77777777" w:rsidR="00370535" w:rsidRPr="00370535" w:rsidRDefault="00370535" w:rsidP="00370535">
      <w:pPr>
        <w:rPr>
          <w:rFonts w:cs="Arial"/>
        </w:rPr>
      </w:pPr>
      <w:r w:rsidRPr="00370535">
        <w:rPr>
          <w:rFonts w:cs="Arial"/>
        </w:rPr>
        <w:t>The table below shows the incidence of the six most common types of cancer for men between 2020 and 2022.</w:t>
      </w:r>
    </w:p>
    <w:p w14:paraId="30D74FAD" w14:textId="77777777" w:rsidR="00370535" w:rsidRPr="00370535" w:rsidRDefault="00370535" w:rsidP="00370535">
      <w:pPr>
        <w:rPr>
          <w:rFonts w:cs="Arial"/>
        </w:rPr>
      </w:pPr>
    </w:p>
    <w:p w14:paraId="74CB371B" w14:textId="077EF09D" w:rsidR="00370535" w:rsidRPr="00D0306F" w:rsidRDefault="00370535" w:rsidP="00370535">
      <w:pPr>
        <w:rPr>
          <w:rFonts w:cs="Arial"/>
        </w:rPr>
      </w:pPr>
      <w:r w:rsidRPr="00370535">
        <w:rPr>
          <w:rFonts w:cs="Arial"/>
          <w:b/>
          <w:bCs/>
        </w:rPr>
        <w:t>Table 3.21 Cancer incidence by cancer type, European age-standardised rate per 100,000, men, all ages, by health board, local authority and Wales (three-year period, 2020 – 2022)</w:t>
      </w:r>
      <w:r w:rsidRPr="00370535">
        <w:rPr>
          <w:rFonts w:cs="Arial"/>
          <w:b/>
          <w:bCs/>
          <w:vertAlign w:val="superscript"/>
        </w:rPr>
        <w:footnoteReference w:id="128"/>
      </w:r>
    </w:p>
    <w:p w14:paraId="2459FBCC" w14:textId="77777777" w:rsidR="00472864" w:rsidRPr="00D0306F" w:rsidRDefault="00472864" w:rsidP="00370535">
      <w:pPr>
        <w:rPr>
          <w:rFonts w:cs="Arial"/>
        </w:rPr>
      </w:pPr>
    </w:p>
    <w:tbl>
      <w:tblPr>
        <w:tblStyle w:val="TableGrid"/>
        <w:tblW w:w="9016" w:type="dxa"/>
        <w:tblInd w:w="-5" w:type="dxa"/>
        <w:tblLook w:val="04A0" w:firstRow="1" w:lastRow="0" w:firstColumn="1" w:lastColumn="0" w:noHBand="0" w:noVBand="1"/>
      </w:tblPr>
      <w:tblGrid>
        <w:gridCol w:w="1283"/>
        <w:gridCol w:w="1284"/>
        <w:gridCol w:w="1390"/>
        <w:gridCol w:w="1172"/>
        <w:gridCol w:w="1390"/>
        <w:gridCol w:w="1160"/>
        <w:gridCol w:w="1337"/>
      </w:tblGrid>
      <w:tr w:rsidR="00A87D95" w:rsidRPr="00D0306F" w14:paraId="0A7D974E" w14:textId="77777777" w:rsidTr="00A87D95">
        <w:tc>
          <w:tcPr>
            <w:tcW w:w="1285" w:type="dxa"/>
            <w:tcBorders>
              <w:top w:val="single" w:sz="8" w:space="0" w:color="auto"/>
              <w:left w:val="single" w:sz="8" w:space="0" w:color="auto"/>
              <w:bottom w:val="single" w:sz="8" w:space="0" w:color="auto"/>
              <w:right w:val="single" w:sz="8" w:space="0" w:color="auto"/>
            </w:tcBorders>
            <w:shd w:val="clear" w:color="auto" w:fill="153D63" w:themeFill="text2" w:themeFillTint="E6"/>
          </w:tcPr>
          <w:p w14:paraId="6CF97DEC" w14:textId="08AFBD2E" w:rsidR="00A87D95" w:rsidRPr="00D0306F" w:rsidRDefault="00A87D95" w:rsidP="00A87D95">
            <w:pPr>
              <w:rPr>
                <w:rFonts w:cs="Arial"/>
              </w:rPr>
            </w:pPr>
            <w:r w:rsidRPr="00370535">
              <w:rPr>
                <w:rFonts w:cs="Arial"/>
                <w:b/>
                <w:bCs/>
              </w:rPr>
              <w:t>Area</w:t>
            </w:r>
          </w:p>
        </w:tc>
        <w:tc>
          <w:tcPr>
            <w:tcW w:w="1286" w:type="dxa"/>
            <w:tcBorders>
              <w:top w:val="single" w:sz="8" w:space="0" w:color="auto"/>
              <w:left w:val="nil"/>
              <w:bottom w:val="single" w:sz="8" w:space="0" w:color="auto"/>
              <w:right w:val="single" w:sz="8" w:space="0" w:color="auto"/>
            </w:tcBorders>
            <w:shd w:val="clear" w:color="auto" w:fill="153D63" w:themeFill="text2" w:themeFillTint="E6"/>
          </w:tcPr>
          <w:p w14:paraId="3A60B6C1" w14:textId="58F93C77" w:rsidR="00A87D95" w:rsidRPr="00D0306F" w:rsidRDefault="00A87D95" w:rsidP="00A87D95">
            <w:pPr>
              <w:rPr>
                <w:rFonts w:cs="Arial"/>
              </w:rPr>
            </w:pPr>
            <w:r w:rsidRPr="00370535">
              <w:rPr>
                <w:rFonts w:cs="Arial"/>
                <w:b/>
                <w:bCs/>
              </w:rPr>
              <w:t xml:space="preserve">Prostrate </w:t>
            </w:r>
          </w:p>
        </w:tc>
        <w:tc>
          <w:tcPr>
            <w:tcW w:w="1390" w:type="dxa"/>
            <w:tcBorders>
              <w:top w:val="single" w:sz="8" w:space="0" w:color="auto"/>
              <w:left w:val="nil"/>
              <w:bottom w:val="single" w:sz="8" w:space="0" w:color="auto"/>
              <w:right w:val="single" w:sz="8" w:space="0" w:color="auto"/>
            </w:tcBorders>
            <w:shd w:val="clear" w:color="auto" w:fill="153D63" w:themeFill="text2" w:themeFillTint="E6"/>
          </w:tcPr>
          <w:p w14:paraId="2B4FD2DF" w14:textId="6C918841" w:rsidR="00A87D95" w:rsidRPr="00D0306F" w:rsidRDefault="00A87D95" w:rsidP="00A87D95">
            <w:pPr>
              <w:rPr>
                <w:rFonts w:cs="Arial"/>
              </w:rPr>
            </w:pPr>
            <w:r w:rsidRPr="00370535">
              <w:rPr>
                <w:rFonts w:cs="Arial"/>
                <w:b/>
                <w:bCs/>
              </w:rPr>
              <w:t>Colorectal</w:t>
            </w:r>
          </w:p>
        </w:tc>
        <w:tc>
          <w:tcPr>
            <w:tcW w:w="1231" w:type="dxa"/>
            <w:tcBorders>
              <w:top w:val="single" w:sz="8" w:space="0" w:color="auto"/>
              <w:left w:val="nil"/>
              <w:bottom w:val="single" w:sz="8" w:space="0" w:color="auto"/>
              <w:right w:val="single" w:sz="8" w:space="0" w:color="auto"/>
            </w:tcBorders>
            <w:shd w:val="clear" w:color="auto" w:fill="153D63" w:themeFill="text2" w:themeFillTint="E6"/>
          </w:tcPr>
          <w:p w14:paraId="305976CD" w14:textId="26251C74" w:rsidR="00A87D95" w:rsidRPr="00D0306F" w:rsidRDefault="00A87D95" w:rsidP="00A87D95">
            <w:pPr>
              <w:rPr>
                <w:rFonts w:cs="Arial"/>
              </w:rPr>
            </w:pPr>
            <w:r w:rsidRPr="00370535">
              <w:rPr>
                <w:rFonts w:cs="Arial"/>
                <w:b/>
                <w:bCs/>
              </w:rPr>
              <w:t>Lung</w:t>
            </w:r>
          </w:p>
        </w:tc>
        <w:tc>
          <w:tcPr>
            <w:tcW w:w="1390" w:type="dxa"/>
            <w:tcBorders>
              <w:top w:val="single" w:sz="8" w:space="0" w:color="auto"/>
              <w:left w:val="nil"/>
              <w:bottom w:val="single" w:sz="8" w:space="0" w:color="auto"/>
              <w:right w:val="single" w:sz="8" w:space="0" w:color="auto"/>
            </w:tcBorders>
            <w:shd w:val="clear" w:color="auto" w:fill="153D63" w:themeFill="text2" w:themeFillTint="E6"/>
          </w:tcPr>
          <w:p w14:paraId="732F5C61" w14:textId="78C144E9" w:rsidR="00A87D95" w:rsidRPr="00D0306F" w:rsidRDefault="00A87D95" w:rsidP="00A87D95">
            <w:pPr>
              <w:rPr>
                <w:rFonts w:cs="Arial"/>
              </w:rPr>
            </w:pPr>
            <w:r w:rsidRPr="00370535">
              <w:rPr>
                <w:rFonts w:cs="Arial"/>
                <w:b/>
                <w:bCs/>
              </w:rPr>
              <w:t>Melanoma of the skin</w:t>
            </w:r>
          </w:p>
        </w:tc>
        <w:tc>
          <w:tcPr>
            <w:tcW w:w="1217" w:type="dxa"/>
            <w:tcBorders>
              <w:top w:val="single" w:sz="8" w:space="0" w:color="auto"/>
              <w:left w:val="nil"/>
              <w:bottom w:val="single" w:sz="8" w:space="0" w:color="auto"/>
              <w:right w:val="single" w:sz="8" w:space="0" w:color="auto"/>
            </w:tcBorders>
            <w:shd w:val="clear" w:color="auto" w:fill="153D63" w:themeFill="text2" w:themeFillTint="E6"/>
          </w:tcPr>
          <w:p w14:paraId="7AF7E122" w14:textId="0386F2C6" w:rsidR="00A87D95" w:rsidRPr="00D0306F" w:rsidRDefault="00A87D95" w:rsidP="00A87D95">
            <w:pPr>
              <w:rPr>
                <w:rFonts w:cs="Arial"/>
              </w:rPr>
            </w:pPr>
            <w:r w:rsidRPr="00370535">
              <w:rPr>
                <w:rFonts w:cs="Arial"/>
                <w:b/>
                <w:bCs/>
              </w:rPr>
              <w:t>Head and neck</w:t>
            </w:r>
          </w:p>
        </w:tc>
        <w:tc>
          <w:tcPr>
            <w:tcW w:w="1217" w:type="dxa"/>
            <w:tcBorders>
              <w:top w:val="single" w:sz="8" w:space="0" w:color="auto"/>
              <w:left w:val="nil"/>
              <w:bottom w:val="single" w:sz="8" w:space="0" w:color="auto"/>
              <w:right w:val="single" w:sz="8" w:space="0" w:color="auto"/>
            </w:tcBorders>
            <w:shd w:val="clear" w:color="auto" w:fill="153D63" w:themeFill="text2" w:themeFillTint="E6"/>
          </w:tcPr>
          <w:p w14:paraId="1284C4C6" w14:textId="6B1C4EF3" w:rsidR="00A87D95" w:rsidRPr="00D0306F" w:rsidRDefault="00A87D95" w:rsidP="00A87D95">
            <w:pPr>
              <w:rPr>
                <w:rFonts w:cs="Arial"/>
              </w:rPr>
            </w:pPr>
            <w:r w:rsidRPr="00370535">
              <w:rPr>
                <w:rFonts w:cs="Arial"/>
                <w:b/>
                <w:bCs/>
              </w:rPr>
              <w:t>Urinary tract excluding bladder</w:t>
            </w:r>
          </w:p>
        </w:tc>
      </w:tr>
      <w:tr w:rsidR="00A87D95" w:rsidRPr="00D0306F" w14:paraId="21F7BA1A" w14:textId="77777777" w:rsidTr="00A87D95">
        <w:tc>
          <w:tcPr>
            <w:tcW w:w="1285" w:type="dxa"/>
            <w:tcBorders>
              <w:top w:val="nil"/>
              <w:left w:val="single" w:sz="8" w:space="0" w:color="auto"/>
              <w:bottom w:val="single" w:sz="8" w:space="0" w:color="auto"/>
              <w:right w:val="single" w:sz="8" w:space="0" w:color="auto"/>
            </w:tcBorders>
            <w:vAlign w:val="center"/>
          </w:tcPr>
          <w:p w14:paraId="0F2247BB" w14:textId="7E16B8A6" w:rsidR="00A87D95" w:rsidRPr="00D0306F" w:rsidRDefault="00A87D95" w:rsidP="00A87D95">
            <w:pPr>
              <w:rPr>
                <w:rFonts w:cs="Arial"/>
              </w:rPr>
            </w:pPr>
            <w:r w:rsidRPr="00370535">
              <w:rPr>
                <w:rFonts w:cs="Arial"/>
              </w:rPr>
              <w:t>Swansea Local Authority</w:t>
            </w:r>
          </w:p>
        </w:tc>
        <w:tc>
          <w:tcPr>
            <w:tcW w:w="1286" w:type="dxa"/>
            <w:tcBorders>
              <w:top w:val="nil"/>
              <w:left w:val="nil"/>
              <w:bottom w:val="single" w:sz="8" w:space="0" w:color="auto"/>
              <w:right w:val="single" w:sz="8" w:space="0" w:color="auto"/>
            </w:tcBorders>
            <w:vAlign w:val="center"/>
          </w:tcPr>
          <w:p w14:paraId="312693D9" w14:textId="48B6ACD1" w:rsidR="00A87D95" w:rsidRPr="00D0306F" w:rsidRDefault="00A87D95" w:rsidP="00A87D95">
            <w:pPr>
              <w:jc w:val="center"/>
              <w:rPr>
                <w:rFonts w:cs="Arial"/>
              </w:rPr>
            </w:pPr>
            <w:r w:rsidRPr="00370535">
              <w:rPr>
                <w:rFonts w:cs="Arial"/>
              </w:rPr>
              <w:t>173.8</w:t>
            </w:r>
          </w:p>
        </w:tc>
        <w:tc>
          <w:tcPr>
            <w:tcW w:w="1390" w:type="dxa"/>
            <w:tcBorders>
              <w:top w:val="nil"/>
              <w:left w:val="nil"/>
              <w:bottom w:val="single" w:sz="8" w:space="0" w:color="auto"/>
              <w:right w:val="single" w:sz="8" w:space="0" w:color="auto"/>
            </w:tcBorders>
            <w:vAlign w:val="center"/>
          </w:tcPr>
          <w:p w14:paraId="3002A72D" w14:textId="2310B926" w:rsidR="00A87D95" w:rsidRPr="00D0306F" w:rsidRDefault="00A87D95" w:rsidP="00A87D95">
            <w:pPr>
              <w:jc w:val="center"/>
              <w:rPr>
                <w:rFonts w:cs="Arial"/>
              </w:rPr>
            </w:pPr>
            <w:r w:rsidRPr="00370535">
              <w:rPr>
                <w:rFonts w:cs="Arial"/>
              </w:rPr>
              <w:t>90.0</w:t>
            </w:r>
          </w:p>
        </w:tc>
        <w:tc>
          <w:tcPr>
            <w:tcW w:w="1231" w:type="dxa"/>
            <w:tcBorders>
              <w:top w:val="nil"/>
              <w:left w:val="nil"/>
              <w:bottom w:val="single" w:sz="8" w:space="0" w:color="auto"/>
              <w:right w:val="single" w:sz="8" w:space="0" w:color="auto"/>
            </w:tcBorders>
            <w:vAlign w:val="center"/>
          </w:tcPr>
          <w:p w14:paraId="70D43DCA" w14:textId="539BBDDF" w:rsidR="00A87D95" w:rsidRPr="00D0306F" w:rsidRDefault="00A87D95" w:rsidP="00A87D95">
            <w:pPr>
              <w:jc w:val="center"/>
              <w:rPr>
                <w:rFonts w:cs="Arial"/>
              </w:rPr>
            </w:pPr>
            <w:r w:rsidRPr="00370535">
              <w:rPr>
                <w:rFonts w:cs="Arial"/>
              </w:rPr>
              <w:t>78.3</w:t>
            </w:r>
          </w:p>
        </w:tc>
        <w:tc>
          <w:tcPr>
            <w:tcW w:w="1390" w:type="dxa"/>
            <w:tcBorders>
              <w:top w:val="nil"/>
              <w:left w:val="nil"/>
              <w:bottom w:val="single" w:sz="8" w:space="0" w:color="auto"/>
              <w:right w:val="single" w:sz="8" w:space="0" w:color="auto"/>
            </w:tcBorders>
            <w:vAlign w:val="center"/>
          </w:tcPr>
          <w:p w14:paraId="1953636C" w14:textId="18CFF067" w:rsidR="00A87D95" w:rsidRPr="00D0306F" w:rsidRDefault="00A87D95" w:rsidP="00A87D95">
            <w:pPr>
              <w:jc w:val="center"/>
              <w:rPr>
                <w:rFonts w:cs="Arial"/>
              </w:rPr>
            </w:pPr>
            <w:r w:rsidRPr="00370535">
              <w:rPr>
                <w:rFonts w:cs="Arial"/>
              </w:rPr>
              <w:t>37.8</w:t>
            </w:r>
          </w:p>
        </w:tc>
        <w:tc>
          <w:tcPr>
            <w:tcW w:w="1217" w:type="dxa"/>
            <w:tcBorders>
              <w:top w:val="nil"/>
              <w:left w:val="nil"/>
              <w:bottom w:val="single" w:sz="8" w:space="0" w:color="auto"/>
              <w:right w:val="single" w:sz="8" w:space="0" w:color="auto"/>
            </w:tcBorders>
            <w:vAlign w:val="center"/>
          </w:tcPr>
          <w:p w14:paraId="2F19F596" w14:textId="7C465177" w:rsidR="00A87D95" w:rsidRPr="00D0306F" w:rsidRDefault="00A87D95" w:rsidP="00A87D95">
            <w:pPr>
              <w:jc w:val="center"/>
              <w:rPr>
                <w:rFonts w:cs="Arial"/>
              </w:rPr>
            </w:pPr>
            <w:r w:rsidRPr="00370535">
              <w:rPr>
                <w:rFonts w:cs="Arial"/>
              </w:rPr>
              <w:t>31.6</w:t>
            </w:r>
          </w:p>
        </w:tc>
        <w:tc>
          <w:tcPr>
            <w:tcW w:w="1217" w:type="dxa"/>
            <w:tcBorders>
              <w:top w:val="nil"/>
              <w:left w:val="nil"/>
              <w:bottom w:val="single" w:sz="8" w:space="0" w:color="auto"/>
              <w:right w:val="single" w:sz="8" w:space="0" w:color="auto"/>
            </w:tcBorders>
            <w:vAlign w:val="center"/>
          </w:tcPr>
          <w:p w14:paraId="11EF3CAF" w14:textId="30B04F52" w:rsidR="00A87D95" w:rsidRPr="00D0306F" w:rsidRDefault="00A87D95" w:rsidP="00A87D95">
            <w:pPr>
              <w:jc w:val="center"/>
              <w:rPr>
                <w:rFonts w:cs="Arial"/>
              </w:rPr>
            </w:pPr>
            <w:r w:rsidRPr="00370535">
              <w:rPr>
                <w:rFonts w:cs="Arial"/>
              </w:rPr>
              <w:t>30.6</w:t>
            </w:r>
          </w:p>
        </w:tc>
      </w:tr>
      <w:tr w:rsidR="00A87D95" w:rsidRPr="00D0306F" w14:paraId="0C92AEEC" w14:textId="77777777" w:rsidTr="00A87D95">
        <w:tc>
          <w:tcPr>
            <w:tcW w:w="1285" w:type="dxa"/>
            <w:tcBorders>
              <w:top w:val="nil"/>
              <w:left w:val="single" w:sz="8" w:space="0" w:color="auto"/>
              <w:bottom w:val="single" w:sz="8" w:space="0" w:color="auto"/>
              <w:right w:val="single" w:sz="8" w:space="0" w:color="auto"/>
            </w:tcBorders>
            <w:vAlign w:val="center"/>
          </w:tcPr>
          <w:p w14:paraId="37AB3796" w14:textId="76DFD7D3" w:rsidR="00A87D95" w:rsidRPr="00D0306F" w:rsidRDefault="00A87D95" w:rsidP="00A87D95">
            <w:pPr>
              <w:rPr>
                <w:rFonts w:cs="Arial"/>
              </w:rPr>
            </w:pPr>
            <w:r w:rsidRPr="00370535">
              <w:rPr>
                <w:rFonts w:cs="Arial"/>
              </w:rPr>
              <w:t>Neath Port Talbot Local Authority</w:t>
            </w:r>
          </w:p>
        </w:tc>
        <w:tc>
          <w:tcPr>
            <w:tcW w:w="1286" w:type="dxa"/>
            <w:tcBorders>
              <w:top w:val="nil"/>
              <w:left w:val="nil"/>
              <w:bottom w:val="single" w:sz="8" w:space="0" w:color="auto"/>
              <w:right w:val="single" w:sz="8" w:space="0" w:color="auto"/>
            </w:tcBorders>
            <w:vAlign w:val="center"/>
          </w:tcPr>
          <w:p w14:paraId="3E803B8D" w14:textId="0467AE18" w:rsidR="00A87D95" w:rsidRPr="00D0306F" w:rsidRDefault="00A87D95" w:rsidP="00A87D95">
            <w:pPr>
              <w:jc w:val="center"/>
              <w:rPr>
                <w:rFonts w:cs="Arial"/>
              </w:rPr>
            </w:pPr>
            <w:r w:rsidRPr="00370535">
              <w:rPr>
                <w:rFonts w:cs="Arial"/>
              </w:rPr>
              <w:t>172.5</w:t>
            </w:r>
          </w:p>
        </w:tc>
        <w:tc>
          <w:tcPr>
            <w:tcW w:w="1390" w:type="dxa"/>
            <w:tcBorders>
              <w:top w:val="nil"/>
              <w:left w:val="nil"/>
              <w:bottom w:val="single" w:sz="8" w:space="0" w:color="auto"/>
              <w:right w:val="single" w:sz="8" w:space="0" w:color="auto"/>
            </w:tcBorders>
            <w:vAlign w:val="center"/>
          </w:tcPr>
          <w:p w14:paraId="587963B1" w14:textId="188E8CB0" w:rsidR="00A87D95" w:rsidRPr="00D0306F" w:rsidRDefault="00A87D95" w:rsidP="00A87D95">
            <w:pPr>
              <w:jc w:val="center"/>
              <w:rPr>
                <w:rFonts w:cs="Arial"/>
              </w:rPr>
            </w:pPr>
            <w:r w:rsidRPr="00370535">
              <w:rPr>
                <w:rFonts w:cs="Arial"/>
              </w:rPr>
              <w:t>96.6</w:t>
            </w:r>
          </w:p>
        </w:tc>
        <w:tc>
          <w:tcPr>
            <w:tcW w:w="1231" w:type="dxa"/>
            <w:tcBorders>
              <w:top w:val="nil"/>
              <w:left w:val="nil"/>
              <w:bottom w:val="single" w:sz="8" w:space="0" w:color="auto"/>
              <w:right w:val="single" w:sz="8" w:space="0" w:color="auto"/>
            </w:tcBorders>
            <w:vAlign w:val="center"/>
          </w:tcPr>
          <w:p w14:paraId="43F2647A" w14:textId="2FB7F7BB" w:rsidR="00A87D95" w:rsidRPr="00D0306F" w:rsidRDefault="00A87D95" w:rsidP="00A87D95">
            <w:pPr>
              <w:jc w:val="center"/>
              <w:rPr>
                <w:rFonts w:cs="Arial"/>
              </w:rPr>
            </w:pPr>
            <w:r w:rsidRPr="00370535">
              <w:rPr>
                <w:rFonts w:cs="Arial"/>
              </w:rPr>
              <w:t>89.3</w:t>
            </w:r>
          </w:p>
        </w:tc>
        <w:tc>
          <w:tcPr>
            <w:tcW w:w="1390" w:type="dxa"/>
            <w:tcBorders>
              <w:top w:val="nil"/>
              <w:left w:val="nil"/>
              <w:bottom w:val="single" w:sz="8" w:space="0" w:color="auto"/>
              <w:right w:val="single" w:sz="8" w:space="0" w:color="auto"/>
            </w:tcBorders>
            <w:vAlign w:val="center"/>
          </w:tcPr>
          <w:p w14:paraId="45057ABB" w14:textId="3FA798D3" w:rsidR="00A87D95" w:rsidRPr="00D0306F" w:rsidRDefault="00A87D95" w:rsidP="00A87D95">
            <w:pPr>
              <w:jc w:val="center"/>
              <w:rPr>
                <w:rFonts w:cs="Arial"/>
              </w:rPr>
            </w:pPr>
            <w:r w:rsidRPr="00370535">
              <w:rPr>
                <w:rFonts w:cs="Arial"/>
              </w:rPr>
              <w:t>33.7</w:t>
            </w:r>
          </w:p>
        </w:tc>
        <w:tc>
          <w:tcPr>
            <w:tcW w:w="1217" w:type="dxa"/>
            <w:tcBorders>
              <w:top w:val="nil"/>
              <w:left w:val="nil"/>
              <w:bottom w:val="single" w:sz="8" w:space="0" w:color="auto"/>
              <w:right w:val="single" w:sz="8" w:space="0" w:color="auto"/>
            </w:tcBorders>
            <w:vAlign w:val="center"/>
          </w:tcPr>
          <w:p w14:paraId="7E422CAD" w14:textId="1B9EB2F7" w:rsidR="00A87D95" w:rsidRPr="00D0306F" w:rsidRDefault="00A87D95" w:rsidP="00A87D95">
            <w:pPr>
              <w:jc w:val="center"/>
              <w:rPr>
                <w:rFonts w:cs="Arial"/>
              </w:rPr>
            </w:pPr>
            <w:r w:rsidRPr="00370535">
              <w:rPr>
                <w:rFonts w:cs="Arial"/>
              </w:rPr>
              <w:t>39.5</w:t>
            </w:r>
          </w:p>
        </w:tc>
        <w:tc>
          <w:tcPr>
            <w:tcW w:w="1217" w:type="dxa"/>
            <w:tcBorders>
              <w:top w:val="nil"/>
              <w:left w:val="nil"/>
              <w:bottom w:val="single" w:sz="8" w:space="0" w:color="auto"/>
              <w:right w:val="single" w:sz="8" w:space="0" w:color="auto"/>
            </w:tcBorders>
            <w:vAlign w:val="center"/>
          </w:tcPr>
          <w:p w14:paraId="4BB8D365" w14:textId="32447F2E" w:rsidR="00A87D95" w:rsidRPr="00D0306F" w:rsidRDefault="00A87D95" w:rsidP="00A87D95">
            <w:pPr>
              <w:jc w:val="center"/>
              <w:rPr>
                <w:rFonts w:cs="Arial"/>
              </w:rPr>
            </w:pPr>
            <w:r w:rsidRPr="00370535">
              <w:rPr>
                <w:rFonts w:cs="Arial"/>
              </w:rPr>
              <w:t>27.8</w:t>
            </w:r>
          </w:p>
        </w:tc>
      </w:tr>
      <w:tr w:rsidR="00A87D95" w:rsidRPr="00D0306F" w14:paraId="22151136" w14:textId="77777777" w:rsidTr="00A87D95">
        <w:tc>
          <w:tcPr>
            <w:tcW w:w="1285" w:type="dxa"/>
            <w:tcBorders>
              <w:top w:val="nil"/>
              <w:left w:val="single" w:sz="8" w:space="0" w:color="auto"/>
              <w:bottom w:val="single" w:sz="8" w:space="0" w:color="auto"/>
              <w:right w:val="single" w:sz="8" w:space="0" w:color="auto"/>
            </w:tcBorders>
            <w:vAlign w:val="center"/>
          </w:tcPr>
          <w:p w14:paraId="724D566B" w14:textId="08CFCC33" w:rsidR="00A87D95" w:rsidRPr="00D0306F" w:rsidRDefault="00A87D95" w:rsidP="00A87D95">
            <w:pPr>
              <w:rPr>
                <w:rFonts w:cs="Arial"/>
              </w:rPr>
            </w:pPr>
            <w:r w:rsidRPr="00370535">
              <w:rPr>
                <w:rFonts w:cs="Arial"/>
              </w:rPr>
              <w:t>Swansea Bay University Health Board</w:t>
            </w:r>
          </w:p>
        </w:tc>
        <w:tc>
          <w:tcPr>
            <w:tcW w:w="1286" w:type="dxa"/>
            <w:tcBorders>
              <w:top w:val="nil"/>
              <w:left w:val="nil"/>
              <w:bottom w:val="single" w:sz="8" w:space="0" w:color="auto"/>
              <w:right w:val="single" w:sz="8" w:space="0" w:color="auto"/>
            </w:tcBorders>
            <w:vAlign w:val="center"/>
          </w:tcPr>
          <w:p w14:paraId="1BF93A0A" w14:textId="26D974C1" w:rsidR="00A87D95" w:rsidRPr="00D0306F" w:rsidRDefault="00A87D95" w:rsidP="00A87D95">
            <w:pPr>
              <w:jc w:val="center"/>
              <w:rPr>
                <w:rFonts w:cs="Arial"/>
              </w:rPr>
            </w:pPr>
            <w:r w:rsidRPr="00370535">
              <w:rPr>
                <w:rFonts w:cs="Arial"/>
              </w:rPr>
              <w:t>173.1</w:t>
            </w:r>
          </w:p>
        </w:tc>
        <w:tc>
          <w:tcPr>
            <w:tcW w:w="1390" w:type="dxa"/>
            <w:tcBorders>
              <w:top w:val="nil"/>
              <w:left w:val="nil"/>
              <w:bottom w:val="single" w:sz="8" w:space="0" w:color="auto"/>
              <w:right w:val="single" w:sz="8" w:space="0" w:color="auto"/>
            </w:tcBorders>
            <w:vAlign w:val="center"/>
          </w:tcPr>
          <w:p w14:paraId="43344C27" w14:textId="7F60DABD" w:rsidR="00A87D95" w:rsidRPr="00D0306F" w:rsidRDefault="00A87D95" w:rsidP="00A87D95">
            <w:pPr>
              <w:jc w:val="center"/>
              <w:rPr>
                <w:rFonts w:cs="Arial"/>
              </w:rPr>
            </w:pPr>
            <w:r w:rsidRPr="00370535">
              <w:rPr>
                <w:rFonts w:cs="Arial"/>
              </w:rPr>
              <w:t>92.3</w:t>
            </w:r>
          </w:p>
        </w:tc>
        <w:tc>
          <w:tcPr>
            <w:tcW w:w="1231" w:type="dxa"/>
            <w:tcBorders>
              <w:top w:val="nil"/>
              <w:left w:val="nil"/>
              <w:bottom w:val="single" w:sz="8" w:space="0" w:color="auto"/>
              <w:right w:val="single" w:sz="8" w:space="0" w:color="auto"/>
            </w:tcBorders>
            <w:vAlign w:val="center"/>
          </w:tcPr>
          <w:p w14:paraId="485A48B0" w14:textId="41B48191" w:rsidR="00A87D95" w:rsidRPr="00D0306F" w:rsidRDefault="00A87D95" w:rsidP="00A87D95">
            <w:pPr>
              <w:jc w:val="center"/>
              <w:rPr>
                <w:rFonts w:cs="Arial"/>
              </w:rPr>
            </w:pPr>
            <w:r w:rsidRPr="00370535">
              <w:rPr>
                <w:rFonts w:cs="Arial"/>
              </w:rPr>
              <w:t>82.5</w:t>
            </w:r>
          </w:p>
        </w:tc>
        <w:tc>
          <w:tcPr>
            <w:tcW w:w="1390" w:type="dxa"/>
            <w:tcBorders>
              <w:top w:val="nil"/>
              <w:left w:val="nil"/>
              <w:bottom w:val="single" w:sz="8" w:space="0" w:color="auto"/>
              <w:right w:val="single" w:sz="8" w:space="0" w:color="auto"/>
            </w:tcBorders>
            <w:vAlign w:val="center"/>
          </w:tcPr>
          <w:p w14:paraId="4AA35D95" w14:textId="44DB69B9" w:rsidR="00A87D95" w:rsidRPr="00D0306F" w:rsidRDefault="00A87D95" w:rsidP="00A87D95">
            <w:pPr>
              <w:jc w:val="center"/>
              <w:rPr>
                <w:rFonts w:cs="Arial"/>
              </w:rPr>
            </w:pPr>
            <w:r w:rsidRPr="00370535">
              <w:rPr>
                <w:rFonts w:cs="Arial"/>
              </w:rPr>
              <w:t>36.0</w:t>
            </w:r>
          </w:p>
        </w:tc>
        <w:tc>
          <w:tcPr>
            <w:tcW w:w="1217" w:type="dxa"/>
            <w:tcBorders>
              <w:top w:val="nil"/>
              <w:left w:val="nil"/>
              <w:bottom w:val="single" w:sz="8" w:space="0" w:color="auto"/>
              <w:right w:val="single" w:sz="8" w:space="0" w:color="auto"/>
            </w:tcBorders>
            <w:vAlign w:val="center"/>
          </w:tcPr>
          <w:p w14:paraId="7849E834" w14:textId="3073B413" w:rsidR="00A87D95" w:rsidRPr="00D0306F" w:rsidRDefault="00A87D95" w:rsidP="00A87D95">
            <w:pPr>
              <w:jc w:val="center"/>
              <w:rPr>
                <w:rFonts w:cs="Arial"/>
              </w:rPr>
            </w:pPr>
            <w:r w:rsidRPr="00370535">
              <w:rPr>
                <w:rFonts w:cs="Arial"/>
              </w:rPr>
              <w:t>34.6</w:t>
            </w:r>
          </w:p>
        </w:tc>
        <w:tc>
          <w:tcPr>
            <w:tcW w:w="1217" w:type="dxa"/>
            <w:tcBorders>
              <w:top w:val="nil"/>
              <w:left w:val="nil"/>
              <w:bottom w:val="single" w:sz="8" w:space="0" w:color="auto"/>
              <w:right w:val="single" w:sz="8" w:space="0" w:color="auto"/>
            </w:tcBorders>
            <w:vAlign w:val="center"/>
          </w:tcPr>
          <w:p w14:paraId="465E133E" w14:textId="61D01CE2" w:rsidR="00A87D95" w:rsidRPr="00D0306F" w:rsidRDefault="00A87D95" w:rsidP="00A87D95">
            <w:pPr>
              <w:jc w:val="center"/>
              <w:rPr>
                <w:rFonts w:cs="Arial"/>
              </w:rPr>
            </w:pPr>
            <w:r w:rsidRPr="00370535">
              <w:rPr>
                <w:rFonts w:cs="Arial"/>
              </w:rPr>
              <w:t>29.5</w:t>
            </w:r>
          </w:p>
        </w:tc>
      </w:tr>
      <w:tr w:rsidR="00A87D95" w:rsidRPr="00D0306F" w14:paraId="41806625" w14:textId="77777777" w:rsidTr="00A87D95">
        <w:tc>
          <w:tcPr>
            <w:tcW w:w="1285" w:type="dxa"/>
            <w:tcBorders>
              <w:top w:val="nil"/>
              <w:left w:val="single" w:sz="8" w:space="0" w:color="auto"/>
              <w:bottom w:val="single" w:sz="8" w:space="0" w:color="auto"/>
              <w:right w:val="single" w:sz="8" w:space="0" w:color="auto"/>
            </w:tcBorders>
            <w:vAlign w:val="center"/>
          </w:tcPr>
          <w:p w14:paraId="1D41F65F" w14:textId="07F0FE18" w:rsidR="00A87D95" w:rsidRPr="00D0306F" w:rsidRDefault="00A87D95" w:rsidP="00A87D95">
            <w:pPr>
              <w:rPr>
                <w:rFonts w:cs="Arial"/>
              </w:rPr>
            </w:pPr>
            <w:r w:rsidRPr="00370535">
              <w:rPr>
                <w:rFonts w:cs="Arial"/>
              </w:rPr>
              <w:t>Wales</w:t>
            </w:r>
          </w:p>
        </w:tc>
        <w:tc>
          <w:tcPr>
            <w:tcW w:w="1286" w:type="dxa"/>
            <w:tcBorders>
              <w:top w:val="nil"/>
              <w:left w:val="nil"/>
              <w:bottom w:val="single" w:sz="8" w:space="0" w:color="auto"/>
              <w:right w:val="single" w:sz="8" w:space="0" w:color="auto"/>
            </w:tcBorders>
            <w:vAlign w:val="center"/>
          </w:tcPr>
          <w:p w14:paraId="0695655E" w14:textId="43509917" w:rsidR="00A87D95" w:rsidRPr="00D0306F" w:rsidRDefault="00A87D95" w:rsidP="00A87D95">
            <w:pPr>
              <w:jc w:val="center"/>
              <w:rPr>
                <w:rFonts w:cs="Arial"/>
              </w:rPr>
            </w:pPr>
            <w:r w:rsidRPr="00370535">
              <w:rPr>
                <w:rFonts w:cs="Arial"/>
              </w:rPr>
              <w:t>164.4</w:t>
            </w:r>
          </w:p>
        </w:tc>
        <w:tc>
          <w:tcPr>
            <w:tcW w:w="1390" w:type="dxa"/>
            <w:tcBorders>
              <w:top w:val="nil"/>
              <w:left w:val="nil"/>
              <w:bottom w:val="single" w:sz="8" w:space="0" w:color="auto"/>
              <w:right w:val="single" w:sz="8" w:space="0" w:color="auto"/>
            </w:tcBorders>
            <w:vAlign w:val="center"/>
          </w:tcPr>
          <w:p w14:paraId="2C5E8C3C" w14:textId="060DCDF1" w:rsidR="00A87D95" w:rsidRPr="00D0306F" w:rsidRDefault="00A87D95" w:rsidP="00A87D95">
            <w:pPr>
              <w:jc w:val="center"/>
              <w:rPr>
                <w:rFonts w:cs="Arial"/>
              </w:rPr>
            </w:pPr>
            <w:r w:rsidRPr="00370535">
              <w:rPr>
                <w:rFonts w:cs="Arial"/>
              </w:rPr>
              <w:t>94.0</w:t>
            </w:r>
          </w:p>
        </w:tc>
        <w:tc>
          <w:tcPr>
            <w:tcW w:w="1231" w:type="dxa"/>
            <w:tcBorders>
              <w:top w:val="nil"/>
              <w:left w:val="nil"/>
              <w:bottom w:val="single" w:sz="8" w:space="0" w:color="auto"/>
              <w:right w:val="single" w:sz="8" w:space="0" w:color="auto"/>
            </w:tcBorders>
            <w:vAlign w:val="center"/>
          </w:tcPr>
          <w:p w14:paraId="42369F68" w14:textId="5AA24E12" w:rsidR="00A87D95" w:rsidRPr="00D0306F" w:rsidRDefault="00A87D95" w:rsidP="00A87D95">
            <w:pPr>
              <w:jc w:val="center"/>
              <w:rPr>
                <w:rFonts w:cs="Arial"/>
              </w:rPr>
            </w:pPr>
            <w:r w:rsidRPr="00370535">
              <w:rPr>
                <w:rFonts w:cs="Arial"/>
              </w:rPr>
              <w:t>79.9</w:t>
            </w:r>
          </w:p>
        </w:tc>
        <w:tc>
          <w:tcPr>
            <w:tcW w:w="1390" w:type="dxa"/>
            <w:tcBorders>
              <w:top w:val="nil"/>
              <w:left w:val="nil"/>
              <w:bottom w:val="single" w:sz="8" w:space="0" w:color="auto"/>
              <w:right w:val="single" w:sz="8" w:space="0" w:color="auto"/>
            </w:tcBorders>
            <w:vAlign w:val="center"/>
          </w:tcPr>
          <w:p w14:paraId="448E28CE" w14:textId="1F99F93C" w:rsidR="00A87D95" w:rsidRPr="00D0306F" w:rsidRDefault="00A87D95" w:rsidP="00A87D95">
            <w:pPr>
              <w:jc w:val="center"/>
              <w:rPr>
                <w:rFonts w:cs="Arial"/>
              </w:rPr>
            </w:pPr>
            <w:r w:rsidRPr="00370535">
              <w:rPr>
                <w:rFonts w:cs="Arial"/>
              </w:rPr>
              <w:t>32.9</w:t>
            </w:r>
          </w:p>
        </w:tc>
        <w:tc>
          <w:tcPr>
            <w:tcW w:w="1217" w:type="dxa"/>
            <w:tcBorders>
              <w:top w:val="nil"/>
              <w:left w:val="nil"/>
              <w:bottom w:val="single" w:sz="8" w:space="0" w:color="auto"/>
              <w:right w:val="single" w:sz="8" w:space="0" w:color="auto"/>
            </w:tcBorders>
            <w:vAlign w:val="center"/>
          </w:tcPr>
          <w:p w14:paraId="1CC04061" w14:textId="70FB2D77" w:rsidR="00A87D95" w:rsidRPr="00D0306F" w:rsidRDefault="00A87D95" w:rsidP="00A87D95">
            <w:pPr>
              <w:jc w:val="center"/>
              <w:rPr>
                <w:rFonts w:cs="Arial"/>
              </w:rPr>
            </w:pPr>
            <w:r w:rsidRPr="00370535">
              <w:rPr>
                <w:rFonts w:cs="Arial"/>
              </w:rPr>
              <w:t>31.8</w:t>
            </w:r>
          </w:p>
        </w:tc>
        <w:tc>
          <w:tcPr>
            <w:tcW w:w="1217" w:type="dxa"/>
            <w:tcBorders>
              <w:top w:val="nil"/>
              <w:left w:val="nil"/>
              <w:bottom w:val="single" w:sz="8" w:space="0" w:color="auto"/>
              <w:right w:val="single" w:sz="8" w:space="0" w:color="auto"/>
            </w:tcBorders>
            <w:vAlign w:val="center"/>
          </w:tcPr>
          <w:p w14:paraId="16727F0A" w14:textId="6F0C10AF" w:rsidR="00A87D95" w:rsidRPr="00D0306F" w:rsidRDefault="00A87D95" w:rsidP="00A87D95">
            <w:pPr>
              <w:jc w:val="center"/>
              <w:rPr>
                <w:rFonts w:cs="Arial"/>
              </w:rPr>
            </w:pPr>
            <w:r w:rsidRPr="00370535">
              <w:rPr>
                <w:rFonts w:cs="Arial"/>
              </w:rPr>
              <w:t>27.9</w:t>
            </w:r>
          </w:p>
        </w:tc>
      </w:tr>
    </w:tbl>
    <w:p w14:paraId="26C610DE" w14:textId="77777777" w:rsidR="00472864" w:rsidRPr="00370535" w:rsidRDefault="00472864" w:rsidP="00370535">
      <w:pPr>
        <w:rPr>
          <w:rFonts w:cs="Arial"/>
        </w:rPr>
      </w:pPr>
    </w:p>
    <w:p w14:paraId="61AF1AAA" w14:textId="77777777" w:rsidR="00370535" w:rsidRPr="00370535" w:rsidRDefault="00370535" w:rsidP="00370535">
      <w:pPr>
        <w:rPr>
          <w:rFonts w:cs="Arial"/>
        </w:rPr>
      </w:pPr>
      <w:r w:rsidRPr="00370535">
        <w:rPr>
          <w:rFonts w:cs="Arial"/>
        </w:rPr>
        <w:t xml:space="preserve">Across the three-year period (2020–2022), Swansea and Neath Port Talbot show different incidence patterns across the cancer types shown for men (all ages) per 100,000. </w:t>
      </w:r>
    </w:p>
    <w:p w14:paraId="159EC6B9" w14:textId="77777777" w:rsidR="00370535" w:rsidRPr="00370535" w:rsidRDefault="00370535" w:rsidP="00370535">
      <w:pPr>
        <w:rPr>
          <w:rFonts w:cs="Arial"/>
        </w:rPr>
      </w:pPr>
    </w:p>
    <w:p w14:paraId="073A6E51" w14:textId="77777777" w:rsidR="00370535" w:rsidRPr="00370535" w:rsidRDefault="00370535" w:rsidP="00B76905">
      <w:pPr>
        <w:numPr>
          <w:ilvl w:val="0"/>
          <w:numId w:val="60"/>
        </w:numPr>
        <w:rPr>
          <w:rFonts w:cs="Arial"/>
        </w:rPr>
      </w:pPr>
      <w:r w:rsidRPr="00370535">
        <w:rPr>
          <w:rFonts w:cs="Arial"/>
        </w:rPr>
        <w:t>Prostate cancer incidence was higher in Swansea (173.8 per 100,000) than Neath Port Talbot (172.5). Swansea was higher than both the health board and Wales rates (173.1 and 164.4 respectively), while Neath Port Talbot was lower than both.</w:t>
      </w:r>
    </w:p>
    <w:p w14:paraId="67A6DB5C" w14:textId="77777777" w:rsidR="00370535" w:rsidRPr="00370535" w:rsidRDefault="00370535" w:rsidP="00B76905">
      <w:pPr>
        <w:numPr>
          <w:ilvl w:val="0"/>
          <w:numId w:val="60"/>
        </w:numPr>
        <w:rPr>
          <w:rFonts w:cs="Arial"/>
        </w:rPr>
      </w:pPr>
      <w:r w:rsidRPr="00370535">
        <w:rPr>
          <w:rFonts w:cs="Arial"/>
        </w:rPr>
        <w:t xml:space="preserve">Colorectal cancer incidence was higher in Neath Port Talbot (96.6) than Swansea (90.0). Neath Port Talbot was higher than both the health board and Wales rates (92.3 and 94.0 respectively), while Swansea was lower than both. </w:t>
      </w:r>
    </w:p>
    <w:p w14:paraId="073A52A2" w14:textId="77777777" w:rsidR="00370535" w:rsidRPr="00370535" w:rsidRDefault="00370535" w:rsidP="00B76905">
      <w:pPr>
        <w:numPr>
          <w:ilvl w:val="0"/>
          <w:numId w:val="60"/>
        </w:numPr>
        <w:rPr>
          <w:rFonts w:cs="Arial"/>
        </w:rPr>
      </w:pPr>
      <w:r w:rsidRPr="00370535">
        <w:rPr>
          <w:rFonts w:cs="Arial"/>
        </w:rPr>
        <w:t xml:space="preserve">Lung cancer incidence was higher in Neath Port Talbot (89.3) than Swansea (78.3). Neath Port Talbot was higher than both the health board and Wales rates (82.5 and 79.9 respectively), while Swansea was lower than both. </w:t>
      </w:r>
    </w:p>
    <w:p w14:paraId="6380CE24" w14:textId="77777777" w:rsidR="00370535" w:rsidRPr="00370535" w:rsidRDefault="00370535" w:rsidP="00B76905">
      <w:pPr>
        <w:numPr>
          <w:ilvl w:val="0"/>
          <w:numId w:val="60"/>
        </w:numPr>
        <w:rPr>
          <w:rFonts w:cs="Arial"/>
        </w:rPr>
      </w:pPr>
      <w:r w:rsidRPr="00370535">
        <w:rPr>
          <w:rFonts w:cs="Arial"/>
        </w:rPr>
        <w:t>Melanoma cancer incidence was higher in Swansea (37.8) than Neath Port Talbot (33.7). Swansea is higher than both the health board and Wales rates (36.0 and 32.9 respectively), while Neath Port Talbot is lower than the health board, but higher than Wales.</w:t>
      </w:r>
    </w:p>
    <w:p w14:paraId="5F712B3F" w14:textId="77777777" w:rsidR="00370535" w:rsidRPr="00370535" w:rsidRDefault="00370535" w:rsidP="00B76905">
      <w:pPr>
        <w:numPr>
          <w:ilvl w:val="0"/>
          <w:numId w:val="60"/>
        </w:numPr>
        <w:rPr>
          <w:rFonts w:cs="Arial"/>
        </w:rPr>
      </w:pPr>
      <w:r w:rsidRPr="00370535">
        <w:rPr>
          <w:rFonts w:cs="Arial"/>
        </w:rPr>
        <w:t xml:space="preserve">Head and neck cancer incidence was higher in Neath Port Talbot (39.5) than Swansea (31.6). Neath Port Talbot was higher than both the health board and Wales rates (34.6 and 31.8 respectively), while Swansea was lower than both. </w:t>
      </w:r>
    </w:p>
    <w:p w14:paraId="1394E682" w14:textId="77777777" w:rsidR="00370535" w:rsidRPr="00370535" w:rsidRDefault="00370535" w:rsidP="00B76905">
      <w:pPr>
        <w:numPr>
          <w:ilvl w:val="0"/>
          <w:numId w:val="60"/>
        </w:numPr>
        <w:rPr>
          <w:rFonts w:cs="Arial"/>
        </w:rPr>
      </w:pPr>
      <w:r w:rsidRPr="00370535">
        <w:rPr>
          <w:rFonts w:cs="Arial"/>
        </w:rPr>
        <w:lastRenderedPageBreak/>
        <w:t xml:space="preserve">Urinary tract excluding bladder cancer incidence was higher in Swansea (30.6) than Neath Port Talbot (27.8). Swansea was higher than both the health board and Wales rates (29.5 and 27.9 respectively), while Neath Port Talbot was lower than both. </w:t>
      </w:r>
    </w:p>
    <w:p w14:paraId="525BBBCD" w14:textId="77777777" w:rsidR="00370535" w:rsidRPr="00370535" w:rsidRDefault="00370535" w:rsidP="00370535">
      <w:pPr>
        <w:rPr>
          <w:rFonts w:cs="Arial"/>
          <w:lang w:val="en-US"/>
        </w:rPr>
      </w:pPr>
    </w:p>
    <w:p w14:paraId="2440989E" w14:textId="77777777" w:rsidR="00370535" w:rsidRPr="00370535" w:rsidRDefault="00370535" w:rsidP="00370535">
      <w:pPr>
        <w:rPr>
          <w:rFonts w:cs="Arial"/>
        </w:rPr>
      </w:pPr>
      <w:r w:rsidRPr="00370535">
        <w:rPr>
          <w:rFonts w:cs="Arial"/>
        </w:rPr>
        <w:t>The table below shows the recorded prevalence rates based on the quality and outcomes framework 2025 of cancer across clusters in Swansea and Neath Port Talbot. Figures are compared with the Swansea Bay University Health Board and the Wales rates.</w:t>
      </w:r>
    </w:p>
    <w:p w14:paraId="5D2BA383" w14:textId="77777777" w:rsidR="00370535" w:rsidRPr="00370535" w:rsidRDefault="00370535" w:rsidP="00370535">
      <w:pPr>
        <w:rPr>
          <w:rFonts w:cs="Arial"/>
          <w:b/>
        </w:rPr>
      </w:pPr>
    </w:p>
    <w:p w14:paraId="6E2CC8AE" w14:textId="77777777" w:rsidR="00370535" w:rsidRPr="00370535" w:rsidRDefault="00370535" w:rsidP="00370535">
      <w:pPr>
        <w:rPr>
          <w:rFonts w:cs="Arial"/>
          <w:b/>
          <w:bCs/>
        </w:rPr>
      </w:pPr>
      <w:r w:rsidRPr="00370535">
        <w:rPr>
          <w:rFonts w:cs="Arial"/>
          <w:b/>
          <w:bCs/>
        </w:rPr>
        <w:t>Table 3.22: Estimated percentage prevalence of patients registered as having</w:t>
      </w:r>
      <w:r w:rsidRPr="00370535">
        <w:rPr>
          <w:rFonts w:cs="Arial"/>
        </w:rPr>
        <w:t xml:space="preserve"> </w:t>
      </w:r>
      <w:r w:rsidRPr="00370535">
        <w:rPr>
          <w:rFonts w:cs="Arial"/>
          <w:b/>
          <w:bCs/>
        </w:rPr>
        <w:t>cancer by cluster, health board and Wales, 2025</w:t>
      </w:r>
      <w:r w:rsidRPr="00370535">
        <w:rPr>
          <w:rFonts w:cs="Arial"/>
          <w:vertAlign w:val="superscript"/>
        </w:rPr>
        <w:footnoteReference w:id="129"/>
      </w:r>
    </w:p>
    <w:p w14:paraId="471BB139" w14:textId="77777777" w:rsidR="00370535" w:rsidRPr="00370535" w:rsidRDefault="00370535" w:rsidP="00370535">
      <w:pPr>
        <w:rPr>
          <w:rFonts w:cs="Arial"/>
          <w:b/>
        </w:rPr>
      </w:pPr>
    </w:p>
    <w:tbl>
      <w:tblPr>
        <w:tblStyle w:val="TableGrid3"/>
        <w:tblW w:w="8790" w:type="dxa"/>
        <w:tblInd w:w="-5" w:type="dxa"/>
        <w:tblLayout w:type="fixed"/>
        <w:tblLook w:val="04A0" w:firstRow="1" w:lastRow="0" w:firstColumn="1" w:lastColumn="0" w:noHBand="0" w:noVBand="1"/>
      </w:tblPr>
      <w:tblGrid>
        <w:gridCol w:w="4396"/>
        <w:gridCol w:w="2268"/>
        <w:gridCol w:w="2126"/>
      </w:tblGrid>
      <w:tr w:rsidR="00370535" w:rsidRPr="00370535" w14:paraId="6679DC54" w14:textId="77777777" w:rsidTr="00370535">
        <w:trPr>
          <w:trHeight w:val="376"/>
        </w:trPr>
        <w:tc>
          <w:tcPr>
            <w:tcW w:w="4395"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0C6AB4D9" w14:textId="77777777" w:rsidR="00370535" w:rsidRPr="00370535" w:rsidRDefault="00370535" w:rsidP="00370535">
            <w:pPr>
              <w:rPr>
                <w:rFonts w:cs="Arial"/>
                <w:b/>
              </w:rPr>
            </w:pPr>
            <w:r w:rsidRPr="00370535">
              <w:rPr>
                <w:rFonts w:cs="Arial"/>
                <w:b/>
                <w:bCs/>
              </w:rPr>
              <w:t>Area</w:t>
            </w:r>
          </w:p>
        </w:tc>
        <w:tc>
          <w:tcPr>
            <w:tcW w:w="2268"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74A893D7" w14:textId="77777777" w:rsidR="00370535" w:rsidRPr="00370535" w:rsidRDefault="00370535" w:rsidP="00370535">
            <w:pPr>
              <w:rPr>
                <w:rFonts w:cs="Arial"/>
                <w:b/>
                <w:bCs/>
              </w:rPr>
            </w:pPr>
            <w:r w:rsidRPr="00370535">
              <w:rPr>
                <w:rFonts w:cs="Arial"/>
                <w:b/>
                <w:bCs/>
              </w:rPr>
              <w:t>Local authority</w:t>
            </w:r>
          </w:p>
        </w:tc>
        <w:tc>
          <w:tcPr>
            <w:tcW w:w="2126"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023C82FD" w14:textId="77777777" w:rsidR="00370535" w:rsidRPr="00370535" w:rsidRDefault="00370535" w:rsidP="0024588B">
            <w:pPr>
              <w:jc w:val="center"/>
              <w:rPr>
                <w:rFonts w:cs="Arial"/>
                <w:b/>
                <w:bCs/>
              </w:rPr>
            </w:pPr>
            <w:r w:rsidRPr="00370535">
              <w:rPr>
                <w:rFonts w:cs="Arial"/>
                <w:b/>
                <w:bCs/>
              </w:rPr>
              <w:t>Cancer</w:t>
            </w:r>
          </w:p>
        </w:tc>
      </w:tr>
      <w:tr w:rsidR="00370535" w:rsidRPr="00370535" w14:paraId="29443E0D" w14:textId="77777777" w:rsidTr="00370535">
        <w:tc>
          <w:tcPr>
            <w:tcW w:w="4395" w:type="dxa"/>
            <w:tcBorders>
              <w:top w:val="single" w:sz="4" w:space="0" w:color="auto"/>
              <w:left w:val="single" w:sz="4" w:space="0" w:color="auto"/>
              <w:bottom w:val="single" w:sz="4" w:space="0" w:color="auto"/>
              <w:right w:val="single" w:sz="4" w:space="0" w:color="auto"/>
            </w:tcBorders>
            <w:hideMark/>
          </w:tcPr>
          <w:p w14:paraId="6C067A1A" w14:textId="77777777" w:rsidR="00370535" w:rsidRPr="00370535" w:rsidRDefault="00370535" w:rsidP="00370535">
            <w:pPr>
              <w:rPr>
                <w:rFonts w:cs="Arial"/>
              </w:rPr>
            </w:pPr>
            <w:r w:rsidRPr="00370535">
              <w:rPr>
                <w:rFonts w:cs="Arial"/>
              </w:rPr>
              <w:t>Bay Health</w:t>
            </w:r>
          </w:p>
        </w:tc>
        <w:tc>
          <w:tcPr>
            <w:tcW w:w="2268" w:type="dxa"/>
            <w:tcBorders>
              <w:top w:val="single" w:sz="4" w:space="0" w:color="auto"/>
              <w:left w:val="single" w:sz="4" w:space="0" w:color="auto"/>
              <w:bottom w:val="single" w:sz="4" w:space="0" w:color="auto"/>
              <w:right w:val="single" w:sz="4" w:space="0" w:color="auto"/>
            </w:tcBorders>
            <w:hideMark/>
          </w:tcPr>
          <w:p w14:paraId="4F872464" w14:textId="77777777" w:rsidR="00370535" w:rsidRPr="00370535" w:rsidRDefault="00370535" w:rsidP="00370535">
            <w:pPr>
              <w:rPr>
                <w:rFonts w:cs="Arial"/>
                <w:bCs/>
              </w:rPr>
            </w:pPr>
            <w:r w:rsidRPr="00370535">
              <w:rPr>
                <w:rFonts w:cs="Arial"/>
                <w:bCs/>
              </w:rPr>
              <w:t>Swansea</w:t>
            </w:r>
          </w:p>
        </w:tc>
        <w:tc>
          <w:tcPr>
            <w:tcW w:w="2126" w:type="dxa"/>
            <w:tcBorders>
              <w:top w:val="single" w:sz="4" w:space="0" w:color="auto"/>
              <w:left w:val="single" w:sz="4" w:space="0" w:color="auto"/>
              <w:bottom w:val="single" w:sz="4" w:space="0" w:color="auto"/>
              <w:right w:val="single" w:sz="4" w:space="0" w:color="auto"/>
            </w:tcBorders>
            <w:hideMark/>
          </w:tcPr>
          <w:p w14:paraId="0E8BEE5E" w14:textId="77777777" w:rsidR="00370535" w:rsidRPr="00370535" w:rsidRDefault="00370535" w:rsidP="0024588B">
            <w:pPr>
              <w:jc w:val="center"/>
              <w:rPr>
                <w:rFonts w:cs="Arial"/>
                <w:bCs/>
              </w:rPr>
            </w:pPr>
            <w:r w:rsidRPr="00370535">
              <w:rPr>
                <w:rFonts w:cs="Arial"/>
                <w:bCs/>
              </w:rPr>
              <w:t>4.0%</w:t>
            </w:r>
          </w:p>
        </w:tc>
      </w:tr>
      <w:tr w:rsidR="00370535" w:rsidRPr="00370535" w14:paraId="7F73F592" w14:textId="77777777" w:rsidTr="00370535">
        <w:tc>
          <w:tcPr>
            <w:tcW w:w="4395" w:type="dxa"/>
            <w:tcBorders>
              <w:top w:val="single" w:sz="4" w:space="0" w:color="auto"/>
              <w:left w:val="single" w:sz="4" w:space="0" w:color="auto"/>
              <w:bottom w:val="single" w:sz="4" w:space="0" w:color="auto"/>
              <w:right w:val="single" w:sz="4" w:space="0" w:color="auto"/>
            </w:tcBorders>
            <w:hideMark/>
          </w:tcPr>
          <w:p w14:paraId="3A0D5183" w14:textId="77777777" w:rsidR="00370535" w:rsidRPr="00370535" w:rsidRDefault="00370535" w:rsidP="00370535">
            <w:pPr>
              <w:rPr>
                <w:rFonts w:cs="Arial"/>
              </w:rPr>
            </w:pPr>
            <w:r w:rsidRPr="00370535">
              <w:rPr>
                <w:rFonts w:cs="Arial"/>
              </w:rPr>
              <w:t>City Health</w:t>
            </w:r>
          </w:p>
        </w:tc>
        <w:tc>
          <w:tcPr>
            <w:tcW w:w="2268" w:type="dxa"/>
            <w:tcBorders>
              <w:top w:val="single" w:sz="4" w:space="0" w:color="auto"/>
              <w:left w:val="single" w:sz="4" w:space="0" w:color="auto"/>
              <w:bottom w:val="single" w:sz="4" w:space="0" w:color="auto"/>
              <w:right w:val="single" w:sz="4" w:space="0" w:color="auto"/>
            </w:tcBorders>
            <w:hideMark/>
          </w:tcPr>
          <w:p w14:paraId="2BFCF1CC" w14:textId="77777777" w:rsidR="00370535" w:rsidRPr="00370535" w:rsidRDefault="00370535" w:rsidP="00370535">
            <w:pPr>
              <w:rPr>
                <w:rFonts w:cs="Arial"/>
                <w:bCs/>
              </w:rPr>
            </w:pPr>
            <w:r w:rsidRPr="00370535">
              <w:rPr>
                <w:rFonts w:cs="Arial"/>
                <w:bCs/>
              </w:rPr>
              <w:t>Swansea</w:t>
            </w:r>
          </w:p>
        </w:tc>
        <w:tc>
          <w:tcPr>
            <w:tcW w:w="2126" w:type="dxa"/>
            <w:tcBorders>
              <w:top w:val="single" w:sz="4" w:space="0" w:color="auto"/>
              <w:left w:val="single" w:sz="4" w:space="0" w:color="auto"/>
              <w:bottom w:val="single" w:sz="4" w:space="0" w:color="auto"/>
              <w:right w:val="single" w:sz="4" w:space="0" w:color="auto"/>
            </w:tcBorders>
            <w:hideMark/>
          </w:tcPr>
          <w:p w14:paraId="21D4E578" w14:textId="77777777" w:rsidR="00370535" w:rsidRPr="00370535" w:rsidRDefault="00370535" w:rsidP="0024588B">
            <w:pPr>
              <w:jc w:val="center"/>
              <w:rPr>
                <w:rFonts w:cs="Arial"/>
                <w:bCs/>
              </w:rPr>
            </w:pPr>
            <w:r w:rsidRPr="00370535">
              <w:rPr>
                <w:rFonts w:cs="Arial"/>
                <w:bCs/>
              </w:rPr>
              <w:t>2.5%</w:t>
            </w:r>
          </w:p>
        </w:tc>
      </w:tr>
      <w:tr w:rsidR="00370535" w:rsidRPr="00370535" w14:paraId="64ED582F" w14:textId="77777777" w:rsidTr="00370535">
        <w:tc>
          <w:tcPr>
            <w:tcW w:w="4395" w:type="dxa"/>
            <w:tcBorders>
              <w:top w:val="single" w:sz="4" w:space="0" w:color="auto"/>
              <w:left w:val="single" w:sz="4" w:space="0" w:color="auto"/>
              <w:bottom w:val="single" w:sz="4" w:space="0" w:color="auto"/>
              <w:right w:val="single" w:sz="4" w:space="0" w:color="auto"/>
            </w:tcBorders>
            <w:hideMark/>
          </w:tcPr>
          <w:p w14:paraId="1EA0DF19" w14:textId="77777777" w:rsidR="00370535" w:rsidRPr="00370535" w:rsidRDefault="00370535" w:rsidP="00370535">
            <w:pPr>
              <w:rPr>
                <w:rFonts w:cs="Arial"/>
              </w:rPr>
            </w:pPr>
            <w:r w:rsidRPr="00370535">
              <w:rPr>
                <w:rFonts w:cs="Arial"/>
              </w:rPr>
              <w:t>Cwmtawe</w:t>
            </w:r>
          </w:p>
        </w:tc>
        <w:tc>
          <w:tcPr>
            <w:tcW w:w="2268" w:type="dxa"/>
            <w:tcBorders>
              <w:top w:val="single" w:sz="4" w:space="0" w:color="auto"/>
              <w:left w:val="single" w:sz="4" w:space="0" w:color="auto"/>
              <w:bottom w:val="single" w:sz="4" w:space="0" w:color="auto"/>
              <w:right w:val="single" w:sz="4" w:space="0" w:color="auto"/>
            </w:tcBorders>
            <w:hideMark/>
          </w:tcPr>
          <w:p w14:paraId="1C9B7BB4" w14:textId="77777777" w:rsidR="00370535" w:rsidRPr="00370535" w:rsidRDefault="00370535" w:rsidP="00370535">
            <w:pPr>
              <w:rPr>
                <w:rFonts w:cs="Arial"/>
                <w:bCs/>
              </w:rPr>
            </w:pPr>
            <w:r w:rsidRPr="00370535">
              <w:rPr>
                <w:rFonts w:cs="Arial"/>
                <w:bCs/>
              </w:rPr>
              <w:t>Swansea</w:t>
            </w:r>
          </w:p>
        </w:tc>
        <w:tc>
          <w:tcPr>
            <w:tcW w:w="2126" w:type="dxa"/>
            <w:tcBorders>
              <w:top w:val="single" w:sz="4" w:space="0" w:color="auto"/>
              <w:left w:val="single" w:sz="4" w:space="0" w:color="auto"/>
              <w:bottom w:val="single" w:sz="4" w:space="0" w:color="auto"/>
              <w:right w:val="single" w:sz="4" w:space="0" w:color="auto"/>
            </w:tcBorders>
            <w:hideMark/>
          </w:tcPr>
          <w:p w14:paraId="13E57605" w14:textId="77777777" w:rsidR="00370535" w:rsidRPr="00370535" w:rsidRDefault="00370535" w:rsidP="0024588B">
            <w:pPr>
              <w:jc w:val="center"/>
              <w:rPr>
                <w:rFonts w:cs="Arial"/>
                <w:bCs/>
              </w:rPr>
            </w:pPr>
            <w:r w:rsidRPr="00370535">
              <w:rPr>
                <w:rFonts w:cs="Arial"/>
                <w:bCs/>
              </w:rPr>
              <w:t>3.7%</w:t>
            </w:r>
          </w:p>
        </w:tc>
      </w:tr>
      <w:tr w:rsidR="00370535" w:rsidRPr="00370535" w14:paraId="3A764E41" w14:textId="77777777" w:rsidTr="00370535">
        <w:tc>
          <w:tcPr>
            <w:tcW w:w="4395" w:type="dxa"/>
            <w:tcBorders>
              <w:top w:val="single" w:sz="4" w:space="0" w:color="auto"/>
              <w:left w:val="single" w:sz="4" w:space="0" w:color="auto"/>
              <w:bottom w:val="single" w:sz="4" w:space="0" w:color="auto"/>
              <w:right w:val="single" w:sz="4" w:space="0" w:color="auto"/>
            </w:tcBorders>
            <w:hideMark/>
          </w:tcPr>
          <w:p w14:paraId="005CF006" w14:textId="77777777" w:rsidR="00370535" w:rsidRPr="00370535" w:rsidRDefault="00370535" w:rsidP="00370535">
            <w:pPr>
              <w:rPr>
                <w:rFonts w:cs="Arial"/>
              </w:rPr>
            </w:pPr>
            <w:r w:rsidRPr="00370535">
              <w:rPr>
                <w:rFonts w:cs="Arial"/>
              </w:rPr>
              <w:t>Llwchwr</w:t>
            </w:r>
          </w:p>
        </w:tc>
        <w:tc>
          <w:tcPr>
            <w:tcW w:w="2268" w:type="dxa"/>
            <w:tcBorders>
              <w:top w:val="single" w:sz="4" w:space="0" w:color="auto"/>
              <w:left w:val="single" w:sz="4" w:space="0" w:color="auto"/>
              <w:bottom w:val="single" w:sz="4" w:space="0" w:color="auto"/>
              <w:right w:val="single" w:sz="4" w:space="0" w:color="auto"/>
            </w:tcBorders>
            <w:hideMark/>
          </w:tcPr>
          <w:p w14:paraId="0870CDB5" w14:textId="77777777" w:rsidR="00370535" w:rsidRPr="00370535" w:rsidRDefault="00370535" w:rsidP="00370535">
            <w:pPr>
              <w:rPr>
                <w:rFonts w:cs="Arial"/>
                <w:bCs/>
              </w:rPr>
            </w:pPr>
            <w:r w:rsidRPr="00370535">
              <w:rPr>
                <w:rFonts w:cs="Arial"/>
                <w:bCs/>
              </w:rPr>
              <w:t>Swansea</w:t>
            </w:r>
          </w:p>
        </w:tc>
        <w:tc>
          <w:tcPr>
            <w:tcW w:w="2126" w:type="dxa"/>
            <w:tcBorders>
              <w:top w:val="single" w:sz="4" w:space="0" w:color="auto"/>
              <w:left w:val="single" w:sz="4" w:space="0" w:color="auto"/>
              <w:bottom w:val="single" w:sz="4" w:space="0" w:color="auto"/>
              <w:right w:val="single" w:sz="4" w:space="0" w:color="auto"/>
            </w:tcBorders>
            <w:hideMark/>
          </w:tcPr>
          <w:p w14:paraId="6A903CB8" w14:textId="77777777" w:rsidR="00370535" w:rsidRPr="00370535" w:rsidRDefault="00370535" w:rsidP="0024588B">
            <w:pPr>
              <w:jc w:val="center"/>
              <w:rPr>
                <w:rFonts w:cs="Arial"/>
                <w:bCs/>
              </w:rPr>
            </w:pPr>
            <w:r w:rsidRPr="00370535">
              <w:rPr>
                <w:rFonts w:cs="Arial"/>
                <w:bCs/>
              </w:rPr>
              <w:t>3.5%</w:t>
            </w:r>
          </w:p>
        </w:tc>
      </w:tr>
      <w:tr w:rsidR="00370535" w:rsidRPr="00370535" w14:paraId="63E88FD7" w14:textId="77777777" w:rsidTr="00370535">
        <w:tc>
          <w:tcPr>
            <w:tcW w:w="4395" w:type="dxa"/>
            <w:tcBorders>
              <w:top w:val="single" w:sz="4" w:space="0" w:color="auto"/>
              <w:left w:val="single" w:sz="4" w:space="0" w:color="auto"/>
              <w:bottom w:val="single" w:sz="4" w:space="0" w:color="auto"/>
              <w:right w:val="single" w:sz="4" w:space="0" w:color="auto"/>
            </w:tcBorders>
            <w:hideMark/>
          </w:tcPr>
          <w:p w14:paraId="67A4E1FC" w14:textId="77777777" w:rsidR="00370535" w:rsidRPr="00370535" w:rsidRDefault="00370535" w:rsidP="00370535">
            <w:pPr>
              <w:rPr>
                <w:rFonts w:cs="Arial"/>
              </w:rPr>
            </w:pPr>
            <w:r w:rsidRPr="00370535">
              <w:rPr>
                <w:rFonts w:cs="Arial"/>
              </w:rPr>
              <w:t>Penderi</w:t>
            </w:r>
          </w:p>
        </w:tc>
        <w:tc>
          <w:tcPr>
            <w:tcW w:w="2268" w:type="dxa"/>
            <w:tcBorders>
              <w:top w:val="single" w:sz="4" w:space="0" w:color="auto"/>
              <w:left w:val="single" w:sz="4" w:space="0" w:color="auto"/>
              <w:bottom w:val="single" w:sz="4" w:space="0" w:color="auto"/>
              <w:right w:val="single" w:sz="4" w:space="0" w:color="auto"/>
            </w:tcBorders>
            <w:hideMark/>
          </w:tcPr>
          <w:p w14:paraId="3B7E809A" w14:textId="77777777" w:rsidR="00370535" w:rsidRPr="00370535" w:rsidRDefault="00370535" w:rsidP="00370535">
            <w:pPr>
              <w:rPr>
                <w:rFonts w:cs="Arial"/>
                <w:bCs/>
              </w:rPr>
            </w:pPr>
            <w:r w:rsidRPr="00370535">
              <w:rPr>
                <w:rFonts w:cs="Arial"/>
                <w:bCs/>
              </w:rPr>
              <w:t>Swansea</w:t>
            </w:r>
          </w:p>
        </w:tc>
        <w:tc>
          <w:tcPr>
            <w:tcW w:w="2126" w:type="dxa"/>
            <w:tcBorders>
              <w:top w:val="single" w:sz="4" w:space="0" w:color="auto"/>
              <w:left w:val="single" w:sz="4" w:space="0" w:color="auto"/>
              <w:bottom w:val="single" w:sz="4" w:space="0" w:color="auto"/>
              <w:right w:val="single" w:sz="4" w:space="0" w:color="auto"/>
            </w:tcBorders>
            <w:hideMark/>
          </w:tcPr>
          <w:p w14:paraId="7F1857AD" w14:textId="77777777" w:rsidR="00370535" w:rsidRPr="00370535" w:rsidRDefault="00370535" w:rsidP="0024588B">
            <w:pPr>
              <w:jc w:val="center"/>
              <w:rPr>
                <w:rFonts w:cs="Arial"/>
                <w:bCs/>
              </w:rPr>
            </w:pPr>
            <w:r w:rsidRPr="00370535">
              <w:rPr>
                <w:rFonts w:cs="Arial"/>
                <w:bCs/>
              </w:rPr>
              <w:t>2.8%</w:t>
            </w:r>
          </w:p>
        </w:tc>
      </w:tr>
      <w:tr w:rsidR="00370535" w:rsidRPr="00370535" w14:paraId="34B22AA2" w14:textId="77777777" w:rsidTr="00370535">
        <w:tc>
          <w:tcPr>
            <w:tcW w:w="4395" w:type="dxa"/>
            <w:tcBorders>
              <w:top w:val="single" w:sz="4" w:space="0" w:color="auto"/>
              <w:left w:val="single" w:sz="4" w:space="0" w:color="auto"/>
              <w:bottom w:val="single" w:sz="4" w:space="0" w:color="auto"/>
              <w:right w:val="single" w:sz="4" w:space="0" w:color="auto"/>
            </w:tcBorders>
            <w:hideMark/>
          </w:tcPr>
          <w:p w14:paraId="6BE31F04" w14:textId="77777777" w:rsidR="00370535" w:rsidRPr="00370535" w:rsidRDefault="00370535" w:rsidP="00370535">
            <w:pPr>
              <w:rPr>
                <w:rFonts w:cs="Arial"/>
              </w:rPr>
            </w:pPr>
            <w:r w:rsidRPr="00370535">
              <w:rPr>
                <w:rFonts w:cs="Arial"/>
              </w:rPr>
              <w:t>Afan</w:t>
            </w:r>
          </w:p>
        </w:tc>
        <w:tc>
          <w:tcPr>
            <w:tcW w:w="2268" w:type="dxa"/>
            <w:tcBorders>
              <w:top w:val="single" w:sz="4" w:space="0" w:color="auto"/>
              <w:left w:val="single" w:sz="4" w:space="0" w:color="auto"/>
              <w:bottom w:val="single" w:sz="4" w:space="0" w:color="auto"/>
              <w:right w:val="single" w:sz="4" w:space="0" w:color="auto"/>
            </w:tcBorders>
            <w:hideMark/>
          </w:tcPr>
          <w:p w14:paraId="0329DC96" w14:textId="77777777" w:rsidR="00370535" w:rsidRPr="00370535" w:rsidRDefault="00370535" w:rsidP="00370535">
            <w:pPr>
              <w:rPr>
                <w:rFonts w:cs="Arial"/>
                <w:bCs/>
              </w:rPr>
            </w:pPr>
            <w:r w:rsidRPr="00370535">
              <w:rPr>
                <w:rFonts w:cs="Arial"/>
                <w:bCs/>
              </w:rPr>
              <w:t>Neath Port Talbot</w:t>
            </w:r>
          </w:p>
        </w:tc>
        <w:tc>
          <w:tcPr>
            <w:tcW w:w="2126" w:type="dxa"/>
            <w:tcBorders>
              <w:top w:val="single" w:sz="4" w:space="0" w:color="auto"/>
              <w:left w:val="single" w:sz="4" w:space="0" w:color="auto"/>
              <w:bottom w:val="single" w:sz="4" w:space="0" w:color="auto"/>
              <w:right w:val="single" w:sz="4" w:space="0" w:color="auto"/>
            </w:tcBorders>
            <w:hideMark/>
          </w:tcPr>
          <w:p w14:paraId="78000AFB" w14:textId="77777777" w:rsidR="00370535" w:rsidRPr="00370535" w:rsidRDefault="00370535" w:rsidP="0024588B">
            <w:pPr>
              <w:jc w:val="center"/>
              <w:rPr>
                <w:rFonts w:cs="Arial"/>
                <w:bCs/>
              </w:rPr>
            </w:pPr>
            <w:r w:rsidRPr="00370535">
              <w:rPr>
                <w:rFonts w:cs="Arial"/>
                <w:bCs/>
              </w:rPr>
              <w:t>3.6%</w:t>
            </w:r>
          </w:p>
        </w:tc>
      </w:tr>
      <w:tr w:rsidR="00370535" w:rsidRPr="00370535" w14:paraId="0F0258C4" w14:textId="77777777" w:rsidTr="00370535">
        <w:tc>
          <w:tcPr>
            <w:tcW w:w="4395" w:type="dxa"/>
            <w:tcBorders>
              <w:top w:val="single" w:sz="4" w:space="0" w:color="auto"/>
              <w:left w:val="single" w:sz="4" w:space="0" w:color="auto"/>
              <w:bottom w:val="single" w:sz="4" w:space="0" w:color="auto"/>
              <w:right w:val="single" w:sz="4" w:space="0" w:color="auto"/>
            </w:tcBorders>
            <w:hideMark/>
          </w:tcPr>
          <w:p w14:paraId="321A658A" w14:textId="77777777" w:rsidR="00370535" w:rsidRPr="00370535" w:rsidRDefault="00370535" w:rsidP="00370535">
            <w:pPr>
              <w:rPr>
                <w:rFonts w:cs="Arial"/>
              </w:rPr>
            </w:pPr>
            <w:r w:rsidRPr="00370535">
              <w:rPr>
                <w:rFonts w:cs="Arial"/>
              </w:rPr>
              <w:t>Neath</w:t>
            </w:r>
          </w:p>
        </w:tc>
        <w:tc>
          <w:tcPr>
            <w:tcW w:w="2268" w:type="dxa"/>
            <w:tcBorders>
              <w:top w:val="single" w:sz="4" w:space="0" w:color="auto"/>
              <w:left w:val="single" w:sz="4" w:space="0" w:color="auto"/>
              <w:bottom w:val="single" w:sz="4" w:space="0" w:color="auto"/>
              <w:right w:val="single" w:sz="4" w:space="0" w:color="auto"/>
            </w:tcBorders>
            <w:hideMark/>
          </w:tcPr>
          <w:p w14:paraId="39B62D0F" w14:textId="77777777" w:rsidR="00370535" w:rsidRPr="00370535" w:rsidRDefault="00370535" w:rsidP="00370535">
            <w:pPr>
              <w:rPr>
                <w:rFonts w:cs="Arial"/>
                <w:bCs/>
              </w:rPr>
            </w:pPr>
            <w:r w:rsidRPr="00370535">
              <w:rPr>
                <w:rFonts w:cs="Arial"/>
                <w:bCs/>
              </w:rPr>
              <w:t>Neath Port Talbot</w:t>
            </w:r>
          </w:p>
        </w:tc>
        <w:tc>
          <w:tcPr>
            <w:tcW w:w="2126" w:type="dxa"/>
            <w:tcBorders>
              <w:top w:val="single" w:sz="4" w:space="0" w:color="auto"/>
              <w:left w:val="single" w:sz="4" w:space="0" w:color="auto"/>
              <w:bottom w:val="single" w:sz="4" w:space="0" w:color="auto"/>
              <w:right w:val="single" w:sz="4" w:space="0" w:color="auto"/>
            </w:tcBorders>
            <w:hideMark/>
          </w:tcPr>
          <w:p w14:paraId="1CEB6EB2" w14:textId="77777777" w:rsidR="00370535" w:rsidRPr="00370535" w:rsidRDefault="00370535" w:rsidP="0024588B">
            <w:pPr>
              <w:jc w:val="center"/>
              <w:rPr>
                <w:rFonts w:cs="Arial"/>
                <w:bCs/>
              </w:rPr>
            </w:pPr>
            <w:r w:rsidRPr="00370535">
              <w:rPr>
                <w:rFonts w:cs="Arial"/>
                <w:bCs/>
              </w:rPr>
              <w:t>3.6%</w:t>
            </w:r>
          </w:p>
        </w:tc>
      </w:tr>
      <w:tr w:rsidR="00370535" w:rsidRPr="00370535" w14:paraId="70629000" w14:textId="77777777" w:rsidTr="00370535">
        <w:tc>
          <w:tcPr>
            <w:tcW w:w="4395" w:type="dxa"/>
            <w:tcBorders>
              <w:top w:val="single" w:sz="4" w:space="0" w:color="auto"/>
              <w:left w:val="single" w:sz="4" w:space="0" w:color="auto"/>
              <w:bottom w:val="single" w:sz="4" w:space="0" w:color="auto"/>
              <w:right w:val="single" w:sz="4" w:space="0" w:color="auto"/>
            </w:tcBorders>
            <w:hideMark/>
          </w:tcPr>
          <w:p w14:paraId="68141039" w14:textId="77777777" w:rsidR="00370535" w:rsidRPr="00370535" w:rsidRDefault="00370535" w:rsidP="00370535">
            <w:pPr>
              <w:rPr>
                <w:rFonts w:cs="Arial"/>
              </w:rPr>
            </w:pPr>
            <w:r w:rsidRPr="00370535">
              <w:rPr>
                <w:rFonts w:cs="Arial"/>
              </w:rPr>
              <w:t>Upper Valleys</w:t>
            </w:r>
          </w:p>
        </w:tc>
        <w:tc>
          <w:tcPr>
            <w:tcW w:w="2268" w:type="dxa"/>
            <w:tcBorders>
              <w:top w:val="single" w:sz="4" w:space="0" w:color="auto"/>
              <w:left w:val="single" w:sz="4" w:space="0" w:color="auto"/>
              <w:bottom w:val="single" w:sz="4" w:space="0" w:color="auto"/>
              <w:right w:val="single" w:sz="4" w:space="0" w:color="auto"/>
            </w:tcBorders>
            <w:hideMark/>
          </w:tcPr>
          <w:p w14:paraId="64BF3D50" w14:textId="77777777" w:rsidR="00370535" w:rsidRPr="00370535" w:rsidRDefault="00370535" w:rsidP="00370535">
            <w:pPr>
              <w:rPr>
                <w:rFonts w:cs="Arial"/>
                <w:bCs/>
              </w:rPr>
            </w:pPr>
            <w:r w:rsidRPr="00370535">
              <w:rPr>
                <w:rFonts w:cs="Arial"/>
                <w:bCs/>
              </w:rPr>
              <w:t>Neath Port Talbot</w:t>
            </w:r>
          </w:p>
        </w:tc>
        <w:tc>
          <w:tcPr>
            <w:tcW w:w="2126" w:type="dxa"/>
            <w:tcBorders>
              <w:top w:val="single" w:sz="4" w:space="0" w:color="auto"/>
              <w:left w:val="single" w:sz="4" w:space="0" w:color="auto"/>
              <w:bottom w:val="single" w:sz="4" w:space="0" w:color="auto"/>
              <w:right w:val="single" w:sz="4" w:space="0" w:color="auto"/>
            </w:tcBorders>
            <w:hideMark/>
          </w:tcPr>
          <w:p w14:paraId="17A00167" w14:textId="77777777" w:rsidR="00370535" w:rsidRPr="00370535" w:rsidRDefault="00370535" w:rsidP="0024588B">
            <w:pPr>
              <w:jc w:val="center"/>
              <w:rPr>
                <w:rFonts w:cs="Arial"/>
                <w:bCs/>
              </w:rPr>
            </w:pPr>
            <w:r w:rsidRPr="00370535">
              <w:rPr>
                <w:rFonts w:cs="Arial"/>
                <w:bCs/>
              </w:rPr>
              <w:t>4.3%</w:t>
            </w:r>
          </w:p>
        </w:tc>
      </w:tr>
      <w:tr w:rsidR="00370535" w:rsidRPr="00370535" w14:paraId="68AF25E1" w14:textId="77777777" w:rsidTr="00370535">
        <w:tc>
          <w:tcPr>
            <w:tcW w:w="4395" w:type="dxa"/>
            <w:tcBorders>
              <w:top w:val="single" w:sz="4" w:space="0" w:color="auto"/>
              <w:left w:val="single" w:sz="4" w:space="0" w:color="auto"/>
              <w:bottom w:val="single" w:sz="4" w:space="0" w:color="auto"/>
              <w:right w:val="single" w:sz="4" w:space="0" w:color="auto"/>
            </w:tcBorders>
            <w:hideMark/>
          </w:tcPr>
          <w:p w14:paraId="103B4A10" w14:textId="77777777" w:rsidR="00370535" w:rsidRPr="00370535" w:rsidRDefault="00370535" w:rsidP="00370535">
            <w:pPr>
              <w:rPr>
                <w:rFonts w:cs="Arial"/>
              </w:rPr>
            </w:pPr>
            <w:r w:rsidRPr="00370535">
              <w:rPr>
                <w:rFonts w:cs="Arial"/>
              </w:rPr>
              <w:t>Swansea Bay University Health Board</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94F73E" w14:textId="77777777" w:rsidR="00370535" w:rsidRPr="00370535" w:rsidRDefault="00370535" w:rsidP="00370535">
            <w:pPr>
              <w:rPr>
                <w:rFonts w:cs="Arial"/>
              </w:rPr>
            </w:pPr>
          </w:p>
        </w:tc>
        <w:tc>
          <w:tcPr>
            <w:tcW w:w="2126" w:type="dxa"/>
            <w:tcBorders>
              <w:top w:val="single" w:sz="4" w:space="0" w:color="auto"/>
              <w:left w:val="single" w:sz="4" w:space="0" w:color="auto"/>
              <w:bottom w:val="single" w:sz="4" w:space="0" w:color="auto"/>
              <w:right w:val="single" w:sz="4" w:space="0" w:color="auto"/>
            </w:tcBorders>
            <w:hideMark/>
          </w:tcPr>
          <w:p w14:paraId="66DDDE89" w14:textId="77777777" w:rsidR="00370535" w:rsidRPr="00370535" w:rsidRDefault="00370535" w:rsidP="0024588B">
            <w:pPr>
              <w:jc w:val="center"/>
              <w:rPr>
                <w:rFonts w:cs="Arial"/>
              </w:rPr>
            </w:pPr>
            <w:r w:rsidRPr="00370535">
              <w:rPr>
                <w:rFonts w:cs="Arial"/>
              </w:rPr>
              <w:t>3.5%</w:t>
            </w:r>
          </w:p>
        </w:tc>
      </w:tr>
      <w:tr w:rsidR="00370535" w:rsidRPr="00370535" w14:paraId="5A9D2A22" w14:textId="77777777" w:rsidTr="00370535">
        <w:tc>
          <w:tcPr>
            <w:tcW w:w="4395" w:type="dxa"/>
            <w:tcBorders>
              <w:top w:val="single" w:sz="4" w:space="0" w:color="auto"/>
              <w:left w:val="single" w:sz="4" w:space="0" w:color="auto"/>
              <w:bottom w:val="single" w:sz="4" w:space="0" w:color="auto"/>
              <w:right w:val="single" w:sz="4" w:space="0" w:color="auto"/>
            </w:tcBorders>
            <w:hideMark/>
          </w:tcPr>
          <w:p w14:paraId="224D0919" w14:textId="77777777" w:rsidR="00370535" w:rsidRPr="00370535" w:rsidRDefault="00370535" w:rsidP="00370535">
            <w:pPr>
              <w:rPr>
                <w:rFonts w:cs="Arial"/>
              </w:rPr>
            </w:pPr>
            <w:r w:rsidRPr="00370535">
              <w:rPr>
                <w:rFonts w:cs="Arial"/>
              </w:rPr>
              <w:t>Wales</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62CE31" w14:textId="77777777" w:rsidR="00370535" w:rsidRPr="00370535" w:rsidRDefault="00370535" w:rsidP="00370535">
            <w:pPr>
              <w:rPr>
                <w:rFonts w:cs="Arial"/>
              </w:rPr>
            </w:pPr>
          </w:p>
        </w:tc>
        <w:tc>
          <w:tcPr>
            <w:tcW w:w="2126" w:type="dxa"/>
            <w:tcBorders>
              <w:top w:val="single" w:sz="4" w:space="0" w:color="auto"/>
              <w:left w:val="single" w:sz="4" w:space="0" w:color="auto"/>
              <w:bottom w:val="single" w:sz="4" w:space="0" w:color="auto"/>
              <w:right w:val="single" w:sz="4" w:space="0" w:color="auto"/>
            </w:tcBorders>
            <w:hideMark/>
          </w:tcPr>
          <w:p w14:paraId="698CD390" w14:textId="77777777" w:rsidR="00370535" w:rsidRPr="00370535" w:rsidRDefault="00370535" w:rsidP="0024588B">
            <w:pPr>
              <w:jc w:val="center"/>
              <w:rPr>
                <w:rFonts w:cs="Arial"/>
              </w:rPr>
            </w:pPr>
            <w:r w:rsidRPr="00370535">
              <w:rPr>
                <w:rFonts w:cs="Arial"/>
              </w:rPr>
              <w:t>3.7%</w:t>
            </w:r>
          </w:p>
        </w:tc>
      </w:tr>
    </w:tbl>
    <w:p w14:paraId="5A663503" w14:textId="77777777" w:rsidR="00370535" w:rsidRPr="00370535" w:rsidRDefault="00370535" w:rsidP="00370535">
      <w:pPr>
        <w:rPr>
          <w:rFonts w:cs="Arial"/>
        </w:rPr>
      </w:pPr>
    </w:p>
    <w:p w14:paraId="1E0CAC0D" w14:textId="77777777" w:rsidR="00370535" w:rsidRPr="00370535" w:rsidRDefault="00370535" w:rsidP="00370535">
      <w:pPr>
        <w:rPr>
          <w:rFonts w:cs="Arial"/>
        </w:rPr>
      </w:pPr>
      <w:r w:rsidRPr="00370535">
        <w:rPr>
          <w:rFonts w:cs="Arial"/>
        </w:rPr>
        <w:t xml:space="preserve">Swansea Bay University Health Board as a whole has lower prevalence of cancer than Wales (3.5% and 3.7% respectively). </w:t>
      </w:r>
    </w:p>
    <w:p w14:paraId="67314124" w14:textId="77777777" w:rsidR="00370535" w:rsidRPr="00370535" w:rsidRDefault="00370535" w:rsidP="00370535">
      <w:pPr>
        <w:rPr>
          <w:rFonts w:cs="Arial"/>
        </w:rPr>
      </w:pPr>
    </w:p>
    <w:p w14:paraId="679CFAC9" w14:textId="77777777" w:rsidR="00370535" w:rsidRPr="00370535" w:rsidRDefault="00370535" w:rsidP="00370535">
      <w:pPr>
        <w:rPr>
          <w:rFonts w:cs="Arial"/>
        </w:rPr>
      </w:pPr>
      <w:r w:rsidRPr="00370535">
        <w:rPr>
          <w:rFonts w:cs="Arial"/>
        </w:rPr>
        <w:t>Across the clusters in Swansea, recorded prevalence of cancer ranges from 2.5% (City Health) to 4.0% (Bay Health). Two of the five clusters are lower than both the health board and Wales rates (City Health and Penderi). One cluster is equal to the health board rate but lower than Wales rate (Llwchwr). One cluster is higher than the health board rate but equal to the Wales rate (Cwmtawe) and one cluster is higher than both the health board and Wales rates (Bay Health).</w:t>
      </w:r>
    </w:p>
    <w:p w14:paraId="0C4DE2C4" w14:textId="77777777" w:rsidR="00370535" w:rsidRPr="00370535" w:rsidRDefault="00370535" w:rsidP="00370535">
      <w:pPr>
        <w:rPr>
          <w:rFonts w:cs="Arial"/>
        </w:rPr>
      </w:pPr>
    </w:p>
    <w:p w14:paraId="23012257" w14:textId="77777777" w:rsidR="00370535" w:rsidRPr="00370535" w:rsidRDefault="00370535" w:rsidP="00370535">
      <w:pPr>
        <w:rPr>
          <w:rFonts w:cs="Arial"/>
        </w:rPr>
      </w:pPr>
      <w:r w:rsidRPr="00370535">
        <w:rPr>
          <w:rFonts w:cs="Arial"/>
        </w:rPr>
        <w:t xml:space="preserve">For clusters in Neath Port Talbot, recorded prevalence of cancer ranges from 3.6% (Afan and Neath) to 4.3% (Upper Valleys). Two of the three clusters are higher than the health board rate, but lower than the Wales rate (Afan and Neath) and one cluster is higher than both the health board and Wales rates (Upper Valleys). </w:t>
      </w:r>
    </w:p>
    <w:p w14:paraId="7D8F32BA" w14:textId="77777777" w:rsidR="00370535" w:rsidRPr="00370535" w:rsidRDefault="00370535" w:rsidP="00370535">
      <w:pPr>
        <w:rPr>
          <w:rFonts w:cs="Arial"/>
          <w:lang w:val="en-US"/>
        </w:rPr>
      </w:pPr>
    </w:p>
    <w:p w14:paraId="799A0294" w14:textId="77777777" w:rsidR="00370535" w:rsidRPr="00370535" w:rsidRDefault="00370535" w:rsidP="00370535">
      <w:pPr>
        <w:rPr>
          <w:rFonts w:cs="Arial"/>
        </w:rPr>
      </w:pPr>
      <w:bookmarkStart w:id="20" w:name="_Toc60225178"/>
      <w:bookmarkEnd w:id="19"/>
      <w:r w:rsidRPr="00370535">
        <w:rPr>
          <w:rFonts w:cs="Arial"/>
        </w:rPr>
        <w:t>The table below shows the cancer mortality rates in Wales, Swansea Bay University Health Board, Swansea Local Authority and Neath Port Talbot Local Authority, across the three-year period (2022-2024), for all cancers, all cancers (aged under 75 years), colorectal cancer, female breast cancer, prostate cancer and trachea, bronchus and lung cancer (age-standardised per 100,000 persons, all ages unless stated).</w:t>
      </w:r>
    </w:p>
    <w:p w14:paraId="2461CF18" w14:textId="77777777" w:rsidR="00370535" w:rsidRPr="00370535" w:rsidRDefault="00370535" w:rsidP="00370535">
      <w:pPr>
        <w:rPr>
          <w:rFonts w:cs="Arial"/>
          <w:lang w:val="en-US"/>
        </w:rPr>
      </w:pPr>
    </w:p>
    <w:p w14:paraId="575291C7" w14:textId="77777777" w:rsidR="00370535" w:rsidRPr="00370535" w:rsidRDefault="00370535" w:rsidP="00370535">
      <w:pPr>
        <w:rPr>
          <w:rFonts w:cs="Arial"/>
          <w:b/>
          <w:bCs/>
        </w:rPr>
      </w:pPr>
      <w:r w:rsidRPr="00370535">
        <w:rPr>
          <w:rFonts w:cs="Arial"/>
          <w:b/>
          <w:bCs/>
        </w:rPr>
        <w:lastRenderedPageBreak/>
        <w:t>Table 3.23: Cancer death rates (age-standardised per 100,000) for all cancers, all cancers (aged under 75 years), colorectal cancer, female breast cancer, prostate cancer and trachea, bronchus and lung cancer by local authority, health board and Wales (three-year period, 2022 – 2024)</w:t>
      </w:r>
      <w:r w:rsidRPr="00370535">
        <w:rPr>
          <w:rFonts w:cs="Arial"/>
          <w:b/>
          <w:bCs/>
          <w:vertAlign w:val="superscript"/>
        </w:rPr>
        <w:footnoteReference w:id="130"/>
      </w:r>
      <w:r w:rsidRPr="00370535">
        <w:rPr>
          <w:rFonts w:cs="Arial"/>
          <w:b/>
          <w:bCs/>
        </w:rPr>
        <w:t xml:space="preserve"> </w:t>
      </w:r>
    </w:p>
    <w:p w14:paraId="15AF52C4" w14:textId="77777777" w:rsidR="00370535" w:rsidRPr="00370535" w:rsidRDefault="00370535" w:rsidP="00370535">
      <w:pPr>
        <w:rPr>
          <w:rFonts w:cs="Arial"/>
          <w:lang w:val="en-US"/>
        </w:rPr>
      </w:pPr>
    </w:p>
    <w:tbl>
      <w:tblPr>
        <w:tblStyle w:val="TableGrid"/>
        <w:tblW w:w="9016" w:type="dxa"/>
        <w:tblInd w:w="0" w:type="dxa"/>
        <w:tblLook w:val="04A0" w:firstRow="1" w:lastRow="0" w:firstColumn="1" w:lastColumn="0" w:noHBand="0" w:noVBand="1"/>
      </w:tblPr>
      <w:tblGrid>
        <w:gridCol w:w="1284"/>
        <w:gridCol w:w="1259"/>
        <w:gridCol w:w="1259"/>
        <w:gridCol w:w="1390"/>
        <w:gridCol w:w="1245"/>
        <w:gridCol w:w="1269"/>
        <w:gridCol w:w="1310"/>
      </w:tblGrid>
      <w:tr w:rsidR="00370535" w:rsidRPr="00370535" w14:paraId="7B627C45" w14:textId="77777777" w:rsidTr="00370535">
        <w:tc>
          <w:tcPr>
            <w:tcW w:w="1287"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0206EA05" w14:textId="77777777" w:rsidR="00370535" w:rsidRPr="00370535" w:rsidRDefault="00370535" w:rsidP="00370535">
            <w:pPr>
              <w:rPr>
                <w:rFonts w:eastAsiaTheme="minorHAnsi" w:cs="Arial"/>
                <w:lang w:val="en-US"/>
              </w:rPr>
            </w:pPr>
            <w:r w:rsidRPr="00370535">
              <w:rPr>
                <w:rFonts w:eastAsiaTheme="minorHAnsi" w:cs="Arial"/>
                <w:b/>
                <w:bCs/>
              </w:rPr>
              <w:t>Area</w:t>
            </w:r>
          </w:p>
        </w:tc>
        <w:tc>
          <w:tcPr>
            <w:tcW w:w="1287"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5E4C79DC" w14:textId="77777777" w:rsidR="00370535" w:rsidRPr="00370535" w:rsidRDefault="00370535" w:rsidP="00370535">
            <w:pPr>
              <w:rPr>
                <w:rFonts w:eastAsiaTheme="minorHAnsi" w:cs="Arial"/>
                <w:lang w:val="en-US"/>
              </w:rPr>
            </w:pPr>
            <w:r w:rsidRPr="00370535">
              <w:rPr>
                <w:rFonts w:eastAsiaTheme="minorHAnsi" w:cs="Arial"/>
                <w:b/>
                <w:bCs/>
              </w:rPr>
              <w:t>All cancers</w:t>
            </w:r>
          </w:p>
        </w:tc>
        <w:tc>
          <w:tcPr>
            <w:tcW w:w="1287"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36EBE808" w14:textId="77777777" w:rsidR="00370535" w:rsidRPr="00370535" w:rsidRDefault="00370535" w:rsidP="00370535">
            <w:pPr>
              <w:rPr>
                <w:rFonts w:eastAsiaTheme="minorHAnsi" w:cs="Arial"/>
                <w:lang w:val="en-US"/>
              </w:rPr>
            </w:pPr>
            <w:r w:rsidRPr="00370535">
              <w:rPr>
                <w:rFonts w:eastAsiaTheme="minorHAnsi" w:cs="Arial"/>
                <w:b/>
                <w:bCs/>
              </w:rPr>
              <w:t>All cancers (aged under 75 years)</w:t>
            </w:r>
          </w:p>
        </w:tc>
        <w:tc>
          <w:tcPr>
            <w:tcW w:w="1292"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13315619" w14:textId="77777777" w:rsidR="00370535" w:rsidRPr="00370535" w:rsidRDefault="00370535" w:rsidP="00370535">
            <w:pPr>
              <w:rPr>
                <w:rFonts w:eastAsiaTheme="minorHAnsi" w:cs="Arial"/>
                <w:lang w:val="en-US"/>
              </w:rPr>
            </w:pPr>
            <w:r w:rsidRPr="00370535">
              <w:rPr>
                <w:rFonts w:eastAsiaTheme="minorHAnsi" w:cs="Arial"/>
                <w:b/>
                <w:bCs/>
              </w:rPr>
              <w:t>Colorectal cancer</w:t>
            </w:r>
          </w:p>
        </w:tc>
        <w:tc>
          <w:tcPr>
            <w:tcW w:w="1287"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66C0B2BB" w14:textId="77777777" w:rsidR="00370535" w:rsidRPr="00370535" w:rsidRDefault="00370535" w:rsidP="00370535">
            <w:pPr>
              <w:rPr>
                <w:rFonts w:eastAsiaTheme="minorHAnsi" w:cs="Arial"/>
                <w:lang w:val="en-US"/>
              </w:rPr>
            </w:pPr>
            <w:r w:rsidRPr="00370535">
              <w:rPr>
                <w:rFonts w:eastAsiaTheme="minorHAnsi" w:cs="Arial"/>
                <w:b/>
                <w:bCs/>
              </w:rPr>
              <w:t>Female breast cancer</w:t>
            </w:r>
          </w:p>
        </w:tc>
        <w:tc>
          <w:tcPr>
            <w:tcW w:w="1288"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09958BE0" w14:textId="77777777" w:rsidR="00370535" w:rsidRPr="00370535" w:rsidRDefault="00370535" w:rsidP="00370535">
            <w:pPr>
              <w:rPr>
                <w:rFonts w:eastAsiaTheme="minorHAnsi" w:cs="Arial"/>
                <w:lang w:val="en-US"/>
              </w:rPr>
            </w:pPr>
            <w:r w:rsidRPr="00370535">
              <w:rPr>
                <w:rFonts w:eastAsiaTheme="minorHAnsi" w:cs="Arial"/>
                <w:b/>
                <w:bCs/>
              </w:rPr>
              <w:t>Prostate cancer</w:t>
            </w:r>
          </w:p>
        </w:tc>
        <w:tc>
          <w:tcPr>
            <w:tcW w:w="1288"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4923BEFB" w14:textId="77777777" w:rsidR="00370535" w:rsidRPr="00370535" w:rsidRDefault="00370535" w:rsidP="00370535">
            <w:pPr>
              <w:rPr>
                <w:rFonts w:eastAsiaTheme="minorHAnsi" w:cs="Arial"/>
                <w:lang w:val="en-US"/>
              </w:rPr>
            </w:pPr>
            <w:r w:rsidRPr="00370535">
              <w:rPr>
                <w:rFonts w:eastAsiaTheme="minorHAnsi" w:cs="Arial"/>
                <w:b/>
                <w:bCs/>
              </w:rPr>
              <w:t>Trachea, bronchus and lung cancer</w:t>
            </w:r>
          </w:p>
        </w:tc>
      </w:tr>
      <w:tr w:rsidR="00370535" w:rsidRPr="00370535" w14:paraId="40B8135C" w14:textId="77777777" w:rsidTr="00370535">
        <w:tc>
          <w:tcPr>
            <w:tcW w:w="1287" w:type="dxa"/>
            <w:tcBorders>
              <w:top w:val="single" w:sz="4" w:space="0" w:color="auto"/>
              <w:left w:val="single" w:sz="4" w:space="0" w:color="auto"/>
              <w:bottom w:val="single" w:sz="4" w:space="0" w:color="auto"/>
              <w:right w:val="single" w:sz="4" w:space="0" w:color="auto"/>
            </w:tcBorders>
            <w:vAlign w:val="center"/>
            <w:hideMark/>
          </w:tcPr>
          <w:p w14:paraId="0C466226" w14:textId="77777777" w:rsidR="00370535" w:rsidRPr="00370535" w:rsidRDefault="00370535" w:rsidP="00370535">
            <w:pPr>
              <w:rPr>
                <w:rFonts w:eastAsiaTheme="minorHAnsi" w:cs="Arial"/>
                <w:lang w:val="en-US"/>
              </w:rPr>
            </w:pPr>
            <w:r w:rsidRPr="00370535">
              <w:rPr>
                <w:rFonts w:eastAsiaTheme="minorHAnsi" w:cs="Arial"/>
              </w:rPr>
              <w:t>Swansea Local Authority</w:t>
            </w:r>
          </w:p>
        </w:tc>
        <w:tc>
          <w:tcPr>
            <w:tcW w:w="1287" w:type="dxa"/>
            <w:tcBorders>
              <w:top w:val="single" w:sz="4" w:space="0" w:color="auto"/>
              <w:left w:val="single" w:sz="4" w:space="0" w:color="auto"/>
              <w:bottom w:val="single" w:sz="4" w:space="0" w:color="auto"/>
              <w:right w:val="single" w:sz="4" w:space="0" w:color="auto"/>
            </w:tcBorders>
            <w:vAlign w:val="center"/>
            <w:hideMark/>
          </w:tcPr>
          <w:p w14:paraId="033001AF" w14:textId="77777777" w:rsidR="00370535" w:rsidRPr="00370535" w:rsidRDefault="00370535" w:rsidP="00370535">
            <w:pPr>
              <w:rPr>
                <w:rFonts w:eastAsiaTheme="minorHAnsi" w:cs="Arial"/>
                <w:lang w:val="en-US"/>
              </w:rPr>
            </w:pPr>
            <w:r w:rsidRPr="00370535">
              <w:rPr>
                <w:rFonts w:eastAsiaTheme="minorHAnsi" w:cs="Arial"/>
              </w:rPr>
              <w:t>255.2</w:t>
            </w:r>
          </w:p>
        </w:tc>
        <w:tc>
          <w:tcPr>
            <w:tcW w:w="1287" w:type="dxa"/>
            <w:tcBorders>
              <w:top w:val="single" w:sz="4" w:space="0" w:color="auto"/>
              <w:left w:val="single" w:sz="4" w:space="0" w:color="auto"/>
              <w:bottom w:val="single" w:sz="4" w:space="0" w:color="auto"/>
              <w:right w:val="single" w:sz="4" w:space="0" w:color="auto"/>
            </w:tcBorders>
            <w:vAlign w:val="center"/>
            <w:hideMark/>
          </w:tcPr>
          <w:p w14:paraId="63BD3AB0" w14:textId="77777777" w:rsidR="00370535" w:rsidRPr="00370535" w:rsidRDefault="00370535" w:rsidP="00370535">
            <w:pPr>
              <w:rPr>
                <w:rFonts w:eastAsiaTheme="minorHAnsi" w:cs="Arial"/>
                <w:lang w:val="en-US"/>
              </w:rPr>
            </w:pPr>
            <w:r w:rsidRPr="00370535">
              <w:rPr>
                <w:rFonts w:eastAsiaTheme="minorHAnsi" w:cs="Arial"/>
              </w:rPr>
              <w:t>132.2</w:t>
            </w:r>
          </w:p>
        </w:tc>
        <w:tc>
          <w:tcPr>
            <w:tcW w:w="1292" w:type="dxa"/>
            <w:tcBorders>
              <w:top w:val="single" w:sz="4" w:space="0" w:color="auto"/>
              <w:left w:val="single" w:sz="4" w:space="0" w:color="auto"/>
              <w:bottom w:val="single" w:sz="4" w:space="0" w:color="auto"/>
              <w:right w:val="single" w:sz="4" w:space="0" w:color="auto"/>
            </w:tcBorders>
            <w:vAlign w:val="center"/>
            <w:hideMark/>
          </w:tcPr>
          <w:p w14:paraId="6D8160E8" w14:textId="77777777" w:rsidR="00370535" w:rsidRPr="00370535" w:rsidRDefault="00370535" w:rsidP="00370535">
            <w:pPr>
              <w:rPr>
                <w:rFonts w:eastAsiaTheme="minorHAnsi" w:cs="Arial"/>
                <w:lang w:val="en-US"/>
              </w:rPr>
            </w:pPr>
            <w:r w:rsidRPr="00370535">
              <w:rPr>
                <w:rFonts w:eastAsiaTheme="minorHAnsi" w:cs="Arial"/>
              </w:rPr>
              <w:t>23.3</w:t>
            </w:r>
          </w:p>
        </w:tc>
        <w:tc>
          <w:tcPr>
            <w:tcW w:w="1287" w:type="dxa"/>
            <w:tcBorders>
              <w:top w:val="single" w:sz="4" w:space="0" w:color="auto"/>
              <w:left w:val="single" w:sz="4" w:space="0" w:color="auto"/>
              <w:bottom w:val="single" w:sz="4" w:space="0" w:color="auto"/>
              <w:right w:val="single" w:sz="4" w:space="0" w:color="auto"/>
            </w:tcBorders>
            <w:vAlign w:val="center"/>
            <w:hideMark/>
          </w:tcPr>
          <w:p w14:paraId="176F9580" w14:textId="77777777" w:rsidR="00370535" w:rsidRPr="00370535" w:rsidRDefault="00370535" w:rsidP="00370535">
            <w:pPr>
              <w:rPr>
                <w:rFonts w:eastAsiaTheme="minorHAnsi" w:cs="Arial"/>
                <w:lang w:val="en-US"/>
              </w:rPr>
            </w:pPr>
            <w:r w:rsidRPr="00370535">
              <w:rPr>
                <w:rFonts w:eastAsiaTheme="minorHAnsi" w:cs="Arial"/>
              </w:rPr>
              <w:t>26.0</w:t>
            </w:r>
          </w:p>
        </w:tc>
        <w:tc>
          <w:tcPr>
            <w:tcW w:w="1288" w:type="dxa"/>
            <w:tcBorders>
              <w:top w:val="single" w:sz="4" w:space="0" w:color="auto"/>
              <w:left w:val="single" w:sz="4" w:space="0" w:color="auto"/>
              <w:bottom w:val="single" w:sz="4" w:space="0" w:color="auto"/>
              <w:right w:val="single" w:sz="4" w:space="0" w:color="auto"/>
            </w:tcBorders>
            <w:vAlign w:val="center"/>
            <w:hideMark/>
          </w:tcPr>
          <w:p w14:paraId="2EC714A9" w14:textId="77777777" w:rsidR="00370535" w:rsidRPr="00370535" w:rsidRDefault="00370535" w:rsidP="00370535">
            <w:pPr>
              <w:rPr>
                <w:rFonts w:eastAsiaTheme="minorHAnsi" w:cs="Arial"/>
                <w:lang w:val="en-US"/>
              </w:rPr>
            </w:pPr>
            <w:r w:rsidRPr="00370535">
              <w:rPr>
                <w:rFonts w:eastAsiaTheme="minorHAnsi" w:cs="Arial"/>
              </w:rPr>
              <w:t>46.4</w:t>
            </w:r>
          </w:p>
        </w:tc>
        <w:tc>
          <w:tcPr>
            <w:tcW w:w="1288" w:type="dxa"/>
            <w:tcBorders>
              <w:top w:val="single" w:sz="4" w:space="0" w:color="auto"/>
              <w:left w:val="single" w:sz="4" w:space="0" w:color="auto"/>
              <w:bottom w:val="single" w:sz="4" w:space="0" w:color="auto"/>
              <w:right w:val="single" w:sz="4" w:space="0" w:color="auto"/>
            </w:tcBorders>
            <w:vAlign w:val="center"/>
            <w:hideMark/>
          </w:tcPr>
          <w:p w14:paraId="267063F9" w14:textId="77777777" w:rsidR="00370535" w:rsidRPr="00370535" w:rsidRDefault="00370535" w:rsidP="00370535">
            <w:pPr>
              <w:rPr>
                <w:rFonts w:eastAsiaTheme="minorHAnsi" w:cs="Arial"/>
                <w:lang w:val="en-US"/>
              </w:rPr>
            </w:pPr>
            <w:r w:rsidRPr="00370535">
              <w:rPr>
                <w:rFonts w:eastAsiaTheme="minorHAnsi" w:cs="Arial"/>
              </w:rPr>
              <w:t>50.8</w:t>
            </w:r>
          </w:p>
        </w:tc>
      </w:tr>
      <w:tr w:rsidR="00370535" w:rsidRPr="00370535" w14:paraId="5A4321BB" w14:textId="77777777" w:rsidTr="00370535">
        <w:tc>
          <w:tcPr>
            <w:tcW w:w="1287" w:type="dxa"/>
            <w:tcBorders>
              <w:top w:val="single" w:sz="4" w:space="0" w:color="auto"/>
              <w:left w:val="single" w:sz="4" w:space="0" w:color="auto"/>
              <w:bottom w:val="single" w:sz="4" w:space="0" w:color="auto"/>
              <w:right w:val="single" w:sz="4" w:space="0" w:color="auto"/>
            </w:tcBorders>
            <w:vAlign w:val="center"/>
            <w:hideMark/>
          </w:tcPr>
          <w:p w14:paraId="70CB8A55" w14:textId="77777777" w:rsidR="00370535" w:rsidRPr="00370535" w:rsidRDefault="00370535" w:rsidP="00370535">
            <w:pPr>
              <w:rPr>
                <w:rFonts w:eastAsiaTheme="minorHAnsi" w:cs="Arial"/>
              </w:rPr>
            </w:pPr>
            <w:r w:rsidRPr="00370535">
              <w:rPr>
                <w:rFonts w:eastAsiaTheme="minorHAnsi" w:cs="Arial"/>
              </w:rPr>
              <w:t>Neath Port Talbot Local Authority</w:t>
            </w:r>
          </w:p>
        </w:tc>
        <w:tc>
          <w:tcPr>
            <w:tcW w:w="1287" w:type="dxa"/>
            <w:tcBorders>
              <w:top w:val="single" w:sz="4" w:space="0" w:color="auto"/>
              <w:left w:val="single" w:sz="4" w:space="0" w:color="auto"/>
              <w:bottom w:val="single" w:sz="4" w:space="0" w:color="auto"/>
              <w:right w:val="single" w:sz="4" w:space="0" w:color="auto"/>
            </w:tcBorders>
            <w:vAlign w:val="center"/>
            <w:hideMark/>
          </w:tcPr>
          <w:p w14:paraId="4B86DDE2" w14:textId="77777777" w:rsidR="00370535" w:rsidRPr="00370535" w:rsidRDefault="00370535" w:rsidP="00370535">
            <w:pPr>
              <w:rPr>
                <w:rFonts w:eastAsiaTheme="minorHAnsi" w:cs="Arial"/>
              </w:rPr>
            </w:pPr>
            <w:r w:rsidRPr="00370535">
              <w:rPr>
                <w:rFonts w:eastAsiaTheme="minorHAnsi" w:cs="Arial"/>
              </w:rPr>
              <w:t>277.8</w:t>
            </w:r>
          </w:p>
        </w:tc>
        <w:tc>
          <w:tcPr>
            <w:tcW w:w="1287" w:type="dxa"/>
            <w:tcBorders>
              <w:top w:val="single" w:sz="4" w:space="0" w:color="auto"/>
              <w:left w:val="single" w:sz="4" w:space="0" w:color="auto"/>
              <w:bottom w:val="single" w:sz="4" w:space="0" w:color="auto"/>
              <w:right w:val="single" w:sz="4" w:space="0" w:color="auto"/>
            </w:tcBorders>
            <w:vAlign w:val="center"/>
            <w:hideMark/>
          </w:tcPr>
          <w:p w14:paraId="0FFAFC73" w14:textId="77777777" w:rsidR="00370535" w:rsidRPr="00370535" w:rsidRDefault="00370535" w:rsidP="00370535">
            <w:pPr>
              <w:rPr>
                <w:rFonts w:eastAsiaTheme="minorHAnsi" w:cs="Arial"/>
              </w:rPr>
            </w:pPr>
            <w:r w:rsidRPr="00370535">
              <w:rPr>
                <w:rFonts w:eastAsiaTheme="minorHAnsi" w:cs="Arial"/>
              </w:rPr>
              <w:t>132.5</w:t>
            </w:r>
          </w:p>
        </w:tc>
        <w:tc>
          <w:tcPr>
            <w:tcW w:w="1292" w:type="dxa"/>
            <w:tcBorders>
              <w:top w:val="single" w:sz="4" w:space="0" w:color="auto"/>
              <w:left w:val="single" w:sz="4" w:space="0" w:color="auto"/>
              <w:bottom w:val="single" w:sz="4" w:space="0" w:color="auto"/>
              <w:right w:val="single" w:sz="4" w:space="0" w:color="auto"/>
            </w:tcBorders>
            <w:vAlign w:val="center"/>
            <w:hideMark/>
          </w:tcPr>
          <w:p w14:paraId="2AB376FC" w14:textId="77777777" w:rsidR="00370535" w:rsidRPr="00370535" w:rsidRDefault="00370535" w:rsidP="00370535">
            <w:pPr>
              <w:rPr>
                <w:rFonts w:eastAsiaTheme="minorHAnsi" w:cs="Arial"/>
              </w:rPr>
            </w:pPr>
            <w:r w:rsidRPr="00370535">
              <w:rPr>
                <w:rFonts w:eastAsiaTheme="minorHAnsi" w:cs="Arial"/>
              </w:rPr>
              <w:t>26.0</w:t>
            </w:r>
          </w:p>
        </w:tc>
        <w:tc>
          <w:tcPr>
            <w:tcW w:w="1287" w:type="dxa"/>
            <w:tcBorders>
              <w:top w:val="single" w:sz="4" w:space="0" w:color="auto"/>
              <w:left w:val="single" w:sz="4" w:space="0" w:color="auto"/>
              <w:bottom w:val="single" w:sz="4" w:space="0" w:color="auto"/>
              <w:right w:val="single" w:sz="4" w:space="0" w:color="auto"/>
            </w:tcBorders>
            <w:vAlign w:val="center"/>
            <w:hideMark/>
          </w:tcPr>
          <w:p w14:paraId="41E865A8" w14:textId="77777777" w:rsidR="00370535" w:rsidRPr="00370535" w:rsidRDefault="00370535" w:rsidP="00370535">
            <w:pPr>
              <w:rPr>
                <w:rFonts w:eastAsiaTheme="minorHAnsi" w:cs="Arial"/>
              </w:rPr>
            </w:pPr>
            <w:r w:rsidRPr="00370535">
              <w:rPr>
                <w:rFonts w:eastAsiaTheme="minorHAnsi" w:cs="Arial"/>
              </w:rPr>
              <w:t>36.0</w:t>
            </w:r>
          </w:p>
        </w:tc>
        <w:tc>
          <w:tcPr>
            <w:tcW w:w="1288" w:type="dxa"/>
            <w:tcBorders>
              <w:top w:val="single" w:sz="4" w:space="0" w:color="auto"/>
              <w:left w:val="single" w:sz="4" w:space="0" w:color="auto"/>
              <w:bottom w:val="single" w:sz="4" w:space="0" w:color="auto"/>
              <w:right w:val="single" w:sz="4" w:space="0" w:color="auto"/>
            </w:tcBorders>
            <w:vAlign w:val="center"/>
            <w:hideMark/>
          </w:tcPr>
          <w:p w14:paraId="0B90BC25" w14:textId="77777777" w:rsidR="00370535" w:rsidRPr="00370535" w:rsidRDefault="00370535" w:rsidP="00370535">
            <w:pPr>
              <w:rPr>
                <w:rFonts w:eastAsiaTheme="minorHAnsi" w:cs="Arial"/>
              </w:rPr>
            </w:pPr>
            <w:r w:rsidRPr="00370535">
              <w:rPr>
                <w:rFonts w:eastAsiaTheme="minorHAnsi" w:cs="Arial"/>
              </w:rPr>
              <w:t>44.8</w:t>
            </w:r>
          </w:p>
        </w:tc>
        <w:tc>
          <w:tcPr>
            <w:tcW w:w="1288" w:type="dxa"/>
            <w:tcBorders>
              <w:top w:val="single" w:sz="4" w:space="0" w:color="auto"/>
              <w:left w:val="single" w:sz="4" w:space="0" w:color="auto"/>
              <w:bottom w:val="single" w:sz="4" w:space="0" w:color="auto"/>
              <w:right w:val="single" w:sz="4" w:space="0" w:color="auto"/>
            </w:tcBorders>
            <w:vAlign w:val="center"/>
            <w:hideMark/>
          </w:tcPr>
          <w:p w14:paraId="4A8E9050" w14:textId="77777777" w:rsidR="00370535" w:rsidRPr="00370535" w:rsidRDefault="00370535" w:rsidP="00370535">
            <w:pPr>
              <w:rPr>
                <w:rFonts w:eastAsiaTheme="minorHAnsi" w:cs="Arial"/>
              </w:rPr>
            </w:pPr>
            <w:r w:rsidRPr="00370535">
              <w:rPr>
                <w:rFonts w:eastAsiaTheme="minorHAnsi" w:cs="Arial"/>
              </w:rPr>
              <w:t>58.4</w:t>
            </w:r>
          </w:p>
        </w:tc>
      </w:tr>
      <w:tr w:rsidR="00370535" w:rsidRPr="00370535" w14:paraId="495E33A7" w14:textId="77777777" w:rsidTr="00370535">
        <w:tc>
          <w:tcPr>
            <w:tcW w:w="1287" w:type="dxa"/>
            <w:tcBorders>
              <w:top w:val="single" w:sz="4" w:space="0" w:color="auto"/>
              <w:left w:val="single" w:sz="4" w:space="0" w:color="auto"/>
              <w:bottom w:val="single" w:sz="4" w:space="0" w:color="auto"/>
              <w:right w:val="single" w:sz="4" w:space="0" w:color="auto"/>
            </w:tcBorders>
            <w:vAlign w:val="center"/>
            <w:hideMark/>
          </w:tcPr>
          <w:p w14:paraId="5C71E683" w14:textId="77777777" w:rsidR="00370535" w:rsidRPr="00370535" w:rsidRDefault="00370535" w:rsidP="00370535">
            <w:pPr>
              <w:rPr>
                <w:rFonts w:eastAsiaTheme="minorHAnsi" w:cs="Arial"/>
              </w:rPr>
            </w:pPr>
            <w:r w:rsidRPr="00370535">
              <w:rPr>
                <w:rFonts w:eastAsiaTheme="minorHAnsi" w:cs="Arial"/>
              </w:rPr>
              <w:t>Swansea Bay University Health Board</w:t>
            </w:r>
          </w:p>
        </w:tc>
        <w:tc>
          <w:tcPr>
            <w:tcW w:w="1287" w:type="dxa"/>
            <w:tcBorders>
              <w:top w:val="single" w:sz="4" w:space="0" w:color="auto"/>
              <w:left w:val="single" w:sz="4" w:space="0" w:color="auto"/>
              <w:bottom w:val="single" w:sz="4" w:space="0" w:color="auto"/>
              <w:right w:val="single" w:sz="4" w:space="0" w:color="auto"/>
            </w:tcBorders>
            <w:vAlign w:val="center"/>
            <w:hideMark/>
          </w:tcPr>
          <w:p w14:paraId="18A518CB" w14:textId="77777777" w:rsidR="00370535" w:rsidRPr="00370535" w:rsidRDefault="00370535" w:rsidP="00370535">
            <w:pPr>
              <w:rPr>
                <w:rFonts w:eastAsiaTheme="minorHAnsi" w:cs="Arial"/>
              </w:rPr>
            </w:pPr>
            <w:r w:rsidRPr="00370535">
              <w:rPr>
                <w:rFonts w:eastAsiaTheme="minorHAnsi" w:cs="Arial"/>
              </w:rPr>
              <w:t>263.6</w:t>
            </w:r>
          </w:p>
        </w:tc>
        <w:tc>
          <w:tcPr>
            <w:tcW w:w="1287" w:type="dxa"/>
            <w:tcBorders>
              <w:top w:val="single" w:sz="4" w:space="0" w:color="auto"/>
              <w:left w:val="single" w:sz="4" w:space="0" w:color="auto"/>
              <w:bottom w:val="single" w:sz="4" w:space="0" w:color="auto"/>
              <w:right w:val="single" w:sz="4" w:space="0" w:color="auto"/>
            </w:tcBorders>
            <w:vAlign w:val="center"/>
            <w:hideMark/>
          </w:tcPr>
          <w:p w14:paraId="10B4D820" w14:textId="77777777" w:rsidR="00370535" w:rsidRPr="00370535" w:rsidRDefault="00370535" w:rsidP="00370535">
            <w:pPr>
              <w:rPr>
                <w:rFonts w:eastAsiaTheme="minorHAnsi" w:cs="Arial"/>
              </w:rPr>
            </w:pPr>
            <w:r w:rsidRPr="00370535">
              <w:rPr>
                <w:rFonts w:eastAsiaTheme="minorHAnsi" w:cs="Arial"/>
              </w:rPr>
              <w:t>132.4</w:t>
            </w:r>
          </w:p>
        </w:tc>
        <w:tc>
          <w:tcPr>
            <w:tcW w:w="1292" w:type="dxa"/>
            <w:tcBorders>
              <w:top w:val="single" w:sz="4" w:space="0" w:color="auto"/>
              <w:left w:val="single" w:sz="4" w:space="0" w:color="auto"/>
              <w:bottom w:val="single" w:sz="4" w:space="0" w:color="auto"/>
              <w:right w:val="single" w:sz="4" w:space="0" w:color="auto"/>
            </w:tcBorders>
            <w:vAlign w:val="center"/>
            <w:hideMark/>
          </w:tcPr>
          <w:p w14:paraId="04D3F5D5" w14:textId="77777777" w:rsidR="00370535" w:rsidRPr="00370535" w:rsidRDefault="00370535" w:rsidP="00370535">
            <w:pPr>
              <w:rPr>
                <w:rFonts w:eastAsiaTheme="minorHAnsi" w:cs="Arial"/>
              </w:rPr>
            </w:pPr>
            <w:r w:rsidRPr="00370535">
              <w:rPr>
                <w:rFonts w:eastAsiaTheme="minorHAnsi" w:cs="Arial"/>
              </w:rPr>
              <w:t>24.3</w:t>
            </w:r>
          </w:p>
        </w:tc>
        <w:tc>
          <w:tcPr>
            <w:tcW w:w="1287" w:type="dxa"/>
            <w:tcBorders>
              <w:top w:val="single" w:sz="4" w:space="0" w:color="auto"/>
              <w:left w:val="single" w:sz="4" w:space="0" w:color="auto"/>
              <w:bottom w:val="single" w:sz="4" w:space="0" w:color="auto"/>
              <w:right w:val="single" w:sz="4" w:space="0" w:color="auto"/>
            </w:tcBorders>
            <w:vAlign w:val="center"/>
            <w:hideMark/>
          </w:tcPr>
          <w:p w14:paraId="528A9451" w14:textId="77777777" w:rsidR="00370535" w:rsidRPr="00370535" w:rsidRDefault="00370535" w:rsidP="00370535">
            <w:pPr>
              <w:rPr>
                <w:rFonts w:eastAsiaTheme="minorHAnsi" w:cs="Arial"/>
              </w:rPr>
            </w:pPr>
            <w:r w:rsidRPr="00370535">
              <w:rPr>
                <w:rFonts w:eastAsiaTheme="minorHAnsi" w:cs="Arial"/>
              </w:rPr>
              <w:t>29.6</w:t>
            </w:r>
          </w:p>
        </w:tc>
        <w:tc>
          <w:tcPr>
            <w:tcW w:w="1288" w:type="dxa"/>
            <w:tcBorders>
              <w:top w:val="single" w:sz="4" w:space="0" w:color="auto"/>
              <w:left w:val="single" w:sz="4" w:space="0" w:color="auto"/>
              <w:bottom w:val="single" w:sz="4" w:space="0" w:color="auto"/>
              <w:right w:val="single" w:sz="4" w:space="0" w:color="auto"/>
            </w:tcBorders>
            <w:vAlign w:val="center"/>
            <w:hideMark/>
          </w:tcPr>
          <w:p w14:paraId="2968BA26" w14:textId="77777777" w:rsidR="00370535" w:rsidRPr="00370535" w:rsidRDefault="00370535" w:rsidP="00370535">
            <w:pPr>
              <w:rPr>
                <w:rFonts w:eastAsiaTheme="minorHAnsi" w:cs="Arial"/>
              </w:rPr>
            </w:pPr>
            <w:r w:rsidRPr="00370535">
              <w:rPr>
                <w:rFonts w:eastAsiaTheme="minorHAnsi" w:cs="Arial"/>
              </w:rPr>
              <w:t>46.0</w:t>
            </w:r>
          </w:p>
        </w:tc>
        <w:tc>
          <w:tcPr>
            <w:tcW w:w="1288" w:type="dxa"/>
            <w:tcBorders>
              <w:top w:val="single" w:sz="4" w:space="0" w:color="auto"/>
              <w:left w:val="single" w:sz="4" w:space="0" w:color="auto"/>
              <w:bottom w:val="single" w:sz="4" w:space="0" w:color="auto"/>
              <w:right w:val="single" w:sz="4" w:space="0" w:color="auto"/>
            </w:tcBorders>
            <w:vAlign w:val="center"/>
            <w:hideMark/>
          </w:tcPr>
          <w:p w14:paraId="31BA0BAA" w14:textId="77777777" w:rsidR="00370535" w:rsidRPr="00370535" w:rsidRDefault="00370535" w:rsidP="00370535">
            <w:pPr>
              <w:rPr>
                <w:rFonts w:eastAsiaTheme="minorHAnsi" w:cs="Arial"/>
              </w:rPr>
            </w:pPr>
            <w:r w:rsidRPr="00370535">
              <w:rPr>
                <w:rFonts w:eastAsiaTheme="minorHAnsi" w:cs="Arial"/>
              </w:rPr>
              <w:t>53.7</w:t>
            </w:r>
          </w:p>
        </w:tc>
      </w:tr>
      <w:tr w:rsidR="00370535" w:rsidRPr="00370535" w14:paraId="18601425" w14:textId="77777777" w:rsidTr="00370535">
        <w:tc>
          <w:tcPr>
            <w:tcW w:w="1287" w:type="dxa"/>
            <w:tcBorders>
              <w:top w:val="single" w:sz="4" w:space="0" w:color="auto"/>
              <w:left w:val="single" w:sz="4" w:space="0" w:color="auto"/>
              <w:bottom w:val="single" w:sz="4" w:space="0" w:color="auto"/>
              <w:right w:val="single" w:sz="4" w:space="0" w:color="auto"/>
            </w:tcBorders>
            <w:vAlign w:val="center"/>
            <w:hideMark/>
          </w:tcPr>
          <w:p w14:paraId="3DF05EAA" w14:textId="77777777" w:rsidR="00370535" w:rsidRPr="00370535" w:rsidRDefault="00370535" w:rsidP="00370535">
            <w:pPr>
              <w:rPr>
                <w:rFonts w:eastAsiaTheme="minorHAnsi" w:cs="Arial"/>
              </w:rPr>
            </w:pPr>
            <w:r w:rsidRPr="00370535">
              <w:rPr>
                <w:rFonts w:eastAsiaTheme="minorHAnsi" w:cs="Arial"/>
              </w:rPr>
              <w:t>Wales</w:t>
            </w:r>
          </w:p>
        </w:tc>
        <w:tc>
          <w:tcPr>
            <w:tcW w:w="1287" w:type="dxa"/>
            <w:tcBorders>
              <w:top w:val="single" w:sz="4" w:space="0" w:color="auto"/>
              <w:left w:val="single" w:sz="4" w:space="0" w:color="auto"/>
              <w:bottom w:val="single" w:sz="4" w:space="0" w:color="auto"/>
              <w:right w:val="single" w:sz="4" w:space="0" w:color="auto"/>
            </w:tcBorders>
            <w:vAlign w:val="center"/>
            <w:hideMark/>
          </w:tcPr>
          <w:p w14:paraId="496C8729" w14:textId="77777777" w:rsidR="00370535" w:rsidRPr="00370535" w:rsidRDefault="00370535" w:rsidP="00370535">
            <w:pPr>
              <w:rPr>
                <w:rFonts w:eastAsiaTheme="minorHAnsi" w:cs="Arial"/>
              </w:rPr>
            </w:pPr>
            <w:r w:rsidRPr="00370535">
              <w:rPr>
                <w:rFonts w:eastAsiaTheme="minorHAnsi" w:cs="Arial"/>
              </w:rPr>
              <w:t>264.1</w:t>
            </w:r>
          </w:p>
        </w:tc>
        <w:tc>
          <w:tcPr>
            <w:tcW w:w="1287" w:type="dxa"/>
            <w:tcBorders>
              <w:top w:val="single" w:sz="4" w:space="0" w:color="auto"/>
              <w:left w:val="single" w:sz="4" w:space="0" w:color="auto"/>
              <w:bottom w:val="single" w:sz="4" w:space="0" w:color="auto"/>
              <w:right w:val="single" w:sz="4" w:space="0" w:color="auto"/>
            </w:tcBorders>
            <w:vAlign w:val="center"/>
            <w:hideMark/>
          </w:tcPr>
          <w:p w14:paraId="6389FCD8" w14:textId="77777777" w:rsidR="00370535" w:rsidRPr="00370535" w:rsidRDefault="00370535" w:rsidP="00370535">
            <w:pPr>
              <w:rPr>
                <w:rFonts w:eastAsiaTheme="minorHAnsi" w:cs="Arial"/>
              </w:rPr>
            </w:pPr>
            <w:r w:rsidRPr="00370535">
              <w:rPr>
                <w:rFonts w:eastAsiaTheme="minorHAnsi" w:cs="Arial"/>
              </w:rPr>
              <w:t>131.1</w:t>
            </w:r>
          </w:p>
        </w:tc>
        <w:tc>
          <w:tcPr>
            <w:tcW w:w="1292" w:type="dxa"/>
            <w:tcBorders>
              <w:top w:val="single" w:sz="4" w:space="0" w:color="auto"/>
              <w:left w:val="single" w:sz="4" w:space="0" w:color="auto"/>
              <w:bottom w:val="single" w:sz="4" w:space="0" w:color="auto"/>
              <w:right w:val="single" w:sz="4" w:space="0" w:color="auto"/>
            </w:tcBorders>
            <w:vAlign w:val="center"/>
            <w:hideMark/>
          </w:tcPr>
          <w:p w14:paraId="3FB5D937" w14:textId="77777777" w:rsidR="00370535" w:rsidRPr="00370535" w:rsidRDefault="00370535" w:rsidP="00370535">
            <w:pPr>
              <w:rPr>
                <w:rFonts w:eastAsiaTheme="minorHAnsi" w:cs="Arial"/>
              </w:rPr>
            </w:pPr>
            <w:r w:rsidRPr="00370535">
              <w:rPr>
                <w:rFonts w:eastAsiaTheme="minorHAnsi" w:cs="Arial"/>
              </w:rPr>
              <w:t>28.3</w:t>
            </w:r>
          </w:p>
        </w:tc>
        <w:tc>
          <w:tcPr>
            <w:tcW w:w="1287" w:type="dxa"/>
            <w:tcBorders>
              <w:top w:val="single" w:sz="4" w:space="0" w:color="auto"/>
              <w:left w:val="single" w:sz="4" w:space="0" w:color="auto"/>
              <w:bottom w:val="single" w:sz="4" w:space="0" w:color="auto"/>
              <w:right w:val="single" w:sz="4" w:space="0" w:color="auto"/>
            </w:tcBorders>
            <w:vAlign w:val="center"/>
            <w:hideMark/>
          </w:tcPr>
          <w:p w14:paraId="3E5AD84A" w14:textId="77777777" w:rsidR="00370535" w:rsidRPr="00370535" w:rsidRDefault="00370535" w:rsidP="00370535">
            <w:pPr>
              <w:rPr>
                <w:rFonts w:eastAsiaTheme="minorHAnsi" w:cs="Arial"/>
              </w:rPr>
            </w:pPr>
            <w:r w:rsidRPr="00370535">
              <w:rPr>
                <w:rFonts w:eastAsiaTheme="minorHAnsi" w:cs="Arial"/>
              </w:rPr>
              <w:t>30.7</w:t>
            </w:r>
          </w:p>
        </w:tc>
        <w:tc>
          <w:tcPr>
            <w:tcW w:w="1288" w:type="dxa"/>
            <w:tcBorders>
              <w:top w:val="single" w:sz="4" w:space="0" w:color="auto"/>
              <w:left w:val="single" w:sz="4" w:space="0" w:color="auto"/>
              <w:bottom w:val="single" w:sz="4" w:space="0" w:color="auto"/>
              <w:right w:val="single" w:sz="4" w:space="0" w:color="auto"/>
            </w:tcBorders>
            <w:vAlign w:val="center"/>
            <w:hideMark/>
          </w:tcPr>
          <w:p w14:paraId="3E286966" w14:textId="77777777" w:rsidR="00370535" w:rsidRPr="00370535" w:rsidRDefault="00370535" w:rsidP="00370535">
            <w:pPr>
              <w:rPr>
                <w:rFonts w:eastAsiaTheme="minorHAnsi" w:cs="Arial"/>
              </w:rPr>
            </w:pPr>
            <w:r w:rsidRPr="00370535">
              <w:rPr>
                <w:rFonts w:eastAsiaTheme="minorHAnsi" w:cs="Arial"/>
              </w:rPr>
              <w:t>43.3</w:t>
            </w:r>
          </w:p>
        </w:tc>
        <w:tc>
          <w:tcPr>
            <w:tcW w:w="1288" w:type="dxa"/>
            <w:tcBorders>
              <w:top w:val="single" w:sz="4" w:space="0" w:color="auto"/>
              <w:left w:val="single" w:sz="4" w:space="0" w:color="auto"/>
              <w:bottom w:val="single" w:sz="4" w:space="0" w:color="auto"/>
              <w:right w:val="single" w:sz="4" w:space="0" w:color="auto"/>
            </w:tcBorders>
            <w:vAlign w:val="center"/>
            <w:hideMark/>
          </w:tcPr>
          <w:p w14:paraId="2F6031B7" w14:textId="77777777" w:rsidR="00370535" w:rsidRPr="00370535" w:rsidRDefault="00370535" w:rsidP="00370535">
            <w:pPr>
              <w:rPr>
                <w:rFonts w:eastAsiaTheme="minorHAnsi" w:cs="Arial"/>
              </w:rPr>
            </w:pPr>
            <w:r w:rsidRPr="00370535">
              <w:rPr>
                <w:rFonts w:eastAsiaTheme="minorHAnsi" w:cs="Arial"/>
              </w:rPr>
              <w:t>51.2</w:t>
            </w:r>
          </w:p>
        </w:tc>
      </w:tr>
    </w:tbl>
    <w:p w14:paraId="38F1A10A" w14:textId="77777777" w:rsidR="00370535" w:rsidRPr="00370535" w:rsidRDefault="00370535" w:rsidP="00370535">
      <w:pPr>
        <w:rPr>
          <w:rFonts w:cs="Arial"/>
          <w:lang w:val="en-US"/>
        </w:rPr>
      </w:pPr>
    </w:p>
    <w:p w14:paraId="28BBCF0E" w14:textId="77777777" w:rsidR="00370535" w:rsidRPr="00370535" w:rsidRDefault="00370535" w:rsidP="00370535">
      <w:pPr>
        <w:rPr>
          <w:rFonts w:cs="Arial"/>
          <w:lang w:val="en-US"/>
        </w:rPr>
      </w:pPr>
      <w:r w:rsidRPr="00370535">
        <w:rPr>
          <w:rFonts w:cs="Arial"/>
          <w:lang w:val="en-US"/>
        </w:rPr>
        <w:t>Across the three-year period (2022–2024), Swansea and Neath Port Talbot show different mortality rates across the cancer types shown for males and females (all ages unless stated) per 100,000.</w:t>
      </w:r>
    </w:p>
    <w:p w14:paraId="48031E6F" w14:textId="77777777" w:rsidR="00370535" w:rsidRPr="00370535" w:rsidRDefault="00370535" w:rsidP="00370535">
      <w:pPr>
        <w:rPr>
          <w:rFonts w:cs="Arial"/>
          <w:lang w:val="en-US"/>
        </w:rPr>
      </w:pPr>
    </w:p>
    <w:p w14:paraId="3AB353B4" w14:textId="77777777" w:rsidR="00370535" w:rsidRPr="00370535" w:rsidRDefault="00370535" w:rsidP="00B76905">
      <w:pPr>
        <w:numPr>
          <w:ilvl w:val="0"/>
          <w:numId w:val="61"/>
        </w:numPr>
        <w:rPr>
          <w:rFonts w:cs="Arial"/>
          <w:lang w:val="en-US"/>
        </w:rPr>
      </w:pPr>
      <w:r w:rsidRPr="00370535">
        <w:rPr>
          <w:rFonts w:cs="Arial"/>
          <w:lang w:val="en-US"/>
        </w:rPr>
        <w:t xml:space="preserve">All-cancer mortality rates were higher in Neath Port Talbot (277.8 per 100,000) than Swansea (255.2). Neath Port Talbot was also above both the health board (263.6) and Wales rates (264.1), while Swansea was below both. </w:t>
      </w:r>
    </w:p>
    <w:p w14:paraId="0C9EEFE5" w14:textId="77777777" w:rsidR="00370535" w:rsidRPr="00370535" w:rsidRDefault="00370535" w:rsidP="00B76905">
      <w:pPr>
        <w:numPr>
          <w:ilvl w:val="0"/>
          <w:numId w:val="61"/>
        </w:numPr>
        <w:rPr>
          <w:rFonts w:cs="Arial"/>
          <w:lang w:val="en-US"/>
        </w:rPr>
      </w:pPr>
      <w:r w:rsidRPr="00370535">
        <w:rPr>
          <w:rFonts w:cs="Arial"/>
          <w:lang w:val="en-US"/>
        </w:rPr>
        <w:t xml:space="preserve">All cancers in people aged under 75 years mortality rates were very similar in Swansea (132.2), Neath Port Talbot (132.5), and the health board (132.4), and all were higher than Wales (131.1). </w:t>
      </w:r>
    </w:p>
    <w:p w14:paraId="4865CCF4" w14:textId="77777777" w:rsidR="00370535" w:rsidRPr="00370535" w:rsidRDefault="00370535" w:rsidP="00B76905">
      <w:pPr>
        <w:numPr>
          <w:ilvl w:val="0"/>
          <w:numId w:val="61"/>
        </w:numPr>
        <w:rPr>
          <w:rFonts w:cs="Arial"/>
          <w:lang w:val="en-US"/>
        </w:rPr>
      </w:pPr>
      <w:r w:rsidRPr="00370535">
        <w:rPr>
          <w:rFonts w:cs="Arial"/>
          <w:lang w:val="en-US"/>
        </w:rPr>
        <w:t xml:space="preserve">Colorectal cancer mortality rates were higher in Neath Port Talbot (26.0) than Swansea (23.3). Neath Port Talbot was higher than the health board (24.3), but lower than Wales (28.3), while Swansea was lower than both. </w:t>
      </w:r>
    </w:p>
    <w:p w14:paraId="04747F4A" w14:textId="77777777" w:rsidR="00370535" w:rsidRPr="00370535" w:rsidRDefault="00370535" w:rsidP="00B76905">
      <w:pPr>
        <w:numPr>
          <w:ilvl w:val="0"/>
          <w:numId w:val="61"/>
        </w:numPr>
        <w:rPr>
          <w:rFonts w:cs="Arial"/>
          <w:lang w:val="en-US"/>
        </w:rPr>
      </w:pPr>
      <w:r w:rsidRPr="00370535">
        <w:rPr>
          <w:rFonts w:cs="Arial"/>
          <w:lang w:val="en-US"/>
        </w:rPr>
        <w:t xml:space="preserve">Female breast cancer death mortality rates were higher in Neath Port Talbot (36.0) than Swansea (26.0). Neath Port Talbot was higher than both the health board (29.6) and Wales (30.7), while Swansea was lower than both. </w:t>
      </w:r>
    </w:p>
    <w:p w14:paraId="0443FAC6" w14:textId="77777777" w:rsidR="00370535" w:rsidRPr="00370535" w:rsidRDefault="00370535" w:rsidP="00B76905">
      <w:pPr>
        <w:numPr>
          <w:ilvl w:val="0"/>
          <w:numId w:val="61"/>
        </w:numPr>
        <w:rPr>
          <w:rFonts w:cs="Arial"/>
          <w:lang w:val="en-US"/>
        </w:rPr>
      </w:pPr>
      <w:r w:rsidRPr="00370535">
        <w:rPr>
          <w:rFonts w:cs="Arial"/>
          <w:lang w:val="en-US"/>
        </w:rPr>
        <w:t>Prostate cancer mortality rates were higher in Swansea (46.4) than Neath Port Talbot (44.8). Swansea was higher than both the health board (46.0) and Wales (43.3), while Neath Port Talbot was lower than the health board, but higher than Wales.</w:t>
      </w:r>
    </w:p>
    <w:p w14:paraId="3EF83CF2" w14:textId="77777777" w:rsidR="00370535" w:rsidRPr="00370535" w:rsidRDefault="00370535" w:rsidP="00B76905">
      <w:pPr>
        <w:numPr>
          <w:ilvl w:val="0"/>
          <w:numId w:val="61"/>
        </w:numPr>
        <w:rPr>
          <w:rFonts w:cs="Arial"/>
          <w:lang w:val="en-US"/>
        </w:rPr>
      </w:pPr>
      <w:r w:rsidRPr="00370535">
        <w:rPr>
          <w:rFonts w:cs="Arial"/>
          <w:lang w:val="en-US"/>
        </w:rPr>
        <w:t>Trachea, bronchus, and lung cancer mortality rates were higher in Neath Port Talbot (58.4) than Swansea (50.8). Neath Port Talbot was higher than both the health board (53.7) and Wales (51.2), while Swansea was below both.</w:t>
      </w:r>
    </w:p>
    <w:p w14:paraId="5446E089" w14:textId="77777777" w:rsidR="00370535" w:rsidRPr="00370535" w:rsidRDefault="00370535" w:rsidP="00370535">
      <w:pPr>
        <w:rPr>
          <w:rFonts w:cs="Arial"/>
          <w:lang w:val="en-US"/>
        </w:rPr>
      </w:pPr>
    </w:p>
    <w:p w14:paraId="3E20D2B1" w14:textId="77777777" w:rsidR="00370535" w:rsidRPr="00370535" w:rsidRDefault="00370535" w:rsidP="00370535">
      <w:pPr>
        <w:rPr>
          <w:rFonts w:cs="Arial"/>
          <w:lang w:val="en-US"/>
        </w:rPr>
      </w:pPr>
      <w:r w:rsidRPr="00370535">
        <w:rPr>
          <w:rFonts w:cs="Arial"/>
          <w:lang w:val="en-US"/>
        </w:rPr>
        <w:t>The table below is a comparison of the 22 local authorities in Wales and shows cancer mortality rate ranges across the cancer types shown for males and females (all ages (unless stated) per 100,000) across the same three-year reporting period (2022-2024) and where both Swansea and Neath Port Talbot Local Authorities rank.</w:t>
      </w:r>
    </w:p>
    <w:p w14:paraId="0C3FB1DC" w14:textId="77777777" w:rsidR="00370535" w:rsidRPr="00370535" w:rsidRDefault="00370535" w:rsidP="00370535">
      <w:pPr>
        <w:rPr>
          <w:rFonts w:cs="Arial"/>
          <w:lang w:val="en-US"/>
        </w:rPr>
      </w:pPr>
    </w:p>
    <w:p w14:paraId="02970B6F" w14:textId="77777777" w:rsidR="00370535" w:rsidRPr="00370535" w:rsidRDefault="00370535" w:rsidP="00370535">
      <w:pPr>
        <w:rPr>
          <w:rFonts w:cs="Arial"/>
          <w:lang w:val="en-US"/>
        </w:rPr>
      </w:pPr>
      <w:r w:rsidRPr="00370535">
        <w:rPr>
          <w:rFonts w:cs="Arial"/>
          <w:lang w:val="en-US"/>
        </w:rPr>
        <w:t>Ranking: First (one) equals the local authority with the lowest mortality rate and 22 is the local authority with the highest.</w:t>
      </w:r>
    </w:p>
    <w:p w14:paraId="779E51E0" w14:textId="77777777" w:rsidR="00370535" w:rsidRPr="00370535" w:rsidRDefault="00370535" w:rsidP="00370535">
      <w:pPr>
        <w:rPr>
          <w:rFonts w:cs="Arial"/>
          <w:lang w:val="en-US"/>
        </w:rPr>
      </w:pPr>
    </w:p>
    <w:p w14:paraId="0FB7F332" w14:textId="77777777" w:rsidR="00370535" w:rsidRPr="00370535" w:rsidRDefault="00370535" w:rsidP="00370535">
      <w:pPr>
        <w:rPr>
          <w:rFonts w:cs="Arial"/>
          <w:b/>
          <w:bCs/>
          <w:lang w:val="en-US"/>
        </w:rPr>
      </w:pPr>
      <w:r w:rsidRPr="00370535">
        <w:rPr>
          <w:rFonts w:cs="Arial"/>
          <w:b/>
          <w:bCs/>
          <w:lang w:val="en-US"/>
        </w:rPr>
        <w:t>Table 3.24: Comparison of cancer mortality rate ranges across the cancer types shown for males and females (all ages (unless stated) per 100,000) across the same three-year reporting period (2022-2024) for the 22 local authorities in Wales, and where Swansea Bay and Neath Port Talbot Local Authorities rank</w:t>
      </w:r>
      <w:r w:rsidRPr="00370535">
        <w:rPr>
          <w:rFonts w:cs="Arial"/>
          <w:b/>
          <w:bCs/>
          <w:vertAlign w:val="superscript"/>
          <w:lang w:val="en-US"/>
        </w:rPr>
        <w:footnoteReference w:id="131"/>
      </w:r>
    </w:p>
    <w:p w14:paraId="1EF9701A" w14:textId="77777777" w:rsidR="00370535" w:rsidRPr="00370535" w:rsidRDefault="00370535" w:rsidP="00370535">
      <w:pPr>
        <w:rPr>
          <w:rFonts w:cs="Arial"/>
          <w:b/>
        </w:rPr>
      </w:pPr>
    </w:p>
    <w:tbl>
      <w:tblPr>
        <w:tblStyle w:val="TableGrid5"/>
        <w:tblW w:w="10065" w:type="dxa"/>
        <w:tblInd w:w="-431" w:type="dxa"/>
        <w:tblLayout w:type="fixed"/>
        <w:tblLook w:val="04A0" w:firstRow="1" w:lastRow="0" w:firstColumn="1" w:lastColumn="0" w:noHBand="0" w:noVBand="1"/>
      </w:tblPr>
      <w:tblGrid>
        <w:gridCol w:w="1413"/>
        <w:gridCol w:w="1702"/>
        <w:gridCol w:w="1277"/>
        <w:gridCol w:w="1560"/>
        <w:gridCol w:w="1985"/>
        <w:gridCol w:w="2128"/>
      </w:tblGrid>
      <w:tr w:rsidR="00370535" w:rsidRPr="00370535" w14:paraId="6AEDAD8D" w14:textId="77777777" w:rsidTr="00370535">
        <w:tc>
          <w:tcPr>
            <w:tcW w:w="1413" w:type="dxa"/>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hideMark/>
          </w:tcPr>
          <w:p w14:paraId="624E4BFE" w14:textId="77777777" w:rsidR="00370535" w:rsidRPr="00370535" w:rsidRDefault="00370535" w:rsidP="00370535">
            <w:pPr>
              <w:rPr>
                <w:rFonts w:cs="Arial"/>
              </w:rPr>
            </w:pPr>
            <w:r w:rsidRPr="00370535">
              <w:rPr>
                <w:rFonts w:cs="Arial"/>
                <w:b/>
                <w:bCs/>
              </w:rPr>
              <w:t>Cancer type</w:t>
            </w:r>
          </w:p>
        </w:tc>
        <w:tc>
          <w:tcPr>
            <w:tcW w:w="1701" w:type="dxa"/>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hideMark/>
          </w:tcPr>
          <w:p w14:paraId="70C6321A" w14:textId="77777777" w:rsidR="00370535" w:rsidRPr="00370535" w:rsidRDefault="00370535" w:rsidP="00370535">
            <w:pPr>
              <w:rPr>
                <w:rFonts w:cs="Arial"/>
              </w:rPr>
            </w:pPr>
            <w:r w:rsidRPr="00370535">
              <w:rPr>
                <w:rFonts w:cs="Arial"/>
                <w:b/>
                <w:bCs/>
              </w:rPr>
              <w:t>Cancer mortality rate range</w:t>
            </w:r>
          </w:p>
        </w:tc>
        <w:tc>
          <w:tcPr>
            <w:tcW w:w="1276" w:type="dxa"/>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hideMark/>
          </w:tcPr>
          <w:p w14:paraId="7E7CFFAF" w14:textId="77777777" w:rsidR="00370535" w:rsidRPr="00370535" w:rsidRDefault="00370535" w:rsidP="00370535">
            <w:pPr>
              <w:rPr>
                <w:rFonts w:cs="Arial"/>
              </w:rPr>
            </w:pPr>
            <w:r w:rsidRPr="00370535">
              <w:rPr>
                <w:rFonts w:cs="Arial"/>
                <w:b/>
                <w:bCs/>
              </w:rPr>
              <w:t>Swansea ranking</w:t>
            </w:r>
          </w:p>
        </w:tc>
        <w:tc>
          <w:tcPr>
            <w:tcW w:w="1559" w:type="dxa"/>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hideMark/>
          </w:tcPr>
          <w:p w14:paraId="1C69E0AD" w14:textId="77777777" w:rsidR="00370535" w:rsidRPr="00370535" w:rsidRDefault="00370535" w:rsidP="00370535">
            <w:pPr>
              <w:rPr>
                <w:rFonts w:cs="Arial"/>
              </w:rPr>
            </w:pPr>
            <w:r w:rsidRPr="00370535">
              <w:rPr>
                <w:rFonts w:cs="Arial"/>
                <w:b/>
                <w:bCs/>
              </w:rPr>
              <w:t>Neath Port Talbot ranking</w:t>
            </w:r>
          </w:p>
        </w:tc>
        <w:tc>
          <w:tcPr>
            <w:tcW w:w="1984" w:type="dxa"/>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hideMark/>
          </w:tcPr>
          <w:p w14:paraId="24DD0951" w14:textId="77777777" w:rsidR="00370535" w:rsidRPr="00370535" w:rsidRDefault="00370535" w:rsidP="00370535">
            <w:pPr>
              <w:rPr>
                <w:rFonts w:cs="Arial"/>
                <w:b/>
                <w:bCs/>
              </w:rPr>
            </w:pPr>
            <w:r w:rsidRPr="00370535">
              <w:rPr>
                <w:rFonts w:cs="Arial"/>
                <w:b/>
                <w:bCs/>
              </w:rPr>
              <w:t>Local authority</w:t>
            </w:r>
          </w:p>
          <w:p w14:paraId="4EBB324E" w14:textId="77777777" w:rsidR="00370535" w:rsidRPr="00370535" w:rsidRDefault="00370535" w:rsidP="00370535">
            <w:pPr>
              <w:rPr>
                <w:rFonts w:cs="Arial"/>
              </w:rPr>
            </w:pPr>
            <w:r w:rsidRPr="00370535">
              <w:rPr>
                <w:rFonts w:cs="Arial"/>
                <w:b/>
                <w:bCs/>
              </w:rPr>
              <w:t>at one (lowest)</w:t>
            </w:r>
          </w:p>
        </w:tc>
        <w:tc>
          <w:tcPr>
            <w:tcW w:w="2127" w:type="dxa"/>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hideMark/>
          </w:tcPr>
          <w:p w14:paraId="7E85B7EB" w14:textId="77777777" w:rsidR="00370535" w:rsidRPr="00370535" w:rsidRDefault="00370535" w:rsidP="00370535">
            <w:pPr>
              <w:rPr>
                <w:rFonts w:cs="Arial"/>
              </w:rPr>
            </w:pPr>
            <w:r w:rsidRPr="00370535">
              <w:rPr>
                <w:rFonts w:cs="Arial"/>
                <w:b/>
                <w:bCs/>
              </w:rPr>
              <w:t>Local authority at 22 (highest)</w:t>
            </w:r>
          </w:p>
        </w:tc>
      </w:tr>
      <w:tr w:rsidR="00370535" w:rsidRPr="00370535" w14:paraId="71573185" w14:textId="77777777" w:rsidTr="00370535">
        <w:tc>
          <w:tcPr>
            <w:tcW w:w="1413" w:type="dxa"/>
            <w:tcBorders>
              <w:top w:val="single" w:sz="4" w:space="0" w:color="auto"/>
              <w:left w:val="single" w:sz="4" w:space="0" w:color="auto"/>
              <w:bottom w:val="single" w:sz="4" w:space="0" w:color="auto"/>
              <w:right w:val="single" w:sz="4" w:space="0" w:color="auto"/>
            </w:tcBorders>
            <w:vAlign w:val="center"/>
            <w:hideMark/>
          </w:tcPr>
          <w:p w14:paraId="3B27EBBD" w14:textId="77777777" w:rsidR="00370535" w:rsidRPr="00370535" w:rsidRDefault="00370535" w:rsidP="00370535">
            <w:pPr>
              <w:rPr>
                <w:rFonts w:cs="Arial"/>
              </w:rPr>
            </w:pPr>
            <w:r w:rsidRPr="00370535">
              <w:rPr>
                <w:rFonts w:cs="Arial"/>
              </w:rPr>
              <w:t>All cancers</w:t>
            </w:r>
          </w:p>
        </w:tc>
        <w:tc>
          <w:tcPr>
            <w:tcW w:w="1701" w:type="dxa"/>
            <w:tcBorders>
              <w:top w:val="single" w:sz="4" w:space="0" w:color="auto"/>
              <w:left w:val="single" w:sz="4" w:space="0" w:color="auto"/>
              <w:bottom w:val="single" w:sz="4" w:space="0" w:color="auto"/>
              <w:right w:val="single" w:sz="4" w:space="0" w:color="auto"/>
            </w:tcBorders>
            <w:vAlign w:val="center"/>
            <w:hideMark/>
          </w:tcPr>
          <w:p w14:paraId="058B92B2" w14:textId="77777777" w:rsidR="00370535" w:rsidRPr="00370535" w:rsidRDefault="00370535" w:rsidP="00370535">
            <w:pPr>
              <w:rPr>
                <w:rFonts w:cs="Arial"/>
              </w:rPr>
            </w:pPr>
            <w:r w:rsidRPr="00370535">
              <w:rPr>
                <w:rFonts w:cs="Arial"/>
              </w:rPr>
              <w:t>229.5 - 315.4</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68772C1" w14:textId="77777777" w:rsidR="00370535" w:rsidRPr="00370535" w:rsidRDefault="00370535" w:rsidP="00370535">
            <w:pPr>
              <w:rPr>
                <w:rFonts w:cs="Arial"/>
              </w:rPr>
            </w:pPr>
            <w:r w:rsidRPr="00370535">
              <w:rPr>
                <w:rFonts w:cs="Arial"/>
              </w:rPr>
              <w:t>Sixth</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54A49E1" w14:textId="77777777" w:rsidR="00370535" w:rsidRPr="00370535" w:rsidRDefault="00370535" w:rsidP="00370535">
            <w:pPr>
              <w:rPr>
                <w:rFonts w:cs="Arial"/>
              </w:rPr>
            </w:pPr>
            <w:r w:rsidRPr="00370535">
              <w:rPr>
                <w:rFonts w:cs="Arial"/>
              </w:rPr>
              <w:t>17th</w:t>
            </w:r>
          </w:p>
        </w:tc>
        <w:tc>
          <w:tcPr>
            <w:tcW w:w="1984" w:type="dxa"/>
            <w:tcBorders>
              <w:top w:val="single" w:sz="4" w:space="0" w:color="auto"/>
              <w:left w:val="single" w:sz="4" w:space="0" w:color="auto"/>
              <w:bottom w:val="single" w:sz="4" w:space="0" w:color="auto"/>
              <w:right w:val="single" w:sz="4" w:space="0" w:color="auto"/>
            </w:tcBorders>
            <w:vAlign w:val="center"/>
            <w:hideMark/>
          </w:tcPr>
          <w:p w14:paraId="2E010891" w14:textId="77777777" w:rsidR="00370535" w:rsidRPr="00370535" w:rsidRDefault="00370535" w:rsidP="00370535">
            <w:pPr>
              <w:rPr>
                <w:rFonts w:cs="Arial"/>
              </w:rPr>
            </w:pPr>
            <w:r w:rsidRPr="00370535">
              <w:rPr>
                <w:rFonts w:cs="Arial"/>
              </w:rPr>
              <w:t>Vale of Glamorgan</w:t>
            </w:r>
          </w:p>
        </w:tc>
        <w:tc>
          <w:tcPr>
            <w:tcW w:w="2127" w:type="dxa"/>
            <w:tcBorders>
              <w:top w:val="single" w:sz="4" w:space="0" w:color="auto"/>
              <w:left w:val="single" w:sz="4" w:space="0" w:color="auto"/>
              <w:bottom w:val="single" w:sz="4" w:space="0" w:color="auto"/>
              <w:right w:val="single" w:sz="4" w:space="0" w:color="auto"/>
            </w:tcBorders>
            <w:vAlign w:val="center"/>
            <w:hideMark/>
          </w:tcPr>
          <w:p w14:paraId="78B2759E" w14:textId="77777777" w:rsidR="00370535" w:rsidRPr="00370535" w:rsidRDefault="00370535" w:rsidP="00370535">
            <w:pPr>
              <w:rPr>
                <w:rFonts w:cs="Arial"/>
              </w:rPr>
            </w:pPr>
            <w:r w:rsidRPr="00370535">
              <w:rPr>
                <w:rFonts w:cs="Arial"/>
              </w:rPr>
              <w:t>Blaenau Gwent</w:t>
            </w:r>
          </w:p>
        </w:tc>
      </w:tr>
      <w:tr w:rsidR="00370535" w:rsidRPr="00370535" w14:paraId="326BA142" w14:textId="77777777" w:rsidTr="00370535">
        <w:tc>
          <w:tcPr>
            <w:tcW w:w="1413" w:type="dxa"/>
            <w:tcBorders>
              <w:top w:val="single" w:sz="4" w:space="0" w:color="auto"/>
              <w:left w:val="single" w:sz="4" w:space="0" w:color="auto"/>
              <w:bottom w:val="single" w:sz="4" w:space="0" w:color="auto"/>
              <w:right w:val="single" w:sz="4" w:space="0" w:color="auto"/>
            </w:tcBorders>
            <w:vAlign w:val="center"/>
            <w:hideMark/>
          </w:tcPr>
          <w:p w14:paraId="3913B6B9" w14:textId="77777777" w:rsidR="00370535" w:rsidRPr="00370535" w:rsidRDefault="00370535" w:rsidP="00370535">
            <w:pPr>
              <w:rPr>
                <w:rFonts w:cs="Arial"/>
              </w:rPr>
            </w:pPr>
            <w:r w:rsidRPr="00370535">
              <w:rPr>
                <w:rFonts w:cs="Arial"/>
              </w:rPr>
              <w:t>All cancers (aged under 75 years)</w:t>
            </w:r>
          </w:p>
        </w:tc>
        <w:tc>
          <w:tcPr>
            <w:tcW w:w="1701" w:type="dxa"/>
            <w:tcBorders>
              <w:top w:val="single" w:sz="4" w:space="0" w:color="auto"/>
              <w:left w:val="single" w:sz="4" w:space="0" w:color="auto"/>
              <w:bottom w:val="single" w:sz="4" w:space="0" w:color="auto"/>
              <w:right w:val="single" w:sz="4" w:space="0" w:color="auto"/>
            </w:tcBorders>
            <w:vAlign w:val="center"/>
            <w:hideMark/>
          </w:tcPr>
          <w:p w14:paraId="4455B757" w14:textId="77777777" w:rsidR="00370535" w:rsidRPr="00370535" w:rsidRDefault="00370535" w:rsidP="00370535">
            <w:pPr>
              <w:rPr>
                <w:rFonts w:cs="Arial"/>
              </w:rPr>
            </w:pPr>
            <w:r w:rsidRPr="00370535">
              <w:rPr>
                <w:rFonts w:cs="Arial"/>
              </w:rPr>
              <w:t>104.0 – 155.1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767602B" w14:textId="77777777" w:rsidR="00370535" w:rsidRPr="00370535" w:rsidRDefault="00370535" w:rsidP="00370535">
            <w:pPr>
              <w:rPr>
                <w:rFonts w:cs="Arial"/>
              </w:rPr>
            </w:pPr>
            <w:r w:rsidRPr="00370535">
              <w:rPr>
                <w:rFonts w:cs="Arial"/>
              </w:rPr>
              <w:t>11th</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3E12A1D" w14:textId="77777777" w:rsidR="00370535" w:rsidRPr="00370535" w:rsidRDefault="00370535" w:rsidP="00370535">
            <w:pPr>
              <w:rPr>
                <w:rFonts w:cs="Arial"/>
              </w:rPr>
            </w:pPr>
            <w:r w:rsidRPr="00370535">
              <w:rPr>
                <w:rFonts w:cs="Arial"/>
              </w:rPr>
              <w:t>12th</w:t>
            </w:r>
          </w:p>
        </w:tc>
        <w:tc>
          <w:tcPr>
            <w:tcW w:w="1984" w:type="dxa"/>
            <w:tcBorders>
              <w:top w:val="single" w:sz="4" w:space="0" w:color="auto"/>
              <w:left w:val="single" w:sz="4" w:space="0" w:color="auto"/>
              <w:bottom w:val="single" w:sz="4" w:space="0" w:color="auto"/>
              <w:right w:val="single" w:sz="4" w:space="0" w:color="auto"/>
            </w:tcBorders>
            <w:vAlign w:val="center"/>
            <w:hideMark/>
          </w:tcPr>
          <w:p w14:paraId="301961DE" w14:textId="77777777" w:rsidR="00370535" w:rsidRPr="00370535" w:rsidRDefault="00370535" w:rsidP="00370535">
            <w:pPr>
              <w:rPr>
                <w:rFonts w:cs="Arial"/>
              </w:rPr>
            </w:pPr>
            <w:r w:rsidRPr="00370535">
              <w:rPr>
                <w:rFonts w:cs="Arial"/>
              </w:rPr>
              <w:t>Monmouthshire</w:t>
            </w:r>
          </w:p>
        </w:tc>
        <w:tc>
          <w:tcPr>
            <w:tcW w:w="2127" w:type="dxa"/>
            <w:tcBorders>
              <w:top w:val="single" w:sz="4" w:space="0" w:color="auto"/>
              <w:left w:val="single" w:sz="4" w:space="0" w:color="auto"/>
              <w:bottom w:val="single" w:sz="4" w:space="0" w:color="auto"/>
              <w:right w:val="single" w:sz="4" w:space="0" w:color="auto"/>
            </w:tcBorders>
            <w:vAlign w:val="center"/>
            <w:hideMark/>
          </w:tcPr>
          <w:p w14:paraId="58CC587D" w14:textId="77777777" w:rsidR="00370535" w:rsidRPr="00370535" w:rsidRDefault="00370535" w:rsidP="00370535">
            <w:pPr>
              <w:rPr>
                <w:rFonts w:cs="Arial"/>
              </w:rPr>
            </w:pPr>
            <w:r w:rsidRPr="00370535">
              <w:rPr>
                <w:rFonts w:cs="Arial"/>
              </w:rPr>
              <w:t>Blaenau Gwent</w:t>
            </w:r>
          </w:p>
        </w:tc>
      </w:tr>
      <w:tr w:rsidR="00370535" w:rsidRPr="00370535" w14:paraId="59FF2E53" w14:textId="77777777" w:rsidTr="00370535">
        <w:tc>
          <w:tcPr>
            <w:tcW w:w="1413" w:type="dxa"/>
            <w:tcBorders>
              <w:top w:val="single" w:sz="4" w:space="0" w:color="auto"/>
              <w:left w:val="single" w:sz="4" w:space="0" w:color="auto"/>
              <w:bottom w:val="single" w:sz="4" w:space="0" w:color="auto"/>
              <w:right w:val="single" w:sz="4" w:space="0" w:color="auto"/>
            </w:tcBorders>
            <w:vAlign w:val="center"/>
            <w:hideMark/>
          </w:tcPr>
          <w:p w14:paraId="66161F64" w14:textId="77777777" w:rsidR="00370535" w:rsidRPr="00370535" w:rsidRDefault="00370535" w:rsidP="00370535">
            <w:pPr>
              <w:rPr>
                <w:rFonts w:cs="Arial"/>
              </w:rPr>
            </w:pPr>
            <w:r w:rsidRPr="00370535">
              <w:rPr>
                <w:rFonts w:cs="Arial"/>
              </w:rPr>
              <w:t>Colorectal cancer</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9BF24ED" w14:textId="77777777" w:rsidR="00370535" w:rsidRPr="00370535" w:rsidRDefault="00370535" w:rsidP="00370535">
            <w:pPr>
              <w:rPr>
                <w:rFonts w:cs="Arial"/>
              </w:rPr>
            </w:pPr>
            <w:r w:rsidRPr="00370535">
              <w:rPr>
                <w:rFonts w:cs="Arial"/>
              </w:rPr>
              <w:t>23.3 – 37.9</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4F8A3FD" w14:textId="77777777" w:rsidR="00370535" w:rsidRPr="00370535" w:rsidRDefault="00370535" w:rsidP="00370535">
            <w:pPr>
              <w:rPr>
                <w:rFonts w:cs="Arial"/>
              </w:rPr>
            </w:pPr>
            <w:r w:rsidRPr="00370535">
              <w:rPr>
                <w:rFonts w:cs="Arial"/>
              </w:rPr>
              <w:t>First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1B7FF8B" w14:textId="77777777" w:rsidR="00370535" w:rsidRPr="00370535" w:rsidRDefault="00370535" w:rsidP="00370535">
            <w:pPr>
              <w:rPr>
                <w:rFonts w:cs="Arial"/>
              </w:rPr>
            </w:pPr>
            <w:r w:rsidRPr="00370535">
              <w:rPr>
                <w:rFonts w:cs="Arial"/>
              </w:rPr>
              <w:t>Fifth</w:t>
            </w:r>
          </w:p>
        </w:tc>
        <w:tc>
          <w:tcPr>
            <w:tcW w:w="1984" w:type="dxa"/>
            <w:tcBorders>
              <w:top w:val="single" w:sz="4" w:space="0" w:color="auto"/>
              <w:left w:val="single" w:sz="4" w:space="0" w:color="auto"/>
              <w:bottom w:val="single" w:sz="4" w:space="0" w:color="auto"/>
              <w:right w:val="single" w:sz="4" w:space="0" w:color="auto"/>
            </w:tcBorders>
            <w:vAlign w:val="center"/>
            <w:hideMark/>
          </w:tcPr>
          <w:p w14:paraId="4AD36125" w14:textId="77777777" w:rsidR="00370535" w:rsidRPr="00370535" w:rsidRDefault="00370535" w:rsidP="00370535">
            <w:pPr>
              <w:rPr>
                <w:rFonts w:cs="Arial"/>
              </w:rPr>
            </w:pPr>
            <w:r w:rsidRPr="00370535">
              <w:rPr>
                <w:rFonts w:cs="Arial"/>
              </w:rPr>
              <w:t>Swansea</w:t>
            </w:r>
          </w:p>
        </w:tc>
        <w:tc>
          <w:tcPr>
            <w:tcW w:w="2127" w:type="dxa"/>
            <w:tcBorders>
              <w:top w:val="single" w:sz="4" w:space="0" w:color="auto"/>
              <w:left w:val="single" w:sz="4" w:space="0" w:color="auto"/>
              <w:bottom w:val="single" w:sz="4" w:space="0" w:color="auto"/>
              <w:right w:val="single" w:sz="4" w:space="0" w:color="auto"/>
            </w:tcBorders>
            <w:vAlign w:val="center"/>
            <w:hideMark/>
          </w:tcPr>
          <w:p w14:paraId="2A42A6A1" w14:textId="77777777" w:rsidR="00370535" w:rsidRPr="00370535" w:rsidRDefault="00370535" w:rsidP="00370535">
            <w:pPr>
              <w:rPr>
                <w:rFonts w:cs="Arial"/>
              </w:rPr>
            </w:pPr>
            <w:r w:rsidRPr="00370535">
              <w:rPr>
                <w:rFonts w:cs="Arial"/>
              </w:rPr>
              <w:t>Blaenau Gwent</w:t>
            </w:r>
          </w:p>
        </w:tc>
      </w:tr>
      <w:tr w:rsidR="00370535" w:rsidRPr="00370535" w14:paraId="62F3A3FB" w14:textId="77777777" w:rsidTr="00370535">
        <w:tc>
          <w:tcPr>
            <w:tcW w:w="1413" w:type="dxa"/>
            <w:tcBorders>
              <w:top w:val="single" w:sz="4" w:space="0" w:color="auto"/>
              <w:left w:val="single" w:sz="4" w:space="0" w:color="auto"/>
              <w:bottom w:val="single" w:sz="4" w:space="0" w:color="auto"/>
              <w:right w:val="single" w:sz="4" w:space="0" w:color="auto"/>
            </w:tcBorders>
            <w:vAlign w:val="center"/>
            <w:hideMark/>
          </w:tcPr>
          <w:p w14:paraId="2DA11D11" w14:textId="77777777" w:rsidR="00370535" w:rsidRPr="00370535" w:rsidRDefault="00370535" w:rsidP="00370535">
            <w:pPr>
              <w:rPr>
                <w:rFonts w:cs="Arial"/>
              </w:rPr>
            </w:pPr>
            <w:r w:rsidRPr="00370535">
              <w:rPr>
                <w:rFonts w:cs="Arial"/>
              </w:rPr>
              <w:t>Female breast cancer</w:t>
            </w:r>
          </w:p>
        </w:tc>
        <w:tc>
          <w:tcPr>
            <w:tcW w:w="1701" w:type="dxa"/>
            <w:tcBorders>
              <w:top w:val="single" w:sz="4" w:space="0" w:color="auto"/>
              <w:left w:val="single" w:sz="4" w:space="0" w:color="auto"/>
              <w:bottom w:val="single" w:sz="4" w:space="0" w:color="auto"/>
              <w:right w:val="single" w:sz="4" w:space="0" w:color="auto"/>
            </w:tcBorders>
            <w:vAlign w:val="center"/>
            <w:hideMark/>
          </w:tcPr>
          <w:p w14:paraId="18E4D2C5" w14:textId="77777777" w:rsidR="00370535" w:rsidRPr="00370535" w:rsidRDefault="00370535" w:rsidP="00370535">
            <w:pPr>
              <w:rPr>
                <w:rFonts w:cs="Arial"/>
              </w:rPr>
            </w:pPr>
            <w:r w:rsidRPr="00370535">
              <w:rPr>
                <w:rFonts w:cs="Arial"/>
              </w:rPr>
              <w:t>23.3 – 36.9</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D768EE2" w14:textId="77777777" w:rsidR="00370535" w:rsidRPr="00370535" w:rsidRDefault="00370535" w:rsidP="00370535">
            <w:pPr>
              <w:rPr>
                <w:rFonts w:cs="Arial"/>
              </w:rPr>
            </w:pPr>
            <w:r w:rsidRPr="00370535">
              <w:rPr>
                <w:rFonts w:cs="Arial"/>
              </w:rPr>
              <w:t>Second</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8543A3B" w14:textId="77777777" w:rsidR="00370535" w:rsidRPr="00370535" w:rsidRDefault="00370535" w:rsidP="00370535">
            <w:pPr>
              <w:rPr>
                <w:rFonts w:cs="Arial"/>
              </w:rPr>
            </w:pPr>
            <w:r w:rsidRPr="00370535">
              <w:rPr>
                <w:rFonts w:cs="Arial"/>
              </w:rPr>
              <w:t>20th</w:t>
            </w:r>
          </w:p>
        </w:tc>
        <w:tc>
          <w:tcPr>
            <w:tcW w:w="1984" w:type="dxa"/>
            <w:tcBorders>
              <w:top w:val="single" w:sz="4" w:space="0" w:color="auto"/>
              <w:left w:val="single" w:sz="4" w:space="0" w:color="auto"/>
              <w:bottom w:val="single" w:sz="4" w:space="0" w:color="auto"/>
              <w:right w:val="single" w:sz="4" w:space="0" w:color="auto"/>
            </w:tcBorders>
            <w:vAlign w:val="center"/>
            <w:hideMark/>
          </w:tcPr>
          <w:p w14:paraId="024AEA3D" w14:textId="77777777" w:rsidR="00370535" w:rsidRPr="00370535" w:rsidRDefault="00370535" w:rsidP="00370535">
            <w:pPr>
              <w:rPr>
                <w:rFonts w:cs="Arial"/>
              </w:rPr>
            </w:pPr>
            <w:r w:rsidRPr="00370535">
              <w:rPr>
                <w:rFonts w:cs="Arial"/>
              </w:rPr>
              <w:t>Isle of Anglesey</w:t>
            </w:r>
          </w:p>
        </w:tc>
        <w:tc>
          <w:tcPr>
            <w:tcW w:w="2127" w:type="dxa"/>
            <w:tcBorders>
              <w:top w:val="single" w:sz="4" w:space="0" w:color="auto"/>
              <w:left w:val="single" w:sz="4" w:space="0" w:color="auto"/>
              <w:bottom w:val="single" w:sz="4" w:space="0" w:color="auto"/>
              <w:right w:val="single" w:sz="4" w:space="0" w:color="auto"/>
            </w:tcBorders>
            <w:vAlign w:val="center"/>
            <w:hideMark/>
          </w:tcPr>
          <w:p w14:paraId="0F08E2DB" w14:textId="77777777" w:rsidR="00370535" w:rsidRPr="00370535" w:rsidRDefault="00370535" w:rsidP="00370535">
            <w:pPr>
              <w:rPr>
                <w:rFonts w:cs="Arial"/>
              </w:rPr>
            </w:pPr>
            <w:r w:rsidRPr="00370535">
              <w:rPr>
                <w:rFonts w:cs="Arial"/>
              </w:rPr>
              <w:t>Wrexham</w:t>
            </w:r>
          </w:p>
        </w:tc>
      </w:tr>
      <w:tr w:rsidR="00370535" w:rsidRPr="00370535" w14:paraId="0F6D047E" w14:textId="77777777" w:rsidTr="00370535">
        <w:tc>
          <w:tcPr>
            <w:tcW w:w="1413" w:type="dxa"/>
            <w:tcBorders>
              <w:top w:val="single" w:sz="4" w:space="0" w:color="auto"/>
              <w:left w:val="single" w:sz="4" w:space="0" w:color="auto"/>
              <w:bottom w:val="single" w:sz="4" w:space="0" w:color="auto"/>
              <w:right w:val="single" w:sz="4" w:space="0" w:color="auto"/>
            </w:tcBorders>
            <w:vAlign w:val="center"/>
            <w:hideMark/>
          </w:tcPr>
          <w:p w14:paraId="37E6BC69" w14:textId="77777777" w:rsidR="00370535" w:rsidRPr="00370535" w:rsidRDefault="00370535" w:rsidP="00370535">
            <w:pPr>
              <w:rPr>
                <w:rFonts w:cs="Arial"/>
              </w:rPr>
            </w:pPr>
            <w:r w:rsidRPr="00370535">
              <w:rPr>
                <w:rFonts w:cs="Arial"/>
              </w:rPr>
              <w:t>Prostate cancer</w:t>
            </w:r>
          </w:p>
        </w:tc>
        <w:tc>
          <w:tcPr>
            <w:tcW w:w="1701" w:type="dxa"/>
            <w:tcBorders>
              <w:top w:val="single" w:sz="4" w:space="0" w:color="auto"/>
              <w:left w:val="single" w:sz="4" w:space="0" w:color="auto"/>
              <w:bottom w:val="single" w:sz="4" w:space="0" w:color="auto"/>
              <w:right w:val="single" w:sz="4" w:space="0" w:color="auto"/>
            </w:tcBorders>
            <w:vAlign w:val="center"/>
            <w:hideMark/>
          </w:tcPr>
          <w:p w14:paraId="29D6D506" w14:textId="77777777" w:rsidR="00370535" w:rsidRPr="00370535" w:rsidRDefault="00370535" w:rsidP="00370535">
            <w:pPr>
              <w:rPr>
                <w:rFonts w:cs="Arial"/>
              </w:rPr>
            </w:pPr>
            <w:r w:rsidRPr="00370535">
              <w:rPr>
                <w:rFonts w:cs="Arial"/>
              </w:rPr>
              <w:t>29.5 – 61.0</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1B70898" w14:textId="77777777" w:rsidR="00370535" w:rsidRPr="00370535" w:rsidRDefault="00370535" w:rsidP="00370535">
            <w:pPr>
              <w:rPr>
                <w:rFonts w:cs="Arial"/>
              </w:rPr>
            </w:pPr>
            <w:r w:rsidRPr="00370535">
              <w:rPr>
                <w:rFonts w:cs="Arial"/>
              </w:rPr>
              <w:t>15th</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5D178A6" w14:textId="77777777" w:rsidR="00370535" w:rsidRPr="00370535" w:rsidRDefault="00370535" w:rsidP="00370535">
            <w:pPr>
              <w:rPr>
                <w:rFonts w:cs="Arial"/>
              </w:rPr>
            </w:pPr>
            <w:r w:rsidRPr="00370535">
              <w:rPr>
                <w:rFonts w:cs="Arial"/>
              </w:rPr>
              <w:t>14th</w:t>
            </w:r>
          </w:p>
        </w:tc>
        <w:tc>
          <w:tcPr>
            <w:tcW w:w="1984" w:type="dxa"/>
            <w:tcBorders>
              <w:top w:val="single" w:sz="4" w:space="0" w:color="auto"/>
              <w:left w:val="single" w:sz="4" w:space="0" w:color="auto"/>
              <w:bottom w:val="single" w:sz="4" w:space="0" w:color="auto"/>
              <w:right w:val="single" w:sz="4" w:space="0" w:color="auto"/>
            </w:tcBorders>
            <w:vAlign w:val="center"/>
            <w:hideMark/>
          </w:tcPr>
          <w:p w14:paraId="600E5271" w14:textId="77777777" w:rsidR="00370535" w:rsidRPr="00370535" w:rsidRDefault="00370535" w:rsidP="00370535">
            <w:pPr>
              <w:rPr>
                <w:rFonts w:cs="Arial"/>
              </w:rPr>
            </w:pPr>
            <w:r w:rsidRPr="00370535">
              <w:rPr>
                <w:rFonts w:cs="Arial"/>
              </w:rPr>
              <w:t>Cardiff</w:t>
            </w:r>
          </w:p>
        </w:tc>
        <w:tc>
          <w:tcPr>
            <w:tcW w:w="2127" w:type="dxa"/>
            <w:tcBorders>
              <w:top w:val="single" w:sz="4" w:space="0" w:color="auto"/>
              <w:left w:val="single" w:sz="4" w:space="0" w:color="auto"/>
              <w:bottom w:val="single" w:sz="4" w:space="0" w:color="auto"/>
              <w:right w:val="single" w:sz="4" w:space="0" w:color="auto"/>
            </w:tcBorders>
            <w:vAlign w:val="center"/>
            <w:hideMark/>
          </w:tcPr>
          <w:p w14:paraId="207DA699" w14:textId="77777777" w:rsidR="00370535" w:rsidRPr="00370535" w:rsidRDefault="00370535" w:rsidP="00370535">
            <w:pPr>
              <w:rPr>
                <w:rFonts w:cs="Arial"/>
              </w:rPr>
            </w:pPr>
            <w:r w:rsidRPr="00370535">
              <w:rPr>
                <w:rFonts w:cs="Arial"/>
              </w:rPr>
              <w:t>Carmarthenshire</w:t>
            </w:r>
          </w:p>
        </w:tc>
      </w:tr>
      <w:tr w:rsidR="00370535" w:rsidRPr="00370535" w14:paraId="05A89AA6" w14:textId="77777777" w:rsidTr="00370535">
        <w:tc>
          <w:tcPr>
            <w:tcW w:w="1413" w:type="dxa"/>
            <w:tcBorders>
              <w:top w:val="single" w:sz="4" w:space="0" w:color="auto"/>
              <w:left w:val="single" w:sz="4" w:space="0" w:color="auto"/>
              <w:bottom w:val="single" w:sz="4" w:space="0" w:color="auto"/>
              <w:right w:val="single" w:sz="4" w:space="0" w:color="auto"/>
            </w:tcBorders>
            <w:vAlign w:val="center"/>
            <w:hideMark/>
          </w:tcPr>
          <w:p w14:paraId="6451FF22" w14:textId="77777777" w:rsidR="00370535" w:rsidRPr="00370535" w:rsidRDefault="00370535" w:rsidP="00370535">
            <w:pPr>
              <w:rPr>
                <w:rFonts w:cs="Arial"/>
              </w:rPr>
            </w:pPr>
            <w:r w:rsidRPr="00370535">
              <w:rPr>
                <w:rFonts w:cs="Arial"/>
              </w:rPr>
              <w:t>Trachea, bronchus and lung cancer</w:t>
            </w:r>
          </w:p>
        </w:tc>
        <w:tc>
          <w:tcPr>
            <w:tcW w:w="1701" w:type="dxa"/>
            <w:tcBorders>
              <w:top w:val="single" w:sz="4" w:space="0" w:color="auto"/>
              <w:left w:val="single" w:sz="4" w:space="0" w:color="auto"/>
              <w:bottom w:val="single" w:sz="4" w:space="0" w:color="auto"/>
              <w:right w:val="single" w:sz="4" w:space="0" w:color="auto"/>
            </w:tcBorders>
            <w:vAlign w:val="center"/>
            <w:hideMark/>
          </w:tcPr>
          <w:p w14:paraId="38B59F62" w14:textId="77777777" w:rsidR="00370535" w:rsidRPr="00370535" w:rsidRDefault="00370535" w:rsidP="00370535">
            <w:pPr>
              <w:rPr>
                <w:rFonts w:cs="Arial"/>
              </w:rPr>
            </w:pPr>
            <w:r w:rsidRPr="00370535">
              <w:rPr>
                <w:rFonts w:cs="Arial"/>
              </w:rPr>
              <w:t>38.2 – 65.7</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AB038E3" w14:textId="77777777" w:rsidR="00370535" w:rsidRPr="00370535" w:rsidRDefault="00370535" w:rsidP="00370535">
            <w:pPr>
              <w:rPr>
                <w:rFonts w:cs="Arial"/>
              </w:rPr>
            </w:pPr>
            <w:r w:rsidRPr="00370535">
              <w:rPr>
                <w:rFonts w:cs="Arial"/>
              </w:rPr>
              <w:t>13th</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5831E7A" w14:textId="77777777" w:rsidR="00370535" w:rsidRPr="00370535" w:rsidRDefault="00370535" w:rsidP="00370535">
            <w:pPr>
              <w:rPr>
                <w:rFonts w:cs="Arial"/>
              </w:rPr>
            </w:pPr>
            <w:r w:rsidRPr="00370535">
              <w:rPr>
                <w:rFonts w:cs="Arial"/>
              </w:rPr>
              <w:t>18th</w:t>
            </w:r>
          </w:p>
        </w:tc>
        <w:tc>
          <w:tcPr>
            <w:tcW w:w="1984" w:type="dxa"/>
            <w:tcBorders>
              <w:top w:val="single" w:sz="4" w:space="0" w:color="auto"/>
              <w:left w:val="single" w:sz="4" w:space="0" w:color="auto"/>
              <w:bottom w:val="single" w:sz="4" w:space="0" w:color="auto"/>
              <w:right w:val="single" w:sz="4" w:space="0" w:color="auto"/>
            </w:tcBorders>
            <w:vAlign w:val="center"/>
            <w:hideMark/>
          </w:tcPr>
          <w:p w14:paraId="52350922" w14:textId="77777777" w:rsidR="00370535" w:rsidRPr="00370535" w:rsidRDefault="00370535" w:rsidP="00370535">
            <w:pPr>
              <w:rPr>
                <w:rFonts w:cs="Arial"/>
              </w:rPr>
            </w:pPr>
            <w:r w:rsidRPr="00370535">
              <w:rPr>
                <w:rFonts w:cs="Arial"/>
              </w:rPr>
              <w:t>Monmouthshire</w:t>
            </w:r>
          </w:p>
        </w:tc>
        <w:tc>
          <w:tcPr>
            <w:tcW w:w="2127" w:type="dxa"/>
            <w:tcBorders>
              <w:top w:val="single" w:sz="4" w:space="0" w:color="auto"/>
              <w:left w:val="single" w:sz="4" w:space="0" w:color="auto"/>
              <w:bottom w:val="single" w:sz="4" w:space="0" w:color="auto"/>
              <w:right w:val="single" w:sz="4" w:space="0" w:color="auto"/>
            </w:tcBorders>
            <w:vAlign w:val="center"/>
            <w:hideMark/>
          </w:tcPr>
          <w:p w14:paraId="57AC3CE2" w14:textId="77777777" w:rsidR="00370535" w:rsidRPr="00370535" w:rsidRDefault="00370535" w:rsidP="00370535">
            <w:pPr>
              <w:rPr>
                <w:rFonts w:cs="Arial"/>
              </w:rPr>
            </w:pPr>
            <w:r w:rsidRPr="00370535">
              <w:rPr>
                <w:rFonts w:cs="Arial"/>
              </w:rPr>
              <w:t>Blaenau Gwent</w:t>
            </w:r>
          </w:p>
        </w:tc>
      </w:tr>
      <w:bookmarkEnd w:id="20"/>
    </w:tbl>
    <w:p w14:paraId="30417F0A" w14:textId="77777777" w:rsidR="00370535" w:rsidRPr="00370535" w:rsidRDefault="00370535" w:rsidP="00370535">
      <w:pPr>
        <w:rPr>
          <w:rFonts w:cs="Arial"/>
          <w:b/>
          <w:bCs/>
          <w:lang w:val="en-US"/>
        </w:rPr>
      </w:pPr>
    </w:p>
    <w:p w14:paraId="5BB366F7" w14:textId="77777777" w:rsidR="00370535" w:rsidRPr="00370535" w:rsidRDefault="00370535" w:rsidP="00370535">
      <w:pPr>
        <w:rPr>
          <w:rFonts w:cs="Arial"/>
          <w:b/>
          <w:bCs/>
          <w:lang w:val="en-US"/>
        </w:rPr>
      </w:pPr>
      <w:r w:rsidRPr="00370535">
        <w:rPr>
          <w:rFonts w:cs="Arial"/>
          <w:b/>
          <w:bCs/>
          <w:lang w:val="en-US"/>
        </w:rPr>
        <w:t>3.4.2 Screening</w:t>
      </w:r>
    </w:p>
    <w:p w14:paraId="0C8204C0" w14:textId="77777777" w:rsidR="00370535" w:rsidRPr="00370535" w:rsidRDefault="00370535" w:rsidP="00370535">
      <w:pPr>
        <w:rPr>
          <w:rFonts w:cs="Arial"/>
          <w:b/>
          <w:bCs/>
          <w:lang w:val="en-US"/>
        </w:rPr>
      </w:pPr>
    </w:p>
    <w:p w14:paraId="72FCE641" w14:textId="77777777" w:rsidR="00370535" w:rsidRPr="00370535" w:rsidRDefault="00370535" w:rsidP="00370535">
      <w:pPr>
        <w:rPr>
          <w:rFonts w:cs="Arial"/>
          <w:b/>
          <w:bCs/>
          <w:lang w:val="en-US"/>
        </w:rPr>
      </w:pPr>
      <w:r w:rsidRPr="00370535">
        <w:rPr>
          <w:rFonts w:cs="Arial"/>
          <w:b/>
          <w:bCs/>
          <w:lang w:val="en-US"/>
        </w:rPr>
        <w:t>Bowel screening</w:t>
      </w:r>
      <w:r w:rsidRPr="00370535">
        <w:rPr>
          <w:rFonts w:cs="Arial"/>
          <w:b/>
          <w:bCs/>
          <w:vertAlign w:val="superscript"/>
          <w:lang w:val="en-US"/>
        </w:rPr>
        <w:footnoteReference w:id="132"/>
      </w:r>
      <w:r w:rsidRPr="00370535">
        <w:rPr>
          <w:rFonts w:cs="Arial"/>
          <w:b/>
          <w:bCs/>
          <w:lang w:val="en-US"/>
        </w:rPr>
        <w:t xml:space="preserve"> </w:t>
      </w:r>
    </w:p>
    <w:p w14:paraId="6B1A47C4" w14:textId="77777777" w:rsidR="00370535" w:rsidRPr="00370535" w:rsidRDefault="00370535" w:rsidP="00370535">
      <w:pPr>
        <w:rPr>
          <w:rFonts w:cs="Arial"/>
          <w:lang w:val="en-US"/>
        </w:rPr>
      </w:pPr>
    </w:p>
    <w:p w14:paraId="6A4029A7" w14:textId="77777777" w:rsidR="00370535" w:rsidRPr="00D0306F" w:rsidRDefault="00370535" w:rsidP="00370535">
      <w:pPr>
        <w:rPr>
          <w:rFonts w:cs="Arial"/>
          <w:lang w:val="en-US"/>
        </w:rPr>
      </w:pPr>
      <w:r w:rsidRPr="00370535">
        <w:rPr>
          <w:rFonts w:cs="Arial"/>
          <w:lang w:val="en-US"/>
        </w:rPr>
        <w:t>The table below shows bowel screening uptake for the clusters, health board and Wales in 2023/24.</w:t>
      </w:r>
    </w:p>
    <w:p w14:paraId="18112B64" w14:textId="77777777" w:rsidR="00914B43" w:rsidRPr="00D0306F" w:rsidRDefault="00914B43" w:rsidP="00370535">
      <w:pPr>
        <w:rPr>
          <w:rFonts w:cs="Arial"/>
          <w:lang w:val="en-US"/>
        </w:rPr>
      </w:pPr>
    </w:p>
    <w:p w14:paraId="3A2E46D3" w14:textId="77777777" w:rsidR="00914B43" w:rsidRPr="00370535" w:rsidRDefault="00914B43" w:rsidP="00370535">
      <w:pPr>
        <w:rPr>
          <w:rFonts w:cs="Arial"/>
          <w:lang w:val="en-US"/>
        </w:rPr>
      </w:pPr>
    </w:p>
    <w:p w14:paraId="3A8AEAD2" w14:textId="77777777" w:rsidR="00370535" w:rsidRPr="00370535" w:rsidRDefault="00370535" w:rsidP="00370535">
      <w:pPr>
        <w:rPr>
          <w:rFonts w:cs="Arial"/>
          <w:lang w:val="en-US"/>
        </w:rPr>
      </w:pPr>
    </w:p>
    <w:p w14:paraId="7E5F5D7E" w14:textId="77777777" w:rsidR="00370535" w:rsidRPr="00370535" w:rsidRDefault="00370535" w:rsidP="00370535">
      <w:pPr>
        <w:rPr>
          <w:rFonts w:cs="Arial"/>
          <w:b/>
          <w:bCs/>
          <w:lang w:val="en-US"/>
        </w:rPr>
      </w:pPr>
      <w:r w:rsidRPr="00370535">
        <w:rPr>
          <w:rFonts w:cs="Arial"/>
          <w:b/>
          <w:bCs/>
          <w:lang w:val="en-US"/>
        </w:rPr>
        <w:lastRenderedPageBreak/>
        <w:t>Table 3.25: Bowel screening uptake at cluster, health board and all-Wales level for 2023/24</w:t>
      </w:r>
      <w:r w:rsidRPr="00370535">
        <w:rPr>
          <w:rFonts w:cs="Arial"/>
          <w:b/>
          <w:bCs/>
          <w:vertAlign w:val="superscript"/>
          <w:lang w:val="en-US"/>
        </w:rPr>
        <w:footnoteReference w:id="133"/>
      </w:r>
    </w:p>
    <w:p w14:paraId="2B92977F" w14:textId="77777777" w:rsidR="00370535" w:rsidRPr="00370535" w:rsidRDefault="00370535" w:rsidP="00370535">
      <w:pPr>
        <w:rPr>
          <w:rFonts w:cs="Arial"/>
          <w:lang w:val="en-US"/>
        </w:rPr>
      </w:pPr>
    </w:p>
    <w:tbl>
      <w:tblPr>
        <w:tblStyle w:val="TableGrid3"/>
        <w:tblW w:w="9075" w:type="dxa"/>
        <w:tblInd w:w="-5" w:type="dxa"/>
        <w:tblLayout w:type="fixed"/>
        <w:tblLook w:val="04A0" w:firstRow="1" w:lastRow="0" w:firstColumn="1" w:lastColumn="0" w:noHBand="0" w:noVBand="1"/>
      </w:tblPr>
      <w:tblGrid>
        <w:gridCol w:w="3403"/>
        <w:gridCol w:w="2978"/>
        <w:gridCol w:w="2694"/>
      </w:tblGrid>
      <w:tr w:rsidR="00370535" w:rsidRPr="00370535" w14:paraId="4A0E0F10" w14:textId="77777777" w:rsidTr="00370535">
        <w:tc>
          <w:tcPr>
            <w:tcW w:w="3402"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31CAAC31" w14:textId="77777777" w:rsidR="00370535" w:rsidRPr="00370535" w:rsidRDefault="00370535" w:rsidP="00370535">
            <w:pPr>
              <w:rPr>
                <w:rFonts w:cs="Arial"/>
                <w:b/>
              </w:rPr>
            </w:pPr>
            <w:r w:rsidRPr="00370535">
              <w:rPr>
                <w:rFonts w:cs="Arial"/>
                <w:b/>
                <w:bCs/>
              </w:rPr>
              <w:t>Area</w:t>
            </w:r>
          </w:p>
        </w:tc>
        <w:tc>
          <w:tcPr>
            <w:tcW w:w="2977"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473CB176" w14:textId="77777777" w:rsidR="00370535" w:rsidRPr="00370535" w:rsidRDefault="00370535" w:rsidP="00370535">
            <w:pPr>
              <w:rPr>
                <w:rFonts w:cs="Arial"/>
                <w:b/>
                <w:bCs/>
              </w:rPr>
            </w:pPr>
            <w:r w:rsidRPr="00370535">
              <w:rPr>
                <w:rFonts w:cs="Arial"/>
                <w:b/>
                <w:bCs/>
              </w:rPr>
              <w:t>Local authority</w:t>
            </w:r>
          </w:p>
        </w:tc>
        <w:tc>
          <w:tcPr>
            <w:tcW w:w="2693" w:type="dxa"/>
            <w:tcBorders>
              <w:top w:val="single" w:sz="4" w:space="0" w:color="auto"/>
              <w:left w:val="single" w:sz="4" w:space="0" w:color="auto"/>
              <w:bottom w:val="single" w:sz="4" w:space="0" w:color="auto"/>
              <w:right w:val="single" w:sz="4" w:space="0" w:color="auto"/>
            </w:tcBorders>
            <w:shd w:val="clear" w:color="auto" w:fill="153D63" w:themeFill="text2" w:themeFillTint="E6"/>
            <w:hideMark/>
          </w:tcPr>
          <w:p w14:paraId="7E70D7A7" w14:textId="77777777" w:rsidR="00370535" w:rsidRPr="00370535" w:rsidRDefault="00370535" w:rsidP="00914B43">
            <w:pPr>
              <w:jc w:val="center"/>
              <w:rPr>
                <w:rFonts w:cs="Arial"/>
                <w:b/>
                <w:bCs/>
              </w:rPr>
            </w:pPr>
            <w:r w:rsidRPr="00370535">
              <w:rPr>
                <w:rFonts w:cs="Arial"/>
                <w:b/>
                <w:bCs/>
              </w:rPr>
              <w:t>Bowel screening uptake</w:t>
            </w:r>
          </w:p>
        </w:tc>
      </w:tr>
      <w:tr w:rsidR="00370535" w:rsidRPr="00370535" w14:paraId="592B8536" w14:textId="77777777" w:rsidTr="00370535">
        <w:tc>
          <w:tcPr>
            <w:tcW w:w="3402" w:type="dxa"/>
            <w:tcBorders>
              <w:top w:val="single" w:sz="4" w:space="0" w:color="auto"/>
              <w:left w:val="single" w:sz="4" w:space="0" w:color="auto"/>
              <w:bottom w:val="single" w:sz="4" w:space="0" w:color="auto"/>
              <w:right w:val="single" w:sz="4" w:space="0" w:color="auto"/>
            </w:tcBorders>
            <w:hideMark/>
          </w:tcPr>
          <w:p w14:paraId="1864BA26" w14:textId="77777777" w:rsidR="00370535" w:rsidRPr="00370535" w:rsidRDefault="00370535" w:rsidP="00370535">
            <w:pPr>
              <w:rPr>
                <w:rFonts w:cs="Arial"/>
              </w:rPr>
            </w:pPr>
            <w:r w:rsidRPr="00370535">
              <w:rPr>
                <w:rFonts w:cs="Arial"/>
              </w:rPr>
              <w:t>Bay Health</w:t>
            </w:r>
          </w:p>
        </w:tc>
        <w:tc>
          <w:tcPr>
            <w:tcW w:w="2977" w:type="dxa"/>
            <w:tcBorders>
              <w:top w:val="single" w:sz="4" w:space="0" w:color="auto"/>
              <w:left w:val="single" w:sz="4" w:space="0" w:color="auto"/>
              <w:bottom w:val="single" w:sz="4" w:space="0" w:color="auto"/>
              <w:right w:val="single" w:sz="4" w:space="0" w:color="auto"/>
            </w:tcBorders>
            <w:hideMark/>
          </w:tcPr>
          <w:p w14:paraId="6B45F568" w14:textId="77777777" w:rsidR="00370535" w:rsidRPr="00370535" w:rsidRDefault="00370535" w:rsidP="00370535">
            <w:pPr>
              <w:rPr>
                <w:rFonts w:cs="Arial"/>
                <w:bCs/>
              </w:rPr>
            </w:pPr>
            <w:r w:rsidRPr="00370535">
              <w:rPr>
                <w:rFonts w:cs="Arial"/>
                <w:bCs/>
              </w:rPr>
              <w:t>Swansea</w:t>
            </w:r>
          </w:p>
        </w:tc>
        <w:tc>
          <w:tcPr>
            <w:tcW w:w="2693" w:type="dxa"/>
            <w:tcBorders>
              <w:top w:val="single" w:sz="4" w:space="0" w:color="auto"/>
              <w:left w:val="single" w:sz="4" w:space="0" w:color="auto"/>
              <w:bottom w:val="single" w:sz="4" w:space="0" w:color="auto"/>
              <w:right w:val="single" w:sz="4" w:space="0" w:color="auto"/>
            </w:tcBorders>
            <w:hideMark/>
          </w:tcPr>
          <w:p w14:paraId="75E47A0F" w14:textId="77777777" w:rsidR="00370535" w:rsidRPr="00370535" w:rsidRDefault="00370535" w:rsidP="00914B43">
            <w:pPr>
              <w:jc w:val="center"/>
              <w:rPr>
                <w:rFonts w:cs="Arial"/>
                <w:bCs/>
              </w:rPr>
            </w:pPr>
            <w:r w:rsidRPr="00370535">
              <w:rPr>
                <w:rFonts w:cs="Arial"/>
                <w:bCs/>
              </w:rPr>
              <w:t>68.7%</w:t>
            </w:r>
          </w:p>
        </w:tc>
      </w:tr>
      <w:tr w:rsidR="00370535" w:rsidRPr="00370535" w14:paraId="5BE11210" w14:textId="77777777" w:rsidTr="00370535">
        <w:tc>
          <w:tcPr>
            <w:tcW w:w="3402" w:type="dxa"/>
            <w:tcBorders>
              <w:top w:val="single" w:sz="4" w:space="0" w:color="auto"/>
              <w:left w:val="single" w:sz="4" w:space="0" w:color="auto"/>
              <w:bottom w:val="single" w:sz="4" w:space="0" w:color="auto"/>
              <w:right w:val="single" w:sz="4" w:space="0" w:color="auto"/>
            </w:tcBorders>
            <w:hideMark/>
          </w:tcPr>
          <w:p w14:paraId="75A25AE1" w14:textId="77777777" w:rsidR="00370535" w:rsidRPr="00370535" w:rsidRDefault="00370535" w:rsidP="00370535">
            <w:pPr>
              <w:rPr>
                <w:rFonts w:cs="Arial"/>
              </w:rPr>
            </w:pPr>
            <w:r w:rsidRPr="00370535">
              <w:rPr>
                <w:rFonts w:cs="Arial"/>
              </w:rPr>
              <w:t>City Health</w:t>
            </w:r>
          </w:p>
        </w:tc>
        <w:tc>
          <w:tcPr>
            <w:tcW w:w="2977" w:type="dxa"/>
            <w:tcBorders>
              <w:top w:val="single" w:sz="4" w:space="0" w:color="auto"/>
              <w:left w:val="single" w:sz="4" w:space="0" w:color="auto"/>
              <w:bottom w:val="single" w:sz="4" w:space="0" w:color="auto"/>
              <w:right w:val="single" w:sz="4" w:space="0" w:color="auto"/>
            </w:tcBorders>
            <w:hideMark/>
          </w:tcPr>
          <w:p w14:paraId="70856A03" w14:textId="77777777" w:rsidR="00370535" w:rsidRPr="00370535" w:rsidRDefault="00370535" w:rsidP="00370535">
            <w:pPr>
              <w:rPr>
                <w:rFonts w:cs="Arial"/>
                <w:bCs/>
              </w:rPr>
            </w:pPr>
            <w:r w:rsidRPr="00370535">
              <w:rPr>
                <w:rFonts w:cs="Arial"/>
                <w:bCs/>
              </w:rPr>
              <w:t>Swansea</w:t>
            </w:r>
          </w:p>
        </w:tc>
        <w:tc>
          <w:tcPr>
            <w:tcW w:w="2693" w:type="dxa"/>
            <w:tcBorders>
              <w:top w:val="single" w:sz="4" w:space="0" w:color="auto"/>
              <w:left w:val="single" w:sz="4" w:space="0" w:color="auto"/>
              <w:bottom w:val="single" w:sz="4" w:space="0" w:color="auto"/>
              <w:right w:val="single" w:sz="4" w:space="0" w:color="auto"/>
            </w:tcBorders>
            <w:hideMark/>
          </w:tcPr>
          <w:p w14:paraId="4940F418" w14:textId="77777777" w:rsidR="00370535" w:rsidRPr="00370535" w:rsidRDefault="00370535" w:rsidP="00914B43">
            <w:pPr>
              <w:jc w:val="center"/>
              <w:rPr>
                <w:rFonts w:cs="Arial"/>
                <w:bCs/>
              </w:rPr>
            </w:pPr>
            <w:r w:rsidRPr="00370535">
              <w:rPr>
                <w:rFonts w:cs="Arial"/>
                <w:bCs/>
              </w:rPr>
              <w:t>55.5%</w:t>
            </w:r>
          </w:p>
        </w:tc>
      </w:tr>
      <w:tr w:rsidR="00370535" w:rsidRPr="00370535" w14:paraId="26D8C84E" w14:textId="77777777" w:rsidTr="00370535">
        <w:tc>
          <w:tcPr>
            <w:tcW w:w="3402" w:type="dxa"/>
            <w:tcBorders>
              <w:top w:val="single" w:sz="4" w:space="0" w:color="auto"/>
              <w:left w:val="single" w:sz="4" w:space="0" w:color="auto"/>
              <w:bottom w:val="single" w:sz="4" w:space="0" w:color="auto"/>
              <w:right w:val="single" w:sz="4" w:space="0" w:color="auto"/>
            </w:tcBorders>
            <w:hideMark/>
          </w:tcPr>
          <w:p w14:paraId="647EC561" w14:textId="77777777" w:rsidR="00370535" w:rsidRPr="00370535" w:rsidRDefault="00370535" w:rsidP="00370535">
            <w:pPr>
              <w:rPr>
                <w:rFonts w:cs="Arial"/>
              </w:rPr>
            </w:pPr>
            <w:r w:rsidRPr="00370535">
              <w:rPr>
                <w:rFonts w:cs="Arial"/>
              </w:rPr>
              <w:t>Cwmtawe</w:t>
            </w:r>
          </w:p>
        </w:tc>
        <w:tc>
          <w:tcPr>
            <w:tcW w:w="2977" w:type="dxa"/>
            <w:tcBorders>
              <w:top w:val="single" w:sz="4" w:space="0" w:color="auto"/>
              <w:left w:val="single" w:sz="4" w:space="0" w:color="auto"/>
              <w:bottom w:val="single" w:sz="4" w:space="0" w:color="auto"/>
              <w:right w:val="single" w:sz="4" w:space="0" w:color="auto"/>
            </w:tcBorders>
            <w:hideMark/>
          </w:tcPr>
          <w:p w14:paraId="6E6704B5" w14:textId="77777777" w:rsidR="00370535" w:rsidRPr="00370535" w:rsidRDefault="00370535" w:rsidP="00370535">
            <w:pPr>
              <w:rPr>
                <w:rFonts w:cs="Arial"/>
                <w:bCs/>
              </w:rPr>
            </w:pPr>
            <w:r w:rsidRPr="00370535">
              <w:rPr>
                <w:rFonts w:cs="Arial"/>
                <w:bCs/>
              </w:rPr>
              <w:t>Swansea</w:t>
            </w:r>
          </w:p>
        </w:tc>
        <w:tc>
          <w:tcPr>
            <w:tcW w:w="2693" w:type="dxa"/>
            <w:tcBorders>
              <w:top w:val="single" w:sz="4" w:space="0" w:color="auto"/>
              <w:left w:val="single" w:sz="4" w:space="0" w:color="auto"/>
              <w:bottom w:val="single" w:sz="4" w:space="0" w:color="auto"/>
              <w:right w:val="single" w:sz="4" w:space="0" w:color="auto"/>
            </w:tcBorders>
            <w:hideMark/>
          </w:tcPr>
          <w:p w14:paraId="012C983B" w14:textId="77777777" w:rsidR="00370535" w:rsidRPr="00370535" w:rsidRDefault="00370535" w:rsidP="00914B43">
            <w:pPr>
              <w:jc w:val="center"/>
              <w:rPr>
                <w:rFonts w:cs="Arial"/>
                <w:bCs/>
              </w:rPr>
            </w:pPr>
            <w:r w:rsidRPr="00370535">
              <w:rPr>
                <w:rFonts w:cs="Arial"/>
                <w:bCs/>
              </w:rPr>
              <w:t>65.7%</w:t>
            </w:r>
          </w:p>
        </w:tc>
      </w:tr>
      <w:tr w:rsidR="00370535" w:rsidRPr="00370535" w14:paraId="33CDAEA4" w14:textId="77777777" w:rsidTr="00370535">
        <w:tc>
          <w:tcPr>
            <w:tcW w:w="3402" w:type="dxa"/>
            <w:tcBorders>
              <w:top w:val="single" w:sz="4" w:space="0" w:color="auto"/>
              <w:left w:val="single" w:sz="4" w:space="0" w:color="auto"/>
              <w:bottom w:val="single" w:sz="4" w:space="0" w:color="auto"/>
              <w:right w:val="single" w:sz="4" w:space="0" w:color="auto"/>
            </w:tcBorders>
            <w:hideMark/>
          </w:tcPr>
          <w:p w14:paraId="65892D01" w14:textId="77777777" w:rsidR="00370535" w:rsidRPr="00370535" w:rsidRDefault="00370535" w:rsidP="00370535">
            <w:pPr>
              <w:rPr>
                <w:rFonts w:cs="Arial"/>
              </w:rPr>
            </w:pPr>
            <w:r w:rsidRPr="00370535">
              <w:rPr>
                <w:rFonts w:cs="Arial"/>
              </w:rPr>
              <w:t>Llwchwr</w:t>
            </w:r>
          </w:p>
        </w:tc>
        <w:tc>
          <w:tcPr>
            <w:tcW w:w="2977" w:type="dxa"/>
            <w:tcBorders>
              <w:top w:val="single" w:sz="4" w:space="0" w:color="auto"/>
              <w:left w:val="single" w:sz="4" w:space="0" w:color="auto"/>
              <w:bottom w:val="single" w:sz="4" w:space="0" w:color="auto"/>
              <w:right w:val="single" w:sz="4" w:space="0" w:color="auto"/>
            </w:tcBorders>
            <w:hideMark/>
          </w:tcPr>
          <w:p w14:paraId="5A906E71" w14:textId="77777777" w:rsidR="00370535" w:rsidRPr="00370535" w:rsidRDefault="00370535" w:rsidP="00370535">
            <w:pPr>
              <w:rPr>
                <w:rFonts w:cs="Arial"/>
                <w:bCs/>
              </w:rPr>
            </w:pPr>
            <w:r w:rsidRPr="00370535">
              <w:rPr>
                <w:rFonts w:cs="Arial"/>
                <w:bCs/>
              </w:rPr>
              <w:t>Swansea</w:t>
            </w:r>
          </w:p>
        </w:tc>
        <w:tc>
          <w:tcPr>
            <w:tcW w:w="2693" w:type="dxa"/>
            <w:tcBorders>
              <w:top w:val="single" w:sz="4" w:space="0" w:color="auto"/>
              <w:left w:val="single" w:sz="4" w:space="0" w:color="auto"/>
              <w:bottom w:val="single" w:sz="4" w:space="0" w:color="auto"/>
              <w:right w:val="single" w:sz="4" w:space="0" w:color="auto"/>
            </w:tcBorders>
            <w:hideMark/>
          </w:tcPr>
          <w:p w14:paraId="71E9DCEF" w14:textId="77777777" w:rsidR="00370535" w:rsidRPr="00370535" w:rsidRDefault="00370535" w:rsidP="00914B43">
            <w:pPr>
              <w:jc w:val="center"/>
              <w:rPr>
                <w:rFonts w:cs="Arial"/>
                <w:bCs/>
              </w:rPr>
            </w:pPr>
            <w:r w:rsidRPr="00370535">
              <w:rPr>
                <w:rFonts w:cs="Arial"/>
                <w:bCs/>
              </w:rPr>
              <w:t>67.5%</w:t>
            </w:r>
          </w:p>
        </w:tc>
      </w:tr>
      <w:tr w:rsidR="00370535" w:rsidRPr="00370535" w14:paraId="0969FB83" w14:textId="77777777" w:rsidTr="00370535">
        <w:tc>
          <w:tcPr>
            <w:tcW w:w="3402" w:type="dxa"/>
            <w:tcBorders>
              <w:top w:val="single" w:sz="4" w:space="0" w:color="auto"/>
              <w:left w:val="single" w:sz="4" w:space="0" w:color="auto"/>
              <w:bottom w:val="single" w:sz="4" w:space="0" w:color="auto"/>
              <w:right w:val="single" w:sz="4" w:space="0" w:color="auto"/>
            </w:tcBorders>
            <w:hideMark/>
          </w:tcPr>
          <w:p w14:paraId="74B1A01E" w14:textId="77777777" w:rsidR="00370535" w:rsidRPr="00370535" w:rsidRDefault="00370535" w:rsidP="00370535">
            <w:pPr>
              <w:rPr>
                <w:rFonts w:cs="Arial"/>
              </w:rPr>
            </w:pPr>
            <w:r w:rsidRPr="00370535">
              <w:rPr>
                <w:rFonts w:cs="Arial"/>
              </w:rPr>
              <w:t>Penderi</w:t>
            </w:r>
          </w:p>
        </w:tc>
        <w:tc>
          <w:tcPr>
            <w:tcW w:w="2977" w:type="dxa"/>
            <w:tcBorders>
              <w:top w:val="single" w:sz="4" w:space="0" w:color="auto"/>
              <w:left w:val="single" w:sz="4" w:space="0" w:color="auto"/>
              <w:bottom w:val="single" w:sz="4" w:space="0" w:color="auto"/>
              <w:right w:val="single" w:sz="4" w:space="0" w:color="auto"/>
            </w:tcBorders>
            <w:hideMark/>
          </w:tcPr>
          <w:p w14:paraId="5D58973B" w14:textId="77777777" w:rsidR="00370535" w:rsidRPr="00370535" w:rsidRDefault="00370535" w:rsidP="00370535">
            <w:pPr>
              <w:rPr>
                <w:rFonts w:cs="Arial"/>
                <w:bCs/>
              </w:rPr>
            </w:pPr>
            <w:r w:rsidRPr="00370535">
              <w:rPr>
                <w:rFonts w:cs="Arial"/>
                <w:bCs/>
              </w:rPr>
              <w:t>Swansea</w:t>
            </w:r>
          </w:p>
        </w:tc>
        <w:tc>
          <w:tcPr>
            <w:tcW w:w="2693" w:type="dxa"/>
            <w:tcBorders>
              <w:top w:val="single" w:sz="4" w:space="0" w:color="auto"/>
              <w:left w:val="single" w:sz="4" w:space="0" w:color="auto"/>
              <w:bottom w:val="single" w:sz="4" w:space="0" w:color="auto"/>
              <w:right w:val="single" w:sz="4" w:space="0" w:color="auto"/>
            </w:tcBorders>
            <w:hideMark/>
          </w:tcPr>
          <w:p w14:paraId="2AAEA7D9" w14:textId="77777777" w:rsidR="00370535" w:rsidRPr="00370535" w:rsidRDefault="00370535" w:rsidP="00914B43">
            <w:pPr>
              <w:jc w:val="center"/>
              <w:rPr>
                <w:rFonts w:cs="Arial"/>
                <w:bCs/>
              </w:rPr>
            </w:pPr>
            <w:r w:rsidRPr="00370535">
              <w:rPr>
                <w:rFonts w:cs="Arial"/>
                <w:bCs/>
              </w:rPr>
              <w:t>60.9%</w:t>
            </w:r>
          </w:p>
        </w:tc>
      </w:tr>
      <w:tr w:rsidR="00370535" w:rsidRPr="00370535" w14:paraId="408B6761" w14:textId="77777777" w:rsidTr="00370535">
        <w:tc>
          <w:tcPr>
            <w:tcW w:w="3402" w:type="dxa"/>
            <w:tcBorders>
              <w:top w:val="single" w:sz="4" w:space="0" w:color="auto"/>
              <w:left w:val="single" w:sz="4" w:space="0" w:color="auto"/>
              <w:bottom w:val="single" w:sz="4" w:space="0" w:color="auto"/>
              <w:right w:val="single" w:sz="4" w:space="0" w:color="auto"/>
            </w:tcBorders>
            <w:hideMark/>
          </w:tcPr>
          <w:p w14:paraId="41E29599" w14:textId="77777777" w:rsidR="00370535" w:rsidRPr="00370535" w:rsidRDefault="00370535" w:rsidP="00370535">
            <w:pPr>
              <w:rPr>
                <w:rFonts w:cs="Arial"/>
              </w:rPr>
            </w:pPr>
            <w:r w:rsidRPr="00370535">
              <w:rPr>
                <w:rFonts w:cs="Arial"/>
              </w:rPr>
              <w:t>Afan</w:t>
            </w:r>
          </w:p>
        </w:tc>
        <w:tc>
          <w:tcPr>
            <w:tcW w:w="2977" w:type="dxa"/>
            <w:tcBorders>
              <w:top w:val="single" w:sz="4" w:space="0" w:color="auto"/>
              <w:left w:val="single" w:sz="4" w:space="0" w:color="auto"/>
              <w:bottom w:val="single" w:sz="4" w:space="0" w:color="auto"/>
              <w:right w:val="single" w:sz="4" w:space="0" w:color="auto"/>
            </w:tcBorders>
            <w:hideMark/>
          </w:tcPr>
          <w:p w14:paraId="2C91F396" w14:textId="77777777" w:rsidR="00370535" w:rsidRPr="00370535" w:rsidRDefault="00370535" w:rsidP="00370535">
            <w:pPr>
              <w:rPr>
                <w:rFonts w:cs="Arial"/>
                <w:bCs/>
              </w:rPr>
            </w:pPr>
            <w:r w:rsidRPr="00370535">
              <w:rPr>
                <w:rFonts w:cs="Arial"/>
                <w:bCs/>
              </w:rPr>
              <w:t>Neath Port Talbot</w:t>
            </w:r>
          </w:p>
        </w:tc>
        <w:tc>
          <w:tcPr>
            <w:tcW w:w="2693" w:type="dxa"/>
            <w:tcBorders>
              <w:top w:val="single" w:sz="4" w:space="0" w:color="auto"/>
              <w:left w:val="single" w:sz="4" w:space="0" w:color="auto"/>
              <w:bottom w:val="single" w:sz="4" w:space="0" w:color="auto"/>
              <w:right w:val="single" w:sz="4" w:space="0" w:color="auto"/>
            </w:tcBorders>
            <w:hideMark/>
          </w:tcPr>
          <w:p w14:paraId="763A95A2" w14:textId="77777777" w:rsidR="00370535" w:rsidRPr="00370535" w:rsidRDefault="00370535" w:rsidP="00914B43">
            <w:pPr>
              <w:jc w:val="center"/>
              <w:rPr>
                <w:rFonts w:cs="Arial"/>
                <w:bCs/>
              </w:rPr>
            </w:pPr>
            <w:r w:rsidRPr="00370535">
              <w:rPr>
                <w:rFonts w:cs="Arial"/>
                <w:bCs/>
              </w:rPr>
              <w:t>64.8%</w:t>
            </w:r>
          </w:p>
        </w:tc>
      </w:tr>
      <w:tr w:rsidR="00370535" w:rsidRPr="00370535" w14:paraId="0CB2F24A" w14:textId="77777777" w:rsidTr="00370535">
        <w:tc>
          <w:tcPr>
            <w:tcW w:w="3402" w:type="dxa"/>
            <w:tcBorders>
              <w:top w:val="single" w:sz="4" w:space="0" w:color="auto"/>
              <w:left w:val="single" w:sz="4" w:space="0" w:color="auto"/>
              <w:bottom w:val="single" w:sz="4" w:space="0" w:color="auto"/>
              <w:right w:val="single" w:sz="4" w:space="0" w:color="auto"/>
            </w:tcBorders>
            <w:hideMark/>
          </w:tcPr>
          <w:p w14:paraId="3F09D412" w14:textId="77777777" w:rsidR="00370535" w:rsidRPr="00370535" w:rsidRDefault="00370535" w:rsidP="00370535">
            <w:pPr>
              <w:rPr>
                <w:rFonts w:cs="Arial"/>
              </w:rPr>
            </w:pPr>
            <w:r w:rsidRPr="00370535">
              <w:rPr>
                <w:rFonts w:cs="Arial"/>
              </w:rPr>
              <w:t>Neath</w:t>
            </w:r>
          </w:p>
        </w:tc>
        <w:tc>
          <w:tcPr>
            <w:tcW w:w="2977" w:type="dxa"/>
            <w:tcBorders>
              <w:top w:val="single" w:sz="4" w:space="0" w:color="auto"/>
              <w:left w:val="single" w:sz="4" w:space="0" w:color="auto"/>
              <w:bottom w:val="single" w:sz="4" w:space="0" w:color="auto"/>
              <w:right w:val="single" w:sz="4" w:space="0" w:color="auto"/>
            </w:tcBorders>
            <w:hideMark/>
          </w:tcPr>
          <w:p w14:paraId="77199C97" w14:textId="77777777" w:rsidR="00370535" w:rsidRPr="00370535" w:rsidRDefault="00370535" w:rsidP="00370535">
            <w:pPr>
              <w:rPr>
                <w:rFonts w:cs="Arial"/>
                <w:bCs/>
              </w:rPr>
            </w:pPr>
            <w:r w:rsidRPr="00370535">
              <w:rPr>
                <w:rFonts w:cs="Arial"/>
                <w:bCs/>
              </w:rPr>
              <w:t>Neath Port Talbot</w:t>
            </w:r>
          </w:p>
        </w:tc>
        <w:tc>
          <w:tcPr>
            <w:tcW w:w="2693" w:type="dxa"/>
            <w:tcBorders>
              <w:top w:val="single" w:sz="4" w:space="0" w:color="auto"/>
              <w:left w:val="single" w:sz="4" w:space="0" w:color="auto"/>
              <w:bottom w:val="single" w:sz="4" w:space="0" w:color="auto"/>
              <w:right w:val="single" w:sz="4" w:space="0" w:color="auto"/>
            </w:tcBorders>
            <w:hideMark/>
          </w:tcPr>
          <w:p w14:paraId="2C9935D5" w14:textId="77777777" w:rsidR="00370535" w:rsidRPr="00370535" w:rsidRDefault="00370535" w:rsidP="00914B43">
            <w:pPr>
              <w:jc w:val="center"/>
              <w:rPr>
                <w:rFonts w:cs="Arial"/>
                <w:bCs/>
              </w:rPr>
            </w:pPr>
            <w:r w:rsidRPr="00370535">
              <w:rPr>
                <w:rFonts w:cs="Arial"/>
                <w:bCs/>
              </w:rPr>
              <w:t>63.0%</w:t>
            </w:r>
          </w:p>
        </w:tc>
      </w:tr>
      <w:tr w:rsidR="00370535" w:rsidRPr="00370535" w14:paraId="45DD2244" w14:textId="77777777" w:rsidTr="00370535">
        <w:tc>
          <w:tcPr>
            <w:tcW w:w="3402" w:type="dxa"/>
            <w:tcBorders>
              <w:top w:val="single" w:sz="4" w:space="0" w:color="auto"/>
              <w:left w:val="single" w:sz="4" w:space="0" w:color="auto"/>
              <w:bottom w:val="single" w:sz="4" w:space="0" w:color="auto"/>
              <w:right w:val="single" w:sz="4" w:space="0" w:color="auto"/>
            </w:tcBorders>
            <w:hideMark/>
          </w:tcPr>
          <w:p w14:paraId="4805C66B" w14:textId="77777777" w:rsidR="00370535" w:rsidRPr="00370535" w:rsidRDefault="00370535" w:rsidP="00370535">
            <w:pPr>
              <w:rPr>
                <w:rFonts w:cs="Arial"/>
              </w:rPr>
            </w:pPr>
            <w:r w:rsidRPr="00370535">
              <w:rPr>
                <w:rFonts w:cs="Arial"/>
              </w:rPr>
              <w:t>Upper Valleys</w:t>
            </w:r>
          </w:p>
        </w:tc>
        <w:tc>
          <w:tcPr>
            <w:tcW w:w="2977" w:type="dxa"/>
            <w:tcBorders>
              <w:top w:val="single" w:sz="4" w:space="0" w:color="auto"/>
              <w:left w:val="single" w:sz="4" w:space="0" w:color="auto"/>
              <w:bottom w:val="single" w:sz="4" w:space="0" w:color="auto"/>
              <w:right w:val="single" w:sz="4" w:space="0" w:color="auto"/>
            </w:tcBorders>
            <w:hideMark/>
          </w:tcPr>
          <w:p w14:paraId="2099BFEE" w14:textId="77777777" w:rsidR="00370535" w:rsidRPr="00370535" w:rsidRDefault="00370535" w:rsidP="00370535">
            <w:pPr>
              <w:rPr>
                <w:rFonts w:cs="Arial"/>
                <w:bCs/>
              </w:rPr>
            </w:pPr>
            <w:r w:rsidRPr="00370535">
              <w:rPr>
                <w:rFonts w:cs="Arial"/>
                <w:bCs/>
              </w:rPr>
              <w:t>Neath Port Talbot</w:t>
            </w:r>
          </w:p>
        </w:tc>
        <w:tc>
          <w:tcPr>
            <w:tcW w:w="2693" w:type="dxa"/>
            <w:tcBorders>
              <w:top w:val="single" w:sz="4" w:space="0" w:color="auto"/>
              <w:left w:val="single" w:sz="4" w:space="0" w:color="auto"/>
              <w:bottom w:val="single" w:sz="4" w:space="0" w:color="auto"/>
              <w:right w:val="single" w:sz="4" w:space="0" w:color="auto"/>
            </w:tcBorders>
            <w:hideMark/>
          </w:tcPr>
          <w:p w14:paraId="4564C4C2" w14:textId="77777777" w:rsidR="00370535" w:rsidRPr="00370535" w:rsidRDefault="00370535" w:rsidP="00914B43">
            <w:pPr>
              <w:jc w:val="center"/>
              <w:rPr>
                <w:rFonts w:cs="Arial"/>
                <w:bCs/>
              </w:rPr>
            </w:pPr>
            <w:r w:rsidRPr="00370535">
              <w:rPr>
                <w:rFonts w:cs="Arial"/>
                <w:bCs/>
              </w:rPr>
              <w:t>65.1%</w:t>
            </w:r>
          </w:p>
        </w:tc>
      </w:tr>
      <w:tr w:rsidR="00370535" w:rsidRPr="00370535" w14:paraId="18D2276C" w14:textId="77777777" w:rsidTr="00370535">
        <w:tc>
          <w:tcPr>
            <w:tcW w:w="3402" w:type="dxa"/>
            <w:tcBorders>
              <w:top w:val="single" w:sz="4" w:space="0" w:color="auto"/>
              <w:left w:val="single" w:sz="4" w:space="0" w:color="auto"/>
              <w:bottom w:val="single" w:sz="4" w:space="0" w:color="auto"/>
              <w:right w:val="single" w:sz="4" w:space="0" w:color="auto"/>
            </w:tcBorders>
            <w:hideMark/>
          </w:tcPr>
          <w:p w14:paraId="4F7851BC" w14:textId="77777777" w:rsidR="00370535" w:rsidRPr="00370535" w:rsidRDefault="00370535" w:rsidP="00370535">
            <w:pPr>
              <w:rPr>
                <w:rFonts w:cs="Arial"/>
              </w:rPr>
            </w:pPr>
            <w:r w:rsidRPr="00370535">
              <w:rPr>
                <w:rFonts w:cs="Arial"/>
              </w:rPr>
              <w:t>Swansea Bay University Health Board</w:t>
            </w:r>
          </w:p>
        </w:tc>
        <w:tc>
          <w:tcPr>
            <w:tcW w:w="2977" w:type="dxa"/>
            <w:tcBorders>
              <w:top w:val="single" w:sz="4" w:space="0" w:color="auto"/>
              <w:left w:val="single" w:sz="4" w:space="0" w:color="auto"/>
              <w:bottom w:val="single" w:sz="4" w:space="0" w:color="auto"/>
              <w:right w:val="single" w:sz="4" w:space="0" w:color="auto"/>
            </w:tcBorders>
          </w:tcPr>
          <w:p w14:paraId="55E47AA1" w14:textId="77777777" w:rsidR="00370535" w:rsidRPr="00370535" w:rsidRDefault="00370535" w:rsidP="00370535">
            <w:pPr>
              <w:rPr>
                <w:rFonts w:cs="Arial"/>
              </w:rPr>
            </w:pPr>
          </w:p>
        </w:tc>
        <w:tc>
          <w:tcPr>
            <w:tcW w:w="2693" w:type="dxa"/>
            <w:tcBorders>
              <w:top w:val="single" w:sz="4" w:space="0" w:color="auto"/>
              <w:left w:val="single" w:sz="4" w:space="0" w:color="auto"/>
              <w:bottom w:val="single" w:sz="4" w:space="0" w:color="auto"/>
              <w:right w:val="single" w:sz="4" w:space="0" w:color="auto"/>
            </w:tcBorders>
            <w:hideMark/>
          </w:tcPr>
          <w:p w14:paraId="39414A74" w14:textId="77777777" w:rsidR="00370535" w:rsidRPr="00370535" w:rsidRDefault="00370535" w:rsidP="00914B43">
            <w:pPr>
              <w:jc w:val="center"/>
              <w:rPr>
                <w:rFonts w:cs="Arial"/>
              </w:rPr>
            </w:pPr>
            <w:r w:rsidRPr="00370535">
              <w:rPr>
                <w:rFonts w:cs="Arial"/>
              </w:rPr>
              <w:t>64.2%</w:t>
            </w:r>
          </w:p>
        </w:tc>
      </w:tr>
      <w:tr w:rsidR="00370535" w:rsidRPr="00370535" w14:paraId="75F8C642" w14:textId="77777777" w:rsidTr="00370535">
        <w:tc>
          <w:tcPr>
            <w:tcW w:w="3402" w:type="dxa"/>
            <w:tcBorders>
              <w:top w:val="single" w:sz="4" w:space="0" w:color="auto"/>
              <w:left w:val="single" w:sz="4" w:space="0" w:color="auto"/>
              <w:bottom w:val="single" w:sz="4" w:space="0" w:color="auto"/>
              <w:right w:val="single" w:sz="4" w:space="0" w:color="auto"/>
            </w:tcBorders>
            <w:hideMark/>
          </w:tcPr>
          <w:p w14:paraId="513F278F" w14:textId="77777777" w:rsidR="00370535" w:rsidRPr="00370535" w:rsidRDefault="00370535" w:rsidP="00370535">
            <w:pPr>
              <w:rPr>
                <w:rFonts w:cs="Arial"/>
              </w:rPr>
            </w:pPr>
            <w:r w:rsidRPr="00370535">
              <w:rPr>
                <w:rFonts w:cs="Arial"/>
              </w:rPr>
              <w:t>Wales</w:t>
            </w:r>
          </w:p>
        </w:tc>
        <w:tc>
          <w:tcPr>
            <w:tcW w:w="2977" w:type="dxa"/>
            <w:tcBorders>
              <w:top w:val="single" w:sz="4" w:space="0" w:color="auto"/>
              <w:left w:val="single" w:sz="4" w:space="0" w:color="auto"/>
              <w:bottom w:val="single" w:sz="4" w:space="0" w:color="auto"/>
              <w:right w:val="single" w:sz="4" w:space="0" w:color="auto"/>
            </w:tcBorders>
          </w:tcPr>
          <w:p w14:paraId="7EDD842B" w14:textId="77777777" w:rsidR="00370535" w:rsidRPr="00370535" w:rsidRDefault="00370535" w:rsidP="00370535">
            <w:pPr>
              <w:rPr>
                <w:rFonts w:cs="Arial"/>
              </w:rPr>
            </w:pPr>
          </w:p>
        </w:tc>
        <w:tc>
          <w:tcPr>
            <w:tcW w:w="2693" w:type="dxa"/>
            <w:tcBorders>
              <w:top w:val="single" w:sz="4" w:space="0" w:color="auto"/>
              <w:left w:val="single" w:sz="4" w:space="0" w:color="auto"/>
              <w:bottom w:val="single" w:sz="4" w:space="0" w:color="auto"/>
              <w:right w:val="single" w:sz="4" w:space="0" w:color="auto"/>
            </w:tcBorders>
            <w:hideMark/>
          </w:tcPr>
          <w:p w14:paraId="1324630E" w14:textId="77777777" w:rsidR="00370535" w:rsidRPr="00370535" w:rsidRDefault="00370535" w:rsidP="00914B43">
            <w:pPr>
              <w:jc w:val="center"/>
              <w:rPr>
                <w:rFonts w:cs="Arial"/>
              </w:rPr>
            </w:pPr>
            <w:r w:rsidRPr="00370535">
              <w:rPr>
                <w:rFonts w:cs="Arial"/>
              </w:rPr>
              <w:t>65.5%</w:t>
            </w:r>
          </w:p>
        </w:tc>
      </w:tr>
    </w:tbl>
    <w:p w14:paraId="63DAB854" w14:textId="77777777" w:rsidR="00370535" w:rsidRPr="00370535" w:rsidRDefault="00370535" w:rsidP="00370535">
      <w:pPr>
        <w:rPr>
          <w:rFonts w:cs="Arial"/>
          <w:b/>
          <w:bCs/>
        </w:rPr>
      </w:pPr>
    </w:p>
    <w:p w14:paraId="58DE4D26" w14:textId="77777777" w:rsidR="00370535" w:rsidRPr="00370535" w:rsidRDefault="00370535" w:rsidP="00370535">
      <w:pPr>
        <w:rPr>
          <w:rFonts w:cs="Arial"/>
          <w:b/>
          <w:bCs/>
        </w:rPr>
      </w:pPr>
      <w:r w:rsidRPr="00370535">
        <w:rPr>
          <w:rFonts w:cs="Arial"/>
          <w:b/>
          <w:bCs/>
        </w:rPr>
        <w:t>Diabetic eye screening</w:t>
      </w:r>
      <w:r w:rsidRPr="00370535">
        <w:rPr>
          <w:rFonts w:cs="Arial"/>
          <w:b/>
          <w:bCs/>
          <w:vertAlign w:val="superscript"/>
        </w:rPr>
        <w:footnoteReference w:id="134"/>
      </w:r>
      <w:r w:rsidRPr="00370535">
        <w:rPr>
          <w:rFonts w:cs="Arial"/>
          <w:b/>
          <w:bCs/>
        </w:rPr>
        <w:t xml:space="preserve"> </w:t>
      </w:r>
    </w:p>
    <w:p w14:paraId="63429474" w14:textId="77777777" w:rsidR="00370535" w:rsidRPr="00370535" w:rsidRDefault="00370535" w:rsidP="00370535">
      <w:pPr>
        <w:rPr>
          <w:rFonts w:cs="Arial"/>
        </w:rPr>
      </w:pPr>
    </w:p>
    <w:p w14:paraId="0C460454" w14:textId="77777777" w:rsidR="00370535" w:rsidRPr="00370535" w:rsidRDefault="00370535" w:rsidP="00370535">
      <w:pPr>
        <w:rPr>
          <w:rFonts w:cs="Arial"/>
        </w:rPr>
      </w:pPr>
      <w:r w:rsidRPr="00370535">
        <w:rPr>
          <w:rFonts w:cs="Arial"/>
        </w:rPr>
        <w:t xml:space="preserve">In 2023/24 uptake in Swansea Bay University Health Board was 76.0%. 11,837 people were invited to attend a diabetic screen appointment and 9,000 people attended. </w:t>
      </w:r>
    </w:p>
    <w:p w14:paraId="7520CA5A" w14:textId="77777777" w:rsidR="00370535" w:rsidRPr="00370535" w:rsidRDefault="00370535" w:rsidP="00370535">
      <w:pPr>
        <w:rPr>
          <w:rFonts w:cs="Arial"/>
        </w:rPr>
      </w:pPr>
    </w:p>
    <w:p w14:paraId="05FFD59C" w14:textId="77777777" w:rsidR="00370535" w:rsidRPr="00370535" w:rsidRDefault="00370535" w:rsidP="00370535">
      <w:pPr>
        <w:rPr>
          <w:rFonts w:cs="Arial"/>
          <w:b/>
          <w:bCs/>
        </w:rPr>
      </w:pPr>
      <w:r w:rsidRPr="00370535">
        <w:rPr>
          <w:rFonts w:cs="Arial"/>
          <w:b/>
          <w:bCs/>
        </w:rPr>
        <w:t>Cervical screening</w:t>
      </w:r>
      <w:r w:rsidRPr="00370535">
        <w:rPr>
          <w:rFonts w:cs="Arial"/>
          <w:b/>
          <w:bCs/>
          <w:vertAlign w:val="superscript"/>
        </w:rPr>
        <w:footnoteReference w:id="135"/>
      </w:r>
      <w:r w:rsidRPr="00370535">
        <w:rPr>
          <w:rFonts w:cs="Arial"/>
          <w:b/>
          <w:bCs/>
        </w:rPr>
        <w:t xml:space="preserve"> </w:t>
      </w:r>
    </w:p>
    <w:p w14:paraId="42B27F57" w14:textId="77777777" w:rsidR="00370535" w:rsidRPr="00370535" w:rsidRDefault="00370535" w:rsidP="00370535">
      <w:pPr>
        <w:rPr>
          <w:rFonts w:cs="Arial"/>
        </w:rPr>
      </w:pPr>
    </w:p>
    <w:p w14:paraId="54CBF2E3" w14:textId="77777777" w:rsidR="00370535" w:rsidRPr="00370535" w:rsidRDefault="00370535" w:rsidP="00370535">
      <w:pPr>
        <w:rPr>
          <w:rFonts w:cs="Arial"/>
        </w:rPr>
      </w:pPr>
      <w:r w:rsidRPr="00370535">
        <w:rPr>
          <w:rFonts w:cs="Arial"/>
        </w:rPr>
        <w:t xml:space="preserve">Swansea Bay University Health Board cervical screening uptake in 2022/23 for eligible 25 to 49-year-olds was 64.7% and for eligible 50 to 64-year-olds was 69.9%. </w:t>
      </w:r>
    </w:p>
    <w:p w14:paraId="2F31D6D7" w14:textId="77777777" w:rsidR="00370535" w:rsidRPr="00370535" w:rsidRDefault="00370535" w:rsidP="00370535">
      <w:pPr>
        <w:rPr>
          <w:rFonts w:cs="Arial"/>
        </w:rPr>
      </w:pPr>
    </w:p>
    <w:p w14:paraId="260BD0EC" w14:textId="77777777" w:rsidR="00370535" w:rsidRPr="00370535" w:rsidRDefault="00370535" w:rsidP="00370535">
      <w:pPr>
        <w:rPr>
          <w:rFonts w:cs="Arial"/>
          <w:b/>
          <w:bCs/>
          <w:lang w:val="en-US"/>
        </w:rPr>
      </w:pPr>
      <w:r w:rsidRPr="00370535">
        <w:rPr>
          <w:rFonts w:cs="Arial"/>
          <w:b/>
          <w:bCs/>
          <w:lang w:val="en-US"/>
        </w:rPr>
        <w:t>Breast screening</w:t>
      </w:r>
      <w:r w:rsidRPr="00370535">
        <w:rPr>
          <w:rFonts w:cs="Arial"/>
          <w:b/>
          <w:bCs/>
          <w:vertAlign w:val="superscript"/>
          <w:lang w:val="en-US"/>
        </w:rPr>
        <w:footnoteReference w:id="136"/>
      </w:r>
      <w:r w:rsidRPr="00370535">
        <w:rPr>
          <w:rFonts w:cs="Arial"/>
          <w:b/>
          <w:bCs/>
          <w:lang w:val="en-US"/>
        </w:rPr>
        <w:t xml:space="preserve"> </w:t>
      </w:r>
    </w:p>
    <w:p w14:paraId="2E5AA6E8" w14:textId="77777777" w:rsidR="00370535" w:rsidRPr="00370535" w:rsidRDefault="00370535" w:rsidP="00370535">
      <w:pPr>
        <w:rPr>
          <w:rFonts w:cs="Arial"/>
          <w:b/>
          <w:bCs/>
          <w:lang w:val="en-US"/>
        </w:rPr>
      </w:pPr>
    </w:p>
    <w:p w14:paraId="66C1DC75" w14:textId="77777777" w:rsidR="00370535" w:rsidRPr="00370535" w:rsidRDefault="00370535" w:rsidP="00370535">
      <w:pPr>
        <w:rPr>
          <w:rFonts w:cs="Arial"/>
          <w:lang w:val="en-US"/>
        </w:rPr>
      </w:pPr>
      <w:r w:rsidRPr="00370535">
        <w:rPr>
          <w:rFonts w:cs="Arial"/>
          <w:lang w:val="en-US"/>
        </w:rPr>
        <w:t xml:space="preserve">Breast screening coverage has increased, at a national level, from 56.1% (31 March 2023) to 70.0% (31 March 2024). This pattern is replicated across all health boards and is due to recovery following the impact of the Covid-19 pandemic. For Swansea Bay University Health Board, the percentage coverage (31 March 2024) for women resident in the health board’s area (2022-2024) aged 53-70 years was 71.2%, above the programme target of 70%. </w:t>
      </w:r>
    </w:p>
    <w:p w14:paraId="36336DF7" w14:textId="77777777" w:rsidR="00370535" w:rsidRPr="00D0306F" w:rsidRDefault="00370535" w:rsidP="00370535">
      <w:pPr>
        <w:rPr>
          <w:rFonts w:cs="Arial"/>
          <w:b/>
          <w:bCs/>
        </w:rPr>
      </w:pPr>
    </w:p>
    <w:p w14:paraId="6E0E6110" w14:textId="77777777" w:rsidR="00370535" w:rsidRPr="00370535" w:rsidRDefault="00370535" w:rsidP="00370535">
      <w:pPr>
        <w:rPr>
          <w:rFonts w:cs="Arial"/>
          <w:b/>
          <w:bCs/>
          <w:sz w:val="26"/>
          <w:szCs w:val="26"/>
        </w:rPr>
      </w:pPr>
      <w:r w:rsidRPr="00370535">
        <w:rPr>
          <w:rFonts w:cs="Arial"/>
          <w:b/>
          <w:bCs/>
          <w:sz w:val="26"/>
          <w:szCs w:val="26"/>
        </w:rPr>
        <w:t>3.5 Prevention of infectious diseases</w:t>
      </w:r>
    </w:p>
    <w:p w14:paraId="38AE95D4" w14:textId="77777777" w:rsidR="00370535" w:rsidRPr="00370535" w:rsidRDefault="00370535" w:rsidP="00370535">
      <w:pPr>
        <w:rPr>
          <w:rFonts w:cs="Arial"/>
          <w:b/>
          <w:bCs/>
        </w:rPr>
      </w:pPr>
    </w:p>
    <w:p w14:paraId="1CB6B8F7" w14:textId="77777777" w:rsidR="00370535" w:rsidRPr="00370535" w:rsidRDefault="00370535" w:rsidP="00370535">
      <w:pPr>
        <w:rPr>
          <w:rFonts w:cs="Arial"/>
          <w:b/>
          <w:bCs/>
        </w:rPr>
      </w:pPr>
      <w:r w:rsidRPr="00370535">
        <w:rPr>
          <w:rFonts w:cs="Arial"/>
          <w:b/>
          <w:bCs/>
        </w:rPr>
        <w:t>3.5.1 Childhood vaccination uptake</w:t>
      </w:r>
      <w:r w:rsidRPr="00370535">
        <w:rPr>
          <w:rFonts w:cs="Arial"/>
          <w:b/>
          <w:bCs/>
          <w:vertAlign w:val="superscript"/>
        </w:rPr>
        <w:footnoteReference w:id="137"/>
      </w:r>
    </w:p>
    <w:p w14:paraId="28E29221" w14:textId="77777777" w:rsidR="00370535" w:rsidRPr="00370535" w:rsidRDefault="00370535" w:rsidP="00370535">
      <w:pPr>
        <w:rPr>
          <w:rFonts w:cs="Arial"/>
          <w:b/>
          <w:bCs/>
        </w:rPr>
      </w:pPr>
    </w:p>
    <w:p w14:paraId="170CD0E3" w14:textId="77777777" w:rsidR="00370535" w:rsidRPr="00370535" w:rsidRDefault="00370535" w:rsidP="00370535">
      <w:pPr>
        <w:rPr>
          <w:rFonts w:cs="Arial"/>
        </w:rPr>
      </w:pPr>
      <w:r w:rsidRPr="00370535">
        <w:rPr>
          <w:rFonts w:cs="Arial"/>
        </w:rPr>
        <w:t xml:space="preserve">The annual results for 2024/25 are for one-year cohorts of children living in Wales as of 31 March 2025. Uptake is reported on those reaching their first, second, fourth, </w:t>
      </w:r>
      <w:r w:rsidRPr="00370535">
        <w:rPr>
          <w:rFonts w:cs="Arial"/>
        </w:rPr>
        <w:lastRenderedPageBreak/>
        <w:t>fifth birthdays between 1 April 2024 to 31 March 2025. Uptake of vaccinations in those reaching 14, 15 and 16 years of average are presented in the school year</w:t>
      </w:r>
      <w:r w:rsidRPr="00370535">
        <w:rPr>
          <w:rFonts w:cs="Arial"/>
          <w:vertAlign w:val="superscript"/>
        </w:rPr>
        <w:footnoteReference w:id="138"/>
      </w:r>
      <w:r w:rsidRPr="00370535">
        <w:rPr>
          <w:rFonts w:cs="Arial"/>
        </w:rPr>
        <w:t>.</w:t>
      </w:r>
    </w:p>
    <w:p w14:paraId="61B64039" w14:textId="77777777" w:rsidR="00370535" w:rsidRPr="00370535" w:rsidRDefault="00370535" w:rsidP="00370535">
      <w:pPr>
        <w:rPr>
          <w:rFonts w:cs="Arial"/>
        </w:rPr>
      </w:pPr>
    </w:p>
    <w:p w14:paraId="27CAA78C" w14:textId="77777777" w:rsidR="00370535" w:rsidRPr="00370535" w:rsidRDefault="00370535" w:rsidP="00370535">
      <w:pPr>
        <w:rPr>
          <w:rFonts w:cs="Arial"/>
        </w:rPr>
      </w:pPr>
      <w:r w:rsidRPr="00370535">
        <w:rPr>
          <w:rFonts w:cs="Arial"/>
        </w:rPr>
        <w:t xml:space="preserve">In 2024/25, 6 in 1 DTaP/IPV/Hib/HepB1 vaccine uptake of all three doses in children reaching their first birthday was 94.6% in the health board’s area, 95.1% in Swansea and 93.6% in Neath Port Talbot, compared to Wales 94.1%. </w:t>
      </w:r>
    </w:p>
    <w:p w14:paraId="248A5B5C" w14:textId="77777777" w:rsidR="00370535" w:rsidRPr="00370535" w:rsidRDefault="00370535" w:rsidP="00370535">
      <w:pPr>
        <w:rPr>
          <w:rFonts w:cs="Arial"/>
        </w:rPr>
      </w:pPr>
    </w:p>
    <w:p w14:paraId="6ADFA66C" w14:textId="77777777" w:rsidR="00370535" w:rsidRPr="00370535" w:rsidRDefault="00370535" w:rsidP="00370535">
      <w:pPr>
        <w:rPr>
          <w:rFonts w:cs="Arial"/>
        </w:rPr>
      </w:pPr>
      <w:r w:rsidRPr="00370535">
        <w:rPr>
          <w:rFonts w:cs="Arial"/>
        </w:rPr>
        <w:t xml:space="preserve">Meningococcal serotype B vaccination was introduced in September 2015 for those born 1 May 2015 onwards. Uptake of a complete course in children at two years of age was 92.3% for the average for Wales, with Swansea Bay University Health Board (92.5%). At a local authority level, Swansea (92.8%) and Neath Port Talbot (92.0%). </w:t>
      </w:r>
    </w:p>
    <w:p w14:paraId="21005A73" w14:textId="77777777" w:rsidR="00370535" w:rsidRPr="00370535" w:rsidRDefault="00370535" w:rsidP="00370535">
      <w:pPr>
        <w:rPr>
          <w:rFonts w:cs="Arial"/>
        </w:rPr>
      </w:pPr>
    </w:p>
    <w:p w14:paraId="259A9FC2" w14:textId="77777777" w:rsidR="00370535" w:rsidRPr="00370535" w:rsidRDefault="00370535" w:rsidP="00370535">
      <w:pPr>
        <w:rPr>
          <w:rFonts w:cs="Arial"/>
        </w:rPr>
      </w:pPr>
      <w:r w:rsidRPr="00370535">
        <w:rPr>
          <w:rFonts w:cs="Arial"/>
        </w:rPr>
        <w:t xml:space="preserve">The percentage of resident children reaching their fourth birthday and who are up to date with all scheduled vaccines was 85.8% for Swansea Bay University Health Board slightly higher than the average for Wales (85.3%). There is variation between the two local authorities with uptake within Swansea Local Authority higher than Neath Port Talbot Local Authority (86.9% and 84.0% respectively). </w:t>
      </w:r>
    </w:p>
    <w:p w14:paraId="37EF8EDF" w14:textId="77777777" w:rsidR="00370535" w:rsidRPr="00370535" w:rsidRDefault="00370535" w:rsidP="00370535">
      <w:pPr>
        <w:rPr>
          <w:rFonts w:cs="Arial"/>
        </w:rPr>
      </w:pPr>
    </w:p>
    <w:p w14:paraId="7C48E018" w14:textId="77777777" w:rsidR="00370535" w:rsidRPr="00370535" w:rsidRDefault="00370535" w:rsidP="00370535">
      <w:pPr>
        <w:rPr>
          <w:rFonts w:cs="Arial"/>
        </w:rPr>
      </w:pPr>
      <w:r w:rsidRPr="00370535">
        <w:rPr>
          <w:rFonts w:cs="Arial"/>
        </w:rPr>
        <w:t xml:space="preserve">Measles, mumps and rubella - uptake of two doses in children at five years of age was 90.1% for the health board, compared with the Wales average 89.5%. Two doses in teenagers turning 16 years of age between 1 September 2024 and 31 August 2025 was 92.9% for Wales and 95.1% for Swansea Bay University Health Board - Swansea (94.2%) and Neath Port Talbot (96.5%). </w:t>
      </w:r>
    </w:p>
    <w:p w14:paraId="12C9E5D1" w14:textId="77777777" w:rsidR="00370535" w:rsidRPr="00370535" w:rsidRDefault="00370535" w:rsidP="00370535">
      <w:pPr>
        <w:rPr>
          <w:rFonts w:cs="Arial"/>
          <w:b/>
          <w:bCs/>
        </w:rPr>
      </w:pPr>
    </w:p>
    <w:p w14:paraId="66824862" w14:textId="77777777" w:rsidR="00370535" w:rsidRPr="00370535" w:rsidRDefault="00370535" w:rsidP="00370535">
      <w:pPr>
        <w:rPr>
          <w:rFonts w:cs="Arial"/>
          <w:b/>
          <w:bCs/>
        </w:rPr>
      </w:pPr>
      <w:r w:rsidRPr="00370535">
        <w:rPr>
          <w:rFonts w:cs="Arial"/>
          <w:b/>
          <w:bCs/>
        </w:rPr>
        <w:t>3.5.2 Influenza vaccination uptake</w:t>
      </w:r>
    </w:p>
    <w:p w14:paraId="2F1FC00E" w14:textId="77777777" w:rsidR="00370535" w:rsidRPr="00370535" w:rsidRDefault="00370535" w:rsidP="00370535">
      <w:pPr>
        <w:rPr>
          <w:rFonts w:cs="Arial"/>
          <w:bCs/>
        </w:rPr>
      </w:pPr>
    </w:p>
    <w:p w14:paraId="70179480" w14:textId="77777777" w:rsidR="00370535" w:rsidRPr="00370535" w:rsidRDefault="00370535" w:rsidP="00370535">
      <w:pPr>
        <w:rPr>
          <w:rFonts w:cs="Arial"/>
          <w:bCs/>
        </w:rPr>
      </w:pPr>
      <w:r w:rsidRPr="00370535">
        <w:rPr>
          <w:rFonts w:cs="Arial"/>
          <w:bCs/>
        </w:rPr>
        <w:t>In 2024/25 the influenza vaccination uptake in those aged 65 years and older in Wales was 70.4 % and in Swansea Bay University Health Board was 68.6%</w:t>
      </w:r>
      <w:r w:rsidRPr="00370535">
        <w:rPr>
          <w:rFonts w:cs="Arial"/>
          <w:bCs/>
          <w:vertAlign w:val="superscript"/>
        </w:rPr>
        <w:footnoteReference w:id="139"/>
      </w:r>
      <w:r w:rsidRPr="00370535">
        <w:rPr>
          <w:rFonts w:cs="Arial"/>
          <w:bCs/>
        </w:rPr>
        <w:t>. The rate of vaccination in 2021/22 was 78.5% and rates have declined year on year since.</w:t>
      </w:r>
    </w:p>
    <w:p w14:paraId="53A8F446" w14:textId="77777777" w:rsidR="00370535" w:rsidRPr="00370535" w:rsidRDefault="00370535" w:rsidP="00370535">
      <w:pPr>
        <w:rPr>
          <w:rFonts w:cs="Arial"/>
          <w:bCs/>
        </w:rPr>
      </w:pPr>
    </w:p>
    <w:p w14:paraId="13B0125A" w14:textId="77777777" w:rsidR="00370535" w:rsidRPr="00370535" w:rsidRDefault="00370535" w:rsidP="00370535">
      <w:pPr>
        <w:rPr>
          <w:rFonts w:cs="Arial"/>
          <w:bCs/>
        </w:rPr>
      </w:pPr>
      <w:r w:rsidRPr="00370535">
        <w:rPr>
          <w:rFonts w:cs="Arial"/>
          <w:bCs/>
        </w:rPr>
        <w:t>In Wales, 43.7% of children aged two and three years old were immunised against influenza in general practice between 1 September 2024 and 31st March 2025 compared to 36.9% for Swansea Bay University Health Board. Uptake in children aged 4 to 15 years was lower for the health board compared to Wales.</w:t>
      </w:r>
    </w:p>
    <w:p w14:paraId="64BCAFE7" w14:textId="77777777" w:rsidR="00370535" w:rsidRPr="00370535" w:rsidRDefault="00370535" w:rsidP="00370535">
      <w:pPr>
        <w:rPr>
          <w:rFonts w:cs="Arial"/>
          <w:bCs/>
        </w:rPr>
      </w:pPr>
    </w:p>
    <w:p w14:paraId="35B52D60" w14:textId="5986C916" w:rsidR="005763A0" w:rsidRPr="00D0306F" w:rsidRDefault="005763A0">
      <w:pPr>
        <w:spacing w:after="160" w:line="278" w:lineRule="auto"/>
        <w:rPr>
          <w:rFonts w:cs="Arial"/>
          <w:bCs/>
        </w:rPr>
      </w:pPr>
      <w:r w:rsidRPr="00D0306F">
        <w:rPr>
          <w:rFonts w:cs="Arial"/>
          <w:bCs/>
        </w:rPr>
        <w:br w:type="page"/>
      </w:r>
    </w:p>
    <w:p w14:paraId="6CAC1507" w14:textId="7436FECF" w:rsidR="00592C1C" w:rsidRPr="00D0306F" w:rsidRDefault="00592C1C" w:rsidP="00592C1C">
      <w:pPr>
        <w:pStyle w:val="Heading1"/>
        <w:rPr>
          <w:rFonts w:eastAsia="Aptos"/>
          <w:sz w:val="28"/>
          <w:szCs w:val="28"/>
        </w:rPr>
      </w:pPr>
      <w:bookmarkStart w:id="21" w:name="_Toc235185375"/>
      <w:r w:rsidRPr="00D0306F">
        <w:rPr>
          <w:rFonts w:eastAsia="Aptos"/>
          <w:sz w:val="28"/>
          <w:szCs w:val="28"/>
        </w:rPr>
        <w:lastRenderedPageBreak/>
        <w:t>4 Identified patient groups – particular health issues</w:t>
      </w:r>
      <w:bookmarkEnd w:id="21"/>
    </w:p>
    <w:p w14:paraId="22DD310D" w14:textId="77777777" w:rsidR="00370535" w:rsidRPr="00370535" w:rsidRDefault="00370535" w:rsidP="00E232AA">
      <w:pPr>
        <w:rPr>
          <w:rFonts w:cs="Arial"/>
          <w:bCs/>
        </w:rPr>
      </w:pPr>
    </w:p>
    <w:p w14:paraId="484D4DB8" w14:textId="77777777" w:rsidR="00477B14" w:rsidRPr="00477B14" w:rsidRDefault="00477B14" w:rsidP="00E232AA">
      <w:pPr>
        <w:contextualSpacing/>
        <w:rPr>
          <w:rFonts w:eastAsia="Aptos" w:cs="Arial"/>
        </w:rPr>
      </w:pPr>
      <w:r w:rsidRPr="00477B14">
        <w:rPr>
          <w:rFonts w:eastAsia="Aptos" w:cs="Arial"/>
        </w:rPr>
        <w:t>The following patient groups have been identified as living within or visiting the Swansea Bay University Health Board area.</w:t>
      </w:r>
    </w:p>
    <w:p w14:paraId="58AB61A3" w14:textId="77777777" w:rsidR="00477B14" w:rsidRPr="00477B14" w:rsidRDefault="00477B14" w:rsidP="00E232AA">
      <w:pPr>
        <w:contextualSpacing/>
        <w:rPr>
          <w:rFonts w:eastAsia="Aptos" w:cs="Arial"/>
        </w:rPr>
      </w:pPr>
    </w:p>
    <w:p w14:paraId="41CD833B" w14:textId="77777777" w:rsidR="00477B14" w:rsidRPr="00477B14" w:rsidRDefault="00477B14" w:rsidP="00B76905">
      <w:pPr>
        <w:numPr>
          <w:ilvl w:val="0"/>
          <w:numId w:val="64"/>
        </w:numPr>
        <w:contextualSpacing/>
        <w:rPr>
          <w:rFonts w:eastAsia="Aptos" w:cs="Arial"/>
        </w:rPr>
      </w:pPr>
      <w:r w:rsidRPr="00477B14">
        <w:rPr>
          <w:rFonts w:eastAsia="Aptos" w:cs="Arial"/>
        </w:rPr>
        <w:t>Those sharing one or more of the following Equality Act 2010 protected characteristics:</w:t>
      </w:r>
    </w:p>
    <w:p w14:paraId="0430402F" w14:textId="77777777" w:rsidR="00477B14" w:rsidRPr="00477B14" w:rsidRDefault="00477B14" w:rsidP="00B76905">
      <w:pPr>
        <w:numPr>
          <w:ilvl w:val="1"/>
          <w:numId w:val="64"/>
        </w:numPr>
        <w:contextualSpacing/>
        <w:rPr>
          <w:rFonts w:eastAsia="Aptos" w:cs="Arial"/>
        </w:rPr>
      </w:pPr>
      <w:r w:rsidRPr="00477B14">
        <w:rPr>
          <w:rFonts w:eastAsia="Aptos" w:cs="Arial"/>
        </w:rPr>
        <w:t>Age</w:t>
      </w:r>
    </w:p>
    <w:p w14:paraId="4A1B0512" w14:textId="77777777" w:rsidR="00477B14" w:rsidRPr="00477B14" w:rsidRDefault="00477B14" w:rsidP="00B76905">
      <w:pPr>
        <w:numPr>
          <w:ilvl w:val="1"/>
          <w:numId w:val="64"/>
        </w:numPr>
        <w:contextualSpacing/>
        <w:rPr>
          <w:rFonts w:eastAsia="Aptos" w:cs="Arial"/>
        </w:rPr>
      </w:pPr>
      <w:r w:rsidRPr="00477B14">
        <w:rPr>
          <w:rFonts w:eastAsia="Aptos" w:cs="Arial"/>
        </w:rPr>
        <w:t>Disability, which is defined as a physical or mental impairment that has a substantial and long-term adverse effect on a person’s ability to carry out normal day-to-day activities</w:t>
      </w:r>
    </w:p>
    <w:p w14:paraId="099E4DA6" w14:textId="77777777" w:rsidR="00477B14" w:rsidRPr="00477B14" w:rsidRDefault="00477B14" w:rsidP="00B76905">
      <w:pPr>
        <w:numPr>
          <w:ilvl w:val="1"/>
          <w:numId w:val="64"/>
        </w:numPr>
        <w:contextualSpacing/>
        <w:rPr>
          <w:rFonts w:eastAsia="Aptos" w:cs="Arial"/>
        </w:rPr>
      </w:pPr>
      <w:r w:rsidRPr="00477B14">
        <w:rPr>
          <w:rFonts w:eastAsia="Aptos" w:cs="Arial"/>
        </w:rPr>
        <w:t>Pregnancy and maternity</w:t>
      </w:r>
    </w:p>
    <w:p w14:paraId="19157F12" w14:textId="77777777" w:rsidR="00477B14" w:rsidRPr="00477B14" w:rsidRDefault="00477B14" w:rsidP="00B76905">
      <w:pPr>
        <w:numPr>
          <w:ilvl w:val="1"/>
          <w:numId w:val="64"/>
        </w:numPr>
        <w:contextualSpacing/>
        <w:rPr>
          <w:rFonts w:eastAsia="Aptos" w:cs="Arial"/>
        </w:rPr>
      </w:pPr>
      <w:r w:rsidRPr="00477B14">
        <w:rPr>
          <w:rFonts w:eastAsia="Aptos" w:cs="Arial"/>
        </w:rPr>
        <w:t>Race, which includes colour, nationality, ethnic or national origins</w:t>
      </w:r>
    </w:p>
    <w:p w14:paraId="68B89DFE" w14:textId="77777777" w:rsidR="00477B14" w:rsidRPr="00477B14" w:rsidRDefault="00477B14" w:rsidP="00B76905">
      <w:pPr>
        <w:numPr>
          <w:ilvl w:val="1"/>
          <w:numId w:val="64"/>
        </w:numPr>
        <w:contextualSpacing/>
        <w:rPr>
          <w:rFonts w:eastAsia="Aptos" w:cs="Arial"/>
        </w:rPr>
      </w:pPr>
      <w:r w:rsidRPr="00477B14">
        <w:rPr>
          <w:rFonts w:eastAsia="Aptos" w:cs="Arial"/>
        </w:rPr>
        <w:t>Religion (including a lack of religion) or belief (any religious or philosophical belief)</w:t>
      </w:r>
    </w:p>
    <w:p w14:paraId="0D920BEB" w14:textId="77777777" w:rsidR="00477B14" w:rsidRPr="00477B14" w:rsidRDefault="00477B14" w:rsidP="00B76905">
      <w:pPr>
        <w:numPr>
          <w:ilvl w:val="1"/>
          <w:numId w:val="64"/>
        </w:numPr>
        <w:contextualSpacing/>
        <w:rPr>
          <w:rFonts w:eastAsia="Aptos" w:cs="Arial"/>
        </w:rPr>
      </w:pPr>
      <w:r w:rsidRPr="00477B14">
        <w:rPr>
          <w:rFonts w:eastAsia="Aptos" w:cs="Arial"/>
        </w:rPr>
        <w:t>Sex</w:t>
      </w:r>
    </w:p>
    <w:p w14:paraId="36DFE667" w14:textId="77777777" w:rsidR="00477B14" w:rsidRPr="00477B14" w:rsidRDefault="00477B14" w:rsidP="00B76905">
      <w:pPr>
        <w:numPr>
          <w:ilvl w:val="1"/>
          <w:numId w:val="64"/>
        </w:numPr>
        <w:contextualSpacing/>
        <w:rPr>
          <w:rFonts w:eastAsia="Aptos" w:cs="Arial"/>
        </w:rPr>
      </w:pPr>
      <w:r w:rsidRPr="00477B14">
        <w:rPr>
          <w:rFonts w:eastAsia="Aptos" w:cs="Arial"/>
        </w:rPr>
        <w:t>Sexual orientation</w:t>
      </w:r>
    </w:p>
    <w:p w14:paraId="4696C174" w14:textId="77777777" w:rsidR="00477B14" w:rsidRPr="00477B14" w:rsidRDefault="00477B14" w:rsidP="00B76905">
      <w:pPr>
        <w:numPr>
          <w:ilvl w:val="1"/>
          <w:numId w:val="64"/>
        </w:numPr>
        <w:contextualSpacing/>
        <w:rPr>
          <w:rFonts w:eastAsia="Aptos" w:cs="Arial"/>
        </w:rPr>
      </w:pPr>
      <w:r w:rsidRPr="00477B14">
        <w:rPr>
          <w:rFonts w:eastAsia="Aptos" w:cs="Arial"/>
        </w:rPr>
        <w:t>Gender re-assignment</w:t>
      </w:r>
    </w:p>
    <w:p w14:paraId="20885649" w14:textId="77777777" w:rsidR="00477B14" w:rsidRPr="00477B14" w:rsidRDefault="00477B14" w:rsidP="00B76905">
      <w:pPr>
        <w:numPr>
          <w:ilvl w:val="1"/>
          <w:numId w:val="64"/>
        </w:numPr>
        <w:contextualSpacing/>
        <w:rPr>
          <w:rFonts w:eastAsia="Aptos" w:cs="Arial"/>
        </w:rPr>
      </w:pPr>
      <w:r w:rsidRPr="00477B14">
        <w:rPr>
          <w:rFonts w:eastAsia="Aptos" w:cs="Arial"/>
        </w:rPr>
        <w:t>Marriage and civil partnership</w:t>
      </w:r>
    </w:p>
    <w:p w14:paraId="2962EB83" w14:textId="77777777" w:rsidR="00477B14" w:rsidRPr="00477B14" w:rsidRDefault="00477B14" w:rsidP="00B76905">
      <w:pPr>
        <w:numPr>
          <w:ilvl w:val="0"/>
          <w:numId w:val="64"/>
        </w:numPr>
        <w:contextualSpacing/>
        <w:rPr>
          <w:rFonts w:eastAsia="Aptos" w:cs="Arial"/>
        </w:rPr>
      </w:pPr>
      <w:r w:rsidRPr="00477B14">
        <w:rPr>
          <w:rFonts w:eastAsia="Aptos" w:cs="Arial"/>
        </w:rPr>
        <w:t>University students</w:t>
      </w:r>
    </w:p>
    <w:p w14:paraId="52F1D4E2" w14:textId="77777777" w:rsidR="00477B14" w:rsidRPr="00477B14" w:rsidRDefault="00477B14" w:rsidP="00B76905">
      <w:pPr>
        <w:numPr>
          <w:ilvl w:val="0"/>
          <w:numId w:val="64"/>
        </w:numPr>
        <w:contextualSpacing/>
        <w:rPr>
          <w:rFonts w:eastAsia="Aptos" w:cs="Arial"/>
        </w:rPr>
      </w:pPr>
      <w:r w:rsidRPr="00477B14">
        <w:rPr>
          <w:rFonts w:eastAsia="Aptos" w:cs="Arial"/>
        </w:rPr>
        <w:t>Offenders</w:t>
      </w:r>
    </w:p>
    <w:p w14:paraId="2280C934" w14:textId="77777777" w:rsidR="00477B14" w:rsidRPr="00477B14" w:rsidRDefault="00477B14" w:rsidP="00B76905">
      <w:pPr>
        <w:numPr>
          <w:ilvl w:val="0"/>
          <w:numId w:val="64"/>
        </w:numPr>
        <w:contextualSpacing/>
        <w:rPr>
          <w:rFonts w:eastAsia="Aptos" w:cs="Arial"/>
        </w:rPr>
      </w:pPr>
      <w:r w:rsidRPr="00477B14">
        <w:rPr>
          <w:rFonts w:eastAsia="Aptos" w:cs="Arial"/>
        </w:rPr>
        <w:t>Homeless and rough sleepers</w:t>
      </w:r>
    </w:p>
    <w:p w14:paraId="41B3A755" w14:textId="77777777" w:rsidR="00477B14" w:rsidRPr="00477B14" w:rsidRDefault="00477B14" w:rsidP="00B76905">
      <w:pPr>
        <w:numPr>
          <w:ilvl w:val="0"/>
          <w:numId w:val="64"/>
        </w:numPr>
        <w:contextualSpacing/>
        <w:rPr>
          <w:rFonts w:eastAsia="Aptos" w:cs="Arial"/>
        </w:rPr>
      </w:pPr>
      <w:r w:rsidRPr="00477B14">
        <w:rPr>
          <w:rFonts w:eastAsia="Aptos" w:cs="Arial"/>
        </w:rPr>
        <w:t>Traveller and gypsy communities</w:t>
      </w:r>
    </w:p>
    <w:p w14:paraId="242740BF" w14:textId="77777777" w:rsidR="00477B14" w:rsidRPr="00477B14" w:rsidRDefault="00477B14" w:rsidP="00B76905">
      <w:pPr>
        <w:numPr>
          <w:ilvl w:val="0"/>
          <w:numId w:val="64"/>
        </w:numPr>
        <w:contextualSpacing/>
        <w:rPr>
          <w:rFonts w:eastAsia="Aptos" w:cs="Arial"/>
        </w:rPr>
      </w:pPr>
      <w:r w:rsidRPr="00477B14">
        <w:rPr>
          <w:rFonts w:eastAsia="Aptos" w:cs="Arial"/>
        </w:rPr>
        <w:t>Refugees and asylum seekers</w:t>
      </w:r>
    </w:p>
    <w:p w14:paraId="10EBA333" w14:textId="77777777" w:rsidR="00477B14" w:rsidRPr="00477B14" w:rsidRDefault="00477B14" w:rsidP="00B76905">
      <w:pPr>
        <w:numPr>
          <w:ilvl w:val="0"/>
          <w:numId w:val="64"/>
        </w:numPr>
        <w:contextualSpacing/>
        <w:rPr>
          <w:rFonts w:eastAsia="Aptos" w:cs="Arial"/>
        </w:rPr>
      </w:pPr>
      <w:r w:rsidRPr="00477B14">
        <w:rPr>
          <w:rFonts w:eastAsia="Aptos" w:cs="Arial"/>
        </w:rPr>
        <w:t>Military veterans</w:t>
      </w:r>
    </w:p>
    <w:p w14:paraId="3AE09DC4" w14:textId="77777777" w:rsidR="00477B14" w:rsidRPr="00477B14" w:rsidRDefault="00477B14" w:rsidP="00B76905">
      <w:pPr>
        <w:numPr>
          <w:ilvl w:val="0"/>
          <w:numId w:val="64"/>
        </w:numPr>
        <w:contextualSpacing/>
        <w:rPr>
          <w:rFonts w:eastAsia="Aptos" w:cs="Arial"/>
        </w:rPr>
      </w:pPr>
      <w:r w:rsidRPr="00477B14">
        <w:rPr>
          <w:rFonts w:eastAsia="Aptos" w:cs="Arial"/>
        </w:rPr>
        <w:t xml:space="preserve">Visitors to the area for business, to visit friends and family, or tourist attractions </w:t>
      </w:r>
    </w:p>
    <w:p w14:paraId="5611318F" w14:textId="77777777" w:rsidR="00477B14" w:rsidRPr="00477B14" w:rsidRDefault="00477B14" w:rsidP="00E232AA">
      <w:pPr>
        <w:contextualSpacing/>
        <w:rPr>
          <w:rFonts w:eastAsia="Aptos" w:cs="Arial"/>
        </w:rPr>
      </w:pPr>
    </w:p>
    <w:p w14:paraId="6CA70E1E" w14:textId="77777777" w:rsidR="00477B14" w:rsidRPr="00477B14" w:rsidRDefault="00477B14" w:rsidP="00E232AA">
      <w:pPr>
        <w:contextualSpacing/>
        <w:rPr>
          <w:rFonts w:eastAsia="Aptos" w:cs="Arial"/>
        </w:rPr>
      </w:pPr>
      <w:r w:rsidRPr="00477B14">
        <w:rPr>
          <w:rFonts w:eastAsia="Aptos" w:cs="Arial"/>
        </w:rPr>
        <w:t>Whilst some of these groups are referred to in other parts of the pharmaceutical needs assessment, this section focusses on their particular health issues.</w:t>
      </w:r>
    </w:p>
    <w:p w14:paraId="5FD58690" w14:textId="77777777" w:rsidR="00477B14" w:rsidRPr="00477B14" w:rsidRDefault="00477B14" w:rsidP="00E232AA">
      <w:pPr>
        <w:contextualSpacing/>
        <w:rPr>
          <w:rFonts w:eastAsia="Aptos" w:cs="Arial"/>
        </w:rPr>
      </w:pPr>
    </w:p>
    <w:p w14:paraId="1D983149" w14:textId="77777777" w:rsidR="00477B14" w:rsidRPr="00477B14" w:rsidRDefault="00477B14" w:rsidP="00E232AA">
      <w:pPr>
        <w:contextualSpacing/>
        <w:rPr>
          <w:rFonts w:eastAsia="Aptos" w:cs="Arial"/>
          <w:b/>
          <w:bCs/>
          <w:sz w:val="26"/>
          <w:szCs w:val="26"/>
        </w:rPr>
      </w:pPr>
      <w:r w:rsidRPr="00477B14">
        <w:rPr>
          <w:rFonts w:eastAsia="Aptos" w:cs="Arial"/>
          <w:b/>
          <w:bCs/>
          <w:sz w:val="26"/>
          <w:szCs w:val="26"/>
        </w:rPr>
        <w:t>4.1 Age</w:t>
      </w:r>
    </w:p>
    <w:p w14:paraId="72A7715E" w14:textId="77777777" w:rsidR="00477B14" w:rsidRPr="00477B14" w:rsidRDefault="00477B14" w:rsidP="00E232AA">
      <w:pPr>
        <w:contextualSpacing/>
        <w:rPr>
          <w:rFonts w:eastAsia="Aptos" w:cs="Arial"/>
          <w:b/>
          <w:bCs/>
        </w:rPr>
      </w:pPr>
    </w:p>
    <w:p w14:paraId="1CB517AA" w14:textId="77777777" w:rsidR="00477B14" w:rsidRPr="00477B14" w:rsidRDefault="00477B14" w:rsidP="00E232AA">
      <w:pPr>
        <w:contextualSpacing/>
        <w:rPr>
          <w:rFonts w:eastAsia="Aptos" w:cs="Arial"/>
        </w:rPr>
      </w:pPr>
      <w:r w:rsidRPr="00477B14">
        <w:rPr>
          <w:rFonts w:eastAsia="Aptos" w:cs="Arial"/>
        </w:rPr>
        <w:t>Health issues tend to be greater amongst the very young and the very old. However, whilst it is clear that the number and proportion of people aged 65 years and over is set to rise and the prevalence of nearly all chronic and long-term conditions increases with age, it is important to recognise that the older population is very diverse in nature with many people remaining fit and active. While it is indeed the case that a growing older population will lead to an increasing number of people living with complex health and care needs, there will also be growing numbers across all older age groups living without any significant needs for support.</w:t>
      </w:r>
    </w:p>
    <w:p w14:paraId="6A59999D" w14:textId="77777777" w:rsidR="00477B14" w:rsidRPr="00477B14" w:rsidRDefault="00477B14" w:rsidP="00E232AA">
      <w:pPr>
        <w:contextualSpacing/>
        <w:rPr>
          <w:rFonts w:eastAsia="Aptos" w:cs="Arial"/>
        </w:rPr>
      </w:pPr>
    </w:p>
    <w:p w14:paraId="0A671978" w14:textId="77777777" w:rsidR="00477B14" w:rsidRPr="00477B14" w:rsidRDefault="00477B14" w:rsidP="00E232AA">
      <w:pPr>
        <w:contextualSpacing/>
        <w:rPr>
          <w:rFonts w:eastAsia="Aptos" w:cs="Arial"/>
        </w:rPr>
      </w:pPr>
      <w:r w:rsidRPr="00477B14">
        <w:rPr>
          <w:rFonts w:eastAsia="Aptos" w:cs="Arial"/>
        </w:rPr>
        <w:t>Furthermore, acquiring a health condition or disability does not necessarily equate to high levels of demand for health and care services. Many people aged 75 years and over will have one or more health conditions but may not consider that their health condition has, or conditions have, a significant impact on their life. Older people also provide significant amount of time and energy caring for others.</w:t>
      </w:r>
    </w:p>
    <w:p w14:paraId="3048C69E" w14:textId="77777777" w:rsidR="00477B14" w:rsidRPr="00477B14" w:rsidRDefault="00477B14" w:rsidP="00E232AA">
      <w:pPr>
        <w:contextualSpacing/>
        <w:rPr>
          <w:rFonts w:eastAsia="Aptos" w:cs="Arial"/>
        </w:rPr>
      </w:pPr>
    </w:p>
    <w:p w14:paraId="72F873D0" w14:textId="77777777" w:rsidR="00477B14" w:rsidRPr="00477B14" w:rsidRDefault="00477B14" w:rsidP="00E232AA">
      <w:pPr>
        <w:contextualSpacing/>
        <w:rPr>
          <w:rFonts w:eastAsia="Aptos" w:cs="Arial"/>
        </w:rPr>
      </w:pPr>
      <w:r w:rsidRPr="00477B14">
        <w:rPr>
          <w:rFonts w:eastAsia="Aptos" w:cs="Arial"/>
        </w:rPr>
        <w:lastRenderedPageBreak/>
        <w:t>The population of Swansea fell by 0.2% from around 239,000 in 2011 to around 238,500 in 2021. Between the last two censuses, the average (median) age of Swansea increased by two years, from 39 to 41 years of age. A lower average (median) age than nearby Carmarthenshire (46 years) and a slightly lower average (median) age than Wales as a whole (42 years). The number of people aged 65 to 74 years rose by just under 3,700 (an increase of 16.6%), while the number of residents between 35 and 49 years fell by around 4,600 (9.7% decrease)</w:t>
      </w:r>
      <w:r w:rsidRPr="00477B14">
        <w:rPr>
          <w:rFonts w:eastAsia="Aptos" w:cs="Arial"/>
          <w:vertAlign w:val="superscript"/>
        </w:rPr>
        <w:footnoteReference w:id="140"/>
      </w:r>
      <w:r w:rsidRPr="00477B14">
        <w:rPr>
          <w:rFonts w:eastAsia="Aptos" w:cs="Arial"/>
        </w:rPr>
        <w:t>.</w:t>
      </w:r>
    </w:p>
    <w:p w14:paraId="407FD94A" w14:textId="77777777" w:rsidR="00477B14" w:rsidRPr="00477B14" w:rsidRDefault="00477B14" w:rsidP="00E232AA">
      <w:pPr>
        <w:contextualSpacing/>
        <w:rPr>
          <w:rFonts w:eastAsia="Aptos" w:cs="Arial"/>
        </w:rPr>
      </w:pPr>
    </w:p>
    <w:p w14:paraId="03BFC6ED" w14:textId="77777777" w:rsidR="00477B14" w:rsidRPr="00477B14" w:rsidRDefault="00477B14" w:rsidP="00E232AA">
      <w:pPr>
        <w:contextualSpacing/>
        <w:rPr>
          <w:rFonts w:eastAsia="Aptos" w:cs="Arial"/>
        </w:rPr>
      </w:pPr>
      <w:r w:rsidRPr="00477B14">
        <w:rPr>
          <w:rFonts w:eastAsia="Aptos" w:cs="Arial"/>
        </w:rPr>
        <w:t>The population of Neath Port Talbot increased by 1.8% from around 139,800 in 2011 to around 142,300 in 2021; a greater increase than for Wales as a whole which increased by 1.4%, from 3,063,000 to 3,107,000. Between the last two censuses, the average (median) age of Neath Port Talbot increased by one year, from 42 to 43 years of age, a slightly higher average (median) age than Wales as a whole (42 years). The number of people aged 65 to 74 years rose by just under 2,800 (an increase of 19.8%), while the number of residents between 35 and 49 years fell by just under 3,300 (11.4% decrease).</w:t>
      </w:r>
      <w:r w:rsidRPr="00477B14">
        <w:rPr>
          <w:rFonts w:eastAsia="Aptos" w:cs="Arial"/>
          <w:vertAlign w:val="superscript"/>
        </w:rPr>
        <w:footnoteReference w:id="141"/>
      </w:r>
    </w:p>
    <w:p w14:paraId="6F3F19CF" w14:textId="77777777" w:rsidR="00477B14" w:rsidRPr="00477B14" w:rsidRDefault="00477B14" w:rsidP="00E232AA">
      <w:pPr>
        <w:contextualSpacing/>
        <w:rPr>
          <w:rFonts w:eastAsia="Aptos" w:cs="Arial"/>
        </w:rPr>
      </w:pPr>
    </w:p>
    <w:p w14:paraId="62CDFE60" w14:textId="77777777" w:rsidR="00477B14" w:rsidRPr="00477B14" w:rsidRDefault="00477B14" w:rsidP="00E232AA">
      <w:pPr>
        <w:contextualSpacing/>
        <w:rPr>
          <w:rFonts w:eastAsia="Aptos" w:cs="Arial"/>
        </w:rPr>
      </w:pPr>
      <w:r w:rsidRPr="00477B14">
        <w:rPr>
          <w:rFonts w:eastAsia="Aptos" w:cs="Arial"/>
        </w:rPr>
        <w:t>For older people:</w:t>
      </w:r>
    </w:p>
    <w:p w14:paraId="13A4A389" w14:textId="77777777" w:rsidR="00477B14" w:rsidRPr="00477B14" w:rsidRDefault="00477B14" w:rsidP="00E232AA">
      <w:pPr>
        <w:contextualSpacing/>
        <w:rPr>
          <w:rFonts w:eastAsia="Aptos" w:cs="Arial"/>
        </w:rPr>
      </w:pPr>
    </w:p>
    <w:p w14:paraId="2E227F82" w14:textId="0BAED1DB" w:rsidR="00477B14" w:rsidRPr="00477B14" w:rsidRDefault="00477B14" w:rsidP="00B76905">
      <w:pPr>
        <w:numPr>
          <w:ilvl w:val="0"/>
          <w:numId w:val="65"/>
        </w:numPr>
        <w:contextualSpacing/>
        <w:rPr>
          <w:rFonts w:eastAsia="Aptos" w:cs="Arial"/>
        </w:rPr>
      </w:pPr>
      <w:r w:rsidRPr="00477B14">
        <w:rPr>
          <w:rFonts w:eastAsia="Aptos" w:cs="Arial"/>
        </w:rPr>
        <w:t>Age is the single biggest factor associated with having a long-term condition with two</w:t>
      </w:r>
      <w:r w:rsidRPr="00477B14">
        <w:rPr>
          <w:rFonts w:eastAsia="Aptos" w:cs="Arial"/>
        </w:rPr>
        <w:noBreakHyphen/>
        <w:t>thirds (66%) of people aged 65 and over in Wales reporting they have at least one long</w:t>
      </w:r>
      <w:r w:rsidRPr="00477B14">
        <w:rPr>
          <w:rFonts w:eastAsia="Aptos" w:cs="Arial"/>
        </w:rPr>
        <w:noBreakHyphen/>
        <w:t>term or chronic condition. One third (33%) of older adults (65+) have multiple long</w:t>
      </w:r>
      <w:r w:rsidRPr="00477B14">
        <w:rPr>
          <w:rFonts w:eastAsia="Aptos" w:cs="Arial"/>
        </w:rPr>
        <w:noBreakHyphen/>
        <w:t>term conditions (multimorbidity) and over. three</w:t>
      </w:r>
      <w:r w:rsidRPr="00477B14">
        <w:rPr>
          <w:rFonts w:eastAsia="Aptos" w:cs="Arial"/>
        </w:rPr>
        <w:noBreakHyphen/>
        <w:t>quarters of people aged 85+ report having a limiting long</w:t>
      </w:r>
      <w:r w:rsidRPr="00477B14">
        <w:rPr>
          <w:rFonts w:eastAsia="Aptos" w:cs="Arial"/>
        </w:rPr>
        <w:noBreakHyphen/>
        <w:t>term illness.</w:t>
      </w:r>
      <w:r w:rsidR="00AF0839" w:rsidRPr="00D0306F">
        <w:rPr>
          <w:rStyle w:val="FootnoteReference"/>
          <w:rFonts w:eastAsia="Aptos"/>
        </w:rPr>
        <w:footnoteReference w:id="142"/>
      </w:r>
    </w:p>
    <w:p w14:paraId="7C8275AA" w14:textId="69AB8134" w:rsidR="00477B14" w:rsidRPr="00477B14" w:rsidRDefault="00477B14" w:rsidP="00B76905">
      <w:pPr>
        <w:numPr>
          <w:ilvl w:val="0"/>
          <w:numId w:val="65"/>
        </w:numPr>
        <w:contextualSpacing/>
        <w:rPr>
          <w:rFonts w:eastAsia="Aptos" w:cs="Arial"/>
        </w:rPr>
      </w:pPr>
      <w:r w:rsidRPr="00477B14">
        <w:rPr>
          <w:rFonts w:eastAsia="Aptos" w:cs="Arial"/>
        </w:rPr>
        <w:t>Public Health Wales provided a written response in June 2023 to the Health and Social Care Committee on supporting people with chronic conditions</w:t>
      </w:r>
      <w:r w:rsidR="00AF0839" w:rsidRPr="00D0306F">
        <w:rPr>
          <w:rStyle w:val="FootnoteReference"/>
          <w:rFonts w:eastAsia="Aptos"/>
        </w:rPr>
        <w:footnoteReference w:id="143"/>
      </w:r>
      <w:r w:rsidRPr="00477B14">
        <w:rPr>
          <w:rFonts w:eastAsia="Aptos" w:cs="Arial"/>
        </w:rPr>
        <w:t xml:space="preserve"> which noted that a “considerable proportion of the burden of disease and ill</w:t>
      </w:r>
      <w:r w:rsidRPr="00477B14">
        <w:rPr>
          <w:rFonts w:eastAsia="Aptos" w:cs="Arial"/>
        </w:rPr>
        <w:noBreakHyphen/>
        <w:t xml:space="preserve">health in Wales is preventable” by addressing behavioural (lifestyle) risk factors such as smoking, excessive alcohol consumption, unhealthy diets and physical inactivity. </w:t>
      </w:r>
    </w:p>
    <w:p w14:paraId="33E8F9FD" w14:textId="77777777" w:rsidR="00477B14" w:rsidRPr="00477B14" w:rsidRDefault="00477B14" w:rsidP="00B76905">
      <w:pPr>
        <w:numPr>
          <w:ilvl w:val="0"/>
          <w:numId w:val="65"/>
        </w:numPr>
        <w:contextualSpacing/>
        <w:rPr>
          <w:rFonts w:eastAsia="Aptos" w:cs="Arial"/>
        </w:rPr>
      </w:pPr>
      <w:r w:rsidRPr="00477B14">
        <w:rPr>
          <w:rFonts w:eastAsia="Aptos" w:cs="Arial"/>
        </w:rPr>
        <w:t xml:space="preserve">Unhealthy behaviours are common in older people too, just as with the rest of the population. Behaviours such as smoking, excessive alcohol consumption, unhealthy diets and physical inactivity are major cause of long-term conditions. In particular, there is concern over significant numbers of older people who drink excessive alcohol. </w:t>
      </w:r>
    </w:p>
    <w:p w14:paraId="0BCB22E0" w14:textId="77777777" w:rsidR="00477B14" w:rsidRPr="00477B14" w:rsidRDefault="00477B14" w:rsidP="00B76905">
      <w:pPr>
        <w:numPr>
          <w:ilvl w:val="1"/>
          <w:numId w:val="65"/>
        </w:numPr>
        <w:contextualSpacing/>
        <w:rPr>
          <w:rFonts w:eastAsia="Aptos" w:cs="Arial"/>
        </w:rPr>
      </w:pPr>
      <w:r w:rsidRPr="00477B14">
        <w:rPr>
          <w:rFonts w:eastAsia="Aptos" w:cs="Arial"/>
        </w:rPr>
        <w:t>Cigarette smoking is implicated in eight of the top fourteen causes of death for people 65 years of age or older. Smoking causes disabling and fatal disease, including lung and other cancers, heart and circulatory diseases, and respiratory diseases such as emphysema. It also accelerates the rate of decline of bone density during ageing. At age 70 years, smokers have less dense bones and a higher risk of fractures than non-smokers. Female smokers are at greater risk for post-menopausal osteoporosis. Half of long-term smokers die of tobacco related illnesses, most prematurely, and many suffer from a variety of chronic conditions related to smoking.</w:t>
      </w:r>
    </w:p>
    <w:p w14:paraId="0B059530" w14:textId="77777777" w:rsidR="00477B14" w:rsidRPr="00477B14" w:rsidRDefault="00477B14" w:rsidP="00B76905">
      <w:pPr>
        <w:numPr>
          <w:ilvl w:val="1"/>
          <w:numId w:val="65"/>
        </w:numPr>
        <w:contextualSpacing/>
        <w:rPr>
          <w:rFonts w:eastAsia="Aptos" w:cs="Arial"/>
        </w:rPr>
      </w:pPr>
      <w:r w:rsidRPr="00477B14">
        <w:rPr>
          <w:rFonts w:eastAsia="Aptos" w:cs="Arial"/>
        </w:rPr>
        <w:lastRenderedPageBreak/>
        <w:t>Even modest alcohol use in old age may be potentially harmful as a contributor to falls, compromised memory, medicine mismanagement, inadequate diet and limitations on independent living.</w:t>
      </w:r>
    </w:p>
    <w:p w14:paraId="7039138C" w14:textId="77777777" w:rsidR="00477B14" w:rsidRPr="00477B14" w:rsidRDefault="00477B14" w:rsidP="00B76905">
      <w:pPr>
        <w:numPr>
          <w:ilvl w:val="0"/>
          <w:numId w:val="66"/>
        </w:numPr>
        <w:contextualSpacing/>
        <w:rPr>
          <w:rFonts w:eastAsia="Aptos" w:cs="Arial"/>
        </w:rPr>
      </w:pPr>
      <w:r w:rsidRPr="00477B14">
        <w:rPr>
          <w:rFonts w:eastAsia="Calibri" w:cs="Arial"/>
          <w:kern w:val="0"/>
          <w14:ligatures w14:val="none"/>
        </w:rPr>
        <w:t>Falls are a major public health concern, particularly for older adults, with over one</w:t>
      </w:r>
      <w:r w:rsidRPr="00477B14">
        <w:rPr>
          <w:rFonts w:eastAsia="Calibri" w:cs="Arial"/>
          <w:kern w:val="0"/>
          <w14:ligatures w14:val="none"/>
        </w:rPr>
        <w:noBreakHyphen/>
        <w:t>third of people aged 65 years and over falling each year. Over 700 older people in Wales are expected to die from a fall each year, with 7,750 requiring hospital</w:t>
      </w:r>
      <w:r w:rsidRPr="00477B14">
        <w:rPr>
          <w:rFonts w:eastAsia="Calibri" w:cs="Arial"/>
          <w:kern w:val="0"/>
          <w14:ligatures w14:val="none"/>
        </w:rPr>
        <w:noBreakHyphen/>
        <w:t>based treatment, and more than 132,000 experiencing repeated falls in their home. Falls generate significant psychological and physical impact, often leading to isolation, anxiety, and reduced independence.</w:t>
      </w:r>
      <w:r w:rsidRPr="00477B14">
        <w:rPr>
          <w:rFonts w:eastAsia="Calibri" w:cs="Arial"/>
          <w:kern w:val="0"/>
          <w:vertAlign w:val="superscript"/>
          <w14:ligatures w14:val="none"/>
        </w:rPr>
        <w:footnoteReference w:id="144"/>
      </w:r>
    </w:p>
    <w:p w14:paraId="58AFDC24" w14:textId="77777777" w:rsidR="00477B14" w:rsidRPr="00477B14" w:rsidRDefault="00477B14" w:rsidP="00B76905">
      <w:pPr>
        <w:numPr>
          <w:ilvl w:val="0"/>
          <w:numId w:val="66"/>
        </w:numPr>
        <w:contextualSpacing/>
        <w:rPr>
          <w:rFonts w:eastAsia="Aptos" w:cs="Arial"/>
        </w:rPr>
      </w:pPr>
      <w:r w:rsidRPr="00477B14">
        <w:rPr>
          <w:rFonts w:eastAsia="Aptos" w:cs="Arial"/>
        </w:rPr>
        <w:t>Older people, particularly those who are frail, often suffer with a combination of problems that have an impact on the way they connect with others. This could be because they have problems walking steadily, remembering things, or hearing and seeing well. All these things affect people’s confidence and ability to get out and about and live their lives.</w:t>
      </w:r>
    </w:p>
    <w:p w14:paraId="6D9D3BB3" w14:textId="77777777" w:rsidR="00477B14" w:rsidRPr="00477B14" w:rsidRDefault="00477B14" w:rsidP="00B76905">
      <w:pPr>
        <w:numPr>
          <w:ilvl w:val="0"/>
          <w:numId w:val="66"/>
        </w:numPr>
        <w:contextualSpacing/>
        <w:rPr>
          <w:rFonts w:eastAsia="Aptos" w:cs="Arial"/>
        </w:rPr>
      </w:pPr>
      <w:r w:rsidRPr="00477B14">
        <w:rPr>
          <w:rFonts w:eastAsia="Aptos" w:cs="Arial"/>
        </w:rPr>
        <w:t>Feeling lonely or unconnected to friends can have a very negative effect on wellbeing and health. It is associated with poor mental health and conditions such as cardiovascular disease, hypertension and dementia.</w:t>
      </w:r>
      <w:r w:rsidRPr="00477B14">
        <w:rPr>
          <w:rFonts w:eastAsia="Aptos" w:cs="Arial"/>
          <w:shd w:val="clear" w:color="auto" w:fill="FFFFFF"/>
        </w:rPr>
        <w:t xml:space="preserve"> The lockdown restrictions imposed during the Covid-19 pandemic in 2020, are likely to have exacerbated these issues across all age groups.</w:t>
      </w:r>
      <w:r w:rsidRPr="00477B14">
        <w:rPr>
          <w:rFonts w:eastAsia="Aptos" w:cs="Arial"/>
        </w:rPr>
        <w:t xml:space="preserve"> Loneliness also has a much wider public health impact too, as it is associated with a number of negative health outcomes including mortality, morbidity, depression and suicide. Lonely people tend to make more use of health and social care services and are more likely to have early admission to residential or nursing care. Looking at different ways of making sure that older people stay in touch with the things that matter to them and that there are opportunities for older people to stay active and connected are important.</w:t>
      </w:r>
    </w:p>
    <w:p w14:paraId="44082E13" w14:textId="77777777" w:rsidR="00477B14" w:rsidRPr="00477B14" w:rsidRDefault="00477B14" w:rsidP="00B76905">
      <w:pPr>
        <w:numPr>
          <w:ilvl w:val="0"/>
          <w:numId w:val="66"/>
        </w:numPr>
        <w:contextualSpacing/>
        <w:rPr>
          <w:rFonts w:eastAsia="Calibri" w:cs="Arial"/>
          <w:kern w:val="0"/>
          <w14:ligatures w14:val="none"/>
        </w:rPr>
      </w:pPr>
      <w:r w:rsidRPr="00477B14">
        <w:rPr>
          <w:rFonts w:eastAsia="Aptos" w:cs="Arial"/>
        </w:rPr>
        <w:t>Information from the Census 2021</w:t>
      </w:r>
      <w:r w:rsidRPr="00477B14">
        <w:rPr>
          <w:rFonts w:eastAsia="Aptos" w:cs="Arial"/>
          <w:vertAlign w:val="superscript"/>
        </w:rPr>
        <w:footnoteReference w:id="145"/>
      </w:r>
      <w:r w:rsidRPr="00477B14">
        <w:rPr>
          <w:rFonts w:eastAsia="Aptos" w:cs="Arial"/>
        </w:rPr>
        <w:t xml:space="preserve"> showed that 24,293 people aged 66 years and over live alone in Swansea Bay University Health Board’s area, which equates to 14.5% of the population. </w:t>
      </w:r>
      <w:r w:rsidRPr="00477B14">
        <w:rPr>
          <w:rFonts w:eastAsia="Calibri" w:cs="Arial"/>
          <w:kern w:val="0"/>
          <w:shd w:val="clear" w:color="auto" w:fill="FFFFFF"/>
          <w14:ligatures w14:val="none"/>
        </w:rPr>
        <w:t>Without the means to leave their homes, or with fewer visits from community workers and service providers, an increasing number of older people will feel lonely and isolated resulting in damaging effects to their mental health.</w:t>
      </w:r>
    </w:p>
    <w:p w14:paraId="08DC660C" w14:textId="77777777" w:rsidR="00477B14" w:rsidRPr="00477B14" w:rsidRDefault="00477B14" w:rsidP="00B76905">
      <w:pPr>
        <w:numPr>
          <w:ilvl w:val="0"/>
          <w:numId w:val="66"/>
        </w:numPr>
        <w:contextualSpacing/>
        <w:rPr>
          <w:rFonts w:eastAsia="Aptos" w:cs="Arial"/>
        </w:rPr>
      </w:pPr>
      <w:r w:rsidRPr="00477B14">
        <w:rPr>
          <w:rFonts w:eastAsia="Aptos" w:cs="Arial"/>
        </w:rPr>
        <w:t>Depression is a common mental heal need for older people. Age Cymru hosted an event in April 2024, which highlighted the gap between the current levels of investment in older people’s mental health and the pressing needs across Wales. The event spotlighted some key statistics regarding poor mental health among older demographics in Wales including 22% of men and 28% of women over 65 suffering from depression, with 30% of older carers experiencing depression at some point. It also highlighted that older individuals experiencing bereavement are four times more likely to suffer from depression.</w:t>
      </w:r>
      <w:r w:rsidRPr="00477B14">
        <w:rPr>
          <w:rFonts w:eastAsia="Calibri" w:cs="Arial"/>
          <w:kern w:val="0"/>
          <w:vertAlign w:val="superscript"/>
          <w14:ligatures w14:val="none"/>
        </w:rPr>
        <w:footnoteReference w:id="146"/>
      </w:r>
    </w:p>
    <w:p w14:paraId="0A43975B" w14:textId="77777777" w:rsidR="00477B14" w:rsidRPr="00477B14" w:rsidRDefault="00477B14" w:rsidP="00B76905">
      <w:pPr>
        <w:numPr>
          <w:ilvl w:val="0"/>
          <w:numId w:val="66"/>
        </w:numPr>
        <w:contextualSpacing/>
        <w:rPr>
          <w:rFonts w:eastAsia="Aptos" w:cs="Arial"/>
        </w:rPr>
      </w:pPr>
      <w:r w:rsidRPr="00477B14">
        <w:rPr>
          <w:rFonts w:eastAsia="Aptos" w:cs="Arial"/>
        </w:rPr>
        <w:t>Dementia is the leading cause of deaths in England and Wales. Welsh Government estimates there to be 42,000 people over the age of 65 living with dementia in Wales, but Alzheimer’s Society Cymru</w:t>
      </w:r>
      <w:r w:rsidRPr="00477B14">
        <w:rPr>
          <w:rFonts w:eastAsia="Calibri" w:cs="Arial"/>
          <w:kern w:val="0"/>
          <w:vertAlign w:val="superscript"/>
          <w14:ligatures w14:val="none"/>
        </w:rPr>
        <w:footnoteReference w:id="147"/>
      </w:r>
      <w:r w:rsidRPr="00477B14">
        <w:rPr>
          <w:rFonts w:eastAsia="Aptos" w:cs="Arial"/>
        </w:rPr>
        <w:t xml:space="preserve"> estimates suggest </w:t>
      </w:r>
      <w:r w:rsidRPr="00477B14">
        <w:rPr>
          <w:rFonts w:eastAsia="Aptos" w:cs="Arial"/>
        </w:rPr>
        <w:lastRenderedPageBreak/>
        <w:t>the total number could be as high as 51,000. This figure is set to rise by 37% to almost 70,000 people by 2040. Developing dementia supportive communities is crucial to the wellbeing of older people, especially the thousands of people living with dementia, regardless of official diagnosis, and the people around them that are also affected. The Welsh Government will be publishing a new Dementia Strategy (2026 – 2036) in 2026, replacing the Dementia Action Plan published in 2018</w:t>
      </w:r>
      <w:r w:rsidRPr="00477B14">
        <w:rPr>
          <w:rFonts w:eastAsia="Aptos" w:cs="Arial"/>
          <w:vertAlign w:val="superscript"/>
        </w:rPr>
        <w:footnoteReference w:id="148"/>
      </w:r>
      <w:r w:rsidRPr="00477B14">
        <w:rPr>
          <w:rFonts w:eastAsia="Aptos" w:cs="Arial"/>
        </w:rPr>
        <w:t>, and subsequent Companion Document in 2021. The 2026 Dementia Strategy aims to improve dementia care and support across Wales. Consultation on the draft strategy ended on 6 April 2026.</w:t>
      </w:r>
    </w:p>
    <w:p w14:paraId="5E122BFD" w14:textId="77777777" w:rsidR="00477B14" w:rsidRPr="00477B14" w:rsidRDefault="00477B14" w:rsidP="00B76905">
      <w:pPr>
        <w:numPr>
          <w:ilvl w:val="0"/>
          <w:numId w:val="66"/>
        </w:numPr>
        <w:contextualSpacing/>
        <w:rPr>
          <w:rFonts w:eastAsia="Aptos" w:cs="Arial"/>
        </w:rPr>
      </w:pPr>
      <w:r w:rsidRPr="00477B14">
        <w:rPr>
          <w:rFonts w:eastAsia="Aptos" w:cs="Arial"/>
        </w:rPr>
        <w:t>Promote and provide influenza vaccination to ensure targets for those over the age of 65 years are met.</w:t>
      </w:r>
    </w:p>
    <w:p w14:paraId="7A2E7002" w14:textId="77777777" w:rsidR="00477B14" w:rsidRPr="00477B14" w:rsidRDefault="00477B14" w:rsidP="00B76905">
      <w:pPr>
        <w:numPr>
          <w:ilvl w:val="0"/>
          <w:numId w:val="66"/>
        </w:numPr>
        <w:contextualSpacing/>
        <w:rPr>
          <w:rFonts w:eastAsia="Aptos" w:cs="Arial"/>
          <w:lang w:eastAsia="en-GB"/>
        </w:rPr>
      </w:pPr>
      <w:r w:rsidRPr="00477B14">
        <w:rPr>
          <w:rFonts w:eastAsia="Aptos" w:cs="Arial"/>
          <w:lang w:eastAsia="en-GB"/>
        </w:rPr>
        <w:t>Good physical health has a significant beneficial impact on health and wellbeing in older age; the ability to be physically active improves muscle strength and emotional health whilst reducing risk of falls and isolation.</w:t>
      </w:r>
    </w:p>
    <w:p w14:paraId="628BFA88" w14:textId="77777777" w:rsidR="00477B14" w:rsidRPr="00477B14" w:rsidRDefault="00477B14" w:rsidP="00B76905">
      <w:pPr>
        <w:numPr>
          <w:ilvl w:val="0"/>
          <w:numId w:val="67"/>
        </w:numPr>
        <w:contextualSpacing/>
        <w:rPr>
          <w:rFonts w:eastAsia="Aptos" w:cs="Arial"/>
          <w:lang w:eastAsia="en-GB"/>
        </w:rPr>
      </w:pPr>
      <w:r w:rsidRPr="00477B14">
        <w:rPr>
          <w:rFonts w:eastAsia="Aptos" w:cs="Arial"/>
          <w:lang w:eastAsia="en-GB"/>
        </w:rPr>
        <w:t>A Welsh study</w:t>
      </w:r>
      <w:r w:rsidRPr="00477B14">
        <w:rPr>
          <w:rFonts w:eastAsia="Times New Roman" w:cs="Arial"/>
          <w:color w:val="000000"/>
          <w:kern w:val="0"/>
          <w:vertAlign w:val="superscript"/>
          <w:lang w:eastAsia="en-GB"/>
          <w14:ligatures w14:val="none"/>
        </w:rPr>
        <w:footnoteReference w:id="149"/>
      </w:r>
      <w:r w:rsidRPr="00477B14">
        <w:rPr>
          <w:rFonts w:eastAsia="Aptos" w:cs="Arial"/>
          <w:vertAlign w:val="superscript"/>
        </w:rPr>
        <w:t>,</w:t>
      </w:r>
      <w:r w:rsidRPr="00477B14">
        <w:rPr>
          <w:rFonts w:eastAsia="Times New Roman" w:cs="Arial"/>
          <w:color w:val="000000"/>
          <w:kern w:val="0"/>
          <w:vertAlign w:val="superscript"/>
          <w:lang w:eastAsia="en-GB"/>
          <w14:ligatures w14:val="none"/>
        </w:rPr>
        <w:footnoteReference w:id="150"/>
      </w:r>
      <w:r w:rsidRPr="00477B14">
        <w:rPr>
          <w:rFonts w:eastAsia="Aptos" w:cs="Arial"/>
          <w:lang w:eastAsia="en-GB"/>
        </w:rPr>
        <w:t xml:space="preserve"> funded by Health and Care Research Wales in collaboration with Cardiff University, explored how to improve lives of people living with vision impairment. In 2020, over 1,000 people in Wales were formally registered as sight impaired or severely sight impaired. Vision impairment is one of the most common disabling conditions in older people that affects every day lives, including relationships and social connections.</w:t>
      </w:r>
    </w:p>
    <w:p w14:paraId="2F170C59" w14:textId="77777777" w:rsidR="00477B14" w:rsidRPr="00477B14" w:rsidRDefault="00477B14" w:rsidP="00B76905">
      <w:pPr>
        <w:numPr>
          <w:ilvl w:val="0"/>
          <w:numId w:val="67"/>
        </w:numPr>
        <w:contextualSpacing/>
        <w:rPr>
          <w:rFonts w:eastAsia="Aptos" w:cs="Arial"/>
        </w:rPr>
      </w:pPr>
      <w:r w:rsidRPr="00477B14">
        <w:rPr>
          <w:rFonts w:eastAsia="Aptos" w:cs="Arial"/>
          <w:lang w:eastAsia="en-GB"/>
        </w:rPr>
        <w:t>Sight loss is a significant public health issue, particularly for older people, as it can affect physical and mental health and a person’s independence, making people more likely to have a fall or become socially isolated.</w:t>
      </w:r>
    </w:p>
    <w:p w14:paraId="22417D1D" w14:textId="77777777" w:rsidR="00477B14" w:rsidRPr="00477B14" w:rsidRDefault="00477B14" w:rsidP="00E232AA">
      <w:pPr>
        <w:contextualSpacing/>
        <w:rPr>
          <w:rFonts w:eastAsia="Aptos" w:cs="Arial"/>
        </w:rPr>
      </w:pPr>
    </w:p>
    <w:p w14:paraId="45697FA7" w14:textId="77777777" w:rsidR="00477B14" w:rsidRPr="00477B14" w:rsidRDefault="00477B14" w:rsidP="00E232AA">
      <w:pPr>
        <w:contextualSpacing/>
        <w:rPr>
          <w:rFonts w:eastAsia="Aptos" w:cs="Arial"/>
        </w:rPr>
      </w:pPr>
      <w:r w:rsidRPr="00477B14">
        <w:rPr>
          <w:rFonts w:eastAsia="Aptos" w:cs="Arial"/>
        </w:rPr>
        <w:t>For children and young people:</w:t>
      </w:r>
    </w:p>
    <w:p w14:paraId="7B52F365" w14:textId="77777777" w:rsidR="00477B14" w:rsidRPr="00477B14" w:rsidRDefault="00477B14" w:rsidP="00E232AA">
      <w:pPr>
        <w:ind w:left="720" w:hanging="720"/>
        <w:contextualSpacing/>
        <w:rPr>
          <w:rFonts w:eastAsia="Aptos" w:cs="Arial"/>
        </w:rPr>
      </w:pPr>
    </w:p>
    <w:p w14:paraId="38505FB4" w14:textId="77777777" w:rsidR="00477B14" w:rsidRPr="00477B14" w:rsidRDefault="00477B14" w:rsidP="00B76905">
      <w:pPr>
        <w:numPr>
          <w:ilvl w:val="0"/>
          <w:numId w:val="68"/>
        </w:numPr>
        <w:contextualSpacing/>
        <w:rPr>
          <w:rFonts w:eastAsia="Aptos" w:cs="Arial"/>
        </w:rPr>
      </w:pPr>
      <w:r w:rsidRPr="00477B14">
        <w:rPr>
          <w:rFonts w:eastAsia="Aptos" w:cs="Arial"/>
        </w:rPr>
        <w:t>There is evidence that the first one thousand days of life</w:t>
      </w:r>
      <w:r w:rsidRPr="00477B14">
        <w:rPr>
          <w:rFonts w:eastAsia="Aptos" w:cs="Arial"/>
          <w:vertAlign w:val="superscript"/>
        </w:rPr>
        <w:footnoteReference w:id="151"/>
      </w:r>
      <w:r w:rsidRPr="00477B14">
        <w:rPr>
          <w:rFonts w:eastAsia="Aptos" w:cs="Arial"/>
        </w:rPr>
        <w:t xml:space="preserve"> (this includes before the child is born, up until they are two years old) have a significant effect on the rest of the child’s life. As Cymru Well Wales has explained it, “these years have a long-lasting impact on individuals and families. They shape the destiny for children as they grow up: their educational achievements, their ability to secure an income, their influences on their own children, and their health in older age”.</w:t>
      </w:r>
    </w:p>
    <w:p w14:paraId="7E745986" w14:textId="77777777" w:rsidR="00477B14" w:rsidRPr="00477B14" w:rsidRDefault="00477B14" w:rsidP="00B76905">
      <w:pPr>
        <w:numPr>
          <w:ilvl w:val="0"/>
          <w:numId w:val="68"/>
        </w:numPr>
        <w:contextualSpacing/>
        <w:rPr>
          <w:rFonts w:eastAsia="Aptos" w:cs="Arial"/>
        </w:rPr>
      </w:pPr>
      <w:r w:rsidRPr="00477B14">
        <w:rPr>
          <w:rFonts w:eastAsia="Aptos" w:cs="Arial"/>
        </w:rPr>
        <w:t>Children born into poverty are more likely to be adults with poor health than those born into affluence.</w:t>
      </w:r>
    </w:p>
    <w:p w14:paraId="509B616A" w14:textId="77777777" w:rsidR="00477B14" w:rsidRPr="00477B14" w:rsidRDefault="00477B14" w:rsidP="00B76905">
      <w:pPr>
        <w:numPr>
          <w:ilvl w:val="0"/>
          <w:numId w:val="68"/>
        </w:numPr>
        <w:contextualSpacing/>
        <w:rPr>
          <w:rFonts w:eastAsia="Aptos" w:cs="Arial"/>
        </w:rPr>
      </w:pPr>
      <w:r w:rsidRPr="00477B14">
        <w:rPr>
          <w:rFonts w:eastAsia="Aptos" w:cs="Arial"/>
        </w:rPr>
        <w:t>The importance of breastfeeding is well evidenced to provide health benefits for both mother and baby to promote attachment, however young mothers are amongst the groups least likely to breastfeed.</w:t>
      </w:r>
    </w:p>
    <w:p w14:paraId="73F50389" w14:textId="77777777" w:rsidR="00477B14" w:rsidRPr="00477B14" w:rsidRDefault="00477B14" w:rsidP="00B76905">
      <w:pPr>
        <w:numPr>
          <w:ilvl w:val="0"/>
          <w:numId w:val="68"/>
        </w:numPr>
        <w:contextualSpacing/>
        <w:rPr>
          <w:rFonts w:eastAsia="Aptos" w:cs="Arial"/>
        </w:rPr>
      </w:pPr>
      <w:r w:rsidRPr="00477B14">
        <w:rPr>
          <w:rFonts w:eastAsia="Aptos" w:cs="Arial"/>
        </w:rPr>
        <w:t>A baby born to a mother who is obese and smokes throughout pregnancy, is at greater risk of developing unhealthy lifestyles in the future which render them at greater risk of serious chronic conditions which will impact on their quality of life and their life expectancy.</w:t>
      </w:r>
    </w:p>
    <w:p w14:paraId="19958B6B" w14:textId="77777777" w:rsidR="00477B14" w:rsidRPr="00477B14" w:rsidRDefault="00477B14" w:rsidP="00B76905">
      <w:pPr>
        <w:numPr>
          <w:ilvl w:val="0"/>
          <w:numId w:val="68"/>
        </w:numPr>
        <w:contextualSpacing/>
        <w:rPr>
          <w:rFonts w:eastAsia="Aptos" w:cs="Arial"/>
        </w:rPr>
      </w:pPr>
      <w:r w:rsidRPr="00477B14">
        <w:rPr>
          <w:rFonts w:eastAsia="Aptos" w:cs="Arial"/>
        </w:rPr>
        <w:lastRenderedPageBreak/>
        <w:t>Some children go through physical, emotional or sexual abuse or live in families where there is parental separation, substance misuse, domestic violence, or mental illness; these are called adverse childhood experiences. Adverse childhood experiences are stressful experiences occurring during childhood that directly harm a child or affect the environment in which the child lives in and can continue to harm the health of children throughout their life.</w:t>
      </w:r>
    </w:p>
    <w:p w14:paraId="19124A09" w14:textId="77777777" w:rsidR="00477B14" w:rsidRPr="00477B14" w:rsidRDefault="00477B14" w:rsidP="00B76905">
      <w:pPr>
        <w:numPr>
          <w:ilvl w:val="0"/>
          <w:numId w:val="68"/>
        </w:numPr>
        <w:contextualSpacing/>
        <w:rPr>
          <w:rFonts w:eastAsia="Aptos" w:cs="Arial"/>
        </w:rPr>
      </w:pPr>
      <w:r w:rsidRPr="00477B14">
        <w:rPr>
          <w:rFonts w:eastAsia="Aptos" w:cs="Arial"/>
        </w:rPr>
        <w:t>In 2016, Public Health Wales published the first Welsh adverse childhood experiences study</w:t>
      </w:r>
      <w:r w:rsidRPr="00477B14">
        <w:rPr>
          <w:rFonts w:eastAsia="Calibri" w:cs="Arial"/>
          <w:kern w:val="0"/>
          <w:vertAlign w:val="superscript"/>
          <w14:ligatures w14:val="none"/>
        </w:rPr>
        <w:footnoteReference w:id="152"/>
      </w:r>
      <w:r w:rsidRPr="00477B14">
        <w:rPr>
          <w:rFonts w:eastAsia="Aptos" w:cs="Arial"/>
        </w:rPr>
        <w:t>. It revealed that 47% of adults in Wales experienced at least one adverse childhood experience in their childhood, and 14% suffered four or more. Adverse childhood experiences cause long lasting health harms which continue into adulthood and older age.</w:t>
      </w:r>
    </w:p>
    <w:p w14:paraId="6DAEFDA7" w14:textId="77777777" w:rsidR="00477B14" w:rsidRPr="00477B14" w:rsidRDefault="00477B14" w:rsidP="00B76905">
      <w:pPr>
        <w:numPr>
          <w:ilvl w:val="0"/>
          <w:numId w:val="68"/>
        </w:numPr>
        <w:contextualSpacing/>
        <w:rPr>
          <w:rFonts w:eastAsia="Aptos" w:cs="Arial"/>
        </w:rPr>
      </w:pPr>
      <w:r w:rsidRPr="00477B14">
        <w:rPr>
          <w:rFonts w:eastAsia="Aptos" w:cs="Arial"/>
        </w:rPr>
        <w:t>People who have experienced four or more adverse childhood experiences are:</w:t>
      </w:r>
    </w:p>
    <w:p w14:paraId="6D45ED52" w14:textId="77777777" w:rsidR="00477B14" w:rsidRPr="00477B14" w:rsidRDefault="00477B14" w:rsidP="00B76905">
      <w:pPr>
        <w:numPr>
          <w:ilvl w:val="1"/>
          <w:numId w:val="68"/>
        </w:numPr>
        <w:contextualSpacing/>
        <w:rPr>
          <w:rFonts w:eastAsia="Aptos" w:cs="Arial"/>
        </w:rPr>
      </w:pPr>
      <w:r w:rsidRPr="00477B14">
        <w:rPr>
          <w:rFonts w:eastAsia="Aptos" w:cs="Arial"/>
        </w:rPr>
        <w:t>four times more likely to be a high-risk drinker,</w:t>
      </w:r>
    </w:p>
    <w:p w14:paraId="2EAE5428" w14:textId="77777777" w:rsidR="00477B14" w:rsidRPr="00477B14" w:rsidRDefault="00477B14" w:rsidP="00B76905">
      <w:pPr>
        <w:numPr>
          <w:ilvl w:val="1"/>
          <w:numId w:val="68"/>
        </w:numPr>
        <w:contextualSpacing/>
        <w:rPr>
          <w:rFonts w:eastAsia="Aptos" w:cs="Arial"/>
        </w:rPr>
      </w:pPr>
      <w:r w:rsidRPr="00477B14">
        <w:rPr>
          <w:rFonts w:eastAsia="Aptos" w:cs="Arial"/>
        </w:rPr>
        <w:t>six times more likely to smoke,</w:t>
      </w:r>
    </w:p>
    <w:p w14:paraId="70DF55A0" w14:textId="77777777" w:rsidR="00477B14" w:rsidRPr="00477B14" w:rsidRDefault="00477B14" w:rsidP="00B76905">
      <w:pPr>
        <w:numPr>
          <w:ilvl w:val="1"/>
          <w:numId w:val="68"/>
        </w:numPr>
        <w:contextualSpacing/>
        <w:rPr>
          <w:rFonts w:eastAsia="Aptos" w:cs="Arial"/>
        </w:rPr>
      </w:pPr>
      <w:r w:rsidRPr="00477B14">
        <w:rPr>
          <w:rFonts w:eastAsia="Aptos" w:cs="Arial"/>
        </w:rPr>
        <w:t xml:space="preserve">six times more likely to have had underage sex, </w:t>
      </w:r>
    </w:p>
    <w:p w14:paraId="42E4C5D3" w14:textId="77777777" w:rsidR="00477B14" w:rsidRPr="00477B14" w:rsidRDefault="00477B14" w:rsidP="00B76905">
      <w:pPr>
        <w:numPr>
          <w:ilvl w:val="1"/>
          <w:numId w:val="68"/>
        </w:numPr>
        <w:contextualSpacing/>
        <w:rPr>
          <w:rFonts w:eastAsia="Aptos" w:cs="Arial"/>
        </w:rPr>
      </w:pPr>
      <w:r w:rsidRPr="00477B14">
        <w:rPr>
          <w:rFonts w:eastAsia="Aptos" w:cs="Arial"/>
        </w:rPr>
        <w:t>six times more likely to have had or caused unintended teenage pregnancy,</w:t>
      </w:r>
    </w:p>
    <w:p w14:paraId="5D85FC4D" w14:textId="77777777" w:rsidR="00477B14" w:rsidRPr="00477B14" w:rsidRDefault="00477B14" w:rsidP="00B76905">
      <w:pPr>
        <w:numPr>
          <w:ilvl w:val="1"/>
          <w:numId w:val="68"/>
        </w:numPr>
        <w:contextualSpacing/>
        <w:rPr>
          <w:rFonts w:eastAsia="Aptos" w:cs="Arial"/>
        </w:rPr>
      </w:pPr>
      <w:r w:rsidRPr="00477B14">
        <w:rPr>
          <w:rFonts w:eastAsia="Aptos" w:cs="Arial"/>
        </w:rPr>
        <w:t>11 times more likely to have smoked cannabis,</w:t>
      </w:r>
    </w:p>
    <w:p w14:paraId="782D0F34" w14:textId="77777777" w:rsidR="00477B14" w:rsidRPr="00477B14" w:rsidRDefault="00477B14" w:rsidP="00B76905">
      <w:pPr>
        <w:numPr>
          <w:ilvl w:val="1"/>
          <w:numId w:val="68"/>
        </w:numPr>
        <w:contextualSpacing/>
        <w:rPr>
          <w:rFonts w:eastAsia="Aptos" w:cs="Arial"/>
        </w:rPr>
      </w:pPr>
      <w:r w:rsidRPr="00477B14">
        <w:rPr>
          <w:rFonts w:eastAsia="Aptos" w:cs="Arial"/>
        </w:rPr>
        <w:t>14 times more likely to have been a victim of violence in the previous 12 months,</w:t>
      </w:r>
    </w:p>
    <w:p w14:paraId="73AD3A0B" w14:textId="77777777" w:rsidR="00477B14" w:rsidRPr="00477B14" w:rsidRDefault="00477B14" w:rsidP="00B76905">
      <w:pPr>
        <w:numPr>
          <w:ilvl w:val="1"/>
          <w:numId w:val="68"/>
        </w:numPr>
        <w:contextualSpacing/>
        <w:rPr>
          <w:rFonts w:eastAsia="Aptos" w:cs="Arial"/>
        </w:rPr>
      </w:pPr>
      <w:r w:rsidRPr="00477B14">
        <w:rPr>
          <w:rFonts w:eastAsia="Aptos" w:cs="Arial"/>
        </w:rPr>
        <w:t>15 times more likely to have committed violence against another person in the previous year,</w:t>
      </w:r>
    </w:p>
    <w:p w14:paraId="5798B773" w14:textId="77777777" w:rsidR="00477B14" w:rsidRPr="00477B14" w:rsidRDefault="00477B14" w:rsidP="00B76905">
      <w:pPr>
        <w:numPr>
          <w:ilvl w:val="1"/>
          <w:numId w:val="68"/>
        </w:numPr>
        <w:contextualSpacing/>
        <w:rPr>
          <w:rFonts w:eastAsia="Aptos" w:cs="Arial"/>
        </w:rPr>
      </w:pPr>
      <w:r w:rsidRPr="00477B14">
        <w:rPr>
          <w:rFonts w:eastAsia="Aptos" w:cs="Arial"/>
        </w:rPr>
        <w:t xml:space="preserve">16 times more likely to have used heroin or crack cocaine, and </w:t>
      </w:r>
    </w:p>
    <w:p w14:paraId="18C28F92" w14:textId="77777777" w:rsidR="00477B14" w:rsidRPr="00477B14" w:rsidRDefault="00477B14" w:rsidP="00B76905">
      <w:pPr>
        <w:numPr>
          <w:ilvl w:val="1"/>
          <w:numId w:val="68"/>
        </w:numPr>
        <w:contextualSpacing/>
        <w:rPr>
          <w:rFonts w:eastAsia="Aptos" w:cs="Arial"/>
        </w:rPr>
      </w:pPr>
      <w:r w:rsidRPr="00477B14">
        <w:rPr>
          <w:rFonts w:eastAsia="Aptos" w:cs="Arial"/>
        </w:rPr>
        <w:t xml:space="preserve">20 times more likely to be incarcerated during their lifetime. </w:t>
      </w:r>
    </w:p>
    <w:p w14:paraId="7B0A90E1" w14:textId="77777777" w:rsidR="00477B14" w:rsidRPr="00477B14" w:rsidRDefault="00477B14" w:rsidP="00B76905">
      <w:pPr>
        <w:numPr>
          <w:ilvl w:val="0"/>
          <w:numId w:val="69"/>
        </w:numPr>
        <w:contextualSpacing/>
        <w:rPr>
          <w:rFonts w:eastAsia="Aptos" w:cs="Arial"/>
        </w:rPr>
      </w:pPr>
      <w:r w:rsidRPr="00477B14">
        <w:rPr>
          <w:rFonts w:eastAsia="Aptos" w:cs="Arial"/>
        </w:rPr>
        <w:t>In Wales, a quarter (23%) of adults were exposed to verbal abuse as a child; a fifth (20%) to parental separation; 17% to physical abuse; 16% to domestic violence; 14% to mental illness; 14% to alcohol abuse; 10% to sexual abuse; and 5% each to drug use or incarceration of a parent. ‘Trauma-informed’ services can provide a supportive environment for people who have experienced adverse childhood experiences, encouraging engagement and improved management of conditions.</w:t>
      </w:r>
    </w:p>
    <w:p w14:paraId="5F64F475" w14:textId="77777777" w:rsidR="00477B14" w:rsidRPr="00477B14" w:rsidRDefault="00477B14" w:rsidP="00B76905">
      <w:pPr>
        <w:numPr>
          <w:ilvl w:val="0"/>
          <w:numId w:val="69"/>
        </w:numPr>
        <w:contextualSpacing/>
        <w:rPr>
          <w:rFonts w:eastAsia="Aptos" w:cs="Arial"/>
        </w:rPr>
      </w:pPr>
      <w:r w:rsidRPr="00477B14">
        <w:rPr>
          <w:rFonts w:eastAsia="Aptos" w:cs="Arial"/>
          <w:lang w:eastAsia="en-GB"/>
        </w:rPr>
        <w:t>Making sure that children are supported to take control of their own lives and wellbeing, will help them to live their best possible lives. Providing clear and easily accessible information about how young people and their families can find out more about what early help is available in their area is important.</w:t>
      </w:r>
    </w:p>
    <w:p w14:paraId="3F031BEC" w14:textId="77777777" w:rsidR="00477B14" w:rsidRPr="00477B14" w:rsidRDefault="00477B14" w:rsidP="00B76905">
      <w:pPr>
        <w:numPr>
          <w:ilvl w:val="0"/>
          <w:numId w:val="69"/>
        </w:numPr>
        <w:contextualSpacing/>
        <w:rPr>
          <w:rFonts w:eastAsia="Aptos" w:cs="Arial"/>
        </w:rPr>
      </w:pPr>
      <w:r w:rsidRPr="00477B14">
        <w:rPr>
          <w:rFonts w:eastAsia="Aptos" w:cs="Arial"/>
        </w:rPr>
        <w:t>Teenage years are also important and there is strong evidence that lifestyle behaviours that impact on future longer-term health and social care outcomes in adults are closely linked to lifestyle in the teenage years. With many children developing unhealthy behaviours in terms of physical activity and diet, influencing positive lifestyle choices in teenagers will impact on health outcomes for young people and on future demand for a wide range of services by adults.</w:t>
      </w:r>
    </w:p>
    <w:p w14:paraId="75530A64" w14:textId="77777777" w:rsidR="00477B14" w:rsidRPr="00477B14" w:rsidRDefault="00477B14" w:rsidP="00B76905">
      <w:pPr>
        <w:numPr>
          <w:ilvl w:val="0"/>
          <w:numId w:val="69"/>
        </w:numPr>
        <w:contextualSpacing/>
        <w:rPr>
          <w:rFonts w:eastAsia="Aptos" w:cs="Arial"/>
          <w:lang w:eastAsia="en-GB"/>
        </w:rPr>
      </w:pPr>
      <w:r w:rsidRPr="00477B14">
        <w:rPr>
          <w:rFonts w:eastAsia="Aptos" w:cs="Arial"/>
          <w:lang w:eastAsia="en-GB"/>
        </w:rPr>
        <w:t xml:space="preserve">On average across Wales, one in four children is either overweight or obese (25.5%). As deprivation levels increase in Wales, so does the percentage of children at risk of becoming obese. For example, just over one in seven children living in the most deprived neighbourhoods are likely to be obese in </w:t>
      </w:r>
      <w:r w:rsidRPr="00477B14">
        <w:rPr>
          <w:rFonts w:eastAsia="Aptos" w:cs="Arial"/>
          <w:lang w:eastAsia="en-GB"/>
        </w:rPr>
        <w:lastRenderedPageBreak/>
        <w:t>the future (14.6%), compared to less than one in ten residing in areas of least deprivation (8.4%)</w:t>
      </w:r>
      <w:r w:rsidRPr="00477B14">
        <w:rPr>
          <w:rFonts w:eastAsia="Times New Roman" w:cs="Arial"/>
          <w:kern w:val="0"/>
          <w:vertAlign w:val="superscript"/>
          <w:lang w:eastAsia="en-GB"/>
          <w14:ligatures w14:val="none"/>
        </w:rPr>
        <w:footnoteReference w:id="153"/>
      </w:r>
      <w:r w:rsidRPr="00477B14">
        <w:rPr>
          <w:rFonts w:eastAsia="Aptos" w:cs="Arial"/>
          <w:lang w:eastAsia="en-GB"/>
        </w:rPr>
        <w:t>. Obesity Alliance Cymru in their 2025 response to the “Healthy Eating and drinking in maintained schools in Wales” advised studies shown that children and adolescents living with obesity are around five times more likely to live with obesity into adulthood, with 80% of adolescents living with obesity still measuring as having obesity in adulthood</w:t>
      </w:r>
      <w:r w:rsidRPr="00477B14">
        <w:rPr>
          <w:rFonts w:eastAsia="Times New Roman" w:cs="Arial"/>
          <w:kern w:val="0"/>
          <w:vertAlign w:val="superscript"/>
          <w:lang w:eastAsia="en-GB"/>
          <w14:ligatures w14:val="none"/>
        </w:rPr>
        <w:footnoteReference w:id="154"/>
      </w:r>
      <w:r w:rsidRPr="00477B14">
        <w:rPr>
          <w:rFonts w:eastAsia="Aptos" w:cs="Arial"/>
          <w:lang w:eastAsia="en-GB"/>
        </w:rPr>
        <w:t>.</w:t>
      </w:r>
    </w:p>
    <w:p w14:paraId="0DC2A07B" w14:textId="77777777" w:rsidR="00477B14" w:rsidRPr="00477B14" w:rsidRDefault="00477B14" w:rsidP="00B76905">
      <w:pPr>
        <w:numPr>
          <w:ilvl w:val="0"/>
          <w:numId w:val="69"/>
        </w:numPr>
        <w:contextualSpacing/>
        <w:rPr>
          <w:rFonts w:eastAsia="Aptos" w:cs="Arial"/>
          <w:lang w:eastAsia="en-GB"/>
        </w:rPr>
      </w:pPr>
      <w:r w:rsidRPr="00477B14">
        <w:rPr>
          <w:rFonts w:eastAsia="Aptos" w:cs="Arial"/>
          <w:lang w:eastAsia="en-GB"/>
        </w:rPr>
        <w:t>Public Health Wales collected data across Wales during the 2022-2023 school year – the Child Measurement Programme 2022-2023.</w:t>
      </w:r>
      <w:r w:rsidRPr="00477B14">
        <w:rPr>
          <w:rFonts w:eastAsia="Aptos" w:cs="Arial"/>
          <w:vertAlign w:val="superscript"/>
          <w:lang w:eastAsia="en-GB"/>
        </w:rPr>
        <w:footnoteReference w:id="155"/>
      </w:r>
      <w:r w:rsidRPr="00477B14">
        <w:rPr>
          <w:rFonts w:eastAsia="Aptos" w:cs="Arial"/>
          <w:lang w:eastAsia="en-GB"/>
        </w:rPr>
        <w:t xml:space="preserve"> The data for Swansea Bay University Health Board showed: </w:t>
      </w:r>
    </w:p>
    <w:p w14:paraId="7E9355C9" w14:textId="77777777" w:rsidR="00477B14" w:rsidRPr="00477B14" w:rsidRDefault="00477B14" w:rsidP="00B76905">
      <w:pPr>
        <w:numPr>
          <w:ilvl w:val="0"/>
          <w:numId w:val="93"/>
        </w:numPr>
        <w:ind w:left="1077"/>
        <w:contextualSpacing/>
        <w:rPr>
          <w:rFonts w:eastAsia="Aptos" w:cs="Arial"/>
          <w:lang w:eastAsia="en-GB"/>
        </w:rPr>
      </w:pPr>
      <w:r w:rsidRPr="00477B14">
        <w:rPr>
          <w:rFonts w:eastAsia="Aptos" w:cs="Arial"/>
          <w:lang w:eastAsia="en-GB"/>
        </w:rPr>
        <w:t xml:space="preserve">the proportion of children categorised as experiencing ‘overweight not obesity’ was slightly lower at 13.7% compared with 14.2% in the previous year. The proportion with ‘overweight not obesity’ in 2022/23 was higher in Neath Port Talbot at 15.8% compared with Swansea at 12.5%. </w:t>
      </w:r>
    </w:p>
    <w:p w14:paraId="754F0EAE" w14:textId="77777777" w:rsidR="00477B14" w:rsidRPr="00477B14" w:rsidRDefault="00477B14" w:rsidP="00B76905">
      <w:pPr>
        <w:numPr>
          <w:ilvl w:val="0"/>
          <w:numId w:val="93"/>
        </w:numPr>
        <w:ind w:left="1077"/>
        <w:contextualSpacing/>
        <w:rPr>
          <w:rFonts w:eastAsia="Aptos" w:cs="Arial"/>
          <w:lang w:eastAsia="en-GB"/>
        </w:rPr>
      </w:pPr>
      <w:r w:rsidRPr="00477B14">
        <w:rPr>
          <w:rFonts w:eastAsia="Aptos" w:cs="Arial"/>
          <w:lang w:eastAsia="en-GB"/>
        </w:rPr>
        <w:t xml:space="preserve">the proportion of children categorised as having obesity was 11.8%. This was statistically significantly lower than the previous year at 14.1%. It was also lower than the pre-pandemic reported proportion of 13.0% in 2018/19. The trend from 2020/21 appears to be a stark reduction. However, the 2020/21 observations were during the pandemic where a rise in proportions with obesity were noted. Post pandemic trend must be interpreted with caution until further data observations are added in future years. </w:t>
      </w:r>
    </w:p>
    <w:p w14:paraId="74F3236B" w14:textId="77777777" w:rsidR="00477B14" w:rsidRPr="00477B14" w:rsidRDefault="00477B14" w:rsidP="00B76905">
      <w:pPr>
        <w:numPr>
          <w:ilvl w:val="0"/>
          <w:numId w:val="70"/>
        </w:numPr>
        <w:contextualSpacing/>
        <w:rPr>
          <w:rFonts w:eastAsia="Aptos" w:cs="Arial"/>
        </w:rPr>
      </w:pPr>
      <w:r w:rsidRPr="00477B14">
        <w:rPr>
          <w:rFonts w:eastAsia="Aptos" w:cs="Arial"/>
        </w:rPr>
        <w:t>90% of people who smoke in the UK started before the age of 21</w:t>
      </w:r>
      <w:r w:rsidRPr="00477B14">
        <w:rPr>
          <w:rFonts w:eastAsia="Aptos" w:cs="Arial"/>
          <w:vertAlign w:val="superscript"/>
        </w:rPr>
        <w:footnoteReference w:id="156"/>
      </w:r>
      <w:r w:rsidRPr="00477B14">
        <w:rPr>
          <w:rFonts w:eastAsia="Aptos" w:cs="Arial"/>
        </w:rPr>
        <w:t>. Vaping has become the dominant nicotine behaviour among adolescents in Wales. 5% of children and young people aged 11–16 vape at least weekly (increasing from 3% in 2019).</w:t>
      </w:r>
      <w:r w:rsidRPr="00477B14">
        <w:rPr>
          <w:rFonts w:eastAsia="Aptos" w:cs="Arial"/>
          <w:vertAlign w:val="superscript"/>
        </w:rPr>
        <w:footnoteReference w:id="157"/>
      </w:r>
    </w:p>
    <w:p w14:paraId="2EA2A39A" w14:textId="77777777" w:rsidR="00477B14" w:rsidRPr="00477B14" w:rsidRDefault="00477B14" w:rsidP="00B76905">
      <w:pPr>
        <w:numPr>
          <w:ilvl w:val="0"/>
          <w:numId w:val="70"/>
        </w:numPr>
        <w:contextualSpacing/>
        <w:rPr>
          <w:rFonts w:eastAsia="Aptos" w:cs="Arial"/>
        </w:rPr>
      </w:pPr>
      <w:r w:rsidRPr="00477B14">
        <w:rPr>
          <w:rFonts w:eastAsia="Aptos" w:cs="Arial"/>
        </w:rPr>
        <w:t>Untreated sexually transmitted infections can have longer term health impact including infertility. Young people’s sexual behaviour may also lead to unplanned pregnancy which has significant health risks and damages the longer term health and life chances of both mothers and babies. Furthermore, it is known that low birth weight can be linked to teenage pregnancy and mothers who smoke while pregnant. To reduce the risk of babies being born early, with a low birth weight, and the risk of disabilities that this brings, it is important that help is available to those who may be at risk.</w:t>
      </w:r>
    </w:p>
    <w:p w14:paraId="306B1BCB" w14:textId="77777777" w:rsidR="00477B14" w:rsidRPr="00477B14" w:rsidRDefault="00477B14" w:rsidP="00B76905">
      <w:pPr>
        <w:numPr>
          <w:ilvl w:val="0"/>
          <w:numId w:val="70"/>
        </w:numPr>
        <w:contextualSpacing/>
        <w:rPr>
          <w:rFonts w:eastAsia="Calibri" w:cs="Arial"/>
          <w:kern w:val="0"/>
          <w14:ligatures w14:val="none"/>
        </w:rPr>
      </w:pPr>
      <w:r w:rsidRPr="00477B14">
        <w:rPr>
          <w:rFonts w:eastAsia="Calibri" w:cs="Arial"/>
          <w:kern w:val="0"/>
          <w14:ligatures w14:val="none"/>
        </w:rPr>
        <w:t>Around 50% of lifetime mental illness starts by the age of 14</w:t>
      </w:r>
      <w:r w:rsidRPr="00477B14">
        <w:rPr>
          <w:rFonts w:eastAsia="Calibri" w:cs="Arial"/>
          <w:kern w:val="0"/>
          <w:vertAlign w:val="superscript"/>
          <w14:ligatures w14:val="none"/>
        </w:rPr>
        <w:footnoteReference w:id="158"/>
      </w:r>
      <w:r w:rsidRPr="00477B14">
        <w:rPr>
          <w:rFonts w:eastAsia="Calibri" w:cs="Arial"/>
          <w:kern w:val="0"/>
          <w14:ligatures w14:val="none"/>
        </w:rPr>
        <w:t>. Children and young people who are at greater risk of mental health problems include those going through family breakdown; those in the Looked After System and those showing behavioural problems; and children who have experienced trauma.</w:t>
      </w:r>
    </w:p>
    <w:p w14:paraId="18161437" w14:textId="77777777" w:rsidR="00477B14" w:rsidRPr="00477B14" w:rsidRDefault="00477B14" w:rsidP="00B76905">
      <w:pPr>
        <w:numPr>
          <w:ilvl w:val="0"/>
          <w:numId w:val="70"/>
        </w:numPr>
        <w:contextualSpacing/>
        <w:rPr>
          <w:rFonts w:eastAsia="Calibri" w:cs="Arial"/>
          <w:kern w:val="0"/>
          <w14:ligatures w14:val="none"/>
        </w:rPr>
      </w:pPr>
      <w:r w:rsidRPr="00477B14">
        <w:rPr>
          <w:rFonts w:eastAsia="Calibri" w:cs="Arial"/>
          <w:kern w:val="0"/>
          <w14:ligatures w14:val="none"/>
        </w:rPr>
        <w:t>Wales Centre for Evidence Based Care, Cardiff University (2023) produced the most recent national forecast of long</w:t>
      </w:r>
      <w:r w:rsidRPr="00477B14">
        <w:rPr>
          <w:rFonts w:eastAsia="Calibri" w:cs="Arial"/>
          <w:kern w:val="0"/>
          <w14:ligatures w14:val="none"/>
        </w:rPr>
        <w:noBreakHyphen/>
        <w:t>term conditions across age groups in Wales</w:t>
      </w:r>
      <w:r w:rsidRPr="00477B14">
        <w:rPr>
          <w:rFonts w:eastAsia="Calibri" w:cs="Arial"/>
          <w:kern w:val="0"/>
          <w:vertAlign w:val="superscript"/>
          <w14:ligatures w14:val="none"/>
        </w:rPr>
        <w:footnoteReference w:id="159"/>
      </w:r>
      <w:r w:rsidRPr="00477B14">
        <w:rPr>
          <w:rFonts w:eastAsia="Calibri" w:cs="Arial"/>
          <w:kern w:val="0"/>
          <w14:ligatures w14:val="none"/>
        </w:rPr>
        <w:t>. The burden of long</w:t>
      </w:r>
      <w:r w:rsidRPr="00477B14">
        <w:rPr>
          <w:rFonts w:eastAsia="Calibri" w:cs="Arial"/>
          <w:kern w:val="0"/>
          <w14:ligatures w14:val="none"/>
        </w:rPr>
        <w:noBreakHyphen/>
        <w:t xml:space="preserve">term conditions is expected to rise over the next </w:t>
      </w:r>
      <w:r w:rsidRPr="00477B14">
        <w:rPr>
          <w:rFonts w:eastAsia="Calibri" w:cs="Arial"/>
          <w:kern w:val="0"/>
          <w14:ligatures w14:val="none"/>
        </w:rPr>
        <w:lastRenderedPageBreak/>
        <w:t>ten years, driven by increases in multimorbidity, obesity, poor nutrition, and persistent health inequalities.</w:t>
      </w:r>
    </w:p>
    <w:p w14:paraId="221230D0" w14:textId="77777777" w:rsidR="00477B14" w:rsidRPr="00477B14" w:rsidRDefault="00477B14" w:rsidP="00E232AA">
      <w:pPr>
        <w:contextualSpacing/>
        <w:rPr>
          <w:rFonts w:eastAsia="Aptos" w:cs="Arial"/>
          <w:b/>
          <w:bCs/>
        </w:rPr>
      </w:pPr>
    </w:p>
    <w:p w14:paraId="2EE76332" w14:textId="77777777" w:rsidR="00477B14" w:rsidRPr="00477B14" w:rsidRDefault="00477B14" w:rsidP="00E232AA">
      <w:pPr>
        <w:contextualSpacing/>
        <w:rPr>
          <w:rFonts w:eastAsia="Aptos" w:cs="Arial"/>
          <w:b/>
          <w:bCs/>
          <w:sz w:val="26"/>
          <w:szCs w:val="26"/>
        </w:rPr>
      </w:pPr>
      <w:r w:rsidRPr="00477B14">
        <w:rPr>
          <w:rFonts w:eastAsia="Aptos" w:cs="Arial"/>
          <w:b/>
          <w:bCs/>
          <w:sz w:val="26"/>
          <w:szCs w:val="26"/>
        </w:rPr>
        <w:t>4.2 Disability</w:t>
      </w:r>
    </w:p>
    <w:p w14:paraId="7DD54183" w14:textId="77777777" w:rsidR="00477B14" w:rsidRPr="00477B14" w:rsidRDefault="00477B14" w:rsidP="00E232AA">
      <w:pPr>
        <w:contextualSpacing/>
        <w:rPr>
          <w:rFonts w:eastAsia="Aptos" w:cs="Arial"/>
          <w:b/>
          <w:bCs/>
        </w:rPr>
      </w:pPr>
    </w:p>
    <w:p w14:paraId="793F4250" w14:textId="77777777" w:rsidR="00477B14" w:rsidRPr="00477B14" w:rsidRDefault="00477B14" w:rsidP="00E232AA">
      <w:pPr>
        <w:contextualSpacing/>
        <w:rPr>
          <w:rFonts w:eastAsia="Aptos" w:cs="Arial"/>
          <w:lang w:eastAsia="en-GB"/>
        </w:rPr>
      </w:pPr>
      <w:r w:rsidRPr="00477B14">
        <w:rPr>
          <w:rFonts w:eastAsia="Aptos" w:cs="Arial"/>
          <w:lang w:eastAsia="en-GB"/>
        </w:rPr>
        <w:t>According to the World Health Organization</w:t>
      </w:r>
      <w:r w:rsidRPr="00477B14">
        <w:rPr>
          <w:rFonts w:eastAsia="Aptos" w:cs="Arial"/>
          <w:vertAlign w:val="superscript"/>
          <w:lang w:eastAsia="en-GB"/>
        </w:rPr>
        <w:footnoteReference w:id="160"/>
      </w:r>
      <w:r w:rsidRPr="00477B14">
        <w:rPr>
          <w:rFonts w:eastAsia="Aptos" w:cs="Arial"/>
          <w:lang w:eastAsia="en-GB"/>
        </w:rPr>
        <w:t xml:space="preserve">, an estimated 1.3 billion people experience significant disability, and this number is growing due to demographic and epidemiological changes in the population (such as ageing and the global increase in chronic health conditions), and health emergencies (such as disease outbreaks, natural disasters, and conflicts). </w:t>
      </w:r>
    </w:p>
    <w:p w14:paraId="0ADFDD7E" w14:textId="77777777" w:rsidR="00477B14" w:rsidRPr="00477B14" w:rsidRDefault="00477B14" w:rsidP="00E232AA">
      <w:pPr>
        <w:contextualSpacing/>
        <w:rPr>
          <w:rFonts w:eastAsia="Times New Roman" w:cs="Arial"/>
          <w:bCs/>
          <w:kern w:val="0"/>
          <w:lang w:eastAsia="en-GB"/>
          <w14:ligatures w14:val="none"/>
        </w:rPr>
      </w:pPr>
    </w:p>
    <w:p w14:paraId="4940E9F0" w14:textId="77777777" w:rsidR="00477B14" w:rsidRPr="00477B14" w:rsidRDefault="00477B14" w:rsidP="00B76905">
      <w:pPr>
        <w:numPr>
          <w:ilvl w:val="0"/>
          <w:numId w:val="71"/>
        </w:numPr>
        <w:contextualSpacing/>
        <w:rPr>
          <w:rFonts w:eastAsia="Aptos" w:cs="Arial"/>
          <w:lang w:eastAsia="en-GB"/>
        </w:rPr>
      </w:pPr>
      <w:r w:rsidRPr="00477B14">
        <w:rPr>
          <w:rFonts w:eastAsia="Aptos" w:cs="Arial"/>
          <w:lang w:eastAsia="en-GB"/>
        </w:rPr>
        <w:t xml:space="preserve">Some people with disabilities die up to 20 years earlier than those without disabilities. </w:t>
      </w:r>
    </w:p>
    <w:p w14:paraId="5A5B7ABF" w14:textId="77777777" w:rsidR="00477B14" w:rsidRPr="00477B14" w:rsidRDefault="00477B14" w:rsidP="00B76905">
      <w:pPr>
        <w:numPr>
          <w:ilvl w:val="0"/>
          <w:numId w:val="71"/>
        </w:numPr>
        <w:contextualSpacing/>
        <w:rPr>
          <w:rFonts w:eastAsia="Aptos" w:cs="Arial"/>
          <w:lang w:eastAsia="en-GB"/>
        </w:rPr>
      </w:pPr>
      <w:r w:rsidRPr="00477B14">
        <w:rPr>
          <w:rFonts w:eastAsia="Aptos" w:cs="Arial"/>
          <w:lang w:eastAsia="en-GB"/>
        </w:rPr>
        <w:t>People with disabilities have twice the risk of developing conditions such as depression asthma, diabetes, stroke, obesity, or poor oral health.</w:t>
      </w:r>
    </w:p>
    <w:p w14:paraId="0280D412" w14:textId="77777777" w:rsidR="00477B14" w:rsidRPr="00477B14" w:rsidRDefault="00477B14" w:rsidP="00B76905">
      <w:pPr>
        <w:numPr>
          <w:ilvl w:val="0"/>
          <w:numId w:val="71"/>
        </w:numPr>
        <w:contextualSpacing/>
        <w:rPr>
          <w:rFonts w:eastAsia="Aptos" w:cs="Arial"/>
          <w:lang w:eastAsia="en-GB"/>
        </w:rPr>
      </w:pPr>
      <w:r w:rsidRPr="00477B14">
        <w:rPr>
          <w:rFonts w:eastAsia="Aptos" w:cs="Arial"/>
          <w:lang w:eastAsia="en-GB"/>
        </w:rPr>
        <w:t>People with disabilities face many health inequities.</w:t>
      </w:r>
    </w:p>
    <w:p w14:paraId="2354727C" w14:textId="77777777" w:rsidR="00477B14" w:rsidRPr="00477B14" w:rsidRDefault="00477B14" w:rsidP="00B76905">
      <w:pPr>
        <w:numPr>
          <w:ilvl w:val="0"/>
          <w:numId w:val="71"/>
        </w:numPr>
        <w:contextualSpacing/>
        <w:rPr>
          <w:rFonts w:eastAsia="Aptos" w:cs="Arial"/>
          <w:lang w:eastAsia="en-GB"/>
        </w:rPr>
      </w:pPr>
      <w:r w:rsidRPr="00477B14">
        <w:rPr>
          <w:rFonts w:eastAsia="Aptos" w:cs="Arial"/>
          <w:lang w:eastAsia="en-GB"/>
        </w:rPr>
        <w:t>People with disabilities find inaccessible and unaffordable transportation 15 times more difficult than for those without disabilities.</w:t>
      </w:r>
    </w:p>
    <w:p w14:paraId="79B8BE83" w14:textId="77777777" w:rsidR="00477B14" w:rsidRPr="00477B14" w:rsidRDefault="00477B14" w:rsidP="00B76905">
      <w:pPr>
        <w:numPr>
          <w:ilvl w:val="0"/>
          <w:numId w:val="71"/>
        </w:numPr>
        <w:contextualSpacing/>
        <w:rPr>
          <w:rFonts w:eastAsia="Aptos" w:cs="Arial"/>
          <w:lang w:eastAsia="en-GB"/>
        </w:rPr>
      </w:pPr>
      <w:r w:rsidRPr="00477B14">
        <w:rPr>
          <w:rFonts w:eastAsia="Aptos" w:cs="Arial"/>
          <w:lang w:eastAsia="en-GB"/>
        </w:rPr>
        <w:t>Health inequities arise from unfair conditions faced by people with disabilities, including stigma, discrimination, poverty, exclusion from education and employment, and barriers faced in the health system itself.</w:t>
      </w:r>
    </w:p>
    <w:p w14:paraId="3F7192AA" w14:textId="77777777" w:rsidR="00477B14" w:rsidRPr="00477B14" w:rsidRDefault="00477B14" w:rsidP="00E232AA">
      <w:pPr>
        <w:contextualSpacing/>
        <w:rPr>
          <w:rFonts w:eastAsia="Times New Roman" w:cs="Arial"/>
          <w:bCs/>
          <w:kern w:val="0"/>
          <w:lang w:eastAsia="en-GB"/>
          <w14:ligatures w14:val="none"/>
        </w:rPr>
      </w:pPr>
    </w:p>
    <w:p w14:paraId="03144CF8" w14:textId="77777777" w:rsidR="00477B14" w:rsidRPr="00477B14" w:rsidRDefault="00477B14" w:rsidP="00E232AA">
      <w:pPr>
        <w:contextualSpacing/>
        <w:rPr>
          <w:rFonts w:eastAsia="Aptos" w:cs="Arial"/>
          <w:lang w:eastAsia="en-GB"/>
        </w:rPr>
      </w:pPr>
      <w:r w:rsidRPr="00477B14">
        <w:rPr>
          <w:rFonts w:eastAsia="Aptos" w:cs="Arial"/>
          <w:lang w:eastAsia="en-GB"/>
        </w:rPr>
        <w:t xml:space="preserve">People with disabilities are not a homogeneous group. They include people of different ages, genders and ethnicity which will influence their healthcare needs and access. </w:t>
      </w:r>
    </w:p>
    <w:p w14:paraId="3CD964F7" w14:textId="77777777" w:rsidR="00477B14" w:rsidRPr="00477B14" w:rsidRDefault="00477B14" w:rsidP="00E232AA">
      <w:pPr>
        <w:contextualSpacing/>
        <w:rPr>
          <w:rFonts w:eastAsia="Aptos" w:cs="Arial"/>
          <w:lang w:eastAsia="en-GB"/>
        </w:rPr>
      </w:pPr>
    </w:p>
    <w:p w14:paraId="7B032B46" w14:textId="77777777" w:rsidR="00477B14" w:rsidRPr="00477B14" w:rsidRDefault="00477B14" w:rsidP="00E232AA">
      <w:pPr>
        <w:contextualSpacing/>
        <w:rPr>
          <w:rFonts w:eastAsia="Calibri" w:cs="Arial"/>
        </w:rPr>
      </w:pPr>
      <w:r w:rsidRPr="00477B14">
        <w:rPr>
          <w:rFonts w:eastAsia="Calibri" w:cs="Arial"/>
        </w:rPr>
        <w:t>Between 2021 and 2023, 12.0% of adults reported being in bad or very bad health in Neath Port Talbot with 7.0% reported for Swansea. 56% of people in Swansea Bay University Health Board’s area reported their day to day activities to be ‘limited by longstanding illness’.</w:t>
      </w:r>
      <w:r w:rsidRPr="00477B14">
        <w:rPr>
          <w:rFonts w:eastAsia="Calibri" w:cs="Arial"/>
          <w:vertAlign w:val="superscript"/>
        </w:rPr>
        <w:footnoteReference w:id="161"/>
      </w:r>
    </w:p>
    <w:p w14:paraId="43A02194" w14:textId="77777777" w:rsidR="00477B14" w:rsidRPr="00477B14" w:rsidRDefault="00477B14" w:rsidP="00E232AA">
      <w:pPr>
        <w:contextualSpacing/>
        <w:rPr>
          <w:rFonts w:eastAsia="Aptos" w:cs="Arial"/>
        </w:rPr>
      </w:pPr>
    </w:p>
    <w:p w14:paraId="7134FC0F" w14:textId="77777777" w:rsidR="00477B14" w:rsidRPr="00477B14" w:rsidRDefault="00477B14" w:rsidP="00E232AA">
      <w:pPr>
        <w:contextualSpacing/>
        <w:rPr>
          <w:rFonts w:eastAsia="Calibri" w:cs="Arial"/>
        </w:rPr>
      </w:pPr>
      <w:r w:rsidRPr="00477B14">
        <w:rPr>
          <w:rFonts w:eastAsia="Calibri" w:cs="Arial"/>
        </w:rPr>
        <w:t>There are many different types of disabilities. A person with a ‘health or physical disability including sensory impairment’ may have difficulty carrying out everyday activities as their movement and senses may be limited. Sensory impairment is defined as reduced or loss of sight, hearing or both. A disability may be present from birth or occur during a person's lifetime. The Royal National Institute of Blind People’s Sight Loss Data Tool</w:t>
      </w:r>
      <w:r w:rsidRPr="00477B14">
        <w:rPr>
          <w:rFonts w:eastAsia="Calibri" w:cs="Arial"/>
          <w:vertAlign w:val="superscript"/>
        </w:rPr>
        <w:footnoteReference w:id="162"/>
      </w:r>
      <w:r w:rsidRPr="00477B14">
        <w:rPr>
          <w:rFonts w:eastAsia="Calibri" w:cs="Arial"/>
        </w:rPr>
        <w:t xml:space="preserve"> is the UK’s biggest collection of eye health datasets. The Swansea Bay University Health Board sight loss briefing published March 2023 estimated the number of people in Swansea Bay University Health Board living with sight loss was 13,470. By 2032 it is expected there will be 15,340 living with sight loss, an estimated increase of 14% over the next decade. </w:t>
      </w:r>
    </w:p>
    <w:p w14:paraId="18B6CEBA" w14:textId="77777777" w:rsidR="00477B14" w:rsidRPr="00D0306F" w:rsidRDefault="00477B14" w:rsidP="00E232AA">
      <w:pPr>
        <w:contextualSpacing/>
        <w:rPr>
          <w:rFonts w:eastAsia="Calibri" w:cs="Arial"/>
        </w:rPr>
      </w:pPr>
    </w:p>
    <w:p w14:paraId="43FDCB2E" w14:textId="77777777" w:rsidR="00C61EA5" w:rsidRPr="00D0306F" w:rsidRDefault="00C61EA5" w:rsidP="00E232AA">
      <w:pPr>
        <w:contextualSpacing/>
        <w:rPr>
          <w:rFonts w:eastAsia="Calibri" w:cs="Arial"/>
        </w:rPr>
      </w:pPr>
    </w:p>
    <w:p w14:paraId="167CF233" w14:textId="77777777" w:rsidR="00C61EA5" w:rsidRPr="00477B14" w:rsidRDefault="00C61EA5" w:rsidP="00E232AA">
      <w:pPr>
        <w:contextualSpacing/>
        <w:rPr>
          <w:rFonts w:eastAsia="Calibri" w:cs="Arial"/>
        </w:rPr>
      </w:pPr>
    </w:p>
    <w:p w14:paraId="3825720A" w14:textId="77777777" w:rsidR="00477B14" w:rsidRPr="00477B14" w:rsidRDefault="00477B14" w:rsidP="00E232AA">
      <w:pPr>
        <w:contextualSpacing/>
        <w:rPr>
          <w:rFonts w:eastAsia="Calibri" w:cs="Arial"/>
          <w:b/>
          <w:bCs/>
        </w:rPr>
      </w:pPr>
      <w:r w:rsidRPr="00477B14">
        <w:rPr>
          <w:rFonts w:eastAsia="Calibri" w:cs="Arial"/>
          <w:b/>
          <w:bCs/>
        </w:rPr>
        <w:lastRenderedPageBreak/>
        <w:t>Figure 4.1: projected increase in the number of people living with sight loss</w:t>
      </w:r>
    </w:p>
    <w:p w14:paraId="0F94B384" w14:textId="77777777" w:rsidR="00477B14" w:rsidRPr="00477B14" w:rsidRDefault="00477B14" w:rsidP="00E232AA">
      <w:pPr>
        <w:contextualSpacing/>
        <w:rPr>
          <w:rFonts w:eastAsia="Calibri" w:cs="Arial"/>
          <w:kern w:val="0"/>
          <w14:ligatures w14:val="none"/>
        </w:rPr>
      </w:pPr>
    </w:p>
    <w:tbl>
      <w:tblPr>
        <w:tblStyle w:val="GridTable1Light1"/>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5"/>
        <w:gridCol w:w="3005"/>
        <w:gridCol w:w="3006"/>
      </w:tblGrid>
      <w:tr w:rsidR="00477B14" w:rsidRPr="00477B14" w14:paraId="333A61E3" w14:textId="77777777" w:rsidTr="00477B1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Borders>
              <w:top w:val="single" w:sz="4" w:space="0" w:color="auto"/>
              <w:left w:val="single" w:sz="4" w:space="0" w:color="auto"/>
              <w:bottom w:val="single" w:sz="4" w:space="0" w:color="auto"/>
              <w:right w:val="single" w:sz="4" w:space="0" w:color="auto"/>
            </w:tcBorders>
            <w:hideMark/>
          </w:tcPr>
          <w:p w14:paraId="56B7862D" w14:textId="77777777" w:rsidR="00477B14" w:rsidRPr="00477B14" w:rsidRDefault="00477B14" w:rsidP="00E232AA">
            <w:pPr>
              <w:contextualSpacing/>
              <w:rPr>
                <w:rFonts w:eastAsia="Calibri" w:cs="Arial"/>
                <w:kern w:val="0"/>
                <w14:ligatures w14:val="none"/>
              </w:rPr>
            </w:pPr>
            <w:r w:rsidRPr="00477B14">
              <w:rPr>
                <w:rFonts w:eastAsia="Calibri" w:cs="Arial"/>
                <w:kern w:val="0"/>
                <w14:ligatures w14:val="none"/>
              </w:rPr>
              <w:t>Severity of sight loss</w:t>
            </w:r>
          </w:p>
        </w:tc>
        <w:tc>
          <w:tcPr>
            <w:tcW w:w="3005" w:type="dxa"/>
            <w:tcBorders>
              <w:top w:val="single" w:sz="4" w:space="0" w:color="auto"/>
              <w:left w:val="single" w:sz="4" w:space="0" w:color="auto"/>
              <w:bottom w:val="single" w:sz="4" w:space="0" w:color="auto"/>
              <w:right w:val="single" w:sz="4" w:space="0" w:color="auto"/>
            </w:tcBorders>
            <w:hideMark/>
          </w:tcPr>
          <w:p w14:paraId="59A3412A" w14:textId="77777777" w:rsidR="00477B14" w:rsidRPr="00477B14" w:rsidRDefault="00477B14" w:rsidP="00E232AA">
            <w:pPr>
              <w:contextualSpacing/>
              <w:cnfStyle w:val="100000000000" w:firstRow="1" w:lastRow="0" w:firstColumn="0" w:lastColumn="0" w:oddVBand="0" w:evenVBand="0" w:oddHBand="0" w:evenHBand="0" w:firstRowFirstColumn="0" w:firstRowLastColumn="0" w:lastRowFirstColumn="0" w:lastRowLastColumn="0"/>
              <w:rPr>
                <w:rFonts w:eastAsia="Calibri" w:cs="Arial"/>
                <w:kern w:val="0"/>
                <w14:ligatures w14:val="none"/>
              </w:rPr>
            </w:pPr>
            <w:r w:rsidRPr="00477B14">
              <w:rPr>
                <w:rFonts w:eastAsia="Calibri" w:cs="Arial"/>
                <w:kern w:val="0"/>
                <w14:ligatures w14:val="none"/>
              </w:rPr>
              <w:t>2022</w:t>
            </w:r>
          </w:p>
        </w:tc>
        <w:tc>
          <w:tcPr>
            <w:tcW w:w="3006" w:type="dxa"/>
            <w:tcBorders>
              <w:top w:val="single" w:sz="4" w:space="0" w:color="auto"/>
              <w:left w:val="single" w:sz="4" w:space="0" w:color="auto"/>
              <w:bottom w:val="single" w:sz="4" w:space="0" w:color="auto"/>
              <w:right w:val="single" w:sz="4" w:space="0" w:color="auto"/>
            </w:tcBorders>
            <w:hideMark/>
          </w:tcPr>
          <w:p w14:paraId="6707D9C6" w14:textId="77777777" w:rsidR="00477B14" w:rsidRPr="00477B14" w:rsidRDefault="00477B14" w:rsidP="00E232AA">
            <w:pPr>
              <w:contextualSpacing/>
              <w:cnfStyle w:val="100000000000" w:firstRow="1" w:lastRow="0" w:firstColumn="0" w:lastColumn="0" w:oddVBand="0" w:evenVBand="0" w:oddHBand="0" w:evenHBand="0" w:firstRowFirstColumn="0" w:firstRowLastColumn="0" w:lastRowFirstColumn="0" w:lastRowLastColumn="0"/>
              <w:rPr>
                <w:rFonts w:eastAsia="Calibri" w:cs="Arial"/>
                <w:kern w:val="0"/>
                <w14:ligatures w14:val="none"/>
              </w:rPr>
            </w:pPr>
            <w:r w:rsidRPr="00477B14">
              <w:rPr>
                <w:rFonts w:eastAsia="Calibri" w:cs="Arial"/>
                <w:kern w:val="0"/>
                <w14:ligatures w14:val="none"/>
              </w:rPr>
              <w:t>2032</w:t>
            </w:r>
          </w:p>
        </w:tc>
      </w:tr>
      <w:tr w:rsidR="00477B14" w:rsidRPr="00477B14" w14:paraId="164D9896" w14:textId="77777777" w:rsidTr="00477B14">
        <w:tc>
          <w:tcPr>
            <w:cnfStyle w:val="001000000000" w:firstRow="0" w:lastRow="0" w:firstColumn="1" w:lastColumn="0" w:oddVBand="0" w:evenVBand="0" w:oddHBand="0" w:evenHBand="0" w:firstRowFirstColumn="0" w:firstRowLastColumn="0" w:lastRowFirstColumn="0" w:lastRowLastColumn="0"/>
            <w:tcW w:w="3005" w:type="dxa"/>
            <w:tcBorders>
              <w:top w:val="single" w:sz="4" w:space="0" w:color="auto"/>
              <w:left w:val="single" w:sz="4" w:space="0" w:color="auto"/>
              <w:bottom w:val="single" w:sz="4" w:space="0" w:color="auto"/>
              <w:right w:val="single" w:sz="4" w:space="0" w:color="auto"/>
            </w:tcBorders>
            <w:hideMark/>
          </w:tcPr>
          <w:p w14:paraId="61CA1CF3" w14:textId="77777777" w:rsidR="00477B14" w:rsidRPr="00477B14" w:rsidRDefault="00477B14" w:rsidP="00E232AA">
            <w:pPr>
              <w:contextualSpacing/>
              <w:rPr>
                <w:rFonts w:eastAsia="Calibri" w:cs="Arial"/>
                <w:kern w:val="0"/>
                <w14:ligatures w14:val="none"/>
              </w:rPr>
            </w:pPr>
            <w:r w:rsidRPr="00477B14">
              <w:rPr>
                <w:rFonts w:eastAsia="Calibri" w:cs="Arial"/>
                <w:kern w:val="0"/>
                <w14:ligatures w14:val="none"/>
              </w:rPr>
              <w:t>Mild sight loss</w:t>
            </w:r>
          </w:p>
        </w:tc>
        <w:tc>
          <w:tcPr>
            <w:tcW w:w="3005" w:type="dxa"/>
            <w:tcBorders>
              <w:top w:val="single" w:sz="4" w:space="0" w:color="auto"/>
              <w:left w:val="single" w:sz="4" w:space="0" w:color="auto"/>
              <w:bottom w:val="single" w:sz="4" w:space="0" w:color="auto"/>
              <w:right w:val="single" w:sz="4" w:space="0" w:color="auto"/>
            </w:tcBorders>
            <w:hideMark/>
          </w:tcPr>
          <w:p w14:paraId="21C58E2A" w14:textId="77777777" w:rsidR="00477B14" w:rsidRPr="00477B14" w:rsidRDefault="00477B14" w:rsidP="00E232AA">
            <w:pPr>
              <w:contextualSpacing/>
              <w:cnfStyle w:val="000000000000" w:firstRow="0" w:lastRow="0" w:firstColumn="0" w:lastColumn="0" w:oddVBand="0" w:evenVBand="0" w:oddHBand="0" w:evenHBand="0" w:firstRowFirstColumn="0" w:firstRowLastColumn="0" w:lastRowFirstColumn="0" w:lastRowLastColumn="0"/>
              <w:rPr>
                <w:rFonts w:eastAsia="Calibri" w:cs="Arial"/>
                <w:kern w:val="0"/>
                <w14:ligatures w14:val="none"/>
              </w:rPr>
            </w:pPr>
            <w:r w:rsidRPr="00477B14">
              <w:rPr>
                <w:rFonts w:eastAsia="Calibri" w:cs="Arial"/>
                <w:kern w:val="0"/>
                <w14:ligatures w14:val="none"/>
              </w:rPr>
              <w:t>8,660</w:t>
            </w:r>
          </w:p>
        </w:tc>
        <w:tc>
          <w:tcPr>
            <w:tcW w:w="3006" w:type="dxa"/>
            <w:tcBorders>
              <w:top w:val="single" w:sz="4" w:space="0" w:color="auto"/>
              <w:left w:val="single" w:sz="4" w:space="0" w:color="auto"/>
              <w:bottom w:val="single" w:sz="4" w:space="0" w:color="auto"/>
              <w:right w:val="single" w:sz="4" w:space="0" w:color="auto"/>
            </w:tcBorders>
            <w:hideMark/>
          </w:tcPr>
          <w:p w14:paraId="32EBACB6" w14:textId="77777777" w:rsidR="00477B14" w:rsidRPr="00477B14" w:rsidRDefault="00477B14" w:rsidP="00E232AA">
            <w:pPr>
              <w:contextualSpacing/>
              <w:cnfStyle w:val="000000000000" w:firstRow="0" w:lastRow="0" w:firstColumn="0" w:lastColumn="0" w:oddVBand="0" w:evenVBand="0" w:oddHBand="0" w:evenHBand="0" w:firstRowFirstColumn="0" w:firstRowLastColumn="0" w:lastRowFirstColumn="0" w:lastRowLastColumn="0"/>
              <w:rPr>
                <w:rFonts w:eastAsia="Calibri" w:cs="Arial"/>
                <w:kern w:val="0"/>
                <w14:ligatures w14:val="none"/>
              </w:rPr>
            </w:pPr>
            <w:r w:rsidRPr="00477B14">
              <w:rPr>
                <w:rFonts w:eastAsia="Calibri" w:cs="Arial"/>
                <w:kern w:val="0"/>
                <w14:ligatures w14:val="none"/>
              </w:rPr>
              <w:t>9,850</w:t>
            </w:r>
          </w:p>
        </w:tc>
      </w:tr>
      <w:tr w:rsidR="00477B14" w:rsidRPr="00477B14" w14:paraId="564A591D" w14:textId="77777777" w:rsidTr="00477B14">
        <w:tc>
          <w:tcPr>
            <w:cnfStyle w:val="001000000000" w:firstRow="0" w:lastRow="0" w:firstColumn="1" w:lastColumn="0" w:oddVBand="0" w:evenVBand="0" w:oddHBand="0" w:evenHBand="0" w:firstRowFirstColumn="0" w:firstRowLastColumn="0" w:lastRowFirstColumn="0" w:lastRowLastColumn="0"/>
            <w:tcW w:w="3005" w:type="dxa"/>
            <w:tcBorders>
              <w:top w:val="single" w:sz="4" w:space="0" w:color="auto"/>
              <w:left w:val="single" w:sz="4" w:space="0" w:color="auto"/>
              <w:bottom w:val="single" w:sz="4" w:space="0" w:color="auto"/>
              <w:right w:val="single" w:sz="4" w:space="0" w:color="auto"/>
            </w:tcBorders>
            <w:hideMark/>
          </w:tcPr>
          <w:p w14:paraId="39E37D7F" w14:textId="77777777" w:rsidR="00477B14" w:rsidRPr="00477B14" w:rsidRDefault="00477B14" w:rsidP="00E232AA">
            <w:pPr>
              <w:contextualSpacing/>
              <w:rPr>
                <w:rFonts w:eastAsia="Calibri" w:cs="Arial"/>
                <w:kern w:val="0"/>
                <w14:ligatures w14:val="none"/>
              </w:rPr>
            </w:pPr>
            <w:r w:rsidRPr="00477B14">
              <w:rPr>
                <w:rFonts w:eastAsia="Calibri" w:cs="Arial"/>
                <w:kern w:val="0"/>
                <w14:ligatures w14:val="none"/>
              </w:rPr>
              <w:t>Moderate sight loss</w:t>
            </w:r>
          </w:p>
        </w:tc>
        <w:tc>
          <w:tcPr>
            <w:tcW w:w="3005" w:type="dxa"/>
            <w:tcBorders>
              <w:top w:val="single" w:sz="4" w:space="0" w:color="auto"/>
              <w:left w:val="single" w:sz="4" w:space="0" w:color="auto"/>
              <w:bottom w:val="single" w:sz="4" w:space="0" w:color="auto"/>
              <w:right w:val="single" w:sz="4" w:space="0" w:color="auto"/>
            </w:tcBorders>
            <w:hideMark/>
          </w:tcPr>
          <w:p w14:paraId="67524428" w14:textId="77777777" w:rsidR="00477B14" w:rsidRPr="00477B14" w:rsidRDefault="00477B14" w:rsidP="00E232AA">
            <w:pPr>
              <w:contextualSpacing/>
              <w:cnfStyle w:val="000000000000" w:firstRow="0" w:lastRow="0" w:firstColumn="0" w:lastColumn="0" w:oddVBand="0" w:evenVBand="0" w:oddHBand="0" w:evenHBand="0" w:firstRowFirstColumn="0" w:firstRowLastColumn="0" w:lastRowFirstColumn="0" w:lastRowLastColumn="0"/>
              <w:rPr>
                <w:rFonts w:eastAsia="Calibri" w:cs="Arial"/>
                <w:kern w:val="0"/>
                <w14:ligatures w14:val="none"/>
              </w:rPr>
            </w:pPr>
            <w:r w:rsidRPr="00477B14">
              <w:rPr>
                <w:rFonts w:eastAsia="Calibri" w:cs="Arial"/>
                <w:kern w:val="0"/>
                <w14:ligatures w14:val="none"/>
              </w:rPr>
              <w:t>3,010</w:t>
            </w:r>
          </w:p>
        </w:tc>
        <w:tc>
          <w:tcPr>
            <w:tcW w:w="3006" w:type="dxa"/>
            <w:tcBorders>
              <w:top w:val="single" w:sz="4" w:space="0" w:color="auto"/>
              <w:left w:val="single" w:sz="4" w:space="0" w:color="auto"/>
              <w:bottom w:val="single" w:sz="4" w:space="0" w:color="auto"/>
              <w:right w:val="single" w:sz="4" w:space="0" w:color="auto"/>
            </w:tcBorders>
            <w:hideMark/>
          </w:tcPr>
          <w:p w14:paraId="5A0D9642" w14:textId="77777777" w:rsidR="00477B14" w:rsidRPr="00477B14" w:rsidRDefault="00477B14" w:rsidP="00E232AA">
            <w:pPr>
              <w:contextualSpacing/>
              <w:cnfStyle w:val="000000000000" w:firstRow="0" w:lastRow="0" w:firstColumn="0" w:lastColumn="0" w:oddVBand="0" w:evenVBand="0" w:oddHBand="0" w:evenHBand="0" w:firstRowFirstColumn="0" w:firstRowLastColumn="0" w:lastRowFirstColumn="0" w:lastRowLastColumn="0"/>
              <w:rPr>
                <w:rFonts w:eastAsia="Calibri" w:cs="Arial"/>
                <w:kern w:val="0"/>
                <w14:ligatures w14:val="none"/>
              </w:rPr>
            </w:pPr>
            <w:r w:rsidRPr="00477B14">
              <w:rPr>
                <w:rFonts w:eastAsia="Calibri" w:cs="Arial"/>
                <w:kern w:val="0"/>
                <w14:ligatures w14:val="none"/>
              </w:rPr>
              <w:t>3,410</w:t>
            </w:r>
          </w:p>
        </w:tc>
      </w:tr>
      <w:tr w:rsidR="00477B14" w:rsidRPr="00477B14" w14:paraId="0B492C9C" w14:textId="77777777" w:rsidTr="00477B14">
        <w:tc>
          <w:tcPr>
            <w:cnfStyle w:val="001000000000" w:firstRow="0" w:lastRow="0" w:firstColumn="1" w:lastColumn="0" w:oddVBand="0" w:evenVBand="0" w:oddHBand="0" w:evenHBand="0" w:firstRowFirstColumn="0" w:firstRowLastColumn="0" w:lastRowFirstColumn="0" w:lastRowLastColumn="0"/>
            <w:tcW w:w="3005" w:type="dxa"/>
            <w:tcBorders>
              <w:top w:val="single" w:sz="4" w:space="0" w:color="auto"/>
              <w:left w:val="single" w:sz="4" w:space="0" w:color="auto"/>
              <w:bottom w:val="single" w:sz="4" w:space="0" w:color="auto"/>
              <w:right w:val="single" w:sz="4" w:space="0" w:color="auto"/>
            </w:tcBorders>
            <w:hideMark/>
          </w:tcPr>
          <w:p w14:paraId="7D498007" w14:textId="77777777" w:rsidR="00477B14" w:rsidRPr="00477B14" w:rsidRDefault="00477B14" w:rsidP="00E232AA">
            <w:pPr>
              <w:contextualSpacing/>
              <w:rPr>
                <w:rFonts w:eastAsia="Calibri" w:cs="Arial"/>
                <w:kern w:val="0"/>
                <w14:ligatures w14:val="none"/>
              </w:rPr>
            </w:pPr>
            <w:r w:rsidRPr="00477B14">
              <w:rPr>
                <w:rFonts w:eastAsia="Calibri" w:cs="Arial"/>
                <w:kern w:val="0"/>
                <w14:ligatures w14:val="none"/>
              </w:rPr>
              <w:t>Severe sight loss</w:t>
            </w:r>
          </w:p>
        </w:tc>
        <w:tc>
          <w:tcPr>
            <w:tcW w:w="3005" w:type="dxa"/>
            <w:tcBorders>
              <w:top w:val="single" w:sz="4" w:space="0" w:color="auto"/>
              <w:left w:val="single" w:sz="4" w:space="0" w:color="auto"/>
              <w:bottom w:val="single" w:sz="4" w:space="0" w:color="auto"/>
              <w:right w:val="single" w:sz="4" w:space="0" w:color="auto"/>
            </w:tcBorders>
            <w:hideMark/>
          </w:tcPr>
          <w:p w14:paraId="07C18C39" w14:textId="77777777" w:rsidR="00477B14" w:rsidRPr="00477B14" w:rsidRDefault="00477B14" w:rsidP="00E232AA">
            <w:pPr>
              <w:contextualSpacing/>
              <w:cnfStyle w:val="000000000000" w:firstRow="0" w:lastRow="0" w:firstColumn="0" w:lastColumn="0" w:oddVBand="0" w:evenVBand="0" w:oddHBand="0" w:evenHBand="0" w:firstRowFirstColumn="0" w:firstRowLastColumn="0" w:lastRowFirstColumn="0" w:lastRowLastColumn="0"/>
              <w:rPr>
                <w:rFonts w:eastAsia="Calibri" w:cs="Arial"/>
                <w:kern w:val="0"/>
                <w14:ligatures w14:val="none"/>
              </w:rPr>
            </w:pPr>
            <w:r w:rsidRPr="00477B14">
              <w:rPr>
                <w:rFonts w:eastAsia="Calibri" w:cs="Arial"/>
                <w:kern w:val="0"/>
                <w14:ligatures w14:val="none"/>
              </w:rPr>
              <w:t>1,800</w:t>
            </w:r>
          </w:p>
        </w:tc>
        <w:tc>
          <w:tcPr>
            <w:tcW w:w="3006" w:type="dxa"/>
            <w:tcBorders>
              <w:top w:val="single" w:sz="4" w:space="0" w:color="auto"/>
              <w:left w:val="single" w:sz="4" w:space="0" w:color="auto"/>
              <w:bottom w:val="single" w:sz="4" w:space="0" w:color="auto"/>
              <w:right w:val="single" w:sz="4" w:space="0" w:color="auto"/>
            </w:tcBorders>
            <w:hideMark/>
          </w:tcPr>
          <w:p w14:paraId="272D2DF7" w14:textId="77777777" w:rsidR="00477B14" w:rsidRPr="00477B14" w:rsidRDefault="00477B14" w:rsidP="00E232AA">
            <w:pPr>
              <w:contextualSpacing/>
              <w:cnfStyle w:val="000000000000" w:firstRow="0" w:lastRow="0" w:firstColumn="0" w:lastColumn="0" w:oddVBand="0" w:evenVBand="0" w:oddHBand="0" w:evenHBand="0" w:firstRowFirstColumn="0" w:firstRowLastColumn="0" w:lastRowFirstColumn="0" w:lastRowLastColumn="0"/>
              <w:rPr>
                <w:rFonts w:eastAsia="Calibri" w:cs="Arial"/>
                <w:kern w:val="0"/>
                <w14:ligatures w14:val="none"/>
              </w:rPr>
            </w:pPr>
            <w:r w:rsidRPr="00477B14">
              <w:rPr>
                <w:rFonts w:eastAsia="Calibri" w:cs="Arial"/>
                <w:kern w:val="0"/>
                <w14:ligatures w14:val="none"/>
              </w:rPr>
              <w:t>2,090</w:t>
            </w:r>
          </w:p>
        </w:tc>
      </w:tr>
      <w:tr w:rsidR="00477B14" w:rsidRPr="00477B14" w14:paraId="25BEB5D2" w14:textId="77777777" w:rsidTr="00477B14">
        <w:tc>
          <w:tcPr>
            <w:cnfStyle w:val="001000000000" w:firstRow="0" w:lastRow="0" w:firstColumn="1" w:lastColumn="0" w:oddVBand="0" w:evenVBand="0" w:oddHBand="0" w:evenHBand="0" w:firstRowFirstColumn="0" w:firstRowLastColumn="0" w:lastRowFirstColumn="0" w:lastRowLastColumn="0"/>
            <w:tcW w:w="3005" w:type="dxa"/>
            <w:tcBorders>
              <w:top w:val="single" w:sz="4" w:space="0" w:color="auto"/>
              <w:left w:val="single" w:sz="4" w:space="0" w:color="auto"/>
              <w:bottom w:val="single" w:sz="4" w:space="0" w:color="auto"/>
              <w:right w:val="single" w:sz="4" w:space="0" w:color="auto"/>
            </w:tcBorders>
            <w:hideMark/>
          </w:tcPr>
          <w:p w14:paraId="114101EA" w14:textId="77777777" w:rsidR="00477B14" w:rsidRPr="00477B14" w:rsidRDefault="00477B14" w:rsidP="00E232AA">
            <w:pPr>
              <w:contextualSpacing/>
              <w:rPr>
                <w:rFonts w:eastAsia="Calibri" w:cs="Arial"/>
                <w:kern w:val="0"/>
                <w14:ligatures w14:val="none"/>
              </w:rPr>
            </w:pPr>
            <w:r w:rsidRPr="00477B14">
              <w:rPr>
                <w:rFonts w:eastAsia="Calibri" w:cs="Arial"/>
                <w:kern w:val="0"/>
                <w14:ligatures w14:val="none"/>
              </w:rPr>
              <w:t>Total</w:t>
            </w:r>
          </w:p>
        </w:tc>
        <w:tc>
          <w:tcPr>
            <w:tcW w:w="3005" w:type="dxa"/>
            <w:tcBorders>
              <w:top w:val="single" w:sz="4" w:space="0" w:color="auto"/>
              <w:left w:val="single" w:sz="4" w:space="0" w:color="auto"/>
              <w:bottom w:val="single" w:sz="4" w:space="0" w:color="auto"/>
              <w:right w:val="single" w:sz="4" w:space="0" w:color="auto"/>
            </w:tcBorders>
            <w:hideMark/>
          </w:tcPr>
          <w:p w14:paraId="05F32C0D" w14:textId="77777777" w:rsidR="00477B14" w:rsidRPr="00477B14" w:rsidRDefault="00477B14" w:rsidP="00E232AA">
            <w:pPr>
              <w:contextualSpacing/>
              <w:cnfStyle w:val="000000000000" w:firstRow="0" w:lastRow="0" w:firstColumn="0" w:lastColumn="0" w:oddVBand="0" w:evenVBand="0" w:oddHBand="0" w:evenHBand="0" w:firstRowFirstColumn="0" w:firstRowLastColumn="0" w:lastRowFirstColumn="0" w:lastRowLastColumn="0"/>
              <w:rPr>
                <w:rFonts w:eastAsia="Calibri" w:cs="Arial"/>
                <w:b/>
                <w:bCs/>
                <w:kern w:val="0"/>
                <w14:ligatures w14:val="none"/>
              </w:rPr>
            </w:pPr>
            <w:r w:rsidRPr="00477B14">
              <w:rPr>
                <w:rFonts w:eastAsia="Calibri" w:cs="Arial"/>
                <w:b/>
                <w:bCs/>
                <w:kern w:val="0"/>
                <w14:ligatures w14:val="none"/>
              </w:rPr>
              <w:t>13,470</w:t>
            </w:r>
          </w:p>
        </w:tc>
        <w:tc>
          <w:tcPr>
            <w:tcW w:w="3006" w:type="dxa"/>
            <w:tcBorders>
              <w:top w:val="single" w:sz="4" w:space="0" w:color="auto"/>
              <w:left w:val="single" w:sz="4" w:space="0" w:color="auto"/>
              <w:bottom w:val="single" w:sz="4" w:space="0" w:color="auto"/>
              <w:right w:val="single" w:sz="4" w:space="0" w:color="auto"/>
            </w:tcBorders>
            <w:hideMark/>
          </w:tcPr>
          <w:p w14:paraId="5CEDB17B" w14:textId="77777777" w:rsidR="00477B14" w:rsidRPr="00477B14" w:rsidRDefault="00477B14" w:rsidP="00E232AA">
            <w:pPr>
              <w:contextualSpacing/>
              <w:cnfStyle w:val="000000000000" w:firstRow="0" w:lastRow="0" w:firstColumn="0" w:lastColumn="0" w:oddVBand="0" w:evenVBand="0" w:oddHBand="0" w:evenHBand="0" w:firstRowFirstColumn="0" w:firstRowLastColumn="0" w:lastRowFirstColumn="0" w:lastRowLastColumn="0"/>
              <w:rPr>
                <w:rFonts w:eastAsia="Calibri" w:cs="Arial"/>
                <w:b/>
                <w:bCs/>
                <w:kern w:val="0"/>
                <w14:ligatures w14:val="none"/>
              </w:rPr>
            </w:pPr>
            <w:r w:rsidRPr="00477B14">
              <w:rPr>
                <w:rFonts w:eastAsia="Calibri" w:cs="Arial"/>
                <w:b/>
                <w:bCs/>
                <w:kern w:val="0"/>
                <w14:ligatures w14:val="none"/>
              </w:rPr>
              <w:t>15,340</w:t>
            </w:r>
          </w:p>
        </w:tc>
      </w:tr>
    </w:tbl>
    <w:p w14:paraId="2051EF9D" w14:textId="77777777" w:rsidR="00477B14" w:rsidRPr="00477B14" w:rsidRDefault="00477B14" w:rsidP="00E232AA">
      <w:pPr>
        <w:contextualSpacing/>
        <w:rPr>
          <w:rFonts w:eastAsia="Calibri" w:cs="Arial"/>
          <w:kern w:val="0"/>
          <w14:ligatures w14:val="none"/>
        </w:rPr>
      </w:pPr>
    </w:p>
    <w:p w14:paraId="026227F7" w14:textId="77777777" w:rsidR="00477B14" w:rsidRPr="00477B14" w:rsidRDefault="00477B14" w:rsidP="00E232AA">
      <w:pPr>
        <w:contextualSpacing/>
        <w:rPr>
          <w:rFonts w:eastAsia="Aptos" w:cs="Arial"/>
        </w:rPr>
      </w:pPr>
      <w:r w:rsidRPr="00477B14">
        <w:rPr>
          <w:rFonts w:eastAsia="Aptos" w:cs="Arial"/>
        </w:rPr>
        <w:t>There are 2,317 people in Swansea Bay University Health Board registered blind or partially sighted.</w:t>
      </w:r>
    </w:p>
    <w:p w14:paraId="0AA3DE9D" w14:textId="77777777" w:rsidR="00477B14" w:rsidRPr="00477B14" w:rsidRDefault="00477B14" w:rsidP="00E232AA">
      <w:pPr>
        <w:contextualSpacing/>
        <w:rPr>
          <w:rFonts w:eastAsia="Aptos" w:cs="Arial"/>
        </w:rPr>
      </w:pPr>
    </w:p>
    <w:p w14:paraId="4B9FE323" w14:textId="77777777" w:rsidR="00477B14" w:rsidRPr="00477B14" w:rsidRDefault="00477B14" w:rsidP="00E232AA">
      <w:pPr>
        <w:contextualSpacing/>
        <w:rPr>
          <w:rFonts w:eastAsia="Calibri" w:cs="Arial"/>
          <w:b/>
          <w:bCs/>
        </w:rPr>
      </w:pPr>
      <w:r w:rsidRPr="00477B14">
        <w:rPr>
          <w:rFonts w:eastAsia="Calibri" w:cs="Arial"/>
          <w:b/>
          <w:bCs/>
        </w:rPr>
        <w:t>Figure 4.2: number of people who are registered blind or partially sighted by age group</w:t>
      </w:r>
    </w:p>
    <w:p w14:paraId="4FD985BA" w14:textId="77777777" w:rsidR="00477B14" w:rsidRPr="00477B14" w:rsidRDefault="00477B14" w:rsidP="00E232AA">
      <w:pPr>
        <w:contextualSpacing/>
        <w:rPr>
          <w:rFonts w:eastAsia="Aptos" w:cs="Arial"/>
        </w:rPr>
      </w:pPr>
    </w:p>
    <w:tbl>
      <w:tblPr>
        <w:tblStyle w:val="TableGrid"/>
        <w:tblW w:w="0" w:type="auto"/>
        <w:tblInd w:w="0" w:type="dxa"/>
        <w:tblLook w:val="04A0" w:firstRow="1" w:lastRow="0" w:firstColumn="1" w:lastColumn="0" w:noHBand="0" w:noVBand="1"/>
      </w:tblPr>
      <w:tblGrid>
        <w:gridCol w:w="2254"/>
        <w:gridCol w:w="2254"/>
        <w:gridCol w:w="2254"/>
        <w:gridCol w:w="2254"/>
      </w:tblGrid>
      <w:tr w:rsidR="00477B14" w:rsidRPr="00477B14" w14:paraId="57D8CD98" w14:textId="77777777" w:rsidTr="00477B14">
        <w:tc>
          <w:tcPr>
            <w:tcW w:w="2254" w:type="dxa"/>
            <w:tcBorders>
              <w:top w:val="single" w:sz="4" w:space="0" w:color="auto"/>
              <w:left w:val="single" w:sz="4" w:space="0" w:color="auto"/>
              <w:bottom w:val="single" w:sz="4" w:space="0" w:color="auto"/>
              <w:right w:val="single" w:sz="4" w:space="0" w:color="auto"/>
            </w:tcBorders>
            <w:hideMark/>
          </w:tcPr>
          <w:p w14:paraId="66EC212F" w14:textId="77777777" w:rsidR="00477B14" w:rsidRPr="00477B14" w:rsidRDefault="00477B14" w:rsidP="00E232AA">
            <w:pPr>
              <w:contextualSpacing/>
              <w:rPr>
                <w:rFonts w:cs="Arial"/>
                <w:b/>
                <w:bCs/>
              </w:rPr>
            </w:pPr>
            <w:r w:rsidRPr="00477B14">
              <w:rPr>
                <w:rFonts w:cs="Arial"/>
                <w:b/>
                <w:bCs/>
              </w:rPr>
              <w:t>Age band</w:t>
            </w:r>
          </w:p>
        </w:tc>
        <w:tc>
          <w:tcPr>
            <w:tcW w:w="2254" w:type="dxa"/>
            <w:tcBorders>
              <w:top w:val="single" w:sz="4" w:space="0" w:color="auto"/>
              <w:left w:val="single" w:sz="4" w:space="0" w:color="auto"/>
              <w:bottom w:val="single" w:sz="4" w:space="0" w:color="auto"/>
              <w:right w:val="single" w:sz="4" w:space="0" w:color="auto"/>
            </w:tcBorders>
            <w:hideMark/>
          </w:tcPr>
          <w:p w14:paraId="0BC20881" w14:textId="77777777" w:rsidR="00477B14" w:rsidRPr="00477B14" w:rsidRDefault="00477B14" w:rsidP="00E232AA">
            <w:pPr>
              <w:contextualSpacing/>
              <w:rPr>
                <w:rFonts w:cs="Arial"/>
                <w:b/>
                <w:bCs/>
              </w:rPr>
            </w:pPr>
            <w:r w:rsidRPr="00477B14">
              <w:rPr>
                <w:rFonts w:cs="Arial"/>
                <w:b/>
                <w:bCs/>
              </w:rPr>
              <w:t>Registered blind</w:t>
            </w:r>
          </w:p>
        </w:tc>
        <w:tc>
          <w:tcPr>
            <w:tcW w:w="2254" w:type="dxa"/>
            <w:tcBorders>
              <w:top w:val="single" w:sz="4" w:space="0" w:color="auto"/>
              <w:left w:val="single" w:sz="4" w:space="0" w:color="auto"/>
              <w:bottom w:val="single" w:sz="4" w:space="0" w:color="auto"/>
              <w:right w:val="single" w:sz="4" w:space="0" w:color="auto"/>
            </w:tcBorders>
            <w:hideMark/>
          </w:tcPr>
          <w:p w14:paraId="2DCCFD14" w14:textId="77777777" w:rsidR="00477B14" w:rsidRPr="00477B14" w:rsidRDefault="00477B14" w:rsidP="00E232AA">
            <w:pPr>
              <w:contextualSpacing/>
              <w:rPr>
                <w:rFonts w:cs="Arial"/>
                <w:b/>
                <w:bCs/>
              </w:rPr>
            </w:pPr>
            <w:r w:rsidRPr="00477B14">
              <w:rPr>
                <w:rFonts w:cs="Arial"/>
                <w:b/>
                <w:bCs/>
              </w:rPr>
              <w:t xml:space="preserve">Registered partially sighted </w:t>
            </w:r>
          </w:p>
        </w:tc>
        <w:tc>
          <w:tcPr>
            <w:tcW w:w="2254" w:type="dxa"/>
            <w:tcBorders>
              <w:top w:val="single" w:sz="4" w:space="0" w:color="auto"/>
              <w:left w:val="single" w:sz="4" w:space="0" w:color="auto"/>
              <w:bottom w:val="single" w:sz="4" w:space="0" w:color="auto"/>
              <w:right w:val="single" w:sz="4" w:space="0" w:color="auto"/>
            </w:tcBorders>
            <w:hideMark/>
          </w:tcPr>
          <w:p w14:paraId="2C15B54B" w14:textId="77777777" w:rsidR="00477B14" w:rsidRPr="00477B14" w:rsidRDefault="00477B14" w:rsidP="00E232AA">
            <w:pPr>
              <w:contextualSpacing/>
              <w:rPr>
                <w:rFonts w:cs="Arial"/>
                <w:b/>
                <w:bCs/>
              </w:rPr>
            </w:pPr>
            <w:r w:rsidRPr="00477B14">
              <w:rPr>
                <w:rFonts w:cs="Arial"/>
                <w:b/>
                <w:bCs/>
              </w:rPr>
              <w:t>Total</w:t>
            </w:r>
          </w:p>
        </w:tc>
      </w:tr>
      <w:tr w:rsidR="00477B14" w:rsidRPr="00477B14" w14:paraId="4CD39278" w14:textId="77777777" w:rsidTr="00477B14">
        <w:tc>
          <w:tcPr>
            <w:tcW w:w="2254" w:type="dxa"/>
            <w:tcBorders>
              <w:top w:val="single" w:sz="4" w:space="0" w:color="auto"/>
              <w:left w:val="single" w:sz="4" w:space="0" w:color="auto"/>
              <w:bottom w:val="single" w:sz="4" w:space="0" w:color="auto"/>
              <w:right w:val="single" w:sz="4" w:space="0" w:color="auto"/>
            </w:tcBorders>
            <w:hideMark/>
          </w:tcPr>
          <w:p w14:paraId="335427C5" w14:textId="77777777" w:rsidR="00477B14" w:rsidRPr="00477B14" w:rsidRDefault="00477B14" w:rsidP="00E232AA">
            <w:pPr>
              <w:contextualSpacing/>
              <w:rPr>
                <w:rFonts w:cs="Arial"/>
              </w:rPr>
            </w:pPr>
            <w:r w:rsidRPr="00477B14">
              <w:rPr>
                <w:rFonts w:cs="Arial"/>
              </w:rPr>
              <w:t>0-17</w:t>
            </w:r>
          </w:p>
        </w:tc>
        <w:tc>
          <w:tcPr>
            <w:tcW w:w="2254" w:type="dxa"/>
            <w:tcBorders>
              <w:top w:val="single" w:sz="4" w:space="0" w:color="auto"/>
              <w:left w:val="single" w:sz="4" w:space="0" w:color="auto"/>
              <w:bottom w:val="single" w:sz="4" w:space="0" w:color="auto"/>
              <w:right w:val="single" w:sz="4" w:space="0" w:color="auto"/>
            </w:tcBorders>
            <w:hideMark/>
          </w:tcPr>
          <w:p w14:paraId="3E868B74" w14:textId="77777777" w:rsidR="00477B14" w:rsidRPr="00477B14" w:rsidRDefault="00477B14" w:rsidP="00E232AA">
            <w:pPr>
              <w:contextualSpacing/>
              <w:rPr>
                <w:rFonts w:cs="Arial"/>
              </w:rPr>
            </w:pPr>
            <w:r w:rsidRPr="00477B14">
              <w:rPr>
                <w:rFonts w:cs="Arial"/>
              </w:rPr>
              <w:t>24</w:t>
            </w:r>
          </w:p>
        </w:tc>
        <w:tc>
          <w:tcPr>
            <w:tcW w:w="2254" w:type="dxa"/>
            <w:tcBorders>
              <w:top w:val="single" w:sz="4" w:space="0" w:color="auto"/>
              <w:left w:val="single" w:sz="4" w:space="0" w:color="auto"/>
              <w:bottom w:val="single" w:sz="4" w:space="0" w:color="auto"/>
              <w:right w:val="single" w:sz="4" w:space="0" w:color="auto"/>
            </w:tcBorders>
            <w:hideMark/>
          </w:tcPr>
          <w:p w14:paraId="4AA0C7A4" w14:textId="77777777" w:rsidR="00477B14" w:rsidRPr="00477B14" w:rsidRDefault="00477B14" w:rsidP="00E232AA">
            <w:pPr>
              <w:contextualSpacing/>
              <w:rPr>
                <w:rFonts w:cs="Arial"/>
              </w:rPr>
            </w:pPr>
            <w:r w:rsidRPr="00477B14">
              <w:rPr>
                <w:rFonts w:cs="Arial"/>
              </w:rPr>
              <w:t>35</w:t>
            </w:r>
          </w:p>
        </w:tc>
        <w:tc>
          <w:tcPr>
            <w:tcW w:w="2254" w:type="dxa"/>
            <w:tcBorders>
              <w:top w:val="single" w:sz="4" w:space="0" w:color="auto"/>
              <w:left w:val="single" w:sz="4" w:space="0" w:color="auto"/>
              <w:bottom w:val="single" w:sz="4" w:space="0" w:color="auto"/>
              <w:right w:val="single" w:sz="4" w:space="0" w:color="auto"/>
            </w:tcBorders>
            <w:hideMark/>
          </w:tcPr>
          <w:p w14:paraId="1517CB01" w14:textId="77777777" w:rsidR="00477B14" w:rsidRPr="00477B14" w:rsidRDefault="00477B14" w:rsidP="00E232AA">
            <w:pPr>
              <w:contextualSpacing/>
              <w:rPr>
                <w:rFonts w:cs="Arial"/>
              </w:rPr>
            </w:pPr>
            <w:r w:rsidRPr="00477B14">
              <w:rPr>
                <w:rFonts w:cs="Arial"/>
              </w:rPr>
              <w:t>59</w:t>
            </w:r>
          </w:p>
        </w:tc>
      </w:tr>
      <w:tr w:rsidR="00477B14" w:rsidRPr="00477B14" w14:paraId="50AF00DF" w14:textId="77777777" w:rsidTr="00477B14">
        <w:tc>
          <w:tcPr>
            <w:tcW w:w="2254" w:type="dxa"/>
            <w:tcBorders>
              <w:top w:val="single" w:sz="4" w:space="0" w:color="auto"/>
              <w:left w:val="single" w:sz="4" w:space="0" w:color="auto"/>
              <w:bottom w:val="single" w:sz="4" w:space="0" w:color="auto"/>
              <w:right w:val="single" w:sz="4" w:space="0" w:color="auto"/>
            </w:tcBorders>
            <w:hideMark/>
          </w:tcPr>
          <w:p w14:paraId="6BA6ECC5" w14:textId="77777777" w:rsidR="00477B14" w:rsidRPr="00477B14" w:rsidRDefault="00477B14" w:rsidP="00E232AA">
            <w:pPr>
              <w:contextualSpacing/>
              <w:rPr>
                <w:rFonts w:cs="Arial"/>
              </w:rPr>
            </w:pPr>
            <w:r w:rsidRPr="00477B14">
              <w:rPr>
                <w:rFonts w:cs="Arial"/>
              </w:rPr>
              <w:t>18-64</w:t>
            </w:r>
          </w:p>
        </w:tc>
        <w:tc>
          <w:tcPr>
            <w:tcW w:w="2254" w:type="dxa"/>
            <w:tcBorders>
              <w:top w:val="single" w:sz="4" w:space="0" w:color="auto"/>
              <w:left w:val="single" w:sz="4" w:space="0" w:color="auto"/>
              <w:bottom w:val="single" w:sz="4" w:space="0" w:color="auto"/>
              <w:right w:val="single" w:sz="4" w:space="0" w:color="auto"/>
            </w:tcBorders>
            <w:hideMark/>
          </w:tcPr>
          <w:p w14:paraId="7DD61FF9" w14:textId="77777777" w:rsidR="00477B14" w:rsidRPr="00477B14" w:rsidRDefault="00477B14" w:rsidP="00E232AA">
            <w:pPr>
              <w:contextualSpacing/>
              <w:rPr>
                <w:rFonts w:cs="Arial"/>
              </w:rPr>
            </w:pPr>
            <w:r w:rsidRPr="00477B14">
              <w:rPr>
                <w:rFonts w:cs="Arial"/>
              </w:rPr>
              <w:t>330</w:t>
            </w:r>
          </w:p>
        </w:tc>
        <w:tc>
          <w:tcPr>
            <w:tcW w:w="2254" w:type="dxa"/>
            <w:tcBorders>
              <w:top w:val="single" w:sz="4" w:space="0" w:color="auto"/>
              <w:left w:val="single" w:sz="4" w:space="0" w:color="auto"/>
              <w:bottom w:val="single" w:sz="4" w:space="0" w:color="auto"/>
              <w:right w:val="single" w:sz="4" w:space="0" w:color="auto"/>
            </w:tcBorders>
            <w:hideMark/>
          </w:tcPr>
          <w:p w14:paraId="1A958E91" w14:textId="77777777" w:rsidR="00477B14" w:rsidRPr="00477B14" w:rsidRDefault="00477B14" w:rsidP="00E232AA">
            <w:pPr>
              <w:contextualSpacing/>
              <w:rPr>
                <w:rFonts w:cs="Arial"/>
              </w:rPr>
            </w:pPr>
            <w:r w:rsidRPr="00477B14">
              <w:rPr>
                <w:rFonts w:cs="Arial"/>
              </w:rPr>
              <w:t>292</w:t>
            </w:r>
          </w:p>
        </w:tc>
        <w:tc>
          <w:tcPr>
            <w:tcW w:w="2254" w:type="dxa"/>
            <w:tcBorders>
              <w:top w:val="single" w:sz="4" w:space="0" w:color="auto"/>
              <w:left w:val="single" w:sz="4" w:space="0" w:color="auto"/>
              <w:bottom w:val="single" w:sz="4" w:space="0" w:color="auto"/>
              <w:right w:val="single" w:sz="4" w:space="0" w:color="auto"/>
            </w:tcBorders>
            <w:hideMark/>
          </w:tcPr>
          <w:p w14:paraId="768B14EF" w14:textId="77777777" w:rsidR="00477B14" w:rsidRPr="00477B14" w:rsidRDefault="00477B14" w:rsidP="00E232AA">
            <w:pPr>
              <w:contextualSpacing/>
              <w:rPr>
                <w:rFonts w:cs="Arial"/>
              </w:rPr>
            </w:pPr>
            <w:r w:rsidRPr="00477B14">
              <w:rPr>
                <w:rFonts w:cs="Arial"/>
              </w:rPr>
              <w:t>622</w:t>
            </w:r>
          </w:p>
        </w:tc>
      </w:tr>
      <w:tr w:rsidR="00477B14" w:rsidRPr="00477B14" w14:paraId="2E72F164" w14:textId="77777777" w:rsidTr="00477B14">
        <w:tc>
          <w:tcPr>
            <w:tcW w:w="2254" w:type="dxa"/>
            <w:tcBorders>
              <w:top w:val="single" w:sz="4" w:space="0" w:color="auto"/>
              <w:left w:val="single" w:sz="4" w:space="0" w:color="auto"/>
              <w:bottom w:val="single" w:sz="4" w:space="0" w:color="auto"/>
              <w:right w:val="single" w:sz="4" w:space="0" w:color="auto"/>
            </w:tcBorders>
            <w:hideMark/>
          </w:tcPr>
          <w:p w14:paraId="64C14227" w14:textId="77777777" w:rsidR="00477B14" w:rsidRPr="00477B14" w:rsidRDefault="00477B14" w:rsidP="00E232AA">
            <w:pPr>
              <w:contextualSpacing/>
              <w:rPr>
                <w:rFonts w:cs="Arial"/>
              </w:rPr>
            </w:pPr>
            <w:r w:rsidRPr="00477B14">
              <w:rPr>
                <w:rFonts w:cs="Arial"/>
              </w:rPr>
              <w:t>65+</w:t>
            </w:r>
          </w:p>
        </w:tc>
        <w:tc>
          <w:tcPr>
            <w:tcW w:w="2254" w:type="dxa"/>
            <w:tcBorders>
              <w:top w:val="single" w:sz="4" w:space="0" w:color="auto"/>
              <w:left w:val="single" w:sz="4" w:space="0" w:color="auto"/>
              <w:bottom w:val="single" w:sz="4" w:space="0" w:color="auto"/>
              <w:right w:val="single" w:sz="4" w:space="0" w:color="auto"/>
            </w:tcBorders>
            <w:hideMark/>
          </w:tcPr>
          <w:p w14:paraId="6513B585" w14:textId="77777777" w:rsidR="00477B14" w:rsidRPr="00477B14" w:rsidRDefault="00477B14" w:rsidP="00E232AA">
            <w:pPr>
              <w:contextualSpacing/>
              <w:rPr>
                <w:rFonts w:cs="Arial"/>
              </w:rPr>
            </w:pPr>
            <w:r w:rsidRPr="00477B14">
              <w:rPr>
                <w:rFonts w:cs="Arial"/>
              </w:rPr>
              <w:t>823</w:t>
            </w:r>
          </w:p>
        </w:tc>
        <w:tc>
          <w:tcPr>
            <w:tcW w:w="2254" w:type="dxa"/>
            <w:tcBorders>
              <w:top w:val="single" w:sz="4" w:space="0" w:color="auto"/>
              <w:left w:val="single" w:sz="4" w:space="0" w:color="auto"/>
              <w:bottom w:val="single" w:sz="4" w:space="0" w:color="auto"/>
              <w:right w:val="single" w:sz="4" w:space="0" w:color="auto"/>
            </w:tcBorders>
            <w:hideMark/>
          </w:tcPr>
          <w:p w14:paraId="4027A9F9" w14:textId="77777777" w:rsidR="00477B14" w:rsidRPr="00477B14" w:rsidRDefault="00477B14" w:rsidP="00E232AA">
            <w:pPr>
              <w:contextualSpacing/>
              <w:rPr>
                <w:rFonts w:cs="Arial"/>
              </w:rPr>
            </w:pPr>
            <w:r w:rsidRPr="00477B14">
              <w:rPr>
                <w:rFonts w:cs="Arial"/>
              </w:rPr>
              <w:t>813</w:t>
            </w:r>
          </w:p>
        </w:tc>
        <w:tc>
          <w:tcPr>
            <w:tcW w:w="2254" w:type="dxa"/>
            <w:tcBorders>
              <w:top w:val="single" w:sz="4" w:space="0" w:color="auto"/>
              <w:left w:val="single" w:sz="4" w:space="0" w:color="auto"/>
              <w:bottom w:val="single" w:sz="4" w:space="0" w:color="auto"/>
              <w:right w:val="single" w:sz="4" w:space="0" w:color="auto"/>
            </w:tcBorders>
            <w:hideMark/>
          </w:tcPr>
          <w:p w14:paraId="4CB09C8F" w14:textId="77777777" w:rsidR="00477B14" w:rsidRPr="00477B14" w:rsidRDefault="00477B14" w:rsidP="00E232AA">
            <w:pPr>
              <w:contextualSpacing/>
              <w:rPr>
                <w:rFonts w:cs="Arial"/>
              </w:rPr>
            </w:pPr>
            <w:r w:rsidRPr="00477B14">
              <w:rPr>
                <w:rFonts w:cs="Arial"/>
              </w:rPr>
              <w:t>1,636</w:t>
            </w:r>
          </w:p>
        </w:tc>
      </w:tr>
      <w:tr w:rsidR="00477B14" w:rsidRPr="00477B14" w14:paraId="3953A202" w14:textId="77777777" w:rsidTr="00477B14">
        <w:tc>
          <w:tcPr>
            <w:tcW w:w="2254" w:type="dxa"/>
            <w:tcBorders>
              <w:top w:val="single" w:sz="4" w:space="0" w:color="auto"/>
              <w:left w:val="single" w:sz="4" w:space="0" w:color="auto"/>
              <w:bottom w:val="single" w:sz="4" w:space="0" w:color="auto"/>
              <w:right w:val="single" w:sz="4" w:space="0" w:color="auto"/>
            </w:tcBorders>
            <w:hideMark/>
          </w:tcPr>
          <w:p w14:paraId="0AA36232" w14:textId="77777777" w:rsidR="00477B14" w:rsidRPr="00477B14" w:rsidRDefault="00477B14" w:rsidP="00E232AA">
            <w:pPr>
              <w:contextualSpacing/>
              <w:rPr>
                <w:rFonts w:cs="Arial"/>
                <w:b/>
                <w:bCs/>
              </w:rPr>
            </w:pPr>
            <w:r w:rsidRPr="00477B14">
              <w:rPr>
                <w:rFonts w:cs="Arial"/>
                <w:b/>
                <w:bCs/>
              </w:rPr>
              <w:t>Total</w:t>
            </w:r>
          </w:p>
        </w:tc>
        <w:tc>
          <w:tcPr>
            <w:tcW w:w="2254" w:type="dxa"/>
            <w:tcBorders>
              <w:top w:val="single" w:sz="4" w:space="0" w:color="auto"/>
              <w:left w:val="single" w:sz="4" w:space="0" w:color="auto"/>
              <w:bottom w:val="single" w:sz="4" w:space="0" w:color="auto"/>
              <w:right w:val="single" w:sz="4" w:space="0" w:color="auto"/>
            </w:tcBorders>
            <w:hideMark/>
          </w:tcPr>
          <w:p w14:paraId="38FADBFA" w14:textId="77777777" w:rsidR="00477B14" w:rsidRPr="00477B14" w:rsidRDefault="00477B14" w:rsidP="00E232AA">
            <w:pPr>
              <w:contextualSpacing/>
              <w:rPr>
                <w:rFonts w:cs="Arial"/>
                <w:b/>
                <w:bCs/>
              </w:rPr>
            </w:pPr>
            <w:r w:rsidRPr="00477B14">
              <w:rPr>
                <w:rFonts w:cs="Arial"/>
                <w:b/>
                <w:bCs/>
              </w:rPr>
              <w:t>1,177</w:t>
            </w:r>
          </w:p>
        </w:tc>
        <w:tc>
          <w:tcPr>
            <w:tcW w:w="2254" w:type="dxa"/>
            <w:tcBorders>
              <w:top w:val="single" w:sz="4" w:space="0" w:color="auto"/>
              <w:left w:val="single" w:sz="4" w:space="0" w:color="auto"/>
              <w:bottom w:val="single" w:sz="4" w:space="0" w:color="auto"/>
              <w:right w:val="single" w:sz="4" w:space="0" w:color="auto"/>
            </w:tcBorders>
            <w:hideMark/>
          </w:tcPr>
          <w:p w14:paraId="0AD5C80F" w14:textId="77777777" w:rsidR="00477B14" w:rsidRPr="00477B14" w:rsidRDefault="00477B14" w:rsidP="00E232AA">
            <w:pPr>
              <w:contextualSpacing/>
              <w:rPr>
                <w:rFonts w:cs="Arial"/>
                <w:b/>
                <w:bCs/>
              </w:rPr>
            </w:pPr>
            <w:r w:rsidRPr="00477B14">
              <w:rPr>
                <w:rFonts w:cs="Arial"/>
                <w:b/>
                <w:bCs/>
              </w:rPr>
              <w:t>1,140</w:t>
            </w:r>
          </w:p>
        </w:tc>
        <w:tc>
          <w:tcPr>
            <w:tcW w:w="2254" w:type="dxa"/>
            <w:tcBorders>
              <w:top w:val="single" w:sz="4" w:space="0" w:color="auto"/>
              <w:left w:val="single" w:sz="4" w:space="0" w:color="auto"/>
              <w:bottom w:val="single" w:sz="4" w:space="0" w:color="auto"/>
              <w:right w:val="single" w:sz="4" w:space="0" w:color="auto"/>
            </w:tcBorders>
            <w:hideMark/>
          </w:tcPr>
          <w:p w14:paraId="4668B0CE" w14:textId="77777777" w:rsidR="00477B14" w:rsidRPr="00477B14" w:rsidRDefault="00477B14" w:rsidP="00E232AA">
            <w:pPr>
              <w:contextualSpacing/>
              <w:rPr>
                <w:rFonts w:cs="Arial"/>
                <w:b/>
                <w:bCs/>
              </w:rPr>
            </w:pPr>
            <w:r w:rsidRPr="00477B14">
              <w:rPr>
                <w:rFonts w:cs="Arial"/>
                <w:b/>
                <w:bCs/>
              </w:rPr>
              <w:t>2,317</w:t>
            </w:r>
          </w:p>
        </w:tc>
      </w:tr>
    </w:tbl>
    <w:p w14:paraId="587AF207" w14:textId="77777777" w:rsidR="00477B14" w:rsidRPr="00477B14" w:rsidRDefault="00477B14" w:rsidP="00E232AA">
      <w:pPr>
        <w:contextualSpacing/>
        <w:rPr>
          <w:rFonts w:eastAsia="Aptos" w:cs="Arial"/>
        </w:rPr>
      </w:pPr>
    </w:p>
    <w:p w14:paraId="7FA3E56F" w14:textId="77777777" w:rsidR="00477B14" w:rsidRPr="00477B14" w:rsidRDefault="00477B14" w:rsidP="00E232AA">
      <w:pPr>
        <w:contextualSpacing/>
        <w:rPr>
          <w:rFonts w:eastAsia="Aptos" w:cs="Arial"/>
        </w:rPr>
      </w:pPr>
      <w:r w:rsidRPr="00477B14">
        <w:rPr>
          <w:rFonts w:eastAsia="Aptos" w:cs="Arial"/>
        </w:rPr>
        <w:t>The older a person is, the greater their risk of sight loss. The proportion of people aged 75 years and over in Swansea Bay University Health Board’s area is similar to the average for Wales - 9.0% of the population are aged 75 and over, compared to 10.0% in Wales. People from different ethnic communities are at greater risk of some of the leading causes of sight loss. The proportion of people from minority ethnic groups is similar to the average for Wale -, 4.5% of the population are from minority ethnic groups, compared to 4.3% across Wales.</w:t>
      </w:r>
    </w:p>
    <w:p w14:paraId="4DA5CCEF" w14:textId="77777777" w:rsidR="00477B14" w:rsidRPr="00477B14" w:rsidRDefault="00477B14" w:rsidP="00E232AA">
      <w:pPr>
        <w:contextualSpacing/>
        <w:rPr>
          <w:rFonts w:eastAsia="Aptos" w:cs="Arial"/>
        </w:rPr>
      </w:pPr>
    </w:p>
    <w:p w14:paraId="6CB3BF2B" w14:textId="77777777" w:rsidR="00477B14" w:rsidRPr="00477B14" w:rsidRDefault="00477B14" w:rsidP="00E232AA">
      <w:pPr>
        <w:contextualSpacing/>
        <w:rPr>
          <w:rFonts w:eastAsia="Aptos" w:cs="Arial"/>
        </w:rPr>
      </w:pPr>
      <w:r w:rsidRPr="00477B14">
        <w:rPr>
          <w:rFonts w:eastAsia="Aptos" w:cs="Arial"/>
        </w:rPr>
        <w:t>The number of people impacted by slight loss and the impact this has on their daily life in Swansea Bay University Health Board’s area is as follows.</w:t>
      </w:r>
    </w:p>
    <w:p w14:paraId="46B9C65D" w14:textId="77777777" w:rsidR="00477B14" w:rsidRPr="00477B14" w:rsidRDefault="00477B14" w:rsidP="00E232AA">
      <w:pPr>
        <w:contextualSpacing/>
        <w:rPr>
          <w:rFonts w:eastAsia="Calibri" w:cs="Arial"/>
          <w:kern w:val="0"/>
          <w14:ligatures w14:val="none"/>
        </w:rPr>
      </w:pPr>
    </w:p>
    <w:p w14:paraId="5FFBAD6F" w14:textId="77777777" w:rsidR="00477B14" w:rsidRPr="00477B14" w:rsidRDefault="00477B14" w:rsidP="00E232AA">
      <w:pPr>
        <w:rPr>
          <w:rFonts w:eastAsia="Aptos" w:cs="Arial"/>
        </w:rPr>
      </w:pPr>
      <w:r w:rsidRPr="00477B14">
        <w:rPr>
          <w:rFonts w:eastAsia="Aptos" w:cs="Arial"/>
        </w:rPr>
        <w:t>Only one in four registered blind and partially sighted people of working age are in employment.</w:t>
      </w:r>
    </w:p>
    <w:p w14:paraId="55395862" w14:textId="77777777" w:rsidR="00477B14" w:rsidRPr="00477B14" w:rsidRDefault="00477B14" w:rsidP="00E232AA">
      <w:pPr>
        <w:tabs>
          <w:tab w:val="left" w:pos="720"/>
        </w:tabs>
        <w:ind w:left="360" w:hanging="360"/>
        <w:contextualSpacing/>
        <w:rPr>
          <w:rFonts w:eastAsia="Aptos" w:cs="Arial"/>
        </w:rPr>
      </w:pPr>
    </w:p>
    <w:p w14:paraId="1400985F" w14:textId="77777777" w:rsidR="00477B14" w:rsidRPr="00477B14" w:rsidRDefault="00477B14" w:rsidP="00E232AA">
      <w:pPr>
        <w:rPr>
          <w:rFonts w:eastAsia="Aptos" w:cs="Arial"/>
        </w:rPr>
      </w:pPr>
      <w:r w:rsidRPr="00477B14">
        <w:rPr>
          <w:rFonts w:eastAsia="Aptos" w:cs="Arial"/>
        </w:rPr>
        <w:t xml:space="preserve">Half of blind and partially sighted people are always or frequently limited in the activities that they would like to take part in. </w:t>
      </w:r>
    </w:p>
    <w:p w14:paraId="75E23625" w14:textId="77777777" w:rsidR="00477B14" w:rsidRPr="00477B14" w:rsidRDefault="00477B14" w:rsidP="00E232AA">
      <w:pPr>
        <w:tabs>
          <w:tab w:val="left" w:pos="720"/>
        </w:tabs>
        <w:ind w:left="360" w:hanging="360"/>
        <w:contextualSpacing/>
        <w:rPr>
          <w:rFonts w:eastAsia="Aptos" w:cs="Arial"/>
        </w:rPr>
      </w:pPr>
    </w:p>
    <w:p w14:paraId="02442E25" w14:textId="77777777" w:rsidR="00477B14" w:rsidRPr="00477B14" w:rsidRDefault="00477B14" w:rsidP="00E232AA">
      <w:pPr>
        <w:rPr>
          <w:rFonts w:eastAsia="Aptos" w:cs="Arial"/>
        </w:rPr>
      </w:pPr>
      <w:r w:rsidRPr="00477B14">
        <w:rPr>
          <w:rFonts w:eastAsia="Aptos" w:cs="Arial"/>
        </w:rPr>
        <w:t>36% of blind and partially sighted people never use the internet or don’t have access to it. This is significantly higher than the UK average of 10%.</w:t>
      </w:r>
    </w:p>
    <w:p w14:paraId="0CAAE8EF" w14:textId="77777777" w:rsidR="00477B14" w:rsidRPr="00477B14" w:rsidRDefault="00477B14" w:rsidP="00E232AA">
      <w:pPr>
        <w:contextualSpacing/>
        <w:rPr>
          <w:rFonts w:eastAsia="Calibri" w:cs="Arial"/>
          <w:kern w:val="0"/>
          <w14:ligatures w14:val="none"/>
        </w:rPr>
      </w:pPr>
    </w:p>
    <w:p w14:paraId="13B6C1BE" w14:textId="5D3A02D2" w:rsidR="00477B14" w:rsidRPr="00477B14" w:rsidRDefault="00477B14" w:rsidP="00E232AA">
      <w:pPr>
        <w:contextualSpacing/>
        <w:rPr>
          <w:rFonts w:eastAsia="Aptos" w:cs="Arial"/>
        </w:rPr>
      </w:pPr>
      <w:r w:rsidRPr="00477B14">
        <w:rPr>
          <w:rFonts w:eastAsia="Aptos" w:cs="Arial"/>
        </w:rPr>
        <w:t>The estimated numbers for people living with certain sight threatening eye conditions in Swansea Bay University Health Board’s area are as follows</w:t>
      </w:r>
      <w:r w:rsidR="008C2143" w:rsidRPr="00D0306F">
        <w:rPr>
          <w:rFonts w:eastAsia="Aptos" w:cs="Arial"/>
        </w:rPr>
        <w:t>.</w:t>
      </w:r>
    </w:p>
    <w:p w14:paraId="653340DF" w14:textId="77777777" w:rsidR="00477B14" w:rsidRPr="00D0306F" w:rsidRDefault="00477B14" w:rsidP="00E232AA">
      <w:pPr>
        <w:contextualSpacing/>
        <w:rPr>
          <w:rFonts w:eastAsia="Aptos" w:cs="Arial"/>
        </w:rPr>
      </w:pPr>
    </w:p>
    <w:p w14:paraId="541BB376" w14:textId="77777777" w:rsidR="008C2143" w:rsidRPr="00D0306F" w:rsidRDefault="008C2143" w:rsidP="00E232AA">
      <w:pPr>
        <w:contextualSpacing/>
        <w:rPr>
          <w:rFonts w:eastAsia="Aptos" w:cs="Arial"/>
        </w:rPr>
      </w:pPr>
    </w:p>
    <w:p w14:paraId="06E2E99A" w14:textId="77777777" w:rsidR="008C2143" w:rsidRPr="00D0306F" w:rsidRDefault="008C2143" w:rsidP="00E232AA">
      <w:pPr>
        <w:contextualSpacing/>
        <w:rPr>
          <w:rFonts w:eastAsia="Aptos" w:cs="Arial"/>
        </w:rPr>
      </w:pPr>
    </w:p>
    <w:p w14:paraId="0D77EA07" w14:textId="77777777" w:rsidR="008C2143" w:rsidRPr="00D0306F" w:rsidRDefault="008C2143" w:rsidP="00E232AA">
      <w:pPr>
        <w:contextualSpacing/>
        <w:rPr>
          <w:rFonts w:eastAsia="Aptos" w:cs="Arial"/>
        </w:rPr>
      </w:pPr>
    </w:p>
    <w:p w14:paraId="2C357751" w14:textId="77777777" w:rsidR="008C2143" w:rsidRPr="00D0306F" w:rsidRDefault="008C2143" w:rsidP="00E232AA">
      <w:pPr>
        <w:contextualSpacing/>
        <w:rPr>
          <w:rFonts w:eastAsia="Aptos" w:cs="Arial"/>
        </w:rPr>
      </w:pPr>
    </w:p>
    <w:p w14:paraId="1C21CD55" w14:textId="77777777" w:rsidR="008C2143" w:rsidRPr="00D0306F" w:rsidRDefault="008C2143" w:rsidP="00E232AA">
      <w:pPr>
        <w:contextualSpacing/>
        <w:rPr>
          <w:rFonts w:eastAsia="Aptos" w:cs="Arial"/>
        </w:rPr>
      </w:pPr>
    </w:p>
    <w:p w14:paraId="39A7050A" w14:textId="77777777" w:rsidR="008C2143" w:rsidRPr="00477B14" w:rsidRDefault="008C2143" w:rsidP="00E232AA">
      <w:pPr>
        <w:contextualSpacing/>
        <w:rPr>
          <w:rFonts w:eastAsia="Aptos" w:cs="Arial"/>
        </w:rPr>
      </w:pPr>
    </w:p>
    <w:p w14:paraId="7A4C9811" w14:textId="77777777" w:rsidR="00477B14" w:rsidRPr="00477B14" w:rsidRDefault="00477B14" w:rsidP="00E232AA">
      <w:pPr>
        <w:contextualSpacing/>
        <w:rPr>
          <w:rFonts w:eastAsia="Aptos" w:cs="Arial"/>
          <w:b/>
          <w:bCs/>
        </w:rPr>
      </w:pPr>
      <w:r w:rsidRPr="00477B14">
        <w:rPr>
          <w:rFonts w:eastAsia="Aptos" w:cs="Arial"/>
          <w:b/>
          <w:bCs/>
        </w:rPr>
        <w:lastRenderedPageBreak/>
        <w:t xml:space="preserve">Age-related macular degeneration </w:t>
      </w:r>
    </w:p>
    <w:p w14:paraId="6772BFA8" w14:textId="77777777" w:rsidR="00477B14" w:rsidRPr="00477B14" w:rsidRDefault="00477B14" w:rsidP="00E232AA">
      <w:pPr>
        <w:contextualSpacing/>
        <w:rPr>
          <w:rFonts w:eastAsia="Calibri" w:cs="Arial"/>
          <w:kern w:val="0"/>
          <w14:ligatures w14:val="none"/>
        </w:rPr>
      </w:pPr>
    </w:p>
    <w:tbl>
      <w:tblPr>
        <w:tblStyle w:val="TableGrid"/>
        <w:tblW w:w="0" w:type="auto"/>
        <w:tblInd w:w="0" w:type="dxa"/>
        <w:tblLook w:val="04A0" w:firstRow="1" w:lastRow="0" w:firstColumn="1" w:lastColumn="0" w:noHBand="0" w:noVBand="1"/>
      </w:tblPr>
      <w:tblGrid>
        <w:gridCol w:w="6232"/>
        <w:gridCol w:w="2784"/>
      </w:tblGrid>
      <w:tr w:rsidR="00477B14" w:rsidRPr="00477B14" w14:paraId="1D021CB9" w14:textId="77777777" w:rsidTr="00477B14">
        <w:tc>
          <w:tcPr>
            <w:tcW w:w="6232" w:type="dxa"/>
            <w:tcBorders>
              <w:top w:val="single" w:sz="4" w:space="0" w:color="auto"/>
              <w:left w:val="single" w:sz="4" w:space="0" w:color="auto"/>
              <w:bottom w:val="single" w:sz="4" w:space="0" w:color="auto"/>
              <w:right w:val="single" w:sz="4" w:space="0" w:color="auto"/>
            </w:tcBorders>
            <w:hideMark/>
          </w:tcPr>
          <w:p w14:paraId="382F770F" w14:textId="77777777" w:rsidR="00477B14" w:rsidRPr="00477B14" w:rsidRDefault="00477B14" w:rsidP="00E232AA">
            <w:pPr>
              <w:contextualSpacing/>
              <w:rPr>
                <w:rFonts w:cs="Arial"/>
                <w:b/>
                <w:bCs/>
              </w:rPr>
            </w:pPr>
            <w:bookmarkStart w:id="22" w:name="_Hlk219061521"/>
            <w:r w:rsidRPr="00477B14">
              <w:rPr>
                <w:rFonts w:cs="Arial"/>
                <w:b/>
                <w:bCs/>
              </w:rPr>
              <w:t xml:space="preserve">Severity of condition </w:t>
            </w:r>
          </w:p>
        </w:tc>
        <w:tc>
          <w:tcPr>
            <w:tcW w:w="2784" w:type="dxa"/>
            <w:tcBorders>
              <w:top w:val="single" w:sz="4" w:space="0" w:color="auto"/>
              <w:left w:val="single" w:sz="4" w:space="0" w:color="auto"/>
              <w:bottom w:val="single" w:sz="4" w:space="0" w:color="auto"/>
              <w:right w:val="single" w:sz="4" w:space="0" w:color="auto"/>
            </w:tcBorders>
            <w:hideMark/>
          </w:tcPr>
          <w:p w14:paraId="0FF74AED" w14:textId="77777777" w:rsidR="00477B14" w:rsidRPr="00477B14" w:rsidRDefault="00477B14" w:rsidP="00E232AA">
            <w:pPr>
              <w:contextualSpacing/>
              <w:rPr>
                <w:rFonts w:cs="Arial"/>
                <w:b/>
                <w:bCs/>
              </w:rPr>
            </w:pPr>
            <w:r w:rsidRPr="00477B14">
              <w:rPr>
                <w:rFonts w:cs="Arial"/>
                <w:b/>
                <w:bCs/>
              </w:rPr>
              <w:t>Estimated number of people living with it</w:t>
            </w:r>
          </w:p>
        </w:tc>
      </w:tr>
      <w:tr w:rsidR="00477B14" w:rsidRPr="00477B14" w14:paraId="0DE0BC11" w14:textId="77777777" w:rsidTr="00477B14">
        <w:tc>
          <w:tcPr>
            <w:tcW w:w="6232" w:type="dxa"/>
            <w:tcBorders>
              <w:top w:val="single" w:sz="4" w:space="0" w:color="auto"/>
              <w:left w:val="single" w:sz="4" w:space="0" w:color="auto"/>
              <w:bottom w:val="single" w:sz="4" w:space="0" w:color="auto"/>
              <w:right w:val="single" w:sz="4" w:space="0" w:color="auto"/>
            </w:tcBorders>
            <w:hideMark/>
          </w:tcPr>
          <w:p w14:paraId="7514A8A4" w14:textId="77777777" w:rsidR="00477B14" w:rsidRPr="00477B14" w:rsidRDefault="00477B14" w:rsidP="00E232AA">
            <w:pPr>
              <w:contextualSpacing/>
              <w:rPr>
                <w:rFonts w:cs="Arial"/>
              </w:rPr>
            </w:pPr>
            <w:r w:rsidRPr="00477B14">
              <w:rPr>
                <w:rFonts w:cs="Arial"/>
              </w:rPr>
              <w:t>Early-stage age-related macular degeneration</w:t>
            </w:r>
          </w:p>
        </w:tc>
        <w:tc>
          <w:tcPr>
            <w:tcW w:w="2784" w:type="dxa"/>
            <w:tcBorders>
              <w:top w:val="single" w:sz="4" w:space="0" w:color="auto"/>
              <w:left w:val="single" w:sz="4" w:space="0" w:color="auto"/>
              <w:bottom w:val="single" w:sz="4" w:space="0" w:color="auto"/>
              <w:right w:val="single" w:sz="4" w:space="0" w:color="auto"/>
            </w:tcBorders>
            <w:hideMark/>
          </w:tcPr>
          <w:p w14:paraId="349687B3" w14:textId="77777777" w:rsidR="00477B14" w:rsidRPr="00477B14" w:rsidRDefault="00477B14" w:rsidP="00E232AA">
            <w:pPr>
              <w:contextualSpacing/>
              <w:rPr>
                <w:rFonts w:cs="Arial"/>
              </w:rPr>
            </w:pPr>
            <w:r w:rsidRPr="00477B14">
              <w:rPr>
                <w:rFonts w:cs="Arial"/>
              </w:rPr>
              <w:t>18,250</w:t>
            </w:r>
          </w:p>
        </w:tc>
        <w:bookmarkEnd w:id="22"/>
      </w:tr>
      <w:tr w:rsidR="00477B14" w:rsidRPr="00477B14" w14:paraId="57E1CE4B" w14:textId="77777777" w:rsidTr="00477B14">
        <w:tc>
          <w:tcPr>
            <w:tcW w:w="6232" w:type="dxa"/>
            <w:tcBorders>
              <w:top w:val="single" w:sz="4" w:space="0" w:color="auto"/>
              <w:left w:val="single" w:sz="4" w:space="0" w:color="auto"/>
              <w:bottom w:val="single" w:sz="4" w:space="0" w:color="auto"/>
              <w:right w:val="single" w:sz="4" w:space="0" w:color="auto"/>
            </w:tcBorders>
            <w:hideMark/>
          </w:tcPr>
          <w:p w14:paraId="019B8A15" w14:textId="77777777" w:rsidR="00477B14" w:rsidRPr="00477B14" w:rsidRDefault="00477B14" w:rsidP="00E232AA">
            <w:pPr>
              <w:contextualSpacing/>
              <w:rPr>
                <w:rFonts w:cs="Arial"/>
              </w:rPr>
            </w:pPr>
            <w:r w:rsidRPr="00477B14">
              <w:rPr>
                <w:rFonts w:cs="Arial"/>
              </w:rPr>
              <w:t>Late-stage dry age-related macular degeneration</w:t>
            </w:r>
          </w:p>
        </w:tc>
        <w:tc>
          <w:tcPr>
            <w:tcW w:w="2784" w:type="dxa"/>
            <w:tcBorders>
              <w:top w:val="single" w:sz="4" w:space="0" w:color="auto"/>
              <w:left w:val="single" w:sz="4" w:space="0" w:color="auto"/>
              <w:bottom w:val="single" w:sz="4" w:space="0" w:color="auto"/>
              <w:right w:val="single" w:sz="4" w:space="0" w:color="auto"/>
            </w:tcBorders>
            <w:hideMark/>
          </w:tcPr>
          <w:p w14:paraId="470CFA0E" w14:textId="77777777" w:rsidR="00477B14" w:rsidRPr="00477B14" w:rsidRDefault="00477B14" w:rsidP="00E232AA">
            <w:pPr>
              <w:contextualSpacing/>
              <w:rPr>
                <w:rFonts w:cs="Arial"/>
              </w:rPr>
            </w:pPr>
            <w:r w:rsidRPr="00477B14">
              <w:rPr>
                <w:rFonts w:cs="Arial"/>
              </w:rPr>
              <w:t>1,390</w:t>
            </w:r>
          </w:p>
        </w:tc>
      </w:tr>
      <w:tr w:rsidR="00477B14" w:rsidRPr="00477B14" w14:paraId="5F1EAED8" w14:textId="77777777" w:rsidTr="00477B14">
        <w:tc>
          <w:tcPr>
            <w:tcW w:w="6232" w:type="dxa"/>
            <w:tcBorders>
              <w:top w:val="single" w:sz="4" w:space="0" w:color="auto"/>
              <w:left w:val="single" w:sz="4" w:space="0" w:color="auto"/>
              <w:bottom w:val="single" w:sz="4" w:space="0" w:color="auto"/>
              <w:right w:val="single" w:sz="4" w:space="0" w:color="auto"/>
            </w:tcBorders>
            <w:hideMark/>
          </w:tcPr>
          <w:p w14:paraId="0CB3E512" w14:textId="77777777" w:rsidR="00477B14" w:rsidRPr="00477B14" w:rsidRDefault="00477B14" w:rsidP="00E232AA">
            <w:pPr>
              <w:contextualSpacing/>
              <w:rPr>
                <w:rFonts w:cs="Arial"/>
              </w:rPr>
            </w:pPr>
            <w:r w:rsidRPr="00477B14">
              <w:rPr>
                <w:rFonts w:cs="Arial"/>
              </w:rPr>
              <w:t>Late-stage wet age-related macular degeneration</w:t>
            </w:r>
          </w:p>
        </w:tc>
        <w:tc>
          <w:tcPr>
            <w:tcW w:w="2784" w:type="dxa"/>
            <w:tcBorders>
              <w:top w:val="single" w:sz="4" w:space="0" w:color="auto"/>
              <w:left w:val="single" w:sz="4" w:space="0" w:color="auto"/>
              <w:bottom w:val="single" w:sz="4" w:space="0" w:color="auto"/>
              <w:right w:val="single" w:sz="4" w:space="0" w:color="auto"/>
            </w:tcBorders>
            <w:hideMark/>
          </w:tcPr>
          <w:p w14:paraId="6C67A480" w14:textId="77777777" w:rsidR="00477B14" w:rsidRPr="00477B14" w:rsidRDefault="00477B14" w:rsidP="00E232AA">
            <w:pPr>
              <w:contextualSpacing/>
              <w:rPr>
                <w:rFonts w:cs="Arial"/>
              </w:rPr>
            </w:pPr>
            <w:r w:rsidRPr="00477B14">
              <w:rPr>
                <w:rFonts w:cs="Arial"/>
              </w:rPr>
              <w:t>2,830</w:t>
            </w:r>
          </w:p>
        </w:tc>
      </w:tr>
      <w:tr w:rsidR="00477B14" w:rsidRPr="00477B14" w14:paraId="16CD772B" w14:textId="77777777" w:rsidTr="00477B14">
        <w:tc>
          <w:tcPr>
            <w:tcW w:w="6232" w:type="dxa"/>
            <w:tcBorders>
              <w:top w:val="single" w:sz="4" w:space="0" w:color="auto"/>
              <w:left w:val="single" w:sz="4" w:space="0" w:color="auto"/>
              <w:bottom w:val="single" w:sz="4" w:space="0" w:color="auto"/>
              <w:right w:val="single" w:sz="4" w:space="0" w:color="auto"/>
            </w:tcBorders>
            <w:hideMark/>
          </w:tcPr>
          <w:p w14:paraId="3726877C" w14:textId="77777777" w:rsidR="00477B14" w:rsidRPr="00477B14" w:rsidRDefault="00477B14" w:rsidP="00E232AA">
            <w:pPr>
              <w:contextualSpacing/>
              <w:rPr>
                <w:rFonts w:cs="Arial"/>
              </w:rPr>
            </w:pPr>
            <w:r w:rsidRPr="00477B14">
              <w:rPr>
                <w:rFonts w:cs="Arial"/>
              </w:rPr>
              <w:t>Combined late-stage age-related macular degeneration</w:t>
            </w:r>
          </w:p>
        </w:tc>
        <w:tc>
          <w:tcPr>
            <w:tcW w:w="2784" w:type="dxa"/>
            <w:tcBorders>
              <w:top w:val="single" w:sz="4" w:space="0" w:color="auto"/>
              <w:left w:val="single" w:sz="4" w:space="0" w:color="auto"/>
              <w:bottom w:val="single" w:sz="4" w:space="0" w:color="auto"/>
              <w:right w:val="single" w:sz="4" w:space="0" w:color="auto"/>
            </w:tcBorders>
            <w:hideMark/>
          </w:tcPr>
          <w:p w14:paraId="5C2872EB" w14:textId="77777777" w:rsidR="00477B14" w:rsidRPr="00477B14" w:rsidRDefault="00477B14" w:rsidP="00E232AA">
            <w:pPr>
              <w:contextualSpacing/>
              <w:rPr>
                <w:rFonts w:cs="Arial"/>
              </w:rPr>
            </w:pPr>
            <w:r w:rsidRPr="00477B14">
              <w:rPr>
                <w:rFonts w:cs="Arial"/>
              </w:rPr>
              <w:t>4,000</w:t>
            </w:r>
          </w:p>
        </w:tc>
      </w:tr>
    </w:tbl>
    <w:p w14:paraId="63615F45" w14:textId="77777777" w:rsidR="00477B14" w:rsidRPr="00477B14" w:rsidRDefault="00477B14" w:rsidP="00E232AA">
      <w:pPr>
        <w:contextualSpacing/>
        <w:rPr>
          <w:rFonts w:eastAsia="Aptos" w:cs="Arial"/>
        </w:rPr>
      </w:pPr>
    </w:p>
    <w:p w14:paraId="2990D22E" w14:textId="77777777" w:rsidR="00477B14" w:rsidRPr="00477B14" w:rsidRDefault="00477B14" w:rsidP="00E232AA">
      <w:pPr>
        <w:contextualSpacing/>
        <w:rPr>
          <w:rFonts w:eastAsia="Aptos" w:cs="Arial"/>
        </w:rPr>
      </w:pPr>
      <w:r w:rsidRPr="00477B14">
        <w:rPr>
          <w:rFonts w:eastAsia="Aptos" w:cs="Arial"/>
        </w:rPr>
        <w:t>Between 2022 and 2032 it is estimated there will be an increase of 18% in the number of people living with late-stage age-related macular degeneration.</w:t>
      </w:r>
    </w:p>
    <w:p w14:paraId="33DBE8B5" w14:textId="77777777" w:rsidR="00477B14" w:rsidRPr="00477B14" w:rsidRDefault="00477B14" w:rsidP="00E232AA">
      <w:pPr>
        <w:contextualSpacing/>
        <w:rPr>
          <w:rFonts w:eastAsia="Aptos" w:cs="Arial"/>
        </w:rPr>
      </w:pPr>
    </w:p>
    <w:p w14:paraId="167B31DC" w14:textId="77777777" w:rsidR="00477B14" w:rsidRPr="00477B14" w:rsidRDefault="00477B14" w:rsidP="00E232AA">
      <w:pPr>
        <w:contextualSpacing/>
        <w:rPr>
          <w:rFonts w:eastAsia="Aptos" w:cs="Arial"/>
          <w:b/>
          <w:bCs/>
        </w:rPr>
      </w:pPr>
      <w:r w:rsidRPr="00477B14">
        <w:rPr>
          <w:rFonts w:eastAsia="Aptos" w:cs="Arial"/>
          <w:b/>
          <w:bCs/>
        </w:rPr>
        <w:t xml:space="preserve">Cataract </w:t>
      </w:r>
    </w:p>
    <w:p w14:paraId="0F34910D" w14:textId="77777777" w:rsidR="00477B14" w:rsidRPr="00477B14" w:rsidRDefault="00477B14" w:rsidP="00E232AA">
      <w:pPr>
        <w:contextualSpacing/>
        <w:rPr>
          <w:rFonts w:eastAsia="Aptos" w:cs="Arial"/>
        </w:rPr>
      </w:pPr>
    </w:p>
    <w:tbl>
      <w:tblPr>
        <w:tblStyle w:val="TableGrid"/>
        <w:tblW w:w="0" w:type="auto"/>
        <w:tblInd w:w="0" w:type="dxa"/>
        <w:tblLook w:val="04A0" w:firstRow="1" w:lastRow="0" w:firstColumn="1" w:lastColumn="0" w:noHBand="0" w:noVBand="1"/>
      </w:tblPr>
      <w:tblGrid>
        <w:gridCol w:w="6232"/>
        <w:gridCol w:w="2784"/>
      </w:tblGrid>
      <w:tr w:rsidR="00477B14" w:rsidRPr="00477B14" w14:paraId="61685873" w14:textId="77777777" w:rsidTr="00477B14">
        <w:tc>
          <w:tcPr>
            <w:tcW w:w="6232" w:type="dxa"/>
            <w:tcBorders>
              <w:top w:val="single" w:sz="4" w:space="0" w:color="auto"/>
              <w:left w:val="single" w:sz="4" w:space="0" w:color="auto"/>
              <w:bottom w:val="single" w:sz="4" w:space="0" w:color="auto"/>
              <w:right w:val="single" w:sz="4" w:space="0" w:color="auto"/>
            </w:tcBorders>
            <w:hideMark/>
          </w:tcPr>
          <w:p w14:paraId="6EAD682D" w14:textId="77777777" w:rsidR="00477B14" w:rsidRPr="00477B14" w:rsidRDefault="00477B14" w:rsidP="00E232AA">
            <w:pPr>
              <w:contextualSpacing/>
              <w:rPr>
                <w:rFonts w:cs="Arial"/>
                <w:b/>
                <w:bCs/>
              </w:rPr>
            </w:pPr>
            <w:r w:rsidRPr="00477B14">
              <w:rPr>
                <w:rFonts w:cs="Arial"/>
                <w:b/>
                <w:bCs/>
              </w:rPr>
              <w:t xml:space="preserve">Eye condition </w:t>
            </w:r>
          </w:p>
        </w:tc>
        <w:tc>
          <w:tcPr>
            <w:tcW w:w="2784" w:type="dxa"/>
            <w:tcBorders>
              <w:top w:val="single" w:sz="4" w:space="0" w:color="auto"/>
              <w:left w:val="single" w:sz="4" w:space="0" w:color="auto"/>
              <w:bottom w:val="single" w:sz="4" w:space="0" w:color="auto"/>
              <w:right w:val="single" w:sz="4" w:space="0" w:color="auto"/>
            </w:tcBorders>
            <w:hideMark/>
          </w:tcPr>
          <w:p w14:paraId="0D8278FE" w14:textId="77777777" w:rsidR="00477B14" w:rsidRPr="00477B14" w:rsidRDefault="00477B14" w:rsidP="00E232AA">
            <w:pPr>
              <w:contextualSpacing/>
              <w:rPr>
                <w:rFonts w:cs="Arial"/>
                <w:b/>
                <w:bCs/>
              </w:rPr>
            </w:pPr>
            <w:r w:rsidRPr="00477B14">
              <w:rPr>
                <w:rFonts w:cs="Arial"/>
                <w:b/>
                <w:bCs/>
              </w:rPr>
              <w:t>Estimated number of people living with it</w:t>
            </w:r>
          </w:p>
        </w:tc>
      </w:tr>
      <w:tr w:rsidR="00477B14" w:rsidRPr="00477B14" w14:paraId="53073D81" w14:textId="77777777" w:rsidTr="00477B14">
        <w:tc>
          <w:tcPr>
            <w:tcW w:w="6232" w:type="dxa"/>
            <w:tcBorders>
              <w:top w:val="single" w:sz="4" w:space="0" w:color="auto"/>
              <w:left w:val="single" w:sz="4" w:space="0" w:color="auto"/>
              <w:bottom w:val="single" w:sz="4" w:space="0" w:color="auto"/>
              <w:right w:val="single" w:sz="4" w:space="0" w:color="auto"/>
            </w:tcBorders>
            <w:hideMark/>
          </w:tcPr>
          <w:p w14:paraId="7B162C1C" w14:textId="77777777" w:rsidR="00477B14" w:rsidRPr="00477B14" w:rsidRDefault="00477B14" w:rsidP="00E232AA">
            <w:pPr>
              <w:contextualSpacing/>
              <w:rPr>
                <w:rFonts w:cs="Arial"/>
              </w:rPr>
            </w:pPr>
            <w:r w:rsidRPr="00477B14">
              <w:rPr>
                <w:rFonts w:cs="Arial"/>
              </w:rPr>
              <w:t>Cataract</w:t>
            </w:r>
          </w:p>
        </w:tc>
        <w:tc>
          <w:tcPr>
            <w:tcW w:w="2784" w:type="dxa"/>
            <w:tcBorders>
              <w:top w:val="single" w:sz="4" w:space="0" w:color="auto"/>
              <w:left w:val="single" w:sz="4" w:space="0" w:color="auto"/>
              <w:bottom w:val="single" w:sz="4" w:space="0" w:color="auto"/>
              <w:right w:val="single" w:sz="4" w:space="0" w:color="auto"/>
            </w:tcBorders>
            <w:hideMark/>
          </w:tcPr>
          <w:p w14:paraId="1CA72370" w14:textId="77777777" w:rsidR="00477B14" w:rsidRPr="00477B14" w:rsidRDefault="00477B14" w:rsidP="00E232AA">
            <w:pPr>
              <w:contextualSpacing/>
              <w:rPr>
                <w:rFonts w:cs="Arial"/>
              </w:rPr>
            </w:pPr>
            <w:r w:rsidRPr="00477B14">
              <w:rPr>
                <w:rFonts w:cs="Arial"/>
              </w:rPr>
              <w:t>4,420</w:t>
            </w:r>
          </w:p>
        </w:tc>
      </w:tr>
    </w:tbl>
    <w:p w14:paraId="57CF5215" w14:textId="77777777" w:rsidR="00477B14" w:rsidRPr="00477B14" w:rsidRDefault="00477B14" w:rsidP="00E232AA">
      <w:pPr>
        <w:contextualSpacing/>
        <w:rPr>
          <w:rFonts w:eastAsia="Aptos" w:cs="Arial"/>
        </w:rPr>
      </w:pPr>
    </w:p>
    <w:p w14:paraId="478CCFC3" w14:textId="77777777" w:rsidR="00477B14" w:rsidRPr="00477B14" w:rsidRDefault="00477B14" w:rsidP="00E232AA">
      <w:pPr>
        <w:contextualSpacing/>
        <w:rPr>
          <w:rFonts w:eastAsia="Aptos" w:cs="Arial"/>
        </w:rPr>
      </w:pPr>
      <w:r w:rsidRPr="00477B14">
        <w:rPr>
          <w:rFonts w:eastAsia="Aptos" w:cs="Arial"/>
        </w:rPr>
        <w:t>Between 2022 and 2032 it is estimated there will be an increase of 18% in the number of people living with cataracts.</w:t>
      </w:r>
    </w:p>
    <w:p w14:paraId="000B4768" w14:textId="77777777" w:rsidR="00477B14" w:rsidRPr="00477B14" w:rsidRDefault="00477B14" w:rsidP="00E232AA">
      <w:pPr>
        <w:contextualSpacing/>
        <w:rPr>
          <w:rFonts w:eastAsia="Aptos" w:cs="Arial"/>
        </w:rPr>
      </w:pPr>
    </w:p>
    <w:p w14:paraId="4BBF12E8" w14:textId="77777777" w:rsidR="00477B14" w:rsidRPr="00477B14" w:rsidRDefault="00477B14" w:rsidP="00E232AA">
      <w:pPr>
        <w:contextualSpacing/>
        <w:rPr>
          <w:rFonts w:eastAsia="Aptos" w:cs="Arial"/>
          <w:b/>
          <w:bCs/>
        </w:rPr>
      </w:pPr>
      <w:r w:rsidRPr="00477B14">
        <w:rPr>
          <w:rFonts w:eastAsia="Aptos" w:cs="Arial"/>
          <w:b/>
          <w:bCs/>
        </w:rPr>
        <w:t>Glaucoma</w:t>
      </w:r>
    </w:p>
    <w:p w14:paraId="7C453BF9" w14:textId="77777777" w:rsidR="00477B14" w:rsidRPr="00477B14" w:rsidRDefault="00477B14" w:rsidP="00E232AA">
      <w:pPr>
        <w:contextualSpacing/>
        <w:rPr>
          <w:rFonts w:eastAsia="Aptos" w:cs="Arial"/>
        </w:rPr>
      </w:pPr>
    </w:p>
    <w:tbl>
      <w:tblPr>
        <w:tblStyle w:val="TableGrid"/>
        <w:tblW w:w="0" w:type="auto"/>
        <w:tblInd w:w="0" w:type="dxa"/>
        <w:tblLook w:val="04A0" w:firstRow="1" w:lastRow="0" w:firstColumn="1" w:lastColumn="0" w:noHBand="0" w:noVBand="1"/>
      </w:tblPr>
      <w:tblGrid>
        <w:gridCol w:w="6232"/>
        <w:gridCol w:w="2784"/>
      </w:tblGrid>
      <w:tr w:rsidR="00477B14" w:rsidRPr="00477B14" w14:paraId="207D69EA" w14:textId="77777777" w:rsidTr="00477B14">
        <w:tc>
          <w:tcPr>
            <w:tcW w:w="6232" w:type="dxa"/>
            <w:tcBorders>
              <w:top w:val="single" w:sz="4" w:space="0" w:color="auto"/>
              <w:left w:val="single" w:sz="4" w:space="0" w:color="auto"/>
              <w:bottom w:val="single" w:sz="4" w:space="0" w:color="auto"/>
              <w:right w:val="single" w:sz="4" w:space="0" w:color="auto"/>
            </w:tcBorders>
            <w:hideMark/>
          </w:tcPr>
          <w:p w14:paraId="071ACA4E" w14:textId="77777777" w:rsidR="00477B14" w:rsidRPr="00477B14" w:rsidRDefault="00477B14" w:rsidP="00E232AA">
            <w:pPr>
              <w:contextualSpacing/>
              <w:rPr>
                <w:rFonts w:cs="Arial"/>
                <w:b/>
                <w:bCs/>
              </w:rPr>
            </w:pPr>
            <w:r w:rsidRPr="00477B14">
              <w:rPr>
                <w:rFonts w:cs="Arial"/>
                <w:b/>
                <w:bCs/>
              </w:rPr>
              <w:t xml:space="preserve">Eye condition </w:t>
            </w:r>
          </w:p>
        </w:tc>
        <w:tc>
          <w:tcPr>
            <w:tcW w:w="2784" w:type="dxa"/>
            <w:tcBorders>
              <w:top w:val="single" w:sz="4" w:space="0" w:color="auto"/>
              <w:left w:val="single" w:sz="4" w:space="0" w:color="auto"/>
              <w:bottom w:val="single" w:sz="4" w:space="0" w:color="auto"/>
              <w:right w:val="single" w:sz="4" w:space="0" w:color="auto"/>
            </w:tcBorders>
            <w:hideMark/>
          </w:tcPr>
          <w:p w14:paraId="29CFB5C7" w14:textId="77777777" w:rsidR="00477B14" w:rsidRPr="00477B14" w:rsidRDefault="00477B14" w:rsidP="00E232AA">
            <w:pPr>
              <w:contextualSpacing/>
              <w:rPr>
                <w:rFonts w:cs="Arial"/>
                <w:b/>
                <w:bCs/>
              </w:rPr>
            </w:pPr>
            <w:r w:rsidRPr="00477B14">
              <w:rPr>
                <w:rFonts w:cs="Arial"/>
                <w:b/>
                <w:bCs/>
              </w:rPr>
              <w:t>Estimated number of people living with it</w:t>
            </w:r>
          </w:p>
        </w:tc>
      </w:tr>
      <w:tr w:rsidR="00477B14" w:rsidRPr="00477B14" w14:paraId="7317748B" w14:textId="77777777" w:rsidTr="00477B14">
        <w:tc>
          <w:tcPr>
            <w:tcW w:w="6232" w:type="dxa"/>
            <w:tcBorders>
              <w:top w:val="single" w:sz="4" w:space="0" w:color="auto"/>
              <w:left w:val="single" w:sz="4" w:space="0" w:color="auto"/>
              <w:bottom w:val="single" w:sz="4" w:space="0" w:color="auto"/>
              <w:right w:val="single" w:sz="4" w:space="0" w:color="auto"/>
            </w:tcBorders>
            <w:hideMark/>
          </w:tcPr>
          <w:p w14:paraId="0654E897" w14:textId="77777777" w:rsidR="00477B14" w:rsidRPr="00477B14" w:rsidRDefault="00477B14" w:rsidP="00E232AA">
            <w:pPr>
              <w:contextualSpacing/>
              <w:rPr>
                <w:rFonts w:cs="Arial"/>
              </w:rPr>
            </w:pPr>
            <w:r w:rsidRPr="00477B14">
              <w:rPr>
                <w:rFonts w:cs="Arial"/>
              </w:rPr>
              <w:t>Ocular hypertension</w:t>
            </w:r>
          </w:p>
        </w:tc>
        <w:tc>
          <w:tcPr>
            <w:tcW w:w="2784" w:type="dxa"/>
            <w:tcBorders>
              <w:top w:val="single" w:sz="4" w:space="0" w:color="auto"/>
              <w:left w:val="single" w:sz="4" w:space="0" w:color="auto"/>
              <w:bottom w:val="single" w:sz="4" w:space="0" w:color="auto"/>
              <w:right w:val="single" w:sz="4" w:space="0" w:color="auto"/>
            </w:tcBorders>
            <w:hideMark/>
          </w:tcPr>
          <w:p w14:paraId="026B8D46" w14:textId="77777777" w:rsidR="00477B14" w:rsidRPr="00477B14" w:rsidRDefault="00477B14" w:rsidP="00E232AA">
            <w:pPr>
              <w:contextualSpacing/>
              <w:rPr>
                <w:rFonts w:cs="Arial"/>
              </w:rPr>
            </w:pPr>
            <w:r w:rsidRPr="00477B14">
              <w:rPr>
                <w:rFonts w:cs="Arial"/>
              </w:rPr>
              <w:t>8,060</w:t>
            </w:r>
          </w:p>
        </w:tc>
      </w:tr>
      <w:tr w:rsidR="00477B14" w:rsidRPr="00477B14" w14:paraId="62616217" w14:textId="77777777" w:rsidTr="00477B14">
        <w:tc>
          <w:tcPr>
            <w:tcW w:w="6232" w:type="dxa"/>
            <w:tcBorders>
              <w:top w:val="single" w:sz="4" w:space="0" w:color="auto"/>
              <w:left w:val="single" w:sz="4" w:space="0" w:color="auto"/>
              <w:bottom w:val="single" w:sz="4" w:space="0" w:color="auto"/>
              <w:right w:val="single" w:sz="4" w:space="0" w:color="auto"/>
            </w:tcBorders>
            <w:hideMark/>
          </w:tcPr>
          <w:p w14:paraId="65DEE897" w14:textId="77777777" w:rsidR="00477B14" w:rsidRPr="00477B14" w:rsidRDefault="00477B14" w:rsidP="00E232AA">
            <w:pPr>
              <w:contextualSpacing/>
              <w:rPr>
                <w:rFonts w:cs="Arial"/>
              </w:rPr>
            </w:pPr>
            <w:r w:rsidRPr="00477B14">
              <w:rPr>
                <w:rFonts w:cs="Arial"/>
              </w:rPr>
              <w:t>Glaucoma</w:t>
            </w:r>
          </w:p>
        </w:tc>
        <w:tc>
          <w:tcPr>
            <w:tcW w:w="2784" w:type="dxa"/>
            <w:tcBorders>
              <w:top w:val="single" w:sz="4" w:space="0" w:color="auto"/>
              <w:left w:val="single" w:sz="4" w:space="0" w:color="auto"/>
              <w:bottom w:val="single" w:sz="4" w:space="0" w:color="auto"/>
              <w:right w:val="single" w:sz="4" w:space="0" w:color="auto"/>
            </w:tcBorders>
            <w:hideMark/>
          </w:tcPr>
          <w:p w14:paraId="338DCF95" w14:textId="77777777" w:rsidR="00477B14" w:rsidRPr="00477B14" w:rsidRDefault="00477B14" w:rsidP="00E232AA">
            <w:pPr>
              <w:contextualSpacing/>
              <w:rPr>
                <w:rFonts w:cs="Arial"/>
              </w:rPr>
            </w:pPr>
            <w:r w:rsidRPr="00477B14">
              <w:rPr>
                <w:rFonts w:cs="Arial"/>
              </w:rPr>
              <w:t>4,330</w:t>
            </w:r>
          </w:p>
        </w:tc>
      </w:tr>
    </w:tbl>
    <w:p w14:paraId="4CFCF9D3" w14:textId="77777777" w:rsidR="00477B14" w:rsidRPr="00477B14" w:rsidRDefault="00477B14" w:rsidP="00E232AA">
      <w:pPr>
        <w:contextualSpacing/>
        <w:rPr>
          <w:rFonts w:eastAsia="Aptos" w:cs="Arial"/>
        </w:rPr>
      </w:pPr>
    </w:p>
    <w:p w14:paraId="2008FBF4" w14:textId="77777777" w:rsidR="00477B14" w:rsidRPr="00477B14" w:rsidRDefault="00477B14" w:rsidP="00E232AA">
      <w:pPr>
        <w:contextualSpacing/>
        <w:rPr>
          <w:rFonts w:eastAsia="Aptos" w:cs="Arial"/>
        </w:rPr>
      </w:pPr>
      <w:r w:rsidRPr="00477B14">
        <w:rPr>
          <w:rFonts w:eastAsia="Aptos" w:cs="Arial"/>
        </w:rPr>
        <w:t>Between 2022 and 2032 it is estimated there will be an increase of 12% in the number of people living with glaucoma.</w:t>
      </w:r>
    </w:p>
    <w:p w14:paraId="13B6937D" w14:textId="77777777" w:rsidR="00477B14" w:rsidRPr="00477B14" w:rsidRDefault="00477B14" w:rsidP="00E232AA">
      <w:pPr>
        <w:contextualSpacing/>
        <w:rPr>
          <w:rFonts w:eastAsia="Aptos" w:cs="Arial"/>
          <w:u w:val="single"/>
        </w:rPr>
      </w:pPr>
    </w:p>
    <w:p w14:paraId="5E44DFB3" w14:textId="77777777" w:rsidR="00477B14" w:rsidRPr="00477B14" w:rsidRDefault="00477B14" w:rsidP="00E232AA">
      <w:pPr>
        <w:contextualSpacing/>
        <w:rPr>
          <w:rFonts w:eastAsia="Aptos" w:cs="Arial"/>
          <w:b/>
          <w:bCs/>
        </w:rPr>
      </w:pPr>
      <w:r w:rsidRPr="00477B14">
        <w:rPr>
          <w:rFonts w:eastAsia="Aptos" w:cs="Arial"/>
          <w:b/>
          <w:bCs/>
        </w:rPr>
        <w:t>Diabetic eye disease</w:t>
      </w:r>
    </w:p>
    <w:p w14:paraId="1346C633" w14:textId="77777777" w:rsidR="00477B14" w:rsidRPr="00477B14" w:rsidRDefault="00477B14" w:rsidP="00E232AA">
      <w:pPr>
        <w:contextualSpacing/>
        <w:rPr>
          <w:rFonts w:eastAsia="Aptos" w:cs="Arial"/>
        </w:rPr>
      </w:pPr>
    </w:p>
    <w:tbl>
      <w:tblPr>
        <w:tblStyle w:val="TableGrid"/>
        <w:tblW w:w="0" w:type="auto"/>
        <w:tblInd w:w="0" w:type="dxa"/>
        <w:tblLook w:val="04A0" w:firstRow="1" w:lastRow="0" w:firstColumn="1" w:lastColumn="0" w:noHBand="0" w:noVBand="1"/>
      </w:tblPr>
      <w:tblGrid>
        <w:gridCol w:w="6232"/>
        <w:gridCol w:w="2784"/>
      </w:tblGrid>
      <w:tr w:rsidR="00477B14" w:rsidRPr="00477B14" w14:paraId="22C3775D" w14:textId="77777777" w:rsidTr="00477B14">
        <w:tc>
          <w:tcPr>
            <w:tcW w:w="6232" w:type="dxa"/>
            <w:tcBorders>
              <w:top w:val="single" w:sz="4" w:space="0" w:color="auto"/>
              <w:left w:val="single" w:sz="4" w:space="0" w:color="auto"/>
              <w:bottom w:val="single" w:sz="4" w:space="0" w:color="auto"/>
              <w:right w:val="single" w:sz="4" w:space="0" w:color="auto"/>
            </w:tcBorders>
            <w:hideMark/>
          </w:tcPr>
          <w:p w14:paraId="1D2E42C9" w14:textId="77777777" w:rsidR="00477B14" w:rsidRPr="00477B14" w:rsidRDefault="00477B14" w:rsidP="00E232AA">
            <w:pPr>
              <w:contextualSpacing/>
              <w:rPr>
                <w:rFonts w:cs="Arial"/>
                <w:b/>
                <w:bCs/>
              </w:rPr>
            </w:pPr>
            <w:r w:rsidRPr="00477B14">
              <w:rPr>
                <w:rFonts w:cs="Arial"/>
                <w:b/>
                <w:bCs/>
              </w:rPr>
              <w:t xml:space="preserve">Severity of condition </w:t>
            </w:r>
          </w:p>
        </w:tc>
        <w:tc>
          <w:tcPr>
            <w:tcW w:w="2784" w:type="dxa"/>
            <w:tcBorders>
              <w:top w:val="single" w:sz="4" w:space="0" w:color="auto"/>
              <w:left w:val="single" w:sz="4" w:space="0" w:color="auto"/>
              <w:bottom w:val="single" w:sz="4" w:space="0" w:color="auto"/>
              <w:right w:val="single" w:sz="4" w:space="0" w:color="auto"/>
            </w:tcBorders>
            <w:hideMark/>
          </w:tcPr>
          <w:p w14:paraId="12C4CB99" w14:textId="77777777" w:rsidR="00477B14" w:rsidRPr="00477B14" w:rsidRDefault="00477B14" w:rsidP="00E232AA">
            <w:pPr>
              <w:contextualSpacing/>
              <w:rPr>
                <w:rFonts w:cs="Arial"/>
                <w:b/>
                <w:bCs/>
              </w:rPr>
            </w:pPr>
            <w:r w:rsidRPr="00477B14">
              <w:rPr>
                <w:rFonts w:cs="Arial"/>
                <w:b/>
                <w:bCs/>
              </w:rPr>
              <w:t>Estimated number of people living with it</w:t>
            </w:r>
          </w:p>
        </w:tc>
      </w:tr>
      <w:tr w:rsidR="00477B14" w:rsidRPr="00477B14" w14:paraId="091C42F5" w14:textId="77777777" w:rsidTr="00477B14">
        <w:tc>
          <w:tcPr>
            <w:tcW w:w="6232" w:type="dxa"/>
            <w:tcBorders>
              <w:top w:val="single" w:sz="4" w:space="0" w:color="auto"/>
              <w:left w:val="single" w:sz="4" w:space="0" w:color="auto"/>
              <w:bottom w:val="single" w:sz="4" w:space="0" w:color="auto"/>
              <w:right w:val="single" w:sz="4" w:space="0" w:color="auto"/>
            </w:tcBorders>
            <w:hideMark/>
          </w:tcPr>
          <w:p w14:paraId="3FC6E8E7" w14:textId="77777777" w:rsidR="00477B14" w:rsidRPr="00477B14" w:rsidRDefault="00477B14" w:rsidP="00E232AA">
            <w:pPr>
              <w:contextualSpacing/>
              <w:rPr>
                <w:rFonts w:cs="Arial"/>
              </w:rPr>
            </w:pPr>
            <w:r w:rsidRPr="00477B14">
              <w:rPr>
                <w:rFonts w:cs="Arial"/>
              </w:rPr>
              <w:t>Adults have diagnosed diabetes</w:t>
            </w:r>
          </w:p>
        </w:tc>
        <w:tc>
          <w:tcPr>
            <w:tcW w:w="2784" w:type="dxa"/>
            <w:tcBorders>
              <w:top w:val="single" w:sz="4" w:space="0" w:color="auto"/>
              <w:left w:val="single" w:sz="4" w:space="0" w:color="auto"/>
              <w:bottom w:val="single" w:sz="4" w:space="0" w:color="auto"/>
              <w:right w:val="single" w:sz="4" w:space="0" w:color="auto"/>
            </w:tcBorders>
            <w:hideMark/>
          </w:tcPr>
          <w:p w14:paraId="4CE1AFA6" w14:textId="77777777" w:rsidR="00477B14" w:rsidRPr="00477B14" w:rsidRDefault="00477B14" w:rsidP="00E232AA">
            <w:pPr>
              <w:contextualSpacing/>
              <w:rPr>
                <w:rFonts w:cs="Arial"/>
              </w:rPr>
            </w:pPr>
            <w:r w:rsidRPr="00477B14">
              <w:rPr>
                <w:rFonts w:cs="Arial"/>
              </w:rPr>
              <w:t>25,700</w:t>
            </w:r>
          </w:p>
        </w:tc>
      </w:tr>
      <w:tr w:rsidR="00477B14" w:rsidRPr="00477B14" w14:paraId="30F409BF" w14:textId="77777777" w:rsidTr="00477B14">
        <w:tc>
          <w:tcPr>
            <w:tcW w:w="6232" w:type="dxa"/>
            <w:tcBorders>
              <w:top w:val="single" w:sz="4" w:space="0" w:color="auto"/>
              <w:left w:val="single" w:sz="4" w:space="0" w:color="auto"/>
              <w:bottom w:val="single" w:sz="4" w:space="0" w:color="auto"/>
              <w:right w:val="single" w:sz="4" w:space="0" w:color="auto"/>
            </w:tcBorders>
            <w:hideMark/>
          </w:tcPr>
          <w:p w14:paraId="1C4167B4" w14:textId="77777777" w:rsidR="00477B14" w:rsidRPr="00477B14" w:rsidRDefault="00477B14" w:rsidP="00E232AA">
            <w:pPr>
              <w:contextualSpacing/>
              <w:rPr>
                <w:rFonts w:cs="Arial"/>
              </w:rPr>
            </w:pPr>
            <w:r w:rsidRPr="00477B14">
              <w:rPr>
                <w:rFonts w:cs="Arial"/>
              </w:rPr>
              <w:t>People are living with diabetic retinopathy, of these</w:t>
            </w:r>
          </w:p>
        </w:tc>
        <w:tc>
          <w:tcPr>
            <w:tcW w:w="2784" w:type="dxa"/>
            <w:tcBorders>
              <w:top w:val="single" w:sz="4" w:space="0" w:color="auto"/>
              <w:left w:val="single" w:sz="4" w:space="0" w:color="auto"/>
              <w:bottom w:val="single" w:sz="4" w:space="0" w:color="auto"/>
              <w:right w:val="single" w:sz="4" w:space="0" w:color="auto"/>
            </w:tcBorders>
            <w:hideMark/>
          </w:tcPr>
          <w:p w14:paraId="14342ECC" w14:textId="77777777" w:rsidR="00477B14" w:rsidRPr="00477B14" w:rsidRDefault="00477B14" w:rsidP="00E232AA">
            <w:pPr>
              <w:contextualSpacing/>
              <w:rPr>
                <w:rFonts w:cs="Arial"/>
              </w:rPr>
            </w:pPr>
            <w:r w:rsidRPr="00477B14">
              <w:rPr>
                <w:rFonts w:cs="Arial"/>
              </w:rPr>
              <w:t>7,890</w:t>
            </w:r>
          </w:p>
        </w:tc>
      </w:tr>
      <w:tr w:rsidR="00477B14" w:rsidRPr="00477B14" w14:paraId="3B778BDA" w14:textId="77777777" w:rsidTr="00477B14">
        <w:tc>
          <w:tcPr>
            <w:tcW w:w="6232" w:type="dxa"/>
            <w:tcBorders>
              <w:top w:val="single" w:sz="4" w:space="0" w:color="auto"/>
              <w:left w:val="single" w:sz="4" w:space="0" w:color="auto"/>
              <w:bottom w:val="single" w:sz="4" w:space="0" w:color="auto"/>
              <w:right w:val="single" w:sz="4" w:space="0" w:color="auto"/>
            </w:tcBorders>
            <w:hideMark/>
          </w:tcPr>
          <w:p w14:paraId="1D26C2B9" w14:textId="77777777" w:rsidR="00477B14" w:rsidRPr="00477B14" w:rsidRDefault="00477B14" w:rsidP="00E232AA">
            <w:pPr>
              <w:contextualSpacing/>
              <w:rPr>
                <w:rFonts w:cs="Arial"/>
              </w:rPr>
            </w:pPr>
            <w:r w:rsidRPr="00477B14">
              <w:rPr>
                <w:rFonts w:cs="Arial"/>
              </w:rPr>
              <w:t>Of those living with diabetic retinopathy, 730 have severe diabetic retinopathy, a later stage of the disease that is likely to result in significant and potentially certifiable sight loss.</w:t>
            </w:r>
          </w:p>
        </w:tc>
        <w:tc>
          <w:tcPr>
            <w:tcW w:w="2784" w:type="dxa"/>
            <w:tcBorders>
              <w:top w:val="single" w:sz="4" w:space="0" w:color="auto"/>
              <w:left w:val="single" w:sz="4" w:space="0" w:color="auto"/>
              <w:bottom w:val="single" w:sz="4" w:space="0" w:color="auto"/>
              <w:right w:val="single" w:sz="4" w:space="0" w:color="auto"/>
            </w:tcBorders>
            <w:hideMark/>
          </w:tcPr>
          <w:p w14:paraId="730900FB" w14:textId="77777777" w:rsidR="00477B14" w:rsidRPr="00477B14" w:rsidRDefault="00477B14" w:rsidP="00E232AA">
            <w:pPr>
              <w:contextualSpacing/>
              <w:rPr>
                <w:rFonts w:cs="Arial"/>
              </w:rPr>
            </w:pPr>
            <w:r w:rsidRPr="00477B14">
              <w:rPr>
                <w:rFonts w:cs="Arial"/>
              </w:rPr>
              <w:t>730</w:t>
            </w:r>
          </w:p>
        </w:tc>
      </w:tr>
    </w:tbl>
    <w:p w14:paraId="743D0EF9" w14:textId="77777777" w:rsidR="00477B14" w:rsidRPr="00477B14" w:rsidRDefault="00477B14" w:rsidP="00E232AA">
      <w:pPr>
        <w:contextualSpacing/>
        <w:rPr>
          <w:rFonts w:eastAsia="Aptos" w:cs="Arial"/>
        </w:rPr>
      </w:pPr>
    </w:p>
    <w:p w14:paraId="65744C0F" w14:textId="77777777" w:rsidR="00477B14" w:rsidRPr="00477B14" w:rsidRDefault="00477B14" w:rsidP="00E232AA">
      <w:pPr>
        <w:contextualSpacing/>
        <w:rPr>
          <w:rFonts w:eastAsia="Aptos" w:cs="Arial"/>
        </w:rPr>
      </w:pPr>
      <w:r w:rsidRPr="00477B14">
        <w:rPr>
          <w:rFonts w:eastAsia="Aptos" w:cs="Arial"/>
        </w:rPr>
        <w:t>Between 2022 and 2032 it is estimated there will be an increase of 3.0% in the number of people living with diabetic retinopathy.</w:t>
      </w:r>
    </w:p>
    <w:p w14:paraId="3996C0FA" w14:textId="77777777" w:rsidR="00477B14" w:rsidRPr="00477B14" w:rsidRDefault="00477B14" w:rsidP="00E232AA">
      <w:pPr>
        <w:contextualSpacing/>
        <w:rPr>
          <w:rFonts w:eastAsia="Aptos" w:cs="Arial"/>
        </w:rPr>
      </w:pPr>
    </w:p>
    <w:p w14:paraId="67761561" w14:textId="77777777" w:rsidR="00477B14" w:rsidRPr="00477B14" w:rsidRDefault="00477B14" w:rsidP="00E232AA">
      <w:pPr>
        <w:contextualSpacing/>
        <w:rPr>
          <w:rFonts w:eastAsia="Aptos" w:cs="Arial"/>
        </w:rPr>
      </w:pPr>
      <w:r w:rsidRPr="00477B14">
        <w:rPr>
          <w:rFonts w:eastAsia="Aptos" w:cs="Arial"/>
        </w:rPr>
        <w:t xml:space="preserve">Sight loss can be linked to poor health and other health conditions. People are also more likely to experience a stroke as they get older - around 60% of people who suffer a stroke will also experience some form of visual impairment immediately afterwards. Certain risk factors can also increase the chance of sight loss. For </w:t>
      </w:r>
      <w:r w:rsidRPr="00477B14">
        <w:rPr>
          <w:rFonts w:eastAsia="Aptos" w:cs="Arial"/>
        </w:rPr>
        <w:lastRenderedPageBreak/>
        <w:t>example, smoking can double the risk of age-related macular degeneration and obesity increases the risk of developing diabetes which can cause sight loss. Falls are more common and more likely to have serious outcomes amongst older people. In some cases, falls can lead to serious medical problems and a range of adverse outcomes for health and wellbeing. It is estimated in Swansea Bay University Health Board’s area:</w:t>
      </w:r>
    </w:p>
    <w:p w14:paraId="381F0CEB" w14:textId="77777777" w:rsidR="00477B14" w:rsidRPr="00477B14" w:rsidRDefault="00477B14" w:rsidP="00E232AA">
      <w:pPr>
        <w:contextualSpacing/>
        <w:rPr>
          <w:rFonts w:eastAsia="Calibri" w:cs="Arial"/>
          <w:kern w:val="0"/>
          <w14:ligatures w14:val="none"/>
        </w:rPr>
      </w:pPr>
    </w:p>
    <w:p w14:paraId="1A3F75AE" w14:textId="77777777" w:rsidR="00477B14" w:rsidRPr="00477B14" w:rsidRDefault="00477B14" w:rsidP="00B76905">
      <w:pPr>
        <w:numPr>
          <w:ilvl w:val="0"/>
          <w:numId w:val="72"/>
        </w:numPr>
        <w:contextualSpacing/>
        <w:rPr>
          <w:rFonts w:eastAsia="Aptos" w:cs="Arial"/>
        </w:rPr>
      </w:pPr>
      <w:r w:rsidRPr="00477B14">
        <w:rPr>
          <w:rFonts w:eastAsia="Aptos" w:cs="Arial"/>
        </w:rPr>
        <w:t>1,710 people with sight loss aged over 65 experience a fall per year.</w:t>
      </w:r>
    </w:p>
    <w:p w14:paraId="0F9253AE" w14:textId="77777777" w:rsidR="00477B14" w:rsidRPr="00477B14" w:rsidRDefault="00477B14" w:rsidP="00B76905">
      <w:pPr>
        <w:numPr>
          <w:ilvl w:val="0"/>
          <w:numId w:val="72"/>
        </w:numPr>
        <w:contextualSpacing/>
        <w:rPr>
          <w:rFonts w:eastAsia="Aptos" w:cs="Arial"/>
        </w:rPr>
      </w:pPr>
      <w:r w:rsidRPr="00477B14">
        <w:rPr>
          <w:rFonts w:eastAsia="Aptos" w:cs="Arial"/>
        </w:rPr>
        <w:t>Of these falls, 800 are directly attributable to sight loss.</w:t>
      </w:r>
    </w:p>
    <w:p w14:paraId="7BA0E7EA" w14:textId="77777777" w:rsidR="00477B14" w:rsidRPr="00477B14" w:rsidRDefault="00477B14" w:rsidP="00B76905">
      <w:pPr>
        <w:numPr>
          <w:ilvl w:val="0"/>
          <w:numId w:val="72"/>
        </w:numPr>
        <w:contextualSpacing/>
        <w:rPr>
          <w:rFonts w:eastAsia="Aptos" w:cs="Arial"/>
        </w:rPr>
      </w:pPr>
      <w:r w:rsidRPr="00477B14">
        <w:rPr>
          <w:rFonts w:eastAsia="Aptos" w:cs="Arial"/>
        </w:rPr>
        <w:t>135 people aged over 65 with sight loss experience a severe fall per year (a severe fall is defined as a fall that results in hospital admission through Accident &amp; Emergency).</w:t>
      </w:r>
    </w:p>
    <w:p w14:paraId="66EDF491" w14:textId="77777777" w:rsidR="00477B14" w:rsidRPr="00477B14" w:rsidRDefault="00477B14" w:rsidP="00B76905">
      <w:pPr>
        <w:numPr>
          <w:ilvl w:val="0"/>
          <w:numId w:val="72"/>
        </w:numPr>
        <w:contextualSpacing/>
        <w:rPr>
          <w:rFonts w:eastAsia="Aptos" w:cs="Arial"/>
        </w:rPr>
      </w:pPr>
      <w:r w:rsidRPr="00477B14">
        <w:rPr>
          <w:rFonts w:eastAsia="Aptos" w:cs="Arial"/>
        </w:rPr>
        <w:t>Of these severe falls, 65 are directly attributable to sight loss.</w:t>
      </w:r>
    </w:p>
    <w:p w14:paraId="51CC428E" w14:textId="77777777" w:rsidR="00477B14" w:rsidRPr="00477B14" w:rsidRDefault="00477B14" w:rsidP="00E232AA">
      <w:pPr>
        <w:ind w:left="720"/>
        <w:contextualSpacing/>
        <w:rPr>
          <w:rFonts w:eastAsia="Calibri" w:cs="Arial"/>
          <w:kern w:val="0"/>
          <w14:ligatures w14:val="none"/>
        </w:rPr>
      </w:pPr>
    </w:p>
    <w:p w14:paraId="2422204C" w14:textId="77777777" w:rsidR="00477B14" w:rsidRPr="00477B14" w:rsidRDefault="00477B14" w:rsidP="00E232AA">
      <w:pPr>
        <w:contextualSpacing/>
        <w:rPr>
          <w:rFonts w:eastAsia="Aptos" w:cs="Arial"/>
        </w:rPr>
      </w:pPr>
      <w:r w:rsidRPr="00477B14">
        <w:rPr>
          <w:rFonts w:eastAsia="Aptos" w:cs="Arial"/>
        </w:rPr>
        <w:t xml:space="preserve">People with learning disabilities are ten times more likely to experience sight loss than the general population. It is estimated in Swansea Bay University Health Board’s area that 490 adults have a learning disability and partial sight. A further 140 adults have a learning disability and blindness. </w:t>
      </w:r>
    </w:p>
    <w:p w14:paraId="4C3DCDDD" w14:textId="77777777" w:rsidR="00477B14" w:rsidRPr="00477B14" w:rsidRDefault="00477B14" w:rsidP="00E232AA">
      <w:pPr>
        <w:contextualSpacing/>
        <w:rPr>
          <w:rFonts w:eastAsia="Aptos" w:cs="Arial"/>
        </w:rPr>
      </w:pPr>
    </w:p>
    <w:p w14:paraId="7A0F7159" w14:textId="77777777" w:rsidR="00477B14" w:rsidRPr="00477B14" w:rsidRDefault="00477B14" w:rsidP="00E232AA">
      <w:pPr>
        <w:contextualSpacing/>
        <w:rPr>
          <w:rFonts w:eastAsia="Aptos" w:cs="Arial"/>
        </w:rPr>
      </w:pPr>
      <w:r w:rsidRPr="00477B14">
        <w:rPr>
          <w:rFonts w:eastAsia="Aptos" w:cs="Arial"/>
        </w:rPr>
        <w:t>Prevalence of sight loss is higher among people with dementia, especially those living in care homes. In Swansea Bay University Health Board’s area, it is estimated that 6,660 people are living with dementia. Within this group it is estimated that 2,360 people have dementia and vision impairment.</w:t>
      </w:r>
    </w:p>
    <w:p w14:paraId="3D7C49E9" w14:textId="77777777" w:rsidR="00477B14" w:rsidRPr="00477B14" w:rsidRDefault="00477B14" w:rsidP="00E232AA">
      <w:pPr>
        <w:contextualSpacing/>
        <w:rPr>
          <w:rFonts w:eastAsia="Aptos" w:cs="Arial"/>
        </w:rPr>
      </w:pPr>
    </w:p>
    <w:p w14:paraId="642C3CBE" w14:textId="77777777" w:rsidR="00477B14" w:rsidRPr="00477B14" w:rsidRDefault="00477B14" w:rsidP="00E232AA">
      <w:pPr>
        <w:contextualSpacing/>
        <w:rPr>
          <w:rFonts w:eastAsia="Aptos" w:cs="Arial"/>
        </w:rPr>
      </w:pPr>
      <w:r w:rsidRPr="00477B14">
        <w:rPr>
          <w:rFonts w:eastAsia="Aptos" w:cs="Arial"/>
        </w:rPr>
        <w:t xml:space="preserve">It is estimated in Swansea Bay University Health Board’s area 43,500 people have moderate or severe hearing impairment, and 960 people have a profound hearing impairment. It is also estimated 2,550 people are living with some degree of dual sensory loss. Of these people, it is estimated that 1,000 are living with severe dual sensory loss (sight and hearing loss). </w:t>
      </w:r>
    </w:p>
    <w:p w14:paraId="102341B5" w14:textId="77777777" w:rsidR="00477B14" w:rsidRPr="00477B14" w:rsidRDefault="00477B14" w:rsidP="00E232AA">
      <w:pPr>
        <w:contextualSpacing/>
        <w:rPr>
          <w:rFonts w:eastAsia="Aptos" w:cs="Arial"/>
        </w:rPr>
      </w:pPr>
    </w:p>
    <w:p w14:paraId="339C79D2" w14:textId="77777777" w:rsidR="00477B14" w:rsidRPr="00477B14" w:rsidRDefault="00477B14" w:rsidP="00E232AA">
      <w:pPr>
        <w:contextualSpacing/>
        <w:rPr>
          <w:rFonts w:eastAsia="Aptos" w:cs="Arial"/>
        </w:rPr>
      </w:pPr>
      <w:r w:rsidRPr="00477B14">
        <w:rPr>
          <w:rFonts w:eastAsia="Aptos" w:cs="Arial"/>
        </w:rPr>
        <w:t>In 2022 it was estimated that 751 people were included on the local authority hearing impairment register for Neath Port Talbot and 664 people in Swansea</w:t>
      </w:r>
      <w:r w:rsidRPr="00477B14">
        <w:rPr>
          <w:rFonts w:eastAsia="Aptos" w:cs="Arial"/>
          <w:vertAlign w:val="superscript"/>
        </w:rPr>
        <w:footnoteReference w:id="163"/>
      </w:r>
      <w:r w:rsidRPr="00477B14">
        <w:rPr>
          <w:rFonts w:eastAsia="Aptos" w:cs="Arial"/>
        </w:rPr>
        <w:t>.</w:t>
      </w:r>
    </w:p>
    <w:p w14:paraId="14FA488E" w14:textId="77777777" w:rsidR="00477B14" w:rsidRPr="00477B14" w:rsidRDefault="00477B14" w:rsidP="00E232AA">
      <w:pPr>
        <w:contextualSpacing/>
        <w:rPr>
          <w:rFonts w:eastAsia="Aptos" w:cs="Arial"/>
        </w:rPr>
      </w:pPr>
    </w:p>
    <w:p w14:paraId="60BE2C34" w14:textId="77777777" w:rsidR="00477B14" w:rsidRPr="00477B14" w:rsidRDefault="00477B14" w:rsidP="00E232AA">
      <w:pPr>
        <w:contextualSpacing/>
        <w:rPr>
          <w:rFonts w:eastAsia="Aptos" w:cs="Arial"/>
        </w:rPr>
      </w:pPr>
      <w:r w:rsidRPr="00477B14">
        <w:rPr>
          <w:rFonts w:eastAsia="Aptos" w:cs="Arial"/>
        </w:rPr>
        <w:t>In 2021/22, there were 586 people registered with a learning disability in Neath Port Talbot and 1,108 people in Swansea.</w:t>
      </w:r>
      <w:r w:rsidRPr="00477B14">
        <w:rPr>
          <w:rFonts w:eastAsia="Aptos" w:cs="Arial"/>
          <w:vertAlign w:val="superscript"/>
        </w:rPr>
        <w:footnoteReference w:id="164"/>
      </w:r>
      <w:r w:rsidRPr="00477B14">
        <w:rPr>
          <w:rFonts w:eastAsia="Aptos" w:cs="Arial"/>
        </w:rPr>
        <w:t xml:space="preserve"> People with learning disabilities are more likely to develop both physical and mental health problems when compared with the general population. For example, there is a high prevalence of dementia in people with Down's syndrome. Research suggests people with learning disabilities are 58 times more likely to die before the age of 50. They are also more likely to have diabetes, sensory impairments, mental health problems or epilepsy, and an increased mortality from conditions associated with their learning conditions. People with learning disabilities may also have poorer health resulting from lifestyle issues such as diet and exercise for which they have not received enough advice and support.</w:t>
      </w:r>
      <w:r w:rsidRPr="00477B14">
        <w:rPr>
          <w:rFonts w:eastAsia="Aptos" w:cs="Arial"/>
          <w:bCs/>
          <w:vertAlign w:val="superscript"/>
        </w:rPr>
        <w:footnoteReference w:id="165"/>
      </w:r>
    </w:p>
    <w:p w14:paraId="7AB29EB4" w14:textId="77777777" w:rsidR="00477B14" w:rsidRPr="00477B14" w:rsidRDefault="00477B14" w:rsidP="00E232AA">
      <w:pPr>
        <w:contextualSpacing/>
        <w:rPr>
          <w:rFonts w:eastAsia="Aptos" w:cs="Arial"/>
        </w:rPr>
      </w:pPr>
    </w:p>
    <w:p w14:paraId="317F5B19" w14:textId="77777777" w:rsidR="00477B14" w:rsidRPr="00477B14" w:rsidRDefault="00477B14" w:rsidP="00E232AA">
      <w:pPr>
        <w:contextualSpacing/>
        <w:rPr>
          <w:rFonts w:eastAsia="Aptos" w:cs="Arial"/>
        </w:rPr>
      </w:pPr>
      <w:r w:rsidRPr="00477B14">
        <w:rPr>
          <w:rFonts w:eastAsia="Aptos" w:cs="Arial"/>
        </w:rPr>
        <w:lastRenderedPageBreak/>
        <w:t xml:space="preserve">People with learning disabilities are now living longer and as a result, the number of older people with a learning disability is increasing. Older people with a learning disability need more support to age well, to remain active and healthy for as long as possible. </w:t>
      </w:r>
    </w:p>
    <w:p w14:paraId="7DD6A3B9" w14:textId="77777777" w:rsidR="00477B14" w:rsidRPr="00477B14" w:rsidRDefault="00477B14" w:rsidP="00E232AA">
      <w:pPr>
        <w:contextualSpacing/>
        <w:rPr>
          <w:rFonts w:eastAsia="Aptos" w:cs="Arial"/>
        </w:rPr>
      </w:pPr>
    </w:p>
    <w:p w14:paraId="2E53E1A6" w14:textId="77777777" w:rsidR="00477B14" w:rsidRPr="00477B14" w:rsidRDefault="00477B14" w:rsidP="00E232AA">
      <w:pPr>
        <w:contextualSpacing/>
        <w:rPr>
          <w:rFonts w:eastAsia="Aptos" w:cs="Arial"/>
        </w:rPr>
      </w:pPr>
      <w:r w:rsidRPr="00477B14">
        <w:rPr>
          <w:rFonts w:eastAsia="Aptos" w:cs="Arial"/>
        </w:rPr>
        <w:t>In Wales</w:t>
      </w:r>
      <w:r w:rsidRPr="00477B14">
        <w:rPr>
          <w:rFonts w:eastAsia="Calibri" w:cs="Arial"/>
          <w:kern w:val="0"/>
          <w:vertAlign w:val="superscript"/>
          <w14:ligatures w14:val="none"/>
        </w:rPr>
        <w:footnoteReference w:id="166"/>
      </w:r>
      <w:r w:rsidRPr="00477B14">
        <w:rPr>
          <w:rFonts w:eastAsia="Aptos" w:cs="Arial"/>
        </w:rPr>
        <w:t>, there are:</w:t>
      </w:r>
    </w:p>
    <w:p w14:paraId="63047771" w14:textId="77777777" w:rsidR="00477B14" w:rsidRPr="00477B14" w:rsidRDefault="00477B14" w:rsidP="00E232AA">
      <w:pPr>
        <w:contextualSpacing/>
        <w:rPr>
          <w:rFonts w:eastAsia="Calibri" w:cs="Arial"/>
          <w:kern w:val="0"/>
          <w14:ligatures w14:val="none"/>
        </w:rPr>
      </w:pPr>
    </w:p>
    <w:p w14:paraId="3D671799" w14:textId="77777777" w:rsidR="00477B14" w:rsidRPr="00477B14" w:rsidRDefault="00477B14" w:rsidP="00B76905">
      <w:pPr>
        <w:numPr>
          <w:ilvl w:val="0"/>
          <w:numId w:val="73"/>
        </w:numPr>
        <w:contextualSpacing/>
        <w:rPr>
          <w:rFonts w:eastAsia="Aptos" w:cs="Arial"/>
        </w:rPr>
      </w:pPr>
      <w:r w:rsidRPr="00477B14">
        <w:rPr>
          <w:rFonts w:eastAsia="Aptos" w:cs="Arial"/>
        </w:rPr>
        <w:t>54,000 adults with a learning disability.</w:t>
      </w:r>
    </w:p>
    <w:p w14:paraId="3701117D" w14:textId="77777777" w:rsidR="00477B14" w:rsidRPr="00477B14" w:rsidRDefault="00477B14" w:rsidP="00B76905">
      <w:pPr>
        <w:numPr>
          <w:ilvl w:val="0"/>
          <w:numId w:val="73"/>
        </w:numPr>
        <w:contextualSpacing/>
        <w:rPr>
          <w:rFonts w:eastAsia="Aptos" w:cs="Arial"/>
        </w:rPr>
      </w:pPr>
      <w:r w:rsidRPr="00477B14">
        <w:rPr>
          <w:rFonts w:eastAsia="Aptos" w:cs="Arial"/>
        </w:rPr>
        <w:t>40,000 adults of working age with a learning disability (18 to 64 years).</w:t>
      </w:r>
    </w:p>
    <w:p w14:paraId="3F08B822" w14:textId="77777777" w:rsidR="00477B14" w:rsidRPr="00477B14" w:rsidRDefault="00477B14" w:rsidP="00B76905">
      <w:pPr>
        <w:numPr>
          <w:ilvl w:val="0"/>
          <w:numId w:val="73"/>
        </w:numPr>
        <w:contextualSpacing/>
        <w:rPr>
          <w:rFonts w:eastAsia="Aptos" w:cs="Arial"/>
        </w:rPr>
      </w:pPr>
      <w:r w:rsidRPr="00477B14">
        <w:rPr>
          <w:rFonts w:eastAsia="Aptos" w:cs="Arial"/>
        </w:rPr>
        <w:t>15,000 children with a learning disability (0 to 17 years).</w:t>
      </w:r>
    </w:p>
    <w:p w14:paraId="4C8CD461" w14:textId="77777777" w:rsidR="00477B14" w:rsidRPr="00477B14" w:rsidRDefault="00477B14" w:rsidP="00B76905">
      <w:pPr>
        <w:numPr>
          <w:ilvl w:val="0"/>
          <w:numId w:val="73"/>
        </w:numPr>
        <w:contextualSpacing/>
        <w:rPr>
          <w:rFonts w:eastAsia="Aptos" w:cs="Arial"/>
        </w:rPr>
      </w:pPr>
      <w:r w:rsidRPr="00477B14">
        <w:rPr>
          <w:rFonts w:eastAsia="Aptos" w:cs="Arial"/>
        </w:rPr>
        <w:t>6,000 children aged 0 to 7 years with a learning disability.</w:t>
      </w:r>
    </w:p>
    <w:p w14:paraId="51BC79E2" w14:textId="77777777" w:rsidR="00477B14" w:rsidRPr="00477B14" w:rsidRDefault="00477B14" w:rsidP="00E232AA">
      <w:pPr>
        <w:contextualSpacing/>
        <w:rPr>
          <w:rFonts w:eastAsia="Calibri" w:cs="Arial"/>
          <w:kern w:val="0"/>
          <w14:ligatures w14:val="none"/>
        </w:rPr>
      </w:pPr>
    </w:p>
    <w:p w14:paraId="469CBB7A" w14:textId="77777777" w:rsidR="00477B14" w:rsidRPr="00477B14" w:rsidRDefault="00477B14" w:rsidP="00E232AA">
      <w:pPr>
        <w:contextualSpacing/>
        <w:rPr>
          <w:rFonts w:eastAsia="Aptos" w:cs="Arial"/>
          <w:b/>
        </w:rPr>
      </w:pPr>
      <w:r w:rsidRPr="00477B14">
        <w:rPr>
          <w:rFonts w:eastAsia="Aptos" w:cs="Arial"/>
        </w:rPr>
        <w:t>Social isolation and feeling lonely is an issue for people with disabilities including physical disabilities, sensory impairment and people with learning disabilities. Access to accessible communication and information, including services available, is required.</w:t>
      </w:r>
    </w:p>
    <w:p w14:paraId="05D11223" w14:textId="77777777" w:rsidR="00477B14" w:rsidRPr="00D0306F" w:rsidRDefault="00477B14" w:rsidP="00B92D59"/>
    <w:p w14:paraId="40B181E3" w14:textId="77777777" w:rsidR="00477B14" w:rsidRPr="00D0306F" w:rsidRDefault="00477B14" w:rsidP="00B92D59">
      <w:pPr>
        <w:rPr>
          <w:rFonts w:eastAsia="Times New Roman"/>
          <w:b/>
          <w:sz w:val="26"/>
          <w:szCs w:val="26"/>
        </w:rPr>
      </w:pPr>
      <w:r w:rsidRPr="00D0306F">
        <w:rPr>
          <w:rFonts w:eastAsia="Times New Roman"/>
          <w:b/>
          <w:sz w:val="26"/>
          <w:szCs w:val="26"/>
        </w:rPr>
        <w:t>4.3 Pregnancy and maternity</w:t>
      </w:r>
    </w:p>
    <w:p w14:paraId="74D0ABA4" w14:textId="77777777" w:rsidR="00477B14" w:rsidRPr="00D0306F" w:rsidRDefault="00477B14" w:rsidP="00B92D59">
      <w:pPr>
        <w:rPr>
          <w:b/>
          <w:bCs/>
        </w:rPr>
      </w:pPr>
    </w:p>
    <w:p w14:paraId="0455AC0A" w14:textId="77777777" w:rsidR="00477B14" w:rsidRPr="00D0306F" w:rsidRDefault="00477B14" w:rsidP="00B92D59">
      <w:r w:rsidRPr="00D0306F">
        <w:rPr>
          <w:lang w:eastAsia="en-GB"/>
        </w:rPr>
        <w:t>Pregnancy is a critical period during which the physical and mental wellbeing of the mother can have lifelong impacts on the child. Maternal stress, diet, and alcohol or drug misuse can place a child’s future development at risk. However, p</w:t>
      </w:r>
      <w:r w:rsidRPr="00D0306F">
        <w:t>regnancy is also a powerful motivator for change as it represents a time when women and partners are more susceptible to new information and are more likely to make positive lifestyle changes to provide optimal conditions to ensure the health and wellbeing of the unborn baby.</w:t>
      </w:r>
    </w:p>
    <w:p w14:paraId="65B5C00A" w14:textId="77777777" w:rsidR="00477B14" w:rsidRPr="00D0306F" w:rsidRDefault="00477B14" w:rsidP="00B92D59"/>
    <w:p w14:paraId="0895399F" w14:textId="77777777" w:rsidR="00477B14" w:rsidRPr="00D0306F" w:rsidRDefault="00477B14" w:rsidP="00B92D59">
      <w:r w:rsidRPr="00D0306F">
        <w:t xml:space="preserve">The periods before, during and after pregnancy also provide opportunities to give women practical, consistent advice to help them manage their weight and stop smoking to avoid associated complications. </w:t>
      </w:r>
    </w:p>
    <w:p w14:paraId="5FD03125" w14:textId="77777777" w:rsidR="00477B14" w:rsidRPr="00D0306F" w:rsidRDefault="00477B14" w:rsidP="00B92D59">
      <w:pPr>
        <w:rPr>
          <w:b/>
          <w:bCs/>
        </w:rPr>
      </w:pPr>
    </w:p>
    <w:p w14:paraId="50FA54F9" w14:textId="77777777" w:rsidR="00477B14" w:rsidRPr="00D0306F" w:rsidRDefault="00477B14" w:rsidP="00B92D59">
      <w:pPr>
        <w:rPr>
          <w:rFonts w:eastAsia="Times New Roman" w:cs="Arial"/>
          <w:bCs/>
        </w:rPr>
      </w:pPr>
      <w:r w:rsidRPr="00D0306F">
        <w:rPr>
          <w:rFonts w:eastAsia="Times New Roman" w:cs="Arial"/>
          <w:b/>
        </w:rPr>
        <w:t>4.3.1 Perinatal mental health</w:t>
      </w:r>
      <w:r w:rsidRPr="00D0306F">
        <w:rPr>
          <w:rFonts w:eastAsia="Times New Roman" w:cs="Arial"/>
          <w:bCs/>
          <w:vertAlign w:val="superscript"/>
        </w:rPr>
        <w:footnoteReference w:id="167"/>
      </w:r>
      <w:r w:rsidRPr="00D0306F">
        <w:rPr>
          <w:rFonts w:eastAsia="Times New Roman" w:cs="Arial"/>
          <w:bCs/>
          <w:vertAlign w:val="superscript"/>
        </w:rPr>
        <w:t>,</w:t>
      </w:r>
      <w:r w:rsidRPr="00D0306F">
        <w:rPr>
          <w:rFonts w:eastAsia="Times New Roman" w:cs="Arial"/>
          <w:bCs/>
          <w:vertAlign w:val="superscript"/>
        </w:rPr>
        <w:footnoteReference w:id="168"/>
      </w:r>
    </w:p>
    <w:p w14:paraId="2E9AA9F4" w14:textId="77777777" w:rsidR="00477B14" w:rsidRPr="00D0306F" w:rsidRDefault="00477B14" w:rsidP="00B92D59">
      <w:pPr>
        <w:rPr>
          <w:rFonts w:eastAsia="Aptos" w:cs="Arial"/>
        </w:rPr>
      </w:pPr>
    </w:p>
    <w:p w14:paraId="7E76B2C7" w14:textId="77777777" w:rsidR="00477B14" w:rsidRPr="00D0306F" w:rsidRDefault="00477B14" w:rsidP="00B92D59">
      <w:pPr>
        <w:rPr>
          <w:rFonts w:eastAsia="Aptos" w:cs="Arial"/>
        </w:rPr>
      </w:pPr>
      <w:r w:rsidRPr="00D0306F">
        <w:rPr>
          <w:rFonts w:eastAsia="Aptos" w:cs="Arial"/>
        </w:rPr>
        <w:t>Perinatal mental illnesses affect at least 10% of women and, if untreated, can have a devastating impact on them and their families. When mothers suffer from these illnesses it increases the likelihood that children will experience behavioural, social or learning difficulties and fail to fulfil their potential. If perinatal mental illnesses go untreated, they can have long term implications for the wellbeing of women, their babies and families (Jones et al., 2014).</w:t>
      </w:r>
    </w:p>
    <w:p w14:paraId="2AB584E4" w14:textId="77777777" w:rsidR="00477B14" w:rsidRPr="00D0306F" w:rsidRDefault="00477B14" w:rsidP="00B92D59">
      <w:pPr>
        <w:rPr>
          <w:rFonts w:eastAsia="Aptos" w:cs="Arial"/>
        </w:rPr>
      </w:pPr>
    </w:p>
    <w:p w14:paraId="10B7D767" w14:textId="77777777" w:rsidR="00477B14" w:rsidRPr="00D0306F" w:rsidRDefault="00477B14" w:rsidP="00B92D59">
      <w:pPr>
        <w:rPr>
          <w:rFonts w:eastAsia="MS Mincho" w:cs="Arial"/>
          <w:kern w:val="0"/>
          <w:lang w:eastAsia="en-GB"/>
          <w14:ligatures w14:val="none"/>
        </w:rPr>
      </w:pPr>
      <w:r w:rsidRPr="00D0306F">
        <w:rPr>
          <w:rFonts w:eastAsia="MS Mincho" w:cs="Arial"/>
          <w:kern w:val="0"/>
          <w:lang w:eastAsia="en-GB"/>
          <w14:ligatures w14:val="none"/>
        </w:rPr>
        <w:t>Key findings</w:t>
      </w:r>
      <w:r w:rsidRPr="00D0306F">
        <w:rPr>
          <w:rFonts w:eastAsia="MS Mincho" w:cs="Arial"/>
          <w:kern w:val="0"/>
          <w:vertAlign w:val="superscript"/>
          <w:lang w:eastAsia="en-GB"/>
          <w14:ligatures w14:val="none"/>
        </w:rPr>
        <w:footnoteReference w:id="169"/>
      </w:r>
      <w:r w:rsidRPr="00D0306F">
        <w:rPr>
          <w:rFonts w:eastAsia="MS Mincho" w:cs="Arial"/>
          <w:kern w:val="0"/>
          <w:lang w:eastAsia="en-GB"/>
          <w14:ligatures w14:val="none"/>
        </w:rPr>
        <w:t>:</w:t>
      </w:r>
    </w:p>
    <w:p w14:paraId="77CF4336" w14:textId="77777777" w:rsidR="00477B14" w:rsidRPr="00D0306F" w:rsidRDefault="00477B14" w:rsidP="00B92D59">
      <w:pPr>
        <w:rPr>
          <w:rFonts w:eastAsia="MS Mincho" w:cs="Arial"/>
          <w:kern w:val="0"/>
          <w:lang w:eastAsia="en-GB"/>
          <w14:ligatures w14:val="none"/>
        </w:rPr>
      </w:pPr>
    </w:p>
    <w:p w14:paraId="655262AE" w14:textId="77777777" w:rsidR="00477B14" w:rsidRPr="00477B14" w:rsidRDefault="00477B14" w:rsidP="00B76905">
      <w:pPr>
        <w:numPr>
          <w:ilvl w:val="0"/>
          <w:numId w:val="74"/>
        </w:numPr>
        <w:contextualSpacing/>
        <w:rPr>
          <w:rFonts w:eastAsia="Calibri" w:cs="Arial"/>
          <w:kern w:val="0"/>
          <w:lang w:eastAsia="en-GB"/>
          <w14:ligatures w14:val="none"/>
        </w:rPr>
      </w:pPr>
      <w:r w:rsidRPr="00477B14">
        <w:rPr>
          <w:rFonts w:eastAsia="Calibri" w:cs="Arial"/>
          <w:kern w:val="0"/>
          <w:lang w:eastAsia="en-GB"/>
          <w14:ligatures w14:val="none"/>
        </w:rPr>
        <w:t>At least one in five women experience mental health problems during pregnancy and after birth.</w:t>
      </w:r>
    </w:p>
    <w:p w14:paraId="24A094FD" w14:textId="77777777" w:rsidR="00477B14" w:rsidRPr="00477B14" w:rsidRDefault="00477B14" w:rsidP="00B76905">
      <w:pPr>
        <w:numPr>
          <w:ilvl w:val="0"/>
          <w:numId w:val="74"/>
        </w:numPr>
        <w:contextualSpacing/>
        <w:rPr>
          <w:rFonts w:eastAsia="Calibri" w:cs="Arial"/>
          <w:kern w:val="0"/>
          <w:lang w:eastAsia="en-GB"/>
          <w14:ligatures w14:val="none"/>
        </w:rPr>
      </w:pPr>
      <w:r w:rsidRPr="00477B14">
        <w:rPr>
          <w:rFonts w:eastAsia="Calibri" w:cs="Arial"/>
          <w:kern w:val="0"/>
          <w:lang w:eastAsia="en-GB"/>
          <w14:ligatures w14:val="none"/>
        </w:rPr>
        <w:lastRenderedPageBreak/>
        <w:t>Anxiety and depression are the most common serious maternity health considerations, affecting 10 to 15% of women.</w:t>
      </w:r>
    </w:p>
    <w:p w14:paraId="3F807757" w14:textId="77777777" w:rsidR="00477B14" w:rsidRPr="00477B14" w:rsidRDefault="00477B14" w:rsidP="00B76905">
      <w:pPr>
        <w:numPr>
          <w:ilvl w:val="0"/>
          <w:numId w:val="74"/>
        </w:numPr>
        <w:contextualSpacing/>
        <w:rPr>
          <w:rFonts w:eastAsia="Calibri" w:cs="Arial"/>
          <w:kern w:val="0"/>
          <w:lang w:eastAsia="en-GB"/>
          <w14:ligatures w14:val="none"/>
        </w:rPr>
      </w:pPr>
      <w:r w:rsidRPr="00477B14">
        <w:rPr>
          <w:rFonts w:eastAsia="Calibri" w:cs="Arial"/>
          <w:kern w:val="0"/>
          <w:lang w:eastAsia="en-GB"/>
          <w14:ligatures w14:val="none"/>
        </w:rPr>
        <w:t>In Wales, almost 9,000 new mothers experience perinatal mental health problems each year.</w:t>
      </w:r>
    </w:p>
    <w:p w14:paraId="3E6F1EBF" w14:textId="77777777" w:rsidR="00477B14" w:rsidRPr="00477B14" w:rsidRDefault="00477B14" w:rsidP="00E232AA">
      <w:pPr>
        <w:contextualSpacing/>
        <w:rPr>
          <w:rFonts w:eastAsia="Aptos" w:cs="Arial"/>
          <w:b/>
          <w:bCs/>
        </w:rPr>
      </w:pPr>
    </w:p>
    <w:p w14:paraId="47FB4C92" w14:textId="77777777" w:rsidR="00477B14" w:rsidRPr="00477B14" w:rsidRDefault="00477B14" w:rsidP="00E232AA">
      <w:pPr>
        <w:contextualSpacing/>
        <w:rPr>
          <w:rFonts w:eastAsia="Aptos" w:cs="Arial"/>
          <w:lang w:eastAsia="en-GB"/>
        </w:rPr>
      </w:pPr>
      <w:r w:rsidRPr="00477B14">
        <w:rPr>
          <w:rFonts w:eastAsia="Aptos" w:cs="Arial"/>
          <w:lang w:eastAsia="en-GB"/>
        </w:rPr>
        <w:t>Guidance issued by the National Institute for Health and Care Excellence on states that depression and anxiety are the most common mental health problems experienced during pregnancy, with around 12% of pregnant women experiencing depression and 13% anxiety at some point, with many experiencing both. Both can continue to affect women for up to a year after their child’s birth.</w:t>
      </w:r>
    </w:p>
    <w:p w14:paraId="0EB545F3" w14:textId="77777777" w:rsidR="00477B14" w:rsidRPr="00477B14" w:rsidRDefault="00477B14" w:rsidP="00E232AA">
      <w:pPr>
        <w:contextualSpacing/>
        <w:rPr>
          <w:rFonts w:eastAsia="Calibri" w:cs="Arial"/>
        </w:rPr>
      </w:pPr>
    </w:p>
    <w:p w14:paraId="5B4924A3" w14:textId="0ACC2EEA" w:rsidR="00477B14" w:rsidRPr="00477B14" w:rsidRDefault="00477B14" w:rsidP="00E232AA">
      <w:pPr>
        <w:contextualSpacing/>
        <w:rPr>
          <w:rFonts w:eastAsia="Aptos" w:cs="Arial"/>
          <w:lang w:eastAsia="en-GB"/>
        </w:rPr>
      </w:pPr>
      <w:r w:rsidRPr="00477B14">
        <w:rPr>
          <w:rFonts w:eastAsia="Aptos" w:cs="Arial"/>
          <w:lang w:eastAsia="en-GB"/>
        </w:rPr>
        <w:t>During pregnancy and the postnatal period, anxiety disorders, including panic disorder, generalised anxiety disorder, obsessive compulsive disorder, posttraumatic stress disorder and tokophobia (an extreme fear of childbirth), can occur on their own or can coexist with depression. Psychosis can re-emerge or be exacerbated during pregnancy and the postnatal period. Postpartum psychosis affects between one and two in 1,000 women who have given birth. Women with bipolar I disorder are at particular risk, but postpartum psychosis can occur in women with no previous psychiatric history.</w:t>
      </w:r>
    </w:p>
    <w:p w14:paraId="200F653F" w14:textId="77777777" w:rsidR="00477B14" w:rsidRPr="00477B14" w:rsidRDefault="00477B14" w:rsidP="00E232AA">
      <w:pPr>
        <w:contextualSpacing/>
        <w:rPr>
          <w:rFonts w:eastAsia="Calibri" w:cs="Arial"/>
        </w:rPr>
      </w:pPr>
    </w:p>
    <w:p w14:paraId="09ABE82C" w14:textId="77777777" w:rsidR="00477B14" w:rsidRPr="00477B14" w:rsidRDefault="00477B14" w:rsidP="00E232AA">
      <w:pPr>
        <w:contextualSpacing/>
        <w:rPr>
          <w:rFonts w:eastAsia="Aptos" w:cs="Arial"/>
          <w:lang w:eastAsia="en-GB"/>
        </w:rPr>
      </w:pPr>
      <w:r w:rsidRPr="00477B14">
        <w:rPr>
          <w:rFonts w:eastAsia="Aptos" w:cs="Arial"/>
          <w:lang w:eastAsia="en-GB"/>
        </w:rPr>
        <w:t>Changes to body shape, including weight gain, in pregnancy and after childbirth may be a concern for women with an eating disorder. Although the prevalence of anorexia nervosa and bulimia nervosa is lower in pregnant women, the prevalence of binge eating disorder is higher. </w:t>
      </w:r>
    </w:p>
    <w:p w14:paraId="22F6A200" w14:textId="77777777" w:rsidR="00477B14" w:rsidRPr="00477B14" w:rsidRDefault="00477B14" w:rsidP="00E232AA">
      <w:pPr>
        <w:contextualSpacing/>
        <w:rPr>
          <w:rFonts w:eastAsia="Calibri" w:cs="Arial"/>
        </w:rPr>
      </w:pPr>
    </w:p>
    <w:p w14:paraId="6AB18E73" w14:textId="77777777" w:rsidR="00477B14" w:rsidRPr="00477B14" w:rsidRDefault="00477B14" w:rsidP="00E232AA">
      <w:pPr>
        <w:contextualSpacing/>
        <w:rPr>
          <w:rFonts w:eastAsia="Calibri" w:cs="Arial"/>
        </w:rPr>
      </w:pPr>
      <w:r w:rsidRPr="00477B14">
        <w:rPr>
          <w:rFonts w:eastAsia="Calibri" w:cs="Arial"/>
        </w:rPr>
        <w:t>In Wales</w:t>
      </w:r>
      <w:r w:rsidRPr="00477B14">
        <w:rPr>
          <w:rFonts w:eastAsia="Calibri" w:cs="Arial"/>
          <w:kern w:val="0"/>
          <w:vertAlign w:val="superscript"/>
          <w14:ligatures w14:val="none"/>
        </w:rPr>
        <w:footnoteReference w:id="170"/>
      </w:r>
      <w:r w:rsidRPr="00477B14">
        <w:rPr>
          <w:rFonts w:eastAsia="Calibri" w:cs="Arial"/>
        </w:rPr>
        <w:t>:</w:t>
      </w:r>
    </w:p>
    <w:p w14:paraId="38B2B150" w14:textId="77777777" w:rsidR="00477B14" w:rsidRPr="00477B14" w:rsidRDefault="00477B14" w:rsidP="00E232AA">
      <w:pPr>
        <w:contextualSpacing/>
        <w:rPr>
          <w:rFonts w:eastAsia="Calibri" w:cs="Arial"/>
        </w:rPr>
      </w:pPr>
    </w:p>
    <w:p w14:paraId="3A49143E" w14:textId="77777777" w:rsidR="00477B14" w:rsidRPr="00477B14" w:rsidRDefault="00477B14" w:rsidP="00B76905">
      <w:pPr>
        <w:numPr>
          <w:ilvl w:val="0"/>
          <w:numId w:val="75"/>
        </w:numPr>
        <w:contextualSpacing/>
        <w:rPr>
          <w:rFonts w:eastAsia="Aptos" w:cs="Arial"/>
          <w:lang w:eastAsia="en-GB"/>
        </w:rPr>
      </w:pPr>
      <w:r w:rsidRPr="00477B14">
        <w:rPr>
          <w:rFonts w:eastAsia="Aptos" w:cs="Arial"/>
          <w:lang w:eastAsia="en-GB"/>
        </w:rPr>
        <w:t>32% of pregnant women reported a mental health condition at their initial assessment in 2023. This is an increase of 1.4% from the previous year, and an increase of 12.2% from 2016 (first year of comparable data).</w:t>
      </w:r>
    </w:p>
    <w:p w14:paraId="209A619F" w14:textId="77777777" w:rsidR="00477B14" w:rsidRPr="00477B14" w:rsidRDefault="00477B14" w:rsidP="00B76905">
      <w:pPr>
        <w:numPr>
          <w:ilvl w:val="0"/>
          <w:numId w:val="75"/>
        </w:numPr>
        <w:contextualSpacing/>
        <w:rPr>
          <w:rFonts w:eastAsia="Aptos" w:cs="Arial"/>
          <w:lang w:eastAsia="en-GB"/>
        </w:rPr>
      </w:pPr>
      <w:r w:rsidRPr="00477B14">
        <w:rPr>
          <w:rFonts w:eastAsia="Aptos" w:cs="Arial"/>
          <w:lang w:eastAsia="en-GB"/>
        </w:rPr>
        <w:t>38% of pregnant women aged 16 to 19, and 40% of those aged 20 to 24, reported a mental health condition in Wales in 2023. The proportion fell to 29% for those in age groups 30 to 34 and 35 to 39.</w:t>
      </w:r>
    </w:p>
    <w:p w14:paraId="5D9FD518" w14:textId="77777777" w:rsidR="00477B14" w:rsidRPr="00477B14" w:rsidRDefault="00477B14" w:rsidP="00B76905">
      <w:pPr>
        <w:numPr>
          <w:ilvl w:val="0"/>
          <w:numId w:val="75"/>
        </w:numPr>
        <w:contextualSpacing/>
        <w:rPr>
          <w:rFonts w:eastAsia="Aptos" w:cs="Arial"/>
          <w:lang w:eastAsia="en-GB"/>
        </w:rPr>
      </w:pPr>
      <w:r w:rsidRPr="00477B14">
        <w:rPr>
          <w:rFonts w:eastAsia="Aptos" w:cs="Arial"/>
          <w:lang w:eastAsia="en-GB"/>
        </w:rPr>
        <w:t>38% of pregnant women from Mixed ethnic groups and 36% from White ethnic groups reported a mental health condition at their initial assessment in 2023. These were two ethnic groups with the highest proportion of pregnant women reporting a mental health condition and has followed an upward trend since data was first collected in 2016.</w:t>
      </w:r>
    </w:p>
    <w:p w14:paraId="57BEECBC" w14:textId="77777777" w:rsidR="00477B14" w:rsidRPr="00D0306F" w:rsidRDefault="00477B14" w:rsidP="00B92D59">
      <w:pPr>
        <w:rPr>
          <w:lang w:eastAsia="en-GB"/>
        </w:rPr>
      </w:pPr>
    </w:p>
    <w:p w14:paraId="528CBB2B" w14:textId="77777777" w:rsidR="00477B14" w:rsidRPr="00D0306F" w:rsidRDefault="00477B14" w:rsidP="00B92D59">
      <w:pPr>
        <w:rPr>
          <w:rFonts w:eastAsia="Calibri"/>
          <w:kern w:val="0"/>
          <w14:ligatures w14:val="none"/>
        </w:rPr>
      </w:pPr>
      <w:r w:rsidRPr="00D0306F">
        <w:rPr>
          <w:rFonts w:eastAsia="Calibri"/>
          <w:kern w:val="0"/>
          <w14:ligatures w14:val="none"/>
        </w:rPr>
        <w:t>NB The percentage of women who reported a mental health condition at their initial assessment does not include data for Betsi Cadwaladr University Health Board or Cwm Taf Morgannwg University Health Board.</w:t>
      </w:r>
    </w:p>
    <w:p w14:paraId="7BF53669" w14:textId="77777777" w:rsidR="00477B14" w:rsidRPr="00D0306F" w:rsidRDefault="00477B14" w:rsidP="00B92D59"/>
    <w:p w14:paraId="09355987" w14:textId="77777777" w:rsidR="00477B14" w:rsidRPr="00D0306F" w:rsidRDefault="00477B14" w:rsidP="00B92D59">
      <w:pPr>
        <w:rPr>
          <w:rFonts w:eastAsia="Calibri" w:cs="Arial"/>
          <w:b/>
          <w:bCs/>
          <w:kern w:val="0"/>
          <w14:ligatures w14:val="none"/>
        </w:rPr>
      </w:pPr>
      <w:r w:rsidRPr="00D0306F">
        <w:rPr>
          <w:rFonts w:eastAsia="Calibri" w:cs="Arial"/>
          <w:b/>
          <w:bCs/>
          <w:kern w:val="0"/>
          <w14:ligatures w14:val="none"/>
        </w:rPr>
        <w:t>4.3.2 Smoking</w:t>
      </w:r>
    </w:p>
    <w:p w14:paraId="5EB83B6D" w14:textId="77777777" w:rsidR="00477B14" w:rsidRPr="00D0306F" w:rsidRDefault="00477B14" w:rsidP="00B92D59">
      <w:pPr>
        <w:rPr>
          <w:rFonts w:eastAsia="Calibri" w:cs="Arial"/>
          <w:kern w:val="0"/>
          <w14:ligatures w14:val="none"/>
        </w:rPr>
      </w:pPr>
    </w:p>
    <w:p w14:paraId="5CCCA4F4" w14:textId="77777777" w:rsidR="00477B14" w:rsidRPr="00D0306F" w:rsidRDefault="00477B14" w:rsidP="00B92D59">
      <w:pPr>
        <w:rPr>
          <w:rFonts w:eastAsia="Aptos" w:cs="Arial"/>
          <w:lang w:eastAsia="en-GB"/>
        </w:rPr>
      </w:pPr>
      <w:r w:rsidRPr="00D0306F">
        <w:rPr>
          <w:rFonts w:eastAsia="Aptos" w:cs="Arial"/>
          <w:lang w:eastAsia="en-GB"/>
        </w:rPr>
        <w:t xml:space="preserve">Smoking is the single biggest modifiable risk factor for poor outcomes in pregnancy. Encouraging pregnant women to stop smoking during pregnancy can help them kick </w:t>
      </w:r>
      <w:r w:rsidRPr="00D0306F">
        <w:rPr>
          <w:rFonts w:eastAsia="Aptos" w:cs="Arial"/>
          <w:lang w:eastAsia="en-GB"/>
        </w:rPr>
        <w:lastRenderedPageBreak/>
        <w:t>the habit for good, provide health benefits for the mother and unborn child, and reduce children’s exposure to second-hand smoke.</w:t>
      </w:r>
    </w:p>
    <w:p w14:paraId="31E1151C" w14:textId="77777777" w:rsidR="00477B14" w:rsidRPr="00477B14" w:rsidRDefault="00477B14" w:rsidP="00E232AA">
      <w:pPr>
        <w:contextualSpacing/>
        <w:rPr>
          <w:rFonts w:eastAsia="Calibri" w:cs="Arial"/>
        </w:rPr>
      </w:pPr>
    </w:p>
    <w:p w14:paraId="22F39F4D" w14:textId="77777777" w:rsidR="00477B14" w:rsidRPr="00477B14" w:rsidRDefault="00477B14" w:rsidP="00E232AA">
      <w:pPr>
        <w:contextualSpacing/>
        <w:rPr>
          <w:rFonts w:eastAsia="Aptos" w:cs="Arial"/>
          <w:lang w:eastAsia="en-GB"/>
        </w:rPr>
      </w:pPr>
      <w:r w:rsidRPr="00477B14">
        <w:rPr>
          <w:rFonts w:eastAsia="Aptos" w:cs="Arial"/>
          <w:lang w:eastAsia="en-GB"/>
        </w:rPr>
        <w:t>In Wales</w:t>
      </w:r>
      <w:r w:rsidRPr="00477B14">
        <w:rPr>
          <w:rFonts w:eastAsia="Aptos" w:cs="Arial"/>
          <w:vertAlign w:val="superscript"/>
          <w:lang w:eastAsia="en-GB"/>
        </w:rPr>
        <w:footnoteReference w:id="171"/>
      </w:r>
      <w:r w:rsidRPr="00477B14">
        <w:rPr>
          <w:rFonts w:eastAsia="Aptos" w:cs="Arial"/>
          <w:lang w:eastAsia="en-GB"/>
        </w:rPr>
        <w:t>:</w:t>
      </w:r>
    </w:p>
    <w:p w14:paraId="7733156D" w14:textId="77777777" w:rsidR="00477B14" w:rsidRPr="00477B14" w:rsidRDefault="00477B14" w:rsidP="00E232AA">
      <w:pPr>
        <w:contextualSpacing/>
        <w:rPr>
          <w:rFonts w:eastAsia="Aptos" w:cs="Arial"/>
          <w:lang w:eastAsia="en-GB"/>
        </w:rPr>
      </w:pPr>
    </w:p>
    <w:p w14:paraId="7DC9E93C" w14:textId="77777777" w:rsidR="00477B14" w:rsidRPr="00477B14" w:rsidRDefault="00477B14" w:rsidP="00B76905">
      <w:pPr>
        <w:numPr>
          <w:ilvl w:val="0"/>
          <w:numId w:val="76"/>
        </w:numPr>
        <w:contextualSpacing/>
        <w:rPr>
          <w:rFonts w:eastAsia="Times New Roman" w:cs="Arial"/>
          <w:color w:val="1F1F1F"/>
          <w:lang w:eastAsia="en-GB"/>
        </w:rPr>
      </w:pPr>
      <w:r w:rsidRPr="00477B14">
        <w:rPr>
          <w:rFonts w:eastAsia="Aptos" w:cs="Arial"/>
          <w:lang w:eastAsia="en-GB"/>
        </w:rPr>
        <w:t>20% of women who were smokers at the initial assessment were not smokers at birth. This is a decrease of 6.5% since the previous year, and an increase of 2.0% since data was first collected in 2016. The large increase since 2021 may be affected by nearly all data being self-reported, rather than being carbon monoxide monitored and the higher-than-usual amount of missing data in the past two years.</w:t>
      </w:r>
    </w:p>
    <w:p w14:paraId="46059FB4" w14:textId="77777777" w:rsidR="00477B14" w:rsidRPr="00477B14" w:rsidRDefault="00477B14" w:rsidP="00B76905">
      <w:pPr>
        <w:numPr>
          <w:ilvl w:val="0"/>
          <w:numId w:val="76"/>
        </w:numPr>
        <w:contextualSpacing/>
        <w:rPr>
          <w:rFonts w:eastAsia="Aptos" w:cs="Arial"/>
          <w:lang w:eastAsia="en-GB"/>
        </w:rPr>
      </w:pPr>
      <w:r w:rsidRPr="00477B14">
        <w:rPr>
          <w:rFonts w:eastAsia="Aptos" w:cs="Arial"/>
          <w:lang w:eastAsia="en-GB"/>
        </w:rPr>
        <w:t>1</w:t>
      </w:r>
      <w:r w:rsidRPr="00477B14">
        <w:rPr>
          <w:rFonts w:eastAsia="Times New Roman" w:cs="Arial"/>
          <w:color w:val="1F1F1F"/>
          <w:lang w:eastAsia="en-GB"/>
        </w:rPr>
        <w:t>4% of pregnant women were recorded as smokers at their initial assessment in 2023 and 12% of women who birthed in 2023 were recorded as being smokers at the time they gave birth. Both rates are similar to the previous two years</w:t>
      </w:r>
      <w:r w:rsidRPr="00477B14">
        <w:rPr>
          <w:rFonts w:eastAsia="Times New Roman" w:cs="Arial"/>
          <w:lang w:eastAsia="en-GB"/>
        </w:rPr>
        <w:t>.</w:t>
      </w:r>
    </w:p>
    <w:p w14:paraId="60CC8E6F" w14:textId="77777777" w:rsidR="00477B14" w:rsidRPr="00477B14" w:rsidRDefault="00477B14" w:rsidP="00B76905">
      <w:pPr>
        <w:numPr>
          <w:ilvl w:val="0"/>
          <w:numId w:val="76"/>
        </w:numPr>
        <w:contextualSpacing/>
        <w:rPr>
          <w:rFonts w:eastAsia="Aptos" w:cs="Arial"/>
          <w:lang w:eastAsia="en-GB"/>
        </w:rPr>
      </w:pPr>
      <w:r w:rsidRPr="00477B14">
        <w:rPr>
          <w:rFonts w:eastAsia="Times New Roman" w:cs="Arial"/>
          <w:color w:val="1F1F1F"/>
          <w:lang w:eastAsia="en-GB"/>
        </w:rPr>
        <w:t>28% of pregnant women aged under 20 were recorded as a smoker at initial assessment, compared to 21% aged 20 to 24, and 12% aged 35 or over.</w:t>
      </w:r>
    </w:p>
    <w:p w14:paraId="2281348F" w14:textId="77777777" w:rsidR="00477B14" w:rsidRPr="00477B14" w:rsidRDefault="00477B14" w:rsidP="00B76905">
      <w:pPr>
        <w:numPr>
          <w:ilvl w:val="0"/>
          <w:numId w:val="76"/>
        </w:numPr>
        <w:contextualSpacing/>
        <w:rPr>
          <w:rFonts w:eastAsia="Times New Roman" w:cs="Arial"/>
          <w:color w:val="1F1F1F"/>
          <w:lang w:eastAsia="en-GB"/>
        </w:rPr>
      </w:pPr>
      <w:r w:rsidRPr="00477B14">
        <w:rPr>
          <w:rFonts w:eastAsia="Times New Roman" w:cs="Arial"/>
          <w:color w:val="1F1F1F"/>
          <w:lang w:eastAsia="en-GB"/>
        </w:rPr>
        <w:t>27% of pregnant women aged under 20 were recorded as smokers at birth, compared to 19% aged 20 to 24 and 10% aged 35 or older.</w:t>
      </w:r>
    </w:p>
    <w:p w14:paraId="51CA0B91" w14:textId="77777777" w:rsidR="00477B14" w:rsidRPr="00477B14" w:rsidRDefault="00477B14" w:rsidP="00B76905">
      <w:pPr>
        <w:numPr>
          <w:ilvl w:val="0"/>
          <w:numId w:val="76"/>
        </w:numPr>
        <w:contextualSpacing/>
        <w:rPr>
          <w:rFonts w:eastAsia="Times New Roman" w:cs="Arial"/>
          <w:color w:val="1F1F1F"/>
          <w:lang w:eastAsia="en-GB"/>
        </w:rPr>
      </w:pPr>
      <w:r w:rsidRPr="00477B14">
        <w:rPr>
          <w:rFonts w:eastAsia="Times New Roman" w:cs="Arial"/>
          <w:color w:val="1F1F1F"/>
          <w:lang w:eastAsia="en-GB"/>
        </w:rPr>
        <w:t>Smoking rates were highest among younger mothers and mothers from White and Mixed ethnic backgrounds.</w:t>
      </w:r>
    </w:p>
    <w:p w14:paraId="4F2AADAA" w14:textId="77777777" w:rsidR="00477B14" w:rsidRPr="00477B14" w:rsidRDefault="00477B14" w:rsidP="00B76905">
      <w:pPr>
        <w:numPr>
          <w:ilvl w:val="0"/>
          <w:numId w:val="76"/>
        </w:numPr>
        <w:contextualSpacing/>
        <w:rPr>
          <w:rFonts w:eastAsia="Times New Roman" w:cs="Arial"/>
          <w:color w:val="1F1F1F"/>
          <w:lang w:eastAsia="en-GB"/>
        </w:rPr>
      </w:pPr>
      <w:r w:rsidRPr="00477B14">
        <w:rPr>
          <w:rFonts w:eastAsia="Times New Roman" w:cs="Arial"/>
          <w:color w:val="1F1F1F"/>
          <w:lang w:eastAsia="en-GB"/>
        </w:rPr>
        <w:t>The percentage of pregnant women recorded as a smoker differs widely by ethnic group. At initial assessment in 2023, smoking rates varied from 2% of pregnant women from Asian ethnic groups to 16% of pregnant women from White ethnic groups.</w:t>
      </w:r>
    </w:p>
    <w:p w14:paraId="3355337E" w14:textId="77777777" w:rsidR="00477B14" w:rsidRPr="00477B14" w:rsidRDefault="00477B14" w:rsidP="00B76905">
      <w:pPr>
        <w:numPr>
          <w:ilvl w:val="0"/>
          <w:numId w:val="76"/>
        </w:numPr>
        <w:contextualSpacing/>
        <w:rPr>
          <w:rFonts w:eastAsia="Times New Roman" w:cs="Arial"/>
          <w:color w:val="1F1F1F"/>
          <w:lang w:eastAsia="en-GB"/>
        </w:rPr>
      </w:pPr>
      <w:r w:rsidRPr="00477B14">
        <w:rPr>
          <w:rFonts w:eastAsia="Times New Roman" w:cs="Arial"/>
          <w:color w:val="1F1F1F"/>
          <w:lang w:eastAsia="en-GB"/>
        </w:rPr>
        <w:t>At birth in 2023, smoking rates varied between 1% of pregnant women from Black ethnic groups and 2% of pregnant women from Asian ethnic groups to 14% of pregnant women from both White and Mixed ethnic groups.</w:t>
      </w:r>
    </w:p>
    <w:p w14:paraId="66A52F5B" w14:textId="77777777" w:rsidR="00477B14" w:rsidRPr="00477B14" w:rsidRDefault="00477B14" w:rsidP="00B76905">
      <w:pPr>
        <w:numPr>
          <w:ilvl w:val="0"/>
          <w:numId w:val="76"/>
        </w:numPr>
        <w:contextualSpacing/>
        <w:rPr>
          <w:rFonts w:eastAsia="Times New Roman" w:cs="Arial"/>
          <w:color w:val="1F1F1F"/>
          <w:lang w:eastAsia="en-GB"/>
        </w:rPr>
      </w:pPr>
      <w:r w:rsidRPr="00477B14">
        <w:rPr>
          <w:rFonts w:eastAsia="Times New Roman" w:cs="Arial"/>
          <w:color w:val="1F1F1F"/>
          <w:lang w:eastAsia="en-GB"/>
        </w:rPr>
        <w:t>Over the past 5 years the smoking rates have decreased in the White and Mixed ethnic groups, while rates have been broadly similar (but at a much lower level) for pregnant women of Other, Black and Asian ethnic groups.</w:t>
      </w:r>
    </w:p>
    <w:p w14:paraId="6A1693F1" w14:textId="77777777" w:rsidR="00477B14" w:rsidRPr="00477B14" w:rsidRDefault="00477B14" w:rsidP="00B76905">
      <w:pPr>
        <w:numPr>
          <w:ilvl w:val="0"/>
          <w:numId w:val="76"/>
        </w:numPr>
        <w:contextualSpacing/>
        <w:rPr>
          <w:rFonts w:eastAsia="Times New Roman" w:cs="Arial"/>
          <w:color w:val="1F1F1F"/>
          <w:lang w:eastAsia="en-GB"/>
        </w:rPr>
      </w:pPr>
      <w:r w:rsidRPr="00477B14">
        <w:rPr>
          <w:rFonts w:eastAsia="Times New Roman" w:cs="Arial"/>
          <w:color w:val="1F1F1F"/>
          <w:lang w:eastAsia="en-GB"/>
        </w:rPr>
        <w:t>Large decrease in smoking rate at initial assessment since 2020 coincide with nearly all data being self-reported, rather than being carbon monoxide monitored. This change in data collection method may explain the sharp falls from this point onwards.</w:t>
      </w:r>
    </w:p>
    <w:p w14:paraId="7F36753D" w14:textId="77777777" w:rsidR="00477B14" w:rsidRPr="00477B14" w:rsidRDefault="00477B14" w:rsidP="00E232AA">
      <w:pPr>
        <w:rPr>
          <w:rFonts w:eastAsia="Aptos" w:cs="Arial"/>
          <w:lang w:eastAsia="en-GB"/>
        </w:rPr>
      </w:pPr>
    </w:p>
    <w:p w14:paraId="673CAC8E" w14:textId="77777777" w:rsidR="00477B14" w:rsidRPr="00477B14" w:rsidRDefault="00477B14" w:rsidP="00E232AA">
      <w:pPr>
        <w:rPr>
          <w:rFonts w:eastAsia="Aptos" w:cs="Arial"/>
          <w:lang w:eastAsia="en-GB"/>
        </w:rPr>
      </w:pPr>
      <w:r w:rsidRPr="00477B14">
        <w:rPr>
          <w:rFonts w:eastAsia="Aptos" w:cs="Arial"/>
          <w:lang w:eastAsia="en-GB"/>
        </w:rPr>
        <w:t>NB The percentages for smoking at birth does not include data from Hywel Dda University Health Board.</w:t>
      </w:r>
    </w:p>
    <w:p w14:paraId="1DB4A61E" w14:textId="77777777" w:rsidR="00477B14" w:rsidRPr="00477B14" w:rsidRDefault="00477B14" w:rsidP="00E232AA">
      <w:pPr>
        <w:tabs>
          <w:tab w:val="left" w:pos="720"/>
        </w:tabs>
        <w:ind w:left="360" w:hanging="360"/>
        <w:contextualSpacing/>
        <w:rPr>
          <w:rFonts w:eastAsia="Aptos" w:cs="Arial"/>
          <w:lang w:eastAsia="en-GB"/>
        </w:rPr>
      </w:pPr>
    </w:p>
    <w:p w14:paraId="3655A145" w14:textId="77777777" w:rsidR="00477B14" w:rsidRPr="00D0306F" w:rsidRDefault="00477B14" w:rsidP="00B92D59">
      <w:pPr>
        <w:rPr>
          <w:b/>
          <w:bCs/>
        </w:rPr>
      </w:pPr>
      <w:r w:rsidRPr="00D0306F">
        <w:rPr>
          <w:b/>
          <w:bCs/>
        </w:rPr>
        <w:t>4.3.3 Substance and alcohol use</w:t>
      </w:r>
    </w:p>
    <w:p w14:paraId="0E189BC7" w14:textId="77777777" w:rsidR="00477B14" w:rsidRPr="00477B14" w:rsidRDefault="00477B14" w:rsidP="00E232AA">
      <w:pPr>
        <w:contextualSpacing/>
        <w:rPr>
          <w:rFonts w:eastAsia="Calibri" w:cs="Arial"/>
          <w:kern w:val="0"/>
          <w14:ligatures w14:val="none"/>
        </w:rPr>
      </w:pPr>
    </w:p>
    <w:p w14:paraId="611CCE40" w14:textId="77777777" w:rsidR="00477B14" w:rsidRPr="00477B14" w:rsidRDefault="00477B14" w:rsidP="00E232AA">
      <w:pPr>
        <w:contextualSpacing/>
        <w:rPr>
          <w:rFonts w:eastAsia="Aptos" w:cs="Arial"/>
        </w:rPr>
      </w:pPr>
      <w:r w:rsidRPr="00477B14">
        <w:rPr>
          <w:rFonts w:eastAsia="Aptos" w:cs="Arial"/>
        </w:rPr>
        <w:t xml:space="preserve">Maternal misuse of drugs during pregnancy increases the risk of low birth weight, premature delivery, perinatal mortality, and sudden unexpected death in infancy (sometimes known as cot death). </w:t>
      </w:r>
    </w:p>
    <w:p w14:paraId="2921467E" w14:textId="77777777" w:rsidR="00477B14" w:rsidRPr="00477B14" w:rsidRDefault="00477B14" w:rsidP="00E232AA">
      <w:pPr>
        <w:contextualSpacing/>
        <w:rPr>
          <w:rFonts w:eastAsia="Calibri" w:cs="Arial"/>
          <w:bCs/>
          <w:kern w:val="0"/>
          <w14:ligatures w14:val="none"/>
        </w:rPr>
      </w:pPr>
    </w:p>
    <w:p w14:paraId="7C9A100F" w14:textId="77777777" w:rsidR="00477B14" w:rsidRPr="00477B14" w:rsidRDefault="00477B14" w:rsidP="00E232AA">
      <w:pPr>
        <w:contextualSpacing/>
        <w:rPr>
          <w:rFonts w:eastAsia="MS Mincho" w:cs="Arial"/>
          <w:kern w:val="0"/>
          <w:lang w:eastAsia="en-GB"/>
          <w14:ligatures w14:val="none"/>
        </w:rPr>
      </w:pPr>
      <w:r w:rsidRPr="00477B14">
        <w:rPr>
          <w:rFonts w:eastAsia="MS Mincho" w:cs="Arial"/>
          <w:kern w:val="0"/>
          <w:lang w:eastAsia="en-GB"/>
          <w14:ligatures w14:val="none"/>
        </w:rPr>
        <w:t>A number of risks are associated with drinking alcohol during pregnancy</w:t>
      </w:r>
      <w:r w:rsidRPr="00477B14">
        <w:rPr>
          <w:rFonts w:eastAsia="MS Mincho" w:cs="Arial"/>
          <w:kern w:val="0"/>
          <w:vertAlign w:val="superscript"/>
          <w:lang w:eastAsia="en-GB"/>
          <w14:ligatures w14:val="none"/>
        </w:rPr>
        <w:footnoteReference w:id="172"/>
      </w:r>
      <w:r w:rsidRPr="00477B14">
        <w:rPr>
          <w:rFonts w:eastAsia="MS Mincho" w:cs="Arial"/>
          <w:kern w:val="0"/>
          <w:lang w:eastAsia="en-GB"/>
          <w14:ligatures w14:val="none"/>
        </w:rPr>
        <w:t xml:space="preserve">, including: </w:t>
      </w:r>
    </w:p>
    <w:p w14:paraId="3D6709CF" w14:textId="77777777" w:rsidR="00477B14" w:rsidRPr="00477B14" w:rsidRDefault="00477B14" w:rsidP="00E232AA">
      <w:pPr>
        <w:contextualSpacing/>
        <w:rPr>
          <w:rFonts w:eastAsia="MS Mincho" w:cs="Arial"/>
          <w:kern w:val="0"/>
          <w:lang w:eastAsia="en-GB"/>
          <w14:ligatures w14:val="none"/>
        </w:rPr>
      </w:pPr>
    </w:p>
    <w:p w14:paraId="34F01581" w14:textId="77777777" w:rsidR="00477B14" w:rsidRPr="00477B14" w:rsidRDefault="00477B14" w:rsidP="00B76905">
      <w:pPr>
        <w:numPr>
          <w:ilvl w:val="0"/>
          <w:numId w:val="77"/>
        </w:numPr>
        <w:contextualSpacing/>
        <w:rPr>
          <w:rFonts w:eastAsia="Aptos" w:cs="Arial"/>
          <w:lang w:eastAsia="en-GB"/>
        </w:rPr>
      </w:pPr>
      <w:r w:rsidRPr="00477B14">
        <w:rPr>
          <w:rFonts w:eastAsia="Aptos" w:cs="Arial"/>
          <w:lang w:eastAsia="en-GB"/>
        </w:rPr>
        <w:t>increased chances of miscarriage,</w:t>
      </w:r>
    </w:p>
    <w:p w14:paraId="7975BE64" w14:textId="77777777" w:rsidR="00477B14" w:rsidRPr="00477B14" w:rsidRDefault="00477B14" w:rsidP="00B76905">
      <w:pPr>
        <w:numPr>
          <w:ilvl w:val="0"/>
          <w:numId w:val="77"/>
        </w:numPr>
        <w:contextualSpacing/>
        <w:rPr>
          <w:rFonts w:eastAsia="Aptos" w:cs="Arial"/>
          <w:lang w:eastAsia="en-GB"/>
        </w:rPr>
      </w:pPr>
      <w:r w:rsidRPr="00477B14">
        <w:rPr>
          <w:rFonts w:eastAsia="Aptos" w:cs="Arial"/>
          <w:lang w:eastAsia="en-GB"/>
        </w:rPr>
        <w:t>affects the way the baby develops in the uterus and, in particular, the way its brain develops,</w:t>
      </w:r>
    </w:p>
    <w:p w14:paraId="3515FBF0" w14:textId="77777777" w:rsidR="00477B14" w:rsidRPr="00477B14" w:rsidRDefault="00477B14" w:rsidP="00B76905">
      <w:pPr>
        <w:numPr>
          <w:ilvl w:val="0"/>
          <w:numId w:val="77"/>
        </w:numPr>
        <w:contextualSpacing/>
        <w:rPr>
          <w:rFonts w:eastAsia="Aptos" w:cs="Arial"/>
          <w:lang w:eastAsia="en-GB"/>
        </w:rPr>
      </w:pPr>
      <w:r w:rsidRPr="00477B14">
        <w:rPr>
          <w:rFonts w:eastAsia="Aptos" w:cs="Arial"/>
          <w:lang w:eastAsia="en-GB"/>
        </w:rPr>
        <w:t>affect the way the baby grows in the uterus by causing the placenta not to work as well as it should,</w:t>
      </w:r>
    </w:p>
    <w:p w14:paraId="276EF889" w14:textId="77777777" w:rsidR="00477B14" w:rsidRPr="00477B14" w:rsidRDefault="00477B14" w:rsidP="00B76905">
      <w:pPr>
        <w:numPr>
          <w:ilvl w:val="0"/>
          <w:numId w:val="77"/>
        </w:numPr>
        <w:contextualSpacing/>
        <w:rPr>
          <w:rFonts w:eastAsia="Aptos" w:cs="Arial"/>
          <w:lang w:eastAsia="en-GB"/>
        </w:rPr>
      </w:pPr>
      <w:r w:rsidRPr="00477B14">
        <w:rPr>
          <w:rFonts w:eastAsia="Aptos" w:cs="Arial"/>
          <w:lang w:eastAsia="en-GB"/>
        </w:rPr>
        <w:t>increases the risk of a stillbirth,</w:t>
      </w:r>
    </w:p>
    <w:p w14:paraId="67416B25" w14:textId="77777777" w:rsidR="00477B14" w:rsidRPr="00477B14" w:rsidRDefault="00477B14" w:rsidP="00B76905">
      <w:pPr>
        <w:numPr>
          <w:ilvl w:val="0"/>
          <w:numId w:val="77"/>
        </w:numPr>
        <w:contextualSpacing/>
        <w:rPr>
          <w:rFonts w:eastAsia="Aptos" w:cs="Arial"/>
          <w:lang w:eastAsia="en-GB"/>
        </w:rPr>
      </w:pPr>
      <w:r w:rsidRPr="00477B14">
        <w:rPr>
          <w:rFonts w:eastAsia="Aptos" w:cs="Arial"/>
          <w:lang w:eastAsia="en-GB"/>
        </w:rPr>
        <w:t>increases the risk of premature labour,</w:t>
      </w:r>
    </w:p>
    <w:p w14:paraId="53B8604D" w14:textId="77777777" w:rsidR="00477B14" w:rsidRPr="00477B14" w:rsidRDefault="00477B14" w:rsidP="00B76905">
      <w:pPr>
        <w:numPr>
          <w:ilvl w:val="0"/>
          <w:numId w:val="77"/>
        </w:numPr>
        <w:contextualSpacing/>
        <w:rPr>
          <w:rFonts w:eastAsia="Aptos" w:cs="Arial"/>
          <w:lang w:eastAsia="en-GB"/>
        </w:rPr>
      </w:pPr>
      <w:r w:rsidRPr="00477B14">
        <w:rPr>
          <w:rFonts w:eastAsia="Aptos" w:cs="Arial"/>
          <w:lang w:eastAsia="en-GB"/>
        </w:rPr>
        <w:t>makes the baby more prone to illness in infancy and in childhood, and also as an adult, and</w:t>
      </w:r>
    </w:p>
    <w:p w14:paraId="63535F75" w14:textId="77777777" w:rsidR="00477B14" w:rsidRPr="00477B14" w:rsidRDefault="00477B14" w:rsidP="00B76905">
      <w:pPr>
        <w:numPr>
          <w:ilvl w:val="0"/>
          <w:numId w:val="77"/>
        </w:numPr>
        <w:contextualSpacing/>
        <w:rPr>
          <w:rFonts w:eastAsia="Aptos" w:cs="Arial"/>
          <w:lang w:eastAsia="en-GB"/>
        </w:rPr>
      </w:pPr>
      <w:r w:rsidRPr="00477B14">
        <w:rPr>
          <w:rFonts w:eastAsia="Aptos" w:cs="Arial"/>
          <w:lang w:eastAsia="en-GB"/>
        </w:rPr>
        <w:t>causes foetal alcohol spectrum disorder or foetal alcohol syndrome.</w:t>
      </w:r>
    </w:p>
    <w:p w14:paraId="10820484" w14:textId="77777777" w:rsidR="00477B14" w:rsidRPr="00477B14" w:rsidRDefault="00477B14" w:rsidP="00E232AA">
      <w:pPr>
        <w:tabs>
          <w:tab w:val="left" w:pos="720"/>
        </w:tabs>
        <w:ind w:left="360"/>
        <w:contextualSpacing/>
        <w:rPr>
          <w:rFonts w:eastAsia="Aptos" w:cs="Arial"/>
          <w:lang w:eastAsia="en-GB"/>
        </w:rPr>
      </w:pPr>
    </w:p>
    <w:p w14:paraId="66F3FCD7" w14:textId="77777777" w:rsidR="00477B14" w:rsidRPr="00477B14" w:rsidRDefault="00477B14" w:rsidP="00E232AA">
      <w:pPr>
        <w:contextualSpacing/>
        <w:rPr>
          <w:rFonts w:eastAsia="MS Mincho" w:cs="Arial"/>
          <w:kern w:val="0"/>
          <w:lang w:eastAsia="en-GB"/>
          <w14:ligatures w14:val="none"/>
        </w:rPr>
      </w:pPr>
      <w:r w:rsidRPr="00477B14">
        <w:rPr>
          <w:rFonts w:eastAsia="MS Mincho" w:cs="Arial"/>
          <w:kern w:val="0"/>
          <w:lang w:eastAsia="en-GB"/>
          <w14:ligatures w14:val="none"/>
        </w:rPr>
        <w:t>Being drug-free in pregnancy reduces the risk of:</w:t>
      </w:r>
    </w:p>
    <w:p w14:paraId="3937A97C" w14:textId="77777777" w:rsidR="00477B14" w:rsidRPr="00477B14" w:rsidRDefault="00477B14" w:rsidP="00E232AA">
      <w:pPr>
        <w:contextualSpacing/>
        <w:rPr>
          <w:rFonts w:eastAsia="Calibri" w:cs="Arial"/>
          <w:kern w:val="0"/>
          <w14:ligatures w14:val="none"/>
        </w:rPr>
      </w:pPr>
    </w:p>
    <w:p w14:paraId="276DCAAC" w14:textId="77777777" w:rsidR="00477B14" w:rsidRPr="00477B14" w:rsidRDefault="00477B14" w:rsidP="00B76905">
      <w:pPr>
        <w:numPr>
          <w:ilvl w:val="0"/>
          <w:numId w:val="78"/>
        </w:numPr>
        <w:contextualSpacing/>
        <w:rPr>
          <w:rFonts w:eastAsia="Aptos" w:cs="Arial"/>
          <w:lang w:eastAsia="en-GB"/>
        </w:rPr>
      </w:pPr>
      <w:r w:rsidRPr="00477B14">
        <w:rPr>
          <w:rFonts w:eastAsia="Aptos" w:cs="Arial"/>
          <w:lang w:eastAsia="en-GB"/>
        </w:rPr>
        <w:t>early birth,</w:t>
      </w:r>
    </w:p>
    <w:p w14:paraId="3A04ED0B" w14:textId="77777777" w:rsidR="00477B14" w:rsidRPr="00477B14" w:rsidRDefault="00477B14" w:rsidP="00B76905">
      <w:pPr>
        <w:numPr>
          <w:ilvl w:val="0"/>
          <w:numId w:val="78"/>
        </w:numPr>
        <w:contextualSpacing/>
        <w:rPr>
          <w:rFonts w:eastAsia="Aptos" w:cs="Arial"/>
          <w:lang w:eastAsia="en-GB"/>
        </w:rPr>
      </w:pPr>
      <w:r w:rsidRPr="00477B14">
        <w:rPr>
          <w:rFonts w:eastAsia="Aptos" w:cs="Arial"/>
          <w:lang w:eastAsia="en-GB"/>
        </w:rPr>
        <w:t>underweight birth,</w:t>
      </w:r>
    </w:p>
    <w:p w14:paraId="6A06A08D" w14:textId="77777777" w:rsidR="00477B14" w:rsidRPr="00477B14" w:rsidRDefault="00477B14" w:rsidP="00B76905">
      <w:pPr>
        <w:numPr>
          <w:ilvl w:val="0"/>
          <w:numId w:val="78"/>
        </w:numPr>
        <w:contextualSpacing/>
        <w:rPr>
          <w:rFonts w:eastAsia="Aptos" w:cs="Arial"/>
          <w:lang w:eastAsia="en-GB"/>
        </w:rPr>
      </w:pPr>
      <w:r w:rsidRPr="00477B14">
        <w:rPr>
          <w:rFonts w:eastAsia="Aptos" w:cs="Arial"/>
          <w:lang w:eastAsia="en-GB"/>
        </w:rPr>
        <w:t>feeding and breathing problems,</w:t>
      </w:r>
    </w:p>
    <w:p w14:paraId="1B4A2E19" w14:textId="77777777" w:rsidR="00477B14" w:rsidRPr="00477B14" w:rsidRDefault="00477B14" w:rsidP="00B76905">
      <w:pPr>
        <w:numPr>
          <w:ilvl w:val="0"/>
          <w:numId w:val="78"/>
        </w:numPr>
        <w:contextualSpacing/>
        <w:rPr>
          <w:rFonts w:eastAsia="Aptos" w:cs="Arial"/>
          <w:lang w:eastAsia="en-GB"/>
        </w:rPr>
      </w:pPr>
      <w:r w:rsidRPr="00477B14">
        <w:rPr>
          <w:rFonts w:eastAsia="Aptos" w:cs="Arial"/>
          <w:lang w:eastAsia="en-GB"/>
        </w:rPr>
        <w:t>getting infections,</w:t>
      </w:r>
    </w:p>
    <w:p w14:paraId="07D725A4" w14:textId="77777777" w:rsidR="00477B14" w:rsidRPr="00477B14" w:rsidRDefault="00477B14" w:rsidP="00B76905">
      <w:pPr>
        <w:numPr>
          <w:ilvl w:val="0"/>
          <w:numId w:val="78"/>
        </w:numPr>
        <w:contextualSpacing/>
        <w:rPr>
          <w:rFonts w:eastAsia="Aptos" w:cs="Arial"/>
          <w:lang w:eastAsia="en-GB"/>
        </w:rPr>
      </w:pPr>
      <w:r w:rsidRPr="00477B14">
        <w:rPr>
          <w:rFonts w:eastAsia="Aptos" w:cs="Arial"/>
          <w:lang w:eastAsia="en-GB"/>
        </w:rPr>
        <w:t>having problems with their development and growth,</w:t>
      </w:r>
    </w:p>
    <w:p w14:paraId="63CBACAA" w14:textId="77777777" w:rsidR="00477B14" w:rsidRPr="00477B14" w:rsidRDefault="00477B14" w:rsidP="00B76905">
      <w:pPr>
        <w:numPr>
          <w:ilvl w:val="0"/>
          <w:numId w:val="78"/>
        </w:numPr>
        <w:contextualSpacing/>
        <w:rPr>
          <w:rFonts w:eastAsia="Aptos" w:cs="Arial"/>
          <w:lang w:eastAsia="en-GB"/>
        </w:rPr>
      </w:pPr>
      <w:r w:rsidRPr="00477B14">
        <w:rPr>
          <w:rFonts w:eastAsia="Aptos" w:cs="Arial"/>
          <w:lang w:eastAsia="en-GB"/>
        </w:rPr>
        <w:t>miscarriage,</w:t>
      </w:r>
    </w:p>
    <w:p w14:paraId="17ABD66B" w14:textId="77777777" w:rsidR="00477B14" w:rsidRPr="00477B14" w:rsidRDefault="00477B14" w:rsidP="00B76905">
      <w:pPr>
        <w:numPr>
          <w:ilvl w:val="0"/>
          <w:numId w:val="78"/>
        </w:numPr>
        <w:contextualSpacing/>
        <w:rPr>
          <w:rFonts w:eastAsia="Aptos" w:cs="Arial"/>
          <w:lang w:eastAsia="en-GB"/>
        </w:rPr>
      </w:pPr>
      <w:r w:rsidRPr="00477B14">
        <w:rPr>
          <w:rFonts w:eastAsia="Aptos" w:cs="Arial"/>
          <w:lang w:eastAsia="en-GB"/>
        </w:rPr>
        <w:t>stillbirth, and</w:t>
      </w:r>
    </w:p>
    <w:p w14:paraId="364D867C" w14:textId="77777777" w:rsidR="00477B14" w:rsidRPr="00477B14" w:rsidRDefault="00477B14" w:rsidP="00B76905">
      <w:pPr>
        <w:numPr>
          <w:ilvl w:val="0"/>
          <w:numId w:val="78"/>
        </w:numPr>
        <w:contextualSpacing/>
        <w:rPr>
          <w:rFonts w:eastAsia="Aptos" w:cs="Arial"/>
          <w:lang w:eastAsia="en-GB"/>
        </w:rPr>
      </w:pPr>
      <w:r w:rsidRPr="00477B14">
        <w:rPr>
          <w:rFonts w:eastAsia="Aptos" w:cs="Arial"/>
          <w:lang w:eastAsia="en-GB"/>
        </w:rPr>
        <w:t>sudden unexplained death in infancy.</w:t>
      </w:r>
    </w:p>
    <w:p w14:paraId="572D250D" w14:textId="77777777" w:rsidR="00477B14" w:rsidRPr="00477B14" w:rsidRDefault="00477B14" w:rsidP="00E232AA">
      <w:pPr>
        <w:keepNext/>
        <w:contextualSpacing/>
        <w:outlineLvl w:val="2"/>
        <w:rPr>
          <w:rFonts w:eastAsia="Calibri" w:cs="Arial"/>
          <w:b/>
          <w:bCs/>
          <w:kern w:val="0"/>
          <w14:ligatures w14:val="none"/>
        </w:rPr>
      </w:pPr>
    </w:p>
    <w:p w14:paraId="79F35409" w14:textId="77777777" w:rsidR="00477B14" w:rsidRPr="00D0306F" w:rsidRDefault="00477B14" w:rsidP="00B92D59">
      <w:pPr>
        <w:rPr>
          <w:b/>
          <w:bCs/>
        </w:rPr>
      </w:pPr>
      <w:r w:rsidRPr="00D0306F">
        <w:rPr>
          <w:b/>
          <w:bCs/>
        </w:rPr>
        <w:t>4.3.4 Healthy weight and nutrition</w:t>
      </w:r>
    </w:p>
    <w:p w14:paraId="06EBE831" w14:textId="77777777" w:rsidR="00477B14" w:rsidRPr="00477B14" w:rsidRDefault="00477B14" w:rsidP="00E232AA">
      <w:pPr>
        <w:keepNext/>
        <w:contextualSpacing/>
        <w:outlineLvl w:val="2"/>
        <w:rPr>
          <w:rFonts w:eastAsia="Calibri" w:cs="Arial"/>
          <w:b/>
          <w:bCs/>
          <w:kern w:val="0"/>
          <w14:ligatures w14:val="none"/>
        </w:rPr>
      </w:pPr>
    </w:p>
    <w:p w14:paraId="23374A4A" w14:textId="77777777" w:rsidR="00477B14" w:rsidRPr="00477B14" w:rsidRDefault="00477B14" w:rsidP="00E232AA">
      <w:pPr>
        <w:contextualSpacing/>
        <w:rPr>
          <w:rFonts w:eastAsia="Aptos" w:cs="Arial"/>
          <w:lang w:eastAsia="en-GB"/>
        </w:rPr>
      </w:pPr>
      <w:r w:rsidRPr="00477B14">
        <w:rPr>
          <w:rFonts w:eastAsia="Aptos" w:cs="Arial"/>
          <w:lang w:eastAsia="en-GB"/>
        </w:rPr>
        <w:t>Being overweight whilst pregnant increases the chances of complications for the mother for example miscarriage, gestational diabetes, high blood pressure and pre-eclampsia and blood clots. For the baby, being overweight can lead to the baby being born early (before 37 weeks) and an increased chance of stillbirth. There is also a higher chance of the baby having a health condition, such as a neural tube defect like spina bifida.</w:t>
      </w:r>
    </w:p>
    <w:p w14:paraId="1B29ABFD" w14:textId="77777777" w:rsidR="00477B14" w:rsidRPr="00477B14" w:rsidRDefault="00477B14" w:rsidP="00E232AA">
      <w:pPr>
        <w:contextualSpacing/>
        <w:rPr>
          <w:rFonts w:eastAsia="Calibri" w:cs="Arial"/>
          <w:b/>
          <w:bCs/>
          <w:kern w:val="0"/>
          <w14:ligatures w14:val="none"/>
        </w:rPr>
      </w:pPr>
    </w:p>
    <w:p w14:paraId="28B7B7BE" w14:textId="77777777" w:rsidR="00477B14" w:rsidRPr="00477B14" w:rsidRDefault="00477B14" w:rsidP="00E232AA">
      <w:pPr>
        <w:contextualSpacing/>
        <w:rPr>
          <w:rFonts w:eastAsia="Aptos" w:cs="Arial"/>
          <w:color w:val="1F1F1F"/>
          <w:shd w:val="clear" w:color="auto" w:fill="FFFFFF"/>
        </w:rPr>
      </w:pPr>
      <w:r w:rsidRPr="00477B14">
        <w:rPr>
          <w:rFonts w:eastAsia="Aptos" w:cs="Arial"/>
          <w:color w:val="1F1F1F"/>
          <w:shd w:val="clear" w:color="auto" w:fill="FFFFFF"/>
        </w:rPr>
        <w:t>In Wales in 2023</w:t>
      </w:r>
      <w:r w:rsidRPr="00477B14">
        <w:rPr>
          <w:rFonts w:eastAsia="Aptos" w:cs="Arial"/>
          <w:color w:val="1F1F1F"/>
          <w:shd w:val="clear" w:color="auto" w:fill="FFFFFF"/>
          <w:vertAlign w:val="superscript"/>
        </w:rPr>
        <w:footnoteReference w:id="173"/>
      </w:r>
      <w:r w:rsidRPr="00477B14">
        <w:rPr>
          <w:rFonts w:eastAsia="Aptos" w:cs="Arial"/>
          <w:color w:val="1F1F1F"/>
          <w:shd w:val="clear" w:color="auto" w:fill="FFFFFF"/>
        </w:rPr>
        <w:t>:</w:t>
      </w:r>
    </w:p>
    <w:p w14:paraId="2B10BBA8" w14:textId="77777777" w:rsidR="00477B14" w:rsidRPr="00477B14" w:rsidRDefault="00477B14" w:rsidP="00E232AA">
      <w:pPr>
        <w:contextualSpacing/>
        <w:rPr>
          <w:rFonts w:eastAsia="Aptos" w:cs="Arial"/>
          <w:color w:val="1F1F1F"/>
          <w:shd w:val="clear" w:color="auto" w:fill="FFFFFF"/>
        </w:rPr>
      </w:pPr>
    </w:p>
    <w:p w14:paraId="3BFBE862" w14:textId="77777777" w:rsidR="00477B14" w:rsidRPr="00477B14" w:rsidRDefault="00477B14" w:rsidP="00B76905">
      <w:pPr>
        <w:numPr>
          <w:ilvl w:val="0"/>
          <w:numId w:val="79"/>
        </w:numPr>
        <w:contextualSpacing/>
        <w:rPr>
          <w:rFonts w:eastAsia="Aptos" w:cs="Arial"/>
          <w:lang w:eastAsia="en-GB"/>
        </w:rPr>
      </w:pPr>
      <w:r w:rsidRPr="00477B14">
        <w:rPr>
          <w:rFonts w:eastAsia="Aptos" w:cs="Arial"/>
          <w:shd w:val="clear" w:color="auto" w:fill="FFFFFF"/>
          <w:lang w:eastAsia="en-GB"/>
        </w:rPr>
        <w:t>32% of pregnant women were classed as obese by their body mass index score at initial assessment. This is an increase of 0.8% from the previous year continuing the upward trend since 2016 - in 2023 it was 5.8% higher than in 2016.</w:t>
      </w:r>
    </w:p>
    <w:p w14:paraId="4A0ED4F6" w14:textId="77777777" w:rsidR="00477B14" w:rsidRPr="00477B14" w:rsidRDefault="00477B14" w:rsidP="00B76905">
      <w:pPr>
        <w:numPr>
          <w:ilvl w:val="0"/>
          <w:numId w:val="79"/>
        </w:numPr>
        <w:contextualSpacing/>
        <w:rPr>
          <w:rFonts w:eastAsia="Aptos" w:cs="Arial"/>
          <w:lang w:eastAsia="en-GB"/>
        </w:rPr>
      </w:pPr>
      <w:r w:rsidRPr="00477B14">
        <w:rPr>
          <w:rFonts w:eastAsia="Aptos" w:cs="Arial"/>
          <w:lang w:eastAsia="en-GB"/>
        </w:rPr>
        <w:t>33% of pregnant women from Black and 33% of pregnant women from White ethnic groups had a body mass index of 30 or more. The percentage for both ethnic groups only changed marginally from the previous year. There has been an upward trend since data was first collected in 2016.</w:t>
      </w:r>
    </w:p>
    <w:p w14:paraId="360CC7A5" w14:textId="77777777" w:rsidR="00477B14" w:rsidRPr="00477B14" w:rsidRDefault="00477B14" w:rsidP="00B76905">
      <w:pPr>
        <w:numPr>
          <w:ilvl w:val="0"/>
          <w:numId w:val="79"/>
        </w:numPr>
        <w:contextualSpacing/>
        <w:rPr>
          <w:rFonts w:eastAsia="Aptos" w:cs="Arial"/>
          <w:lang w:eastAsia="en-GB"/>
        </w:rPr>
      </w:pPr>
      <w:r w:rsidRPr="00477B14">
        <w:rPr>
          <w:rFonts w:eastAsia="Aptos" w:cs="Arial"/>
          <w:lang w:eastAsia="en-GB"/>
        </w:rPr>
        <w:t>27% of pregnant women from Mixed ethnic groups had a body mass index of 30 or more. This was a small decrease on the previous year, but this group had the steepest longer-term upward trend and was 8.7% higher in 2023 than in 2016.</w:t>
      </w:r>
    </w:p>
    <w:p w14:paraId="2353DC76" w14:textId="77777777" w:rsidR="00477B14" w:rsidRPr="00477B14" w:rsidRDefault="00477B14" w:rsidP="00B76905">
      <w:pPr>
        <w:numPr>
          <w:ilvl w:val="0"/>
          <w:numId w:val="79"/>
        </w:numPr>
        <w:contextualSpacing/>
        <w:rPr>
          <w:rFonts w:eastAsia="Calibri" w:cs="Arial"/>
          <w:b/>
          <w:bCs/>
          <w:lang w:eastAsia="en-GB"/>
        </w:rPr>
      </w:pPr>
      <w:r w:rsidRPr="00477B14">
        <w:rPr>
          <w:rFonts w:eastAsia="Aptos" w:cs="Arial"/>
          <w:lang w:eastAsia="en-GB"/>
        </w:rPr>
        <w:lastRenderedPageBreak/>
        <w:t>Pregnant women in the Other and Asian ethnic groups had the lowest proportion of women with a BMI of 30 or more out of all five ethnic groups at 21% and 19% respectively.</w:t>
      </w:r>
    </w:p>
    <w:p w14:paraId="633D5456" w14:textId="77777777" w:rsidR="00477B14" w:rsidRPr="00477B14" w:rsidRDefault="00477B14" w:rsidP="00B76905">
      <w:pPr>
        <w:numPr>
          <w:ilvl w:val="0"/>
          <w:numId w:val="79"/>
        </w:numPr>
        <w:contextualSpacing/>
        <w:rPr>
          <w:rFonts w:eastAsia="Calibri" w:cs="Arial"/>
          <w:b/>
          <w:bCs/>
          <w:lang w:eastAsia="en-GB"/>
        </w:rPr>
      </w:pPr>
      <w:r w:rsidRPr="00477B14">
        <w:rPr>
          <w:rFonts w:eastAsia="Aptos" w:cs="Arial"/>
          <w:lang w:eastAsia="en-GB"/>
        </w:rPr>
        <w:t>32% of pregnant women with no stated ethnic group had a BMI of 30 or more.</w:t>
      </w:r>
    </w:p>
    <w:p w14:paraId="42D94D4B" w14:textId="77777777" w:rsidR="00477B14" w:rsidRPr="00477B14" w:rsidRDefault="00477B14" w:rsidP="00B76905">
      <w:pPr>
        <w:numPr>
          <w:ilvl w:val="0"/>
          <w:numId w:val="79"/>
        </w:numPr>
        <w:contextualSpacing/>
        <w:rPr>
          <w:rFonts w:eastAsia="Calibri" w:cs="Arial"/>
          <w:b/>
          <w:bCs/>
          <w:lang w:eastAsia="en-GB"/>
        </w:rPr>
      </w:pPr>
      <w:r w:rsidRPr="00477B14">
        <w:rPr>
          <w:rFonts w:eastAsia="Aptos" w:cs="Arial"/>
          <w:shd w:val="clear" w:color="auto" w:fill="FFFFFF"/>
          <w:lang w:eastAsia="en-GB"/>
        </w:rPr>
        <w:t>There was little variation in the percentage of pregnant women with a body mass index of 30 or more between most age groups. The percentage varied between 30% and 34% in all age groups between 20 to 24 and 40 to 44; while the percentage was markedly lower for the under 16 (5%), the 16 to 19 (21%), and the 45 or over (25%) age groups.</w:t>
      </w:r>
    </w:p>
    <w:p w14:paraId="25771F39" w14:textId="77777777" w:rsidR="00477B14" w:rsidRPr="00477B14" w:rsidRDefault="00477B14" w:rsidP="00E232AA">
      <w:pPr>
        <w:contextualSpacing/>
        <w:rPr>
          <w:rFonts w:eastAsia="Calibri" w:cs="Arial"/>
          <w:kern w:val="0"/>
          <w14:ligatures w14:val="none"/>
        </w:rPr>
      </w:pPr>
    </w:p>
    <w:p w14:paraId="65F5938A" w14:textId="77777777" w:rsidR="00477B14" w:rsidRPr="00477B14" w:rsidRDefault="00477B14" w:rsidP="00E232AA">
      <w:pPr>
        <w:contextualSpacing/>
        <w:rPr>
          <w:rFonts w:eastAsia="Calibri" w:cs="Arial"/>
          <w:kern w:val="0"/>
          <w14:ligatures w14:val="none"/>
        </w:rPr>
      </w:pPr>
      <w:r w:rsidRPr="00477B14">
        <w:rPr>
          <w:rFonts w:eastAsia="Calibri" w:cs="Arial"/>
          <w:kern w:val="0"/>
          <w14:ligatures w14:val="none"/>
        </w:rPr>
        <w:t>NB A person with a body mass index of 30 or more is considered obese.</w:t>
      </w:r>
    </w:p>
    <w:p w14:paraId="1929FA10" w14:textId="77777777" w:rsidR="00477B14" w:rsidRPr="00477B14" w:rsidRDefault="00477B14" w:rsidP="00E232AA">
      <w:pPr>
        <w:keepNext/>
        <w:contextualSpacing/>
        <w:outlineLvl w:val="2"/>
        <w:rPr>
          <w:rFonts w:eastAsia="Calibri" w:cs="Arial"/>
          <w:b/>
          <w:bCs/>
          <w:kern w:val="0"/>
          <w14:ligatures w14:val="none"/>
        </w:rPr>
      </w:pPr>
    </w:p>
    <w:p w14:paraId="7A6B04FC" w14:textId="77777777" w:rsidR="00477B14" w:rsidRPr="00D0306F" w:rsidRDefault="00477B14" w:rsidP="00B92D59">
      <w:pPr>
        <w:rPr>
          <w:b/>
          <w:bCs/>
        </w:rPr>
      </w:pPr>
      <w:r w:rsidRPr="00D0306F">
        <w:rPr>
          <w:b/>
          <w:bCs/>
        </w:rPr>
        <w:t>4.3.5 Breastfeeding</w:t>
      </w:r>
      <w:r w:rsidRPr="00D0306F">
        <w:rPr>
          <w:b/>
          <w:bCs/>
          <w:vertAlign w:val="superscript"/>
        </w:rPr>
        <w:footnoteReference w:id="174"/>
      </w:r>
      <w:r w:rsidRPr="00D0306F">
        <w:rPr>
          <w:b/>
          <w:bCs/>
        </w:rPr>
        <w:t xml:space="preserve"> </w:t>
      </w:r>
    </w:p>
    <w:p w14:paraId="76AB3B31" w14:textId="77777777" w:rsidR="00477B14" w:rsidRPr="00477B14" w:rsidRDefault="00477B14" w:rsidP="00E232AA">
      <w:pPr>
        <w:keepNext/>
        <w:contextualSpacing/>
        <w:outlineLvl w:val="2"/>
        <w:rPr>
          <w:rFonts w:eastAsia="Calibri" w:cs="Arial"/>
          <w:kern w:val="0"/>
          <w14:ligatures w14:val="none"/>
        </w:rPr>
      </w:pPr>
    </w:p>
    <w:p w14:paraId="220ACC8D" w14:textId="77777777" w:rsidR="00477B14" w:rsidRPr="00477B14" w:rsidRDefault="00477B14" w:rsidP="00E232AA">
      <w:pPr>
        <w:contextualSpacing/>
        <w:rPr>
          <w:rFonts w:eastAsia="Aptos" w:cs="Arial"/>
        </w:rPr>
      </w:pPr>
      <w:r w:rsidRPr="00477B14">
        <w:rPr>
          <w:rFonts w:eastAsia="Aptos" w:cs="Arial"/>
        </w:rPr>
        <w:t>Breastfeeding is important for the health and development of infants and their mothers and is linked to the prevention of major health inequalities. The provision of human milk is the most accessible and cost-effective activity available to public health which is known to prevent a range of infectious and non-communicable diseases, specifically gastroenteritis, childhood obesity, diabetes type 2 and maternal breast cancer.</w:t>
      </w:r>
    </w:p>
    <w:p w14:paraId="1355F98B" w14:textId="77777777" w:rsidR="00477B14" w:rsidRPr="00477B14" w:rsidRDefault="00477B14" w:rsidP="00E232AA">
      <w:pPr>
        <w:contextualSpacing/>
        <w:rPr>
          <w:rFonts w:eastAsia="Aptos" w:cs="Arial"/>
        </w:rPr>
      </w:pPr>
    </w:p>
    <w:p w14:paraId="64530570" w14:textId="77777777" w:rsidR="00477B14" w:rsidRPr="00477B14" w:rsidRDefault="00477B14" w:rsidP="00E232AA">
      <w:pPr>
        <w:contextualSpacing/>
        <w:rPr>
          <w:rFonts w:eastAsia="Aptos" w:cs="Arial"/>
        </w:rPr>
      </w:pPr>
      <w:r w:rsidRPr="00477B14">
        <w:rPr>
          <w:rFonts w:eastAsia="Aptos" w:cs="Arial"/>
        </w:rPr>
        <w:t>Every child in Wales should receive the best start in life (Wellbeing of Future Generation’s act 2015)</w:t>
      </w:r>
      <w:r w:rsidRPr="00477B14">
        <w:rPr>
          <w:rFonts w:eastAsia="Aptos" w:cs="Arial"/>
          <w:vertAlign w:val="superscript"/>
        </w:rPr>
        <w:footnoteReference w:id="175"/>
      </w:r>
      <w:r w:rsidRPr="00477B14">
        <w:rPr>
          <w:rFonts w:eastAsia="Aptos" w:cs="Arial"/>
        </w:rPr>
        <w:t xml:space="preserve">, and breastfeeding can enhance this start. However, breastfeeding may not be every woman’s choice. Therefore, it is essential all families have access to sufficient evidence-based information to make an informed choice and subsequently supported in whatever choice they make. </w:t>
      </w:r>
    </w:p>
    <w:p w14:paraId="60047F83" w14:textId="77777777" w:rsidR="00477B14" w:rsidRPr="00477B14" w:rsidRDefault="00477B14" w:rsidP="00E232AA">
      <w:pPr>
        <w:contextualSpacing/>
        <w:rPr>
          <w:rFonts w:eastAsia="Aptos" w:cs="Arial"/>
        </w:rPr>
      </w:pPr>
    </w:p>
    <w:p w14:paraId="279CBF06" w14:textId="77777777" w:rsidR="00477B14" w:rsidRPr="00477B14" w:rsidRDefault="00477B14" w:rsidP="00E232AA">
      <w:pPr>
        <w:contextualSpacing/>
        <w:rPr>
          <w:rFonts w:eastAsia="Aptos" w:cs="Arial"/>
        </w:rPr>
      </w:pPr>
      <w:r w:rsidRPr="00477B14">
        <w:rPr>
          <w:rFonts w:eastAsia="Aptos" w:cs="Arial"/>
        </w:rPr>
        <w:t>Breastfeeding data for Wales for 2024</w:t>
      </w:r>
      <w:r w:rsidRPr="00477B14">
        <w:rPr>
          <w:rFonts w:eastAsia="Aptos" w:cs="Arial"/>
          <w:vertAlign w:val="superscript"/>
        </w:rPr>
        <w:footnoteReference w:id="176"/>
      </w:r>
      <w:r w:rsidRPr="00477B14">
        <w:rPr>
          <w:rFonts w:eastAsia="Aptos" w:cs="Arial"/>
        </w:rPr>
        <w:t xml:space="preserve"> is based on a mother’s intention to breastfeed prior to birth, therefore data is based on mothers who delivered in 2024 rather than children born in 2024. </w:t>
      </w:r>
    </w:p>
    <w:p w14:paraId="43591B60" w14:textId="77777777" w:rsidR="00477B14" w:rsidRPr="00477B14" w:rsidRDefault="00477B14" w:rsidP="00E232AA">
      <w:pPr>
        <w:contextualSpacing/>
        <w:rPr>
          <w:rFonts w:eastAsia="Aptos" w:cs="Arial"/>
        </w:rPr>
      </w:pPr>
    </w:p>
    <w:p w14:paraId="4C7C15AE" w14:textId="77777777" w:rsidR="00477B14" w:rsidRPr="00477B14" w:rsidRDefault="00477B14" w:rsidP="00B76905">
      <w:pPr>
        <w:numPr>
          <w:ilvl w:val="0"/>
          <w:numId w:val="80"/>
        </w:numPr>
        <w:contextualSpacing/>
        <w:rPr>
          <w:rFonts w:eastAsia="Aptos" w:cs="Arial"/>
          <w:lang w:eastAsia="en-GB"/>
        </w:rPr>
      </w:pPr>
      <w:r w:rsidRPr="00477B14">
        <w:rPr>
          <w:rFonts w:eastAsia="Aptos" w:cs="Arial"/>
          <w:lang w:eastAsia="en-GB"/>
        </w:rPr>
        <w:t>65% of all mothers in Wales intended to breastfeed prior to giving birth. This percentage has remained broadly stable, however in the latest year it had decreased by 1.0% when compared to the previous year but increased by 1.7% when compared to five years ago.</w:t>
      </w:r>
    </w:p>
    <w:p w14:paraId="4F588BF4" w14:textId="77777777" w:rsidR="00477B14" w:rsidRPr="00477B14" w:rsidRDefault="00477B14" w:rsidP="00B76905">
      <w:pPr>
        <w:numPr>
          <w:ilvl w:val="0"/>
          <w:numId w:val="80"/>
        </w:numPr>
        <w:contextualSpacing/>
        <w:rPr>
          <w:rFonts w:eastAsia="Aptos" w:cs="Arial"/>
          <w:lang w:eastAsia="en-GB"/>
        </w:rPr>
      </w:pPr>
      <w:r w:rsidRPr="00477B14">
        <w:rPr>
          <w:rFonts w:eastAsia="Aptos" w:cs="Arial"/>
          <w:lang w:eastAsia="en-GB"/>
        </w:rPr>
        <w:t>61% of mothers who gave birth to multiple children (twins, triplets or quadruplets) intended to breastfeed. This is 1.9% lower than the previous year and 3.1% higher than the rate five years ago.</w:t>
      </w:r>
    </w:p>
    <w:p w14:paraId="12FDDE05" w14:textId="77777777" w:rsidR="00477B14" w:rsidRPr="00477B14" w:rsidRDefault="00477B14" w:rsidP="00B76905">
      <w:pPr>
        <w:numPr>
          <w:ilvl w:val="0"/>
          <w:numId w:val="80"/>
        </w:numPr>
        <w:contextualSpacing/>
        <w:rPr>
          <w:rFonts w:eastAsia="Aptos" w:cs="Arial"/>
          <w:lang w:eastAsia="en-GB"/>
        </w:rPr>
      </w:pPr>
      <w:r w:rsidRPr="00477B14">
        <w:rPr>
          <w:rFonts w:eastAsia="Aptos" w:cs="Arial"/>
          <w:lang w:eastAsia="en-GB"/>
        </w:rPr>
        <w:t>64% of babies were breastfed at birth. The percentage has been on an upward trend and is 2.2% higher than five years. But also decreased in the latest year as it was 1.2% lower compared to 2023.</w:t>
      </w:r>
    </w:p>
    <w:p w14:paraId="303B1925" w14:textId="77777777" w:rsidR="00477B14" w:rsidRPr="00477B14" w:rsidRDefault="00477B14" w:rsidP="00B76905">
      <w:pPr>
        <w:numPr>
          <w:ilvl w:val="0"/>
          <w:numId w:val="80"/>
        </w:numPr>
        <w:contextualSpacing/>
        <w:rPr>
          <w:rFonts w:eastAsia="Aptos" w:cs="Arial"/>
          <w:lang w:eastAsia="en-GB"/>
        </w:rPr>
      </w:pPr>
      <w:r w:rsidRPr="00477B14">
        <w:rPr>
          <w:rFonts w:eastAsia="Aptos" w:cs="Arial"/>
          <w:lang w:eastAsia="en-GB"/>
        </w:rPr>
        <w:t>57% of babies were breastfed at ten days. The percentage has been on an upward trend and is 8.3% higher than five years ago and 1.9% higher than 2023.</w:t>
      </w:r>
    </w:p>
    <w:p w14:paraId="6640642D" w14:textId="77777777" w:rsidR="00477B14" w:rsidRPr="00477B14" w:rsidRDefault="00477B14" w:rsidP="00B76905">
      <w:pPr>
        <w:numPr>
          <w:ilvl w:val="0"/>
          <w:numId w:val="80"/>
        </w:numPr>
        <w:contextualSpacing/>
        <w:rPr>
          <w:rFonts w:eastAsia="Aptos" w:cs="Arial"/>
          <w:lang w:eastAsia="en-GB"/>
        </w:rPr>
      </w:pPr>
      <w:r w:rsidRPr="00477B14">
        <w:rPr>
          <w:rFonts w:eastAsia="Aptos" w:cs="Arial"/>
          <w:lang w:eastAsia="en-GB"/>
        </w:rPr>
        <w:lastRenderedPageBreak/>
        <w:t>44% of babies were breastfed at six weeks. The percentage has been on an upward trend and is also 9.8% higher than five years ago and 3.4% higher than 2023.</w:t>
      </w:r>
    </w:p>
    <w:p w14:paraId="4F4FF3FB" w14:textId="77777777" w:rsidR="00477B14" w:rsidRPr="00477B14" w:rsidRDefault="00477B14" w:rsidP="00B76905">
      <w:pPr>
        <w:numPr>
          <w:ilvl w:val="0"/>
          <w:numId w:val="80"/>
        </w:numPr>
        <w:contextualSpacing/>
        <w:rPr>
          <w:rFonts w:eastAsia="Aptos" w:cs="Arial"/>
          <w:lang w:eastAsia="en-GB"/>
        </w:rPr>
      </w:pPr>
      <w:r w:rsidRPr="00477B14">
        <w:rPr>
          <w:rFonts w:eastAsia="Aptos" w:cs="Arial"/>
          <w:lang w:eastAsia="en-GB"/>
        </w:rPr>
        <w:t>32% of babies were breastfed at six months. The percentage has been on an upward trend and is also 10% higher than five years ago and 3.8% higher than 2023.</w:t>
      </w:r>
    </w:p>
    <w:p w14:paraId="494FB1A9" w14:textId="77777777" w:rsidR="00477B14" w:rsidRPr="00477B14" w:rsidRDefault="00477B14" w:rsidP="00E232AA">
      <w:pPr>
        <w:ind w:left="360"/>
        <w:contextualSpacing/>
        <w:rPr>
          <w:rFonts w:eastAsia="Aptos" w:cs="Arial"/>
          <w:lang w:eastAsia="en-GB"/>
        </w:rPr>
      </w:pPr>
    </w:p>
    <w:p w14:paraId="115F7332" w14:textId="77777777" w:rsidR="00477B14" w:rsidRPr="00477B14" w:rsidRDefault="00477B14" w:rsidP="00E232AA">
      <w:pPr>
        <w:contextualSpacing/>
        <w:rPr>
          <w:rFonts w:eastAsia="Aptos" w:cs="Arial"/>
        </w:rPr>
      </w:pPr>
      <w:r w:rsidRPr="00477B14">
        <w:rPr>
          <w:rFonts w:eastAsia="Aptos" w:cs="Arial"/>
        </w:rPr>
        <w:t>Mothers in the most deprived areas were less likely to breastfeed than those in the least deprived areas. 52% of mothers in the most deprived areas in 2024 breastfed at birth compared with 75% of mothers in the least deprived areas in 2024.</w:t>
      </w:r>
    </w:p>
    <w:p w14:paraId="15D2EDA1" w14:textId="77777777" w:rsidR="00477B14" w:rsidRPr="00477B14" w:rsidRDefault="00477B14" w:rsidP="00E232AA">
      <w:pPr>
        <w:contextualSpacing/>
        <w:rPr>
          <w:rFonts w:eastAsia="Aptos" w:cs="Arial"/>
        </w:rPr>
      </w:pPr>
      <w:r w:rsidRPr="00477B14">
        <w:rPr>
          <w:rFonts w:eastAsia="Aptos" w:cs="Arial"/>
        </w:rPr>
        <w:t>Breastfeeding rates at birth within each quintile of deprivation have remained relatively stable since 2019. However there has been an increase of over 3% in breastfeeding rates at birth in the most deprived areas from 49% in 2019 to 52% in 2024. There was an increase of 0.7% over the same time period for those in the least deprived areas.</w:t>
      </w:r>
    </w:p>
    <w:p w14:paraId="57F2F042" w14:textId="77777777" w:rsidR="00477B14" w:rsidRPr="00477B14" w:rsidRDefault="00477B14" w:rsidP="00E232AA">
      <w:pPr>
        <w:keepNext/>
        <w:contextualSpacing/>
        <w:outlineLvl w:val="2"/>
        <w:rPr>
          <w:rFonts w:eastAsia="Calibri" w:cs="Arial"/>
          <w:kern w:val="0"/>
          <w14:ligatures w14:val="none"/>
        </w:rPr>
      </w:pPr>
    </w:p>
    <w:p w14:paraId="1DF80BB7" w14:textId="77777777" w:rsidR="00477B14" w:rsidRPr="00D0306F" w:rsidRDefault="00477B14" w:rsidP="00E15BF3">
      <w:r w:rsidRPr="00D0306F">
        <w:t>NB Percentages do not included data for Aneurin Bevan University Health Board.</w:t>
      </w:r>
    </w:p>
    <w:p w14:paraId="4FE628FF" w14:textId="77777777" w:rsidR="00477B14" w:rsidRPr="00477B14" w:rsidRDefault="00477B14" w:rsidP="00E232AA">
      <w:pPr>
        <w:keepNext/>
        <w:contextualSpacing/>
        <w:outlineLvl w:val="2"/>
        <w:rPr>
          <w:rFonts w:eastAsia="Calibri" w:cs="Arial"/>
          <w:b/>
          <w:bCs/>
          <w:kern w:val="0"/>
          <w14:ligatures w14:val="none"/>
        </w:rPr>
      </w:pPr>
    </w:p>
    <w:p w14:paraId="4BBF9D58" w14:textId="77777777" w:rsidR="00477B14" w:rsidRPr="00D0306F" w:rsidRDefault="00477B14" w:rsidP="00E15BF3">
      <w:pPr>
        <w:rPr>
          <w:b/>
          <w:bCs/>
        </w:rPr>
      </w:pPr>
      <w:r w:rsidRPr="00D0306F">
        <w:rPr>
          <w:b/>
          <w:bCs/>
        </w:rPr>
        <w:t>4.3.6 General health needs</w:t>
      </w:r>
    </w:p>
    <w:p w14:paraId="11042997" w14:textId="77777777" w:rsidR="00477B14" w:rsidRPr="00477B14" w:rsidRDefault="00477B14" w:rsidP="00E232AA">
      <w:pPr>
        <w:contextualSpacing/>
        <w:rPr>
          <w:rFonts w:eastAsia="MS Mincho" w:cs="Arial"/>
          <w:kern w:val="0"/>
          <w:lang w:eastAsia="en-GB"/>
          <w14:ligatures w14:val="none"/>
        </w:rPr>
      </w:pPr>
    </w:p>
    <w:p w14:paraId="67BC398E" w14:textId="77777777" w:rsidR="00477B14" w:rsidRPr="00D0306F" w:rsidRDefault="00477B14" w:rsidP="00E232AA">
      <w:pPr>
        <w:contextualSpacing/>
        <w:rPr>
          <w:rFonts w:eastAsia="MS Mincho" w:cs="Arial"/>
          <w:kern w:val="0"/>
          <w:lang w:eastAsia="en-GB"/>
          <w14:ligatures w14:val="none"/>
        </w:rPr>
      </w:pPr>
      <w:r w:rsidRPr="00477B14">
        <w:rPr>
          <w:rFonts w:eastAsia="MS Mincho" w:cs="Arial"/>
          <w:kern w:val="0"/>
          <w:lang w:eastAsia="en-GB"/>
          <w14:ligatures w14:val="none"/>
        </w:rPr>
        <w:t>There are many common health problems that are associated with pregnancy. Some of the more common ones are:</w:t>
      </w:r>
    </w:p>
    <w:p w14:paraId="438169CC" w14:textId="77777777" w:rsidR="005D0420" w:rsidRPr="00477B14" w:rsidRDefault="005D0420" w:rsidP="00E232AA">
      <w:pPr>
        <w:contextualSpacing/>
        <w:rPr>
          <w:rFonts w:eastAsia="MS Mincho" w:cs="Arial"/>
          <w:kern w:val="0"/>
          <w:lang w:eastAsia="en-GB"/>
          <w14:ligatures w14:val="none"/>
        </w:rPr>
      </w:pPr>
    </w:p>
    <w:p w14:paraId="1B45450A" w14:textId="77777777" w:rsidR="005D0420" w:rsidRPr="00D0306F" w:rsidRDefault="005D0420" w:rsidP="00B76905">
      <w:pPr>
        <w:numPr>
          <w:ilvl w:val="0"/>
          <w:numId w:val="81"/>
        </w:numPr>
        <w:contextualSpacing/>
        <w:rPr>
          <w:rFonts w:eastAsia="Aptos" w:cs="Arial"/>
          <w:lang w:eastAsia="en-GB"/>
        </w:rPr>
        <w:sectPr w:rsidR="005D0420" w:rsidRPr="00D0306F" w:rsidSect="006341BE">
          <w:type w:val="continuous"/>
          <w:pgSz w:w="11906" w:h="16838"/>
          <w:pgMar w:top="1440" w:right="1440" w:bottom="1440" w:left="1440" w:header="708" w:footer="708" w:gutter="0"/>
          <w:cols w:space="708"/>
          <w:titlePg/>
          <w:docGrid w:linePitch="360"/>
        </w:sectPr>
      </w:pPr>
    </w:p>
    <w:p w14:paraId="3098B2DF" w14:textId="77777777" w:rsidR="00477B14" w:rsidRPr="00477B14" w:rsidRDefault="00477B14" w:rsidP="00B76905">
      <w:pPr>
        <w:numPr>
          <w:ilvl w:val="0"/>
          <w:numId w:val="81"/>
        </w:numPr>
        <w:contextualSpacing/>
        <w:rPr>
          <w:rFonts w:eastAsia="Aptos" w:cs="Arial"/>
          <w:lang w:eastAsia="en-GB"/>
        </w:rPr>
      </w:pPr>
      <w:r w:rsidRPr="00477B14">
        <w:rPr>
          <w:rFonts w:eastAsia="Aptos" w:cs="Arial"/>
          <w:lang w:eastAsia="en-GB"/>
        </w:rPr>
        <w:t>Frequent urination</w:t>
      </w:r>
    </w:p>
    <w:p w14:paraId="6D12D646" w14:textId="77777777" w:rsidR="00477B14" w:rsidRPr="00477B14" w:rsidRDefault="00477B14" w:rsidP="00B76905">
      <w:pPr>
        <w:numPr>
          <w:ilvl w:val="0"/>
          <w:numId w:val="81"/>
        </w:numPr>
        <w:contextualSpacing/>
        <w:rPr>
          <w:rFonts w:eastAsia="Aptos" w:cs="Arial"/>
          <w:lang w:eastAsia="en-GB"/>
        </w:rPr>
      </w:pPr>
      <w:r w:rsidRPr="00477B14">
        <w:rPr>
          <w:rFonts w:eastAsia="Aptos" w:cs="Arial"/>
          <w:lang w:eastAsia="en-GB"/>
        </w:rPr>
        <w:t>Pelvic pain</w:t>
      </w:r>
    </w:p>
    <w:p w14:paraId="06B31D4A" w14:textId="77777777" w:rsidR="00477B14" w:rsidRPr="00477B14" w:rsidRDefault="00477B14" w:rsidP="00B76905">
      <w:pPr>
        <w:numPr>
          <w:ilvl w:val="0"/>
          <w:numId w:val="81"/>
        </w:numPr>
        <w:contextualSpacing/>
        <w:rPr>
          <w:rFonts w:eastAsia="Aptos" w:cs="Arial"/>
          <w:lang w:eastAsia="en-GB"/>
        </w:rPr>
      </w:pPr>
      <w:r w:rsidRPr="00477B14">
        <w:rPr>
          <w:rFonts w:eastAsia="Aptos" w:cs="Arial"/>
          <w:lang w:eastAsia="en-GB"/>
        </w:rPr>
        <w:t>Piles (haemorrhoids)</w:t>
      </w:r>
    </w:p>
    <w:p w14:paraId="20775C0D" w14:textId="77777777" w:rsidR="00477B14" w:rsidRPr="00477B14" w:rsidRDefault="00477B14" w:rsidP="00B76905">
      <w:pPr>
        <w:numPr>
          <w:ilvl w:val="0"/>
          <w:numId w:val="81"/>
        </w:numPr>
        <w:contextualSpacing/>
        <w:rPr>
          <w:rFonts w:eastAsia="Aptos" w:cs="Arial"/>
          <w:lang w:eastAsia="en-GB"/>
        </w:rPr>
      </w:pPr>
      <w:r w:rsidRPr="00477B14">
        <w:rPr>
          <w:rFonts w:eastAsia="Aptos" w:cs="Arial"/>
          <w:lang w:eastAsia="en-GB"/>
        </w:rPr>
        <w:t>Skin and hair changes</w:t>
      </w:r>
    </w:p>
    <w:p w14:paraId="1E133318" w14:textId="77777777" w:rsidR="00477B14" w:rsidRPr="00477B14" w:rsidRDefault="00477B14" w:rsidP="00B76905">
      <w:pPr>
        <w:numPr>
          <w:ilvl w:val="0"/>
          <w:numId w:val="81"/>
        </w:numPr>
        <w:contextualSpacing/>
        <w:rPr>
          <w:rFonts w:eastAsia="Aptos" w:cs="Arial"/>
          <w:lang w:eastAsia="en-GB"/>
        </w:rPr>
      </w:pPr>
      <w:r w:rsidRPr="00477B14">
        <w:rPr>
          <w:rFonts w:eastAsia="Aptos" w:cs="Arial"/>
          <w:lang w:eastAsia="en-GB"/>
        </w:rPr>
        <w:t>Sleeplessness</w:t>
      </w:r>
    </w:p>
    <w:p w14:paraId="619BE76C" w14:textId="77777777" w:rsidR="00477B14" w:rsidRPr="00477B14" w:rsidRDefault="00477B14" w:rsidP="00B76905">
      <w:pPr>
        <w:numPr>
          <w:ilvl w:val="0"/>
          <w:numId w:val="81"/>
        </w:numPr>
        <w:contextualSpacing/>
        <w:rPr>
          <w:rFonts w:eastAsia="Aptos" w:cs="Arial"/>
          <w:lang w:eastAsia="en-GB"/>
        </w:rPr>
      </w:pPr>
      <w:r w:rsidRPr="00477B14">
        <w:rPr>
          <w:rFonts w:eastAsia="Aptos" w:cs="Arial"/>
          <w:lang w:eastAsia="en-GB"/>
        </w:rPr>
        <w:t>Stretch marks</w:t>
      </w:r>
    </w:p>
    <w:p w14:paraId="350A13EB" w14:textId="77777777" w:rsidR="00477B14" w:rsidRPr="00477B14" w:rsidRDefault="00477B14" w:rsidP="00B76905">
      <w:pPr>
        <w:numPr>
          <w:ilvl w:val="0"/>
          <w:numId w:val="81"/>
        </w:numPr>
        <w:contextualSpacing/>
        <w:rPr>
          <w:rFonts w:eastAsia="Aptos" w:cs="Arial"/>
          <w:lang w:eastAsia="en-GB"/>
        </w:rPr>
      </w:pPr>
      <w:r w:rsidRPr="00477B14">
        <w:rPr>
          <w:rFonts w:eastAsia="Aptos" w:cs="Arial"/>
          <w:lang w:eastAsia="en-GB"/>
        </w:rPr>
        <w:t>Swollen ankles, feet, fingers</w:t>
      </w:r>
    </w:p>
    <w:p w14:paraId="5EAAF79C" w14:textId="77777777" w:rsidR="00477B14" w:rsidRPr="00477B14" w:rsidRDefault="00477B14" w:rsidP="00B76905">
      <w:pPr>
        <w:numPr>
          <w:ilvl w:val="0"/>
          <w:numId w:val="81"/>
        </w:numPr>
        <w:contextualSpacing/>
        <w:rPr>
          <w:rFonts w:eastAsia="Aptos" w:cs="Arial"/>
          <w:lang w:eastAsia="en-GB"/>
        </w:rPr>
      </w:pPr>
      <w:r w:rsidRPr="00477B14">
        <w:rPr>
          <w:rFonts w:eastAsia="Aptos" w:cs="Arial"/>
          <w:lang w:eastAsia="en-GB"/>
        </w:rPr>
        <w:t>Swollen and sore gums, which may bleed</w:t>
      </w:r>
    </w:p>
    <w:p w14:paraId="5FEA0252" w14:textId="77777777" w:rsidR="00477B14" w:rsidRPr="00477B14" w:rsidRDefault="00477B14" w:rsidP="00B76905">
      <w:pPr>
        <w:numPr>
          <w:ilvl w:val="0"/>
          <w:numId w:val="81"/>
        </w:numPr>
        <w:contextualSpacing/>
        <w:rPr>
          <w:rFonts w:eastAsia="Aptos" w:cs="Arial"/>
          <w:lang w:eastAsia="en-GB"/>
        </w:rPr>
      </w:pPr>
      <w:r w:rsidRPr="00477B14">
        <w:rPr>
          <w:rFonts w:eastAsia="Aptos" w:cs="Arial"/>
          <w:lang w:eastAsia="en-GB"/>
        </w:rPr>
        <w:t>Tiredness</w:t>
      </w:r>
    </w:p>
    <w:p w14:paraId="2F67FE26" w14:textId="77777777" w:rsidR="00477B14" w:rsidRPr="00477B14" w:rsidRDefault="00477B14" w:rsidP="00B76905">
      <w:pPr>
        <w:numPr>
          <w:ilvl w:val="0"/>
          <w:numId w:val="81"/>
        </w:numPr>
        <w:contextualSpacing/>
        <w:rPr>
          <w:rFonts w:eastAsia="Aptos" w:cs="Arial"/>
          <w:lang w:eastAsia="en-GB"/>
        </w:rPr>
      </w:pPr>
      <w:r w:rsidRPr="00477B14">
        <w:rPr>
          <w:rFonts w:eastAsia="Aptos" w:cs="Arial"/>
          <w:lang w:eastAsia="en-GB"/>
        </w:rPr>
        <w:t>Vaginal discharge</w:t>
      </w:r>
    </w:p>
    <w:p w14:paraId="438DC308" w14:textId="77777777" w:rsidR="00477B14" w:rsidRPr="00477B14" w:rsidRDefault="00477B14" w:rsidP="00B76905">
      <w:pPr>
        <w:numPr>
          <w:ilvl w:val="0"/>
          <w:numId w:val="81"/>
        </w:numPr>
        <w:contextualSpacing/>
        <w:rPr>
          <w:rFonts w:eastAsia="MS Mincho" w:cs="Arial"/>
          <w:lang w:eastAsia="en-GB"/>
        </w:rPr>
      </w:pPr>
      <w:r w:rsidRPr="00477B14">
        <w:rPr>
          <w:rFonts w:eastAsia="Aptos" w:cs="Arial"/>
          <w:lang w:eastAsia="en-GB"/>
        </w:rPr>
        <w:t>Vaginal bleeding</w:t>
      </w:r>
    </w:p>
    <w:p w14:paraId="307FF1D5" w14:textId="77777777" w:rsidR="00477B14" w:rsidRPr="00477B14" w:rsidRDefault="00477B14" w:rsidP="00B76905">
      <w:pPr>
        <w:numPr>
          <w:ilvl w:val="0"/>
          <w:numId w:val="81"/>
        </w:numPr>
        <w:contextualSpacing/>
        <w:rPr>
          <w:rFonts w:eastAsia="MS Mincho" w:cs="Arial"/>
          <w:lang w:eastAsia="en-GB"/>
        </w:rPr>
      </w:pPr>
      <w:r w:rsidRPr="00477B14">
        <w:rPr>
          <w:rFonts w:eastAsia="Aptos" w:cs="Arial"/>
          <w:lang w:eastAsia="en-GB"/>
        </w:rPr>
        <w:t>Varicose veins.</w:t>
      </w:r>
    </w:p>
    <w:p w14:paraId="4B764648" w14:textId="77777777" w:rsidR="005D0420" w:rsidRPr="00D0306F" w:rsidRDefault="005D0420" w:rsidP="00E232AA">
      <w:pPr>
        <w:ind w:left="357"/>
        <w:rPr>
          <w:rFonts w:eastAsia="Aptos" w:cs="Arial"/>
          <w:b/>
          <w:bCs/>
        </w:rPr>
        <w:sectPr w:rsidR="005D0420" w:rsidRPr="00D0306F" w:rsidSect="005D0420">
          <w:type w:val="continuous"/>
          <w:pgSz w:w="11906" w:h="16838"/>
          <w:pgMar w:top="1440" w:right="1440" w:bottom="1440" w:left="1440" w:header="708" w:footer="708" w:gutter="0"/>
          <w:cols w:num="2" w:space="708"/>
          <w:titlePg/>
          <w:docGrid w:linePitch="360"/>
        </w:sectPr>
      </w:pPr>
    </w:p>
    <w:p w14:paraId="77992448" w14:textId="77777777" w:rsidR="00477B14" w:rsidRPr="00477B14" w:rsidRDefault="00477B14" w:rsidP="00E232AA">
      <w:pPr>
        <w:ind w:left="357"/>
        <w:rPr>
          <w:rFonts w:eastAsia="Aptos" w:cs="Arial"/>
          <w:b/>
          <w:bCs/>
        </w:rPr>
      </w:pPr>
    </w:p>
    <w:p w14:paraId="4911CC73" w14:textId="77777777" w:rsidR="00477B14" w:rsidRPr="00D0306F" w:rsidRDefault="00477B14" w:rsidP="00E15BF3">
      <w:pPr>
        <w:rPr>
          <w:b/>
          <w:bCs/>
          <w:sz w:val="26"/>
          <w:szCs w:val="26"/>
        </w:rPr>
      </w:pPr>
      <w:r w:rsidRPr="00D0306F">
        <w:rPr>
          <w:b/>
          <w:bCs/>
          <w:sz w:val="26"/>
          <w:szCs w:val="26"/>
        </w:rPr>
        <w:t>4.4 Race</w:t>
      </w:r>
    </w:p>
    <w:p w14:paraId="4ADD4001" w14:textId="77777777" w:rsidR="00477B14" w:rsidRPr="00477B14" w:rsidRDefault="00477B14" w:rsidP="00E232AA">
      <w:pPr>
        <w:contextualSpacing/>
        <w:rPr>
          <w:rFonts w:eastAsia="Aptos" w:cs="Arial"/>
        </w:rPr>
      </w:pPr>
    </w:p>
    <w:p w14:paraId="24ED333E" w14:textId="77777777" w:rsidR="00477B14" w:rsidRPr="00477B14" w:rsidRDefault="00477B14" w:rsidP="00E232AA">
      <w:pPr>
        <w:contextualSpacing/>
        <w:rPr>
          <w:rFonts w:eastAsia="Aptos" w:cs="Arial"/>
        </w:rPr>
      </w:pPr>
      <w:r w:rsidRPr="00477B14">
        <w:rPr>
          <w:rFonts w:eastAsia="Aptos" w:cs="Arial"/>
        </w:rPr>
        <w:t>Public Health Wales has found that ethnicity is an important issue because, as well as having specific needs relating to language and culture, persons from ethnic minority backgrounds are more likely to come from low-income families, suffer poorer living conditions and gain lower levels of educational qualifications.</w:t>
      </w:r>
    </w:p>
    <w:p w14:paraId="3AD392F0" w14:textId="77777777" w:rsidR="00477B14" w:rsidRPr="00477B14" w:rsidRDefault="00477B14" w:rsidP="00E232AA">
      <w:pPr>
        <w:contextualSpacing/>
        <w:rPr>
          <w:rFonts w:eastAsia="Aptos" w:cs="Arial"/>
        </w:rPr>
      </w:pPr>
    </w:p>
    <w:p w14:paraId="61B8CA9E" w14:textId="77777777" w:rsidR="00477B14" w:rsidRPr="00477B14" w:rsidRDefault="00477B14" w:rsidP="00E232AA">
      <w:pPr>
        <w:contextualSpacing/>
        <w:rPr>
          <w:rFonts w:eastAsia="Aptos" w:cs="Arial"/>
        </w:rPr>
      </w:pPr>
      <w:r w:rsidRPr="00477B14">
        <w:rPr>
          <w:rFonts w:eastAsia="Aptos" w:cs="Arial"/>
        </w:rPr>
        <w:t>In addition, certain ethnic groups have higher rates of some health conditions. For example, South Asian and Caribbean-descended populations have a substantially higher risk of diabetes, Bangladeshi-descended populations are more likely to avoid alcohol but to smoke, and sickle cell anaemia is an inherited blood disorder which mainly affects people of African or Caribbean origin.</w:t>
      </w:r>
    </w:p>
    <w:p w14:paraId="0941E98A" w14:textId="77777777" w:rsidR="00477B14" w:rsidRPr="00477B14" w:rsidRDefault="00477B14" w:rsidP="00E232AA">
      <w:pPr>
        <w:contextualSpacing/>
        <w:rPr>
          <w:rFonts w:eastAsia="Calibri" w:cs="Arial"/>
          <w:kern w:val="0"/>
          <w14:ligatures w14:val="none"/>
        </w:rPr>
      </w:pPr>
    </w:p>
    <w:p w14:paraId="40A91A51" w14:textId="77777777" w:rsidR="00477B14" w:rsidRPr="00477B14" w:rsidRDefault="00477B14" w:rsidP="00E232AA">
      <w:pPr>
        <w:contextualSpacing/>
        <w:rPr>
          <w:rFonts w:eastAsia="Calibri" w:cs="Arial"/>
          <w:kern w:val="0"/>
          <w14:ligatures w14:val="none"/>
        </w:rPr>
      </w:pPr>
      <w:r w:rsidRPr="00477B14">
        <w:rPr>
          <w:rFonts w:eastAsia="Calibri" w:cs="Arial"/>
          <w:kern w:val="0"/>
          <w14:ligatures w14:val="none"/>
        </w:rPr>
        <w:t xml:space="preserve">Ethnic differences in health are most marked in the areas of mental wellbeing, cancer, heart disease, human immunodeficiency virus, tuberculosis and diabetes. </w:t>
      </w:r>
    </w:p>
    <w:p w14:paraId="32635E55" w14:textId="77777777" w:rsidR="00477B14" w:rsidRPr="00477B14" w:rsidRDefault="00477B14" w:rsidP="00E232AA">
      <w:pPr>
        <w:contextualSpacing/>
        <w:rPr>
          <w:rFonts w:eastAsia="Calibri" w:cs="Arial"/>
          <w:kern w:val="0"/>
          <w14:ligatures w14:val="none"/>
        </w:rPr>
      </w:pPr>
    </w:p>
    <w:p w14:paraId="2926B29B" w14:textId="77777777" w:rsidR="00477B14" w:rsidRPr="00477B14" w:rsidRDefault="00477B14" w:rsidP="00E232AA">
      <w:pPr>
        <w:contextualSpacing/>
        <w:rPr>
          <w:rFonts w:eastAsia="Times New Roman" w:cs="Arial"/>
          <w:kern w:val="0"/>
          <w:shd w:val="clear" w:color="auto" w:fill="FFFFFF"/>
          <w:lang w:eastAsia="en-GB"/>
          <w14:ligatures w14:val="none"/>
        </w:rPr>
      </w:pPr>
      <w:r w:rsidRPr="00477B14">
        <w:rPr>
          <w:rFonts w:eastAsia="Times New Roman" w:cs="Arial"/>
          <w:kern w:val="0"/>
          <w:shd w:val="clear" w:color="auto" w:fill="FFFFFF"/>
          <w:lang w:eastAsia="en-GB"/>
          <w14:ligatures w14:val="none"/>
        </w:rPr>
        <w:t>An increase in the number of older black and minority ethnic people is likely to lead to a greater need for provision of culturally sensitive social care and palliative care.</w:t>
      </w:r>
    </w:p>
    <w:p w14:paraId="4C9EA1F9" w14:textId="77777777" w:rsidR="00477B14" w:rsidRPr="00477B14" w:rsidRDefault="00477B14" w:rsidP="00E232AA">
      <w:pPr>
        <w:contextualSpacing/>
        <w:rPr>
          <w:rFonts w:eastAsia="Times New Roman" w:cs="Arial"/>
          <w:kern w:val="0"/>
          <w:shd w:val="clear" w:color="auto" w:fill="FFFFFF"/>
          <w:lang w:eastAsia="en-GB"/>
          <w14:ligatures w14:val="none"/>
        </w:rPr>
      </w:pPr>
    </w:p>
    <w:p w14:paraId="7CB8BA1A" w14:textId="77777777" w:rsidR="00477B14" w:rsidRPr="00477B14" w:rsidRDefault="00477B14" w:rsidP="00E232AA">
      <w:pPr>
        <w:contextualSpacing/>
        <w:rPr>
          <w:rFonts w:eastAsia="Times New Roman" w:cs="Arial"/>
          <w:kern w:val="0"/>
          <w:shd w:val="clear" w:color="auto" w:fill="FFFFFF"/>
          <w:lang w:eastAsia="en-GB"/>
          <w14:ligatures w14:val="none"/>
        </w:rPr>
      </w:pPr>
      <w:r w:rsidRPr="00477B14">
        <w:rPr>
          <w:rFonts w:eastAsia="Times New Roman" w:cs="Arial"/>
          <w:kern w:val="0"/>
          <w:shd w:val="clear" w:color="auto" w:fill="FFFFFF"/>
          <w:lang w:eastAsia="en-GB"/>
          <w14:ligatures w14:val="none"/>
        </w:rPr>
        <w:t>Black and minority ethnic populations may face discrimination and harassment and may be possible targets for hate crime.</w:t>
      </w:r>
    </w:p>
    <w:p w14:paraId="55C85FD2" w14:textId="77777777" w:rsidR="00477B14" w:rsidRPr="00477B14" w:rsidRDefault="00477B14" w:rsidP="00E232AA">
      <w:pPr>
        <w:contextualSpacing/>
        <w:rPr>
          <w:rFonts w:eastAsia="Calibri" w:cs="Arial"/>
          <w:kern w:val="0"/>
          <w14:ligatures w14:val="none"/>
        </w:rPr>
      </w:pPr>
    </w:p>
    <w:p w14:paraId="0310D62E" w14:textId="77777777" w:rsidR="00477B14" w:rsidRPr="00477B14" w:rsidRDefault="00477B14" w:rsidP="00E232AA">
      <w:pPr>
        <w:contextualSpacing/>
        <w:rPr>
          <w:rFonts w:eastAsia="Aptos" w:cs="Arial"/>
          <w:lang w:eastAsia="en-GB"/>
        </w:rPr>
      </w:pPr>
      <w:r w:rsidRPr="00477B14">
        <w:rPr>
          <w:rFonts w:eastAsia="Aptos" w:cs="Arial"/>
          <w:lang w:eastAsia="en-GB"/>
        </w:rPr>
        <w:t>Although ethnic minority groups broadly experience the same range of illnesses and diseases as others, there is a tendency of some within ethnic minority groups to report worse health than the general population and evidence of increased prevalence of some specific life-threatening illnesses. </w:t>
      </w:r>
    </w:p>
    <w:p w14:paraId="37F562DA" w14:textId="77777777" w:rsidR="00477B14" w:rsidRPr="00477B14" w:rsidRDefault="00477B14" w:rsidP="00E232AA">
      <w:pPr>
        <w:contextualSpacing/>
        <w:rPr>
          <w:rFonts w:eastAsia="Aptos" w:cs="Arial"/>
          <w:lang w:eastAsia="en-GB"/>
        </w:rPr>
      </w:pPr>
    </w:p>
    <w:p w14:paraId="5BDE0B41" w14:textId="77777777" w:rsidR="00477B14" w:rsidRPr="00477B14" w:rsidRDefault="00477B14" w:rsidP="00E232AA">
      <w:pPr>
        <w:contextualSpacing/>
        <w:rPr>
          <w:rFonts w:eastAsia="Aptos" w:cs="Arial"/>
          <w:lang w:eastAsia="en-GB"/>
        </w:rPr>
      </w:pPr>
      <w:r w:rsidRPr="00477B14">
        <w:rPr>
          <w:rFonts w:eastAsia="Aptos" w:cs="Arial"/>
          <w:lang w:eastAsia="en-GB"/>
        </w:rPr>
        <w:t>A report by The King’s Fund</w:t>
      </w:r>
      <w:r w:rsidRPr="00477B14">
        <w:rPr>
          <w:rFonts w:eastAsia="Aptos" w:cs="Arial"/>
          <w:vertAlign w:val="superscript"/>
          <w:lang w:eastAsia="en-GB"/>
        </w:rPr>
        <w:footnoteReference w:id="177"/>
      </w:r>
      <w:r w:rsidRPr="00477B14">
        <w:rPr>
          <w:rFonts w:eastAsia="Aptos" w:cs="Arial"/>
          <w:lang w:eastAsia="en-GB"/>
        </w:rPr>
        <w:t xml:space="preserve"> examined ethnic differences in health outcomes, highlighted the variation across ethnic groups and health conditions, and considered what is needed to reduce health inequalities. </w:t>
      </w:r>
    </w:p>
    <w:p w14:paraId="7062A715" w14:textId="77777777" w:rsidR="00477B14" w:rsidRPr="00477B14" w:rsidRDefault="00477B14" w:rsidP="00E232AA">
      <w:pPr>
        <w:contextualSpacing/>
        <w:textAlignment w:val="baseline"/>
        <w:rPr>
          <w:rFonts w:eastAsia="Times New Roman" w:cs="Arial"/>
          <w:kern w:val="0"/>
          <w:lang w:eastAsia="en-GB"/>
          <w14:ligatures w14:val="none"/>
        </w:rPr>
      </w:pPr>
    </w:p>
    <w:p w14:paraId="13B0D51B" w14:textId="77777777" w:rsidR="00477B14" w:rsidRPr="00477B14" w:rsidRDefault="00477B14" w:rsidP="00B76905">
      <w:pPr>
        <w:numPr>
          <w:ilvl w:val="0"/>
          <w:numId w:val="82"/>
        </w:numPr>
        <w:contextualSpacing/>
        <w:rPr>
          <w:rFonts w:eastAsia="Aptos" w:cs="Arial"/>
          <w:lang w:eastAsia="en-GB"/>
        </w:rPr>
      </w:pPr>
      <w:r w:rsidRPr="00477B14">
        <w:rPr>
          <w:rFonts w:eastAsia="Aptos" w:cs="Arial"/>
          <w:lang w:eastAsia="en-GB"/>
        </w:rPr>
        <w:t xml:space="preserve">Before the Covid-19 pandemic, life expectancy at birth was higher among ethnic minority groups then the white and mixed groups. The headline figures however conceal significant differences between ethnic groups, for example: </w:t>
      </w:r>
    </w:p>
    <w:p w14:paraId="01EC25AF" w14:textId="77777777" w:rsidR="00477B14" w:rsidRPr="00477B14" w:rsidRDefault="00477B14" w:rsidP="00B76905">
      <w:pPr>
        <w:numPr>
          <w:ilvl w:val="1"/>
          <w:numId w:val="82"/>
        </w:numPr>
        <w:contextualSpacing/>
        <w:rPr>
          <w:rFonts w:eastAsia="Aptos" w:cs="Arial"/>
          <w:lang w:eastAsia="en-GB"/>
        </w:rPr>
      </w:pPr>
      <w:r w:rsidRPr="00477B14">
        <w:rPr>
          <w:rFonts w:eastAsia="Aptos" w:cs="Arial"/>
          <w:lang w:eastAsia="en-GB"/>
        </w:rPr>
        <w:t>people from White gypsy or Irish traveller, Bangladeshi and Pakistani communities have the poorest health outcomes across a range of indicators,</w:t>
      </w:r>
    </w:p>
    <w:p w14:paraId="5B6E58E1" w14:textId="77777777" w:rsidR="00477B14" w:rsidRPr="00477B14" w:rsidRDefault="00477B14" w:rsidP="00B76905">
      <w:pPr>
        <w:numPr>
          <w:ilvl w:val="1"/>
          <w:numId w:val="82"/>
        </w:numPr>
        <w:contextualSpacing/>
        <w:rPr>
          <w:rFonts w:eastAsia="Aptos" w:cs="Arial"/>
          <w:lang w:eastAsia="en-GB"/>
        </w:rPr>
      </w:pPr>
      <w:r w:rsidRPr="00477B14">
        <w:rPr>
          <w:rFonts w:eastAsia="Aptos" w:cs="Arial"/>
          <w:lang w:eastAsia="en-GB"/>
        </w:rPr>
        <w:t xml:space="preserve">rates of infant and maternal mortality, cardiovascular disease and diabetes are higher among Black and South Asian groups, and </w:t>
      </w:r>
    </w:p>
    <w:p w14:paraId="33549352" w14:textId="77777777" w:rsidR="00477B14" w:rsidRPr="00477B14" w:rsidRDefault="00477B14" w:rsidP="00B76905">
      <w:pPr>
        <w:numPr>
          <w:ilvl w:val="1"/>
          <w:numId w:val="82"/>
        </w:numPr>
        <w:contextualSpacing/>
        <w:rPr>
          <w:rFonts w:eastAsia="Aptos" w:cs="Arial"/>
          <w:lang w:eastAsia="en-GB"/>
        </w:rPr>
      </w:pPr>
      <w:r w:rsidRPr="00477B14">
        <w:rPr>
          <w:rFonts w:eastAsia="Aptos" w:cs="Arial"/>
          <w:lang w:eastAsia="en-GB"/>
        </w:rPr>
        <w:t>mortality from cancer, and dementia and Alzheimer's disease is highest among white groups. </w:t>
      </w:r>
    </w:p>
    <w:p w14:paraId="4EA48AA1" w14:textId="77777777" w:rsidR="00477B14" w:rsidRPr="00477B14" w:rsidRDefault="00477B14" w:rsidP="00B76905">
      <w:pPr>
        <w:numPr>
          <w:ilvl w:val="0"/>
          <w:numId w:val="83"/>
        </w:numPr>
        <w:contextualSpacing/>
        <w:rPr>
          <w:rFonts w:eastAsia="Aptos" w:cs="Arial"/>
          <w:lang w:eastAsia="en-GB"/>
        </w:rPr>
      </w:pPr>
      <w:r w:rsidRPr="00477B14">
        <w:rPr>
          <w:rFonts w:eastAsia="Aptos" w:cs="Arial"/>
          <w:lang w:eastAsia="en-GB"/>
        </w:rPr>
        <w:t>Access to primary care health services is generally equitable for ethnic minority groups, but this is less consistently so, for example dental health care. However, people from some ethnic minority groups are more likely to report being in poorer health and to report poorer experiences of using health services than their white counterparts.</w:t>
      </w:r>
    </w:p>
    <w:p w14:paraId="1967142A" w14:textId="77777777" w:rsidR="00477B14" w:rsidRPr="00477B14" w:rsidRDefault="00477B14" w:rsidP="00B76905">
      <w:pPr>
        <w:numPr>
          <w:ilvl w:val="0"/>
          <w:numId w:val="83"/>
        </w:numPr>
        <w:contextualSpacing/>
        <w:rPr>
          <w:rFonts w:eastAsia="Aptos" w:cs="Arial"/>
          <w:lang w:eastAsia="en-GB"/>
        </w:rPr>
      </w:pPr>
      <w:r w:rsidRPr="00477B14">
        <w:rPr>
          <w:rFonts w:eastAsia="Aptos" w:cs="Arial"/>
          <w:lang w:eastAsia="en-GB"/>
        </w:rPr>
        <w:t xml:space="preserve">In relation to cardiovascular disease: </w:t>
      </w:r>
    </w:p>
    <w:p w14:paraId="227D4249" w14:textId="77777777" w:rsidR="00477B14" w:rsidRPr="00477B14" w:rsidRDefault="00477B14" w:rsidP="00B76905">
      <w:pPr>
        <w:numPr>
          <w:ilvl w:val="1"/>
          <w:numId w:val="83"/>
        </w:numPr>
        <w:contextualSpacing/>
        <w:rPr>
          <w:rFonts w:eastAsia="Aptos" w:cs="Arial"/>
          <w:lang w:eastAsia="en-GB"/>
        </w:rPr>
      </w:pPr>
      <w:r w:rsidRPr="00477B14">
        <w:rPr>
          <w:rFonts w:eastAsia="Aptos" w:cs="Arial"/>
          <w:lang w:eastAsia="en-GB"/>
        </w:rPr>
        <w:t>there is a higher incidence, prevalence and mortality from cardiovascular disease in South Asian groups compared with the white group or national average,</w:t>
      </w:r>
    </w:p>
    <w:p w14:paraId="3A64B8BF" w14:textId="77777777" w:rsidR="00477B14" w:rsidRPr="00477B14" w:rsidRDefault="00477B14" w:rsidP="00B76905">
      <w:pPr>
        <w:numPr>
          <w:ilvl w:val="1"/>
          <w:numId w:val="83"/>
        </w:numPr>
        <w:contextualSpacing/>
        <w:rPr>
          <w:rFonts w:eastAsia="Aptos" w:cs="Arial"/>
          <w:lang w:eastAsia="en-GB"/>
        </w:rPr>
      </w:pPr>
      <w:r w:rsidRPr="00477B14">
        <w:rPr>
          <w:rFonts w:eastAsia="Aptos" w:cs="Arial"/>
          <w:lang w:eastAsia="en-GB"/>
        </w:rPr>
        <w:t xml:space="preserve">South Asian groups have the highest mortality from heart disease and also develop heart disease at a younger age, and </w:t>
      </w:r>
    </w:p>
    <w:p w14:paraId="45104324" w14:textId="77777777" w:rsidR="00477B14" w:rsidRPr="00477B14" w:rsidRDefault="00477B14" w:rsidP="00B76905">
      <w:pPr>
        <w:numPr>
          <w:ilvl w:val="1"/>
          <w:numId w:val="83"/>
        </w:numPr>
        <w:contextualSpacing/>
        <w:rPr>
          <w:rFonts w:eastAsia="Aptos" w:cs="Arial"/>
          <w:lang w:eastAsia="en-GB"/>
        </w:rPr>
      </w:pPr>
      <w:r w:rsidRPr="00477B14">
        <w:rPr>
          <w:rFonts w:eastAsia="Aptos" w:cs="Arial"/>
          <w:lang w:eastAsia="en-GB"/>
        </w:rPr>
        <w:t>stroke incidence and mortality are also higher in the South Asian population.</w:t>
      </w:r>
    </w:p>
    <w:p w14:paraId="1BEC880F" w14:textId="77777777" w:rsidR="00477B14" w:rsidRPr="00477B14" w:rsidRDefault="00477B14" w:rsidP="00B76905">
      <w:pPr>
        <w:numPr>
          <w:ilvl w:val="0"/>
          <w:numId w:val="84"/>
        </w:numPr>
        <w:contextualSpacing/>
        <w:rPr>
          <w:rFonts w:eastAsia="Aptos" w:cs="Arial"/>
          <w:lang w:eastAsia="en-GB"/>
        </w:rPr>
      </w:pPr>
      <w:r w:rsidRPr="00477B14">
        <w:rPr>
          <w:rFonts w:eastAsia="Aptos" w:cs="Arial"/>
          <w:lang w:eastAsia="en-GB"/>
        </w:rPr>
        <w:t>Higher clustering in South Asians of the risk factors that increase the risk of heart disease, stroke and diabetes, although body mass index levels are lower among South Asian groups compared with normal ranges, rates of excess abdominal fat and insulin resistance is higher.</w:t>
      </w:r>
    </w:p>
    <w:p w14:paraId="5C2C61F8" w14:textId="77777777" w:rsidR="00477B14" w:rsidRPr="00477B14" w:rsidRDefault="00477B14" w:rsidP="00B76905">
      <w:pPr>
        <w:numPr>
          <w:ilvl w:val="0"/>
          <w:numId w:val="84"/>
        </w:numPr>
        <w:tabs>
          <w:tab w:val="left" w:pos="720"/>
        </w:tabs>
        <w:contextualSpacing/>
        <w:rPr>
          <w:rFonts w:eastAsia="Aptos" w:cs="Arial"/>
          <w:lang w:eastAsia="en-GB"/>
        </w:rPr>
      </w:pPr>
      <w:r w:rsidRPr="00477B14">
        <w:rPr>
          <w:rFonts w:eastAsia="Aptos" w:cs="Arial"/>
          <w:lang w:eastAsia="en-GB"/>
        </w:rPr>
        <w:t>Smoking prevalence is lower among South Asian groups; however, they have lower physical activity rates, especially among women.</w:t>
      </w:r>
    </w:p>
    <w:p w14:paraId="2DB73B9D" w14:textId="77777777" w:rsidR="00477B14" w:rsidRPr="00477B14" w:rsidRDefault="00477B14" w:rsidP="00B76905">
      <w:pPr>
        <w:numPr>
          <w:ilvl w:val="0"/>
          <w:numId w:val="85"/>
        </w:numPr>
        <w:contextualSpacing/>
        <w:rPr>
          <w:rFonts w:eastAsia="Aptos" w:cs="Arial"/>
          <w:lang w:eastAsia="en-GB"/>
        </w:rPr>
      </w:pPr>
      <w:r w:rsidRPr="00477B14">
        <w:rPr>
          <w:rFonts w:eastAsia="Aptos" w:cs="Arial"/>
          <w:lang w:eastAsia="en-GB"/>
        </w:rPr>
        <w:t>Black groups in the UK have a significantly lower risk of heart disease compared to the majority of the population, despite having a high prevalence of hypertension and diabetes (risk factors for heart disease and stroke). </w:t>
      </w:r>
    </w:p>
    <w:p w14:paraId="6976CBAD" w14:textId="77777777" w:rsidR="00477B14" w:rsidRPr="00477B14" w:rsidRDefault="00477B14" w:rsidP="00B76905">
      <w:pPr>
        <w:numPr>
          <w:ilvl w:val="0"/>
          <w:numId w:val="85"/>
        </w:numPr>
        <w:contextualSpacing/>
        <w:rPr>
          <w:rFonts w:eastAsia="Aptos" w:cs="Arial"/>
          <w:lang w:eastAsia="en-GB"/>
        </w:rPr>
      </w:pPr>
      <w:r w:rsidRPr="00477B14">
        <w:rPr>
          <w:rFonts w:eastAsia="Aptos" w:cs="Arial"/>
          <w:lang w:eastAsia="en-GB"/>
        </w:rPr>
        <w:t>The risk of developing diabetes is up to six times higher in South Asian groups than in white groups, and they have a higher mortality from diabetes.</w:t>
      </w:r>
    </w:p>
    <w:p w14:paraId="0D709D4B" w14:textId="77777777" w:rsidR="00477B14" w:rsidRPr="00477B14" w:rsidRDefault="00477B14" w:rsidP="00B76905">
      <w:pPr>
        <w:numPr>
          <w:ilvl w:val="0"/>
          <w:numId w:val="85"/>
        </w:numPr>
        <w:contextualSpacing/>
        <w:rPr>
          <w:rFonts w:eastAsia="Aptos" w:cs="Arial"/>
          <w:lang w:eastAsia="en-GB"/>
        </w:rPr>
      </w:pPr>
      <w:r w:rsidRPr="00477B14">
        <w:rPr>
          <w:rFonts w:eastAsia="Aptos" w:cs="Arial"/>
          <w:lang w:eastAsia="en-GB"/>
        </w:rPr>
        <w:lastRenderedPageBreak/>
        <w:t>Diabetes prevalence in Black groups is up to three times higher than in the white population and they have higher mortality from diabetes. They also have a higher risk of hypertension and stroke but, unlike South Asians, are less prone to heart disease.</w:t>
      </w:r>
    </w:p>
    <w:p w14:paraId="344EF9DF" w14:textId="77777777" w:rsidR="00477B14" w:rsidRPr="00477B14" w:rsidRDefault="00477B14" w:rsidP="00B76905">
      <w:pPr>
        <w:numPr>
          <w:ilvl w:val="0"/>
          <w:numId w:val="85"/>
        </w:numPr>
        <w:contextualSpacing/>
        <w:rPr>
          <w:rFonts w:eastAsia="Aptos" w:cs="Arial"/>
          <w:lang w:eastAsia="en-GB"/>
        </w:rPr>
      </w:pPr>
      <w:r w:rsidRPr="00477B14">
        <w:rPr>
          <w:rFonts w:eastAsia="Aptos" w:cs="Arial"/>
          <w:lang w:eastAsia="en-GB"/>
        </w:rPr>
        <w:t>The incidence of cancer overall is generally lower among ethnic minority groups in England than in white groups. Asian, Chinese and Mixed groups have a significantly lower risk (20–60%) of getting cancer than the white group. Smoking rates are generally lower in these groups. Cancer incidence is also lower among Black women compared with white women but similar in Black and White men.</w:t>
      </w:r>
    </w:p>
    <w:p w14:paraId="54D4BF9F" w14:textId="77777777" w:rsidR="00477B14" w:rsidRPr="00477B14" w:rsidRDefault="00477B14" w:rsidP="00E232AA">
      <w:pPr>
        <w:ind w:left="360"/>
        <w:contextualSpacing/>
        <w:rPr>
          <w:rFonts w:eastAsia="Aptos" w:cs="Arial"/>
        </w:rPr>
      </w:pPr>
    </w:p>
    <w:p w14:paraId="00C807EA" w14:textId="77777777" w:rsidR="00477B14" w:rsidRPr="00D0306F" w:rsidRDefault="00477B14" w:rsidP="00E15BF3">
      <w:pPr>
        <w:rPr>
          <w:b/>
          <w:bCs/>
          <w:sz w:val="26"/>
          <w:szCs w:val="26"/>
        </w:rPr>
      </w:pPr>
      <w:r w:rsidRPr="00D0306F">
        <w:rPr>
          <w:b/>
          <w:bCs/>
          <w:sz w:val="26"/>
          <w:szCs w:val="26"/>
        </w:rPr>
        <w:t>4.5 Religion or belief</w:t>
      </w:r>
      <w:r w:rsidRPr="00D0306F">
        <w:rPr>
          <w:b/>
          <w:bCs/>
          <w:sz w:val="26"/>
          <w:szCs w:val="26"/>
          <w:vertAlign w:val="superscript"/>
        </w:rPr>
        <w:footnoteReference w:id="178"/>
      </w:r>
    </w:p>
    <w:p w14:paraId="14E4449F" w14:textId="77777777" w:rsidR="00477B14" w:rsidRPr="00477B14" w:rsidRDefault="00477B14" w:rsidP="00E232AA">
      <w:pPr>
        <w:contextualSpacing/>
        <w:rPr>
          <w:rFonts w:eastAsia="Aptos" w:cs="Arial"/>
        </w:rPr>
      </w:pPr>
    </w:p>
    <w:p w14:paraId="14294C7A" w14:textId="77777777" w:rsidR="00477B14" w:rsidRPr="00477B14" w:rsidRDefault="00477B14" w:rsidP="00E232AA">
      <w:pPr>
        <w:contextualSpacing/>
        <w:rPr>
          <w:rFonts w:eastAsia="Aptos" w:cs="Arial"/>
        </w:rPr>
      </w:pPr>
      <w:r w:rsidRPr="00477B14">
        <w:rPr>
          <w:rFonts w:eastAsia="Aptos" w:cs="Arial"/>
        </w:rPr>
        <w:t>Beliefs about health, illness and healthcare can vary between religions and cultures and within any given religious or cultural group. Religious belief may affect the acceptability of aspects of medical care, for example diagnostic procedures and certain types of treatment, and of the potential impact of religious observances on health and treatment plans such as periods of fasting.</w:t>
      </w:r>
    </w:p>
    <w:p w14:paraId="0F679298" w14:textId="77777777" w:rsidR="00477B14" w:rsidRPr="00477B14" w:rsidRDefault="00477B14" w:rsidP="00E232AA">
      <w:pPr>
        <w:contextualSpacing/>
        <w:rPr>
          <w:rFonts w:eastAsia="Aptos" w:cs="Arial"/>
        </w:rPr>
      </w:pPr>
    </w:p>
    <w:p w14:paraId="136F77C6" w14:textId="77777777" w:rsidR="00477B14" w:rsidRPr="00477B14" w:rsidRDefault="00477B14" w:rsidP="00E232AA">
      <w:pPr>
        <w:contextualSpacing/>
        <w:rPr>
          <w:rFonts w:eastAsia="Aptos" w:cs="Arial"/>
        </w:rPr>
      </w:pPr>
      <w:r w:rsidRPr="00477B14">
        <w:rPr>
          <w:rFonts w:eastAsia="Aptos" w:cs="Arial"/>
        </w:rPr>
        <w:t>It should never be assumed that an individual belonging to a specific religious group will necessarily be compliant with or completely observant of all the views and practices of that group. Individual patients’ reactions to a particular clinical situation can be influenced by a number of factors, including what branch of a particular religion or belief they belong to, and how strong their religious beliefs are (for example, orthodox or reformed, moderate or fundamentalist). For this reason, each person should be treated as an individual.</w:t>
      </w:r>
    </w:p>
    <w:p w14:paraId="365298A5" w14:textId="77777777" w:rsidR="00477B14" w:rsidRPr="00477B14" w:rsidRDefault="00477B14" w:rsidP="00E232AA">
      <w:pPr>
        <w:contextualSpacing/>
        <w:rPr>
          <w:rFonts w:eastAsia="Aptos" w:cs="Arial"/>
        </w:rPr>
      </w:pPr>
    </w:p>
    <w:p w14:paraId="19B6CC7F" w14:textId="77777777" w:rsidR="00477B14" w:rsidRPr="00477B14" w:rsidRDefault="00477B14" w:rsidP="00E232AA">
      <w:pPr>
        <w:contextualSpacing/>
        <w:rPr>
          <w:rFonts w:eastAsia="Aptos" w:cs="Arial"/>
        </w:rPr>
      </w:pPr>
      <w:r w:rsidRPr="00477B14">
        <w:rPr>
          <w:rFonts w:eastAsia="Aptos" w:cs="Arial"/>
        </w:rPr>
        <w:t>Beliefs, rites and rituals around pregnancy and birth, ‘coming of age’, menstruation, marriage, and death are highly variable between religions and cultures, and may all impact on health and health-seeking behaviours.</w:t>
      </w:r>
    </w:p>
    <w:p w14:paraId="14CFD824" w14:textId="77777777" w:rsidR="00477B14" w:rsidRPr="00477B14" w:rsidRDefault="00477B14" w:rsidP="00E232AA">
      <w:pPr>
        <w:contextualSpacing/>
        <w:rPr>
          <w:rFonts w:eastAsia="Aptos" w:cs="Arial"/>
        </w:rPr>
      </w:pPr>
    </w:p>
    <w:p w14:paraId="04A392CE" w14:textId="77777777" w:rsidR="00477B14" w:rsidRPr="00477B14" w:rsidRDefault="00477B14" w:rsidP="00E232AA">
      <w:pPr>
        <w:contextualSpacing/>
        <w:rPr>
          <w:rFonts w:eastAsia="Aptos" w:cs="Arial"/>
        </w:rPr>
      </w:pPr>
      <w:r w:rsidRPr="00477B14">
        <w:rPr>
          <w:rFonts w:eastAsia="Aptos" w:cs="Arial"/>
        </w:rPr>
        <w:t xml:space="preserve">Female genital mutilation is related to cultural, religious and social factors within families and communities although there is no direct link to any religion or faith. It is an illegal practice that raises serious health related concerns. </w:t>
      </w:r>
    </w:p>
    <w:p w14:paraId="1243A562" w14:textId="77777777" w:rsidR="00477B14" w:rsidRPr="00477B14" w:rsidRDefault="00477B14" w:rsidP="00E232AA">
      <w:pPr>
        <w:contextualSpacing/>
        <w:rPr>
          <w:rFonts w:eastAsia="Aptos" w:cs="Arial"/>
        </w:rPr>
      </w:pPr>
    </w:p>
    <w:p w14:paraId="482C4B16" w14:textId="77777777" w:rsidR="00477B14" w:rsidRPr="00477B14" w:rsidRDefault="00477B14" w:rsidP="00E232AA">
      <w:pPr>
        <w:contextualSpacing/>
        <w:rPr>
          <w:rFonts w:eastAsia="Aptos" w:cs="Arial"/>
        </w:rPr>
      </w:pPr>
      <w:r w:rsidRPr="00477B14">
        <w:rPr>
          <w:rFonts w:eastAsia="Aptos" w:cs="Arial"/>
        </w:rPr>
        <w:t xml:space="preserve">‘Honour based violence’ which is a type of domestic violence motivated by the notion of honour, occurs in those communities where the honour concept is linked to the expected behaviours of families and individuals. </w:t>
      </w:r>
    </w:p>
    <w:p w14:paraId="66496474" w14:textId="77777777" w:rsidR="00477B14" w:rsidRPr="00477B14" w:rsidRDefault="00477B14" w:rsidP="00E232AA">
      <w:pPr>
        <w:contextualSpacing/>
        <w:rPr>
          <w:rFonts w:eastAsia="Aptos" w:cs="Arial"/>
        </w:rPr>
      </w:pPr>
    </w:p>
    <w:p w14:paraId="289FB1B3" w14:textId="77777777" w:rsidR="00477B14" w:rsidRPr="00477B14" w:rsidRDefault="00477B14" w:rsidP="00E232AA">
      <w:pPr>
        <w:contextualSpacing/>
        <w:rPr>
          <w:rFonts w:eastAsia="Aptos" w:cs="Arial"/>
        </w:rPr>
      </w:pPr>
      <w:r w:rsidRPr="00477B14">
        <w:rPr>
          <w:rFonts w:eastAsia="Aptos" w:cs="Arial"/>
        </w:rPr>
        <w:t>There is a possibility of hate crime related to religion and belief.</w:t>
      </w:r>
    </w:p>
    <w:p w14:paraId="1170E7A9" w14:textId="77777777" w:rsidR="00477B14" w:rsidRPr="00477B14" w:rsidRDefault="00477B14" w:rsidP="00E232AA">
      <w:pPr>
        <w:contextualSpacing/>
        <w:rPr>
          <w:rFonts w:eastAsia="Aptos" w:cs="Arial"/>
          <w:b/>
          <w:bCs/>
        </w:rPr>
      </w:pPr>
    </w:p>
    <w:p w14:paraId="33740ABF" w14:textId="77777777" w:rsidR="00477B14" w:rsidRPr="00D0306F" w:rsidRDefault="00477B14" w:rsidP="00E15BF3">
      <w:pPr>
        <w:rPr>
          <w:b/>
          <w:bCs/>
          <w:sz w:val="26"/>
          <w:szCs w:val="26"/>
        </w:rPr>
      </w:pPr>
      <w:r w:rsidRPr="00D0306F">
        <w:rPr>
          <w:b/>
          <w:bCs/>
          <w:sz w:val="26"/>
          <w:szCs w:val="26"/>
        </w:rPr>
        <w:t>4.6 Sex</w:t>
      </w:r>
    </w:p>
    <w:p w14:paraId="05CD1EC0" w14:textId="77777777" w:rsidR="00477B14" w:rsidRPr="00477B14" w:rsidRDefault="00477B14" w:rsidP="00E232AA">
      <w:pPr>
        <w:ind w:left="357"/>
        <w:rPr>
          <w:rFonts w:eastAsia="Aptos" w:cs="Arial"/>
        </w:rPr>
      </w:pPr>
    </w:p>
    <w:p w14:paraId="29216BAA" w14:textId="77777777" w:rsidR="00477B14" w:rsidRPr="00477B14" w:rsidRDefault="00477B14" w:rsidP="00B76905">
      <w:pPr>
        <w:numPr>
          <w:ilvl w:val="0"/>
          <w:numId w:val="86"/>
        </w:numPr>
        <w:contextualSpacing/>
        <w:rPr>
          <w:rFonts w:eastAsia="Aptos" w:cs="Arial"/>
        </w:rPr>
      </w:pPr>
      <w:r w:rsidRPr="00477B14">
        <w:rPr>
          <w:rFonts w:eastAsia="Aptos" w:cs="Arial"/>
        </w:rPr>
        <w:t>The average life expectancy for people born in Swansea for males is 77.8 years and for females is 82.4 years, while in Neath Port Talbot the figures are slightly lower with the average life expectancy for males at 77.0 years and females 81.2 years. This is compared to the Wales average of 80.4.</w:t>
      </w:r>
      <w:r w:rsidRPr="00477B14">
        <w:rPr>
          <w:rFonts w:eastAsia="Aptos" w:cs="Arial"/>
          <w:vertAlign w:val="superscript"/>
        </w:rPr>
        <w:footnoteReference w:id="179"/>
      </w:r>
      <w:r w:rsidRPr="00477B14">
        <w:rPr>
          <w:rFonts w:eastAsia="Aptos" w:cs="Arial"/>
        </w:rPr>
        <w:t xml:space="preserve"> </w:t>
      </w:r>
    </w:p>
    <w:p w14:paraId="022C3047" w14:textId="77777777" w:rsidR="00477B14" w:rsidRPr="00477B14" w:rsidRDefault="00477B14" w:rsidP="00B76905">
      <w:pPr>
        <w:numPr>
          <w:ilvl w:val="0"/>
          <w:numId w:val="86"/>
        </w:numPr>
        <w:contextualSpacing/>
        <w:rPr>
          <w:rFonts w:eastAsia="Aptos" w:cs="Arial"/>
        </w:rPr>
      </w:pPr>
      <w:r w:rsidRPr="00477B14">
        <w:rPr>
          <w:rFonts w:eastAsia="Aptos" w:cs="Arial"/>
        </w:rPr>
        <w:lastRenderedPageBreak/>
        <w:t>In common with England and Wales, life expectancy at birth across the population of Swansea Bay University Health Board has continued to increase. Not all our communities share the same life chances; our lifestyles are strongly influenced by the material and social circumstances we find ourselves in. Factors like poverty, deprivation and lifestyle choices (smoking, alcohol, drugs, obesity, physical activity and employment status) influence life expectancy and quality of life, as do the natural and physical environment, education and healthy workplaces.</w:t>
      </w:r>
    </w:p>
    <w:p w14:paraId="7444CD43" w14:textId="248C303F" w:rsidR="00477B14" w:rsidRPr="00477B14" w:rsidRDefault="00477B14" w:rsidP="00B76905">
      <w:pPr>
        <w:numPr>
          <w:ilvl w:val="0"/>
          <w:numId w:val="86"/>
        </w:numPr>
        <w:contextualSpacing/>
        <w:rPr>
          <w:rFonts w:eastAsia="Aptos" w:cs="Arial"/>
        </w:rPr>
      </w:pPr>
      <w:r w:rsidRPr="00477B14">
        <w:rPr>
          <w:rFonts w:eastAsia="Aptos" w:cs="Arial"/>
        </w:rPr>
        <w:t>Men tend to use health services less than women and present later with diseases than women do. Consumer research by the Department of Health and Social Care</w:t>
      </w:r>
      <w:r w:rsidRPr="00477B14">
        <w:rPr>
          <w:rFonts w:eastAsia="Aptos" w:cs="Arial"/>
          <w:vertAlign w:val="superscript"/>
        </w:rPr>
        <w:footnoteReference w:id="180"/>
      </w:r>
      <w:r w:rsidRPr="00477B14">
        <w:rPr>
          <w:rFonts w:eastAsia="Aptos" w:cs="Arial"/>
        </w:rPr>
        <w:t xml:space="preserve"> into the use of pharmacies in 2009 showed men aged 16 to 55 years to be ‘avoiders’ ie they actively avoid going to pharmacies, feel uncomfortable in the pharmacy environment as it currently stands due to perceptions of the environment as feminised/for older people/lacking privacy and of customer service being indiscreet. Results from the public engagement questionnaire showed that </w:t>
      </w:r>
      <w:r w:rsidR="0044378F" w:rsidRPr="00D0306F">
        <w:rPr>
          <w:rFonts w:eastAsia="Aptos" w:cs="Arial"/>
        </w:rPr>
        <w:t>80.7</w:t>
      </w:r>
      <w:r w:rsidRPr="00477B14">
        <w:rPr>
          <w:rFonts w:eastAsia="Aptos" w:cs="Arial"/>
        </w:rPr>
        <w:t>% of responders were female and</w:t>
      </w:r>
      <w:r w:rsidR="000213EE">
        <w:rPr>
          <w:rFonts w:eastAsia="Aptos" w:cs="Arial"/>
        </w:rPr>
        <w:t xml:space="preserve"> </w:t>
      </w:r>
      <w:r w:rsidR="0044378F" w:rsidRPr="00D0306F">
        <w:rPr>
          <w:rFonts w:eastAsia="Aptos" w:cs="Arial"/>
        </w:rPr>
        <w:t>19.3</w:t>
      </w:r>
      <w:r w:rsidRPr="00477B14">
        <w:rPr>
          <w:rFonts w:eastAsia="Aptos" w:cs="Arial"/>
        </w:rPr>
        <w:t>% were male.</w:t>
      </w:r>
    </w:p>
    <w:p w14:paraId="0E836966" w14:textId="77777777" w:rsidR="00477B14" w:rsidRPr="00477B14" w:rsidRDefault="00477B14" w:rsidP="00B76905">
      <w:pPr>
        <w:numPr>
          <w:ilvl w:val="0"/>
          <w:numId w:val="86"/>
        </w:numPr>
        <w:contextualSpacing/>
        <w:rPr>
          <w:rFonts w:eastAsia="Aptos" w:cs="Arial"/>
        </w:rPr>
      </w:pPr>
      <w:r w:rsidRPr="00477B14">
        <w:rPr>
          <w:rFonts w:eastAsia="Aptos" w:cs="Arial"/>
        </w:rPr>
        <w:t>In August 2025 the British Heart Foundation Cymru published a Wales Cardiovascular Disease Factsheet</w:t>
      </w:r>
      <w:r w:rsidRPr="00477B14">
        <w:rPr>
          <w:rFonts w:eastAsia="Aptos" w:cs="Arial"/>
          <w:vertAlign w:val="superscript"/>
        </w:rPr>
        <w:footnoteReference w:id="181"/>
      </w:r>
      <w:r w:rsidRPr="00477B14">
        <w:rPr>
          <w:rFonts w:eastAsia="Aptos" w:cs="Arial"/>
        </w:rPr>
        <w:t xml:space="preserve"> which showed:</w:t>
      </w:r>
    </w:p>
    <w:p w14:paraId="626F2161" w14:textId="77777777" w:rsidR="00477B14" w:rsidRPr="00477B14" w:rsidRDefault="00477B14" w:rsidP="00B76905">
      <w:pPr>
        <w:numPr>
          <w:ilvl w:val="1"/>
          <w:numId w:val="86"/>
        </w:numPr>
        <w:contextualSpacing/>
        <w:rPr>
          <w:rFonts w:eastAsia="Aptos" w:cs="Arial"/>
        </w:rPr>
      </w:pPr>
      <w:r w:rsidRPr="00477B14">
        <w:rPr>
          <w:rFonts w:eastAsia="Aptos" w:cs="Arial"/>
        </w:rPr>
        <w:t>Coronary heart disease is the leading cause of death worldwide and is one of Wales’ biggest killers. More than 110,000 people are living with coronary heart disease in Wales and it is responsible for around 3,700 deaths (2,500 men and 1,200 women) in Wales each year, an average of 10 deaths each day or one death every 140 minutes.</w:t>
      </w:r>
    </w:p>
    <w:p w14:paraId="5C607056" w14:textId="77777777" w:rsidR="00477B14" w:rsidRPr="00477B14" w:rsidRDefault="00477B14" w:rsidP="00B76905">
      <w:pPr>
        <w:numPr>
          <w:ilvl w:val="1"/>
          <w:numId w:val="86"/>
        </w:numPr>
        <w:contextualSpacing/>
        <w:rPr>
          <w:rFonts w:eastAsia="Aptos" w:cs="Arial"/>
        </w:rPr>
      </w:pPr>
      <w:r w:rsidRPr="00477B14">
        <w:rPr>
          <w:rFonts w:eastAsia="Aptos" w:cs="Arial"/>
        </w:rPr>
        <w:t>Cardiovascular disease causes more than one in four (27%) of all deaths in Wales or around 9,700 deaths each year – an average of 27 people per day. Around 2,900 people under the age of 75 in Wales die from cardiovascular disease each year. There are around 340,000 people living with the disease in Wales – an ageing and growing population and improved survival rates from cardiovascular events could see these numbers rise in the future.</w:t>
      </w:r>
    </w:p>
    <w:p w14:paraId="7AC274DF" w14:textId="77777777" w:rsidR="00477B14" w:rsidRPr="00477B14" w:rsidRDefault="00477B14" w:rsidP="00B76905">
      <w:pPr>
        <w:numPr>
          <w:ilvl w:val="1"/>
          <w:numId w:val="86"/>
        </w:numPr>
        <w:contextualSpacing/>
        <w:rPr>
          <w:rFonts w:eastAsia="Aptos" w:cs="Arial"/>
        </w:rPr>
      </w:pPr>
      <w:r w:rsidRPr="00477B14">
        <w:rPr>
          <w:rFonts w:eastAsia="Aptos" w:cs="Arial"/>
        </w:rPr>
        <w:t>Since the British Heart Foundation was established the annual number of coronary heart disease and cardiovascular disease deaths in Wales has fallen by half.</w:t>
      </w:r>
    </w:p>
    <w:p w14:paraId="110A82DB" w14:textId="77777777" w:rsidR="00477B14" w:rsidRPr="00477B14" w:rsidRDefault="00477B14" w:rsidP="00B76905">
      <w:pPr>
        <w:numPr>
          <w:ilvl w:val="0"/>
          <w:numId w:val="87"/>
        </w:numPr>
        <w:contextualSpacing/>
        <w:rPr>
          <w:rFonts w:eastAsia="Aptos" w:cs="Arial"/>
        </w:rPr>
      </w:pPr>
      <w:r w:rsidRPr="00477B14">
        <w:rPr>
          <w:rFonts w:eastAsia="Aptos" w:cs="Arial"/>
        </w:rPr>
        <w:t>Men are more likely to die from coronary heart disease prematurely and are also more likely to die during a sudden cardiac event. Women’s risk of cardiovascular disease in general increases later in life and women are more likely to die from stroke.</w:t>
      </w:r>
    </w:p>
    <w:p w14:paraId="5B4AB824" w14:textId="77777777" w:rsidR="00477B14" w:rsidRPr="00477B14" w:rsidRDefault="00477B14" w:rsidP="00B76905">
      <w:pPr>
        <w:numPr>
          <w:ilvl w:val="0"/>
          <w:numId w:val="87"/>
        </w:numPr>
        <w:contextualSpacing/>
        <w:rPr>
          <w:rFonts w:eastAsia="Times New Roman" w:cs="Arial"/>
          <w:kern w:val="0"/>
          <w:lang w:eastAsia="en-GB"/>
          <w14:ligatures w14:val="none"/>
        </w:rPr>
      </w:pPr>
      <w:r w:rsidRPr="00477B14">
        <w:rPr>
          <w:rFonts w:eastAsia="Times New Roman" w:cs="Arial"/>
          <w:kern w:val="0"/>
          <w:lang w:eastAsia="en-GB"/>
          <w14:ligatures w14:val="none"/>
        </w:rPr>
        <w:t>Based on obesity statics from the Welsh Government</w:t>
      </w:r>
      <w:r w:rsidRPr="00477B14">
        <w:rPr>
          <w:rFonts w:eastAsia="Times New Roman" w:cs="Arial"/>
          <w:kern w:val="0"/>
          <w:vertAlign w:val="superscript"/>
          <w:lang w:eastAsia="en-GB"/>
          <w14:ligatures w14:val="none"/>
        </w:rPr>
        <w:footnoteReference w:id="182"/>
      </w:r>
      <w:r w:rsidRPr="00477B14">
        <w:rPr>
          <w:rFonts w:eastAsia="Times New Roman" w:cs="Arial"/>
          <w:kern w:val="0"/>
          <w:lang w:eastAsia="en-GB"/>
          <w14:ligatures w14:val="none"/>
        </w:rPr>
        <w:t xml:space="preserve"> 25% of men and 27% of women were reported as being obese in 2022/23, with 65% of men and 57% of women regarded as being either overweight or obese. Obesity rates were highest in 45-64 age group (31%) and lowest in the 16-24 and over 75 age groups (19% and 17% respectively).</w:t>
      </w:r>
    </w:p>
    <w:p w14:paraId="5C8719D7" w14:textId="77777777" w:rsidR="00477B14" w:rsidRPr="00477B14" w:rsidRDefault="00477B14" w:rsidP="00B76905">
      <w:pPr>
        <w:numPr>
          <w:ilvl w:val="0"/>
          <w:numId w:val="87"/>
        </w:numPr>
        <w:contextualSpacing/>
        <w:rPr>
          <w:rFonts w:eastAsia="Aptos" w:cs="Arial"/>
        </w:rPr>
      </w:pPr>
      <w:r w:rsidRPr="00477B14">
        <w:rPr>
          <w:rFonts w:eastAsia="Aptos" w:cs="Arial"/>
        </w:rPr>
        <w:t>Women are more likely to report, consult for, and be diagnosed with depression and anxiety. It is possible that depression and anxiety are under-</w:t>
      </w:r>
      <w:r w:rsidRPr="00477B14">
        <w:rPr>
          <w:rFonts w:eastAsia="Aptos" w:cs="Arial"/>
        </w:rPr>
        <w:lastRenderedPageBreak/>
        <w:t>diagnosed in men. Suicide is more common in men, as are all forms of substance abuse.</w:t>
      </w:r>
    </w:p>
    <w:p w14:paraId="45F72200" w14:textId="77777777" w:rsidR="00477B14" w:rsidRPr="00477B14" w:rsidRDefault="00477B14" w:rsidP="00B76905">
      <w:pPr>
        <w:numPr>
          <w:ilvl w:val="0"/>
          <w:numId w:val="87"/>
        </w:numPr>
        <w:contextualSpacing/>
        <w:rPr>
          <w:rFonts w:eastAsia="Calibri" w:cs="Arial"/>
          <w:kern w:val="0"/>
          <w14:ligatures w14:val="none"/>
        </w:rPr>
      </w:pPr>
      <w:r w:rsidRPr="00477B14">
        <w:rPr>
          <w:rFonts w:eastAsia="Times New Roman" w:cs="Arial"/>
          <w:kern w:val="0"/>
          <w:lang w:eastAsia="en-GB"/>
          <w14:ligatures w14:val="none"/>
        </w:rPr>
        <w:t>According to the Welsh Government’s 2025 modelling update on alcohol consumption</w:t>
      </w:r>
      <w:r w:rsidRPr="00477B14">
        <w:rPr>
          <w:rFonts w:eastAsia="Times New Roman" w:cs="Arial"/>
          <w:kern w:val="0"/>
          <w:vertAlign w:val="superscript"/>
          <w:lang w:eastAsia="en-GB"/>
          <w14:ligatures w14:val="none"/>
        </w:rPr>
        <w:footnoteReference w:id="183"/>
      </w:r>
      <w:r w:rsidRPr="00477B14">
        <w:rPr>
          <w:rFonts w:eastAsia="Times New Roman" w:cs="Arial"/>
          <w:kern w:val="0"/>
          <w:lang w:eastAsia="en-GB"/>
          <w14:ligatures w14:val="none"/>
        </w:rPr>
        <w:t xml:space="preserve"> 23% of adult drinkers in Wales drink above the UK low</w:t>
      </w:r>
      <w:r w:rsidRPr="00477B14">
        <w:rPr>
          <w:rFonts w:eastAsia="Times New Roman" w:cs="Arial"/>
          <w:kern w:val="0"/>
          <w:lang w:eastAsia="en-GB"/>
          <w14:ligatures w14:val="none"/>
        </w:rPr>
        <w:noBreakHyphen/>
        <w:t>risk weekly guidelines. This group consumes 70% of all alcohol sold in Wales, highlighting a concentration of consumption among heavier drinkers.</w:t>
      </w:r>
      <w:r w:rsidRPr="00477B14">
        <w:rPr>
          <w:rFonts w:eastAsia="Aptos" w:cs="Arial"/>
        </w:rPr>
        <w:t xml:space="preserve"> </w:t>
      </w:r>
      <w:r w:rsidRPr="00477B14">
        <w:rPr>
          <w:rFonts w:eastAsia="Times New Roman" w:cs="Arial"/>
          <w:kern w:val="0"/>
          <w:lang w:eastAsia="en-GB"/>
          <w14:ligatures w14:val="none"/>
        </w:rPr>
        <w:t>Alcohol disorders are twice as common in men, although binge drinking is increasing at a faster rate among young women. Among older people, the gap between men and women is less marked.</w:t>
      </w:r>
    </w:p>
    <w:p w14:paraId="34E02C1F" w14:textId="77777777" w:rsidR="00477B14" w:rsidRPr="00477B14" w:rsidRDefault="00477B14" w:rsidP="00B76905">
      <w:pPr>
        <w:numPr>
          <w:ilvl w:val="0"/>
          <w:numId w:val="87"/>
        </w:numPr>
        <w:contextualSpacing/>
        <w:rPr>
          <w:rFonts w:eastAsia="Aptos" w:cs="Arial"/>
        </w:rPr>
      </w:pPr>
      <w:r w:rsidRPr="00477B14">
        <w:rPr>
          <w:rFonts w:eastAsia="Aptos" w:cs="Arial"/>
        </w:rPr>
        <w:t>Morbidity and mortality are consistently higher in men for virtually all cancers that are not sex specific. At the same time, cancer morbidity and mortality rates are reducing more quickly for men than women.</w:t>
      </w:r>
      <w:r w:rsidRPr="00477B14">
        <w:rPr>
          <w:rFonts w:eastAsia="Aptos" w:cs="Arial"/>
          <w:vertAlign w:val="superscript"/>
        </w:rPr>
        <w:footnoteReference w:id="184"/>
      </w:r>
    </w:p>
    <w:p w14:paraId="17097E1A" w14:textId="77777777" w:rsidR="00477B14" w:rsidRPr="00477B14" w:rsidRDefault="00477B14" w:rsidP="00E232AA">
      <w:pPr>
        <w:contextualSpacing/>
        <w:rPr>
          <w:rFonts w:eastAsia="Aptos" w:cs="Arial"/>
          <w:b/>
          <w:bCs/>
        </w:rPr>
      </w:pPr>
    </w:p>
    <w:p w14:paraId="623760F1" w14:textId="77777777" w:rsidR="00477B14" w:rsidRPr="00D0306F" w:rsidRDefault="00477B14" w:rsidP="00E15BF3">
      <w:pPr>
        <w:rPr>
          <w:b/>
          <w:bCs/>
          <w:sz w:val="26"/>
          <w:szCs w:val="26"/>
        </w:rPr>
      </w:pPr>
      <w:r w:rsidRPr="00D0306F">
        <w:rPr>
          <w:b/>
          <w:bCs/>
          <w:sz w:val="26"/>
          <w:szCs w:val="26"/>
        </w:rPr>
        <w:t>4.7 Sexual orientation</w:t>
      </w:r>
    </w:p>
    <w:p w14:paraId="018EF1EB" w14:textId="77777777" w:rsidR="00477B14" w:rsidRPr="00477B14" w:rsidRDefault="00477B14" w:rsidP="00E232AA">
      <w:pPr>
        <w:contextualSpacing/>
        <w:rPr>
          <w:rFonts w:eastAsia="MS Mincho" w:cs="Arial"/>
          <w:kern w:val="0"/>
          <w:lang w:eastAsia="en-GB"/>
          <w14:ligatures w14:val="none"/>
        </w:rPr>
      </w:pPr>
    </w:p>
    <w:p w14:paraId="63E37B37" w14:textId="77777777" w:rsidR="00477B14" w:rsidRPr="00477B14" w:rsidRDefault="00477B14" w:rsidP="00E232AA">
      <w:pPr>
        <w:contextualSpacing/>
        <w:rPr>
          <w:rFonts w:eastAsia="Aptos" w:cs="Arial"/>
          <w:lang w:eastAsia="en-GB"/>
        </w:rPr>
      </w:pPr>
      <w:r w:rsidRPr="00477B14">
        <w:rPr>
          <w:rFonts w:eastAsia="Aptos" w:cs="Arial"/>
          <w:lang w:eastAsia="en-GB"/>
        </w:rPr>
        <w:t>A report published by the LGBT Foundation in 2023</w:t>
      </w:r>
      <w:r w:rsidRPr="00477B14">
        <w:rPr>
          <w:rFonts w:eastAsia="Aptos" w:cs="Arial"/>
          <w:vertAlign w:val="superscript"/>
          <w:lang w:eastAsia="en-GB"/>
        </w:rPr>
        <w:footnoteReference w:id="185"/>
      </w:r>
      <w:r w:rsidRPr="00477B14">
        <w:rPr>
          <w:rFonts w:eastAsia="Aptos" w:cs="Arial"/>
          <w:lang w:eastAsia="en-GB"/>
        </w:rPr>
        <w:t xml:space="preserve"> highlighted ten key statistics which it believes most clearly evidence the sequential and significant impact of experiencing inequality over the life course.</w:t>
      </w:r>
    </w:p>
    <w:p w14:paraId="28FAEBB0" w14:textId="77777777" w:rsidR="00477B14" w:rsidRPr="00477B14" w:rsidRDefault="00477B14" w:rsidP="00E232AA">
      <w:pPr>
        <w:contextualSpacing/>
        <w:rPr>
          <w:rFonts w:eastAsia="Calibri" w:cs="Arial"/>
        </w:rPr>
      </w:pPr>
    </w:p>
    <w:p w14:paraId="3D3083CC" w14:textId="77777777" w:rsidR="00477B14" w:rsidRPr="00477B14" w:rsidRDefault="00477B14" w:rsidP="00B76905">
      <w:pPr>
        <w:numPr>
          <w:ilvl w:val="0"/>
          <w:numId w:val="88"/>
        </w:numPr>
        <w:contextualSpacing/>
        <w:rPr>
          <w:rFonts w:eastAsia="Aptos" w:cs="Arial"/>
        </w:rPr>
      </w:pPr>
      <w:r w:rsidRPr="00477B14">
        <w:rPr>
          <w:rFonts w:eastAsia="Aptos" w:cs="Arial"/>
        </w:rPr>
        <w:t>In 2017, 21% lesbian, gay, bisexual, and transgender people reported that they had experienced a homophobic, biphobic, or transphobic hate crime in the previous 12 months, with this rising to 41% for trans people.</w:t>
      </w:r>
    </w:p>
    <w:p w14:paraId="093D002E" w14:textId="77777777" w:rsidR="00477B14" w:rsidRPr="00477B14" w:rsidRDefault="00477B14" w:rsidP="00B76905">
      <w:pPr>
        <w:numPr>
          <w:ilvl w:val="0"/>
          <w:numId w:val="88"/>
        </w:numPr>
        <w:contextualSpacing/>
        <w:rPr>
          <w:rFonts w:eastAsia="Aptos" w:cs="Arial"/>
        </w:rPr>
      </w:pPr>
      <w:r w:rsidRPr="00477B14">
        <w:rPr>
          <w:rFonts w:eastAsia="Aptos" w:cs="Arial"/>
        </w:rPr>
        <w:t>23% of lesbian, gay, bisexual, and transgender people have at one time witnessed anti-lesbian, gay, bisexual, and transgender remarks by healthcare staff.</w:t>
      </w:r>
    </w:p>
    <w:p w14:paraId="043C9ABD" w14:textId="77777777" w:rsidR="00477B14" w:rsidRPr="00477B14" w:rsidRDefault="00477B14" w:rsidP="00B76905">
      <w:pPr>
        <w:numPr>
          <w:ilvl w:val="0"/>
          <w:numId w:val="88"/>
        </w:numPr>
        <w:contextualSpacing/>
        <w:rPr>
          <w:rFonts w:eastAsia="Aptos" w:cs="Arial"/>
        </w:rPr>
      </w:pPr>
      <w:r w:rsidRPr="00477B14">
        <w:rPr>
          <w:rFonts w:eastAsia="Aptos" w:cs="Arial"/>
        </w:rPr>
        <w:t>In 2017, one in six lesbian, gay, bisexual, and transgender people reported drinking almost every day in the last year; this compares to one in ten adults in the general population who report drinking alcohol on five or more days per week.</w:t>
      </w:r>
    </w:p>
    <w:p w14:paraId="2408F6B7" w14:textId="77777777" w:rsidR="00477B14" w:rsidRPr="00477B14" w:rsidRDefault="00477B14" w:rsidP="00B76905">
      <w:pPr>
        <w:numPr>
          <w:ilvl w:val="0"/>
          <w:numId w:val="88"/>
        </w:numPr>
        <w:contextualSpacing/>
        <w:rPr>
          <w:rFonts w:eastAsia="Aptos" w:cs="Arial"/>
        </w:rPr>
      </w:pPr>
      <w:r w:rsidRPr="00477B14">
        <w:rPr>
          <w:rFonts w:eastAsia="Aptos" w:cs="Arial"/>
        </w:rPr>
        <w:t>45% of trans young people (aged 11-19) and 22% of cis lesbian, gay, and bisexual young people have tried to take their own life. Among the general population the NHS estimates this figure to be 13% for girls and 5% for boys aged 16-24.</w:t>
      </w:r>
    </w:p>
    <w:p w14:paraId="06ED8AD9" w14:textId="77777777" w:rsidR="00477B14" w:rsidRPr="00477B14" w:rsidRDefault="00477B14" w:rsidP="00B76905">
      <w:pPr>
        <w:numPr>
          <w:ilvl w:val="0"/>
          <w:numId w:val="88"/>
        </w:numPr>
        <w:contextualSpacing/>
        <w:rPr>
          <w:rFonts w:eastAsia="Aptos" w:cs="Arial"/>
        </w:rPr>
      </w:pPr>
      <w:r w:rsidRPr="00477B14">
        <w:rPr>
          <w:rFonts w:eastAsia="Aptos" w:cs="Arial"/>
        </w:rPr>
        <w:t>24% of homeless people aged 16-24 are lesbian, gay, bisexual, and transgender and 69% of these people believe parental rejection was a main factor in becoming homeless.</w:t>
      </w:r>
    </w:p>
    <w:p w14:paraId="61F45B6E" w14:textId="77777777" w:rsidR="00477B14" w:rsidRPr="00477B14" w:rsidRDefault="00477B14" w:rsidP="00B76905">
      <w:pPr>
        <w:numPr>
          <w:ilvl w:val="0"/>
          <w:numId w:val="88"/>
        </w:numPr>
        <w:contextualSpacing/>
        <w:rPr>
          <w:rFonts w:eastAsia="Aptos" w:cs="Arial"/>
        </w:rPr>
      </w:pPr>
      <w:r w:rsidRPr="00477B14">
        <w:rPr>
          <w:rFonts w:eastAsia="Aptos" w:cs="Arial"/>
        </w:rPr>
        <w:t>42.8% of lesbian, bisexual, transgender women said that they had experienced sexual violence compared to an estimated 20% of all women in the UK.</w:t>
      </w:r>
    </w:p>
    <w:p w14:paraId="7664786E" w14:textId="77777777" w:rsidR="00477B14" w:rsidRPr="00477B14" w:rsidRDefault="00477B14" w:rsidP="00B76905">
      <w:pPr>
        <w:numPr>
          <w:ilvl w:val="0"/>
          <w:numId w:val="88"/>
        </w:numPr>
        <w:contextualSpacing/>
        <w:rPr>
          <w:rFonts w:eastAsia="Aptos" w:cs="Arial"/>
        </w:rPr>
      </w:pPr>
      <w:r w:rsidRPr="00477B14">
        <w:rPr>
          <w:rFonts w:eastAsia="Aptos" w:cs="Arial"/>
        </w:rPr>
        <w:t>55% of gay, bisexual, and trans men were not active enough to maintain good health, compared to 33% of men in the general population.</w:t>
      </w:r>
    </w:p>
    <w:p w14:paraId="076CFC44" w14:textId="77777777" w:rsidR="00477B14" w:rsidRPr="00477B14" w:rsidRDefault="00477B14" w:rsidP="00B76905">
      <w:pPr>
        <w:numPr>
          <w:ilvl w:val="0"/>
          <w:numId w:val="88"/>
        </w:numPr>
        <w:contextualSpacing/>
        <w:rPr>
          <w:rFonts w:eastAsia="Aptos" w:cs="Arial"/>
        </w:rPr>
      </w:pPr>
      <w:r w:rsidRPr="00477B14">
        <w:rPr>
          <w:rFonts w:eastAsia="Aptos" w:cs="Arial"/>
        </w:rPr>
        <w:t>In 2017, 52% of lesbian, gay, bisexual, and transgender people reported experiencing depression in the previous year. This includes 67% of trans people and 70% of non-binary people.</w:t>
      </w:r>
    </w:p>
    <w:p w14:paraId="7B166A2E" w14:textId="77777777" w:rsidR="00477B14" w:rsidRPr="00477B14" w:rsidRDefault="00477B14" w:rsidP="00B76905">
      <w:pPr>
        <w:numPr>
          <w:ilvl w:val="0"/>
          <w:numId w:val="88"/>
        </w:numPr>
        <w:contextualSpacing/>
        <w:rPr>
          <w:rFonts w:eastAsia="Aptos" w:cs="Arial"/>
        </w:rPr>
      </w:pPr>
      <w:r w:rsidRPr="00477B14">
        <w:rPr>
          <w:rFonts w:eastAsia="Aptos" w:cs="Arial"/>
        </w:rPr>
        <w:lastRenderedPageBreak/>
        <w:t>In 2017, 40% of trans people who had accessed or tried to access public healthcare services reported having experienced at least one negative experience because of their gender identity in the previous 12 months.</w:t>
      </w:r>
    </w:p>
    <w:p w14:paraId="25F470BB" w14:textId="77777777" w:rsidR="00477B14" w:rsidRPr="00477B14" w:rsidRDefault="00477B14" w:rsidP="00B76905">
      <w:pPr>
        <w:numPr>
          <w:ilvl w:val="0"/>
          <w:numId w:val="88"/>
        </w:numPr>
        <w:contextualSpacing/>
        <w:rPr>
          <w:rFonts w:eastAsia="Aptos" w:cs="Arial"/>
        </w:rPr>
      </w:pPr>
      <w:r w:rsidRPr="00477B14">
        <w:rPr>
          <w:rFonts w:eastAsia="Aptos" w:cs="Arial"/>
        </w:rPr>
        <w:t>93% of lesbian, gay, bisexual, and transgender specialists and service users consider that more work needs to be done to improve end of life services for lesbian, gay, bisexual, and transgender people.</w:t>
      </w:r>
    </w:p>
    <w:p w14:paraId="2D957FE4" w14:textId="77777777" w:rsidR="00477B14" w:rsidRPr="00477B14" w:rsidRDefault="00477B14" w:rsidP="00B76905">
      <w:pPr>
        <w:numPr>
          <w:ilvl w:val="0"/>
          <w:numId w:val="89"/>
        </w:numPr>
        <w:contextualSpacing/>
        <w:rPr>
          <w:rFonts w:eastAsia="Aptos" w:cs="Arial"/>
          <w:lang w:eastAsia="en-GB"/>
        </w:rPr>
      </w:pPr>
      <w:r w:rsidRPr="00477B14">
        <w:rPr>
          <w:rFonts w:eastAsia="Aptos" w:cs="Arial"/>
          <w:lang w:eastAsia="en-GB"/>
        </w:rPr>
        <w:t>LGB+ people are 2.2 times more likely to have self-harmed or attempt suicide than heterosexual people.</w:t>
      </w:r>
    </w:p>
    <w:p w14:paraId="5B580C04" w14:textId="77777777" w:rsidR="00477B14" w:rsidRPr="00477B14" w:rsidRDefault="00477B14" w:rsidP="00B76905">
      <w:pPr>
        <w:numPr>
          <w:ilvl w:val="0"/>
          <w:numId w:val="89"/>
        </w:numPr>
        <w:contextualSpacing/>
        <w:rPr>
          <w:rFonts w:eastAsia="Aptos" w:cs="Arial"/>
          <w:lang w:eastAsia="en-GB"/>
        </w:rPr>
      </w:pPr>
      <w:r w:rsidRPr="00477B14">
        <w:rPr>
          <w:rFonts w:eastAsia="Aptos" w:cs="Arial"/>
          <w:lang w:eastAsia="en-GB"/>
        </w:rPr>
        <w:t xml:space="preserve">Gay and bisexual men are 2.5 times more likely to attempt suicide. </w:t>
      </w:r>
    </w:p>
    <w:p w14:paraId="5BD1EC83" w14:textId="77777777" w:rsidR="00477B14" w:rsidRPr="00477B14" w:rsidRDefault="00477B14" w:rsidP="00B76905">
      <w:pPr>
        <w:numPr>
          <w:ilvl w:val="0"/>
          <w:numId w:val="89"/>
        </w:numPr>
        <w:contextualSpacing/>
        <w:rPr>
          <w:rFonts w:eastAsia="Aptos" w:cs="Arial"/>
          <w:lang w:eastAsia="en-GB"/>
        </w:rPr>
      </w:pPr>
      <w:r w:rsidRPr="00477B14">
        <w:rPr>
          <w:rFonts w:eastAsia="Aptos" w:cs="Arial"/>
          <w:lang w:eastAsia="en-GB"/>
        </w:rPr>
        <w:t>Nearly 1 in 5 (18.6%) lesbian, gay and bisexual young people (16–24) have attempted suicide.</w:t>
      </w:r>
      <w:r w:rsidRPr="00477B14">
        <w:rPr>
          <w:rFonts w:eastAsia="Times New Roman" w:cs="Arial"/>
          <w:bCs/>
          <w:kern w:val="0"/>
          <w:vertAlign w:val="superscript"/>
          <w:lang w:eastAsia="en-GB"/>
          <w14:ligatures w14:val="none"/>
        </w:rPr>
        <w:footnoteReference w:id="186"/>
      </w:r>
    </w:p>
    <w:p w14:paraId="1F6B4F7C" w14:textId="77777777" w:rsidR="00477B14" w:rsidRPr="00477B14" w:rsidRDefault="00477B14" w:rsidP="00E232AA">
      <w:pPr>
        <w:contextualSpacing/>
        <w:rPr>
          <w:rFonts w:eastAsia="Aptos" w:cs="Arial"/>
          <w:b/>
          <w:bCs/>
        </w:rPr>
      </w:pPr>
    </w:p>
    <w:p w14:paraId="72D4FF1E" w14:textId="77777777" w:rsidR="00477B14" w:rsidRPr="00D0306F" w:rsidRDefault="00477B14" w:rsidP="00E15BF3">
      <w:pPr>
        <w:rPr>
          <w:b/>
          <w:bCs/>
          <w:sz w:val="26"/>
          <w:szCs w:val="26"/>
        </w:rPr>
      </w:pPr>
      <w:r w:rsidRPr="00D0306F">
        <w:rPr>
          <w:b/>
          <w:bCs/>
          <w:sz w:val="26"/>
          <w:szCs w:val="26"/>
        </w:rPr>
        <w:t>4.8 Gender re-assignment</w:t>
      </w:r>
      <w:r w:rsidRPr="00D0306F">
        <w:rPr>
          <w:b/>
          <w:bCs/>
          <w:sz w:val="26"/>
          <w:szCs w:val="26"/>
          <w:vertAlign w:val="superscript"/>
        </w:rPr>
        <w:footnoteReference w:id="187"/>
      </w:r>
    </w:p>
    <w:p w14:paraId="704C0F24" w14:textId="77777777" w:rsidR="00477B14" w:rsidRPr="00477B14" w:rsidRDefault="00477B14" w:rsidP="00E232AA">
      <w:pPr>
        <w:contextualSpacing/>
        <w:rPr>
          <w:rFonts w:eastAsia="Aptos" w:cs="Arial"/>
        </w:rPr>
      </w:pPr>
    </w:p>
    <w:p w14:paraId="30EDD1FD" w14:textId="77777777" w:rsidR="00477B14" w:rsidRPr="00477B14" w:rsidRDefault="00477B14" w:rsidP="00E232AA">
      <w:pPr>
        <w:contextualSpacing/>
        <w:rPr>
          <w:rFonts w:eastAsia="Aptos" w:cs="Arial"/>
        </w:rPr>
      </w:pPr>
      <w:r w:rsidRPr="00477B14">
        <w:rPr>
          <w:rFonts w:eastAsia="Aptos" w:cs="Arial"/>
        </w:rPr>
        <w:t>Gender reassignment refers to individuals, who either:</w:t>
      </w:r>
    </w:p>
    <w:p w14:paraId="2E9D9EC5" w14:textId="77777777" w:rsidR="00477B14" w:rsidRPr="00477B14" w:rsidRDefault="00477B14" w:rsidP="00E232AA">
      <w:pPr>
        <w:contextualSpacing/>
        <w:rPr>
          <w:rFonts w:eastAsia="Aptos" w:cs="Arial"/>
        </w:rPr>
      </w:pPr>
    </w:p>
    <w:p w14:paraId="6FE0A675" w14:textId="77777777" w:rsidR="00477B14" w:rsidRPr="00477B14" w:rsidRDefault="00477B14" w:rsidP="00B76905">
      <w:pPr>
        <w:numPr>
          <w:ilvl w:val="0"/>
          <w:numId w:val="90"/>
        </w:numPr>
        <w:contextualSpacing/>
        <w:rPr>
          <w:rFonts w:eastAsia="Aptos" w:cs="Arial"/>
        </w:rPr>
      </w:pPr>
      <w:r w:rsidRPr="00477B14">
        <w:rPr>
          <w:rFonts w:eastAsia="Aptos" w:cs="Arial"/>
        </w:rPr>
        <w:t>have undergone, intend to undergo or are currently undergoing gender reassignment (medical and surgical treatment to alter the body), or</w:t>
      </w:r>
    </w:p>
    <w:p w14:paraId="185ECDDE" w14:textId="77777777" w:rsidR="00477B14" w:rsidRPr="00477B14" w:rsidRDefault="00477B14" w:rsidP="00B76905">
      <w:pPr>
        <w:numPr>
          <w:ilvl w:val="0"/>
          <w:numId w:val="90"/>
        </w:numPr>
        <w:contextualSpacing/>
        <w:rPr>
          <w:rFonts w:eastAsia="Aptos" w:cs="Arial"/>
        </w:rPr>
      </w:pPr>
      <w:r w:rsidRPr="00477B14">
        <w:rPr>
          <w:rFonts w:eastAsia="Aptos" w:cs="Arial"/>
        </w:rPr>
        <w:t>do not intend to undergo medical treatment but wish to live permanently in a different gender from their gender at birth.</w:t>
      </w:r>
    </w:p>
    <w:p w14:paraId="080C7EC4" w14:textId="77777777" w:rsidR="00477B14" w:rsidRPr="00477B14" w:rsidRDefault="00477B14" w:rsidP="00E232AA">
      <w:pPr>
        <w:ind w:left="360"/>
        <w:rPr>
          <w:rFonts w:eastAsia="Aptos" w:cs="Arial"/>
        </w:rPr>
      </w:pPr>
    </w:p>
    <w:p w14:paraId="6267D2C2" w14:textId="77777777" w:rsidR="00477B14" w:rsidRPr="00477B14" w:rsidRDefault="00477B14" w:rsidP="00E232AA">
      <w:pPr>
        <w:rPr>
          <w:rFonts w:eastAsia="Aptos" w:cs="Arial"/>
        </w:rPr>
      </w:pPr>
      <w:r w:rsidRPr="00477B14">
        <w:rPr>
          <w:rFonts w:eastAsia="Aptos" w:cs="Arial"/>
        </w:rPr>
        <w:t>‘Transition’ refers to the process and/or the period of time during which gender reassignment occurs (with or without medical intervention). According to the Gender Identity Research and Education Society there are a number of health and wellbeing issues associate with gender re-assignment. These include:</w:t>
      </w:r>
    </w:p>
    <w:p w14:paraId="440D4719" w14:textId="77777777" w:rsidR="00477B14" w:rsidRPr="00477B14" w:rsidRDefault="00477B14" w:rsidP="00E232AA">
      <w:pPr>
        <w:tabs>
          <w:tab w:val="left" w:pos="720"/>
        </w:tabs>
        <w:ind w:left="360" w:hanging="360"/>
        <w:contextualSpacing/>
        <w:rPr>
          <w:rFonts w:eastAsia="Aptos" w:cs="Arial"/>
        </w:rPr>
      </w:pPr>
    </w:p>
    <w:p w14:paraId="4C6D7621" w14:textId="77777777" w:rsidR="00477B14" w:rsidRPr="00477B14" w:rsidRDefault="00477B14" w:rsidP="00B76905">
      <w:pPr>
        <w:numPr>
          <w:ilvl w:val="0"/>
          <w:numId w:val="91"/>
        </w:numPr>
        <w:contextualSpacing/>
        <w:rPr>
          <w:rFonts w:eastAsia="Aptos" w:cs="Arial"/>
        </w:rPr>
      </w:pPr>
      <w:r w:rsidRPr="00477B14">
        <w:rPr>
          <w:rFonts w:eastAsia="Aptos" w:cs="Arial"/>
        </w:rPr>
        <w:t>Drugs and alcohol are processed by the liver, as are cross-sex hormones. Heavy use of alcohol and/or drugs whilst taking hormones may increase the risk of liver toxicity and liver damage.</w:t>
      </w:r>
    </w:p>
    <w:p w14:paraId="1E59A6FB" w14:textId="77777777" w:rsidR="00477B14" w:rsidRPr="00477B14" w:rsidRDefault="00477B14" w:rsidP="00B76905">
      <w:pPr>
        <w:numPr>
          <w:ilvl w:val="0"/>
          <w:numId w:val="91"/>
        </w:numPr>
        <w:contextualSpacing/>
        <w:rPr>
          <w:rFonts w:eastAsia="Aptos" w:cs="Arial"/>
        </w:rPr>
      </w:pPr>
      <w:r w:rsidRPr="00477B14">
        <w:rPr>
          <w:rFonts w:eastAsia="Aptos" w:cs="Arial"/>
        </w:rPr>
        <w:t>Alcohol, drugs and tobacco and the use of hormone therapy can all increase cardiovascular risk. Taken together, they can also increase the risk already posed by hormone therapy.</w:t>
      </w:r>
    </w:p>
    <w:p w14:paraId="7067C099" w14:textId="77777777" w:rsidR="00477B14" w:rsidRPr="00477B14" w:rsidRDefault="00477B14" w:rsidP="00B76905">
      <w:pPr>
        <w:numPr>
          <w:ilvl w:val="0"/>
          <w:numId w:val="91"/>
        </w:numPr>
        <w:contextualSpacing/>
        <w:rPr>
          <w:rFonts w:eastAsia="Aptos" w:cs="Arial"/>
        </w:rPr>
      </w:pPr>
      <w:r w:rsidRPr="00477B14">
        <w:rPr>
          <w:rFonts w:eastAsia="Aptos" w:cs="Arial"/>
        </w:rPr>
        <w:t>Smoking can affect oestrogen levels, increasing the risk of osteoporosis and reducing the feminising effects of oestrogen medication.</w:t>
      </w:r>
    </w:p>
    <w:p w14:paraId="5754B07B" w14:textId="77777777" w:rsidR="00477B14" w:rsidRPr="00477B14" w:rsidRDefault="00477B14" w:rsidP="00B76905">
      <w:pPr>
        <w:numPr>
          <w:ilvl w:val="0"/>
          <w:numId w:val="91"/>
        </w:numPr>
        <w:contextualSpacing/>
        <w:rPr>
          <w:rFonts w:eastAsia="Aptos" w:cs="Arial"/>
        </w:rPr>
      </w:pPr>
      <w:r w:rsidRPr="00477B14">
        <w:rPr>
          <w:rFonts w:eastAsia="Aptos" w:cs="Arial"/>
        </w:rPr>
        <w:t>Transgender people face a number of barriers that can prevent them from engaging in regular exercise. Many transgender people struggle with body image and as a result can be reluctant to engage in physical activity. Gender dysphoria is the medical term used to describe this discomfort.</w:t>
      </w:r>
    </w:p>
    <w:p w14:paraId="6703451C" w14:textId="77777777" w:rsidR="00477B14" w:rsidRPr="00477B14" w:rsidRDefault="00477B14" w:rsidP="00B76905">
      <w:pPr>
        <w:widowControl w:val="0"/>
        <w:numPr>
          <w:ilvl w:val="0"/>
          <w:numId w:val="91"/>
        </w:numPr>
        <w:autoSpaceDE w:val="0"/>
        <w:autoSpaceDN w:val="0"/>
        <w:contextualSpacing/>
        <w:rPr>
          <w:rFonts w:eastAsia="Aptos" w:cs="Arial"/>
        </w:rPr>
      </w:pPr>
      <w:r w:rsidRPr="00477B14">
        <w:rPr>
          <w:rFonts w:eastAsia="Aptos" w:cs="Arial"/>
        </w:rPr>
        <w:t>Transgender people are likely to suffer from mental ill health as a reaction to the discomfort they feel. This is primarily driven by a sense of difference and not being accepted by society. If a transgender person wishes to transition and live in the gender role they identify with, they may also worry about damaging their relationships, losing their job, being a victim of hate crime and being discriminated against. The fear of such prejudice and discrimination, which can be real or imagined, can cause significant psychological distress.</w:t>
      </w:r>
    </w:p>
    <w:p w14:paraId="037F28A1" w14:textId="77777777" w:rsidR="00477B14" w:rsidRPr="00477B14" w:rsidRDefault="00477B14" w:rsidP="00E232AA">
      <w:pPr>
        <w:contextualSpacing/>
        <w:rPr>
          <w:rFonts w:eastAsia="Aptos" w:cs="Arial"/>
          <w:b/>
          <w:bCs/>
        </w:rPr>
      </w:pPr>
    </w:p>
    <w:p w14:paraId="404659B7" w14:textId="77777777" w:rsidR="00477B14" w:rsidRPr="00D0306F" w:rsidRDefault="00477B14" w:rsidP="00E15BF3">
      <w:pPr>
        <w:rPr>
          <w:b/>
          <w:bCs/>
          <w:sz w:val="26"/>
          <w:szCs w:val="26"/>
        </w:rPr>
      </w:pPr>
      <w:r w:rsidRPr="00D0306F">
        <w:rPr>
          <w:b/>
          <w:bCs/>
          <w:sz w:val="26"/>
          <w:szCs w:val="26"/>
        </w:rPr>
        <w:lastRenderedPageBreak/>
        <w:t xml:space="preserve">4.9 Marriage and civil partnership </w:t>
      </w:r>
    </w:p>
    <w:p w14:paraId="65ECA848" w14:textId="77777777" w:rsidR="00477B14" w:rsidRPr="00477B14" w:rsidRDefault="00477B14" w:rsidP="00E232AA">
      <w:pPr>
        <w:contextualSpacing/>
        <w:rPr>
          <w:rFonts w:eastAsia="Aptos" w:cs="Arial"/>
        </w:rPr>
      </w:pPr>
    </w:p>
    <w:p w14:paraId="4300B416" w14:textId="77777777" w:rsidR="00477B14" w:rsidRPr="00477B14" w:rsidRDefault="00477B14" w:rsidP="00E232AA">
      <w:pPr>
        <w:contextualSpacing/>
        <w:rPr>
          <w:rFonts w:eastAsia="Aptos" w:cs="Arial"/>
        </w:rPr>
      </w:pPr>
      <w:r w:rsidRPr="00477B14">
        <w:rPr>
          <w:rFonts w:eastAsia="Aptos" w:cs="Arial"/>
        </w:rPr>
        <w:t>There are no specific health needs that are unique to this population.</w:t>
      </w:r>
    </w:p>
    <w:p w14:paraId="0D099958" w14:textId="77777777" w:rsidR="00477B14" w:rsidRPr="00477B14" w:rsidRDefault="00477B14" w:rsidP="00E232AA">
      <w:pPr>
        <w:contextualSpacing/>
        <w:rPr>
          <w:rFonts w:eastAsia="Aptos" w:cs="Arial"/>
          <w:b/>
          <w:bCs/>
        </w:rPr>
      </w:pPr>
    </w:p>
    <w:p w14:paraId="444C8748" w14:textId="77777777" w:rsidR="00477B14" w:rsidRPr="00D0306F" w:rsidRDefault="00477B14" w:rsidP="00E15BF3">
      <w:pPr>
        <w:rPr>
          <w:b/>
          <w:bCs/>
          <w:sz w:val="26"/>
          <w:szCs w:val="26"/>
        </w:rPr>
      </w:pPr>
      <w:r w:rsidRPr="00D0306F">
        <w:rPr>
          <w:b/>
          <w:bCs/>
          <w:sz w:val="26"/>
          <w:szCs w:val="26"/>
        </w:rPr>
        <w:t>4.10 University students</w:t>
      </w:r>
      <w:r w:rsidRPr="00D0306F">
        <w:rPr>
          <w:b/>
          <w:bCs/>
          <w:sz w:val="26"/>
          <w:szCs w:val="26"/>
          <w:vertAlign w:val="superscript"/>
        </w:rPr>
        <w:footnoteReference w:id="188"/>
      </w:r>
      <w:r w:rsidRPr="00D0306F">
        <w:rPr>
          <w:b/>
          <w:bCs/>
          <w:sz w:val="26"/>
          <w:szCs w:val="26"/>
        </w:rPr>
        <w:t xml:space="preserve"> </w:t>
      </w:r>
    </w:p>
    <w:p w14:paraId="46EEA57B" w14:textId="77777777" w:rsidR="00477B14" w:rsidRPr="00477B14" w:rsidRDefault="00477B14" w:rsidP="00E232AA">
      <w:pPr>
        <w:contextualSpacing/>
        <w:rPr>
          <w:rFonts w:eastAsia="Aptos" w:cs="Arial"/>
          <w:b/>
          <w:bCs/>
        </w:rPr>
      </w:pPr>
    </w:p>
    <w:p w14:paraId="4C4F2EBC" w14:textId="77777777" w:rsidR="00477B14" w:rsidRPr="00477B14" w:rsidRDefault="00477B14" w:rsidP="00E232AA">
      <w:pPr>
        <w:contextualSpacing/>
        <w:rPr>
          <w:rFonts w:eastAsia="Calibri" w:cs="Arial"/>
          <w:kern w:val="0"/>
          <w14:ligatures w14:val="none"/>
        </w:rPr>
      </w:pPr>
      <w:r w:rsidRPr="00477B14">
        <w:rPr>
          <w:rFonts w:eastAsia="Aptos" w:cs="Arial"/>
        </w:rPr>
        <w:t>Starting university is an exciting time. For many young people it will be their first time away from home so there is not only the pressure of becoming independent and self-reliant in a new environment.</w:t>
      </w:r>
      <w:r w:rsidRPr="00477B14">
        <w:rPr>
          <w:rFonts w:eastAsia="Calibri" w:cs="Arial"/>
          <w:kern w:val="0"/>
          <w14:ligatures w14:val="none"/>
        </w:rPr>
        <w:t xml:space="preserve"> It is a time of transition, and the challenges of university life can impact on health care. Health needs</w:t>
      </w:r>
      <w:r w:rsidRPr="00477B14">
        <w:rPr>
          <w:rFonts w:eastAsia="Calibri" w:cs="Arial"/>
          <w:kern w:val="0"/>
          <w:vertAlign w:val="superscript"/>
          <w14:ligatures w14:val="none"/>
        </w:rPr>
        <w:footnoteReference w:id="189"/>
      </w:r>
      <w:r w:rsidRPr="00477B14">
        <w:rPr>
          <w:rFonts w:eastAsia="Calibri" w:cs="Arial"/>
          <w:kern w:val="0"/>
          <w14:ligatures w14:val="none"/>
        </w:rPr>
        <w:t xml:space="preserve"> identified include:</w:t>
      </w:r>
    </w:p>
    <w:p w14:paraId="14C0ADFA" w14:textId="77777777" w:rsidR="00477B14" w:rsidRPr="00477B14" w:rsidRDefault="00477B14" w:rsidP="00E232AA">
      <w:pPr>
        <w:contextualSpacing/>
        <w:rPr>
          <w:rFonts w:eastAsia="Calibri" w:cs="Arial"/>
          <w:kern w:val="0"/>
          <w14:ligatures w14:val="none"/>
        </w:rPr>
      </w:pPr>
    </w:p>
    <w:p w14:paraId="3EDF14D4" w14:textId="77777777" w:rsidR="00477B14" w:rsidRPr="00477B14" w:rsidRDefault="00477B14" w:rsidP="00B76905">
      <w:pPr>
        <w:numPr>
          <w:ilvl w:val="0"/>
          <w:numId w:val="92"/>
        </w:numPr>
        <w:contextualSpacing/>
        <w:rPr>
          <w:rFonts w:eastAsia="Aptos" w:cs="Arial"/>
        </w:rPr>
      </w:pPr>
      <w:r w:rsidRPr="00477B14">
        <w:rPr>
          <w:rFonts w:eastAsia="Aptos" w:cs="Arial"/>
        </w:rPr>
        <w:t>screening for, and treatment of, sexually transmitted diseases,</w:t>
      </w:r>
    </w:p>
    <w:p w14:paraId="0F2EEE06" w14:textId="77777777" w:rsidR="00477B14" w:rsidRPr="00477B14" w:rsidRDefault="00477B14" w:rsidP="00B76905">
      <w:pPr>
        <w:numPr>
          <w:ilvl w:val="0"/>
          <w:numId w:val="92"/>
        </w:numPr>
        <w:contextualSpacing/>
        <w:rPr>
          <w:rFonts w:eastAsia="Aptos" w:cs="Arial"/>
        </w:rPr>
      </w:pPr>
      <w:r w:rsidRPr="00477B14">
        <w:rPr>
          <w:rFonts w:eastAsia="Aptos" w:cs="Arial"/>
        </w:rPr>
        <w:t>smoking cessation,</w:t>
      </w:r>
    </w:p>
    <w:p w14:paraId="166E09F7" w14:textId="77777777" w:rsidR="00477B14" w:rsidRPr="00477B14" w:rsidRDefault="00477B14" w:rsidP="00B76905">
      <w:pPr>
        <w:numPr>
          <w:ilvl w:val="0"/>
          <w:numId w:val="92"/>
        </w:numPr>
        <w:contextualSpacing/>
        <w:rPr>
          <w:rFonts w:eastAsia="Aptos" w:cs="Arial"/>
        </w:rPr>
      </w:pPr>
      <w:r w:rsidRPr="00477B14">
        <w:rPr>
          <w:rFonts w:eastAsia="Aptos" w:cs="Arial"/>
        </w:rPr>
        <w:t>meningitis vaccination,</w:t>
      </w:r>
    </w:p>
    <w:p w14:paraId="1680FB89" w14:textId="77777777" w:rsidR="00477B14" w:rsidRPr="00477B14" w:rsidRDefault="00477B14" w:rsidP="00B76905">
      <w:pPr>
        <w:numPr>
          <w:ilvl w:val="0"/>
          <w:numId w:val="92"/>
        </w:numPr>
        <w:contextualSpacing/>
        <w:rPr>
          <w:rFonts w:eastAsia="Aptos" w:cs="Arial"/>
        </w:rPr>
      </w:pPr>
      <w:r w:rsidRPr="00477B14">
        <w:rPr>
          <w:rFonts w:eastAsia="Aptos" w:cs="Arial"/>
        </w:rPr>
        <w:t>alcohol and substance use support,</w:t>
      </w:r>
    </w:p>
    <w:p w14:paraId="6D3E7016" w14:textId="77777777" w:rsidR="00477B14" w:rsidRPr="00477B14" w:rsidRDefault="00477B14" w:rsidP="00B76905">
      <w:pPr>
        <w:numPr>
          <w:ilvl w:val="0"/>
          <w:numId w:val="92"/>
        </w:numPr>
        <w:contextualSpacing/>
        <w:rPr>
          <w:rFonts w:eastAsia="Aptos" w:cs="Arial"/>
        </w:rPr>
      </w:pPr>
      <w:r w:rsidRPr="00477B14">
        <w:rPr>
          <w:rFonts w:eastAsia="Aptos" w:cs="Arial"/>
        </w:rPr>
        <w:t>contraception, including emergency hormonal contraception, provision,</w:t>
      </w:r>
    </w:p>
    <w:p w14:paraId="0F5EFA79" w14:textId="77777777" w:rsidR="00477B14" w:rsidRPr="00477B14" w:rsidRDefault="00477B14" w:rsidP="00B76905">
      <w:pPr>
        <w:numPr>
          <w:ilvl w:val="0"/>
          <w:numId w:val="92"/>
        </w:numPr>
        <w:contextualSpacing/>
        <w:rPr>
          <w:rFonts w:eastAsia="Times New Roman" w:cs="Arial"/>
          <w:lang w:eastAsia="en-GB"/>
        </w:rPr>
      </w:pPr>
      <w:r w:rsidRPr="00477B14">
        <w:rPr>
          <w:rFonts w:eastAsia="Times New Roman" w:cs="Arial"/>
          <w:lang w:eastAsia="en-GB"/>
        </w:rPr>
        <w:t xml:space="preserve">mental health support </w:t>
      </w:r>
      <w:r w:rsidRPr="00477B14">
        <w:rPr>
          <w:rFonts w:eastAsia="Aptos" w:cs="Arial"/>
        </w:rPr>
        <w:t>(s</w:t>
      </w:r>
      <w:r w:rsidRPr="00477B14">
        <w:rPr>
          <w:rFonts w:eastAsia="Times New Roman" w:cs="Arial"/>
          <w:lang w:eastAsia="en-GB"/>
        </w:rPr>
        <w:t>tress, anxiety, and depression are common due to academic pressures and personal issues),</w:t>
      </w:r>
    </w:p>
    <w:p w14:paraId="49BBBECF" w14:textId="77777777" w:rsidR="00477B14" w:rsidRPr="00477B14" w:rsidRDefault="00477B14" w:rsidP="00B76905">
      <w:pPr>
        <w:numPr>
          <w:ilvl w:val="0"/>
          <w:numId w:val="92"/>
        </w:numPr>
        <w:contextualSpacing/>
        <w:rPr>
          <w:rFonts w:eastAsia="Times New Roman" w:cs="Arial"/>
          <w:lang w:eastAsia="en-GB"/>
        </w:rPr>
      </w:pPr>
      <w:r w:rsidRPr="00477B14">
        <w:rPr>
          <w:rFonts w:eastAsia="Times New Roman" w:cs="Arial"/>
          <w:lang w:eastAsia="en-GB"/>
        </w:rPr>
        <w:t>social wellbeing support (feeling connected and supported within the university community. Loneliness and isolation can negatively impact both mental and physical health), and</w:t>
      </w:r>
    </w:p>
    <w:p w14:paraId="4293F6A6" w14:textId="77777777" w:rsidR="00477B14" w:rsidRPr="00477B14" w:rsidRDefault="00477B14" w:rsidP="00B76905">
      <w:pPr>
        <w:numPr>
          <w:ilvl w:val="0"/>
          <w:numId w:val="92"/>
        </w:numPr>
        <w:contextualSpacing/>
        <w:rPr>
          <w:rFonts w:eastAsia="Times New Roman" w:cs="Arial"/>
          <w:lang w:eastAsia="en-GB"/>
        </w:rPr>
      </w:pPr>
      <w:r w:rsidRPr="00477B14">
        <w:rPr>
          <w:rFonts w:eastAsia="Times New Roman" w:cs="Arial"/>
          <w:lang w:eastAsia="en-GB"/>
        </w:rPr>
        <w:t>physical health concerns (poor nutrition, lack of exercise, and sleep disturbances).</w:t>
      </w:r>
    </w:p>
    <w:p w14:paraId="416A03EA" w14:textId="77777777" w:rsidR="00477B14" w:rsidRPr="00477B14" w:rsidRDefault="00477B14" w:rsidP="00E232AA">
      <w:pPr>
        <w:ind w:left="357" w:hanging="357"/>
        <w:rPr>
          <w:rFonts w:eastAsia="Aptos" w:cs="Arial"/>
        </w:rPr>
      </w:pPr>
    </w:p>
    <w:p w14:paraId="1B24F809" w14:textId="77777777" w:rsidR="00477B14" w:rsidRPr="00477B14" w:rsidRDefault="00477B14" w:rsidP="00E232AA">
      <w:pPr>
        <w:rPr>
          <w:rFonts w:eastAsia="Aptos" w:cs="Arial"/>
          <w:lang w:eastAsia="en-GB"/>
        </w:rPr>
      </w:pPr>
      <w:r w:rsidRPr="00477B14">
        <w:rPr>
          <w:rFonts w:eastAsia="Aptos" w:cs="Arial"/>
          <w:lang w:eastAsia="en-GB"/>
        </w:rPr>
        <w:t>A UK study undertaken by Transforming Access and Student Outcomes in Higher Education and The Policy Institute Kings College London examined British higher education in 2024</w:t>
      </w:r>
      <w:r w:rsidRPr="00477B14">
        <w:rPr>
          <w:rFonts w:eastAsia="Times New Roman" w:cs="Arial"/>
          <w:kern w:val="0"/>
          <w:vertAlign w:val="superscript"/>
          <w:lang w:eastAsia="en-GB"/>
          <w14:ligatures w14:val="none"/>
        </w:rPr>
        <w:footnoteReference w:id="190"/>
      </w:r>
      <w:r w:rsidRPr="00477B14">
        <w:rPr>
          <w:rFonts w:eastAsia="Aptos" w:cs="Arial"/>
          <w:lang w:eastAsia="en-GB"/>
        </w:rPr>
        <w:t xml:space="preserve"> and found:</w:t>
      </w:r>
    </w:p>
    <w:p w14:paraId="744C2471" w14:textId="77777777" w:rsidR="00477B14" w:rsidRPr="00477B14" w:rsidRDefault="00477B14" w:rsidP="00E232AA">
      <w:pPr>
        <w:tabs>
          <w:tab w:val="left" w:pos="720"/>
        </w:tabs>
        <w:ind w:left="360"/>
        <w:contextualSpacing/>
        <w:rPr>
          <w:rFonts w:eastAsia="Aptos" w:cs="Arial"/>
          <w:lang w:eastAsia="en-GB"/>
        </w:rPr>
      </w:pPr>
    </w:p>
    <w:p w14:paraId="281F0594" w14:textId="77777777" w:rsidR="00477B14" w:rsidRPr="00477B14" w:rsidRDefault="00477B14" w:rsidP="00B76905">
      <w:pPr>
        <w:numPr>
          <w:ilvl w:val="0"/>
          <w:numId w:val="92"/>
        </w:numPr>
        <w:contextualSpacing/>
        <w:rPr>
          <w:rFonts w:eastAsia="Aptos" w:cs="Arial"/>
          <w:lang w:eastAsia="en-GB"/>
        </w:rPr>
      </w:pPr>
      <w:r w:rsidRPr="00477B14">
        <w:rPr>
          <w:rFonts w:eastAsia="Aptos" w:cs="Arial"/>
          <w:lang w:eastAsia="en-GB"/>
        </w:rPr>
        <w:t xml:space="preserve">Almost one fifth (18%) of students reported a mental health issue in 2024, triple the rate in 2017, when it was 6.0%. </w:t>
      </w:r>
    </w:p>
    <w:p w14:paraId="4925C26D" w14:textId="77777777" w:rsidR="00477B14" w:rsidRPr="00477B14" w:rsidRDefault="00477B14" w:rsidP="00B76905">
      <w:pPr>
        <w:numPr>
          <w:ilvl w:val="0"/>
          <w:numId w:val="92"/>
        </w:numPr>
        <w:contextualSpacing/>
        <w:rPr>
          <w:rFonts w:eastAsia="Aptos" w:cs="Arial"/>
          <w:lang w:eastAsia="en-GB"/>
        </w:rPr>
      </w:pPr>
      <w:r w:rsidRPr="00477B14">
        <w:rPr>
          <w:rFonts w:eastAsia="Aptos" w:cs="Arial"/>
          <w:lang w:eastAsia="en-GB"/>
        </w:rPr>
        <w:t xml:space="preserve">17.9% of students report mental health challenges, indicating nearly one in five students, or around 300,000 UK students are now experiencing mental health difficulties. </w:t>
      </w:r>
    </w:p>
    <w:p w14:paraId="48A0AA43" w14:textId="77777777" w:rsidR="00477B14" w:rsidRPr="00477B14" w:rsidRDefault="00477B14" w:rsidP="00B76905">
      <w:pPr>
        <w:numPr>
          <w:ilvl w:val="0"/>
          <w:numId w:val="92"/>
        </w:numPr>
        <w:contextualSpacing/>
        <w:rPr>
          <w:rFonts w:eastAsia="Aptos" w:cs="Arial"/>
          <w:lang w:eastAsia="en-GB"/>
        </w:rPr>
      </w:pPr>
      <w:bookmarkStart w:id="23" w:name="_Hlk218968828"/>
      <w:r w:rsidRPr="00477B14">
        <w:rPr>
          <w:rFonts w:eastAsia="Aptos" w:cs="Arial"/>
          <w:lang w:eastAsia="en-GB"/>
        </w:rPr>
        <w:t xml:space="preserve">Anxiety and depression </w:t>
      </w:r>
      <w:bookmarkEnd w:id="23"/>
      <w:r w:rsidRPr="00477B14">
        <w:rPr>
          <w:rFonts w:eastAsia="Aptos" w:cs="Arial"/>
          <w:lang w:eastAsia="en-GB"/>
        </w:rPr>
        <w:t>continue to be the primary mental health challenges among students, linked to:</w:t>
      </w:r>
    </w:p>
    <w:p w14:paraId="56B09DF0" w14:textId="77777777" w:rsidR="00477B14" w:rsidRPr="00477B14" w:rsidRDefault="00477B14" w:rsidP="00B76905">
      <w:pPr>
        <w:numPr>
          <w:ilvl w:val="1"/>
          <w:numId w:val="92"/>
        </w:numPr>
        <w:contextualSpacing/>
        <w:rPr>
          <w:rFonts w:eastAsia="Aptos" w:cs="Arial"/>
          <w:lang w:eastAsia="en-GB"/>
        </w:rPr>
      </w:pPr>
      <w:r w:rsidRPr="00477B14">
        <w:rPr>
          <w:rFonts w:eastAsia="Aptos" w:cs="Arial"/>
          <w:lang w:eastAsia="en-GB"/>
        </w:rPr>
        <w:t>cost of living pressures,</w:t>
      </w:r>
    </w:p>
    <w:p w14:paraId="50A7D29C" w14:textId="77777777" w:rsidR="00477B14" w:rsidRPr="00477B14" w:rsidRDefault="00477B14" w:rsidP="00B76905">
      <w:pPr>
        <w:numPr>
          <w:ilvl w:val="1"/>
          <w:numId w:val="92"/>
        </w:numPr>
        <w:contextualSpacing/>
        <w:rPr>
          <w:rFonts w:eastAsia="Aptos" w:cs="Arial"/>
          <w:lang w:eastAsia="en-GB"/>
        </w:rPr>
      </w:pPr>
      <w:r w:rsidRPr="00477B14">
        <w:rPr>
          <w:rFonts w:eastAsia="Aptos" w:cs="Arial"/>
          <w:lang w:eastAsia="en-GB"/>
        </w:rPr>
        <w:t>academic stress,</w:t>
      </w:r>
    </w:p>
    <w:p w14:paraId="51477D04" w14:textId="77777777" w:rsidR="00477B14" w:rsidRPr="00477B14" w:rsidRDefault="00477B14" w:rsidP="00B76905">
      <w:pPr>
        <w:numPr>
          <w:ilvl w:val="1"/>
          <w:numId w:val="92"/>
        </w:numPr>
        <w:contextualSpacing/>
        <w:rPr>
          <w:rFonts w:eastAsia="Aptos" w:cs="Arial"/>
          <w:lang w:eastAsia="en-GB"/>
        </w:rPr>
      </w:pPr>
      <w:r w:rsidRPr="00477B14">
        <w:rPr>
          <w:rFonts w:eastAsia="Aptos" w:cs="Arial"/>
          <w:lang w:eastAsia="en-GB"/>
        </w:rPr>
        <w:t>post pandemic effects, and</w:t>
      </w:r>
    </w:p>
    <w:p w14:paraId="3E93F432" w14:textId="77777777" w:rsidR="00477B14" w:rsidRPr="00477B14" w:rsidRDefault="00477B14" w:rsidP="00B76905">
      <w:pPr>
        <w:numPr>
          <w:ilvl w:val="1"/>
          <w:numId w:val="92"/>
        </w:numPr>
        <w:contextualSpacing/>
        <w:rPr>
          <w:rFonts w:eastAsia="Aptos" w:cs="Arial"/>
          <w:lang w:eastAsia="en-GB"/>
        </w:rPr>
      </w:pPr>
      <w:r w:rsidRPr="00477B14">
        <w:rPr>
          <w:rFonts w:eastAsia="Aptos" w:cs="Arial"/>
          <w:lang w:eastAsia="en-GB"/>
        </w:rPr>
        <w:t>social isolation and loneliness.</w:t>
      </w:r>
    </w:p>
    <w:p w14:paraId="4D0BF1AA" w14:textId="77777777" w:rsidR="00477B14" w:rsidRPr="00477B14" w:rsidRDefault="00477B14" w:rsidP="00B76905">
      <w:pPr>
        <w:numPr>
          <w:ilvl w:val="0"/>
          <w:numId w:val="93"/>
        </w:numPr>
        <w:contextualSpacing/>
        <w:rPr>
          <w:rFonts w:eastAsia="Aptos" w:cs="Arial"/>
          <w:lang w:eastAsia="en-GB"/>
        </w:rPr>
      </w:pPr>
      <w:r w:rsidRPr="00477B14">
        <w:rPr>
          <w:rFonts w:eastAsia="Aptos" w:cs="Arial"/>
          <w:lang w:eastAsia="en-GB"/>
        </w:rPr>
        <w:t>Mental health difficulties are higher amongst lesbian, gay, bisexual, queer and allies. In 2024 bisexual students had the highest rate (30%), followed by lesbian students (29%).</w:t>
      </w:r>
    </w:p>
    <w:p w14:paraId="5E42D5E1" w14:textId="77777777" w:rsidR="00477B14" w:rsidRPr="00477B14" w:rsidRDefault="00477B14" w:rsidP="00B76905">
      <w:pPr>
        <w:numPr>
          <w:ilvl w:val="0"/>
          <w:numId w:val="94"/>
        </w:numPr>
        <w:contextualSpacing/>
        <w:rPr>
          <w:rFonts w:eastAsia="Aptos" w:cs="Arial"/>
          <w:lang w:eastAsia="en-GB"/>
        </w:rPr>
      </w:pPr>
      <w:r w:rsidRPr="00477B14">
        <w:rPr>
          <w:rFonts w:eastAsia="Aptos" w:cs="Arial"/>
          <w:lang w:eastAsia="en-GB"/>
        </w:rPr>
        <w:t xml:space="preserve">More than half of non-binary students and queer-identifying students now experience mental health difficulties. </w:t>
      </w:r>
    </w:p>
    <w:p w14:paraId="451411BF" w14:textId="77777777" w:rsidR="00477B14" w:rsidRPr="00477B14" w:rsidRDefault="00477B14" w:rsidP="00B76905">
      <w:pPr>
        <w:numPr>
          <w:ilvl w:val="0"/>
          <w:numId w:val="94"/>
        </w:numPr>
        <w:contextualSpacing/>
        <w:rPr>
          <w:rFonts w:eastAsia="Aptos" w:cs="Arial"/>
          <w:lang w:eastAsia="en-GB"/>
        </w:rPr>
      </w:pPr>
      <w:r w:rsidRPr="00477B14">
        <w:rPr>
          <w:rFonts w:eastAsia="Aptos" w:cs="Arial"/>
          <w:lang w:eastAsia="en-GB"/>
        </w:rPr>
        <w:lastRenderedPageBreak/>
        <w:t>Female students are twice as likely to report mental health difficulties (22%) compared to male students (11%), and the gap has increased compared to 2023</w:t>
      </w:r>
      <w:r w:rsidRPr="00477B14">
        <w:rPr>
          <w:rFonts w:eastAsia="Aptos" w:cs="Arial"/>
        </w:rPr>
        <w:t>. D</w:t>
      </w:r>
      <w:r w:rsidRPr="00477B14">
        <w:rPr>
          <w:rFonts w:eastAsia="Aptos" w:cs="Arial"/>
          <w:lang w:eastAsia="en-GB"/>
        </w:rPr>
        <w:t>eath by suicide is more prevalent among young men than young women, suggesting a highly acute need for support among male students.</w:t>
      </w:r>
    </w:p>
    <w:p w14:paraId="2DF9B3A4" w14:textId="77777777" w:rsidR="00477B14" w:rsidRPr="00477B14" w:rsidRDefault="00477B14" w:rsidP="00B76905">
      <w:pPr>
        <w:numPr>
          <w:ilvl w:val="0"/>
          <w:numId w:val="94"/>
        </w:numPr>
        <w:contextualSpacing/>
        <w:rPr>
          <w:rFonts w:eastAsia="Aptos" w:cs="Arial"/>
          <w:lang w:eastAsia="en-GB"/>
        </w:rPr>
      </w:pPr>
      <w:r w:rsidRPr="00477B14">
        <w:rPr>
          <w:rFonts w:eastAsia="Aptos" w:cs="Arial"/>
          <w:lang w:eastAsia="en-GB"/>
        </w:rPr>
        <w:t xml:space="preserve">Of 40,810 students asked if they had considered dropping out of university, 11,424 (27.9%) said they had with the most common reason stated as mental health difficulties. This reason was significantly greater than all other reasons, including financial difficulties. </w:t>
      </w:r>
    </w:p>
    <w:p w14:paraId="5F6D5997" w14:textId="77777777" w:rsidR="00477B14" w:rsidRPr="00477B14" w:rsidRDefault="00477B14" w:rsidP="00B76905">
      <w:pPr>
        <w:numPr>
          <w:ilvl w:val="0"/>
          <w:numId w:val="94"/>
        </w:numPr>
        <w:contextualSpacing/>
        <w:rPr>
          <w:rFonts w:eastAsia="Aptos" w:cs="Arial"/>
          <w:lang w:eastAsia="en-GB"/>
        </w:rPr>
      </w:pPr>
      <w:r w:rsidRPr="00477B14">
        <w:rPr>
          <w:rFonts w:eastAsia="Aptos" w:cs="Arial"/>
          <w:lang w:eastAsia="en-GB"/>
        </w:rPr>
        <w:t xml:space="preserve">The 2024 data show the proportion of students who have considered dropping out has fallen after previous years of fairly consistent rates. </w:t>
      </w:r>
    </w:p>
    <w:p w14:paraId="0112ECD9" w14:textId="77777777" w:rsidR="00477B14" w:rsidRPr="00477B14" w:rsidRDefault="00477B14" w:rsidP="00E232AA">
      <w:pPr>
        <w:contextualSpacing/>
        <w:rPr>
          <w:rFonts w:eastAsia="Aptos" w:cs="Arial"/>
        </w:rPr>
      </w:pPr>
    </w:p>
    <w:p w14:paraId="4E14DF07" w14:textId="77777777" w:rsidR="00477B14" w:rsidRPr="00D0306F" w:rsidRDefault="00477B14" w:rsidP="00E15BF3">
      <w:pPr>
        <w:rPr>
          <w:b/>
          <w:bCs/>
          <w:sz w:val="26"/>
          <w:szCs w:val="26"/>
        </w:rPr>
      </w:pPr>
      <w:r w:rsidRPr="00D0306F">
        <w:rPr>
          <w:b/>
          <w:bCs/>
          <w:sz w:val="26"/>
          <w:szCs w:val="26"/>
        </w:rPr>
        <w:t>4.11 Offenders and children and young people in contact with the Youth Justice System</w:t>
      </w:r>
    </w:p>
    <w:p w14:paraId="11BCF11B" w14:textId="77777777" w:rsidR="00477B14" w:rsidRPr="00477B14" w:rsidRDefault="00477B14" w:rsidP="00E232AA">
      <w:pPr>
        <w:contextualSpacing/>
        <w:rPr>
          <w:rFonts w:eastAsia="Aptos" w:cs="Arial"/>
          <w:b/>
          <w:bCs/>
        </w:rPr>
      </w:pPr>
    </w:p>
    <w:p w14:paraId="187A446B" w14:textId="77777777" w:rsidR="00477B14" w:rsidRPr="00477B14" w:rsidRDefault="00477B14" w:rsidP="00E232AA">
      <w:pPr>
        <w:contextualSpacing/>
        <w:rPr>
          <w:rFonts w:eastAsia="Aptos" w:cs="Arial"/>
        </w:rPr>
      </w:pPr>
      <w:r w:rsidRPr="00477B14">
        <w:rPr>
          <w:rFonts w:eastAsia="Aptos" w:cs="Arial"/>
        </w:rPr>
        <w:t>Swansea Bay University Health Board has one local prison located in its area – His Majesty’s Prison (HMP) Swansea. It is a Victorian prison located in the centre of the city of Swansea. As is typical of this type of establishment, the site is cramped, however modernisation and upgrades have occurred including the opening of G Wing (60 places) in September 2015. The prison is a Category B/C. The operational capacity of HMP Swansea (defined as the maximum number of prisoners that can be held without serious risk to safety, security, good order and the proper running of the planned regime) is reported as 475</w:t>
      </w:r>
      <w:r w:rsidRPr="00477B14">
        <w:rPr>
          <w:rFonts w:eastAsia="Aptos" w:cs="Arial"/>
          <w:vertAlign w:val="superscript"/>
        </w:rPr>
        <w:footnoteReference w:id="191"/>
      </w:r>
      <w:r w:rsidRPr="00477B14">
        <w:rPr>
          <w:rFonts w:eastAsia="Aptos" w:cs="Arial"/>
        </w:rPr>
        <w:t xml:space="preserve">. </w:t>
      </w:r>
    </w:p>
    <w:p w14:paraId="259F8BC6" w14:textId="77777777" w:rsidR="00477B14" w:rsidRPr="00477B14" w:rsidRDefault="00477B14" w:rsidP="00E232AA">
      <w:pPr>
        <w:contextualSpacing/>
        <w:rPr>
          <w:rFonts w:eastAsia="Aptos" w:cs="Arial"/>
        </w:rPr>
      </w:pPr>
    </w:p>
    <w:p w14:paraId="74C1E8AB" w14:textId="77777777" w:rsidR="00477B14" w:rsidRPr="00477B14" w:rsidRDefault="00477B14" w:rsidP="00E232AA">
      <w:pPr>
        <w:contextualSpacing/>
        <w:rPr>
          <w:rFonts w:eastAsia="Aptos" w:cs="Arial"/>
        </w:rPr>
      </w:pPr>
      <w:r w:rsidRPr="00477B14">
        <w:rPr>
          <w:rFonts w:eastAsia="Aptos" w:cs="Arial"/>
        </w:rPr>
        <w:t>When it comes to considering health needs in any one establishment, the length of stay is often more relevant than the length of sentence. 79% of current residents have been in HMP Swansea for under six months. This places the main emphasis of healthcare on the identification and management of immediate health needs. Stays of a short length make it more difficult to pick up on hidden and long-term conditions, particularly those where screening may be infrequent.</w:t>
      </w:r>
    </w:p>
    <w:p w14:paraId="4E07DBBC" w14:textId="77777777" w:rsidR="00477B14" w:rsidRPr="00477B14" w:rsidRDefault="00477B14" w:rsidP="00E232AA">
      <w:pPr>
        <w:contextualSpacing/>
        <w:rPr>
          <w:rFonts w:eastAsia="Aptos" w:cs="Arial"/>
        </w:rPr>
      </w:pPr>
    </w:p>
    <w:p w14:paraId="1E859FA1" w14:textId="77777777" w:rsidR="00477B14" w:rsidRPr="00477B14" w:rsidRDefault="00477B14" w:rsidP="00E232AA">
      <w:pPr>
        <w:contextualSpacing/>
        <w:rPr>
          <w:rFonts w:eastAsia="Aptos" w:cs="Arial"/>
        </w:rPr>
      </w:pPr>
      <w:r w:rsidRPr="00477B14">
        <w:rPr>
          <w:rFonts w:eastAsia="Aptos" w:cs="Arial"/>
        </w:rPr>
        <w:t>Public Health Wales 2019 response to the Health, Social Care and Sport Committee inquiry into the provision of health and social care in the adult prison estate</w:t>
      </w:r>
      <w:r w:rsidRPr="00477B14">
        <w:rPr>
          <w:rFonts w:eastAsia="Aptos" w:cs="Arial"/>
          <w:vertAlign w:val="superscript"/>
        </w:rPr>
        <w:footnoteReference w:id="192"/>
      </w:r>
      <w:r w:rsidRPr="00477B14">
        <w:rPr>
          <w:rFonts w:eastAsia="Aptos" w:cs="Arial"/>
        </w:rPr>
        <w:t xml:space="preserve"> highlighted the following health needs.</w:t>
      </w:r>
    </w:p>
    <w:p w14:paraId="07499F49" w14:textId="77777777" w:rsidR="00477B14" w:rsidRPr="00477B14" w:rsidRDefault="00477B14" w:rsidP="00E232AA">
      <w:pPr>
        <w:contextualSpacing/>
        <w:rPr>
          <w:rFonts w:eastAsia="Aptos" w:cs="Arial"/>
        </w:rPr>
      </w:pPr>
    </w:p>
    <w:p w14:paraId="2E70650C" w14:textId="77777777" w:rsidR="00477B14" w:rsidRPr="00477B14" w:rsidRDefault="00477B14" w:rsidP="00B76905">
      <w:pPr>
        <w:numPr>
          <w:ilvl w:val="0"/>
          <w:numId w:val="95"/>
        </w:numPr>
        <w:contextualSpacing/>
        <w:rPr>
          <w:rFonts w:eastAsia="Aptos" w:cs="Arial"/>
        </w:rPr>
      </w:pPr>
      <w:r w:rsidRPr="00477B14">
        <w:rPr>
          <w:rFonts w:eastAsia="Aptos" w:cs="Arial"/>
        </w:rPr>
        <w:t>The rapid movement of men between prisons, and between prison and community, often with very short or not notice has implications for the ability to provide seamless continuity of care.</w:t>
      </w:r>
    </w:p>
    <w:p w14:paraId="28E159AC" w14:textId="77777777" w:rsidR="00477B14" w:rsidRPr="00477B14" w:rsidRDefault="00477B14" w:rsidP="00B76905">
      <w:pPr>
        <w:numPr>
          <w:ilvl w:val="0"/>
          <w:numId w:val="95"/>
        </w:numPr>
        <w:contextualSpacing/>
        <w:rPr>
          <w:rFonts w:eastAsia="Aptos" w:cs="Arial"/>
        </w:rPr>
      </w:pPr>
      <w:r w:rsidRPr="00477B14">
        <w:rPr>
          <w:rFonts w:eastAsia="Aptos" w:cs="Arial"/>
        </w:rPr>
        <w:t>Prisons are globally recognised as high-risk settings for communicable disease and should be offering routine screening, treatment, and vaccination.</w:t>
      </w:r>
    </w:p>
    <w:p w14:paraId="6839ECEE" w14:textId="77777777" w:rsidR="00477B14" w:rsidRPr="00477B14" w:rsidRDefault="00477B14" w:rsidP="00B76905">
      <w:pPr>
        <w:numPr>
          <w:ilvl w:val="0"/>
          <w:numId w:val="95"/>
        </w:numPr>
        <w:contextualSpacing/>
        <w:rPr>
          <w:rFonts w:eastAsia="Aptos" w:cs="Arial"/>
        </w:rPr>
      </w:pPr>
      <w:r w:rsidRPr="00477B14">
        <w:rPr>
          <w:rFonts w:eastAsia="Aptos" w:cs="Arial"/>
        </w:rPr>
        <w:t>Prisons in Wales remain high-risk settings for tuberculosis.</w:t>
      </w:r>
    </w:p>
    <w:p w14:paraId="11435150" w14:textId="77777777" w:rsidR="00477B14" w:rsidRPr="00477B14" w:rsidRDefault="00477B14" w:rsidP="00B76905">
      <w:pPr>
        <w:numPr>
          <w:ilvl w:val="0"/>
          <w:numId w:val="95"/>
        </w:numPr>
        <w:contextualSpacing/>
        <w:rPr>
          <w:rFonts w:eastAsia="Aptos" w:cs="Arial"/>
        </w:rPr>
      </w:pPr>
      <w:r w:rsidRPr="00477B14">
        <w:rPr>
          <w:rFonts w:eastAsia="Aptos" w:cs="Arial"/>
        </w:rPr>
        <w:t>Variable provision of sexual health services in Wales.</w:t>
      </w:r>
    </w:p>
    <w:p w14:paraId="5E931E49" w14:textId="77777777" w:rsidR="00477B14" w:rsidRPr="00477B14" w:rsidRDefault="00477B14" w:rsidP="00B76905">
      <w:pPr>
        <w:numPr>
          <w:ilvl w:val="0"/>
          <w:numId w:val="95"/>
        </w:numPr>
        <w:contextualSpacing/>
        <w:rPr>
          <w:rFonts w:eastAsia="Aptos" w:cs="Arial"/>
        </w:rPr>
      </w:pPr>
      <w:r w:rsidRPr="00477B14">
        <w:rPr>
          <w:rFonts w:eastAsia="Aptos" w:cs="Arial"/>
        </w:rPr>
        <w:t>This in prison are more likely to have used drugs compared with the general population, and they are more likely to have engaged in risky forms of drug use, such as injecting. Although some prisoners do stop or reduce their use of drugs on prison entry, others initiate drug use or engage in more damaging behaviours when they are incarcerated.</w:t>
      </w:r>
    </w:p>
    <w:p w14:paraId="4CFDC783" w14:textId="77777777" w:rsidR="00477B14" w:rsidRPr="00477B14" w:rsidRDefault="00477B14" w:rsidP="00E232AA">
      <w:pPr>
        <w:contextualSpacing/>
        <w:rPr>
          <w:rFonts w:eastAsia="Aptos" w:cs="Arial"/>
        </w:rPr>
      </w:pPr>
    </w:p>
    <w:p w14:paraId="3EDBC322" w14:textId="77777777" w:rsidR="00477B14" w:rsidRPr="00477B14" w:rsidRDefault="00477B14" w:rsidP="00E232AA">
      <w:pPr>
        <w:contextualSpacing/>
        <w:rPr>
          <w:rFonts w:eastAsia="Aptos" w:cs="Arial"/>
        </w:rPr>
      </w:pPr>
      <w:r w:rsidRPr="00477B14">
        <w:rPr>
          <w:rFonts w:eastAsia="Aptos" w:cs="Arial"/>
        </w:rPr>
        <w:t>Work by Public Health Wales</w:t>
      </w:r>
      <w:r w:rsidRPr="00477B14">
        <w:rPr>
          <w:rFonts w:eastAsia="Aptos" w:cs="Arial"/>
          <w:vertAlign w:val="superscript"/>
        </w:rPr>
        <w:footnoteReference w:id="193"/>
      </w:r>
      <w:r w:rsidRPr="00477B14">
        <w:rPr>
          <w:rFonts w:eastAsia="Aptos" w:cs="Arial"/>
        </w:rPr>
        <w:t xml:space="preserve"> highlights the high dental need and significant barriers to receiving dental care faced by people in contact with the criminal justice system. Being in prison offers an opportunity to engage with dental services, often for the first time in many years. However, prisoners may be released before their course of treatment is completed, and it is currently extremely challenging for that treatment to be continued within the community.</w:t>
      </w:r>
    </w:p>
    <w:p w14:paraId="0FD9C154" w14:textId="77777777" w:rsidR="00477B14" w:rsidRPr="00477B14" w:rsidRDefault="00477B14" w:rsidP="00E232AA">
      <w:pPr>
        <w:contextualSpacing/>
        <w:rPr>
          <w:rFonts w:eastAsia="Aptos" w:cs="Arial"/>
        </w:rPr>
      </w:pPr>
    </w:p>
    <w:p w14:paraId="2FDA5C0E" w14:textId="77777777" w:rsidR="00477B14" w:rsidRPr="00477B14" w:rsidRDefault="00477B14" w:rsidP="00E232AA">
      <w:pPr>
        <w:contextualSpacing/>
        <w:rPr>
          <w:rFonts w:eastAsia="Aptos" w:cs="Arial"/>
        </w:rPr>
      </w:pPr>
      <w:r w:rsidRPr="00477B14">
        <w:rPr>
          <w:rFonts w:eastAsia="Aptos" w:cs="Arial"/>
        </w:rPr>
        <w:t>A study led by University of Oxford</w:t>
      </w:r>
      <w:r w:rsidRPr="00477B14">
        <w:rPr>
          <w:rFonts w:eastAsia="Aptos" w:cs="Arial"/>
          <w:vertAlign w:val="superscript"/>
        </w:rPr>
        <w:footnoteReference w:id="194"/>
      </w:r>
      <w:r w:rsidRPr="00477B14">
        <w:rPr>
          <w:rFonts w:eastAsia="Aptos" w:cs="Arial"/>
        </w:rPr>
        <w:t xml:space="preserve"> showed that people in prison are in poor physical and mental health, with mental disorders twice as prevalent as in the general population.</w:t>
      </w:r>
    </w:p>
    <w:p w14:paraId="670A42D3" w14:textId="77777777" w:rsidR="00477B14" w:rsidRPr="00477B14" w:rsidRDefault="00477B14" w:rsidP="00E232AA">
      <w:pPr>
        <w:contextualSpacing/>
        <w:rPr>
          <w:rFonts w:eastAsia="Aptos" w:cs="Arial"/>
        </w:rPr>
      </w:pPr>
    </w:p>
    <w:p w14:paraId="0FB28C45" w14:textId="77777777" w:rsidR="00477B14" w:rsidRPr="00477B14" w:rsidRDefault="00477B14" w:rsidP="00B76905">
      <w:pPr>
        <w:numPr>
          <w:ilvl w:val="0"/>
          <w:numId w:val="96"/>
        </w:numPr>
        <w:contextualSpacing/>
        <w:rPr>
          <w:rFonts w:eastAsia="Aptos" w:cs="Arial"/>
        </w:rPr>
      </w:pPr>
      <w:r w:rsidRPr="00477B14">
        <w:rPr>
          <w:rFonts w:eastAsia="Aptos" w:cs="Arial"/>
        </w:rPr>
        <w:t>11.4% had depression, as compared to 6-8% in the general population.</w:t>
      </w:r>
    </w:p>
    <w:p w14:paraId="4FBBF0F5" w14:textId="77777777" w:rsidR="00477B14" w:rsidRPr="00477B14" w:rsidRDefault="00477B14" w:rsidP="00B76905">
      <w:pPr>
        <w:numPr>
          <w:ilvl w:val="0"/>
          <w:numId w:val="96"/>
        </w:numPr>
        <w:contextualSpacing/>
        <w:rPr>
          <w:rFonts w:eastAsia="Aptos" w:cs="Arial"/>
        </w:rPr>
      </w:pPr>
      <w:r w:rsidRPr="00477B14">
        <w:rPr>
          <w:rFonts w:eastAsia="Aptos" w:cs="Arial"/>
        </w:rPr>
        <w:t>9.8% had post-traumatic stress disorder and 3.7% had a psychotic disorder (also at least double the rate in the general population).</w:t>
      </w:r>
    </w:p>
    <w:p w14:paraId="7817C230" w14:textId="77777777" w:rsidR="00477B14" w:rsidRPr="00477B14" w:rsidRDefault="00477B14" w:rsidP="00B76905">
      <w:pPr>
        <w:numPr>
          <w:ilvl w:val="0"/>
          <w:numId w:val="96"/>
        </w:numPr>
        <w:contextualSpacing/>
        <w:rPr>
          <w:rFonts w:eastAsia="Aptos" w:cs="Arial"/>
        </w:rPr>
      </w:pPr>
      <w:r w:rsidRPr="00477B14">
        <w:rPr>
          <w:rFonts w:eastAsia="Aptos" w:cs="Arial"/>
        </w:rPr>
        <w:t>Nearly one in four (23.8%) had an alcohol use disorder and 38.9 per cent had a drug use disorder on entry to prison.</w:t>
      </w:r>
    </w:p>
    <w:p w14:paraId="4281ADD0" w14:textId="77777777" w:rsidR="00477B14" w:rsidRPr="00477B14" w:rsidRDefault="00477B14" w:rsidP="00E232AA">
      <w:pPr>
        <w:contextualSpacing/>
        <w:rPr>
          <w:rFonts w:eastAsia="Aptos" w:cs="Arial"/>
        </w:rPr>
      </w:pPr>
    </w:p>
    <w:p w14:paraId="03F5E081" w14:textId="77777777" w:rsidR="00477B14" w:rsidRPr="00477B14" w:rsidRDefault="00477B14" w:rsidP="00E232AA">
      <w:pPr>
        <w:contextualSpacing/>
        <w:rPr>
          <w:rFonts w:eastAsia="Aptos" w:cs="Arial"/>
        </w:rPr>
      </w:pPr>
      <w:r w:rsidRPr="00477B14">
        <w:rPr>
          <w:rFonts w:eastAsia="Aptos" w:cs="Arial"/>
        </w:rPr>
        <w:t xml:space="preserve">Children and young people in contact with the youth justice system can have more health and wellbeing needs than other children of their age. They have often missed out on early attention to these needs. They frequently face a range of other, often entrenched, difficulties, including school exclusion, fragmented family relationships, bereavement, unstable living conditions, and poor or harmful parenting that might be linked to parental poverty, substance misuse and mental health problems. </w:t>
      </w:r>
    </w:p>
    <w:p w14:paraId="0AB26379" w14:textId="77777777" w:rsidR="00477B14" w:rsidRPr="00477B14" w:rsidRDefault="00477B14" w:rsidP="00E232AA">
      <w:pPr>
        <w:contextualSpacing/>
        <w:rPr>
          <w:rFonts w:eastAsia="Aptos" w:cs="Arial"/>
        </w:rPr>
      </w:pPr>
    </w:p>
    <w:p w14:paraId="789ECBAE" w14:textId="77777777" w:rsidR="00477B14" w:rsidRPr="00477B14" w:rsidRDefault="00477B14" w:rsidP="00E232AA">
      <w:pPr>
        <w:contextualSpacing/>
        <w:rPr>
          <w:rFonts w:eastAsia="Aptos" w:cs="Arial"/>
        </w:rPr>
      </w:pPr>
      <w:r w:rsidRPr="00477B14">
        <w:rPr>
          <w:rFonts w:eastAsia="Aptos" w:cs="Arial"/>
        </w:rPr>
        <w:t>Many of the children and young people in contact with the youth justice system may also be known to children’s social care and be among those children and young people who are not in education, employment or training.</w:t>
      </w:r>
    </w:p>
    <w:p w14:paraId="7EF8D149" w14:textId="77777777" w:rsidR="00477B14" w:rsidRPr="00477B14" w:rsidRDefault="00477B14" w:rsidP="00E232AA">
      <w:pPr>
        <w:contextualSpacing/>
        <w:rPr>
          <w:rFonts w:eastAsia="Aptos" w:cs="Arial"/>
        </w:rPr>
      </w:pPr>
    </w:p>
    <w:p w14:paraId="2A81E01F" w14:textId="77777777" w:rsidR="00477B14" w:rsidRPr="00477B14" w:rsidRDefault="00477B14" w:rsidP="00E232AA">
      <w:pPr>
        <w:contextualSpacing/>
        <w:rPr>
          <w:rFonts w:eastAsia="Aptos" w:cs="Arial"/>
        </w:rPr>
      </w:pPr>
      <w:r w:rsidRPr="00477B14">
        <w:rPr>
          <w:rFonts w:eastAsia="Times New Roman" w:cs="Arial"/>
          <w:lang w:eastAsia="en-GB"/>
        </w:rPr>
        <w:t>On 28 January 2021, the Youth Justice Board published a second set of experimental statistics for 2019/2020</w:t>
      </w:r>
      <w:r w:rsidRPr="00477B14">
        <w:rPr>
          <w:rFonts w:eastAsia="Times New Roman" w:cs="Arial"/>
          <w:kern w:val="0"/>
          <w:vertAlign w:val="superscript"/>
          <w:lang w:eastAsia="en-GB"/>
          <w14:ligatures w14:val="none"/>
        </w:rPr>
        <w:footnoteReference w:id="195"/>
      </w:r>
      <w:r w:rsidRPr="00477B14">
        <w:rPr>
          <w:rFonts w:eastAsia="Times New Roman" w:cs="Arial"/>
          <w:lang w:eastAsia="en-GB"/>
        </w:rPr>
        <w:t xml:space="preserve">, (the first report </w:t>
      </w:r>
      <w:r w:rsidRPr="00477B14">
        <w:rPr>
          <w:rFonts w:eastAsia="Aptos" w:cs="Arial"/>
        </w:rPr>
        <w:t xml:space="preserve">on experimental statistics of the assessed needs of sentenced children in the Youth Justice System in England and Wales </w:t>
      </w:r>
      <w:r w:rsidRPr="00477B14">
        <w:rPr>
          <w:rFonts w:eastAsia="Times New Roman" w:cs="Arial"/>
          <w:lang w:eastAsia="en-GB"/>
        </w:rPr>
        <w:t>was published on 28 May 2020)</w:t>
      </w:r>
      <w:r w:rsidRPr="00477B14">
        <w:rPr>
          <w:rFonts w:eastAsia="Aptos" w:cs="Arial"/>
        </w:rPr>
        <w:t>, which showed the number of concerns each child had increased with the severity of the type of sentence received. For five of the 19 concerns, 71% of children were accessed to have a concern present. These were:</w:t>
      </w:r>
    </w:p>
    <w:p w14:paraId="537FCFD1" w14:textId="77777777" w:rsidR="00477B14" w:rsidRPr="00477B14" w:rsidRDefault="00477B14" w:rsidP="00E232AA">
      <w:pPr>
        <w:contextualSpacing/>
        <w:rPr>
          <w:rFonts w:eastAsia="Calibri" w:cs="Arial"/>
          <w:kern w:val="0"/>
          <w14:ligatures w14:val="none"/>
        </w:rPr>
      </w:pPr>
    </w:p>
    <w:p w14:paraId="6954547F" w14:textId="77777777" w:rsidR="00477B14" w:rsidRPr="00477B14" w:rsidRDefault="00477B14" w:rsidP="00B76905">
      <w:pPr>
        <w:numPr>
          <w:ilvl w:val="0"/>
          <w:numId w:val="97"/>
        </w:numPr>
        <w:contextualSpacing/>
        <w:rPr>
          <w:rFonts w:eastAsia="Calibri" w:cs="Arial"/>
          <w:kern w:val="0"/>
          <w14:ligatures w14:val="none"/>
        </w:rPr>
      </w:pPr>
      <w:r w:rsidRPr="00477B14">
        <w:rPr>
          <w:rFonts w:eastAsia="Calibri" w:cs="Arial"/>
          <w:kern w:val="0"/>
          <w14:ligatures w14:val="none"/>
        </w:rPr>
        <w:t xml:space="preserve">safety and wellbeing (90%), </w:t>
      </w:r>
    </w:p>
    <w:p w14:paraId="633A8897" w14:textId="77777777" w:rsidR="00477B14" w:rsidRPr="00477B14" w:rsidRDefault="00477B14" w:rsidP="00B76905">
      <w:pPr>
        <w:numPr>
          <w:ilvl w:val="0"/>
          <w:numId w:val="97"/>
        </w:numPr>
        <w:contextualSpacing/>
        <w:rPr>
          <w:rFonts w:eastAsia="Calibri" w:cs="Arial"/>
          <w:kern w:val="0"/>
          <w14:ligatures w14:val="none"/>
        </w:rPr>
      </w:pPr>
      <w:r w:rsidRPr="00477B14">
        <w:rPr>
          <w:rFonts w:eastAsia="Calibri" w:cs="Arial"/>
          <w:kern w:val="0"/>
          <w14:ligatures w14:val="none"/>
        </w:rPr>
        <w:t xml:space="preserve">risk to others (87%), </w:t>
      </w:r>
    </w:p>
    <w:p w14:paraId="5796FDBE" w14:textId="77777777" w:rsidR="00477B14" w:rsidRPr="00477B14" w:rsidRDefault="00477B14" w:rsidP="00B76905">
      <w:pPr>
        <w:numPr>
          <w:ilvl w:val="0"/>
          <w:numId w:val="97"/>
        </w:numPr>
        <w:contextualSpacing/>
        <w:rPr>
          <w:rFonts w:eastAsia="Calibri" w:cs="Arial"/>
          <w:kern w:val="0"/>
          <w14:ligatures w14:val="none"/>
        </w:rPr>
      </w:pPr>
      <w:r w:rsidRPr="00477B14">
        <w:rPr>
          <w:rFonts w:eastAsia="Calibri" w:cs="Arial"/>
          <w:kern w:val="0"/>
          <w14:ligatures w14:val="none"/>
        </w:rPr>
        <w:t xml:space="preserve">substance misuse (76%), </w:t>
      </w:r>
    </w:p>
    <w:p w14:paraId="569149A6" w14:textId="77777777" w:rsidR="00477B14" w:rsidRPr="00477B14" w:rsidRDefault="00477B14" w:rsidP="00B76905">
      <w:pPr>
        <w:numPr>
          <w:ilvl w:val="0"/>
          <w:numId w:val="97"/>
        </w:numPr>
        <w:contextualSpacing/>
        <w:rPr>
          <w:rFonts w:eastAsia="Calibri" w:cs="Arial"/>
          <w:kern w:val="0"/>
          <w14:ligatures w14:val="none"/>
        </w:rPr>
      </w:pPr>
      <w:r w:rsidRPr="00477B14">
        <w:rPr>
          <w:rFonts w:eastAsia="Calibri" w:cs="Arial"/>
          <w:kern w:val="0"/>
          <w14:ligatures w14:val="none"/>
        </w:rPr>
        <w:t xml:space="preserve">mental health (72%), and </w:t>
      </w:r>
    </w:p>
    <w:p w14:paraId="1EC3472A" w14:textId="77777777" w:rsidR="00477B14" w:rsidRPr="00477B14" w:rsidRDefault="00477B14" w:rsidP="00B76905">
      <w:pPr>
        <w:numPr>
          <w:ilvl w:val="0"/>
          <w:numId w:val="97"/>
        </w:numPr>
        <w:contextualSpacing/>
        <w:rPr>
          <w:rFonts w:eastAsia="Calibri" w:cs="Arial"/>
          <w:kern w:val="0"/>
          <w14:ligatures w14:val="none"/>
        </w:rPr>
      </w:pPr>
      <w:r w:rsidRPr="00477B14">
        <w:rPr>
          <w:rFonts w:eastAsia="Calibri" w:cs="Arial"/>
          <w:kern w:val="0"/>
          <w14:ligatures w14:val="none"/>
        </w:rPr>
        <w:t>speech, language and communication (71%).</w:t>
      </w:r>
    </w:p>
    <w:p w14:paraId="448DD247" w14:textId="77777777" w:rsidR="00477B14" w:rsidRPr="00477B14" w:rsidRDefault="00477B14" w:rsidP="00E232AA">
      <w:pPr>
        <w:contextualSpacing/>
        <w:rPr>
          <w:rFonts w:eastAsia="Calibri" w:cs="Arial"/>
          <w:kern w:val="0"/>
          <w14:ligatures w14:val="none"/>
        </w:rPr>
      </w:pPr>
    </w:p>
    <w:p w14:paraId="0FC8B43B" w14:textId="77777777" w:rsidR="00477B14" w:rsidRPr="00477B14" w:rsidRDefault="00477B14" w:rsidP="00E232AA">
      <w:pPr>
        <w:contextualSpacing/>
        <w:rPr>
          <w:rFonts w:eastAsia="Aptos" w:cs="Arial"/>
        </w:rPr>
      </w:pPr>
      <w:r w:rsidRPr="00477B14">
        <w:rPr>
          <w:rFonts w:eastAsia="Aptos" w:cs="Arial"/>
        </w:rPr>
        <w:lastRenderedPageBreak/>
        <w:t>Furthermore, over half (57%) of children were assessed to be a current or previous ‘child in need’;</w:t>
      </w:r>
      <w:r w:rsidRPr="00477B14">
        <w:rPr>
          <w:rFonts w:eastAsia="Times New Roman" w:cs="Arial"/>
          <w:lang w:eastAsia="en-GB"/>
        </w:rPr>
        <w:t xml:space="preserve"> 1% were considered to have a current status and around 38% had a previous status.</w:t>
      </w:r>
      <w:r w:rsidRPr="00477B14">
        <w:rPr>
          <w:rFonts w:eastAsia="Aptos" w:cs="Arial"/>
        </w:rPr>
        <w:t xml:space="preserve"> Almost a third (32%) were assessed as having a high or very high risk of serious harm rating, and almost half (46%) as having a high or very high safety and wellbeing rating.</w:t>
      </w:r>
    </w:p>
    <w:p w14:paraId="21B6E505" w14:textId="77777777" w:rsidR="00477B14" w:rsidRPr="00477B14" w:rsidRDefault="00477B14" w:rsidP="00E232AA">
      <w:pPr>
        <w:contextualSpacing/>
        <w:rPr>
          <w:rFonts w:eastAsia="Aptos" w:cs="Arial"/>
          <w:b/>
          <w:bCs/>
        </w:rPr>
      </w:pPr>
    </w:p>
    <w:p w14:paraId="007CC364" w14:textId="77777777" w:rsidR="00477B14" w:rsidRPr="00477B14" w:rsidRDefault="00477B14" w:rsidP="00E232AA">
      <w:pPr>
        <w:contextualSpacing/>
        <w:rPr>
          <w:rFonts w:eastAsia="Aptos" w:cs="Arial"/>
        </w:rPr>
      </w:pPr>
      <w:r w:rsidRPr="00477B14">
        <w:rPr>
          <w:rFonts w:eastAsia="Aptos" w:cs="Arial"/>
        </w:rPr>
        <w:t>For vulnerable children and young people, including those in contact with the youth justice system, wellbeing is about strengthening the protective factors in their life and improving their resilience to the risk factors and setbacks that feature so largely and are likely to have a continuing adverse impact on their long-term development. Wellbeing is also about children feeling secure about their personal identity and culture. Due attention to their health and wellbeing needs should help reduce health inequalities and reduce the risk of re-offending by young people.</w:t>
      </w:r>
    </w:p>
    <w:p w14:paraId="4D608D3F" w14:textId="77777777" w:rsidR="00477B14" w:rsidRPr="00477B14" w:rsidRDefault="00477B14" w:rsidP="00E232AA">
      <w:pPr>
        <w:contextualSpacing/>
        <w:rPr>
          <w:rFonts w:eastAsia="Aptos" w:cs="Arial"/>
        </w:rPr>
      </w:pPr>
    </w:p>
    <w:p w14:paraId="0C179364" w14:textId="77777777" w:rsidR="00477B14" w:rsidRPr="00D0306F" w:rsidRDefault="00477B14" w:rsidP="00E15BF3">
      <w:pPr>
        <w:rPr>
          <w:b/>
          <w:bCs/>
          <w:sz w:val="26"/>
          <w:szCs w:val="26"/>
        </w:rPr>
      </w:pPr>
      <w:r w:rsidRPr="00D0306F">
        <w:rPr>
          <w:b/>
          <w:bCs/>
          <w:sz w:val="26"/>
          <w:szCs w:val="26"/>
        </w:rPr>
        <w:t>4.12 Homeless and rough sleepers</w:t>
      </w:r>
    </w:p>
    <w:p w14:paraId="7F7E18AC" w14:textId="77777777" w:rsidR="00477B14" w:rsidRPr="00477B14" w:rsidRDefault="00477B14" w:rsidP="00E232AA">
      <w:pPr>
        <w:contextualSpacing/>
        <w:rPr>
          <w:rFonts w:eastAsia="Aptos" w:cs="Arial"/>
        </w:rPr>
      </w:pPr>
    </w:p>
    <w:p w14:paraId="23858B47" w14:textId="77777777" w:rsidR="00477B14" w:rsidRPr="00477B14" w:rsidRDefault="00477B14" w:rsidP="00E232AA">
      <w:pPr>
        <w:contextualSpacing/>
        <w:rPr>
          <w:rFonts w:eastAsia="Aptos" w:cs="Arial"/>
        </w:rPr>
      </w:pPr>
      <w:r w:rsidRPr="00477B14">
        <w:rPr>
          <w:rFonts w:eastAsia="Aptos" w:cs="Arial"/>
        </w:rPr>
        <w:t xml:space="preserve">Sleeping rough is dangerous and is seriously detrimental to a person’s physical and mental health. </w:t>
      </w:r>
      <w:r w:rsidRPr="00477B14">
        <w:rPr>
          <w:rFonts w:eastAsia="Calibri" w:cs="Arial"/>
          <w:kern w:val="0"/>
          <w14:ligatures w14:val="none"/>
        </w:rPr>
        <w:t>Research by the homeless charity Crisis</w:t>
      </w:r>
      <w:r w:rsidRPr="00477B14">
        <w:rPr>
          <w:rFonts w:eastAsia="Calibri" w:cs="Arial"/>
          <w:kern w:val="0"/>
          <w:vertAlign w:val="superscript"/>
          <w14:ligatures w14:val="none"/>
        </w:rPr>
        <w:footnoteReference w:id="196"/>
      </w:r>
      <w:r w:rsidRPr="00477B14">
        <w:rPr>
          <w:rFonts w:eastAsia="Calibri" w:cs="Arial"/>
          <w:kern w:val="0"/>
          <w14:ligatures w14:val="none"/>
        </w:rPr>
        <w:t>, found that p</w:t>
      </w:r>
      <w:r w:rsidRPr="00477B14">
        <w:rPr>
          <w:rFonts w:eastAsia="Aptos" w:cs="Arial"/>
        </w:rPr>
        <w:t>eople who sleep rough are 17 times more likely to be victims of violence than the general public. More than one in three people sleeping rough have been deliberately hit or kicked or experienced some other form of violence whilst homeless. Homeless people are over nine times more likely to take their own life than the general population.</w:t>
      </w:r>
    </w:p>
    <w:p w14:paraId="553CE1F5" w14:textId="77777777" w:rsidR="00477B14" w:rsidRPr="00477B14" w:rsidRDefault="00477B14" w:rsidP="00E232AA">
      <w:pPr>
        <w:contextualSpacing/>
        <w:rPr>
          <w:rFonts w:eastAsia="Times New Roman" w:cs="Arial"/>
          <w:kern w:val="0"/>
          <w:lang w:eastAsia="en-GB"/>
          <w14:ligatures w14:val="none"/>
        </w:rPr>
      </w:pPr>
    </w:p>
    <w:p w14:paraId="1BB55291" w14:textId="77777777" w:rsidR="00477B14" w:rsidRPr="00477B14" w:rsidRDefault="00477B14" w:rsidP="00E232AA">
      <w:pPr>
        <w:contextualSpacing/>
        <w:rPr>
          <w:rFonts w:eastAsia="Times New Roman" w:cs="Arial"/>
          <w:kern w:val="0"/>
          <w:lang w:eastAsia="en-GB"/>
          <w14:ligatures w14:val="none"/>
        </w:rPr>
      </w:pPr>
      <w:r w:rsidRPr="00477B14">
        <w:rPr>
          <w:rFonts w:eastAsia="Times New Roman" w:cs="Arial"/>
          <w:kern w:val="0"/>
          <w:lang w:eastAsia="en-GB"/>
          <w14:ligatures w14:val="none"/>
        </w:rPr>
        <w:t>The average life expectancy for someone sleeping rough in Wales remains at 45 years for men and 43 years for women and has not improved since the 1990s. This is compared to the average life expectancy for the general population of 77.9 for males and 81.8 for females. The overall numbers of people who have died whilst homeless across the UK have increased by 9% with an average of four deaths every day of the year. 90 people died while homeless in Wales in 2024. The majority of homelessness deaths (55%) can now be classed as a ‘death of despair’ with more deaths by suicide being reported and evidence of a higher rate of drug related deaths. There are significant issues with psychoactive substances such as spice and synthetic opioids</w:t>
      </w:r>
      <w:r w:rsidRPr="00477B14">
        <w:rPr>
          <w:rFonts w:eastAsia="Times New Roman" w:cs="Arial"/>
          <w:kern w:val="0"/>
          <w:vertAlign w:val="superscript"/>
          <w:lang w:eastAsia="en-GB"/>
          <w14:ligatures w14:val="none"/>
        </w:rPr>
        <w:footnoteReference w:id="197"/>
      </w:r>
      <w:r w:rsidRPr="00477B14">
        <w:rPr>
          <w:rFonts w:eastAsia="Times New Roman" w:cs="Arial"/>
          <w:kern w:val="0"/>
          <w:lang w:eastAsia="en-GB"/>
          <w14:ligatures w14:val="none"/>
        </w:rPr>
        <w:t xml:space="preserve">. </w:t>
      </w:r>
    </w:p>
    <w:p w14:paraId="162D40FF" w14:textId="77777777" w:rsidR="00477B14" w:rsidRPr="00477B14" w:rsidRDefault="00477B14" w:rsidP="00E232AA">
      <w:pPr>
        <w:contextualSpacing/>
        <w:rPr>
          <w:rFonts w:eastAsia="Aptos" w:cs="Arial"/>
        </w:rPr>
      </w:pPr>
    </w:p>
    <w:p w14:paraId="61233294" w14:textId="77777777" w:rsidR="00477B14" w:rsidRPr="00477B14" w:rsidRDefault="00477B14" w:rsidP="00E232AA">
      <w:pPr>
        <w:contextualSpacing/>
        <w:rPr>
          <w:rFonts w:eastAsia="Calibri" w:cs="Arial"/>
          <w:kern w:val="0"/>
          <w14:ligatures w14:val="none"/>
        </w:rPr>
      </w:pPr>
      <w:r w:rsidRPr="00477B14">
        <w:rPr>
          <w:rFonts w:eastAsia="Calibri" w:cs="Arial"/>
          <w:kern w:val="0"/>
          <w14:ligatures w14:val="none"/>
        </w:rPr>
        <w:t>The monthly rough sleeper count is now published by Welsh Government</w:t>
      </w:r>
      <w:r w:rsidRPr="00477B14">
        <w:rPr>
          <w:rFonts w:eastAsia="Calibri" w:cs="Arial"/>
          <w:kern w:val="0"/>
          <w:vertAlign w:val="superscript"/>
          <w14:ligatures w14:val="none"/>
        </w:rPr>
        <w:footnoteReference w:id="198"/>
      </w:r>
      <w:r w:rsidRPr="00477B14">
        <w:rPr>
          <w:rFonts w:eastAsia="Calibri" w:cs="Arial"/>
          <w:kern w:val="0"/>
          <w14:ligatures w14:val="none"/>
        </w:rPr>
        <w:t xml:space="preserve">. Recent data shows that Neath Port Talbot had an average of six rough sleepers recorded in the six-month period (February – July 2025), with two rough sleepers reported as the highest number in one month, compared to Swansea which had 76 rough sleepers over the same six-month period, with 16 rough sleepers reported as the highest number in one month. </w:t>
      </w:r>
    </w:p>
    <w:p w14:paraId="1E583D98" w14:textId="77777777" w:rsidR="00477B14" w:rsidRPr="00477B14" w:rsidRDefault="00477B14" w:rsidP="00E232AA">
      <w:pPr>
        <w:contextualSpacing/>
        <w:rPr>
          <w:rFonts w:eastAsia="Aptos" w:cs="Arial"/>
          <w:b/>
          <w:bCs/>
        </w:rPr>
      </w:pPr>
    </w:p>
    <w:p w14:paraId="3A3FC44A" w14:textId="77777777" w:rsidR="00477B14" w:rsidRPr="00477B14" w:rsidRDefault="00477B14" w:rsidP="00E232AA">
      <w:pPr>
        <w:contextualSpacing/>
        <w:rPr>
          <w:rFonts w:eastAsia="Times New Roman" w:cs="Arial"/>
          <w:lang w:eastAsia="en-GB"/>
        </w:rPr>
      </w:pPr>
      <w:r w:rsidRPr="00477B14">
        <w:rPr>
          <w:rFonts w:eastAsia="Aptos" w:cs="Arial"/>
        </w:rPr>
        <w:t>According to a report by Centrepoint</w:t>
      </w:r>
      <w:r w:rsidRPr="00477B14">
        <w:rPr>
          <w:rFonts w:eastAsia="Aptos" w:cs="Arial"/>
          <w:vertAlign w:val="superscript"/>
        </w:rPr>
        <w:footnoteReference w:id="199"/>
      </w:r>
      <w:r w:rsidRPr="00477B14">
        <w:rPr>
          <w:rFonts w:eastAsia="Aptos" w:cs="Arial"/>
        </w:rPr>
        <w:t xml:space="preserve">, homeless young people are amongst the most socially disadvantaged in society. Previous research has shown that many </w:t>
      </w:r>
      <w:r w:rsidRPr="00477B14">
        <w:rPr>
          <w:rFonts w:eastAsia="Aptos" w:cs="Arial"/>
        </w:rPr>
        <w:lastRenderedPageBreak/>
        <w:t xml:space="preserve">have complex problems including substance misuse, mental and physical health problems, and have suffered abuse or experienced traumatic events. </w:t>
      </w:r>
    </w:p>
    <w:p w14:paraId="3B5A1D14" w14:textId="77777777" w:rsidR="00477B14" w:rsidRPr="00477B14" w:rsidRDefault="00477B14" w:rsidP="00E232AA">
      <w:pPr>
        <w:contextualSpacing/>
        <w:rPr>
          <w:rFonts w:eastAsia="Aptos" w:cs="Arial"/>
        </w:rPr>
      </w:pPr>
    </w:p>
    <w:p w14:paraId="0B1A6C13" w14:textId="77777777" w:rsidR="00477B14" w:rsidRPr="00477B14" w:rsidRDefault="00477B14" w:rsidP="00E232AA">
      <w:pPr>
        <w:contextualSpacing/>
        <w:rPr>
          <w:rFonts w:eastAsia="MS Mincho" w:cs="Arial"/>
          <w:lang w:eastAsia="en-GB"/>
        </w:rPr>
      </w:pPr>
      <w:r w:rsidRPr="00477B14">
        <w:rPr>
          <w:rFonts w:eastAsia="MS Mincho" w:cs="Arial"/>
          <w:lang w:eastAsia="en-GB"/>
        </w:rPr>
        <w:t>The key findings of a report by Homeless Link in 2022</w:t>
      </w:r>
      <w:r w:rsidRPr="00477B14">
        <w:rPr>
          <w:rFonts w:eastAsia="MS Mincho" w:cs="Arial"/>
          <w:vertAlign w:val="superscript"/>
          <w:lang w:eastAsia="en-GB"/>
        </w:rPr>
        <w:footnoteReference w:id="200"/>
      </w:r>
      <w:r w:rsidRPr="00477B14">
        <w:rPr>
          <w:rFonts w:eastAsia="MS Mincho" w:cs="Arial"/>
          <w:lang w:eastAsia="en-GB"/>
        </w:rPr>
        <w:t xml:space="preserve"> were as follows.</w:t>
      </w:r>
    </w:p>
    <w:p w14:paraId="0FB0C649" w14:textId="77777777" w:rsidR="00477B14" w:rsidRPr="00477B14" w:rsidRDefault="00477B14" w:rsidP="00E232AA">
      <w:pPr>
        <w:contextualSpacing/>
        <w:rPr>
          <w:rFonts w:eastAsia="Calibri" w:cs="Arial"/>
          <w:kern w:val="0"/>
          <w14:ligatures w14:val="none"/>
        </w:rPr>
      </w:pPr>
    </w:p>
    <w:p w14:paraId="0BB38689" w14:textId="77777777" w:rsidR="00477B14" w:rsidRPr="00477B14" w:rsidRDefault="00477B14" w:rsidP="00B76905">
      <w:pPr>
        <w:numPr>
          <w:ilvl w:val="0"/>
          <w:numId w:val="98"/>
        </w:numPr>
        <w:contextualSpacing/>
        <w:rPr>
          <w:rFonts w:eastAsia="Aptos" w:cs="Arial"/>
        </w:rPr>
      </w:pPr>
      <w:r w:rsidRPr="00477B14">
        <w:rPr>
          <w:rFonts w:eastAsia="Aptos" w:cs="Arial"/>
        </w:rPr>
        <w:t>People experiencing homelessness suffer from worse physical and mental health than the general population.</w:t>
      </w:r>
    </w:p>
    <w:p w14:paraId="013CE919" w14:textId="77777777" w:rsidR="00477B14" w:rsidRPr="00477B14" w:rsidRDefault="00477B14" w:rsidP="00B76905">
      <w:pPr>
        <w:numPr>
          <w:ilvl w:val="0"/>
          <w:numId w:val="98"/>
        </w:numPr>
        <w:contextualSpacing/>
        <w:rPr>
          <w:rFonts w:eastAsia="Aptos" w:cs="Arial"/>
        </w:rPr>
      </w:pPr>
      <w:r w:rsidRPr="00477B14">
        <w:rPr>
          <w:rFonts w:eastAsia="Aptos" w:cs="Arial"/>
        </w:rPr>
        <w:t>Between 2018 and 2021, 63% of respondents reported they had a long term illness, disability, or infirmity (22% in the general population).</w:t>
      </w:r>
    </w:p>
    <w:p w14:paraId="18C727D2" w14:textId="77777777" w:rsidR="00477B14" w:rsidRPr="00477B14" w:rsidRDefault="00477B14" w:rsidP="00B76905">
      <w:pPr>
        <w:numPr>
          <w:ilvl w:val="0"/>
          <w:numId w:val="98"/>
        </w:numPr>
        <w:contextualSpacing/>
        <w:rPr>
          <w:rFonts w:eastAsia="Aptos" w:cs="Arial"/>
        </w:rPr>
      </w:pPr>
      <w:r w:rsidRPr="00477B14">
        <w:rPr>
          <w:rFonts w:eastAsia="Aptos" w:cs="Arial"/>
        </w:rPr>
        <w:t>80% of those with a physical health condition reported having at least one comorbidity, with 29% having between five and ten diagnoses.</w:t>
      </w:r>
    </w:p>
    <w:p w14:paraId="2B4F5E8F" w14:textId="77777777" w:rsidR="00477B14" w:rsidRPr="00477B14" w:rsidRDefault="00477B14" w:rsidP="00B76905">
      <w:pPr>
        <w:numPr>
          <w:ilvl w:val="0"/>
          <w:numId w:val="98"/>
        </w:numPr>
        <w:contextualSpacing/>
        <w:rPr>
          <w:rFonts w:eastAsia="Aptos" w:cs="Arial"/>
        </w:rPr>
      </w:pPr>
      <w:r w:rsidRPr="00477B14">
        <w:rPr>
          <w:rFonts w:eastAsia="Aptos" w:cs="Arial"/>
        </w:rPr>
        <w:t>The most commonly reported condition was joint aches/problems with bones and muscles, followed by dental/teeth problems.</w:t>
      </w:r>
    </w:p>
    <w:p w14:paraId="1EEB6CEE" w14:textId="77777777" w:rsidR="00477B14" w:rsidRPr="00477B14" w:rsidRDefault="00477B14" w:rsidP="00B76905">
      <w:pPr>
        <w:numPr>
          <w:ilvl w:val="0"/>
          <w:numId w:val="98"/>
        </w:numPr>
        <w:contextualSpacing/>
        <w:rPr>
          <w:rFonts w:eastAsia="Aptos" w:cs="Arial"/>
        </w:rPr>
      </w:pPr>
      <w:r w:rsidRPr="00477B14">
        <w:rPr>
          <w:rFonts w:eastAsia="Aptos" w:cs="Arial"/>
        </w:rPr>
        <w:t>The number of people with a mental health diagnosis has increased substantially from 45% in 2014 to 82% in the 2018 – 2021 cohort (12% of the general population).</w:t>
      </w:r>
    </w:p>
    <w:p w14:paraId="48BEA18B" w14:textId="77777777" w:rsidR="00477B14" w:rsidRPr="00477B14" w:rsidRDefault="00477B14" w:rsidP="00B76905">
      <w:pPr>
        <w:numPr>
          <w:ilvl w:val="0"/>
          <w:numId w:val="98"/>
        </w:numPr>
        <w:contextualSpacing/>
        <w:rPr>
          <w:rFonts w:eastAsia="Aptos" w:cs="Arial"/>
        </w:rPr>
      </w:pPr>
      <w:r w:rsidRPr="00477B14">
        <w:rPr>
          <w:rFonts w:eastAsia="Aptos" w:cs="Arial"/>
        </w:rPr>
        <w:t>81% of those with a mental health condition reported experiencing at least two mental health conditions, with 17% reporting five or more.</w:t>
      </w:r>
    </w:p>
    <w:p w14:paraId="544820BB" w14:textId="77777777" w:rsidR="00477B14" w:rsidRPr="00477B14" w:rsidRDefault="00477B14" w:rsidP="00B76905">
      <w:pPr>
        <w:numPr>
          <w:ilvl w:val="0"/>
          <w:numId w:val="98"/>
        </w:numPr>
        <w:contextualSpacing/>
        <w:rPr>
          <w:rFonts w:eastAsia="Aptos" w:cs="Arial"/>
        </w:rPr>
      </w:pPr>
      <w:r w:rsidRPr="00477B14">
        <w:rPr>
          <w:rFonts w:eastAsia="Aptos" w:cs="Arial"/>
        </w:rPr>
        <w:t>45% of respondents reported they are self-medicating with drugs or alcohol to help them cope with their mental health.</w:t>
      </w:r>
    </w:p>
    <w:p w14:paraId="6E1C962C" w14:textId="77777777" w:rsidR="00477B14" w:rsidRPr="00477B14" w:rsidRDefault="00477B14" w:rsidP="00B76905">
      <w:pPr>
        <w:numPr>
          <w:ilvl w:val="0"/>
          <w:numId w:val="98"/>
        </w:numPr>
        <w:contextualSpacing/>
        <w:rPr>
          <w:rFonts w:eastAsia="Aptos" w:cs="Arial"/>
        </w:rPr>
      </w:pPr>
      <w:r w:rsidRPr="00477B14">
        <w:rPr>
          <w:rFonts w:eastAsia="Aptos" w:cs="Arial"/>
        </w:rPr>
        <w:t>Barriers in accessing needed support for physical and mental health means people experiencing homelessness are over reliant on emergency health care services, with 48% of respondents having used A&amp;E services in the last year: three times more than the general population.</w:t>
      </w:r>
    </w:p>
    <w:p w14:paraId="59BA19EF" w14:textId="77777777" w:rsidR="00477B14" w:rsidRPr="00477B14" w:rsidRDefault="00477B14" w:rsidP="00B76905">
      <w:pPr>
        <w:numPr>
          <w:ilvl w:val="0"/>
          <w:numId w:val="98"/>
        </w:numPr>
        <w:contextualSpacing/>
        <w:rPr>
          <w:rFonts w:eastAsia="Aptos" w:cs="Arial"/>
        </w:rPr>
      </w:pPr>
      <w:r w:rsidRPr="00477B14">
        <w:rPr>
          <w:rFonts w:eastAsia="Aptos" w:cs="Arial"/>
        </w:rPr>
        <w:t>Between 2018 and 2021 a total of 38% of respondents had been admitted to hospital in the 12 months before participating in a homeless health needs audit. The most common reason for hospital admission related to a physical health condition (37%), and 28% related to either a mental health condition or self-harm or attempted suicide.</w:t>
      </w:r>
    </w:p>
    <w:p w14:paraId="5381BAB8" w14:textId="77777777" w:rsidR="00477B14" w:rsidRPr="00477B14" w:rsidRDefault="00477B14" w:rsidP="00B76905">
      <w:pPr>
        <w:numPr>
          <w:ilvl w:val="0"/>
          <w:numId w:val="98"/>
        </w:numPr>
        <w:contextualSpacing/>
        <w:rPr>
          <w:rFonts w:eastAsia="Aptos" w:cs="Arial"/>
        </w:rPr>
      </w:pPr>
      <w:r w:rsidRPr="00477B14">
        <w:rPr>
          <w:rFonts w:eastAsia="Aptos" w:cs="Arial"/>
        </w:rPr>
        <w:t>For those who had been admitted to hospital nearly a quarter (24%) had been discharged to the streets.</w:t>
      </w:r>
    </w:p>
    <w:p w14:paraId="32E4F6F7" w14:textId="77777777" w:rsidR="00477B14" w:rsidRPr="00477B14" w:rsidRDefault="00477B14" w:rsidP="00B76905">
      <w:pPr>
        <w:numPr>
          <w:ilvl w:val="0"/>
          <w:numId w:val="98"/>
        </w:numPr>
        <w:contextualSpacing/>
        <w:rPr>
          <w:rFonts w:eastAsia="Aptos" w:cs="Arial"/>
        </w:rPr>
      </w:pPr>
      <w:r w:rsidRPr="00477B14">
        <w:rPr>
          <w:rFonts w:eastAsia="Aptos" w:cs="Arial"/>
        </w:rPr>
        <w:t>54% of respondents had used drugs in the 12 months prior to taking part in a homeless health needs assessment. 38% reported that they have, or are recovering from, a drug problem.</w:t>
      </w:r>
    </w:p>
    <w:p w14:paraId="14E33E92" w14:textId="77777777" w:rsidR="00477B14" w:rsidRPr="00477B14" w:rsidRDefault="00477B14" w:rsidP="00B76905">
      <w:pPr>
        <w:numPr>
          <w:ilvl w:val="0"/>
          <w:numId w:val="98"/>
        </w:numPr>
        <w:contextualSpacing/>
        <w:rPr>
          <w:rFonts w:eastAsia="Aptos" w:cs="Arial"/>
        </w:rPr>
      </w:pPr>
      <w:r w:rsidRPr="00477B14">
        <w:rPr>
          <w:rFonts w:eastAsia="Aptos" w:cs="Arial"/>
        </w:rPr>
        <w:t>20% regularly exceeded the low risk drinking guidelines (24% in the general population). 29% reported they have, or are in recovery from, an alcohol problem.</w:t>
      </w:r>
    </w:p>
    <w:p w14:paraId="6CE41C89" w14:textId="77777777" w:rsidR="00477B14" w:rsidRPr="00477B14" w:rsidRDefault="00477B14" w:rsidP="00B76905">
      <w:pPr>
        <w:numPr>
          <w:ilvl w:val="0"/>
          <w:numId w:val="98"/>
        </w:numPr>
        <w:contextualSpacing/>
        <w:rPr>
          <w:rFonts w:eastAsia="Aptos" w:cs="Arial"/>
        </w:rPr>
      </w:pPr>
      <w:r w:rsidRPr="00477B14">
        <w:rPr>
          <w:rFonts w:eastAsia="Aptos" w:cs="Arial"/>
        </w:rPr>
        <w:t>76% of respondents reported that they smoke cigarettes, cigars, or a pipe (13.8% in the general population). Of these, 50% would like to give up.</w:t>
      </w:r>
    </w:p>
    <w:p w14:paraId="0627A823" w14:textId="77777777" w:rsidR="00477B14" w:rsidRPr="00477B14" w:rsidRDefault="00477B14" w:rsidP="00B76905">
      <w:pPr>
        <w:numPr>
          <w:ilvl w:val="0"/>
          <w:numId w:val="98"/>
        </w:numPr>
        <w:contextualSpacing/>
        <w:rPr>
          <w:rFonts w:eastAsia="Aptos" w:cs="Arial"/>
        </w:rPr>
      </w:pPr>
      <w:r w:rsidRPr="00477B14">
        <w:rPr>
          <w:rFonts w:eastAsia="Aptos" w:cs="Arial"/>
        </w:rPr>
        <w:t>Nutrition presents as a big challenge with a third of respondents reporting that on average, they eat only one more meal a day. 66% ate one or fewer portions of fruit or vegetables per day, with just 4% eating the recommended five or more.</w:t>
      </w:r>
    </w:p>
    <w:p w14:paraId="3A69FDA3" w14:textId="77777777" w:rsidR="00477B14" w:rsidRPr="00477B14" w:rsidRDefault="00477B14" w:rsidP="00E232AA">
      <w:pPr>
        <w:rPr>
          <w:rFonts w:eastAsia="Aptos" w:cs="Arial"/>
          <w:lang w:eastAsia="en-GB"/>
        </w:rPr>
      </w:pPr>
    </w:p>
    <w:p w14:paraId="0F343587" w14:textId="77777777" w:rsidR="00477B14" w:rsidRPr="00477B14" w:rsidRDefault="00477B14" w:rsidP="00E232AA">
      <w:pPr>
        <w:rPr>
          <w:rFonts w:eastAsia="Aptos" w:cs="Arial"/>
          <w:lang w:eastAsia="en-GB"/>
        </w:rPr>
      </w:pPr>
      <w:r w:rsidRPr="00477B14">
        <w:rPr>
          <w:rFonts w:eastAsia="Aptos" w:cs="Arial"/>
          <w:lang w:eastAsia="en-GB"/>
        </w:rPr>
        <w:lastRenderedPageBreak/>
        <w:t>Groundswell’s study Healthy Mouths</w:t>
      </w:r>
      <w:r w:rsidRPr="00477B14">
        <w:rPr>
          <w:rFonts w:eastAsia="Aptos" w:cs="Arial"/>
          <w:vertAlign w:val="superscript"/>
          <w:lang w:eastAsia="en-GB"/>
        </w:rPr>
        <w:footnoteReference w:id="201"/>
      </w:r>
      <w:r w:rsidRPr="00477B14">
        <w:rPr>
          <w:rFonts w:eastAsia="Aptos" w:cs="Arial"/>
          <w:lang w:eastAsia="en-GB"/>
        </w:rPr>
        <w:t xml:space="preserve"> reveals that homeless people suffer extremely poor oral health compared to the general population.</w:t>
      </w:r>
    </w:p>
    <w:p w14:paraId="60F63151" w14:textId="77777777" w:rsidR="00477B14" w:rsidRPr="00477B14" w:rsidRDefault="00477B14" w:rsidP="00E232AA">
      <w:pPr>
        <w:tabs>
          <w:tab w:val="left" w:pos="720"/>
        </w:tabs>
        <w:ind w:left="360"/>
        <w:contextualSpacing/>
        <w:rPr>
          <w:rFonts w:eastAsia="Aptos" w:cs="Arial"/>
          <w:lang w:eastAsia="en-GB"/>
        </w:rPr>
      </w:pPr>
    </w:p>
    <w:p w14:paraId="5FCECFE2" w14:textId="77777777" w:rsidR="00477B14" w:rsidRPr="00477B14" w:rsidRDefault="00477B14" w:rsidP="00B76905">
      <w:pPr>
        <w:numPr>
          <w:ilvl w:val="0"/>
          <w:numId w:val="99"/>
        </w:numPr>
        <w:contextualSpacing/>
        <w:rPr>
          <w:rFonts w:eastAsia="Aptos" w:cs="Arial"/>
        </w:rPr>
      </w:pPr>
      <w:r w:rsidRPr="00477B14">
        <w:rPr>
          <w:rFonts w:eastAsia="Aptos" w:cs="Arial"/>
        </w:rPr>
        <w:t>90% have had issues with their mouth since becoming homeless. Particularly common were bleeding gums (56%), holes in teeth (46%) and dental abscesses (26%).</w:t>
      </w:r>
    </w:p>
    <w:p w14:paraId="1C09FAAE" w14:textId="77777777" w:rsidR="00477B14" w:rsidRPr="00477B14" w:rsidRDefault="00477B14" w:rsidP="00B76905">
      <w:pPr>
        <w:numPr>
          <w:ilvl w:val="0"/>
          <w:numId w:val="99"/>
        </w:numPr>
        <w:contextualSpacing/>
        <w:rPr>
          <w:rFonts w:eastAsia="Aptos" w:cs="Arial"/>
        </w:rPr>
      </w:pPr>
      <w:r w:rsidRPr="00477B14">
        <w:rPr>
          <w:rFonts w:eastAsia="Aptos" w:cs="Arial"/>
        </w:rPr>
        <w:t>Many participants had experienced considerable dental pain. 60% had experienced pain from their mouths since they had been homeless. 30% were currently experiencing dental pain.</w:t>
      </w:r>
    </w:p>
    <w:p w14:paraId="45E29610" w14:textId="77777777" w:rsidR="00477B14" w:rsidRPr="00477B14" w:rsidRDefault="00477B14" w:rsidP="00B76905">
      <w:pPr>
        <w:numPr>
          <w:ilvl w:val="0"/>
          <w:numId w:val="99"/>
        </w:numPr>
        <w:contextualSpacing/>
        <w:rPr>
          <w:rFonts w:eastAsia="Aptos" w:cs="Arial"/>
        </w:rPr>
      </w:pPr>
      <w:r w:rsidRPr="00477B14">
        <w:rPr>
          <w:rFonts w:eastAsia="Aptos" w:cs="Arial"/>
        </w:rPr>
        <w:t>70% reported having lost teeth since they had been homeless and 7% had no teeth at all 35% had teeth removed by a medical professional, 17% lost teeth following acts of violence and 15% of participants pulled out their own teeth.</w:t>
      </w:r>
    </w:p>
    <w:p w14:paraId="20A3CE23" w14:textId="77777777" w:rsidR="00477B14" w:rsidRPr="00477B14" w:rsidRDefault="00477B14" w:rsidP="00E232AA">
      <w:pPr>
        <w:rPr>
          <w:rFonts w:eastAsia="Aptos" w:cs="Arial"/>
          <w:lang w:eastAsia="en-GB"/>
        </w:rPr>
      </w:pPr>
    </w:p>
    <w:p w14:paraId="4727E4E3" w14:textId="77777777" w:rsidR="00477B14" w:rsidRPr="00477B14" w:rsidRDefault="00477B14" w:rsidP="00E232AA">
      <w:pPr>
        <w:rPr>
          <w:rFonts w:eastAsia="Aptos" w:cs="Arial"/>
          <w:lang w:eastAsia="en-GB"/>
        </w:rPr>
      </w:pPr>
      <w:r w:rsidRPr="00477B14">
        <w:rPr>
          <w:rFonts w:eastAsia="Aptos" w:cs="Arial"/>
          <w:lang w:eastAsia="en-GB"/>
        </w:rPr>
        <w:t>The study identified some key factors underlying poor oral health in homeless people.</w:t>
      </w:r>
    </w:p>
    <w:p w14:paraId="6084BFF0" w14:textId="77777777" w:rsidR="00477B14" w:rsidRPr="00477B14" w:rsidRDefault="00477B14" w:rsidP="00E232AA">
      <w:pPr>
        <w:tabs>
          <w:tab w:val="left" w:pos="720"/>
        </w:tabs>
        <w:ind w:left="360"/>
        <w:contextualSpacing/>
        <w:rPr>
          <w:rFonts w:eastAsia="Aptos" w:cs="Arial"/>
          <w:lang w:eastAsia="en-GB"/>
        </w:rPr>
      </w:pPr>
    </w:p>
    <w:p w14:paraId="5FC45478" w14:textId="77777777" w:rsidR="00477B14" w:rsidRPr="00477B14" w:rsidRDefault="00477B14" w:rsidP="00B76905">
      <w:pPr>
        <w:numPr>
          <w:ilvl w:val="0"/>
          <w:numId w:val="100"/>
        </w:numPr>
        <w:contextualSpacing/>
        <w:rPr>
          <w:rFonts w:eastAsia="Aptos" w:cs="Arial"/>
        </w:rPr>
      </w:pPr>
      <w:r w:rsidRPr="00477B14">
        <w:rPr>
          <w:rFonts w:eastAsia="Aptos" w:cs="Arial"/>
        </w:rPr>
        <w:t>The diet of participants is damaging to oral health – lack of access to health food and a need for a source of energy meant high levels of sugar consumption were present.</w:t>
      </w:r>
    </w:p>
    <w:p w14:paraId="09E96A38" w14:textId="77777777" w:rsidR="00477B14" w:rsidRPr="00477B14" w:rsidRDefault="00477B14" w:rsidP="00B76905">
      <w:pPr>
        <w:numPr>
          <w:ilvl w:val="0"/>
          <w:numId w:val="100"/>
        </w:numPr>
        <w:contextualSpacing/>
        <w:rPr>
          <w:rFonts w:eastAsia="Aptos" w:cs="Arial"/>
        </w:rPr>
      </w:pPr>
      <w:r w:rsidRPr="00477B14">
        <w:rPr>
          <w:rFonts w:eastAsia="Aptos" w:cs="Arial"/>
        </w:rPr>
        <w:t>High rates of drug and alcohol misuse and smoking tobacco were likely to be damaging oral health. 37% had alcohol misuse issues, 33% had drug misuse issues and 78% were current smokers.</w:t>
      </w:r>
    </w:p>
    <w:p w14:paraId="5A9CAC07" w14:textId="77777777" w:rsidR="00477B14" w:rsidRPr="00477B14" w:rsidRDefault="00477B14" w:rsidP="00B76905">
      <w:pPr>
        <w:numPr>
          <w:ilvl w:val="0"/>
          <w:numId w:val="100"/>
        </w:numPr>
        <w:contextualSpacing/>
        <w:rPr>
          <w:rFonts w:eastAsia="Aptos" w:cs="Arial"/>
        </w:rPr>
      </w:pPr>
      <w:r w:rsidRPr="00477B14">
        <w:rPr>
          <w:rFonts w:eastAsia="Aptos" w:cs="Arial"/>
        </w:rPr>
        <w:t>Poor mental health was common which had a significant impact on their ability to care for themselves and seek treatment.</w:t>
      </w:r>
    </w:p>
    <w:p w14:paraId="47805F89" w14:textId="77777777" w:rsidR="00477B14" w:rsidRPr="00477B14" w:rsidRDefault="00477B14" w:rsidP="00B76905">
      <w:pPr>
        <w:numPr>
          <w:ilvl w:val="0"/>
          <w:numId w:val="100"/>
        </w:numPr>
        <w:contextualSpacing/>
        <w:rPr>
          <w:rFonts w:eastAsia="Aptos" w:cs="Arial"/>
        </w:rPr>
      </w:pPr>
      <w:r w:rsidRPr="00477B14">
        <w:rPr>
          <w:rFonts w:eastAsia="Aptos" w:cs="Arial"/>
        </w:rPr>
        <w:t>Whilst participants highly valued and understood the importance of taking care of their oral health, the ability to do so was impacted by homelessness.</w:t>
      </w:r>
    </w:p>
    <w:p w14:paraId="22DDE031" w14:textId="77777777" w:rsidR="00477B14" w:rsidRPr="00477B14" w:rsidRDefault="00477B14" w:rsidP="00B76905">
      <w:pPr>
        <w:numPr>
          <w:ilvl w:val="0"/>
          <w:numId w:val="100"/>
        </w:numPr>
        <w:contextualSpacing/>
        <w:rPr>
          <w:rFonts w:eastAsia="Aptos" w:cs="Arial"/>
        </w:rPr>
      </w:pPr>
      <w:r w:rsidRPr="00477B14">
        <w:rPr>
          <w:rFonts w:eastAsia="Aptos" w:cs="Arial"/>
        </w:rPr>
        <w:t>Rates of cleaning teeth were significantly lower than the advised minimum levels – 35% were cleaning their teeth twice or more a day compared to 75% of the general population. 29% were cleaning their teeth less than once a day or never.</w:t>
      </w:r>
    </w:p>
    <w:p w14:paraId="34EE6DFA" w14:textId="77777777" w:rsidR="00477B14" w:rsidRPr="00477B14" w:rsidRDefault="00477B14" w:rsidP="00B76905">
      <w:pPr>
        <w:numPr>
          <w:ilvl w:val="0"/>
          <w:numId w:val="100"/>
        </w:numPr>
        <w:contextualSpacing/>
        <w:rPr>
          <w:rFonts w:eastAsia="Aptos" w:cs="Arial"/>
        </w:rPr>
      </w:pPr>
      <w:r w:rsidRPr="00477B14">
        <w:rPr>
          <w:rFonts w:eastAsia="Aptos" w:cs="Arial"/>
        </w:rPr>
        <w:t>Alcohol and drugs were commonly used in an attempt to manage oral health issues. 27% of participants had used alcohol to help them deal with dental pain and 28% had used drugs.</w:t>
      </w:r>
    </w:p>
    <w:p w14:paraId="39FDCFCF" w14:textId="77777777" w:rsidR="00477B14" w:rsidRPr="00477B14" w:rsidRDefault="00477B14" w:rsidP="00E232AA">
      <w:pPr>
        <w:contextualSpacing/>
        <w:rPr>
          <w:rFonts w:eastAsia="Aptos" w:cs="Arial"/>
        </w:rPr>
      </w:pPr>
    </w:p>
    <w:p w14:paraId="591A16AF" w14:textId="77777777" w:rsidR="00477B14" w:rsidRPr="00D0306F" w:rsidRDefault="00477B14" w:rsidP="00E15BF3">
      <w:pPr>
        <w:rPr>
          <w:sz w:val="26"/>
          <w:szCs w:val="26"/>
        </w:rPr>
      </w:pPr>
      <w:r w:rsidRPr="00D0306F">
        <w:rPr>
          <w:b/>
          <w:bCs/>
          <w:sz w:val="26"/>
          <w:szCs w:val="26"/>
        </w:rPr>
        <w:t>4.13 Gypsies and Travellers communities</w:t>
      </w:r>
      <w:r w:rsidRPr="00D0306F">
        <w:rPr>
          <w:sz w:val="26"/>
          <w:szCs w:val="26"/>
          <w:vertAlign w:val="superscript"/>
        </w:rPr>
        <w:footnoteReference w:id="202"/>
      </w:r>
    </w:p>
    <w:p w14:paraId="58E51349" w14:textId="77777777" w:rsidR="00477B14" w:rsidRPr="00477B14" w:rsidRDefault="00477B14" w:rsidP="00E232AA">
      <w:pPr>
        <w:contextualSpacing/>
        <w:rPr>
          <w:rFonts w:eastAsia="Aptos" w:cs="Arial"/>
          <w:b/>
          <w:bCs/>
        </w:rPr>
      </w:pPr>
    </w:p>
    <w:p w14:paraId="6721BDF2" w14:textId="77777777" w:rsidR="00477B14" w:rsidRPr="00477B14" w:rsidRDefault="00477B14" w:rsidP="00E232AA">
      <w:pPr>
        <w:contextualSpacing/>
        <w:rPr>
          <w:rFonts w:eastAsia="Times New Roman" w:cs="Arial"/>
          <w:lang w:eastAsia="en-GB"/>
        </w:rPr>
      </w:pPr>
      <w:r w:rsidRPr="00477B14">
        <w:rPr>
          <w:rFonts w:eastAsia="Aptos" w:cs="Arial"/>
        </w:rPr>
        <w:t xml:space="preserve">Gypsies and Travellers are among the UK’s longest established minority ethnic populations. Romani Gypsies and Irish Travellers are recognised racial groups under Equality Act 2010. </w:t>
      </w:r>
      <w:r w:rsidRPr="00477B14">
        <w:rPr>
          <w:rFonts w:eastAsia="Times New Roman" w:cs="Arial"/>
          <w:lang w:eastAsia="en-GB"/>
        </w:rPr>
        <w:t>In the 2021 Census 3,630 people identified as Gypsy or Irish Traveller in Wales, representing 5.1% of the total Gypsy/Irish Traveller population across England and Wales This is approximately 0.12% of the Welsh population and is an increase of 845 people from the 2011 Census</w:t>
      </w:r>
      <w:r w:rsidRPr="00477B14">
        <w:rPr>
          <w:rFonts w:eastAsia="Times New Roman" w:cs="Arial"/>
          <w:vertAlign w:val="superscript"/>
          <w:lang w:eastAsia="en-GB"/>
        </w:rPr>
        <w:footnoteReference w:id="203"/>
      </w:r>
      <w:r w:rsidRPr="00477B14">
        <w:rPr>
          <w:rFonts w:eastAsia="Times New Roman" w:cs="Arial"/>
          <w:lang w:eastAsia="en-GB"/>
        </w:rPr>
        <w:t>.</w:t>
      </w:r>
    </w:p>
    <w:p w14:paraId="1480D25F" w14:textId="77777777" w:rsidR="00477B14" w:rsidRPr="00477B14" w:rsidRDefault="00477B14" w:rsidP="00E232AA">
      <w:pPr>
        <w:contextualSpacing/>
        <w:rPr>
          <w:rFonts w:eastAsia="Aptos" w:cs="Arial"/>
        </w:rPr>
      </w:pPr>
    </w:p>
    <w:p w14:paraId="2D1337BE" w14:textId="77777777" w:rsidR="00477B14" w:rsidRPr="00477B14" w:rsidRDefault="00477B14" w:rsidP="00E232AA">
      <w:pPr>
        <w:contextualSpacing/>
        <w:rPr>
          <w:rFonts w:eastAsia="Aptos" w:cs="Arial"/>
        </w:rPr>
      </w:pPr>
      <w:r w:rsidRPr="00477B14">
        <w:rPr>
          <w:rFonts w:eastAsia="Aptos" w:cs="Arial"/>
        </w:rPr>
        <w:lastRenderedPageBreak/>
        <w:t xml:space="preserve">In Wales, Gypsies and Travellers are entitled to access GP treatment as a permanent or temporary resident. Studies have shown that Gypsies and Travellers face challenges in accessing services, which may be due to: </w:t>
      </w:r>
    </w:p>
    <w:p w14:paraId="554E3476" w14:textId="77777777" w:rsidR="00477B14" w:rsidRPr="00477B14" w:rsidRDefault="00477B14" w:rsidP="00E232AA">
      <w:pPr>
        <w:contextualSpacing/>
        <w:rPr>
          <w:rFonts w:eastAsia="Calibri" w:cs="Arial"/>
          <w:kern w:val="0"/>
          <w14:ligatures w14:val="none"/>
        </w:rPr>
      </w:pPr>
    </w:p>
    <w:p w14:paraId="343F74CD" w14:textId="77777777" w:rsidR="00477B14" w:rsidRPr="00477B14" w:rsidRDefault="00477B14" w:rsidP="00B76905">
      <w:pPr>
        <w:numPr>
          <w:ilvl w:val="0"/>
          <w:numId w:val="101"/>
        </w:numPr>
        <w:contextualSpacing/>
        <w:rPr>
          <w:rFonts w:eastAsia="Aptos" w:cs="Arial"/>
        </w:rPr>
      </w:pPr>
      <w:r w:rsidRPr="00477B14">
        <w:rPr>
          <w:rFonts w:eastAsia="Aptos" w:cs="Arial"/>
        </w:rPr>
        <w:t>Transient nature of being in the area.</w:t>
      </w:r>
    </w:p>
    <w:p w14:paraId="01709F76" w14:textId="77777777" w:rsidR="00477B14" w:rsidRPr="00477B14" w:rsidRDefault="00477B14" w:rsidP="00B76905">
      <w:pPr>
        <w:numPr>
          <w:ilvl w:val="0"/>
          <w:numId w:val="101"/>
        </w:numPr>
        <w:contextualSpacing/>
        <w:rPr>
          <w:rFonts w:eastAsia="Aptos" w:cs="Arial"/>
        </w:rPr>
      </w:pPr>
      <w:r w:rsidRPr="00477B14">
        <w:rPr>
          <w:rFonts w:eastAsia="Aptos" w:cs="Arial"/>
        </w:rPr>
        <w:t>Location of sites.</w:t>
      </w:r>
    </w:p>
    <w:p w14:paraId="58A2342D" w14:textId="77777777" w:rsidR="00477B14" w:rsidRPr="00477B14" w:rsidRDefault="00477B14" w:rsidP="00B76905">
      <w:pPr>
        <w:numPr>
          <w:ilvl w:val="0"/>
          <w:numId w:val="101"/>
        </w:numPr>
        <w:contextualSpacing/>
        <w:rPr>
          <w:rFonts w:eastAsia="Aptos" w:cs="Arial"/>
        </w:rPr>
      </w:pPr>
      <w:r w:rsidRPr="00477B14">
        <w:rPr>
          <w:rFonts w:eastAsia="Aptos" w:cs="Arial"/>
        </w:rPr>
        <w:t>Transport – particularly related to women who often cannot drive.</w:t>
      </w:r>
    </w:p>
    <w:p w14:paraId="61B89909" w14:textId="77777777" w:rsidR="00477B14" w:rsidRPr="00477B14" w:rsidRDefault="00477B14" w:rsidP="00B76905">
      <w:pPr>
        <w:numPr>
          <w:ilvl w:val="0"/>
          <w:numId w:val="101"/>
        </w:numPr>
        <w:contextualSpacing/>
        <w:rPr>
          <w:rFonts w:eastAsia="Aptos" w:cs="Arial"/>
        </w:rPr>
      </w:pPr>
      <w:r w:rsidRPr="00477B14">
        <w:rPr>
          <w:rFonts w:eastAsia="Aptos" w:cs="Arial"/>
        </w:rPr>
        <w:t xml:space="preserve">Low levels of health literacy of what services they are entitled to use or how to access them. </w:t>
      </w:r>
    </w:p>
    <w:p w14:paraId="01D3C8C9" w14:textId="77777777" w:rsidR="00477B14" w:rsidRPr="00477B14" w:rsidRDefault="00477B14" w:rsidP="00E232AA">
      <w:pPr>
        <w:contextualSpacing/>
        <w:rPr>
          <w:rFonts w:eastAsia="Aptos" w:cs="Arial"/>
        </w:rPr>
      </w:pPr>
    </w:p>
    <w:p w14:paraId="34CA8AAE" w14:textId="77777777" w:rsidR="00477B14" w:rsidRPr="00477B14" w:rsidRDefault="00477B14" w:rsidP="00E232AA">
      <w:pPr>
        <w:contextualSpacing/>
        <w:rPr>
          <w:rFonts w:eastAsia="Aptos" w:cs="Arial"/>
        </w:rPr>
      </w:pPr>
      <w:r w:rsidRPr="00477B14">
        <w:rPr>
          <w:rFonts w:eastAsia="Aptos" w:cs="Arial"/>
        </w:rPr>
        <w:t>Being Gypsy, Roma or Traveller is usually an important part of someone’s identity. Cultural beliefs include considering that health problems should be dealt with by household members or kept within the extended family unit. There is also a strong gender divide in Gypsy and Traveller culture and a value of privacy.</w:t>
      </w:r>
    </w:p>
    <w:p w14:paraId="59370FE0" w14:textId="77777777" w:rsidR="00477B14" w:rsidRPr="00477B14" w:rsidRDefault="00477B14" w:rsidP="00E232AA">
      <w:pPr>
        <w:contextualSpacing/>
        <w:rPr>
          <w:rFonts w:eastAsia="Times New Roman" w:cs="Arial"/>
          <w:b/>
          <w:bCs/>
          <w:kern w:val="0"/>
          <w:lang w:eastAsia="en-GB"/>
          <w14:ligatures w14:val="none"/>
        </w:rPr>
      </w:pPr>
    </w:p>
    <w:p w14:paraId="3068ECFA" w14:textId="77777777" w:rsidR="00477B14" w:rsidRPr="00477B14" w:rsidRDefault="00477B14" w:rsidP="00E232AA">
      <w:pPr>
        <w:contextualSpacing/>
        <w:rPr>
          <w:rFonts w:eastAsia="Aptos" w:cs="Arial"/>
          <w:lang w:eastAsia="en-GB"/>
        </w:rPr>
      </w:pPr>
      <w:r w:rsidRPr="00477B14">
        <w:rPr>
          <w:rFonts w:eastAsia="Aptos" w:cs="Arial"/>
          <w:lang w:eastAsia="en-GB"/>
        </w:rPr>
        <w:t>A presentation to the Doncaster Health and Wellbeing Board in November 2023</w:t>
      </w:r>
      <w:r w:rsidRPr="00477B14">
        <w:rPr>
          <w:rFonts w:eastAsia="Aptos" w:cs="Arial"/>
          <w:vertAlign w:val="superscript"/>
          <w:lang w:eastAsia="en-GB"/>
        </w:rPr>
        <w:footnoteReference w:id="204"/>
      </w:r>
      <w:r w:rsidRPr="00477B14">
        <w:rPr>
          <w:rFonts w:eastAsia="Aptos" w:cs="Arial"/>
          <w:lang w:eastAsia="en-GB"/>
        </w:rPr>
        <w:t xml:space="preserve"> highlighted the following facts:</w:t>
      </w:r>
    </w:p>
    <w:p w14:paraId="4457FC2D" w14:textId="77777777" w:rsidR="00477B14" w:rsidRPr="00477B14" w:rsidRDefault="00477B14" w:rsidP="00E232AA">
      <w:pPr>
        <w:contextualSpacing/>
        <w:rPr>
          <w:rFonts w:eastAsia="Aptos" w:cs="Arial"/>
          <w:lang w:eastAsia="en-GB"/>
        </w:rPr>
      </w:pPr>
    </w:p>
    <w:p w14:paraId="7E721D84" w14:textId="77777777" w:rsidR="00477B14" w:rsidRPr="00477B14" w:rsidRDefault="00477B14" w:rsidP="00B76905">
      <w:pPr>
        <w:numPr>
          <w:ilvl w:val="0"/>
          <w:numId w:val="102"/>
        </w:numPr>
        <w:contextualSpacing/>
        <w:rPr>
          <w:rFonts w:eastAsia="Aptos" w:cs="Arial"/>
        </w:rPr>
      </w:pPr>
      <w:r w:rsidRPr="00477B14">
        <w:rPr>
          <w:rFonts w:eastAsia="Aptos" w:cs="Arial"/>
        </w:rPr>
        <w:t>Gypsy and Traveller people will live between ten and 25 less years than the general population.</w:t>
      </w:r>
    </w:p>
    <w:p w14:paraId="7AE3429E" w14:textId="77777777" w:rsidR="00477B14" w:rsidRPr="00477B14" w:rsidRDefault="00477B14" w:rsidP="00B76905">
      <w:pPr>
        <w:numPr>
          <w:ilvl w:val="0"/>
          <w:numId w:val="102"/>
        </w:numPr>
        <w:contextualSpacing/>
        <w:rPr>
          <w:rFonts w:eastAsia="Aptos" w:cs="Arial"/>
        </w:rPr>
      </w:pPr>
      <w:r w:rsidRPr="00477B14">
        <w:rPr>
          <w:rFonts w:eastAsia="Aptos" w:cs="Arial"/>
        </w:rPr>
        <w:t>The average health of 60-year-olds from Gypsy or Irish Traveller communities is similar to those of an average white British 80 year old.</w:t>
      </w:r>
    </w:p>
    <w:p w14:paraId="7B7F965D" w14:textId="77777777" w:rsidR="00477B14" w:rsidRPr="00477B14" w:rsidRDefault="00477B14" w:rsidP="00B76905">
      <w:pPr>
        <w:numPr>
          <w:ilvl w:val="0"/>
          <w:numId w:val="102"/>
        </w:numPr>
        <w:contextualSpacing/>
        <w:rPr>
          <w:rFonts w:eastAsia="Aptos" w:cs="Arial"/>
        </w:rPr>
      </w:pPr>
      <w:r w:rsidRPr="00477B14">
        <w:rPr>
          <w:rFonts w:eastAsia="Aptos" w:cs="Arial"/>
        </w:rPr>
        <w:t>Gypsy, Roma and Traveller men are over 12 times more likely to suffer with more than two physical health conditions than white British men.</w:t>
      </w:r>
    </w:p>
    <w:p w14:paraId="68B86E6F" w14:textId="77777777" w:rsidR="00477B14" w:rsidRPr="00477B14" w:rsidRDefault="00477B14" w:rsidP="00B76905">
      <w:pPr>
        <w:numPr>
          <w:ilvl w:val="0"/>
          <w:numId w:val="102"/>
        </w:numPr>
        <w:contextualSpacing/>
        <w:rPr>
          <w:rFonts w:eastAsia="Aptos" w:cs="Arial"/>
        </w:rPr>
      </w:pPr>
      <w:r w:rsidRPr="00477B14">
        <w:rPr>
          <w:rFonts w:eastAsia="Aptos" w:cs="Arial"/>
        </w:rPr>
        <w:t>Roma people had the highest risk of not being able to access health and social care services.</w:t>
      </w:r>
    </w:p>
    <w:p w14:paraId="067193E3" w14:textId="77777777" w:rsidR="00477B14" w:rsidRPr="00477B14" w:rsidRDefault="00477B14" w:rsidP="00B76905">
      <w:pPr>
        <w:numPr>
          <w:ilvl w:val="0"/>
          <w:numId w:val="102"/>
        </w:numPr>
        <w:contextualSpacing/>
        <w:rPr>
          <w:rFonts w:eastAsia="Aptos" w:cs="Arial"/>
        </w:rPr>
      </w:pPr>
      <w:r w:rsidRPr="00477B14">
        <w:rPr>
          <w:rFonts w:eastAsia="Aptos" w:cs="Arial"/>
        </w:rPr>
        <w:t>Gypsy and Traveller mothers are 20 times more likely to experience the death of a child.</w:t>
      </w:r>
    </w:p>
    <w:p w14:paraId="4E430CBC" w14:textId="77777777" w:rsidR="00477B14" w:rsidRPr="00477B14" w:rsidRDefault="00477B14" w:rsidP="00B76905">
      <w:pPr>
        <w:numPr>
          <w:ilvl w:val="0"/>
          <w:numId w:val="102"/>
        </w:numPr>
        <w:contextualSpacing/>
        <w:rPr>
          <w:rFonts w:eastAsia="Aptos" w:cs="Arial"/>
        </w:rPr>
      </w:pPr>
      <w:r w:rsidRPr="00477B14">
        <w:rPr>
          <w:rFonts w:eastAsia="Aptos" w:cs="Arial"/>
        </w:rPr>
        <w:t>29% of Gypsy Roma and Traveller parents are likely to experience one or more miscarriages (compared to 16% non-traveller group surveyed).</w:t>
      </w:r>
    </w:p>
    <w:p w14:paraId="7D4C54A5" w14:textId="77777777" w:rsidR="00477B14" w:rsidRPr="00477B14" w:rsidRDefault="00477B14" w:rsidP="00B76905">
      <w:pPr>
        <w:numPr>
          <w:ilvl w:val="0"/>
          <w:numId w:val="102"/>
        </w:numPr>
        <w:contextualSpacing/>
        <w:rPr>
          <w:rFonts w:eastAsia="Aptos" w:cs="Arial"/>
        </w:rPr>
      </w:pPr>
      <w:r w:rsidRPr="00477B14">
        <w:rPr>
          <w:rFonts w:eastAsia="Aptos" w:cs="Arial"/>
        </w:rPr>
        <w:t>Roma mothers experience higher rates of poor infant outcomes, such as preterm births and low birth weight.</w:t>
      </w:r>
    </w:p>
    <w:p w14:paraId="745841AA" w14:textId="77777777" w:rsidR="00477B14" w:rsidRPr="00477B14" w:rsidRDefault="00477B14" w:rsidP="00B76905">
      <w:pPr>
        <w:numPr>
          <w:ilvl w:val="0"/>
          <w:numId w:val="102"/>
        </w:numPr>
        <w:contextualSpacing/>
        <w:rPr>
          <w:rFonts w:eastAsia="Aptos" w:cs="Arial"/>
          <w:lang w:eastAsia="en-GB"/>
        </w:rPr>
      </w:pPr>
      <w:r w:rsidRPr="00477B14">
        <w:rPr>
          <w:rFonts w:eastAsia="Aptos" w:cs="Arial"/>
          <w:lang w:eastAsia="en-GB"/>
        </w:rPr>
        <w:t>Whilst the evidence on mental health and suicide is limited due to poor data collection it shows:</w:t>
      </w:r>
    </w:p>
    <w:p w14:paraId="78DBFD2F" w14:textId="77777777" w:rsidR="00477B14" w:rsidRPr="00477B14" w:rsidRDefault="00477B14" w:rsidP="00B76905">
      <w:pPr>
        <w:numPr>
          <w:ilvl w:val="1"/>
          <w:numId w:val="102"/>
        </w:numPr>
        <w:contextualSpacing/>
        <w:rPr>
          <w:rFonts w:eastAsia="Aptos" w:cs="Arial"/>
        </w:rPr>
      </w:pPr>
      <w:r w:rsidRPr="00477B14">
        <w:rPr>
          <w:rFonts w:eastAsia="Aptos" w:cs="Arial"/>
        </w:rPr>
        <w:t>high levels of unmet need,</w:t>
      </w:r>
    </w:p>
    <w:p w14:paraId="2A8CD99B" w14:textId="77777777" w:rsidR="00477B14" w:rsidRPr="00477B14" w:rsidRDefault="00477B14" w:rsidP="00B76905">
      <w:pPr>
        <w:numPr>
          <w:ilvl w:val="1"/>
          <w:numId w:val="102"/>
        </w:numPr>
        <w:contextualSpacing/>
        <w:rPr>
          <w:rFonts w:eastAsia="Aptos" w:cs="Arial"/>
        </w:rPr>
      </w:pPr>
      <w:r w:rsidRPr="00477B14">
        <w:rPr>
          <w:rFonts w:eastAsia="Aptos" w:cs="Arial"/>
        </w:rPr>
        <w:t>people in the Gypsy, Roma and Traveller community are three times more likely to be anxious and twice as likely to suffer from depression,</w:t>
      </w:r>
    </w:p>
    <w:p w14:paraId="7884C794" w14:textId="77777777" w:rsidR="00477B14" w:rsidRPr="00477B14" w:rsidRDefault="00477B14" w:rsidP="00B76905">
      <w:pPr>
        <w:numPr>
          <w:ilvl w:val="1"/>
          <w:numId w:val="102"/>
        </w:numPr>
        <w:contextualSpacing/>
        <w:rPr>
          <w:rFonts w:eastAsia="Aptos" w:cs="Arial"/>
        </w:rPr>
      </w:pPr>
      <w:r w:rsidRPr="00477B14">
        <w:rPr>
          <w:rFonts w:eastAsia="Aptos" w:cs="Arial"/>
        </w:rPr>
        <w:t>mental health is a taboo subject,</w:t>
      </w:r>
    </w:p>
    <w:p w14:paraId="18E9626B" w14:textId="77777777" w:rsidR="00477B14" w:rsidRPr="00477B14" w:rsidRDefault="00477B14" w:rsidP="00B76905">
      <w:pPr>
        <w:numPr>
          <w:ilvl w:val="1"/>
          <w:numId w:val="102"/>
        </w:numPr>
        <w:contextualSpacing/>
        <w:rPr>
          <w:rFonts w:eastAsia="Aptos" w:cs="Arial"/>
        </w:rPr>
      </w:pPr>
      <w:r w:rsidRPr="00477B14">
        <w:rPr>
          <w:rFonts w:eastAsia="Aptos" w:cs="Arial"/>
        </w:rPr>
        <w:t>men are more likely to “reach for the rope” than talk, and</w:t>
      </w:r>
    </w:p>
    <w:p w14:paraId="4C715AD8" w14:textId="77777777" w:rsidR="00477B14" w:rsidRPr="00477B14" w:rsidRDefault="00477B14" w:rsidP="00B76905">
      <w:pPr>
        <w:numPr>
          <w:ilvl w:val="1"/>
          <w:numId w:val="102"/>
        </w:numPr>
        <w:contextualSpacing/>
        <w:rPr>
          <w:rFonts w:eastAsia="Aptos" w:cs="Arial"/>
        </w:rPr>
      </w:pPr>
      <w:r w:rsidRPr="00477B14">
        <w:rPr>
          <w:rFonts w:eastAsia="Aptos" w:cs="Arial"/>
        </w:rPr>
        <w:t>Irish Traveller men are seven times more likely to die by suicide, with women six times more likely.</w:t>
      </w:r>
    </w:p>
    <w:p w14:paraId="33B6DE3F" w14:textId="77777777" w:rsidR="00477B14" w:rsidRPr="00477B14" w:rsidRDefault="00477B14" w:rsidP="00B76905">
      <w:pPr>
        <w:numPr>
          <w:ilvl w:val="0"/>
          <w:numId w:val="103"/>
        </w:numPr>
        <w:contextualSpacing/>
        <w:rPr>
          <w:rFonts w:eastAsia="Calibri" w:cs="Arial"/>
          <w:kern w:val="0"/>
          <w14:ligatures w14:val="none"/>
        </w:rPr>
      </w:pPr>
      <w:r w:rsidRPr="00477B14">
        <w:rPr>
          <w:rFonts w:eastAsia="Aptos" w:cs="Arial"/>
        </w:rPr>
        <w:t>The challenges faced in accessing health and care include</w:t>
      </w:r>
      <w:r w:rsidRPr="00477B14">
        <w:rPr>
          <w:rFonts w:eastAsia="MS Mincho" w:cs="Arial"/>
          <w:kern w:val="0"/>
          <w:lang w:eastAsia="en-GB"/>
          <w14:ligatures w14:val="none"/>
        </w:rPr>
        <w:t>:</w:t>
      </w:r>
    </w:p>
    <w:p w14:paraId="0978DF32" w14:textId="77777777" w:rsidR="00477B14" w:rsidRPr="00477B14" w:rsidRDefault="00477B14" w:rsidP="00B76905">
      <w:pPr>
        <w:numPr>
          <w:ilvl w:val="0"/>
          <w:numId w:val="104"/>
        </w:numPr>
        <w:contextualSpacing/>
        <w:rPr>
          <w:rFonts w:eastAsia="Aptos" w:cs="Arial"/>
        </w:rPr>
      </w:pPr>
      <w:r w:rsidRPr="00477B14">
        <w:rPr>
          <w:rFonts w:eastAsia="Aptos" w:cs="Arial"/>
        </w:rPr>
        <w:t>hate crime, marginalisation, discrimination,</w:t>
      </w:r>
    </w:p>
    <w:p w14:paraId="7D173F80" w14:textId="77777777" w:rsidR="00477B14" w:rsidRPr="00477B14" w:rsidRDefault="00477B14" w:rsidP="00B76905">
      <w:pPr>
        <w:numPr>
          <w:ilvl w:val="0"/>
          <w:numId w:val="104"/>
        </w:numPr>
        <w:contextualSpacing/>
        <w:rPr>
          <w:rFonts w:eastAsia="Aptos" w:cs="Arial"/>
        </w:rPr>
      </w:pPr>
      <w:r w:rsidRPr="00477B14">
        <w:rPr>
          <w:rFonts w:eastAsia="Aptos" w:cs="Arial"/>
        </w:rPr>
        <w:t>cultural beliefs,</w:t>
      </w:r>
    </w:p>
    <w:p w14:paraId="7FEC167F" w14:textId="77777777" w:rsidR="00477B14" w:rsidRPr="00477B14" w:rsidRDefault="00477B14" w:rsidP="00B76905">
      <w:pPr>
        <w:numPr>
          <w:ilvl w:val="0"/>
          <w:numId w:val="104"/>
        </w:numPr>
        <w:contextualSpacing/>
        <w:rPr>
          <w:rFonts w:eastAsia="Aptos" w:cs="Arial"/>
        </w:rPr>
      </w:pPr>
      <w:r w:rsidRPr="00477B14">
        <w:rPr>
          <w:rFonts w:eastAsia="Aptos" w:cs="Arial"/>
        </w:rPr>
        <w:t>low or no literacy,</w:t>
      </w:r>
    </w:p>
    <w:p w14:paraId="1F27EFDD" w14:textId="77777777" w:rsidR="00477B14" w:rsidRPr="00477B14" w:rsidRDefault="00477B14" w:rsidP="00B76905">
      <w:pPr>
        <w:numPr>
          <w:ilvl w:val="0"/>
          <w:numId w:val="104"/>
        </w:numPr>
        <w:contextualSpacing/>
        <w:rPr>
          <w:rFonts w:eastAsia="Aptos" w:cs="Arial"/>
        </w:rPr>
      </w:pPr>
      <w:r w:rsidRPr="00477B14">
        <w:rPr>
          <w:rFonts w:eastAsia="Aptos" w:cs="Arial"/>
        </w:rPr>
        <w:t>English not the first language,</w:t>
      </w:r>
    </w:p>
    <w:p w14:paraId="5A29B026" w14:textId="77777777" w:rsidR="00477B14" w:rsidRPr="00477B14" w:rsidRDefault="00477B14" w:rsidP="00B76905">
      <w:pPr>
        <w:numPr>
          <w:ilvl w:val="0"/>
          <w:numId w:val="104"/>
        </w:numPr>
        <w:contextualSpacing/>
        <w:rPr>
          <w:rFonts w:eastAsia="Aptos" w:cs="Arial"/>
        </w:rPr>
      </w:pPr>
      <w:r w:rsidRPr="00477B14">
        <w:rPr>
          <w:rFonts w:eastAsia="Aptos" w:cs="Arial"/>
        </w:rPr>
        <w:lastRenderedPageBreak/>
        <w:t>digital exclusion,</w:t>
      </w:r>
    </w:p>
    <w:p w14:paraId="0C578ADC" w14:textId="77777777" w:rsidR="00477B14" w:rsidRPr="00477B14" w:rsidRDefault="00477B14" w:rsidP="00B76905">
      <w:pPr>
        <w:numPr>
          <w:ilvl w:val="0"/>
          <w:numId w:val="104"/>
        </w:numPr>
        <w:contextualSpacing/>
        <w:rPr>
          <w:rFonts w:eastAsia="Aptos" w:cs="Arial"/>
        </w:rPr>
      </w:pPr>
      <w:r w:rsidRPr="00477B14">
        <w:rPr>
          <w:rFonts w:eastAsia="Aptos" w:cs="Arial"/>
        </w:rPr>
        <w:t>lack of education,</w:t>
      </w:r>
    </w:p>
    <w:p w14:paraId="1576C05D" w14:textId="77777777" w:rsidR="00477B14" w:rsidRPr="00477B14" w:rsidRDefault="00477B14" w:rsidP="00B76905">
      <w:pPr>
        <w:numPr>
          <w:ilvl w:val="0"/>
          <w:numId w:val="104"/>
        </w:numPr>
        <w:contextualSpacing/>
        <w:rPr>
          <w:rFonts w:eastAsia="Aptos" w:cs="Arial"/>
        </w:rPr>
      </w:pPr>
      <w:r w:rsidRPr="00477B14">
        <w:rPr>
          <w:rFonts w:eastAsia="Aptos" w:cs="Arial"/>
        </w:rPr>
        <w:t>poverty,</w:t>
      </w:r>
    </w:p>
    <w:p w14:paraId="07BE6A3C" w14:textId="77777777" w:rsidR="00477B14" w:rsidRPr="00477B14" w:rsidRDefault="00477B14" w:rsidP="00B76905">
      <w:pPr>
        <w:numPr>
          <w:ilvl w:val="0"/>
          <w:numId w:val="104"/>
        </w:numPr>
        <w:contextualSpacing/>
        <w:rPr>
          <w:rFonts w:eastAsia="Aptos" w:cs="Arial"/>
        </w:rPr>
      </w:pPr>
      <w:r w:rsidRPr="00477B14">
        <w:rPr>
          <w:rFonts w:eastAsia="Aptos" w:cs="Arial"/>
        </w:rPr>
        <w:t>transport, and</w:t>
      </w:r>
    </w:p>
    <w:p w14:paraId="2EFE26FC" w14:textId="77777777" w:rsidR="00477B14" w:rsidRPr="00477B14" w:rsidRDefault="00477B14" w:rsidP="00B76905">
      <w:pPr>
        <w:numPr>
          <w:ilvl w:val="0"/>
          <w:numId w:val="104"/>
        </w:numPr>
        <w:contextualSpacing/>
        <w:rPr>
          <w:rFonts w:eastAsia="Aptos" w:cs="Arial"/>
        </w:rPr>
      </w:pPr>
      <w:r w:rsidRPr="00477B14">
        <w:rPr>
          <w:rFonts w:eastAsia="Aptos" w:cs="Arial"/>
        </w:rPr>
        <w:t>unconscious bias/staff attitude.</w:t>
      </w:r>
    </w:p>
    <w:p w14:paraId="672A6B4F" w14:textId="77777777" w:rsidR="00477B14" w:rsidRPr="00477B14" w:rsidRDefault="00477B14" w:rsidP="00B76905">
      <w:pPr>
        <w:numPr>
          <w:ilvl w:val="0"/>
          <w:numId w:val="103"/>
        </w:numPr>
        <w:contextualSpacing/>
        <w:rPr>
          <w:rFonts w:eastAsia="Aptos" w:cs="Arial"/>
        </w:rPr>
      </w:pPr>
      <w:r w:rsidRPr="00477B14">
        <w:rPr>
          <w:rFonts w:eastAsia="Aptos" w:cs="Arial"/>
        </w:rPr>
        <w:t>The Evidence for Equality National Survey</w:t>
      </w:r>
      <w:r w:rsidRPr="00477B14">
        <w:rPr>
          <w:rFonts w:eastAsia="Aptos" w:cs="Arial"/>
          <w:vertAlign w:val="superscript"/>
        </w:rPr>
        <w:footnoteReference w:id="205"/>
      </w:r>
      <w:r w:rsidRPr="00477B14">
        <w:rPr>
          <w:rFonts w:eastAsia="Aptos" w:cs="Arial"/>
        </w:rPr>
        <w:t xml:space="preserve"> in 2023 revealed that more than a third of people from ethnic and religious minority groups had experienced some form of racist assault. The survey had the largest number of Gypsy, Roma and Traveller participants in any national survey to date and revealed:</w:t>
      </w:r>
    </w:p>
    <w:p w14:paraId="6163A6C4" w14:textId="77777777" w:rsidR="00477B14" w:rsidRPr="00477B14" w:rsidRDefault="00477B14" w:rsidP="00B76905">
      <w:pPr>
        <w:numPr>
          <w:ilvl w:val="0"/>
          <w:numId w:val="105"/>
        </w:numPr>
        <w:contextualSpacing/>
        <w:rPr>
          <w:rFonts w:eastAsia="Aptos" w:cs="Arial"/>
        </w:rPr>
      </w:pPr>
      <w:r w:rsidRPr="00477B14">
        <w:rPr>
          <w:rFonts w:eastAsia="Aptos" w:cs="Arial"/>
        </w:rPr>
        <w:t>62% of Gypsies and Travellers had experienced racial abuse, which was the highest out of all minority ethnic groups surveyed,</w:t>
      </w:r>
    </w:p>
    <w:p w14:paraId="47018AB7" w14:textId="77777777" w:rsidR="00477B14" w:rsidRPr="00477B14" w:rsidRDefault="00477B14" w:rsidP="00B76905">
      <w:pPr>
        <w:numPr>
          <w:ilvl w:val="0"/>
          <w:numId w:val="105"/>
        </w:numPr>
        <w:contextualSpacing/>
        <w:rPr>
          <w:rFonts w:eastAsia="Aptos" w:cs="Arial"/>
        </w:rPr>
      </w:pPr>
      <w:r w:rsidRPr="00477B14">
        <w:rPr>
          <w:rFonts w:eastAsia="Aptos" w:cs="Arial"/>
        </w:rPr>
        <w:t>47% of Roma people had been racially assaulted, and</w:t>
      </w:r>
    </w:p>
    <w:p w14:paraId="21335C55" w14:textId="77777777" w:rsidR="00477B14" w:rsidRPr="00477B14" w:rsidRDefault="00477B14" w:rsidP="00B76905">
      <w:pPr>
        <w:numPr>
          <w:ilvl w:val="0"/>
          <w:numId w:val="105"/>
        </w:numPr>
        <w:contextualSpacing/>
        <w:rPr>
          <w:rFonts w:eastAsia="Aptos" w:cs="Arial"/>
        </w:rPr>
      </w:pPr>
      <w:r w:rsidRPr="00477B14">
        <w:rPr>
          <w:rFonts w:eastAsia="Aptos" w:cs="Arial"/>
        </w:rPr>
        <w:t>37% of Roma people have been physically attacked.</w:t>
      </w:r>
    </w:p>
    <w:p w14:paraId="4A69F827" w14:textId="77777777" w:rsidR="00477B14" w:rsidRPr="00477B14" w:rsidRDefault="00477B14" w:rsidP="00B76905">
      <w:pPr>
        <w:numPr>
          <w:ilvl w:val="0"/>
          <w:numId w:val="103"/>
        </w:numPr>
        <w:contextualSpacing/>
        <w:rPr>
          <w:rFonts w:eastAsia="Calibri" w:cs="Arial"/>
        </w:rPr>
      </w:pPr>
      <w:r w:rsidRPr="00477B14">
        <w:rPr>
          <w:rFonts w:eastAsia="Aptos" w:cs="Arial"/>
          <w:lang w:eastAsia="en-GB"/>
        </w:rPr>
        <w:t>The wide effects of discrimination include:</w:t>
      </w:r>
    </w:p>
    <w:p w14:paraId="5E61D0C0" w14:textId="77777777" w:rsidR="00477B14" w:rsidRPr="00477B14" w:rsidRDefault="00477B14" w:rsidP="00B76905">
      <w:pPr>
        <w:numPr>
          <w:ilvl w:val="0"/>
          <w:numId w:val="106"/>
        </w:numPr>
        <w:contextualSpacing/>
        <w:rPr>
          <w:rFonts w:eastAsia="Aptos" w:cs="Arial"/>
        </w:rPr>
      </w:pPr>
      <w:r w:rsidRPr="00477B14">
        <w:rPr>
          <w:rFonts w:eastAsia="Aptos" w:cs="Arial"/>
        </w:rPr>
        <w:t>poor housing, limited access amenities,</w:t>
      </w:r>
    </w:p>
    <w:p w14:paraId="699234C2" w14:textId="77777777" w:rsidR="00477B14" w:rsidRPr="00477B14" w:rsidRDefault="00477B14" w:rsidP="00B76905">
      <w:pPr>
        <w:numPr>
          <w:ilvl w:val="0"/>
          <w:numId w:val="106"/>
        </w:numPr>
        <w:contextualSpacing/>
        <w:rPr>
          <w:rFonts w:eastAsia="Aptos" w:cs="Arial"/>
        </w:rPr>
      </w:pPr>
      <w:r w:rsidRPr="00477B14">
        <w:rPr>
          <w:rFonts w:eastAsia="Aptos" w:cs="Arial"/>
        </w:rPr>
        <w:t>Gypsy, Roma and Traveller people experience the highest levels of social and economic deprivation,</w:t>
      </w:r>
    </w:p>
    <w:p w14:paraId="28FEDC9B" w14:textId="77777777" w:rsidR="00477B14" w:rsidRPr="00477B14" w:rsidRDefault="00477B14" w:rsidP="00B76905">
      <w:pPr>
        <w:numPr>
          <w:ilvl w:val="0"/>
          <w:numId w:val="106"/>
        </w:numPr>
        <w:contextualSpacing/>
        <w:rPr>
          <w:rFonts w:eastAsia="Aptos" w:cs="Arial"/>
        </w:rPr>
      </w:pPr>
      <w:r w:rsidRPr="00477B14">
        <w:rPr>
          <w:rFonts w:eastAsia="Aptos" w:cs="Arial"/>
        </w:rPr>
        <w:t>more than half of Gypsy, Roma and Traveller people having no educational qualifications,</w:t>
      </w:r>
    </w:p>
    <w:p w14:paraId="5461EFE3" w14:textId="77777777" w:rsidR="00477B14" w:rsidRPr="00477B14" w:rsidRDefault="00477B14" w:rsidP="00B76905">
      <w:pPr>
        <w:numPr>
          <w:ilvl w:val="0"/>
          <w:numId w:val="106"/>
        </w:numPr>
        <w:contextualSpacing/>
        <w:rPr>
          <w:rFonts w:eastAsia="Aptos" w:cs="Arial"/>
        </w:rPr>
      </w:pPr>
      <w:r w:rsidRPr="00477B14">
        <w:rPr>
          <w:rFonts w:eastAsia="Aptos" w:cs="Arial"/>
        </w:rPr>
        <w:t>85% of Gypsy or Traveller men and 65% of Roma men were in precarious employment, compared with 19% of white British men, and</w:t>
      </w:r>
    </w:p>
    <w:p w14:paraId="4C3CBF8A" w14:textId="77777777" w:rsidR="00477B14" w:rsidRPr="00477B14" w:rsidRDefault="00477B14" w:rsidP="00B76905">
      <w:pPr>
        <w:numPr>
          <w:ilvl w:val="0"/>
          <w:numId w:val="106"/>
        </w:numPr>
        <w:contextualSpacing/>
        <w:rPr>
          <w:rFonts w:eastAsia="Aptos" w:cs="Arial"/>
        </w:rPr>
      </w:pPr>
      <w:r w:rsidRPr="00477B14">
        <w:rPr>
          <w:rFonts w:eastAsia="Aptos" w:cs="Arial"/>
        </w:rPr>
        <w:t>the Gypsy Roma Traveller community accounts for 6% of the prison population.</w:t>
      </w:r>
    </w:p>
    <w:p w14:paraId="518CF66F" w14:textId="77777777" w:rsidR="00477B14" w:rsidRPr="00477B14" w:rsidRDefault="00477B14" w:rsidP="00B76905">
      <w:pPr>
        <w:numPr>
          <w:ilvl w:val="0"/>
          <w:numId w:val="103"/>
        </w:numPr>
        <w:contextualSpacing/>
        <w:rPr>
          <w:rFonts w:eastAsia="Calibri" w:cs="Arial"/>
        </w:rPr>
      </w:pPr>
      <w:r w:rsidRPr="00477B14">
        <w:rPr>
          <w:rFonts w:eastAsia="Aptos" w:cs="Arial"/>
          <w:lang w:eastAsia="en-GB"/>
        </w:rPr>
        <w:t>In relation to Gypsy Roma Traveller children and young children:</w:t>
      </w:r>
    </w:p>
    <w:p w14:paraId="27D6F058" w14:textId="77777777" w:rsidR="00477B14" w:rsidRPr="00477B14" w:rsidRDefault="00477B14" w:rsidP="00B76905">
      <w:pPr>
        <w:numPr>
          <w:ilvl w:val="0"/>
          <w:numId w:val="107"/>
        </w:numPr>
        <w:contextualSpacing/>
        <w:rPr>
          <w:rFonts w:eastAsia="Aptos" w:cs="Arial"/>
        </w:rPr>
      </w:pPr>
      <w:r w:rsidRPr="00477B14">
        <w:rPr>
          <w:rFonts w:eastAsia="Aptos" w:cs="Arial"/>
        </w:rPr>
        <w:t>they are statistically the most vulnerable of any group in UK,</w:t>
      </w:r>
    </w:p>
    <w:p w14:paraId="7BCF28A5" w14:textId="77777777" w:rsidR="00477B14" w:rsidRPr="00477B14" w:rsidRDefault="00477B14" w:rsidP="00B76905">
      <w:pPr>
        <w:numPr>
          <w:ilvl w:val="0"/>
          <w:numId w:val="107"/>
        </w:numPr>
        <w:contextualSpacing/>
        <w:rPr>
          <w:rFonts w:eastAsia="Aptos" w:cs="Arial"/>
        </w:rPr>
      </w:pPr>
      <w:r w:rsidRPr="00477B14">
        <w:rPr>
          <w:rFonts w:eastAsia="Aptos" w:cs="Arial"/>
        </w:rPr>
        <w:t>86% reported bullying as their biggest challenge at school,</w:t>
      </w:r>
    </w:p>
    <w:p w14:paraId="5557497C" w14:textId="77777777" w:rsidR="00477B14" w:rsidRPr="00477B14" w:rsidRDefault="00477B14" w:rsidP="00B76905">
      <w:pPr>
        <w:numPr>
          <w:ilvl w:val="0"/>
          <w:numId w:val="107"/>
        </w:numPr>
        <w:contextualSpacing/>
        <w:rPr>
          <w:rFonts w:eastAsia="Aptos" w:cs="Arial"/>
        </w:rPr>
      </w:pPr>
      <w:r w:rsidRPr="00477B14">
        <w:rPr>
          <w:rFonts w:eastAsia="Aptos" w:cs="Arial"/>
        </w:rPr>
        <w:t>leave school early,</w:t>
      </w:r>
    </w:p>
    <w:p w14:paraId="10AB0A84" w14:textId="77777777" w:rsidR="00477B14" w:rsidRPr="00477B14" w:rsidRDefault="00477B14" w:rsidP="00B76905">
      <w:pPr>
        <w:numPr>
          <w:ilvl w:val="0"/>
          <w:numId w:val="107"/>
        </w:numPr>
        <w:contextualSpacing/>
        <w:rPr>
          <w:rFonts w:eastAsia="Aptos" w:cs="Arial"/>
        </w:rPr>
      </w:pPr>
      <w:r w:rsidRPr="00477B14">
        <w:rPr>
          <w:rFonts w:eastAsia="Aptos" w:cs="Arial"/>
        </w:rPr>
        <w:t>approximately 50% are persistent non-attenders,</w:t>
      </w:r>
    </w:p>
    <w:p w14:paraId="0CBF3615" w14:textId="77777777" w:rsidR="00477B14" w:rsidRPr="00477B14" w:rsidRDefault="00477B14" w:rsidP="00B76905">
      <w:pPr>
        <w:numPr>
          <w:ilvl w:val="0"/>
          <w:numId w:val="107"/>
        </w:numPr>
        <w:contextualSpacing/>
        <w:rPr>
          <w:rFonts w:eastAsia="Aptos" w:cs="Arial"/>
        </w:rPr>
      </w:pPr>
      <w:r w:rsidRPr="00477B14">
        <w:rPr>
          <w:rFonts w:eastAsia="Aptos" w:cs="Arial"/>
        </w:rPr>
        <w:t xml:space="preserve">they have the lowest attainment of all ethnic groups, and </w:t>
      </w:r>
    </w:p>
    <w:p w14:paraId="1E8A8C16" w14:textId="77777777" w:rsidR="00477B14" w:rsidRPr="00477B14" w:rsidRDefault="00477B14" w:rsidP="00B76905">
      <w:pPr>
        <w:numPr>
          <w:ilvl w:val="0"/>
          <w:numId w:val="107"/>
        </w:numPr>
        <w:contextualSpacing/>
        <w:rPr>
          <w:rFonts w:eastAsia="Aptos" w:cs="Arial"/>
        </w:rPr>
      </w:pPr>
      <w:r w:rsidRPr="00477B14">
        <w:rPr>
          <w:rFonts w:eastAsia="Aptos" w:cs="Arial"/>
        </w:rPr>
        <w:t>make up 15% secure training units.</w:t>
      </w:r>
    </w:p>
    <w:p w14:paraId="442CF445" w14:textId="77777777" w:rsidR="00477B14" w:rsidRPr="00477B14" w:rsidRDefault="00477B14" w:rsidP="00E232AA">
      <w:pPr>
        <w:contextualSpacing/>
        <w:rPr>
          <w:rFonts w:eastAsia="Aptos" w:cs="Arial"/>
        </w:rPr>
      </w:pPr>
    </w:p>
    <w:p w14:paraId="0BA3D176" w14:textId="77777777" w:rsidR="00477B14" w:rsidRPr="00D0306F" w:rsidRDefault="00477B14" w:rsidP="00E15BF3">
      <w:pPr>
        <w:rPr>
          <w:b/>
          <w:bCs/>
          <w:sz w:val="26"/>
          <w:szCs w:val="26"/>
        </w:rPr>
      </w:pPr>
      <w:r w:rsidRPr="00D0306F">
        <w:rPr>
          <w:b/>
          <w:bCs/>
          <w:sz w:val="26"/>
          <w:szCs w:val="26"/>
        </w:rPr>
        <w:t>4.14 Asylum seekers, refugees and migrants</w:t>
      </w:r>
    </w:p>
    <w:p w14:paraId="26A75FE7" w14:textId="77777777" w:rsidR="00477B14" w:rsidRPr="00477B14" w:rsidRDefault="00477B14" w:rsidP="00E232AA">
      <w:pPr>
        <w:contextualSpacing/>
        <w:rPr>
          <w:rFonts w:eastAsia="Aptos" w:cs="Arial"/>
          <w:b/>
          <w:bCs/>
        </w:rPr>
      </w:pPr>
    </w:p>
    <w:p w14:paraId="7E16F80E" w14:textId="77777777" w:rsidR="00477B14" w:rsidRPr="00477B14" w:rsidRDefault="00477B14" w:rsidP="00E232AA">
      <w:pPr>
        <w:contextualSpacing/>
        <w:rPr>
          <w:rFonts w:eastAsia="Aptos" w:cs="Arial"/>
        </w:rPr>
      </w:pPr>
      <w:r w:rsidRPr="00477B14">
        <w:rPr>
          <w:rFonts w:eastAsia="Aptos" w:cs="Arial"/>
        </w:rPr>
        <w:t>An asylum seeker is a person who is also seeking international protection from dangers in their home country, but whose claim for refugee status hasn’t been determined legally. For example, a person has come to the UK to exercise his or her legal right to claim asylum under the 1951 UN Convention on the Status of Refugees often shorted to 1951 Refugee Convention. If their claim is successful, the person is granted refugee status.</w:t>
      </w:r>
    </w:p>
    <w:p w14:paraId="52373ACE" w14:textId="77777777" w:rsidR="00477B14" w:rsidRPr="00477B14" w:rsidRDefault="00477B14" w:rsidP="00E232AA">
      <w:pPr>
        <w:contextualSpacing/>
        <w:rPr>
          <w:rFonts w:eastAsia="Aptos" w:cs="Arial"/>
        </w:rPr>
      </w:pPr>
    </w:p>
    <w:p w14:paraId="2BD7C548" w14:textId="77777777" w:rsidR="00477B14" w:rsidRPr="00477B14" w:rsidRDefault="00477B14" w:rsidP="00E232AA">
      <w:pPr>
        <w:contextualSpacing/>
        <w:rPr>
          <w:rFonts w:eastAsia="Aptos" w:cs="Arial"/>
        </w:rPr>
      </w:pPr>
      <w:r w:rsidRPr="00477B14">
        <w:rPr>
          <w:rFonts w:eastAsia="Aptos" w:cs="Arial"/>
        </w:rPr>
        <w:t xml:space="preserve">A refugee is a person who has been forced to flee their home because of war, violence or persecution, often without warning, and is unable to return home unless and until conditions in their native lands are safe for them. </w:t>
      </w:r>
    </w:p>
    <w:p w14:paraId="0FB829D6" w14:textId="77777777" w:rsidR="00477B14" w:rsidRPr="00477B14" w:rsidRDefault="00477B14" w:rsidP="00E232AA">
      <w:pPr>
        <w:contextualSpacing/>
        <w:rPr>
          <w:rFonts w:eastAsia="Aptos" w:cs="Arial"/>
        </w:rPr>
      </w:pPr>
    </w:p>
    <w:p w14:paraId="27299F94" w14:textId="77777777" w:rsidR="00477B14" w:rsidRPr="00477B14" w:rsidRDefault="00477B14" w:rsidP="00E232AA">
      <w:pPr>
        <w:contextualSpacing/>
        <w:rPr>
          <w:rFonts w:eastAsia="Aptos" w:cs="Arial"/>
        </w:rPr>
      </w:pPr>
      <w:r w:rsidRPr="00477B14">
        <w:rPr>
          <w:rFonts w:eastAsia="Aptos" w:cs="Arial"/>
        </w:rPr>
        <w:t xml:space="preserve">A migrant is an umbrella term which does not have a legal definition under international law. It usually describes a person who has left their home, either within their country or across borders. This can be temporary or permanent and be due to </w:t>
      </w:r>
      <w:r w:rsidRPr="00477B14">
        <w:rPr>
          <w:rFonts w:eastAsia="Aptos" w:cs="Arial"/>
        </w:rPr>
        <w:lastRenderedPageBreak/>
        <w:t>various reasons. For example, they may feel they have no choice but to leave their homes due to political unrest, poverty or other serious circumstances which may make returning unsafe. Others voluntarily leave for reasons such as education, seasonal work opportunities or to join their families.</w:t>
      </w:r>
    </w:p>
    <w:p w14:paraId="02DBCA62" w14:textId="77777777" w:rsidR="00477B14" w:rsidRPr="00477B14" w:rsidRDefault="00477B14" w:rsidP="00E232AA">
      <w:pPr>
        <w:contextualSpacing/>
        <w:rPr>
          <w:rFonts w:eastAsia="Times New Roman" w:cs="Arial"/>
          <w:lang w:eastAsia="en-GB"/>
        </w:rPr>
      </w:pPr>
    </w:p>
    <w:p w14:paraId="44EFCE5E" w14:textId="77777777" w:rsidR="00477B14" w:rsidRPr="00477B14" w:rsidRDefault="00477B14" w:rsidP="00E232AA">
      <w:pPr>
        <w:contextualSpacing/>
        <w:rPr>
          <w:rFonts w:eastAsia="Times New Roman" w:cs="Arial"/>
          <w:lang w:eastAsia="en-GB"/>
        </w:rPr>
      </w:pPr>
      <w:r w:rsidRPr="00477B14">
        <w:rPr>
          <w:rFonts w:eastAsia="Times New Roman" w:cs="Arial"/>
          <w:lang w:eastAsia="en-GB"/>
        </w:rPr>
        <w:t>Issues of immigration and asylum are not devolved powers to Wales; however, the Welsh Government has responsibilities over many areas of life that will affect asylum seekers based in Wales, one of which is their access to health services.</w:t>
      </w:r>
    </w:p>
    <w:p w14:paraId="3ECCD1E7" w14:textId="77777777" w:rsidR="00477B14" w:rsidRPr="00477B14" w:rsidRDefault="00477B14" w:rsidP="00E232AA">
      <w:pPr>
        <w:contextualSpacing/>
        <w:rPr>
          <w:rFonts w:eastAsia="Times New Roman" w:cs="Arial"/>
          <w:lang w:eastAsia="en-GB"/>
        </w:rPr>
      </w:pPr>
    </w:p>
    <w:p w14:paraId="529D6F05" w14:textId="77777777" w:rsidR="00477B14" w:rsidRPr="00477B14" w:rsidRDefault="00477B14" w:rsidP="00E232AA">
      <w:pPr>
        <w:contextualSpacing/>
        <w:rPr>
          <w:rFonts w:eastAsia="Times New Roman" w:cs="Arial"/>
          <w:lang w:eastAsia="en-GB"/>
        </w:rPr>
      </w:pPr>
      <w:r w:rsidRPr="00477B14">
        <w:rPr>
          <w:rFonts w:eastAsia="Times New Roman" w:cs="Arial"/>
          <w:lang w:eastAsia="en-GB"/>
        </w:rPr>
        <w:t>Asylum seekers are one of the most vulnerable groups within society, with often complex health and social care needs. These may be influenced by experiences prior to leaving their home country, during transit, or on arrival in the UK.</w:t>
      </w:r>
    </w:p>
    <w:p w14:paraId="7CB9066D" w14:textId="77777777" w:rsidR="00477B14" w:rsidRPr="00477B14" w:rsidRDefault="00477B14" w:rsidP="00E232AA">
      <w:pPr>
        <w:contextualSpacing/>
        <w:rPr>
          <w:rFonts w:eastAsia="Aptos" w:cs="Arial"/>
        </w:rPr>
      </w:pPr>
    </w:p>
    <w:p w14:paraId="61388E37" w14:textId="77777777" w:rsidR="00477B14" w:rsidRPr="00477B14" w:rsidRDefault="00477B14" w:rsidP="00E232AA">
      <w:pPr>
        <w:contextualSpacing/>
        <w:rPr>
          <w:rFonts w:eastAsia="Times New Roman" w:cs="Arial"/>
          <w:lang w:eastAsia="en-GB"/>
        </w:rPr>
      </w:pPr>
      <w:r w:rsidRPr="00477B14">
        <w:rPr>
          <w:rFonts w:eastAsia="Aptos" w:cs="Arial"/>
        </w:rPr>
        <w:t>Many asylum seekers will have complex health and social care needs. Pregnant women, unaccompanied children, those with significant mental health problems, and those who have experienced traumatic events such as rape or torture, are likely to be particularly vulnerable. Although, m</w:t>
      </w:r>
      <w:r w:rsidRPr="00477B14">
        <w:rPr>
          <w:rFonts w:eastAsia="Times New Roman" w:cs="Arial"/>
          <w:lang w:eastAsia="en-GB"/>
        </w:rPr>
        <w:t>any of their health requirements are the same as those of the local community, asylum seekers may also have different health and health related problems</w:t>
      </w:r>
      <w:r w:rsidRPr="00477B14">
        <w:rPr>
          <w:rFonts w:eastAsia="Times New Roman" w:cs="Arial"/>
          <w:kern w:val="0"/>
          <w:vertAlign w:val="superscript"/>
          <w:lang w:eastAsia="en-GB"/>
          <w14:ligatures w14:val="none"/>
        </w:rPr>
        <w:footnoteReference w:id="206"/>
      </w:r>
      <w:r w:rsidRPr="00477B14">
        <w:rPr>
          <w:rFonts w:eastAsia="Times New Roman" w:cs="Arial"/>
          <w:lang w:eastAsia="en-GB"/>
        </w:rPr>
        <w:t>. These may include:</w:t>
      </w:r>
    </w:p>
    <w:p w14:paraId="51B4AF51" w14:textId="77777777" w:rsidR="00477B14" w:rsidRPr="00477B14" w:rsidRDefault="00477B14" w:rsidP="00E232AA">
      <w:pPr>
        <w:contextualSpacing/>
        <w:rPr>
          <w:rFonts w:eastAsia="Times New Roman" w:cs="Arial"/>
          <w:kern w:val="0"/>
          <w:lang w:eastAsia="en-GB"/>
          <w14:ligatures w14:val="none"/>
        </w:rPr>
      </w:pPr>
    </w:p>
    <w:p w14:paraId="1BB6A060" w14:textId="77777777" w:rsidR="00477B14" w:rsidRPr="00477B14" w:rsidRDefault="00477B14" w:rsidP="00B76905">
      <w:pPr>
        <w:numPr>
          <w:ilvl w:val="0"/>
          <w:numId w:val="108"/>
        </w:numPr>
        <w:contextualSpacing/>
        <w:rPr>
          <w:rFonts w:eastAsia="Aptos" w:cs="Arial"/>
          <w:lang w:eastAsia="en-GB"/>
        </w:rPr>
      </w:pPr>
      <w:r w:rsidRPr="00477B14">
        <w:rPr>
          <w:rFonts w:eastAsia="Aptos" w:cs="Arial"/>
          <w:lang w:eastAsia="en-GB"/>
        </w:rPr>
        <w:t>specific problems arising from their experiences and circumstances that may have led to their asylum application eg they have experienced or witnessed torture or abuse.</w:t>
      </w:r>
    </w:p>
    <w:p w14:paraId="48335692" w14:textId="77777777" w:rsidR="00477B14" w:rsidRPr="00477B14" w:rsidRDefault="00477B14" w:rsidP="00B76905">
      <w:pPr>
        <w:numPr>
          <w:ilvl w:val="0"/>
          <w:numId w:val="108"/>
        </w:numPr>
        <w:contextualSpacing/>
        <w:rPr>
          <w:rFonts w:eastAsia="Aptos" w:cs="Arial"/>
          <w:lang w:eastAsia="en-GB"/>
        </w:rPr>
      </w:pPr>
      <w:r w:rsidRPr="00477B14">
        <w:rPr>
          <w:rFonts w:eastAsia="Aptos" w:cs="Arial"/>
          <w:lang w:eastAsia="en-GB"/>
        </w:rPr>
        <w:t>health challenges such as:</w:t>
      </w:r>
    </w:p>
    <w:p w14:paraId="748CF4C1" w14:textId="77777777" w:rsidR="00477B14" w:rsidRPr="00477B14" w:rsidRDefault="00477B14" w:rsidP="00B76905">
      <w:pPr>
        <w:numPr>
          <w:ilvl w:val="1"/>
          <w:numId w:val="108"/>
        </w:numPr>
        <w:contextualSpacing/>
        <w:rPr>
          <w:rFonts w:eastAsia="Aptos" w:cs="Arial"/>
          <w:lang w:eastAsia="en-GB"/>
        </w:rPr>
      </w:pPr>
      <w:r w:rsidRPr="00477B14">
        <w:rPr>
          <w:rFonts w:eastAsia="Aptos" w:cs="Arial"/>
          <w:lang w:eastAsia="en-GB"/>
        </w:rPr>
        <w:t>incomplete immunisations,</w:t>
      </w:r>
    </w:p>
    <w:p w14:paraId="5E968886" w14:textId="77777777" w:rsidR="00477B14" w:rsidRPr="00477B14" w:rsidRDefault="00477B14" w:rsidP="00B76905">
      <w:pPr>
        <w:numPr>
          <w:ilvl w:val="1"/>
          <w:numId w:val="108"/>
        </w:numPr>
        <w:contextualSpacing/>
        <w:rPr>
          <w:rFonts w:eastAsia="Aptos" w:cs="Arial"/>
          <w:lang w:eastAsia="en-GB"/>
        </w:rPr>
      </w:pPr>
      <w:r w:rsidRPr="00477B14">
        <w:rPr>
          <w:rFonts w:eastAsia="Aptos" w:cs="Arial"/>
          <w:lang w:eastAsia="en-GB"/>
        </w:rPr>
        <w:t>communicable diseases such as tuberculosis, human immunodeficiency virus/acquired immune deficiency syndrome and other sexually transmitted diseases, and</w:t>
      </w:r>
    </w:p>
    <w:p w14:paraId="5000529F" w14:textId="77777777" w:rsidR="00477B14" w:rsidRPr="00477B14" w:rsidRDefault="00477B14" w:rsidP="00B76905">
      <w:pPr>
        <w:numPr>
          <w:ilvl w:val="1"/>
          <w:numId w:val="108"/>
        </w:numPr>
        <w:contextualSpacing/>
        <w:rPr>
          <w:rFonts w:eastAsia="Aptos" w:cs="Arial"/>
          <w:lang w:eastAsia="en-GB"/>
        </w:rPr>
      </w:pPr>
      <w:r w:rsidRPr="00477B14">
        <w:rPr>
          <w:rFonts w:eastAsia="Aptos" w:cs="Arial"/>
          <w:lang w:eastAsia="en-GB"/>
        </w:rPr>
        <w:t>vulnerability to specific conditions,</w:t>
      </w:r>
    </w:p>
    <w:p w14:paraId="376E84B7" w14:textId="77777777" w:rsidR="00477B14" w:rsidRPr="00477B14" w:rsidRDefault="00477B14" w:rsidP="00B76905">
      <w:pPr>
        <w:numPr>
          <w:ilvl w:val="0"/>
          <w:numId w:val="108"/>
        </w:numPr>
        <w:contextualSpacing/>
        <w:rPr>
          <w:rFonts w:eastAsia="Aptos" w:cs="Arial"/>
          <w:lang w:eastAsia="en-GB"/>
        </w:rPr>
      </w:pPr>
      <w:r w:rsidRPr="00477B14">
        <w:rPr>
          <w:rFonts w:eastAsia="Aptos" w:cs="Arial"/>
          <w:lang w:eastAsia="en-GB"/>
        </w:rPr>
        <w:t>chronic disease,</w:t>
      </w:r>
    </w:p>
    <w:p w14:paraId="25E629FD" w14:textId="77777777" w:rsidR="00477B14" w:rsidRPr="00477B14" w:rsidRDefault="00477B14" w:rsidP="00B76905">
      <w:pPr>
        <w:numPr>
          <w:ilvl w:val="0"/>
          <w:numId w:val="108"/>
        </w:numPr>
        <w:contextualSpacing/>
        <w:rPr>
          <w:rFonts w:eastAsia="Aptos" w:cs="Arial"/>
          <w:lang w:eastAsia="en-GB"/>
        </w:rPr>
      </w:pPr>
      <w:r w:rsidRPr="00477B14">
        <w:rPr>
          <w:rFonts w:eastAsia="Aptos" w:cs="Arial"/>
          <w:lang w:eastAsia="en-GB"/>
        </w:rPr>
        <w:t>mental health problems which may be related to past experiences or pre-existing problems and potentially exacerbated by current circumstances eg post-traumatic stress disorder, and</w:t>
      </w:r>
    </w:p>
    <w:p w14:paraId="09E589A8" w14:textId="77777777" w:rsidR="00477B14" w:rsidRPr="00477B14" w:rsidRDefault="00477B14" w:rsidP="00B76905">
      <w:pPr>
        <w:numPr>
          <w:ilvl w:val="0"/>
          <w:numId w:val="108"/>
        </w:numPr>
        <w:contextualSpacing/>
        <w:rPr>
          <w:rFonts w:eastAsia="Calibri" w:cs="Arial"/>
        </w:rPr>
      </w:pPr>
      <w:r w:rsidRPr="00477B14">
        <w:rPr>
          <w:rFonts w:eastAsia="Calibri" w:cs="Arial"/>
        </w:rPr>
        <w:t>poor oral health.</w:t>
      </w:r>
    </w:p>
    <w:p w14:paraId="45DEB518" w14:textId="77777777" w:rsidR="00477B14" w:rsidRPr="00477B14" w:rsidRDefault="00477B14" w:rsidP="00E232AA">
      <w:pPr>
        <w:contextualSpacing/>
        <w:rPr>
          <w:rFonts w:eastAsia="Calibri" w:cs="Arial"/>
          <w:kern w:val="0"/>
          <w14:ligatures w14:val="none"/>
        </w:rPr>
      </w:pPr>
    </w:p>
    <w:p w14:paraId="0BD62301" w14:textId="77777777" w:rsidR="00477B14" w:rsidRPr="00477B14" w:rsidRDefault="00477B14" w:rsidP="00E232AA">
      <w:pPr>
        <w:contextualSpacing/>
        <w:rPr>
          <w:rFonts w:eastAsia="Aptos" w:cs="Arial"/>
        </w:rPr>
      </w:pPr>
      <w:r w:rsidRPr="00477B14">
        <w:rPr>
          <w:rFonts w:eastAsia="Aptos" w:cs="Arial"/>
        </w:rPr>
        <w:t>There is evidence that non-UK born individuals residing in the UK have poorer outcomes for physical and mental health than other residents, although this varies by migration history. Socioeconomic circumstances and immigration regulations affecting some migrant groups impact negatively on their access and use of health care. Rates of infectious diseases, including tuberculosis and human immunodeficiency virus, are higher than for non-migrants. A lack of awareness of eligibility for healthcare, language issues, and a fear of being reported to the UK Border Agency, can be barriers to accessing care.</w:t>
      </w:r>
    </w:p>
    <w:p w14:paraId="31098334" w14:textId="77777777" w:rsidR="00477B14" w:rsidRPr="00477B14" w:rsidRDefault="00477B14" w:rsidP="00E232AA">
      <w:pPr>
        <w:contextualSpacing/>
        <w:rPr>
          <w:rFonts w:eastAsia="Aptos" w:cs="Arial"/>
        </w:rPr>
      </w:pPr>
    </w:p>
    <w:p w14:paraId="54FB3150" w14:textId="77777777" w:rsidR="00477B14" w:rsidRPr="00477B14" w:rsidRDefault="00477B14" w:rsidP="00E232AA">
      <w:pPr>
        <w:contextualSpacing/>
        <w:rPr>
          <w:rFonts w:eastAsia="Aptos" w:cs="Arial"/>
        </w:rPr>
      </w:pPr>
      <w:r w:rsidRPr="00477B14">
        <w:rPr>
          <w:rFonts w:eastAsia="Aptos" w:cs="Arial"/>
        </w:rPr>
        <w:t xml:space="preserve">There is evidence of higher levels of depression and anxiety among asylum seekers and refugees compared with the national population, and much research has focused on the physical and mental impact of conflict and war in countries of origin. </w:t>
      </w:r>
      <w:r w:rsidRPr="00477B14">
        <w:rPr>
          <w:rFonts w:eastAsia="Aptos" w:cs="Arial"/>
        </w:rPr>
        <w:lastRenderedPageBreak/>
        <w:t xml:space="preserve">Particularly vulnerable groups are children, and women who have suffered sexual and physical abuse. </w:t>
      </w:r>
    </w:p>
    <w:p w14:paraId="439FB895" w14:textId="77777777" w:rsidR="00477B14" w:rsidRPr="00477B14" w:rsidRDefault="00477B14" w:rsidP="00E232AA">
      <w:pPr>
        <w:contextualSpacing/>
        <w:rPr>
          <w:rFonts w:eastAsia="Times New Roman" w:cs="Arial"/>
          <w:lang w:eastAsia="en-GB"/>
        </w:rPr>
      </w:pPr>
    </w:p>
    <w:p w14:paraId="617902E5" w14:textId="77777777" w:rsidR="00477B14" w:rsidRPr="00477B14" w:rsidRDefault="00477B14" w:rsidP="00E232AA">
      <w:pPr>
        <w:contextualSpacing/>
        <w:rPr>
          <w:rFonts w:eastAsia="Times New Roman" w:cs="Arial"/>
          <w:lang w:eastAsia="en-GB"/>
        </w:rPr>
      </w:pPr>
      <w:r w:rsidRPr="00477B14">
        <w:rPr>
          <w:rFonts w:eastAsia="Times New Roman" w:cs="Arial"/>
          <w:lang w:eastAsia="en-GB"/>
        </w:rPr>
        <w:t>In January 2019, the Welsh Government launched Nation of Sanctuary Refugee and Asylum Seeker Plan</w:t>
      </w:r>
      <w:r w:rsidRPr="00477B14">
        <w:rPr>
          <w:rFonts w:eastAsia="Times New Roman" w:cs="Arial"/>
          <w:kern w:val="0"/>
          <w:vertAlign w:val="superscript"/>
          <w:lang w:eastAsia="en-GB"/>
          <w14:ligatures w14:val="none"/>
        </w:rPr>
        <w:footnoteReference w:id="207"/>
      </w:r>
      <w:r w:rsidRPr="00477B14">
        <w:rPr>
          <w:rFonts w:eastAsia="Times New Roman" w:cs="Arial"/>
          <w:lang w:eastAsia="en-GB"/>
        </w:rPr>
        <w:t xml:space="preserve">, which seeks to address key issues of refugees and asylum seekers. </w:t>
      </w:r>
    </w:p>
    <w:p w14:paraId="7A70F211" w14:textId="77777777" w:rsidR="00477B14" w:rsidRPr="00477B14" w:rsidRDefault="00477B14" w:rsidP="00E232AA">
      <w:pPr>
        <w:contextualSpacing/>
        <w:rPr>
          <w:rFonts w:eastAsia="Times New Roman" w:cs="Arial"/>
          <w:kern w:val="0"/>
          <w:lang w:eastAsia="en-GB"/>
          <w14:ligatures w14:val="none"/>
        </w:rPr>
      </w:pPr>
    </w:p>
    <w:p w14:paraId="5A035F13" w14:textId="77777777" w:rsidR="00477B14" w:rsidRPr="00477B14" w:rsidRDefault="00477B14" w:rsidP="00B76905">
      <w:pPr>
        <w:numPr>
          <w:ilvl w:val="0"/>
          <w:numId w:val="109"/>
        </w:numPr>
        <w:contextualSpacing/>
        <w:rPr>
          <w:rFonts w:eastAsia="Aptos" w:cs="Arial"/>
        </w:rPr>
      </w:pPr>
      <w:r w:rsidRPr="00477B14">
        <w:rPr>
          <w:rFonts w:eastAsia="Aptos" w:cs="Arial"/>
        </w:rPr>
        <w:t xml:space="preserve">Refugees and asylum seekers can access health services (including mental health services) which they require throughout the ‘asylum journey’. This includes health assessments on arrival and during the dispersal and post-trauma phases. </w:t>
      </w:r>
    </w:p>
    <w:p w14:paraId="4E634121" w14:textId="77777777" w:rsidR="00477B14" w:rsidRPr="00477B14" w:rsidRDefault="00477B14" w:rsidP="00B76905">
      <w:pPr>
        <w:numPr>
          <w:ilvl w:val="0"/>
          <w:numId w:val="109"/>
        </w:numPr>
        <w:contextualSpacing/>
        <w:rPr>
          <w:rFonts w:eastAsia="Aptos" w:cs="Arial"/>
        </w:rPr>
      </w:pPr>
      <w:r w:rsidRPr="00477B14">
        <w:rPr>
          <w:rFonts w:eastAsia="Aptos" w:cs="Arial"/>
        </w:rPr>
        <w:t xml:space="preserve">Refugees and asylum seekers are provided with the information and advice they need to begin to integrate into Welsh society from day one. </w:t>
      </w:r>
    </w:p>
    <w:p w14:paraId="50C67809" w14:textId="77777777" w:rsidR="00477B14" w:rsidRPr="00477B14" w:rsidRDefault="00477B14" w:rsidP="00B76905">
      <w:pPr>
        <w:numPr>
          <w:ilvl w:val="0"/>
          <w:numId w:val="109"/>
        </w:numPr>
        <w:contextualSpacing/>
        <w:rPr>
          <w:rFonts w:eastAsia="Aptos" w:cs="Arial"/>
          <w:b/>
          <w:bCs/>
        </w:rPr>
      </w:pPr>
      <w:r w:rsidRPr="00477B14">
        <w:rPr>
          <w:rFonts w:eastAsia="Aptos" w:cs="Arial"/>
        </w:rPr>
        <w:t>Asylum seekers are not prevented from accessing appropriate Welsh Government schemes which would support their integration.</w:t>
      </w:r>
    </w:p>
    <w:p w14:paraId="68F7E46F" w14:textId="77777777" w:rsidR="00477B14" w:rsidRPr="00477B14" w:rsidRDefault="00477B14" w:rsidP="00B76905">
      <w:pPr>
        <w:numPr>
          <w:ilvl w:val="0"/>
          <w:numId w:val="109"/>
        </w:numPr>
        <w:contextualSpacing/>
        <w:rPr>
          <w:rFonts w:eastAsia="Aptos" w:cs="Arial"/>
        </w:rPr>
      </w:pPr>
      <w:r w:rsidRPr="00477B14">
        <w:rPr>
          <w:rFonts w:eastAsia="Aptos" w:cs="Arial"/>
        </w:rPr>
        <w:t xml:space="preserve">New refugees and asylum seekers are less likely to fall into destitution. </w:t>
      </w:r>
    </w:p>
    <w:p w14:paraId="09035723" w14:textId="77777777" w:rsidR="00477B14" w:rsidRPr="00477B14" w:rsidRDefault="00477B14" w:rsidP="00B76905">
      <w:pPr>
        <w:numPr>
          <w:ilvl w:val="0"/>
          <w:numId w:val="109"/>
        </w:numPr>
        <w:contextualSpacing/>
        <w:rPr>
          <w:rFonts w:eastAsia="Aptos" w:cs="Arial"/>
        </w:rPr>
      </w:pPr>
      <w:r w:rsidRPr="00477B14">
        <w:rPr>
          <w:rFonts w:eastAsia="Aptos" w:cs="Arial"/>
        </w:rPr>
        <w:t xml:space="preserve">All refugees and asylum seekers (particularly unaccompanied asylum-seeking children) are properly safeguarded and can access advocacy support. </w:t>
      </w:r>
    </w:p>
    <w:p w14:paraId="603280E7" w14:textId="77777777" w:rsidR="00477B14" w:rsidRPr="00477B14" w:rsidRDefault="00477B14" w:rsidP="00B76905">
      <w:pPr>
        <w:numPr>
          <w:ilvl w:val="0"/>
          <w:numId w:val="109"/>
        </w:numPr>
        <w:contextualSpacing/>
        <w:rPr>
          <w:rFonts w:eastAsia="Aptos" w:cs="Arial"/>
          <w:b/>
        </w:rPr>
      </w:pPr>
      <w:r w:rsidRPr="00477B14">
        <w:rPr>
          <w:rFonts w:eastAsia="Aptos" w:cs="Arial"/>
        </w:rPr>
        <w:t>Refugees and asylum seekers can access educational opportunities, including language skills, to help them rebuild their lives and fulfil their potential.</w:t>
      </w:r>
    </w:p>
    <w:p w14:paraId="0C87F7AF" w14:textId="77777777" w:rsidR="00477B14" w:rsidRPr="00477B14" w:rsidRDefault="00477B14" w:rsidP="00E232AA">
      <w:pPr>
        <w:contextualSpacing/>
        <w:rPr>
          <w:rFonts w:eastAsia="Aptos" w:cs="Arial"/>
        </w:rPr>
      </w:pPr>
    </w:p>
    <w:p w14:paraId="5735BF47" w14:textId="77777777" w:rsidR="00477B14" w:rsidRPr="00477B14" w:rsidRDefault="00477B14" w:rsidP="00E232AA">
      <w:pPr>
        <w:contextualSpacing/>
        <w:rPr>
          <w:rFonts w:eastAsia="Aptos" w:cs="Arial"/>
        </w:rPr>
      </w:pPr>
      <w:r w:rsidRPr="00477B14">
        <w:rPr>
          <w:rFonts w:eastAsia="Aptos" w:cs="Arial"/>
        </w:rPr>
        <w:t>Good communication with migrants is essential. Determining the language and suitability of format (eg written, audio, face to face, telephone) and support available, such as advocacy and interpretation, are critical elements to ensure effective communication. In addition, other issues highlighted for both migrants and asylum seekers include the need for more advocacy and floating support for migrants, lack of a strategic approach to information and service provision for new migrants and lack of coordination between services for migrants, asylum seekers and refugees.</w:t>
      </w:r>
    </w:p>
    <w:p w14:paraId="43F7E44E" w14:textId="77777777" w:rsidR="00477B14" w:rsidRPr="00477B14" w:rsidRDefault="00477B14" w:rsidP="00E232AA">
      <w:pPr>
        <w:contextualSpacing/>
        <w:rPr>
          <w:rFonts w:eastAsia="Aptos" w:cs="Arial"/>
          <w:b/>
          <w:bCs/>
        </w:rPr>
      </w:pPr>
    </w:p>
    <w:p w14:paraId="17FE5230" w14:textId="77777777" w:rsidR="00477B14" w:rsidRPr="00D0306F" w:rsidRDefault="00477B14" w:rsidP="00E15BF3">
      <w:pPr>
        <w:rPr>
          <w:b/>
          <w:bCs/>
          <w:sz w:val="26"/>
          <w:szCs w:val="26"/>
        </w:rPr>
      </w:pPr>
      <w:r w:rsidRPr="00D0306F">
        <w:rPr>
          <w:b/>
          <w:bCs/>
          <w:sz w:val="26"/>
          <w:szCs w:val="26"/>
        </w:rPr>
        <w:t>4.15 Military veterans</w:t>
      </w:r>
      <w:r w:rsidRPr="00D0306F">
        <w:rPr>
          <w:b/>
          <w:bCs/>
          <w:sz w:val="26"/>
          <w:szCs w:val="26"/>
          <w:vertAlign w:val="superscript"/>
        </w:rPr>
        <w:footnoteReference w:id="208"/>
      </w:r>
    </w:p>
    <w:p w14:paraId="12A3CAB7" w14:textId="77777777" w:rsidR="00477B14" w:rsidRPr="00477B14" w:rsidRDefault="00477B14" w:rsidP="00E232AA">
      <w:pPr>
        <w:contextualSpacing/>
        <w:rPr>
          <w:rFonts w:eastAsia="Aptos" w:cs="Arial"/>
        </w:rPr>
      </w:pPr>
    </w:p>
    <w:p w14:paraId="30A488B3" w14:textId="77777777" w:rsidR="00477B14" w:rsidRPr="00477B14" w:rsidRDefault="00477B14" w:rsidP="00E232AA">
      <w:pPr>
        <w:contextualSpacing/>
        <w:rPr>
          <w:rFonts w:eastAsia="Aptos" w:cs="Arial"/>
        </w:rPr>
      </w:pPr>
      <w:r w:rsidRPr="00477B14">
        <w:rPr>
          <w:rFonts w:eastAsia="Aptos" w:cs="Arial"/>
        </w:rPr>
        <w:t xml:space="preserve">A veteran is defined as anyone who has served for at least one day in His Majesty’s armed forces (Regular or Reserve), as well as Merchant Mariners or who have seen duty on legally defined military missions. </w:t>
      </w:r>
    </w:p>
    <w:p w14:paraId="331D1A0A" w14:textId="77777777" w:rsidR="00477B14" w:rsidRPr="00477B14" w:rsidRDefault="00477B14" w:rsidP="00E232AA">
      <w:pPr>
        <w:contextualSpacing/>
        <w:rPr>
          <w:rFonts w:eastAsia="Aptos" w:cs="Arial"/>
        </w:rPr>
      </w:pPr>
    </w:p>
    <w:p w14:paraId="7E7CB165" w14:textId="77777777" w:rsidR="00477B14" w:rsidRPr="00477B14" w:rsidRDefault="00477B14" w:rsidP="00E232AA">
      <w:pPr>
        <w:contextualSpacing/>
        <w:rPr>
          <w:rFonts w:eastAsia="Times New Roman" w:cs="Arial"/>
          <w:kern w:val="0"/>
          <w:lang w:eastAsia="en-GB"/>
          <w14:ligatures w14:val="none"/>
        </w:rPr>
      </w:pPr>
      <w:r w:rsidRPr="00477B14">
        <w:rPr>
          <w:rFonts w:eastAsia="Times New Roman" w:cs="Arial"/>
          <w:kern w:val="0"/>
          <w:lang w:eastAsia="en-GB"/>
          <w14:ligatures w14:val="none"/>
        </w:rPr>
        <w:t>The 2021 Census in England and Wales</w:t>
      </w:r>
      <w:r w:rsidRPr="00477B14">
        <w:rPr>
          <w:rFonts w:eastAsia="Times New Roman" w:cs="Arial"/>
          <w:kern w:val="0"/>
          <w:vertAlign w:val="superscript"/>
          <w:lang w:eastAsia="en-GB"/>
          <w14:ligatures w14:val="none"/>
        </w:rPr>
        <w:footnoteReference w:id="209"/>
      </w:r>
      <w:r w:rsidRPr="00477B14">
        <w:rPr>
          <w:rFonts w:eastAsia="Times New Roman" w:cs="Arial"/>
          <w:kern w:val="0"/>
          <w:lang w:eastAsia="en-GB"/>
          <w14:ligatures w14:val="none"/>
        </w:rPr>
        <w:t xml:space="preserve"> was the first to ask people if they had previously served in the UK armed forces. People aged 16 years and over were asked whether they had previously served in the regular or reserve UK armed forces, or both. People currently serving in the UK armed forces and those who had never served were both advised to tick "no".</w:t>
      </w:r>
    </w:p>
    <w:p w14:paraId="10AE5FA3" w14:textId="77777777" w:rsidR="00477B14" w:rsidRPr="00477B14" w:rsidRDefault="00477B14" w:rsidP="00E232AA">
      <w:pPr>
        <w:contextualSpacing/>
        <w:rPr>
          <w:rFonts w:eastAsia="Times New Roman" w:cs="Arial"/>
          <w:kern w:val="0"/>
          <w:lang w:eastAsia="en-GB"/>
          <w14:ligatures w14:val="none"/>
        </w:rPr>
      </w:pPr>
    </w:p>
    <w:p w14:paraId="0C97B215" w14:textId="77777777" w:rsidR="00477B14" w:rsidRPr="00477B14" w:rsidRDefault="00477B14" w:rsidP="00E232AA">
      <w:pPr>
        <w:contextualSpacing/>
        <w:rPr>
          <w:rFonts w:eastAsia="Aptos" w:cs="Arial"/>
          <w:lang w:eastAsia="en-GB"/>
        </w:rPr>
      </w:pPr>
      <w:r w:rsidRPr="00477B14">
        <w:rPr>
          <w:rFonts w:eastAsia="Aptos" w:cs="Arial"/>
          <w:lang w:eastAsia="en-GB"/>
        </w:rPr>
        <w:t>The Census data indicates:</w:t>
      </w:r>
    </w:p>
    <w:p w14:paraId="32977625" w14:textId="77777777" w:rsidR="00477B14" w:rsidRPr="00477B14" w:rsidRDefault="00477B14" w:rsidP="00E232AA">
      <w:pPr>
        <w:contextualSpacing/>
        <w:rPr>
          <w:rFonts w:eastAsia="Times New Roman" w:cs="Arial"/>
          <w:kern w:val="0"/>
          <w:lang w:eastAsia="en-GB"/>
          <w14:ligatures w14:val="none"/>
        </w:rPr>
      </w:pPr>
    </w:p>
    <w:p w14:paraId="779C2ADA" w14:textId="77777777" w:rsidR="00477B14" w:rsidRPr="00477B14" w:rsidRDefault="00477B14" w:rsidP="00B76905">
      <w:pPr>
        <w:numPr>
          <w:ilvl w:val="0"/>
          <w:numId w:val="110"/>
        </w:numPr>
        <w:contextualSpacing/>
        <w:rPr>
          <w:rFonts w:eastAsia="Aptos" w:cs="Arial"/>
          <w:lang w:eastAsia="en-GB"/>
        </w:rPr>
      </w:pPr>
      <w:r w:rsidRPr="00477B14">
        <w:rPr>
          <w:rFonts w:eastAsia="Aptos" w:cs="Arial"/>
          <w:lang w:eastAsia="en-GB"/>
        </w:rPr>
        <w:t xml:space="preserve">There were 1,853,112 people who had previously served in the UK armed forces in England and Wales in 2021, 3.8% of the population aged 16 years </w:t>
      </w:r>
      <w:r w:rsidRPr="00477B14">
        <w:rPr>
          <w:rFonts w:eastAsia="Aptos" w:cs="Arial"/>
          <w:lang w:eastAsia="en-GB"/>
        </w:rPr>
        <w:lastRenderedPageBreak/>
        <w:t>and over. This is almost 1 in 25 people aged 16 years and over in England and Wales.</w:t>
      </w:r>
    </w:p>
    <w:p w14:paraId="3D24DCFD" w14:textId="77777777" w:rsidR="00477B14" w:rsidRPr="00477B14" w:rsidRDefault="00477B14" w:rsidP="00B76905">
      <w:pPr>
        <w:numPr>
          <w:ilvl w:val="0"/>
          <w:numId w:val="110"/>
        </w:numPr>
        <w:contextualSpacing/>
        <w:rPr>
          <w:rFonts w:eastAsia="Aptos" w:cs="Arial"/>
          <w:lang w:eastAsia="en-GB"/>
        </w:rPr>
      </w:pPr>
      <w:r w:rsidRPr="00477B14">
        <w:rPr>
          <w:rFonts w:eastAsia="Aptos" w:cs="Arial"/>
          <w:lang w:eastAsia="en-GB"/>
        </w:rPr>
        <w:t>Over three-quarters of UK armed forces veterans residing in Wales had previously served in the regular armed forces only (88,000 people, 76.3%), while 22,000 (19.3%) had served in the reserve armed forces only. The remaining 5,000 (4.5%) had served in both the regular and the reserve armed forces.</w:t>
      </w:r>
    </w:p>
    <w:p w14:paraId="4A3EB00C" w14:textId="77777777" w:rsidR="00477B14" w:rsidRPr="00477B14" w:rsidRDefault="00477B14" w:rsidP="00B76905">
      <w:pPr>
        <w:numPr>
          <w:ilvl w:val="0"/>
          <w:numId w:val="110"/>
        </w:numPr>
        <w:contextualSpacing/>
        <w:rPr>
          <w:rFonts w:eastAsia="Aptos" w:cs="Arial"/>
          <w:lang w:eastAsia="en-GB"/>
        </w:rPr>
      </w:pPr>
      <w:r w:rsidRPr="00477B14">
        <w:rPr>
          <w:rFonts w:eastAsia="Aptos" w:cs="Arial"/>
          <w:lang w:eastAsia="en-GB"/>
        </w:rPr>
        <w:t>The proportion of UK armed forces veterans was higher in Wales (4.5% of the population aged 16 years and over, 115,000) than it was in England (3.8%, 1.7 million).</w:t>
      </w:r>
    </w:p>
    <w:p w14:paraId="61F4A9E7" w14:textId="77777777" w:rsidR="00477B14" w:rsidRPr="00477B14" w:rsidRDefault="00477B14" w:rsidP="00B76905">
      <w:pPr>
        <w:numPr>
          <w:ilvl w:val="0"/>
          <w:numId w:val="110"/>
        </w:numPr>
        <w:contextualSpacing/>
        <w:rPr>
          <w:rFonts w:eastAsia="Aptos" w:cs="Arial"/>
          <w:lang w:eastAsia="en-GB"/>
        </w:rPr>
      </w:pPr>
      <w:r w:rsidRPr="00477B14">
        <w:rPr>
          <w:rFonts w:eastAsia="Aptos" w:cs="Arial"/>
          <w:lang w:eastAsia="en-GB"/>
        </w:rPr>
        <w:t>Across Wales, the local authorities with the highest percentage of veterans were Conwy (5.9%, 6,000 people), Pembrokeshire (5.7%, 6,000 people) and the Isle of Anglesey (5.6%, 3,000 people). These local authorities all contain or are located near military establishments, suggesting that UK armed forces veterans tend to stay in the same areas after they have left the service.</w:t>
      </w:r>
    </w:p>
    <w:p w14:paraId="0226F231" w14:textId="77777777" w:rsidR="00477B14" w:rsidRPr="00477B14" w:rsidRDefault="00477B14" w:rsidP="00B76905">
      <w:pPr>
        <w:numPr>
          <w:ilvl w:val="0"/>
          <w:numId w:val="110"/>
        </w:numPr>
        <w:contextualSpacing/>
        <w:rPr>
          <w:rFonts w:eastAsia="Aptos" w:cs="Arial"/>
          <w:lang w:eastAsia="en-GB"/>
        </w:rPr>
      </w:pPr>
      <w:r w:rsidRPr="00477B14">
        <w:rPr>
          <w:rFonts w:eastAsia="Aptos" w:cs="Arial"/>
          <w:lang w:eastAsia="en-GB"/>
        </w:rPr>
        <w:t>Cardiff had the lowest proportion of veterans with less than 2.9% of the population.</w:t>
      </w:r>
    </w:p>
    <w:p w14:paraId="2B25EB2A" w14:textId="77777777" w:rsidR="00477B14" w:rsidRPr="00477B14" w:rsidRDefault="00477B14" w:rsidP="00B76905">
      <w:pPr>
        <w:numPr>
          <w:ilvl w:val="0"/>
          <w:numId w:val="110"/>
        </w:numPr>
        <w:contextualSpacing/>
        <w:rPr>
          <w:rFonts w:eastAsia="Aptos" w:cs="Arial"/>
          <w:lang w:eastAsia="en-GB"/>
        </w:rPr>
      </w:pPr>
      <w:r w:rsidRPr="00477B14">
        <w:rPr>
          <w:rFonts w:eastAsia="Aptos" w:cs="Arial"/>
          <w:lang w:eastAsia="en-GB"/>
        </w:rPr>
        <w:t>13,199 residents of Swansea Bay University Health Board identified as previously served in the UK armed forces</w:t>
      </w:r>
      <w:r w:rsidRPr="00477B14">
        <w:rPr>
          <w:rFonts w:eastAsia="Times New Roman" w:cs="Arial"/>
          <w:kern w:val="0"/>
          <w:vertAlign w:val="superscript"/>
          <w:lang w:eastAsia="en-GB"/>
          <w14:ligatures w14:val="none"/>
        </w:rPr>
        <w:footnoteReference w:id="210"/>
      </w:r>
      <w:r w:rsidRPr="00477B14">
        <w:rPr>
          <w:rFonts w:eastAsia="Aptos" w:cs="Arial"/>
          <w:lang w:eastAsia="en-GB"/>
        </w:rPr>
        <w:t xml:space="preserve"> (either regular and/or reserve) with </w:t>
      </w:r>
      <w:r w:rsidRPr="00477B14">
        <w:rPr>
          <w:rFonts w:eastAsia="Aptos" w:cs="Arial"/>
        </w:rPr>
        <w:t>t</w:t>
      </w:r>
      <w:r w:rsidRPr="00477B14">
        <w:rPr>
          <w:rFonts w:eastAsia="Aptos" w:cs="Arial"/>
          <w:lang w:eastAsia="en-GB"/>
        </w:rPr>
        <w:t>he age distribution of the ex-service population skewed towards those over retirement age. However, the predicted decline in this group, and the changes</w:t>
      </w:r>
      <w:r w:rsidRPr="00477B14">
        <w:rPr>
          <w:rFonts w:eastAsia="Times New Roman" w:cs="Arial"/>
          <w:kern w:val="0"/>
          <w:vertAlign w:val="superscript"/>
          <w:lang w:eastAsia="en-GB"/>
          <w14:ligatures w14:val="none"/>
        </w:rPr>
        <w:footnoteReference w:id="211"/>
      </w:r>
      <w:r w:rsidRPr="00477B14">
        <w:rPr>
          <w:rFonts w:eastAsia="Aptos" w:cs="Arial"/>
          <w:lang w:eastAsia="en-GB"/>
        </w:rPr>
        <w:t xml:space="preserve"> currently occurring in the UK armed forces, mean that a greater proportion of the veteran population will be made up of younger people. As such their health needs are likely to be different than those of the older veteran population.</w:t>
      </w:r>
    </w:p>
    <w:p w14:paraId="68BB67ED" w14:textId="0F0BF3A6" w:rsidR="00477B14" w:rsidRPr="00477B14" w:rsidRDefault="00477B14" w:rsidP="00B76905">
      <w:pPr>
        <w:numPr>
          <w:ilvl w:val="0"/>
          <w:numId w:val="110"/>
        </w:numPr>
        <w:contextualSpacing/>
        <w:rPr>
          <w:rFonts w:eastAsia="Aptos" w:cs="Arial"/>
          <w:lang w:eastAsia="en-GB"/>
        </w:rPr>
      </w:pPr>
      <w:r w:rsidRPr="00477B14">
        <w:rPr>
          <w:rFonts w:eastAsia="Aptos" w:cs="Arial"/>
          <w:lang w:eastAsia="en-GB"/>
        </w:rPr>
        <w:t>48.7% of UK veterans are disabled</w:t>
      </w:r>
      <w:r w:rsidRPr="00477B14">
        <w:rPr>
          <w:rFonts w:eastAsia="Aptos" w:cs="Arial"/>
          <w:vertAlign w:val="superscript"/>
          <w:lang w:eastAsia="en-GB"/>
        </w:rPr>
        <w:footnoteReference w:id="212"/>
      </w:r>
      <w:r w:rsidRPr="00477B14">
        <w:rPr>
          <w:rFonts w:eastAsia="Aptos" w:cs="Arial"/>
          <w:lang w:eastAsia="en-GB"/>
        </w:rPr>
        <w:t xml:space="preserve"> (self</w:t>
      </w:r>
      <w:r w:rsidR="00B3595C" w:rsidRPr="00D0306F">
        <w:rPr>
          <w:rFonts w:eastAsia="Aptos" w:cs="Arial"/>
          <w:lang w:eastAsia="en-GB"/>
        </w:rPr>
        <w:t>-</w:t>
      </w:r>
      <w:r w:rsidRPr="00477B14">
        <w:rPr>
          <w:rFonts w:eastAsia="Aptos" w:cs="Arial"/>
          <w:lang w:eastAsia="en-GB"/>
        </w:rPr>
        <w:t>reported, weighted estimate). Disabled veterans were significantly more likely to report poor wellbeing, loneliness, and barriers accessing services. Musculoskeletal problems</w:t>
      </w:r>
      <w:r w:rsidRPr="00477B14">
        <w:rPr>
          <w:rFonts w:eastAsia="Aptos" w:cs="Arial"/>
          <w:vertAlign w:val="superscript"/>
          <w:lang w:eastAsia="en-GB"/>
        </w:rPr>
        <w:footnoteReference w:id="213"/>
      </w:r>
      <w:r w:rsidRPr="00477B14">
        <w:rPr>
          <w:rFonts w:eastAsia="Aptos" w:cs="Arial"/>
          <w:lang w:eastAsia="en-GB"/>
        </w:rPr>
        <w:t xml:space="preserve"> are the most common long</w:t>
      </w:r>
      <w:r w:rsidR="00B3595C" w:rsidRPr="00D0306F">
        <w:rPr>
          <w:rFonts w:eastAsia="Aptos" w:cs="Arial"/>
          <w:lang w:eastAsia="en-GB"/>
        </w:rPr>
        <w:t>-</w:t>
      </w:r>
      <w:r w:rsidRPr="00477B14">
        <w:rPr>
          <w:rFonts w:eastAsia="Aptos" w:cs="Arial"/>
          <w:lang w:eastAsia="en-GB"/>
        </w:rPr>
        <w:t xml:space="preserve">term health issues among UK veterans, often arising from heavy physical demands during service. </w:t>
      </w:r>
    </w:p>
    <w:p w14:paraId="788ECC61" w14:textId="77777777" w:rsidR="00477B14" w:rsidRPr="00477B14" w:rsidRDefault="00477B14" w:rsidP="00E232AA">
      <w:pPr>
        <w:rPr>
          <w:rFonts w:eastAsia="Aptos" w:cs="Arial"/>
          <w:lang w:eastAsia="en-GB"/>
        </w:rPr>
      </w:pPr>
    </w:p>
    <w:p w14:paraId="1943AAEA" w14:textId="77777777" w:rsidR="00477B14" w:rsidRPr="00477B14" w:rsidRDefault="00477B14" w:rsidP="00E232AA">
      <w:pPr>
        <w:rPr>
          <w:rFonts w:eastAsia="Aptos" w:cs="Arial"/>
          <w:lang w:eastAsia="en-GB"/>
        </w:rPr>
      </w:pPr>
      <w:r w:rsidRPr="00477B14">
        <w:rPr>
          <w:rFonts w:eastAsia="Aptos" w:cs="Arial"/>
          <w:lang w:eastAsia="en-GB"/>
        </w:rPr>
        <w:t xml:space="preserve">These conditions are strongly linked to: </w:t>
      </w:r>
    </w:p>
    <w:p w14:paraId="54008848" w14:textId="77777777" w:rsidR="00477B14" w:rsidRPr="00477B14" w:rsidRDefault="00477B14" w:rsidP="00E232AA">
      <w:pPr>
        <w:tabs>
          <w:tab w:val="left" w:pos="720"/>
        </w:tabs>
        <w:ind w:left="360"/>
        <w:contextualSpacing/>
        <w:rPr>
          <w:rFonts w:eastAsia="Aptos" w:cs="Arial"/>
          <w:lang w:eastAsia="en-GB"/>
        </w:rPr>
      </w:pPr>
    </w:p>
    <w:p w14:paraId="3379119E" w14:textId="77777777" w:rsidR="00477B14" w:rsidRPr="00477B14" w:rsidRDefault="00477B14" w:rsidP="00B76905">
      <w:pPr>
        <w:numPr>
          <w:ilvl w:val="0"/>
          <w:numId w:val="111"/>
        </w:numPr>
        <w:contextualSpacing/>
        <w:rPr>
          <w:rFonts w:eastAsia="Aptos" w:cs="Arial"/>
          <w:lang w:eastAsia="en-GB"/>
        </w:rPr>
      </w:pPr>
      <w:r w:rsidRPr="00477B14">
        <w:rPr>
          <w:rFonts w:eastAsia="Aptos" w:cs="Arial"/>
          <w:lang w:eastAsia="en-GB"/>
        </w:rPr>
        <w:t>chronic pain,</w:t>
      </w:r>
    </w:p>
    <w:p w14:paraId="46A59D9C" w14:textId="77777777" w:rsidR="00477B14" w:rsidRPr="00477B14" w:rsidRDefault="00477B14" w:rsidP="00B76905">
      <w:pPr>
        <w:numPr>
          <w:ilvl w:val="0"/>
          <w:numId w:val="111"/>
        </w:numPr>
        <w:contextualSpacing/>
        <w:rPr>
          <w:rFonts w:eastAsia="Aptos" w:cs="Arial"/>
          <w:lang w:eastAsia="en-GB"/>
        </w:rPr>
      </w:pPr>
      <w:r w:rsidRPr="00477B14">
        <w:rPr>
          <w:rFonts w:eastAsia="Aptos" w:cs="Arial"/>
          <w:lang w:eastAsia="en-GB"/>
        </w:rPr>
        <w:t xml:space="preserve">mobility problems, </w:t>
      </w:r>
    </w:p>
    <w:p w14:paraId="5A9C40E3" w14:textId="77777777" w:rsidR="00477B14" w:rsidRPr="00477B14" w:rsidRDefault="00477B14" w:rsidP="00B76905">
      <w:pPr>
        <w:numPr>
          <w:ilvl w:val="0"/>
          <w:numId w:val="111"/>
        </w:numPr>
        <w:contextualSpacing/>
        <w:rPr>
          <w:rFonts w:eastAsia="Aptos" w:cs="Arial"/>
          <w:lang w:eastAsia="en-GB"/>
        </w:rPr>
      </w:pPr>
      <w:r w:rsidRPr="00477B14">
        <w:rPr>
          <w:rFonts w:eastAsia="Aptos" w:cs="Arial"/>
          <w:lang w:eastAsia="en-GB"/>
        </w:rPr>
        <w:t xml:space="preserve">reduced independence, and </w:t>
      </w:r>
    </w:p>
    <w:p w14:paraId="37722ECA" w14:textId="77777777" w:rsidR="00477B14" w:rsidRPr="00477B14" w:rsidRDefault="00477B14" w:rsidP="00B76905">
      <w:pPr>
        <w:numPr>
          <w:ilvl w:val="0"/>
          <w:numId w:val="111"/>
        </w:numPr>
        <w:contextualSpacing/>
        <w:rPr>
          <w:rFonts w:eastAsia="Aptos" w:cs="Arial"/>
          <w:lang w:eastAsia="en-GB"/>
        </w:rPr>
      </w:pPr>
      <w:r w:rsidRPr="00477B14">
        <w:rPr>
          <w:rFonts w:eastAsia="Aptos" w:cs="Arial"/>
          <w:lang w:eastAsia="en-GB"/>
        </w:rPr>
        <w:t>increased risk of depression and loneliness.</w:t>
      </w:r>
    </w:p>
    <w:p w14:paraId="3279CB8F" w14:textId="77777777" w:rsidR="00477B14" w:rsidRPr="00477B14" w:rsidRDefault="00477B14" w:rsidP="00E232AA">
      <w:pPr>
        <w:contextualSpacing/>
        <w:rPr>
          <w:rFonts w:eastAsia="Calibri" w:cs="Arial"/>
          <w:kern w:val="0"/>
          <w14:ligatures w14:val="none"/>
        </w:rPr>
      </w:pPr>
    </w:p>
    <w:p w14:paraId="0582EE11" w14:textId="6549E915" w:rsidR="00477B14" w:rsidRPr="00477B14" w:rsidRDefault="00477B14" w:rsidP="00E232AA">
      <w:pPr>
        <w:contextualSpacing/>
        <w:rPr>
          <w:rFonts w:eastAsia="Aptos" w:cs="Arial"/>
          <w:lang w:eastAsia="en-GB"/>
        </w:rPr>
      </w:pPr>
      <w:r w:rsidRPr="00477B14">
        <w:rPr>
          <w:rFonts w:eastAsia="Aptos" w:cs="Arial"/>
          <w:lang w:eastAsia="en-GB"/>
        </w:rPr>
        <w:t>In September 2024, Kings Centre for Miliary Health Research published a report</w:t>
      </w:r>
      <w:r w:rsidRPr="00477B14">
        <w:rPr>
          <w:rFonts w:eastAsia="Aptos" w:cs="Arial"/>
          <w:vertAlign w:val="superscript"/>
          <w:lang w:eastAsia="en-GB"/>
        </w:rPr>
        <w:footnoteReference w:id="214"/>
      </w:r>
      <w:r w:rsidRPr="00477B14">
        <w:rPr>
          <w:rFonts w:eastAsia="Aptos" w:cs="Arial"/>
          <w:lang w:eastAsia="en-GB"/>
        </w:rPr>
        <w:t xml:space="preserve"> covering data collected from serving and ex-serving UK armed forces personnel. 4,104 responded to a detailed questionnaire exploring symptoms of common mental disorders, </w:t>
      </w:r>
      <w:r w:rsidR="00B3595C" w:rsidRPr="00D0306F">
        <w:rPr>
          <w:rFonts w:eastAsia="Aptos" w:cs="Arial"/>
          <w:lang w:eastAsia="en-GB"/>
        </w:rPr>
        <w:t>probable</w:t>
      </w:r>
      <w:r w:rsidRPr="00477B14">
        <w:rPr>
          <w:rFonts w:eastAsia="Aptos" w:cs="Arial"/>
          <w:lang w:eastAsia="en-GB"/>
        </w:rPr>
        <w:t xml:space="preserve"> post-traumatic stress disorder, complex post-traumatic stress disorder and alcohol misuse. This data showed that:</w:t>
      </w:r>
    </w:p>
    <w:p w14:paraId="0AF3AFBC" w14:textId="77777777" w:rsidR="00477B14" w:rsidRPr="00477B14" w:rsidRDefault="00477B14" w:rsidP="00E232AA">
      <w:pPr>
        <w:contextualSpacing/>
        <w:rPr>
          <w:rFonts w:eastAsia="Times New Roman" w:cs="Arial"/>
          <w:kern w:val="0"/>
          <w:lang w:eastAsia="en-GB"/>
          <w14:ligatures w14:val="none"/>
        </w:rPr>
      </w:pPr>
    </w:p>
    <w:p w14:paraId="41A9838F" w14:textId="77777777" w:rsidR="00477B14" w:rsidRPr="00477B14" w:rsidRDefault="00477B14" w:rsidP="00B76905">
      <w:pPr>
        <w:numPr>
          <w:ilvl w:val="0"/>
          <w:numId w:val="112"/>
        </w:numPr>
        <w:contextualSpacing/>
        <w:rPr>
          <w:rFonts w:eastAsia="Aptos" w:cs="Arial"/>
          <w:lang w:eastAsia="en-GB"/>
        </w:rPr>
      </w:pPr>
      <w:r w:rsidRPr="00477B14">
        <w:rPr>
          <w:rFonts w:eastAsia="Aptos" w:cs="Arial"/>
          <w:lang w:eastAsia="en-GB"/>
        </w:rPr>
        <w:t>28% of respondents reported symptoms of common mental disorders, up from 22% in 2014/16 and 20% in 2004/06.</w:t>
      </w:r>
    </w:p>
    <w:p w14:paraId="1F28CAA3" w14:textId="77777777" w:rsidR="00477B14" w:rsidRPr="00477B14" w:rsidRDefault="00477B14" w:rsidP="00B76905">
      <w:pPr>
        <w:numPr>
          <w:ilvl w:val="0"/>
          <w:numId w:val="112"/>
        </w:numPr>
        <w:contextualSpacing/>
        <w:rPr>
          <w:rFonts w:eastAsia="Aptos" w:cs="Arial"/>
          <w:lang w:eastAsia="en-GB"/>
        </w:rPr>
      </w:pPr>
      <w:r w:rsidRPr="00477B14">
        <w:rPr>
          <w:rFonts w:eastAsia="Aptos" w:cs="Arial"/>
          <w:lang w:eastAsia="en-GB"/>
        </w:rPr>
        <w:t>9% of respondents reported probable post-traumatic stress disorder, up from 6% in 2014/16 and 4% in 2004/06.</w:t>
      </w:r>
    </w:p>
    <w:p w14:paraId="7AF27FD7" w14:textId="77777777" w:rsidR="00477B14" w:rsidRPr="00477B14" w:rsidRDefault="00477B14" w:rsidP="00B76905">
      <w:pPr>
        <w:numPr>
          <w:ilvl w:val="0"/>
          <w:numId w:val="112"/>
        </w:numPr>
        <w:contextualSpacing/>
        <w:rPr>
          <w:rFonts w:eastAsia="Aptos" w:cs="Arial"/>
          <w:lang w:eastAsia="en-GB"/>
        </w:rPr>
      </w:pPr>
      <w:r w:rsidRPr="00477B14">
        <w:rPr>
          <w:rFonts w:eastAsia="Aptos" w:cs="Arial"/>
          <w:lang w:eastAsia="en-GB"/>
        </w:rPr>
        <w:t xml:space="preserve">Ex-serving Regular personnel reported higher probable post-traumatic stress disorder rates than serving Regulars at 11% versus 7% respectively. </w:t>
      </w:r>
    </w:p>
    <w:p w14:paraId="441F56E3" w14:textId="77777777" w:rsidR="00477B14" w:rsidRPr="00477B14" w:rsidRDefault="00477B14" w:rsidP="00E232AA">
      <w:pPr>
        <w:contextualSpacing/>
        <w:rPr>
          <w:rFonts w:eastAsia="Times New Roman" w:cs="Arial"/>
          <w:kern w:val="0"/>
          <w:lang w:eastAsia="en-GB"/>
          <w14:ligatures w14:val="none"/>
        </w:rPr>
      </w:pPr>
    </w:p>
    <w:p w14:paraId="01551F01" w14:textId="77777777" w:rsidR="00477B14" w:rsidRPr="00477B14" w:rsidRDefault="00477B14" w:rsidP="00E232AA">
      <w:pPr>
        <w:contextualSpacing/>
        <w:rPr>
          <w:rFonts w:eastAsia="Aptos" w:cs="Arial"/>
          <w:lang w:eastAsia="en-GB"/>
        </w:rPr>
      </w:pPr>
      <w:r w:rsidRPr="00477B14">
        <w:rPr>
          <w:rFonts w:eastAsia="Aptos" w:cs="Arial"/>
          <w:lang w:eastAsia="en-GB"/>
        </w:rPr>
        <w:t>The data highlights the prevalence based on serving status with ex-serving regular personnel at 11% and serving regular personnel at 7%. This supports past findings that post-traumatic stress disorder often emerges or worsens after leaving service, particularly during the transition to civilian life.</w:t>
      </w:r>
    </w:p>
    <w:p w14:paraId="3993295A" w14:textId="77777777" w:rsidR="00477B14" w:rsidRPr="00477B14" w:rsidRDefault="00477B14" w:rsidP="00E232AA">
      <w:pPr>
        <w:contextualSpacing/>
        <w:rPr>
          <w:rFonts w:eastAsia="Aptos" w:cs="Arial"/>
          <w:lang w:eastAsia="en-GB"/>
        </w:rPr>
      </w:pPr>
    </w:p>
    <w:p w14:paraId="5DA6402E" w14:textId="77777777" w:rsidR="00477B14" w:rsidRPr="00477B14" w:rsidRDefault="00477B14" w:rsidP="00E232AA">
      <w:pPr>
        <w:contextualSpacing/>
        <w:rPr>
          <w:rFonts w:eastAsia="Aptos" w:cs="Arial"/>
          <w:lang w:eastAsia="en-GB"/>
        </w:rPr>
      </w:pPr>
      <w:r w:rsidRPr="00477B14">
        <w:rPr>
          <w:rFonts w:eastAsia="Aptos" w:cs="Arial"/>
          <w:lang w:eastAsia="en-GB"/>
        </w:rPr>
        <w:t>Phase 4 is the first time complex post-traumatic stress disorder had been measured in this cohort providing essential new evidence. It is a subset condition of post-traumatic stress disorder that is often brought about by experiencing long term or recurring traumatic events while also experiencing additional symptoms such as difficulty controlling emotions. Researchers found that almost three quarters (72%) of respondents with probable post-traumatic stress disorder met the threshold for complex post-traumatic stress disorder.</w:t>
      </w:r>
    </w:p>
    <w:p w14:paraId="4DF90BE3" w14:textId="77777777" w:rsidR="00477B14" w:rsidRPr="00477B14" w:rsidRDefault="00477B14" w:rsidP="00E232AA">
      <w:pPr>
        <w:contextualSpacing/>
        <w:rPr>
          <w:rFonts w:eastAsia="Aptos" w:cs="Arial"/>
          <w:lang w:eastAsia="en-GB"/>
        </w:rPr>
      </w:pPr>
    </w:p>
    <w:p w14:paraId="6649E1DF" w14:textId="77777777" w:rsidR="00477B14" w:rsidRPr="00477B14" w:rsidRDefault="00477B14" w:rsidP="00E232AA">
      <w:pPr>
        <w:contextualSpacing/>
        <w:rPr>
          <w:rFonts w:eastAsia="Aptos" w:cs="Arial"/>
          <w:lang w:eastAsia="en-GB"/>
        </w:rPr>
      </w:pPr>
      <w:r w:rsidRPr="00477B14">
        <w:rPr>
          <w:rFonts w:eastAsia="Aptos" w:cs="Arial"/>
          <w:lang w:eastAsia="en-GB"/>
        </w:rPr>
        <w:t>Dr Marie-Louise Sharp, Senior Research Fellow at Kings Centre for Miliary Health Research and the report’s lead author said, “post-traumatic stress disorder is a potentially life changing condition that can be difficult to treat. Providing effective treatment to individuals with complex post-traumatic stress disorder can be more complicated, as they can take more time to come forward and ask for help and are more likely to be managing a range of different mental illnesses. Services providing for ex-service personnel will need to assess how well they support and treat complex and comorbid health conditions.”.</w:t>
      </w:r>
    </w:p>
    <w:p w14:paraId="3B6B231F" w14:textId="77777777" w:rsidR="00477B14" w:rsidRPr="00477B14" w:rsidRDefault="00477B14" w:rsidP="00E232AA">
      <w:pPr>
        <w:contextualSpacing/>
        <w:rPr>
          <w:rFonts w:eastAsia="Aptos" w:cs="Arial"/>
          <w:lang w:eastAsia="en-GB"/>
        </w:rPr>
      </w:pPr>
    </w:p>
    <w:p w14:paraId="182F2073" w14:textId="77777777" w:rsidR="00477B14" w:rsidRPr="00477B14" w:rsidRDefault="00477B14" w:rsidP="00E232AA">
      <w:pPr>
        <w:contextualSpacing/>
        <w:rPr>
          <w:rFonts w:eastAsia="Aptos" w:cs="Arial"/>
          <w:lang w:eastAsia="en-GB"/>
        </w:rPr>
      </w:pPr>
      <w:r w:rsidRPr="00477B14">
        <w:rPr>
          <w:rFonts w:eastAsia="Aptos" w:cs="Arial"/>
          <w:lang w:eastAsia="en-GB"/>
        </w:rPr>
        <w:t>Alcohol misuse had seen declines in previous phases but appears to have levelled off remaining at a high level compared to the general population.</w:t>
      </w:r>
    </w:p>
    <w:p w14:paraId="62FC9A7E" w14:textId="77777777" w:rsidR="00477B14" w:rsidRPr="00477B14" w:rsidRDefault="00477B14" w:rsidP="00E232AA">
      <w:pPr>
        <w:contextualSpacing/>
        <w:rPr>
          <w:rFonts w:eastAsia="Aptos" w:cs="Arial"/>
          <w:lang w:eastAsia="en-GB"/>
        </w:rPr>
      </w:pPr>
    </w:p>
    <w:p w14:paraId="0FBFAEE4" w14:textId="77777777" w:rsidR="00477B14" w:rsidRPr="00477B14" w:rsidRDefault="00477B14" w:rsidP="00E232AA">
      <w:pPr>
        <w:contextualSpacing/>
        <w:rPr>
          <w:rFonts w:eastAsia="Aptos" w:cs="Arial"/>
          <w:lang w:eastAsia="en-GB"/>
        </w:rPr>
      </w:pPr>
      <w:r w:rsidRPr="00477B14">
        <w:rPr>
          <w:rFonts w:eastAsia="Aptos" w:cs="Arial"/>
          <w:lang w:eastAsia="en-GB"/>
        </w:rPr>
        <w:t xml:space="preserve">Exposure to combat and post deployment mental health problems have been found to be risk factors for violence both inside and outside the family environment. </w:t>
      </w:r>
    </w:p>
    <w:p w14:paraId="47A50F82" w14:textId="77777777" w:rsidR="00477B14" w:rsidRPr="00477B14" w:rsidRDefault="00477B14" w:rsidP="00E232AA">
      <w:pPr>
        <w:contextualSpacing/>
        <w:rPr>
          <w:rFonts w:eastAsia="Aptos" w:cs="Arial"/>
          <w:lang w:eastAsia="en-GB"/>
        </w:rPr>
      </w:pPr>
    </w:p>
    <w:p w14:paraId="2250CE49" w14:textId="77777777" w:rsidR="00477B14" w:rsidRPr="00477B14" w:rsidRDefault="00477B14" w:rsidP="00E232AA">
      <w:pPr>
        <w:contextualSpacing/>
        <w:rPr>
          <w:rFonts w:eastAsia="Aptos" w:cs="Arial"/>
          <w:lang w:eastAsia="en-GB"/>
        </w:rPr>
      </w:pPr>
      <w:r w:rsidRPr="00477B14">
        <w:rPr>
          <w:rFonts w:eastAsia="Aptos" w:cs="Arial"/>
          <w:lang w:eastAsia="en-GB"/>
        </w:rPr>
        <w:t>The first national data published on veteran suicide in England and Wales</w:t>
      </w:r>
      <w:r w:rsidRPr="00477B14">
        <w:rPr>
          <w:rFonts w:eastAsia="Aptos" w:cs="Arial"/>
          <w:vertAlign w:val="superscript"/>
          <w:lang w:eastAsia="en-GB"/>
        </w:rPr>
        <w:footnoteReference w:id="215"/>
      </w:r>
      <w:r w:rsidRPr="00477B14">
        <w:rPr>
          <w:rFonts w:eastAsia="Aptos" w:cs="Arial"/>
          <w:lang w:eastAsia="en-GB"/>
        </w:rPr>
        <w:t xml:space="preserve"> showed that in 2021, 253 UK armed forces veterans died by suicide of which 93.7% were male and 6.3% were female. 5.9% of the 253 UK armed forces veterans’ suicides in 2021 were in Wales.</w:t>
      </w:r>
    </w:p>
    <w:p w14:paraId="11069B1E" w14:textId="77777777" w:rsidR="00477B14" w:rsidRPr="00477B14" w:rsidRDefault="00477B14" w:rsidP="00E232AA">
      <w:pPr>
        <w:contextualSpacing/>
        <w:rPr>
          <w:rFonts w:eastAsia="Aptos" w:cs="Arial"/>
          <w:lang w:eastAsia="en-GB"/>
        </w:rPr>
      </w:pPr>
    </w:p>
    <w:p w14:paraId="45798426" w14:textId="77777777" w:rsidR="00477B14" w:rsidRPr="00477B14" w:rsidRDefault="00477B14" w:rsidP="00E232AA">
      <w:pPr>
        <w:contextualSpacing/>
        <w:rPr>
          <w:rFonts w:eastAsia="Aptos" w:cs="Arial"/>
          <w:lang w:eastAsia="en-GB"/>
        </w:rPr>
      </w:pPr>
      <w:r w:rsidRPr="00477B14">
        <w:rPr>
          <w:rFonts w:eastAsia="Aptos" w:cs="Arial"/>
          <w:lang w:eastAsia="en-GB"/>
        </w:rPr>
        <w:t xml:space="preserve">Overall rates for UK veterans were not higher than the general population. However, suicide rates are two to four times higher among male and female veterans aged 16 to 24 compared with the same age group in the general population. </w:t>
      </w:r>
    </w:p>
    <w:p w14:paraId="61CF6CC3" w14:textId="77777777" w:rsidR="00477B14" w:rsidRPr="00477B14" w:rsidRDefault="00477B14" w:rsidP="00E232AA">
      <w:pPr>
        <w:contextualSpacing/>
        <w:rPr>
          <w:rFonts w:eastAsia="Aptos" w:cs="Arial"/>
          <w:lang w:eastAsia="en-GB"/>
        </w:rPr>
      </w:pPr>
    </w:p>
    <w:p w14:paraId="6D8C4F33" w14:textId="77777777" w:rsidR="00477B14" w:rsidRPr="00477B14" w:rsidRDefault="00477B14" w:rsidP="00E232AA">
      <w:pPr>
        <w:contextualSpacing/>
        <w:rPr>
          <w:rFonts w:eastAsia="Aptos" w:cs="Arial"/>
          <w:lang w:eastAsia="en-GB"/>
        </w:rPr>
      </w:pPr>
      <w:r w:rsidRPr="00477B14">
        <w:rPr>
          <w:rFonts w:eastAsia="Aptos" w:cs="Arial"/>
          <w:lang w:eastAsia="en-GB"/>
        </w:rPr>
        <w:lastRenderedPageBreak/>
        <w:t>Suicide after leaving the UK armed forces 1996–2018: a cohort study</w:t>
      </w:r>
      <w:r w:rsidRPr="00477B14">
        <w:rPr>
          <w:rFonts w:eastAsia="Aptos" w:cs="Arial"/>
          <w:vertAlign w:val="superscript"/>
          <w:lang w:eastAsia="en-GB"/>
        </w:rPr>
        <w:footnoteReference w:id="216"/>
      </w:r>
      <w:r w:rsidRPr="00477B14">
        <w:rPr>
          <w:rFonts w:eastAsia="Aptos" w:cs="Arial"/>
          <w:vertAlign w:val="superscript"/>
          <w:lang w:eastAsia="en-GB"/>
        </w:rPr>
        <w:t>,</w:t>
      </w:r>
      <w:r w:rsidRPr="00477B14">
        <w:rPr>
          <w:rFonts w:eastAsia="Aptos" w:cs="Arial"/>
          <w:vertAlign w:val="superscript"/>
          <w:lang w:eastAsia="en-GB"/>
        </w:rPr>
        <w:footnoteReference w:id="217"/>
      </w:r>
      <w:r w:rsidRPr="00477B14">
        <w:rPr>
          <w:rFonts w:eastAsia="Aptos" w:cs="Arial"/>
          <w:lang w:eastAsia="en-GB"/>
        </w:rPr>
        <w:t xml:space="preserve"> published in 2023 found UK armed forces veterans are at their highest risk of suicide in their first two years of leaving the armed forces. Factors associated with higher risk of suicide are:</w:t>
      </w:r>
    </w:p>
    <w:p w14:paraId="3AC759FA" w14:textId="77777777" w:rsidR="00477B14" w:rsidRPr="00477B14" w:rsidRDefault="00477B14" w:rsidP="00E232AA">
      <w:pPr>
        <w:contextualSpacing/>
        <w:rPr>
          <w:rFonts w:eastAsia="Times New Roman" w:cs="Arial"/>
          <w:kern w:val="0"/>
          <w:lang w:eastAsia="en-GB"/>
          <w14:ligatures w14:val="none"/>
        </w:rPr>
      </w:pPr>
    </w:p>
    <w:p w14:paraId="0CD3AECE" w14:textId="77777777" w:rsidR="00477B14" w:rsidRPr="00477B14" w:rsidRDefault="00477B14" w:rsidP="00B76905">
      <w:pPr>
        <w:numPr>
          <w:ilvl w:val="0"/>
          <w:numId w:val="113"/>
        </w:numPr>
        <w:contextualSpacing/>
        <w:rPr>
          <w:rFonts w:eastAsia="Aptos" w:cs="Arial"/>
          <w:lang w:eastAsia="en-GB"/>
        </w:rPr>
      </w:pPr>
      <w:r w:rsidRPr="00477B14">
        <w:rPr>
          <w:rFonts w:eastAsia="Aptos" w:cs="Arial"/>
          <w:lang w:eastAsia="en-GB"/>
        </w:rPr>
        <w:t>being male,</w:t>
      </w:r>
    </w:p>
    <w:p w14:paraId="2FE5C64A" w14:textId="77777777" w:rsidR="00477B14" w:rsidRPr="00477B14" w:rsidRDefault="00477B14" w:rsidP="00B76905">
      <w:pPr>
        <w:numPr>
          <w:ilvl w:val="0"/>
          <w:numId w:val="113"/>
        </w:numPr>
        <w:contextualSpacing/>
        <w:rPr>
          <w:rFonts w:eastAsia="Aptos" w:cs="Arial"/>
          <w:lang w:eastAsia="en-GB"/>
        </w:rPr>
      </w:pPr>
      <w:r w:rsidRPr="00477B14">
        <w:rPr>
          <w:rFonts w:eastAsia="Aptos" w:cs="Arial"/>
          <w:lang w:eastAsia="en-GB"/>
        </w:rPr>
        <w:t>serving in the Army,</w:t>
      </w:r>
    </w:p>
    <w:p w14:paraId="1CF4DA3B" w14:textId="77777777" w:rsidR="00477B14" w:rsidRPr="00477B14" w:rsidRDefault="00477B14" w:rsidP="00B76905">
      <w:pPr>
        <w:numPr>
          <w:ilvl w:val="0"/>
          <w:numId w:val="113"/>
        </w:numPr>
        <w:contextualSpacing/>
        <w:rPr>
          <w:rFonts w:eastAsia="Aptos" w:cs="Arial"/>
          <w:lang w:eastAsia="en-GB"/>
        </w:rPr>
      </w:pPr>
      <w:r w:rsidRPr="00477B14">
        <w:rPr>
          <w:rFonts w:eastAsia="Aptos" w:cs="Arial"/>
          <w:lang w:eastAsia="en-GB"/>
        </w:rPr>
        <w:t>being discharged between the ages of 16 and 34 years,</w:t>
      </w:r>
    </w:p>
    <w:p w14:paraId="7864B8A3" w14:textId="77777777" w:rsidR="00477B14" w:rsidRPr="00477B14" w:rsidRDefault="00477B14" w:rsidP="00B76905">
      <w:pPr>
        <w:numPr>
          <w:ilvl w:val="0"/>
          <w:numId w:val="113"/>
        </w:numPr>
        <w:contextualSpacing/>
        <w:rPr>
          <w:rFonts w:eastAsia="Aptos" w:cs="Arial"/>
          <w:lang w:eastAsia="en-GB"/>
        </w:rPr>
      </w:pPr>
      <w:r w:rsidRPr="00477B14">
        <w:rPr>
          <w:rFonts w:eastAsia="Aptos" w:cs="Arial"/>
          <w:lang w:eastAsia="en-GB"/>
        </w:rPr>
        <w:t>a length of service under 10 years, and</w:t>
      </w:r>
    </w:p>
    <w:p w14:paraId="4B0C2FB0" w14:textId="77777777" w:rsidR="00477B14" w:rsidRPr="00477B14" w:rsidRDefault="00477B14" w:rsidP="00B76905">
      <w:pPr>
        <w:numPr>
          <w:ilvl w:val="0"/>
          <w:numId w:val="113"/>
        </w:numPr>
        <w:contextualSpacing/>
        <w:rPr>
          <w:rFonts w:eastAsia="Aptos" w:cs="Arial"/>
          <w:lang w:eastAsia="en-GB"/>
        </w:rPr>
      </w:pPr>
      <w:r w:rsidRPr="00477B14">
        <w:rPr>
          <w:rFonts w:eastAsia="Aptos" w:cs="Arial"/>
          <w:lang w:eastAsia="en-GB"/>
        </w:rPr>
        <w:t>being untrained on discharge.</w:t>
      </w:r>
    </w:p>
    <w:p w14:paraId="2D8E5120" w14:textId="77777777" w:rsidR="00477B14" w:rsidRPr="00477B14" w:rsidRDefault="00477B14" w:rsidP="00E232AA">
      <w:pPr>
        <w:contextualSpacing/>
        <w:rPr>
          <w:rFonts w:eastAsia="Times New Roman" w:cs="Arial"/>
          <w:kern w:val="0"/>
          <w:lang w:eastAsia="en-GB"/>
          <w14:ligatures w14:val="none"/>
        </w:rPr>
      </w:pPr>
    </w:p>
    <w:p w14:paraId="47CAF877" w14:textId="77777777" w:rsidR="00477B14" w:rsidRPr="00477B14" w:rsidRDefault="00477B14" w:rsidP="00E232AA">
      <w:pPr>
        <w:contextualSpacing/>
        <w:rPr>
          <w:rFonts w:eastAsia="Aptos" w:cs="Arial"/>
          <w:lang w:eastAsia="en-GB"/>
        </w:rPr>
      </w:pPr>
      <w:r w:rsidRPr="00477B14">
        <w:rPr>
          <w:rFonts w:eastAsia="Aptos" w:cs="Arial"/>
          <w:lang w:eastAsia="en-GB"/>
        </w:rPr>
        <w:t xml:space="preserve">A quarter of all veterans who died by suicide had been in contact with mental health services in the year before they died. </w:t>
      </w:r>
    </w:p>
    <w:p w14:paraId="50AABDC7" w14:textId="77777777" w:rsidR="00477B14" w:rsidRPr="00477B14" w:rsidRDefault="00477B14" w:rsidP="00E232AA">
      <w:pPr>
        <w:contextualSpacing/>
        <w:rPr>
          <w:rFonts w:eastAsia="Aptos" w:cs="Arial"/>
          <w:lang w:eastAsia="en-GB"/>
        </w:rPr>
      </w:pPr>
      <w:r w:rsidRPr="00477B14">
        <w:rPr>
          <w:rFonts w:eastAsia="Aptos" w:cs="Arial"/>
          <w:lang w:eastAsia="en-GB"/>
        </w:rPr>
        <w:t xml:space="preserve"> </w:t>
      </w:r>
    </w:p>
    <w:p w14:paraId="413F5F3F" w14:textId="77777777" w:rsidR="00477B14" w:rsidRPr="00477B14" w:rsidRDefault="00477B14" w:rsidP="00E232AA">
      <w:pPr>
        <w:contextualSpacing/>
        <w:rPr>
          <w:rFonts w:eastAsia="Aptos" w:cs="Arial"/>
          <w:lang w:eastAsia="en-GB"/>
        </w:rPr>
      </w:pPr>
      <w:r w:rsidRPr="00477B14">
        <w:rPr>
          <w:rFonts w:eastAsia="Aptos" w:cs="Arial"/>
          <w:lang w:eastAsia="en-GB"/>
        </w:rPr>
        <w:t>The United Kingdom armed forces Veteran’s Health and Gambling Study was published in 2021</w:t>
      </w:r>
      <w:r w:rsidRPr="00477B14">
        <w:rPr>
          <w:rFonts w:eastAsia="Aptos" w:cs="Arial"/>
          <w:vertAlign w:val="superscript"/>
          <w:lang w:eastAsia="en-GB"/>
        </w:rPr>
        <w:footnoteReference w:id="218"/>
      </w:r>
      <w:r w:rsidRPr="00477B14">
        <w:rPr>
          <w:rFonts w:eastAsia="Aptos" w:cs="Arial"/>
          <w:lang w:eastAsia="en-GB"/>
        </w:rPr>
        <w:t xml:space="preserve"> and found that veterans are significantly more likely to struggle with gambling problems than non-veterans in the UK. Veterans who responded to the survey were more than ten times more likely than non-veteran respondents to experience gambling harm. They were also four times more likely to have gambled recently, and on more activities than non-veteran respondents. Veterans’ gambling was seven times more likely to be motivated by a need to escape or avoid distress and were also found to be at a much greater risk of poor mental health outcomes including depression, anxiety, post-traumatic stress disorder, and to have an alcohol and/or nicotine dependence.</w:t>
      </w:r>
    </w:p>
    <w:p w14:paraId="3735D991" w14:textId="77777777" w:rsidR="00477B14" w:rsidRPr="00477B14" w:rsidRDefault="00477B14" w:rsidP="00E232AA">
      <w:pPr>
        <w:contextualSpacing/>
        <w:rPr>
          <w:rFonts w:eastAsia="Calibri" w:cs="Arial"/>
        </w:rPr>
      </w:pPr>
    </w:p>
    <w:p w14:paraId="27E855CF" w14:textId="77777777" w:rsidR="00477B14" w:rsidRPr="00477B14" w:rsidRDefault="00477B14" w:rsidP="00E232AA">
      <w:pPr>
        <w:contextualSpacing/>
        <w:rPr>
          <w:rFonts w:eastAsia="Calibri" w:cs="Arial"/>
        </w:rPr>
      </w:pPr>
      <w:r w:rsidRPr="00477B14">
        <w:rPr>
          <w:rFonts w:eastAsia="Calibri" w:cs="Arial"/>
        </w:rPr>
        <w:t xml:space="preserve">Other issues that studies have identified as being of importance to veterans include: </w:t>
      </w:r>
    </w:p>
    <w:p w14:paraId="1730C0A4" w14:textId="77777777" w:rsidR="00477B14" w:rsidRPr="00477B14" w:rsidRDefault="00477B14" w:rsidP="00E232AA">
      <w:pPr>
        <w:contextualSpacing/>
        <w:rPr>
          <w:rFonts w:eastAsia="Calibri" w:cs="Arial"/>
        </w:rPr>
      </w:pPr>
    </w:p>
    <w:p w14:paraId="445B1045" w14:textId="77777777" w:rsidR="00477B14" w:rsidRPr="00477B14" w:rsidRDefault="00477B14" w:rsidP="00B76905">
      <w:pPr>
        <w:numPr>
          <w:ilvl w:val="0"/>
          <w:numId w:val="114"/>
        </w:numPr>
        <w:contextualSpacing/>
        <w:rPr>
          <w:rFonts w:eastAsia="Aptos" w:cs="Arial"/>
          <w:lang w:eastAsia="en-GB"/>
        </w:rPr>
      </w:pPr>
      <w:r w:rsidRPr="00477B14">
        <w:rPr>
          <w:rFonts w:eastAsia="Aptos" w:cs="Arial"/>
          <w:lang w:eastAsia="en-GB"/>
        </w:rPr>
        <w:t>accessing suitable housing and preventing homelessness,</w:t>
      </w:r>
    </w:p>
    <w:p w14:paraId="748C05D9" w14:textId="77777777" w:rsidR="00477B14" w:rsidRPr="00477B14" w:rsidRDefault="00477B14" w:rsidP="00B76905">
      <w:pPr>
        <w:numPr>
          <w:ilvl w:val="0"/>
          <w:numId w:val="114"/>
        </w:numPr>
        <w:contextualSpacing/>
        <w:rPr>
          <w:rFonts w:eastAsia="Aptos" w:cs="Arial"/>
          <w:lang w:eastAsia="en-GB"/>
        </w:rPr>
      </w:pPr>
      <w:r w:rsidRPr="00477B14">
        <w:rPr>
          <w:rFonts w:eastAsia="Aptos" w:cs="Arial"/>
          <w:lang w:eastAsia="en-GB"/>
        </w:rPr>
        <w:t>supporting veterans into employment,</w:t>
      </w:r>
    </w:p>
    <w:p w14:paraId="3AC94D6B" w14:textId="77777777" w:rsidR="00477B14" w:rsidRPr="00477B14" w:rsidRDefault="00477B14" w:rsidP="00B76905">
      <w:pPr>
        <w:numPr>
          <w:ilvl w:val="0"/>
          <w:numId w:val="114"/>
        </w:numPr>
        <w:contextualSpacing/>
        <w:rPr>
          <w:rFonts w:eastAsia="Aptos" w:cs="Arial"/>
          <w:lang w:eastAsia="en-GB"/>
        </w:rPr>
      </w:pPr>
      <w:r w:rsidRPr="00477B14">
        <w:rPr>
          <w:rFonts w:eastAsia="Aptos" w:cs="Arial"/>
          <w:lang w:eastAsia="en-GB"/>
        </w:rPr>
        <w:t>accessing appropriate financial advice and information about relevant benefits,</w:t>
      </w:r>
    </w:p>
    <w:p w14:paraId="57ABD7D0" w14:textId="77777777" w:rsidR="00477B14" w:rsidRPr="00477B14" w:rsidRDefault="00477B14" w:rsidP="00B76905">
      <w:pPr>
        <w:numPr>
          <w:ilvl w:val="0"/>
          <w:numId w:val="114"/>
        </w:numPr>
        <w:contextualSpacing/>
        <w:rPr>
          <w:rFonts w:eastAsia="Aptos" w:cs="Arial"/>
          <w:lang w:eastAsia="en-GB"/>
        </w:rPr>
      </w:pPr>
      <w:r w:rsidRPr="00477B14">
        <w:rPr>
          <w:rFonts w:eastAsia="Aptos" w:cs="Arial"/>
          <w:lang w:eastAsia="en-GB"/>
        </w:rPr>
        <w:t>accessing health and support services,</w:t>
      </w:r>
    </w:p>
    <w:p w14:paraId="76832D83" w14:textId="77777777" w:rsidR="00477B14" w:rsidRPr="00477B14" w:rsidRDefault="00477B14" w:rsidP="00B76905">
      <w:pPr>
        <w:numPr>
          <w:ilvl w:val="0"/>
          <w:numId w:val="114"/>
        </w:numPr>
        <w:contextualSpacing/>
        <w:rPr>
          <w:rFonts w:eastAsia="Aptos" w:cs="Arial"/>
          <w:lang w:eastAsia="en-GB"/>
        </w:rPr>
      </w:pPr>
      <w:r w:rsidRPr="00477B14">
        <w:rPr>
          <w:rFonts w:eastAsia="Aptos" w:cs="Arial"/>
          <w:lang w:eastAsia="en-GB"/>
        </w:rPr>
        <w:t>supporting veterans who have been in the criminal justice system,</w:t>
      </w:r>
    </w:p>
    <w:p w14:paraId="2175EA76" w14:textId="77777777" w:rsidR="00477B14" w:rsidRPr="00477B14" w:rsidRDefault="00477B14" w:rsidP="00B76905">
      <w:pPr>
        <w:numPr>
          <w:ilvl w:val="0"/>
          <w:numId w:val="114"/>
        </w:numPr>
        <w:contextualSpacing/>
        <w:rPr>
          <w:rFonts w:eastAsia="Aptos" w:cs="Arial"/>
          <w:lang w:eastAsia="en-GB"/>
        </w:rPr>
      </w:pPr>
      <w:r w:rsidRPr="00477B14">
        <w:rPr>
          <w:rFonts w:eastAsia="Aptos" w:cs="Arial"/>
          <w:lang w:eastAsia="en-GB"/>
        </w:rPr>
        <w:t>loneliness and isolation, and</w:t>
      </w:r>
    </w:p>
    <w:p w14:paraId="43B06BB0" w14:textId="77777777" w:rsidR="00477B14" w:rsidRPr="00477B14" w:rsidRDefault="00477B14" w:rsidP="00B76905">
      <w:pPr>
        <w:numPr>
          <w:ilvl w:val="0"/>
          <w:numId w:val="114"/>
        </w:numPr>
        <w:contextualSpacing/>
        <w:rPr>
          <w:rFonts w:eastAsia="Aptos" w:cs="Arial"/>
          <w:lang w:eastAsia="en-GB"/>
        </w:rPr>
      </w:pPr>
      <w:r w:rsidRPr="00477B14">
        <w:rPr>
          <w:rFonts w:eastAsia="Aptos" w:cs="Arial"/>
          <w:lang w:eastAsia="en-GB"/>
        </w:rPr>
        <w:t>supporting a veteran’s wider family.</w:t>
      </w:r>
    </w:p>
    <w:p w14:paraId="622008F7" w14:textId="77777777" w:rsidR="00477B14" w:rsidRPr="00477B14" w:rsidRDefault="00477B14" w:rsidP="00E232AA">
      <w:pPr>
        <w:contextualSpacing/>
        <w:rPr>
          <w:rFonts w:eastAsia="Aptos" w:cs="Arial"/>
        </w:rPr>
      </w:pPr>
    </w:p>
    <w:p w14:paraId="0204D742" w14:textId="77777777" w:rsidR="00477B14" w:rsidRPr="00D0306F" w:rsidRDefault="00477B14" w:rsidP="00E15BF3">
      <w:pPr>
        <w:rPr>
          <w:b/>
          <w:bCs/>
          <w:sz w:val="26"/>
          <w:szCs w:val="26"/>
        </w:rPr>
      </w:pPr>
      <w:r w:rsidRPr="00D0306F">
        <w:rPr>
          <w:b/>
          <w:bCs/>
          <w:sz w:val="26"/>
          <w:szCs w:val="26"/>
        </w:rPr>
        <w:t>4.16 Visitors to the area for business, to visit friends and family, or tourist attractions</w:t>
      </w:r>
    </w:p>
    <w:p w14:paraId="0EC2A531" w14:textId="77777777" w:rsidR="00477B14" w:rsidRPr="00477B14" w:rsidRDefault="00477B14" w:rsidP="00E232AA">
      <w:pPr>
        <w:contextualSpacing/>
        <w:rPr>
          <w:rFonts w:eastAsia="Aptos" w:cs="Arial"/>
        </w:rPr>
      </w:pPr>
    </w:p>
    <w:p w14:paraId="5C4814B4" w14:textId="77777777" w:rsidR="00477B14" w:rsidRPr="00477B14" w:rsidRDefault="00477B14" w:rsidP="00E232AA">
      <w:pPr>
        <w:contextualSpacing/>
        <w:rPr>
          <w:rFonts w:eastAsia="Aptos" w:cs="Arial"/>
        </w:rPr>
      </w:pPr>
      <w:r w:rsidRPr="00477B14">
        <w:rPr>
          <w:rFonts w:eastAsia="Aptos" w:cs="Arial"/>
        </w:rPr>
        <w:t>Swansea Bay offers a mix of city culture and stunning coastline, with the beautiful beaches of the Gower Peninsula (Rhossili Bay and Three Cliffs Bay) perfect for walking, surfing or just relaxing, historic Oystermouth Castle, Mumbles Pier, green spaces like Clyne Gardens (botanical gardens), Plantasia Tropical Pyramid (indoor rainforest experience) and city attractions such as the National Waterfront Museum, Swansea Market, and the Dylan Thomas Centre.</w:t>
      </w:r>
    </w:p>
    <w:p w14:paraId="544F2E4F" w14:textId="77777777" w:rsidR="00477B14" w:rsidRPr="00477B14" w:rsidRDefault="00477B14" w:rsidP="00E232AA">
      <w:pPr>
        <w:contextualSpacing/>
        <w:rPr>
          <w:rFonts w:eastAsia="Aptos" w:cs="Arial"/>
        </w:rPr>
      </w:pPr>
    </w:p>
    <w:p w14:paraId="7CB05C45" w14:textId="77777777" w:rsidR="00477B14" w:rsidRPr="00477B14" w:rsidRDefault="00477B14" w:rsidP="00E232AA">
      <w:pPr>
        <w:contextualSpacing/>
        <w:rPr>
          <w:rFonts w:eastAsia="Aptos" w:cs="Arial"/>
        </w:rPr>
      </w:pPr>
      <w:r w:rsidRPr="00477B14">
        <w:rPr>
          <w:rFonts w:eastAsia="Aptos" w:cs="Arial"/>
        </w:rPr>
        <w:t>It is not anticipated that the health needs of this patient group are likely to be different to those of the general population in Swansea Bay University Health Board’s area. As they may only be in the area for a short while, their health needs are likely to be:</w:t>
      </w:r>
    </w:p>
    <w:p w14:paraId="14D0BF86" w14:textId="77777777" w:rsidR="00477B14" w:rsidRPr="00477B14" w:rsidRDefault="00477B14" w:rsidP="00E232AA">
      <w:pPr>
        <w:contextualSpacing/>
        <w:rPr>
          <w:rFonts w:eastAsia="Aptos" w:cs="Arial"/>
        </w:rPr>
      </w:pPr>
    </w:p>
    <w:p w14:paraId="27504648" w14:textId="77777777" w:rsidR="00477B14" w:rsidRPr="00477B14" w:rsidRDefault="00477B14" w:rsidP="00B76905">
      <w:pPr>
        <w:numPr>
          <w:ilvl w:val="0"/>
          <w:numId w:val="115"/>
        </w:numPr>
        <w:contextualSpacing/>
        <w:rPr>
          <w:rFonts w:eastAsia="Aptos" w:cs="Arial"/>
        </w:rPr>
      </w:pPr>
      <w:r w:rsidRPr="00477B14">
        <w:rPr>
          <w:rFonts w:eastAsia="Aptos" w:cs="Arial"/>
        </w:rPr>
        <w:t>treatment of an acute condition which requires the dispensing of a prescription,</w:t>
      </w:r>
    </w:p>
    <w:p w14:paraId="4DA50063" w14:textId="77777777" w:rsidR="00477B14" w:rsidRPr="00477B14" w:rsidRDefault="00477B14" w:rsidP="00B76905">
      <w:pPr>
        <w:numPr>
          <w:ilvl w:val="0"/>
          <w:numId w:val="115"/>
        </w:numPr>
        <w:contextualSpacing/>
        <w:rPr>
          <w:rFonts w:eastAsia="Aptos" w:cs="Arial"/>
        </w:rPr>
      </w:pPr>
      <w:r w:rsidRPr="00477B14">
        <w:rPr>
          <w:rFonts w:eastAsia="Aptos" w:cs="Arial"/>
        </w:rPr>
        <w:t>consultation for minor ailments or illness,</w:t>
      </w:r>
    </w:p>
    <w:p w14:paraId="4E0CB3B3" w14:textId="77777777" w:rsidR="00477B14" w:rsidRPr="00477B14" w:rsidRDefault="00477B14" w:rsidP="00B76905">
      <w:pPr>
        <w:numPr>
          <w:ilvl w:val="0"/>
          <w:numId w:val="115"/>
        </w:numPr>
        <w:contextualSpacing/>
        <w:rPr>
          <w:rFonts w:eastAsia="Aptos" w:cs="Arial"/>
        </w:rPr>
      </w:pPr>
      <w:r w:rsidRPr="00477B14">
        <w:rPr>
          <w:rFonts w:eastAsia="Aptos" w:cs="Arial"/>
        </w:rPr>
        <w:t>the need for repeat medication,</w:t>
      </w:r>
    </w:p>
    <w:p w14:paraId="5856BCC8" w14:textId="77777777" w:rsidR="00477B14" w:rsidRPr="00477B14" w:rsidRDefault="00477B14" w:rsidP="00B76905">
      <w:pPr>
        <w:numPr>
          <w:ilvl w:val="0"/>
          <w:numId w:val="115"/>
        </w:numPr>
        <w:contextualSpacing/>
        <w:rPr>
          <w:rFonts w:eastAsia="Aptos" w:cs="Arial"/>
        </w:rPr>
      </w:pPr>
      <w:r w:rsidRPr="00477B14">
        <w:rPr>
          <w:rFonts w:eastAsia="Aptos" w:cs="Arial"/>
        </w:rPr>
        <w:t>support for self-care, and</w:t>
      </w:r>
    </w:p>
    <w:p w14:paraId="12952DEF" w14:textId="77777777" w:rsidR="00477B14" w:rsidRPr="00477B14" w:rsidRDefault="00477B14" w:rsidP="00B76905">
      <w:pPr>
        <w:numPr>
          <w:ilvl w:val="0"/>
          <w:numId w:val="115"/>
        </w:numPr>
        <w:contextualSpacing/>
        <w:rPr>
          <w:rFonts w:eastAsia="Aptos" w:cs="Arial"/>
        </w:rPr>
      </w:pPr>
      <w:r w:rsidRPr="00477B14">
        <w:rPr>
          <w:rFonts w:eastAsia="Aptos" w:cs="Arial"/>
        </w:rPr>
        <w:t>signposting to other health services such as a GP or dentist.</w:t>
      </w:r>
    </w:p>
    <w:p w14:paraId="029A8A67" w14:textId="77777777" w:rsidR="00370535" w:rsidRPr="00370535" w:rsidRDefault="00370535" w:rsidP="00E232AA">
      <w:pPr>
        <w:rPr>
          <w:rFonts w:cs="Arial"/>
        </w:rPr>
      </w:pPr>
    </w:p>
    <w:p w14:paraId="7F1BE410" w14:textId="12BC72B4" w:rsidR="00B3595C" w:rsidRPr="00D0306F" w:rsidRDefault="00B3595C">
      <w:pPr>
        <w:spacing w:after="160" w:line="278" w:lineRule="auto"/>
        <w:rPr>
          <w:rFonts w:cs="Arial"/>
        </w:rPr>
      </w:pPr>
      <w:r w:rsidRPr="00D0306F">
        <w:rPr>
          <w:rFonts w:cs="Arial"/>
        </w:rPr>
        <w:br w:type="page"/>
      </w:r>
    </w:p>
    <w:p w14:paraId="7839CE58" w14:textId="77777777" w:rsidR="00356C60" w:rsidRPr="00D0306F" w:rsidRDefault="00356C60" w:rsidP="00356C60">
      <w:pPr>
        <w:pStyle w:val="Heading1"/>
        <w:rPr>
          <w:rFonts w:eastAsia="Aptos"/>
          <w:sz w:val="28"/>
          <w:szCs w:val="28"/>
        </w:rPr>
      </w:pPr>
      <w:bookmarkStart w:id="24" w:name="_Toc235185376"/>
      <w:r w:rsidRPr="00D0306F">
        <w:rPr>
          <w:rFonts w:eastAsia="Aptos"/>
          <w:sz w:val="28"/>
          <w:szCs w:val="28"/>
        </w:rPr>
        <w:lastRenderedPageBreak/>
        <w:t>5 Provision of pharmaceutical services</w:t>
      </w:r>
      <w:bookmarkEnd w:id="24"/>
    </w:p>
    <w:p w14:paraId="69E15A4B" w14:textId="77777777" w:rsidR="003F0408" w:rsidRPr="003F0408" w:rsidRDefault="003F0408" w:rsidP="00FF3A53">
      <w:pPr>
        <w:rPr>
          <w:rFonts w:eastAsia="Times New Roman" w:cs="Arial"/>
          <w:color w:val="000000"/>
          <w:kern w:val="0"/>
          <w:sz w:val="22"/>
          <w:szCs w:val="22"/>
          <w:shd w:val="clear" w:color="auto" w:fill="FFFFFF"/>
          <w:lang w:eastAsia="en-GB"/>
          <w14:ligatures w14:val="none"/>
        </w:rPr>
      </w:pPr>
    </w:p>
    <w:p w14:paraId="0551EDF4" w14:textId="77777777" w:rsidR="003F0408" w:rsidRPr="003F0408" w:rsidRDefault="003F0408" w:rsidP="00FF3A53">
      <w:pPr>
        <w:rPr>
          <w:rFonts w:eastAsia="Aptos" w:cs="Arial"/>
          <w:b/>
          <w:sz w:val="26"/>
          <w:szCs w:val="22"/>
        </w:rPr>
      </w:pPr>
      <w:r w:rsidRPr="003F0408">
        <w:rPr>
          <w:rFonts w:eastAsia="Aptos" w:cs="Arial"/>
          <w:b/>
          <w:sz w:val="26"/>
          <w:szCs w:val="22"/>
        </w:rPr>
        <w:t xml:space="preserve">5.1 Current provision within Swansea Bay University Health Board </w:t>
      </w:r>
    </w:p>
    <w:p w14:paraId="33226309" w14:textId="77777777" w:rsidR="003F0408" w:rsidRPr="003F0408" w:rsidRDefault="003F0408" w:rsidP="00FF3A53">
      <w:pPr>
        <w:rPr>
          <w:rFonts w:eastAsia="Aptos" w:cs="Arial"/>
          <w:szCs w:val="22"/>
        </w:rPr>
      </w:pPr>
    </w:p>
    <w:p w14:paraId="493E2F5A" w14:textId="77777777" w:rsidR="003F0408" w:rsidRPr="003F0408" w:rsidRDefault="003F0408" w:rsidP="00FF3A53">
      <w:pPr>
        <w:rPr>
          <w:rFonts w:eastAsia="Aptos" w:cs="Arial"/>
          <w:szCs w:val="22"/>
          <w:lang w:val="en-US"/>
        </w:rPr>
      </w:pPr>
      <w:r w:rsidRPr="003F0408">
        <w:rPr>
          <w:rFonts w:eastAsia="Aptos" w:cs="Arial"/>
          <w:szCs w:val="22"/>
        </w:rPr>
        <w:t xml:space="preserve">There are 90 pharmacies included in the pharmaceutical list for the area of the health board (April 2026), operated by different contractors. Based on a </w:t>
      </w:r>
      <w:r w:rsidRPr="003F0408">
        <w:rPr>
          <w:rFonts w:eastAsia="Aptos" w:cs="Arial"/>
          <w:szCs w:val="22"/>
          <w:lang w:val="en-US"/>
        </w:rPr>
        <w:t xml:space="preserve">population of 394,552, this equates to one pharmacy per 4,384 people. The ratio of pharmacies per 10,000 population is 2.28. </w:t>
      </w:r>
    </w:p>
    <w:p w14:paraId="71AB7CCA" w14:textId="77777777" w:rsidR="003F0408" w:rsidRPr="003F0408" w:rsidRDefault="003F0408" w:rsidP="00FF3A53">
      <w:pPr>
        <w:rPr>
          <w:rFonts w:eastAsia="Aptos" w:cs="Arial"/>
          <w:szCs w:val="22"/>
          <w:lang w:val="en-US"/>
        </w:rPr>
      </w:pPr>
    </w:p>
    <w:p w14:paraId="5ADF3D34" w14:textId="77777777" w:rsidR="003F0408" w:rsidRPr="003F0408" w:rsidRDefault="003F0408" w:rsidP="00FF3A53">
      <w:pPr>
        <w:rPr>
          <w:rFonts w:eastAsia="Aptos" w:cs="Arial"/>
          <w:szCs w:val="22"/>
        </w:rPr>
      </w:pPr>
      <w:r w:rsidRPr="003F0408">
        <w:rPr>
          <w:rFonts w:eastAsia="Aptos" w:cs="Arial"/>
          <w:szCs w:val="22"/>
        </w:rPr>
        <w:t>There are no dispensing appliance contractors providing services in the health board’s area.</w:t>
      </w:r>
    </w:p>
    <w:p w14:paraId="413BDC6A" w14:textId="77777777" w:rsidR="003F0408" w:rsidRPr="003F0408" w:rsidRDefault="003F0408" w:rsidP="00FF3A53">
      <w:pPr>
        <w:rPr>
          <w:rFonts w:eastAsia="Aptos" w:cs="Arial"/>
          <w:szCs w:val="22"/>
        </w:rPr>
      </w:pPr>
    </w:p>
    <w:p w14:paraId="3083B742" w14:textId="77777777" w:rsidR="003F0408" w:rsidRPr="003F0408" w:rsidRDefault="003F0408" w:rsidP="00FF3A53">
      <w:pPr>
        <w:rPr>
          <w:rFonts w:eastAsia="Aptos" w:cs="Arial"/>
          <w:szCs w:val="22"/>
        </w:rPr>
      </w:pPr>
      <w:r w:rsidRPr="003F0408">
        <w:rPr>
          <w:rFonts w:eastAsia="Aptos" w:cs="Arial"/>
          <w:szCs w:val="22"/>
        </w:rPr>
        <w:t>There are two GP practices that dispense from premises in the health board’s area – see section 5.1.6 for further information.</w:t>
      </w:r>
    </w:p>
    <w:p w14:paraId="481A3645" w14:textId="77777777" w:rsidR="003F0408" w:rsidRPr="003F0408" w:rsidRDefault="003F0408" w:rsidP="00FF3A53">
      <w:pPr>
        <w:rPr>
          <w:rFonts w:eastAsia="Aptos" w:cs="Arial"/>
          <w:szCs w:val="22"/>
        </w:rPr>
      </w:pPr>
    </w:p>
    <w:p w14:paraId="30A0BFFF" w14:textId="057066BE" w:rsidR="003F0408" w:rsidRPr="003F0408" w:rsidRDefault="003F0408" w:rsidP="00FF3A53">
      <w:pPr>
        <w:rPr>
          <w:rFonts w:eastAsia="Aptos" w:cs="Arial"/>
          <w:szCs w:val="22"/>
        </w:rPr>
      </w:pPr>
      <w:r w:rsidRPr="003F0408">
        <w:rPr>
          <w:rFonts w:eastAsia="Aptos" w:cs="Arial"/>
          <w:szCs w:val="22"/>
        </w:rPr>
        <w:t xml:space="preserve">The map below shows the location of the pharmacy and GP dispensing practice premises with the health board’s area. </w:t>
      </w:r>
      <w:r w:rsidR="00CA2B00" w:rsidRPr="00CA2B00">
        <w:rPr>
          <w:rFonts w:eastAsia="Aptos" w:cs="Arial"/>
          <w:szCs w:val="22"/>
        </w:rPr>
        <w:t>It should be noted that where premises are close to each other the symbols will overlap.</w:t>
      </w:r>
      <w:r w:rsidR="00CA2B00">
        <w:rPr>
          <w:rFonts w:eastAsia="Aptos" w:cs="Arial"/>
          <w:szCs w:val="22"/>
        </w:rPr>
        <w:t xml:space="preserve"> </w:t>
      </w:r>
      <w:r w:rsidR="001D1BCC" w:rsidRPr="001D1BCC">
        <w:rPr>
          <w:rFonts w:eastAsia="Aptos" w:cs="Arial"/>
          <w:szCs w:val="22"/>
        </w:rPr>
        <w:t>The dispensing practice premises are represented by black symbols.</w:t>
      </w:r>
    </w:p>
    <w:p w14:paraId="21F265B1" w14:textId="77777777" w:rsidR="003F0408" w:rsidRPr="003F0408" w:rsidRDefault="003F0408" w:rsidP="00FF3A53">
      <w:pPr>
        <w:rPr>
          <w:rFonts w:eastAsia="Aptos" w:cs="Arial"/>
          <w:szCs w:val="22"/>
        </w:rPr>
      </w:pPr>
    </w:p>
    <w:p w14:paraId="6B33F8C9" w14:textId="77777777" w:rsidR="003F0408" w:rsidRPr="003F0408" w:rsidRDefault="003F0408" w:rsidP="00FF3A53">
      <w:pPr>
        <w:rPr>
          <w:rFonts w:eastAsia="Aptos" w:cs="Arial"/>
          <w:b/>
          <w:bCs/>
          <w:szCs w:val="22"/>
        </w:rPr>
      </w:pPr>
      <w:r w:rsidRPr="003F0408">
        <w:rPr>
          <w:rFonts w:eastAsia="Aptos" w:cs="Arial"/>
          <w:b/>
          <w:bCs/>
          <w:szCs w:val="22"/>
        </w:rPr>
        <w:t xml:space="preserve">Map 5.1: Location of pharmacies and dispensing practice premises </w:t>
      </w:r>
    </w:p>
    <w:p w14:paraId="43DC2DC8" w14:textId="77777777" w:rsidR="003F0408" w:rsidRPr="003F0408" w:rsidRDefault="003F0408" w:rsidP="00FF3A53">
      <w:pPr>
        <w:rPr>
          <w:rFonts w:eastAsia="Times New Roman" w:cs="Arial"/>
          <w:kern w:val="0"/>
          <w:szCs w:val="22"/>
          <w:lang w:eastAsia="en-GB"/>
          <w14:ligatures w14:val="none"/>
        </w:rPr>
      </w:pPr>
    </w:p>
    <w:p w14:paraId="70D527BF" w14:textId="168ED8D7" w:rsidR="003F0408" w:rsidRPr="003F0408" w:rsidRDefault="00607A6E" w:rsidP="00FF3A53">
      <w:pPr>
        <w:rPr>
          <w:rFonts w:eastAsia="Aptos" w:cs="Arial"/>
          <w:szCs w:val="22"/>
        </w:rPr>
      </w:pPr>
      <w:r w:rsidRPr="00607A6E">
        <w:rPr>
          <w:rFonts w:eastAsia="Aptos" w:cs="Arial"/>
          <w:noProof/>
          <w:szCs w:val="22"/>
        </w:rPr>
        <w:drawing>
          <wp:inline distT="0" distB="0" distL="0" distR="0" wp14:anchorId="01216DDA" wp14:editId="75335DDF">
            <wp:extent cx="5731510" cy="3928745"/>
            <wp:effectExtent l="0" t="0" r="2540" b="0"/>
            <wp:docPr id="646644158" name="Picture 1" descr="Google My Maps map of the Swansea Bay region showing the locations of the pharmacies and dispensing practice premises across Swansea and Neath Port Talbot. Markers are clustered in urban areas around Swansea city centre, Morriston, Gorseinon, Neath, Port Talbot, and the Swansea Bay coastline, with additional locations in valley communities including Pontardawe, Ystalyfera, Seven Sisters, Glynneath, Resolven, and Glyncorrwg. The colour of the markers indicates which cluster each premises is in. The map covers an area from the Gower Peninsula in the west to the Afan Valley in the east and from Ammanford and the upper Swansea Valley in the north to the South Wales coas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644158" name="Picture 1" descr="Google My Maps map of the Swansea Bay region showing the locations of the pharmacies and dispensing practice premises across Swansea and Neath Port Talbot. Markers are clustered in urban areas around Swansea city centre, Morriston, Gorseinon, Neath, Port Talbot, and the Swansea Bay coastline, with additional locations in valley communities including Pontardawe, Ystalyfera, Seven Sisters, Glynneath, Resolven, and Glyncorrwg. The colour of the markers indicates which cluster each premises is in. The map covers an area from the Gower Peninsula in the west to the Afan Valley in the east and from Ammanford and the upper Swansea Valley in the north to the South Wales coast. "/>
                    <pic:cNvPicPr/>
                  </pic:nvPicPr>
                  <pic:blipFill>
                    <a:blip r:embed="rId37"/>
                    <a:stretch>
                      <a:fillRect/>
                    </a:stretch>
                  </pic:blipFill>
                  <pic:spPr>
                    <a:xfrm>
                      <a:off x="0" y="0"/>
                      <a:ext cx="5731510" cy="3928745"/>
                    </a:xfrm>
                    <a:prstGeom prst="rect">
                      <a:avLst/>
                    </a:prstGeom>
                  </pic:spPr>
                </pic:pic>
              </a:graphicData>
            </a:graphic>
          </wp:inline>
        </w:drawing>
      </w:r>
    </w:p>
    <w:p w14:paraId="3C62BF47" w14:textId="77777777" w:rsidR="003F0408" w:rsidRDefault="003F0408" w:rsidP="00FF3A53">
      <w:pPr>
        <w:rPr>
          <w:rFonts w:eastAsia="Aptos" w:cs="Arial"/>
          <w:szCs w:val="22"/>
        </w:rPr>
      </w:pPr>
    </w:p>
    <w:p w14:paraId="5C2CA7E2" w14:textId="577A6E68" w:rsidR="001956A0" w:rsidRDefault="003D7D89" w:rsidP="00FF3A53">
      <w:pPr>
        <w:rPr>
          <w:rFonts w:eastAsia="Aptos" w:cs="Arial"/>
          <w:szCs w:val="22"/>
        </w:rPr>
      </w:pPr>
      <w:r>
        <w:rPr>
          <w:rFonts w:eastAsia="Aptos" w:cs="Arial"/>
          <w:szCs w:val="22"/>
        </w:rPr>
        <w:t>Map data © 2026 Google</w:t>
      </w:r>
    </w:p>
    <w:p w14:paraId="50F61130" w14:textId="77777777" w:rsidR="003D7D89" w:rsidRPr="003F0408" w:rsidRDefault="003D7D89" w:rsidP="00FF3A53">
      <w:pPr>
        <w:rPr>
          <w:rFonts w:eastAsia="Aptos" w:cs="Arial"/>
          <w:szCs w:val="22"/>
        </w:rPr>
      </w:pPr>
    </w:p>
    <w:p w14:paraId="3350C80E" w14:textId="77777777" w:rsidR="003F0408" w:rsidRPr="003F0408" w:rsidRDefault="003F0408" w:rsidP="00FF3A53">
      <w:pPr>
        <w:rPr>
          <w:rFonts w:eastAsia="Aptos" w:cs="Arial"/>
          <w:szCs w:val="22"/>
        </w:rPr>
      </w:pPr>
      <w:r w:rsidRPr="003F0408">
        <w:rPr>
          <w:rFonts w:eastAsia="Aptos" w:cs="Arial"/>
          <w:szCs w:val="22"/>
        </w:rPr>
        <w:t xml:space="preserve">The pharmaceutical needs assessment published on 1 October 2021 noted that the pharmacies are predominantly located in areas of greater population density, for </w:t>
      </w:r>
      <w:r w:rsidRPr="003F0408">
        <w:rPr>
          <w:rFonts w:eastAsia="Aptos" w:cs="Arial"/>
          <w:szCs w:val="22"/>
        </w:rPr>
        <w:lastRenderedPageBreak/>
        <w:t>example Swansea, Neath, Aberavon and Port Talbot, whilst the dispensing practice premises were in areas of lower population density. The 2021 pharmaceutical needs assessment also noted that pharmacies are also mainly located in areas of greater deprivation.</w:t>
      </w:r>
    </w:p>
    <w:p w14:paraId="3D17A2F1" w14:textId="77777777" w:rsidR="003F0408" w:rsidRPr="003F0408" w:rsidRDefault="003F0408" w:rsidP="00FF3A53">
      <w:pPr>
        <w:rPr>
          <w:rFonts w:eastAsia="Aptos" w:cs="Arial"/>
          <w:szCs w:val="22"/>
        </w:rPr>
      </w:pPr>
    </w:p>
    <w:p w14:paraId="4ED2D9EE" w14:textId="77777777" w:rsidR="003F0408" w:rsidRPr="003F0408" w:rsidRDefault="003F0408" w:rsidP="00FF3A53">
      <w:pPr>
        <w:rPr>
          <w:rFonts w:eastAsia="Aptos" w:cs="Arial"/>
          <w:szCs w:val="22"/>
        </w:rPr>
      </w:pPr>
      <w:r w:rsidRPr="003F0408">
        <w:rPr>
          <w:rFonts w:eastAsia="Aptos" w:cs="Arial"/>
          <w:szCs w:val="22"/>
        </w:rPr>
        <w:t>Whilst the overall number of pharmacies has reduced by three since the 2021 pharmaceutical needs assessment was published the three that closed were in close proximity to other pharmacies. The health board is therefore satisfied that the pharmacies are still predominantly located in areas of greater population density and deprivation.</w:t>
      </w:r>
    </w:p>
    <w:p w14:paraId="09FF6C43" w14:textId="77777777" w:rsidR="003F0408" w:rsidRPr="003F0408" w:rsidRDefault="003F0408" w:rsidP="00FF3A53">
      <w:pPr>
        <w:rPr>
          <w:rFonts w:eastAsia="Aptos" w:cs="Arial"/>
          <w:szCs w:val="22"/>
        </w:rPr>
      </w:pPr>
      <w:r w:rsidRPr="003F0408">
        <w:rPr>
          <w:rFonts w:eastAsia="Aptos" w:cs="Arial"/>
          <w:szCs w:val="22"/>
        </w:rPr>
        <w:t xml:space="preserve"> </w:t>
      </w:r>
    </w:p>
    <w:p w14:paraId="26E8EFED"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In 2024/25, 96.2% of items prescribed by GP practices in the health board’s area were dispensed by pharmacies within the health board’s area. It is not possible to quantify the total number of items that were personally administered by GP practices as the published figures include items which have been either personally administered or dispensed by dispensing practices. However, the GP dispensing practices in the health board’s area dispensed or personally administered 1.1% of items.</w:t>
      </w:r>
    </w:p>
    <w:p w14:paraId="514929AB" w14:textId="77777777" w:rsidR="003F0408" w:rsidRPr="003F0408" w:rsidRDefault="003F0408" w:rsidP="00FF3A53">
      <w:pPr>
        <w:rPr>
          <w:rFonts w:eastAsia="Aptos" w:cs="Arial"/>
          <w:b/>
          <w:bCs/>
          <w:szCs w:val="22"/>
        </w:rPr>
      </w:pPr>
    </w:p>
    <w:p w14:paraId="7ED06567"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In the first nine months of 2025/26, 96.0% of items prescribed by GP practices in the health board’s area were dispensed by pharmacies within the health board’s area. It is not possible to quantify the total number of items that were personally administered by GP practices as the published figures include items which have been either personally administered or dispensed by dispensing practices. However, the GP dispensing practices in the health board’s area dispensed or personally administered 0.5% of items.</w:t>
      </w:r>
    </w:p>
    <w:p w14:paraId="1BCF09EB" w14:textId="77777777" w:rsidR="003F0408" w:rsidRPr="003F0408" w:rsidRDefault="003F0408" w:rsidP="00FF3A53">
      <w:pPr>
        <w:rPr>
          <w:rFonts w:eastAsia="Times New Roman" w:cs="Arial"/>
          <w:kern w:val="0"/>
          <w:szCs w:val="22"/>
          <w:lang w:eastAsia="en-GB"/>
          <w14:ligatures w14:val="none"/>
        </w:rPr>
      </w:pPr>
    </w:p>
    <w:p w14:paraId="70BC4C9E"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 xml:space="preserve">5.1.2 Access to premises </w:t>
      </w:r>
    </w:p>
    <w:p w14:paraId="02D437D9" w14:textId="77777777" w:rsidR="003F0408" w:rsidRPr="003F0408" w:rsidRDefault="003F0408" w:rsidP="00FF3A53">
      <w:pPr>
        <w:rPr>
          <w:rFonts w:eastAsia="Times New Roman" w:cs="Arial"/>
          <w:b/>
          <w:kern w:val="0"/>
          <w:szCs w:val="22"/>
          <w:lang w:eastAsia="en-GB"/>
          <w14:ligatures w14:val="none"/>
        </w:rPr>
      </w:pPr>
    </w:p>
    <w:p w14:paraId="226F296B" w14:textId="77777777" w:rsidR="003F0408" w:rsidRPr="003F0408" w:rsidRDefault="003F0408" w:rsidP="00FF3A53">
      <w:pPr>
        <w:rPr>
          <w:rFonts w:eastAsia="Aptos" w:cs="Arial"/>
          <w:szCs w:val="22"/>
        </w:rPr>
      </w:pPr>
      <w:r w:rsidRPr="003F0408">
        <w:rPr>
          <w:rFonts w:eastAsia="Aptos" w:cs="Arial"/>
          <w:szCs w:val="22"/>
        </w:rPr>
        <w:t>It was agreed by the pharmaceutical needs assessment steering group that the maximum travel time by car for residents in Swansea Bay University Health Board to access pharmaceutical services, should be no more than 20 minutes. Large areas of the two counties are rural in character, and it is not unusual to travel for 20 minutes to access other primary care services such as dental and optical practices. In the areas of larger population density, travel time is less than 20 minutes due to the increased number of pharmacies available and shorter distances to travel.</w:t>
      </w:r>
    </w:p>
    <w:p w14:paraId="1D94C072" w14:textId="77777777" w:rsidR="003F0408" w:rsidRPr="003F0408" w:rsidRDefault="003F0408" w:rsidP="00FF3A53">
      <w:pPr>
        <w:rPr>
          <w:rFonts w:eastAsia="Aptos" w:cs="Arial"/>
          <w:szCs w:val="22"/>
        </w:rPr>
      </w:pPr>
    </w:p>
    <w:p w14:paraId="6EA7A656" w14:textId="77777777" w:rsidR="003F0408" w:rsidRPr="003F0408" w:rsidRDefault="003F0408" w:rsidP="00FF3A53">
      <w:pPr>
        <w:rPr>
          <w:rFonts w:eastAsia="Aptos" w:cs="Arial"/>
          <w:szCs w:val="22"/>
        </w:rPr>
      </w:pPr>
      <w:r w:rsidRPr="003F0408">
        <w:rPr>
          <w:rFonts w:eastAsia="Aptos" w:cs="Arial"/>
          <w:szCs w:val="22"/>
        </w:rPr>
        <w:t>The 2021 pharmaceutical needs assessment concluded that the majority of residents are within a 20-minute drive of a pharmacy. Those areas that were not within a 20-minute drive had little or no resident population as they are nature reserves (eg Whiteford National Nature Reserve), mountainous areas (eg Mynydd Y Gwair), and woodland and parks (eg Afan Forest National Park).</w:t>
      </w:r>
    </w:p>
    <w:p w14:paraId="30A511AD" w14:textId="77777777" w:rsidR="003F0408" w:rsidRPr="003F0408" w:rsidRDefault="003F0408" w:rsidP="00FF3A53">
      <w:pPr>
        <w:rPr>
          <w:rFonts w:eastAsia="Aptos" w:cs="Arial"/>
          <w:szCs w:val="22"/>
        </w:rPr>
      </w:pPr>
    </w:p>
    <w:p w14:paraId="47A3EAFF" w14:textId="77777777" w:rsidR="003F0408" w:rsidRPr="003F0408" w:rsidRDefault="003F0408" w:rsidP="00FF3A53">
      <w:pPr>
        <w:rPr>
          <w:rFonts w:eastAsia="Aptos" w:cs="Arial"/>
          <w:szCs w:val="22"/>
        </w:rPr>
      </w:pPr>
      <w:r w:rsidRPr="003F0408">
        <w:rPr>
          <w:rFonts w:eastAsia="Aptos" w:cs="Arial"/>
          <w:szCs w:val="22"/>
        </w:rPr>
        <w:t>Whilst the overall number of pharmacies has reduced by three since the 2021 pharmaceutical needs assessment was published the three that closed were in close proximity to other pharmacies. The health board is therefore satisfied that residents are still within a 20-minute drive of a pharmacy.</w:t>
      </w:r>
    </w:p>
    <w:p w14:paraId="767B079C" w14:textId="77777777" w:rsidR="003F0408" w:rsidRPr="003F0408" w:rsidRDefault="003F0408" w:rsidP="00FF3A53">
      <w:pPr>
        <w:rPr>
          <w:rFonts w:eastAsia="Aptos" w:cs="Arial"/>
          <w:szCs w:val="22"/>
        </w:rPr>
      </w:pPr>
    </w:p>
    <w:p w14:paraId="68DFD6BE" w14:textId="77777777" w:rsidR="003F0408" w:rsidRPr="003F0408" w:rsidRDefault="003F0408" w:rsidP="00FF3A53">
      <w:pPr>
        <w:rPr>
          <w:rFonts w:eastAsia="Times New Roman" w:cs="Arial"/>
          <w:kern w:val="0"/>
          <w:szCs w:val="22"/>
          <w:lang w:val="en-US" w:eastAsia="en-GB"/>
          <w14:ligatures w14:val="none"/>
        </w:rPr>
      </w:pPr>
      <w:r w:rsidRPr="003F0408">
        <w:rPr>
          <w:rFonts w:eastAsia="Times New Roman" w:cs="Arial"/>
          <w:kern w:val="0"/>
          <w:szCs w:val="22"/>
          <w:lang w:val="en-US" w:eastAsia="en-GB"/>
          <w14:ligatures w14:val="none"/>
        </w:rPr>
        <w:t xml:space="preserve">Responses to the public engagement questionnaire show that 66.4% of respondents stated that they travel to the pharmacy by car followed by 26.9% on foot. </w:t>
      </w:r>
    </w:p>
    <w:p w14:paraId="6E3E2697" w14:textId="77777777" w:rsidR="003F0408" w:rsidRPr="003F0408" w:rsidRDefault="003F0408" w:rsidP="00FF3A53">
      <w:pPr>
        <w:rPr>
          <w:rFonts w:eastAsia="Times New Roman" w:cs="Arial"/>
          <w:kern w:val="0"/>
          <w:szCs w:val="22"/>
          <w:lang w:val="en-US" w:eastAsia="en-GB"/>
          <w14:ligatures w14:val="none"/>
        </w:rPr>
      </w:pPr>
    </w:p>
    <w:p w14:paraId="615B5A73" w14:textId="77777777" w:rsidR="003F0408" w:rsidRPr="003F0408" w:rsidRDefault="003F0408" w:rsidP="00FF3A53">
      <w:pPr>
        <w:rPr>
          <w:rFonts w:eastAsia="Times New Roman" w:cs="Arial"/>
          <w:kern w:val="0"/>
          <w:szCs w:val="22"/>
          <w:lang w:val="en-US" w:eastAsia="en-GB"/>
          <w14:ligatures w14:val="none"/>
        </w:rPr>
      </w:pPr>
      <w:r w:rsidRPr="003F0408">
        <w:rPr>
          <w:rFonts w:eastAsia="Times New Roman" w:cs="Arial"/>
          <w:kern w:val="0"/>
          <w:szCs w:val="22"/>
          <w:lang w:val="en-US" w:eastAsia="en-GB"/>
          <w14:ligatures w14:val="none"/>
        </w:rPr>
        <w:t>Respondents noted the length of travel time to a pharmacy is:</w:t>
      </w:r>
    </w:p>
    <w:p w14:paraId="08A9E7B0" w14:textId="77777777" w:rsidR="003F0408" w:rsidRPr="003F0408" w:rsidRDefault="003F0408" w:rsidP="00FF3A53">
      <w:pPr>
        <w:rPr>
          <w:rFonts w:eastAsia="Times New Roman" w:cs="Arial"/>
          <w:kern w:val="0"/>
          <w:szCs w:val="22"/>
          <w:lang w:val="en-US" w:eastAsia="en-GB"/>
          <w14:ligatures w14:val="none"/>
        </w:rPr>
      </w:pPr>
    </w:p>
    <w:p w14:paraId="792A12B7" w14:textId="77777777" w:rsidR="003F0408" w:rsidRPr="003F0408" w:rsidRDefault="003F0408" w:rsidP="00B76905">
      <w:pPr>
        <w:numPr>
          <w:ilvl w:val="0"/>
          <w:numId w:val="119"/>
        </w:numPr>
        <w:rPr>
          <w:rFonts w:eastAsia="Times New Roman" w:cs="Arial"/>
          <w:kern w:val="0"/>
          <w:szCs w:val="22"/>
          <w:lang w:val="en-US" w:eastAsia="en-GB"/>
          <w14:ligatures w14:val="none"/>
        </w:rPr>
      </w:pPr>
      <w:r w:rsidRPr="003F0408">
        <w:rPr>
          <w:rFonts w:eastAsia="Times New Roman" w:cs="Arial"/>
          <w:kern w:val="0"/>
          <w:szCs w:val="22"/>
          <w:lang w:val="en-US" w:eastAsia="en-GB"/>
          <w14:ligatures w14:val="none"/>
        </w:rPr>
        <w:t>Less than five minutes - 33.1%</w:t>
      </w:r>
    </w:p>
    <w:p w14:paraId="5E1CF721" w14:textId="77777777" w:rsidR="003F0408" w:rsidRPr="003F0408" w:rsidRDefault="003F0408" w:rsidP="00B76905">
      <w:pPr>
        <w:numPr>
          <w:ilvl w:val="0"/>
          <w:numId w:val="119"/>
        </w:numPr>
        <w:rPr>
          <w:rFonts w:eastAsia="Times New Roman" w:cs="Arial"/>
          <w:kern w:val="0"/>
          <w:szCs w:val="22"/>
          <w:lang w:val="en-US" w:eastAsia="en-GB"/>
          <w14:ligatures w14:val="none"/>
        </w:rPr>
      </w:pPr>
      <w:r w:rsidRPr="003F0408">
        <w:rPr>
          <w:rFonts w:eastAsia="Times New Roman" w:cs="Arial"/>
          <w:kern w:val="0"/>
          <w:szCs w:val="22"/>
          <w:lang w:val="en-US" w:eastAsia="en-GB"/>
          <w14:ligatures w14:val="none"/>
        </w:rPr>
        <w:t>Between five and 15 minutes - 56.8%</w:t>
      </w:r>
    </w:p>
    <w:p w14:paraId="1841A88C" w14:textId="77777777" w:rsidR="003F0408" w:rsidRPr="003F0408" w:rsidRDefault="003F0408" w:rsidP="00B76905">
      <w:pPr>
        <w:numPr>
          <w:ilvl w:val="0"/>
          <w:numId w:val="119"/>
        </w:numPr>
        <w:rPr>
          <w:rFonts w:eastAsia="Times New Roman" w:cs="Arial"/>
          <w:kern w:val="0"/>
          <w:szCs w:val="22"/>
          <w:lang w:val="en-US" w:eastAsia="en-GB"/>
          <w14:ligatures w14:val="none"/>
        </w:rPr>
      </w:pPr>
      <w:r w:rsidRPr="003F0408">
        <w:rPr>
          <w:rFonts w:eastAsia="Times New Roman" w:cs="Arial"/>
          <w:kern w:val="0"/>
          <w:szCs w:val="22"/>
          <w:lang w:val="en-US" w:eastAsia="en-GB"/>
          <w14:ligatures w14:val="none"/>
        </w:rPr>
        <w:t>More than 15 minutes but less than 20 minutes - 6.8%</w:t>
      </w:r>
    </w:p>
    <w:p w14:paraId="29EBCA7E" w14:textId="77777777" w:rsidR="003F0408" w:rsidRPr="003F0408" w:rsidRDefault="003F0408" w:rsidP="00B76905">
      <w:pPr>
        <w:numPr>
          <w:ilvl w:val="0"/>
          <w:numId w:val="119"/>
        </w:numPr>
        <w:rPr>
          <w:rFonts w:eastAsia="Times New Roman" w:cs="Arial"/>
          <w:kern w:val="0"/>
          <w:szCs w:val="22"/>
          <w:lang w:val="en-US" w:eastAsia="en-GB"/>
          <w14:ligatures w14:val="none"/>
        </w:rPr>
      </w:pPr>
      <w:r w:rsidRPr="003F0408">
        <w:rPr>
          <w:rFonts w:eastAsia="Times New Roman" w:cs="Arial"/>
          <w:kern w:val="0"/>
          <w:szCs w:val="22"/>
          <w:lang w:val="en-US" w:eastAsia="en-GB"/>
          <w14:ligatures w14:val="none"/>
        </w:rPr>
        <w:t>More than 20 minutes - 3.4%</w:t>
      </w:r>
    </w:p>
    <w:p w14:paraId="55C41020" w14:textId="77777777" w:rsidR="003F0408" w:rsidRDefault="003F0408" w:rsidP="00FF3A53">
      <w:pPr>
        <w:rPr>
          <w:rFonts w:eastAsia="Calibri" w:cs="Arial"/>
          <w:kern w:val="0"/>
          <w:szCs w:val="22"/>
          <w14:ligatures w14:val="none"/>
        </w:rPr>
      </w:pPr>
    </w:p>
    <w:p w14:paraId="1EE4B3F4" w14:textId="77777777" w:rsidR="00F92A45" w:rsidRPr="00F92A45" w:rsidRDefault="00F92A45" w:rsidP="00F92A45">
      <w:pPr>
        <w:rPr>
          <w:rFonts w:eastAsia="Calibri" w:cs="Arial"/>
          <w:kern w:val="0"/>
          <w:szCs w:val="22"/>
          <w14:ligatures w14:val="none"/>
        </w:rPr>
      </w:pPr>
      <w:r w:rsidRPr="00F92A45">
        <w:rPr>
          <w:rFonts w:eastAsia="Calibri" w:cs="Arial"/>
          <w:kern w:val="0"/>
          <w:szCs w:val="22"/>
          <w14:ligatures w14:val="none"/>
        </w:rPr>
        <w:t>Accessibility has primarily been assessed through pharmacy location, distribution, opening hours and travel time analysis. Detailed public transport journey modelling has not been undertaken as part of this assessment. However, the majority of pharmacies are located within established population centres and are served by local public transport networks. Public engagement responses indicated that only a small proportion of respondents reported difficulty accessing a pharmacy.</w:t>
      </w:r>
    </w:p>
    <w:p w14:paraId="0CDA21AA" w14:textId="77777777" w:rsidR="00303F44" w:rsidRPr="003F0408" w:rsidRDefault="00303F44" w:rsidP="00FF3A53">
      <w:pPr>
        <w:rPr>
          <w:rFonts w:eastAsia="Calibri" w:cs="Arial"/>
          <w:kern w:val="0"/>
          <w:szCs w:val="22"/>
          <w14:ligatures w14:val="none"/>
        </w:rPr>
      </w:pPr>
    </w:p>
    <w:p w14:paraId="5DAB78FC" w14:textId="77777777" w:rsidR="003F0408" w:rsidRPr="003F0408" w:rsidRDefault="003F0408" w:rsidP="00FF3A53">
      <w:pPr>
        <w:rPr>
          <w:rFonts w:eastAsia="Times New Roman" w:cs="Arial"/>
          <w:kern w:val="0"/>
          <w:szCs w:val="22"/>
          <w:lang w:eastAsia="en-GB"/>
          <w14:ligatures w14:val="none"/>
        </w:rPr>
      </w:pPr>
      <w:r w:rsidRPr="003F0408">
        <w:rPr>
          <w:rFonts w:eastAsia="Aptos" w:cs="Arial"/>
          <w:b/>
          <w:bCs/>
          <w:szCs w:val="22"/>
        </w:rPr>
        <w:t xml:space="preserve">5.1.3 Access to essential services </w:t>
      </w:r>
    </w:p>
    <w:p w14:paraId="164D41D4" w14:textId="77777777" w:rsidR="003F0408" w:rsidRPr="003F0408" w:rsidRDefault="003F0408" w:rsidP="00FF3A53">
      <w:pPr>
        <w:rPr>
          <w:rFonts w:eastAsia="Times New Roman" w:cs="Arial"/>
          <w:kern w:val="0"/>
          <w:szCs w:val="22"/>
          <w:lang w:eastAsia="en-GB"/>
          <w14:ligatures w14:val="none"/>
        </w:rPr>
      </w:pPr>
    </w:p>
    <w:p w14:paraId="2CE3132C" w14:textId="77777777" w:rsidR="003F0408" w:rsidRPr="003F0408" w:rsidRDefault="003F0408" w:rsidP="00FF3A53">
      <w:pPr>
        <w:rPr>
          <w:rFonts w:eastAsia="Times New Roman" w:cs="Arial"/>
          <w:kern w:val="0"/>
          <w:szCs w:val="22"/>
          <w:lang w:val="en-US" w:eastAsia="en-GB"/>
          <w14:ligatures w14:val="none"/>
        </w:rPr>
      </w:pPr>
      <w:r w:rsidRPr="003F0408">
        <w:rPr>
          <w:rFonts w:eastAsia="Times New Roman" w:cs="Arial"/>
          <w:kern w:val="0"/>
          <w:szCs w:val="22"/>
          <w:lang w:val="en-US" w:eastAsia="en-GB"/>
          <w14:ligatures w14:val="none"/>
        </w:rPr>
        <w:t>The majority of people access a pharmacy following a visit to their GP or other healthcare professional, however many will visit for self-care purposes or to access a specific service offered by the pharmacy.</w:t>
      </w:r>
    </w:p>
    <w:p w14:paraId="1E633875" w14:textId="77777777" w:rsidR="003F0408" w:rsidRPr="003F0408" w:rsidRDefault="003F0408" w:rsidP="00FF3A53">
      <w:pPr>
        <w:rPr>
          <w:rFonts w:eastAsia="Times New Roman" w:cs="Arial"/>
          <w:kern w:val="0"/>
          <w:szCs w:val="22"/>
          <w:lang w:val="en-US" w:eastAsia="en-GB"/>
          <w14:ligatures w14:val="none"/>
        </w:rPr>
      </w:pPr>
    </w:p>
    <w:p w14:paraId="5F79A031" w14:textId="77777777" w:rsidR="003F0408" w:rsidRPr="003F0408" w:rsidRDefault="003F0408" w:rsidP="00FF3A53">
      <w:pPr>
        <w:rPr>
          <w:rFonts w:eastAsia="Times New Roman" w:cs="Arial"/>
          <w:kern w:val="0"/>
          <w:szCs w:val="22"/>
          <w:lang w:val="en-US" w:eastAsia="en-GB"/>
          <w14:ligatures w14:val="none"/>
        </w:rPr>
      </w:pPr>
      <w:r w:rsidRPr="003F0408">
        <w:rPr>
          <w:rFonts w:eastAsia="Times New Roman" w:cs="Arial"/>
          <w:kern w:val="0"/>
          <w:szCs w:val="22"/>
          <w:lang w:val="en-US" w:eastAsia="en-GB"/>
          <w14:ligatures w14:val="none"/>
        </w:rPr>
        <w:t>There will be occasions when individuals may need access to pharmaceutical services when their GP practice is not open, for example this may be to have a prescription dispensed after presenting to a GP out of hours service, or after contacting NHS Wales 111. Individuals may also want to access a service that is specifically provided by a pharmacy outside of a person’s normal working day.</w:t>
      </w:r>
    </w:p>
    <w:p w14:paraId="580360C6" w14:textId="77777777" w:rsidR="003F0408" w:rsidRPr="003F0408" w:rsidRDefault="003F0408" w:rsidP="00FF3A53">
      <w:pPr>
        <w:rPr>
          <w:rFonts w:eastAsia="Times New Roman" w:cs="Arial"/>
          <w:kern w:val="0"/>
          <w:szCs w:val="22"/>
          <w:lang w:val="en-US" w:eastAsia="en-GB"/>
          <w14:ligatures w14:val="none"/>
        </w:rPr>
      </w:pPr>
    </w:p>
    <w:p w14:paraId="14A47821"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When asked if there is a time that is most convenient to use a pharmacy:</w:t>
      </w:r>
    </w:p>
    <w:p w14:paraId="04A1488F" w14:textId="77777777" w:rsidR="003F0408" w:rsidRPr="003F0408" w:rsidRDefault="003F0408" w:rsidP="00FF3A53">
      <w:pPr>
        <w:rPr>
          <w:rFonts w:eastAsia="Times New Roman" w:cs="Arial"/>
          <w:kern w:val="0"/>
          <w:szCs w:val="22"/>
          <w:lang w:eastAsia="en-GB"/>
          <w14:ligatures w14:val="none"/>
        </w:rPr>
      </w:pPr>
    </w:p>
    <w:p w14:paraId="3A693CC3" w14:textId="77777777" w:rsidR="003F0408" w:rsidRPr="003F0408" w:rsidRDefault="003F0408" w:rsidP="00B76905">
      <w:pPr>
        <w:numPr>
          <w:ilvl w:val="0"/>
          <w:numId w:val="120"/>
        </w:numPr>
        <w:rPr>
          <w:rFonts w:eastAsia="Times New Roman" w:cs="Arial"/>
          <w:kern w:val="0"/>
          <w:szCs w:val="22"/>
          <w:lang w:eastAsia="en-GB"/>
          <w14:ligatures w14:val="none"/>
        </w:rPr>
      </w:pPr>
      <w:r w:rsidRPr="003F0408">
        <w:rPr>
          <w:rFonts w:eastAsia="Times New Roman" w:cs="Arial"/>
          <w:kern w:val="0"/>
          <w:szCs w:val="22"/>
          <w:lang w:eastAsia="en-GB"/>
          <w14:ligatures w14:val="none"/>
        </w:rPr>
        <w:t>35.3% said they do not have a preference,</w:t>
      </w:r>
    </w:p>
    <w:p w14:paraId="724CE21F" w14:textId="77777777" w:rsidR="003F0408" w:rsidRPr="003F0408" w:rsidRDefault="003F0408" w:rsidP="00B76905">
      <w:pPr>
        <w:numPr>
          <w:ilvl w:val="0"/>
          <w:numId w:val="120"/>
        </w:numPr>
        <w:rPr>
          <w:rFonts w:eastAsia="Times New Roman" w:cs="Arial"/>
          <w:kern w:val="0"/>
          <w:szCs w:val="22"/>
          <w:lang w:eastAsia="en-GB"/>
          <w14:ligatures w14:val="none"/>
        </w:rPr>
      </w:pPr>
      <w:r w:rsidRPr="003F0408">
        <w:rPr>
          <w:rFonts w:eastAsia="Times New Roman" w:cs="Arial"/>
          <w:kern w:val="0"/>
          <w:szCs w:val="22"/>
          <w:lang w:eastAsia="en-GB"/>
          <w14:ligatures w14:val="none"/>
        </w:rPr>
        <w:t>25.2% said 9.00am to 12 noon,</w:t>
      </w:r>
    </w:p>
    <w:p w14:paraId="0A8BC4F0" w14:textId="77777777" w:rsidR="003F0408" w:rsidRPr="003F0408" w:rsidRDefault="003F0408" w:rsidP="00B76905">
      <w:pPr>
        <w:numPr>
          <w:ilvl w:val="0"/>
          <w:numId w:val="120"/>
        </w:numPr>
        <w:rPr>
          <w:rFonts w:eastAsia="Times New Roman" w:cs="Arial"/>
          <w:kern w:val="0"/>
          <w:szCs w:val="22"/>
          <w:lang w:eastAsia="en-GB"/>
          <w14:ligatures w14:val="none"/>
        </w:rPr>
      </w:pPr>
      <w:r w:rsidRPr="003F0408">
        <w:rPr>
          <w:rFonts w:eastAsia="Times New Roman" w:cs="Arial"/>
          <w:kern w:val="0"/>
          <w:szCs w:val="22"/>
          <w:lang w:eastAsia="en-GB"/>
          <w14:ligatures w14:val="none"/>
        </w:rPr>
        <w:t>17.7% said 6.00pm to 9.00pm, and</w:t>
      </w:r>
    </w:p>
    <w:p w14:paraId="2F0EE076" w14:textId="77777777" w:rsidR="003F0408" w:rsidRPr="003F0408" w:rsidRDefault="003F0408" w:rsidP="00B76905">
      <w:pPr>
        <w:numPr>
          <w:ilvl w:val="0"/>
          <w:numId w:val="120"/>
        </w:numPr>
        <w:rPr>
          <w:rFonts w:eastAsia="Times New Roman" w:cs="Arial"/>
          <w:kern w:val="0"/>
          <w:szCs w:val="22"/>
          <w:lang w:eastAsia="en-GB"/>
          <w14:ligatures w14:val="none"/>
        </w:rPr>
      </w:pPr>
      <w:r w:rsidRPr="003F0408">
        <w:rPr>
          <w:rFonts w:eastAsia="Times New Roman" w:cs="Arial"/>
          <w:kern w:val="0"/>
          <w:szCs w:val="22"/>
          <w:lang w:eastAsia="en-GB"/>
          <w14:ligatures w14:val="none"/>
        </w:rPr>
        <w:t>15.9% said 2.00pm to 6.00pm.</w:t>
      </w:r>
    </w:p>
    <w:p w14:paraId="68C5EE53" w14:textId="77777777" w:rsidR="003F0408" w:rsidRPr="003F0408" w:rsidRDefault="003F0408" w:rsidP="00FF3A53">
      <w:pPr>
        <w:rPr>
          <w:rFonts w:eastAsia="Times New Roman" w:cs="Arial"/>
          <w:kern w:val="0"/>
          <w:szCs w:val="22"/>
          <w:lang w:eastAsia="en-GB"/>
          <w14:ligatures w14:val="none"/>
        </w:rPr>
      </w:pPr>
    </w:p>
    <w:p w14:paraId="0C54CFBB" w14:textId="77777777" w:rsidR="003F0408" w:rsidRPr="003F0408" w:rsidRDefault="003F0408" w:rsidP="00FF3A53">
      <w:pPr>
        <w:rPr>
          <w:rFonts w:eastAsia="Times New Roman" w:cs="Arial"/>
          <w:bCs/>
          <w:kern w:val="0"/>
          <w:szCs w:val="22"/>
          <w:lang w:eastAsia="en-GB"/>
          <w14:ligatures w14:val="none"/>
        </w:rPr>
      </w:pPr>
      <w:r w:rsidRPr="003F0408">
        <w:rPr>
          <w:rFonts w:eastAsia="Times New Roman" w:cs="Arial"/>
          <w:bCs/>
          <w:kern w:val="0"/>
          <w:szCs w:val="22"/>
          <w:lang w:eastAsia="en-GB"/>
          <w14:ligatures w14:val="none"/>
        </w:rPr>
        <w:t>When asked if they have a preferred day to use a pharmacy:</w:t>
      </w:r>
    </w:p>
    <w:p w14:paraId="2CB1E9CA" w14:textId="77777777" w:rsidR="003F0408" w:rsidRPr="003F0408" w:rsidRDefault="003F0408" w:rsidP="00FF3A53">
      <w:pPr>
        <w:rPr>
          <w:rFonts w:eastAsia="Times New Roman" w:cs="Arial"/>
          <w:bCs/>
          <w:kern w:val="0"/>
          <w:szCs w:val="22"/>
          <w:lang w:eastAsia="en-GB"/>
          <w14:ligatures w14:val="none"/>
        </w:rPr>
      </w:pPr>
    </w:p>
    <w:p w14:paraId="4062AE58" w14:textId="77777777" w:rsidR="003F0408" w:rsidRPr="003F0408" w:rsidRDefault="003F0408" w:rsidP="00B76905">
      <w:pPr>
        <w:numPr>
          <w:ilvl w:val="0"/>
          <w:numId w:val="121"/>
        </w:numPr>
        <w:rPr>
          <w:rFonts w:eastAsia="Times New Roman" w:cs="Arial"/>
          <w:bCs/>
          <w:kern w:val="0"/>
          <w:szCs w:val="22"/>
          <w:lang w:eastAsia="en-GB"/>
          <w14:ligatures w14:val="none"/>
        </w:rPr>
      </w:pPr>
      <w:r w:rsidRPr="003F0408">
        <w:rPr>
          <w:rFonts w:eastAsia="Times New Roman" w:cs="Arial"/>
          <w:bCs/>
          <w:kern w:val="0"/>
          <w:szCs w:val="22"/>
          <w:lang w:eastAsia="en-GB"/>
          <w14:ligatures w14:val="none"/>
        </w:rPr>
        <w:t>47.1% said they don’t have a preference,</w:t>
      </w:r>
    </w:p>
    <w:p w14:paraId="24C73625" w14:textId="77777777" w:rsidR="003F0408" w:rsidRPr="003F0408" w:rsidRDefault="003F0408" w:rsidP="00B76905">
      <w:pPr>
        <w:numPr>
          <w:ilvl w:val="0"/>
          <w:numId w:val="121"/>
        </w:numPr>
        <w:rPr>
          <w:rFonts w:eastAsia="Times New Roman" w:cs="Arial"/>
          <w:bCs/>
          <w:kern w:val="0"/>
          <w:szCs w:val="22"/>
          <w:lang w:eastAsia="en-GB"/>
          <w14:ligatures w14:val="none"/>
        </w:rPr>
      </w:pPr>
      <w:r w:rsidRPr="003F0408">
        <w:rPr>
          <w:rFonts w:eastAsia="Times New Roman" w:cs="Arial"/>
          <w:bCs/>
          <w:kern w:val="0"/>
          <w:szCs w:val="22"/>
          <w:lang w:eastAsia="en-GB"/>
          <w14:ligatures w14:val="none"/>
        </w:rPr>
        <w:t>26.1% said weekdays in general, and</w:t>
      </w:r>
    </w:p>
    <w:p w14:paraId="0974EA8F" w14:textId="77777777" w:rsidR="003F0408" w:rsidRPr="003F0408" w:rsidRDefault="003F0408" w:rsidP="00B76905">
      <w:pPr>
        <w:numPr>
          <w:ilvl w:val="0"/>
          <w:numId w:val="121"/>
        </w:numPr>
        <w:rPr>
          <w:rFonts w:eastAsia="Times New Roman" w:cs="Arial"/>
          <w:bCs/>
          <w:kern w:val="0"/>
          <w:szCs w:val="22"/>
          <w:lang w:eastAsia="en-GB"/>
          <w14:ligatures w14:val="none"/>
        </w:rPr>
      </w:pPr>
      <w:r w:rsidRPr="003F0408">
        <w:rPr>
          <w:rFonts w:eastAsia="Times New Roman" w:cs="Arial"/>
          <w:bCs/>
          <w:kern w:val="0"/>
          <w:szCs w:val="22"/>
          <w:lang w:eastAsia="en-GB"/>
          <w14:ligatures w14:val="none"/>
        </w:rPr>
        <w:t>10.9% said weekends in general.</w:t>
      </w:r>
    </w:p>
    <w:p w14:paraId="65571D81" w14:textId="77777777" w:rsidR="003F0408" w:rsidRPr="003F0408" w:rsidRDefault="003F0408" w:rsidP="00FF3A53">
      <w:pPr>
        <w:rPr>
          <w:rFonts w:eastAsia="Times New Roman" w:cs="Arial"/>
          <w:kern w:val="0"/>
          <w:szCs w:val="22"/>
          <w:lang w:eastAsia="en-GB"/>
          <w14:ligatures w14:val="none"/>
        </w:rPr>
      </w:pPr>
    </w:p>
    <w:p w14:paraId="5A13C87C" w14:textId="660810E1"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 xml:space="preserve">Appendix L provides information on the pharmacies opening hours </w:t>
      </w:r>
      <w:r w:rsidR="00B95DAA">
        <w:rPr>
          <w:rFonts w:eastAsia="Times New Roman" w:cs="Arial"/>
          <w:kern w:val="0"/>
          <w:szCs w:val="22"/>
          <w:lang w:eastAsia="en-GB"/>
          <w14:ligatures w14:val="none"/>
        </w:rPr>
        <w:t>as of 31 March</w:t>
      </w:r>
      <w:r w:rsidRPr="003F0408">
        <w:rPr>
          <w:rFonts w:eastAsia="Times New Roman" w:cs="Arial"/>
          <w:kern w:val="0"/>
          <w:szCs w:val="22"/>
          <w:lang w:eastAsia="en-GB"/>
          <w14:ligatures w14:val="none"/>
        </w:rPr>
        <w:t xml:space="preserve"> 2026 and at that point in time there were:</w:t>
      </w:r>
    </w:p>
    <w:p w14:paraId="43FF2918" w14:textId="77777777" w:rsidR="003F0408" w:rsidRPr="003F0408" w:rsidRDefault="003F0408" w:rsidP="00FF3A53">
      <w:pPr>
        <w:rPr>
          <w:rFonts w:eastAsia="Times New Roman" w:cs="Arial"/>
          <w:kern w:val="0"/>
          <w:szCs w:val="22"/>
          <w:lang w:eastAsia="en-GB"/>
          <w14:ligatures w14:val="none"/>
        </w:rPr>
      </w:pPr>
    </w:p>
    <w:p w14:paraId="2ED854B6" w14:textId="77777777" w:rsidR="003F0408" w:rsidRPr="003F0408" w:rsidRDefault="003F0408" w:rsidP="00B76905">
      <w:pPr>
        <w:numPr>
          <w:ilvl w:val="0"/>
          <w:numId w:val="122"/>
        </w:numPr>
        <w:rPr>
          <w:rFonts w:eastAsia="Times New Roman" w:cs="Arial"/>
          <w:kern w:val="0"/>
          <w:szCs w:val="22"/>
          <w:lang w:eastAsia="en-GB"/>
          <w14:ligatures w14:val="none"/>
        </w:rPr>
      </w:pPr>
      <w:r w:rsidRPr="003F0408">
        <w:rPr>
          <w:rFonts w:eastAsia="Times New Roman" w:cs="Arial"/>
          <w:kern w:val="0"/>
          <w:szCs w:val="22"/>
          <w:lang w:eastAsia="en-GB"/>
          <w14:ligatures w14:val="none"/>
        </w:rPr>
        <w:t xml:space="preserve">Five pharmacies open seven days a week </w:t>
      </w:r>
    </w:p>
    <w:p w14:paraId="3C369F89" w14:textId="77777777" w:rsidR="003F0408" w:rsidRPr="003F0408" w:rsidRDefault="003F0408" w:rsidP="00B76905">
      <w:pPr>
        <w:numPr>
          <w:ilvl w:val="0"/>
          <w:numId w:val="122"/>
        </w:numPr>
        <w:rPr>
          <w:rFonts w:eastAsia="Times New Roman" w:cs="Arial"/>
          <w:kern w:val="0"/>
          <w:szCs w:val="22"/>
          <w:lang w:eastAsia="en-GB"/>
          <w14:ligatures w14:val="none"/>
        </w:rPr>
      </w:pPr>
      <w:r w:rsidRPr="003F0408">
        <w:rPr>
          <w:rFonts w:eastAsia="Times New Roman" w:cs="Arial"/>
          <w:kern w:val="0"/>
          <w:szCs w:val="22"/>
          <w:lang w:eastAsia="en-GB"/>
          <w14:ligatures w14:val="none"/>
        </w:rPr>
        <w:t>Five pharmacies open Monday to Saturday</w:t>
      </w:r>
    </w:p>
    <w:p w14:paraId="1693274F" w14:textId="77777777" w:rsidR="003F0408" w:rsidRPr="003F0408" w:rsidRDefault="003F0408" w:rsidP="00B76905">
      <w:pPr>
        <w:numPr>
          <w:ilvl w:val="0"/>
          <w:numId w:val="122"/>
        </w:numPr>
        <w:rPr>
          <w:rFonts w:eastAsia="Times New Roman" w:cs="Arial"/>
          <w:kern w:val="0"/>
          <w:szCs w:val="22"/>
          <w:lang w:eastAsia="en-GB"/>
          <w14:ligatures w14:val="none"/>
        </w:rPr>
      </w:pPr>
      <w:r w:rsidRPr="003F0408">
        <w:rPr>
          <w:rFonts w:eastAsia="Times New Roman" w:cs="Arial"/>
          <w:kern w:val="0"/>
          <w:szCs w:val="22"/>
          <w:lang w:eastAsia="en-GB"/>
          <w14:ligatures w14:val="none"/>
        </w:rPr>
        <w:t>31 pharmacies open Monday to Friday, and part of Saturday</w:t>
      </w:r>
    </w:p>
    <w:p w14:paraId="2657C1B1" w14:textId="77777777" w:rsidR="003F0408" w:rsidRPr="003F0408" w:rsidRDefault="003F0408" w:rsidP="00B76905">
      <w:pPr>
        <w:numPr>
          <w:ilvl w:val="0"/>
          <w:numId w:val="122"/>
        </w:numPr>
        <w:rPr>
          <w:rFonts w:eastAsia="Times New Roman" w:cs="Arial"/>
          <w:kern w:val="0"/>
          <w:szCs w:val="22"/>
          <w:lang w:eastAsia="en-GB"/>
          <w14:ligatures w14:val="none"/>
        </w:rPr>
      </w:pPr>
      <w:r w:rsidRPr="003F0408">
        <w:rPr>
          <w:rFonts w:eastAsia="Times New Roman" w:cs="Arial"/>
          <w:kern w:val="0"/>
          <w:szCs w:val="22"/>
          <w:lang w:eastAsia="en-GB"/>
          <w14:ligatures w14:val="none"/>
        </w:rPr>
        <w:t>Two pharmacies close at 1.00pm one on a Tuesday and one on a Wednesday</w:t>
      </w:r>
    </w:p>
    <w:p w14:paraId="0FAE5B6D" w14:textId="77777777" w:rsidR="003F0408" w:rsidRPr="003F0408" w:rsidRDefault="003F0408" w:rsidP="00B76905">
      <w:pPr>
        <w:numPr>
          <w:ilvl w:val="0"/>
          <w:numId w:val="122"/>
        </w:numPr>
        <w:rPr>
          <w:rFonts w:eastAsia="Times New Roman" w:cs="Arial"/>
          <w:kern w:val="0"/>
          <w:szCs w:val="22"/>
          <w:lang w:eastAsia="en-GB"/>
          <w14:ligatures w14:val="none"/>
        </w:rPr>
      </w:pPr>
      <w:r w:rsidRPr="003F0408">
        <w:rPr>
          <w:rFonts w:eastAsia="Times New Roman" w:cs="Arial"/>
          <w:kern w:val="0"/>
          <w:szCs w:val="22"/>
          <w:lang w:eastAsia="en-GB"/>
          <w14:ligatures w14:val="none"/>
        </w:rPr>
        <w:t>49 pharmacies that open Monday to Friday</w:t>
      </w:r>
    </w:p>
    <w:p w14:paraId="2EF619F3" w14:textId="77777777" w:rsidR="003F0408" w:rsidRPr="003F0408" w:rsidRDefault="003F0408" w:rsidP="00B76905">
      <w:pPr>
        <w:numPr>
          <w:ilvl w:val="0"/>
          <w:numId w:val="122"/>
        </w:numPr>
        <w:rPr>
          <w:rFonts w:eastAsia="Times New Roman" w:cs="Arial"/>
          <w:kern w:val="0"/>
          <w:szCs w:val="22"/>
          <w:lang w:eastAsia="en-GB"/>
          <w14:ligatures w14:val="none"/>
        </w:rPr>
      </w:pPr>
      <w:r w:rsidRPr="003F0408">
        <w:rPr>
          <w:rFonts w:eastAsia="Times New Roman" w:cs="Arial"/>
          <w:kern w:val="0"/>
          <w:szCs w:val="22"/>
          <w:lang w:eastAsia="en-GB"/>
          <w14:ligatures w14:val="none"/>
        </w:rPr>
        <w:lastRenderedPageBreak/>
        <w:t xml:space="preserve">Two pharmacies close 1.00pm one on a Tuesday and one on a Thursday </w:t>
      </w:r>
    </w:p>
    <w:p w14:paraId="324E3F58" w14:textId="77777777" w:rsidR="003F0408" w:rsidRPr="003F0408" w:rsidRDefault="003F0408" w:rsidP="00FF3A53">
      <w:pPr>
        <w:rPr>
          <w:rFonts w:eastAsia="Times New Roman" w:cs="Arial"/>
          <w:kern w:val="0"/>
          <w:szCs w:val="22"/>
          <w:lang w:eastAsia="en-GB"/>
          <w14:ligatures w14:val="none"/>
        </w:rPr>
      </w:pPr>
    </w:p>
    <w:p w14:paraId="7EE0D20E"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 xml:space="preserve">The health board commissions a Sunday rota service to ensure that there is sufficient cross-cluster provision during the out of hours period, aligned to demand and proximity to the GP out of hours services for example at Morriston Hospital and Neath Port Talbot Hospital. In addition, it commissions a Monday to Saturday evenings rota service from a pharmacy in Penderi to open Monday to Saturday until 10.30pm. </w:t>
      </w:r>
    </w:p>
    <w:p w14:paraId="11E7610B" w14:textId="77777777" w:rsidR="003F0408" w:rsidRPr="003F0408" w:rsidRDefault="003F0408" w:rsidP="00FF3A53">
      <w:pPr>
        <w:rPr>
          <w:rFonts w:eastAsia="Times New Roman" w:cs="Arial"/>
          <w:kern w:val="0"/>
          <w:szCs w:val="22"/>
          <w:lang w:val="en" w:eastAsia="en-GB"/>
          <w14:ligatures w14:val="none"/>
        </w:rPr>
      </w:pPr>
    </w:p>
    <w:p w14:paraId="7482A382"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5.1.4 Access to national community pharmacy and appliance contractor services</w:t>
      </w:r>
    </w:p>
    <w:p w14:paraId="52C79B20" w14:textId="77777777" w:rsidR="003F0408" w:rsidRPr="003F0408" w:rsidRDefault="003F0408" w:rsidP="00FF3A53">
      <w:pPr>
        <w:rPr>
          <w:rFonts w:eastAsia="Times New Roman" w:cs="Arial"/>
          <w:kern w:val="0"/>
          <w:szCs w:val="22"/>
          <w:lang w:eastAsia="en-GB"/>
          <w14:ligatures w14:val="none"/>
        </w:rPr>
      </w:pPr>
    </w:p>
    <w:p w14:paraId="4E96FFDA"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5.1.4.1 Access to appliance use reviews service</w:t>
      </w:r>
    </w:p>
    <w:p w14:paraId="11E2373F" w14:textId="77777777" w:rsidR="003F0408" w:rsidRPr="003F0408" w:rsidRDefault="003F0408" w:rsidP="00FF3A53">
      <w:pPr>
        <w:rPr>
          <w:rFonts w:eastAsia="Times New Roman" w:cs="Arial"/>
          <w:color w:val="444444"/>
          <w:kern w:val="0"/>
          <w:szCs w:val="22"/>
          <w:lang w:eastAsia="en-GB"/>
          <w14:ligatures w14:val="none"/>
        </w:rPr>
      </w:pPr>
    </w:p>
    <w:p w14:paraId="2E6E38B1"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 xml:space="preserve">None of the pharmacies provide this service. </w:t>
      </w:r>
    </w:p>
    <w:p w14:paraId="558198BE"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 xml:space="preserve"> </w:t>
      </w:r>
    </w:p>
    <w:p w14:paraId="67CDA4EF"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5.1.4.2 The clinical community pharmacy service</w:t>
      </w:r>
    </w:p>
    <w:p w14:paraId="573D64F3" w14:textId="77777777" w:rsidR="003F0408" w:rsidRPr="003F0408" w:rsidRDefault="003F0408" w:rsidP="00FF3A53">
      <w:pPr>
        <w:rPr>
          <w:rFonts w:eastAsia="Times New Roman" w:cs="Arial"/>
          <w:b/>
          <w:kern w:val="0"/>
          <w:szCs w:val="22"/>
          <w:lang w:eastAsia="en-GB"/>
          <w14:ligatures w14:val="none"/>
        </w:rPr>
      </w:pPr>
    </w:p>
    <w:p w14:paraId="6956AF58" w14:textId="77777777" w:rsidR="003F0408" w:rsidRPr="003F0408" w:rsidRDefault="003F0408" w:rsidP="00FF3A53">
      <w:pPr>
        <w:rPr>
          <w:rFonts w:eastAsia="Times New Roman" w:cs="Arial"/>
          <w:kern w:val="0"/>
          <w:szCs w:val="22"/>
          <w:shd w:val="clear" w:color="auto" w:fill="FFFFFF"/>
          <w:lang w:eastAsia="en-GB"/>
          <w14:ligatures w14:val="none"/>
        </w:rPr>
      </w:pPr>
      <w:r w:rsidRPr="003F0408">
        <w:rPr>
          <w:rFonts w:eastAsia="Times New Roman" w:cs="Arial"/>
          <w:kern w:val="0"/>
          <w:szCs w:val="22"/>
          <w:shd w:val="clear" w:color="auto" w:fill="FFFFFF"/>
          <w:lang w:eastAsia="en-GB"/>
          <w14:ligatures w14:val="none"/>
        </w:rPr>
        <w:t xml:space="preserve">There are three elements to this service: </w:t>
      </w:r>
    </w:p>
    <w:p w14:paraId="3D91A07B" w14:textId="77777777" w:rsidR="003F0408" w:rsidRPr="003F0408" w:rsidRDefault="003F0408" w:rsidP="00FF3A53">
      <w:pPr>
        <w:rPr>
          <w:rFonts w:eastAsia="Times New Roman" w:cs="Arial"/>
          <w:kern w:val="0"/>
          <w:szCs w:val="22"/>
          <w:shd w:val="clear" w:color="auto" w:fill="FFFFFF"/>
          <w:lang w:eastAsia="en-GB"/>
          <w14:ligatures w14:val="none"/>
        </w:rPr>
      </w:pPr>
    </w:p>
    <w:p w14:paraId="16C65C89" w14:textId="77777777" w:rsidR="003F0408" w:rsidRPr="003F0408" w:rsidRDefault="003F0408" w:rsidP="00B76905">
      <w:pPr>
        <w:numPr>
          <w:ilvl w:val="0"/>
          <w:numId w:val="123"/>
        </w:numPr>
        <w:rPr>
          <w:rFonts w:eastAsia="Times New Roman" w:cs="Arial"/>
          <w:kern w:val="0"/>
          <w:szCs w:val="22"/>
          <w:shd w:val="clear" w:color="auto" w:fill="FFFFFF"/>
          <w:lang w:eastAsia="en-GB"/>
          <w14:ligatures w14:val="none"/>
        </w:rPr>
      </w:pPr>
      <w:r w:rsidRPr="003F0408">
        <w:rPr>
          <w:rFonts w:eastAsia="Times New Roman" w:cs="Arial"/>
          <w:kern w:val="0"/>
          <w:szCs w:val="22"/>
          <w:shd w:val="clear" w:color="auto" w:fill="FFFFFF"/>
          <w:lang w:eastAsia="en-GB"/>
          <w14:ligatures w14:val="none"/>
        </w:rPr>
        <w:t>common ailments,</w:t>
      </w:r>
    </w:p>
    <w:p w14:paraId="52D8C30B" w14:textId="77777777" w:rsidR="003F0408" w:rsidRPr="003F0408" w:rsidRDefault="003F0408" w:rsidP="00B76905">
      <w:pPr>
        <w:numPr>
          <w:ilvl w:val="0"/>
          <w:numId w:val="123"/>
        </w:numPr>
        <w:rPr>
          <w:rFonts w:eastAsia="Times New Roman" w:cs="Arial"/>
          <w:kern w:val="0"/>
          <w:szCs w:val="22"/>
          <w:shd w:val="clear" w:color="auto" w:fill="FFFFFF"/>
          <w:lang w:eastAsia="en-GB"/>
          <w14:ligatures w14:val="none"/>
        </w:rPr>
      </w:pPr>
      <w:r w:rsidRPr="003F0408">
        <w:rPr>
          <w:rFonts w:eastAsia="Times New Roman" w:cs="Arial"/>
          <w:kern w:val="0"/>
          <w:szCs w:val="22"/>
          <w:shd w:val="clear" w:color="auto" w:fill="FFFFFF"/>
          <w:lang w:eastAsia="en-GB"/>
          <w14:ligatures w14:val="none"/>
        </w:rPr>
        <w:t xml:space="preserve">emergency contraception, and </w:t>
      </w:r>
    </w:p>
    <w:p w14:paraId="60BF5D94" w14:textId="77777777" w:rsidR="003F0408" w:rsidRPr="003F0408" w:rsidRDefault="003F0408" w:rsidP="00B76905">
      <w:pPr>
        <w:numPr>
          <w:ilvl w:val="0"/>
          <w:numId w:val="123"/>
        </w:numPr>
        <w:rPr>
          <w:rFonts w:eastAsia="Times New Roman" w:cs="Arial"/>
          <w:kern w:val="0"/>
          <w:szCs w:val="22"/>
          <w:shd w:val="clear" w:color="auto" w:fill="FFFFFF"/>
          <w:lang w:eastAsia="en-GB"/>
          <w14:ligatures w14:val="none"/>
        </w:rPr>
      </w:pPr>
      <w:r w:rsidRPr="003F0408">
        <w:rPr>
          <w:rFonts w:eastAsia="Times New Roman" w:cs="Arial"/>
          <w:kern w:val="0"/>
          <w:szCs w:val="22"/>
          <w:shd w:val="clear" w:color="auto" w:fill="FFFFFF"/>
          <w:lang w:eastAsia="en-GB"/>
          <w14:ligatures w14:val="none"/>
        </w:rPr>
        <w:t xml:space="preserve">emergency medicines supply. </w:t>
      </w:r>
    </w:p>
    <w:p w14:paraId="2875D5C7" w14:textId="77777777" w:rsidR="003F0408" w:rsidRPr="003F0408" w:rsidRDefault="003F0408" w:rsidP="00FF3A53">
      <w:pPr>
        <w:rPr>
          <w:rFonts w:eastAsia="Times New Roman" w:cs="Arial"/>
          <w:kern w:val="0"/>
          <w:szCs w:val="22"/>
          <w:shd w:val="clear" w:color="auto" w:fill="FFFFFF"/>
          <w:lang w:eastAsia="en-GB"/>
          <w14:ligatures w14:val="none"/>
        </w:rPr>
      </w:pPr>
    </w:p>
    <w:p w14:paraId="4B96F30E" w14:textId="77777777" w:rsidR="003F0408" w:rsidRPr="003F0408" w:rsidRDefault="003F0408" w:rsidP="00FF3A53">
      <w:pPr>
        <w:rPr>
          <w:rFonts w:eastAsia="Times New Roman" w:cs="Arial"/>
          <w:kern w:val="0"/>
          <w:szCs w:val="22"/>
          <w:shd w:val="clear" w:color="auto" w:fill="FFFFFF"/>
          <w:lang w:eastAsia="en-GB"/>
          <w14:ligatures w14:val="none"/>
        </w:rPr>
      </w:pPr>
      <w:r w:rsidRPr="003F0408">
        <w:rPr>
          <w:rFonts w:eastAsia="Times New Roman" w:cs="Arial"/>
          <w:kern w:val="0"/>
          <w:szCs w:val="22"/>
          <w:shd w:val="clear" w:color="auto" w:fill="FFFFFF"/>
          <w:lang w:eastAsia="en-GB"/>
          <w14:ligatures w14:val="none"/>
        </w:rPr>
        <w:t xml:space="preserve">All three elements must be provided. </w:t>
      </w:r>
    </w:p>
    <w:p w14:paraId="78F75007" w14:textId="77777777" w:rsidR="003F0408" w:rsidRPr="003F0408" w:rsidRDefault="003F0408" w:rsidP="00FF3A53">
      <w:pPr>
        <w:rPr>
          <w:rFonts w:eastAsia="Times New Roman" w:cs="Arial"/>
          <w:kern w:val="0"/>
          <w:szCs w:val="22"/>
          <w:shd w:val="clear" w:color="auto" w:fill="FFFFFF"/>
          <w:lang w:eastAsia="en-GB"/>
          <w14:ligatures w14:val="none"/>
        </w:rPr>
      </w:pPr>
    </w:p>
    <w:p w14:paraId="1AB61C26" w14:textId="62D256C0" w:rsidR="00FC387E" w:rsidRDefault="003F0408" w:rsidP="00443EEB">
      <w:pPr>
        <w:rPr>
          <w:rFonts w:eastAsia="Times New Roman" w:cs="Arial"/>
          <w:kern w:val="0"/>
          <w:szCs w:val="22"/>
          <w:shd w:val="clear" w:color="auto" w:fill="FFFFFF"/>
          <w:lang w:eastAsia="en-GB"/>
          <w14:ligatures w14:val="none"/>
        </w:rPr>
      </w:pPr>
      <w:r w:rsidRPr="003F0408">
        <w:rPr>
          <w:rFonts w:eastAsia="Times New Roman" w:cs="Arial"/>
          <w:kern w:val="0"/>
          <w:szCs w:val="22"/>
          <w:shd w:val="clear" w:color="auto" w:fill="FFFFFF"/>
          <w:lang w:eastAsia="en-GB"/>
          <w14:ligatures w14:val="none"/>
        </w:rPr>
        <w:t xml:space="preserve">All the pharmacies have signed up to provide the clinical community pharmacy service. </w:t>
      </w:r>
    </w:p>
    <w:p w14:paraId="31743C0C" w14:textId="77777777" w:rsidR="00443EEB" w:rsidRPr="00D0306F" w:rsidRDefault="00443EEB" w:rsidP="00443EEB">
      <w:pPr>
        <w:rPr>
          <w:rFonts w:eastAsia="Times New Roman" w:cs="Arial"/>
          <w:b/>
          <w:kern w:val="0"/>
          <w:szCs w:val="22"/>
          <w:lang w:eastAsia="en-GB"/>
          <w14:ligatures w14:val="none"/>
        </w:rPr>
      </w:pPr>
    </w:p>
    <w:p w14:paraId="7F8CD0EA" w14:textId="7C37A36E" w:rsidR="003F0408" w:rsidRPr="003F0408" w:rsidRDefault="003F0408" w:rsidP="00FC387E">
      <w:pPr>
        <w:keepLines/>
        <w:rPr>
          <w:rFonts w:eastAsia="Times New Roman" w:cs="Arial"/>
          <w:b/>
          <w:kern w:val="0"/>
          <w:szCs w:val="22"/>
          <w:lang w:eastAsia="en-GB"/>
          <w14:ligatures w14:val="none"/>
        </w:rPr>
      </w:pPr>
      <w:r w:rsidRPr="003F0408">
        <w:rPr>
          <w:rFonts w:eastAsia="Times New Roman" w:cs="Arial"/>
          <w:b/>
          <w:kern w:val="0"/>
          <w:szCs w:val="22"/>
          <w:lang w:eastAsia="en-GB"/>
          <w14:ligatures w14:val="none"/>
        </w:rPr>
        <w:t xml:space="preserve">5.1.4.2.1 Access to the common ailment service </w:t>
      </w:r>
    </w:p>
    <w:p w14:paraId="58378BEE" w14:textId="77777777" w:rsidR="003F0408" w:rsidRPr="003F0408" w:rsidRDefault="003F0408" w:rsidP="00FC387E">
      <w:pPr>
        <w:keepLines/>
        <w:rPr>
          <w:rFonts w:eastAsia="Times New Roman" w:cs="Arial"/>
          <w:b/>
          <w:kern w:val="0"/>
          <w:szCs w:val="22"/>
          <w:lang w:eastAsia="en-GB"/>
          <w14:ligatures w14:val="none"/>
        </w:rPr>
      </w:pPr>
    </w:p>
    <w:p w14:paraId="66000B17" w14:textId="77777777" w:rsidR="003F0408" w:rsidRPr="003F0408" w:rsidRDefault="003F0408" w:rsidP="00FC387E">
      <w:pPr>
        <w:keepLines/>
        <w:rPr>
          <w:rFonts w:eastAsia="Aptos" w:cs="Arial"/>
          <w:szCs w:val="22"/>
        </w:rPr>
      </w:pPr>
      <w:r w:rsidRPr="003F0408">
        <w:rPr>
          <w:rFonts w:eastAsia="Times New Roman" w:cs="Arial"/>
          <w:kern w:val="0"/>
          <w:szCs w:val="22"/>
          <w:lang w:eastAsia="en-GB"/>
          <w14:ligatures w14:val="none"/>
        </w:rPr>
        <w:t>All pharmacies provided the common ailments service in 2024/25 providing a total of 60,746 consultations. In the first six months of 2025/26, they provided a total of 35,564 consultations.</w:t>
      </w:r>
      <w:r w:rsidRPr="003F0408">
        <w:rPr>
          <w:rFonts w:eastAsia="Aptos" w:cs="Arial"/>
          <w:szCs w:val="22"/>
        </w:rPr>
        <w:t xml:space="preserve"> </w:t>
      </w:r>
    </w:p>
    <w:p w14:paraId="2AB66532" w14:textId="77777777" w:rsidR="003F0408" w:rsidRDefault="003F0408" w:rsidP="00FC387E">
      <w:pPr>
        <w:keepLines/>
        <w:rPr>
          <w:rFonts w:eastAsia="Times New Roman" w:cs="Arial"/>
          <w:b/>
          <w:kern w:val="0"/>
          <w:szCs w:val="22"/>
          <w:lang w:eastAsia="en-GB"/>
          <w14:ligatures w14:val="none"/>
        </w:rPr>
      </w:pPr>
    </w:p>
    <w:p w14:paraId="37F138FC" w14:textId="77777777" w:rsidR="001D3F00" w:rsidRDefault="001D3F00" w:rsidP="00FC387E">
      <w:pPr>
        <w:keepLines/>
        <w:rPr>
          <w:rFonts w:eastAsia="Times New Roman" w:cs="Arial"/>
          <w:b/>
          <w:kern w:val="0"/>
          <w:szCs w:val="22"/>
          <w:lang w:eastAsia="en-GB"/>
          <w14:ligatures w14:val="none"/>
        </w:rPr>
      </w:pPr>
    </w:p>
    <w:p w14:paraId="4A78696A" w14:textId="77777777" w:rsidR="001D3F00" w:rsidRDefault="001D3F00" w:rsidP="00FC387E">
      <w:pPr>
        <w:keepLines/>
        <w:rPr>
          <w:rFonts w:eastAsia="Times New Roman" w:cs="Arial"/>
          <w:b/>
          <w:kern w:val="0"/>
          <w:szCs w:val="22"/>
          <w:lang w:eastAsia="en-GB"/>
          <w14:ligatures w14:val="none"/>
        </w:rPr>
      </w:pPr>
    </w:p>
    <w:p w14:paraId="6B657D51" w14:textId="77777777" w:rsidR="001D3F00" w:rsidRDefault="001D3F00" w:rsidP="00FC387E">
      <w:pPr>
        <w:keepLines/>
        <w:rPr>
          <w:rFonts w:eastAsia="Times New Roman" w:cs="Arial"/>
          <w:b/>
          <w:kern w:val="0"/>
          <w:szCs w:val="22"/>
          <w:lang w:eastAsia="en-GB"/>
          <w14:ligatures w14:val="none"/>
        </w:rPr>
      </w:pPr>
    </w:p>
    <w:p w14:paraId="2CBF444B" w14:textId="77777777" w:rsidR="001D3F00" w:rsidRDefault="001D3F00" w:rsidP="00FC387E">
      <w:pPr>
        <w:keepLines/>
        <w:rPr>
          <w:rFonts w:eastAsia="Times New Roman" w:cs="Arial"/>
          <w:b/>
          <w:kern w:val="0"/>
          <w:szCs w:val="22"/>
          <w:lang w:eastAsia="en-GB"/>
          <w14:ligatures w14:val="none"/>
        </w:rPr>
      </w:pPr>
    </w:p>
    <w:p w14:paraId="1A0537E2" w14:textId="77777777" w:rsidR="001D3F00" w:rsidRDefault="001D3F00" w:rsidP="00FC387E">
      <w:pPr>
        <w:keepLines/>
        <w:rPr>
          <w:rFonts w:eastAsia="Times New Roman" w:cs="Arial"/>
          <w:b/>
          <w:kern w:val="0"/>
          <w:szCs w:val="22"/>
          <w:lang w:eastAsia="en-GB"/>
          <w14:ligatures w14:val="none"/>
        </w:rPr>
      </w:pPr>
    </w:p>
    <w:p w14:paraId="355AFA88" w14:textId="77777777" w:rsidR="001D3F00" w:rsidRDefault="001D3F00" w:rsidP="00FC387E">
      <w:pPr>
        <w:keepLines/>
        <w:rPr>
          <w:rFonts w:eastAsia="Times New Roman" w:cs="Arial"/>
          <w:b/>
          <w:kern w:val="0"/>
          <w:szCs w:val="22"/>
          <w:lang w:eastAsia="en-GB"/>
          <w14:ligatures w14:val="none"/>
        </w:rPr>
      </w:pPr>
    </w:p>
    <w:p w14:paraId="7B46CBE8" w14:textId="77777777" w:rsidR="001D3F00" w:rsidRDefault="001D3F00" w:rsidP="00FC387E">
      <w:pPr>
        <w:keepLines/>
        <w:rPr>
          <w:rFonts w:eastAsia="Times New Roman" w:cs="Arial"/>
          <w:b/>
          <w:kern w:val="0"/>
          <w:szCs w:val="22"/>
          <w:lang w:eastAsia="en-GB"/>
          <w14:ligatures w14:val="none"/>
        </w:rPr>
      </w:pPr>
    </w:p>
    <w:p w14:paraId="15FA7E50" w14:textId="77777777" w:rsidR="001D3F00" w:rsidRDefault="001D3F00" w:rsidP="00FC387E">
      <w:pPr>
        <w:keepLines/>
        <w:rPr>
          <w:rFonts w:eastAsia="Times New Roman" w:cs="Arial"/>
          <w:b/>
          <w:kern w:val="0"/>
          <w:szCs w:val="22"/>
          <w:lang w:eastAsia="en-GB"/>
          <w14:ligatures w14:val="none"/>
        </w:rPr>
      </w:pPr>
    </w:p>
    <w:p w14:paraId="535ED61A" w14:textId="77777777" w:rsidR="001D3F00" w:rsidRDefault="001D3F00" w:rsidP="00FC387E">
      <w:pPr>
        <w:keepLines/>
        <w:rPr>
          <w:rFonts w:eastAsia="Times New Roman" w:cs="Arial"/>
          <w:b/>
          <w:kern w:val="0"/>
          <w:szCs w:val="22"/>
          <w:lang w:eastAsia="en-GB"/>
          <w14:ligatures w14:val="none"/>
        </w:rPr>
      </w:pPr>
    </w:p>
    <w:p w14:paraId="10098A8C" w14:textId="77777777" w:rsidR="001D3F00" w:rsidRDefault="001D3F00" w:rsidP="00FC387E">
      <w:pPr>
        <w:keepLines/>
        <w:rPr>
          <w:rFonts w:eastAsia="Times New Roman" w:cs="Arial"/>
          <w:b/>
          <w:kern w:val="0"/>
          <w:szCs w:val="22"/>
          <w:lang w:eastAsia="en-GB"/>
          <w14:ligatures w14:val="none"/>
        </w:rPr>
      </w:pPr>
    </w:p>
    <w:p w14:paraId="112426EA" w14:textId="77777777" w:rsidR="001D3F00" w:rsidRDefault="001D3F00" w:rsidP="00FC387E">
      <w:pPr>
        <w:keepLines/>
        <w:rPr>
          <w:rFonts w:eastAsia="Times New Roman" w:cs="Arial"/>
          <w:b/>
          <w:kern w:val="0"/>
          <w:szCs w:val="22"/>
          <w:lang w:eastAsia="en-GB"/>
          <w14:ligatures w14:val="none"/>
        </w:rPr>
      </w:pPr>
    </w:p>
    <w:p w14:paraId="12632C53" w14:textId="77777777" w:rsidR="001D3F00" w:rsidRDefault="001D3F00" w:rsidP="00FC387E">
      <w:pPr>
        <w:keepLines/>
        <w:rPr>
          <w:rFonts w:eastAsia="Times New Roman" w:cs="Arial"/>
          <w:b/>
          <w:kern w:val="0"/>
          <w:szCs w:val="22"/>
          <w:lang w:eastAsia="en-GB"/>
          <w14:ligatures w14:val="none"/>
        </w:rPr>
      </w:pPr>
    </w:p>
    <w:p w14:paraId="2BC09EEB" w14:textId="77777777" w:rsidR="001D3F00" w:rsidRDefault="001D3F00" w:rsidP="00FC387E">
      <w:pPr>
        <w:keepLines/>
        <w:rPr>
          <w:rFonts w:eastAsia="Times New Roman" w:cs="Arial"/>
          <w:b/>
          <w:kern w:val="0"/>
          <w:szCs w:val="22"/>
          <w:lang w:eastAsia="en-GB"/>
          <w14:ligatures w14:val="none"/>
        </w:rPr>
      </w:pPr>
    </w:p>
    <w:p w14:paraId="0C249020" w14:textId="77777777" w:rsidR="001D3F00" w:rsidRPr="003F0408" w:rsidRDefault="001D3F00" w:rsidP="00FC387E">
      <w:pPr>
        <w:keepLines/>
        <w:rPr>
          <w:rFonts w:eastAsia="Times New Roman" w:cs="Arial"/>
          <w:b/>
          <w:kern w:val="0"/>
          <w:szCs w:val="22"/>
          <w:lang w:eastAsia="en-GB"/>
          <w14:ligatures w14:val="none"/>
        </w:rPr>
      </w:pPr>
    </w:p>
    <w:p w14:paraId="325501F6"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lastRenderedPageBreak/>
        <w:t>Figure 5.1: Total number of common ailment consultations claimed between April 2024 and September 2025</w:t>
      </w:r>
    </w:p>
    <w:p w14:paraId="02390932" w14:textId="77777777" w:rsidR="003F0408" w:rsidRPr="003F0408" w:rsidRDefault="003F0408" w:rsidP="00FF3A53">
      <w:pPr>
        <w:rPr>
          <w:rFonts w:eastAsia="Times New Roman" w:cs="Arial"/>
          <w:b/>
          <w:kern w:val="0"/>
          <w:szCs w:val="22"/>
          <w:lang w:eastAsia="en-GB"/>
          <w14:ligatures w14:val="none"/>
        </w:rPr>
      </w:pPr>
    </w:p>
    <w:p w14:paraId="612279EF"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noProof/>
          <w:kern w:val="0"/>
          <w:szCs w:val="22"/>
          <w:lang w:eastAsia="en-GB"/>
          <w14:ligatures w14:val="none"/>
        </w:rPr>
        <w:drawing>
          <wp:inline distT="0" distB="0" distL="0" distR="0" wp14:anchorId="3294A262" wp14:editId="0F757E38">
            <wp:extent cx="5742940" cy="3000375"/>
            <wp:effectExtent l="0" t="0" r="0" b="9525"/>
            <wp:docPr id="2010289320" name="Picture 1" descr="Grouped bar chart showing the number of consultations by month for 2024/25 and 2025/26. The 2024/25 series (blue) covers April to March and remains relatively stable between about 4,500 and 5,500 consultations before rising to around 6,300 in March. The 2025/26 series (pink) is shown for April to September and is consistently higher than the same months in 2024/25, ranging from approximately 5,500 to 6,700 consultations. The highest value shown is in July 2025/26 at about 6,700 consultations, compared with around 5,000 in July 2024/25. The chart indicates increased consultation activity in 2025/26 compared with the previous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0289320" name="Picture 1" descr="Grouped bar chart showing the number of consultations by month for 2024/25 and 2025/26. The 2024/25 series (blue) covers April to March and remains relatively stable between about 4,500 and 5,500 consultations before rising to around 6,300 in March. The 2025/26 series (pink) is shown for April to September and is consistently higher than the same months in 2024/25, ranging from approximately 5,500 to 6,700 consultations. The highest value shown is in July 2025/26 at about 6,700 consultations, compared with around 5,000 in July 2024/25. The chart indicates increased consultation activity in 2025/26 compared with the previous yea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42940" cy="3000375"/>
                    </a:xfrm>
                    <a:prstGeom prst="rect">
                      <a:avLst/>
                    </a:prstGeom>
                    <a:noFill/>
                  </pic:spPr>
                </pic:pic>
              </a:graphicData>
            </a:graphic>
          </wp:inline>
        </w:drawing>
      </w:r>
    </w:p>
    <w:p w14:paraId="02ACBD91" w14:textId="77777777" w:rsidR="003F0408" w:rsidRPr="003F0408" w:rsidRDefault="003F0408" w:rsidP="00FF3A53">
      <w:pPr>
        <w:rPr>
          <w:rFonts w:eastAsia="Times New Roman" w:cs="Arial"/>
          <w:b/>
          <w:kern w:val="0"/>
          <w:szCs w:val="22"/>
          <w:lang w:eastAsia="en-GB"/>
          <w14:ligatures w14:val="none"/>
        </w:rPr>
      </w:pPr>
    </w:p>
    <w:p w14:paraId="0ABFB7DB" w14:textId="07480EC0" w:rsidR="00FC387E" w:rsidRPr="00D0306F" w:rsidRDefault="003F0408" w:rsidP="00FF3A53">
      <w:pPr>
        <w:rPr>
          <w:rFonts w:eastAsia="Times New Roman" w:cs="Arial"/>
          <w:b/>
          <w:kern w:val="0"/>
          <w:szCs w:val="22"/>
          <w:lang w:eastAsia="en-GB"/>
          <w14:ligatures w14:val="none"/>
        </w:rPr>
      </w:pPr>
      <w:r w:rsidRPr="003F0408">
        <w:rPr>
          <w:rFonts w:eastAsia="Times New Roman" w:cs="Arial"/>
          <w:bCs/>
          <w:kern w:val="0"/>
          <w:szCs w:val="22"/>
          <w:lang w:eastAsia="en-GB"/>
          <w14:ligatures w14:val="none"/>
        </w:rPr>
        <w:t>76 pharmacies provided a total of 8,093 sore throat, test and treat consultations in 2024/25, and in the first six months of 2025/26, 85 pharmacies provided a total of 3,521 sore throat, test and treat consultations.</w:t>
      </w:r>
      <w:r w:rsidRPr="003F0408">
        <w:rPr>
          <w:rFonts w:eastAsia="Aptos" w:cs="Arial"/>
          <w:szCs w:val="22"/>
        </w:rPr>
        <w:t xml:space="preserve"> </w:t>
      </w:r>
    </w:p>
    <w:p w14:paraId="3F7E7060" w14:textId="77777777" w:rsidR="00FC387E" w:rsidRPr="003F0408" w:rsidRDefault="00FC387E" w:rsidP="00FF3A53">
      <w:pPr>
        <w:rPr>
          <w:rFonts w:eastAsia="Times New Roman" w:cs="Arial"/>
          <w:b/>
          <w:kern w:val="0"/>
          <w:szCs w:val="22"/>
          <w:lang w:eastAsia="en-GB"/>
          <w14:ligatures w14:val="none"/>
        </w:rPr>
      </w:pPr>
    </w:p>
    <w:p w14:paraId="33C93E43"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 xml:space="preserve">Figure 5.2: Total number of sore throat, test and treat consultations claimed between April 2024 and September 2025 </w:t>
      </w:r>
    </w:p>
    <w:p w14:paraId="4A666143" w14:textId="77777777" w:rsidR="003F0408" w:rsidRPr="003F0408" w:rsidRDefault="003F0408" w:rsidP="00FF3A53">
      <w:pPr>
        <w:rPr>
          <w:rFonts w:eastAsia="Times New Roman" w:cs="Arial"/>
          <w:b/>
          <w:kern w:val="0"/>
          <w:szCs w:val="22"/>
          <w:lang w:eastAsia="en-GB"/>
          <w14:ligatures w14:val="none"/>
        </w:rPr>
      </w:pPr>
    </w:p>
    <w:p w14:paraId="54AE27C6"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noProof/>
          <w:kern w:val="0"/>
          <w:szCs w:val="22"/>
          <w:lang w:eastAsia="en-GB"/>
          <w14:ligatures w14:val="none"/>
        </w:rPr>
        <w:drawing>
          <wp:inline distT="0" distB="0" distL="0" distR="0" wp14:anchorId="57F8D7CB" wp14:editId="43031A33">
            <wp:extent cx="5614670" cy="3066415"/>
            <wp:effectExtent l="0" t="0" r="5080" b="635"/>
            <wp:docPr id="614524824" name="Picture 2" descr="Grouped bar chart showing the number of consultations by month for 2024/25 and 2025/26. The 2024/25 series (blue) is displayed for the full year and rises from around 650 consultations in April to a peak of approximately 900 in March. Consultation numbers increase notably from October onwards, reaching about 840 in December and remaining high through March. The 2025/26 series (pink) is shown for April to September and fluctuates between about 430 and 740 consultations. Compared with the same months in 2024/25, consultations are higher in April and September, similar in June, and lower in May, July, and August. The highest value shown for 2025/26 is around 740 consultations in April. The chart indicates stronger consultation activity during the latter half of 2024/25 and moderate variation in the first six months of 202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524824" name="Picture 2" descr="Grouped bar chart showing the number of consultations by month for 2024/25 and 2025/26. The 2024/25 series (blue) is displayed for the full year and rises from around 650 consultations in April to a peak of approximately 900 in March. Consultation numbers increase notably from October onwards, reaching about 840 in December and remaining high through March. The 2025/26 series (pink) is shown for April to September and fluctuates between about 430 and 740 consultations. Compared with the same months in 2024/25, consultations are higher in April and September, similar in June, and lower in May, July, and August. The highest value shown for 2025/26 is around 740 consultations in April. The chart indicates stronger consultation activity during the latter half of 2024/25 and moderate variation in the first six months of 2025/2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614670" cy="3066415"/>
                    </a:xfrm>
                    <a:prstGeom prst="rect">
                      <a:avLst/>
                    </a:prstGeom>
                    <a:noFill/>
                  </pic:spPr>
                </pic:pic>
              </a:graphicData>
            </a:graphic>
          </wp:inline>
        </w:drawing>
      </w:r>
    </w:p>
    <w:p w14:paraId="3838A801" w14:textId="77777777" w:rsidR="003F0408" w:rsidRDefault="003F0408" w:rsidP="00FF3A53">
      <w:pPr>
        <w:rPr>
          <w:rFonts w:eastAsia="Times New Roman" w:cs="Arial"/>
          <w:bCs/>
          <w:kern w:val="0"/>
          <w:szCs w:val="22"/>
          <w:lang w:eastAsia="en-GB"/>
          <w14:ligatures w14:val="none"/>
        </w:rPr>
      </w:pPr>
    </w:p>
    <w:p w14:paraId="7091F65E"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 xml:space="preserve">5.1.4.2.2 Access to the emergency contraception service </w:t>
      </w:r>
    </w:p>
    <w:p w14:paraId="5D01FF41" w14:textId="77777777" w:rsidR="001D3F00" w:rsidRDefault="001D3F00" w:rsidP="00FF3A53">
      <w:pPr>
        <w:rPr>
          <w:rFonts w:eastAsia="Times New Roman" w:cs="Arial"/>
          <w:kern w:val="0"/>
          <w:szCs w:val="22"/>
          <w:lang w:eastAsia="en-GB"/>
          <w14:ligatures w14:val="none"/>
        </w:rPr>
      </w:pPr>
    </w:p>
    <w:p w14:paraId="0E887AB2" w14:textId="77777777" w:rsidR="001D3F00"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 xml:space="preserve">88 pharmacies provided a total of 5,164 consultations in 2024/25, and in the first six </w:t>
      </w:r>
    </w:p>
    <w:p w14:paraId="25E0EFBA" w14:textId="30AA40E6"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lastRenderedPageBreak/>
        <w:t xml:space="preserve">month of 2025/26, 89 pharmacies provided a total of 2,430 consultations. </w:t>
      </w:r>
    </w:p>
    <w:p w14:paraId="4159745C" w14:textId="77777777" w:rsidR="003F0408" w:rsidRPr="003F0408" w:rsidRDefault="003F0408" w:rsidP="00FF3A53">
      <w:pPr>
        <w:rPr>
          <w:rFonts w:eastAsia="Times New Roman" w:cs="Arial"/>
          <w:kern w:val="0"/>
          <w:szCs w:val="22"/>
          <w:lang w:eastAsia="en-GB"/>
          <w14:ligatures w14:val="none"/>
        </w:rPr>
      </w:pPr>
    </w:p>
    <w:p w14:paraId="1FD1B355"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Figure 5.3: Total number of emergency contraception consultations claimed between April 2024 and September 2025</w:t>
      </w:r>
    </w:p>
    <w:p w14:paraId="4AD98969" w14:textId="77777777" w:rsidR="003F0408" w:rsidRPr="003F0408" w:rsidRDefault="003F0408" w:rsidP="00FF3A53">
      <w:pPr>
        <w:rPr>
          <w:rFonts w:eastAsia="Times New Roman" w:cs="Arial"/>
          <w:b/>
          <w:kern w:val="0"/>
          <w:szCs w:val="22"/>
          <w:lang w:eastAsia="en-GB"/>
          <w14:ligatures w14:val="none"/>
        </w:rPr>
      </w:pPr>
    </w:p>
    <w:p w14:paraId="16797091"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noProof/>
          <w:kern w:val="0"/>
          <w:szCs w:val="22"/>
          <w:lang w:eastAsia="en-GB"/>
          <w14:ligatures w14:val="none"/>
        </w:rPr>
        <w:drawing>
          <wp:inline distT="0" distB="0" distL="0" distR="0" wp14:anchorId="1BD2C286" wp14:editId="08AFF2FD">
            <wp:extent cx="5596890" cy="2886075"/>
            <wp:effectExtent l="0" t="0" r="3810" b="9525"/>
            <wp:docPr id="1174698474" name="Picture 3" descr="Grouped bar chart showing the number of consultations by month for 2024/25 and 2025/26. The 2024/25 series (blue) remains relatively stable throughout the year, ranging from around 405 to 460 consultations per month, with the highest value in April (about 460) and the lowest in August and February (about 405). The 2025/26 series (pink) is shown for April to September only and ranges from approximately 380 to 445 consultations. Compared with the same months in 2024/25, consultations are slightly higher in May but lower in all other months. Overall, consultation numbers are consistent across both years, fluctuating within a narrow range of around 380–460 consultations per mon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4698474" name="Picture 3" descr="Grouped bar chart showing the number of consultations by month for 2024/25 and 2025/26. The 2024/25 series (blue) remains relatively stable throughout the year, ranging from around 405 to 460 consultations per month, with the highest value in April (about 460) and the lowest in August and February (about 405). The 2025/26 series (pink) is shown for April to September only and ranges from approximately 380 to 445 consultations. Compared with the same months in 2024/25, consultations are slightly higher in May but lower in all other months. Overall, consultation numbers are consistent across both years, fluctuating within a narrow range of around 380–460 consultations per month."/>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596890" cy="2886075"/>
                    </a:xfrm>
                    <a:prstGeom prst="rect">
                      <a:avLst/>
                    </a:prstGeom>
                    <a:noFill/>
                  </pic:spPr>
                </pic:pic>
              </a:graphicData>
            </a:graphic>
          </wp:inline>
        </w:drawing>
      </w:r>
    </w:p>
    <w:p w14:paraId="2CF85F02" w14:textId="77777777" w:rsidR="00FC387E" w:rsidRPr="003F0408" w:rsidRDefault="00FC387E" w:rsidP="00FF3A53">
      <w:pPr>
        <w:rPr>
          <w:rFonts w:eastAsia="Times New Roman" w:cs="Arial"/>
          <w:b/>
          <w:kern w:val="0"/>
          <w:szCs w:val="22"/>
          <w:lang w:eastAsia="en-GB"/>
          <w14:ligatures w14:val="none"/>
        </w:rPr>
      </w:pPr>
    </w:p>
    <w:p w14:paraId="7084293E"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 xml:space="preserve">5.1.4.2.3 Access to the emergency medicines supply service </w:t>
      </w:r>
    </w:p>
    <w:p w14:paraId="192F1CEC" w14:textId="77777777" w:rsidR="003F0408" w:rsidRPr="003F0408" w:rsidRDefault="003F0408" w:rsidP="00FF3A53">
      <w:pPr>
        <w:rPr>
          <w:rFonts w:eastAsia="Times New Roman" w:cs="Arial"/>
          <w:kern w:val="0"/>
          <w:szCs w:val="22"/>
          <w:lang w:eastAsia="en-GB"/>
          <w14:ligatures w14:val="none"/>
        </w:rPr>
      </w:pPr>
    </w:p>
    <w:p w14:paraId="3F7544B4"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 xml:space="preserve">All 90 pharmacies provided the emergency medicines supply service, providing a total of 12,232 consultations in 2024/25 and in the first six months of 2025/26 provided a total of 4,999 consultations. </w:t>
      </w:r>
    </w:p>
    <w:p w14:paraId="10D9855C" w14:textId="77777777" w:rsidR="003F0408" w:rsidRPr="003F0408" w:rsidRDefault="003F0408" w:rsidP="00FF3A53">
      <w:pPr>
        <w:rPr>
          <w:rFonts w:eastAsia="Times New Roman" w:cs="Arial"/>
          <w:kern w:val="0"/>
          <w:szCs w:val="22"/>
          <w:lang w:eastAsia="en-GB"/>
          <w14:ligatures w14:val="none"/>
        </w:rPr>
      </w:pPr>
    </w:p>
    <w:p w14:paraId="03DDD758"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Figure 5.4: Total number of emergency medicine supply consultations claimed between April 2024 and July 2025</w:t>
      </w:r>
    </w:p>
    <w:p w14:paraId="709AF1EE" w14:textId="77777777" w:rsidR="003F0408" w:rsidRPr="003F0408" w:rsidRDefault="003F0408" w:rsidP="00FF3A53">
      <w:pPr>
        <w:rPr>
          <w:rFonts w:eastAsia="Times New Roman" w:cs="Arial"/>
          <w:kern w:val="0"/>
          <w:szCs w:val="22"/>
          <w:lang w:eastAsia="en-GB"/>
          <w14:ligatures w14:val="none"/>
        </w:rPr>
      </w:pPr>
    </w:p>
    <w:p w14:paraId="034022B0"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noProof/>
          <w:kern w:val="0"/>
          <w:szCs w:val="22"/>
          <w:lang w:eastAsia="en-GB"/>
          <w14:ligatures w14:val="none"/>
        </w:rPr>
        <w:drawing>
          <wp:inline distT="0" distB="0" distL="0" distR="0" wp14:anchorId="05AA3B53" wp14:editId="1B9F2D4C">
            <wp:extent cx="5231130" cy="3091180"/>
            <wp:effectExtent l="0" t="0" r="7620" b="0"/>
            <wp:docPr id="82022736" name="Picture 4" descr="Grouped bar chart showing the number of supply claims by month for 2024/25 and 2025/26. The 2024/25 series (blue) ranges from approximately 900 to 1,200 claims per month, with the lowest value in January (about 910) and the highest in March (about 1,200). Most months are close to 1,000 claims. The 2025/26 series (pink) is shown for April to July only and is consistently higher than the corresponding months in 2024/25, ranging from about 1,150 to 1,350 claims. April 2025/26 records the highest value shown on the chart at around 1,350 claims. Overall, supply claims in the first four months of 2025/26 exceed those recorded in the same period of 202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022736" name="Picture 4" descr="Grouped bar chart showing the number of supply claims by month for 2024/25 and 2025/26. The 2024/25 series (blue) ranges from approximately 900 to 1,200 claims per month, with the lowest value in January (about 910) and the highest in March (about 1,200). Most months are close to 1,000 claims. The 2025/26 series (pink) is shown for April to July only and is consistently higher than the corresponding months in 2024/25, ranging from about 1,150 to 1,350 claims. April 2025/26 records the highest value shown on the chart at around 1,350 claims. Overall, supply claims in the first four months of 2025/26 exceed those recorded in the same period of 2024/2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231130" cy="3091180"/>
                    </a:xfrm>
                    <a:prstGeom prst="rect">
                      <a:avLst/>
                    </a:prstGeom>
                    <a:noFill/>
                  </pic:spPr>
                </pic:pic>
              </a:graphicData>
            </a:graphic>
          </wp:inline>
        </w:drawing>
      </w:r>
    </w:p>
    <w:p w14:paraId="4E7F6AB7" w14:textId="77777777" w:rsidR="003F0408" w:rsidRPr="003F0408" w:rsidRDefault="003F0408" w:rsidP="00FF3A53">
      <w:pPr>
        <w:rPr>
          <w:rFonts w:eastAsia="Times New Roman" w:cs="Arial"/>
          <w:kern w:val="0"/>
          <w:szCs w:val="22"/>
          <w:lang w:eastAsia="en-GB"/>
          <w14:ligatures w14:val="none"/>
        </w:rPr>
      </w:pPr>
    </w:p>
    <w:p w14:paraId="092DD1D7"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lastRenderedPageBreak/>
        <w:t>5.1.4.3 Access to the discharge medicines review service</w:t>
      </w:r>
    </w:p>
    <w:p w14:paraId="3DD7EA0A" w14:textId="77777777" w:rsidR="003F0408" w:rsidRPr="003F0408" w:rsidRDefault="003F0408" w:rsidP="00FF3A53">
      <w:pPr>
        <w:rPr>
          <w:rFonts w:eastAsia="Times New Roman" w:cs="Arial"/>
          <w:kern w:val="0"/>
          <w:szCs w:val="22"/>
          <w:lang w:eastAsia="en-GB"/>
          <w14:ligatures w14:val="none"/>
        </w:rPr>
      </w:pPr>
    </w:p>
    <w:p w14:paraId="1F3A5FAC"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89 of the pharmacies have signed up to provide this service providing a total of 2,419 full-service interventions in 2024/25. In the first ten months of 2025/26, 79 pharmacies provided a total of 2,202 full-service interventions.</w:t>
      </w:r>
    </w:p>
    <w:p w14:paraId="4296E3C5" w14:textId="77777777" w:rsidR="00FC387E" w:rsidRDefault="00FC387E" w:rsidP="00FF3A53">
      <w:pPr>
        <w:rPr>
          <w:rFonts w:eastAsia="Times New Roman" w:cs="Arial"/>
          <w:kern w:val="0"/>
          <w:szCs w:val="22"/>
          <w:lang w:eastAsia="en-GB"/>
          <w14:ligatures w14:val="none"/>
        </w:rPr>
      </w:pPr>
    </w:p>
    <w:p w14:paraId="2BDCDDC2"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Figure 5.5: Total number of discharge medicines reviews claimed between April 2024 and January 2026</w:t>
      </w:r>
    </w:p>
    <w:p w14:paraId="53341851" w14:textId="77777777" w:rsidR="003F0408" w:rsidRPr="003F0408" w:rsidRDefault="003F0408" w:rsidP="00FF3A53">
      <w:pPr>
        <w:rPr>
          <w:rFonts w:eastAsia="Times New Roman" w:cs="Arial"/>
          <w:b/>
          <w:kern w:val="0"/>
          <w:szCs w:val="22"/>
          <w:lang w:eastAsia="en-GB"/>
          <w14:ligatures w14:val="none"/>
        </w:rPr>
      </w:pPr>
    </w:p>
    <w:p w14:paraId="1095C826"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noProof/>
          <w:kern w:val="0"/>
          <w:szCs w:val="22"/>
          <w:lang w:eastAsia="en-GB"/>
          <w14:ligatures w14:val="none"/>
        </w:rPr>
        <w:drawing>
          <wp:inline distT="0" distB="0" distL="0" distR="0" wp14:anchorId="56509DE6" wp14:editId="60C21A7B">
            <wp:extent cx="5925820" cy="2646045"/>
            <wp:effectExtent l="0" t="0" r="0" b="1905"/>
            <wp:docPr id="1510093297" name="Picture 5" descr="Grouped bar chart showing the number of discharge medicines reviews claims by month for 2024/25 and 2025/26. The 2024/25 series (blue) ranges from around 170 to 270 claims per month, peaking in January at approximately 268 claims. The 2025/26 series (pink) is shown from April to January and is generally higher than the corresponding months in 2024/25, particularly in July, August, and September. The highest value on the chart is in September 2025/26 at about 272 claims, followed by January 2025/26 at about 270 claims. May 2025/26 is the only month substantially lower than the previous year. Overall, discharge medicines reviews claims increased in most months of 2025/26 compared with the same period in 202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0093297" name="Picture 5" descr="Grouped bar chart showing the number of discharge medicines reviews claims by month for 2024/25 and 2025/26. The 2024/25 series (blue) ranges from around 170 to 270 claims per month, peaking in January at approximately 268 claims. The 2025/26 series (pink) is shown from April to January and is generally higher than the corresponding months in 2024/25, particularly in July, August, and September. The highest value on the chart is in September 2025/26 at about 272 claims, followed by January 2025/26 at about 270 claims. May 2025/26 is the only month substantially lower than the previous year. Overall, discharge medicines reviews claims increased in most months of 2025/26 compared with the same period in 2024/2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25820" cy="2646045"/>
                    </a:xfrm>
                    <a:prstGeom prst="rect">
                      <a:avLst/>
                    </a:prstGeom>
                    <a:noFill/>
                  </pic:spPr>
                </pic:pic>
              </a:graphicData>
            </a:graphic>
          </wp:inline>
        </w:drawing>
      </w:r>
    </w:p>
    <w:p w14:paraId="5D2C22C9" w14:textId="77777777" w:rsidR="003F0408" w:rsidRPr="003F0408" w:rsidRDefault="003F0408" w:rsidP="00FF3A53">
      <w:pPr>
        <w:rPr>
          <w:rFonts w:eastAsia="Times New Roman" w:cs="Arial"/>
          <w:b/>
          <w:kern w:val="0"/>
          <w:szCs w:val="22"/>
          <w:lang w:eastAsia="en-GB"/>
          <w14:ligatures w14:val="none"/>
        </w:rPr>
      </w:pPr>
    </w:p>
    <w:p w14:paraId="013F4FB7"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5.1.4.4 Access to the influenza vaccination service</w:t>
      </w:r>
    </w:p>
    <w:p w14:paraId="74E1D906" w14:textId="77777777" w:rsidR="003F0408" w:rsidRPr="003F0408" w:rsidRDefault="003F0408" w:rsidP="00FF3A53">
      <w:pPr>
        <w:rPr>
          <w:rFonts w:eastAsia="Times New Roman" w:cs="Arial"/>
          <w:kern w:val="0"/>
          <w:szCs w:val="22"/>
          <w:lang w:eastAsia="en-GB"/>
          <w14:ligatures w14:val="none"/>
        </w:rPr>
      </w:pPr>
    </w:p>
    <w:p w14:paraId="174FA834"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85 of the pharmacies have signed up to provide this service. 84 pharmacies provided the service in 2024/25 providing a total of 17,339 vaccinations. In the first two months of the 2025/26 season, 80 pharmacies provided a total of 5,796 vaccinations.</w:t>
      </w:r>
    </w:p>
    <w:p w14:paraId="65F49CFE" w14:textId="77777777" w:rsidR="003F0408" w:rsidRPr="003F0408" w:rsidRDefault="003F0408" w:rsidP="00FF3A53">
      <w:pPr>
        <w:rPr>
          <w:rFonts w:eastAsia="Times New Roman" w:cs="Arial"/>
          <w:kern w:val="0"/>
          <w:szCs w:val="22"/>
          <w:lang w:eastAsia="en-GB"/>
          <w14:ligatures w14:val="none"/>
        </w:rPr>
      </w:pPr>
    </w:p>
    <w:p w14:paraId="7437AEC3"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Figure 5.6: Total number of influenza vaccinations claimed between September 2024 and October 2025</w:t>
      </w:r>
    </w:p>
    <w:p w14:paraId="17385DA9" w14:textId="77777777" w:rsidR="003F0408" w:rsidRPr="003F0408" w:rsidRDefault="003F0408" w:rsidP="00FF3A53">
      <w:pPr>
        <w:rPr>
          <w:rFonts w:eastAsia="Times New Roman" w:cs="Arial"/>
          <w:b/>
          <w:kern w:val="0"/>
          <w:szCs w:val="22"/>
          <w:lang w:eastAsia="en-GB"/>
          <w14:ligatures w14:val="none"/>
        </w:rPr>
      </w:pPr>
    </w:p>
    <w:p w14:paraId="686DE8BF"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noProof/>
          <w:kern w:val="0"/>
          <w:szCs w:val="22"/>
          <w:lang w:eastAsia="en-GB"/>
          <w14:ligatures w14:val="none"/>
        </w:rPr>
        <w:drawing>
          <wp:inline distT="0" distB="0" distL="0" distR="0" wp14:anchorId="6CAC3031" wp14:editId="3BD12E3B">
            <wp:extent cx="5706110" cy="2646045"/>
            <wp:effectExtent l="0" t="0" r="8890" b="1905"/>
            <wp:docPr id="299381367" name="Picture 6" descr="Grouped bar chart showing the number of influenza vaccinations administered during the 2024/25 and 2025/26 seasons. For the 2024/25 season (blue), vaccinations peaked in October at approximately 12,600, following around 2,700 in November, 1,400 in December, and fewer than 500 in January. For the 2025/26 season (pink), around 2,200 vaccinations were delivered in September and approximately 3,500 in October. October is the busiest month in both seasons, although the 2024/25 October total is substantially higher than the 2025/26 total to 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381367" name="Picture 6" descr="Grouped bar chart showing the number of influenza vaccinations administered during the 2024/25 and 2025/26 seasons. For the 2024/25 season (blue), vaccinations peaked in October at approximately 12,600, following around 2,700 in November, 1,400 in December, and fewer than 500 in January. For the 2025/26 season (pink), around 2,200 vaccinations were delivered in September and approximately 3,500 in October. October is the busiest month in both seasons, although the 2024/25 October total is substantially higher than the 2025/26 total to date."/>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06110" cy="2646045"/>
                    </a:xfrm>
                    <a:prstGeom prst="rect">
                      <a:avLst/>
                    </a:prstGeom>
                    <a:noFill/>
                  </pic:spPr>
                </pic:pic>
              </a:graphicData>
            </a:graphic>
          </wp:inline>
        </w:drawing>
      </w:r>
    </w:p>
    <w:p w14:paraId="5B86C4BF" w14:textId="77777777" w:rsidR="003F0408" w:rsidRPr="003F0408" w:rsidRDefault="003F0408" w:rsidP="00FF3A53">
      <w:pPr>
        <w:rPr>
          <w:rFonts w:eastAsia="Times New Roman" w:cs="Arial"/>
          <w:b/>
          <w:kern w:val="0"/>
          <w:szCs w:val="22"/>
          <w:lang w:eastAsia="en-GB"/>
          <w14:ligatures w14:val="none"/>
        </w:rPr>
      </w:pPr>
    </w:p>
    <w:p w14:paraId="5C36B9AA" w14:textId="77777777" w:rsidR="003F0408" w:rsidRPr="003F0408" w:rsidRDefault="003F0408" w:rsidP="00FF3A53">
      <w:pPr>
        <w:rPr>
          <w:rFonts w:eastAsia="Aptos" w:cs="Arial"/>
          <w:b/>
          <w:bCs/>
          <w:szCs w:val="22"/>
        </w:rPr>
      </w:pPr>
      <w:r w:rsidRPr="003F0408">
        <w:rPr>
          <w:rFonts w:eastAsia="Aptos" w:cs="Arial"/>
          <w:b/>
          <w:bCs/>
          <w:szCs w:val="22"/>
        </w:rPr>
        <w:t>5.1.4.5 Access to lateral flow test supply service</w:t>
      </w:r>
    </w:p>
    <w:p w14:paraId="3A7D8646" w14:textId="77777777" w:rsidR="003F0408" w:rsidRPr="003F0408" w:rsidRDefault="003F0408" w:rsidP="00FF3A53">
      <w:pPr>
        <w:rPr>
          <w:rFonts w:eastAsia="Aptos" w:cs="Arial"/>
          <w:szCs w:val="22"/>
        </w:rPr>
      </w:pPr>
    </w:p>
    <w:p w14:paraId="7C950B42"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The figure below shows the total number of test kits supplied and claimed (432) under the lateral flow test supply service by pharmacies in the health board’s area between April 2024 and October 2025. 40 pharmacies provided the service in 2024/25 and 24 provided it in the first seven months of 2025/26.</w:t>
      </w:r>
    </w:p>
    <w:p w14:paraId="7CDDEF64" w14:textId="77777777" w:rsidR="003F0408" w:rsidRPr="003F0408" w:rsidRDefault="003F0408" w:rsidP="00FF3A53">
      <w:pPr>
        <w:rPr>
          <w:rFonts w:eastAsia="Times New Roman" w:cs="Arial"/>
          <w:kern w:val="0"/>
          <w:szCs w:val="22"/>
          <w:lang w:eastAsia="en-GB"/>
          <w14:ligatures w14:val="none"/>
        </w:rPr>
      </w:pPr>
    </w:p>
    <w:p w14:paraId="6935B873"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Figure 5.7: Total number of lateral flow test kits supplied in April 2024 and October 2025</w:t>
      </w:r>
    </w:p>
    <w:p w14:paraId="4CF20DFC" w14:textId="77777777" w:rsidR="003F0408" w:rsidRPr="003F0408" w:rsidRDefault="003F0408" w:rsidP="00FF3A53">
      <w:pPr>
        <w:rPr>
          <w:rFonts w:eastAsia="Times New Roman" w:cs="Arial"/>
          <w:kern w:val="0"/>
          <w:szCs w:val="22"/>
          <w:lang w:eastAsia="en-GB"/>
          <w14:ligatures w14:val="none"/>
        </w:rPr>
      </w:pPr>
    </w:p>
    <w:p w14:paraId="7D0F6033"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noProof/>
          <w:kern w:val="0"/>
          <w:szCs w:val="22"/>
          <w:lang w:eastAsia="en-GB"/>
          <w14:ligatures w14:val="none"/>
        </w:rPr>
        <w:drawing>
          <wp:inline distT="0" distB="0" distL="0" distR="0" wp14:anchorId="3448D7FB" wp14:editId="5EC0B8D9">
            <wp:extent cx="5681980" cy="2755900"/>
            <wp:effectExtent l="0" t="0" r="0" b="6350"/>
            <wp:docPr id="728280839" name="Picture 7" descr="Grouped bar chart showing the number of supplies of lateral flow test kits by month for 2024/25 and 2025/26. The 2024/25 series (blue) peaks at approximately 73 supplies in July, then declines through the year, with around 57 in September, 44 in October, and fewer than 20 per month from January to March. The 2025/26 series (pink) is shown from April to October and is generally lower than the corresponding months in 2024/25, except in October when it reaches approximately 32 supplies compared with 44 in 2024/25. The highest value for 2025/26 is in October, while the lowest is in May at around 2 supplies. Overall, supply numbers were substantially higher in 2024/25, particularly during the summer month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8280839" name="Picture 7" descr="Grouped bar chart showing the number of supplies of lateral flow test kits by month for 2024/25 and 2025/26. The 2024/25 series (blue) peaks at approximately 73 supplies in July, then declines through the year, with around 57 in September, 44 in October, and fewer than 20 per month from January to March. The 2025/26 series (pink) is shown from April to October and is generally lower than the corresponding months in 2024/25, except in October when it reaches approximately 32 supplies compared with 44 in 2024/25. The highest value for 2025/26 is in October, while the lowest is in May at around 2 supplies. Overall, supply numbers were substantially higher in 2024/25, particularly during the summer months."/>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681980" cy="2755900"/>
                    </a:xfrm>
                    <a:prstGeom prst="rect">
                      <a:avLst/>
                    </a:prstGeom>
                    <a:noFill/>
                  </pic:spPr>
                </pic:pic>
              </a:graphicData>
            </a:graphic>
          </wp:inline>
        </w:drawing>
      </w:r>
    </w:p>
    <w:p w14:paraId="51EA74B2" w14:textId="77777777" w:rsidR="003F0408" w:rsidRPr="003F0408" w:rsidRDefault="003F0408" w:rsidP="00FF3A53">
      <w:pPr>
        <w:rPr>
          <w:rFonts w:eastAsia="Times New Roman" w:cs="Arial"/>
          <w:kern w:val="0"/>
          <w:szCs w:val="22"/>
          <w:lang w:eastAsia="en-GB"/>
          <w14:ligatures w14:val="none"/>
        </w:rPr>
      </w:pPr>
    </w:p>
    <w:p w14:paraId="2A8BA75C" w14:textId="4A4DA3E1"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5.1.4.6 Access to pharmac</w:t>
      </w:r>
      <w:r w:rsidR="003C4F25">
        <w:rPr>
          <w:rFonts w:eastAsia="Times New Roman" w:cs="Arial"/>
          <w:b/>
          <w:kern w:val="0"/>
          <w:szCs w:val="22"/>
          <w:lang w:eastAsia="en-GB"/>
          <w14:ligatures w14:val="none"/>
        </w:rPr>
        <w:t>ist</w:t>
      </w:r>
      <w:r w:rsidRPr="003F0408">
        <w:rPr>
          <w:rFonts w:eastAsia="Times New Roman" w:cs="Arial"/>
          <w:b/>
          <w:kern w:val="0"/>
          <w:szCs w:val="22"/>
          <w:lang w:eastAsia="en-GB"/>
          <w14:ligatures w14:val="none"/>
        </w:rPr>
        <w:t xml:space="preserve"> independent prescribing service</w:t>
      </w:r>
    </w:p>
    <w:p w14:paraId="4AA02DF7" w14:textId="77777777" w:rsidR="003F0408" w:rsidRPr="003F0408" w:rsidRDefault="003F0408" w:rsidP="00FF3A53">
      <w:pPr>
        <w:rPr>
          <w:rFonts w:eastAsia="Times New Roman" w:cs="Arial"/>
          <w:b/>
          <w:kern w:val="0"/>
          <w:szCs w:val="22"/>
          <w:lang w:eastAsia="en-GB"/>
          <w14:ligatures w14:val="none"/>
        </w:rPr>
      </w:pPr>
    </w:p>
    <w:p w14:paraId="7E1049BF"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31 pharmacies provided the service in 2024/25 providing a total of 22,902 consultations and in the first six months of 2025/26, 36 pharmacies provided a total of 12,163 consultations.</w:t>
      </w:r>
    </w:p>
    <w:p w14:paraId="51EA2F9A" w14:textId="77777777" w:rsidR="003F0408" w:rsidRDefault="003F0408" w:rsidP="00FF3A53">
      <w:pPr>
        <w:rPr>
          <w:rFonts w:eastAsia="Times New Roman" w:cs="Arial"/>
          <w:kern w:val="0"/>
          <w:szCs w:val="22"/>
          <w:lang w:eastAsia="en-GB"/>
          <w14:ligatures w14:val="none"/>
        </w:rPr>
      </w:pPr>
    </w:p>
    <w:p w14:paraId="2BE600A8" w14:textId="77777777" w:rsidR="001D3F00" w:rsidRDefault="001D3F00" w:rsidP="00FF3A53">
      <w:pPr>
        <w:rPr>
          <w:rFonts w:eastAsia="Times New Roman" w:cs="Arial"/>
          <w:kern w:val="0"/>
          <w:szCs w:val="22"/>
          <w:lang w:eastAsia="en-GB"/>
          <w14:ligatures w14:val="none"/>
        </w:rPr>
      </w:pPr>
    </w:p>
    <w:p w14:paraId="62672B75" w14:textId="77777777" w:rsidR="001D3F00" w:rsidRDefault="001D3F00" w:rsidP="00FF3A53">
      <w:pPr>
        <w:rPr>
          <w:rFonts w:eastAsia="Times New Roman" w:cs="Arial"/>
          <w:kern w:val="0"/>
          <w:szCs w:val="22"/>
          <w:lang w:eastAsia="en-GB"/>
          <w14:ligatures w14:val="none"/>
        </w:rPr>
      </w:pPr>
    </w:p>
    <w:p w14:paraId="7E12B4BC" w14:textId="77777777" w:rsidR="001D3F00" w:rsidRDefault="001D3F00" w:rsidP="00FF3A53">
      <w:pPr>
        <w:rPr>
          <w:rFonts w:eastAsia="Times New Roman" w:cs="Arial"/>
          <w:kern w:val="0"/>
          <w:szCs w:val="22"/>
          <w:lang w:eastAsia="en-GB"/>
          <w14:ligatures w14:val="none"/>
        </w:rPr>
      </w:pPr>
    </w:p>
    <w:p w14:paraId="2E3E8417" w14:textId="77777777" w:rsidR="001D3F00" w:rsidRDefault="001D3F00" w:rsidP="00FF3A53">
      <w:pPr>
        <w:rPr>
          <w:rFonts w:eastAsia="Times New Roman" w:cs="Arial"/>
          <w:kern w:val="0"/>
          <w:szCs w:val="22"/>
          <w:lang w:eastAsia="en-GB"/>
          <w14:ligatures w14:val="none"/>
        </w:rPr>
      </w:pPr>
    </w:p>
    <w:p w14:paraId="4E3BEB0D" w14:textId="77777777" w:rsidR="001D3F00" w:rsidRDefault="001D3F00" w:rsidP="00FF3A53">
      <w:pPr>
        <w:rPr>
          <w:rFonts w:eastAsia="Times New Roman" w:cs="Arial"/>
          <w:kern w:val="0"/>
          <w:szCs w:val="22"/>
          <w:lang w:eastAsia="en-GB"/>
          <w14:ligatures w14:val="none"/>
        </w:rPr>
      </w:pPr>
    </w:p>
    <w:p w14:paraId="20692415" w14:textId="77777777" w:rsidR="001D3F00" w:rsidRDefault="001D3F00" w:rsidP="00FF3A53">
      <w:pPr>
        <w:rPr>
          <w:rFonts w:eastAsia="Times New Roman" w:cs="Arial"/>
          <w:kern w:val="0"/>
          <w:szCs w:val="22"/>
          <w:lang w:eastAsia="en-GB"/>
          <w14:ligatures w14:val="none"/>
        </w:rPr>
      </w:pPr>
    </w:p>
    <w:p w14:paraId="3988A6B4" w14:textId="77777777" w:rsidR="001D3F00" w:rsidRDefault="001D3F00" w:rsidP="00FF3A53">
      <w:pPr>
        <w:rPr>
          <w:rFonts w:eastAsia="Times New Roman" w:cs="Arial"/>
          <w:kern w:val="0"/>
          <w:szCs w:val="22"/>
          <w:lang w:eastAsia="en-GB"/>
          <w14:ligatures w14:val="none"/>
        </w:rPr>
      </w:pPr>
    </w:p>
    <w:p w14:paraId="4A0B2DDD" w14:textId="77777777" w:rsidR="001D3F00" w:rsidRDefault="001D3F00" w:rsidP="00FF3A53">
      <w:pPr>
        <w:rPr>
          <w:rFonts w:eastAsia="Times New Roman" w:cs="Arial"/>
          <w:kern w:val="0"/>
          <w:szCs w:val="22"/>
          <w:lang w:eastAsia="en-GB"/>
          <w14:ligatures w14:val="none"/>
        </w:rPr>
      </w:pPr>
    </w:p>
    <w:p w14:paraId="46122D96" w14:textId="77777777" w:rsidR="001D3F00" w:rsidRDefault="001D3F00" w:rsidP="00FF3A53">
      <w:pPr>
        <w:rPr>
          <w:rFonts w:eastAsia="Times New Roman" w:cs="Arial"/>
          <w:kern w:val="0"/>
          <w:szCs w:val="22"/>
          <w:lang w:eastAsia="en-GB"/>
          <w14:ligatures w14:val="none"/>
        </w:rPr>
      </w:pPr>
    </w:p>
    <w:p w14:paraId="38B45E3D" w14:textId="77777777" w:rsidR="001D3F00" w:rsidRDefault="001D3F00" w:rsidP="00FF3A53">
      <w:pPr>
        <w:rPr>
          <w:rFonts w:eastAsia="Times New Roman" w:cs="Arial"/>
          <w:kern w:val="0"/>
          <w:szCs w:val="22"/>
          <w:lang w:eastAsia="en-GB"/>
          <w14:ligatures w14:val="none"/>
        </w:rPr>
      </w:pPr>
    </w:p>
    <w:p w14:paraId="083794DD" w14:textId="77777777" w:rsidR="001D3F00" w:rsidRDefault="001D3F00" w:rsidP="00FF3A53">
      <w:pPr>
        <w:rPr>
          <w:rFonts w:eastAsia="Times New Roman" w:cs="Arial"/>
          <w:kern w:val="0"/>
          <w:szCs w:val="22"/>
          <w:lang w:eastAsia="en-GB"/>
          <w14:ligatures w14:val="none"/>
        </w:rPr>
      </w:pPr>
    </w:p>
    <w:p w14:paraId="2FDEA9F6" w14:textId="77777777" w:rsidR="001D3F00" w:rsidRDefault="001D3F00" w:rsidP="00FF3A53">
      <w:pPr>
        <w:rPr>
          <w:rFonts w:eastAsia="Times New Roman" w:cs="Arial"/>
          <w:kern w:val="0"/>
          <w:szCs w:val="22"/>
          <w:lang w:eastAsia="en-GB"/>
          <w14:ligatures w14:val="none"/>
        </w:rPr>
      </w:pPr>
    </w:p>
    <w:p w14:paraId="6B2B42D7" w14:textId="77777777" w:rsidR="001D3F00" w:rsidRDefault="001D3F00" w:rsidP="00FF3A53">
      <w:pPr>
        <w:rPr>
          <w:rFonts w:eastAsia="Times New Roman" w:cs="Arial"/>
          <w:kern w:val="0"/>
          <w:szCs w:val="22"/>
          <w:lang w:eastAsia="en-GB"/>
          <w14:ligatures w14:val="none"/>
        </w:rPr>
      </w:pPr>
    </w:p>
    <w:p w14:paraId="00D4F17D" w14:textId="77777777" w:rsidR="001D3F00" w:rsidRDefault="001D3F00" w:rsidP="00FF3A53">
      <w:pPr>
        <w:rPr>
          <w:rFonts w:eastAsia="Times New Roman" w:cs="Arial"/>
          <w:kern w:val="0"/>
          <w:szCs w:val="22"/>
          <w:lang w:eastAsia="en-GB"/>
          <w14:ligatures w14:val="none"/>
        </w:rPr>
      </w:pPr>
    </w:p>
    <w:p w14:paraId="08B6E79C" w14:textId="77777777" w:rsidR="001D3F00" w:rsidRDefault="001D3F00" w:rsidP="00FF3A53">
      <w:pPr>
        <w:rPr>
          <w:rFonts w:eastAsia="Times New Roman" w:cs="Arial"/>
          <w:b/>
          <w:kern w:val="0"/>
          <w:szCs w:val="22"/>
          <w:lang w:eastAsia="en-GB"/>
          <w14:ligatures w14:val="none"/>
        </w:rPr>
      </w:pPr>
    </w:p>
    <w:p w14:paraId="203113AB" w14:textId="6DDB14B9"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lastRenderedPageBreak/>
        <w:t>Figure 5.8: Total number of pharmac</w:t>
      </w:r>
      <w:r w:rsidR="003C4F25">
        <w:rPr>
          <w:rFonts w:eastAsia="Times New Roman" w:cs="Arial"/>
          <w:b/>
          <w:kern w:val="0"/>
          <w:szCs w:val="22"/>
          <w:lang w:eastAsia="en-GB"/>
          <w14:ligatures w14:val="none"/>
        </w:rPr>
        <w:t>ist</w:t>
      </w:r>
      <w:r w:rsidRPr="003F0408">
        <w:rPr>
          <w:rFonts w:eastAsia="Times New Roman" w:cs="Arial"/>
          <w:b/>
          <w:kern w:val="0"/>
          <w:szCs w:val="22"/>
          <w:lang w:eastAsia="en-GB"/>
          <w14:ligatures w14:val="none"/>
        </w:rPr>
        <w:t xml:space="preserve"> independent prescribing consultations between April 2024 and September 2025</w:t>
      </w:r>
    </w:p>
    <w:p w14:paraId="15CC501B" w14:textId="77777777" w:rsidR="003F0408" w:rsidRPr="003F0408" w:rsidRDefault="003F0408" w:rsidP="00FF3A53">
      <w:pPr>
        <w:rPr>
          <w:rFonts w:eastAsia="Times New Roman" w:cs="Arial"/>
          <w:b/>
          <w:kern w:val="0"/>
          <w:szCs w:val="22"/>
          <w:lang w:eastAsia="en-GB"/>
          <w14:ligatures w14:val="none"/>
        </w:rPr>
      </w:pPr>
    </w:p>
    <w:p w14:paraId="5A29CC23"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noProof/>
          <w:kern w:val="0"/>
          <w:szCs w:val="22"/>
          <w:lang w:eastAsia="en-GB"/>
          <w14:ligatures w14:val="none"/>
        </w:rPr>
        <w:drawing>
          <wp:inline distT="0" distB="0" distL="0" distR="0" wp14:anchorId="3488FDEB" wp14:editId="52E2C1B6">
            <wp:extent cx="5383530" cy="3255645"/>
            <wp:effectExtent l="0" t="0" r="7620" b="1905"/>
            <wp:docPr id="887696651" name="Picture 8" descr="Grouped bar chart comparing monthly activity for the pharmacist independent prescribing service in 2024/25 and 2025/26. The 2025/26 series (pink) is shown for April to September and is consistently higher than the same months in 2024/25 (blue). Activity rises from approximately 2,040 in April to a peak of about 2,280 in July before declining to around 1,940 in September. In 2024/25, activity ranges from about 1,450 to 2,420, increasing sharply from October onwards and peaking in December at approximately 2,420 before remaining above 2,200 through March. The highest value shown is December 2024/25, while the lowest values occur in April and August 2024/25 at around 1,450. Overall, the first six months of 2025/26 show higher activity than the corresponding period in 202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7696651" name="Picture 8" descr="Grouped bar chart comparing monthly activity for the pharmacist independent prescribing service in 2024/25 and 2025/26. The 2025/26 series (pink) is shown for April to September and is consistently higher than the same months in 2024/25 (blue). Activity rises from approximately 2,040 in April to a peak of about 2,280 in July before declining to around 1,940 in September. In 2024/25, activity ranges from about 1,450 to 2,420, increasing sharply from October onwards and peaking in December at approximately 2,420 before remaining above 2,200 through March. The highest value shown is December 2024/25, while the lowest values occur in April and August 2024/25 at around 1,450. Overall, the first six months of 2025/26 show higher activity than the corresponding period in 2024/2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383530" cy="3255645"/>
                    </a:xfrm>
                    <a:prstGeom prst="rect">
                      <a:avLst/>
                    </a:prstGeom>
                    <a:noFill/>
                  </pic:spPr>
                </pic:pic>
              </a:graphicData>
            </a:graphic>
          </wp:inline>
        </w:drawing>
      </w:r>
    </w:p>
    <w:p w14:paraId="10893AA0" w14:textId="77777777" w:rsidR="003F0408" w:rsidRPr="003F0408" w:rsidRDefault="003F0408" w:rsidP="00FF3A53">
      <w:pPr>
        <w:rPr>
          <w:rFonts w:eastAsia="Times New Roman" w:cs="Arial"/>
          <w:b/>
          <w:kern w:val="0"/>
          <w:szCs w:val="22"/>
          <w:lang w:eastAsia="en-GB"/>
          <w14:ligatures w14:val="none"/>
        </w:rPr>
      </w:pPr>
    </w:p>
    <w:p w14:paraId="7B9AD2C7"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5.1.4.7 Access to stoma appliance customisation service</w:t>
      </w:r>
    </w:p>
    <w:p w14:paraId="7D952782" w14:textId="77777777" w:rsidR="003F0408" w:rsidRPr="003F0408" w:rsidRDefault="003F0408" w:rsidP="00FF3A53">
      <w:pPr>
        <w:rPr>
          <w:rFonts w:eastAsia="Times New Roman" w:cs="Arial"/>
          <w:kern w:val="0"/>
          <w:szCs w:val="22"/>
          <w:lang w:eastAsia="en-GB"/>
          <w14:ligatures w14:val="none"/>
        </w:rPr>
      </w:pPr>
    </w:p>
    <w:p w14:paraId="5E1992F2" w14:textId="77777777" w:rsidR="003F0408" w:rsidRPr="003F0408" w:rsidRDefault="003F0408" w:rsidP="00FF3A53">
      <w:pPr>
        <w:rPr>
          <w:rFonts w:eastAsia="Times New Roman" w:cs="Arial"/>
          <w:bCs/>
          <w:kern w:val="0"/>
          <w:szCs w:val="22"/>
          <w:lang w:eastAsia="en-GB"/>
          <w14:ligatures w14:val="none"/>
        </w:rPr>
      </w:pPr>
      <w:r w:rsidRPr="003F0408">
        <w:rPr>
          <w:rFonts w:eastAsia="Times New Roman" w:cs="Arial"/>
          <w:bCs/>
          <w:kern w:val="0"/>
          <w:szCs w:val="22"/>
          <w:lang w:eastAsia="en-GB"/>
          <w14:ligatures w14:val="none"/>
        </w:rPr>
        <w:t xml:space="preserve">None of the pharmacies provided this service. </w:t>
      </w:r>
    </w:p>
    <w:p w14:paraId="16273D56" w14:textId="77777777" w:rsidR="003F0408" w:rsidRPr="003F0408" w:rsidRDefault="003F0408" w:rsidP="00FF3A53">
      <w:pPr>
        <w:rPr>
          <w:rFonts w:eastAsia="Times New Roman" w:cs="Arial"/>
          <w:bCs/>
          <w:kern w:val="0"/>
          <w:szCs w:val="22"/>
          <w:lang w:eastAsia="en-GB"/>
          <w14:ligatures w14:val="none"/>
        </w:rPr>
      </w:pPr>
    </w:p>
    <w:p w14:paraId="7A68C389"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 xml:space="preserve">5.1.5 Access to additional clinical service </w:t>
      </w:r>
    </w:p>
    <w:p w14:paraId="202260EC" w14:textId="77777777" w:rsidR="003F0408" w:rsidRPr="003F0408" w:rsidRDefault="003F0408" w:rsidP="00FF3A53">
      <w:pPr>
        <w:rPr>
          <w:rFonts w:eastAsia="Times New Roman" w:cs="Arial"/>
          <w:b/>
          <w:bCs/>
          <w:color w:val="000000"/>
          <w:kern w:val="0"/>
          <w:szCs w:val="22"/>
          <w:lang w:eastAsia="en-GB"/>
          <w14:ligatures w14:val="none"/>
        </w:rPr>
      </w:pPr>
    </w:p>
    <w:p w14:paraId="61ED04D7" w14:textId="77777777" w:rsidR="003F0408" w:rsidRPr="003F0408" w:rsidRDefault="003F0408" w:rsidP="00FF3A53">
      <w:pPr>
        <w:rPr>
          <w:rFonts w:eastAsia="Times New Roman" w:cs="Arial"/>
          <w:b/>
          <w:bCs/>
          <w:color w:val="000000"/>
          <w:kern w:val="0"/>
          <w:szCs w:val="22"/>
          <w:lang w:eastAsia="en-GB"/>
          <w14:ligatures w14:val="none"/>
        </w:rPr>
      </w:pPr>
      <w:r w:rsidRPr="003F0408">
        <w:rPr>
          <w:rFonts w:eastAsia="Times New Roman" w:cs="Arial"/>
          <w:b/>
          <w:bCs/>
          <w:color w:val="000000"/>
          <w:kern w:val="0"/>
          <w:szCs w:val="22"/>
          <w:lang w:eastAsia="en-GB"/>
          <w14:ligatures w14:val="none"/>
        </w:rPr>
        <w:t>5.1.5.1 Access to blood borne virus screening</w:t>
      </w:r>
    </w:p>
    <w:p w14:paraId="5CDF9467" w14:textId="77777777" w:rsidR="003F0408" w:rsidRPr="003F0408" w:rsidRDefault="003F0408" w:rsidP="00FF3A53">
      <w:pPr>
        <w:rPr>
          <w:rFonts w:eastAsia="Times New Roman" w:cs="Arial"/>
          <w:b/>
          <w:bCs/>
          <w:color w:val="000000"/>
          <w:kern w:val="0"/>
          <w:szCs w:val="22"/>
          <w:lang w:eastAsia="en-GB"/>
          <w14:ligatures w14:val="none"/>
        </w:rPr>
      </w:pPr>
    </w:p>
    <w:p w14:paraId="084D2DA1"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color w:val="000000"/>
          <w:kern w:val="0"/>
          <w:szCs w:val="22"/>
          <w:lang w:eastAsia="en-GB"/>
          <w14:ligatures w14:val="none"/>
        </w:rPr>
        <w:t xml:space="preserve">Eight of the pharmacies have signed up to provide this service. </w:t>
      </w:r>
    </w:p>
    <w:p w14:paraId="13DC36C8" w14:textId="77777777" w:rsidR="003F0408" w:rsidRPr="003F0408" w:rsidRDefault="003F0408" w:rsidP="00FF3A53">
      <w:pPr>
        <w:rPr>
          <w:rFonts w:eastAsia="Times New Roman" w:cs="Arial"/>
          <w:kern w:val="0"/>
          <w:szCs w:val="22"/>
          <w:lang w:eastAsia="en-GB"/>
          <w14:ligatures w14:val="none"/>
        </w:rPr>
      </w:pPr>
    </w:p>
    <w:p w14:paraId="022E6077" w14:textId="77777777" w:rsidR="003F0408" w:rsidRPr="003F0408" w:rsidRDefault="003F0408" w:rsidP="00FF3A53">
      <w:pPr>
        <w:rPr>
          <w:rFonts w:eastAsia="Times New Roman" w:cs="Arial"/>
          <w:b/>
          <w:bCs/>
          <w:color w:val="000000"/>
          <w:kern w:val="0"/>
          <w:szCs w:val="22"/>
          <w:lang w:eastAsia="en-GB"/>
          <w14:ligatures w14:val="none"/>
        </w:rPr>
      </w:pPr>
      <w:r w:rsidRPr="003F0408">
        <w:rPr>
          <w:rFonts w:eastAsia="Times New Roman" w:cs="Arial"/>
          <w:b/>
          <w:bCs/>
          <w:color w:val="000000"/>
          <w:kern w:val="0"/>
          <w:szCs w:val="22"/>
          <w:lang w:eastAsia="en-GB"/>
          <w14:ligatures w14:val="none"/>
        </w:rPr>
        <w:t>5.1.5.2 Access to care home support service - level 1 medicines management support visits</w:t>
      </w:r>
    </w:p>
    <w:p w14:paraId="4837657C" w14:textId="77777777" w:rsidR="003F0408" w:rsidRPr="003F0408" w:rsidRDefault="003F0408" w:rsidP="00FF3A53">
      <w:pPr>
        <w:rPr>
          <w:rFonts w:eastAsia="Times New Roman" w:cs="Arial"/>
          <w:color w:val="000000"/>
          <w:kern w:val="0"/>
          <w:szCs w:val="22"/>
          <w:lang w:eastAsia="en-GB"/>
          <w14:ligatures w14:val="none"/>
        </w:rPr>
      </w:pPr>
    </w:p>
    <w:p w14:paraId="103D1EFE"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color w:val="000000"/>
          <w:kern w:val="0"/>
          <w:szCs w:val="22"/>
          <w:lang w:eastAsia="en-GB"/>
          <w14:ligatures w14:val="none"/>
        </w:rPr>
        <w:t>20 of the pharmacies have signed up to provide this service. In 2024/25, six pharmacies provided a total of 42</w:t>
      </w:r>
      <w:r w:rsidRPr="003F0408">
        <w:rPr>
          <w:rFonts w:eastAsia="Times New Roman" w:cs="Arial"/>
          <w:kern w:val="0"/>
          <w:szCs w:val="22"/>
          <w:lang w:eastAsia="en-GB"/>
          <w14:ligatures w14:val="none"/>
        </w:rPr>
        <w:t xml:space="preserve"> support visits and in the first ten months of 2025/26, five pharmacies provided a total of 38 support visits. </w:t>
      </w:r>
    </w:p>
    <w:p w14:paraId="13DAB1B2" w14:textId="77777777" w:rsidR="003F0408" w:rsidRDefault="003F0408" w:rsidP="00FF3A53">
      <w:pPr>
        <w:rPr>
          <w:rFonts w:eastAsia="Times New Roman" w:cs="Arial"/>
          <w:b/>
          <w:kern w:val="0"/>
          <w:szCs w:val="22"/>
          <w:lang w:eastAsia="en-GB"/>
          <w14:ligatures w14:val="none"/>
        </w:rPr>
      </w:pPr>
    </w:p>
    <w:p w14:paraId="0AE4AB23" w14:textId="77777777" w:rsidR="001D3F00" w:rsidRDefault="001D3F00" w:rsidP="00FF3A53">
      <w:pPr>
        <w:rPr>
          <w:rFonts w:eastAsia="Times New Roman" w:cs="Arial"/>
          <w:b/>
          <w:kern w:val="0"/>
          <w:szCs w:val="22"/>
          <w:lang w:eastAsia="en-GB"/>
          <w14:ligatures w14:val="none"/>
        </w:rPr>
      </w:pPr>
    </w:p>
    <w:p w14:paraId="0E7F5FCA" w14:textId="77777777" w:rsidR="001D3F00" w:rsidRDefault="001D3F00" w:rsidP="00FF3A53">
      <w:pPr>
        <w:rPr>
          <w:rFonts w:eastAsia="Times New Roman" w:cs="Arial"/>
          <w:b/>
          <w:kern w:val="0"/>
          <w:szCs w:val="22"/>
          <w:lang w:eastAsia="en-GB"/>
          <w14:ligatures w14:val="none"/>
        </w:rPr>
      </w:pPr>
    </w:p>
    <w:p w14:paraId="25265676" w14:textId="77777777" w:rsidR="001D3F00" w:rsidRDefault="001D3F00" w:rsidP="00FF3A53">
      <w:pPr>
        <w:rPr>
          <w:rFonts w:eastAsia="Times New Roman" w:cs="Arial"/>
          <w:b/>
          <w:kern w:val="0"/>
          <w:szCs w:val="22"/>
          <w:lang w:eastAsia="en-GB"/>
          <w14:ligatures w14:val="none"/>
        </w:rPr>
      </w:pPr>
    </w:p>
    <w:p w14:paraId="1DDC1863" w14:textId="77777777" w:rsidR="001D3F00" w:rsidRDefault="001D3F00" w:rsidP="00FF3A53">
      <w:pPr>
        <w:rPr>
          <w:rFonts w:eastAsia="Times New Roman" w:cs="Arial"/>
          <w:b/>
          <w:kern w:val="0"/>
          <w:szCs w:val="22"/>
          <w:lang w:eastAsia="en-GB"/>
          <w14:ligatures w14:val="none"/>
        </w:rPr>
      </w:pPr>
    </w:p>
    <w:p w14:paraId="66200E00" w14:textId="77777777" w:rsidR="001D3F00" w:rsidRDefault="001D3F00" w:rsidP="00FF3A53">
      <w:pPr>
        <w:rPr>
          <w:rFonts w:eastAsia="Times New Roman" w:cs="Arial"/>
          <w:b/>
          <w:kern w:val="0"/>
          <w:szCs w:val="22"/>
          <w:lang w:eastAsia="en-GB"/>
          <w14:ligatures w14:val="none"/>
        </w:rPr>
      </w:pPr>
    </w:p>
    <w:p w14:paraId="249165A1" w14:textId="77777777" w:rsidR="001D3F00" w:rsidRDefault="001D3F00" w:rsidP="00FF3A53">
      <w:pPr>
        <w:rPr>
          <w:rFonts w:eastAsia="Times New Roman" w:cs="Arial"/>
          <w:b/>
          <w:kern w:val="0"/>
          <w:szCs w:val="22"/>
          <w:lang w:eastAsia="en-GB"/>
          <w14:ligatures w14:val="none"/>
        </w:rPr>
      </w:pPr>
    </w:p>
    <w:p w14:paraId="5BFED6F7" w14:textId="77777777" w:rsidR="001D3F00" w:rsidRDefault="001D3F00" w:rsidP="00FF3A53">
      <w:pPr>
        <w:rPr>
          <w:rFonts w:eastAsia="Times New Roman" w:cs="Arial"/>
          <w:b/>
          <w:kern w:val="0"/>
          <w:szCs w:val="22"/>
          <w:lang w:eastAsia="en-GB"/>
          <w14:ligatures w14:val="none"/>
        </w:rPr>
      </w:pPr>
    </w:p>
    <w:p w14:paraId="6CABFB80" w14:textId="77777777" w:rsidR="001D3F00" w:rsidRDefault="001D3F00" w:rsidP="00FF3A53">
      <w:pPr>
        <w:rPr>
          <w:rFonts w:eastAsia="Times New Roman" w:cs="Arial"/>
          <w:b/>
          <w:kern w:val="0"/>
          <w:szCs w:val="22"/>
          <w:lang w:eastAsia="en-GB"/>
          <w14:ligatures w14:val="none"/>
        </w:rPr>
      </w:pPr>
    </w:p>
    <w:p w14:paraId="4C0C5F42" w14:textId="77777777" w:rsidR="001D3F00" w:rsidRDefault="001D3F00" w:rsidP="00FF3A53">
      <w:pPr>
        <w:rPr>
          <w:rFonts w:eastAsia="Times New Roman" w:cs="Arial"/>
          <w:b/>
          <w:kern w:val="0"/>
          <w:szCs w:val="22"/>
          <w:lang w:eastAsia="en-GB"/>
          <w14:ligatures w14:val="none"/>
        </w:rPr>
      </w:pPr>
    </w:p>
    <w:p w14:paraId="0DAF2892" w14:textId="77777777" w:rsidR="001D3F00" w:rsidRDefault="001D3F00" w:rsidP="00FF3A53">
      <w:pPr>
        <w:rPr>
          <w:rFonts w:eastAsia="Times New Roman" w:cs="Arial"/>
          <w:b/>
          <w:kern w:val="0"/>
          <w:szCs w:val="22"/>
          <w:lang w:eastAsia="en-GB"/>
          <w14:ligatures w14:val="none"/>
        </w:rPr>
      </w:pPr>
    </w:p>
    <w:p w14:paraId="47DFAEB7"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lastRenderedPageBreak/>
        <w:t>Figure 5.9: Total number of care home support visits claimed between April 2024 and January 2026</w:t>
      </w:r>
    </w:p>
    <w:p w14:paraId="6B3E6D08" w14:textId="77777777" w:rsidR="003F0408" w:rsidRPr="003F0408" w:rsidRDefault="003F0408" w:rsidP="00FF3A53">
      <w:pPr>
        <w:rPr>
          <w:rFonts w:eastAsia="Times New Roman" w:cs="Arial"/>
          <w:b/>
          <w:kern w:val="0"/>
          <w:szCs w:val="22"/>
          <w:lang w:eastAsia="en-GB"/>
          <w14:ligatures w14:val="none"/>
        </w:rPr>
      </w:pPr>
    </w:p>
    <w:p w14:paraId="54E9C1D8"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noProof/>
          <w:kern w:val="0"/>
          <w:szCs w:val="22"/>
          <w:lang w:eastAsia="en-GB"/>
          <w14:ligatures w14:val="none"/>
        </w:rPr>
        <w:drawing>
          <wp:inline distT="0" distB="0" distL="0" distR="0" wp14:anchorId="3F60C9B8" wp14:editId="5A2590F9">
            <wp:extent cx="5553710" cy="2755900"/>
            <wp:effectExtent l="0" t="0" r="8890" b="6350"/>
            <wp:docPr id="823136367" name="Picture 9" descr="Grouped bar chart showing the number of visits by month for 2024/25 and 2025/26. The 2024/25 series (blue) records 9 visits in April, falls to 2 visits in May and July, then increases to 6 visits in September, 10 in October, and 8 in November. Activity is low thereafter, with 1 visit in February and 4 in March. The 2025/26 series (pink) is shown from May to January and peaks at 12 visits in August, followed by 7 visits in July and January, and 5 visits in November. Several months have very low activity, including 1 visit in October and December. Overall, visit numbers fluctuate considerably across both years, with the highest monthly total being 12 visits in August 202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3136367" name="Picture 9" descr="Grouped bar chart showing the number of visits by month for 2024/25 and 2025/26. The 2024/25 series (blue) records 9 visits in April, falls to 2 visits in May and July, then increases to 6 visits in September, 10 in October, and 8 in November. Activity is low thereafter, with 1 visit in February and 4 in March. The 2025/26 series (pink) is shown from May to January and peaks at 12 visits in August, followed by 7 visits in July and January, and 5 visits in November. Several months have very low activity, including 1 visit in October and December. Overall, visit numbers fluctuate considerably across both years, with the highest monthly total being 12 visits in August 2025/2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553710" cy="2755900"/>
                    </a:xfrm>
                    <a:prstGeom prst="rect">
                      <a:avLst/>
                    </a:prstGeom>
                    <a:noFill/>
                  </pic:spPr>
                </pic:pic>
              </a:graphicData>
            </a:graphic>
          </wp:inline>
        </w:drawing>
      </w:r>
    </w:p>
    <w:p w14:paraId="26BE51B7" w14:textId="77777777" w:rsidR="003F0408" w:rsidRPr="003F0408" w:rsidRDefault="003F0408" w:rsidP="00FF3A53">
      <w:pPr>
        <w:rPr>
          <w:rFonts w:eastAsia="Times New Roman" w:cs="Arial"/>
          <w:kern w:val="0"/>
          <w:szCs w:val="22"/>
          <w:lang w:eastAsia="en-GB"/>
          <w14:ligatures w14:val="none"/>
        </w:rPr>
      </w:pPr>
    </w:p>
    <w:p w14:paraId="6E518F94" w14:textId="77777777" w:rsidR="003F0408" w:rsidRPr="003F0408" w:rsidRDefault="003F0408" w:rsidP="00FF3A53">
      <w:pPr>
        <w:rPr>
          <w:rFonts w:eastAsia="Times New Roman" w:cs="Arial"/>
          <w:b/>
          <w:bCs/>
          <w:color w:val="000000"/>
          <w:kern w:val="0"/>
          <w:szCs w:val="22"/>
          <w:lang w:eastAsia="en-GB"/>
          <w14:ligatures w14:val="none"/>
        </w:rPr>
      </w:pPr>
      <w:r w:rsidRPr="003F0408">
        <w:rPr>
          <w:rFonts w:eastAsia="Times New Roman" w:cs="Arial"/>
          <w:b/>
          <w:bCs/>
          <w:color w:val="000000"/>
          <w:kern w:val="0"/>
          <w:szCs w:val="22"/>
          <w:lang w:eastAsia="en-GB"/>
          <w14:ligatures w14:val="none"/>
        </w:rPr>
        <w:t xml:space="preserve">5.1.5.3 Access to inhaler review service </w:t>
      </w:r>
    </w:p>
    <w:p w14:paraId="49FE0026" w14:textId="77777777" w:rsidR="003F0408" w:rsidRPr="003F0408" w:rsidRDefault="003F0408" w:rsidP="00FF3A53">
      <w:pPr>
        <w:rPr>
          <w:rFonts w:eastAsia="Times New Roman" w:cs="Arial"/>
          <w:color w:val="000000"/>
          <w:kern w:val="0"/>
          <w:szCs w:val="22"/>
          <w:lang w:eastAsia="en-GB"/>
          <w14:ligatures w14:val="none"/>
        </w:rPr>
      </w:pPr>
    </w:p>
    <w:p w14:paraId="3058947D"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color w:val="000000"/>
          <w:kern w:val="0"/>
          <w:szCs w:val="22"/>
          <w:lang w:eastAsia="en-GB"/>
          <w14:ligatures w14:val="none"/>
        </w:rPr>
        <w:t>46 of the pharmacies have signed up to provide this service. In 2024/25 35 pharmacies provided a total of 1,719 r</w:t>
      </w:r>
      <w:r w:rsidRPr="003F0408">
        <w:rPr>
          <w:rFonts w:eastAsia="Times New Roman" w:cs="Arial"/>
          <w:kern w:val="0"/>
          <w:szCs w:val="22"/>
          <w:lang w:eastAsia="en-GB"/>
          <w14:ligatures w14:val="none"/>
        </w:rPr>
        <w:t xml:space="preserve">eviews, and 31 provided 1,013 reviews between April 2025 and February 2026. </w:t>
      </w:r>
    </w:p>
    <w:p w14:paraId="51453B5A" w14:textId="77777777" w:rsidR="003F0408" w:rsidRPr="00D0306F" w:rsidRDefault="003F0408" w:rsidP="00FF3A53">
      <w:pPr>
        <w:rPr>
          <w:rFonts w:eastAsia="Times New Roman" w:cs="Arial"/>
          <w:b/>
          <w:kern w:val="0"/>
          <w:szCs w:val="22"/>
          <w:lang w:eastAsia="en-GB"/>
          <w14:ligatures w14:val="none"/>
        </w:rPr>
      </w:pPr>
    </w:p>
    <w:p w14:paraId="6802D185"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Figure 5.10: Total number of inhaler reviews claimed between April 2025 and February 2026</w:t>
      </w:r>
    </w:p>
    <w:p w14:paraId="4F2CD5C0" w14:textId="77777777" w:rsidR="003F0408" w:rsidRPr="003F0408" w:rsidRDefault="003F0408" w:rsidP="00FF3A53">
      <w:pPr>
        <w:rPr>
          <w:rFonts w:eastAsia="Times New Roman" w:cs="Arial"/>
          <w:b/>
          <w:kern w:val="0"/>
          <w:szCs w:val="22"/>
          <w:lang w:eastAsia="en-GB"/>
          <w14:ligatures w14:val="none"/>
        </w:rPr>
      </w:pPr>
    </w:p>
    <w:p w14:paraId="0610F8F3"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noProof/>
          <w:kern w:val="0"/>
          <w:szCs w:val="22"/>
          <w:lang w:eastAsia="en-GB"/>
          <w14:ligatures w14:val="none"/>
        </w:rPr>
        <w:drawing>
          <wp:inline distT="0" distB="0" distL="0" distR="0" wp14:anchorId="24AED5DD" wp14:editId="71E782C9">
            <wp:extent cx="5852795" cy="3359150"/>
            <wp:effectExtent l="0" t="0" r="0" b="0"/>
            <wp:docPr id="1940385438" name="Picture 10" descr="Grouped bar chart comparing monthly activity for 2024/25 and 2025/26. The 2024/25 series (blue) increases substantially over the year, rising from around 60–100 activities per month in spring and summer to approximately 180 in October, 150 in November, 170 in January, 325 in February, and a peak of about 385 in March. The 2025/26 series (pink) is shown from April to February and generally ranges between 50 and 200 activities. Activity peaks at around 200 in February, with other higher months including January (130) and September (110). In the first half of the year, 2025/26 is higher than 2024/25 in several months, particularly August and September, but from October onwards activity remains well below 2024/25 levels. The highest value on the chart is March 2024/25 at approximately 385 activ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0385438" name="Picture 10" descr="Grouped bar chart comparing monthly activity for 2024/25 and 2025/26. The 2024/25 series (blue) increases substantially over the year, rising from around 60–100 activities per month in spring and summer to approximately 180 in October, 150 in November, 170 in January, 325 in February, and a peak of about 385 in March. The 2025/26 series (pink) is shown from April to February and generally ranges between 50 and 200 activities. Activity peaks at around 200 in February, with other higher months including January (130) and September (110). In the first half of the year, 2025/26 is higher than 2024/25 in several months, particularly August and September, but from October onwards activity remains well below 2024/25 levels. The highest value on the chart is March 2024/25 at approximately 385 activities."/>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852795" cy="3359150"/>
                    </a:xfrm>
                    <a:prstGeom prst="rect">
                      <a:avLst/>
                    </a:prstGeom>
                    <a:noFill/>
                  </pic:spPr>
                </pic:pic>
              </a:graphicData>
            </a:graphic>
          </wp:inline>
        </w:drawing>
      </w:r>
    </w:p>
    <w:p w14:paraId="542B3FB8" w14:textId="77777777" w:rsidR="003F0408" w:rsidRDefault="003F0408" w:rsidP="00FF3A53">
      <w:pPr>
        <w:rPr>
          <w:rFonts w:eastAsia="Times New Roman" w:cs="Arial"/>
          <w:b/>
          <w:kern w:val="0"/>
          <w:szCs w:val="22"/>
          <w:lang w:eastAsia="en-GB"/>
          <w14:ligatures w14:val="none"/>
        </w:rPr>
      </w:pPr>
    </w:p>
    <w:p w14:paraId="37E3D9E7" w14:textId="77777777" w:rsidR="001D3F00" w:rsidRPr="003F0408" w:rsidRDefault="001D3F00" w:rsidP="00FF3A53">
      <w:pPr>
        <w:rPr>
          <w:rFonts w:eastAsia="Times New Roman" w:cs="Arial"/>
          <w:b/>
          <w:kern w:val="0"/>
          <w:szCs w:val="22"/>
          <w:lang w:eastAsia="en-GB"/>
          <w14:ligatures w14:val="none"/>
        </w:rPr>
      </w:pPr>
    </w:p>
    <w:p w14:paraId="1A384D96" w14:textId="77777777" w:rsidR="003F0408" w:rsidRPr="003F0408" w:rsidRDefault="003F0408" w:rsidP="00FF3A53">
      <w:pPr>
        <w:rPr>
          <w:rFonts w:eastAsia="Times New Roman" w:cs="Arial"/>
          <w:b/>
          <w:bCs/>
          <w:color w:val="000000"/>
          <w:kern w:val="0"/>
          <w:szCs w:val="22"/>
          <w:lang w:eastAsia="en-GB"/>
          <w14:ligatures w14:val="none"/>
        </w:rPr>
      </w:pPr>
      <w:r w:rsidRPr="003F0408">
        <w:rPr>
          <w:rFonts w:eastAsia="Times New Roman" w:cs="Arial"/>
          <w:b/>
          <w:bCs/>
          <w:color w:val="000000"/>
          <w:kern w:val="0"/>
          <w:szCs w:val="22"/>
          <w:lang w:eastAsia="en-GB"/>
          <w14:ligatures w14:val="none"/>
        </w:rPr>
        <w:lastRenderedPageBreak/>
        <w:t xml:space="preserve">5.1.5.4 Access to the medicines administration record service </w:t>
      </w:r>
    </w:p>
    <w:p w14:paraId="7D0541DD" w14:textId="77777777" w:rsidR="003F0408" w:rsidRPr="003F0408" w:rsidRDefault="003F0408" w:rsidP="00FF3A53">
      <w:pPr>
        <w:rPr>
          <w:rFonts w:eastAsia="Times New Roman" w:cs="Arial"/>
          <w:color w:val="000000"/>
          <w:kern w:val="0"/>
          <w:szCs w:val="22"/>
          <w:lang w:eastAsia="en-GB"/>
          <w14:ligatures w14:val="none"/>
        </w:rPr>
      </w:pPr>
    </w:p>
    <w:p w14:paraId="4DBCBB56"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 xml:space="preserve">77 of the pharmacies have signed up to provide this service. In 2024/25, 60 pharmacies provided a total of 1,669 record charts and in the first ten months of 2025/26, 77 pharmacies provided a total of 7,551 record charts. </w:t>
      </w:r>
    </w:p>
    <w:p w14:paraId="5C6BBC6A" w14:textId="77777777" w:rsidR="003F0408" w:rsidRPr="003F0408" w:rsidRDefault="003F0408" w:rsidP="00FF3A53">
      <w:pPr>
        <w:rPr>
          <w:rFonts w:eastAsia="Times New Roman" w:cs="Arial"/>
          <w:kern w:val="0"/>
          <w:szCs w:val="22"/>
          <w:lang w:eastAsia="en-GB"/>
          <w14:ligatures w14:val="none"/>
        </w:rPr>
      </w:pPr>
    </w:p>
    <w:p w14:paraId="2C28171C"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Figure 5.11: Total number of patients supplied with a medicines administration record chart, between January 2025 and January 2026</w:t>
      </w:r>
    </w:p>
    <w:p w14:paraId="190B5688" w14:textId="77777777" w:rsidR="003F0408" w:rsidRPr="003F0408" w:rsidRDefault="003F0408" w:rsidP="00FF3A53">
      <w:pPr>
        <w:rPr>
          <w:rFonts w:eastAsia="Times New Roman" w:cs="Arial"/>
          <w:kern w:val="0"/>
          <w:szCs w:val="22"/>
          <w:lang w:eastAsia="en-GB"/>
          <w14:ligatures w14:val="none"/>
        </w:rPr>
      </w:pPr>
    </w:p>
    <w:p w14:paraId="63034C36"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noProof/>
          <w:kern w:val="0"/>
          <w:szCs w:val="22"/>
          <w:lang w:eastAsia="en-GB"/>
          <w14:ligatures w14:val="none"/>
        </w:rPr>
        <w:drawing>
          <wp:inline distT="0" distB="0" distL="0" distR="0" wp14:anchorId="16BF4D75" wp14:editId="5661186D">
            <wp:extent cx="5596890" cy="2755900"/>
            <wp:effectExtent l="0" t="0" r="3810" b="6350"/>
            <wp:docPr id="972544151" name="Picture 11" descr="Bar chart showing the number of patients supplied from January 2025 to January 2026. Patient numbers increase from approximately 430 in January 2025 to over 800 by July 2025. After a slight dip in August (around 700), numbers rise again to about 810 in October before remaining relatively stable between 790 and 800 through January 2026. The highest value is in July 2025 at approximately 820 patients supplied, while the lowest is in January 2025 at around 430. Overall, the chart shows substantial growth in patients supplied during the first half of 2025, followed by consistently high levels for the remainder of the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2544151" name="Picture 11" descr="Bar chart showing the number of patients supplied from January 2025 to January 2026. Patient numbers increase from approximately 430 in January 2025 to over 800 by July 2025. After a slight dip in August (around 700), numbers rise again to about 810 in October before remaining relatively stable between 790 and 800 through January 2026. The highest value is in July 2025 at approximately 820 patients supplied, while the lowest is in January 2025 at around 430. Overall, the chart shows substantial growth in patients supplied during the first half of 2025, followed by consistently high levels for the remainder of the period."/>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596890" cy="2755900"/>
                    </a:xfrm>
                    <a:prstGeom prst="rect">
                      <a:avLst/>
                    </a:prstGeom>
                    <a:noFill/>
                  </pic:spPr>
                </pic:pic>
              </a:graphicData>
            </a:graphic>
          </wp:inline>
        </w:drawing>
      </w:r>
    </w:p>
    <w:p w14:paraId="108FA549" w14:textId="77777777" w:rsidR="003F0408" w:rsidRPr="00D0306F" w:rsidRDefault="003F0408" w:rsidP="00FF3A53">
      <w:pPr>
        <w:rPr>
          <w:rFonts w:eastAsia="Times New Roman" w:cs="Arial"/>
          <w:kern w:val="0"/>
          <w:szCs w:val="22"/>
          <w:lang w:eastAsia="en-GB"/>
          <w14:ligatures w14:val="none"/>
        </w:rPr>
      </w:pPr>
    </w:p>
    <w:p w14:paraId="7293F7BD" w14:textId="77777777" w:rsidR="00FC387E" w:rsidRPr="003F0408" w:rsidRDefault="00FC387E" w:rsidP="00FF3A53">
      <w:pPr>
        <w:rPr>
          <w:rFonts w:eastAsia="Times New Roman" w:cs="Arial"/>
          <w:kern w:val="0"/>
          <w:szCs w:val="22"/>
          <w:lang w:eastAsia="en-GB"/>
          <w14:ligatures w14:val="none"/>
        </w:rPr>
      </w:pPr>
    </w:p>
    <w:p w14:paraId="71C4AA0C" w14:textId="77777777" w:rsidR="003F0408" w:rsidRPr="003F0408" w:rsidRDefault="003F0408" w:rsidP="00FF3A53">
      <w:pPr>
        <w:rPr>
          <w:rFonts w:eastAsia="Times New Roman" w:cs="Arial"/>
          <w:color w:val="000000"/>
          <w:kern w:val="0"/>
          <w:szCs w:val="22"/>
          <w:lang w:eastAsia="en-GB"/>
          <w14:ligatures w14:val="none"/>
        </w:rPr>
      </w:pPr>
      <w:r w:rsidRPr="003F0408">
        <w:rPr>
          <w:rFonts w:eastAsia="Times New Roman" w:cs="Arial"/>
          <w:b/>
          <w:kern w:val="0"/>
          <w:szCs w:val="22"/>
          <w:lang w:eastAsia="en-GB"/>
          <w14:ligatures w14:val="none"/>
        </w:rPr>
        <w:t>5.1.5.5 Access to n</w:t>
      </w:r>
      <w:r w:rsidRPr="003F0408">
        <w:rPr>
          <w:rFonts w:eastAsia="Times New Roman" w:cs="Arial"/>
          <w:b/>
          <w:bCs/>
          <w:color w:val="000000"/>
          <w:kern w:val="0"/>
          <w:szCs w:val="22"/>
          <w:lang w:eastAsia="en-GB"/>
          <w14:ligatures w14:val="none"/>
        </w:rPr>
        <w:t xml:space="preserve">eedle and syringe programmes </w:t>
      </w:r>
    </w:p>
    <w:p w14:paraId="20BC87F8" w14:textId="77777777" w:rsidR="003F0408" w:rsidRPr="003F0408" w:rsidRDefault="003F0408" w:rsidP="00FF3A53">
      <w:pPr>
        <w:rPr>
          <w:rFonts w:eastAsia="Times New Roman" w:cs="Arial"/>
          <w:kern w:val="0"/>
          <w:szCs w:val="22"/>
          <w:lang w:eastAsia="en-GB"/>
          <w14:ligatures w14:val="none"/>
        </w:rPr>
      </w:pPr>
    </w:p>
    <w:p w14:paraId="7BB90770"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color w:val="000000"/>
          <w:kern w:val="0"/>
          <w:szCs w:val="22"/>
          <w:shd w:val="clear" w:color="auto" w:fill="FFFFFF"/>
          <w:lang w:eastAsia="en-GB"/>
          <w14:ligatures w14:val="none"/>
        </w:rPr>
        <w:t>22 of the pharmacies have signed up to provide this service. In 2024/25, 14 pharmacies provided a total of 2,303</w:t>
      </w:r>
      <w:r w:rsidRPr="003F0408">
        <w:rPr>
          <w:rFonts w:eastAsia="Times New Roman" w:cs="Arial"/>
          <w:kern w:val="0"/>
          <w:szCs w:val="22"/>
          <w:lang w:eastAsia="en-GB"/>
          <w14:ligatures w14:val="none"/>
        </w:rPr>
        <w:t xml:space="preserve"> needle and syringe packs and in the first ten months of 2025/26, 16 pharmacies provided a total of 1,938 needle and syringe packs. </w:t>
      </w:r>
    </w:p>
    <w:p w14:paraId="045F456F" w14:textId="77777777" w:rsidR="003F0408" w:rsidRDefault="003F0408" w:rsidP="00FF3A53">
      <w:pPr>
        <w:rPr>
          <w:rFonts w:eastAsia="Times New Roman" w:cs="Arial"/>
          <w:b/>
          <w:kern w:val="0"/>
          <w:szCs w:val="22"/>
          <w:lang w:eastAsia="en-GB"/>
          <w14:ligatures w14:val="none"/>
        </w:rPr>
      </w:pPr>
    </w:p>
    <w:p w14:paraId="0401E49F" w14:textId="77777777" w:rsidR="001D3F00" w:rsidRDefault="001D3F00" w:rsidP="00FF3A53">
      <w:pPr>
        <w:rPr>
          <w:rFonts w:eastAsia="Times New Roman" w:cs="Arial"/>
          <w:b/>
          <w:kern w:val="0"/>
          <w:szCs w:val="22"/>
          <w:lang w:eastAsia="en-GB"/>
          <w14:ligatures w14:val="none"/>
        </w:rPr>
      </w:pPr>
    </w:p>
    <w:p w14:paraId="0BD2F236" w14:textId="77777777" w:rsidR="001D3F00" w:rsidRDefault="001D3F00" w:rsidP="00FF3A53">
      <w:pPr>
        <w:rPr>
          <w:rFonts w:eastAsia="Times New Roman" w:cs="Arial"/>
          <w:b/>
          <w:kern w:val="0"/>
          <w:szCs w:val="22"/>
          <w:lang w:eastAsia="en-GB"/>
          <w14:ligatures w14:val="none"/>
        </w:rPr>
      </w:pPr>
    </w:p>
    <w:p w14:paraId="1E06C8FE" w14:textId="77777777" w:rsidR="001D3F00" w:rsidRDefault="001D3F00" w:rsidP="00FF3A53">
      <w:pPr>
        <w:rPr>
          <w:rFonts w:eastAsia="Times New Roman" w:cs="Arial"/>
          <w:b/>
          <w:kern w:val="0"/>
          <w:szCs w:val="22"/>
          <w:lang w:eastAsia="en-GB"/>
          <w14:ligatures w14:val="none"/>
        </w:rPr>
      </w:pPr>
    </w:p>
    <w:p w14:paraId="54E8DB01" w14:textId="77777777" w:rsidR="001D3F00" w:rsidRDefault="001D3F00" w:rsidP="00FF3A53">
      <w:pPr>
        <w:rPr>
          <w:rFonts w:eastAsia="Times New Roman" w:cs="Arial"/>
          <w:b/>
          <w:kern w:val="0"/>
          <w:szCs w:val="22"/>
          <w:lang w:eastAsia="en-GB"/>
          <w14:ligatures w14:val="none"/>
        </w:rPr>
      </w:pPr>
    </w:p>
    <w:p w14:paraId="578CC156" w14:textId="77777777" w:rsidR="001D3F00" w:rsidRDefault="001D3F00" w:rsidP="00FF3A53">
      <w:pPr>
        <w:rPr>
          <w:rFonts w:eastAsia="Times New Roman" w:cs="Arial"/>
          <w:b/>
          <w:kern w:val="0"/>
          <w:szCs w:val="22"/>
          <w:lang w:eastAsia="en-GB"/>
          <w14:ligatures w14:val="none"/>
        </w:rPr>
      </w:pPr>
    </w:p>
    <w:p w14:paraId="6D751DEB" w14:textId="77777777" w:rsidR="001D3F00" w:rsidRDefault="001D3F00" w:rsidP="00FF3A53">
      <w:pPr>
        <w:rPr>
          <w:rFonts w:eastAsia="Times New Roman" w:cs="Arial"/>
          <w:b/>
          <w:kern w:val="0"/>
          <w:szCs w:val="22"/>
          <w:lang w:eastAsia="en-GB"/>
          <w14:ligatures w14:val="none"/>
        </w:rPr>
      </w:pPr>
    </w:p>
    <w:p w14:paraId="2B8177EE" w14:textId="77777777" w:rsidR="001D3F00" w:rsidRDefault="001D3F00" w:rsidP="00FF3A53">
      <w:pPr>
        <w:rPr>
          <w:rFonts w:eastAsia="Times New Roman" w:cs="Arial"/>
          <w:b/>
          <w:kern w:val="0"/>
          <w:szCs w:val="22"/>
          <w:lang w:eastAsia="en-GB"/>
          <w14:ligatures w14:val="none"/>
        </w:rPr>
      </w:pPr>
    </w:p>
    <w:p w14:paraId="344DB01B" w14:textId="77777777" w:rsidR="001D3F00" w:rsidRDefault="001D3F00" w:rsidP="00FF3A53">
      <w:pPr>
        <w:rPr>
          <w:rFonts w:eastAsia="Times New Roman" w:cs="Arial"/>
          <w:b/>
          <w:kern w:val="0"/>
          <w:szCs w:val="22"/>
          <w:lang w:eastAsia="en-GB"/>
          <w14:ligatures w14:val="none"/>
        </w:rPr>
      </w:pPr>
    </w:p>
    <w:p w14:paraId="2B47D4BB" w14:textId="77777777" w:rsidR="001D3F00" w:rsidRDefault="001D3F00" w:rsidP="00FF3A53">
      <w:pPr>
        <w:rPr>
          <w:rFonts w:eastAsia="Times New Roman" w:cs="Arial"/>
          <w:b/>
          <w:kern w:val="0"/>
          <w:szCs w:val="22"/>
          <w:lang w:eastAsia="en-GB"/>
          <w14:ligatures w14:val="none"/>
        </w:rPr>
      </w:pPr>
    </w:p>
    <w:p w14:paraId="392C52EC" w14:textId="77777777" w:rsidR="001D3F00" w:rsidRDefault="001D3F00" w:rsidP="00FF3A53">
      <w:pPr>
        <w:rPr>
          <w:rFonts w:eastAsia="Times New Roman" w:cs="Arial"/>
          <w:b/>
          <w:kern w:val="0"/>
          <w:szCs w:val="22"/>
          <w:lang w:eastAsia="en-GB"/>
          <w14:ligatures w14:val="none"/>
        </w:rPr>
      </w:pPr>
    </w:p>
    <w:p w14:paraId="6BD150F9" w14:textId="77777777" w:rsidR="001D3F00" w:rsidRDefault="001D3F00" w:rsidP="00FF3A53">
      <w:pPr>
        <w:rPr>
          <w:rFonts w:eastAsia="Times New Roman" w:cs="Arial"/>
          <w:b/>
          <w:kern w:val="0"/>
          <w:szCs w:val="22"/>
          <w:lang w:eastAsia="en-GB"/>
          <w14:ligatures w14:val="none"/>
        </w:rPr>
      </w:pPr>
    </w:p>
    <w:p w14:paraId="4FE3B11D" w14:textId="77777777" w:rsidR="001D3F00" w:rsidRDefault="001D3F00" w:rsidP="00FF3A53">
      <w:pPr>
        <w:rPr>
          <w:rFonts w:eastAsia="Times New Roman" w:cs="Arial"/>
          <w:b/>
          <w:kern w:val="0"/>
          <w:szCs w:val="22"/>
          <w:lang w:eastAsia="en-GB"/>
          <w14:ligatures w14:val="none"/>
        </w:rPr>
      </w:pPr>
    </w:p>
    <w:p w14:paraId="5E760BD9" w14:textId="77777777" w:rsidR="001D3F00" w:rsidRDefault="001D3F00" w:rsidP="00FF3A53">
      <w:pPr>
        <w:rPr>
          <w:rFonts w:eastAsia="Times New Roman" w:cs="Arial"/>
          <w:b/>
          <w:kern w:val="0"/>
          <w:szCs w:val="22"/>
          <w:lang w:eastAsia="en-GB"/>
          <w14:ligatures w14:val="none"/>
        </w:rPr>
      </w:pPr>
    </w:p>
    <w:p w14:paraId="414E6883" w14:textId="77777777" w:rsidR="001D3F00" w:rsidRDefault="001D3F00" w:rsidP="00FF3A53">
      <w:pPr>
        <w:rPr>
          <w:rFonts w:eastAsia="Times New Roman" w:cs="Arial"/>
          <w:b/>
          <w:kern w:val="0"/>
          <w:szCs w:val="22"/>
          <w:lang w:eastAsia="en-GB"/>
          <w14:ligatures w14:val="none"/>
        </w:rPr>
      </w:pPr>
    </w:p>
    <w:p w14:paraId="0927A8C6" w14:textId="77777777" w:rsidR="001D3F00" w:rsidRPr="003F0408" w:rsidRDefault="001D3F00" w:rsidP="00FF3A53">
      <w:pPr>
        <w:rPr>
          <w:rFonts w:eastAsia="Times New Roman" w:cs="Arial"/>
          <w:b/>
          <w:kern w:val="0"/>
          <w:szCs w:val="22"/>
          <w:lang w:eastAsia="en-GB"/>
          <w14:ligatures w14:val="none"/>
        </w:rPr>
      </w:pPr>
    </w:p>
    <w:p w14:paraId="55F75C9C"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lastRenderedPageBreak/>
        <w:t>Figure 5.12: Total number of needle and syringe packs supplied between April 2024 and January 2026</w:t>
      </w:r>
    </w:p>
    <w:p w14:paraId="0DA8A9BC" w14:textId="77777777" w:rsidR="003F0408" w:rsidRPr="003F0408" w:rsidRDefault="003F0408" w:rsidP="00FF3A53">
      <w:pPr>
        <w:rPr>
          <w:rFonts w:eastAsia="Times New Roman" w:cs="Arial"/>
          <w:color w:val="000000"/>
          <w:kern w:val="0"/>
          <w:szCs w:val="22"/>
          <w:shd w:val="clear" w:color="auto" w:fill="FFFFFF"/>
          <w:lang w:eastAsia="en-GB"/>
          <w14:ligatures w14:val="none"/>
        </w:rPr>
      </w:pPr>
    </w:p>
    <w:p w14:paraId="1A845BB4" w14:textId="77777777" w:rsidR="003F0408" w:rsidRPr="003F0408" w:rsidRDefault="003F0408" w:rsidP="00FF3A53">
      <w:pPr>
        <w:rPr>
          <w:rFonts w:eastAsia="Times New Roman" w:cs="Arial"/>
          <w:color w:val="000000"/>
          <w:kern w:val="0"/>
          <w:szCs w:val="22"/>
          <w:shd w:val="clear" w:color="auto" w:fill="FFFFFF"/>
          <w:lang w:eastAsia="en-GB"/>
          <w14:ligatures w14:val="none"/>
        </w:rPr>
      </w:pPr>
      <w:r w:rsidRPr="003F0408">
        <w:rPr>
          <w:rFonts w:eastAsia="Times New Roman" w:cs="Arial"/>
          <w:noProof/>
          <w:color w:val="000000"/>
          <w:kern w:val="0"/>
          <w:szCs w:val="22"/>
          <w:shd w:val="clear" w:color="auto" w:fill="FFFFFF"/>
          <w:lang w:eastAsia="en-GB"/>
          <w14:ligatures w14:val="none"/>
        </w:rPr>
        <w:drawing>
          <wp:inline distT="0" distB="0" distL="0" distR="0" wp14:anchorId="00212EA6" wp14:editId="75BFB471">
            <wp:extent cx="5596890" cy="2755900"/>
            <wp:effectExtent l="0" t="0" r="3810" b="6350"/>
            <wp:docPr id="1853258578" name="Picture 12" descr="Grouped bar chart showing the number of supplies by month for 2024/25 and 2025/26. The 2024/25 series (blue) remains relatively stable, ranging from approximately 175 to 262 supplies per month. Supplies peak in February at about 262 and are lowest in November at around 175. The 2025/26 series (pink) is shown from April to December and ranges from approximately 158 to 216 supplies. The highest value is in April at around 216 supplies, while the lowest is in November at about 158. Compared with the same months in 2024/25, 2025/26 records higher supply numbers in April and June, is similar in July, and is lower in most other months. Overall, monthly supply numbers are fairly consistent across both years, typically between 175 and 220 suppl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3258578" name="Picture 12" descr="Grouped bar chart showing the number of supplies by month for 2024/25 and 2025/26. The 2024/25 series (blue) remains relatively stable, ranging from approximately 175 to 262 supplies per month. Supplies peak in February at about 262 and are lowest in November at around 175. The 2025/26 series (pink) is shown from April to December and ranges from approximately 158 to 216 supplies. The highest value is in April at around 216 supplies, while the lowest is in November at about 158. Compared with the same months in 2024/25, 2025/26 records higher supply numbers in April and June, is similar in July, and is lower in most other months. Overall, monthly supply numbers are fairly consistent across both years, typically between 175 and 220 supplies."/>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596890" cy="2755900"/>
                    </a:xfrm>
                    <a:prstGeom prst="rect">
                      <a:avLst/>
                    </a:prstGeom>
                    <a:noFill/>
                  </pic:spPr>
                </pic:pic>
              </a:graphicData>
            </a:graphic>
          </wp:inline>
        </w:drawing>
      </w:r>
    </w:p>
    <w:p w14:paraId="62BECA07" w14:textId="77777777" w:rsidR="003F0408" w:rsidRPr="003F0408" w:rsidRDefault="003F0408" w:rsidP="00FF3A53">
      <w:pPr>
        <w:rPr>
          <w:rFonts w:eastAsia="Times New Roman" w:cs="Arial"/>
          <w:color w:val="000000"/>
          <w:kern w:val="0"/>
          <w:szCs w:val="22"/>
          <w:shd w:val="clear" w:color="auto" w:fill="FFFFFF"/>
          <w:lang w:eastAsia="en-GB"/>
          <w14:ligatures w14:val="none"/>
        </w:rPr>
      </w:pPr>
    </w:p>
    <w:p w14:paraId="4C594CE1"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5.1.5.6 Access to help me quit @ pharmacy (level 2 smoking cessation) service</w:t>
      </w:r>
    </w:p>
    <w:p w14:paraId="18E72184" w14:textId="77777777" w:rsidR="003F0408" w:rsidRPr="003F0408" w:rsidRDefault="003F0408" w:rsidP="00FF3A53">
      <w:pPr>
        <w:rPr>
          <w:rFonts w:eastAsia="Times New Roman" w:cs="Arial"/>
          <w:kern w:val="0"/>
          <w:szCs w:val="22"/>
          <w:lang w:eastAsia="en-GB"/>
          <w14:ligatures w14:val="none"/>
        </w:rPr>
      </w:pPr>
    </w:p>
    <w:p w14:paraId="75FD8D42"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color w:val="000000"/>
          <w:kern w:val="0"/>
          <w:szCs w:val="22"/>
          <w:shd w:val="clear" w:color="auto" w:fill="FFFFFF"/>
          <w:lang w:eastAsia="en-GB"/>
          <w14:ligatures w14:val="none"/>
        </w:rPr>
        <w:t>86 of the pharmacies have signed up to provide this service. In 2024/25, 74 pharmacies provided a total of 2,739 level 2 smoking cessation consultations and in the first ten months of 2025/26, 67</w:t>
      </w:r>
      <w:r w:rsidRPr="003F0408">
        <w:rPr>
          <w:rFonts w:eastAsia="Times New Roman" w:cs="Arial"/>
          <w:kern w:val="0"/>
          <w:szCs w:val="22"/>
          <w:lang w:eastAsia="en-GB"/>
          <w14:ligatures w14:val="none"/>
        </w:rPr>
        <w:t xml:space="preserve"> pharmacies provided a total 1,888 level 2 smoking cessation consultations.</w:t>
      </w:r>
    </w:p>
    <w:p w14:paraId="1B2101AF" w14:textId="77777777" w:rsidR="003F0408" w:rsidRPr="00D0306F" w:rsidRDefault="003F0408" w:rsidP="00FF3A53">
      <w:pPr>
        <w:rPr>
          <w:rFonts w:eastAsia="Times New Roman" w:cs="Arial"/>
          <w:kern w:val="0"/>
          <w:szCs w:val="22"/>
          <w:lang w:eastAsia="en-GB"/>
          <w14:ligatures w14:val="none"/>
        </w:rPr>
      </w:pPr>
    </w:p>
    <w:p w14:paraId="5C4A4ED8"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Figure 5.13: Total number of level 2 smoking cessation consultations claimed between April 2024 and January 2026</w:t>
      </w:r>
    </w:p>
    <w:p w14:paraId="29BF9E1F" w14:textId="77777777" w:rsidR="003F0408" w:rsidRPr="003F0408" w:rsidRDefault="003F0408" w:rsidP="00FF3A53">
      <w:pPr>
        <w:rPr>
          <w:rFonts w:eastAsia="Times New Roman" w:cs="Arial"/>
          <w:kern w:val="0"/>
          <w:szCs w:val="22"/>
          <w:lang w:eastAsia="en-GB"/>
          <w14:ligatures w14:val="none"/>
        </w:rPr>
      </w:pPr>
    </w:p>
    <w:p w14:paraId="3721C316"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noProof/>
          <w:kern w:val="0"/>
          <w:szCs w:val="22"/>
          <w:lang w:eastAsia="en-GB"/>
          <w14:ligatures w14:val="none"/>
        </w:rPr>
        <w:drawing>
          <wp:inline distT="0" distB="0" distL="0" distR="0" wp14:anchorId="76221547" wp14:editId="29383D60">
            <wp:extent cx="5681980" cy="2646045"/>
            <wp:effectExtent l="0" t="0" r="0" b="1905"/>
            <wp:docPr id="1374954643" name="Picture 13" descr="Grouped bar chart showing the number of claims by month for 2024/25 and 2025/26. The 2024/25 series (blue) ranges from approximately 115 to 323 claims per month, with the highest value in April (about 323 claims) and another peak in October (about 292 claims). The 2025/26 series (pink) is shown from April to January and ranges from around 95 to 307 claims. Claims peak in August at approximately 307 and remain high in January at about 285. Compared with the same months in 2024/25, 2025/26 records higher claim numbers in August, September, and January, but lower numbers in most other months. Overall, claim volumes fluctuate considerably throughout both years, with monthly totals generally ranging between 100 and 325 clai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4954643" name="Picture 13" descr="Grouped bar chart showing the number of claims by month for 2024/25 and 2025/26. The 2024/25 series (blue) ranges from approximately 115 to 323 claims per month, with the highest value in April (about 323 claims) and another peak in October (about 292 claims). The 2025/26 series (pink) is shown from April to January and ranges from around 95 to 307 claims. Claims peak in August at approximately 307 and remain high in January at about 285. Compared with the same months in 2024/25, 2025/26 records higher claim numbers in August, September, and January, but lower numbers in most other months. Overall, claim volumes fluctuate considerably throughout both years, with monthly totals generally ranging between 100 and 325 claims."/>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681980" cy="2646045"/>
                    </a:xfrm>
                    <a:prstGeom prst="rect">
                      <a:avLst/>
                    </a:prstGeom>
                    <a:noFill/>
                  </pic:spPr>
                </pic:pic>
              </a:graphicData>
            </a:graphic>
          </wp:inline>
        </w:drawing>
      </w:r>
    </w:p>
    <w:p w14:paraId="2545E2D5" w14:textId="77777777" w:rsidR="003F0408" w:rsidRDefault="003F0408" w:rsidP="00FF3A53">
      <w:pPr>
        <w:rPr>
          <w:rFonts w:eastAsia="Times New Roman" w:cs="Arial"/>
          <w:kern w:val="0"/>
          <w:szCs w:val="22"/>
          <w:lang w:eastAsia="en-GB"/>
          <w14:ligatures w14:val="none"/>
        </w:rPr>
      </w:pPr>
    </w:p>
    <w:p w14:paraId="051BD5EE"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5.1.5.7 Access to the help me quit @ pharmacy (level 3 smoking cessation) service</w:t>
      </w:r>
    </w:p>
    <w:p w14:paraId="17EAC90E" w14:textId="77777777" w:rsidR="003F0408" w:rsidRPr="003F0408" w:rsidRDefault="003F0408" w:rsidP="00FF3A53">
      <w:pPr>
        <w:rPr>
          <w:rFonts w:eastAsia="Times New Roman" w:cs="Arial"/>
          <w:color w:val="000000"/>
          <w:kern w:val="0"/>
          <w:szCs w:val="22"/>
          <w:shd w:val="clear" w:color="auto" w:fill="FFFFFF"/>
          <w:lang w:eastAsia="en-GB"/>
          <w14:ligatures w14:val="none"/>
        </w:rPr>
      </w:pPr>
    </w:p>
    <w:p w14:paraId="220F1336" w14:textId="77777777" w:rsidR="00E61C29" w:rsidRDefault="003F0408" w:rsidP="00FF3A53">
      <w:pPr>
        <w:rPr>
          <w:rFonts w:eastAsia="Times New Roman" w:cs="Arial"/>
          <w:color w:val="000000"/>
          <w:kern w:val="0"/>
          <w:szCs w:val="22"/>
          <w:shd w:val="clear" w:color="auto" w:fill="FFFFFF"/>
          <w:lang w:eastAsia="en-GB"/>
          <w14:ligatures w14:val="none"/>
        </w:rPr>
      </w:pPr>
      <w:r w:rsidRPr="003F0408">
        <w:rPr>
          <w:rFonts w:eastAsia="Times New Roman" w:cs="Arial"/>
          <w:color w:val="000000"/>
          <w:kern w:val="0"/>
          <w:szCs w:val="22"/>
          <w:shd w:val="clear" w:color="auto" w:fill="FFFFFF"/>
          <w:lang w:eastAsia="en-GB"/>
          <w14:ligatures w14:val="none"/>
        </w:rPr>
        <w:t xml:space="preserve">67 of the pharmacies have signed up to provide this service. In 2024/25, 50 </w:t>
      </w:r>
    </w:p>
    <w:p w14:paraId="252FDD67" w14:textId="496E285B" w:rsidR="003F0408" w:rsidRPr="003F0408" w:rsidRDefault="003F0408" w:rsidP="00FF3A53">
      <w:pPr>
        <w:rPr>
          <w:rFonts w:eastAsia="Times New Roman" w:cs="Arial"/>
          <w:color w:val="000000"/>
          <w:kern w:val="0"/>
          <w:szCs w:val="22"/>
          <w:shd w:val="clear" w:color="auto" w:fill="FFFFFF"/>
          <w:lang w:eastAsia="en-GB"/>
          <w14:ligatures w14:val="none"/>
        </w:rPr>
      </w:pPr>
      <w:r w:rsidRPr="003F0408">
        <w:rPr>
          <w:rFonts w:eastAsia="Times New Roman" w:cs="Arial"/>
          <w:color w:val="000000"/>
          <w:kern w:val="0"/>
          <w:szCs w:val="22"/>
          <w:shd w:val="clear" w:color="auto" w:fill="FFFFFF"/>
          <w:lang w:eastAsia="en-GB"/>
          <w14:ligatures w14:val="none"/>
        </w:rPr>
        <w:lastRenderedPageBreak/>
        <w:t>pharmacies provided a total of 3,565 level 3 smoking cessation consultations and in the first ten months of 2025/26, 53 pharmacies provided a total of 3,033 level 3 smoking cessation consultations.</w:t>
      </w:r>
    </w:p>
    <w:p w14:paraId="384D7E8D" w14:textId="77777777" w:rsidR="003F0408" w:rsidRPr="003F0408" w:rsidRDefault="003F0408" w:rsidP="00FF3A53">
      <w:pPr>
        <w:rPr>
          <w:rFonts w:eastAsia="Times New Roman" w:cs="Arial"/>
          <w:color w:val="000000"/>
          <w:kern w:val="0"/>
          <w:szCs w:val="22"/>
          <w:shd w:val="clear" w:color="auto" w:fill="FFFFFF"/>
          <w:lang w:eastAsia="en-GB"/>
          <w14:ligatures w14:val="none"/>
        </w:rPr>
      </w:pPr>
    </w:p>
    <w:p w14:paraId="0FFCC1AA" w14:textId="77777777" w:rsidR="003F0408" w:rsidRPr="003F0408" w:rsidRDefault="003F0408" w:rsidP="00FF3A53">
      <w:pPr>
        <w:rPr>
          <w:rFonts w:eastAsia="Times New Roman" w:cs="Arial"/>
          <w:b/>
          <w:bCs/>
          <w:color w:val="000000"/>
          <w:kern w:val="0"/>
          <w:szCs w:val="22"/>
          <w:shd w:val="clear" w:color="auto" w:fill="FFFFFF"/>
          <w:lang w:eastAsia="en-GB"/>
          <w14:ligatures w14:val="none"/>
        </w:rPr>
      </w:pPr>
      <w:r w:rsidRPr="003F0408">
        <w:rPr>
          <w:rFonts w:eastAsia="Times New Roman" w:cs="Arial"/>
          <w:b/>
          <w:bCs/>
          <w:color w:val="000000"/>
          <w:kern w:val="0"/>
          <w:szCs w:val="22"/>
          <w:shd w:val="clear" w:color="auto" w:fill="FFFFFF"/>
          <w:lang w:eastAsia="en-GB"/>
          <w14:ligatures w14:val="none"/>
        </w:rPr>
        <w:t>Figure 5.14: Total number of level 3 smoking cessation consultations claimed between April 2024 and January 2026</w:t>
      </w:r>
    </w:p>
    <w:p w14:paraId="6E9E5372" w14:textId="77777777" w:rsidR="003F0408" w:rsidRPr="003F0408" w:rsidRDefault="003F0408" w:rsidP="00FF3A53">
      <w:pPr>
        <w:rPr>
          <w:rFonts w:eastAsia="Times New Roman" w:cs="Arial"/>
          <w:b/>
          <w:bCs/>
          <w:color w:val="000000"/>
          <w:kern w:val="0"/>
          <w:szCs w:val="22"/>
          <w:shd w:val="clear" w:color="auto" w:fill="FFFFFF"/>
          <w:lang w:eastAsia="en-GB"/>
          <w14:ligatures w14:val="none"/>
        </w:rPr>
      </w:pPr>
    </w:p>
    <w:p w14:paraId="4AF44190" w14:textId="77777777" w:rsidR="003F0408" w:rsidRPr="003F0408" w:rsidRDefault="003F0408" w:rsidP="00FF3A53">
      <w:pPr>
        <w:rPr>
          <w:rFonts w:eastAsia="Times New Roman" w:cs="Arial"/>
          <w:b/>
          <w:bCs/>
          <w:kern w:val="0"/>
          <w:szCs w:val="22"/>
          <w:lang w:eastAsia="en-GB"/>
          <w14:ligatures w14:val="none"/>
        </w:rPr>
      </w:pPr>
      <w:r w:rsidRPr="003F0408">
        <w:rPr>
          <w:rFonts w:eastAsia="Times New Roman" w:cs="Arial"/>
          <w:b/>
          <w:bCs/>
          <w:noProof/>
          <w:kern w:val="0"/>
          <w:szCs w:val="22"/>
          <w:lang w:eastAsia="en-GB"/>
          <w14:ligatures w14:val="none"/>
        </w:rPr>
        <w:drawing>
          <wp:inline distT="0" distB="0" distL="0" distR="0" wp14:anchorId="063EB267" wp14:editId="390566D5">
            <wp:extent cx="5633085" cy="2646045"/>
            <wp:effectExtent l="0" t="0" r="5715" b="1905"/>
            <wp:docPr id="2115926591" name="Picture 14" descr="Grouped bar chart showing the number of claims by month for 2024/25 and 2025/26. The 2024/25 series (blue) ranges from approximately 190 to 390 claims per month, with lower activity in spring and summer and higher activity from October onwards. Claims peak at about 390 in March and 370 in February. The 2025/26 series (pink) is shown from April to January and ranges from around 200 to 410 claims. The highest values occur in May, July, and January, each at approximately 400–410 claims. Compared with the same months in 2024/25, 2025/26 records substantially higher claim numbers in May, July, and January, while October is notably lower. Overall, claim volumes fluctuate throughout both years, with the highest monthly total being approximately 410 claims in January 202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5926591" name="Picture 14" descr="Grouped bar chart showing the number of claims by month for 2024/25 and 2025/26. The 2024/25 series (blue) ranges from approximately 190 to 390 claims per month, with lower activity in spring and summer and higher activity from October onwards. Claims peak at about 390 in March and 370 in February. The 2025/26 series (pink) is shown from April to January and ranges from around 200 to 410 claims. The highest values occur in May, July, and January, each at approximately 400–410 claims. Compared with the same months in 2024/25, 2025/26 records substantially higher claim numbers in May, July, and January, while October is notably lower. Overall, claim volumes fluctuate throughout both years, with the highest monthly total being approximately 410 claims in January 2025/2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633085" cy="2646045"/>
                    </a:xfrm>
                    <a:prstGeom prst="rect">
                      <a:avLst/>
                    </a:prstGeom>
                    <a:noFill/>
                  </pic:spPr>
                </pic:pic>
              </a:graphicData>
            </a:graphic>
          </wp:inline>
        </w:drawing>
      </w:r>
    </w:p>
    <w:p w14:paraId="1784029D" w14:textId="77777777" w:rsidR="003F0408" w:rsidRPr="00D0306F" w:rsidRDefault="003F0408" w:rsidP="00FF3A53">
      <w:pPr>
        <w:rPr>
          <w:rFonts w:eastAsia="Times New Roman" w:cs="Arial"/>
          <w:b/>
          <w:kern w:val="0"/>
          <w:szCs w:val="22"/>
          <w:lang w:eastAsia="en-GB"/>
          <w14:ligatures w14:val="none"/>
        </w:rPr>
      </w:pPr>
    </w:p>
    <w:p w14:paraId="3E64F795" w14:textId="77777777" w:rsidR="003F0408" w:rsidRPr="003F0408" w:rsidRDefault="003F0408" w:rsidP="00FF3A53">
      <w:pPr>
        <w:rPr>
          <w:rFonts w:eastAsia="Times New Roman" w:cs="Arial"/>
          <w:b/>
          <w:bCs/>
          <w:color w:val="000000"/>
          <w:kern w:val="0"/>
          <w:szCs w:val="22"/>
          <w:lang w:eastAsia="en-GB"/>
          <w14:ligatures w14:val="none"/>
        </w:rPr>
      </w:pPr>
      <w:r w:rsidRPr="003F0408">
        <w:rPr>
          <w:rFonts w:eastAsia="Times New Roman" w:cs="Arial"/>
          <w:b/>
          <w:bCs/>
          <w:color w:val="000000"/>
          <w:kern w:val="0"/>
          <w:szCs w:val="22"/>
          <w:lang w:eastAsia="en-GB"/>
          <w14:ligatures w14:val="none"/>
        </w:rPr>
        <w:t xml:space="preserve">5.1.5.8 Access to just in case service (palliative care service) </w:t>
      </w:r>
    </w:p>
    <w:p w14:paraId="427AF1F6" w14:textId="77777777" w:rsidR="003F0408" w:rsidRPr="003F0408" w:rsidRDefault="003F0408" w:rsidP="00FF3A53">
      <w:pPr>
        <w:rPr>
          <w:rFonts w:eastAsia="Times New Roman" w:cs="Arial"/>
          <w:color w:val="000000"/>
          <w:kern w:val="0"/>
          <w:szCs w:val="22"/>
          <w:lang w:eastAsia="en-GB"/>
          <w14:ligatures w14:val="none"/>
        </w:rPr>
      </w:pPr>
    </w:p>
    <w:p w14:paraId="01A13440"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 xml:space="preserve">62 of the pharmacies signed up to provide this service. In 2024/25, seven pharmacies provided a total of 28 packs and in the first ten months of 2025/26, eight pharmacies provided a total of 38 packs. </w:t>
      </w:r>
    </w:p>
    <w:p w14:paraId="205E3279" w14:textId="77777777" w:rsidR="003F0408" w:rsidRPr="003F0408" w:rsidRDefault="003F0408" w:rsidP="00FF3A53">
      <w:pPr>
        <w:rPr>
          <w:rFonts w:eastAsia="Times New Roman" w:cs="Arial"/>
          <w:kern w:val="0"/>
          <w:szCs w:val="22"/>
          <w:lang w:eastAsia="en-GB"/>
          <w14:ligatures w14:val="none"/>
        </w:rPr>
      </w:pPr>
    </w:p>
    <w:p w14:paraId="58C320C7"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Figure 5.15: Total number of just in case packs supplied and claimed between April 2024 and January 2026</w:t>
      </w:r>
    </w:p>
    <w:p w14:paraId="50CD48F2" w14:textId="77777777" w:rsidR="003F0408" w:rsidRPr="003F0408" w:rsidRDefault="003F0408" w:rsidP="00FF3A53">
      <w:pPr>
        <w:rPr>
          <w:rFonts w:eastAsia="Times New Roman" w:cs="Arial"/>
          <w:b/>
          <w:kern w:val="0"/>
          <w:szCs w:val="22"/>
          <w:lang w:eastAsia="en-GB"/>
          <w14:ligatures w14:val="none"/>
        </w:rPr>
      </w:pPr>
    </w:p>
    <w:p w14:paraId="6E745B8E"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noProof/>
          <w:kern w:val="0"/>
          <w:szCs w:val="22"/>
          <w:lang w:eastAsia="en-GB"/>
          <w14:ligatures w14:val="none"/>
        </w:rPr>
        <w:drawing>
          <wp:inline distT="0" distB="0" distL="0" distR="0" wp14:anchorId="21D4CAD2" wp14:editId="779D4B10">
            <wp:extent cx="5535930" cy="2932430"/>
            <wp:effectExtent l="0" t="0" r="7620" b="1270"/>
            <wp:docPr id="31606284" name="Picture 15" descr="Grouped bar chart showing the number of claims by month for 2024/25 and 2025/26. Claim volumes are low throughout both years, ranging from 1 to 9 claims per month. In 2024/25 (blue), claims peak at 5 in February and 4 in October and December, with most other months recording between 1 and 3 claims. In 2025/26 (pink), claims peak at 9 in June and 6 in October, with 4 claims in September and November, and 3 claims in April, May, July, and December. Compared with the same months in 2024/25, 2025/26 records higher claim numbers in most months from April to November. Overall, activity remains low, with the highest monthly total being 9 claims in June 202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06284" name="Picture 15" descr="Grouped bar chart showing the number of claims by month for 2024/25 and 2025/26. Claim volumes are low throughout both years, ranging from 1 to 9 claims per month. In 2024/25 (blue), claims peak at 5 in February and 4 in October and December, with most other months recording between 1 and 3 claims. In 2025/26 (pink), claims peak at 9 in June and 6 in October, with 4 claims in September and November, and 3 claims in April, May, July, and December. Compared with the same months in 2024/25, 2025/26 records higher claim numbers in most months from April to November. Overall, activity remains low, with the highest monthly total being 9 claims in June 2025/2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535930" cy="2932430"/>
                    </a:xfrm>
                    <a:prstGeom prst="rect">
                      <a:avLst/>
                    </a:prstGeom>
                    <a:noFill/>
                  </pic:spPr>
                </pic:pic>
              </a:graphicData>
            </a:graphic>
          </wp:inline>
        </w:drawing>
      </w:r>
    </w:p>
    <w:p w14:paraId="00E94928" w14:textId="77777777" w:rsidR="003F0408" w:rsidRPr="003F0408" w:rsidRDefault="003F0408" w:rsidP="00FF3A53">
      <w:pPr>
        <w:rPr>
          <w:rFonts w:eastAsia="Times New Roman" w:cs="Arial"/>
          <w:b/>
          <w:kern w:val="0"/>
          <w:szCs w:val="22"/>
          <w:lang w:eastAsia="en-GB"/>
          <w14:ligatures w14:val="none"/>
        </w:rPr>
      </w:pPr>
    </w:p>
    <w:p w14:paraId="10A82CAC" w14:textId="77777777" w:rsidR="003F0408" w:rsidRPr="003F0408" w:rsidRDefault="003F0408" w:rsidP="00FF3A53">
      <w:pPr>
        <w:rPr>
          <w:rFonts w:eastAsia="Times New Roman" w:cs="Arial"/>
          <w:b/>
          <w:bCs/>
          <w:color w:val="000000"/>
          <w:kern w:val="0"/>
          <w:szCs w:val="22"/>
          <w:lang w:eastAsia="en-GB"/>
          <w14:ligatures w14:val="none"/>
        </w:rPr>
      </w:pPr>
      <w:r w:rsidRPr="003F0408">
        <w:rPr>
          <w:rFonts w:eastAsia="Times New Roman" w:cs="Arial"/>
          <w:b/>
          <w:kern w:val="0"/>
          <w:szCs w:val="22"/>
          <w:lang w:eastAsia="en-GB"/>
          <w14:ligatures w14:val="none"/>
        </w:rPr>
        <w:lastRenderedPageBreak/>
        <w:t xml:space="preserve">5.1.5.9 </w:t>
      </w:r>
      <w:r w:rsidRPr="003F0408">
        <w:rPr>
          <w:rFonts w:eastAsia="Times New Roman" w:cs="Arial"/>
          <w:b/>
          <w:bCs/>
          <w:color w:val="000000"/>
          <w:kern w:val="0"/>
          <w:szCs w:val="22"/>
          <w:lang w:eastAsia="en-GB"/>
          <w14:ligatures w14:val="none"/>
        </w:rPr>
        <w:t xml:space="preserve">Supervised administration of medicines service </w:t>
      </w:r>
    </w:p>
    <w:p w14:paraId="1EC66B40" w14:textId="77777777" w:rsidR="003F0408" w:rsidRPr="003F0408" w:rsidRDefault="003F0408" w:rsidP="00FF3A53">
      <w:pPr>
        <w:rPr>
          <w:rFonts w:eastAsia="Times New Roman" w:cs="Arial"/>
          <w:b/>
          <w:bCs/>
          <w:color w:val="000000"/>
          <w:kern w:val="0"/>
          <w:szCs w:val="22"/>
          <w:lang w:eastAsia="en-GB"/>
          <w14:ligatures w14:val="none"/>
        </w:rPr>
      </w:pPr>
    </w:p>
    <w:p w14:paraId="3D0D2E09"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82 of the pharmacies have signed up to provide this service. In 2024/25, 67 pharmacies supported 3,771 individuals and provided a total of 36,766 supervised administration doses and in the first ten months of 2025/26, 62 pharmacies supported 2,629 individuals and provided a total of 24,660 supervised doses.</w:t>
      </w:r>
    </w:p>
    <w:p w14:paraId="3DABDECE" w14:textId="77777777" w:rsidR="003F0408" w:rsidRPr="00D0306F" w:rsidRDefault="003F0408" w:rsidP="00FF3A53">
      <w:pPr>
        <w:rPr>
          <w:rFonts w:eastAsia="Times New Roman" w:cs="Arial"/>
          <w:kern w:val="0"/>
          <w:szCs w:val="22"/>
          <w:lang w:eastAsia="en-GB"/>
          <w14:ligatures w14:val="none"/>
        </w:rPr>
      </w:pPr>
    </w:p>
    <w:p w14:paraId="058F6A98"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Figure 5.16: Total number of individuals supported under the supervised administration of medicines service April 2024 and January 2026</w:t>
      </w:r>
    </w:p>
    <w:p w14:paraId="69F8EFF4" w14:textId="77777777" w:rsidR="003F0408" w:rsidRPr="003F0408" w:rsidRDefault="003F0408" w:rsidP="00FF3A53">
      <w:pPr>
        <w:rPr>
          <w:rFonts w:eastAsia="Times New Roman" w:cs="Arial"/>
          <w:b/>
          <w:kern w:val="0"/>
          <w:szCs w:val="22"/>
          <w:lang w:eastAsia="en-GB"/>
          <w14:ligatures w14:val="none"/>
        </w:rPr>
      </w:pPr>
    </w:p>
    <w:p w14:paraId="0E1A6053"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noProof/>
          <w:kern w:val="0"/>
          <w:szCs w:val="22"/>
          <w:lang w:eastAsia="en-GB"/>
          <w14:ligatures w14:val="none"/>
        </w:rPr>
        <w:drawing>
          <wp:inline distT="0" distB="0" distL="0" distR="0" wp14:anchorId="69BDB380" wp14:editId="177A8BB0">
            <wp:extent cx="5675630" cy="3243580"/>
            <wp:effectExtent l="0" t="0" r="1270" b="0"/>
            <wp:docPr id="233721361" name="Picture 16" descr="Grouped bar chart comparing monthly claims in 2024 and 2025. The 2024 series (blue) ranges from approximately 230 to 390 claims per month, with peaks in April (about 390), September (about 375), and January (about 370). The 2025 series (pink) is shown from April to January and ranges from approximately 215 to 360 claims. Claims peak in July at about 360 and are lowest in August at around 215. Compared with 2024, claim numbers in 2025 are generally lower in most months, although July 2025 exceeds July 2024. October and December show very similar numbers in both years. Overall, claims fluctuate throughout the year, with higher activity in 2024 than in 2025 for most comparable month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721361" name="Picture 16" descr="Grouped bar chart comparing monthly claims in 2024 and 2025. The 2024 series (blue) ranges from approximately 230 to 390 claims per month, with peaks in April (about 390), September (about 375), and January (about 370). The 2025 series (pink) is shown from April to January and ranges from approximately 215 to 360 claims. Claims peak in July at about 360 and are lowest in August at around 215. Compared with 2024, claim numbers in 2025 are generally lower in most months, although July 2025 exceeds July 2024. October and December show very similar numbers in both years. Overall, claims fluctuate throughout the year, with higher activity in 2024 than in 2025 for most comparable months."/>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675630" cy="3243580"/>
                    </a:xfrm>
                    <a:prstGeom prst="rect">
                      <a:avLst/>
                    </a:prstGeom>
                    <a:noFill/>
                  </pic:spPr>
                </pic:pic>
              </a:graphicData>
            </a:graphic>
          </wp:inline>
        </w:drawing>
      </w:r>
    </w:p>
    <w:p w14:paraId="24EE0D39" w14:textId="77777777" w:rsidR="003F0408" w:rsidRPr="003F0408" w:rsidRDefault="003F0408" w:rsidP="00FF3A53">
      <w:pPr>
        <w:rPr>
          <w:rFonts w:eastAsia="Times New Roman" w:cs="Arial"/>
          <w:kern w:val="0"/>
          <w:szCs w:val="22"/>
          <w:lang w:eastAsia="en-GB"/>
          <w14:ligatures w14:val="none"/>
        </w:rPr>
      </w:pPr>
    </w:p>
    <w:p w14:paraId="5B7DF89B"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The figure below shows the total number of supervised administration doses claimed (61,426) under the service by pharmacies between April 2024 and January 2026.</w:t>
      </w:r>
    </w:p>
    <w:p w14:paraId="1E5859CC" w14:textId="77777777" w:rsidR="00E61C29" w:rsidRDefault="00E61C29" w:rsidP="00FF3A53">
      <w:pPr>
        <w:rPr>
          <w:rFonts w:eastAsia="Times New Roman" w:cs="Arial"/>
          <w:b/>
          <w:kern w:val="0"/>
          <w:szCs w:val="22"/>
          <w:lang w:eastAsia="en-GB"/>
          <w14:ligatures w14:val="none"/>
        </w:rPr>
      </w:pPr>
    </w:p>
    <w:p w14:paraId="5CF23E38" w14:textId="77777777" w:rsidR="00E61C29" w:rsidRDefault="00E61C29" w:rsidP="00FF3A53">
      <w:pPr>
        <w:rPr>
          <w:rFonts w:eastAsia="Times New Roman" w:cs="Arial"/>
          <w:b/>
          <w:kern w:val="0"/>
          <w:szCs w:val="22"/>
          <w:lang w:eastAsia="en-GB"/>
          <w14:ligatures w14:val="none"/>
        </w:rPr>
      </w:pPr>
    </w:p>
    <w:p w14:paraId="2F95D29D" w14:textId="77777777" w:rsidR="00E61C29" w:rsidRDefault="00E61C29" w:rsidP="00FF3A53">
      <w:pPr>
        <w:rPr>
          <w:rFonts w:eastAsia="Times New Roman" w:cs="Arial"/>
          <w:b/>
          <w:kern w:val="0"/>
          <w:szCs w:val="22"/>
          <w:lang w:eastAsia="en-GB"/>
          <w14:ligatures w14:val="none"/>
        </w:rPr>
      </w:pPr>
    </w:p>
    <w:p w14:paraId="0414C7C4" w14:textId="77777777" w:rsidR="00E61C29" w:rsidRDefault="00E61C29" w:rsidP="00FF3A53">
      <w:pPr>
        <w:rPr>
          <w:rFonts w:eastAsia="Times New Roman" w:cs="Arial"/>
          <w:b/>
          <w:kern w:val="0"/>
          <w:szCs w:val="22"/>
          <w:lang w:eastAsia="en-GB"/>
          <w14:ligatures w14:val="none"/>
        </w:rPr>
      </w:pPr>
    </w:p>
    <w:p w14:paraId="3DBDFDB8" w14:textId="77777777" w:rsidR="00E61C29" w:rsidRDefault="00E61C29" w:rsidP="00FF3A53">
      <w:pPr>
        <w:rPr>
          <w:rFonts w:eastAsia="Times New Roman" w:cs="Arial"/>
          <w:b/>
          <w:kern w:val="0"/>
          <w:szCs w:val="22"/>
          <w:lang w:eastAsia="en-GB"/>
          <w14:ligatures w14:val="none"/>
        </w:rPr>
      </w:pPr>
    </w:p>
    <w:p w14:paraId="774C2957" w14:textId="77777777" w:rsidR="00E61C29" w:rsidRDefault="00E61C29" w:rsidP="00FF3A53">
      <w:pPr>
        <w:rPr>
          <w:rFonts w:eastAsia="Times New Roman" w:cs="Arial"/>
          <w:b/>
          <w:kern w:val="0"/>
          <w:szCs w:val="22"/>
          <w:lang w:eastAsia="en-GB"/>
          <w14:ligatures w14:val="none"/>
        </w:rPr>
      </w:pPr>
    </w:p>
    <w:p w14:paraId="4DF12265" w14:textId="77777777" w:rsidR="00E61C29" w:rsidRDefault="00E61C29" w:rsidP="00FF3A53">
      <w:pPr>
        <w:rPr>
          <w:rFonts w:eastAsia="Times New Roman" w:cs="Arial"/>
          <w:b/>
          <w:kern w:val="0"/>
          <w:szCs w:val="22"/>
          <w:lang w:eastAsia="en-GB"/>
          <w14:ligatures w14:val="none"/>
        </w:rPr>
      </w:pPr>
    </w:p>
    <w:p w14:paraId="33C7FE11" w14:textId="77777777" w:rsidR="00E61C29" w:rsidRDefault="00E61C29" w:rsidP="00FF3A53">
      <w:pPr>
        <w:rPr>
          <w:rFonts w:eastAsia="Times New Roman" w:cs="Arial"/>
          <w:b/>
          <w:kern w:val="0"/>
          <w:szCs w:val="22"/>
          <w:lang w:eastAsia="en-GB"/>
          <w14:ligatures w14:val="none"/>
        </w:rPr>
      </w:pPr>
    </w:p>
    <w:p w14:paraId="0A783A11" w14:textId="77777777" w:rsidR="00E61C29" w:rsidRDefault="00E61C29" w:rsidP="00FF3A53">
      <w:pPr>
        <w:rPr>
          <w:rFonts w:eastAsia="Times New Roman" w:cs="Arial"/>
          <w:b/>
          <w:kern w:val="0"/>
          <w:szCs w:val="22"/>
          <w:lang w:eastAsia="en-GB"/>
          <w14:ligatures w14:val="none"/>
        </w:rPr>
      </w:pPr>
    </w:p>
    <w:p w14:paraId="750D5C28" w14:textId="77777777" w:rsidR="00E61C29" w:rsidRDefault="00E61C29" w:rsidP="00FF3A53">
      <w:pPr>
        <w:rPr>
          <w:rFonts w:eastAsia="Times New Roman" w:cs="Arial"/>
          <w:b/>
          <w:kern w:val="0"/>
          <w:szCs w:val="22"/>
          <w:lang w:eastAsia="en-GB"/>
          <w14:ligatures w14:val="none"/>
        </w:rPr>
      </w:pPr>
    </w:p>
    <w:p w14:paraId="27808A43" w14:textId="77777777" w:rsidR="00E61C29" w:rsidRDefault="00E61C29" w:rsidP="00FF3A53">
      <w:pPr>
        <w:rPr>
          <w:rFonts w:eastAsia="Times New Roman" w:cs="Arial"/>
          <w:b/>
          <w:kern w:val="0"/>
          <w:szCs w:val="22"/>
          <w:lang w:eastAsia="en-GB"/>
          <w14:ligatures w14:val="none"/>
        </w:rPr>
      </w:pPr>
    </w:p>
    <w:p w14:paraId="32F4BEF8" w14:textId="77777777" w:rsidR="00E61C29" w:rsidRDefault="00E61C29" w:rsidP="00FF3A53">
      <w:pPr>
        <w:rPr>
          <w:rFonts w:eastAsia="Times New Roman" w:cs="Arial"/>
          <w:b/>
          <w:kern w:val="0"/>
          <w:szCs w:val="22"/>
          <w:lang w:eastAsia="en-GB"/>
          <w14:ligatures w14:val="none"/>
        </w:rPr>
      </w:pPr>
    </w:p>
    <w:p w14:paraId="5B3A5EA5" w14:textId="77777777" w:rsidR="00E61C29" w:rsidRDefault="00E61C29" w:rsidP="00FF3A53">
      <w:pPr>
        <w:rPr>
          <w:rFonts w:eastAsia="Times New Roman" w:cs="Arial"/>
          <w:b/>
          <w:kern w:val="0"/>
          <w:szCs w:val="22"/>
          <w:lang w:eastAsia="en-GB"/>
          <w14:ligatures w14:val="none"/>
        </w:rPr>
      </w:pPr>
    </w:p>
    <w:p w14:paraId="671EF0D7" w14:textId="77777777" w:rsidR="00E61C29" w:rsidRDefault="00E61C29" w:rsidP="00FF3A53">
      <w:pPr>
        <w:rPr>
          <w:rFonts w:eastAsia="Times New Roman" w:cs="Arial"/>
          <w:b/>
          <w:kern w:val="0"/>
          <w:szCs w:val="22"/>
          <w:lang w:eastAsia="en-GB"/>
          <w14:ligatures w14:val="none"/>
        </w:rPr>
      </w:pPr>
    </w:p>
    <w:p w14:paraId="0F113338" w14:textId="77777777" w:rsidR="00E61C29" w:rsidRDefault="00E61C29" w:rsidP="00FF3A53">
      <w:pPr>
        <w:rPr>
          <w:rFonts w:eastAsia="Times New Roman" w:cs="Arial"/>
          <w:b/>
          <w:kern w:val="0"/>
          <w:szCs w:val="22"/>
          <w:lang w:eastAsia="en-GB"/>
          <w14:ligatures w14:val="none"/>
        </w:rPr>
      </w:pPr>
    </w:p>
    <w:p w14:paraId="296D18AF" w14:textId="77777777" w:rsidR="00E61C29" w:rsidRDefault="00E61C29" w:rsidP="00FF3A53">
      <w:pPr>
        <w:rPr>
          <w:rFonts w:eastAsia="Times New Roman" w:cs="Arial"/>
          <w:b/>
          <w:kern w:val="0"/>
          <w:szCs w:val="22"/>
          <w:lang w:eastAsia="en-GB"/>
          <w14:ligatures w14:val="none"/>
        </w:rPr>
      </w:pPr>
    </w:p>
    <w:p w14:paraId="3C80CA33" w14:textId="77777777" w:rsidR="00E61C29" w:rsidRDefault="00E61C29" w:rsidP="00FF3A53">
      <w:pPr>
        <w:rPr>
          <w:rFonts w:eastAsia="Times New Roman" w:cs="Arial"/>
          <w:b/>
          <w:kern w:val="0"/>
          <w:szCs w:val="22"/>
          <w:lang w:eastAsia="en-GB"/>
          <w14:ligatures w14:val="none"/>
        </w:rPr>
      </w:pPr>
    </w:p>
    <w:p w14:paraId="49224094" w14:textId="77777777" w:rsidR="00E61C29" w:rsidRDefault="00E61C29" w:rsidP="00FF3A53">
      <w:pPr>
        <w:rPr>
          <w:rFonts w:eastAsia="Times New Roman" w:cs="Arial"/>
          <w:b/>
          <w:kern w:val="0"/>
          <w:szCs w:val="22"/>
          <w:lang w:eastAsia="en-GB"/>
          <w14:ligatures w14:val="none"/>
        </w:rPr>
      </w:pPr>
    </w:p>
    <w:p w14:paraId="31842FB3" w14:textId="4C7E24D8"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lastRenderedPageBreak/>
        <w:t>Figure 5.17: Total number of supervised administration doses claimed between April 2024 and January 2026</w:t>
      </w:r>
    </w:p>
    <w:p w14:paraId="3726BB5F" w14:textId="77777777" w:rsidR="003F0408" w:rsidRPr="003F0408" w:rsidRDefault="003F0408" w:rsidP="00FF3A53">
      <w:pPr>
        <w:rPr>
          <w:rFonts w:eastAsia="Times New Roman" w:cs="Arial"/>
          <w:b/>
          <w:kern w:val="0"/>
          <w:szCs w:val="22"/>
          <w:lang w:eastAsia="en-GB"/>
          <w14:ligatures w14:val="none"/>
        </w:rPr>
      </w:pPr>
    </w:p>
    <w:p w14:paraId="63EF0114"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noProof/>
          <w:kern w:val="0"/>
          <w:szCs w:val="22"/>
          <w:lang w:eastAsia="en-GB"/>
          <w14:ligatures w14:val="none"/>
        </w:rPr>
        <w:drawing>
          <wp:inline distT="0" distB="0" distL="0" distR="0" wp14:anchorId="595B3360" wp14:editId="3A7D6337">
            <wp:extent cx="5669915" cy="3560445"/>
            <wp:effectExtent l="0" t="0" r="6985" b="1905"/>
            <wp:docPr id="1837983505" name="Picture 17" descr="Grouped bar chart comparing monthly activity totals in 2024 and 2025. The 2024 series (blue) ranges from approximately 2,250 to 3,950 per month, with the highest value in April (about 3,950) and other peaks in September (about 3,650) and January (about 3,450). The 2025 series (pink) is shown from April to January and ranges from approximately 1,950 to 3,450. Activity peaks in July at around 3,450 and is lowest in August at about 1,950. Compared with 2024, activity in 2025 is generally lower in most months, although July and October 2025 slightly exceed the corresponding 2024 values. December is similar in both years at around 2,450–2,500. Overall, monthly activity shows considerable variation, with higher levels in 2024 than in 2025 for most comparable month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7983505" name="Picture 17" descr="Grouped bar chart comparing monthly activity totals in 2024 and 2025. The 2024 series (blue) ranges from approximately 2,250 to 3,950 per month, with the highest value in April (about 3,950) and other peaks in September (about 3,650) and January (about 3,450). The 2025 series (pink) is shown from April to January and ranges from approximately 1,950 to 3,450. Activity peaks in July at around 3,450 and is lowest in August at about 1,950. Compared with 2024, activity in 2025 is generally lower in most months, although July and October 2025 slightly exceed the corresponding 2024 values. December is similar in both years at around 2,450–2,500. Overall, monthly activity shows considerable variation, with higher levels in 2024 than in 2025 for most comparable months."/>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669915" cy="3560445"/>
                    </a:xfrm>
                    <a:prstGeom prst="rect">
                      <a:avLst/>
                    </a:prstGeom>
                    <a:noFill/>
                  </pic:spPr>
                </pic:pic>
              </a:graphicData>
            </a:graphic>
          </wp:inline>
        </w:drawing>
      </w:r>
    </w:p>
    <w:p w14:paraId="630946BD" w14:textId="77777777" w:rsidR="003F0408" w:rsidRPr="003F0408" w:rsidRDefault="003F0408" w:rsidP="00FF3A53">
      <w:pPr>
        <w:rPr>
          <w:rFonts w:eastAsia="Times New Roman" w:cs="Arial"/>
          <w:b/>
          <w:kern w:val="0"/>
          <w:szCs w:val="22"/>
          <w:lang w:eastAsia="en-GB"/>
          <w14:ligatures w14:val="none"/>
        </w:rPr>
      </w:pPr>
    </w:p>
    <w:p w14:paraId="75EB9EC4" w14:textId="77777777" w:rsidR="003F0408" w:rsidRPr="003F0408" w:rsidRDefault="003F0408" w:rsidP="00FF3A53">
      <w:pPr>
        <w:rPr>
          <w:rFonts w:eastAsia="Times New Roman" w:cs="Arial"/>
          <w:b/>
          <w:bCs/>
          <w:kern w:val="0"/>
          <w:szCs w:val="22"/>
          <w:lang w:eastAsia="en-GB"/>
          <w14:ligatures w14:val="none"/>
        </w:rPr>
      </w:pPr>
      <w:r w:rsidRPr="003F0408">
        <w:rPr>
          <w:rFonts w:eastAsia="Times New Roman" w:cs="Arial"/>
          <w:b/>
          <w:bCs/>
          <w:kern w:val="0"/>
          <w:szCs w:val="22"/>
          <w:lang w:eastAsia="en-GB"/>
          <w14:ligatures w14:val="none"/>
        </w:rPr>
        <w:t xml:space="preserve">5.1.5.10 Access to urgent medicines service </w:t>
      </w:r>
    </w:p>
    <w:p w14:paraId="6B36CACC" w14:textId="77777777" w:rsidR="003F0408" w:rsidRPr="003F0408" w:rsidRDefault="003F0408" w:rsidP="00FF3A53">
      <w:pPr>
        <w:rPr>
          <w:rFonts w:eastAsia="Times New Roman" w:cs="Arial"/>
          <w:b/>
          <w:bCs/>
          <w:kern w:val="0"/>
          <w:szCs w:val="22"/>
          <w:lang w:eastAsia="en-GB"/>
          <w14:ligatures w14:val="none"/>
        </w:rPr>
      </w:pPr>
    </w:p>
    <w:p w14:paraId="300EEF38"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 xml:space="preserve">20 of the pharmacies have signed up to provide the urgent medicines service. </w:t>
      </w:r>
    </w:p>
    <w:p w14:paraId="47FBFB9A" w14:textId="77777777" w:rsidR="003F0408" w:rsidRPr="003F0408" w:rsidRDefault="003F0408" w:rsidP="00FF3A53">
      <w:pPr>
        <w:rPr>
          <w:rFonts w:eastAsia="Times New Roman" w:cs="Arial"/>
          <w:b/>
          <w:kern w:val="0"/>
          <w:szCs w:val="22"/>
          <w:lang w:eastAsia="en-GB"/>
          <w14:ligatures w14:val="none"/>
        </w:rPr>
      </w:pPr>
    </w:p>
    <w:p w14:paraId="28F02EFE"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 xml:space="preserve">5.1.5.11 Access to pharmaceutical services on public and bank holidays </w:t>
      </w:r>
    </w:p>
    <w:p w14:paraId="21479D44" w14:textId="77777777" w:rsidR="003F0408" w:rsidRPr="003F0408" w:rsidRDefault="003F0408" w:rsidP="00FF3A53">
      <w:pPr>
        <w:rPr>
          <w:rFonts w:eastAsia="Times New Roman" w:cs="Arial"/>
          <w:b/>
          <w:kern w:val="0"/>
          <w:szCs w:val="22"/>
          <w:lang w:eastAsia="en-GB"/>
          <w14:ligatures w14:val="none"/>
        </w:rPr>
      </w:pPr>
    </w:p>
    <w:p w14:paraId="53690F1F"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 xml:space="preserve">The health board has a duty to ensure that residents of its area are able to access pharmaceutical services every day. Pharmacies are not required to open on these days, though some will choose to do so. </w:t>
      </w:r>
      <w:r w:rsidRPr="003F0408">
        <w:rPr>
          <w:rFonts w:eastAsia="Aptos" w:cs="Arial"/>
          <w:szCs w:val="22"/>
        </w:rPr>
        <w:t>In the lead up to each bank holiday information is gathered to ascertain which pharmacies intend to open, in order to provide details to NHS Wales 111, GP out of hours and A&amp;E departments etc. This supports signposting of patients appropriately to pharmaceutical services. This information is also published on the health boards website. If there are no pharmacies open in a specific county, the health board has the option of commissioning a pharmacy to open for a limited time as part of an additional clinical service.</w:t>
      </w:r>
    </w:p>
    <w:p w14:paraId="0075F4CD" w14:textId="77777777" w:rsidR="003F0408" w:rsidRPr="003F0408" w:rsidRDefault="003F0408" w:rsidP="00FF3A53">
      <w:pPr>
        <w:rPr>
          <w:rFonts w:eastAsia="Times New Roman" w:cs="Arial"/>
          <w:kern w:val="0"/>
          <w:szCs w:val="22"/>
          <w:lang w:eastAsia="en-GB"/>
          <w14:ligatures w14:val="none"/>
        </w:rPr>
      </w:pPr>
    </w:p>
    <w:p w14:paraId="483D1C76"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b/>
          <w:kern w:val="0"/>
          <w:szCs w:val="22"/>
          <w:lang w:eastAsia="en-GB"/>
          <w14:ligatures w14:val="none"/>
        </w:rPr>
        <w:t>5.1.6 Dispensing service provided by some GP practices</w:t>
      </w:r>
    </w:p>
    <w:p w14:paraId="6B79B95A" w14:textId="77777777" w:rsidR="003F0408" w:rsidRPr="003F0408" w:rsidRDefault="003F0408" w:rsidP="00FF3A53">
      <w:pPr>
        <w:rPr>
          <w:rFonts w:eastAsia="Times New Roman" w:cs="Arial"/>
          <w:kern w:val="0"/>
          <w:szCs w:val="22"/>
          <w:lang w:eastAsia="en-GB"/>
          <w14:ligatures w14:val="none"/>
        </w:rPr>
      </w:pPr>
    </w:p>
    <w:p w14:paraId="37C898DF" w14:textId="77777777" w:rsidR="003F0408" w:rsidRPr="003F0408" w:rsidRDefault="003F0408" w:rsidP="00FF3A53">
      <w:pPr>
        <w:rPr>
          <w:rFonts w:eastAsia="Aptos" w:cs="Arial"/>
          <w:szCs w:val="22"/>
        </w:rPr>
      </w:pPr>
      <w:r w:rsidRPr="003F0408">
        <w:rPr>
          <w:rFonts w:eastAsia="Aptos" w:cs="Arial"/>
          <w:szCs w:val="22"/>
        </w:rPr>
        <w:t>Of the 44 GP practices in the health board’s area, one dispenses to eligible patients. The number of patients that are included in the practice’s dispensing list is 801</w:t>
      </w:r>
      <w:r w:rsidRPr="003F0408">
        <w:rPr>
          <w:rFonts w:eastAsia="Aptos" w:cs="Arial"/>
          <w:sz w:val="20"/>
          <w:szCs w:val="22"/>
          <w:vertAlign w:val="superscript"/>
        </w:rPr>
        <w:footnoteReference w:id="219"/>
      </w:r>
      <w:r w:rsidRPr="003F0408">
        <w:rPr>
          <w:rFonts w:eastAsia="Aptos" w:cs="Arial"/>
          <w:szCs w:val="22"/>
        </w:rPr>
        <w:t xml:space="preserve"> (December 2025). This is 0.2% of the population of the health board and 29.0% of the practice’s list size.</w:t>
      </w:r>
    </w:p>
    <w:p w14:paraId="259D8180" w14:textId="77777777" w:rsidR="003F0408" w:rsidRPr="003F0408" w:rsidRDefault="003F0408" w:rsidP="00FF3A53">
      <w:pPr>
        <w:rPr>
          <w:rFonts w:eastAsia="Aptos" w:cs="Arial"/>
          <w:szCs w:val="22"/>
        </w:rPr>
      </w:pPr>
    </w:p>
    <w:p w14:paraId="267DC0DA" w14:textId="77777777" w:rsidR="003F0408" w:rsidRPr="003F0408" w:rsidRDefault="003F0408" w:rsidP="00FF3A53">
      <w:pPr>
        <w:rPr>
          <w:rFonts w:eastAsia="Aptos" w:cs="Arial"/>
          <w:szCs w:val="22"/>
        </w:rPr>
      </w:pPr>
      <w:r w:rsidRPr="003F0408">
        <w:rPr>
          <w:rFonts w:eastAsia="Aptos" w:cs="Arial"/>
          <w:szCs w:val="22"/>
        </w:rPr>
        <w:t>In addition, a practice that is based in Cwm Taf Morgannwg University Health Board’s area dispenses from premises in the Afan cluster. Whilst the practice dispenses to 6.6% of its registered patients it is not possible to identify how many of them live within Swansea Bay University Health Board’s area.</w:t>
      </w:r>
    </w:p>
    <w:p w14:paraId="415C2B42" w14:textId="77777777" w:rsidR="003F0408" w:rsidRPr="003F0408" w:rsidRDefault="003F0408" w:rsidP="00FF3A53">
      <w:pPr>
        <w:rPr>
          <w:rFonts w:eastAsia="Aptos" w:cs="Arial"/>
          <w:szCs w:val="22"/>
        </w:rPr>
      </w:pPr>
    </w:p>
    <w:p w14:paraId="07F4686F" w14:textId="77777777" w:rsidR="003F0408" w:rsidRPr="003F0408" w:rsidRDefault="003F0408" w:rsidP="00FF3A53">
      <w:pPr>
        <w:rPr>
          <w:rFonts w:eastAsia="Aptos" w:cs="Arial"/>
          <w:b/>
          <w:sz w:val="26"/>
          <w:szCs w:val="22"/>
          <w:lang w:eastAsia="en-GB"/>
        </w:rPr>
      </w:pPr>
      <w:r w:rsidRPr="003F0408">
        <w:rPr>
          <w:rFonts w:eastAsia="Aptos" w:cs="Arial"/>
          <w:b/>
          <w:sz w:val="26"/>
          <w:szCs w:val="22"/>
          <w:lang w:eastAsia="en-GB"/>
        </w:rPr>
        <w:t xml:space="preserve">5.2 Current provision outside </w:t>
      </w:r>
      <w:bookmarkStart w:id="25" w:name="_Hlk59559189"/>
      <w:r w:rsidRPr="003F0408">
        <w:rPr>
          <w:rFonts w:eastAsia="Aptos" w:cs="Arial"/>
          <w:b/>
          <w:sz w:val="26"/>
          <w:szCs w:val="22"/>
          <w:lang w:eastAsia="en-GB"/>
        </w:rPr>
        <w:t xml:space="preserve">Swansea Bay University Health </w:t>
      </w:r>
      <w:bookmarkEnd w:id="25"/>
      <w:r w:rsidRPr="003F0408">
        <w:rPr>
          <w:rFonts w:eastAsia="Aptos" w:cs="Arial"/>
          <w:b/>
          <w:sz w:val="26"/>
          <w:szCs w:val="22"/>
          <w:lang w:eastAsia="en-GB"/>
        </w:rPr>
        <w:t>Board area</w:t>
      </w:r>
    </w:p>
    <w:p w14:paraId="46571B8D" w14:textId="77777777" w:rsidR="003F0408" w:rsidRPr="003F0408" w:rsidRDefault="003F0408" w:rsidP="00FF3A53">
      <w:pPr>
        <w:rPr>
          <w:rFonts w:eastAsia="Times New Roman" w:cs="Arial"/>
          <w:kern w:val="0"/>
          <w:szCs w:val="22"/>
          <w:lang w:eastAsia="en-GB"/>
          <w14:ligatures w14:val="none"/>
        </w:rPr>
      </w:pPr>
    </w:p>
    <w:p w14:paraId="16C8D707"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5.2.1 Access to essential services and dispensing appliance contractor equivalent services</w:t>
      </w:r>
    </w:p>
    <w:p w14:paraId="31EDE31D" w14:textId="77777777" w:rsidR="003F0408" w:rsidRPr="003F0408" w:rsidRDefault="003F0408" w:rsidP="00FF3A53">
      <w:pPr>
        <w:rPr>
          <w:rFonts w:eastAsia="Times New Roman" w:cs="Arial"/>
          <w:kern w:val="0"/>
          <w:szCs w:val="22"/>
          <w:lang w:eastAsia="en-GB"/>
          <w14:ligatures w14:val="none"/>
        </w:rPr>
      </w:pPr>
    </w:p>
    <w:p w14:paraId="0E2E9286"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 xml:space="preserve">Patients have a choice of where they access pharmaceutical services; this may be close to their home, their GP practice, their place of work or where they go for shopping, recreational or other reasons. Consequently, not all the prescriptions written for residents of the health board’s area are dispensed within the same area although the vast majority of items are. </w:t>
      </w:r>
    </w:p>
    <w:p w14:paraId="2BB7E0FE" w14:textId="77777777" w:rsidR="003F0408" w:rsidRPr="003F0408" w:rsidRDefault="003F0408" w:rsidP="00FF3A53">
      <w:pPr>
        <w:rPr>
          <w:rFonts w:eastAsia="Times New Roman" w:cs="Arial"/>
          <w:kern w:val="0"/>
          <w:szCs w:val="22"/>
          <w:lang w:eastAsia="en-GB"/>
          <w14:ligatures w14:val="none"/>
        </w:rPr>
      </w:pPr>
    </w:p>
    <w:p w14:paraId="483F4099"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 xml:space="preserve">In 2024/25, 2.4% of items prescribed by GP practices were dispensed outside of the health board’s area, of which 1.5% were dispensed elsewhere in Wales by 624 different contractors, and 0.9% were dispensed by contractors in England. </w:t>
      </w:r>
    </w:p>
    <w:p w14:paraId="1EFBDA6B" w14:textId="77777777" w:rsidR="00FC387E" w:rsidRPr="003F0408" w:rsidRDefault="00FC387E" w:rsidP="00FF3A53">
      <w:pPr>
        <w:rPr>
          <w:rFonts w:eastAsia="Times New Roman" w:cs="Arial"/>
          <w:kern w:val="0"/>
          <w:szCs w:val="22"/>
          <w:lang w:eastAsia="en-GB"/>
          <w14:ligatures w14:val="none"/>
        </w:rPr>
      </w:pPr>
    </w:p>
    <w:p w14:paraId="70F19E87" w14:textId="77777777" w:rsidR="003F0408" w:rsidRPr="00D0306F"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Of the 163,866 items dispensed elsewhere in Wales:</w:t>
      </w:r>
    </w:p>
    <w:p w14:paraId="0C4C6CDB" w14:textId="77777777" w:rsidR="00FC387E" w:rsidRPr="003F0408" w:rsidRDefault="00FC387E" w:rsidP="00FF3A53">
      <w:pPr>
        <w:rPr>
          <w:rFonts w:eastAsia="Times New Roman" w:cs="Arial"/>
          <w:kern w:val="0"/>
          <w:szCs w:val="22"/>
          <w:lang w:eastAsia="en-GB"/>
          <w14:ligatures w14:val="none"/>
        </w:rPr>
      </w:pPr>
    </w:p>
    <w:p w14:paraId="5326A396" w14:textId="77777777" w:rsidR="003F0408" w:rsidRPr="003F0408" w:rsidRDefault="003F0408" w:rsidP="00B76905">
      <w:pPr>
        <w:numPr>
          <w:ilvl w:val="0"/>
          <w:numId w:val="116"/>
        </w:numPr>
        <w:rPr>
          <w:rFonts w:eastAsia="Times New Roman" w:cs="Arial"/>
          <w:kern w:val="0"/>
          <w:szCs w:val="22"/>
          <w:lang w:eastAsia="en-GB"/>
          <w14:ligatures w14:val="none"/>
        </w:rPr>
      </w:pPr>
      <w:r w:rsidRPr="003F0408">
        <w:rPr>
          <w:rFonts w:eastAsia="Times New Roman" w:cs="Arial"/>
          <w:kern w:val="0"/>
          <w:szCs w:val="22"/>
          <w:lang w:eastAsia="en-GB"/>
          <w14:ligatures w14:val="none"/>
        </w:rPr>
        <w:t>77,580 items were dispensed by 104 pharmacies in Cwm Taf Morgannwg University Health Board’s area</w:t>
      </w:r>
    </w:p>
    <w:p w14:paraId="0C5E8C9C" w14:textId="77777777" w:rsidR="003F0408" w:rsidRPr="003F0408" w:rsidRDefault="003F0408" w:rsidP="00B76905">
      <w:pPr>
        <w:numPr>
          <w:ilvl w:val="0"/>
          <w:numId w:val="116"/>
        </w:numPr>
        <w:rPr>
          <w:rFonts w:eastAsia="Times New Roman" w:cs="Arial"/>
          <w:kern w:val="0"/>
          <w:szCs w:val="22"/>
          <w:lang w:eastAsia="en-GB"/>
          <w14:ligatures w14:val="none"/>
        </w:rPr>
      </w:pPr>
      <w:r w:rsidRPr="003F0408">
        <w:rPr>
          <w:rFonts w:eastAsia="Times New Roman" w:cs="Arial"/>
          <w:kern w:val="0"/>
          <w:szCs w:val="22"/>
          <w:lang w:eastAsia="en-GB"/>
          <w14:ligatures w14:val="none"/>
        </w:rPr>
        <w:t>49,382 items were dispensed by 94 pharmacies in Hywel Dda University Health Board’s area</w:t>
      </w:r>
    </w:p>
    <w:p w14:paraId="2244F9BE" w14:textId="77777777" w:rsidR="003F0408" w:rsidRPr="003F0408" w:rsidRDefault="003F0408" w:rsidP="00B76905">
      <w:pPr>
        <w:numPr>
          <w:ilvl w:val="0"/>
          <w:numId w:val="116"/>
        </w:numPr>
        <w:rPr>
          <w:rFonts w:eastAsia="Times New Roman" w:cs="Arial"/>
          <w:kern w:val="0"/>
          <w:szCs w:val="22"/>
          <w:lang w:eastAsia="en-GB"/>
          <w14:ligatures w14:val="none"/>
        </w:rPr>
      </w:pPr>
      <w:r w:rsidRPr="003F0408">
        <w:rPr>
          <w:rFonts w:eastAsia="Times New Roman" w:cs="Arial"/>
          <w:kern w:val="0"/>
          <w:szCs w:val="22"/>
          <w:lang w:eastAsia="en-GB"/>
          <w14:ligatures w14:val="none"/>
        </w:rPr>
        <w:t>24,575 items were dispensed by 19 pharmacies in Powys Teaching Health Board ’s area</w:t>
      </w:r>
    </w:p>
    <w:p w14:paraId="4B2DA2EC" w14:textId="77777777" w:rsidR="003F0408" w:rsidRPr="003F0408" w:rsidRDefault="003F0408" w:rsidP="00B76905">
      <w:pPr>
        <w:numPr>
          <w:ilvl w:val="0"/>
          <w:numId w:val="116"/>
        </w:numPr>
        <w:rPr>
          <w:rFonts w:eastAsia="Times New Roman" w:cs="Arial"/>
          <w:kern w:val="0"/>
          <w:szCs w:val="22"/>
          <w:lang w:eastAsia="en-GB"/>
          <w14:ligatures w14:val="none"/>
        </w:rPr>
      </w:pPr>
      <w:r w:rsidRPr="003F0408">
        <w:rPr>
          <w:rFonts w:eastAsia="Times New Roman" w:cs="Arial"/>
          <w:kern w:val="0"/>
          <w:szCs w:val="22"/>
          <w:lang w:eastAsia="en-GB"/>
          <w14:ligatures w14:val="none"/>
        </w:rPr>
        <w:t>10,850 items were dispensed by 97 pharmacies in Cardiff and Vale University Health Board’s area</w:t>
      </w:r>
    </w:p>
    <w:p w14:paraId="30D01AB7" w14:textId="77777777" w:rsidR="003F0408" w:rsidRPr="003F0408" w:rsidRDefault="003F0408" w:rsidP="00B76905">
      <w:pPr>
        <w:numPr>
          <w:ilvl w:val="0"/>
          <w:numId w:val="116"/>
        </w:numPr>
        <w:rPr>
          <w:rFonts w:eastAsia="Times New Roman" w:cs="Arial"/>
          <w:kern w:val="0"/>
          <w:szCs w:val="22"/>
          <w:lang w:eastAsia="en-GB"/>
          <w14:ligatures w14:val="none"/>
        </w:rPr>
      </w:pPr>
      <w:r w:rsidRPr="003F0408">
        <w:rPr>
          <w:rFonts w:eastAsia="Times New Roman" w:cs="Arial"/>
          <w:kern w:val="0"/>
          <w:szCs w:val="22"/>
          <w:lang w:eastAsia="en-GB"/>
          <w14:ligatures w14:val="none"/>
        </w:rPr>
        <w:t>1,312 items were dispensed by 99 pharmacies in Aneurin Bevan University Health Board’s area</w:t>
      </w:r>
    </w:p>
    <w:p w14:paraId="3A9DB64C" w14:textId="77777777" w:rsidR="003F0408" w:rsidRPr="003F0408" w:rsidRDefault="003F0408" w:rsidP="00B76905">
      <w:pPr>
        <w:numPr>
          <w:ilvl w:val="0"/>
          <w:numId w:val="116"/>
        </w:numPr>
        <w:rPr>
          <w:rFonts w:eastAsia="Times New Roman" w:cs="Arial"/>
          <w:kern w:val="0"/>
          <w:szCs w:val="22"/>
          <w:lang w:eastAsia="en-GB"/>
          <w14:ligatures w14:val="none"/>
        </w:rPr>
      </w:pPr>
      <w:r w:rsidRPr="003F0408">
        <w:rPr>
          <w:rFonts w:eastAsia="Times New Roman" w:cs="Arial"/>
          <w:kern w:val="0"/>
          <w:szCs w:val="22"/>
          <w:lang w:eastAsia="en-GB"/>
          <w14:ligatures w14:val="none"/>
        </w:rPr>
        <w:t>167 items were dispensed by 49 pharmacies in Betsi Cadwaladr University Health Board’s area</w:t>
      </w:r>
    </w:p>
    <w:p w14:paraId="4F6756F4" w14:textId="77777777" w:rsidR="003F0408" w:rsidRPr="003F0408" w:rsidRDefault="003F0408" w:rsidP="00FF3A53">
      <w:pPr>
        <w:rPr>
          <w:rFonts w:eastAsia="Times New Roman" w:cs="Arial"/>
          <w:kern w:val="0"/>
          <w:szCs w:val="22"/>
          <w:lang w:eastAsia="en-GB"/>
          <w14:ligatures w14:val="none"/>
        </w:rPr>
      </w:pPr>
    </w:p>
    <w:p w14:paraId="4A7FA435"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 xml:space="preserve">In the first nine months of 2025/26, 3.1% of items were dispensed outside of the health board’s area, of which 2.5% were dispensed elsewhere in Wales by 446 different contractors, and 0.7% were dispensed in England. </w:t>
      </w:r>
    </w:p>
    <w:p w14:paraId="1DCB6FBB" w14:textId="77777777" w:rsidR="003F0408" w:rsidRPr="003F0408" w:rsidRDefault="003F0408" w:rsidP="00FF3A53">
      <w:pPr>
        <w:rPr>
          <w:rFonts w:eastAsia="Times New Roman" w:cs="Arial"/>
          <w:kern w:val="0"/>
          <w:szCs w:val="22"/>
          <w:lang w:eastAsia="en-GB"/>
          <w14:ligatures w14:val="none"/>
        </w:rPr>
      </w:pPr>
    </w:p>
    <w:p w14:paraId="208A10AF"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Of the 202,695 items dispensed elsewhere in Wales:</w:t>
      </w:r>
    </w:p>
    <w:p w14:paraId="6BAEC271" w14:textId="77777777" w:rsidR="003F0408" w:rsidRPr="003F0408" w:rsidRDefault="003F0408" w:rsidP="00FF3A53">
      <w:pPr>
        <w:rPr>
          <w:rFonts w:eastAsia="Times New Roman" w:cs="Arial"/>
          <w:kern w:val="0"/>
          <w:szCs w:val="22"/>
          <w:lang w:eastAsia="en-GB"/>
          <w14:ligatures w14:val="none"/>
        </w:rPr>
      </w:pPr>
    </w:p>
    <w:p w14:paraId="2A666416" w14:textId="77777777" w:rsidR="003F0408" w:rsidRPr="003F0408" w:rsidRDefault="003F0408" w:rsidP="00B76905">
      <w:pPr>
        <w:numPr>
          <w:ilvl w:val="0"/>
          <w:numId w:val="117"/>
        </w:numPr>
        <w:rPr>
          <w:rFonts w:eastAsia="Times New Roman" w:cs="Arial"/>
          <w:kern w:val="0"/>
          <w:szCs w:val="22"/>
          <w:lang w:eastAsia="en-GB"/>
          <w14:ligatures w14:val="none"/>
        </w:rPr>
      </w:pPr>
      <w:r w:rsidRPr="003F0408">
        <w:rPr>
          <w:rFonts w:eastAsia="Times New Roman" w:cs="Arial"/>
          <w:kern w:val="0"/>
          <w:szCs w:val="22"/>
          <w:lang w:eastAsia="en-GB"/>
          <w14:ligatures w14:val="none"/>
        </w:rPr>
        <w:t>119,569 items were dispensed by 90 contractors in in Hywel Dda University Health Board’s area</w:t>
      </w:r>
    </w:p>
    <w:p w14:paraId="351A5D5C" w14:textId="77777777" w:rsidR="003F0408" w:rsidRPr="003F0408" w:rsidRDefault="003F0408" w:rsidP="00B76905">
      <w:pPr>
        <w:numPr>
          <w:ilvl w:val="0"/>
          <w:numId w:val="117"/>
        </w:numPr>
        <w:rPr>
          <w:rFonts w:eastAsia="Times New Roman" w:cs="Arial"/>
          <w:kern w:val="0"/>
          <w:szCs w:val="22"/>
          <w:lang w:eastAsia="en-GB"/>
          <w14:ligatures w14:val="none"/>
        </w:rPr>
      </w:pPr>
      <w:r w:rsidRPr="003F0408">
        <w:rPr>
          <w:rFonts w:eastAsia="Times New Roman" w:cs="Arial"/>
          <w:kern w:val="0"/>
          <w:szCs w:val="22"/>
          <w:lang w:eastAsia="en-GB"/>
          <w14:ligatures w14:val="none"/>
        </w:rPr>
        <w:t>57,746 items were dispensed by 106 contractors in Cwm Taf Morgannwg University Health Board’s area</w:t>
      </w:r>
    </w:p>
    <w:p w14:paraId="4F7C6332" w14:textId="77777777" w:rsidR="003F0408" w:rsidRPr="003F0408" w:rsidRDefault="003F0408" w:rsidP="00B76905">
      <w:pPr>
        <w:numPr>
          <w:ilvl w:val="0"/>
          <w:numId w:val="117"/>
        </w:numPr>
        <w:rPr>
          <w:rFonts w:eastAsia="Times New Roman" w:cs="Arial"/>
          <w:kern w:val="0"/>
          <w:szCs w:val="22"/>
          <w:lang w:eastAsia="en-GB"/>
          <w14:ligatures w14:val="none"/>
        </w:rPr>
      </w:pPr>
      <w:r w:rsidRPr="003F0408">
        <w:rPr>
          <w:rFonts w:eastAsia="Times New Roman" w:cs="Arial"/>
          <w:kern w:val="0"/>
          <w:szCs w:val="22"/>
          <w:lang w:eastAsia="en-GB"/>
          <w14:ligatures w14:val="none"/>
        </w:rPr>
        <w:t>17,495 items were dispensed by 17 contractors in Powys Teaching Health Board ’s area</w:t>
      </w:r>
    </w:p>
    <w:p w14:paraId="71F647A8" w14:textId="77777777" w:rsidR="003F0408" w:rsidRPr="003F0408" w:rsidRDefault="003F0408" w:rsidP="00B76905">
      <w:pPr>
        <w:numPr>
          <w:ilvl w:val="0"/>
          <w:numId w:val="117"/>
        </w:numPr>
        <w:rPr>
          <w:rFonts w:eastAsia="Times New Roman" w:cs="Arial"/>
          <w:kern w:val="0"/>
          <w:szCs w:val="22"/>
          <w:lang w:eastAsia="en-GB"/>
          <w14:ligatures w14:val="none"/>
        </w:rPr>
      </w:pPr>
      <w:r w:rsidRPr="003F0408">
        <w:rPr>
          <w:rFonts w:eastAsia="Times New Roman" w:cs="Arial"/>
          <w:kern w:val="0"/>
          <w:szCs w:val="22"/>
          <w:lang w:eastAsia="en-GB"/>
          <w14:ligatures w14:val="none"/>
        </w:rPr>
        <w:lastRenderedPageBreak/>
        <w:t>5,875 items were dispensed by 87 contractors in Cardiff and Vale University Health Board’s area</w:t>
      </w:r>
    </w:p>
    <w:p w14:paraId="1027F7B6" w14:textId="77777777" w:rsidR="003F0408" w:rsidRPr="003F0408" w:rsidRDefault="003F0408" w:rsidP="00B76905">
      <w:pPr>
        <w:numPr>
          <w:ilvl w:val="0"/>
          <w:numId w:val="117"/>
        </w:numPr>
        <w:rPr>
          <w:rFonts w:eastAsia="Times New Roman" w:cs="Arial"/>
          <w:kern w:val="0"/>
          <w:szCs w:val="22"/>
          <w:lang w:eastAsia="en-GB"/>
          <w14:ligatures w14:val="none"/>
        </w:rPr>
      </w:pPr>
      <w:r w:rsidRPr="003F0408">
        <w:rPr>
          <w:rFonts w:eastAsia="Times New Roman" w:cs="Arial"/>
          <w:kern w:val="0"/>
          <w:szCs w:val="22"/>
          <w:lang w:eastAsia="en-GB"/>
          <w14:ligatures w14:val="none"/>
        </w:rPr>
        <w:t>1,805 items were dispensed by 110 contractors in Aneurin Bevan University Health Board’s area</w:t>
      </w:r>
    </w:p>
    <w:p w14:paraId="6856C85F" w14:textId="77777777" w:rsidR="003F0408" w:rsidRPr="003F0408" w:rsidRDefault="003F0408" w:rsidP="00B76905">
      <w:pPr>
        <w:numPr>
          <w:ilvl w:val="0"/>
          <w:numId w:val="117"/>
        </w:numPr>
        <w:rPr>
          <w:rFonts w:eastAsia="Times New Roman" w:cs="Arial"/>
          <w:kern w:val="0"/>
          <w:szCs w:val="22"/>
          <w:lang w:eastAsia="en-GB"/>
          <w14:ligatures w14:val="none"/>
        </w:rPr>
      </w:pPr>
      <w:r w:rsidRPr="003F0408">
        <w:rPr>
          <w:rFonts w:eastAsia="Times New Roman" w:cs="Arial"/>
          <w:kern w:val="0"/>
          <w:szCs w:val="22"/>
          <w:lang w:eastAsia="en-GB"/>
          <w14:ligatures w14:val="none"/>
        </w:rPr>
        <w:t>205 items were dispensed by 36 contractors in Betsi Cadwaladr University Health Board’s area</w:t>
      </w:r>
    </w:p>
    <w:p w14:paraId="6451DABF" w14:textId="77777777" w:rsidR="003F0408" w:rsidRPr="003F0408" w:rsidRDefault="003F0408" w:rsidP="00FF3A53">
      <w:pPr>
        <w:rPr>
          <w:rFonts w:eastAsia="Times New Roman" w:cs="Arial"/>
          <w:kern w:val="0"/>
          <w:szCs w:val="22"/>
          <w:lang w:eastAsia="en-GB"/>
          <w14:ligatures w14:val="none"/>
        </w:rPr>
      </w:pPr>
    </w:p>
    <w:p w14:paraId="3341C35B"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5.2.2 Access to national community pharmacy and appliance contractor services</w:t>
      </w:r>
    </w:p>
    <w:p w14:paraId="7CF03819" w14:textId="77777777" w:rsidR="003F0408" w:rsidRPr="003F0408" w:rsidRDefault="003F0408" w:rsidP="00FF3A53">
      <w:pPr>
        <w:rPr>
          <w:rFonts w:eastAsia="Times New Roman" w:cs="Arial"/>
          <w:kern w:val="0"/>
          <w:szCs w:val="22"/>
          <w:lang w:eastAsia="en-GB"/>
          <w14:ligatures w14:val="none"/>
        </w:rPr>
      </w:pPr>
    </w:p>
    <w:p w14:paraId="26A50035"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Information on the type of national community pharmacy and appliance contractor services additional clinical services provided by pharmacies outside the health board’s area to its residents is not available. When claiming for these services contractors merely claim for the total number provided for each service. The exception to this is the stoma appliance customisation service where payment is made based on the information contained on the prescription. However, even with this service just the total number of relevant appliance items is noted for payment purposes. It can be assumed however that residents of the health board’s area will access these services from contractors outside of the area.</w:t>
      </w:r>
    </w:p>
    <w:p w14:paraId="30AFF386" w14:textId="77777777" w:rsidR="00FC387E" w:rsidRPr="003F0408" w:rsidRDefault="00FC387E" w:rsidP="00FF3A53">
      <w:pPr>
        <w:rPr>
          <w:rFonts w:eastAsia="Times New Roman" w:cs="Arial"/>
          <w:b/>
          <w:color w:val="942D83"/>
          <w:kern w:val="0"/>
          <w:szCs w:val="22"/>
          <w:lang w:eastAsia="en-GB"/>
          <w14:ligatures w14:val="none"/>
        </w:rPr>
      </w:pPr>
    </w:p>
    <w:p w14:paraId="2F6733BD"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5.2.3 Access to additional clinical service services</w:t>
      </w:r>
    </w:p>
    <w:p w14:paraId="2538A377" w14:textId="77777777" w:rsidR="003F0408" w:rsidRPr="003F0408" w:rsidRDefault="003F0408" w:rsidP="00FF3A53">
      <w:pPr>
        <w:rPr>
          <w:rFonts w:eastAsia="Times New Roman" w:cs="Arial"/>
          <w:kern w:val="0"/>
          <w:szCs w:val="22"/>
          <w:lang w:eastAsia="en-GB"/>
          <w14:ligatures w14:val="none"/>
        </w:rPr>
      </w:pPr>
    </w:p>
    <w:p w14:paraId="08E3E2DA" w14:textId="77777777" w:rsidR="003F0408" w:rsidRPr="003F0408" w:rsidRDefault="003F0408" w:rsidP="00FF3A53">
      <w:pPr>
        <w:rPr>
          <w:rFonts w:eastAsia="Aptos" w:cs="Arial"/>
          <w:szCs w:val="22"/>
        </w:rPr>
      </w:pPr>
      <w:r w:rsidRPr="003F0408">
        <w:rPr>
          <w:rFonts w:eastAsia="Times New Roman" w:cs="Arial"/>
          <w:kern w:val="0"/>
          <w:szCs w:val="22"/>
          <w:lang w:eastAsia="en-GB"/>
          <w14:ligatures w14:val="none"/>
        </w:rPr>
        <w:t>As with national community pharmacy and appliance contractor services, information on the provision of additional clinical services by pharmacies outside the health board’s area to its residents is not available. It can be assumed however that residents of the health board’s area will access these services from contractors outside of the area.</w:t>
      </w:r>
      <w:r w:rsidRPr="003F0408">
        <w:rPr>
          <w:rFonts w:eastAsia="Aptos" w:cs="Arial"/>
          <w:szCs w:val="22"/>
        </w:rPr>
        <w:t xml:space="preserve"> Also, patients from other health boards will access services from Swansea Bay University Health Board pharmacies, though this cross border activity is likely to be small. The greatest level of cross border activity is likely to be in the Afan, Llwchwr and Upper Valleys localities where their boundaries overlap with other health board areas.</w:t>
      </w:r>
    </w:p>
    <w:p w14:paraId="298277C6" w14:textId="77777777" w:rsidR="003F0408" w:rsidRPr="003F0408" w:rsidRDefault="003F0408" w:rsidP="00FF3A53">
      <w:pPr>
        <w:rPr>
          <w:rFonts w:eastAsia="Aptos" w:cs="Arial"/>
          <w:szCs w:val="22"/>
        </w:rPr>
      </w:pPr>
    </w:p>
    <w:p w14:paraId="0D39B1B6" w14:textId="77777777" w:rsidR="003F0408" w:rsidRPr="003F0408" w:rsidRDefault="003F0408" w:rsidP="00FF3A53">
      <w:pPr>
        <w:rPr>
          <w:rFonts w:eastAsia="Times New Roman" w:cs="Arial"/>
          <w:b/>
          <w:kern w:val="0"/>
          <w:szCs w:val="22"/>
          <w:lang w:eastAsia="en-GB"/>
          <w14:ligatures w14:val="none"/>
        </w:rPr>
      </w:pPr>
      <w:r w:rsidRPr="003F0408">
        <w:rPr>
          <w:rFonts w:eastAsia="Times New Roman" w:cs="Arial"/>
          <w:b/>
          <w:kern w:val="0"/>
          <w:szCs w:val="22"/>
          <w:lang w:eastAsia="en-GB"/>
          <w14:ligatures w14:val="none"/>
        </w:rPr>
        <w:t>5.2.4 Dispensing service provided by some GP practices</w:t>
      </w:r>
    </w:p>
    <w:p w14:paraId="7963513B" w14:textId="77777777" w:rsidR="003F0408" w:rsidRPr="003F0408" w:rsidRDefault="003F0408" w:rsidP="00FF3A53">
      <w:pPr>
        <w:rPr>
          <w:rFonts w:eastAsia="Times New Roman" w:cs="Arial"/>
          <w:kern w:val="0"/>
          <w:szCs w:val="22"/>
          <w:lang w:eastAsia="en-GB"/>
          <w14:ligatures w14:val="none"/>
        </w:rPr>
      </w:pPr>
    </w:p>
    <w:p w14:paraId="72303486" w14:textId="77777777" w:rsidR="003F0408" w:rsidRPr="003F0408" w:rsidRDefault="003F0408" w:rsidP="00FF3A53">
      <w:pPr>
        <w:rPr>
          <w:rFonts w:eastAsia="Aptos" w:cs="Arial"/>
          <w:szCs w:val="22"/>
        </w:rPr>
      </w:pPr>
      <w:r w:rsidRPr="003F0408">
        <w:rPr>
          <w:rFonts w:eastAsia="Times New Roman" w:cs="Arial"/>
          <w:kern w:val="0"/>
          <w:szCs w:val="22"/>
          <w:lang w:eastAsia="en-GB"/>
          <w14:ligatures w14:val="none"/>
        </w:rPr>
        <w:t xml:space="preserve">Some residents of the health board’s area will choose to register with a GP practice outside of the area and will access the dispensing service offered by their practice. </w:t>
      </w:r>
    </w:p>
    <w:p w14:paraId="3E5BEEB1" w14:textId="77777777" w:rsidR="003F0408" w:rsidRPr="003F0408" w:rsidRDefault="003F0408" w:rsidP="00FF3A53">
      <w:pPr>
        <w:rPr>
          <w:rFonts w:eastAsia="Times New Roman" w:cs="Arial"/>
          <w:kern w:val="0"/>
          <w:szCs w:val="22"/>
          <w:lang w:eastAsia="en-GB"/>
          <w14:ligatures w14:val="none"/>
        </w:rPr>
      </w:pPr>
    </w:p>
    <w:p w14:paraId="67E0D96F" w14:textId="77777777" w:rsidR="003F0408" w:rsidRPr="003F0408" w:rsidRDefault="003F0408" w:rsidP="00FF3A53">
      <w:pPr>
        <w:rPr>
          <w:rFonts w:eastAsia="Times New Roman" w:cs="Arial"/>
          <w:b/>
          <w:kern w:val="0"/>
          <w:sz w:val="26"/>
          <w:szCs w:val="26"/>
          <w:lang w:eastAsia="en-GB"/>
          <w14:ligatures w14:val="none"/>
        </w:rPr>
      </w:pPr>
      <w:r w:rsidRPr="003F0408">
        <w:rPr>
          <w:rFonts w:eastAsia="Times New Roman" w:cs="Arial"/>
          <w:b/>
          <w:kern w:val="0"/>
          <w:sz w:val="26"/>
          <w:szCs w:val="26"/>
          <w:lang w:eastAsia="en-GB"/>
          <w14:ligatures w14:val="none"/>
        </w:rPr>
        <w:t>5.3 Choice with regard to obtaining pharmaceutical services</w:t>
      </w:r>
    </w:p>
    <w:p w14:paraId="38026F0F" w14:textId="77777777" w:rsidR="003F0408" w:rsidRPr="003F0408" w:rsidRDefault="003F0408" w:rsidP="00FF3A53">
      <w:pPr>
        <w:rPr>
          <w:rFonts w:eastAsia="Times New Roman" w:cs="Arial"/>
          <w:kern w:val="0"/>
          <w:szCs w:val="22"/>
          <w:lang w:eastAsia="en-GB"/>
          <w14:ligatures w14:val="none"/>
        </w:rPr>
      </w:pPr>
    </w:p>
    <w:p w14:paraId="506B7654"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 xml:space="preserve">As can be seen from sections 5.1 and 5.2, the residents of the health board’s area currently exercise their choice of where to access pharmaceutical services to a considerable degree. Within the health board’s area, they have a choice of 90 pharmacies, operated by 33 different contractors. Outside of the health board’s area residents chose to access a further 624 </w:t>
      </w:r>
      <w:r w:rsidRPr="003F0408">
        <w:rPr>
          <w:rFonts w:eastAsia="Times New Roman" w:cs="Arial"/>
          <w:szCs w:val="22"/>
          <w:lang w:eastAsia="en-GB"/>
        </w:rPr>
        <w:t xml:space="preserve">pharmacies in 2024/25 and 446 pharmacies in 2025/26 </w:t>
      </w:r>
      <w:r w:rsidRPr="003F0408">
        <w:rPr>
          <w:rFonts w:eastAsia="Times New Roman" w:cs="Arial"/>
          <w:kern w:val="0"/>
          <w:szCs w:val="22"/>
          <w:lang w:eastAsia="en-GB"/>
          <w14:ligatures w14:val="none"/>
        </w:rPr>
        <w:t xml:space="preserve">in Wales alone, although many were not used on a regular basis. </w:t>
      </w:r>
    </w:p>
    <w:p w14:paraId="45A7533A" w14:textId="77777777" w:rsidR="003F0408" w:rsidRPr="003F0408" w:rsidRDefault="003F0408" w:rsidP="00FF3A53">
      <w:pPr>
        <w:rPr>
          <w:rFonts w:eastAsia="Times New Roman" w:cs="Arial"/>
          <w:kern w:val="0"/>
          <w:szCs w:val="22"/>
          <w:lang w:eastAsia="en-GB"/>
          <w14:ligatures w14:val="none"/>
        </w:rPr>
      </w:pPr>
    </w:p>
    <w:p w14:paraId="3F30A253" w14:textId="77777777" w:rsidR="003F0408" w:rsidRPr="003F0408" w:rsidRDefault="003F0408" w:rsidP="00FF3A53">
      <w:pPr>
        <w:rPr>
          <w:rFonts w:eastAsia="Times New Roman" w:cs="Arial"/>
          <w:kern w:val="0"/>
          <w:szCs w:val="22"/>
          <w:lang w:eastAsia="en-GB"/>
          <w14:ligatures w14:val="none"/>
        </w:rPr>
      </w:pPr>
      <w:r w:rsidRPr="003F0408">
        <w:rPr>
          <w:rFonts w:eastAsia="Times New Roman" w:cs="Arial"/>
          <w:kern w:val="0"/>
          <w:szCs w:val="22"/>
          <w:lang w:eastAsia="en-GB"/>
          <w14:ligatures w14:val="none"/>
        </w:rPr>
        <w:t>When asked what influences their choice of pharmacy the most common responses in the public engagement questionnaire were:</w:t>
      </w:r>
    </w:p>
    <w:p w14:paraId="47D02437" w14:textId="77777777" w:rsidR="003F0408" w:rsidRPr="003F0408" w:rsidRDefault="003F0408" w:rsidP="00FF3A53">
      <w:pPr>
        <w:rPr>
          <w:rFonts w:eastAsia="Times New Roman" w:cs="Arial"/>
          <w:kern w:val="0"/>
          <w:szCs w:val="22"/>
          <w:lang w:eastAsia="en-GB"/>
          <w14:ligatures w14:val="none"/>
        </w:rPr>
      </w:pPr>
    </w:p>
    <w:p w14:paraId="170A388F" w14:textId="77777777" w:rsidR="003F0408" w:rsidRPr="003F0408" w:rsidRDefault="003F0408" w:rsidP="00B76905">
      <w:pPr>
        <w:numPr>
          <w:ilvl w:val="0"/>
          <w:numId w:val="118"/>
        </w:numPr>
        <w:rPr>
          <w:rFonts w:eastAsia="Times New Roman" w:cs="Arial"/>
          <w:kern w:val="0"/>
          <w:szCs w:val="22"/>
          <w:lang w:eastAsia="en-GB"/>
          <w14:ligatures w14:val="none"/>
        </w:rPr>
      </w:pPr>
      <w:r w:rsidRPr="003F0408">
        <w:rPr>
          <w:rFonts w:eastAsia="Times New Roman" w:cs="Arial"/>
          <w:kern w:val="0"/>
          <w:szCs w:val="22"/>
          <w:lang w:eastAsia="en-GB"/>
          <w14:ligatures w14:val="none"/>
        </w:rPr>
        <w:t xml:space="preserve">close to home (67.2%), </w:t>
      </w:r>
    </w:p>
    <w:p w14:paraId="7E2892F9" w14:textId="77777777" w:rsidR="003F0408" w:rsidRPr="003F0408" w:rsidRDefault="003F0408" w:rsidP="00B76905">
      <w:pPr>
        <w:numPr>
          <w:ilvl w:val="0"/>
          <w:numId w:val="118"/>
        </w:numPr>
        <w:rPr>
          <w:rFonts w:eastAsia="Times New Roman" w:cs="Arial"/>
          <w:kern w:val="0"/>
          <w:szCs w:val="22"/>
          <w:lang w:eastAsia="en-GB"/>
          <w14:ligatures w14:val="none"/>
        </w:rPr>
      </w:pPr>
      <w:r w:rsidRPr="003F0408">
        <w:rPr>
          <w:rFonts w:eastAsia="Times New Roman" w:cs="Arial"/>
          <w:kern w:val="0"/>
          <w:szCs w:val="22"/>
          <w:lang w:eastAsia="en-GB"/>
          <w14:ligatures w14:val="none"/>
        </w:rPr>
        <w:lastRenderedPageBreak/>
        <w:t xml:space="preserve">the location of the pharmacy is easy to get to (48.7%), </w:t>
      </w:r>
    </w:p>
    <w:p w14:paraId="759B502B" w14:textId="77777777" w:rsidR="003F0408" w:rsidRPr="003F0408" w:rsidRDefault="003F0408" w:rsidP="00B76905">
      <w:pPr>
        <w:numPr>
          <w:ilvl w:val="0"/>
          <w:numId w:val="118"/>
        </w:numPr>
        <w:rPr>
          <w:rFonts w:eastAsia="Times New Roman" w:cs="Arial"/>
          <w:kern w:val="0"/>
          <w:szCs w:val="22"/>
          <w:lang w:eastAsia="en-GB"/>
          <w14:ligatures w14:val="none"/>
        </w:rPr>
      </w:pPr>
      <w:r w:rsidRPr="003F0408">
        <w:rPr>
          <w:rFonts w:eastAsia="Times New Roman" w:cs="Arial"/>
          <w:kern w:val="0"/>
          <w:szCs w:val="22"/>
          <w:lang w:eastAsia="en-GB"/>
          <w14:ligatures w14:val="none"/>
        </w:rPr>
        <w:t xml:space="preserve">I like and trust the staff who work there (43.7%), </w:t>
      </w:r>
    </w:p>
    <w:p w14:paraId="625F693F" w14:textId="77777777" w:rsidR="003F0408" w:rsidRPr="003F0408" w:rsidRDefault="003F0408" w:rsidP="00B76905">
      <w:pPr>
        <w:numPr>
          <w:ilvl w:val="0"/>
          <w:numId w:val="118"/>
        </w:numPr>
        <w:rPr>
          <w:rFonts w:eastAsia="Times New Roman" w:cs="Arial"/>
          <w:kern w:val="0"/>
          <w:szCs w:val="22"/>
          <w:lang w:eastAsia="en-GB"/>
          <w14:ligatures w14:val="none"/>
        </w:rPr>
      </w:pPr>
      <w:r w:rsidRPr="003F0408">
        <w:rPr>
          <w:rFonts w:eastAsia="Times New Roman" w:cs="Arial"/>
          <w:kern w:val="0"/>
          <w:szCs w:val="22"/>
          <w:lang w:eastAsia="en-GB"/>
          <w14:ligatures w14:val="none"/>
        </w:rPr>
        <w:t xml:space="preserve">close to my doctor (42.9%) and </w:t>
      </w:r>
    </w:p>
    <w:p w14:paraId="015577D2" w14:textId="77777777" w:rsidR="003F0408" w:rsidRPr="003F0408" w:rsidRDefault="003F0408" w:rsidP="00B76905">
      <w:pPr>
        <w:numPr>
          <w:ilvl w:val="0"/>
          <w:numId w:val="118"/>
        </w:numPr>
        <w:rPr>
          <w:rFonts w:eastAsia="Times New Roman" w:cs="Arial"/>
          <w:kern w:val="0"/>
          <w:szCs w:val="22"/>
          <w:lang w:eastAsia="en-GB"/>
          <w14:ligatures w14:val="none"/>
        </w:rPr>
      </w:pPr>
      <w:r w:rsidRPr="003F0408">
        <w:rPr>
          <w:rFonts w:eastAsia="Times New Roman" w:cs="Arial"/>
          <w:kern w:val="0"/>
          <w:szCs w:val="22"/>
          <w:lang w:eastAsia="en-GB"/>
          <w14:ligatures w14:val="none"/>
        </w:rPr>
        <w:t xml:space="preserve">they usually have what I need in stock (40.3%). </w:t>
      </w:r>
    </w:p>
    <w:p w14:paraId="46E27646" w14:textId="77777777" w:rsidR="003F0408" w:rsidRPr="003F0408" w:rsidRDefault="003F0408" w:rsidP="00FF3A53">
      <w:pPr>
        <w:rPr>
          <w:rFonts w:eastAsia="Times New Roman" w:cs="Arial"/>
          <w:kern w:val="0"/>
          <w:szCs w:val="22"/>
          <w:lang w:eastAsia="en-GB"/>
          <w14:ligatures w14:val="none"/>
        </w:rPr>
      </w:pPr>
    </w:p>
    <w:p w14:paraId="78E0441A" w14:textId="77777777" w:rsidR="003F0408" w:rsidRPr="003F0408" w:rsidRDefault="003F0408" w:rsidP="00FF3A53">
      <w:pPr>
        <w:rPr>
          <w:rFonts w:eastAsia="Aptos" w:cs="Arial"/>
          <w:szCs w:val="22"/>
        </w:rPr>
      </w:pPr>
      <w:r w:rsidRPr="003F0408">
        <w:rPr>
          <w:rFonts w:eastAsia="Aptos" w:cs="Arial"/>
          <w:szCs w:val="22"/>
        </w:rPr>
        <w:t>Please note that more than one option could be selected.</w:t>
      </w:r>
    </w:p>
    <w:p w14:paraId="4EA19B98" w14:textId="77777777" w:rsidR="003F0408" w:rsidRPr="003F0408" w:rsidRDefault="003F0408" w:rsidP="00FF3A53">
      <w:pPr>
        <w:rPr>
          <w:rFonts w:eastAsia="Aptos" w:cs="Arial"/>
          <w:szCs w:val="22"/>
        </w:rPr>
      </w:pPr>
    </w:p>
    <w:p w14:paraId="28DB03B1" w14:textId="77777777" w:rsidR="003F0408" w:rsidRPr="003F0408" w:rsidRDefault="003F0408" w:rsidP="00FF3A53">
      <w:pPr>
        <w:rPr>
          <w:rFonts w:eastAsia="Aptos" w:cs="Arial"/>
          <w:szCs w:val="22"/>
          <w:lang w:val="en-US"/>
        </w:rPr>
      </w:pPr>
      <w:r w:rsidRPr="003F0408">
        <w:rPr>
          <w:rFonts w:eastAsia="Aptos" w:cs="Arial"/>
          <w:szCs w:val="22"/>
          <w:lang w:val="en-US"/>
        </w:rPr>
        <w:t>63.0% said that they always used the same pharmacy and 33.6% said that they use different pharmacies but prefer to use one most often.</w:t>
      </w:r>
    </w:p>
    <w:p w14:paraId="4BA79E7E" w14:textId="77777777" w:rsidR="003F0408" w:rsidRPr="003F0408" w:rsidRDefault="003F0408" w:rsidP="00FF3A53">
      <w:pPr>
        <w:rPr>
          <w:rFonts w:eastAsia="Aptos" w:cs="Arial"/>
          <w:szCs w:val="22"/>
        </w:rPr>
      </w:pPr>
    </w:p>
    <w:p w14:paraId="78781A44" w14:textId="691E33B8" w:rsidR="00FC387E" w:rsidRPr="00D0306F" w:rsidRDefault="00FC387E">
      <w:pPr>
        <w:spacing w:after="160" w:line="278" w:lineRule="auto"/>
        <w:rPr>
          <w:rFonts w:eastAsia="Aptos" w:cs="Arial"/>
          <w:szCs w:val="22"/>
        </w:rPr>
      </w:pPr>
      <w:r w:rsidRPr="00D0306F">
        <w:rPr>
          <w:rFonts w:eastAsia="Aptos" w:cs="Arial"/>
          <w:szCs w:val="22"/>
        </w:rPr>
        <w:br w:type="page"/>
      </w:r>
    </w:p>
    <w:p w14:paraId="7B8BA0B7" w14:textId="17CA75C1" w:rsidR="00722E36" w:rsidRPr="00D0306F" w:rsidRDefault="00722E36" w:rsidP="00722E36">
      <w:pPr>
        <w:pStyle w:val="Heading1"/>
        <w:rPr>
          <w:rFonts w:eastAsia="Arial"/>
          <w:sz w:val="28"/>
          <w:szCs w:val="28"/>
        </w:rPr>
      </w:pPr>
      <w:bookmarkStart w:id="26" w:name="_Toc235185377"/>
      <w:r w:rsidRPr="00D0306F">
        <w:rPr>
          <w:rFonts w:eastAsia="Arial"/>
          <w:sz w:val="28"/>
          <w:szCs w:val="28"/>
        </w:rPr>
        <w:lastRenderedPageBreak/>
        <w:t>6 Other NHS services</w:t>
      </w:r>
      <w:bookmarkEnd w:id="26"/>
    </w:p>
    <w:p w14:paraId="46B30418" w14:textId="77777777" w:rsidR="003F0408" w:rsidRPr="003F0408" w:rsidRDefault="003F0408" w:rsidP="00FF3A53">
      <w:pPr>
        <w:rPr>
          <w:rFonts w:eastAsia="Aptos" w:cs="Arial"/>
          <w:szCs w:val="22"/>
        </w:rPr>
      </w:pPr>
    </w:p>
    <w:p w14:paraId="6B043C06" w14:textId="77777777" w:rsidR="0096754F" w:rsidRPr="0096754F" w:rsidRDefault="0096754F" w:rsidP="00770B09">
      <w:pPr>
        <w:rPr>
          <w:rFonts w:eastAsia="Arial" w:cs="Arial"/>
        </w:rPr>
      </w:pPr>
      <w:r w:rsidRPr="0096754F">
        <w:rPr>
          <w:rFonts w:eastAsia="Arial" w:cs="Arial"/>
        </w:rPr>
        <w:t>The following NHS services are deemed by the health board, to affect the need for pharmaceutical services within its area.</w:t>
      </w:r>
    </w:p>
    <w:p w14:paraId="1C7FA725" w14:textId="77777777" w:rsidR="0096754F" w:rsidRPr="0096754F" w:rsidRDefault="0096754F" w:rsidP="00770B09">
      <w:pPr>
        <w:rPr>
          <w:rFonts w:eastAsia="Arial" w:cs="Arial"/>
        </w:rPr>
      </w:pPr>
    </w:p>
    <w:p w14:paraId="683BFEBF" w14:textId="77777777" w:rsidR="0096754F" w:rsidRPr="0096754F" w:rsidRDefault="0096754F" w:rsidP="00B76905">
      <w:pPr>
        <w:numPr>
          <w:ilvl w:val="0"/>
          <w:numId w:val="124"/>
        </w:numPr>
        <w:contextualSpacing/>
        <w:rPr>
          <w:rFonts w:eastAsia="Arial" w:cs="Arial"/>
        </w:rPr>
      </w:pPr>
      <w:r w:rsidRPr="0096754F">
        <w:rPr>
          <w:rFonts w:eastAsia="Arial" w:cs="Arial"/>
        </w:rPr>
        <w:t>Hospital pharmacies – reduce the demand for the dispensing essential service as prescriptions for hospital only drugs will be dispensed by a hospital pharmacy.</w:t>
      </w:r>
    </w:p>
    <w:p w14:paraId="60A8CA17" w14:textId="77777777" w:rsidR="0096754F" w:rsidRPr="0096754F" w:rsidRDefault="0096754F" w:rsidP="00B76905">
      <w:pPr>
        <w:numPr>
          <w:ilvl w:val="0"/>
          <w:numId w:val="124"/>
        </w:numPr>
        <w:contextualSpacing/>
        <w:rPr>
          <w:rFonts w:eastAsia="Arial" w:cs="Arial"/>
        </w:rPr>
      </w:pPr>
      <w:r w:rsidRPr="0096754F">
        <w:rPr>
          <w:rFonts w:eastAsia="Arial" w:cs="Arial"/>
        </w:rPr>
        <w:t>Minor injury units – can prescribe medication which may need dispensing in pharmacies which would increase the need for the dispensing essential service however pre-packed medication are also are supplied via patient group directions which would reduce the need for the dispensing essential service.</w:t>
      </w:r>
    </w:p>
    <w:p w14:paraId="465DB2FD" w14:textId="77777777" w:rsidR="0096754F" w:rsidRPr="0096754F" w:rsidRDefault="0096754F" w:rsidP="00B76905">
      <w:pPr>
        <w:numPr>
          <w:ilvl w:val="0"/>
          <w:numId w:val="124"/>
        </w:numPr>
        <w:contextualSpacing/>
        <w:rPr>
          <w:rFonts w:eastAsia="Arial" w:cs="Arial"/>
        </w:rPr>
      </w:pPr>
      <w:r w:rsidRPr="0096754F">
        <w:rPr>
          <w:rFonts w:eastAsia="Arial" w:cs="Arial"/>
        </w:rPr>
        <w:t>Prison pharmacies – reduce the demand for the dispensing essential service as the inhouse pharmacy department provides pharmaceutical services to the resident prison population. However, on occasion a WP10/WP10MDA may need to be issued to a prisoner which would need to be dispensed at a pharmacy, in the event of an unplanned release.</w:t>
      </w:r>
    </w:p>
    <w:p w14:paraId="13A87D90" w14:textId="77777777" w:rsidR="0096754F" w:rsidRPr="0096754F" w:rsidRDefault="0096754F" w:rsidP="00B76905">
      <w:pPr>
        <w:numPr>
          <w:ilvl w:val="0"/>
          <w:numId w:val="124"/>
        </w:numPr>
        <w:contextualSpacing/>
        <w:rPr>
          <w:rFonts w:eastAsia="Arial" w:cs="Arial"/>
        </w:rPr>
      </w:pPr>
      <w:r w:rsidRPr="0096754F">
        <w:rPr>
          <w:rFonts w:eastAsia="Arial" w:cs="Arial"/>
        </w:rPr>
        <w:t>Homecare medicines delivery services are services that deliver ongoing medicine supplies initiated by hospital prescribers, direct to patient’s homes and reduce demand for the dispensing essential service.</w:t>
      </w:r>
    </w:p>
    <w:p w14:paraId="41E5B522" w14:textId="77777777" w:rsidR="0096754F" w:rsidRPr="0096754F" w:rsidRDefault="0096754F" w:rsidP="00B76905">
      <w:pPr>
        <w:numPr>
          <w:ilvl w:val="0"/>
          <w:numId w:val="124"/>
        </w:numPr>
        <w:contextualSpacing/>
        <w:rPr>
          <w:rFonts w:eastAsia="Arial" w:cs="Arial"/>
        </w:rPr>
      </w:pPr>
      <w:r w:rsidRPr="0096754F">
        <w:rPr>
          <w:rFonts w:eastAsia="Arial" w:cs="Arial"/>
        </w:rPr>
        <w:t>Hospital 2 Home - delivery of enteral feeds directly to patient’s homes. Patients have a choice whether to have their prescription for enteral feeds dispensed in a pharmacy or through Hospital 2 Home. If patients decide to have their prescription delivered directly to them via Hospital 2 Home, this will reduce the need for the dispensing essential service.</w:t>
      </w:r>
    </w:p>
    <w:p w14:paraId="2462BF8E" w14:textId="77777777" w:rsidR="0096754F" w:rsidRPr="0096754F" w:rsidRDefault="0096754F" w:rsidP="00B76905">
      <w:pPr>
        <w:numPr>
          <w:ilvl w:val="0"/>
          <w:numId w:val="124"/>
        </w:numPr>
        <w:contextualSpacing/>
        <w:rPr>
          <w:rFonts w:eastAsia="Arial" w:cs="Arial"/>
        </w:rPr>
      </w:pPr>
      <w:r w:rsidRPr="0096754F">
        <w:rPr>
          <w:rFonts w:eastAsia="Arial" w:cs="Arial"/>
        </w:rPr>
        <w:t>Outpatient clinics and acute hospital sites – WP10HP prescriptions are issued by outpatient clinics which need to be dispensed at pharmacies thus increasing the need for the dispensing essential service. Alternatively, prescription recommendations are sent to the patient’s GP which, if actioned by the GP, will also result in an increased need for the dispensing essential service in pharmacies. Prescriptions can also be issued following visits to acute hospital sites for example Accident and Emergency</w:t>
      </w:r>
    </w:p>
    <w:p w14:paraId="7B5B7B21" w14:textId="77777777" w:rsidR="0096754F" w:rsidRPr="0096754F" w:rsidRDefault="0096754F" w:rsidP="00B76905">
      <w:pPr>
        <w:numPr>
          <w:ilvl w:val="0"/>
          <w:numId w:val="124"/>
        </w:numPr>
        <w:contextualSpacing/>
        <w:rPr>
          <w:rFonts w:eastAsia="Arial" w:cs="Arial"/>
        </w:rPr>
      </w:pPr>
      <w:r w:rsidRPr="0096754F">
        <w:rPr>
          <w:rFonts w:eastAsia="Arial" w:cs="Arial"/>
        </w:rPr>
        <w:t>Community mental health teams – generate prescriptions for patients with mental health conditions which increases the need for the dispensing essential service.</w:t>
      </w:r>
    </w:p>
    <w:p w14:paraId="7F8FAB4D" w14:textId="77777777" w:rsidR="0096754F" w:rsidRPr="0096754F" w:rsidRDefault="0096754F" w:rsidP="00B76905">
      <w:pPr>
        <w:numPr>
          <w:ilvl w:val="0"/>
          <w:numId w:val="124"/>
        </w:numPr>
        <w:contextualSpacing/>
        <w:rPr>
          <w:rFonts w:eastAsia="Arial" w:cs="Arial"/>
        </w:rPr>
      </w:pPr>
      <w:r w:rsidRPr="0096754F">
        <w:rPr>
          <w:rFonts w:eastAsia="Arial" w:cs="Arial"/>
        </w:rPr>
        <w:t>Sexual health clinics can arrange both planned and emergency contraception for women, which reduces the need for the contraception element of the clinical community pharmacy service.</w:t>
      </w:r>
    </w:p>
    <w:p w14:paraId="45ABB52A" w14:textId="77777777" w:rsidR="0096754F" w:rsidRPr="0096754F" w:rsidRDefault="0096754F" w:rsidP="00B76905">
      <w:pPr>
        <w:numPr>
          <w:ilvl w:val="0"/>
          <w:numId w:val="124"/>
        </w:numPr>
        <w:contextualSpacing/>
        <w:rPr>
          <w:rFonts w:eastAsia="Arial" w:cs="Arial"/>
        </w:rPr>
      </w:pPr>
      <w:r w:rsidRPr="0096754F">
        <w:rPr>
          <w:rFonts w:eastAsia="Arial" w:cs="Arial"/>
        </w:rPr>
        <w:t>GP out of hours service/Urgent primary care centres – patients may be given a full or part course of treatment directly from the out of hours service, depending on the condition/treatment needed which reduces the need for the dispensing essential service. Alternatively, patients may be provided with a prescription to be dispensed in a pharmacy which increases the need for the dispensing essential service.</w:t>
      </w:r>
    </w:p>
    <w:p w14:paraId="6751E066" w14:textId="77777777" w:rsidR="0096754F" w:rsidRPr="0096754F" w:rsidRDefault="0096754F" w:rsidP="00B76905">
      <w:pPr>
        <w:numPr>
          <w:ilvl w:val="0"/>
          <w:numId w:val="124"/>
        </w:numPr>
        <w:contextualSpacing/>
        <w:rPr>
          <w:rFonts w:eastAsia="Arial" w:cs="Arial"/>
        </w:rPr>
      </w:pPr>
      <w:r w:rsidRPr="0096754F">
        <w:rPr>
          <w:rFonts w:eastAsia="Arial" w:cs="Arial"/>
        </w:rPr>
        <w:t xml:space="preserve">NHS Wales 111 - patients who contact NHS Wales 111 may be signposted if appropriate to a pharmacy which can increase the need for some of the national community pharmacy and appliance contractor services and </w:t>
      </w:r>
      <w:r w:rsidRPr="0096754F">
        <w:rPr>
          <w:rFonts w:eastAsia="Arial" w:cs="Arial"/>
        </w:rPr>
        <w:lastRenderedPageBreak/>
        <w:t>additional clinical services for example the emergency supply service and the common ailments service.</w:t>
      </w:r>
    </w:p>
    <w:p w14:paraId="4B1AA895" w14:textId="77777777" w:rsidR="0096754F" w:rsidRPr="0096754F" w:rsidRDefault="0096754F" w:rsidP="00B76905">
      <w:pPr>
        <w:numPr>
          <w:ilvl w:val="0"/>
          <w:numId w:val="124"/>
        </w:numPr>
        <w:contextualSpacing/>
        <w:rPr>
          <w:rFonts w:eastAsia="Arial" w:cs="Arial"/>
        </w:rPr>
      </w:pPr>
      <w:r w:rsidRPr="0096754F">
        <w:rPr>
          <w:rFonts w:eastAsia="Arial" w:cs="Arial"/>
        </w:rPr>
        <w:t>Provision of drugs, medicines and appliances for immediate treatment or personal administration of items by GPs – reduces the demand for the dispensing essential service. Items are sourced and personally administered by GPs and other clinicians at the practice or provided to the patient for their immediate treatment.</w:t>
      </w:r>
    </w:p>
    <w:p w14:paraId="58C23BD0" w14:textId="77777777" w:rsidR="0096754F" w:rsidRPr="0096754F" w:rsidRDefault="0096754F" w:rsidP="00B76905">
      <w:pPr>
        <w:numPr>
          <w:ilvl w:val="0"/>
          <w:numId w:val="124"/>
        </w:numPr>
        <w:contextualSpacing/>
        <w:rPr>
          <w:rFonts w:eastAsia="Arial" w:cs="Arial"/>
        </w:rPr>
      </w:pPr>
      <w:r w:rsidRPr="0096754F">
        <w:rPr>
          <w:rFonts w:eastAsia="Arial" w:cs="Arial"/>
        </w:rPr>
        <w:t>Provision of services by GP practices under their general medical services contract increases the need for the dispensing essential service as prescriptions are issued. However, it will also reduce the need for the provision of some of the national community pharmacy and appliance contractor services and additional clinical services</w:t>
      </w:r>
    </w:p>
    <w:p w14:paraId="2E7D72AE" w14:textId="77777777" w:rsidR="0096754F" w:rsidRPr="0096754F" w:rsidRDefault="0096754F" w:rsidP="00B76905">
      <w:pPr>
        <w:numPr>
          <w:ilvl w:val="0"/>
          <w:numId w:val="124"/>
        </w:numPr>
        <w:contextualSpacing/>
        <w:rPr>
          <w:rFonts w:eastAsia="Arial" w:cs="Arial"/>
        </w:rPr>
      </w:pPr>
      <w:r w:rsidRPr="0096754F">
        <w:rPr>
          <w:rFonts w:eastAsia="Arial" w:cs="Arial"/>
        </w:rPr>
        <w:t>Provision of general dental services may result in a prescription which will need to be dispensed in a pharmacy.</w:t>
      </w:r>
    </w:p>
    <w:p w14:paraId="1DA54811" w14:textId="77777777" w:rsidR="0096754F" w:rsidRPr="0096754F" w:rsidRDefault="0096754F" w:rsidP="00B76905">
      <w:pPr>
        <w:numPr>
          <w:ilvl w:val="0"/>
          <w:numId w:val="124"/>
        </w:numPr>
        <w:contextualSpacing/>
        <w:rPr>
          <w:rFonts w:eastAsia="Arial" w:cs="Arial"/>
        </w:rPr>
      </w:pPr>
      <w:r w:rsidRPr="0096754F">
        <w:rPr>
          <w:rFonts w:eastAsia="Arial" w:cs="Arial"/>
        </w:rPr>
        <w:t>Optometrists offer WGOS 2, acute eye care services which every optometry practice must provide for acute eye care issues and post-operative cataract assessments, and as a result may refer patients to pharmacies to access the common ailments service element of the clinical community pharmacy service. In addition, optometrists offer the independent prescribing service and as a result will increase the need for the dispensing essential service.</w:t>
      </w:r>
    </w:p>
    <w:p w14:paraId="68CA7942" w14:textId="77777777" w:rsidR="0096754F" w:rsidRPr="0096754F" w:rsidRDefault="0096754F" w:rsidP="00B76905">
      <w:pPr>
        <w:numPr>
          <w:ilvl w:val="0"/>
          <w:numId w:val="124"/>
        </w:numPr>
        <w:contextualSpacing/>
        <w:rPr>
          <w:rFonts w:eastAsia="Arial" w:cs="Arial"/>
        </w:rPr>
      </w:pPr>
      <w:r w:rsidRPr="0096754F">
        <w:rPr>
          <w:rFonts w:eastAsia="Arial" w:cs="Arial"/>
        </w:rPr>
        <w:t>Healthy bowel and bladder service - prescriptions are ordered via the continence service and are authorised by a specialist continence nurse. Patients can choose whether their prescriptions are sent to a pharmacy, dispensing appliance contractor or to their home. This service affects the need for the dispensing essential service.</w:t>
      </w:r>
    </w:p>
    <w:p w14:paraId="3A9AC4F3" w14:textId="77777777" w:rsidR="0096754F" w:rsidRPr="0096754F" w:rsidRDefault="0096754F" w:rsidP="00B76905">
      <w:pPr>
        <w:numPr>
          <w:ilvl w:val="0"/>
          <w:numId w:val="124"/>
        </w:numPr>
        <w:contextualSpacing/>
        <w:rPr>
          <w:rFonts w:eastAsia="Arial" w:cs="Arial"/>
        </w:rPr>
      </w:pPr>
      <w:r w:rsidRPr="0096754F">
        <w:rPr>
          <w:rFonts w:eastAsia="Arial" w:cs="Arial"/>
        </w:rPr>
        <w:t>Dressings supplied for patients seen under the district nursing and wound care services – dressings are supplied directly from stock held within the service which reduces the need for the dispensing essential service. Patients needing dressings who self-care, are seen by a practice nurse/GP or are resident in a care home will be supplied with a prescription to be dispensed by pharmacy. This increases the need for the dispensing essential service.</w:t>
      </w:r>
    </w:p>
    <w:p w14:paraId="5E826E4D" w14:textId="77777777" w:rsidR="0096754F" w:rsidRPr="0096754F" w:rsidRDefault="0096754F" w:rsidP="00B76905">
      <w:pPr>
        <w:numPr>
          <w:ilvl w:val="0"/>
          <w:numId w:val="124"/>
        </w:numPr>
        <w:contextualSpacing/>
        <w:rPr>
          <w:rFonts w:eastAsia="Arial" w:cs="Arial"/>
        </w:rPr>
      </w:pPr>
      <w:r w:rsidRPr="0096754F">
        <w:rPr>
          <w:rFonts w:eastAsia="Arial" w:cs="Arial"/>
        </w:rPr>
        <w:t>There are specialist substance misuse agencies within the health board’s area which can result in prescriptions needing to be dispensed in a pharmacy. These may also require doses to be taken under supervision, as part of the supervised administration of medicines service.</w:t>
      </w:r>
    </w:p>
    <w:p w14:paraId="4CCE5983" w14:textId="77777777" w:rsidR="0096754F" w:rsidRPr="0096754F" w:rsidRDefault="0096754F" w:rsidP="00B76905">
      <w:pPr>
        <w:numPr>
          <w:ilvl w:val="0"/>
          <w:numId w:val="124"/>
        </w:numPr>
        <w:contextualSpacing/>
        <w:rPr>
          <w:rFonts w:eastAsia="Arial" w:cs="Arial"/>
        </w:rPr>
      </w:pPr>
      <w:r w:rsidRPr="0096754F">
        <w:rPr>
          <w:rFonts w:eastAsia="Arial" w:cs="Arial"/>
        </w:rPr>
        <w:t xml:space="preserve">Local stop smoking services based in the community, provide face-to-face, telephone, text and online support and hospital support, including maternity and mental health, support patients to quit smoking. Prescription requests for prescription only medication can be sent from smoking advisors to the patient/client address, who needs to contact their GP to obtain agreement for the dispensing of the products, if appropriate the GP will issue a prescription to be dispensed at a pharmacy. Smoking advisors can also refer patients to the pharmacy level 2 </w:t>
      </w:r>
      <w:bookmarkStart w:id="27" w:name="_Hlk228718738"/>
      <w:r w:rsidRPr="0096754F">
        <w:rPr>
          <w:rFonts w:eastAsia="Arial" w:cs="Arial"/>
        </w:rPr>
        <w:t xml:space="preserve">smoking cessation service </w:t>
      </w:r>
      <w:bookmarkEnd w:id="27"/>
      <w:r w:rsidRPr="0096754F">
        <w:rPr>
          <w:rFonts w:eastAsia="Arial" w:cs="Arial"/>
        </w:rPr>
        <w:t>where they can receive a choice of nicotine replacement therapy. Other healthcare professionals can also signpost patients into the level 3 smoking cessation service.</w:t>
      </w:r>
    </w:p>
    <w:p w14:paraId="234CD2C1" w14:textId="77777777" w:rsidR="0096754F" w:rsidRPr="0096754F" w:rsidRDefault="0096754F" w:rsidP="00770B09">
      <w:pPr>
        <w:ind w:left="720"/>
        <w:contextualSpacing/>
        <w:rPr>
          <w:rFonts w:eastAsia="Arial" w:cs="Arial"/>
        </w:rPr>
      </w:pPr>
    </w:p>
    <w:p w14:paraId="553DF99F" w14:textId="77777777" w:rsidR="0096754F" w:rsidRPr="0096754F" w:rsidRDefault="0096754F" w:rsidP="00770B09">
      <w:pPr>
        <w:rPr>
          <w:rFonts w:eastAsia="Arial" w:cs="Arial"/>
          <w:b/>
          <w:bCs/>
          <w:sz w:val="26"/>
          <w:szCs w:val="26"/>
        </w:rPr>
      </w:pPr>
      <w:r w:rsidRPr="0096754F">
        <w:rPr>
          <w:rFonts w:eastAsia="Arial" w:cs="Arial"/>
          <w:b/>
          <w:bCs/>
          <w:sz w:val="26"/>
          <w:szCs w:val="26"/>
        </w:rPr>
        <w:t>6.1</w:t>
      </w:r>
      <w:r w:rsidRPr="0096754F">
        <w:rPr>
          <w:rFonts w:eastAsia="Aptos" w:cs="Arial"/>
          <w:sz w:val="26"/>
          <w:szCs w:val="26"/>
        </w:rPr>
        <w:tab/>
      </w:r>
      <w:r w:rsidRPr="0096754F">
        <w:rPr>
          <w:rFonts w:eastAsia="Arial" w:cs="Arial"/>
          <w:b/>
          <w:bCs/>
          <w:sz w:val="26"/>
          <w:szCs w:val="26"/>
        </w:rPr>
        <w:t>Hospital pharmacies</w:t>
      </w:r>
    </w:p>
    <w:p w14:paraId="459E3BDA" w14:textId="77777777" w:rsidR="0096754F" w:rsidRPr="0096754F" w:rsidRDefault="0096754F" w:rsidP="00770B09">
      <w:pPr>
        <w:rPr>
          <w:rFonts w:eastAsia="Arial" w:cs="Arial"/>
        </w:rPr>
      </w:pPr>
    </w:p>
    <w:p w14:paraId="626AF408" w14:textId="77777777" w:rsidR="0096754F" w:rsidRPr="0096754F" w:rsidRDefault="0096754F" w:rsidP="00770B09">
      <w:pPr>
        <w:rPr>
          <w:rFonts w:eastAsia="Arial" w:cs="Arial"/>
        </w:rPr>
      </w:pPr>
      <w:r w:rsidRPr="0096754F">
        <w:rPr>
          <w:rFonts w:eastAsia="Arial" w:cs="Arial"/>
        </w:rPr>
        <w:t xml:space="preserve">There are four main hospitals in Swansea Bay, each with a pharmacy department. Hospital pharmacies can dispense prescriptions written by hospital clinicians for </w:t>
      </w:r>
      <w:r w:rsidRPr="0096754F">
        <w:rPr>
          <w:rFonts w:eastAsia="Arial" w:cs="Arial"/>
        </w:rPr>
        <w:lastRenderedPageBreak/>
        <w:t>patients under their care. In 2024/25 125,739 items were dispensed for outpatient prescriptions. As these prescriptions are not written on WP10 forms, they cannot be dispensed in a pharmacy.</w:t>
      </w:r>
    </w:p>
    <w:p w14:paraId="3C20CEF1" w14:textId="77777777" w:rsidR="0096754F" w:rsidRPr="0096754F" w:rsidRDefault="0096754F" w:rsidP="00770B09">
      <w:pPr>
        <w:rPr>
          <w:rFonts w:eastAsia="Arial" w:cs="Arial"/>
        </w:rPr>
      </w:pPr>
    </w:p>
    <w:p w14:paraId="51AFCCF1" w14:textId="77777777" w:rsidR="0096754F" w:rsidRPr="0096754F" w:rsidRDefault="0096754F" w:rsidP="00770B09">
      <w:pPr>
        <w:rPr>
          <w:rFonts w:eastAsia="Arial" w:cs="Arial"/>
        </w:rPr>
      </w:pPr>
      <w:r w:rsidRPr="0096754F">
        <w:rPr>
          <w:rFonts w:eastAsia="Arial" w:cs="Arial"/>
        </w:rPr>
        <w:t xml:space="preserve">Morriston Hospital Pharmacy Department </w:t>
      </w:r>
    </w:p>
    <w:p w14:paraId="605607C6" w14:textId="77777777" w:rsidR="0096754F" w:rsidRPr="0096754F" w:rsidRDefault="0096754F" w:rsidP="00770B09">
      <w:pPr>
        <w:rPr>
          <w:rFonts w:eastAsia="Arial" w:cs="Arial"/>
        </w:rPr>
      </w:pPr>
      <w:r w:rsidRPr="0096754F">
        <w:rPr>
          <w:rFonts w:eastAsia="Arial" w:cs="Arial"/>
        </w:rPr>
        <w:t xml:space="preserve">Heol Maes Eglwys, Swansea, SA6 6NL </w:t>
      </w:r>
    </w:p>
    <w:p w14:paraId="5F75290B" w14:textId="77777777" w:rsidR="0096754F" w:rsidRPr="0096754F" w:rsidRDefault="0096754F" w:rsidP="00770B09">
      <w:pPr>
        <w:rPr>
          <w:rFonts w:eastAsia="Arial" w:cs="Arial"/>
        </w:rPr>
      </w:pPr>
      <w:r w:rsidRPr="0096754F">
        <w:rPr>
          <w:rFonts w:eastAsia="Arial" w:cs="Arial"/>
        </w:rPr>
        <w:t>Opening hours</w:t>
      </w:r>
    </w:p>
    <w:p w14:paraId="2CB47D57" w14:textId="77777777" w:rsidR="0096754F" w:rsidRPr="0096754F" w:rsidRDefault="0096754F" w:rsidP="00770B09">
      <w:pPr>
        <w:rPr>
          <w:rFonts w:eastAsia="Arial" w:cs="Arial"/>
        </w:rPr>
      </w:pPr>
      <w:r w:rsidRPr="0096754F">
        <w:rPr>
          <w:rFonts w:eastAsia="Arial" w:cs="Arial"/>
        </w:rPr>
        <w:t xml:space="preserve">Monday - Friday 9.00am - 5.00pm </w:t>
      </w:r>
    </w:p>
    <w:p w14:paraId="23392D20" w14:textId="77777777" w:rsidR="0096754F" w:rsidRPr="0096754F" w:rsidRDefault="0096754F" w:rsidP="00770B09">
      <w:pPr>
        <w:rPr>
          <w:rFonts w:eastAsia="Arial" w:cs="Arial"/>
        </w:rPr>
      </w:pPr>
      <w:r w:rsidRPr="0096754F">
        <w:rPr>
          <w:rFonts w:eastAsia="Arial" w:cs="Arial"/>
        </w:rPr>
        <w:t xml:space="preserve">Saturday 9.00am - 1.00pm </w:t>
      </w:r>
    </w:p>
    <w:p w14:paraId="6384F924" w14:textId="77777777" w:rsidR="0096754F" w:rsidRPr="0096754F" w:rsidRDefault="0096754F" w:rsidP="00770B09">
      <w:pPr>
        <w:rPr>
          <w:rFonts w:eastAsia="Arial" w:cs="Arial"/>
        </w:rPr>
      </w:pPr>
      <w:r w:rsidRPr="0096754F">
        <w:rPr>
          <w:rFonts w:eastAsia="Arial" w:cs="Arial"/>
        </w:rPr>
        <w:t>Sunday 9.00am - 12.00pm</w:t>
      </w:r>
    </w:p>
    <w:p w14:paraId="7F56D615" w14:textId="77777777" w:rsidR="0096754F" w:rsidRPr="0096754F" w:rsidRDefault="0096754F" w:rsidP="00770B09">
      <w:pPr>
        <w:rPr>
          <w:rFonts w:eastAsia="Arial" w:cs="Arial"/>
        </w:rPr>
      </w:pPr>
    </w:p>
    <w:p w14:paraId="415FD512" w14:textId="77777777" w:rsidR="0096754F" w:rsidRPr="0096754F" w:rsidRDefault="0096754F" w:rsidP="00770B09">
      <w:pPr>
        <w:rPr>
          <w:rFonts w:eastAsia="Arial" w:cs="Arial"/>
        </w:rPr>
      </w:pPr>
      <w:r w:rsidRPr="0096754F">
        <w:rPr>
          <w:rFonts w:eastAsia="Arial" w:cs="Arial"/>
        </w:rPr>
        <w:t>Singleton Hospital Pharmacy Department</w:t>
      </w:r>
    </w:p>
    <w:p w14:paraId="147DEDAE" w14:textId="77777777" w:rsidR="0096754F" w:rsidRPr="0096754F" w:rsidRDefault="0096754F" w:rsidP="00770B09">
      <w:pPr>
        <w:rPr>
          <w:rFonts w:eastAsia="Arial" w:cs="Arial"/>
        </w:rPr>
      </w:pPr>
      <w:r w:rsidRPr="0096754F">
        <w:rPr>
          <w:rFonts w:eastAsia="Arial" w:cs="Arial"/>
        </w:rPr>
        <w:t xml:space="preserve">Sketty Lane, Sketty, Swansea, SA2 8QA </w:t>
      </w:r>
    </w:p>
    <w:p w14:paraId="3E13F365" w14:textId="77777777" w:rsidR="0096754F" w:rsidRPr="0096754F" w:rsidRDefault="0096754F" w:rsidP="00770B09">
      <w:pPr>
        <w:rPr>
          <w:rFonts w:eastAsia="Arial" w:cs="Arial"/>
        </w:rPr>
      </w:pPr>
      <w:r w:rsidRPr="0096754F">
        <w:rPr>
          <w:rFonts w:eastAsia="Arial" w:cs="Arial"/>
        </w:rPr>
        <w:t>Opening hours</w:t>
      </w:r>
    </w:p>
    <w:p w14:paraId="1E6D3299" w14:textId="77777777" w:rsidR="0096754F" w:rsidRPr="0096754F" w:rsidRDefault="0096754F" w:rsidP="00770B09">
      <w:pPr>
        <w:rPr>
          <w:rFonts w:eastAsia="Arial" w:cs="Arial"/>
        </w:rPr>
      </w:pPr>
      <w:r w:rsidRPr="0096754F">
        <w:rPr>
          <w:rFonts w:eastAsia="Arial" w:cs="Arial"/>
        </w:rPr>
        <w:t xml:space="preserve">Monday - Friday 8.30am - 5.00pm </w:t>
      </w:r>
    </w:p>
    <w:p w14:paraId="5E3AE74E" w14:textId="77777777" w:rsidR="0096754F" w:rsidRPr="0096754F" w:rsidRDefault="0096754F" w:rsidP="00770B09">
      <w:pPr>
        <w:rPr>
          <w:rFonts w:eastAsia="Arial" w:cs="Arial"/>
        </w:rPr>
      </w:pPr>
      <w:r w:rsidRPr="0096754F">
        <w:rPr>
          <w:rFonts w:eastAsia="Arial" w:cs="Arial"/>
        </w:rPr>
        <w:t>Saturday- 9.00am -12.30pm</w:t>
      </w:r>
    </w:p>
    <w:p w14:paraId="14C87F5E" w14:textId="77777777" w:rsidR="0096754F" w:rsidRPr="0096754F" w:rsidRDefault="0096754F" w:rsidP="00770B09">
      <w:pPr>
        <w:rPr>
          <w:rFonts w:eastAsia="Arial" w:cs="Arial"/>
        </w:rPr>
      </w:pPr>
      <w:r w:rsidRPr="0096754F">
        <w:rPr>
          <w:rFonts w:eastAsia="Arial" w:cs="Arial"/>
        </w:rPr>
        <w:t>Sunday - closed</w:t>
      </w:r>
    </w:p>
    <w:p w14:paraId="6ACAFF6E" w14:textId="77777777" w:rsidR="0096754F" w:rsidRPr="0096754F" w:rsidRDefault="0096754F" w:rsidP="00770B09">
      <w:pPr>
        <w:rPr>
          <w:rFonts w:eastAsia="Arial" w:cs="Arial"/>
        </w:rPr>
      </w:pPr>
    </w:p>
    <w:p w14:paraId="08B60757" w14:textId="77777777" w:rsidR="0096754F" w:rsidRPr="0096754F" w:rsidRDefault="0096754F" w:rsidP="00770B09">
      <w:pPr>
        <w:rPr>
          <w:rFonts w:eastAsia="Arial" w:cs="Arial"/>
        </w:rPr>
      </w:pPr>
      <w:r w:rsidRPr="0096754F">
        <w:rPr>
          <w:rFonts w:eastAsia="Arial" w:cs="Arial"/>
        </w:rPr>
        <w:t>Neath Port Talbot Hospital Pharmacy</w:t>
      </w:r>
    </w:p>
    <w:p w14:paraId="4A444921" w14:textId="77777777" w:rsidR="0096754F" w:rsidRPr="0096754F" w:rsidRDefault="0096754F" w:rsidP="00770B09">
      <w:pPr>
        <w:rPr>
          <w:rFonts w:eastAsia="Arial" w:cs="Arial"/>
        </w:rPr>
      </w:pPr>
      <w:r w:rsidRPr="0096754F">
        <w:rPr>
          <w:rFonts w:eastAsia="Arial" w:cs="Arial"/>
        </w:rPr>
        <w:t xml:space="preserve">Department Baglan Way, Port Talbot, SA12 7BX </w:t>
      </w:r>
    </w:p>
    <w:p w14:paraId="38B65D7E" w14:textId="77777777" w:rsidR="0096754F" w:rsidRPr="0096754F" w:rsidRDefault="0096754F" w:rsidP="00770B09">
      <w:pPr>
        <w:rPr>
          <w:rFonts w:eastAsia="Arial" w:cs="Arial"/>
        </w:rPr>
      </w:pPr>
      <w:r w:rsidRPr="0096754F">
        <w:rPr>
          <w:rFonts w:eastAsia="Arial" w:cs="Arial"/>
        </w:rPr>
        <w:t>Opening hours</w:t>
      </w:r>
    </w:p>
    <w:p w14:paraId="472D70D5" w14:textId="77777777" w:rsidR="0096754F" w:rsidRPr="0096754F" w:rsidRDefault="0096754F" w:rsidP="00770B09">
      <w:pPr>
        <w:rPr>
          <w:rFonts w:eastAsia="Arial" w:cs="Arial"/>
        </w:rPr>
      </w:pPr>
      <w:r w:rsidRPr="0096754F">
        <w:rPr>
          <w:rFonts w:eastAsia="Arial" w:cs="Arial"/>
        </w:rPr>
        <w:t xml:space="preserve">Monday - Friday 8.30am - 5.00pm </w:t>
      </w:r>
    </w:p>
    <w:p w14:paraId="354E6EDA" w14:textId="77777777" w:rsidR="0096754F" w:rsidRPr="0096754F" w:rsidRDefault="0096754F" w:rsidP="00770B09">
      <w:pPr>
        <w:rPr>
          <w:rFonts w:eastAsia="Arial" w:cs="Arial"/>
        </w:rPr>
      </w:pPr>
      <w:r w:rsidRPr="0096754F">
        <w:rPr>
          <w:rFonts w:eastAsia="Arial" w:cs="Arial"/>
        </w:rPr>
        <w:t>Saturday - 9.00am - 12.00pm</w:t>
      </w:r>
    </w:p>
    <w:p w14:paraId="1CFF6203" w14:textId="77777777" w:rsidR="0096754F" w:rsidRPr="0096754F" w:rsidRDefault="0096754F" w:rsidP="00770B09">
      <w:pPr>
        <w:rPr>
          <w:rFonts w:eastAsia="Arial" w:cs="Arial"/>
        </w:rPr>
      </w:pPr>
      <w:r w:rsidRPr="0096754F">
        <w:rPr>
          <w:rFonts w:eastAsia="Arial" w:cs="Arial"/>
        </w:rPr>
        <w:t>Sunday – closed</w:t>
      </w:r>
    </w:p>
    <w:p w14:paraId="0C5FC524" w14:textId="77777777" w:rsidR="0096754F" w:rsidRPr="0096754F" w:rsidRDefault="0096754F" w:rsidP="00770B09">
      <w:pPr>
        <w:rPr>
          <w:rFonts w:eastAsia="Arial" w:cs="Arial"/>
        </w:rPr>
      </w:pPr>
    </w:p>
    <w:p w14:paraId="511AA475" w14:textId="77777777" w:rsidR="0096754F" w:rsidRPr="0096754F" w:rsidRDefault="0096754F" w:rsidP="00770B09">
      <w:pPr>
        <w:rPr>
          <w:rFonts w:eastAsia="Arial" w:cs="Arial"/>
        </w:rPr>
      </w:pPr>
      <w:r w:rsidRPr="0096754F">
        <w:rPr>
          <w:rFonts w:eastAsia="Arial" w:cs="Arial"/>
        </w:rPr>
        <w:t xml:space="preserve">Cefn Coed Hospital Pharmacy Department Cockett, </w:t>
      </w:r>
    </w:p>
    <w:p w14:paraId="0624070E" w14:textId="77777777" w:rsidR="0096754F" w:rsidRPr="0096754F" w:rsidRDefault="0096754F" w:rsidP="00770B09">
      <w:pPr>
        <w:rPr>
          <w:rFonts w:eastAsia="Arial" w:cs="Arial"/>
        </w:rPr>
      </w:pPr>
      <w:r w:rsidRPr="0096754F">
        <w:rPr>
          <w:rFonts w:eastAsia="Arial" w:cs="Arial"/>
        </w:rPr>
        <w:t xml:space="preserve">Sketty, Swansea, SA2 0GH </w:t>
      </w:r>
    </w:p>
    <w:p w14:paraId="2F2F62CD" w14:textId="77777777" w:rsidR="0096754F" w:rsidRPr="0096754F" w:rsidRDefault="0096754F" w:rsidP="00770B09">
      <w:pPr>
        <w:rPr>
          <w:rFonts w:eastAsia="Arial" w:cs="Arial"/>
        </w:rPr>
      </w:pPr>
      <w:r w:rsidRPr="0096754F">
        <w:rPr>
          <w:rFonts w:eastAsia="Arial" w:cs="Arial"/>
        </w:rPr>
        <w:t>Opening Hours</w:t>
      </w:r>
    </w:p>
    <w:p w14:paraId="47EE2D96" w14:textId="77777777" w:rsidR="0096754F" w:rsidRPr="0096754F" w:rsidRDefault="0096754F" w:rsidP="00770B09">
      <w:pPr>
        <w:rPr>
          <w:rFonts w:eastAsia="Arial" w:cs="Arial"/>
        </w:rPr>
      </w:pPr>
      <w:r w:rsidRPr="0096754F">
        <w:rPr>
          <w:rFonts w:eastAsia="Arial" w:cs="Arial"/>
        </w:rPr>
        <w:t>Monday - Friday 8.30am -5.00pm</w:t>
      </w:r>
    </w:p>
    <w:p w14:paraId="1757A88A" w14:textId="77777777" w:rsidR="0096754F" w:rsidRPr="0096754F" w:rsidRDefault="0096754F" w:rsidP="00770B09">
      <w:pPr>
        <w:rPr>
          <w:rFonts w:eastAsia="Arial" w:cs="Arial"/>
        </w:rPr>
      </w:pPr>
      <w:r w:rsidRPr="0096754F">
        <w:rPr>
          <w:rFonts w:eastAsia="Arial" w:cs="Arial"/>
        </w:rPr>
        <w:t>Saturday &amp; Sunday – closed</w:t>
      </w:r>
    </w:p>
    <w:p w14:paraId="18E96FD5" w14:textId="77777777" w:rsidR="0096754F" w:rsidRPr="0096754F" w:rsidRDefault="0096754F" w:rsidP="00770B09">
      <w:pPr>
        <w:rPr>
          <w:rFonts w:eastAsia="Arial" w:cs="Arial"/>
        </w:rPr>
      </w:pPr>
    </w:p>
    <w:p w14:paraId="4E73EC9C" w14:textId="77777777" w:rsidR="0096754F" w:rsidRPr="0096754F" w:rsidRDefault="0096754F" w:rsidP="00770B09">
      <w:pPr>
        <w:rPr>
          <w:rFonts w:eastAsia="Arial" w:cs="Arial"/>
          <w:b/>
          <w:bCs/>
          <w:sz w:val="26"/>
          <w:szCs w:val="26"/>
        </w:rPr>
      </w:pPr>
      <w:r w:rsidRPr="0096754F">
        <w:rPr>
          <w:rFonts w:eastAsia="Arial" w:cs="Arial"/>
          <w:b/>
          <w:bCs/>
          <w:sz w:val="26"/>
          <w:szCs w:val="26"/>
        </w:rPr>
        <w:t>6.2 Minor injuries unit</w:t>
      </w:r>
    </w:p>
    <w:p w14:paraId="5048F948" w14:textId="77777777" w:rsidR="0096754F" w:rsidRPr="0096754F" w:rsidRDefault="0096754F" w:rsidP="00770B09">
      <w:pPr>
        <w:rPr>
          <w:rFonts w:eastAsia="Arial" w:cs="Arial"/>
        </w:rPr>
      </w:pPr>
    </w:p>
    <w:p w14:paraId="1A902C7B" w14:textId="77777777" w:rsidR="0096754F" w:rsidRPr="0096754F" w:rsidRDefault="0096754F" w:rsidP="00770B09">
      <w:pPr>
        <w:rPr>
          <w:rFonts w:eastAsia="Arial" w:cs="Arial"/>
        </w:rPr>
      </w:pPr>
      <w:r w:rsidRPr="0096754F">
        <w:rPr>
          <w:rFonts w:eastAsia="Arial" w:cs="Arial"/>
        </w:rPr>
        <w:t>The minor injuries unit can treat patients with minor injuries. Patients do not need to make an appointment and will be seen by a registered nurse. The minor injuries unit can supply courses of treatment via patient group directions or provide a prescription to be dispensed a pharmacy.</w:t>
      </w:r>
    </w:p>
    <w:p w14:paraId="28071EB0" w14:textId="77777777" w:rsidR="0096754F" w:rsidRPr="0096754F" w:rsidRDefault="0096754F" w:rsidP="00770B09">
      <w:pPr>
        <w:rPr>
          <w:rFonts w:eastAsia="Arial" w:cs="Arial"/>
        </w:rPr>
      </w:pPr>
    </w:p>
    <w:p w14:paraId="3430FBAA" w14:textId="77777777" w:rsidR="0096754F" w:rsidRPr="0096754F" w:rsidRDefault="0096754F" w:rsidP="00770B09">
      <w:pPr>
        <w:rPr>
          <w:rFonts w:eastAsia="Arial" w:cs="Arial"/>
        </w:rPr>
      </w:pPr>
      <w:r w:rsidRPr="0096754F">
        <w:rPr>
          <w:rFonts w:eastAsia="Arial" w:cs="Arial"/>
        </w:rPr>
        <w:t>Minor injury unit - Neath Port Talbot</w:t>
      </w:r>
    </w:p>
    <w:p w14:paraId="5633654D" w14:textId="77777777" w:rsidR="0096754F" w:rsidRPr="0096754F" w:rsidRDefault="0096754F" w:rsidP="00770B09">
      <w:pPr>
        <w:rPr>
          <w:rFonts w:eastAsia="Arial" w:cs="Arial"/>
        </w:rPr>
      </w:pPr>
      <w:r w:rsidRPr="0096754F">
        <w:rPr>
          <w:rFonts w:eastAsia="Arial" w:cs="Arial"/>
        </w:rPr>
        <w:t xml:space="preserve">Neath Port Talbot Hospital, Baglan Way, Port Talbot, SA12 7BX </w:t>
      </w:r>
    </w:p>
    <w:p w14:paraId="0CC20BD3" w14:textId="77777777" w:rsidR="0096754F" w:rsidRPr="0096754F" w:rsidRDefault="0096754F" w:rsidP="00770B09">
      <w:pPr>
        <w:rPr>
          <w:rFonts w:eastAsia="Arial" w:cs="Arial"/>
        </w:rPr>
      </w:pPr>
      <w:r w:rsidRPr="0096754F">
        <w:rPr>
          <w:rFonts w:eastAsia="Arial" w:cs="Arial"/>
        </w:rPr>
        <w:t>Telephone: 01639 862160</w:t>
      </w:r>
    </w:p>
    <w:p w14:paraId="0B4C50C2" w14:textId="77777777" w:rsidR="0096754F" w:rsidRPr="0096754F" w:rsidRDefault="0096754F" w:rsidP="00770B09">
      <w:pPr>
        <w:rPr>
          <w:rFonts w:eastAsia="Arial" w:cs="Arial"/>
        </w:rPr>
      </w:pPr>
      <w:r w:rsidRPr="0096754F">
        <w:rPr>
          <w:rFonts w:eastAsia="Arial" w:cs="Arial"/>
        </w:rPr>
        <w:t>Opening hours: 7.30am - 11.00pm</w:t>
      </w:r>
    </w:p>
    <w:p w14:paraId="09C2D14F" w14:textId="77777777" w:rsidR="0096754F" w:rsidRPr="0096754F" w:rsidRDefault="0096754F" w:rsidP="00770B09">
      <w:pPr>
        <w:rPr>
          <w:rFonts w:eastAsia="Arial" w:cs="Arial"/>
          <w:b/>
          <w:bCs/>
        </w:rPr>
      </w:pPr>
    </w:p>
    <w:p w14:paraId="11E48B55" w14:textId="77777777" w:rsidR="0096754F" w:rsidRPr="0096754F" w:rsidRDefault="0096754F" w:rsidP="00770B09">
      <w:pPr>
        <w:rPr>
          <w:rFonts w:eastAsia="Arial" w:cs="Arial"/>
          <w:b/>
          <w:bCs/>
          <w:sz w:val="26"/>
          <w:szCs w:val="26"/>
        </w:rPr>
      </w:pPr>
      <w:r w:rsidRPr="0096754F">
        <w:rPr>
          <w:rFonts w:eastAsia="Arial" w:cs="Arial"/>
          <w:b/>
          <w:bCs/>
          <w:sz w:val="26"/>
          <w:szCs w:val="26"/>
        </w:rPr>
        <w:t>6.3 Prison pharmaceutical services</w:t>
      </w:r>
    </w:p>
    <w:p w14:paraId="07C2083C" w14:textId="77777777" w:rsidR="0096754F" w:rsidRPr="0096754F" w:rsidRDefault="0096754F" w:rsidP="00770B09">
      <w:pPr>
        <w:rPr>
          <w:rFonts w:eastAsia="Arial" w:cs="Arial"/>
        </w:rPr>
      </w:pPr>
    </w:p>
    <w:p w14:paraId="39C29CCC" w14:textId="77777777" w:rsidR="0096754F" w:rsidRPr="0096754F" w:rsidRDefault="0096754F" w:rsidP="00770B09">
      <w:pPr>
        <w:rPr>
          <w:rFonts w:eastAsia="Arial" w:cs="Arial"/>
        </w:rPr>
      </w:pPr>
      <w:r w:rsidRPr="0096754F">
        <w:rPr>
          <w:rFonts w:eastAsia="Arial" w:cs="Arial"/>
        </w:rPr>
        <w:t>There is one prison in the health board’s area, HMP Swansea. Pharmaceutical services are provided by the health board to the prison population from an in-house pharmacy department. These services include the supply of medication to prisoners, clinical pharmacy services and strategic medicines management.</w:t>
      </w:r>
    </w:p>
    <w:p w14:paraId="7A05FE05" w14:textId="77777777" w:rsidR="0096754F" w:rsidRPr="0096754F" w:rsidRDefault="0096754F" w:rsidP="00770B09">
      <w:pPr>
        <w:rPr>
          <w:rFonts w:eastAsia="Arial" w:cs="Arial"/>
        </w:rPr>
      </w:pPr>
    </w:p>
    <w:p w14:paraId="52EF03B2" w14:textId="77777777" w:rsidR="0096754F" w:rsidRPr="0096754F" w:rsidRDefault="0096754F" w:rsidP="00770B09">
      <w:pPr>
        <w:rPr>
          <w:rFonts w:eastAsia="Arial" w:cs="Arial"/>
        </w:rPr>
      </w:pPr>
      <w:r w:rsidRPr="0096754F">
        <w:rPr>
          <w:rFonts w:eastAsia="Arial" w:cs="Arial"/>
        </w:rPr>
        <w:lastRenderedPageBreak/>
        <w:t>HMP Swansea</w:t>
      </w:r>
    </w:p>
    <w:p w14:paraId="366DA380" w14:textId="77777777" w:rsidR="0096754F" w:rsidRPr="0096754F" w:rsidRDefault="0096754F" w:rsidP="00770B09">
      <w:pPr>
        <w:rPr>
          <w:rFonts w:eastAsia="Arial" w:cs="Arial"/>
        </w:rPr>
      </w:pPr>
      <w:r w:rsidRPr="0096754F">
        <w:rPr>
          <w:rFonts w:eastAsia="Arial" w:cs="Arial"/>
        </w:rPr>
        <w:t>200, Oystermouth Road Swansea</w:t>
      </w:r>
    </w:p>
    <w:p w14:paraId="27262531" w14:textId="77777777" w:rsidR="0096754F" w:rsidRPr="0096754F" w:rsidRDefault="0096754F" w:rsidP="00770B09">
      <w:pPr>
        <w:rPr>
          <w:rFonts w:eastAsia="Arial" w:cs="Arial"/>
        </w:rPr>
      </w:pPr>
      <w:r w:rsidRPr="0096754F">
        <w:rPr>
          <w:rFonts w:eastAsia="Arial" w:cs="Arial"/>
        </w:rPr>
        <w:t>SA1 3SR</w:t>
      </w:r>
    </w:p>
    <w:p w14:paraId="7D6D8B69" w14:textId="77777777" w:rsidR="0096754F" w:rsidRPr="0096754F" w:rsidRDefault="0096754F" w:rsidP="00770B09">
      <w:pPr>
        <w:rPr>
          <w:rFonts w:eastAsia="Arial" w:cs="Arial"/>
        </w:rPr>
      </w:pPr>
    </w:p>
    <w:p w14:paraId="6E8A2757" w14:textId="77777777" w:rsidR="0096754F" w:rsidRPr="0096754F" w:rsidRDefault="0096754F" w:rsidP="00770B09">
      <w:pPr>
        <w:rPr>
          <w:rFonts w:eastAsia="Arial" w:cs="Arial"/>
          <w:b/>
          <w:bCs/>
          <w:sz w:val="26"/>
          <w:szCs w:val="26"/>
        </w:rPr>
      </w:pPr>
      <w:r w:rsidRPr="0096754F">
        <w:rPr>
          <w:rFonts w:eastAsia="Arial" w:cs="Arial"/>
          <w:b/>
          <w:bCs/>
          <w:sz w:val="26"/>
          <w:szCs w:val="26"/>
        </w:rPr>
        <w:t>6.4 Homecare Medicines Delivery services</w:t>
      </w:r>
    </w:p>
    <w:p w14:paraId="45141989" w14:textId="77777777" w:rsidR="0096754F" w:rsidRPr="0096754F" w:rsidRDefault="0096754F" w:rsidP="00770B09">
      <w:pPr>
        <w:rPr>
          <w:rFonts w:eastAsia="Arial" w:cs="Arial"/>
          <w:b/>
          <w:bCs/>
        </w:rPr>
      </w:pPr>
    </w:p>
    <w:p w14:paraId="2F246A06" w14:textId="77777777" w:rsidR="0096754F" w:rsidRPr="0096754F" w:rsidRDefault="0096754F" w:rsidP="00770B09">
      <w:pPr>
        <w:rPr>
          <w:rFonts w:eastAsia="Arial" w:cs="Arial"/>
        </w:rPr>
      </w:pPr>
      <w:r w:rsidRPr="0096754F">
        <w:rPr>
          <w:rFonts w:eastAsia="Arial" w:cs="Arial"/>
        </w:rPr>
        <w:t>Homecare Medicines delivery services are third party providers that deliver ongoing medicine supplies initiated by hospital prescribers, direct to patient’s homes.</w:t>
      </w:r>
    </w:p>
    <w:p w14:paraId="23042613" w14:textId="77777777" w:rsidR="0096754F" w:rsidRPr="0096754F" w:rsidRDefault="0096754F" w:rsidP="00770B09">
      <w:pPr>
        <w:rPr>
          <w:rFonts w:eastAsia="Arial" w:cs="Arial"/>
        </w:rPr>
      </w:pPr>
    </w:p>
    <w:p w14:paraId="71355BB9" w14:textId="77777777" w:rsidR="0096754F" w:rsidRPr="0096754F" w:rsidRDefault="0096754F" w:rsidP="00770B09">
      <w:pPr>
        <w:rPr>
          <w:rFonts w:eastAsia="Arial" w:cs="Arial"/>
          <w:sz w:val="26"/>
          <w:szCs w:val="26"/>
        </w:rPr>
      </w:pPr>
      <w:r w:rsidRPr="0096754F">
        <w:rPr>
          <w:rFonts w:eastAsia="Arial" w:cs="Arial"/>
          <w:b/>
          <w:bCs/>
          <w:sz w:val="26"/>
          <w:szCs w:val="26"/>
        </w:rPr>
        <w:t>6.5 Hospital 2 Home</w:t>
      </w:r>
    </w:p>
    <w:p w14:paraId="270CCA96" w14:textId="77777777" w:rsidR="0096754F" w:rsidRPr="0096754F" w:rsidRDefault="0096754F" w:rsidP="00770B09">
      <w:pPr>
        <w:rPr>
          <w:rFonts w:eastAsia="Arial" w:cs="Arial"/>
        </w:rPr>
      </w:pPr>
    </w:p>
    <w:p w14:paraId="30C49211" w14:textId="77777777" w:rsidR="0096754F" w:rsidRPr="0096754F" w:rsidRDefault="0096754F" w:rsidP="00770B09">
      <w:pPr>
        <w:rPr>
          <w:rFonts w:eastAsia="Arial" w:cs="Arial"/>
        </w:rPr>
      </w:pPr>
      <w:r w:rsidRPr="0096754F">
        <w:rPr>
          <w:rFonts w:eastAsia="Arial" w:cs="Arial"/>
        </w:rPr>
        <w:t>The Hospital 2 Home service delivers enteral feeds directly to patient’s homes. 95% of patients supplied with enteral feeds receive them directly through the Hospital 2 Home service whereas only 5% of patients receiving enteral feeds obtain them via a pharmacy.</w:t>
      </w:r>
    </w:p>
    <w:p w14:paraId="00246B26" w14:textId="77777777" w:rsidR="0096754F" w:rsidRPr="0096754F" w:rsidRDefault="0096754F" w:rsidP="00770B09">
      <w:pPr>
        <w:rPr>
          <w:rFonts w:eastAsia="Arial" w:cs="Arial"/>
        </w:rPr>
      </w:pPr>
    </w:p>
    <w:p w14:paraId="102F4389" w14:textId="77777777" w:rsidR="0096754F" w:rsidRPr="0096754F" w:rsidRDefault="0096754F" w:rsidP="00770B09">
      <w:pPr>
        <w:rPr>
          <w:rFonts w:eastAsia="Arial" w:cs="Arial"/>
          <w:b/>
          <w:bCs/>
          <w:sz w:val="26"/>
          <w:szCs w:val="26"/>
        </w:rPr>
      </w:pPr>
      <w:r w:rsidRPr="0096754F">
        <w:rPr>
          <w:rFonts w:eastAsia="Arial" w:cs="Arial"/>
          <w:b/>
          <w:bCs/>
          <w:sz w:val="26"/>
          <w:szCs w:val="26"/>
        </w:rPr>
        <w:t>6.6 Outpatients and acute hospital sites</w:t>
      </w:r>
    </w:p>
    <w:p w14:paraId="003E9121" w14:textId="77777777" w:rsidR="0096754F" w:rsidRPr="0096754F" w:rsidRDefault="0096754F" w:rsidP="00770B09">
      <w:pPr>
        <w:rPr>
          <w:rFonts w:eastAsia="Arial" w:cs="Arial"/>
        </w:rPr>
      </w:pPr>
    </w:p>
    <w:p w14:paraId="7B523CDD" w14:textId="77777777" w:rsidR="0096754F" w:rsidRPr="0096754F" w:rsidRDefault="0096754F" w:rsidP="00770B09">
      <w:pPr>
        <w:rPr>
          <w:rFonts w:eastAsia="Arial" w:cs="Arial"/>
        </w:rPr>
      </w:pPr>
      <w:r w:rsidRPr="0096754F">
        <w:rPr>
          <w:rFonts w:eastAsia="Arial" w:cs="Arial"/>
        </w:rPr>
        <w:t>Patients may be provided with a WP10HP prescription following a visit to an outpatient clinic to be dispensed at a pharmacy. Alternatively, prescription recommendations are sent to the patient’s GP, who may then write a prescription which would need to be dispensed at a pharmacy. Prescriptions can also be issued following visits to acute hospital sites for example Accident and Emergency to be dispensed at a pharmacy.</w:t>
      </w:r>
    </w:p>
    <w:p w14:paraId="1CF5DE2F" w14:textId="77777777" w:rsidR="0096754F" w:rsidRPr="0096754F" w:rsidRDefault="0096754F" w:rsidP="00770B09">
      <w:pPr>
        <w:rPr>
          <w:rFonts w:eastAsia="Arial" w:cs="Arial"/>
        </w:rPr>
      </w:pPr>
    </w:p>
    <w:p w14:paraId="1F597ABB" w14:textId="77777777" w:rsidR="0096754F" w:rsidRPr="0096754F" w:rsidRDefault="0096754F" w:rsidP="00770B09">
      <w:pPr>
        <w:rPr>
          <w:rFonts w:eastAsia="Arial" w:cs="Arial"/>
          <w:b/>
          <w:bCs/>
          <w:sz w:val="26"/>
          <w:szCs w:val="26"/>
        </w:rPr>
      </w:pPr>
      <w:r w:rsidRPr="0096754F">
        <w:rPr>
          <w:rFonts w:eastAsia="Arial" w:cs="Arial"/>
          <w:b/>
          <w:bCs/>
          <w:sz w:val="26"/>
          <w:szCs w:val="26"/>
        </w:rPr>
        <w:t xml:space="preserve">6.7 Community </w:t>
      </w:r>
      <w:bookmarkStart w:id="28" w:name="_Hlk228717619"/>
      <w:r w:rsidRPr="0096754F">
        <w:rPr>
          <w:rFonts w:eastAsia="Arial" w:cs="Arial"/>
          <w:b/>
          <w:bCs/>
          <w:sz w:val="26"/>
          <w:szCs w:val="26"/>
        </w:rPr>
        <w:t>mental health teams</w:t>
      </w:r>
      <w:bookmarkEnd w:id="28"/>
    </w:p>
    <w:p w14:paraId="46C6209D" w14:textId="77777777" w:rsidR="0096754F" w:rsidRPr="0096754F" w:rsidRDefault="0096754F" w:rsidP="00770B09">
      <w:pPr>
        <w:rPr>
          <w:rFonts w:eastAsia="Arial" w:cs="Arial"/>
        </w:rPr>
      </w:pPr>
    </w:p>
    <w:p w14:paraId="39DE0838" w14:textId="77777777" w:rsidR="0096754F" w:rsidRPr="0096754F" w:rsidRDefault="0096754F" w:rsidP="00770B09">
      <w:pPr>
        <w:rPr>
          <w:rFonts w:eastAsia="Arial" w:cs="Arial"/>
        </w:rPr>
      </w:pPr>
      <w:r w:rsidRPr="0096754F">
        <w:rPr>
          <w:rFonts w:eastAsia="Arial" w:cs="Arial"/>
        </w:rPr>
        <w:t>Community mental health teams support people living in the community who have complex or serious mental health conditions. They can issue prescriptions for patients which are then dispensed in pharmacies. There are four community mental health teams in the area:</w:t>
      </w:r>
    </w:p>
    <w:p w14:paraId="15EE1660" w14:textId="77777777" w:rsidR="0096754F" w:rsidRPr="0096754F" w:rsidRDefault="0096754F" w:rsidP="00770B09">
      <w:pPr>
        <w:rPr>
          <w:rFonts w:eastAsia="Arial" w:cs="Arial"/>
        </w:rPr>
      </w:pPr>
    </w:p>
    <w:p w14:paraId="69DD2608" w14:textId="77777777" w:rsidR="0096754F" w:rsidRPr="0096754F" w:rsidRDefault="0096754F" w:rsidP="00B76905">
      <w:pPr>
        <w:numPr>
          <w:ilvl w:val="0"/>
          <w:numId w:val="125"/>
        </w:numPr>
        <w:contextualSpacing/>
        <w:rPr>
          <w:rFonts w:eastAsia="Arial" w:cs="Arial"/>
        </w:rPr>
      </w:pPr>
      <w:r w:rsidRPr="0096754F">
        <w:rPr>
          <w:rFonts w:eastAsia="Arial" w:cs="Arial"/>
        </w:rPr>
        <w:t>Central Clinic, Orchard Street, Swansea, SA1 5AT</w:t>
      </w:r>
    </w:p>
    <w:p w14:paraId="6408F3D8" w14:textId="77777777" w:rsidR="0096754F" w:rsidRPr="0096754F" w:rsidRDefault="0096754F" w:rsidP="00B76905">
      <w:pPr>
        <w:numPr>
          <w:ilvl w:val="0"/>
          <w:numId w:val="125"/>
        </w:numPr>
        <w:contextualSpacing/>
        <w:rPr>
          <w:rFonts w:eastAsia="Arial" w:cs="Arial"/>
        </w:rPr>
      </w:pPr>
      <w:r w:rsidRPr="0096754F">
        <w:rPr>
          <w:rFonts w:eastAsia="Arial" w:cs="Arial"/>
        </w:rPr>
        <w:t xml:space="preserve">Ty Einon, Princess Street, Gorseinon, Swansea SA4 4US </w:t>
      </w:r>
    </w:p>
    <w:p w14:paraId="467F97BC" w14:textId="77777777" w:rsidR="0096754F" w:rsidRPr="0096754F" w:rsidRDefault="0096754F" w:rsidP="00B76905">
      <w:pPr>
        <w:numPr>
          <w:ilvl w:val="0"/>
          <w:numId w:val="125"/>
        </w:numPr>
        <w:contextualSpacing/>
        <w:rPr>
          <w:rFonts w:eastAsia="Arial" w:cs="Arial"/>
        </w:rPr>
      </w:pPr>
      <w:r w:rsidRPr="0096754F">
        <w:rPr>
          <w:rFonts w:eastAsia="Arial" w:cs="Arial"/>
        </w:rPr>
        <w:t>Forge Centre, Forge Road, Port Talbot SA13 1PA</w:t>
      </w:r>
    </w:p>
    <w:p w14:paraId="27ECE136" w14:textId="77777777" w:rsidR="0096754F" w:rsidRPr="0096754F" w:rsidRDefault="0096754F" w:rsidP="00B76905">
      <w:pPr>
        <w:numPr>
          <w:ilvl w:val="0"/>
          <w:numId w:val="125"/>
        </w:numPr>
        <w:contextualSpacing/>
        <w:rPr>
          <w:rFonts w:eastAsia="Arial" w:cs="Arial"/>
        </w:rPr>
      </w:pPr>
      <w:r w:rsidRPr="0096754F">
        <w:rPr>
          <w:rFonts w:eastAsia="Arial" w:cs="Arial"/>
        </w:rPr>
        <w:t>Tonna CMHT, Tonna Hospital, Tonna Neath SA11 3LX</w:t>
      </w:r>
    </w:p>
    <w:p w14:paraId="4588AD42" w14:textId="77777777" w:rsidR="0096754F" w:rsidRPr="0096754F" w:rsidRDefault="0096754F" w:rsidP="00770B09">
      <w:pPr>
        <w:rPr>
          <w:rFonts w:eastAsia="Arial" w:cs="Arial"/>
        </w:rPr>
      </w:pPr>
    </w:p>
    <w:p w14:paraId="276B923F" w14:textId="77777777" w:rsidR="0096754F" w:rsidRPr="0096754F" w:rsidRDefault="0096754F" w:rsidP="00770B09">
      <w:pPr>
        <w:rPr>
          <w:rFonts w:eastAsia="Arial" w:cs="Arial"/>
          <w:b/>
          <w:bCs/>
          <w:sz w:val="26"/>
          <w:szCs w:val="26"/>
        </w:rPr>
      </w:pPr>
      <w:r w:rsidRPr="0096754F">
        <w:rPr>
          <w:rFonts w:eastAsia="Arial" w:cs="Arial"/>
          <w:b/>
          <w:bCs/>
          <w:sz w:val="26"/>
          <w:szCs w:val="26"/>
        </w:rPr>
        <w:t>6.8 Sexual health services</w:t>
      </w:r>
    </w:p>
    <w:p w14:paraId="64D6497C" w14:textId="77777777" w:rsidR="0096754F" w:rsidRPr="0096754F" w:rsidRDefault="0096754F" w:rsidP="00770B09">
      <w:pPr>
        <w:rPr>
          <w:rFonts w:eastAsia="Arial" w:cs="Arial"/>
        </w:rPr>
      </w:pPr>
    </w:p>
    <w:p w14:paraId="0BCE08A5" w14:textId="77777777" w:rsidR="0096754F" w:rsidRPr="0096754F" w:rsidRDefault="0096754F" w:rsidP="00770B09">
      <w:pPr>
        <w:rPr>
          <w:rFonts w:eastAsia="Arial" w:cs="Arial"/>
        </w:rPr>
      </w:pPr>
      <w:r w:rsidRPr="0096754F">
        <w:rPr>
          <w:rFonts w:eastAsia="Arial" w:cs="Arial"/>
        </w:rPr>
        <w:t xml:space="preserve">Sexual health services can be accessed by completing a self-referral form or by phoning the helpline (0300 5550279). Clients will receive a telephone consultation and then be provided with the most appropriate service provision for their needs. Services provided include sexually transmitted infection testing and treatment, human immunodeficiency virus services, pre and post exposure, contraceptive advice, provision and emergency contraception, vaccinations, pregnancy advisory service and psychosexual counselling. The sexual health clinics listed below are fully stocked with all necessary medications, creams, and contraceptive devices required for contraception, sexually transmitted infections management, and general genitourinary medicine services, supported by the pharmacy team. </w:t>
      </w:r>
    </w:p>
    <w:p w14:paraId="7A2E594F" w14:textId="77777777" w:rsidR="0096754F" w:rsidRPr="0096754F" w:rsidRDefault="0096754F" w:rsidP="00770B09">
      <w:pPr>
        <w:rPr>
          <w:rFonts w:eastAsia="Arial" w:cs="Arial"/>
        </w:rPr>
      </w:pPr>
    </w:p>
    <w:p w14:paraId="5F2534D1" w14:textId="77777777" w:rsidR="0096754F" w:rsidRPr="0096754F" w:rsidRDefault="0096754F" w:rsidP="00770B09">
      <w:pPr>
        <w:rPr>
          <w:rFonts w:eastAsia="Arial" w:cs="Arial"/>
        </w:rPr>
      </w:pPr>
      <w:r w:rsidRPr="0096754F">
        <w:rPr>
          <w:rFonts w:eastAsia="Arial" w:cs="Arial"/>
        </w:rPr>
        <w:t>Asymptomatic testing is available from Frisky Wales, this can be ordered online, and a kit will be sent out. They provide testing for chlamydia, gonorrhoea, syphilis, human immunodeficiency virus and hepatitis B and C. The sexual health service will be informed of any positive result and will arrange treatment. Pregnancy advisory services (termination of pregnancy) patients can self-refer or can be referred via their GP on 01792 200303.</w:t>
      </w:r>
    </w:p>
    <w:p w14:paraId="31681F5A" w14:textId="77777777" w:rsidR="0096754F" w:rsidRPr="0096754F" w:rsidRDefault="0096754F" w:rsidP="00770B09">
      <w:pPr>
        <w:rPr>
          <w:rFonts w:eastAsia="Arial" w:cs="Arial"/>
        </w:rPr>
      </w:pPr>
    </w:p>
    <w:p w14:paraId="028788FB" w14:textId="77777777" w:rsidR="0096754F" w:rsidRPr="0096754F" w:rsidRDefault="0096754F" w:rsidP="00770B09">
      <w:pPr>
        <w:rPr>
          <w:rFonts w:eastAsia="Calibri" w:cs="Arial"/>
          <w:kern w:val="0"/>
          <w14:ligatures w14:val="none"/>
        </w:rPr>
      </w:pPr>
      <w:r w:rsidRPr="0096754F">
        <w:rPr>
          <w:rFonts w:eastAsia="Calibri" w:cs="Arial"/>
          <w:kern w:val="0"/>
          <w14:ligatures w14:val="none"/>
        </w:rPr>
        <w:t>As part of sexual health services pharmacies provide Chlamydia and Gonorrhoea ‘test at home’ kits. This service is not provided as part of pharmaceutical services, and it reduces the need for the blood borne virus screening additional clinical service.</w:t>
      </w:r>
    </w:p>
    <w:p w14:paraId="249EAB06" w14:textId="77777777" w:rsidR="0096754F" w:rsidRPr="0096754F" w:rsidRDefault="0096754F" w:rsidP="00770B09">
      <w:pPr>
        <w:rPr>
          <w:rFonts w:eastAsia="Arial" w:cs="Arial"/>
        </w:rPr>
      </w:pPr>
    </w:p>
    <w:p w14:paraId="7613D49A" w14:textId="77777777" w:rsidR="0096754F" w:rsidRPr="0096754F" w:rsidRDefault="0096754F" w:rsidP="00770B09">
      <w:pPr>
        <w:rPr>
          <w:rFonts w:eastAsia="Arial" w:cs="Arial"/>
          <w:b/>
          <w:bCs/>
        </w:rPr>
      </w:pPr>
      <w:r w:rsidRPr="0096754F">
        <w:rPr>
          <w:rFonts w:eastAsia="Arial" w:cs="Arial"/>
          <w:b/>
          <w:bCs/>
        </w:rPr>
        <w:t>Swansea clinics</w:t>
      </w:r>
    </w:p>
    <w:p w14:paraId="71D01D77" w14:textId="77777777" w:rsidR="0096754F" w:rsidRPr="0096754F" w:rsidRDefault="0096754F" w:rsidP="00B76905">
      <w:pPr>
        <w:numPr>
          <w:ilvl w:val="0"/>
          <w:numId w:val="126"/>
        </w:numPr>
        <w:contextualSpacing/>
        <w:rPr>
          <w:rFonts w:eastAsia="Arial" w:cs="Arial"/>
        </w:rPr>
      </w:pPr>
      <w:r w:rsidRPr="0096754F">
        <w:rPr>
          <w:rFonts w:eastAsia="Arial" w:cs="Arial"/>
        </w:rPr>
        <w:t xml:space="preserve">Singleton Sexual Health Clinic, Singleton Hospital, Sketty Lane, Sketty, Swansea SA2 8QA </w:t>
      </w:r>
    </w:p>
    <w:p w14:paraId="58075271" w14:textId="77777777" w:rsidR="0096754F" w:rsidRPr="0096754F" w:rsidRDefault="0096754F" w:rsidP="00B76905">
      <w:pPr>
        <w:numPr>
          <w:ilvl w:val="0"/>
          <w:numId w:val="126"/>
        </w:numPr>
        <w:contextualSpacing/>
        <w:rPr>
          <w:rFonts w:eastAsia="Arial" w:cs="Arial"/>
        </w:rPr>
      </w:pPr>
      <w:r w:rsidRPr="0096754F">
        <w:rPr>
          <w:rFonts w:eastAsia="Arial" w:cs="Arial"/>
        </w:rPr>
        <w:t>Pontardawe Health Centre, Alloy Industrial Estate, Pontardawe, Swansea, SA8 4JU</w:t>
      </w:r>
    </w:p>
    <w:p w14:paraId="2BF2AEC4" w14:textId="77777777" w:rsidR="0096754F" w:rsidRPr="0096754F" w:rsidRDefault="0096754F" w:rsidP="00770B09">
      <w:pPr>
        <w:rPr>
          <w:rFonts w:eastAsia="Arial" w:cs="Arial"/>
        </w:rPr>
      </w:pPr>
    </w:p>
    <w:p w14:paraId="18275665" w14:textId="77777777" w:rsidR="0096754F" w:rsidRPr="0096754F" w:rsidRDefault="0096754F" w:rsidP="00770B09">
      <w:pPr>
        <w:rPr>
          <w:rFonts w:eastAsia="Arial" w:cs="Arial"/>
          <w:b/>
          <w:bCs/>
        </w:rPr>
      </w:pPr>
      <w:r w:rsidRPr="0096754F">
        <w:rPr>
          <w:rFonts w:eastAsia="Arial" w:cs="Arial"/>
          <w:b/>
          <w:bCs/>
        </w:rPr>
        <w:t>Neath Port Talbot clinic</w:t>
      </w:r>
    </w:p>
    <w:p w14:paraId="382A1538" w14:textId="77777777" w:rsidR="0096754F" w:rsidRPr="0096754F" w:rsidRDefault="0096754F" w:rsidP="00B76905">
      <w:pPr>
        <w:numPr>
          <w:ilvl w:val="0"/>
          <w:numId w:val="127"/>
        </w:numPr>
        <w:contextualSpacing/>
        <w:rPr>
          <w:rFonts w:eastAsia="Arial" w:cs="Arial"/>
        </w:rPr>
      </w:pPr>
      <w:r w:rsidRPr="0096754F">
        <w:rPr>
          <w:rFonts w:eastAsia="Arial" w:cs="Arial"/>
        </w:rPr>
        <w:t xml:space="preserve">Sexual Health clinic, Neath Port Talbot Hospital, Baglan Way, Port Talbot SA2 7BX </w:t>
      </w:r>
    </w:p>
    <w:p w14:paraId="417CC57C" w14:textId="77777777" w:rsidR="0096754F" w:rsidRPr="0096754F" w:rsidRDefault="0096754F" w:rsidP="00B76905">
      <w:pPr>
        <w:numPr>
          <w:ilvl w:val="0"/>
          <w:numId w:val="127"/>
        </w:numPr>
        <w:contextualSpacing/>
        <w:rPr>
          <w:rFonts w:eastAsia="Arial" w:cs="Arial"/>
        </w:rPr>
      </w:pPr>
      <w:r w:rsidRPr="0096754F">
        <w:rPr>
          <w:rFonts w:eastAsia="Arial" w:cs="Arial"/>
        </w:rPr>
        <w:t>Dyfed Road Clinic, Dyfed Road, Neath, SA11 3AW</w:t>
      </w:r>
    </w:p>
    <w:p w14:paraId="6AB0EC1A" w14:textId="77777777" w:rsidR="0096754F" w:rsidRPr="0096754F" w:rsidRDefault="0096754F" w:rsidP="00770B09">
      <w:pPr>
        <w:rPr>
          <w:rFonts w:eastAsia="Arial" w:cs="Arial"/>
        </w:rPr>
      </w:pPr>
    </w:p>
    <w:p w14:paraId="205E9B48" w14:textId="77777777" w:rsidR="0096754F" w:rsidRPr="0096754F" w:rsidRDefault="0096754F" w:rsidP="00770B09">
      <w:pPr>
        <w:rPr>
          <w:rFonts w:eastAsia="Arial" w:cs="Arial"/>
          <w:b/>
          <w:bCs/>
        </w:rPr>
      </w:pPr>
      <w:r w:rsidRPr="0096754F">
        <w:rPr>
          <w:rFonts w:eastAsia="Arial" w:cs="Arial"/>
          <w:b/>
          <w:bCs/>
        </w:rPr>
        <w:t>Outreach services</w:t>
      </w:r>
    </w:p>
    <w:p w14:paraId="6877D9F8" w14:textId="77777777" w:rsidR="0096754F" w:rsidRPr="0096754F" w:rsidRDefault="0096754F" w:rsidP="00770B09">
      <w:pPr>
        <w:rPr>
          <w:rFonts w:eastAsia="Arial" w:cs="Arial"/>
        </w:rPr>
      </w:pPr>
    </w:p>
    <w:p w14:paraId="58F1DD81" w14:textId="77777777" w:rsidR="0096754F" w:rsidRPr="0096754F" w:rsidRDefault="0096754F" w:rsidP="00770B09">
      <w:pPr>
        <w:rPr>
          <w:rFonts w:eastAsia="Arial" w:cs="Arial"/>
        </w:rPr>
      </w:pPr>
      <w:r w:rsidRPr="0096754F">
        <w:rPr>
          <w:rFonts w:eastAsia="Arial" w:cs="Arial"/>
        </w:rPr>
        <w:t>Outreach services are provided by the outreach team at a number of locations across the health board’s area, in order to support a range of organisations and specific patient groups.</w:t>
      </w:r>
    </w:p>
    <w:p w14:paraId="51CB729B" w14:textId="77777777" w:rsidR="0096754F" w:rsidRPr="0096754F" w:rsidRDefault="0096754F" w:rsidP="00770B09">
      <w:pPr>
        <w:rPr>
          <w:rFonts w:eastAsia="Arial" w:cs="Arial"/>
        </w:rPr>
      </w:pPr>
    </w:p>
    <w:p w14:paraId="04F88EDC" w14:textId="77777777" w:rsidR="0096754F" w:rsidRPr="0096754F" w:rsidRDefault="0096754F" w:rsidP="00770B09">
      <w:pPr>
        <w:rPr>
          <w:rFonts w:eastAsia="Arial" w:cs="Arial"/>
          <w:b/>
          <w:bCs/>
          <w:sz w:val="26"/>
          <w:szCs w:val="26"/>
        </w:rPr>
      </w:pPr>
      <w:r w:rsidRPr="0096754F">
        <w:rPr>
          <w:rFonts w:eastAsia="Arial" w:cs="Arial"/>
          <w:b/>
          <w:bCs/>
          <w:sz w:val="26"/>
          <w:szCs w:val="26"/>
        </w:rPr>
        <w:t>6.9 GP out of hours service and NHS Wales 111</w:t>
      </w:r>
    </w:p>
    <w:p w14:paraId="4E8D4CA3" w14:textId="77777777" w:rsidR="0096754F" w:rsidRPr="0096754F" w:rsidRDefault="0096754F" w:rsidP="00770B09">
      <w:pPr>
        <w:rPr>
          <w:rFonts w:eastAsia="Arial" w:cs="Arial"/>
        </w:rPr>
      </w:pPr>
    </w:p>
    <w:p w14:paraId="1DC1E454" w14:textId="77777777" w:rsidR="0096754F" w:rsidRPr="0096754F" w:rsidRDefault="0096754F" w:rsidP="00770B09">
      <w:pPr>
        <w:rPr>
          <w:rFonts w:eastAsia="Arial" w:cs="Arial"/>
        </w:rPr>
      </w:pPr>
      <w:r w:rsidRPr="0096754F">
        <w:rPr>
          <w:rFonts w:eastAsia="Arial" w:cs="Arial"/>
        </w:rPr>
        <w:t>The GP out of hours service is available for patients with urgent medical needs that cannot wait until their own surgery is open. It is available between 6:30pm and 8:00am Monday to Friday, and 24 hours a day on Saturdays, Sundays, and public and bank holidays.</w:t>
      </w:r>
    </w:p>
    <w:p w14:paraId="32613F8F" w14:textId="77777777" w:rsidR="0096754F" w:rsidRPr="0096754F" w:rsidRDefault="0096754F" w:rsidP="00770B09">
      <w:pPr>
        <w:rPr>
          <w:rFonts w:eastAsia="Arial" w:cs="Arial"/>
        </w:rPr>
      </w:pPr>
    </w:p>
    <w:p w14:paraId="57D03102" w14:textId="77777777" w:rsidR="0096754F" w:rsidRPr="0096754F" w:rsidRDefault="0096754F" w:rsidP="00770B09">
      <w:pPr>
        <w:rPr>
          <w:rFonts w:eastAsia="Arial" w:cs="Arial"/>
        </w:rPr>
      </w:pPr>
      <w:r w:rsidRPr="0096754F">
        <w:rPr>
          <w:rFonts w:eastAsia="Arial" w:cs="Arial"/>
        </w:rPr>
        <w:t>Access to the GP out of hours service is via NHS Wales 111. Where appropriate, patients are transferred to the out of hours service for a telephone consultation and if required the patient can be:</w:t>
      </w:r>
    </w:p>
    <w:p w14:paraId="68F4EE52" w14:textId="77777777" w:rsidR="0096754F" w:rsidRPr="0096754F" w:rsidRDefault="0096754F" w:rsidP="00770B09">
      <w:pPr>
        <w:rPr>
          <w:rFonts w:eastAsia="Arial" w:cs="Arial"/>
        </w:rPr>
      </w:pPr>
    </w:p>
    <w:p w14:paraId="17679C67" w14:textId="77777777" w:rsidR="0096754F" w:rsidRPr="0096754F" w:rsidRDefault="0096754F" w:rsidP="00B76905">
      <w:pPr>
        <w:numPr>
          <w:ilvl w:val="0"/>
          <w:numId w:val="128"/>
        </w:numPr>
        <w:contextualSpacing/>
        <w:rPr>
          <w:rFonts w:eastAsia="Arial" w:cs="Arial"/>
        </w:rPr>
      </w:pPr>
      <w:r w:rsidRPr="0096754F">
        <w:rPr>
          <w:rFonts w:eastAsia="Arial" w:cs="Arial"/>
        </w:rPr>
        <w:t>seen in one of the treatment centres,</w:t>
      </w:r>
    </w:p>
    <w:p w14:paraId="7CE7E25F" w14:textId="77777777" w:rsidR="0096754F" w:rsidRPr="0096754F" w:rsidRDefault="0096754F" w:rsidP="00B76905">
      <w:pPr>
        <w:numPr>
          <w:ilvl w:val="0"/>
          <w:numId w:val="128"/>
        </w:numPr>
        <w:contextualSpacing/>
        <w:rPr>
          <w:rFonts w:eastAsia="Arial" w:cs="Arial"/>
        </w:rPr>
      </w:pPr>
      <w:r w:rsidRPr="0096754F">
        <w:rPr>
          <w:rFonts w:eastAsia="Arial" w:cs="Arial"/>
        </w:rPr>
        <w:t>allocated a home visit,</w:t>
      </w:r>
    </w:p>
    <w:p w14:paraId="66E4573D" w14:textId="77777777" w:rsidR="0096754F" w:rsidRPr="0096754F" w:rsidRDefault="0096754F" w:rsidP="00B76905">
      <w:pPr>
        <w:numPr>
          <w:ilvl w:val="0"/>
          <w:numId w:val="128"/>
        </w:numPr>
        <w:contextualSpacing/>
        <w:rPr>
          <w:rFonts w:eastAsia="Arial" w:cs="Arial"/>
        </w:rPr>
      </w:pPr>
      <w:r w:rsidRPr="0096754F">
        <w:rPr>
          <w:rFonts w:eastAsia="Arial" w:cs="Arial"/>
        </w:rPr>
        <w:t>prescribed a medication, or</w:t>
      </w:r>
    </w:p>
    <w:p w14:paraId="60F39B65" w14:textId="77777777" w:rsidR="0096754F" w:rsidRPr="0096754F" w:rsidRDefault="0096754F" w:rsidP="00B76905">
      <w:pPr>
        <w:numPr>
          <w:ilvl w:val="0"/>
          <w:numId w:val="128"/>
        </w:numPr>
        <w:contextualSpacing/>
        <w:rPr>
          <w:rFonts w:eastAsia="Arial" w:cs="Arial"/>
        </w:rPr>
      </w:pPr>
      <w:r w:rsidRPr="0096754F">
        <w:rPr>
          <w:rFonts w:eastAsia="Arial" w:cs="Arial"/>
        </w:rPr>
        <w:t>given self-care advice.</w:t>
      </w:r>
    </w:p>
    <w:p w14:paraId="7C9D6288" w14:textId="77777777" w:rsidR="0096754F" w:rsidRPr="0096754F" w:rsidRDefault="0096754F" w:rsidP="00770B09">
      <w:pPr>
        <w:rPr>
          <w:rFonts w:eastAsia="Arial" w:cs="Arial"/>
        </w:rPr>
      </w:pPr>
    </w:p>
    <w:p w14:paraId="3CD9EA60" w14:textId="77777777" w:rsidR="0096754F" w:rsidRPr="0096754F" w:rsidRDefault="0096754F" w:rsidP="00770B09">
      <w:pPr>
        <w:rPr>
          <w:rFonts w:eastAsia="Arial" w:cs="Arial"/>
        </w:rPr>
      </w:pPr>
      <w:r w:rsidRPr="0096754F">
        <w:rPr>
          <w:rFonts w:eastAsia="Arial" w:cs="Arial"/>
        </w:rPr>
        <w:t>There are two treatment centres available, and patients will be directed to the nearest one:</w:t>
      </w:r>
    </w:p>
    <w:p w14:paraId="0F013F2B" w14:textId="77777777" w:rsidR="0096754F" w:rsidRPr="0096754F" w:rsidRDefault="0096754F" w:rsidP="00770B09">
      <w:pPr>
        <w:rPr>
          <w:rFonts w:eastAsia="Arial" w:cs="Arial"/>
        </w:rPr>
      </w:pPr>
    </w:p>
    <w:p w14:paraId="3DE10360" w14:textId="77777777" w:rsidR="0096754F" w:rsidRPr="0096754F" w:rsidRDefault="0096754F" w:rsidP="00B76905">
      <w:pPr>
        <w:numPr>
          <w:ilvl w:val="0"/>
          <w:numId w:val="129"/>
        </w:numPr>
        <w:contextualSpacing/>
        <w:rPr>
          <w:rFonts w:eastAsia="Arial" w:cs="Arial"/>
        </w:rPr>
      </w:pPr>
      <w:r w:rsidRPr="0096754F">
        <w:rPr>
          <w:rFonts w:eastAsia="Arial" w:cs="Arial"/>
        </w:rPr>
        <w:lastRenderedPageBreak/>
        <w:t>Neath Port Talbot Hospital, Port Talbot, SA12 7BX</w:t>
      </w:r>
    </w:p>
    <w:p w14:paraId="7C4B60E6" w14:textId="77777777" w:rsidR="0096754F" w:rsidRPr="0096754F" w:rsidRDefault="0096754F" w:rsidP="00B76905">
      <w:pPr>
        <w:numPr>
          <w:ilvl w:val="0"/>
          <w:numId w:val="129"/>
        </w:numPr>
        <w:contextualSpacing/>
        <w:rPr>
          <w:rFonts w:eastAsia="Arial" w:cs="Arial"/>
        </w:rPr>
      </w:pPr>
      <w:r w:rsidRPr="0096754F">
        <w:rPr>
          <w:rFonts w:eastAsia="Arial" w:cs="Arial"/>
        </w:rPr>
        <w:t>Morriston Hospital, Swansea, SA6 6NL</w:t>
      </w:r>
    </w:p>
    <w:p w14:paraId="72D14E63" w14:textId="77777777" w:rsidR="0096754F" w:rsidRPr="0096754F" w:rsidRDefault="0096754F" w:rsidP="00770B09">
      <w:pPr>
        <w:rPr>
          <w:rFonts w:eastAsia="Arial" w:cs="Arial"/>
        </w:rPr>
      </w:pPr>
    </w:p>
    <w:p w14:paraId="62B92F76" w14:textId="77777777" w:rsidR="0096754F" w:rsidRPr="0096754F" w:rsidRDefault="0096754F" w:rsidP="00770B09">
      <w:pPr>
        <w:rPr>
          <w:rFonts w:eastAsia="Arial" w:cs="Arial"/>
        </w:rPr>
      </w:pPr>
      <w:r w:rsidRPr="0096754F">
        <w:rPr>
          <w:rFonts w:eastAsia="Arial" w:cs="Arial"/>
        </w:rPr>
        <w:t>NHS Wales 111 can also directly refer patients to a pharmacy if they may need to access additional clinical services, as appropriate.</w:t>
      </w:r>
    </w:p>
    <w:p w14:paraId="755EB9AD" w14:textId="77777777" w:rsidR="0096754F" w:rsidRPr="0096754F" w:rsidRDefault="0096754F" w:rsidP="00770B09">
      <w:pPr>
        <w:rPr>
          <w:rFonts w:eastAsia="Arial" w:cs="Arial"/>
        </w:rPr>
      </w:pPr>
    </w:p>
    <w:p w14:paraId="4E060CB2" w14:textId="77777777" w:rsidR="0096754F" w:rsidRPr="0096754F" w:rsidRDefault="0096754F" w:rsidP="00770B09">
      <w:pPr>
        <w:rPr>
          <w:rFonts w:eastAsia="Arial" w:cs="Arial"/>
          <w:b/>
          <w:bCs/>
          <w:sz w:val="26"/>
          <w:szCs w:val="26"/>
        </w:rPr>
      </w:pPr>
      <w:r w:rsidRPr="0096754F">
        <w:rPr>
          <w:rFonts w:eastAsia="Arial" w:cs="Arial"/>
          <w:b/>
          <w:bCs/>
          <w:sz w:val="26"/>
          <w:szCs w:val="26"/>
        </w:rPr>
        <w:t>6.10 Provision of drugs, medicines and appliances for immediate treatment or personal administration of items by GPs</w:t>
      </w:r>
    </w:p>
    <w:p w14:paraId="5921E367" w14:textId="77777777" w:rsidR="0096754F" w:rsidRPr="0096754F" w:rsidRDefault="0096754F" w:rsidP="00770B09">
      <w:pPr>
        <w:rPr>
          <w:rFonts w:eastAsia="Arial" w:cs="Arial"/>
        </w:rPr>
      </w:pPr>
    </w:p>
    <w:p w14:paraId="041DBEFD" w14:textId="77777777" w:rsidR="0096754F" w:rsidRPr="0096754F" w:rsidRDefault="0096754F" w:rsidP="00770B09">
      <w:pPr>
        <w:rPr>
          <w:rFonts w:eastAsia="Arial" w:cs="Arial"/>
        </w:rPr>
      </w:pPr>
      <w:r w:rsidRPr="0096754F">
        <w:rPr>
          <w:rFonts w:eastAsia="Arial" w:cs="Arial"/>
        </w:rPr>
        <w:t>Under their general medical services contract with the health board there will be occasions where a GP or another healthcare professional at the practice:</w:t>
      </w:r>
    </w:p>
    <w:p w14:paraId="043497DA" w14:textId="77777777" w:rsidR="0096754F" w:rsidRPr="0096754F" w:rsidRDefault="0096754F" w:rsidP="00770B09">
      <w:pPr>
        <w:rPr>
          <w:rFonts w:eastAsia="Arial" w:cs="Arial"/>
        </w:rPr>
      </w:pPr>
    </w:p>
    <w:p w14:paraId="70B2328D" w14:textId="77777777" w:rsidR="0096754F" w:rsidRPr="0096754F" w:rsidRDefault="0096754F" w:rsidP="00B76905">
      <w:pPr>
        <w:numPr>
          <w:ilvl w:val="0"/>
          <w:numId w:val="130"/>
        </w:numPr>
        <w:contextualSpacing/>
        <w:rPr>
          <w:rFonts w:eastAsia="Calibri" w:cs="Arial"/>
          <w:kern w:val="0"/>
          <w14:ligatures w14:val="none"/>
        </w:rPr>
      </w:pPr>
      <w:r w:rsidRPr="0096754F">
        <w:rPr>
          <w:rFonts w:eastAsia="Calibri" w:cs="Arial"/>
          <w:kern w:val="0"/>
          <w14:ligatures w14:val="none"/>
        </w:rPr>
        <w:t>must provide a drug, medicine, or appliance to a patient where such provision is needed for the immediate treatment of the patient before they provision can otherwise be obtained, or</w:t>
      </w:r>
    </w:p>
    <w:p w14:paraId="7F4A3970" w14:textId="77777777" w:rsidR="0096754F" w:rsidRPr="0096754F" w:rsidRDefault="0096754F" w:rsidP="00B76905">
      <w:pPr>
        <w:numPr>
          <w:ilvl w:val="0"/>
          <w:numId w:val="130"/>
        </w:numPr>
        <w:contextualSpacing/>
        <w:rPr>
          <w:rFonts w:eastAsia="Calibri" w:cs="Arial"/>
          <w:kern w:val="0"/>
          <w14:ligatures w14:val="none"/>
        </w:rPr>
      </w:pPr>
      <w:r w:rsidRPr="0096754F">
        <w:rPr>
          <w:rFonts w:eastAsia="Calibri" w:cs="Arial"/>
          <w:kern w:val="0"/>
          <w14:ligatures w14:val="none"/>
        </w:rPr>
        <w:t>may provide a drug, medicine, or appliance to a patient which the GP or healthcare professional administers or applies to the patient.</w:t>
      </w:r>
    </w:p>
    <w:p w14:paraId="5D8A8562" w14:textId="77777777" w:rsidR="0096754F" w:rsidRPr="0096754F" w:rsidRDefault="0096754F" w:rsidP="00770B09">
      <w:pPr>
        <w:rPr>
          <w:rFonts w:eastAsia="Arial" w:cs="Arial"/>
        </w:rPr>
      </w:pPr>
    </w:p>
    <w:p w14:paraId="262BD8A5" w14:textId="77777777" w:rsidR="0096754F" w:rsidRPr="0096754F" w:rsidRDefault="0096754F" w:rsidP="00770B09">
      <w:pPr>
        <w:rPr>
          <w:rFonts w:eastAsia="Arial" w:cs="Arial"/>
        </w:rPr>
      </w:pPr>
      <w:r w:rsidRPr="0096754F">
        <w:rPr>
          <w:rFonts w:eastAsia="Arial" w:cs="Arial"/>
        </w:rPr>
        <w:t>Generally, when a patient requires a medicine or appliance, their GP will give them a prescription which is dispensed by their preferred pharmacy. In some instances, however a GP or practice nurse will supply an item against a prescription, and this is referred to as personal administration, as the item that is supplied will be administered to the patient by a GP or nurse. This is different to the dispensing of prescriptions and only applies to certain specified items for example vaccines, anaesthetics, injections, intra-uterine contraceptive devices, and sutures.</w:t>
      </w:r>
    </w:p>
    <w:p w14:paraId="7B22F5D3" w14:textId="77777777" w:rsidR="0096754F" w:rsidRPr="0096754F" w:rsidRDefault="0096754F" w:rsidP="00770B09">
      <w:pPr>
        <w:rPr>
          <w:rFonts w:eastAsia="Arial" w:cs="Arial"/>
        </w:rPr>
      </w:pPr>
    </w:p>
    <w:p w14:paraId="073D8F39" w14:textId="77777777" w:rsidR="0096754F" w:rsidRPr="0096754F" w:rsidRDefault="0096754F" w:rsidP="00770B09">
      <w:pPr>
        <w:rPr>
          <w:rFonts w:eastAsia="Arial" w:cs="Arial"/>
        </w:rPr>
      </w:pPr>
      <w:r w:rsidRPr="0096754F">
        <w:rPr>
          <w:rFonts w:eastAsia="Arial" w:cs="Arial"/>
        </w:rPr>
        <w:t>For these items, the practice will produce a prescription however the patient is not required to take it to a pharmacy, have it dispensed and then return to the practice for it to be administered. Instead, the practice will retain the prescription and submit it for reimbursement to the NHS Wales Shared Services Partnership at the end of the month.</w:t>
      </w:r>
    </w:p>
    <w:p w14:paraId="5FAC4304" w14:textId="77777777" w:rsidR="0096754F" w:rsidRPr="0096754F" w:rsidRDefault="0096754F" w:rsidP="00770B09">
      <w:pPr>
        <w:rPr>
          <w:rFonts w:eastAsia="Arial" w:cs="Arial"/>
        </w:rPr>
      </w:pPr>
    </w:p>
    <w:p w14:paraId="6E93CAF7" w14:textId="77777777" w:rsidR="0096754F" w:rsidRPr="0096754F" w:rsidRDefault="0096754F" w:rsidP="00770B09">
      <w:pPr>
        <w:contextualSpacing/>
        <w:rPr>
          <w:rFonts w:eastAsia="Calibri" w:cs="Arial"/>
          <w:kern w:val="0"/>
          <w14:ligatures w14:val="none"/>
        </w:rPr>
      </w:pPr>
      <w:r w:rsidRPr="0096754F">
        <w:rPr>
          <w:rFonts w:eastAsia="Calibri" w:cs="Arial"/>
          <w:kern w:val="0"/>
          <w14:ligatures w14:val="none"/>
        </w:rPr>
        <w:t xml:space="preserve">Separately, a GP practice may provide a drug, medicine, or appliance for the immediate treatment of a patient because the patient is unable to access the item from a pharmacy within the required timescale. </w:t>
      </w:r>
    </w:p>
    <w:p w14:paraId="36DE4FC1" w14:textId="77777777" w:rsidR="0096754F" w:rsidRPr="0096754F" w:rsidRDefault="0096754F" w:rsidP="00770B09">
      <w:pPr>
        <w:rPr>
          <w:rFonts w:eastAsia="Arial" w:cs="Arial"/>
        </w:rPr>
      </w:pPr>
    </w:p>
    <w:p w14:paraId="09A679DB" w14:textId="77777777" w:rsidR="0096754F" w:rsidRPr="0096754F" w:rsidRDefault="0096754F" w:rsidP="00770B09">
      <w:pPr>
        <w:rPr>
          <w:rFonts w:eastAsia="Arial" w:cs="Arial"/>
        </w:rPr>
      </w:pPr>
      <w:r w:rsidRPr="0096754F">
        <w:rPr>
          <w:rFonts w:eastAsia="Arial" w:cs="Arial"/>
        </w:rPr>
        <w:t>In 2024/25, 118,973 items were personally administered or provided for immediate treatment by practices that do not dispense in the way outlined above. In the first nine months of 2026/26, 42,345 were personally administered or provided for immediate treatment by the non-dispensing practices.</w:t>
      </w:r>
    </w:p>
    <w:p w14:paraId="529D78C2" w14:textId="77777777" w:rsidR="0096754F" w:rsidRPr="0096754F" w:rsidRDefault="0096754F" w:rsidP="00770B09">
      <w:pPr>
        <w:rPr>
          <w:rFonts w:eastAsia="Arial" w:cs="Arial"/>
        </w:rPr>
      </w:pPr>
    </w:p>
    <w:p w14:paraId="7E2E9F23" w14:textId="77777777" w:rsidR="0096754F" w:rsidRPr="0096754F" w:rsidRDefault="0096754F" w:rsidP="00770B09">
      <w:pPr>
        <w:rPr>
          <w:rFonts w:eastAsia="Calibri" w:cs="Arial"/>
          <w:b/>
          <w:kern w:val="0"/>
          <w:sz w:val="26"/>
          <w:szCs w:val="26"/>
          <w14:ligatures w14:val="none"/>
        </w:rPr>
      </w:pPr>
      <w:r w:rsidRPr="0096754F">
        <w:rPr>
          <w:rFonts w:eastAsia="Arial" w:cs="Arial"/>
          <w:b/>
          <w:bCs/>
        </w:rPr>
        <w:t xml:space="preserve">6.11 </w:t>
      </w:r>
      <w:r w:rsidRPr="0096754F">
        <w:rPr>
          <w:rFonts w:eastAsia="Calibri" w:cs="Arial"/>
          <w:b/>
          <w:kern w:val="0"/>
          <w:sz w:val="26"/>
          <w:szCs w:val="26"/>
          <w14:ligatures w14:val="none"/>
        </w:rPr>
        <w:t>Services provided by GPs under their general medical services contract</w:t>
      </w:r>
    </w:p>
    <w:p w14:paraId="5D9BFACC" w14:textId="77777777" w:rsidR="0096754F" w:rsidRPr="0096754F" w:rsidRDefault="0096754F" w:rsidP="00770B09">
      <w:pPr>
        <w:rPr>
          <w:rFonts w:eastAsia="Calibri" w:cs="Arial"/>
          <w:kern w:val="0"/>
          <w14:ligatures w14:val="none"/>
        </w:rPr>
      </w:pPr>
    </w:p>
    <w:p w14:paraId="43F15254" w14:textId="77777777" w:rsidR="0096754F" w:rsidRPr="0096754F" w:rsidRDefault="0096754F" w:rsidP="00770B09">
      <w:pPr>
        <w:rPr>
          <w:rFonts w:eastAsia="Calibri" w:cs="Arial"/>
          <w:kern w:val="0"/>
          <w14:ligatures w14:val="none"/>
        </w:rPr>
      </w:pPr>
      <w:r w:rsidRPr="0096754F">
        <w:rPr>
          <w:rFonts w:eastAsia="Calibri" w:cs="Arial"/>
          <w:kern w:val="0"/>
          <w14:ligatures w14:val="none"/>
        </w:rPr>
        <w:t>The GP practices provide the following services which reduce the need for pharmaceutical services:</w:t>
      </w:r>
    </w:p>
    <w:p w14:paraId="1BF041C6" w14:textId="77777777" w:rsidR="0096754F" w:rsidRPr="0096754F" w:rsidRDefault="0096754F" w:rsidP="00770B09">
      <w:pPr>
        <w:rPr>
          <w:rFonts w:eastAsia="Calibri" w:cs="Arial"/>
          <w:kern w:val="0"/>
          <w14:ligatures w14:val="none"/>
        </w:rPr>
      </w:pPr>
    </w:p>
    <w:p w14:paraId="6B1819ED" w14:textId="77777777" w:rsidR="0096754F" w:rsidRPr="0096754F" w:rsidRDefault="0096754F" w:rsidP="00B76905">
      <w:pPr>
        <w:numPr>
          <w:ilvl w:val="0"/>
          <w:numId w:val="131"/>
        </w:numPr>
        <w:rPr>
          <w:rFonts w:eastAsia="Calibri" w:cs="Arial"/>
          <w:kern w:val="0"/>
          <w14:ligatures w14:val="none"/>
        </w:rPr>
      </w:pPr>
      <w:r w:rsidRPr="0096754F">
        <w:rPr>
          <w:rFonts w:eastAsia="Calibri" w:cs="Arial"/>
          <w:kern w:val="0"/>
          <w14:ligatures w14:val="none"/>
        </w:rPr>
        <w:t>Provision of advice and issuing prescriptions in relation to emergency hormonal contraception</w:t>
      </w:r>
    </w:p>
    <w:p w14:paraId="16A78080" w14:textId="77777777" w:rsidR="0096754F" w:rsidRPr="0096754F" w:rsidRDefault="0096754F" w:rsidP="00B76905">
      <w:pPr>
        <w:numPr>
          <w:ilvl w:val="0"/>
          <w:numId w:val="131"/>
        </w:numPr>
        <w:rPr>
          <w:rFonts w:eastAsia="Calibri" w:cs="Arial"/>
          <w:kern w:val="0"/>
          <w14:ligatures w14:val="none"/>
        </w:rPr>
      </w:pPr>
      <w:r w:rsidRPr="0096754F">
        <w:rPr>
          <w:rFonts w:eastAsia="Calibri" w:cs="Arial"/>
          <w:kern w:val="0"/>
          <w14:ligatures w14:val="none"/>
        </w:rPr>
        <w:lastRenderedPageBreak/>
        <w:t>Influenza and Covid-19 vaccinations</w:t>
      </w:r>
    </w:p>
    <w:p w14:paraId="32F97B74" w14:textId="77777777" w:rsidR="0096754F" w:rsidRPr="0096754F" w:rsidRDefault="0096754F" w:rsidP="00B76905">
      <w:pPr>
        <w:numPr>
          <w:ilvl w:val="0"/>
          <w:numId w:val="131"/>
        </w:numPr>
        <w:rPr>
          <w:rFonts w:eastAsia="Calibri" w:cs="Arial"/>
          <w:kern w:val="0"/>
          <w14:ligatures w14:val="none"/>
        </w:rPr>
      </w:pPr>
      <w:r w:rsidRPr="0096754F">
        <w:rPr>
          <w:rFonts w:eastAsia="Calibri" w:cs="Arial"/>
          <w:kern w:val="0"/>
          <w14:ligatures w14:val="none"/>
        </w:rPr>
        <w:t>Advice and treatment for common ailments</w:t>
      </w:r>
    </w:p>
    <w:p w14:paraId="2801D986" w14:textId="77777777" w:rsidR="0096754F" w:rsidRPr="0096754F" w:rsidRDefault="0096754F" w:rsidP="00B76905">
      <w:pPr>
        <w:numPr>
          <w:ilvl w:val="0"/>
          <w:numId w:val="131"/>
        </w:numPr>
        <w:rPr>
          <w:rFonts w:eastAsia="Calibri" w:cs="Arial"/>
          <w:kern w:val="0"/>
          <w14:ligatures w14:val="none"/>
        </w:rPr>
      </w:pPr>
      <w:r w:rsidRPr="0096754F">
        <w:rPr>
          <w:rFonts w:eastAsia="Calibri" w:cs="Arial"/>
          <w:kern w:val="0"/>
          <w14:ligatures w14:val="none"/>
        </w:rPr>
        <w:t>Disposal of sharps, just in case packs, and rescue packs</w:t>
      </w:r>
    </w:p>
    <w:p w14:paraId="6A02AEFC" w14:textId="77777777" w:rsidR="0096754F" w:rsidRPr="0096754F" w:rsidRDefault="0096754F" w:rsidP="00B76905">
      <w:pPr>
        <w:numPr>
          <w:ilvl w:val="0"/>
          <w:numId w:val="131"/>
        </w:numPr>
        <w:rPr>
          <w:rFonts w:eastAsia="Calibri" w:cs="Arial"/>
          <w:kern w:val="0"/>
          <w14:ligatures w14:val="none"/>
        </w:rPr>
      </w:pPr>
      <w:r w:rsidRPr="0096754F">
        <w:rPr>
          <w:rFonts w:eastAsia="Calibri" w:cs="Arial"/>
          <w:kern w:val="0"/>
          <w14:ligatures w14:val="none"/>
        </w:rPr>
        <w:t>Inhaler reviews.</w:t>
      </w:r>
    </w:p>
    <w:p w14:paraId="03FFFA6D" w14:textId="77777777" w:rsidR="0096754F" w:rsidRPr="0096754F" w:rsidRDefault="0096754F" w:rsidP="00770B09">
      <w:pPr>
        <w:rPr>
          <w:rFonts w:eastAsia="Arial" w:cs="Arial"/>
        </w:rPr>
      </w:pPr>
    </w:p>
    <w:p w14:paraId="0E36EB43" w14:textId="77777777" w:rsidR="0096754F" w:rsidRPr="0096754F" w:rsidRDefault="0096754F" w:rsidP="00770B09">
      <w:pPr>
        <w:rPr>
          <w:rFonts w:eastAsia="Arial" w:cs="Arial"/>
          <w:b/>
          <w:bCs/>
          <w:sz w:val="26"/>
          <w:szCs w:val="26"/>
        </w:rPr>
      </w:pPr>
      <w:r w:rsidRPr="0096754F">
        <w:rPr>
          <w:rFonts w:eastAsia="Arial" w:cs="Arial"/>
          <w:b/>
          <w:bCs/>
          <w:sz w:val="26"/>
          <w:szCs w:val="26"/>
        </w:rPr>
        <w:t>6.12 General dental services</w:t>
      </w:r>
    </w:p>
    <w:p w14:paraId="6BEC1DA3" w14:textId="77777777" w:rsidR="0096754F" w:rsidRPr="0096754F" w:rsidRDefault="0096754F" w:rsidP="00770B09">
      <w:pPr>
        <w:rPr>
          <w:rFonts w:eastAsia="Arial" w:cs="Arial"/>
        </w:rPr>
      </w:pPr>
    </w:p>
    <w:p w14:paraId="5C39EE2C" w14:textId="77777777" w:rsidR="0096754F" w:rsidRPr="0096754F" w:rsidRDefault="0096754F" w:rsidP="00770B09">
      <w:pPr>
        <w:rPr>
          <w:rFonts w:eastAsia="Arial" w:cs="Arial"/>
        </w:rPr>
      </w:pPr>
      <w:r w:rsidRPr="0096754F">
        <w:rPr>
          <w:rFonts w:eastAsia="Arial" w:cs="Arial"/>
        </w:rPr>
        <w:t>There are 53 dental practices in Swansea Bay University Health Board. There are 36 located in Swansea providing general dental services. A further two in Swansea are orthodontic practices and another two are oral surgery practices. There are 17 practices providing general dental services in Neath Port Talbot. Some dental appointments will result in prescriptions being issued and these will be dispensed in pharmacies. In 2024/25, there were 27,011 NHS prescription items dispensed in pharmacies written by dentists. In the first ten months of 2025/26 20,788 items prescribed by dentists were dispensed in pharmacies.</w:t>
      </w:r>
    </w:p>
    <w:p w14:paraId="357306D8" w14:textId="77777777" w:rsidR="0096754F" w:rsidRPr="0096754F" w:rsidRDefault="0096754F" w:rsidP="00770B09">
      <w:pPr>
        <w:rPr>
          <w:rFonts w:eastAsia="Arial" w:cs="Arial"/>
        </w:rPr>
      </w:pPr>
    </w:p>
    <w:p w14:paraId="18DA65C9" w14:textId="77777777" w:rsidR="0096754F" w:rsidRPr="0096754F" w:rsidRDefault="0096754F" w:rsidP="00770B09">
      <w:pPr>
        <w:rPr>
          <w:rFonts w:eastAsia="Arial" w:cs="Arial"/>
          <w:b/>
          <w:bCs/>
          <w:sz w:val="26"/>
          <w:szCs w:val="26"/>
        </w:rPr>
      </w:pPr>
      <w:r w:rsidRPr="0096754F">
        <w:rPr>
          <w:rFonts w:eastAsia="Arial" w:cs="Arial"/>
          <w:b/>
          <w:bCs/>
          <w:sz w:val="26"/>
          <w:szCs w:val="26"/>
        </w:rPr>
        <w:t>6.13 Welsh general ophthalmic services</w:t>
      </w:r>
    </w:p>
    <w:p w14:paraId="0D7F9748" w14:textId="77777777" w:rsidR="0096754F" w:rsidRPr="0096754F" w:rsidRDefault="0096754F" w:rsidP="00770B09">
      <w:pPr>
        <w:rPr>
          <w:rFonts w:eastAsia="Arial" w:cs="Arial"/>
        </w:rPr>
      </w:pPr>
    </w:p>
    <w:p w14:paraId="72DB4EAA" w14:textId="77777777" w:rsidR="0096754F" w:rsidRPr="0096754F" w:rsidRDefault="0096754F" w:rsidP="00770B09">
      <w:pPr>
        <w:rPr>
          <w:rFonts w:eastAsia="Arial" w:cs="Arial"/>
        </w:rPr>
      </w:pPr>
      <w:r w:rsidRPr="0096754F">
        <w:rPr>
          <w:rFonts w:eastAsia="Arial" w:cs="Arial"/>
        </w:rPr>
        <w:t>There are 32 opticians located in Swansea Bay University Health Board. There are 22 based in Swansea and 10 within Neath Port Talbot. Welsh general ophthalmic services 2 forms a core part of Wales general ophthalmic services and provides enhanced eye</w:t>
      </w:r>
      <w:r w:rsidRPr="0096754F">
        <w:rPr>
          <w:rFonts w:eastAsia="Aptos" w:cs="Arial"/>
        </w:rPr>
        <w:noBreakHyphen/>
      </w:r>
      <w:r w:rsidRPr="0096754F">
        <w:rPr>
          <w:rFonts w:eastAsia="Arial" w:cs="Arial"/>
        </w:rPr>
        <w:t>care examinations for patients presenting with urgent or more complex ocular needs, including acute symptoms such as sudden vision changes, red or painful eyes, or referrals from other healthcare professionals. It also covers further investigations following a routine sight test to help determine whether a hospital referral is necessary and offers follow</w:t>
      </w:r>
      <w:r w:rsidRPr="0096754F">
        <w:rPr>
          <w:rFonts w:eastAsia="Aptos" w:cs="Arial"/>
        </w:rPr>
        <w:noBreakHyphen/>
      </w:r>
      <w:r w:rsidRPr="0096754F">
        <w:rPr>
          <w:rFonts w:eastAsia="Arial" w:cs="Arial"/>
        </w:rPr>
        <w:t>up care after urgent assessments or post</w:t>
      </w:r>
      <w:r w:rsidRPr="0096754F">
        <w:rPr>
          <w:rFonts w:eastAsia="Aptos" w:cs="Arial"/>
        </w:rPr>
        <w:noBreakHyphen/>
      </w:r>
      <w:r w:rsidRPr="0096754F">
        <w:rPr>
          <w:rFonts w:eastAsia="Arial" w:cs="Arial"/>
        </w:rPr>
        <w:t>operative cataract treatment.</w:t>
      </w:r>
    </w:p>
    <w:p w14:paraId="6265C1B9" w14:textId="77777777" w:rsidR="0096754F" w:rsidRPr="0096754F" w:rsidRDefault="0096754F" w:rsidP="00770B09">
      <w:pPr>
        <w:rPr>
          <w:rFonts w:eastAsia="Arial" w:cs="Arial"/>
        </w:rPr>
      </w:pPr>
    </w:p>
    <w:p w14:paraId="74C5BAAF" w14:textId="77777777" w:rsidR="0096754F" w:rsidRPr="0096754F" w:rsidRDefault="0096754F" w:rsidP="00770B09">
      <w:pPr>
        <w:rPr>
          <w:rFonts w:eastAsia="Arial" w:cs="Arial"/>
        </w:rPr>
      </w:pPr>
      <w:r w:rsidRPr="0096754F">
        <w:rPr>
          <w:rFonts w:eastAsia="Arial" w:cs="Arial"/>
        </w:rPr>
        <w:t>Welsh general ophthalmic services 2 provides rapid assessment and management of urgent eye problems, often preventing unnecessary referrals to GP or hospital services, pharmacies may experience a reduction in patient requests for over</w:t>
      </w:r>
      <w:r w:rsidRPr="0096754F">
        <w:rPr>
          <w:rFonts w:eastAsia="Aptos" w:cs="Arial"/>
        </w:rPr>
        <w:noBreakHyphen/>
      </w:r>
      <w:r w:rsidRPr="0096754F">
        <w:rPr>
          <w:rFonts w:eastAsia="Arial" w:cs="Arial"/>
        </w:rPr>
        <w:t>the</w:t>
      </w:r>
      <w:r w:rsidRPr="0096754F">
        <w:rPr>
          <w:rFonts w:eastAsia="Aptos" w:cs="Arial"/>
        </w:rPr>
        <w:noBreakHyphen/>
      </w:r>
      <w:r w:rsidRPr="0096754F">
        <w:rPr>
          <w:rFonts w:eastAsia="Arial" w:cs="Arial"/>
        </w:rPr>
        <w:t>counter eye</w:t>
      </w:r>
      <w:r w:rsidRPr="0096754F">
        <w:rPr>
          <w:rFonts w:eastAsia="Aptos" w:cs="Arial"/>
        </w:rPr>
        <w:noBreakHyphen/>
      </w:r>
      <w:r w:rsidRPr="0096754F">
        <w:rPr>
          <w:rFonts w:eastAsia="Arial" w:cs="Arial"/>
        </w:rPr>
        <w:t>care products for</w:t>
      </w:r>
      <w:r w:rsidRPr="0096754F">
        <w:rPr>
          <w:rFonts w:eastAsia="Arial" w:cs="Arial"/>
          <w:b/>
          <w:bCs/>
        </w:rPr>
        <w:t xml:space="preserve"> </w:t>
      </w:r>
      <w:r w:rsidRPr="0096754F">
        <w:rPr>
          <w:rFonts w:eastAsia="Arial" w:cs="Arial"/>
        </w:rPr>
        <w:t xml:space="preserve">undiagnosed acute symptoms, as more patients are signposted to optometry for clinical assessment. </w:t>
      </w:r>
    </w:p>
    <w:p w14:paraId="6097BBAA" w14:textId="77777777" w:rsidR="0096754F" w:rsidRPr="0096754F" w:rsidRDefault="0096754F" w:rsidP="00770B09">
      <w:pPr>
        <w:rPr>
          <w:rFonts w:eastAsia="Arial" w:cs="Arial"/>
        </w:rPr>
      </w:pPr>
    </w:p>
    <w:p w14:paraId="38075EC5" w14:textId="77777777" w:rsidR="0096754F" w:rsidRPr="0096754F" w:rsidRDefault="0096754F" w:rsidP="00770B09">
      <w:pPr>
        <w:rPr>
          <w:rFonts w:eastAsia="Arial" w:cs="Arial"/>
        </w:rPr>
      </w:pPr>
      <w:r w:rsidRPr="0096754F">
        <w:rPr>
          <w:rFonts w:eastAsia="Arial" w:cs="Arial"/>
        </w:rPr>
        <w:t>In 2024/25, there were 7,150 consultations for conjunctivitis as part of the common ailment scheme. It is unknown how many of these consultations were as a result of signposting/referral by opticians, or how frequently patients are signposted to a pharmacy for over the counter products. In 2024/25 there were 1,415 items prescribed in optometry practices across Swansea Bay University Health Board. 3,641 were prescribed in the first ten months of 2025/26.</w:t>
      </w:r>
    </w:p>
    <w:p w14:paraId="0DCB88A1" w14:textId="77777777" w:rsidR="0096754F" w:rsidRPr="0096754F" w:rsidRDefault="0096754F" w:rsidP="00770B09">
      <w:pPr>
        <w:rPr>
          <w:rFonts w:eastAsia="Arial" w:cs="Arial"/>
        </w:rPr>
      </w:pPr>
    </w:p>
    <w:p w14:paraId="544552E4" w14:textId="77777777" w:rsidR="0096754F" w:rsidRPr="0096754F" w:rsidRDefault="0096754F" w:rsidP="00770B09">
      <w:pPr>
        <w:rPr>
          <w:rFonts w:eastAsia="Arial" w:cs="Arial"/>
          <w:b/>
          <w:bCs/>
          <w:sz w:val="26"/>
          <w:szCs w:val="26"/>
        </w:rPr>
      </w:pPr>
      <w:r w:rsidRPr="0096754F">
        <w:rPr>
          <w:rFonts w:eastAsia="Arial" w:cs="Arial"/>
          <w:b/>
          <w:bCs/>
          <w:sz w:val="26"/>
          <w:szCs w:val="26"/>
        </w:rPr>
        <w:t xml:space="preserve">6.14 Healthy bowel and bladder service </w:t>
      </w:r>
    </w:p>
    <w:p w14:paraId="0289DCD5" w14:textId="77777777" w:rsidR="0096754F" w:rsidRPr="0096754F" w:rsidRDefault="0096754F" w:rsidP="00770B09">
      <w:pPr>
        <w:rPr>
          <w:rFonts w:eastAsia="Arial" w:cs="Arial"/>
        </w:rPr>
      </w:pPr>
    </w:p>
    <w:p w14:paraId="7DE98F59" w14:textId="77777777" w:rsidR="0096754F" w:rsidRPr="0096754F" w:rsidRDefault="0096754F" w:rsidP="00770B09">
      <w:pPr>
        <w:rPr>
          <w:rFonts w:eastAsia="Arial" w:cs="Arial"/>
        </w:rPr>
      </w:pPr>
      <w:r w:rsidRPr="0096754F">
        <w:rPr>
          <w:rFonts w:eastAsia="Arial" w:cs="Arial"/>
        </w:rPr>
        <w:t xml:space="preserve">This is a continence product prescription service whereby prescriptions are ordered via the continence service and authorised by a specialist continence nurse. Patients can choose whether their prescriptions are sent to a pharmacy, dispensing appliance contractor or to their home (the patient can then choose whether to take the prescription to be dispensed at a pharmacy or to send to a dispensing appliance contractor). Out of 978,448 items ordered through the prescription ordering continence service in 2024/25, 93.2% of the items were dispensed by a dispensing </w:t>
      </w:r>
      <w:r w:rsidRPr="0096754F">
        <w:rPr>
          <w:rFonts w:eastAsia="Arial" w:cs="Arial"/>
        </w:rPr>
        <w:lastRenderedPageBreak/>
        <w:t>appliance contractor, 6.0% were dispensed by a pharmacy and 0.7% of patients chose to have the prescription sent to their home.</w:t>
      </w:r>
    </w:p>
    <w:p w14:paraId="042D3D7A" w14:textId="77777777" w:rsidR="0096754F" w:rsidRPr="0096754F" w:rsidRDefault="0096754F" w:rsidP="00770B09">
      <w:pPr>
        <w:rPr>
          <w:rFonts w:eastAsia="Arial" w:cs="Arial"/>
        </w:rPr>
      </w:pPr>
    </w:p>
    <w:p w14:paraId="569C2A57" w14:textId="77777777" w:rsidR="0096754F" w:rsidRPr="0096754F" w:rsidRDefault="0096754F" w:rsidP="00770B09">
      <w:pPr>
        <w:rPr>
          <w:rFonts w:eastAsia="Arial" w:cs="Arial"/>
          <w:b/>
          <w:bCs/>
          <w:sz w:val="26"/>
          <w:szCs w:val="26"/>
        </w:rPr>
      </w:pPr>
      <w:r w:rsidRPr="0096754F">
        <w:rPr>
          <w:rFonts w:eastAsia="Arial" w:cs="Arial"/>
          <w:b/>
          <w:bCs/>
          <w:sz w:val="26"/>
          <w:szCs w:val="26"/>
        </w:rPr>
        <w:t>6.15 District nursing and wound care services</w:t>
      </w:r>
    </w:p>
    <w:p w14:paraId="40112E36" w14:textId="77777777" w:rsidR="0096754F" w:rsidRPr="0096754F" w:rsidRDefault="0096754F" w:rsidP="00770B09">
      <w:pPr>
        <w:rPr>
          <w:rFonts w:eastAsia="Arial" w:cs="Arial"/>
        </w:rPr>
      </w:pPr>
    </w:p>
    <w:p w14:paraId="6E26A8F4" w14:textId="77777777" w:rsidR="0096754F" w:rsidRPr="0096754F" w:rsidRDefault="0096754F" w:rsidP="00770B09">
      <w:pPr>
        <w:rPr>
          <w:rFonts w:eastAsia="Arial" w:cs="Arial"/>
        </w:rPr>
      </w:pPr>
      <w:r w:rsidRPr="0096754F">
        <w:rPr>
          <w:rFonts w:eastAsia="Arial" w:cs="Arial"/>
        </w:rPr>
        <w:t>Dressings are supplied directly from stock held within the district nursing and wound care services (patients needing dressings who self-care or who are resident within a care home, are seen by a practice nurse/GP and will be supplied with a prescription to be dispensed by a pharmacy). These services will affect the number of prescriptions needing to be dispensed at a pharmacy.</w:t>
      </w:r>
    </w:p>
    <w:p w14:paraId="5C2C8296" w14:textId="77777777" w:rsidR="0096754F" w:rsidRPr="0096754F" w:rsidRDefault="0096754F" w:rsidP="00770B09">
      <w:pPr>
        <w:rPr>
          <w:rFonts w:eastAsia="Arial" w:cs="Arial"/>
        </w:rPr>
      </w:pPr>
    </w:p>
    <w:p w14:paraId="329AAEB4" w14:textId="77777777" w:rsidR="0096754F" w:rsidRPr="0096754F" w:rsidRDefault="0096754F" w:rsidP="00770B09">
      <w:pPr>
        <w:rPr>
          <w:rFonts w:eastAsia="Arial" w:cs="Arial"/>
          <w:b/>
          <w:bCs/>
          <w:sz w:val="26"/>
          <w:szCs w:val="26"/>
        </w:rPr>
      </w:pPr>
      <w:r w:rsidRPr="0096754F">
        <w:rPr>
          <w:rFonts w:eastAsia="Arial" w:cs="Arial"/>
          <w:b/>
          <w:bCs/>
          <w:sz w:val="26"/>
          <w:szCs w:val="26"/>
        </w:rPr>
        <w:t>6.16 Substance misuse</w:t>
      </w:r>
    </w:p>
    <w:p w14:paraId="732CECAE" w14:textId="77777777" w:rsidR="0096754F" w:rsidRPr="0096754F" w:rsidRDefault="0096754F" w:rsidP="00770B09">
      <w:pPr>
        <w:rPr>
          <w:rFonts w:eastAsia="Arial" w:cs="Arial"/>
        </w:rPr>
      </w:pPr>
    </w:p>
    <w:p w14:paraId="1D80BF62" w14:textId="77777777" w:rsidR="0096754F" w:rsidRPr="0096754F" w:rsidRDefault="0096754F" w:rsidP="00770B09">
      <w:pPr>
        <w:rPr>
          <w:rFonts w:eastAsia="Arial" w:cs="Arial"/>
        </w:rPr>
      </w:pPr>
      <w:r w:rsidRPr="0096754F">
        <w:rPr>
          <w:rFonts w:eastAsia="Arial" w:cs="Arial"/>
        </w:rPr>
        <w:t>Substance misuse services may be accessed through specialist clinics or through GPs with a special interest in substance misuse. Prescriptions issued by these services will be dispensed in the pharmacies and if instructed by the prescriber, the pharmacy will supervise the doses being consumed under the supervised administration of medication additional clinical service.</w:t>
      </w:r>
    </w:p>
    <w:p w14:paraId="6F3AC2EE" w14:textId="77777777" w:rsidR="0096754F" w:rsidRPr="0096754F" w:rsidRDefault="0096754F" w:rsidP="00770B09">
      <w:pPr>
        <w:rPr>
          <w:rFonts w:eastAsia="Arial" w:cs="Arial"/>
        </w:rPr>
      </w:pPr>
    </w:p>
    <w:p w14:paraId="3C55045F" w14:textId="77777777" w:rsidR="0096754F" w:rsidRPr="0096754F" w:rsidRDefault="0096754F" w:rsidP="00770B09">
      <w:pPr>
        <w:rPr>
          <w:rFonts w:eastAsia="Arial" w:cs="Arial"/>
          <w:b/>
          <w:bCs/>
        </w:rPr>
      </w:pPr>
      <w:r w:rsidRPr="0096754F">
        <w:rPr>
          <w:rFonts w:eastAsia="Arial" w:cs="Arial"/>
        </w:rPr>
        <w:t>The number of items issued by specialist substance misuse services in Swansea Bay University Health Board in 2024/25 was 22,686. GP practices prescribed 3,039 items in 2024/25 for drugs that are most commonly prescribed for opioid dependence and were dispensed in the pharmacy.</w:t>
      </w:r>
    </w:p>
    <w:p w14:paraId="2495772C" w14:textId="77777777" w:rsidR="0096754F" w:rsidRPr="0096754F" w:rsidRDefault="0096754F" w:rsidP="00770B09">
      <w:pPr>
        <w:rPr>
          <w:rFonts w:eastAsia="Arial" w:cs="Arial"/>
        </w:rPr>
      </w:pPr>
    </w:p>
    <w:p w14:paraId="1509917A" w14:textId="77777777" w:rsidR="0096754F" w:rsidRPr="0096754F" w:rsidRDefault="0096754F" w:rsidP="00770B09">
      <w:pPr>
        <w:rPr>
          <w:rFonts w:eastAsia="Arial" w:cs="Arial"/>
          <w:b/>
          <w:bCs/>
          <w:sz w:val="26"/>
          <w:szCs w:val="26"/>
        </w:rPr>
      </w:pPr>
      <w:r w:rsidRPr="0096754F">
        <w:rPr>
          <w:rFonts w:eastAsia="Arial" w:cs="Arial"/>
          <w:b/>
          <w:bCs/>
          <w:sz w:val="26"/>
          <w:szCs w:val="26"/>
        </w:rPr>
        <w:t>6.17 Local stop smoking services</w:t>
      </w:r>
    </w:p>
    <w:p w14:paraId="2B1EBB88" w14:textId="77777777" w:rsidR="0096754F" w:rsidRPr="0096754F" w:rsidRDefault="0096754F" w:rsidP="00770B09">
      <w:pPr>
        <w:rPr>
          <w:rFonts w:eastAsia="Arial" w:cs="Arial"/>
        </w:rPr>
      </w:pPr>
    </w:p>
    <w:p w14:paraId="550D0B73" w14:textId="77777777" w:rsidR="0096754F" w:rsidRPr="0096754F" w:rsidRDefault="0096754F" w:rsidP="00770B09">
      <w:pPr>
        <w:rPr>
          <w:rFonts w:eastAsia="Arial" w:cs="Arial"/>
        </w:rPr>
      </w:pPr>
      <w:r w:rsidRPr="0096754F">
        <w:rPr>
          <w:rFonts w:eastAsia="Arial" w:cs="Arial"/>
        </w:rPr>
        <w:t>There are a number of services that patients can access to assist in an attempt to quit smoking.</w:t>
      </w:r>
    </w:p>
    <w:p w14:paraId="707D19B5" w14:textId="77777777" w:rsidR="0096754F" w:rsidRPr="0096754F" w:rsidRDefault="0096754F" w:rsidP="00770B09">
      <w:pPr>
        <w:rPr>
          <w:rFonts w:eastAsia="Arial" w:cs="Arial"/>
        </w:rPr>
      </w:pPr>
    </w:p>
    <w:p w14:paraId="0A503A48" w14:textId="77777777" w:rsidR="0096754F" w:rsidRPr="0096754F" w:rsidRDefault="0096754F" w:rsidP="00770B09">
      <w:pPr>
        <w:rPr>
          <w:rFonts w:eastAsia="Arial" w:cs="Arial"/>
        </w:rPr>
      </w:pPr>
      <w:r w:rsidRPr="0096754F">
        <w:rPr>
          <w:rFonts w:eastAsia="Arial" w:cs="Arial"/>
        </w:rPr>
        <w:t>The health board’s Help Me Quit team offers a programme of smoking cessation support for smokers who wish to stop, consisting of a combination of pharmacotherapy with specialist behavioural support. The service spans hospital and community settings, can be provided in groups or individually, and is available by telephone, video link or face to face.</w:t>
      </w:r>
    </w:p>
    <w:p w14:paraId="42D883A5" w14:textId="77777777" w:rsidR="0096754F" w:rsidRPr="0096754F" w:rsidRDefault="0096754F" w:rsidP="00770B09">
      <w:pPr>
        <w:rPr>
          <w:rFonts w:eastAsia="Arial" w:cs="Arial"/>
        </w:rPr>
      </w:pPr>
    </w:p>
    <w:p w14:paraId="073F2038" w14:textId="77777777" w:rsidR="0096754F" w:rsidRPr="0096754F" w:rsidRDefault="0096754F" w:rsidP="00770B09">
      <w:pPr>
        <w:rPr>
          <w:rFonts w:eastAsia="Arial" w:cs="Arial"/>
        </w:rPr>
      </w:pPr>
      <w:r w:rsidRPr="0096754F">
        <w:rPr>
          <w:rFonts w:eastAsia="Arial" w:cs="Arial"/>
        </w:rPr>
        <w:t>Advisors can discuss available pharmacotherapy options and help smokers to make an informed choice on the products they wish to use. This includes advice on the most appropriate products for their individual needs and how to use their chosen products correctly.</w:t>
      </w:r>
    </w:p>
    <w:p w14:paraId="1BC3BE91" w14:textId="77777777" w:rsidR="0096754F" w:rsidRPr="0096754F" w:rsidRDefault="0096754F" w:rsidP="00770B09">
      <w:pPr>
        <w:rPr>
          <w:rFonts w:eastAsia="Arial" w:cs="Arial"/>
        </w:rPr>
      </w:pPr>
    </w:p>
    <w:p w14:paraId="3F727952" w14:textId="77777777" w:rsidR="0096754F" w:rsidRPr="0096754F" w:rsidRDefault="0096754F" w:rsidP="00770B09">
      <w:pPr>
        <w:rPr>
          <w:rFonts w:eastAsia="Arial" w:cs="Arial"/>
        </w:rPr>
      </w:pPr>
      <w:r w:rsidRPr="0096754F">
        <w:rPr>
          <w:rFonts w:eastAsia="Arial" w:cs="Arial"/>
        </w:rPr>
        <w:t>Clients accessing the service who wish to receive Nicotine Replacement Therapy will have a letter advising products, which can be supplied at a pharmacy offering the level 2 smoking cessation service. For clients opting for other medications which are only available on prescription, such as bupropion, a letter addressed to their GP will be provided.</w:t>
      </w:r>
    </w:p>
    <w:p w14:paraId="25A524EB" w14:textId="77777777" w:rsidR="0096754F" w:rsidRPr="0096754F" w:rsidRDefault="0096754F" w:rsidP="00770B09">
      <w:pPr>
        <w:rPr>
          <w:rFonts w:eastAsia="Arial" w:cs="Arial"/>
        </w:rPr>
      </w:pPr>
    </w:p>
    <w:p w14:paraId="4B8614F3" w14:textId="77777777" w:rsidR="0096754F" w:rsidRPr="0096754F" w:rsidRDefault="0096754F" w:rsidP="00770B09">
      <w:pPr>
        <w:rPr>
          <w:rFonts w:eastAsia="Arial" w:cs="Arial"/>
        </w:rPr>
      </w:pPr>
      <w:r w:rsidRPr="0096754F">
        <w:rPr>
          <w:rFonts w:eastAsia="Arial" w:cs="Arial"/>
        </w:rPr>
        <w:t>If clinically appropriate the client’s GP can issue a prescription to be dispensed in a pharmacy or, if a dispensing practice, dispense it at the practice.</w:t>
      </w:r>
    </w:p>
    <w:p w14:paraId="71DE965A" w14:textId="77777777" w:rsidR="0096754F" w:rsidRPr="0096754F" w:rsidRDefault="0096754F" w:rsidP="00770B09">
      <w:pPr>
        <w:rPr>
          <w:rFonts w:eastAsia="Arial" w:cs="Arial"/>
        </w:rPr>
      </w:pPr>
    </w:p>
    <w:p w14:paraId="033AE001" w14:textId="77777777" w:rsidR="0096754F" w:rsidRPr="0096754F" w:rsidRDefault="0096754F" w:rsidP="00770B09">
      <w:pPr>
        <w:rPr>
          <w:rFonts w:eastAsia="Arial" w:cs="Arial"/>
        </w:rPr>
      </w:pPr>
      <w:r w:rsidRPr="0096754F">
        <w:rPr>
          <w:rFonts w:eastAsia="Arial" w:cs="Arial"/>
        </w:rPr>
        <w:lastRenderedPageBreak/>
        <w:t>Higher cessation rates are achieved with a combination of pharmacotherapy and specialist behavioural support however some clients may not wish to receive the full programme of support and prefer to access appropriate pharmacotherapy via their GP. GPs may prescribe items without the recommendations from the service outlined above that can be dispensed via pharmacies or dispensing doctors.</w:t>
      </w:r>
    </w:p>
    <w:p w14:paraId="04B029A9" w14:textId="77777777" w:rsidR="0096754F" w:rsidRPr="0096754F" w:rsidRDefault="0096754F" w:rsidP="00770B09">
      <w:pPr>
        <w:rPr>
          <w:rFonts w:eastAsia="Arial" w:cs="Arial"/>
        </w:rPr>
      </w:pPr>
    </w:p>
    <w:p w14:paraId="753ADAB6" w14:textId="77777777" w:rsidR="0096754F" w:rsidRPr="0096754F" w:rsidRDefault="0096754F" w:rsidP="00770B09">
      <w:pPr>
        <w:rPr>
          <w:rFonts w:eastAsia="Arial" w:cs="Arial"/>
          <w:b/>
          <w:bCs/>
          <w:sz w:val="26"/>
          <w:szCs w:val="26"/>
        </w:rPr>
      </w:pPr>
      <w:r w:rsidRPr="0096754F">
        <w:rPr>
          <w:rFonts w:eastAsia="Arial" w:cs="Arial"/>
          <w:b/>
          <w:bCs/>
          <w:sz w:val="26"/>
          <w:szCs w:val="26"/>
        </w:rPr>
        <w:t>6.18 Summary</w:t>
      </w:r>
    </w:p>
    <w:p w14:paraId="6DE5704A" w14:textId="77777777" w:rsidR="0096754F" w:rsidRPr="0096754F" w:rsidRDefault="0096754F" w:rsidP="00770B09">
      <w:pPr>
        <w:rPr>
          <w:rFonts w:eastAsia="Arial" w:cs="Arial"/>
        </w:rPr>
      </w:pPr>
    </w:p>
    <w:p w14:paraId="1611C571" w14:textId="77777777" w:rsidR="0096754F" w:rsidRPr="0096754F" w:rsidRDefault="0096754F" w:rsidP="00770B09">
      <w:pPr>
        <w:rPr>
          <w:rFonts w:eastAsia="Arial" w:cs="Arial"/>
        </w:rPr>
      </w:pPr>
      <w:r w:rsidRPr="0096754F">
        <w:rPr>
          <w:rFonts w:eastAsia="Arial" w:cs="Arial"/>
        </w:rPr>
        <w:t>There are other NHS services within Swansea Bay University Health Board that can affect the need for pharmaceutical services. Other NHS services influence the number of prescriptions dispensed in pharmacies, some increasing prescription items, and the need for other pharmaceutical services while others decrease the need for the dispensing essential service and other pharmaceutical services.</w:t>
      </w:r>
    </w:p>
    <w:p w14:paraId="62891A16" w14:textId="6AEDBFEB" w:rsidR="00DB0023" w:rsidRPr="00D0306F" w:rsidRDefault="00DB0023">
      <w:pPr>
        <w:spacing w:after="160" w:line="278" w:lineRule="auto"/>
        <w:rPr>
          <w:rFonts w:cs="Arial"/>
        </w:rPr>
      </w:pPr>
      <w:r w:rsidRPr="00D0306F">
        <w:rPr>
          <w:rFonts w:cs="Arial"/>
        </w:rPr>
        <w:br w:type="page"/>
      </w:r>
    </w:p>
    <w:p w14:paraId="53229322" w14:textId="2831E2DA" w:rsidR="00870EA4" w:rsidRPr="00D0306F" w:rsidRDefault="00870EA4" w:rsidP="00712D8C">
      <w:pPr>
        <w:pStyle w:val="Heading1"/>
        <w:rPr>
          <w:rFonts w:eastAsia="Aptos"/>
          <w:sz w:val="28"/>
          <w:szCs w:val="28"/>
        </w:rPr>
      </w:pPr>
      <w:bookmarkStart w:id="29" w:name="_Toc235185378"/>
      <w:r w:rsidRPr="00D0306F">
        <w:rPr>
          <w:rFonts w:eastAsia="Aptos"/>
          <w:sz w:val="28"/>
          <w:szCs w:val="28"/>
        </w:rPr>
        <w:lastRenderedPageBreak/>
        <w:t>7 Health needs that can be met by pharmaceutical services</w:t>
      </w:r>
      <w:bookmarkEnd w:id="29"/>
    </w:p>
    <w:p w14:paraId="1189D87D" w14:textId="77777777" w:rsidR="004B4C37" w:rsidRPr="004B4C37" w:rsidRDefault="004B4C37" w:rsidP="00626D0F">
      <w:pPr>
        <w:rPr>
          <w:rFonts w:eastAsia="Aptos" w:cs="Arial"/>
        </w:rPr>
      </w:pPr>
    </w:p>
    <w:p w14:paraId="7042DD11" w14:textId="77777777" w:rsidR="004B4C37" w:rsidRPr="004B4C37" w:rsidRDefault="004B4C37" w:rsidP="00626D0F">
      <w:pPr>
        <w:rPr>
          <w:rFonts w:eastAsia="Aptos" w:cs="Arial"/>
        </w:rPr>
      </w:pPr>
      <w:r w:rsidRPr="004B4C37">
        <w:rPr>
          <w:rFonts w:eastAsia="Aptos" w:cs="Arial"/>
        </w:rPr>
        <w:t>Pharmaceutical services can play an important role in meeting a variety of health needs of the population. According to the ‘Pharmacy Advice Audit’</w:t>
      </w:r>
      <w:r w:rsidRPr="004B4C37">
        <w:rPr>
          <w:rFonts w:eastAsia="Aptos" w:cs="Arial"/>
          <w:vertAlign w:val="superscript"/>
        </w:rPr>
        <w:footnoteReference w:id="220"/>
      </w:r>
      <w:r w:rsidRPr="004B4C37">
        <w:rPr>
          <w:rFonts w:eastAsia="Aptos" w:cs="Arial"/>
        </w:rPr>
        <w:t xml:space="preserve"> carried out by Community Pharmacy Wales in September/October 2020 there are estimated to be over 11,000 advice consultations carried out per day in community pharmacies in Wales. These provide a valuable opportunity to support behaviour change through making every one of these contacts count. </w:t>
      </w:r>
    </w:p>
    <w:p w14:paraId="5027D514" w14:textId="77777777" w:rsidR="004B4C37" w:rsidRPr="004B4C37" w:rsidRDefault="004B4C37" w:rsidP="00626D0F">
      <w:pPr>
        <w:rPr>
          <w:rFonts w:eastAsia="Aptos" w:cs="Arial"/>
        </w:rPr>
      </w:pPr>
    </w:p>
    <w:p w14:paraId="23263C81" w14:textId="77777777" w:rsidR="004B4C37" w:rsidRPr="004B4C37" w:rsidRDefault="004B4C37" w:rsidP="00626D0F">
      <w:pPr>
        <w:rPr>
          <w:rFonts w:eastAsia="Aptos" w:cs="Arial"/>
        </w:rPr>
      </w:pPr>
      <w:r w:rsidRPr="004B4C37">
        <w:rPr>
          <w:rFonts w:eastAsia="Aptos" w:cs="Arial"/>
        </w:rPr>
        <w:t>Making healthy choices such as stopping smoking, improving diet and nutrition, increasing physical activity, losing weight, and reducing alcohol consumption could make a significant contribution to reducing the risk of disease, improving health outcomes for those with long term conditions, reducing premature death and improving mental wellbeing. Pharmacies are ideally placed to encourage and support people to make these healthy choices as part of the provision of pharmaceutical services commissioned by the health board.</w:t>
      </w:r>
    </w:p>
    <w:p w14:paraId="0CEBEB58" w14:textId="77777777" w:rsidR="004B4C37" w:rsidRPr="004B4C37" w:rsidRDefault="004B4C37" w:rsidP="00626D0F">
      <w:pPr>
        <w:rPr>
          <w:rFonts w:eastAsia="Aptos" w:cs="Arial"/>
        </w:rPr>
      </w:pPr>
    </w:p>
    <w:p w14:paraId="51B05793" w14:textId="77777777" w:rsidR="004B4C37" w:rsidRPr="004B4C37" w:rsidRDefault="004B4C37" w:rsidP="00626D0F">
      <w:pPr>
        <w:rPr>
          <w:rFonts w:eastAsia="Aptos" w:cs="Arial"/>
        </w:rPr>
      </w:pPr>
      <w:r w:rsidRPr="004B4C37">
        <w:rPr>
          <w:rFonts w:eastAsia="Aptos" w:cs="Arial"/>
        </w:rPr>
        <w:t>Community pharmacies offer a range of services over and above the dispensing of medication. Pharmaceutical services can meet the needs of patients through planned services, unscheduled services and promoting self-care as discussed below. Where a service is not available at a particular location, there is a requirement that community pharmacies signpost to another provider of that service.</w:t>
      </w:r>
    </w:p>
    <w:p w14:paraId="751C7C9D" w14:textId="77777777" w:rsidR="004B4C37" w:rsidRPr="004B4C37" w:rsidRDefault="004B4C37" w:rsidP="00626D0F">
      <w:pPr>
        <w:rPr>
          <w:rFonts w:eastAsia="Aptos" w:cs="Arial"/>
        </w:rPr>
      </w:pPr>
    </w:p>
    <w:p w14:paraId="249F338D" w14:textId="6E1862A6" w:rsidR="001C2A8B" w:rsidRDefault="004B4C37" w:rsidP="00626D0F">
      <w:pPr>
        <w:rPr>
          <w:rFonts w:eastAsia="Aptos" w:cs="Arial"/>
        </w:rPr>
      </w:pPr>
      <w:r w:rsidRPr="004B4C37">
        <w:rPr>
          <w:rFonts w:eastAsia="Aptos" w:cs="Arial"/>
        </w:rPr>
        <w:t>All pharmacies are commissioned to provide the essential services (see chapter 5 and appendix B for further information on these). The health board commissions a range of national community pharmacy services and additional clinical services which can offer support for health needs of the population as detailed below.</w:t>
      </w:r>
    </w:p>
    <w:p w14:paraId="21B97791" w14:textId="77777777" w:rsidR="001C3F10" w:rsidRDefault="001C3F10" w:rsidP="00626D0F">
      <w:pPr>
        <w:rPr>
          <w:rFonts w:eastAsia="Aptos" w:cs="Arial"/>
        </w:rPr>
      </w:pPr>
    </w:p>
    <w:p w14:paraId="5F0F3F65" w14:textId="22166741" w:rsidR="00D53DDF" w:rsidRPr="004B4C37" w:rsidRDefault="00D53DDF" w:rsidP="00626D0F">
      <w:pPr>
        <w:rPr>
          <w:rFonts w:eastAsia="Aptos" w:cs="Arial"/>
        </w:rPr>
      </w:pPr>
      <w:bookmarkStart w:id="30" w:name="_Hlk234396785"/>
      <w:r>
        <w:rPr>
          <w:rFonts w:eastAsia="Aptos" w:cs="Arial"/>
        </w:rPr>
        <w:t xml:space="preserve">Whilst the pharmaceutical needs assessment does not cover the full range of additional clinical services that could be commissioned from pharmacies, the continued development of such services </w:t>
      </w:r>
      <w:r w:rsidR="00593656">
        <w:rPr>
          <w:rFonts w:eastAsia="Aptos" w:cs="Arial"/>
        </w:rPr>
        <w:t xml:space="preserve">by the health board </w:t>
      </w:r>
      <w:r w:rsidR="002C1B7A">
        <w:rPr>
          <w:rFonts w:eastAsia="Aptos" w:cs="Arial"/>
        </w:rPr>
        <w:t>during the lifetime of this document will support the management of the population’s health challenges.</w:t>
      </w:r>
    </w:p>
    <w:bookmarkEnd w:id="30"/>
    <w:p w14:paraId="608DF115" w14:textId="77777777" w:rsidR="004B4C37" w:rsidRPr="004B4C37" w:rsidRDefault="004B4C37" w:rsidP="00626D0F">
      <w:pPr>
        <w:rPr>
          <w:rFonts w:eastAsia="Aptos" w:cs="Arial"/>
        </w:rPr>
      </w:pPr>
    </w:p>
    <w:p w14:paraId="406689B2" w14:textId="77777777" w:rsidR="004B4C37" w:rsidRPr="004B4C37" w:rsidRDefault="004B4C37" w:rsidP="00626D0F">
      <w:pPr>
        <w:rPr>
          <w:rFonts w:eastAsia="Aptos" w:cs="Arial"/>
          <w:b/>
          <w:bCs/>
          <w:sz w:val="26"/>
          <w:szCs w:val="26"/>
        </w:rPr>
      </w:pPr>
      <w:r w:rsidRPr="004B4C37">
        <w:rPr>
          <w:rFonts w:eastAsia="Aptos" w:cs="Arial"/>
          <w:b/>
          <w:bCs/>
          <w:sz w:val="26"/>
          <w:szCs w:val="26"/>
        </w:rPr>
        <w:t>7.1 Planned services</w:t>
      </w:r>
    </w:p>
    <w:p w14:paraId="38BD4E0D" w14:textId="77777777" w:rsidR="004B4C37" w:rsidRPr="004B4C37" w:rsidRDefault="004B4C37" w:rsidP="00626D0F">
      <w:pPr>
        <w:rPr>
          <w:rFonts w:eastAsia="Aptos" w:cs="Arial"/>
        </w:rPr>
      </w:pPr>
    </w:p>
    <w:p w14:paraId="51682123" w14:textId="77777777" w:rsidR="004B4C37" w:rsidRPr="004B4C37" w:rsidRDefault="004B4C37" w:rsidP="00626D0F">
      <w:pPr>
        <w:rPr>
          <w:rFonts w:eastAsia="Aptos" w:cs="Arial"/>
        </w:rPr>
      </w:pPr>
      <w:r w:rsidRPr="004B4C37">
        <w:rPr>
          <w:rFonts w:eastAsia="Aptos" w:cs="Arial"/>
        </w:rPr>
        <w:t>Patients can access pharmaceutical services for a wide variety of non-urgent health needs, in a planned way.</w:t>
      </w:r>
    </w:p>
    <w:p w14:paraId="22CC2272" w14:textId="77777777" w:rsidR="004B4C37" w:rsidRPr="004B4C37" w:rsidRDefault="004B4C37" w:rsidP="00626D0F">
      <w:pPr>
        <w:rPr>
          <w:rFonts w:eastAsia="Aptos" w:cs="Arial"/>
        </w:rPr>
      </w:pPr>
    </w:p>
    <w:p w14:paraId="0C522404" w14:textId="77777777" w:rsidR="004B4C37" w:rsidRPr="004B4C37" w:rsidRDefault="004B4C37" w:rsidP="00626D0F">
      <w:pPr>
        <w:rPr>
          <w:rFonts w:eastAsia="Aptos" w:cs="Arial"/>
          <w:b/>
          <w:bCs/>
        </w:rPr>
      </w:pPr>
      <w:r w:rsidRPr="004B4C37">
        <w:rPr>
          <w:rFonts w:eastAsia="Aptos" w:cs="Arial"/>
          <w:b/>
          <w:bCs/>
        </w:rPr>
        <w:t>7.1.1 Dispensing</w:t>
      </w:r>
    </w:p>
    <w:p w14:paraId="463C748F" w14:textId="77777777" w:rsidR="004B4C37" w:rsidRPr="004B4C37" w:rsidRDefault="004B4C37" w:rsidP="00626D0F">
      <w:pPr>
        <w:rPr>
          <w:rFonts w:eastAsia="Aptos" w:cs="Arial"/>
        </w:rPr>
      </w:pPr>
    </w:p>
    <w:p w14:paraId="18507A41" w14:textId="77777777" w:rsidR="004B4C37" w:rsidRPr="004B4C37" w:rsidRDefault="004B4C37" w:rsidP="00626D0F">
      <w:pPr>
        <w:rPr>
          <w:rFonts w:eastAsia="Calibri" w:cs="Arial"/>
          <w:kern w:val="0"/>
          <w14:ligatures w14:val="none"/>
        </w:rPr>
      </w:pPr>
      <w:r w:rsidRPr="004B4C37">
        <w:rPr>
          <w:rFonts w:eastAsia="Calibri" w:cs="Arial"/>
          <w:kern w:val="0"/>
          <w14:ligatures w14:val="none"/>
        </w:rPr>
        <w:t>Everyone will at some stage require prescriptions to be dispensed irrespective of whether or not they are in one of the groups identified in section four</w:t>
      </w:r>
      <w:r w:rsidRPr="004B4C37">
        <w:rPr>
          <w:rFonts w:eastAsia="Times New Roman" w:cs="Arial"/>
          <w:kern w:val="0"/>
          <w:lang w:eastAsia="en-GB"/>
          <w14:ligatures w14:val="none"/>
        </w:rPr>
        <w:t>, as prescribed medicines are one of the most common interventions in health care</w:t>
      </w:r>
      <w:r w:rsidRPr="004B4C37">
        <w:rPr>
          <w:rFonts w:eastAsia="Calibri" w:cs="Arial"/>
          <w:kern w:val="0"/>
          <w14:ligatures w14:val="none"/>
        </w:rPr>
        <w:t xml:space="preserve">. This may be for a one-off course of antibiotics or for medication that they will need to take, or an appliance that they will need to use, for the rest of their life in order to manage a long-term condition. This health need can only be met within primary care by the </w:t>
      </w:r>
      <w:r w:rsidRPr="004B4C37">
        <w:rPr>
          <w:rFonts w:eastAsia="Calibri" w:cs="Arial"/>
          <w:kern w:val="0"/>
          <w14:ligatures w14:val="none"/>
        </w:rPr>
        <w:lastRenderedPageBreak/>
        <w:t>provision of pharmaceutical services be that by pharmacies, dispensing appliance contractors or dispensing doctors. Whilst there are no dispensing appliance contractors in the health board’s area, residents will access services provided by such contractors either elsewhere in Wales, or in England.</w:t>
      </w:r>
    </w:p>
    <w:p w14:paraId="626EBD18" w14:textId="77777777" w:rsidR="004B4C37" w:rsidRPr="004B4C37" w:rsidRDefault="004B4C37" w:rsidP="00626D0F">
      <w:pPr>
        <w:rPr>
          <w:rFonts w:eastAsia="Calibri" w:cs="Arial"/>
          <w:kern w:val="0"/>
          <w14:ligatures w14:val="none"/>
        </w:rPr>
      </w:pPr>
    </w:p>
    <w:p w14:paraId="4D59255F" w14:textId="77777777" w:rsidR="004B4C37" w:rsidRPr="004B4C37" w:rsidRDefault="004B4C37" w:rsidP="00626D0F">
      <w:pPr>
        <w:rPr>
          <w:rFonts w:eastAsia="Aptos" w:cs="Arial"/>
        </w:rPr>
      </w:pPr>
      <w:r w:rsidRPr="004B4C37">
        <w:rPr>
          <w:rFonts w:eastAsia="Calibri" w:cs="Arial"/>
          <w:kern w:val="0"/>
          <w14:ligatures w14:val="none"/>
        </w:rPr>
        <w:t xml:space="preserve">Coupled with this is the safe collection and disposal of unwanted or out of date dispensed drugs. Both the health board and pharmacies have a duty to ensure that </w:t>
      </w:r>
    </w:p>
    <w:p w14:paraId="6FFB9DAD" w14:textId="77777777" w:rsidR="004B4C37" w:rsidRPr="004B4C37" w:rsidRDefault="004B4C37" w:rsidP="00626D0F">
      <w:pPr>
        <w:rPr>
          <w:rFonts w:eastAsia="Calibri" w:cs="Arial"/>
        </w:rPr>
      </w:pPr>
    </w:p>
    <w:p w14:paraId="22DCF2D5" w14:textId="77777777" w:rsidR="004B4C37" w:rsidRPr="004B4C37" w:rsidRDefault="004B4C37" w:rsidP="00626D0F">
      <w:pPr>
        <w:rPr>
          <w:rFonts w:eastAsia="Calibri" w:cs="Arial"/>
          <w:kern w:val="0"/>
          <w14:ligatures w14:val="none"/>
        </w:rPr>
      </w:pPr>
      <w:r w:rsidRPr="004B4C37">
        <w:rPr>
          <w:rFonts w:eastAsia="Calibri" w:cs="Arial"/>
        </w:rPr>
        <w:t>people living at home or in a residential care home can return unwanted or out of date dispensed drugs for their safe disposal. Dispensing GP practices can also accept unwanted medication for disposal as their sites are included in the health board’s contract with a waste contractor for the safe removal and destruction of medication.</w:t>
      </w:r>
    </w:p>
    <w:p w14:paraId="115C87F5" w14:textId="77777777" w:rsidR="004B4C37" w:rsidRPr="004B4C37" w:rsidRDefault="004B4C37" w:rsidP="00626D0F">
      <w:pPr>
        <w:rPr>
          <w:rFonts w:eastAsia="Calibri" w:cs="Arial"/>
          <w:kern w:val="0"/>
          <w14:ligatures w14:val="none"/>
        </w:rPr>
      </w:pPr>
    </w:p>
    <w:p w14:paraId="25D88CC9" w14:textId="77777777" w:rsidR="004B4C37" w:rsidRPr="004B4C37" w:rsidRDefault="004B4C37" w:rsidP="00626D0F">
      <w:pPr>
        <w:contextualSpacing/>
        <w:rPr>
          <w:rFonts w:eastAsia="Calibri" w:cs="Arial"/>
          <w:b/>
          <w:bCs/>
          <w:kern w:val="0"/>
          <w14:ligatures w14:val="none"/>
        </w:rPr>
      </w:pPr>
      <w:r w:rsidRPr="004B4C37">
        <w:rPr>
          <w:rFonts w:eastAsia="Calibri" w:cs="Arial"/>
          <w:kern w:val="0"/>
          <w14:ligatures w14:val="none"/>
        </w:rPr>
        <w:t>It should be noted that collection and delivery services are not contractual services and are therefore provided privately by pharmacies at their discretion.</w:t>
      </w:r>
    </w:p>
    <w:p w14:paraId="7F9DB922" w14:textId="77777777" w:rsidR="004B4C37" w:rsidRPr="004B4C37" w:rsidRDefault="004B4C37" w:rsidP="00626D0F">
      <w:pPr>
        <w:rPr>
          <w:rFonts w:eastAsia="Calibri" w:cs="Arial"/>
          <w:kern w:val="0"/>
          <w14:ligatures w14:val="none"/>
        </w:rPr>
      </w:pPr>
    </w:p>
    <w:p w14:paraId="60D43D71" w14:textId="77777777" w:rsidR="004B4C37" w:rsidRPr="004B4C37" w:rsidRDefault="004B4C37" w:rsidP="00626D0F">
      <w:pPr>
        <w:textAlignment w:val="baseline"/>
        <w:rPr>
          <w:rFonts w:eastAsia="Times New Roman" w:cs="Arial"/>
          <w:kern w:val="0"/>
          <w:lang w:eastAsia="en-GB"/>
          <w14:ligatures w14:val="none"/>
        </w:rPr>
      </w:pPr>
      <w:r w:rsidRPr="004B4C37">
        <w:rPr>
          <w:rFonts w:eastAsia="Times New Roman" w:cs="Arial"/>
          <w:kern w:val="0"/>
          <w:lang w:eastAsia="en-GB"/>
          <w14:ligatures w14:val="none"/>
        </w:rPr>
        <w:t>The discharge medicines review will provide support to patients recently discharged between care settings by ensuring that changes to patients’ medicines made in one care setting (eg during a hospital admission) are enacted as intended in the community helping to reduce the risk of preventable medicines related problems and supporting adherence with newly prescribed medication. This is a national community pharmacy and appliance contractor service, that contractors may choose to provide.</w:t>
      </w:r>
    </w:p>
    <w:p w14:paraId="49460E10" w14:textId="77777777" w:rsidR="004B4C37" w:rsidRPr="004B4C37" w:rsidRDefault="004B4C37" w:rsidP="00626D0F">
      <w:pPr>
        <w:textAlignment w:val="baseline"/>
        <w:rPr>
          <w:rFonts w:eastAsia="Times New Roman" w:cs="Arial"/>
          <w:kern w:val="0"/>
          <w:lang w:eastAsia="en-GB"/>
          <w14:ligatures w14:val="none"/>
        </w:rPr>
      </w:pPr>
    </w:p>
    <w:p w14:paraId="1F9658E0" w14:textId="77777777" w:rsidR="004B4C37" w:rsidRPr="004B4C37" w:rsidRDefault="004B4C37" w:rsidP="00626D0F">
      <w:pPr>
        <w:textAlignment w:val="baseline"/>
        <w:rPr>
          <w:rFonts w:eastAsia="Times New Roman" w:cs="Arial"/>
          <w:kern w:val="0"/>
          <w:lang w:eastAsia="en-GB"/>
          <w14:ligatures w14:val="none"/>
        </w:rPr>
      </w:pPr>
      <w:r w:rsidRPr="004B4C37">
        <w:rPr>
          <w:rFonts w:eastAsia="Times New Roman" w:cs="Arial"/>
          <w:kern w:val="0"/>
          <w:lang w:eastAsia="en-GB"/>
          <w14:ligatures w14:val="none"/>
        </w:rPr>
        <w:t>There may be occasions where a person runs out of their regular medication and the pharmacist believes that it would not be practicable for the person to obtain the previously prescribed medicines they require in a clinically appropriate timeframe via the usual route without undue delay. Under the clinical community pharmacy service, a person may be able to access a supply of their urgently needed medicines.</w:t>
      </w:r>
    </w:p>
    <w:p w14:paraId="65DC53C7" w14:textId="77777777" w:rsidR="004B4C37" w:rsidRPr="004B4C37" w:rsidRDefault="004B4C37" w:rsidP="00626D0F">
      <w:pPr>
        <w:textAlignment w:val="baseline"/>
        <w:rPr>
          <w:rFonts w:eastAsia="Times New Roman" w:cs="Arial"/>
          <w:kern w:val="0"/>
          <w:lang w:eastAsia="en-GB"/>
          <w14:ligatures w14:val="none"/>
        </w:rPr>
      </w:pPr>
    </w:p>
    <w:p w14:paraId="5086E14B" w14:textId="77777777" w:rsidR="004B4C37" w:rsidRPr="004B4C37" w:rsidRDefault="004B4C37" w:rsidP="00626D0F">
      <w:pPr>
        <w:textAlignment w:val="baseline"/>
        <w:rPr>
          <w:rFonts w:eastAsia="Times New Roman" w:cs="Arial"/>
          <w:kern w:val="0"/>
          <w:lang w:eastAsia="en-GB"/>
          <w14:ligatures w14:val="none"/>
        </w:rPr>
      </w:pPr>
      <w:r w:rsidRPr="004B4C37">
        <w:rPr>
          <w:rFonts w:eastAsia="Times New Roman" w:cs="Arial"/>
          <w:kern w:val="0"/>
          <w:lang w:eastAsia="en-GB"/>
          <w14:ligatures w14:val="none"/>
        </w:rPr>
        <w:t>For those who have an appliance, the appliance use review service will help improve their knowledge and use of it. The service aims to ensure people get the maximum benefit from the use of their appliance and improve their experience of its usage. </w:t>
      </w:r>
    </w:p>
    <w:p w14:paraId="617DD894" w14:textId="77777777" w:rsidR="004B4C37" w:rsidRPr="004B4C37" w:rsidRDefault="004B4C37" w:rsidP="00626D0F">
      <w:pPr>
        <w:textAlignment w:val="baseline"/>
        <w:rPr>
          <w:rFonts w:eastAsia="Times New Roman" w:cs="Arial"/>
          <w:kern w:val="0"/>
          <w:lang w:eastAsia="en-GB"/>
          <w14:ligatures w14:val="none"/>
        </w:rPr>
      </w:pPr>
    </w:p>
    <w:p w14:paraId="33EA99E8" w14:textId="77777777" w:rsidR="004B4C37" w:rsidRPr="004B4C37" w:rsidRDefault="004B4C37" w:rsidP="00626D0F">
      <w:pPr>
        <w:textAlignment w:val="baseline"/>
        <w:rPr>
          <w:rFonts w:eastAsia="Times New Roman" w:cs="Arial"/>
          <w:kern w:val="0"/>
          <w:lang w:eastAsia="en-GB"/>
          <w14:ligatures w14:val="none"/>
        </w:rPr>
      </w:pPr>
      <w:r w:rsidRPr="004B4C37">
        <w:rPr>
          <w:rFonts w:eastAsia="Times New Roman" w:cs="Arial"/>
          <w:kern w:val="0"/>
          <w:lang w:eastAsia="en-GB"/>
          <w14:ligatures w14:val="none"/>
        </w:rPr>
        <w:t>For those with a stoma appliance that requires customisation, the stoma appliance customisation service will ensure the proper use and comfortable fitting of the appliance and improve the duration of its usage thereby reducing waste. </w:t>
      </w:r>
    </w:p>
    <w:p w14:paraId="4A1F2196" w14:textId="77777777" w:rsidR="004B4C37" w:rsidRPr="004B4C37" w:rsidRDefault="004B4C37" w:rsidP="00626D0F">
      <w:pPr>
        <w:rPr>
          <w:rFonts w:eastAsia="Aptos" w:cs="Arial"/>
        </w:rPr>
      </w:pPr>
    </w:p>
    <w:p w14:paraId="27585C33" w14:textId="77777777" w:rsidR="004B4C37" w:rsidRPr="004B4C37" w:rsidRDefault="004B4C37" w:rsidP="00626D0F">
      <w:pPr>
        <w:rPr>
          <w:rFonts w:eastAsia="Aptos" w:cs="Arial"/>
          <w:b/>
          <w:bCs/>
        </w:rPr>
      </w:pPr>
      <w:r w:rsidRPr="004B4C37">
        <w:rPr>
          <w:rFonts w:eastAsia="Aptos" w:cs="Arial"/>
          <w:b/>
          <w:bCs/>
        </w:rPr>
        <w:t>7.1.2 Smoking</w:t>
      </w:r>
    </w:p>
    <w:p w14:paraId="03D5C8CD" w14:textId="77777777" w:rsidR="004B4C37" w:rsidRPr="004B4C37" w:rsidRDefault="004B4C37" w:rsidP="00626D0F">
      <w:pPr>
        <w:rPr>
          <w:rFonts w:eastAsia="Aptos" w:cs="Arial"/>
        </w:rPr>
      </w:pPr>
    </w:p>
    <w:p w14:paraId="3B8523C2" w14:textId="77777777" w:rsidR="004B4C37" w:rsidRPr="004B4C37" w:rsidRDefault="004B4C37" w:rsidP="00626D0F">
      <w:pPr>
        <w:rPr>
          <w:rFonts w:eastAsia="Aptos" w:cs="Arial"/>
        </w:rPr>
      </w:pPr>
      <w:r w:rsidRPr="004B4C37">
        <w:rPr>
          <w:rFonts w:eastAsia="Aptos" w:cs="Arial"/>
        </w:rPr>
        <w:t>The provision of a smoking cessation level 2 and 3 additional clinical service by community pharmacies can offer:</w:t>
      </w:r>
    </w:p>
    <w:p w14:paraId="7DB9A7A8" w14:textId="77777777" w:rsidR="004B4C37" w:rsidRPr="004B4C37" w:rsidRDefault="004B4C37" w:rsidP="00626D0F">
      <w:pPr>
        <w:rPr>
          <w:rFonts w:eastAsia="Aptos" w:cs="Arial"/>
        </w:rPr>
      </w:pPr>
    </w:p>
    <w:p w14:paraId="5661E498" w14:textId="77777777" w:rsidR="004B4C37" w:rsidRPr="004B4C37" w:rsidRDefault="004B4C37" w:rsidP="00B76905">
      <w:pPr>
        <w:numPr>
          <w:ilvl w:val="0"/>
          <w:numId w:val="132"/>
        </w:numPr>
        <w:contextualSpacing/>
        <w:rPr>
          <w:rFonts w:eastAsia="Aptos" w:cs="Arial"/>
        </w:rPr>
      </w:pPr>
      <w:r w:rsidRPr="004B4C37">
        <w:rPr>
          <w:rFonts w:eastAsia="Aptos" w:cs="Arial"/>
        </w:rPr>
        <w:t xml:space="preserve">Improved choice of NHS stop smoking services under the NHS Help me Quit service, national branding, and increased access to nicotine replacement therapy. </w:t>
      </w:r>
    </w:p>
    <w:p w14:paraId="048B9222" w14:textId="77777777" w:rsidR="004B4C37" w:rsidRPr="004B4C37" w:rsidRDefault="004B4C37" w:rsidP="00B76905">
      <w:pPr>
        <w:numPr>
          <w:ilvl w:val="0"/>
          <w:numId w:val="132"/>
        </w:numPr>
        <w:contextualSpacing/>
        <w:rPr>
          <w:rFonts w:eastAsia="Aptos" w:cs="Arial"/>
        </w:rPr>
      </w:pPr>
      <w:r w:rsidRPr="004B4C37">
        <w:rPr>
          <w:rFonts w:eastAsia="Aptos" w:cs="Arial"/>
        </w:rPr>
        <w:t>Reduction in the number of people smoking, through provision of successful quit support in pharmacies.</w:t>
      </w:r>
    </w:p>
    <w:p w14:paraId="7971DFF0" w14:textId="77777777" w:rsidR="004B4C37" w:rsidRPr="004B4C37" w:rsidRDefault="004B4C37" w:rsidP="00B76905">
      <w:pPr>
        <w:numPr>
          <w:ilvl w:val="0"/>
          <w:numId w:val="132"/>
        </w:numPr>
        <w:contextualSpacing/>
        <w:rPr>
          <w:rFonts w:eastAsia="Aptos" w:cs="Arial"/>
        </w:rPr>
      </w:pPr>
      <w:r w:rsidRPr="004B4C37">
        <w:rPr>
          <w:rFonts w:eastAsia="Aptos" w:cs="Arial"/>
        </w:rPr>
        <w:lastRenderedPageBreak/>
        <w:t>Improved cost-effectiveness of nicotine replacement therapy provision through targeted phased supply, accompanied by appropriate support and advice.</w:t>
      </w:r>
    </w:p>
    <w:p w14:paraId="20A9063B" w14:textId="77777777" w:rsidR="004B4C37" w:rsidRPr="004B4C37" w:rsidRDefault="004B4C37" w:rsidP="00B76905">
      <w:pPr>
        <w:numPr>
          <w:ilvl w:val="0"/>
          <w:numId w:val="132"/>
        </w:numPr>
        <w:contextualSpacing/>
        <w:rPr>
          <w:rFonts w:eastAsia="Aptos" w:cs="Arial"/>
        </w:rPr>
      </w:pPr>
      <w:r w:rsidRPr="004B4C37">
        <w:rPr>
          <w:rFonts w:eastAsia="Aptos" w:cs="Arial"/>
        </w:rPr>
        <w:t>Improved overall up take of smoking cessation services as a result of accessibility and convenience of pharmacy locations and to support the health board in achieving national targets on accessing smoking cessation services.</w:t>
      </w:r>
    </w:p>
    <w:p w14:paraId="0F60CBA5" w14:textId="77777777" w:rsidR="004B4C37" w:rsidRPr="004B4C37" w:rsidRDefault="004B4C37" w:rsidP="00B76905">
      <w:pPr>
        <w:numPr>
          <w:ilvl w:val="0"/>
          <w:numId w:val="132"/>
        </w:numPr>
        <w:contextualSpacing/>
        <w:rPr>
          <w:rFonts w:eastAsia="Aptos" w:cs="Arial"/>
        </w:rPr>
      </w:pPr>
      <w:r w:rsidRPr="004B4C37">
        <w:rPr>
          <w:rFonts w:eastAsia="Aptos" w:cs="Arial"/>
        </w:rPr>
        <w:t>Improved integration of community pharmacy into wider public health stop smoking strategy.</w:t>
      </w:r>
    </w:p>
    <w:p w14:paraId="0F7133FD" w14:textId="77777777" w:rsidR="004B4C37" w:rsidRPr="004B4C37" w:rsidRDefault="004B4C37" w:rsidP="00626D0F">
      <w:pPr>
        <w:rPr>
          <w:rFonts w:eastAsia="Aptos" w:cs="Arial"/>
        </w:rPr>
      </w:pPr>
    </w:p>
    <w:p w14:paraId="04E4297C" w14:textId="77777777" w:rsidR="004B4C37" w:rsidRPr="004B4C37" w:rsidRDefault="004B4C37" w:rsidP="00626D0F">
      <w:pPr>
        <w:rPr>
          <w:rFonts w:eastAsia="Times New Roman" w:cs="Arial"/>
          <w:kern w:val="0"/>
          <w:lang w:eastAsia="en-GB"/>
          <w14:ligatures w14:val="none"/>
        </w:rPr>
      </w:pPr>
      <w:r w:rsidRPr="004B4C37">
        <w:rPr>
          <w:rFonts w:eastAsia="Times New Roman" w:cs="Arial"/>
          <w:kern w:val="0"/>
          <w:lang w:eastAsia="en-GB"/>
          <w14:ligatures w14:val="none"/>
        </w:rPr>
        <w:t>In addition to the levels 2 and 3 additional clinical services there are elements of essential service provision which will help address this health need:</w:t>
      </w:r>
    </w:p>
    <w:p w14:paraId="401832D8" w14:textId="77777777" w:rsidR="004B4C37" w:rsidRPr="004B4C37" w:rsidRDefault="004B4C37" w:rsidP="00626D0F">
      <w:pPr>
        <w:rPr>
          <w:rFonts w:eastAsia="Times New Roman" w:cs="Arial"/>
          <w:kern w:val="0"/>
          <w:lang w:eastAsia="en-GB"/>
          <w14:ligatures w14:val="none"/>
        </w:rPr>
      </w:pPr>
    </w:p>
    <w:p w14:paraId="7B63562B" w14:textId="77777777" w:rsidR="004B4C37" w:rsidRPr="004B4C37" w:rsidRDefault="004B4C37" w:rsidP="00B76905">
      <w:pPr>
        <w:numPr>
          <w:ilvl w:val="0"/>
          <w:numId w:val="133"/>
        </w:numPr>
        <w:contextualSpacing/>
        <w:rPr>
          <w:rFonts w:eastAsia="Calibri" w:cs="Arial"/>
          <w:kern w:val="0"/>
          <w14:ligatures w14:val="none"/>
        </w:rPr>
      </w:pPr>
      <w:r w:rsidRPr="004B4C37">
        <w:rPr>
          <w:rFonts w:eastAsia="Calibri" w:cs="Arial"/>
          <w:kern w:val="0"/>
          <w14:ligatures w14:val="none"/>
        </w:rPr>
        <w:t>Pharmacies are required to participate in up to four public health campaigns each calendar year by promoting public health messages to users. The topics for these campaigns are selected by the health board and could include smoking.</w:t>
      </w:r>
    </w:p>
    <w:p w14:paraId="2CED9753" w14:textId="77777777" w:rsidR="004B4C37" w:rsidRPr="004B4C37" w:rsidRDefault="004B4C37" w:rsidP="00B76905">
      <w:pPr>
        <w:numPr>
          <w:ilvl w:val="0"/>
          <w:numId w:val="133"/>
        </w:numPr>
        <w:ind w:left="714" w:hanging="357"/>
        <w:contextualSpacing/>
        <w:rPr>
          <w:rFonts w:eastAsia="Calibri" w:cs="Arial"/>
          <w:kern w:val="0"/>
          <w14:ligatures w14:val="none"/>
        </w:rPr>
      </w:pPr>
      <w:r w:rsidRPr="004B4C37">
        <w:rPr>
          <w:rFonts w:eastAsia="Calibri" w:cs="Arial"/>
          <w:kern w:val="0"/>
          <w14:ligatures w14:val="none"/>
        </w:rPr>
        <w:t>Where the pharmacy does not provide the smoking cessation additional clinical service, signposting people using the pharmacy to other providers of the service.</w:t>
      </w:r>
    </w:p>
    <w:p w14:paraId="31D30D9D" w14:textId="77777777" w:rsidR="004B4C37" w:rsidRPr="004B4C37" w:rsidRDefault="004B4C37" w:rsidP="00B76905">
      <w:pPr>
        <w:numPr>
          <w:ilvl w:val="0"/>
          <w:numId w:val="133"/>
        </w:numPr>
        <w:ind w:left="714" w:hanging="357"/>
        <w:contextualSpacing/>
        <w:rPr>
          <w:rFonts w:eastAsia="Calibri" w:cs="Arial"/>
          <w:kern w:val="0"/>
          <w14:ligatures w14:val="none"/>
        </w:rPr>
      </w:pPr>
      <w:r w:rsidRPr="004B4C37">
        <w:rPr>
          <w:rFonts w:eastAsia="Calibri" w:cs="Arial"/>
          <w:kern w:val="0"/>
          <w14:ligatures w14:val="none"/>
        </w:rPr>
        <w:t>Routinely discussing stopping smoking when selling relevant over the counter medicines.</w:t>
      </w:r>
    </w:p>
    <w:p w14:paraId="08BE1E4C" w14:textId="77777777" w:rsidR="004B4C37" w:rsidRPr="004B4C37" w:rsidRDefault="004B4C37" w:rsidP="00B76905">
      <w:pPr>
        <w:numPr>
          <w:ilvl w:val="0"/>
          <w:numId w:val="133"/>
        </w:numPr>
        <w:contextualSpacing/>
        <w:rPr>
          <w:rFonts w:eastAsia="Calibri" w:cs="Arial"/>
          <w:kern w:val="0"/>
          <w14:ligatures w14:val="none"/>
        </w:rPr>
      </w:pPr>
      <w:r w:rsidRPr="004B4C37">
        <w:rPr>
          <w:rFonts w:eastAsia="Calibri" w:cs="Arial"/>
          <w:kern w:val="0"/>
          <w14:ligatures w14:val="none"/>
        </w:rPr>
        <w:t>Providing healthy living advice during consultations and engagement with people attending the pharmacy.</w:t>
      </w:r>
    </w:p>
    <w:p w14:paraId="009D106C" w14:textId="77777777" w:rsidR="004B4C37" w:rsidRPr="004B4C37" w:rsidRDefault="004B4C37" w:rsidP="00626D0F">
      <w:pPr>
        <w:rPr>
          <w:rFonts w:eastAsia="Aptos" w:cs="Arial"/>
        </w:rPr>
      </w:pPr>
    </w:p>
    <w:p w14:paraId="248BA54D" w14:textId="77777777" w:rsidR="004B4C37" w:rsidRPr="004B4C37" w:rsidRDefault="004B4C37" w:rsidP="00626D0F">
      <w:pPr>
        <w:rPr>
          <w:rFonts w:eastAsia="Aptos" w:cs="Arial"/>
          <w:b/>
          <w:bCs/>
        </w:rPr>
      </w:pPr>
      <w:r w:rsidRPr="004B4C37">
        <w:rPr>
          <w:rFonts w:eastAsia="Aptos" w:cs="Arial"/>
          <w:b/>
          <w:bCs/>
        </w:rPr>
        <w:t>7.1.3 Harm reduction</w:t>
      </w:r>
    </w:p>
    <w:p w14:paraId="1C5138F1" w14:textId="77777777" w:rsidR="004B4C37" w:rsidRPr="004B4C37" w:rsidRDefault="004B4C37" w:rsidP="00626D0F">
      <w:pPr>
        <w:rPr>
          <w:rFonts w:eastAsia="Aptos" w:cs="Arial"/>
        </w:rPr>
      </w:pPr>
    </w:p>
    <w:p w14:paraId="73023CD8" w14:textId="77777777" w:rsidR="004B4C37" w:rsidRPr="004B4C37" w:rsidRDefault="004B4C37" w:rsidP="00626D0F">
      <w:pPr>
        <w:rPr>
          <w:rFonts w:eastAsia="Aptos" w:cs="Arial"/>
        </w:rPr>
      </w:pPr>
      <w:r w:rsidRPr="004B4C37">
        <w:rPr>
          <w:rFonts w:eastAsia="Aptos" w:cs="Arial"/>
        </w:rPr>
        <w:t>The provision of a supervised administration of medicines – substance misuse additional clinical service by pharmacies can:</w:t>
      </w:r>
    </w:p>
    <w:p w14:paraId="37E51102" w14:textId="77777777" w:rsidR="004B4C37" w:rsidRPr="004B4C37" w:rsidRDefault="004B4C37" w:rsidP="00626D0F">
      <w:pPr>
        <w:rPr>
          <w:rFonts w:eastAsia="Aptos" w:cs="Arial"/>
        </w:rPr>
      </w:pPr>
    </w:p>
    <w:p w14:paraId="69CA568F" w14:textId="77777777" w:rsidR="004B4C37" w:rsidRPr="004B4C37" w:rsidRDefault="004B4C37" w:rsidP="00B76905">
      <w:pPr>
        <w:numPr>
          <w:ilvl w:val="0"/>
          <w:numId w:val="134"/>
        </w:numPr>
        <w:contextualSpacing/>
        <w:rPr>
          <w:rFonts w:eastAsia="Aptos" w:cs="Arial"/>
        </w:rPr>
      </w:pPr>
      <w:r w:rsidRPr="004B4C37">
        <w:rPr>
          <w:rFonts w:eastAsia="Aptos" w:cs="Arial"/>
        </w:rPr>
        <w:t>Assist prescribing clinicians in the provision of community-based prescribing.</w:t>
      </w:r>
    </w:p>
    <w:p w14:paraId="1267AE2D" w14:textId="77777777" w:rsidR="004B4C37" w:rsidRPr="004B4C37" w:rsidRDefault="004B4C37" w:rsidP="00B76905">
      <w:pPr>
        <w:numPr>
          <w:ilvl w:val="0"/>
          <w:numId w:val="134"/>
        </w:numPr>
        <w:contextualSpacing/>
        <w:rPr>
          <w:rFonts w:eastAsia="Aptos" w:cs="Arial"/>
        </w:rPr>
      </w:pPr>
      <w:r w:rsidRPr="004B4C37">
        <w:rPr>
          <w:rFonts w:eastAsia="Aptos" w:cs="Arial"/>
        </w:rPr>
        <w:t>Improve adherence to an agreed treatment plan.</w:t>
      </w:r>
    </w:p>
    <w:p w14:paraId="2E91C259" w14:textId="77777777" w:rsidR="004B4C37" w:rsidRPr="004B4C37" w:rsidRDefault="004B4C37" w:rsidP="00B76905">
      <w:pPr>
        <w:numPr>
          <w:ilvl w:val="0"/>
          <w:numId w:val="134"/>
        </w:numPr>
        <w:contextualSpacing/>
        <w:rPr>
          <w:rFonts w:eastAsia="Aptos" w:cs="Arial"/>
        </w:rPr>
      </w:pPr>
      <w:r w:rsidRPr="004B4C37">
        <w:rPr>
          <w:rFonts w:eastAsia="Aptos" w:cs="Arial"/>
        </w:rPr>
        <w:t>Provide support and access to further advice and assistance including referring individuals to specialist treatment services or other health and social care services.</w:t>
      </w:r>
    </w:p>
    <w:p w14:paraId="28D9AD8B" w14:textId="77777777" w:rsidR="004B4C37" w:rsidRPr="004B4C37" w:rsidRDefault="004B4C37" w:rsidP="00B76905">
      <w:pPr>
        <w:numPr>
          <w:ilvl w:val="0"/>
          <w:numId w:val="134"/>
        </w:numPr>
        <w:contextualSpacing/>
        <w:rPr>
          <w:rFonts w:eastAsia="Aptos" w:cs="Arial"/>
        </w:rPr>
      </w:pPr>
      <w:r w:rsidRPr="004B4C37">
        <w:rPr>
          <w:rFonts w:eastAsia="Aptos" w:cs="Arial"/>
        </w:rPr>
        <w:t xml:space="preserve">Reduce the risk of inappropriate medicines taking, which might result in harm. </w:t>
      </w:r>
    </w:p>
    <w:p w14:paraId="41E385D6" w14:textId="77777777" w:rsidR="004B4C37" w:rsidRPr="004B4C37" w:rsidRDefault="004B4C37" w:rsidP="00B76905">
      <w:pPr>
        <w:numPr>
          <w:ilvl w:val="0"/>
          <w:numId w:val="134"/>
        </w:numPr>
        <w:contextualSpacing/>
        <w:rPr>
          <w:rFonts w:eastAsia="Aptos" w:cs="Arial"/>
        </w:rPr>
      </w:pPr>
      <w:r w:rsidRPr="004B4C37">
        <w:rPr>
          <w:rFonts w:eastAsia="Aptos" w:cs="Arial"/>
        </w:rPr>
        <w:t>Ensure the individual takes the correct dosing regimen of medication as prescribed.</w:t>
      </w:r>
    </w:p>
    <w:p w14:paraId="50924280" w14:textId="77777777" w:rsidR="004B4C37" w:rsidRPr="004B4C37" w:rsidRDefault="004B4C37" w:rsidP="00B76905">
      <w:pPr>
        <w:numPr>
          <w:ilvl w:val="0"/>
          <w:numId w:val="134"/>
        </w:numPr>
        <w:contextualSpacing/>
        <w:rPr>
          <w:rFonts w:eastAsia="Aptos" w:cs="Arial"/>
        </w:rPr>
      </w:pPr>
      <w:r w:rsidRPr="004B4C37">
        <w:rPr>
          <w:rFonts w:eastAsia="Aptos" w:cs="Arial"/>
        </w:rPr>
        <w:t>Reduce the risk of prescribed medication being diverted to the illegal market.</w:t>
      </w:r>
    </w:p>
    <w:p w14:paraId="160E0796" w14:textId="77777777" w:rsidR="004B4C37" w:rsidRPr="004B4C37" w:rsidRDefault="004B4C37" w:rsidP="00B76905">
      <w:pPr>
        <w:numPr>
          <w:ilvl w:val="0"/>
          <w:numId w:val="134"/>
        </w:numPr>
        <w:contextualSpacing/>
        <w:rPr>
          <w:rFonts w:eastAsia="Aptos" w:cs="Arial"/>
        </w:rPr>
      </w:pPr>
      <w:r w:rsidRPr="004B4C37">
        <w:rPr>
          <w:rFonts w:eastAsia="Aptos" w:cs="Arial"/>
        </w:rPr>
        <w:t>Reduce the possibility of accidental poisoning, particularly of children.</w:t>
      </w:r>
    </w:p>
    <w:p w14:paraId="3345CC3A" w14:textId="77777777" w:rsidR="004B4C37" w:rsidRPr="004B4C37" w:rsidRDefault="004B4C37" w:rsidP="00B76905">
      <w:pPr>
        <w:numPr>
          <w:ilvl w:val="0"/>
          <w:numId w:val="134"/>
        </w:numPr>
        <w:contextualSpacing/>
        <w:rPr>
          <w:rFonts w:eastAsia="Aptos" w:cs="Arial"/>
        </w:rPr>
      </w:pPr>
      <w:r w:rsidRPr="004B4C37">
        <w:rPr>
          <w:rFonts w:eastAsia="Aptos" w:cs="Arial"/>
        </w:rPr>
        <w:t xml:space="preserve">Reduce incidents of accidental death through overdose. </w:t>
      </w:r>
    </w:p>
    <w:p w14:paraId="17B89288" w14:textId="77777777" w:rsidR="004B4C37" w:rsidRPr="004B4C37" w:rsidRDefault="004B4C37" w:rsidP="00626D0F">
      <w:pPr>
        <w:rPr>
          <w:rFonts w:eastAsia="Aptos" w:cs="Arial"/>
        </w:rPr>
      </w:pPr>
    </w:p>
    <w:p w14:paraId="1EDA2D7F" w14:textId="77777777" w:rsidR="004B4C37" w:rsidRPr="004B4C37" w:rsidRDefault="004B4C37" w:rsidP="00626D0F">
      <w:pPr>
        <w:rPr>
          <w:rFonts w:eastAsia="Aptos" w:cs="Arial"/>
        </w:rPr>
      </w:pPr>
      <w:r w:rsidRPr="004B4C37">
        <w:rPr>
          <w:rFonts w:eastAsia="Aptos" w:cs="Arial"/>
        </w:rPr>
        <w:t xml:space="preserve">The needle and syringe provision additional clinical service assists in the reduction of the sharing of needles and equipment which can consequently result in blood-borne viruses such as human immunodeficiency virus, hepatitis B and hepatitis C being transmitted. In turn, this could lead to a reduction in the prevalence of blood-borne viruses, therefore also benefiting wider society. </w:t>
      </w:r>
    </w:p>
    <w:p w14:paraId="33101C8E" w14:textId="77777777" w:rsidR="004B4C37" w:rsidRPr="004B4C37" w:rsidRDefault="004B4C37" w:rsidP="00626D0F">
      <w:pPr>
        <w:rPr>
          <w:rFonts w:eastAsia="Times New Roman" w:cs="Arial"/>
          <w:kern w:val="0"/>
          <w:lang w:eastAsia="en-GB"/>
          <w14:ligatures w14:val="none"/>
        </w:rPr>
      </w:pPr>
    </w:p>
    <w:p w14:paraId="0C244F00" w14:textId="77777777" w:rsidR="004B4C37" w:rsidRPr="004B4C37" w:rsidRDefault="004B4C37" w:rsidP="00626D0F">
      <w:pPr>
        <w:rPr>
          <w:rFonts w:eastAsia="Times New Roman" w:cs="Arial"/>
          <w:kern w:val="0"/>
          <w:lang w:eastAsia="en-GB"/>
          <w14:ligatures w14:val="none"/>
        </w:rPr>
      </w:pPr>
      <w:r w:rsidRPr="004B4C37">
        <w:rPr>
          <w:rFonts w:eastAsia="Times New Roman" w:cs="Arial"/>
          <w:kern w:val="0"/>
          <w:lang w:eastAsia="en-GB"/>
          <w14:ligatures w14:val="none"/>
        </w:rPr>
        <w:t>There are also elements of essential service provision which will help address this health need:</w:t>
      </w:r>
    </w:p>
    <w:p w14:paraId="67F77D8D" w14:textId="77777777" w:rsidR="004B4C37" w:rsidRPr="004B4C37" w:rsidRDefault="004B4C37" w:rsidP="00626D0F">
      <w:pPr>
        <w:rPr>
          <w:rFonts w:eastAsia="Times New Roman" w:cs="Arial"/>
          <w:kern w:val="0"/>
          <w:lang w:eastAsia="en-GB"/>
          <w14:ligatures w14:val="none"/>
        </w:rPr>
      </w:pPr>
    </w:p>
    <w:p w14:paraId="1C98802A" w14:textId="77777777" w:rsidR="004B4C37" w:rsidRPr="004B4C37" w:rsidRDefault="004B4C37" w:rsidP="00B76905">
      <w:pPr>
        <w:numPr>
          <w:ilvl w:val="0"/>
          <w:numId w:val="135"/>
        </w:numPr>
        <w:ind w:left="714" w:hanging="357"/>
        <w:rPr>
          <w:rFonts w:eastAsia="Times New Roman" w:cs="Arial"/>
          <w:kern w:val="0"/>
          <w:lang w:eastAsia="en-GB"/>
          <w14:ligatures w14:val="none"/>
        </w:rPr>
      </w:pPr>
      <w:r w:rsidRPr="004B4C37">
        <w:rPr>
          <w:rFonts w:eastAsia="Calibri" w:cs="Arial"/>
          <w:kern w:val="0"/>
          <w14:ligatures w14:val="none"/>
        </w:rPr>
        <w:t>Pharmacies are required to participate in up to four public health campaigns each calendar year by promoting public health messages to users. They are usually undertaken over a four-week period, but some can be extended. The topics for these campaigns are selected by the health board and could include drug and alcohol abuse. Public health campaigns could include raising awareness about the risks of alcohol consumption through discussing the risks of alcohol consumption over the recommended amounts, displaying posters and distributing leaflets, scratch cards, and other relevant materials.</w:t>
      </w:r>
    </w:p>
    <w:p w14:paraId="21797AFD" w14:textId="77777777" w:rsidR="004B4C37" w:rsidRPr="004B4C37" w:rsidRDefault="004B4C37" w:rsidP="00B76905">
      <w:pPr>
        <w:numPr>
          <w:ilvl w:val="0"/>
          <w:numId w:val="135"/>
        </w:numPr>
        <w:ind w:left="714" w:hanging="357"/>
        <w:rPr>
          <w:rFonts w:eastAsia="Times New Roman" w:cs="Arial"/>
          <w:kern w:val="0"/>
          <w:lang w:eastAsia="en-GB"/>
          <w14:ligatures w14:val="none"/>
        </w:rPr>
      </w:pPr>
      <w:r w:rsidRPr="004B4C37">
        <w:rPr>
          <w:rFonts w:eastAsia="Times New Roman" w:cs="Arial"/>
          <w:kern w:val="0"/>
          <w:lang w:eastAsia="en-GB"/>
          <w14:ligatures w14:val="none"/>
        </w:rPr>
        <w:t>Where the pharmacy does not provide the additional clinical service of needle and syringe supply and/or the supervised administration of medicines, signposting people using the pharmacy to other providers of the services.</w:t>
      </w:r>
    </w:p>
    <w:p w14:paraId="4C700A6F" w14:textId="77777777" w:rsidR="004B4C37" w:rsidRPr="004B4C37" w:rsidRDefault="004B4C37" w:rsidP="00B76905">
      <w:pPr>
        <w:numPr>
          <w:ilvl w:val="0"/>
          <w:numId w:val="135"/>
        </w:numPr>
        <w:rPr>
          <w:rFonts w:eastAsia="Times New Roman" w:cs="Arial"/>
          <w:kern w:val="0"/>
          <w:lang w:eastAsia="en-GB"/>
          <w14:ligatures w14:val="none"/>
        </w:rPr>
      </w:pPr>
      <w:r w:rsidRPr="004B4C37">
        <w:rPr>
          <w:rFonts w:eastAsia="Times New Roman" w:cs="Arial"/>
          <w:kern w:val="0"/>
          <w:lang w:eastAsia="en-GB"/>
          <w14:ligatures w14:val="none"/>
        </w:rPr>
        <w:t>Signposting people who are potentially dependent on alcohol to local specialist alcohol treatment providers.</w:t>
      </w:r>
    </w:p>
    <w:p w14:paraId="014D2BF4" w14:textId="77777777" w:rsidR="004B4C37" w:rsidRPr="004B4C37" w:rsidRDefault="004B4C37" w:rsidP="00B76905">
      <w:pPr>
        <w:numPr>
          <w:ilvl w:val="0"/>
          <w:numId w:val="136"/>
        </w:numPr>
        <w:rPr>
          <w:rFonts w:eastAsia="Times New Roman" w:cs="Arial"/>
          <w:kern w:val="0"/>
          <w:lang w:eastAsia="en-GB"/>
          <w14:ligatures w14:val="none"/>
        </w:rPr>
      </w:pPr>
      <w:r w:rsidRPr="004B4C37">
        <w:rPr>
          <w:rFonts w:eastAsia="Calibri" w:cs="Arial"/>
          <w:kern w:val="0"/>
          <w14:ligatures w14:val="none"/>
        </w:rPr>
        <w:t>Providing healthy living advice during consultations</w:t>
      </w:r>
      <w:r w:rsidRPr="004B4C37">
        <w:rPr>
          <w:rFonts w:eastAsia="Times New Roman" w:cs="Arial"/>
          <w:kern w:val="0"/>
          <w:lang w:eastAsia="en-GB"/>
          <w14:ligatures w14:val="none"/>
        </w:rPr>
        <w:t xml:space="preserve"> and engagement with people attending the pharmacy.</w:t>
      </w:r>
    </w:p>
    <w:p w14:paraId="089BEB23" w14:textId="77777777" w:rsidR="004B4C37" w:rsidRPr="004B4C37" w:rsidRDefault="004B4C37" w:rsidP="00626D0F">
      <w:pPr>
        <w:ind w:left="720"/>
        <w:contextualSpacing/>
        <w:rPr>
          <w:rFonts w:eastAsia="Calibri" w:cs="Arial"/>
          <w:kern w:val="0"/>
          <w14:ligatures w14:val="none"/>
        </w:rPr>
      </w:pPr>
    </w:p>
    <w:p w14:paraId="609859BB" w14:textId="77777777" w:rsidR="004B4C37" w:rsidRPr="004B4C37" w:rsidRDefault="004B4C37" w:rsidP="00626D0F">
      <w:pPr>
        <w:rPr>
          <w:rFonts w:eastAsia="Aptos" w:cs="Arial"/>
        </w:rPr>
      </w:pPr>
      <w:r w:rsidRPr="004B4C37">
        <w:rPr>
          <w:rFonts w:eastAsia="Aptos" w:cs="Arial"/>
        </w:rPr>
        <w:t xml:space="preserve">The take home naloxone service allows clients to receive a supply of naloxone which is used to reverse the effects of opioid overdose. Clients receive initial and refresher training on the safe and effective use of take home naloxone at the pharmacy. Clients are also provided with educational material and may be referred to other substance misuse services. </w:t>
      </w:r>
    </w:p>
    <w:p w14:paraId="4FB7533B" w14:textId="77777777" w:rsidR="004B4C37" w:rsidRPr="004B4C37" w:rsidRDefault="004B4C37" w:rsidP="00626D0F">
      <w:pPr>
        <w:rPr>
          <w:rFonts w:eastAsia="Aptos" w:cs="Arial"/>
        </w:rPr>
      </w:pPr>
    </w:p>
    <w:p w14:paraId="4700DCFE" w14:textId="77777777" w:rsidR="004B4C37" w:rsidRPr="004B4C37" w:rsidRDefault="004B4C37" w:rsidP="00626D0F">
      <w:pPr>
        <w:rPr>
          <w:rFonts w:eastAsia="Calibri" w:cs="Arial"/>
          <w:kern w:val="0"/>
          <w14:ligatures w14:val="none"/>
        </w:rPr>
      </w:pPr>
      <w:r w:rsidRPr="004B4C37">
        <w:rPr>
          <w:rFonts w:eastAsia="Aptos" w:cs="Arial"/>
        </w:rPr>
        <w:t>The blood borne virus additional clinical service aims to improve access to blood borne virus screening, associated treatments, and health advice by increasing</w:t>
      </w:r>
      <w:r w:rsidRPr="004B4C37">
        <w:rPr>
          <w:rFonts w:eastAsia="Calibri" w:cs="Arial"/>
          <w:kern w:val="0"/>
          <w14:ligatures w14:val="none"/>
        </w:rPr>
        <w:t xml:space="preserve"> the number of people tested and to reduce the personal and public health risks associated with infection by hepatitis B and C and human immunodeficiency virus</w:t>
      </w:r>
      <w:r w:rsidRPr="004B4C37">
        <w:rPr>
          <w:rFonts w:eastAsia="Calibri" w:cs="Arial"/>
          <w:kern w:val="0"/>
          <w:vertAlign w:val="superscript"/>
          <w14:ligatures w14:val="none"/>
        </w:rPr>
        <w:footnoteReference w:id="221"/>
      </w:r>
      <w:r w:rsidRPr="004B4C37">
        <w:rPr>
          <w:rFonts w:eastAsia="Aptos" w:cs="Arial"/>
          <w:vertAlign w:val="superscript"/>
        </w:rPr>
        <w:t>,</w:t>
      </w:r>
      <w:r w:rsidRPr="004B4C37">
        <w:rPr>
          <w:rFonts w:eastAsia="Calibri" w:cs="Arial"/>
          <w:kern w:val="0"/>
          <w:vertAlign w:val="superscript"/>
          <w14:ligatures w14:val="none"/>
        </w:rPr>
        <w:footnoteReference w:id="222"/>
      </w:r>
      <w:r w:rsidRPr="004B4C37">
        <w:rPr>
          <w:rFonts w:eastAsia="Aptos" w:cs="Arial"/>
          <w:vertAlign w:val="superscript"/>
        </w:rPr>
        <w:t>,</w:t>
      </w:r>
      <w:r w:rsidRPr="004B4C37">
        <w:rPr>
          <w:rFonts w:eastAsia="Calibri" w:cs="Arial"/>
          <w:kern w:val="0"/>
          <w:vertAlign w:val="superscript"/>
          <w14:ligatures w14:val="none"/>
        </w:rPr>
        <w:footnoteReference w:id="223"/>
      </w:r>
      <w:r w:rsidRPr="004B4C37">
        <w:rPr>
          <w:rFonts w:eastAsia="Calibri" w:cs="Arial"/>
          <w:kern w:val="0"/>
          <w14:ligatures w14:val="none"/>
        </w:rPr>
        <w:t xml:space="preserve">. </w:t>
      </w:r>
    </w:p>
    <w:p w14:paraId="072ADEF5" w14:textId="77777777" w:rsidR="004B4C37" w:rsidRPr="004B4C37" w:rsidRDefault="004B4C37" w:rsidP="00626D0F">
      <w:pPr>
        <w:rPr>
          <w:rFonts w:eastAsia="Calibri" w:cs="Arial"/>
          <w:kern w:val="0"/>
          <w14:ligatures w14:val="none"/>
        </w:rPr>
      </w:pPr>
    </w:p>
    <w:p w14:paraId="12B818F3" w14:textId="77777777" w:rsidR="004B4C37" w:rsidRPr="004B4C37" w:rsidRDefault="004B4C37" w:rsidP="00626D0F">
      <w:pPr>
        <w:rPr>
          <w:rFonts w:eastAsia="Aptos" w:cs="Arial"/>
        </w:rPr>
      </w:pPr>
      <w:r w:rsidRPr="004B4C37">
        <w:rPr>
          <w:rFonts w:eastAsia="Calibri" w:cs="Arial"/>
          <w:kern w:val="0"/>
          <w14:ligatures w14:val="none"/>
        </w:rPr>
        <w:t xml:space="preserve">The service supports the detection and early diagnosis of those at risk from blood borne viruses such as human immunodeficiency virus, hepatitis B and C using dried blood spot testing, and ensures treatment is commenced at an early stage, preventing further virus transmission. The group of clients considered to be at risk of infection are regularly accessing services provided by pharmacies such as needle and syringe provision and supervised administration of medicines. </w:t>
      </w:r>
    </w:p>
    <w:p w14:paraId="3BA1E1BE" w14:textId="77777777" w:rsidR="004B4C37" w:rsidRPr="004B4C37" w:rsidRDefault="004B4C37" w:rsidP="00626D0F">
      <w:pPr>
        <w:rPr>
          <w:rFonts w:eastAsia="Aptos" w:cs="Arial"/>
        </w:rPr>
      </w:pPr>
    </w:p>
    <w:p w14:paraId="4C5E0A18" w14:textId="77777777" w:rsidR="004B4C37" w:rsidRPr="004B4C37" w:rsidRDefault="004B4C37" w:rsidP="00626D0F">
      <w:pPr>
        <w:rPr>
          <w:rFonts w:eastAsia="Aptos" w:cs="Arial"/>
        </w:rPr>
      </w:pPr>
      <w:r w:rsidRPr="004B4C37">
        <w:rPr>
          <w:rFonts w:eastAsia="Aptos" w:cs="Arial"/>
        </w:rPr>
        <w:t>Pharmacists can link into existing networks for harm reduction, sexual health, and blood borne virus services so that clients can be referred on rapidly where appropriate. An appropriate individual (eg human immunodeficiency virus specialist nurse/health blood borne virus lead pharmacist) attends results appointments to support pharmacists and patients in giving a positive result. The patient is then referred to the appropriate service for confirmatory testing and further management and treatment.</w:t>
      </w:r>
    </w:p>
    <w:p w14:paraId="4EB60CEA" w14:textId="77777777" w:rsidR="004B4C37" w:rsidRDefault="004B4C37" w:rsidP="00626D0F">
      <w:pPr>
        <w:rPr>
          <w:rFonts w:eastAsia="Aptos" w:cs="Arial"/>
        </w:rPr>
      </w:pPr>
      <w:r w:rsidRPr="004B4C37">
        <w:rPr>
          <w:rFonts w:eastAsia="Aptos" w:cs="Arial"/>
        </w:rPr>
        <w:t xml:space="preserve"> </w:t>
      </w:r>
    </w:p>
    <w:p w14:paraId="4192102C" w14:textId="77777777" w:rsidR="006341BE" w:rsidRDefault="006341BE" w:rsidP="00626D0F">
      <w:pPr>
        <w:rPr>
          <w:rFonts w:eastAsia="Aptos" w:cs="Arial"/>
        </w:rPr>
      </w:pPr>
    </w:p>
    <w:p w14:paraId="15644E9F" w14:textId="77777777" w:rsidR="006341BE" w:rsidRPr="004B4C37" w:rsidRDefault="006341BE" w:rsidP="00626D0F">
      <w:pPr>
        <w:rPr>
          <w:rFonts w:eastAsia="Aptos" w:cs="Arial"/>
        </w:rPr>
      </w:pPr>
    </w:p>
    <w:p w14:paraId="391A50D0" w14:textId="77777777" w:rsidR="004B4C37" w:rsidRPr="004B4C37" w:rsidRDefault="004B4C37" w:rsidP="00626D0F">
      <w:pPr>
        <w:rPr>
          <w:rFonts w:eastAsia="Aptos" w:cs="Arial"/>
          <w:b/>
          <w:bCs/>
        </w:rPr>
      </w:pPr>
      <w:r w:rsidRPr="004B4C37">
        <w:rPr>
          <w:rFonts w:eastAsia="Aptos" w:cs="Arial"/>
          <w:b/>
          <w:bCs/>
        </w:rPr>
        <w:lastRenderedPageBreak/>
        <w:t>7.1.4 Long-term conditions</w:t>
      </w:r>
    </w:p>
    <w:p w14:paraId="419B134E" w14:textId="77777777" w:rsidR="004B4C37" w:rsidRPr="004B4C37" w:rsidRDefault="004B4C37" w:rsidP="00626D0F">
      <w:pPr>
        <w:rPr>
          <w:rFonts w:eastAsia="Aptos" w:cs="Arial"/>
        </w:rPr>
      </w:pPr>
    </w:p>
    <w:p w14:paraId="754065B5" w14:textId="77777777" w:rsidR="004B4C37" w:rsidRPr="004B4C37" w:rsidRDefault="004B4C37" w:rsidP="00626D0F">
      <w:pPr>
        <w:rPr>
          <w:rFonts w:eastAsia="Aptos" w:cs="Arial"/>
        </w:rPr>
      </w:pPr>
      <w:r w:rsidRPr="004B4C37">
        <w:rPr>
          <w:rFonts w:eastAsia="Aptos" w:cs="Arial"/>
        </w:rPr>
        <w:t>In addition to dispensing prescriptions, pharmacies can contribute to many of the public health issues relating to long-term conditions as part of the essential services they provide:</w:t>
      </w:r>
    </w:p>
    <w:p w14:paraId="428AD0CE" w14:textId="77777777" w:rsidR="004B4C37" w:rsidRPr="004B4C37" w:rsidRDefault="004B4C37" w:rsidP="00626D0F">
      <w:pPr>
        <w:rPr>
          <w:rFonts w:eastAsia="Aptos" w:cs="Arial"/>
        </w:rPr>
      </w:pPr>
    </w:p>
    <w:p w14:paraId="62795902" w14:textId="77777777" w:rsidR="004B4C37" w:rsidRPr="004B4C37" w:rsidRDefault="004B4C37" w:rsidP="00B76905">
      <w:pPr>
        <w:numPr>
          <w:ilvl w:val="0"/>
          <w:numId w:val="137"/>
        </w:numPr>
        <w:ind w:left="714" w:hanging="357"/>
        <w:rPr>
          <w:rFonts w:eastAsia="Times New Roman" w:cs="Arial"/>
          <w:kern w:val="0"/>
          <w:lang w:eastAsia="en-GB"/>
          <w14:ligatures w14:val="none"/>
        </w:rPr>
      </w:pPr>
      <w:r w:rsidRPr="004B4C37">
        <w:rPr>
          <w:rFonts w:eastAsia="Times New Roman" w:cs="Arial"/>
          <w:kern w:val="0"/>
          <w:lang w:eastAsia="en-GB"/>
          <w14:ligatures w14:val="none"/>
        </w:rPr>
        <w:t>Where a person presents a prescription and it appears to the pharmacist that they are suffering from or at risk of developing an adverse health issue, the pharmacist must provide advice to that person with the aim of increasing their knowledge and understanding of the health issues which are relevant to their personal circumstances.</w:t>
      </w:r>
    </w:p>
    <w:p w14:paraId="64588A53" w14:textId="77777777" w:rsidR="004B4C37" w:rsidRPr="004B4C37" w:rsidRDefault="004B4C37" w:rsidP="00B76905">
      <w:pPr>
        <w:numPr>
          <w:ilvl w:val="0"/>
          <w:numId w:val="137"/>
        </w:numPr>
        <w:ind w:left="714" w:hanging="357"/>
        <w:contextualSpacing/>
        <w:rPr>
          <w:rFonts w:eastAsia="Calibri" w:cs="Arial"/>
          <w:kern w:val="0"/>
          <w14:ligatures w14:val="none"/>
        </w:rPr>
      </w:pPr>
      <w:r w:rsidRPr="004B4C37">
        <w:rPr>
          <w:rFonts w:eastAsia="Calibri" w:cs="Arial"/>
          <w:kern w:val="0"/>
          <w14:ligatures w14:val="none"/>
        </w:rPr>
        <w:t>Pharmacies are required to participate in up to four public health campaigns each calendar year by promoting public health messages to users. The topics for these campaigns are selected by the health board and could include long-term conditions.</w:t>
      </w:r>
    </w:p>
    <w:p w14:paraId="33BF81DF" w14:textId="77777777" w:rsidR="004B4C37" w:rsidRPr="004B4C37" w:rsidRDefault="004B4C37" w:rsidP="00B76905">
      <w:pPr>
        <w:numPr>
          <w:ilvl w:val="0"/>
          <w:numId w:val="137"/>
        </w:numPr>
        <w:ind w:left="714" w:hanging="357"/>
        <w:rPr>
          <w:rFonts w:eastAsia="Times New Roman" w:cs="Arial"/>
          <w:kern w:val="0"/>
          <w:lang w:eastAsia="en-GB"/>
          <w14:ligatures w14:val="none"/>
        </w:rPr>
      </w:pPr>
      <w:r w:rsidRPr="004B4C37">
        <w:rPr>
          <w:rFonts w:eastAsia="Times New Roman" w:cs="Arial"/>
          <w:kern w:val="0"/>
          <w:lang w:eastAsia="en-GB"/>
          <w14:ligatures w14:val="none"/>
        </w:rPr>
        <w:t>Signposting people using the pharmacy to other providers of services or support.</w:t>
      </w:r>
    </w:p>
    <w:p w14:paraId="54E61B2E" w14:textId="77777777" w:rsidR="004B4C37" w:rsidRPr="004B4C37" w:rsidRDefault="004B4C37" w:rsidP="00B76905">
      <w:pPr>
        <w:numPr>
          <w:ilvl w:val="0"/>
          <w:numId w:val="137"/>
        </w:numPr>
        <w:ind w:left="714" w:hanging="357"/>
        <w:rPr>
          <w:rFonts w:eastAsia="Calibri" w:cs="Arial"/>
          <w:kern w:val="0"/>
          <w14:ligatures w14:val="none"/>
        </w:rPr>
      </w:pPr>
      <w:r w:rsidRPr="004B4C37">
        <w:rPr>
          <w:rFonts w:eastAsia="Calibri" w:cs="Arial"/>
          <w:kern w:val="0"/>
          <w14:ligatures w14:val="none"/>
        </w:rPr>
        <w:t>Where it appears to pharmacy staff that a person would benefit from advice to help them manage a medical condition, the provision of advice including advice on treatment options and changes to their lifestyle. This could include providing advice to a carer to help them manage another person’s medical condition.</w:t>
      </w:r>
    </w:p>
    <w:p w14:paraId="1AADA561" w14:textId="77777777" w:rsidR="004B4C37" w:rsidRPr="004B4C37" w:rsidRDefault="004B4C37" w:rsidP="00B76905">
      <w:pPr>
        <w:numPr>
          <w:ilvl w:val="0"/>
          <w:numId w:val="137"/>
        </w:numPr>
        <w:ind w:left="714" w:hanging="357"/>
        <w:contextualSpacing/>
        <w:rPr>
          <w:rFonts w:eastAsia="Calibri" w:cs="Arial"/>
          <w:kern w:val="0"/>
          <w14:ligatures w14:val="none"/>
        </w:rPr>
      </w:pPr>
      <w:r w:rsidRPr="004B4C37">
        <w:rPr>
          <w:rFonts w:eastAsia="Calibri" w:cs="Arial"/>
          <w:kern w:val="0"/>
          <w14:ligatures w14:val="none"/>
        </w:rPr>
        <w:t>Providing healthy living advice during consultations and engagement with people attending the pharmacy.</w:t>
      </w:r>
    </w:p>
    <w:p w14:paraId="12AE42C6" w14:textId="77777777" w:rsidR="004B4C37" w:rsidRPr="004B4C37" w:rsidRDefault="004B4C37" w:rsidP="00626D0F">
      <w:pPr>
        <w:rPr>
          <w:rFonts w:eastAsia="Aptos" w:cs="Arial"/>
        </w:rPr>
      </w:pPr>
    </w:p>
    <w:p w14:paraId="424452D0" w14:textId="77777777" w:rsidR="004B4C37" w:rsidRPr="004B4C37" w:rsidRDefault="004B4C37" w:rsidP="00626D0F">
      <w:pPr>
        <w:rPr>
          <w:rFonts w:eastAsia="Times New Roman" w:cs="Arial"/>
          <w:kern w:val="0"/>
          <w:lang w:eastAsia="en-GB"/>
          <w14:ligatures w14:val="none"/>
        </w:rPr>
      </w:pPr>
      <w:r w:rsidRPr="004B4C37">
        <w:rPr>
          <w:rFonts w:eastAsia="Times New Roman" w:cs="Arial"/>
          <w:kern w:val="0"/>
          <w:lang w:eastAsia="en-GB"/>
          <w14:ligatures w14:val="none"/>
        </w:rPr>
        <w:t xml:space="preserve">Provision of the clinical community pharmacy service, discharge medicines review, pharmacist independent prescribing service, seasonal influenza vaccination, blood borne virus testing, just in case pack smoking cessation, care home service, inhaler review service, supervised administration of medicines, needle and syringe provision additional clinical services will also assist people to manage their long-term conditions in order to maximise their quality of life. </w:t>
      </w:r>
    </w:p>
    <w:p w14:paraId="5229C7D5" w14:textId="77777777" w:rsidR="004B4C37" w:rsidRPr="004B4C37" w:rsidRDefault="004B4C37" w:rsidP="00626D0F">
      <w:pPr>
        <w:rPr>
          <w:rFonts w:eastAsia="Times New Roman" w:cs="Arial"/>
          <w:kern w:val="0"/>
          <w:lang w:eastAsia="en-GB"/>
          <w14:ligatures w14:val="none"/>
        </w:rPr>
      </w:pPr>
    </w:p>
    <w:p w14:paraId="27E42127" w14:textId="77777777" w:rsidR="004B4C37" w:rsidRPr="004B4C37" w:rsidRDefault="004B4C37" w:rsidP="00626D0F">
      <w:pPr>
        <w:rPr>
          <w:rFonts w:eastAsia="Aptos" w:cs="Arial"/>
        </w:rPr>
      </w:pPr>
      <w:r w:rsidRPr="004B4C37">
        <w:rPr>
          <w:rFonts w:eastAsia="Aptos" w:cs="Arial"/>
        </w:rPr>
        <w:t xml:space="preserve">Under the inhaler review additional clinical service patients can be provided with two levels of review of their inhaler use within the community pharmacy. Level 1 is a technical assessment of the patient’s inhaler technique and Level 2 consists of an assessment of the patient’s symptom control, inhaler use and adherence to therapy. </w:t>
      </w:r>
    </w:p>
    <w:p w14:paraId="75D8A8C9" w14:textId="77777777" w:rsidR="004B4C37" w:rsidRPr="004B4C37" w:rsidRDefault="004B4C37" w:rsidP="00626D0F">
      <w:pPr>
        <w:rPr>
          <w:rFonts w:eastAsia="Aptos" w:cs="Arial"/>
        </w:rPr>
      </w:pPr>
    </w:p>
    <w:p w14:paraId="13D01C23" w14:textId="77777777" w:rsidR="004B4C37" w:rsidRPr="004B4C37" w:rsidRDefault="004B4C37" w:rsidP="00626D0F">
      <w:pPr>
        <w:rPr>
          <w:rFonts w:eastAsia="Aptos" w:cs="Arial"/>
          <w:b/>
          <w:bCs/>
        </w:rPr>
      </w:pPr>
      <w:r w:rsidRPr="004B4C37">
        <w:rPr>
          <w:rFonts w:eastAsia="Aptos" w:cs="Arial"/>
          <w:b/>
          <w:bCs/>
        </w:rPr>
        <w:t>7.1.5 Immunisations</w:t>
      </w:r>
    </w:p>
    <w:p w14:paraId="31D41A98" w14:textId="77777777" w:rsidR="004B4C37" w:rsidRPr="004B4C37" w:rsidRDefault="004B4C37" w:rsidP="00626D0F">
      <w:pPr>
        <w:rPr>
          <w:rFonts w:eastAsia="Aptos" w:cs="Arial"/>
        </w:rPr>
      </w:pPr>
    </w:p>
    <w:p w14:paraId="310D15AE" w14:textId="77777777" w:rsidR="004B4C37" w:rsidRPr="004B4C37" w:rsidRDefault="004B4C37" w:rsidP="00626D0F">
      <w:pPr>
        <w:textAlignment w:val="baseline"/>
        <w:rPr>
          <w:rFonts w:eastAsia="Times New Roman" w:cs="Arial"/>
          <w:kern w:val="0"/>
          <w:lang w:eastAsia="en-GB"/>
          <w14:ligatures w14:val="none"/>
        </w:rPr>
      </w:pPr>
      <w:r w:rsidRPr="004B4C37">
        <w:rPr>
          <w:rFonts w:eastAsia="Times New Roman" w:cs="Arial"/>
          <w:kern w:val="0"/>
          <w:lang w:eastAsia="en-GB"/>
          <w14:ligatures w14:val="none"/>
        </w:rPr>
        <w:t>Vaccines are the most effective way to prevent many infectious diseases and prevent millions of deaths worldwide every year. </w:t>
      </w:r>
    </w:p>
    <w:p w14:paraId="5E059398" w14:textId="77777777" w:rsidR="004B4C37" w:rsidRPr="004B4C37" w:rsidRDefault="004B4C37" w:rsidP="00626D0F">
      <w:pPr>
        <w:textAlignment w:val="baseline"/>
        <w:rPr>
          <w:rFonts w:eastAsia="Times New Roman" w:cs="Arial"/>
          <w:kern w:val="0"/>
          <w:lang w:eastAsia="en-GB"/>
          <w14:ligatures w14:val="none"/>
        </w:rPr>
      </w:pPr>
    </w:p>
    <w:p w14:paraId="16FC10D4" w14:textId="77777777" w:rsidR="004B4C37" w:rsidRPr="004B4C37" w:rsidRDefault="004B4C37" w:rsidP="00626D0F">
      <w:pPr>
        <w:textAlignment w:val="baseline"/>
        <w:rPr>
          <w:rFonts w:eastAsia="Times New Roman" w:cs="Arial"/>
          <w:kern w:val="0"/>
          <w:lang w:eastAsia="en-GB"/>
          <w14:ligatures w14:val="none"/>
        </w:rPr>
      </w:pPr>
      <w:r w:rsidRPr="004B4C37">
        <w:rPr>
          <w:rFonts w:eastAsia="Times New Roman" w:cs="Arial"/>
          <w:kern w:val="0"/>
          <w:lang w:eastAsia="en-GB"/>
          <w14:ligatures w14:val="none"/>
        </w:rPr>
        <w:t xml:space="preserve">Influenza, also known as flu, is a key factor in NHS Wales’ resilience, impacting patient health and service demand. The annual vaccination programme reduces unplanned admissions and pressures on A&amp;E. The health board commissions community pharmacies to provide the seasonal influenza vaccination service which </w:t>
      </w:r>
      <w:r w:rsidRPr="004B4C37">
        <w:rPr>
          <w:rFonts w:eastAsia="Aptos" w:cs="Arial"/>
          <w:kern w:val="0"/>
          <w14:ligatures w14:val="none"/>
        </w:rPr>
        <w:t>focuses</w:t>
      </w:r>
      <w:r w:rsidRPr="004B4C37">
        <w:rPr>
          <w:rFonts w:eastAsia="Times New Roman" w:cs="Arial"/>
          <w:kern w:val="0"/>
          <w:lang w:eastAsia="en-GB"/>
          <w14:ligatures w14:val="none"/>
        </w:rPr>
        <w:t xml:space="preserve"> on patients aged 18 – 64 with a long term health condition, carers and care workers specifically working in care homes. Patients aged 65 and over can also access influenza vaccinations at a pharmacy if more convenient than attending their </w:t>
      </w:r>
      <w:r w:rsidRPr="004B4C37">
        <w:rPr>
          <w:rFonts w:eastAsia="Times New Roman" w:cs="Arial"/>
          <w:kern w:val="0"/>
          <w:lang w:eastAsia="en-GB"/>
          <w14:ligatures w14:val="none"/>
        </w:rPr>
        <w:lastRenderedPageBreak/>
        <w:t xml:space="preserve">GP practice. The vaccination can be arranged at a convenient time and location improving uptake and supporting health and wellbeing. </w:t>
      </w:r>
    </w:p>
    <w:p w14:paraId="5F1E49FD" w14:textId="77777777" w:rsidR="004B4C37" w:rsidRPr="004B4C37" w:rsidRDefault="004B4C37" w:rsidP="00626D0F">
      <w:pPr>
        <w:textAlignment w:val="baseline"/>
        <w:rPr>
          <w:rFonts w:eastAsia="Times New Roman" w:cs="Arial"/>
          <w:b/>
          <w:bCs/>
          <w:kern w:val="0"/>
          <w:lang w:eastAsia="en-GB"/>
          <w14:ligatures w14:val="none"/>
        </w:rPr>
      </w:pPr>
    </w:p>
    <w:p w14:paraId="280958DC" w14:textId="77777777" w:rsidR="004B4C37" w:rsidRPr="004B4C37" w:rsidRDefault="004B4C37" w:rsidP="00626D0F">
      <w:pPr>
        <w:rPr>
          <w:rFonts w:eastAsia="Aptos" w:cs="Arial"/>
        </w:rPr>
      </w:pPr>
      <w:r w:rsidRPr="004B4C37">
        <w:rPr>
          <w:rFonts w:eastAsia="Aptos" w:cs="Arial"/>
          <w:b/>
          <w:bCs/>
        </w:rPr>
        <w:t>7.1.6 Palliative care</w:t>
      </w:r>
    </w:p>
    <w:p w14:paraId="09A2C39F" w14:textId="77777777" w:rsidR="004B4C37" w:rsidRPr="004B4C37" w:rsidRDefault="004B4C37" w:rsidP="00626D0F">
      <w:pPr>
        <w:rPr>
          <w:rFonts w:eastAsia="Aptos" w:cs="Arial"/>
        </w:rPr>
      </w:pPr>
    </w:p>
    <w:p w14:paraId="44375A1E" w14:textId="77777777" w:rsidR="004B4C37" w:rsidRPr="004B4C37" w:rsidRDefault="004B4C37" w:rsidP="00626D0F">
      <w:pPr>
        <w:rPr>
          <w:rFonts w:eastAsia="Aptos" w:cs="Arial"/>
        </w:rPr>
      </w:pPr>
      <w:r w:rsidRPr="004B4C37">
        <w:rPr>
          <w:rFonts w:eastAsia="Aptos" w:cs="Arial"/>
        </w:rPr>
        <w:t xml:space="preserve">The community pharmacy palliative care service provision covers both planned (through the supply of a “just in case” pack) and unscheduled care (through the dispensing of urgent prescriptions for palliative care medications which are held by the commissioned pharmacies – this service is detailed in 7.2). </w:t>
      </w:r>
    </w:p>
    <w:p w14:paraId="1A8902F3" w14:textId="77777777" w:rsidR="004B4C37" w:rsidRPr="004B4C37" w:rsidRDefault="004B4C37" w:rsidP="00626D0F">
      <w:pPr>
        <w:rPr>
          <w:rFonts w:eastAsia="Aptos" w:cs="Arial"/>
        </w:rPr>
      </w:pPr>
    </w:p>
    <w:p w14:paraId="1542D3C9" w14:textId="77777777" w:rsidR="004B4C37" w:rsidRPr="004B4C37" w:rsidRDefault="004B4C37" w:rsidP="00626D0F">
      <w:pPr>
        <w:rPr>
          <w:rFonts w:eastAsia="Aptos" w:cs="Arial"/>
        </w:rPr>
      </w:pPr>
      <w:r w:rsidRPr="004B4C37">
        <w:rPr>
          <w:rFonts w:eastAsia="Aptos" w:cs="Arial"/>
        </w:rPr>
        <w:t xml:space="preserve">“Just in case” packs provide medication that is commonly prescribed for palliative patients </w:t>
      </w:r>
      <w:r w:rsidRPr="004B4C37">
        <w:rPr>
          <w:rFonts w:eastAsia="Times New Roman" w:cs="Arial"/>
          <w:color w:val="000000"/>
          <w:kern w:val="0"/>
          <w:lang w:eastAsia="en-GB"/>
          <w14:ligatures w14:val="none"/>
        </w:rPr>
        <w:t>for whom it is anticipated their medical condition may deteriorate into the terminal phase of illness</w:t>
      </w:r>
      <w:r w:rsidRPr="004B4C37">
        <w:rPr>
          <w:rFonts w:eastAsia="Aptos" w:cs="Arial"/>
        </w:rPr>
        <w:t xml:space="preserve">. This anticipatory prescribing minimises future delays in supply and administration. </w:t>
      </w:r>
    </w:p>
    <w:p w14:paraId="3FC37FA4" w14:textId="77777777" w:rsidR="004B4C37" w:rsidRPr="004B4C37" w:rsidRDefault="004B4C37" w:rsidP="00626D0F">
      <w:pPr>
        <w:rPr>
          <w:rFonts w:eastAsia="Aptos" w:cs="Arial"/>
        </w:rPr>
      </w:pPr>
    </w:p>
    <w:p w14:paraId="4A048434" w14:textId="77777777" w:rsidR="004B4C37" w:rsidRPr="004B4C37" w:rsidRDefault="004B4C37" w:rsidP="00626D0F">
      <w:pPr>
        <w:rPr>
          <w:rFonts w:eastAsia="Aptos" w:cs="Arial"/>
          <w:b/>
          <w:bCs/>
        </w:rPr>
      </w:pPr>
      <w:r w:rsidRPr="004B4C37">
        <w:rPr>
          <w:rFonts w:eastAsia="Aptos" w:cs="Arial"/>
          <w:b/>
          <w:bCs/>
        </w:rPr>
        <w:t>7.1.7 Medicines management in care homes</w:t>
      </w:r>
    </w:p>
    <w:p w14:paraId="2A509FA0" w14:textId="77777777" w:rsidR="004B4C37" w:rsidRPr="004B4C37" w:rsidRDefault="004B4C37" w:rsidP="00626D0F">
      <w:pPr>
        <w:rPr>
          <w:rFonts w:eastAsia="Aptos" w:cs="Arial"/>
        </w:rPr>
      </w:pPr>
    </w:p>
    <w:p w14:paraId="720883B4" w14:textId="77777777" w:rsidR="004B4C37" w:rsidRPr="004B4C37" w:rsidRDefault="004B4C37" w:rsidP="00626D0F">
      <w:pPr>
        <w:rPr>
          <w:rFonts w:eastAsia="Aptos" w:cs="Arial"/>
        </w:rPr>
      </w:pPr>
      <w:r w:rsidRPr="004B4C37">
        <w:rPr>
          <w:rFonts w:eastAsia="Aptos" w:cs="Arial"/>
        </w:rPr>
        <w:t>The medicines management support for care homes additional clinical service has the primary aim of improving patient safety for care home residents. A medicines management audit is undertaken within the care home by a pharmacist or pharmacy technician and is used to provide a systematic review of all medicines management processes in the home. Medicines reconciliation and support with ordering of medication is also provided by the pharmacist or technician.</w:t>
      </w:r>
    </w:p>
    <w:p w14:paraId="4BB194A4" w14:textId="77777777" w:rsidR="004B4C37" w:rsidRPr="004B4C37" w:rsidRDefault="004B4C37" w:rsidP="00626D0F">
      <w:pPr>
        <w:rPr>
          <w:rFonts w:eastAsia="Times New Roman" w:cs="Arial"/>
          <w:color w:val="000000"/>
          <w:kern w:val="0"/>
          <w:lang w:eastAsia="en-GB"/>
          <w14:ligatures w14:val="none"/>
        </w:rPr>
      </w:pPr>
    </w:p>
    <w:p w14:paraId="76A021FB" w14:textId="77777777" w:rsidR="004B4C37" w:rsidRPr="004B4C37" w:rsidRDefault="004B4C37" w:rsidP="00626D0F">
      <w:pPr>
        <w:rPr>
          <w:rFonts w:eastAsia="Aptos" w:cs="Arial"/>
          <w:b/>
          <w:bCs/>
        </w:rPr>
      </w:pPr>
      <w:r w:rsidRPr="004B4C37">
        <w:rPr>
          <w:rFonts w:eastAsia="Aptos" w:cs="Arial"/>
          <w:b/>
          <w:bCs/>
        </w:rPr>
        <w:t>7.1.8 Medicine administration record service</w:t>
      </w:r>
    </w:p>
    <w:p w14:paraId="7844822E" w14:textId="77777777" w:rsidR="004B4C37" w:rsidRPr="004B4C37" w:rsidRDefault="004B4C37" w:rsidP="00626D0F">
      <w:pPr>
        <w:rPr>
          <w:rFonts w:eastAsia="Aptos" w:cs="Arial"/>
        </w:rPr>
      </w:pPr>
    </w:p>
    <w:p w14:paraId="77432368" w14:textId="77777777" w:rsidR="004B4C37" w:rsidRPr="004B4C37" w:rsidRDefault="004B4C37" w:rsidP="00626D0F">
      <w:pPr>
        <w:rPr>
          <w:rFonts w:eastAsia="Aptos" w:cs="Arial"/>
        </w:rPr>
      </w:pPr>
      <w:r w:rsidRPr="004B4C37">
        <w:rPr>
          <w:rFonts w:eastAsia="Aptos" w:cs="Arial"/>
        </w:rPr>
        <w:t>The aim of this service is to support and enable care workers to manage and safely administer medicines to their service users. The community pharmacist, on receipt of a medicines administration record referral form from an appropriate professional, conducts an initial assessment to review the service user’s pharmaceutical requirements. The pharmacy will then provide medicines administration record charts for each medicine prescribed, which is used by care workers to aid safe and effective medicines administration. The community pharmacist provides ongoing support to service users which will include liaison with health and social care professionals to resolve medicines management issues.</w:t>
      </w:r>
    </w:p>
    <w:p w14:paraId="65B240FE" w14:textId="77777777" w:rsidR="004B4C37" w:rsidRPr="004B4C37" w:rsidRDefault="004B4C37" w:rsidP="00626D0F">
      <w:pPr>
        <w:rPr>
          <w:rFonts w:eastAsia="Aptos" w:cs="Arial"/>
        </w:rPr>
      </w:pPr>
    </w:p>
    <w:p w14:paraId="027445FD" w14:textId="77777777" w:rsidR="004B4C37" w:rsidRPr="004B4C37" w:rsidRDefault="004B4C37" w:rsidP="00626D0F">
      <w:pPr>
        <w:rPr>
          <w:rFonts w:eastAsia="Aptos" w:cs="Arial"/>
          <w:b/>
          <w:bCs/>
        </w:rPr>
      </w:pPr>
      <w:r w:rsidRPr="004B4C37">
        <w:rPr>
          <w:rFonts w:eastAsia="Aptos" w:cs="Arial"/>
          <w:b/>
          <w:bCs/>
        </w:rPr>
        <w:t>7.1.10 Tuberculosis service</w:t>
      </w:r>
    </w:p>
    <w:p w14:paraId="41ADBC19" w14:textId="77777777" w:rsidR="004B4C37" w:rsidRPr="004B4C37" w:rsidRDefault="004B4C37" w:rsidP="00626D0F">
      <w:pPr>
        <w:rPr>
          <w:rFonts w:eastAsia="Aptos" w:cs="Arial"/>
        </w:rPr>
      </w:pPr>
    </w:p>
    <w:p w14:paraId="4115E5F9" w14:textId="77777777" w:rsidR="004B4C37" w:rsidRPr="004B4C37" w:rsidRDefault="004B4C37" w:rsidP="00626D0F">
      <w:pPr>
        <w:rPr>
          <w:rFonts w:eastAsia="Aptos" w:cs="Arial"/>
        </w:rPr>
      </w:pPr>
      <w:r w:rsidRPr="004B4C37">
        <w:rPr>
          <w:rFonts w:eastAsia="Aptos" w:cs="Arial"/>
        </w:rPr>
        <w:t>This service requires a pharmacist to supervise the administration of prescribed medicines for the treatment of Tuberculosis at the point of dispensing in the pharmacy. This ensures that the dose has been administered to the patient in accordance with their individual care plan. The aim of the service is to ensure patients are compliant with their Tuberculosis treatment plan.</w:t>
      </w:r>
    </w:p>
    <w:p w14:paraId="0024589A" w14:textId="77777777" w:rsidR="004B4C37" w:rsidRPr="004B4C37" w:rsidRDefault="004B4C37" w:rsidP="00626D0F">
      <w:pPr>
        <w:rPr>
          <w:rFonts w:eastAsia="Aptos" w:cs="Arial"/>
        </w:rPr>
      </w:pPr>
    </w:p>
    <w:p w14:paraId="0D67C8F1" w14:textId="77777777" w:rsidR="004B4C37" w:rsidRPr="004B4C37" w:rsidRDefault="004B4C37" w:rsidP="00626D0F">
      <w:pPr>
        <w:rPr>
          <w:rFonts w:eastAsia="Aptos" w:cs="Arial"/>
          <w:b/>
          <w:bCs/>
          <w:sz w:val="26"/>
          <w:szCs w:val="26"/>
        </w:rPr>
      </w:pPr>
      <w:r w:rsidRPr="004B4C37">
        <w:rPr>
          <w:rFonts w:eastAsia="Aptos" w:cs="Arial"/>
          <w:b/>
          <w:bCs/>
          <w:sz w:val="26"/>
          <w:szCs w:val="26"/>
        </w:rPr>
        <w:t>7.2 Unscheduled care services</w:t>
      </w:r>
    </w:p>
    <w:p w14:paraId="6194737B" w14:textId="77777777" w:rsidR="004B4C37" w:rsidRPr="004B4C37" w:rsidRDefault="004B4C37" w:rsidP="00626D0F">
      <w:pPr>
        <w:rPr>
          <w:rFonts w:eastAsia="Aptos" w:cs="Arial"/>
        </w:rPr>
      </w:pPr>
    </w:p>
    <w:p w14:paraId="171F2B28" w14:textId="77777777" w:rsidR="004B4C37" w:rsidRPr="004B4C37" w:rsidRDefault="004B4C37" w:rsidP="00626D0F">
      <w:pPr>
        <w:rPr>
          <w:rFonts w:eastAsia="Aptos" w:cs="Arial"/>
        </w:rPr>
      </w:pPr>
      <w:r w:rsidRPr="004B4C37">
        <w:rPr>
          <w:rFonts w:eastAsia="Aptos" w:cs="Arial"/>
        </w:rPr>
        <w:t>Unscheduled care services deal with health needs that arise unexpectedly. There are a number of pharmaceutical services that offer support for unscheduled health care needs, some of these also meet the need for self-care as detailed in 7.3. The needs currently being met by unscheduled care service through pharmacies are:</w:t>
      </w:r>
    </w:p>
    <w:p w14:paraId="21C751AF" w14:textId="77777777" w:rsidR="004B4C37" w:rsidRPr="004B4C37" w:rsidRDefault="004B4C37" w:rsidP="00626D0F">
      <w:pPr>
        <w:rPr>
          <w:rFonts w:eastAsia="Aptos" w:cs="Arial"/>
        </w:rPr>
      </w:pPr>
    </w:p>
    <w:p w14:paraId="76956A3B" w14:textId="77777777" w:rsidR="004B4C37" w:rsidRPr="004B4C37" w:rsidRDefault="004B4C37" w:rsidP="00B76905">
      <w:pPr>
        <w:numPr>
          <w:ilvl w:val="0"/>
          <w:numId w:val="138"/>
        </w:numPr>
        <w:ind w:left="714" w:hanging="357"/>
        <w:contextualSpacing/>
        <w:rPr>
          <w:rFonts w:eastAsia="Aptos" w:cs="Arial"/>
        </w:rPr>
      </w:pPr>
      <w:r w:rsidRPr="004B4C37">
        <w:rPr>
          <w:rFonts w:eastAsia="Aptos" w:cs="Arial"/>
        </w:rPr>
        <w:t>emergency contraception,</w:t>
      </w:r>
    </w:p>
    <w:p w14:paraId="5D195A75" w14:textId="77777777" w:rsidR="004B4C37" w:rsidRPr="004B4C37" w:rsidRDefault="004B4C37" w:rsidP="00B76905">
      <w:pPr>
        <w:numPr>
          <w:ilvl w:val="0"/>
          <w:numId w:val="138"/>
        </w:numPr>
        <w:ind w:left="714" w:hanging="357"/>
        <w:contextualSpacing/>
        <w:rPr>
          <w:rFonts w:eastAsia="Aptos" w:cs="Arial"/>
        </w:rPr>
      </w:pPr>
      <w:r w:rsidRPr="004B4C37">
        <w:rPr>
          <w:rFonts w:eastAsia="Aptos" w:cs="Arial"/>
        </w:rPr>
        <w:t>support for self-care which includes the common ailment service,</w:t>
      </w:r>
    </w:p>
    <w:p w14:paraId="30B0329D" w14:textId="77777777" w:rsidR="004B4C37" w:rsidRPr="004B4C37" w:rsidRDefault="004B4C37" w:rsidP="00B76905">
      <w:pPr>
        <w:numPr>
          <w:ilvl w:val="0"/>
          <w:numId w:val="138"/>
        </w:numPr>
        <w:ind w:left="714" w:hanging="357"/>
        <w:contextualSpacing/>
        <w:rPr>
          <w:rFonts w:eastAsia="Aptos" w:cs="Arial"/>
        </w:rPr>
      </w:pPr>
      <w:r w:rsidRPr="004B4C37">
        <w:rPr>
          <w:rFonts w:eastAsia="Aptos" w:cs="Arial"/>
        </w:rPr>
        <w:t>emergency medication supply,</w:t>
      </w:r>
    </w:p>
    <w:p w14:paraId="72929164" w14:textId="77777777" w:rsidR="004B4C37" w:rsidRPr="004B4C37" w:rsidRDefault="004B4C37" w:rsidP="00B76905">
      <w:pPr>
        <w:numPr>
          <w:ilvl w:val="0"/>
          <w:numId w:val="138"/>
        </w:numPr>
        <w:ind w:left="714" w:hanging="357"/>
        <w:contextualSpacing/>
        <w:rPr>
          <w:rFonts w:eastAsia="Aptos" w:cs="Arial"/>
        </w:rPr>
      </w:pPr>
      <w:r w:rsidRPr="004B4C37">
        <w:rPr>
          <w:rFonts w:eastAsia="Aptos" w:cs="Arial"/>
        </w:rPr>
        <w:t>the rota service,</w:t>
      </w:r>
    </w:p>
    <w:p w14:paraId="7BE099CB" w14:textId="77777777" w:rsidR="004B4C37" w:rsidRPr="004B4C37" w:rsidRDefault="004B4C37" w:rsidP="00B76905">
      <w:pPr>
        <w:numPr>
          <w:ilvl w:val="0"/>
          <w:numId w:val="138"/>
        </w:numPr>
        <w:ind w:left="714" w:hanging="357"/>
        <w:contextualSpacing/>
        <w:rPr>
          <w:rFonts w:eastAsia="Aptos" w:cs="Arial"/>
        </w:rPr>
      </w:pPr>
      <w:r w:rsidRPr="004B4C37">
        <w:rPr>
          <w:rFonts w:eastAsia="Aptos" w:cs="Arial"/>
        </w:rPr>
        <w:t>independent prescribing for acute conditions, and</w:t>
      </w:r>
    </w:p>
    <w:p w14:paraId="7278F34F" w14:textId="77777777" w:rsidR="004B4C37" w:rsidRPr="004B4C37" w:rsidRDefault="004B4C37" w:rsidP="00B76905">
      <w:pPr>
        <w:numPr>
          <w:ilvl w:val="0"/>
          <w:numId w:val="138"/>
        </w:numPr>
        <w:ind w:left="714" w:hanging="357"/>
        <w:contextualSpacing/>
        <w:rPr>
          <w:rFonts w:eastAsia="Aptos" w:cs="Arial"/>
        </w:rPr>
      </w:pPr>
      <w:r w:rsidRPr="004B4C37">
        <w:rPr>
          <w:rFonts w:eastAsia="Aptos" w:cs="Arial"/>
        </w:rPr>
        <w:t>palliative care medication service.</w:t>
      </w:r>
    </w:p>
    <w:p w14:paraId="35F49589" w14:textId="77777777" w:rsidR="00F3234A" w:rsidRPr="004B4C37" w:rsidRDefault="00F3234A" w:rsidP="00626D0F">
      <w:pPr>
        <w:rPr>
          <w:rFonts w:eastAsia="Aptos" w:cs="Arial"/>
        </w:rPr>
      </w:pPr>
    </w:p>
    <w:p w14:paraId="1ACA4A84" w14:textId="77777777" w:rsidR="004B4C37" w:rsidRPr="004B4C37" w:rsidRDefault="004B4C37" w:rsidP="00626D0F">
      <w:pPr>
        <w:rPr>
          <w:rFonts w:eastAsia="Aptos" w:cs="Arial"/>
          <w:b/>
          <w:bCs/>
        </w:rPr>
      </w:pPr>
      <w:r w:rsidRPr="004B4C37">
        <w:rPr>
          <w:rFonts w:eastAsia="Aptos" w:cs="Arial"/>
          <w:b/>
          <w:bCs/>
        </w:rPr>
        <w:t>7.2.1 Sexual health and teenage pregnancy</w:t>
      </w:r>
    </w:p>
    <w:p w14:paraId="5D995D34" w14:textId="77777777" w:rsidR="004B4C37" w:rsidRPr="004B4C37" w:rsidRDefault="004B4C37" w:rsidP="00626D0F">
      <w:pPr>
        <w:rPr>
          <w:rFonts w:eastAsia="Aptos" w:cs="Arial"/>
        </w:rPr>
      </w:pPr>
    </w:p>
    <w:p w14:paraId="5F997705" w14:textId="77777777" w:rsidR="004B4C37" w:rsidRPr="004B4C37" w:rsidRDefault="004B4C37" w:rsidP="00626D0F">
      <w:pPr>
        <w:rPr>
          <w:rFonts w:eastAsia="Aptos" w:cs="Arial"/>
        </w:rPr>
      </w:pPr>
      <w:r w:rsidRPr="004B4C37">
        <w:rPr>
          <w:rFonts w:eastAsia="Aptos" w:cs="Arial"/>
        </w:rPr>
        <w:t>Community pharmacies are provided with emergency contraception business sized cards to hand to patients or encourage them to self-select. These provide details of which pharmacies offer the service and details of sexual health clinics. These cards use QR codes to allow discreet access to information about emergency contraception. There are also QR boards displayed in each pharmacy. These provide access to information on a range of services through a smart phone or device with one of the QR codes linking to sexual health services and information within the health board’s area.</w:t>
      </w:r>
    </w:p>
    <w:p w14:paraId="1D77E092" w14:textId="77777777" w:rsidR="004B4C37" w:rsidRPr="004B4C37" w:rsidRDefault="004B4C37" w:rsidP="00626D0F">
      <w:pPr>
        <w:rPr>
          <w:rFonts w:eastAsia="Aptos" w:cs="Arial"/>
        </w:rPr>
      </w:pPr>
    </w:p>
    <w:p w14:paraId="1AEF0E25" w14:textId="77777777" w:rsidR="004B4C37" w:rsidRPr="004B4C37" w:rsidRDefault="004B4C37" w:rsidP="00626D0F">
      <w:pPr>
        <w:rPr>
          <w:rFonts w:eastAsia="Times New Roman" w:cs="Arial"/>
          <w:kern w:val="0"/>
          <w:lang w:eastAsia="en-GB"/>
          <w14:ligatures w14:val="none"/>
        </w:rPr>
      </w:pPr>
      <w:r w:rsidRPr="004B4C37">
        <w:rPr>
          <w:rFonts w:eastAsia="Times New Roman" w:cs="Arial"/>
          <w:kern w:val="0"/>
          <w:lang w:eastAsia="en-GB"/>
          <w14:ligatures w14:val="none"/>
        </w:rPr>
        <w:t>Alongside the clinical community pharmacy service, which includes an emergency, Bridging and QuickStart contraception service, there are elements of essential service provision which will help address this health need:</w:t>
      </w:r>
    </w:p>
    <w:p w14:paraId="5FFE5165" w14:textId="77777777" w:rsidR="004B4C37" w:rsidRPr="004B4C37" w:rsidRDefault="004B4C37" w:rsidP="00626D0F">
      <w:pPr>
        <w:rPr>
          <w:rFonts w:eastAsia="Times New Roman" w:cs="Arial"/>
          <w:kern w:val="0"/>
          <w:lang w:eastAsia="en-GB"/>
          <w14:ligatures w14:val="none"/>
        </w:rPr>
      </w:pPr>
    </w:p>
    <w:p w14:paraId="3A85731F" w14:textId="77777777" w:rsidR="004B4C37" w:rsidRPr="004B4C37" w:rsidRDefault="004B4C37" w:rsidP="00B76905">
      <w:pPr>
        <w:numPr>
          <w:ilvl w:val="0"/>
          <w:numId w:val="139"/>
        </w:numPr>
        <w:ind w:left="709" w:hanging="352"/>
        <w:contextualSpacing/>
        <w:rPr>
          <w:rFonts w:eastAsia="Calibri" w:cs="Arial"/>
          <w:kern w:val="0"/>
          <w14:ligatures w14:val="none"/>
        </w:rPr>
      </w:pPr>
      <w:r w:rsidRPr="004B4C37">
        <w:rPr>
          <w:rFonts w:eastAsia="Calibri" w:cs="Arial"/>
          <w:kern w:val="0"/>
          <w14:ligatures w14:val="none"/>
        </w:rPr>
        <w:t>Pharmacies are required to participate in up to four public health campaigns each calendar year by promoting public health messages to users. The topics for these campaigns are selected by the health board and could include sexually transmitted infections and human immunodeficiency virus.</w:t>
      </w:r>
    </w:p>
    <w:p w14:paraId="2C9E4787" w14:textId="77777777" w:rsidR="004B4C37" w:rsidRPr="004B4C37" w:rsidRDefault="004B4C37" w:rsidP="00B76905">
      <w:pPr>
        <w:numPr>
          <w:ilvl w:val="0"/>
          <w:numId w:val="139"/>
        </w:numPr>
        <w:ind w:left="709" w:hanging="352"/>
        <w:contextualSpacing/>
        <w:rPr>
          <w:rFonts w:eastAsia="Calibri" w:cs="Arial"/>
          <w:kern w:val="0"/>
          <w14:ligatures w14:val="none"/>
        </w:rPr>
      </w:pPr>
      <w:r w:rsidRPr="004B4C37">
        <w:rPr>
          <w:rFonts w:eastAsia="Calibri" w:cs="Arial"/>
          <w:kern w:val="0"/>
          <w14:ligatures w14:val="none"/>
        </w:rPr>
        <w:t>Where the pharmacy does not provide the clinical community pharmacy service, signposting people using the pharmacy to other providers of sexual health services, including sexually transmitted infections screening kits.</w:t>
      </w:r>
    </w:p>
    <w:p w14:paraId="4F2AC2A9" w14:textId="77777777" w:rsidR="004B4C37" w:rsidRPr="004B4C37" w:rsidRDefault="004B4C37" w:rsidP="00B76905">
      <w:pPr>
        <w:numPr>
          <w:ilvl w:val="0"/>
          <w:numId w:val="139"/>
        </w:numPr>
        <w:ind w:left="709" w:hanging="352"/>
        <w:contextualSpacing/>
        <w:rPr>
          <w:rFonts w:eastAsia="Calibri" w:cs="Arial"/>
          <w:kern w:val="0"/>
          <w14:ligatures w14:val="none"/>
        </w:rPr>
      </w:pPr>
      <w:r w:rsidRPr="004B4C37">
        <w:rPr>
          <w:rFonts w:eastAsia="Calibri" w:cs="Arial"/>
          <w:kern w:val="0"/>
          <w14:ligatures w14:val="none"/>
        </w:rPr>
        <w:t>Providing healthy living advice during consultations and engagement with people attending the pharmacy.</w:t>
      </w:r>
    </w:p>
    <w:p w14:paraId="367AA536" w14:textId="77777777" w:rsidR="004B4C37" w:rsidRPr="004B4C37" w:rsidRDefault="004B4C37" w:rsidP="00626D0F">
      <w:pPr>
        <w:ind w:left="360"/>
        <w:rPr>
          <w:rFonts w:eastAsia="Times New Roman" w:cs="Arial"/>
          <w:kern w:val="0"/>
          <w:lang w:eastAsia="en-GB"/>
          <w14:ligatures w14:val="none"/>
        </w:rPr>
      </w:pPr>
    </w:p>
    <w:p w14:paraId="1A20DDF7" w14:textId="77777777" w:rsidR="004B4C37" w:rsidRPr="004B4C37" w:rsidRDefault="004B4C37" w:rsidP="00626D0F">
      <w:pPr>
        <w:rPr>
          <w:rFonts w:eastAsia="Aptos" w:cs="Arial"/>
          <w:b/>
          <w:bCs/>
        </w:rPr>
      </w:pPr>
      <w:r w:rsidRPr="004B4C37">
        <w:rPr>
          <w:rFonts w:eastAsia="Aptos" w:cs="Arial"/>
          <w:b/>
          <w:bCs/>
        </w:rPr>
        <w:t>7.2.2 Out of hours rota</w:t>
      </w:r>
    </w:p>
    <w:p w14:paraId="79EFFBEF" w14:textId="77777777" w:rsidR="004B4C37" w:rsidRPr="004B4C37" w:rsidRDefault="004B4C37" w:rsidP="00626D0F">
      <w:pPr>
        <w:rPr>
          <w:rFonts w:eastAsia="Aptos" w:cs="Arial"/>
        </w:rPr>
      </w:pPr>
    </w:p>
    <w:p w14:paraId="06A0EA4D" w14:textId="77777777" w:rsidR="004B4C37" w:rsidRPr="004B4C37" w:rsidRDefault="004B4C37" w:rsidP="00626D0F">
      <w:pPr>
        <w:rPr>
          <w:rFonts w:eastAsia="Aptos" w:cs="Arial"/>
        </w:rPr>
      </w:pPr>
      <w:r w:rsidRPr="004B4C37">
        <w:rPr>
          <w:rFonts w:eastAsia="Aptos" w:cs="Arial"/>
        </w:rPr>
        <w:t xml:space="preserve">The aim of the service is to provide a robust dispensing service during the rota operating times, namely during weekends, evenings, and public and bank holidays. Advice from the pharmacist on duty and provision of over the counter medications are also available during the rota hours. The service is designed to ensure patients have access to medicines and advice during the out of hours period. </w:t>
      </w:r>
    </w:p>
    <w:p w14:paraId="664943CB" w14:textId="77777777" w:rsidR="004B4C37" w:rsidRPr="004B4C37" w:rsidRDefault="004B4C37" w:rsidP="00626D0F">
      <w:pPr>
        <w:rPr>
          <w:rFonts w:eastAsia="Aptos" w:cs="Arial"/>
        </w:rPr>
      </w:pPr>
    </w:p>
    <w:p w14:paraId="23BAA8F3" w14:textId="77777777" w:rsidR="004B4C37" w:rsidRPr="004B4C37" w:rsidRDefault="004B4C37" w:rsidP="00626D0F">
      <w:pPr>
        <w:rPr>
          <w:rFonts w:eastAsia="Aptos" w:cs="Arial"/>
          <w:b/>
          <w:bCs/>
        </w:rPr>
      </w:pPr>
      <w:r w:rsidRPr="004B4C37">
        <w:rPr>
          <w:rFonts w:eastAsia="Aptos" w:cs="Arial"/>
          <w:b/>
          <w:bCs/>
        </w:rPr>
        <w:t>7.2.3 Palliative care medication service</w:t>
      </w:r>
    </w:p>
    <w:p w14:paraId="4AF042D3" w14:textId="77777777" w:rsidR="004B4C37" w:rsidRPr="004B4C37" w:rsidRDefault="004B4C37" w:rsidP="00626D0F">
      <w:pPr>
        <w:rPr>
          <w:rFonts w:eastAsia="Aptos" w:cs="Arial"/>
        </w:rPr>
      </w:pPr>
    </w:p>
    <w:p w14:paraId="7E407C9A" w14:textId="77777777" w:rsidR="004B4C37" w:rsidRPr="004B4C37" w:rsidRDefault="004B4C37" w:rsidP="00626D0F">
      <w:pPr>
        <w:rPr>
          <w:rFonts w:eastAsia="Aptos" w:cs="Arial"/>
        </w:rPr>
      </w:pPr>
      <w:r w:rsidRPr="004B4C37">
        <w:rPr>
          <w:rFonts w:eastAsia="Aptos" w:cs="Arial"/>
        </w:rPr>
        <w:t xml:space="preserve">In addition to the “just in case” pack service, the health board commissions a palliative care medication service from a number of pharmacies during their normal opening hours. Each locality has between two and six pharmacies providing the service (depending on the size of the locality), to ensure the service is accessible across the health board’s area. Pharmacies are selected based on location and opening hours and are required to hold a stock of medication that is often used in palliative care. The service provides assurances that specific medication will be </w:t>
      </w:r>
      <w:r w:rsidRPr="004B4C37">
        <w:rPr>
          <w:rFonts w:eastAsia="Aptos" w:cs="Arial"/>
        </w:rPr>
        <w:lastRenderedPageBreak/>
        <w:t>accessible via a standard prescription written by an appropriate clinician, where it is often needed urgently.</w:t>
      </w:r>
    </w:p>
    <w:p w14:paraId="0AF92BFD" w14:textId="77777777" w:rsidR="004B4C37" w:rsidRPr="004B4C37" w:rsidRDefault="004B4C37" w:rsidP="00626D0F">
      <w:pPr>
        <w:rPr>
          <w:rFonts w:eastAsia="Aptos" w:cs="Arial"/>
        </w:rPr>
      </w:pPr>
    </w:p>
    <w:p w14:paraId="14194F1F" w14:textId="77777777" w:rsidR="004B4C37" w:rsidRPr="004B4C37" w:rsidRDefault="004B4C37" w:rsidP="00626D0F">
      <w:pPr>
        <w:rPr>
          <w:rFonts w:eastAsia="Aptos" w:cs="Arial"/>
          <w:b/>
          <w:bCs/>
        </w:rPr>
      </w:pPr>
      <w:r w:rsidRPr="004B4C37">
        <w:rPr>
          <w:rFonts w:eastAsia="Aptos" w:cs="Arial"/>
          <w:b/>
          <w:bCs/>
        </w:rPr>
        <w:t>7.2.4 Low molecular weight heparin supply service</w:t>
      </w:r>
    </w:p>
    <w:p w14:paraId="29FD134F" w14:textId="77777777" w:rsidR="004B4C37" w:rsidRPr="004B4C37" w:rsidRDefault="004B4C37" w:rsidP="00626D0F">
      <w:pPr>
        <w:rPr>
          <w:rFonts w:eastAsia="Aptos" w:cs="Arial"/>
        </w:rPr>
      </w:pPr>
    </w:p>
    <w:p w14:paraId="6CDA7645" w14:textId="77777777" w:rsidR="004B4C37" w:rsidRPr="004B4C37" w:rsidRDefault="004B4C37" w:rsidP="00626D0F">
      <w:pPr>
        <w:rPr>
          <w:rFonts w:eastAsia="Aptos" w:cs="Arial"/>
        </w:rPr>
      </w:pPr>
      <w:r w:rsidRPr="004B4C37">
        <w:rPr>
          <w:rFonts w:eastAsia="Aptos" w:cs="Arial"/>
        </w:rPr>
        <w:t>The service aims to improve urgent access to low molecular weight heparin for patients receiving anticoagulants for mechanical heart valve replacements in primary care where a sub-therapeutic international normalized ratio is identified during routine monitoring at their GP practice. Pharmacies are remunerated to hold a specified list of strengths of Enoxaparin and will dispense them in response to NHS prescriptions presented to them.</w:t>
      </w:r>
    </w:p>
    <w:p w14:paraId="13F8143A" w14:textId="77777777" w:rsidR="004B4C37" w:rsidRPr="004B4C37" w:rsidRDefault="004B4C37" w:rsidP="00626D0F">
      <w:pPr>
        <w:rPr>
          <w:rFonts w:eastAsia="Aptos" w:cs="Arial"/>
        </w:rPr>
      </w:pPr>
    </w:p>
    <w:p w14:paraId="2F2CC2EC" w14:textId="77777777" w:rsidR="004B4C37" w:rsidRPr="004B4C37" w:rsidRDefault="004B4C37" w:rsidP="00626D0F">
      <w:pPr>
        <w:rPr>
          <w:rFonts w:eastAsia="Aptos" w:cs="Arial"/>
          <w:b/>
          <w:bCs/>
          <w:sz w:val="26"/>
          <w:szCs w:val="26"/>
        </w:rPr>
      </w:pPr>
      <w:r w:rsidRPr="004B4C37">
        <w:rPr>
          <w:rFonts w:eastAsia="Aptos" w:cs="Arial"/>
          <w:b/>
          <w:bCs/>
          <w:sz w:val="26"/>
          <w:szCs w:val="26"/>
        </w:rPr>
        <w:t>7.3 Support for self-care</w:t>
      </w:r>
    </w:p>
    <w:p w14:paraId="633EA702" w14:textId="77777777" w:rsidR="004B4C37" w:rsidRPr="004B4C37" w:rsidRDefault="004B4C37" w:rsidP="00626D0F">
      <w:pPr>
        <w:rPr>
          <w:rFonts w:eastAsia="Aptos" w:cs="Arial"/>
        </w:rPr>
      </w:pPr>
    </w:p>
    <w:p w14:paraId="7599D84E" w14:textId="77777777" w:rsidR="004B4C37" w:rsidRPr="004B4C37" w:rsidRDefault="004B4C37" w:rsidP="00626D0F">
      <w:pPr>
        <w:rPr>
          <w:rFonts w:eastAsia="Aptos" w:cs="Arial"/>
        </w:rPr>
      </w:pPr>
      <w:r w:rsidRPr="004B4C37">
        <w:rPr>
          <w:rFonts w:eastAsia="Aptos" w:cs="Arial"/>
        </w:rPr>
        <w:t xml:space="preserve">Support for self-care is an essential service. As part of their essential services pharmacies must provide advice on self-care to patients in terms of treatment options and lifestyle changes. </w:t>
      </w:r>
    </w:p>
    <w:p w14:paraId="2A0C2DB6" w14:textId="77777777" w:rsidR="004B4C37" w:rsidRPr="004B4C37" w:rsidRDefault="004B4C37" w:rsidP="00626D0F">
      <w:pPr>
        <w:rPr>
          <w:rFonts w:eastAsia="Aptos" w:cs="Arial"/>
        </w:rPr>
      </w:pPr>
    </w:p>
    <w:p w14:paraId="30425EE2" w14:textId="77777777" w:rsidR="004B4C37" w:rsidRPr="004B4C37" w:rsidRDefault="004B4C37" w:rsidP="00626D0F">
      <w:pPr>
        <w:rPr>
          <w:rFonts w:eastAsia="Aptos" w:cs="Arial"/>
          <w:b/>
          <w:bCs/>
        </w:rPr>
      </w:pPr>
      <w:r w:rsidRPr="004B4C37">
        <w:rPr>
          <w:rFonts w:eastAsia="Aptos" w:cs="Arial"/>
          <w:b/>
          <w:bCs/>
        </w:rPr>
        <w:t>7.3.1 Emergency medicines supply service</w:t>
      </w:r>
    </w:p>
    <w:p w14:paraId="7D3ECDAE" w14:textId="77777777" w:rsidR="004B4C37" w:rsidRPr="004B4C37" w:rsidRDefault="004B4C37" w:rsidP="00626D0F">
      <w:pPr>
        <w:rPr>
          <w:rFonts w:eastAsia="Aptos" w:cs="Arial"/>
        </w:rPr>
      </w:pPr>
    </w:p>
    <w:p w14:paraId="6D657449" w14:textId="77777777" w:rsidR="004B4C37" w:rsidRPr="004B4C37" w:rsidRDefault="004B4C37" w:rsidP="00626D0F">
      <w:pPr>
        <w:rPr>
          <w:rFonts w:eastAsia="Aptos" w:cs="Arial"/>
        </w:rPr>
      </w:pPr>
      <w:r w:rsidRPr="004B4C37">
        <w:rPr>
          <w:rFonts w:eastAsia="Aptos" w:cs="Arial"/>
        </w:rPr>
        <w:t>The emergency medication supply service is part of the clinical community pharmacy service and provides the supply of urgently required previously prescribed medication to an individual where they are unable to obtain a prescription before they need to take their next dose. This service supports individuals who are on holiday and have forgotten their medication or patients who run out of medication, and it is not practicable for the individual to obtain the previously prescribed medicines in a clinically appropriate timeframe via the usual route.</w:t>
      </w:r>
    </w:p>
    <w:p w14:paraId="682AF9E5" w14:textId="77777777" w:rsidR="004B4C37" w:rsidRPr="004B4C37" w:rsidRDefault="004B4C37" w:rsidP="00626D0F">
      <w:pPr>
        <w:rPr>
          <w:rFonts w:eastAsia="Aptos" w:cs="Arial"/>
          <w:b/>
          <w:bCs/>
        </w:rPr>
      </w:pPr>
    </w:p>
    <w:p w14:paraId="53C1BD40" w14:textId="0418A9A0" w:rsidR="004B4C37" w:rsidRPr="004B4C37" w:rsidRDefault="004B4C37" w:rsidP="00626D0F">
      <w:pPr>
        <w:shd w:val="clear" w:color="auto" w:fill="FFFFFF"/>
        <w:rPr>
          <w:rFonts w:eastAsia="Aptos" w:cs="Arial"/>
          <w:b/>
          <w:bCs/>
        </w:rPr>
      </w:pPr>
      <w:r w:rsidRPr="004B4C37">
        <w:rPr>
          <w:rFonts w:eastAsia="Aptos" w:cs="Arial"/>
          <w:b/>
          <w:bCs/>
        </w:rPr>
        <w:t>7.3.2 Pharmac</w:t>
      </w:r>
      <w:r w:rsidR="00626D0F" w:rsidRPr="00D0306F">
        <w:rPr>
          <w:rFonts w:eastAsia="Aptos" w:cs="Arial"/>
          <w:b/>
          <w:bCs/>
        </w:rPr>
        <w:t>ist</w:t>
      </w:r>
      <w:r w:rsidRPr="004B4C37">
        <w:rPr>
          <w:rFonts w:eastAsia="Aptos" w:cs="Arial"/>
          <w:b/>
          <w:bCs/>
        </w:rPr>
        <w:t xml:space="preserve"> independent prescribing service </w:t>
      </w:r>
    </w:p>
    <w:p w14:paraId="4A863224" w14:textId="77777777" w:rsidR="004B4C37" w:rsidRPr="004B4C37" w:rsidRDefault="004B4C37" w:rsidP="00626D0F">
      <w:pPr>
        <w:rPr>
          <w:rFonts w:eastAsia="Aptos" w:cs="Arial"/>
        </w:rPr>
      </w:pPr>
    </w:p>
    <w:p w14:paraId="193E6C84" w14:textId="77777777" w:rsidR="004B4C37" w:rsidRPr="004B4C37" w:rsidRDefault="004B4C37" w:rsidP="00626D0F">
      <w:pPr>
        <w:rPr>
          <w:rFonts w:eastAsia="Calibri" w:cs="Arial"/>
          <w:kern w:val="0"/>
          <w14:ligatures w14:val="none"/>
        </w:rPr>
      </w:pPr>
      <w:r w:rsidRPr="004B4C37">
        <w:rPr>
          <w:rFonts w:eastAsia="Calibri" w:cs="Arial"/>
          <w:kern w:val="0"/>
          <w14:ligatures w14:val="none"/>
        </w:rPr>
        <w:t>Pharmacist independent prescribers may prescribe any licensed medicine for any medical condition, within their therapeutic area of competence.</w:t>
      </w:r>
      <w:r w:rsidRPr="004B4C37">
        <w:rPr>
          <w:rFonts w:eastAsia="Aptos" w:cs="Arial"/>
        </w:rPr>
        <w:t xml:space="preserve"> </w:t>
      </w:r>
      <w:r w:rsidRPr="004B4C37">
        <w:rPr>
          <w:rFonts w:eastAsia="Calibri" w:cs="Arial"/>
          <w:kern w:val="0"/>
          <w14:ligatures w14:val="none"/>
        </w:rPr>
        <w:t>This currently excludes three controlled drugs for the treatment of addiction. The Welsh Pharmaceutical Committee plan ‘Pharmacy: Delivering a Healthier Wales (2019)’</w:t>
      </w:r>
      <w:r w:rsidRPr="004B4C37">
        <w:rPr>
          <w:rFonts w:eastAsia="Calibri" w:cs="Arial"/>
          <w:kern w:val="0"/>
          <w:vertAlign w:val="superscript"/>
          <w14:ligatures w14:val="none"/>
        </w:rPr>
        <w:footnoteReference w:id="224"/>
      </w:r>
      <w:r w:rsidRPr="004B4C37">
        <w:rPr>
          <w:rFonts w:eastAsia="Calibri" w:cs="Arial"/>
          <w:kern w:val="0"/>
          <w14:ligatures w14:val="none"/>
        </w:rPr>
        <w:t>, sets the goal that by 2030, there will be an independent prescriber in every community pharmacy and an increased focus on prevention and early detection of illness.</w:t>
      </w:r>
    </w:p>
    <w:p w14:paraId="0AD5CAD7" w14:textId="77777777" w:rsidR="004B4C37" w:rsidRPr="004B4C37" w:rsidRDefault="004B4C37" w:rsidP="00626D0F">
      <w:pPr>
        <w:rPr>
          <w:rFonts w:eastAsia="Calibri" w:cs="Arial"/>
          <w:kern w:val="0"/>
          <w14:ligatures w14:val="none"/>
        </w:rPr>
      </w:pPr>
    </w:p>
    <w:p w14:paraId="46D34723" w14:textId="1C912F3B" w:rsidR="004B4C37" w:rsidRPr="004B4C37" w:rsidRDefault="004B4C37" w:rsidP="00626D0F">
      <w:pPr>
        <w:contextualSpacing/>
        <w:rPr>
          <w:rFonts w:eastAsia="Aptos" w:cs="Arial"/>
          <w:kern w:val="0"/>
          <w14:ligatures w14:val="none"/>
        </w:rPr>
      </w:pPr>
      <w:r w:rsidRPr="004B4C37">
        <w:rPr>
          <w:rFonts w:eastAsia="Aptos" w:cs="Arial"/>
        </w:rPr>
        <w:t>The pharmac</w:t>
      </w:r>
      <w:r w:rsidR="00626D0F" w:rsidRPr="00D0306F">
        <w:rPr>
          <w:rFonts w:eastAsia="Aptos" w:cs="Arial"/>
        </w:rPr>
        <w:t>ist</w:t>
      </w:r>
      <w:r w:rsidRPr="004B4C37">
        <w:rPr>
          <w:rFonts w:eastAsia="Aptos" w:cs="Arial"/>
        </w:rPr>
        <w:t xml:space="preserve"> independent prescribing service differs from the common ailments service under the clinical community pharmacy service in that appropriately trained pharmacists are required to prescribe medications for NHS supply where appropriate, often replacing the need for a GP appointment. Unlike the common ailments service, which typically focuses on minor health issues and supplies over-the-counter treatments, the independent prescribing service empowers pharmacists to manage a wider range of conditions independently. This advanced role supports patients with timely access to healthcare, reducing pressure on general practice and enhancing the provision of care within the community.</w:t>
      </w:r>
    </w:p>
    <w:p w14:paraId="325CE9ED" w14:textId="77777777" w:rsidR="004B4C37" w:rsidRPr="004B4C37" w:rsidRDefault="004B4C37" w:rsidP="00626D0F">
      <w:pPr>
        <w:rPr>
          <w:rFonts w:eastAsia="Calibri" w:cs="Arial"/>
          <w:kern w:val="0"/>
          <w14:ligatures w14:val="none"/>
        </w:rPr>
      </w:pPr>
    </w:p>
    <w:p w14:paraId="3186E544" w14:textId="7838F54F" w:rsidR="004B4C37" w:rsidRPr="004B4C37" w:rsidRDefault="004B4C37" w:rsidP="00626D0F">
      <w:pPr>
        <w:rPr>
          <w:rFonts w:eastAsia="Times New Roman" w:cs="Arial"/>
          <w:kern w:val="0"/>
          <w:lang w:eastAsia="en-GB"/>
          <w14:ligatures w14:val="none"/>
        </w:rPr>
      </w:pPr>
      <w:r w:rsidRPr="004B4C37">
        <w:rPr>
          <w:rFonts w:eastAsia="Times New Roman" w:cs="Arial"/>
          <w:kern w:val="0"/>
          <w:lang w:eastAsia="en-GB"/>
          <w14:ligatures w14:val="none"/>
        </w:rPr>
        <w:lastRenderedPageBreak/>
        <w:t>Any pharmacy contractor wishing to provide the pharmac</w:t>
      </w:r>
      <w:r w:rsidR="009162B8">
        <w:rPr>
          <w:rFonts w:eastAsia="Times New Roman" w:cs="Arial"/>
          <w:kern w:val="0"/>
          <w:lang w:eastAsia="en-GB"/>
          <w14:ligatures w14:val="none"/>
        </w:rPr>
        <w:t>ist</w:t>
      </w:r>
      <w:r w:rsidRPr="004B4C37">
        <w:rPr>
          <w:rFonts w:eastAsia="Times New Roman" w:cs="Arial"/>
          <w:kern w:val="0"/>
          <w:lang w:eastAsia="en-GB"/>
          <w14:ligatures w14:val="none"/>
        </w:rPr>
        <w:t xml:space="preserve"> independent prescribing service must also provide the clinical community pharmacy service which includes three elements; common aliments service, emergency, Bridging and QuickStart contraception service and emergency medicine supply service.</w:t>
      </w:r>
    </w:p>
    <w:p w14:paraId="6BF3FBAB" w14:textId="77777777" w:rsidR="00F3234A" w:rsidRPr="004B4C37" w:rsidRDefault="00F3234A" w:rsidP="00626D0F">
      <w:pPr>
        <w:rPr>
          <w:rFonts w:eastAsia="Aptos" w:cs="Arial"/>
        </w:rPr>
      </w:pPr>
    </w:p>
    <w:p w14:paraId="32253E9C" w14:textId="77777777" w:rsidR="004B4C37" w:rsidRPr="004B4C37" w:rsidRDefault="004B4C37" w:rsidP="00626D0F">
      <w:pPr>
        <w:rPr>
          <w:rFonts w:eastAsia="Aptos" w:cs="Arial"/>
          <w:b/>
          <w:bCs/>
          <w:sz w:val="26"/>
          <w:szCs w:val="26"/>
        </w:rPr>
      </w:pPr>
      <w:r w:rsidRPr="004B4C37">
        <w:rPr>
          <w:rFonts w:eastAsia="Aptos" w:cs="Arial"/>
          <w:b/>
          <w:bCs/>
          <w:sz w:val="26"/>
          <w:szCs w:val="26"/>
        </w:rPr>
        <w:t>7.4 Health promotion</w:t>
      </w:r>
    </w:p>
    <w:p w14:paraId="59DFB9FE" w14:textId="77777777" w:rsidR="004B4C37" w:rsidRPr="004B4C37" w:rsidRDefault="004B4C37" w:rsidP="00626D0F">
      <w:pPr>
        <w:rPr>
          <w:rFonts w:eastAsia="Aptos" w:cs="Arial"/>
        </w:rPr>
      </w:pPr>
    </w:p>
    <w:p w14:paraId="76EF1E83" w14:textId="77777777" w:rsidR="004B4C37" w:rsidRPr="004B4C37" w:rsidRDefault="004B4C37" w:rsidP="00626D0F">
      <w:pPr>
        <w:rPr>
          <w:rFonts w:eastAsia="Aptos" w:cs="Arial"/>
        </w:rPr>
      </w:pPr>
      <w:r w:rsidRPr="004B4C37">
        <w:rPr>
          <w:rFonts w:eastAsia="Aptos" w:cs="Arial"/>
        </w:rPr>
        <w:t>Under the pharmaceutical services contractual framework community pharmacies must participate in health promotion campaigns which can be tailored to include many of the above health needs. They must ensure that patients are effectively signposted to relevant services. The health board has developed QR health information boards which are available in those community pharmacies that have agreed to display them, and information which can be accessed via mobile devices. The information behind each QR code can be updated virtually meaning that no information goes out of date and new information can be added as required. The QR boards include health related information, such as links to alcohol and substance misuse services, NHS weight management information and advice on living well. The boards also include links for support on chronic condition (eg diabetes, asthma) and an encyclopaedia of conditions via NHS Wales 111.</w:t>
      </w:r>
    </w:p>
    <w:p w14:paraId="4E726E3E" w14:textId="77777777" w:rsidR="004B4C37" w:rsidRPr="004B4C37" w:rsidRDefault="004B4C37" w:rsidP="00626D0F">
      <w:pPr>
        <w:rPr>
          <w:rFonts w:eastAsia="Aptos" w:cs="Arial"/>
        </w:rPr>
      </w:pPr>
    </w:p>
    <w:p w14:paraId="16FC14AC" w14:textId="483A62DE" w:rsidR="004B4C37" w:rsidRPr="004B4C37" w:rsidRDefault="004B4C37" w:rsidP="00626D0F">
      <w:pPr>
        <w:rPr>
          <w:rFonts w:eastAsia="Aptos" w:cs="Arial"/>
          <w:b/>
          <w:bCs/>
        </w:rPr>
      </w:pPr>
      <w:r w:rsidRPr="004B4C37">
        <w:rPr>
          <w:rFonts w:eastAsia="Aptos" w:cs="Arial"/>
          <w:b/>
          <w:bCs/>
        </w:rPr>
        <w:t xml:space="preserve">Figure </w:t>
      </w:r>
      <w:r w:rsidR="0081663B" w:rsidRPr="00D0306F">
        <w:rPr>
          <w:rFonts w:eastAsia="Aptos" w:cs="Arial"/>
          <w:b/>
          <w:bCs/>
        </w:rPr>
        <w:t>7.1</w:t>
      </w:r>
      <w:r w:rsidRPr="004B4C37">
        <w:rPr>
          <w:rFonts w:eastAsia="Aptos" w:cs="Arial"/>
          <w:b/>
          <w:bCs/>
        </w:rPr>
        <w:t xml:space="preserve"> – community pharmacy health information board</w:t>
      </w:r>
    </w:p>
    <w:p w14:paraId="5FB1BD49" w14:textId="77777777" w:rsidR="004B4C37" w:rsidRPr="004B4C37" w:rsidRDefault="004B4C37" w:rsidP="00626D0F">
      <w:pPr>
        <w:jc w:val="center"/>
        <w:rPr>
          <w:rFonts w:eastAsia="Aptos" w:cs="Arial"/>
        </w:rPr>
      </w:pPr>
    </w:p>
    <w:p w14:paraId="40B77934" w14:textId="76F5289A" w:rsidR="004B4C37" w:rsidRPr="004B4C37" w:rsidRDefault="004B4C37" w:rsidP="00626D0F">
      <w:pPr>
        <w:ind w:left="1440" w:firstLine="720"/>
        <w:jc w:val="center"/>
        <w:rPr>
          <w:rFonts w:eastAsia="Aptos" w:cs="Arial"/>
          <w:b/>
          <w:bCs/>
        </w:rPr>
      </w:pPr>
      <w:r w:rsidRPr="004B4C37">
        <w:rPr>
          <w:rFonts w:eastAsia="Aptos" w:cs="Arial"/>
          <w:noProof/>
        </w:rPr>
        <w:drawing>
          <wp:anchor distT="0" distB="0" distL="114300" distR="114300" simplePos="0" relativeHeight="251661312" behindDoc="0" locked="0" layoutInCell="1" allowOverlap="1" wp14:anchorId="0E5CB7F5" wp14:editId="43E7D0DC">
            <wp:simplePos x="0" y="0"/>
            <wp:positionH relativeFrom="column">
              <wp:align>left</wp:align>
            </wp:positionH>
            <wp:positionV relativeFrom="paragraph">
              <wp:align>top</wp:align>
            </wp:positionV>
            <wp:extent cx="2085975" cy="2953385"/>
            <wp:effectExtent l="0" t="0" r="9525" b="0"/>
            <wp:wrapSquare wrapText="bothSides"/>
            <wp:docPr id="793486514" name="Image 878" descr="Promotional poster for the Swansea Bay University Health Board Community Pharmacy Health Information Hub. The poster encourages users to “Get a mobile? Great!” and access health information on a smartphone by scanning QR codes. Instructions explain how to download a QR scanner app, scan a QR code, and access information. A smartphone displaying a QR code is shown alongside example mobile devices. Below, colour-coded QR codes are organised into five categories: Local Health Services, Community Pharmacy Services, Lifestyle Advice, Self Help, and Other Services. The poster features multiple QR codes linking to topics such as stop smoking support, healthy living, weight management, alcohol information, minor ailments, and NHS service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93486514" name="Image 878" descr="Promotional poster for the Swansea Bay University Health Board Community Pharmacy Health Information Hub. The poster encourages users to “Get a mobile? Great!” and access health information on a smartphone by scanning QR codes. Instructions explain how to download a QR scanner app, scan a QR code, and access information. A smartphone displaying a QR code is shown alongside example mobile devices. Below, colour-coded QR codes are organised into five categories: Local Health Services, Community Pharmacy Services, Lifestyle Advice, Self Help, and Other Services. The poster features multiple QR codes linking to topics such as stop smoking support, healthy living, weight management, alcohol information, minor ailments, and NHS services."/>
                    <pic:cNvPicPr>
                      <a:picLocks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085975" cy="2953385"/>
                    </a:xfrm>
                    <a:prstGeom prst="rect">
                      <a:avLst/>
                    </a:prstGeom>
                    <a:noFill/>
                  </pic:spPr>
                </pic:pic>
              </a:graphicData>
            </a:graphic>
            <wp14:sizeRelH relativeFrom="page">
              <wp14:pctWidth>0</wp14:pctWidth>
            </wp14:sizeRelH>
            <wp14:sizeRelV relativeFrom="page">
              <wp14:pctHeight>0</wp14:pctHeight>
            </wp14:sizeRelV>
          </wp:anchor>
        </w:drawing>
      </w:r>
    </w:p>
    <w:p w14:paraId="59B19801" w14:textId="77777777" w:rsidR="004B4C37" w:rsidRPr="004B4C37" w:rsidRDefault="004B4C37" w:rsidP="00626D0F">
      <w:pPr>
        <w:jc w:val="center"/>
        <w:rPr>
          <w:rFonts w:eastAsia="Aptos" w:cs="Arial"/>
          <w:b/>
          <w:bCs/>
        </w:rPr>
      </w:pPr>
    </w:p>
    <w:p w14:paraId="2F2F377D" w14:textId="77777777" w:rsidR="0081663B" w:rsidRPr="00D0306F" w:rsidRDefault="0081663B" w:rsidP="00626D0F">
      <w:pPr>
        <w:rPr>
          <w:rFonts w:eastAsia="Aptos" w:cs="Arial"/>
          <w:b/>
          <w:bCs/>
          <w:sz w:val="26"/>
          <w:szCs w:val="26"/>
        </w:rPr>
      </w:pPr>
    </w:p>
    <w:p w14:paraId="148ECD9E" w14:textId="77777777" w:rsidR="0081663B" w:rsidRPr="00D0306F" w:rsidRDefault="0081663B" w:rsidP="00626D0F">
      <w:pPr>
        <w:rPr>
          <w:rFonts w:eastAsia="Aptos" w:cs="Arial"/>
          <w:b/>
          <w:bCs/>
          <w:sz w:val="26"/>
          <w:szCs w:val="26"/>
        </w:rPr>
      </w:pPr>
    </w:p>
    <w:p w14:paraId="631FEC68" w14:textId="77777777" w:rsidR="0081663B" w:rsidRPr="00D0306F" w:rsidRDefault="0081663B" w:rsidP="00626D0F">
      <w:pPr>
        <w:rPr>
          <w:rFonts w:eastAsia="Aptos" w:cs="Arial"/>
          <w:b/>
          <w:bCs/>
          <w:sz w:val="26"/>
          <w:szCs w:val="26"/>
        </w:rPr>
      </w:pPr>
    </w:p>
    <w:p w14:paraId="2816AF3A" w14:textId="77777777" w:rsidR="0081663B" w:rsidRPr="00D0306F" w:rsidRDefault="0081663B" w:rsidP="00626D0F">
      <w:pPr>
        <w:rPr>
          <w:rFonts w:eastAsia="Aptos" w:cs="Arial"/>
          <w:b/>
          <w:bCs/>
          <w:sz w:val="26"/>
          <w:szCs w:val="26"/>
        </w:rPr>
      </w:pPr>
    </w:p>
    <w:p w14:paraId="6AE3AEF5" w14:textId="77777777" w:rsidR="0081663B" w:rsidRPr="00D0306F" w:rsidRDefault="0081663B" w:rsidP="00626D0F">
      <w:pPr>
        <w:rPr>
          <w:rFonts w:eastAsia="Aptos" w:cs="Arial"/>
          <w:b/>
          <w:bCs/>
          <w:sz w:val="26"/>
          <w:szCs w:val="26"/>
        </w:rPr>
      </w:pPr>
    </w:p>
    <w:p w14:paraId="311AF7F0" w14:textId="77777777" w:rsidR="0081663B" w:rsidRPr="00D0306F" w:rsidRDefault="0081663B" w:rsidP="00626D0F">
      <w:pPr>
        <w:rPr>
          <w:rFonts w:eastAsia="Aptos" w:cs="Arial"/>
          <w:b/>
          <w:bCs/>
          <w:sz w:val="26"/>
          <w:szCs w:val="26"/>
        </w:rPr>
      </w:pPr>
    </w:p>
    <w:p w14:paraId="76BC03BA" w14:textId="77777777" w:rsidR="0081663B" w:rsidRPr="00D0306F" w:rsidRDefault="0081663B" w:rsidP="00626D0F">
      <w:pPr>
        <w:rPr>
          <w:rFonts w:eastAsia="Aptos" w:cs="Arial"/>
          <w:b/>
          <w:bCs/>
          <w:sz w:val="26"/>
          <w:szCs w:val="26"/>
        </w:rPr>
      </w:pPr>
    </w:p>
    <w:p w14:paraId="4BEABE98" w14:textId="77777777" w:rsidR="0081663B" w:rsidRPr="00D0306F" w:rsidRDefault="0081663B" w:rsidP="00626D0F">
      <w:pPr>
        <w:rPr>
          <w:rFonts w:eastAsia="Aptos" w:cs="Arial"/>
          <w:b/>
          <w:bCs/>
          <w:sz w:val="26"/>
          <w:szCs w:val="26"/>
        </w:rPr>
      </w:pPr>
    </w:p>
    <w:p w14:paraId="6D7B909C" w14:textId="77777777" w:rsidR="0081663B" w:rsidRPr="00D0306F" w:rsidRDefault="0081663B" w:rsidP="00626D0F">
      <w:pPr>
        <w:rPr>
          <w:rFonts w:eastAsia="Aptos" w:cs="Arial"/>
          <w:b/>
          <w:bCs/>
          <w:sz w:val="26"/>
          <w:szCs w:val="26"/>
        </w:rPr>
      </w:pPr>
    </w:p>
    <w:p w14:paraId="79AF1916" w14:textId="77777777" w:rsidR="0081663B" w:rsidRPr="00D0306F" w:rsidRDefault="0081663B" w:rsidP="00626D0F">
      <w:pPr>
        <w:rPr>
          <w:rFonts w:eastAsia="Aptos" w:cs="Arial"/>
          <w:b/>
          <w:bCs/>
          <w:sz w:val="26"/>
          <w:szCs w:val="26"/>
        </w:rPr>
      </w:pPr>
    </w:p>
    <w:p w14:paraId="5137B87F" w14:textId="77777777" w:rsidR="0081663B" w:rsidRPr="00D0306F" w:rsidRDefault="0081663B" w:rsidP="00626D0F">
      <w:pPr>
        <w:rPr>
          <w:rFonts w:eastAsia="Aptos" w:cs="Arial"/>
          <w:b/>
          <w:bCs/>
          <w:sz w:val="26"/>
          <w:szCs w:val="26"/>
        </w:rPr>
      </w:pPr>
    </w:p>
    <w:p w14:paraId="6043234F" w14:textId="77777777" w:rsidR="0081663B" w:rsidRPr="00D0306F" w:rsidRDefault="0081663B" w:rsidP="00626D0F">
      <w:pPr>
        <w:rPr>
          <w:rFonts w:eastAsia="Aptos" w:cs="Arial"/>
          <w:b/>
          <w:bCs/>
          <w:sz w:val="26"/>
          <w:szCs w:val="26"/>
        </w:rPr>
      </w:pPr>
    </w:p>
    <w:p w14:paraId="6481145B" w14:textId="77777777" w:rsidR="0081663B" w:rsidRPr="00D0306F" w:rsidRDefault="0081663B" w:rsidP="00626D0F">
      <w:pPr>
        <w:rPr>
          <w:rFonts w:eastAsia="Aptos" w:cs="Arial"/>
          <w:b/>
          <w:bCs/>
          <w:sz w:val="26"/>
          <w:szCs w:val="26"/>
        </w:rPr>
      </w:pPr>
    </w:p>
    <w:p w14:paraId="07B6F6AA" w14:textId="77777777" w:rsidR="0081663B" w:rsidRPr="00D0306F" w:rsidRDefault="0081663B" w:rsidP="00626D0F">
      <w:pPr>
        <w:rPr>
          <w:rFonts w:eastAsia="Aptos" w:cs="Arial"/>
          <w:b/>
          <w:bCs/>
          <w:sz w:val="26"/>
          <w:szCs w:val="26"/>
        </w:rPr>
      </w:pPr>
    </w:p>
    <w:p w14:paraId="4ED32F60" w14:textId="77777777" w:rsidR="0081663B" w:rsidRPr="00D0306F" w:rsidRDefault="0081663B" w:rsidP="00626D0F">
      <w:pPr>
        <w:rPr>
          <w:rFonts w:eastAsia="Aptos" w:cs="Arial"/>
          <w:b/>
          <w:bCs/>
          <w:sz w:val="26"/>
          <w:szCs w:val="26"/>
        </w:rPr>
      </w:pPr>
    </w:p>
    <w:p w14:paraId="0D214F95" w14:textId="11218AB6" w:rsidR="004B4C37" w:rsidRPr="004B4C37" w:rsidRDefault="004B4C37" w:rsidP="00626D0F">
      <w:pPr>
        <w:rPr>
          <w:rFonts w:eastAsia="Aptos" w:cs="Arial"/>
          <w:b/>
          <w:bCs/>
          <w:sz w:val="26"/>
          <w:szCs w:val="26"/>
        </w:rPr>
      </w:pPr>
      <w:r w:rsidRPr="004B4C37">
        <w:rPr>
          <w:rFonts w:eastAsia="Aptos" w:cs="Arial"/>
          <w:b/>
          <w:bCs/>
          <w:sz w:val="26"/>
          <w:szCs w:val="26"/>
        </w:rPr>
        <w:t>7.5 Summary</w:t>
      </w:r>
    </w:p>
    <w:p w14:paraId="51F6CC36" w14:textId="77777777" w:rsidR="004B4C37" w:rsidRPr="004B4C37" w:rsidRDefault="004B4C37" w:rsidP="00626D0F">
      <w:pPr>
        <w:rPr>
          <w:rFonts w:eastAsia="Aptos" w:cs="Arial"/>
        </w:rPr>
      </w:pPr>
    </w:p>
    <w:p w14:paraId="04051F98" w14:textId="77777777" w:rsidR="004B4C37" w:rsidRPr="004B4C37" w:rsidRDefault="004B4C37" w:rsidP="00626D0F">
      <w:pPr>
        <w:rPr>
          <w:rFonts w:eastAsia="Aptos" w:cs="Arial"/>
        </w:rPr>
      </w:pPr>
      <w:r w:rsidRPr="004B4C37">
        <w:rPr>
          <w:rFonts w:eastAsia="Aptos" w:cs="Arial"/>
        </w:rPr>
        <w:t xml:space="preserve">The provision of pharmaceutical services plays a pivotal role in meeting many health needs of the population. The daily advice consultations that are carried out by pharmacy staff on a regular basis are a key opportunity to support behaviour change through making every contact count. The information above highlights the range of services that are currently commissioned by the health board and the ways in which pharmaceutical services can play an important role in meeting the health needs of the population. It is anticipated that with the development and training of independent </w:t>
      </w:r>
      <w:r w:rsidRPr="004B4C37">
        <w:rPr>
          <w:rFonts w:eastAsia="Aptos" w:cs="Arial"/>
        </w:rPr>
        <w:lastRenderedPageBreak/>
        <w:t>prescribing pharmacists, there will be a greater range of services available through community pharmacy in the years to come.</w:t>
      </w:r>
    </w:p>
    <w:p w14:paraId="3DE88585" w14:textId="0A0ABC72" w:rsidR="00F3234A" w:rsidRPr="00D0306F" w:rsidRDefault="00F3234A">
      <w:pPr>
        <w:spacing w:after="160" w:line="278" w:lineRule="auto"/>
        <w:rPr>
          <w:rFonts w:cs="Arial"/>
        </w:rPr>
      </w:pPr>
      <w:r w:rsidRPr="00D0306F">
        <w:rPr>
          <w:rFonts w:cs="Arial"/>
        </w:rPr>
        <w:br w:type="page"/>
      </w:r>
    </w:p>
    <w:p w14:paraId="5AC43569" w14:textId="5DD3C070" w:rsidR="00877934" w:rsidRPr="00D0306F" w:rsidRDefault="00877934" w:rsidP="00877934">
      <w:pPr>
        <w:pStyle w:val="Heading1"/>
        <w:rPr>
          <w:rFonts w:eastAsia="Aptos"/>
          <w:sz w:val="28"/>
          <w:szCs w:val="28"/>
        </w:rPr>
      </w:pPr>
      <w:bookmarkStart w:id="31" w:name="_Toc235185379"/>
      <w:r w:rsidRPr="00D0306F">
        <w:rPr>
          <w:rFonts w:eastAsia="Aptos"/>
          <w:sz w:val="28"/>
          <w:szCs w:val="28"/>
        </w:rPr>
        <w:lastRenderedPageBreak/>
        <w:t>8 Bay Health locality</w:t>
      </w:r>
      <w:bookmarkEnd w:id="31"/>
    </w:p>
    <w:p w14:paraId="78739E1F" w14:textId="77777777" w:rsidR="00037037" w:rsidRPr="00037037" w:rsidRDefault="00037037" w:rsidP="00D202E7">
      <w:pPr>
        <w:rPr>
          <w:rFonts w:eastAsia="Aptos" w:cs="Arial"/>
          <w:b/>
          <w:bCs/>
        </w:rPr>
      </w:pPr>
    </w:p>
    <w:p w14:paraId="0685F2D1" w14:textId="77777777" w:rsidR="00037037" w:rsidRPr="00037037" w:rsidRDefault="00037037" w:rsidP="00D202E7">
      <w:pPr>
        <w:rPr>
          <w:rFonts w:eastAsia="Aptos" w:cs="Arial"/>
          <w:b/>
          <w:bCs/>
          <w:sz w:val="26"/>
          <w:szCs w:val="26"/>
        </w:rPr>
      </w:pPr>
      <w:r w:rsidRPr="00037037">
        <w:rPr>
          <w:rFonts w:eastAsia="Aptos" w:cs="Arial"/>
          <w:b/>
          <w:bCs/>
          <w:sz w:val="26"/>
          <w:szCs w:val="26"/>
        </w:rPr>
        <w:t>8.1 Key facts</w:t>
      </w:r>
    </w:p>
    <w:p w14:paraId="5BC0F099" w14:textId="77777777" w:rsidR="00037037" w:rsidRPr="00037037" w:rsidRDefault="00037037" w:rsidP="00D202E7">
      <w:pPr>
        <w:rPr>
          <w:rFonts w:eastAsia="Aptos" w:cs="Arial"/>
          <w:b/>
          <w:bCs/>
        </w:rPr>
      </w:pPr>
    </w:p>
    <w:p w14:paraId="13DB1206" w14:textId="77777777" w:rsidR="00037037" w:rsidRPr="00037037" w:rsidRDefault="00037037" w:rsidP="00B76905">
      <w:pPr>
        <w:numPr>
          <w:ilvl w:val="0"/>
          <w:numId w:val="140"/>
        </w:numPr>
        <w:contextualSpacing/>
        <w:rPr>
          <w:rFonts w:eastAsia="Aptos" w:cs="Arial"/>
        </w:rPr>
      </w:pPr>
      <w:r w:rsidRPr="00037037">
        <w:rPr>
          <w:rFonts w:eastAsia="Aptos" w:cs="Arial"/>
        </w:rPr>
        <w:t>The Bay Health locality serves a registered population of 75,635</w:t>
      </w:r>
      <w:r w:rsidRPr="00037037">
        <w:rPr>
          <w:rFonts w:eastAsia="Aptos" w:cs="Arial"/>
          <w:vertAlign w:val="superscript"/>
        </w:rPr>
        <w:footnoteReference w:id="225"/>
      </w:r>
      <w:r w:rsidRPr="00037037">
        <w:rPr>
          <w:rFonts w:eastAsia="Aptos" w:cs="Arial"/>
        </w:rPr>
        <w:t xml:space="preserve"> (January 2026) and is the largest locality by registered population in the health board and the largest of the five localities in Swansea. </w:t>
      </w:r>
    </w:p>
    <w:p w14:paraId="564F2DFF" w14:textId="77777777" w:rsidR="00037037" w:rsidRPr="00037037" w:rsidRDefault="00037037" w:rsidP="00B76905">
      <w:pPr>
        <w:numPr>
          <w:ilvl w:val="0"/>
          <w:numId w:val="140"/>
        </w:numPr>
        <w:contextualSpacing/>
        <w:rPr>
          <w:rFonts w:eastAsia="Aptos" w:cs="Arial"/>
        </w:rPr>
      </w:pPr>
      <w:r w:rsidRPr="00037037">
        <w:rPr>
          <w:rFonts w:eastAsia="Aptos" w:cs="Arial"/>
        </w:rPr>
        <w:t xml:space="preserve">Approximately 23.8% of the locality’s registered population (18,033) are aged 65 years and over, above the Wales average (21.9%). </w:t>
      </w:r>
    </w:p>
    <w:p w14:paraId="36A463DB" w14:textId="77777777" w:rsidR="00037037" w:rsidRPr="00037037" w:rsidRDefault="00037037" w:rsidP="00B76905">
      <w:pPr>
        <w:numPr>
          <w:ilvl w:val="0"/>
          <w:numId w:val="140"/>
        </w:numPr>
        <w:contextualSpacing/>
        <w:rPr>
          <w:rFonts w:eastAsia="Aptos" w:cs="Arial"/>
        </w:rPr>
      </w:pPr>
      <w:r w:rsidRPr="00037037">
        <w:rPr>
          <w:rFonts w:eastAsia="Aptos" w:cs="Arial"/>
        </w:rPr>
        <w:t>The number of Welsh speakers in Swansea remained at 11.2% in the 2021 Census, with approximately 350 fewer Welsh-speaking residents aged over three years compared with 2011 Census. The number of non-Welsh speaking residents increased by 1,100.</w:t>
      </w:r>
      <w:r w:rsidRPr="00037037">
        <w:rPr>
          <w:rFonts w:eastAsia="Aptos" w:cs="Arial"/>
          <w:vertAlign w:val="superscript"/>
        </w:rPr>
        <w:footnoteReference w:id="226"/>
      </w:r>
    </w:p>
    <w:p w14:paraId="5B97A8B1" w14:textId="77777777" w:rsidR="00037037" w:rsidRPr="00037037" w:rsidRDefault="00037037" w:rsidP="00B76905">
      <w:pPr>
        <w:numPr>
          <w:ilvl w:val="0"/>
          <w:numId w:val="140"/>
        </w:numPr>
        <w:contextualSpacing/>
        <w:rPr>
          <w:rFonts w:eastAsia="Aptos" w:cs="Arial"/>
        </w:rPr>
      </w:pPr>
      <w:r w:rsidRPr="00037037">
        <w:rPr>
          <w:rFonts w:eastAsia="Aptos" w:cs="Arial"/>
        </w:rPr>
        <w:t>Swansea local authority population is projected to increase by 6.1% by the year 2032.</w:t>
      </w:r>
      <w:r w:rsidRPr="00037037">
        <w:rPr>
          <w:rFonts w:eastAsia="Aptos" w:cs="Arial"/>
          <w:vertAlign w:val="superscript"/>
        </w:rPr>
        <w:footnoteReference w:id="227"/>
      </w:r>
    </w:p>
    <w:p w14:paraId="642F69DC" w14:textId="77777777" w:rsidR="00037037" w:rsidRPr="00037037" w:rsidRDefault="00037037" w:rsidP="00B76905">
      <w:pPr>
        <w:numPr>
          <w:ilvl w:val="0"/>
          <w:numId w:val="140"/>
        </w:numPr>
        <w:contextualSpacing/>
        <w:rPr>
          <w:rFonts w:eastAsia="Aptos" w:cs="Arial"/>
        </w:rPr>
      </w:pPr>
      <w:r w:rsidRPr="00037037">
        <w:rPr>
          <w:rFonts w:eastAsia="Aptos" w:cs="Arial"/>
        </w:rPr>
        <w:t>There are 240 lower layer super output areas in the health board’s area; 150 lower layer super output areas fall within Swansea local authority, and 20 (around 13%) are in the 10% most deprived in Wales.</w:t>
      </w:r>
      <w:r w:rsidRPr="00037037">
        <w:rPr>
          <w:rFonts w:eastAsia="Aptos" w:cs="Arial"/>
          <w:vertAlign w:val="superscript"/>
        </w:rPr>
        <w:footnoteReference w:id="228"/>
      </w:r>
      <w:r w:rsidRPr="00037037">
        <w:rPr>
          <w:rFonts w:eastAsia="Aptos" w:cs="Arial"/>
        </w:rPr>
        <w:t xml:space="preserve"> </w:t>
      </w:r>
    </w:p>
    <w:p w14:paraId="09FD1BC7" w14:textId="77777777" w:rsidR="00037037" w:rsidRPr="00037037" w:rsidRDefault="00037037" w:rsidP="00B76905">
      <w:pPr>
        <w:numPr>
          <w:ilvl w:val="0"/>
          <w:numId w:val="140"/>
        </w:numPr>
        <w:contextualSpacing/>
        <w:rPr>
          <w:rFonts w:eastAsia="Aptos" w:cs="Arial"/>
        </w:rPr>
      </w:pPr>
      <w:r w:rsidRPr="00037037">
        <w:rPr>
          <w:rFonts w:eastAsia="Aptos" w:cs="Arial"/>
        </w:rPr>
        <w:t xml:space="preserve">Of the 20% most deprived lower layer super output areas in Wales, 34 are within Swansea. Of the 45 lower layer super output areas in the locality one is found within the 20% most deprived. </w:t>
      </w:r>
    </w:p>
    <w:p w14:paraId="4E1F68A0" w14:textId="77777777" w:rsidR="00037037" w:rsidRPr="00037037" w:rsidRDefault="00037037" w:rsidP="00B76905">
      <w:pPr>
        <w:numPr>
          <w:ilvl w:val="0"/>
          <w:numId w:val="140"/>
        </w:numPr>
        <w:contextualSpacing/>
        <w:rPr>
          <w:rFonts w:eastAsia="Aptos" w:cs="Arial"/>
        </w:rPr>
      </w:pPr>
      <w:r w:rsidRPr="00037037">
        <w:rPr>
          <w:rFonts w:eastAsia="Aptos" w:cs="Arial"/>
        </w:rPr>
        <w:t>The locality has a large proportion of students, including those from diverse ethnic backgrounds with specific cultural and linguistic requirements.</w:t>
      </w:r>
    </w:p>
    <w:p w14:paraId="25FD98F8" w14:textId="77777777" w:rsidR="00037037" w:rsidRPr="00037037" w:rsidRDefault="00037037" w:rsidP="00B76905">
      <w:pPr>
        <w:numPr>
          <w:ilvl w:val="0"/>
          <w:numId w:val="140"/>
        </w:numPr>
        <w:contextualSpacing/>
        <w:rPr>
          <w:rFonts w:eastAsia="Aptos" w:cs="Arial"/>
        </w:rPr>
      </w:pPr>
      <w:r w:rsidRPr="00037037">
        <w:rPr>
          <w:rFonts w:eastAsia="Aptos" w:cs="Arial"/>
        </w:rPr>
        <w:t xml:space="preserve">Sketty 4 is the most deprived lower layer super output area in this locality and is in the 10% most deprived lower layer super output areas in Wales in both the employment and income domains, but much less deprived in terms of physical environment, housing, and access to services. </w:t>
      </w:r>
    </w:p>
    <w:p w14:paraId="0CE22994" w14:textId="77777777" w:rsidR="00037037" w:rsidRPr="00037037" w:rsidRDefault="00037037" w:rsidP="00B76905">
      <w:pPr>
        <w:numPr>
          <w:ilvl w:val="0"/>
          <w:numId w:val="140"/>
        </w:numPr>
        <w:contextualSpacing/>
        <w:rPr>
          <w:rFonts w:eastAsia="Aptos" w:cs="Arial"/>
        </w:rPr>
      </w:pPr>
      <w:r w:rsidRPr="00037037">
        <w:rPr>
          <w:rFonts w:eastAsia="Aptos" w:cs="Arial"/>
        </w:rPr>
        <w:t>The locality is served by:</w:t>
      </w:r>
    </w:p>
    <w:p w14:paraId="5B61D12E" w14:textId="77777777" w:rsidR="00037037" w:rsidRPr="00037037" w:rsidRDefault="00037037" w:rsidP="00B76905">
      <w:pPr>
        <w:numPr>
          <w:ilvl w:val="1"/>
          <w:numId w:val="140"/>
        </w:numPr>
        <w:contextualSpacing/>
        <w:rPr>
          <w:rFonts w:eastAsia="Aptos" w:cs="Arial"/>
        </w:rPr>
      </w:pPr>
      <w:r w:rsidRPr="00037037">
        <w:rPr>
          <w:rFonts w:eastAsia="Aptos" w:cs="Arial"/>
        </w:rPr>
        <w:t>16 community pharmacies operated by seven contractors</w:t>
      </w:r>
    </w:p>
    <w:p w14:paraId="52A2B750" w14:textId="77777777" w:rsidR="00037037" w:rsidRPr="00037037" w:rsidRDefault="00037037" w:rsidP="00B76905">
      <w:pPr>
        <w:numPr>
          <w:ilvl w:val="1"/>
          <w:numId w:val="140"/>
        </w:numPr>
        <w:tabs>
          <w:tab w:val="left" w:pos="1985"/>
        </w:tabs>
        <w:contextualSpacing/>
        <w:rPr>
          <w:rFonts w:eastAsia="Aptos" w:cs="Arial"/>
        </w:rPr>
      </w:pPr>
      <w:r w:rsidRPr="00037037">
        <w:rPr>
          <w:rFonts w:eastAsia="Aptos" w:cs="Arial"/>
        </w:rPr>
        <w:t xml:space="preserve">nine dental practices that offer NHS treatment </w:t>
      </w:r>
    </w:p>
    <w:p w14:paraId="475F5D97" w14:textId="77777777" w:rsidR="00037037" w:rsidRPr="00037037" w:rsidRDefault="00037037" w:rsidP="00B76905">
      <w:pPr>
        <w:numPr>
          <w:ilvl w:val="1"/>
          <w:numId w:val="140"/>
        </w:numPr>
        <w:contextualSpacing/>
        <w:rPr>
          <w:rFonts w:eastAsia="Aptos" w:cs="Arial"/>
        </w:rPr>
      </w:pPr>
      <w:r w:rsidRPr="00037037">
        <w:rPr>
          <w:rFonts w:eastAsia="Aptos" w:cs="Arial"/>
        </w:rPr>
        <w:t xml:space="preserve">five optical practices </w:t>
      </w:r>
    </w:p>
    <w:p w14:paraId="3096486B" w14:textId="77777777" w:rsidR="00037037" w:rsidRPr="00037037" w:rsidRDefault="00037037" w:rsidP="00B76905">
      <w:pPr>
        <w:numPr>
          <w:ilvl w:val="1"/>
          <w:numId w:val="140"/>
        </w:numPr>
        <w:contextualSpacing/>
        <w:rPr>
          <w:rFonts w:eastAsia="Aptos" w:cs="Arial"/>
        </w:rPr>
      </w:pPr>
      <w:r w:rsidRPr="00037037">
        <w:rPr>
          <w:rFonts w:eastAsia="Aptos" w:cs="Arial"/>
        </w:rPr>
        <w:t>eight GP practices (six of which operate branch surgery sites)</w:t>
      </w:r>
    </w:p>
    <w:p w14:paraId="1064ED31" w14:textId="77777777" w:rsidR="00037037" w:rsidRPr="00037037" w:rsidRDefault="00037037" w:rsidP="00B76905">
      <w:pPr>
        <w:numPr>
          <w:ilvl w:val="0"/>
          <w:numId w:val="140"/>
        </w:numPr>
        <w:contextualSpacing/>
        <w:rPr>
          <w:rFonts w:eastAsia="Aptos" w:cs="Arial"/>
        </w:rPr>
      </w:pPr>
      <w:r w:rsidRPr="00037037">
        <w:rPr>
          <w:rFonts w:eastAsia="Aptos" w:cs="Arial"/>
        </w:rPr>
        <w:t>There is one hospital in the locality - Singleton Hospital, Sketty Lane, Sketty, Swansea SA2 8QA.</w:t>
      </w:r>
    </w:p>
    <w:p w14:paraId="0AEC2CBF" w14:textId="77777777" w:rsidR="00037037" w:rsidRPr="00037037" w:rsidRDefault="00037037" w:rsidP="00B76905">
      <w:pPr>
        <w:numPr>
          <w:ilvl w:val="0"/>
          <w:numId w:val="140"/>
        </w:numPr>
        <w:contextualSpacing/>
        <w:rPr>
          <w:rFonts w:eastAsia="Aptos" w:cs="Arial"/>
        </w:rPr>
      </w:pPr>
      <w:r w:rsidRPr="00037037">
        <w:rPr>
          <w:rFonts w:eastAsia="Aptos" w:cs="Arial"/>
        </w:rPr>
        <w:t>There are 27 care home services within the locality of which ten provide services to adults with nursing, and 17 to adults without nursing.</w:t>
      </w:r>
    </w:p>
    <w:p w14:paraId="217D5ADA" w14:textId="77777777" w:rsidR="00037037" w:rsidRPr="00037037" w:rsidRDefault="00037037" w:rsidP="00037037">
      <w:pPr>
        <w:contextualSpacing/>
        <w:rPr>
          <w:rFonts w:eastAsia="Times New Roman" w:cs="Arial"/>
          <w:kern w:val="0"/>
          <w:lang w:eastAsia="en-GB"/>
          <w14:ligatures w14:val="none"/>
        </w:rPr>
      </w:pPr>
    </w:p>
    <w:p w14:paraId="61133143" w14:textId="77777777" w:rsidR="00037037" w:rsidRPr="00037037" w:rsidRDefault="00037037" w:rsidP="00037037">
      <w:pPr>
        <w:contextualSpacing/>
        <w:rPr>
          <w:rFonts w:eastAsia="Times New Roman" w:cs="Arial"/>
          <w:b/>
          <w:bCs/>
          <w:kern w:val="0"/>
          <w:sz w:val="26"/>
          <w:szCs w:val="26"/>
          <w:lang w:eastAsia="en-GB"/>
          <w14:ligatures w14:val="none"/>
        </w:rPr>
      </w:pPr>
      <w:r w:rsidRPr="00037037">
        <w:rPr>
          <w:rFonts w:eastAsia="Times New Roman" w:cs="Arial"/>
          <w:b/>
          <w:bCs/>
          <w:kern w:val="0"/>
          <w:sz w:val="26"/>
          <w:szCs w:val="26"/>
          <w:lang w:eastAsia="en-GB"/>
          <w14:ligatures w14:val="none"/>
        </w:rPr>
        <w:t>8.2 Key population features</w:t>
      </w:r>
    </w:p>
    <w:p w14:paraId="3855CFE6" w14:textId="77777777" w:rsidR="00037037" w:rsidRPr="00037037" w:rsidRDefault="00037037" w:rsidP="00037037">
      <w:pPr>
        <w:rPr>
          <w:rFonts w:eastAsia="Times New Roman" w:cs="Arial"/>
          <w:b/>
          <w:bCs/>
          <w:kern w:val="0"/>
          <w:lang w:eastAsia="en-GB"/>
          <w14:ligatures w14:val="none"/>
        </w:rPr>
      </w:pPr>
    </w:p>
    <w:p w14:paraId="4F158E5C" w14:textId="77777777" w:rsidR="00037037" w:rsidRPr="00037037" w:rsidRDefault="00037037" w:rsidP="00037037">
      <w:pPr>
        <w:rPr>
          <w:rFonts w:eastAsia="Times New Roman" w:cs="Arial"/>
          <w:b/>
          <w:bCs/>
          <w:kern w:val="0"/>
          <w:lang w:eastAsia="en-GB"/>
          <w14:ligatures w14:val="none"/>
        </w:rPr>
      </w:pPr>
      <w:r w:rsidRPr="00037037">
        <w:rPr>
          <w:rFonts w:eastAsia="Times New Roman" w:cs="Arial"/>
          <w:b/>
          <w:bCs/>
          <w:kern w:val="0"/>
          <w:lang w:eastAsia="en-GB"/>
          <w14:ligatures w14:val="none"/>
        </w:rPr>
        <w:t>8.2.1 Population projections 2022 to 2032</w:t>
      </w:r>
    </w:p>
    <w:p w14:paraId="0903372B" w14:textId="77777777" w:rsidR="00037037" w:rsidRPr="00D0306F" w:rsidRDefault="00037037" w:rsidP="00037037">
      <w:pPr>
        <w:rPr>
          <w:rFonts w:eastAsia="Times New Roman" w:cs="Arial"/>
          <w:kern w:val="0"/>
          <w:lang w:eastAsia="en-GB"/>
          <w14:ligatures w14:val="none"/>
        </w:rPr>
      </w:pPr>
    </w:p>
    <w:p w14:paraId="7D52222A" w14:textId="58E5CC27" w:rsidR="00D202E7" w:rsidRPr="00037037" w:rsidRDefault="00D202E7" w:rsidP="00037037">
      <w:pPr>
        <w:rPr>
          <w:rFonts w:eastAsia="Times New Roman" w:cs="Arial"/>
          <w:kern w:val="0"/>
          <w:lang w:eastAsia="en-GB"/>
          <w14:ligatures w14:val="none"/>
        </w:rPr>
      </w:pPr>
      <w:r w:rsidRPr="00D0306F">
        <w:rPr>
          <w:rFonts w:eastAsia="Times New Roman" w:cs="Arial"/>
          <w:kern w:val="0"/>
          <w:lang w:eastAsia="en-GB"/>
          <w14:ligatures w14:val="none"/>
        </w:rPr>
        <w:t>The population of Swansea is projected to increase by up to 6.1% between 2022 and 2032, an increase of 14,894 people.</w:t>
      </w:r>
    </w:p>
    <w:p w14:paraId="5B6814A2" w14:textId="02D5E683"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lastRenderedPageBreak/>
        <w:t>It is projected by 2032</w:t>
      </w:r>
      <w:r w:rsidRPr="00037037">
        <w:rPr>
          <w:rFonts w:eastAsia="Times New Roman" w:cs="Arial"/>
          <w:kern w:val="0"/>
          <w:vertAlign w:val="superscript"/>
          <w:lang w:eastAsia="en-GB"/>
          <w14:ligatures w14:val="none"/>
        </w:rPr>
        <w:footnoteReference w:id="229"/>
      </w:r>
      <w:r w:rsidRPr="00037037">
        <w:rPr>
          <w:rFonts w:eastAsia="Times New Roman" w:cs="Arial"/>
          <w:kern w:val="0"/>
          <w:lang w:eastAsia="en-GB"/>
          <w14:ligatures w14:val="none"/>
        </w:rPr>
        <w:t xml:space="preserve"> that Swansea local authority will see:</w:t>
      </w:r>
    </w:p>
    <w:p w14:paraId="42EC648A" w14:textId="77777777" w:rsidR="00037037" w:rsidRPr="00037037" w:rsidRDefault="00037037" w:rsidP="00D202E7">
      <w:pPr>
        <w:rPr>
          <w:rFonts w:eastAsia="Times New Roman" w:cs="Arial"/>
          <w:kern w:val="0"/>
          <w:lang w:eastAsia="en-GB"/>
          <w14:ligatures w14:val="none"/>
        </w:rPr>
      </w:pPr>
    </w:p>
    <w:p w14:paraId="01D9EC3C" w14:textId="77777777" w:rsidR="00037037" w:rsidRPr="00037037" w:rsidRDefault="00037037" w:rsidP="00B76905">
      <w:pPr>
        <w:numPr>
          <w:ilvl w:val="0"/>
          <w:numId w:val="141"/>
        </w:numPr>
        <w:ind w:left="714" w:hanging="357"/>
        <w:contextualSpacing/>
        <w:rPr>
          <w:rFonts w:eastAsia="Times New Roman" w:cs="Arial"/>
          <w:kern w:val="0"/>
          <w:lang w:eastAsia="en-GB"/>
          <w14:ligatures w14:val="none"/>
        </w:rPr>
      </w:pPr>
      <w:r w:rsidRPr="00037037">
        <w:rPr>
          <w:rFonts w:eastAsia="Times New Roman" w:cs="Arial"/>
          <w:kern w:val="0"/>
          <w:lang w:eastAsia="en-GB"/>
          <w14:ligatures w14:val="none"/>
        </w:rPr>
        <w:t>a decrease in the number of people aged 0 to 15 years,</w:t>
      </w:r>
    </w:p>
    <w:p w14:paraId="20487511" w14:textId="77777777" w:rsidR="00037037" w:rsidRPr="00037037" w:rsidRDefault="00037037" w:rsidP="00B76905">
      <w:pPr>
        <w:numPr>
          <w:ilvl w:val="0"/>
          <w:numId w:val="141"/>
        </w:numPr>
        <w:ind w:left="714" w:hanging="357"/>
        <w:contextualSpacing/>
        <w:rPr>
          <w:rFonts w:eastAsia="Times New Roman" w:cs="Arial"/>
          <w:kern w:val="0"/>
          <w:lang w:eastAsia="en-GB"/>
          <w14:ligatures w14:val="none"/>
        </w:rPr>
      </w:pPr>
      <w:r w:rsidRPr="00037037">
        <w:rPr>
          <w:rFonts w:eastAsia="Times New Roman" w:cs="Arial"/>
          <w:kern w:val="0"/>
          <w:lang w:eastAsia="en-GB"/>
          <w14:ligatures w14:val="none"/>
        </w:rPr>
        <w:t xml:space="preserve">an increase in the working age population aged 16 to 64 years (one of eight local authorities that will see the largest increases), </w:t>
      </w:r>
    </w:p>
    <w:p w14:paraId="16BFDAA8" w14:textId="77777777" w:rsidR="00037037" w:rsidRPr="00037037" w:rsidRDefault="00037037" w:rsidP="00B76905">
      <w:pPr>
        <w:numPr>
          <w:ilvl w:val="0"/>
          <w:numId w:val="141"/>
        </w:numPr>
        <w:ind w:left="714" w:hanging="357"/>
        <w:contextualSpacing/>
        <w:rPr>
          <w:rFonts w:eastAsia="Times New Roman" w:cs="Arial"/>
          <w:kern w:val="0"/>
          <w:lang w:eastAsia="en-GB"/>
          <w14:ligatures w14:val="none"/>
        </w:rPr>
      </w:pPr>
      <w:r w:rsidRPr="00037037">
        <w:rPr>
          <w:rFonts w:eastAsia="Times New Roman" w:cs="Arial"/>
          <w:kern w:val="0"/>
          <w:lang w:eastAsia="en-GB"/>
          <w14:ligatures w14:val="none"/>
        </w:rPr>
        <w:t xml:space="preserve">an increase in the population aged 65 years, and </w:t>
      </w:r>
    </w:p>
    <w:p w14:paraId="59342277" w14:textId="77777777" w:rsidR="00037037" w:rsidRPr="00037037" w:rsidRDefault="00037037" w:rsidP="00B76905">
      <w:pPr>
        <w:numPr>
          <w:ilvl w:val="0"/>
          <w:numId w:val="141"/>
        </w:numPr>
        <w:ind w:left="714" w:hanging="357"/>
        <w:contextualSpacing/>
        <w:rPr>
          <w:rFonts w:eastAsia="Times New Roman" w:cs="Arial"/>
          <w:kern w:val="0"/>
          <w:lang w:eastAsia="en-GB"/>
          <w14:ligatures w14:val="none"/>
        </w:rPr>
      </w:pPr>
      <w:r w:rsidRPr="00037037">
        <w:rPr>
          <w:rFonts w:eastAsia="Times New Roman" w:cs="Arial"/>
          <w:kern w:val="0"/>
          <w:lang w:eastAsia="en-GB"/>
          <w14:ligatures w14:val="none"/>
        </w:rPr>
        <w:t>an increase in the population aged 75 years and over.</w:t>
      </w:r>
    </w:p>
    <w:p w14:paraId="401B1B5A" w14:textId="77777777" w:rsidR="00037037" w:rsidRPr="00037037" w:rsidRDefault="00037037" w:rsidP="00D202E7">
      <w:pPr>
        <w:rPr>
          <w:rFonts w:eastAsia="Times New Roman" w:cs="Arial"/>
          <w:kern w:val="0"/>
          <w:lang w:eastAsia="en-GB"/>
          <w14:ligatures w14:val="none"/>
        </w:rPr>
      </w:pPr>
    </w:p>
    <w:p w14:paraId="6AF529A7"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The population is projected to continue to age in the local authority over this period.</w:t>
      </w:r>
    </w:p>
    <w:p w14:paraId="5A4BE354" w14:textId="77777777" w:rsidR="00037037" w:rsidRPr="00037037" w:rsidRDefault="00037037" w:rsidP="00D202E7">
      <w:pPr>
        <w:rPr>
          <w:rFonts w:eastAsia="Times New Roman" w:cs="Arial"/>
          <w:kern w:val="0"/>
          <w:lang w:eastAsia="en-GB"/>
          <w14:ligatures w14:val="none"/>
        </w:rPr>
      </w:pPr>
    </w:p>
    <w:p w14:paraId="2C5CEA81"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 xml:space="preserve">8.2.2 Total life expectancy, healthy life expectancy and the ‘inequality gap’ (2020 to 2022) </w:t>
      </w:r>
    </w:p>
    <w:p w14:paraId="039D1A4E" w14:textId="77777777" w:rsidR="00037037" w:rsidRPr="00037037" w:rsidRDefault="00037037" w:rsidP="00D202E7">
      <w:pPr>
        <w:rPr>
          <w:rFonts w:eastAsia="Times New Roman" w:cs="Arial"/>
          <w:b/>
          <w:bCs/>
          <w:kern w:val="0"/>
          <w:lang w:eastAsia="en-GB"/>
          <w14:ligatures w14:val="none"/>
        </w:rPr>
      </w:pPr>
    </w:p>
    <w:p w14:paraId="3D06C1BB" w14:textId="77777777" w:rsidR="00037037" w:rsidRPr="00037037" w:rsidRDefault="00037037" w:rsidP="00B76905">
      <w:pPr>
        <w:numPr>
          <w:ilvl w:val="0"/>
          <w:numId w:val="142"/>
        </w:numPr>
        <w:contextualSpacing/>
        <w:rPr>
          <w:rFonts w:eastAsia="Calibri" w:cs="Arial"/>
          <w:kern w:val="0"/>
          <w:shd w:val="clear" w:color="auto" w:fill="FFFFFF"/>
          <w14:ligatures w14:val="none"/>
        </w:rPr>
      </w:pPr>
      <w:r w:rsidRPr="00037037">
        <w:rPr>
          <w:rFonts w:eastAsia="Calibri" w:cs="Arial"/>
          <w:kern w:val="0"/>
          <w:shd w:val="clear" w:color="auto" w:fill="FFFFFF"/>
          <w14:ligatures w14:val="none"/>
        </w:rPr>
        <w:t xml:space="preserve">Swansea local authority has a lower total life expectancy at birth for females and for males when compared to the average for Wales (table 8.1). </w:t>
      </w:r>
    </w:p>
    <w:p w14:paraId="474300E5" w14:textId="77777777" w:rsidR="00037037" w:rsidRPr="00037037" w:rsidRDefault="00037037" w:rsidP="00B76905">
      <w:pPr>
        <w:numPr>
          <w:ilvl w:val="0"/>
          <w:numId w:val="142"/>
        </w:numPr>
        <w:contextualSpacing/>
        <w:rPr>
          <w:rFonts w:eastAsia="Calibri" w:cs="Arial"/>
          <w:kern w:val="0"/>
          <w14:ligatures w14:val="none"/>
        </w:rPr>
      </w:pPr>
      <w:r w:rsidRPr="00037037">
        <w:rPr>
          <w:rFonts w:eastAsia="Calibri" w:cs="Arial"/>
          <w:bCs/>
          <w:kern w:val="0"/>
          <w14:ligatures w14:val="none"/>
        </w:rPr>
        <w:t>Healthy life expectancy</w:t>
      </w:r>
      <w:r w:rsidRPr="00037037">
        <w:rPr>
          <w:rFonts w:eastAsia="Calibri" w:cs="Arial"/>
          <w:bCs/>
          <w:kern w:val="0"/>
          <w:vertAlign w:val="superscript"/>
          <w14:ligatures w14:val="none"/>
        </w:rPr>
        <w:footnoteReference w:id="230"/>
      </w:r>
      <w:r w:rsidRPr="00037037">
        <w:rPr>
          <w:rFonts w:eastAsia="Calibri" w:cs="Arial"/>
          <w:bCs/>
          <w:kern w:val="0"/>
          <w14:ligatures w14:val="none"/>
        </w:rPr>
        <w:t xml:space="preserve">, defined as </w:t>
      </w:r>
      <w:r w:rsidRPr="00037037">
        <w:rPr>
          <w:rFonts w:eastAsia="Calibri" w:cs="Arial"/>
          <w:kern w:val="0"/>
          <w14:ligatures w14:val="none"/>
        </w:rPr>
        <w:t>the number of years a person can expect to live in good health, is measured at local authority level. In Swansea, healthy life expectancy stands at 59.9 years for males and 59.6 years for females. Comparatively, the Wales average is slightly higher at 60.8 years for males and 60.2 years for females. This indicates that both males and females in Swansea enjoy fewer years of good health than the average across Wales.</w:t>
      </w:r>
    </w:p>
    <w:p w14:paraId="7086227C" w14:textId="77777777" w:rsidR="00037037" w:rsidRPr="00037037" w:rsidRDefault="00037037" w:rsidP="00B76905">
      <w:pPr>
        <w:numPr>
          <w:ilvl w:val="0"/>
          <w:numId w:val="142"/>
        </w:numPr>
        <w:contextualSpacing/>
        <w:rPr>
          <w:rFonts w:eastAsia="Calibri" w:cs="Arial"/>
          <w:kern w:val="0"/>
          <w14:ligatures w14:val="none"/>
        </w:rPr>
      </w:pPr>
      <w:r w:rsidRPr="00037037">
        <w:rPr>
          <w:rFonts w:eastAsia="Calibri" w:cs="Arial"/>
          <w:kern w:val="0"/>
          <w14:ligatures w14:val="none"/>
        </w:rPr>
        <w:t>The differences in healthy life expectancy that exist across an area between the most and least deprived areas is referred to as the ‘inequality gap’. The inequality gap for healthy life expectancy in Swansea is 10.9 years for males and 7.9 years for females.</w:t>
      </w:r>
      <w:r w:rsidRPr="00037037">
        <w:rPr>
          <w:rFonts w:eastAsia="Calibri" w:cs="Arial"/>
          <w:kern w:val="0"/>
          <w:vertAlign w:val="superscript"/>
          <w14:ligatures w14:val="none"/>
        </w:rPr>
        <w:footnoteReference w:id="231"/>
      </w:r>
    </w:p>
    <w:p w14:paraId="64E5F252" w14:textId="77777777" w:rsidR="00037037" w:rsidRPr="00037037" w:rsidRDefault="00037037" w:rsidP="00D202E7">
      <w:pPr>
        <w:rPr>
          <w:rFonts w:eastAsia="Times New Roman" w:cs="Arial"/>
          <w:kern w:val="0"/>
          <w:lang w:eastAsia="en-GB"/>
          <w14:ligatures w14:val="none"/>
        </w:rPr>
      </w:pPr>
    </w:p>
    <w:p w14:paraId="648E169E"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Table 8.1: Total life expectancy at birth for females and males, 2020 to 2022</w:t>
      </w:r>
      <w:r w:rsidRPr="00037037">
        <w:rPr>
          <w:rFonts w:eastAsia="Times New Roman" w:cs="Arial"/>
          <w:b/>
          <w:bCs/>
          <w:kern w:val="0"/>
          <w:vertAlign w:val="superscript"/>
          <w:lang w:eastAsia="en-GB"/>
          <w14:ligatures w14:val="none"/>
        </w:rPr>
        <w:footnoteReference w:id="232"/>
      </w:r>
    </w:p>
    <w:p w14:paraId="3A069BA4" w14:textId="77777777" w:rsidR="00037037" w:rsidRPr="00037037" w:rsidRDefault="00037037" w:rsidP="00D202E7">
      <w:pPr>
        <w:rPr>
          <w:rFonts w:eastAsia="Times New Roman" w:cs="Arial"/>
          <w:b/>
          <w:bCs/>
          <w:kern w:val="0"/>
          <w:lang w:eastAsia="en-GB"/>
          <w14:ligatures w14:val="none"/>
        </w:rPr>
      </w:pPr>
    </w:p>
    <w:tbl>
      <w:tblPr>
        <w:tblStyle w:val="TableGrid6"/>
        <w:tblW w:w="0" w:type="auto"/>
        <w:tblInd w:w="0" w:type="dxa"/>
        <w:tblLook w:val="04A0" w:firstRow="1" w:lastRow="0" w:firstColumn="1" w:lastColumn="0" w:noHBand="0" w:noVBand="1"/>
      </w:tblPr>
      <w:tblGrid>
        <w:gridCol w:w="3005"/>
        <w:gridCol w:w="3005"/>
        <w:gridCol w:w="3006"/>
      </w:tblGrid>
      <w:tr w:rsidR="00037037" w:rsidRPr="00D0306F" w14:paraId="5B3E2BD4" w14:textId="77777777" w:rsidTr="00037037">
        <w:tc>
          <w:tcPr>
            <w:tcW w:w="3005" w:type="dxa"/>
            <w:tcBorders>
              <w:top w:val="single" w:sz="4" w:space="0" w:color="auto"/>
              <w:left w:val="single" w:sz="4" w:space="0" w:color="auto"/>
              <w:bottom w:val="single" w:sz="4" w:space="0" w:color="auto"/>
              <w:right w:val="single" w:sz="4" w:space="0" w:color="auto"/>
            </w:tcBorders>
            <w:shd w:val="clear" w:color="auto" w:fill="153D63"/>
            <w:hideMark/>
          </w:tcPr>
          <w:p w14:paraId="2A8DC02A" w14:textId="77777777" w:rsidR="00037037" w:rsidRPr="00037037" w:rsidRDefault="00037037" w:rsidP="00D202E7">
            <w:pPr>
              <w:rPr>
                <w:rFonts w:eastAsia="Arial" w:cs="Arial"/>
                <w:b/>
                <w:bCs/>
                <w:sz w:val="24"/>
              </w:rPr>
            </w:pPr>
            <w:r w:rsidRPr="00037037">
              <w:rPr>
                <w:rFonts w:eastAsia="Arial" w:cs="Arial"/>
                <w:b/>
                <w:bCs/>
                <w:sz w:val="24"/>
              </w:rPr>
              <w:t>Area</w:t>
            </w:r>
          </w:p>
        </w:tc>
        <w:tc>
          <w:tcPr>
            <w:tcW w:w="3005" w:type="dxa"/>
            <w:tcBorders>
              <w:top w:val="single" w:sz="4" w:space="0" w:color="auto"/>
              <w:left w:val="single" w:sz="4" w:space="0" w:color="auto"/>
              <w:bottom w:val="single" w:sz="4" w:space="0" w:color="auto"/>
              <w:right w:val="single" w:sz="4" w:space="0" w:color="auto"/>
            </w:tcBorders>
            <w:shd w:val="clear" w:color="auto" w:fill="153D63"/>
            <w:hideMark/>
          </w:tcPr>
          <w:p w14:paraId="1B11E014" w14:textId="77777777" w:rsidR="00037037" w:rsidRPr="00037037" w:rsidRDefault="00037037" w:rsidP="00D202E7">
            <w:pPr>
              <w:rPr>
                <w:rFonts w:eastAsia="Arial" w:cs="Arial"/>
                <w:b/>
                <w:bCs/>
                <w:sz w:val="24"/>
              </w:rPr>
            </w:pPr>
            <w:r w:rsidRPr="00037037">
              <w:rPr>
                <w:rFonts w:eastAsia="Arial" w:cs="Arial"/>
                <w:b/>
                <w:bCs/>
                <w:sz w:val="24"/>
              </w:rPr>
              <w:t>Female at birth (years)</w:t>
            </w:r>
          </w:p>
        </w:tc>
        <w:tc>
          <w:tcPr>
            <w:tcW w:w="3006" w:type="dxa"/>
            <w:tcBorders>
              <w:top w:val="single" w:sz="4" w:space="0" w:color="auto"/>
              <w:left w:val="single" w:sz="4" w:space="0" w:color="auto"/>
              <w:bottom w:val="single" w:sz="4" w:space="0" w:color="auto"/>
              <w:right w:val="single" w:sz="4" w:space="0" w:color="auto"/>
            </w:tcBorders>
            <w:shd w:val="clear" w:color="auto" w:fill="153D63"/>
            <w:hideMark/>
          </w:tcPr>
          <w:p w14:paraId="17CE2A6C" w14:textId="77777777" w:rsidR="00037037" w:rsidRPr="00037037" w:rsidRDefault="00037037" w:rsidP="00D202E7">
            <w:pPr>
              <w:rPr>
                <w:rFonts w:eastAsia="Arial" w:cs="Arial"/>
                <w:b/>
                <w:bCs/>
                <w:sz w:val="24"/>
              </w:rPr>
            </w:pPr>
            <w:r w:rsidRPr="00037037">
              <w:rPr>
                <w:rFonts w:eastAsia="Arial" w:cs="Arial"/>
                <w:b/>
                <w:bCs/>
                <w:sz w:val="24"/>
              </w:rPr>
              <w:t>Male at birth (years)</w:t>
            </w:r>
          </w:p>
        </w:tc>
      </w:tr>
      <w:tr w:rsidR="00037037" w:rsidRPr="00037037" w14:paraId="16456D57" w14:textId="77777777" w:rsidTr="00037037">
        <w:tc>
          <w:tcPr>
            <w:tcW w:w="3005" w:type="dxa"/>
            <w:tcBorders>
              <w:top w:val="single" w:sz="4" w:space="0" w:color="auto"/>
              <w:left w:val="single" w:sz="4" w:space="0" w:color="auto"/>
              <w:bottom w:val="single" w:sz="4" w:space="0" w:color="auto"/>
              <w:right w:val="single" w:sz="4" w:space="0" w:color="auto"/>
            </w:tcBorders>
            <w:hideMark/>
          </w:tcPr>
          <w:p w14:paraId="7B243F80" w14:textId="77777777" w:rsidR="00037037" w:rsidRPr="00037037" w:rsidRDefault="00037037" w:rsidP="00D202E7">
            <w:pPr>
              <w:rPr>
                <w:rFonts w:eastAsia="Arial" w:cs="Arial"/>
                <w:sz w:val="24"/>
              </w:rPr>
            </w:pPr>
            <w:r w:rsidRPr="00037037">
              <w:rPr>
                <w:rFonts w:eastAsia="Arial" w:cs="Arial"/>
                <w:sz w:val="24"/>
              </w:rPr>
              <w:t>Swansea</w:t>
            </w:r>
          </w:p>
        </w:tc>
        <w:tc>
          <w:tcPr>
            <w:tcW w:w="3005" w:type="dxa"/>
            <w:tcBorders>
              <w:top w:val="single" w:sz="4" w:space="0" w:color="auto"/>
              <w:left w:val="single" w:sz="4" w:space="0" w:color="auto"/>
              <w:bottom w:val="single" w:sz="4" w:space="0" w:color="auto"/>
              <w:right w:val="single" w:sz="4" w:space="0" w:color="auto"/>
            </w:tcBorders>
            <w:hideMark/>
          </w:tcPr>
          <w:p w14:paraId="38A50963" w14:textId="77777777" w:rsidR="00037037" w:rsidRPr="00037037" w:rsidRDefault="00037037" w:rsidP="00D202E7">
            <w:pPr>
              <w:rPr>
                <w:rFonts w:eastAsia="Arial" w:cs="Arial"/>
                <w:sz w:val="24"/>
              </w:rPr>
            </w:pPr>
            <w:r w:rsidRPr="00037037">
              <w:rPr>
                <w:rFonts w:eastAsia="Arial" w:cs="Arial"/>
                <w:sz w:val="24"/>
              </w:rPr>
              <w:t>81.5</w:t>
            </w:r>
          </w:p>
        </w:tc>
        <w:tc>
          <w:tcPr>
            <w:tcW w:w="3006" w:type="dxa"/>
            <w:tcBorders>
              <w:top w:val="single" w:sz="4" w:space="0" w:color="auto"/>
              <w:left w:val="single" w:sz="4" w:space="0" w:color="auto"/>
              <w:bottom w:val="single" w:sz="4" w:space="0" w:color="auto"/>
              <w:right w:val="single" w:sz="4" w:space="0" w:color="auto"/>
            </w:tcBorders>
            <w:hideMark/>
          </w:tcPr>
          <w:p w14:paraId="2E65E66B" w14:textId="77777777" w:rsidR="00037037" w:rsidRPr="00037037" w:rsidRDefault="00037037" w:rsidP="00D202E7">
            <w:pPr>
              <w:rPr>
                <w:rFonts w:eastAsia="Arial" w:cs="Arial"/>
                <w:sz w:val="24"/>
              </w:rPr>
            </w:pPr>
            <w:r w:rsidRPr="00037037">
              <w:rPr>
                <w:rFonts w:eastAsia="Arial" w:cs="Arial"/>
                <w:sz w:val="24"/>
              </w:rPr>
              <w:t>76.9</w:t>
            </w:r>
          </w:p>
        </w:tc>
      </w:tr>
      <w:tr w:rsidR="00037037" w:rsidRPr="00D0306F" w14:paraId="16D8BD25" w14:textId="77777777" w:rsidTr="00037037">
        <w:tc>
          <w:tcPr>
            <w:tcW w:w="3005" w:type="dxa"/>
            <w:tcBorders>
              <w:top w:val="single" w:sz="4" w:space="0" w:color="auto"/>
              <w:left w:val="single" w:sz="4" w:space="0" w:color="auto"/>
              <w:bottom w:val="single" w:sz="4" w:space="0" w:color="auto"/>
              <w:right w:val="single" w:sz="4" w:space="0" w:color="auto"/>
            </w:tcBorders>
            <w:hideMark/>
          </w:tcPr>
          <w:p w14:paraId="00806D9D" w14:textId="77777777" w:rsidR="00037037" w:rsidRPr="00037037" w:rsidRDefault="00037037" w:rsidP="00D202E7">
            <w:pPr>
              <w:rPr>
                <w:rFonts w:eastAsia="Arial" w:cs="Arial"/>
                <w:sz w:val="24"/>
              </w:rPr>
            </w:pPr>
            <w:r w:rsidRPr="00037037">
              <w:rPr>
                <w:rFonts w:eastAsia="Arial" w:cs="Arial"/>
                <w:sz w:val="24"/>
              </w:rPr>
              <w:t>Wales</w:t>
            </w:r>
          </w:p>
        </w:tc>
        <w:tc>
          <w:tcPr>
            <w:tcW w:w="3005" w:type="dxa"/>
            <w:tcBorders>
              <w:top w:val="single" w:sz="4" w:space="0" w:color="auto"/>
              <w:left w:val="single" w:sz="4" w:space="0" w:color="auto"/>
              <w:bottom w:val="single" w:sz="4" w:space="0" w:color="auto"/>
              <w:right w:val="single" w:sz="4" w:space="0" w:color="auto"/>
            </w:tcBorders>
            <w:shd w:val="clear" w:color="auto" w:fill="FFFFFF"/>
            <w:hideMark/>
          </w:tcPr>
          <w:p w14:paraId="59F9CCB1" w14:textId="77777777" w:rsidR="00037037" w:rsidRPr="00037037" w:rsidRDefault="00037037" w:rsidP="00D202E7">
            <w:pPr>
              <w:rPr>
                <w:rFonts w:eastAsia="Arial" w:cs="Arial"/>
                <w:sz w:val="24"/>
              </w:rPr>
            </w:pPr>
            <w:r w:rsidRPr="00037037">
              <w:rPr>
                <w:rFonts w:eastAsia="Arial" w:cs="Arial"/>
                <w:sz w:val="24"/>
              </w:rPr>
              <w:t>81.8</w:t>
            </w:r>
          </w:p>
        </w:tc>
        <w:tc>
          <w:tcPr>
            <w:tcW w:w="3006" w:type="dxa"/>
            <w:tcBorders>
              <w:top w:val="single" w:sz="4" w:space="0" w:color="auto"/>
              <w:left w:val="single" w:sz="4" w:space="0" w:color="auto"/>
              <w:bottom w:val="single" w:sz="4" w:space="0" w:color="auto"/>
              <w:right w:val="single" w:sz="4" w:space="0" w:color="auto"/>
            </w:tcBorders>
            <w:shd w:val="clear" w:color="auto" w:fill="FFFFFF"/>
            <w:hideMark/>
          </w:tcPr>
          <w:p w14:paraId="5F2E8608" w14:textId="77777777" w:rsidR="00037037" w:rsidRPr="00037037" w:rsidRDefault="00037037" w:rsidP="00D202E7">
            <w:pPr>
              <w:rPr>
                <w:rFonts w:eastAsia="Arial" w:cs="Arial"/>
                <w:sz w:val="24"/>
              </w:rPr>
            </w:pPr>
            <w:r w:rsidRPr="00037037">
              <w:rPr>
                <w:rFonts w:eastAsia="Arial" w:cs="Arial"/>
                <w:sz w:val="24"/>
              </w:rPr>
              <w:t>77.9</w:t>
            </w:r>
          </w:p>
        </w:tc>
      </w:tr>
    </w:tbl>
    <w:p w14:paraId="13DCFEEC" w14:textId="77777777" w:rsidR="00037037" w:rsidRPr="00037037" w:rsidRDefault="00037037" w:rsidP="00D202E7">
      <w:pPr>
        <w:contextualSpacing/>
        <w:rPr>
          <w:rFonts w:eastAsia="Aptos" w:cs="Arial"/>
        </w:rPr>
      </w:pPr>
    </w:p>
    <w:p w14:paraId="202C6C58" w14:textId="77777777" w:rsidR="00037037" w:rsidRPr="00037037" w:rsidRDefault="00037037" w:rsidP="00D202E7">
      <w:pPr>
        <w:contextualSpacing/>
        <w:rPr>
          <w:rFonts w:eastAsia="Aptos" w:cs="Arial"/>
          <w:kern w:val="0"/>
          <w14:ligatures w14:val="none"/>
        </w:rPr>
      </w:pPr>
      <w:r w:rsidRPr="00037037">
        <w:rPr>
          <w:rFonts w:eastAsia="Aptos" w:cs="Arial"/>
        </w:rPr>
        <w:t>Disclaimer: Whilst the data presented in healthy life expectancy show figures for 2024, data from the years 2020 to 2022 have been used to ensure consistency and comparability across all years.</w:t>
      </w:r>
    </w:p>
    <w:p w14:paraId="63451FD1" w14:textId="77777777" w:rsidR="00037037" w:rsidRPr="00037037" w:rsidRDefault="00037037" w:rsidP="00D202E7">
      <w:pPr>
        <w:rPr>
          <w:rFonts w:eastAsia="Times New Roman" w:cs="Arial"/>
          <w:b/>
          <w:bCs/>
          <w:kern w:val="0"/>
          <w:lang w:eastAsia="en-GB"/>
          <w14:ligatures w14:val="none"/>
        </w:rPr>
      </w:pPr>
    </w:p>
    <w:p w14:paraId="6DE28970"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8.2.3 Deprivation</w:t>
      </w:r>
    </w:p>
    <w:p w14:paraId="26BF78D6" w14:textId="77777777" w:rsidR="00037037" w:rsidRPr="00037037" w:rsidRDefault="00037037" w:rsidP="00D202E7">
      <w:pPr>
        <w:rPr>
          <w:rFonts w:eastAsia="Times New Roman" w:cs="Arial"/>
          <w:b/>
          <w:bCs/>
          <w:kern w:val="0"/>
          <w:lang w:eastAsia="en-GB"/>
          <w14:ligatures w14:val="none"/>
        </w:rPr>
      </w:pPr>
    </w:p>
    <w:p w14:paraId="1A8B79FE" w14:textId="77777777" w:rsidR="00037037" w:rsidRPr="00037037" w:rsidRDefault="00037037" w:rsidP="00D202E7">
      <w:pPr>
        <w:contextualSpacing/>
        <w:rPr>
          <w:rFonts w:eastAsia="Aptos" w:cs="Arial"/>
          <w:lang w:eastAsia="en-GB"/>
        </w:rPr>
      </w:pPr>
      <w:r w:rsidRPr="00037037">
        <w:rPr>
          <w:rFonts w:eastAsia="Aptos" w:cs="Arial"/>
        </w:rPr>
        <w:t xml:space="preserve">The link between deprivation and poor health is well documented. Of the five localities in Swansea, Bay Health has the lowest proportion of people living in the most deprived areas in Wales (8.3%), compared with Llwchwr (8.4%), Cwmtawe (22.0%), City Health (47.1%), Penderi (49.7%), and the health board as a whole </w:t>
      </w:r>
      <w:r w:rsidRPr="00037037">
        <w:rPr>
          <w:rFonts w:eastAsia="Aptos" w:cs="Arial"/>
        </w:rPr>
        <w:lastRenderedPageBreak/>
        <w:t>(27.8%).</w:t>
      </w:r>
      <w:r w:rsidRPr="00037037">
        <w:rPr>
          <w:rFonts w:eastAsia="Aptos" w:cs="Arial"/>
          <w:lang w:eastAsia="en-GB"/>
        </w:rPr>
        <w:t xml:space="preserve"> </w:t>
      </w:r>
      <w:r w:rsidRPr="00037037">
        <w:rPr>
          <w:rFonts w:eastAsia="Times New Roman" w:cs="Arial"/>
          <w:kern w:val="0"/>
          <w:lang w:eastAsia="en-GB"/>
          <w14:ligatures w14:val="none"/>
        </w:rPr>
        <w:t>There are, however, small areas of “deep-rooted” deprivation</w:t>
      </w:r>
      <w:r w:rsidRPr="00037037">
        <w:rPr>
          <w:rFonts w:eastAsia="Times New Roman" w:cs="Arial"/>
          <w:kern w:val="0"/>
          <w:vertAlign w:val="superscript"/>
          <w:lang w:eastAsia="en-GB"/>
          <w14:ligatures w14:val="none"/>
        </w:rPr>
        <w:footnoteReference w:id="233"/>
      </w:r>
      <w:r w:rsidRPr="00037037">
        <w:rPr>
          <w:rFonts w:eastAsia="Times New Roman" w:cs="Arial"/>
          <w:kern w:val="0"/>
          <w:lang w:eastAsia="en-GB"/>
          <w14:ligatures w14:val="none"/>
        </w:rPr>
        <w:t xml:space="preserve"> that have remained within the top 50 most deprived areas, roughly equal to the top 2.6% of small areas in Wales for the last six publications of the Welsh Index of Multiple deprivation ranks. Where areas of deprivation exist, the population is likely to be experiencing the poorest health.</w:t>
      </w:r>
    </w:p>
    <w:p w14:paraId="73D3CD5A" w14:textId="77777777" w:rsidR="00037037" w:rsidRPr="00037037" w:rsidRDefault="00037037" w:rsidP="00D202E7">
      <w:pPr>
        <w:rPr>
          <w:rFonts w:eastAsia="Times New Roman" w:cs="Arial"/>
          <w:b/>
          <w:bCs/>
          <w:kern w:val="0"/>
          <w:lang w:eastAsia="en-GB"/>
          <w14:ligatures w14:val="none"/>
        </w:rPr>
      </w:pPr>
    </w:p>
    <w:p w14:paraId="1F79EBDC"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The table below shows the estimated percentage of people living in the most deprived 20% areas in the locality, compared with the health board.</w:t>
      </w:r>
    </w:p>
    <w:p w14:paraId="235A1BA2" w14:textId="77777777" w:rsidR="00037037" w:rsidRPr="00037037" w:rsidRDefault="00037037" w:rsidP="00D202E7">
      <w:pPr>
        <w:rPr>
          <w:rFonts w:eastAsia="Times New Roman" w:cs="Arial"/>
          <w:kern w:val="0"/>
          <w:lang w:eastAsia="en-GB"/>
          <w14:ligatures w14:val="none"/>
        </w:rPr>
      </w:pPr>
    </w:p>
    <w:p w14:paraId="52E2DEFB"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Table 8.2: Estimated percentage of people living in the most deprived 20% of areas in the locality and the health board (2025)</w:t>
      </w:r>
      <w:r w:rsidRPr="00037037">
        <w:rPr>
          <w:rFonts w:eastAsia="Times New Roman" w:cs="Arial"/>
          <w:b/>
          <w:bCs/>
          <w:kern w:val="0"/>
          <w:vertAlign w:val="superscript"/>
          <w:lang w:eastAsia="en-GB"/>
          <w14:ligatures w14:val="none"/>
        </w:rPr>
        <w:footnoteReference w:id="234"/>
      </w:r>
    </w:p>
    <w:p w14:paraId="649127CF" w14:textId="77777777" w:rsidR="00037037" w:rsidRPr="00037037" w:rsidRDefault="00037037" w:rsidP="00D202E7">
      <w:pPr>
        <w:rPr>
          <w:rFonts w:eastAsia="Times New Roman" w:cs="Arial"/>
          <w:b/>
          <w:bCs/>
          <w:kern w:val="0"/>
          <w:lang w:eastAsia="en-GB"/>
          <w14:ligatures w14:val="none"/>
        </w:rPr>
      </w:pPr>
    </w:p>
    <w:tbl>
      <w:tblPr>
        <w:tblStyle w:val="TableGrid6"/>
        <w:tblW w:w="0" w:type="auto"/>
        <w:tblInd w:w="0" w:type="dxa"/>
        <w:tblLook w:val="04A0" w:firstRow="1" w:lastRow="0" w:firstColumn="1" w:lastColumn="0" w:noHBand="0" w:noVBand="1"/>
      </w:tblPr>
      <w:tblGrid>
        <w:gridCol w:w="5382"/>
        <w:gridCol w:w="3634"/>
      </w:tblGrid>
      <w:tr w:rsidR="00D202E7" w:rsidRPr="00D0306F" w14:paraId="3A8E99EB" w14:textId="77777777" w:rsidTr="00037037">
        <w:tc>
          <w:tcPr>
            <w:tcW w:w="5382" w:type="dxa"/>
            <w:tcBorders>
              <w:top w:val="single" w:sz="4" w:space="0" w:color="auto"/>
              <w:left w:val="single" w:sz="4" w:space="0" w:color="auto"/>
              <w:bottom w:val="single" w:sz="4" w:space="0" w:color="auto"/>
              <w:right w:val="single" w:sz="4" w:space="0" w:color="auto"/>
            </w:tcBorders>
            <w:shd w:val="clear" w:color="auto" w:fill="153D63"/>
            <w:hideMark/>
          </w:tcPr>
          <w:p w14:paraId="2FB12E3B" w14:textId="77777777" w:rsidR="00037037" w:rsidRPr="00037037" w:rsidRDefault="00037037" w:rsidP="00D202E7">
            <w:pPr>
              <w:rPr>
                <w:rFonts w:eastAsia="Arial" w:cs="Arial"/>
                <w:b/>
                <w:bCs/>
                <w:sz w:val="24"/>
              </w:rPr>
            </w:pPr>
            <w:r w:rsidRPr="00037037">
              <w:rPr>
                <w:rFonts w:eastAsia="Arial" w:cs="Arial"/>
                <w:b/>
                <w:bCs/>
                <w:sz w:val="24"/>
              </w:rPr>
              <w:t>Area</w:t>
            </w:r>
          </w:p>
        </w:tc>
        <w:tc>
          <w:tcPr>
            <w:tcW w:w="3634" w:type="dxa"/>
            <w:tcBorders>
              <w:top w:val="single" w:sz="4" w:space="0" w:color="auto"/>
              <w:left w:val="single" w:sz="4" w:space="0" w:color="auto"/>
              <w:bottom w:val="single" w:sz="4" w:space="0" w:color="auto"/>
              <w:right w:val="single" w:sz="4" w:space="0" w:color="auto"/>
            </w:tcBorders>
            <w:shd w:val="clear" w:color="auto" w:fill="153D63"/>
            <w:hideMark/>
          </w:tcPr>
          <w:p w14:paraId="3B4754D7" w14:textId="77777777" w:rsidR="00037037" w:rsidRPr="00037037" w:rsidRDefault="00037037" w:rsidP="00D202E7">
            <w:pPr>
              <w:jc w:val="center"/>
              <w:rPr>
                <w:rFonts w:eastAsia="Arial" w:cs="Arial"/>
                <w:b/>
                <w:bCs/>
                <w:sz w:val="24"/>
              </w:rPr>
            </w:pPr>
            <w:r w:rsidRPr="00037037">
              <w:rPr>
                <w:rFonts w:eastAsia="Arial" w:cs="Arial"/>
                <w:b/>
                <w:bCs/>
                <w:sz w:val="24"/>
              </w:rPr>
              <w:t>Percentage</w:t>
            </w:r>
          </w:p>
        </w:tc>
      </w:tr>
      <w:tr w:rsidR="00037037" w:rsidRPr="00037037" w14:paraId="7D5DD412" w14:textId="77777777" w:rsidTr="00037037">
        <w:tc>
          <w:tcPr>
            <w:tcW w:w="5382" w:type="dxa"/>
            <w:tcBorders>
              <w:top w:val="single" w:sz="4" w:space="0" w:color="auto"/>
              <w:left w:val="single" w:sz="4" w:space="0" w:color="auto"/>
              <w:bottom w:val="single" w:sz="4" w:space="0" w:color="auto"/>
              <w:right w:val="single" w:sz="4" w:space="0" w:color="auto"/>
            </w:tcBorders>
            <w:hideMark/>
          </w:tcPr>
          <w:p w14:paraId="0BB38FBC" w14:textId="77777777" w:rsidR="00037037" w:rsidRPr="00037037" w:rsidRDefault="00037037" w:rsidP="00D202E7">
            <w:pPr>
              <w:rPr>
                <w:rFonts w:eastAsia="Arial" w:cs="Arial"/>
                <w:sz w:val="24"/>
              </w:rPr>
            </w:pPr>
            <w:r w:rsidRPr="00037037">
              <w:rPr>
                <w:rFonts w:eastAsia="Arial" w:cs="Arial"/>
                <w:sz w:val="24"/>
              </w:rPr>
              <w:t>Bay Health</w:t>
            </w:r>
          </w:p>
        </w:tc>
        <w:tc>
          <w:tcPr>
            <w:tcW w:w="3634" w:type="dxa"/>
            <w:tcBorders>
              <w:top w:val="single" w:sz="4" w:space="0" w:color="auto"/>
              <w:left w:val="single" w:sz="4" w:space="0" w:color="auto"/>
              <w:bottom w:val="single" w:sz="4" w:space="0" w:color="auto"/>
              <w:right w:val="single" w:sz="4" w:space="0" w:color="auto"/>
            </w:tcBorders>
            <w:hideMark/>
          </w:tcPr>
          <w:p w14:paraId="029DDE17" w14:textId="77777777" w:rsidR="00037037" w:rsidRPr="00037037" w:rsidRDefault="00037037" w:rsidP="00D202E7">
            <w:pPr>
              <w:jc w:val="center"/>
              <w:rPr>
                <w:rFonts w:eastAsia="Arial" w:cs="Arial"/>
                <w:sz w:val="24"/>
              </w:rPr>
            </w:pPr>
            <w:r w:rsidRPr="00037037">
              <w:rPr>
                <w:rFonts w:eastAsia="Arial" w:cs="Arial"/>
                <w:sz w:val="24"/>
              </w:rPr>
              <w:t>8.3%</w:t>
            </w:r>
          </w:p>
        </w:tc>
      </w:tr>
      <w:tr w:rsidR="00037037" w:rsidRPr="00037037" w14:paraId="7B0F6D3B" w14:textId="77777777" w:rsidTr="00037037">
        <w:tc>
          <w:tcPr>
            <w:tcW w:w="5382" w:type="dxa"/>
            <w:tcBorders>
              <w:top w:val="single" w:sz="4" w:space="0" w:color="auto"/>
              <w:left w:val="single" w:sz="4" w:space="0" w:color="auto"/>
              <w:bottom w:val="single" w:sz="4" w:space="0" w:color="auto"/>
              <w:right w:val="single" w:sz="4" w:space="0" w:color="auto"/>
            </w:tcBorders>
            <w:hideMark/>
          </w:tcPr>
          <w:p w14:paraId="139DADD5" w14:textId="77777777" w:rsidR="00037037" w:rsidRPr="00037037" w:rsidRDefault="00037037" w:rsidP="00D202E7">
            <w:pPr>
              <w:rPr>
                <w:rFonts w:eastAsia="Arial" w:cs="Arial"/>
                <w:sz w:val="24"/>
              </w:rPr>
            </w:pPr>
            <w:r w:rsidRPr="00037037">
              <w:rPr>
                <w:rFonts w:eastAsia="Arial" w:cs="Arial"/>
                <w:sz w:val="24"/>
              </w:rPr>
              <w:t>Swansea Bay University Health Board</w:t>
            </w:r>
          </w:p>
        </w:tc>
        <w:tc>
          <w:tcPr>
            <w:tcW w:w="3634" w:type="dxa"/>
            <w:tcBorders>
              <w:top w:val="single" w:sz="4" w:space="0" w:color="auto"/>
              <w:left w:val="single" w:sz="4" w:space="0" w:color="auto"/>
              <w:bottom w:val="single" w:sz="4" w:space="0" w:color="auto"/>
              <w:right w:val="single" w:sz="4" w:space="0" w:color="auto"/>
            </w:tcBorders>
            <w:hideMark/>
          </w:tcPr>
          <w:p w14:paraId="23226F2A" w14:textId="77777777" w:rsidR="00037037" w:rsidRPr="00037037" w:rsidRDefault="00037037" w:rsidP="00D202E7">
            <w:pPr>
              <w:jc w:val="center"/>
              <w:rPr>
                <w:rFonts w:eastAsia="Arial" w:cs="Arial"/>
                <w:sz w:val="24"/>
              </w:rPr>
            </w:pPr>
            <w:r w:rsidRPr="00037037">
              <w:rPr>
                <w:rFonts w:eastAsia="Arial" w:cs="Arial"/>
                <w:sz w:val="24"/>
              </w:rPr>
              <w:t>27.9%</w:t>
            </w:r>
          </w:p>
        </w:tc>
      </w:tr>
    </w:tbl>
    <w:p w14:paraId="19DE5B82" w14:textId="77777777" w:rsidR="00037037" w:rsidRPr="00037037" w:rsidRDefault="00037037" w:rsidP="00D202E7">
      <w:pPr>
        <w:rPr>
          <w:rFonts w:eastAsia="Times New Roman" w:cs="Arial"/>
          <w:b/>
          <w:bCs/>
          <w:kern w:val="0"/>
          <w:lang w:eastAsia="en-GB"/>
          <w14:ligatures w14:val="none"/>
        </w:rPr>
      </w:pPr>
    </w:p>
    <w:p w14:paraId="02695370"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 xml:space="preserve">8.2.4 Health profile </w:t>
      </w:r>
    </w:p>
    <w:p w14:paraId="1DB28E8F" w14:textId="77777777" w:rsidR="00037037" w:rsidRPr="00037037" w:rsidRDefault="00037037" w:rsidP="00D202E7">
      <w:pPr>
        <w:rPr>
          <w:rFonts w:eastAsia="Aptos" w:cs="Arial"/>
        </w:rPr>
      </w:pPr>
    </w:p>
    <w:p w14:paraId="6613D77F" w14:textId="77777777" w:rsidR="00037037" w:rsidRPr="00037037" w:rsidRDefault="00037037" w:rsidP="00D202E7">
      <w:pPr>
        <w:contextualSpacing/>
        <w:rPr>
          <w:rFonts w:eastAsia="Aptos" w:cs="Arial"/>
          <w:lang w:eastAsia="en-GB"/>
        </w:rPr>
      </w:pPr>
      <w:r w:rsidRPr="00037037">
        <w:rPr>
          <w:rFonts w:eastAsia="Aptos" w:cs="Arial"/>
        </w:rPr>
        <w:t>The table below shows that the locality has lower estimated prevalence of chronic conditions than both the health board and Wales averages in asthma (0.6% and 0.7% lower respectively), coronary heart disease (0.5% and 0.6% lower respectively), chronic obstructive pulmonary disease (0.9% lower), and diabetes (2.5% and 2.8% lower respectively). Heart failure aligns with the Wales average and is lower than the health board average (0.2% lower), and stroke and transient ischaemic attack is lower than both the health board and Wales average (0.1% lower).</w:t>
      </w:r>
    </w:p>
    <w:p w14:paraId="223F01EC" w14:textId="77777777" w:rsidR="00037037" w:rsidRPr="00037037" w:rsidRDefault="00037037" w:rsidP="00D202E7">
      <w:pPr>
        <w:keepNext/>
        <w:rPr>
          <w:rFonts w:eastAsia="Times New Roman" w:cs="Arial"/>
          <w:bCs/>
          <w:kern w:val="0"/>
          <w14:ligatures w14:val="none"/>
        </w:rPr>
      </w:pPr>
    </w:p>
    <w:p w14:paraId="66398BF4" w14:textId="77777777" w:rsidR="00037037" w:rsidRPr="00037037" w:rsidRDefault="00037037" w:rsidP="00D202E7">
      <w:pPr>
        <w:keepNext/>
        <w:rPr>
          <w:rFonts w:eastAsia="Times New Roman" w:cs="Arial"/>
          <w:b/>
          <w:bCs/>
          <w:kern w:val="0"/>
          <w14:ligatures w14:val="none"/>
        </w:rPr>
      </w:pPr>
      <w:r w:rsidRPr="00037037">
        <w:rPr>
          <w:rFonts w:eastAsia="Times New Roman" w:cs="Arial"/>
          <w:b/>
          <w:bCs/>
          <w:kern w:val="0"/>
          <w14:ligatures w14:val="none"/>
        </w:rPr>
        <w:t>Table 8.3: Estimated percentage prevalence of chronic condition based on people on GP practice registers by locality, health board and Wales, 2025</w:t>
      </w:r>
      <w:r w:rsidRPr="00037037">
        <w:rPr>
          <w:rFonts w:eastAsia="Times New Roman" w:cs="Arial"/>
          <w:b/>
          <w:bCs/>
          <w:kern w:val="0"/>
          <w:vertAlign w:val="superscript"/>
          <w14:ligatures w14:val="none"/>
        </w:rPr>
        <w:footnoteReference w:id="235"/>
      </w:r>
    </w:p>
    <w:p w14:paraId="48BB0BF2" w14:textId="77777777" w:rsidR="00037037" w:rsidRPr="00037037" w:rsidRDefault="00037037" w:rsidP="00D202E7">
      <w:pPr>
        <w:keepNext/>
        <w:rPr>
          <w:rFonts w:eastAsia="Times New Roman" w:cs="Arial"/>
          <w:b/>
          <w:kern w:val="0"/>
          <w14:ligatures w14:val="none"/>
        </w:rPr>
      </w:pPr>
    </w:p>
    <w:tbl>
      <w:tblPr>
        <w:tblStyle w:val="TableGrid6"/>
        <w:tblW w:w="9214" w:type="dxa"/>
        <w:tblInd w:w="-5" w:type="dxa"/>
        <w:tblLook w:val="04A0" w:firstRow="1" w:lastRow="0" w:firstColumn="1" w:lastColumn="0" w:noHBand="0" w:noVBand="1"/>
      </w:tblPr>
      <w:tblGrid>
        <w:gridCol w:w="1364"/>
        <w:gridCol w:w="1135"/>
        <w:gridCol w:w="1284"/>
        <w:gridCol w:w="1510"/>
        <w:gridCol w:w="1231"/>
        <w:gridCol w:w="1007"/>
        <w:gridCol w:w="1683"/>
      </w:tblGrid>
      <w:tr w:rsidR="00037037" w:rsidRPr="00D0306F" w14:paraId="384A2DA7" w14:textId="77777777" w:rsidTr="00037037">
        <w:tc>
          <w:tcPr>
            <w:tcW w:w="1364" w:type="dxa"/>
            <w:tcBorders>
              <w:top w:val="single" w:sz="4" w:space="0" w:color="auto"/>
              <w:left w:val="single" w:sz="4" w:space="0" w:color="auto"/>
              <w:bottom w:val="single" w:sz="4" w:space="0" w:color="auto"/>
              <w:right w:val="single" w:sz="4" w:space="0" w:color="auto"/>
            </w:tcBorders>
            <w:shd w:val="clear" w:color="auto" w:fill="153D63"/>
            <w:hideMark/>
          </w:tcPr>
          <w:p w14:paraId="4AC629DD" w14:textId="77777777" w:rsidR="00037037" w:rsidRPr="00037037" w:rsidRDefault="00037037" w:rsidP="00D202E7">
            <w:pPr>
              <w:keepNext/>
              <w:rPr>
                <w:rFonts w:eastAsia="Arial" w:cs="Arial"/>
                <w:b/>
                <w:bCs/>
                <w:sz w:val="24"/>
              </w:rPr>
            </w:pPr>
            <w:r w:rsidRPr="00037037">
              <w:rPr>
                <w:rFonts w:eastAsia="Arial" w:cs="Arial"/>
                <w:b/>
                <w:bCs/>
                <w:sz w:val="24"/>
              </w:rPr>
              <w:t>Area</w:t>
            </w:r>
          </w:p>
        </w:tc>
        <w:tc>
          <w:tcPr>
            <w:tcW w:w="1135" w:type="dxa"/>
            <w:tcBorders>
              <w:top w:val="single" w:sz="4" w:space="0" w:color="auto"/>
              <w:left w:val="single" w:sz="4" w:space="0" w:color="auto"/>
              <w:bottom w:val="single" w:sz="4" w:space="0" w:color="auto"/>
              <w:right w:val="single" w:sz="4" w:space="0" w:color="auto"/>
            </w:tcBorders>
            <w:shd w:val="clear" w:color="auto" w:fill="153D63"/>
            <w:hideMark/>
          </w:tcPr>
          <w:p w14:paraId="2F40F328" w14:textId="77777777" w:rsidR="00037037" w:rsidRPr="00037037" w:rsidRDefault="00037037" w:rsidP="00D202E7">
            <w:pPr>
              <w:keepNext/>
              <w:rPr>
                <w:rFonts w:eastAsia="Arial" w:cs="Arial"/>
                <w:b/>
                <w:bCs/>
                <w:sz w:val="24"/>
              </w:rPr>
            </w:pPr>
            <w:r w:rsidRPr="00037037">
              <w:rPr>
                <w:rFonts w:eastAsia="Arial" w:cs="Arial"/>
                <w:b/>
                <w:bCs/>
                <w:sz w:val="24"/>
              </w:rPr>
              <w:t>Asthma</w:t>
            </w:r>
          </w:p>
        </w:tc>
        <w:tc>
          <w:tcPr>
            <w:tcW w:w="1284" w:type="dxa"/>
            <w:tcBorders>
              <w:top w:val="single" w:sz="4" w:space="0" w:color="auto"/>
              <w:left w:val="single" w:sz="4" w:space="0" w:color="auto"/>
              <w:bottom w:val="single" w:sz="4" w:space="0" w:color="auto"/>
              <w:right w:val="single" w:sz="4" w:space="0" w:color="auto"/>
            </w:tcBorders>
            <w:shd w:val="clear" w:color="auto" w:fill="153D63"/>
            <w:hideMark/>
          </w:tcPr>
          <w:p w14:paraId="69BD0046" w14:textId="77777777" w:rsidR="00037037" w:rsidRPr="00037037" w:rsidRDefault="00037037" w:rsidP="00D202E7">
            <w:pPr>
              <w:keepNext/>
              <w:rPr>
                <w:rFonts w:eastAsia="Arial" w:cs="Arial"/>
                <w:b/>
                <w:bCs/>
                <w:sz w:val="24"/>
              </w:rPr>
            </w:pPr>
            <w:r w:rsidRPr="00037037">
              <w:rPr>
                <w:rFonts w:eastAsia="Arial" w:cs="Arial"/>
                <w:b/>
                <w:bCs/>
                <w:sz w:val="24"/>
              </w:rPr>
              <w:t>Coronary heart disease</w:t>
            </w:r>
          </w:p>
        </w:tc>
        <w:tc>
          <w:tcPr>
            <w:tcW w:w="1510" w:type="dxa"/>
            <w:tcBorders>
              <w:top w:val="single" w:sz="4" w:space="0" w:color="auto"/>
              <w:left w:val="single" w:sz="4" w:space="0" w:color="auto"/>
              <w:bottom w:val="single" w:sz="4" w:space="0" w:color="auto"/>
              <w:right w:val="single" w:sz="4" w:space="0" w:color="auto"/>
            </w:tcBorders>
            <w:shd w:val="clear" w:color="auto" w:fill="153D63"/>
            <w:hideMark/>
          </w:tcPr>
          <w:p w14:paraId="12C066DB" w14:textId="77777777" w:rsidR="00037037" w:rsidRPr="00037037" w:rsidRDefault="00037037" w:rsidP="00D202E7">
            <w:pPr>
              <w:keepNext/>
              <w:rPr>
                <w:rFonts w:eastAsia="Arial" w:cs="Arial"/>
                <w:b/>
                <w:bCs/>
                <w:sz w:val="24"/>
              </w:rPr>
            </w:pPr>
            <w:r w:rsidRPr="00037037">
              <w:rPr>
                <w:rFonts w:eastAsia="Arial" w:cs="Arial"/>
                <w:b/>
                <w:bCs/>
                <w:sz w:val="24"/>
              </w:rPr>
              <w:t>Chronic obstructive pulmonary disease</w:t>
            </w:r>
          </w:p>
        </w:tc>
        <w:tc>
          <w:tcPr>
            <w:tcW w:w="1231" w:type="dxa"/>
            <w:tcBorders>
              <w:top w:val="single" w:sz="4" w:space="0" w:color="auto"/>
              <w:left w:val="single" w:sz="4" w:space="0" w:color="auto"/>
              <w:bottom w:val="single" w:sz="4" w:space="0" w:color="auto"/>
              <w:right w:val="single" w:sz="4" w:space="0" w:color="auto"/>
            </w:tcBorders>
            <w:shd w:val="clear" w:color="auto" w:fill="153D63"/>
            <w:hideMark/>
          </w:tcPr>
          <w:p w14:paraId="7A36A8D6" w14:textId="77777777" w:rsidR="00037037" w:rsidRPr="00037037" w:rsidRDefault="00037037" w:rsidP="00D202E7">
            <w:pPr>
              <w:keepNext/>
              <w:rPr>
                <w:rFonts w:eastAsia="Arial" w:cs="Arial"/>
                <w:b/>
                <w:bCs/>
                <w:sz w:val="24"/>
              </w:rPr>
            </w:pPr>
            <w:r w:rsidRPr="00037037">
              <w:rPr>
                <w:rFonts w:eastAsia="Arial" w:cs="Arial"/>
                <w:b/>
                <w:bCs/>
                <w:sz w:val="24"/>
              </w:rPr>
              <w:t>Diabetes</w:t>
            </w:r>
          </w:p>
        </w:tc>
        <w:tc>
          <w:tcPr>
            <w:tcW w:w="1007" w:type="dxa"/>
            <w:tcBorders>
              <w:top w:val="single" w:sz="4" w:space="0" w:color="auto"/>
              <w:left w:val="single" w:sz="4" w:space="0" w:color="auto"/>
              <w:bottom w:val="single" w:sz="4" w:space="0" w:color="auto"/>
              <w:right w:val="single" w:sz="4" w:space="0" w:color="auto"/>
            </w:tcBorders>
            <w:shd w:val="clear" w:color="auto" w:fill="153D63"/>
            <w:hideMark/>
          </w:tcPr>
          <w:p w14:paraId="1DF80C4F" w14:textId="77777777" w:rsidR="00037037" w:rsidRPr="00037037" w:rsidRDefault="00037037" w:rsidP="00D202E7">
            <w:pPr>
              <w:keepNext/>
              <w:rPr>
                <w:rFonts w:eastAsia="Arial" w:cs="Arial"/>
                <w:b/>
                <w:bCs/>
                <w:sz w:val="24"/>
              </w:rPr>
            </w:pPr>
            <w:r w:rsidRPr="00037037">
              <w:rPr>
                <w:rFonts w:eastAsia="Arial" w:cs="Arial"/>
                <w:b/>
                <w:bCs/>
                <w:sz w:val="24"/>
              </w:rPr>
              <w:t>Heart failure</w:t>
            </w:r>
          </w:p>
        </w:tc>
        <w:tc>
          <w:tcPr>
            <w:tcW w:w="1683" w:type="dxa"/>
            <w:tcBorders>
              <w:top w:val="single" w:sz="4" w:space="0" w:color="auto"/>
              <w:left w:val="single" w:sz="4" w:space="0" w:color="auto"/>
              <w:bottom w:val="single" w:sz="4" w:space="0" w:color="auto"/>
              <w:right w:val="single" w:sz="4" w:space="0" w:color="auto"/>
            </w:tcBorders>
            <w:shd w:val="clear" w:color="auto" w:fill="153D63"/>
            <w:hideMark/>
          </w:tcPr>
          <w:p w14:paraId="4FFD0233" w14:textId="77777777" w:rsidR="00037037" w:rsidRPr="00037037" w:rsidRDefault="00037037" w:rsidP="00D202E7">
            <w:pPr>
              <w:keepNext/>
              <w:rPr>
                <w:rFonts w:eastAsia="Arial" w:cs="Arial"/>
                <w:b/>
                <w:bCs/>
                <w:sz w:val="24"/>
              </w:rPr>
            </w:pPr>
            <w:r w:rsidRPr="00037037">
              <w:rPr>
                <w:rFonts w:eastAsia="Arial" w:cs="Arial"/>
                <w:b/>
                <w:bCs/>
                <w:sz w:val="24"/>
              </w:rPr>
              <w:t>Stroke and transient ischaemic attacks</w:t>
            </w:r>
          </w:p>
        </w:tc>
      </w:tr>
      <w:tr w:rsidR="00037037" w:rsidRPr="00037037" w14:paraId="53112A73" w14:textId="77777777" w:rsidTr="00037037">
        <w:tc>
          <w:tcPr>
            <w:tcW w:w="1364" w:type="dxa"/>
            <w:tcBorders>
              <w:top w:val="single" w:sz="4" w:space="0" w:color="auto"/>
              <w:left w:val="single" w:sz="4" w:space="0" w:color="auto"/>
              <w:bottom w:val="single" w:sz="4" w:space="0" w:color="auto"/>
              <w:right w:val="single" w:sz="4" w:space="0" w:color="auto"/>
            </w:tcBorders>
            <w:hideMark/>
          </w:tcPr>
          <w:p w14:paraId="10C63251" w14:textId="77777777" w:rsidR="00037037" w:rsidRPr="00037037" w:rsidRDefault="00037037" w:rsidP="00D202E7">
            <w:pPr>
              <w:keepNext/>
              <w:rPr>
                <w:rFonts w:eastAsia="Arial" w:cs="Arial"/>
                <w:sz w:val="24"/>
              </w:rPr>
            </w:pPr>
            <w:r w:rsidRPr="00037037">
              <w:rPr>
                <w:rFonts w:eastAsia="Arial" w:cs="Arial"/>
                <w:sz w:val="24"/>
              </w:rPr>
              <w:t>Bay Health locality</w:t>
            </w:r>
          </w:p>
        </w:tc>
        <w:tc>
          <w:tcPr>
            <w:tcW w:w="1135" w:type="dxa"/>
            <w:tcBorders>
              <w:top w:val="single" w:sz="4" w:space="0" w:color="auto"/>
              <w:left w:val="single" w:sz="4" w:space="0" w:color="auto"/>
              <w:bottom w:val="single" w:sz="4" w:space="0" w:color="auto"/>
              <w:right w:val="single" w:sz="4" w:space="0" w:color="auto"/>
            </w:tcBorders>
            <w:hideMark/>
          </w:tcPr>
          <w:p w14:paraId="1E850E51" w14:textId="77777777" w:rsidR="00037037" w:rsidRPr="00037037" w:rsidRDefault="00037037" w:rsidP="00D202E7">
            <w:pPr>
              <w:keepNext/>
              <w:rPr>
                <w:rFonts w:eastAsia="Arial" w:cs="Arial"/>
                <w:sz w:val="24"/>
              </w:rPr>
            </w:pPr>
            <w:r w:rsidRPr="00037037">
              <w:rPr>
                <w:rFonts w:eastAsia="Arial" w:cs="Arial"/>
                <w:sz w:val="24"/>
              </w:rPr>
              <w:t>6.4%</w:t>
            </w:r>
          </w:p>
        </w:tc>
        <w:tc>
          <w:tcPr>
            <w:tcW w:w="1284" w:type="dxa"/>
            <w:tcBorders>
              <w:top w:val="single" w:sz="4" w:space="0" w:color="auto"/>
              <w:left w:val="single" w:sz="4" w:space="0" w:color="auto"/>
              <w:bottom w:val="single" w:sz="4" w:space="0" w:color="auto"/>
              <w:right w:val="single" w:sz="4" w:space="0" w:color="auto"/>
            </w:tcBorders>
            <w:hideMark/>
          </w:tcPr>
          <w:p w14:paraId="7182F870" w14:textId="77777777" w:rsidR="00037037" w:rsidRPr="00037037" w:rsidRDefault="00037037" w:rsidP="00D202E7">
            <w:pPr>
              <w:keepNext/>
              <w:rPr>
                <w:rFonts w:eastAsia="Arial" w:cs="Arial"/>
                <w:sz w:val="24"/>
              </w:rPr>
            </w:pPr>
            <w:r w:rsidRPr="00037037">
              <w:rPr>
                <w:rFonts w:eastAsia="Arial" w:cs="Arial"/>
                <w:sz w:val="24"/>
              </w:rPr>
              <w:t>2.8%</w:t>
            </w:r>
          </w:p>
        </w:tc>
        <w:tc>
          <w:tcPr>
            <w:tcW w:w="1510" w:type="dxa"/>
            <w:tcBorders>
              <w:top w:val="single" w:sz="4" w:space="0" w:color="auto"/>
              <w:left w:val="single" w:sz="4" w:space="0" w:color="auto"/>
              <w:bottom w:val="single" w:sz="4" w:space="0" w:color="auto"/>
              <w:right w:val="single" w:sz="4" w:space="0" w:color="auto"/>
            </w:tcBorders>
            <w:hideMark/>
          </w:tcPr>
          <w:p w14:paraId="4881D7AC" w14:textId="77777777" w:rsidR="00037037" w:rsidRPr="00037037" w:rsidRDefault="00037037" w:rsidP="00D202E7">
            <w:pPr>
              <w:keepNext/>
              <w:rPr>
                <w:rFonts w:eastAsia="Arial" w:cs="Arial"/>
                <w:sz w:val="24"/>
              </w:rPr>
            </w:pPr>
            <w:r w:rsidRPr="00037037">
              <w:rPr>
                <w:rFonts w:eastAsia="Arial" w:cs="Arial"/>
                <w:sz w:val="24"/>
              </w:rPr>
              <w:t>1.4%</w:t>
            </w:r>
          </w:p>
        </w:tc>
        <w:tc>
          <w:tcPr>
            <w:tcW w:w="1231" w:type="dxa"/>
            <w:tcBorders>
              <w:top w:val="single" w:sz="4" w:space="0" w:color="auto"/>
              <w:left w:val="single" w:sz="4" w:space="0" w:color="auto"/>
              <w:bottom w:val="single" w:sz="4" w:space="0" w:color="auto"/>
              <w:right w:val="single" w:sz="4" w:space="0" w:color="auto"/>
            </w:tcBorders>
            <w:hideMark/>
          </w:tcPr>
          <w:p w14:paraId="383BCC68" w14:textId="77777777" w:rsidR="00037037" w:rsidRPr="00037037" w:rsidRDefault="00037037" w:rsidP="00D202E7">
            <w:pPr>
              <w:keepNext/>
              <w:rPr>
                <w:rFonts w:eastAsia="Arial" w:cs="Arial"/>
                <w:sz w:val="24"/>
              </w:rPr>
            </w:pPr>
            <w:r w:rsidRPr="00037037">
              <w:rPr>
                <w:rFonts w:eastAsia="Arial" w:cs="Arial"/>
                <w:sz w:val="24"/>
              </w:rPr>
              <w:t>5.6%</w:t>
            </w:r>
          </w:p>
        </w:tc>
        <w:tc>
          <w:tcPr>
            <w:tcW w:w="1007" w:type="dxa"/>
            <w:tcBorders>
              <w:top w:val="single" w:sz="4" w:space="0" w:color="auto"/>
              <w:left w:val="single" w:sz="4" w:space="0" w:color="auto"/>
              <w:bottom w:val="single" w:sz="4" w:space="0" w:color="auto"/>
              <w:right w:val="single" w:sz="4" w:space="0" w:color="auto"/>
            </w:tcBorders>
            <w:hideMark/>
          </w:tcPr>
          <w:p w14:paraId="691D9356" w14:textId="77777777" w:rsidR="00037037" w:rsidRPr="00037037" w:rsidRDefault="00037037" w:rsidP="00D202E7">
            <w:pPr>
              <w:keepNext/>
              <w:rPr>
                <w:rFonts w:eastAsia="Arial" w:cs="Arial"/>
                <w:sz w:val="24"/>
              </w:rPr>
            </w:pPr>
            <w:r w:rsidRPr="00037037">
              <w:rPr>
                <w:rFonts w:eastAsia="Arial" w:cs="Arial"/>
                <w:sz w:val="24"/>
              </w:rPr>
              <w:t>1.4%</w:t>
            </w:r>
          </w:p>
        </w:tc>
        <w:tc>
          <w:tcPr>
            <w:tcW w:w="1683" w:type="dxa"/>
            <w:tcBorders>
              <w:top w:val="single" w:sz="4" w:space="0" w:color="auto"/>
              <w:left w:val="single" w:sz="4" w:space="0" w:color="auto"/>
              <w:bottom w:val="single" w:sz="4" w:space="0" w:color="auto"/>
              <w:right w:val="single" w:sz="4" w:space="0" w:color="auto"/>
            </w:tcBorders>
            <w:hideMark/>
          </w:tcPr>
          <w:p w14:paraId="2EAA371D" w14:textId="77777777" w:rsidR="00037037" w:rsidRPr="00037037" w:rsidRDefault="00037037" w:rsidP="00D202E7">
            <w:pPr>
              <w:keepNext/>
              <w:rPr>
                <w:rFonts w:eastAsia="Arial" w:cs="Arial"/>
                <w:sz w:val="24"/>
              </w:rPr>
            </w:pPr>
            <w:r w:rsidRPr="00037037">
              <w:rPr>
                <w:rFonts w:eastAsia="Arial" w:cs="Arial"/>
                <w:sz w:val="24"/>
              </w:rPr>
              <w:t>2.1%</w:t>
            </w:r>
          </w:p>
        </w:tc>
      </w:tr>
      <w:tr w:rsidR="00037037" w:rsidRPr="00037037" w14:paraId="55165602" w14:textId="77777777" w:rsidTr="00037037">
        <w:tc>
          <w:tcPr>
            <w:tcW w:w="1364" w:type="dxa"/>
            <w:tcBorders>
              <w:top w:val="single" w:sz="4" w:space="0" w:color="auto"/>
              <w:left w:val="single" w:sz="4" w:space="0" w:color="auto"/>
              <w:bottom w:val="single" w:sz="4" w:space="0" w:color="auto"/>
              <w:right w:val="single" w:sz="4" w:space="0" w:color="auto"/>
            </w:tcBorders>
            <w:hideMark/>
          </w:tcPr>
          <w:p w14:paraId="54967297" w14:textId="77777777" w:rsidR="00037037" w:rsidRPr="00037037" w:rsidRDefault="00037037" w:rsidP="00D202E7">
            <w:pPr>
              <w:keepNext/>
              <w:rPr>
                <w:rFonts w:eastAsia="Arial" w:cs="Arial"/>
                <w:sz w:val="24"/>
              </w:rPr>
            </w:pPr>
            <w:r w:rsidRPr="00037037">
              <w:rPr>
                <w:rFonts w:eastAsia="Arial" w:cs="Arial"/>
                <w:sz w:val="24"/>
              </w:rPr>
              <w:t xml:space="preserve">Swansea Bay </w:t>
            </w:r>
          </w:p>
          <w:p w14:paraId="2AB6EB84" w14:textId="77777777" w:rsidR="00037037" w:rsidRPr="00037037" w:rsidRDefault="00037037" w:rsidP="00D202E7">
            <w:pPr>
              <w:keepNext/>
              <w:rPr>
                <w:rFonts w:eastAsia="Arial" w:cs="Arial"/>
                <w:sz w:val="24"/>
              </w:rPr>
            </w:pPr>
            <w:r w:rsidRPr="00037037">
              <w:rPr>
                <w:rFonts w:eastAsia="Arial" w:cs="Arial"/>
                <w:sz w:val="24"/>
              </w:rPr>
              <w:t xml:space="preserve">University Health Board </w:t>
            </w:r>
          </w:p>
        </w:tc>
        <w:tc>
          <w:tcPr>
            <w:tcW w:w="1135" w:type="dxa"/>
            <w:tcBorders>
              <w:top w:val="single" w:sz="4" w:space="0" w:color="auto"/>
              <w:left w:val="single" w:sz="4" w:space="0" w:color="auto"/>
              <w:bottom w:val="single" w:sz="4" w:space="0" w:color="auto"/>
              <w:right w:val="single" w:sz="4" w:space="0" w:color="auto"/>
            </w:tcBorders>
            <w:hideMark/>
          </w:tcPr>
          <w:p w14:paraId="4675E691" w14:textId="77777777" w:rsidR="00037037" w:rsidRPr="00037037" w:rsidRDefault="00037037" w:rsidP="00D202E7">
            <w:pPr>
              <w:keepNext/>
              <w:rPr>
                <w:rFonts w:eastAsia="Arial" w:cs="Arial"/>
                <w:sz w:val="24"/>
              </w:rPr>
            </w:pPr>
            <w:r w:rsidRPr="00037037">
              <w:rPr>
                <w:rFonts w:eastAsia="Arial" w:cs="Arial"/>
                <w:sz w:val="24"/>
              </w:rPr>
              <w:t>7.0%</w:t>
            </w:r>
          </w:p>
        </w:tc>
        <w:tc>
          <w:tcPr>
            <w:tcW w:w="1284" w:type="dxa"/>
            <w:tcBorders>
              <w:top w:val="single" w:sz="4" w:space="0" w:color="auto"/>
              <w:left w:val="single" w:sz="4" w:space="0" w:color="auto"/>
              <w:bottom w:val="single" w:sz="4" w:space="0" w:color="auto"/>
              <w:right w:val="single" w:sz="4" w:space="0" w:color="auto"/>
            </w:tcBorders>
            <w:hideMark/>
          </w:tcPr>
          <w:p w14:paraId="341B2AAF" w14:textId="77777777" w:rsidR="00037037" w:rsidRPr="00037037" w:rsidRDefault="00037037" w:rsidP="00D202E7">
            <w:pPr>
              <w:keepNext/>
              <w:rPr>
                <w:rFonts w:eastAsia="Arial" w:cs="Arial"/>
                <w:sz w:val="24"/>
              </w:rPr>
            </w:pPr>
            <w:r w:rsidRPr="00037037">
              <w:rPr>
                <w:rFonts w:eastAsia="Arial" w:cs="Arial"/>
                <w:sz w:val="24"/>
              </w:rPr>
              <w:t>3.3%</w:t>
            </w:r>
          </w:p>
        </w:tc>
        <w:tc>
          <w:tcPr>
            <w:tcW w:w="1510" w:type="dxa"/>
            <w:tcBorders>
              <w:top w:val="single" w:sz="4" w:space="0" w:color="auto"/>
              <w:left w:val="single" w:sz="4" w:space="0" w:color="auto"/>
              <w:bottom w:val="single" w:sz="4" w:space="0" w:color="auto"/>
              <w:right w:val="single" w:sz="4" w:space="0" w:color="auto"/>
            </w:tcBorders>
            <w:hideMark/>
          </w:tcPr>
          <w:p w14:paraId="11414588" w14:textId="77777777" w:rsidR="00037037" w:rsidRPr="00037037" w:rsidRDefault="00037037" w:rsidP="00D202E7">
            <w:pPr>
              <w:keepNext/>
              <w:rPr>
                <w:rFonts w:eastAsia="Arial" w:cs="Arial"/>
                <w:sz w:val="24"/>
              </w:rPr>
            </w:pPr>
            <w:r w:rsidRPr="00037037">
              <w:rPr>
                <w:rFonts w:eastAsia="Arial" w:cs="Arial"/>
                <w:sz w:val="24"/>
              </w:rPr>
              <w:t>2.3%</w:t>
            </w:r>
          </w:p>
        </w:tc>
        <w:tc>
          <w:tcPr>
            <w:tcW w:w="1231" w:type="dxa"/>
            <w:tcBorders>
              <w:top w:val="single" w:sz="4" w:space="0" w:color="auto"/>
              <w:left w:val="single" w:sz="4" w:space="0" w:color="auto"/>
              <w:bottom w:val="single" w:sz="4" w:space="0" w:color="auto"/>
              <w:right w:val="single" w:sz="4" w:space="0" w:color="auto"/>
            </w:tcBorders>
            <w:hideMark/>
          </w:tcPr>
          <w:p w14:paraId="1015309A" w14:textId="77777777" w:rsidR="00037037" w:rsidRPr="00037037" w:rsidRDefault="00037037" w:rsidP="00D202E7">
            <w:pPr>
              <w:keepNext/>
              <w:rPr>
                <w:rFonts w:eastAsia="Arial" w:cs="Arial"/>
                <w:sz w:val="24"/>
              </w:rPr>
            </w:pPr>
            <w:r w:rsidRPr="00037037">
              <w:rPr>
                <w:rFonts w:eastAsia="Arial" w:cs="Arial"/>
                <w:sz w:val="24"/>
              </w:rPr>
              <w:t>8.1%</w:t>
            </w:r>
          </w:p>
        </w:tc>
        <w:tc>
          <w:tcPr>
            <w:tcW w:w="1007" w:type="dxa"/>
            <w:tcBorders>
              <w:top w:val="single" w:sz="4" w:space="0" w:color="auto"/>
              <w:left w:val="single" w:sz="4" w:space="0" w:color="auto"/>
              <w:bottom w:val="single" w:sz="4" w:space="0" w:color="auto"/>
              <w:right w:val="single" w:sz="4" w:space="0" w:color="auto"/>
            </w:tcBorders>
            <w:hideMark/>
          </w:tcPr>
          <w:p w14:paraId="17F62E48" w14:textId="77777777" w:rsidR="00037037" w:rsidRPr="00037037" w:rsidRDefault="00037037" w:rsidP="00D202E7">
            <w:pPr>
              <w:keepNext/>
              <w:rPr>
                <w:rFonts w:eastAsia="Arial" w:cs="Arial"/>
                <w:sz w:val="24"/>
              </w:rPr>
            </w:pPr>
            <w:r w:rsidRPr="00037037">
              <w:rPr>
                <w:rFonts w:eastAsia="Arial" w:cs="Arial"/>
                <w:sz w:val="24"/>
              </w:rPr>
              <w:t>1.6%</w:t>
            </w:r>
          </w:p>
        </w:tc>
        <w:tc>
          <w:tcPr>
            <w:tcW w:w="1683" w:type="dxa"/>
            <w:tcBorders>
              <w:top w:val="single" w:sz="4" w:space="0" w:color="auto"/>
              <w:left w:val="single" w:sz="4" w:space="0" w:color="auto"/>
              <w:bottom w:val="single" w:sz="4" w:space="0" w:color="auto"/>
              <w:right w:val="single" w:sz="4" w:space="0" w:color="auto"/>
            </w:tcBorders>
            <w:hideMark/>
          </w:tcPr>
          <w:p w14:paraId="5A5A4BAF" w14:textId="77777777" w:rsidR="00037037" w:rsidRPr="00037037" w:rsidRDefault="00037037" w:rsidP="00D202E7">
            <w:pPr>
              <w:keepNext/>
              <w:rPr>
                <w:rFonts w:eastAsia="Arial" w:cs="Arial"/>
                <w:sz w:val="24"/>
              </w:rPr>
            </w:pPr>
            <w:r w:rsidRPr="00037037">
              <w:rPr>
                <w:rFonts w:eastAsia="Arial" w:cs="Arial"/>
                <w:sz w:val="24"/>
              </w:rPr>
              <w:t>2.2%</w:t>
            </w:r>
          </w:p>
        </w:tc>
      </w:tr>
      <w:tr w:rsidR="00037037" w:rsidRPr="00037037" w14:paraId="582F6FA9" w14:textId="77777777" w:rsidTr="00037037">
        <w:tc>
          <w:tcPr>
            <w:tcW w:w="1364" w:type="dxa"/>
            <w:tcBorders>
              <w:top w:val="single" w:sz="4" w:space="0" w:color="auto"/>
              <w:left w:val="single" w:sz="4" w:space="0" w:color="auto"/>
              <w:bottom w:val="single" w:sz="4" w:space="0" w:color="auto"/>
              <w:right w:val="single" w:sz="4" w:space="0" w:color="auto"/>
            </w:tcBorders>
            <w:hideMark/>
          </w:tcPr>
          <w:p w14:paraId="54EE77F9" w14:textId="77777777" w:rsidR="00037037" w:rsidRPr="00037037" w:rsidRDefault="00037037" w:rsidP="00D202E7">
            <w:pPr>
              <w:keepNext/>
              <w:rPr>
                <w:rFonts w:eastAsia="Arial" w:cs="Arial"/>
                <w:sz w:val="24"/>
              </w:rPr>
            </w:pPr>
            <w:r w:rsidRPr="00037037">
              <w:rPr>
                <w:rFonts w:eastAsia="Arial" w:cs="Arial"/>
                <w:sz w:val="24"/>
              </w:rPr>
              <w:t>Wales</w:t>
            </w:r>
          </w:p>
        </w:tc>
        <w:tc>
          <w:tcPr>
            <w:tcW w:w="1135" w:type="dxa"/>
            <w:tcBorders>
              <w:top w:val="single" w:sz="4" w:space="0" w:color="auto"/>
              <w:left w:val="single" w:sz="4" w:space="0" w:color="auto"/>
              <w:bottom w:val="single" w:sz="4" w:space="0" w:color="auto"/>
              <w:right w:val="single" w:sz="4" w:space="0" w:color="auto"/>
            </w:tcBorders>
            <w:hideMark/>
          </w:tcPr>
          <w:p w14:paraId="5B7D5EDA" w14:textId="77777777" w:rsidR="00037037" w:rsidRPr="00037037" w:rsidRDefault="00037037" w:rsidP="00D202E7">
            <w:pPr>
              <w:keepNext/>
              <w:rPr>
                <w:rFonts w:eastAsia="Arial" w:cs="Arial"/>
                <w:sz w:val="24"/>
              </w:rPr>
            </w:pPr>
            <w:r w:rsidRPr="00037037">
              <w:rPr>
                <w:rFonts w:eastAsia="Arial" w:cs="Arial"/>
                <w:sz w:val="24"/>
              </w:rPr>
              <w:t>7.1%</w:t>
            </w:r>
          </w:p>
        </w:tc>
        <w:tc>
          <w:tcPr>
            <w:tcW w:w="1284" w:type="dxa"/>
            <w:tcBorders>
              <w:top w:val="single" w:sz="4" w:space="0" w:color="auto"/>
              <w:left w:val="single" w:sz="4" w:space="0" w:color="auto"/>
              <w:bottom w:val="single" w:sz="4" w:space="0" w:color="auto"/>
              <w:right w:val="single" w:sz="4" w:space="0" w:color="auto"/>
            </w:tcBorders>
            <w:hideMark/>
          </w:tcPr>
          <w:p w14:paraId="73ACB167" w14:textId="77777777" w:rsidR="00037037" w:rsidRPr="00037037" w:rsidRDefault="00037037" w:rsidP="00D202E7">
            <w:pPr>
              <w:keepNext/>
              <w:rPr>
                <w:rFonts w:eastAsia="Arial" w:cs="Arial"/>
                <w:sz w:val="24"/>
              </w:rPr>
            </w:pPr>
            <w:r w:rsidRPr="00037037">
              <w:rPr>
                <w:rFonts w:eastAsia="Arial" w:cs="Arial"/>
                <w:sz w:val="24"/>
              </w:rPr>
              <w:t>3.4%</w:t>
            </w:r>
          </w:p>
        </w:tc>
        <w:tc>
          <w:tcPr>
            <w:tcW w:w="1510" w:type="dxa"/>
            <w:tcBorders>
              <w:top w:val="single" w:sz="4" w:space="0" w:color="auto"/>
              <w:left w:val="single" w:sz="4" w:space="0" w:color="auto"/>
              <w:bottom w:val="single" w:sz="4" w:space="0" w:color="auto"/>
              <w:right w:val="single" w:sz="4" w:space="0" w:color="auto"/>
            </w:tcBorders>
            <w:hideMark/>
          </w:tcPr>
          <w:p w14:paraId="431E9EF3" w14:textId="77777777" w:rsidR="00037037" w:rsidRPr="00037037" w:rsidRDefault="00037037" w:rsidP="00D202E7">
            <w:pPr>
              <w:keepNext/>
              <w:rPr>
                <w:rFonts w:eastAsia="Arial" w:cs="Arial"/>
                <w:sz w:val="24"/>
              </w:rPr>
            </w:pPr>
            <w:r w:rsidRPr="00037037">
              <w:rPr>
                <w:rFonts w:eastAsia="Arial" w:cs="Arial"/>
                <w:sz w:val="24"/>
              </w:rPr>
              <w:t>2.3%</w:t>
            </w:r>
          </w:p>
        </w:tc>
        <w:tc>
          <w:tcPr>
            <w:tcW w:w="1231" w:type="dxa"/>
            <w:tcBorders>
              <w:top w:val="single" w:sz="4" w:space="0" w:color="auto"/>
              <w:left w:val="single" w:sz="4" w:space="0" w:color="auto"/>
              <w:bottom w:val="single" w:sz="4" w:space="0" w:color="auto"/>
              <w:right w:val="single" w:sz="4" w:space="0" w:color="auto"/>
            </w:tcBorders>
            <w:hideMark/>
          </w:tcPr>
          <w:p w14:paraId="08C4A4BA" w14:textId="77777777" w:rsidR="00037037" w:rsidRPr="00037037" w:rsidRDefault="00037037" w:rsidP="00D202E7">
            <w:pPr>
              <w:keepNext/>
              <w:rPr>
                <w:rFonts w:eastAsia="Arial" w:cs="Arial"/>
                <w:sz w:val="24"/>
              </w:rPr>
            </w:pPr>
            <w:r w:rsidRPr="00037037">
              <w:rPr>
                <w:rFonts w:eastAsia="Arial" w:cs="Arial"/>
                <w:sz w:val="24"/>
              </w:rPr>
              <w:t>8.4%</w:t>
            </w:r>
          </w:p>
        </w:tc>
        <w:tc>
          <w:tcPr>
            <w:tcW w:w="1007" w:type="dxa"/>
            <w:tcBorders>
              <w:top w:val="single" w:sz="4" w:space="0" w:color="auto"/>
              <w:left w:val="single" w:sz="4" w:space="0" w:color="auto"/>
              <w:bottom w:val="single" w:sz="4" w:space="0" w:color="auto"/>
              <w:right w:val="single" w:sz="4" w:space="0" w:color="auto"/>
            </w:tcBorders>
            <w:hideMark/>
          </w:tcPr>
          <w:p w14:paraId="7AF01BE1" w14:textId="77777777" w:rsidR="00037037" w:rsidRPr="00037037" w:rsidRDefault="00037037" w:rsidP="00D202E7">
            <w:pPr>
              <w:keepNext/>
              <w:rPr>
                <w:rFonts w:eastAsia="Arial" w:cs="Arial"/>
                <w:sz w:val="24"/>
              </w:rPr>
            </w:pPr>
            <w:r w:rsidRPr="00037037">
              <w:rPr>
                <w:rFonts w:eastAsia="Arial" w:cs="Arial"/>
                <w:sz w:val="24"/>
              </w:rPr>
              <w:t>1.4%</w:t>
            </w:r>
          </w:p>
        </w:tc>
        <w:tc>
          <w:tcPr>
            <w:tcW w:w="1683" w:type="dxa"/>
            <w:tcBorders>
              <w:top w:val="single" w:sz="4" w:space="0" w:color="auto"/>
              <w:left w:val="single" w:sz="4" w:space="0" w:color="auto"/>
              <w:bottom w:val="single" w:sz="4" w:space="0" w:color="auto"/>
              <w:right w:val="single" w:sz="4" w:space="0" w:color="auto"/>
            </w:tcBorders>
            <w:hideMark/>
          </w:tcPr>
          <w:p w14:paraId="686A7C4C" w14:textId="77777777" w:rsidR="00037037" w:rsidRPr="00037037" w:rsidRDefault="00037037" w:rsidP="00D202E7">
            <w:pPr>
              <w:keepNext/>
              <w:rPr>
                <w:rFonts w:eastAsia="Arial" w:cs="Arial"/>
                <w:sz w:val="24"/>
              </w:rPr>
            </w:pPr>
            <w:r w:rsidRPr="00037037">
              <w:rPr>
                <w:rFonts w:eastAsia="Arial" w:cs="Arial"/>
                <w:sz w:val="24"/>
              </w:rPr>
              <w:t>2.2%</w:t>
            </w:r>
          </w:p>
        </w:tc>
      </w:tr>
    </w:tbl>
    <w:p w14:paraId="2EDB907F" w14:textId="77777777" w:rsidR="00037037" w:rsidRPr="00037037" w:rsidRDefault="00037037" w:rsidP="00D202E7">
      <w:pPr>
        <w:rPr>
          <w:rFonts w:eastAsia="Times New Roman" w:cs="Arial"/>
          <w:kern w:val="0"/>
          <w:lang w:eastAsia="en-GB"/>
          <w14:ligatures w14:val="none"/>
        </w:rPr>
      </w:pPr>
    </w:p>
    <w:p w14:paraId="38431368"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lastRenderedPageBreak/>
        <w:t>The table below compares the percentage of people registered with a mental health condition and dementia in the locality with the health board and Wales averages. It shows the rates in mental health align with the Wales average and is lower than the health board average (0.2% lower) and dementia aligns with both the health board and Wales average.</w:t>
      </w:r>
    </w:p>
    <w:p w14:paraId="004C4A43" w14:textId="77777777" w:rsidR="00037037" w:rsidRPr="00037037" w:rsidRDefault="00037037" w:rsidP="00D202E7">
      <w:pPr>
        <w:rPr>
          <w:rFonts w:eastAsia="Times New Roman" w:cs="Arial"/>
          <w:b/>
          <w:bCs/>
          <w:kern w:val="0"/>
          <w:lang w:eastAsia="en-GB"/>
          <w14:ligatures w14:val="none"/>
        </w:rPr>
      </w:pPr>
    </w:p>
    <w:p w14:paraId="09C998C7"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Table 8.4: Percentage of people registered as having a mental health condition, and dementia by locality, health board and Wales, 2025</w:t>
      </w:r>
      <w:r w:rsidRPr="00037037">
        <w:rPr>
          <w:rFonts w:eastAsia="Times New Roman" w:cs="Arial"/>
          <w:b/>
          <w:bCs/>
          <w:kern w:val="0"/>
          <w:vertAlign w:val="superscript"/>
          <w:lang w:eastAsia="en-GB"/>
          <w14:ligatures w14:val="none"/>
        </w:rPr>
        <w:footnoteReference w:id="236"/>
      </w:r>
    </w:p>
    <w:p w14:paraId="15F6B2C2" w14:textId="77777777" w:rsidR="00037037" w:rsidRPr="00037037" w:rsidRDefault="00037037" w:rsidP="00D202E7">
      <w:pPr>
        <w:rPr>
          <w:rFonts w:eastAsia="Times New Roman" w:cs="Arial"/>
          <w:kern w:val="0"/>
          <w:lang w:eastAsia="en-GB"/>
          <w14:ligatures w14:val="none"/>
        </w:rPr>
      </w:pPr>
    </w:p>
    <w:tbl>
      <w:tblPr>
        <w:tblStyle w:val="TableGrid6"/>
        <w:tblW w:w="8359" w:type="dxa"/>
        <w:tblInd w:w="0" w:type="dxa"/>
        <w:tblLook w:val="04A0" w:firstRow="1" w:lastRow="0" w:firstColumn="1" w:lastColumn="0" w:noHBand="0" w:noVBand="1"/>
      </w:tblPr>
      <w:tblGrid>
        <w:gridCol w:w="4957"/>
        <w:gridCol w:w="1904"/>
        <w:gridCol w:w="1498"/>
      </w:tblGrid>
      <w:tr w:rsidR="00037037" w:rsidRPr="00D0306F" w14:paraId="507F3E64" w14:textId="77777777" w:rsidTr="00037037">
        <w:tc>
          <w:tcPr>
            <w:tcW w:w="4957" w:type="dxa"/>
            <w:tcBorders>
              <w:top w:val="single" w:sz="4" w:space="0" w:color="auto"/>
              <w:left w:val="single" w:sz="4" w:space="0" w:color="auto"/>
              <w:bottom w:val="single" w:sz="4" w:space="0" w:color="auto"/>
              <w:right w:val="single" w:sz="4" w:space="0" w:color="auto"/>
            </w:tcBorders>
            <w:shd w:val="clear" w:color="auto" w:fill="153D63"/>
            <w:hideMark/>
          </w:tcPr>
          <w:p w14:paraId="343481A1" w14:textId="77777777" w:rsidR="00037037" w:rsidRPr="00037037" w:rsidRDefault="00037037" w:rsidP="00D202E7">
            <w:pPr>
              <w:rPr>
                <w:rFonts w:eastAsia="Arial" w:cs="Arial"/>
                <w:sz w:val="24"/>
              </w:rPr>
            </w:pPr>
            <w:r w:rsidRPr="00037037">
              <w:rPr>
                <w:rFonts w:eastAsia="Arial" w:cs="Arial"/>
                <w:b/>
                <w:bCs/>
                <w:sz w:val="24"/>
              </w:rPr>
              <w:t>Area</w:t>
            </w:r>
          </w:p>
        </w:tc>
        <w:tc>
          <w:tcPr>
            <w:tcW w:w="1904" w:type="dxa"/>
            <w:tcBorders>
              <w:top w:val="single" w:sz="4" w:space="0" w:color="auto"/>
              <w:left w:val="single" w:sz="4" w:space="0" w:color="auto"/>
              <w:bottom w:val="single" w:sz="4" w:space="0" w:color="auto"/>
              <w:right w:val="single" w:sz="4" w:space="0" w:color="auto"/>
            </w:tcBorders>
            <w:shd w:val="clear" w:color="auto" w:fill="153D63"/>
            <w:hideMark/>
          </w:tcPr>
          <w:p w14:paraId="5D5DBAD1" w14:textId="77777777" w:rsidR="00037037" w:rsidRPr="00037037" w:rsidRDefault="00037037" w:rsidP="00D202E7">
            <w:pPr>
              <w:jc w:val="center"/>
              <w:rPr>
                <w:rFonts w:eastAsia="Arial" w:cs="Arial"/>
                <w:sz w:val="24"/>
              </w:rPr>
            </w:pPr>
            <w:r w:rsidRPr="00037037">
              <w:rPr>
                <w:rFonts w:eastAsia="Arial" w:cs="Arial"/>
                <w:b/>
                <w:bCs/>
                <w:sz w:val="24"/>
              </w:rPr>
              <w:t>Mental health</w:t>
            </w:r>
          </w:p>
        </w:tc>
        <w:tc>
          <w:tcPr>
            <w:tcW w:w="1498" w:type="dxa"/>
            <w:tcBorders>
              <w:top w:val="single" w:sz="4" w:space="0" w:color="auto"/>
              <w:left w:val="single" w:sz="4" w:space="0" w:color="auto"/>
              <w:bottom w:val="single" w:sz="4" w:space="0" w:color="auto"/>
              <w:right w:val="single" w:sz="4" w:space="0" w:color="auto"/>
            </w:tcBorders>
            <w:shd w:val="clear" w:color="auto" w:fill="153D63"/>
            <w:hideMark/>
          </w:tcPr>
          <w:p w14:paraId="6FD4C465" w14:textId="77777777" w:rsidR="00037037" w:rsidRPr="00037037" w:rsidRDefault="00037037" w:rsidP="00D202E7">
            <w:pPr>
              <w:jc w:val="center"/>
              <w:rPr>
                <w:rFonts w:eastAsia="Arial" w:cs="Arial"/>
                <w:b/>
                <w:bCs/>
                <w:sz w:val="24"/>
              </w:rPr>
            </w:pPr>
            <w:r w:rsidRPr="00037037">
              <w:rPr>
                <w:rFonts w:eastAsia="Arial" w:cs="Arial"/>
                <w:b/>
                <w:bCs/>
                <w:sz w:val="24"/>
              </w:rPr>
              <w:t>Dementia</w:t>
            </w:r>
          </w:p>
        </w:tc>
      </w:tr>
      <w:tr w:rsidR="00037037" w:rsidRPr="00037037" w14:paraId="63ED4911" w14:textId="77777777" w:rsidTr="00037037">
        <w:tc>
          <w:tcPr>
            <w:tcW w:w="4957" w:type="dxa"/>
            <w:tcBorders>
              <w:top w:val="single" w:sz="4" w:space="0" w:color="auto"/>
              <w:left w:val="single" w:sz="4" w:space="0" w:color="auto"/>
              <w:bottom w:val="single" w:sz="4" w:space="0" w:color="auto"/>
              <w:right w:val="single" w:sz="4" w:space="0" w:color="auto"/>
            </w:tcBorders>
            <w:hideMark/>
          </w:tcPr>
          <w:p w14:paraId="3C896B27" w14:textId="77777777" w:rsidR="00037037" w:rsidRPr="00037037" w:rsidRDefault="00037037" w:rsidP="00D202E7">
            <w:pPr>
              <w:tabs>
                <w:tab w:val="left" w:pos="2078"/>
              </w:tabs>
              <w:rPr>
                <w:rFonts w:eastAsia="Arial" w:cs="Arial"/>
                <w:sz w:val="24"/>
              </w:rPr>
            </w:pPr>
            <w:r w:rsidRPr="00037037">
              <w:rPr>
                <w:rFonts w:eastAsia="Arial" w:cs="Arial"/>
                <w:sz w:val="24"/>
              </w:rPr>
              <w:t>Bay Health locality</w:t>
            </w:r>
          </w:p>
        </w:tc>
        <w:tc>
          <w:tcPr>
            <w:tcW w:w="1904" w:type="dxa"/>
            <w:tcBorders>
              <w:top w:val="single" w:sz="4" w:space="0" w:color="auto"/>
              <w:left w:val="single" w:sz="4" w:space="0" w:color="auto"/>
              <w:bottom w:val="single" w:sz="4" w:space="0" w:color="auto"/>
              <w:right w:val="single" w:sz="4" w:space="0" w:color="auto"/>
            </w:tcBorders>
            <w:hideMark/>
          </w:tcPr>
          <w:p w14:paraId="7EE0956D" w14:textId="77777777" w:rsidR="00037037" w:rsidRPr="00037037" w:rsidRDefault="00037037" w:rsidP="00D202E7">
            <w:pPr>
              <w:jc w:val="center"/>
              <w:rPr>
                <w:rFonts w:eastAsia="Arial" w:cs="Arial"/>
                <w:sz w:val="24"/>
              </w:rPr>
            </w:pPr>
            <w:r w:rsidRPr="00037037">
              <w:rPr>
                <w:rFonts w:eastAsia="Arial" w:cs="Arial"/>
                <w:sz w:val="24"/>
              </w:rPr>
              <w:t>1.1%</w:t>
            </w:r>
          </w:p>
        </w:tc>
        <w:tc>
          <w:tcPr>
            <w:tcW w:w="1498" w:type="dxa"/>
            <w:tcBorders>
              <w:top w:val="single" w:sz="4" w:space="0" w:color="auto"/>
              <w:left w:val="single" w:sz="4" w:space="0" w:color="auto"/>
              <w:bottom w:val="single" w:sz="4" w:space="0" w:color="auto"/>
              <w:right w:val="single" w:sz="4" w:space="0" w:color="auto"/>
            </w:tcBorders>
            <w:hideMark/>
          </w:tcPr>
          <w:p w14:paraId="08D163C6" w14:textId="77777777" w:rsidR="00037037" w:rsidRPr="00037037" w:rsidRDefault="00037037" w:rsidP="00D202E7">
            <w:pPr>
              <w:jc w:val="center"/>
              <w:rPr>
                <w:rFonts w:eastAsia="Arial" w:cs="Arial"/>
                <w:sz w:val="24"/>
              </w:rPr>
            </w:pPr>
            <w:r w:rsidRPr="00037037">
              <w:rPr>
                <w:rFonts w:eastAsia="Arial" w:cs="Arial"/>
                <w:sz w:val="24"/>
              </w:rPr>
              <w:t>0.8%</w:t>
            </w:r>
          </w:p>
        </w:tc>
      </w:tr>
      <w:tr w:rsidR="00037037" w:rsidRPr="00037037" w14:paraId="5805F1EC" w14:textId="77777777" w:rsidTr="00037037">
        <w:tc>
          <w:tcPr>
            <w:tcW w:w="4957" w:type="dxa"/>
            <w:tcBorders>
              <w:top w:val="single" w:sz="4" w:space="0" w:color="auto"/>
              <w:left w:val="single" w:sz="4" w:space="0" w:color="auto"/>
              <w:bottom w:val="single" w:sz="4" w:space="0" w:color="auto"/>
              <w:right w:val="single" w:sz="4" w:space="0" w:color="auto"/>
            </w:tcBorders>
            <w:hideMark/>
          </w:tcPr>
          <w:p w14:paraId="2118FC7A" w14:textId="77777777" w:rsidR="00037037" w:rsidRPr="00037037" w:rsidRDefault="00037037" w:rsidP="00D202E7">
            <w:pPr>
              <w:rPr>
                <w:rFonts w:eastAsia="Arial" w:cs="Arial"/>
                <w:sz w:val="24"/>
              </w:rPr>
            </w:pPr>
            <w:r w:rsidRPr="00037037">
              <w:rPr>
                <w:rFonts w:eastAsia="Arial" w:cs="Arial"/>
                <w:sz w:val="24"/>
              </w:rPr>
              <w:t>Swansea Bay University Health Board</w:t>
            </w:r>
          </w:p>
        </w:tc>
        <w:tc>
          <w:tcPr>
            <w:tcW w:w="1904" w:type="dxa"/>
            <w:tcBorders>
              <w:top w:val="single" w:sz="4" w:space="0" w:color="auto"/>
              <w:left w:val="single" w:sz="4" w:space="0" w:color="auto"/>
              <w:bottom w:val="single" w:sz="4" w:space="0" w:color="auto"/>
              <w:right w:val="single" w:sz="4" w:space="0" w:color="auto"/>
            </w:tcBorders>
            <w:hideMark/>
          </w:tcPr>
          <w:p w14:paraId="569A8BFE" w14:textId="77777777" w:rsidR="00037037" w:rsidRPr="00037037" w:rsidRDefault="00037037" w:rsidP="00D202E7">
            <w:pPr>
              <w:jc w:val="center"/>
              <w:rPr>
                <w:rFonts w:eastAsia="Arial" w:cs="Arial"/>
                <w:sz w:val="24"/>
              </w:rPr>
            </w:pPr>
            <w:r w:rsidRPr="00037037">
              <w:rPr>
                <w:rFonts w:eastAsia="Arial" w:cs="Arial"/>
                <w:sz w:val="24"/>
              </w:rPr>
              <w:t>1.3%</w:t>
            </w:r>
          </w:p>
        </w:tc>
        <w:tc>
          <w:tcPr>
            <w:tcW w:w="1498" w:type="dxa"/>
            <w:tcBorders>
              <w:top w:val="single" w:sz="4" w:space="0" w:color="auto"/>
              <w:left w:val="single" w:sz="4" w:space="0" w:color="auto"/>
              <w:bottom w:val="single" w:sz="4" w:space="0" w:color="auto"/>
              <w:right w:val="single" w:sz="4" w:space="0" w:color="auto"/>
            </w:tcBorders>
            <w:hideMark/>
          </w:tcPr>
          <w:p w14:paraId="01F9678B" w14:textId="77777777" w:rsidR="00037037" w:rsidRPr="00037037" w:rsidRDefault="00037037" w:rsidP="00D202E7">
            <w:pPr>
              <w:jc w:val="center"/>
              <w:rPr>
                <w:rFonts w:eastAsia="Arial" w:cs="Arial"/>
                <w:sz w:val="24"/>
              </w:rPr>
            </w:pPr>
            <w:r w:rsidRPr="00037037">
              <w:rPr>
                <w:rFonts w:eastAsia="Arial" w:cs="Arial"/>
                <w:sz w:val="24"/>
              </w:rPr>
              <w:t>0.8%</w:t>
            </w:r>
          </w:p>
        </w:tc>
      </w:tr>
      <w:tr w:rsidR="00037037" w:rsidRPr="00037037" w14:paraId="773CD010" w14:textId="77777777" w:rsidTr="00037037">
        <w:tc>
          <w:tcPr>
            <w:tcW w:w="4957" w:type="dxa"/>
            <w:tcBorders>
              <w:top w:val="single" w:sz="4" w:space="0" w:color="auto"/>
              <w:left w:val="single" w:sz="4" w:space="0" w:color="auto"/>
              <w:bottom w:val="single" w:sz="4" w:space="0" w:color="auto"/>
              <w:right w:val="single" w:sz="4" w:space="0" w:color="auto"/>
            </w:tcBorders>
            <w:hideMark/>
          </w:tcPr>
          <w:p w14:paraId="771ECDF0" w14:textId="77777777" w:rsidR="00037037" w:rsidRPr="00037037" w:rsidRDefault="00037037" w:rsidP="00D202E7">
            <w:pPr>
              <w:rPr>
                <w:rFonts w:eastAsia="Arial" w:cs="Arial"/>
                <w:sz w:val="24"/>
              </w:rPr>
            </w:pPr>
            <w:r w:rsidRPr="00037037">
              <w:rPr>
                <w:rFonts w:eastAsia="Arial" w:cs="Arial"/>
                <w:sz w:val="24"/>
              </w:rPr>
              <w:t>Wales</w:t>
            </w:r>
          </w:p>
        </w:tc>
        <w:tc>
          <w:tcPr>
            <w:tcW w:w="1904" w:type="dxa"/>
            <w:tcBorders>
              <w:top w:val="single" w:sz="4" w:space="0" w:color="auto"/>
              <w:left w:val="single" w:sz="4" w:space="0" w:color="auto"/>
              <w:bottom w:val="single" w:sz="4" w:space="0" w:color="auto"/>
              <w:right w:val="single" w:sz="4" w:space="0" w:color="auto"/>
            </w:tcBorders>
            <w:hideMark/>
          </w:tcPr>
          <w:p w14:paraId="73CF73E9" w14:textId="77777777" w:rsidR="00037037" w:rsidRPr="00037037" w:rsidRDefault="00037037" w:rsidP="00D202E7">
            <w:pPr>
              <w:jc w:val="center"/>
              <w:rPr>
                <w:rFonts w:eastAsia="Arial" w:cs="Arial"/>
                <w:sz w:val="24"/>
              </w:rPr>
            </w:pPr>
            <w:r w:rsidRPr="00037037">
              <w:rPr>
                <w:rFonts w:eastAsia="Arial" w:cs="Arial"/>
                <w:sz w:val="24"/>
              </w:rPr>
              <w:t>1.1%</w:t>
            </w:r>
          </w:p>
        </w:tc>
        <w:tc>
          <w:tcPr>
            <w:tcW w:w="1498" w:type="dxa"/>
            <w:tcBorders>
              <w:top w:val="single" w:sz="4" w:space="0" w:color="auto"/>
              <w:left w:val="single" w:sz="4" w:space="0" w:color="auto"/>
              <w:bottom w:val="single" w:sz="4" w:space="0" w:color="auto"/>
              <w:right w:val="single" w:sz="4" w:space="0" w:color="auto"/>
            </w:tcBorders>
            <w:hideMark/>
          </w:tcPr>
          <w:p w14:paraId="789E9812" w14:textId="77777777" w:rsidR="00037037" w:rsidRPr="00037037" w:rsidRDefault="00037037" w:rsidP="00D202E7">
            <w:pPr>
              <w:jc w:val="center"/>
              <w:rPr>
                <w:rFonts w:eastAsia="Arial" w:cs="Arial"/>
                <w:sz w:val="24"/>
              </w:rPr>
            </w:pPr>
            <w:r w:rsidRPr="00037037">
              <w:rPr>
                <w:rFonts w:eastAsia="Arial" w:cs="Arial"/>
                <w:sz w:val="24"/>
              </w:rPr>
              <w:t>0.8%</w:t>
            </w:r>
          </w:p>
        </w:tc>
      </w:tr>
    </w:tbl>
    <w:p w14:paraId="7306FACF" w14:textId="77777777" w:rsidR="00037037" w:rsidRPr="00037037" w:rsidRDefault="00037037" w:rsidP="00D202E7">
      <w:pPr>
        <w:keepNext/>
        <w:rPr>
          <w:rFonts w:eastAsia="Times New Roman" w:cs="Arial"/>
          <w:bCs/>
          <w:kern w:val="0"/>
          <w14:ligatures w14:val="none"/>
        </w:rPr>
      </w:pPr>
    </w:p>
    <w:p w14:paraId="6DD0C0EC" w14:textId="77777777" w:rsidR="00037037" w:rsidRPr="00037037" w:rsidRDefault="00037037" w:rsidP="00D202E7">
      <w:pPr>
        <w:keepLines/>
        <w:rPr>
          <w:rFonts w:eastAsia="Times New Roman" w:cs="Arial"/>
          <w:bCs/>
          <w:kern w:val="0"/>
          <w14:ligatures w14:val="none"/>
        </w:rPr>
      </w:pPr>
      <w:r w:rsidRPr="00037037">
        <w:rPr>
          <w:rFonts w:eastAsia="Times New Roman" w:cs="Arial"/>
          <w:bCs/>
          <w:kern w:val="0"/>
          <w14:ligatures w14:val="none"/>
        </w:rPr>
        <w:t xml:space="preserve">The table below shows that the locality is above the health board and Wales averages for atrial fibrillation (0.2% and 0.1% higher respectively). Hypertension is lower than the averages for the health board and Wales (1.6% and 3.0% lower respectively). </w:t>
      </w:r>
    </w:p>
    <w:p w14:paraId="7C8602F6" w14:textId="77777777" w:rsidR="00037037" w:rsidRPr="00037037" w:rsidRDefault="00037037" w:rsidP="00D202E7">
      <w:pPr>
        <w:keepNext/>
        <w:rPr>
          <w:rFonts w:eastAsia="Times New Roman" w:cs="Arial"/>
          <w:b/>
          <w:kern w:val="0"/>
          <w14:ligatures w14:val="none"/>
        </w:rPr>
      </w:pPr>
    </w:p>
    <w:p w14:paraId="3C2C807E" w14:textId="77777777" w:rsidR="00037037" w:rsidRPr="00037037" w:rsidRDefault="00037037" w:rsidP="00D202E7">
      <w:pPr>
        <w:keepNext/>
        <w:rPr>
          <w:rFonts w:eastAsia="Times New Roman" w:cs="Arial"/>
          <w:b/>
          <w:bCs/>
          <w:kern w:val="0"/>
          <w14:ligatures w14:val="none"/>
        </w:rPr>
      </w:pPr>
      <w:r w:rsidRPr="00037037">
        <w:rPr>
          <w:rFonts w:eastAsia="Times New Roman" w:cs="Arial"/>
          <w:b/>
          <w:bCs/>
          <w:kern w:val="0"/>
          <w14:ligatures w14:val="none"/>
        </w:rPr>
        <w:t>Table 8.5: Estimated percentage prevalence of hypertension and atrial fibrillation based on people on GP practice registers by locality, health board and Wales, 2025</w:t>
      </w:r>
      <w:r w:rsidRPr="00037037">
        <w:rPr>
          <w:rFonts w:eastAsia="Times New Roman" w:cs="Arial"/>
          <w:b/>
          <w:bCs/>
          <w:kern w:val="0"/>
          <w:vertAlign w:val="superscript"/>
          <w14:ligatures w14:val="none"/>
        </w:rPr>
        <w:footnoteReference w:id="237"/>
      </w:r>
    </w:p>
    <w:p w14:paraId="124A359F" w14:textId="77777777" w:rsidR="00037037" w:rsidRPr="00037037" w:rsidRDefault="00037037" w:rsidP="00D202E7">
      <w:pPr>
        <w:keepNext/>
        <w:rPr>
          <w:rFonts w:eastAsia="Times New Roman" w:cs="Arial"/>
          <w:b/>
          <w:kern w:val="0"/>
          <w14:ligatures w14:val="none"/>
        </w:rPr>
      </w:pPr>
    </w:p>
    <w:tbl>
      <w:tblPr>
        <w:tblStyle w:val="TableGrid6"/>
        <w:tblW w:w="0" w:type="auto"/>
        <w:tblInd w:w="0" w:type="dxa"/>
        <w:tblLook w:val="04A0" w:firstRow="1" w:lastRow="0" w:firstColumn="1" w:lastColumn="0" w:noHBand="0" w:noVBand="1"/>
      </w:tblPr>
      <w:tblGrid>
        <w:gridCol w:w="4673"/>
        <w:gridCol w:w="2126"/>
        <w:gridCol w:w="1933"/>
      </w:tblGrid>
      <w:tr w:rsidR="00037037" w:rsidRPr="00D0306F" w14:paraId="54C7D75A" w14:textId="77777777" w:rsidTr="00037037">
        <w:tc>
          <w:tcPr>
            <w:tcW w:w="4673" w:type="dxa"/>
            <w:tcBorders>
              <w:top w:val="single" w:sz="4" w:space="0" w:color="auto"/>
              <w:left w:val="single" w:sz="4" w:space="0" w:color="auto"/>
              <w:bottom w:val="single" w:sz="4" w:space="0" w:color="auto"/>
              <w:right w:val="single" w:sz="4" w:space="0" w:color="auto"/>
            </w:tcBorders>
            <w:shd w:val="clear" w:color="auto" w:fill="153D63"/>
            <w:hideMark/>
          </w:tcPr>
          <w:p w14:paraId="43F7D20E" w14:textId="77777777" w:rsidR="00037037" w:rsidRPr="00037037" w:rsidRDefault="00037037" w:rsidP="00D202E7">
            <w:pPr>
              <w:keepNext/>
              <w:rPr>
                <w:rFonts w:eastAsia="Arial" w:cs="Arial"/>
                <w:b/>
                <w:bCs/>
                <w:sz w:val="24"/>
              </w:rPr>
            </w:pPr>
            <w:r w:rsidRPr="00037037">
              <w:rPr>
                <w:rFonts w:eastAsia="Arial" w:cs="Arial"/>
                <w:b/>
                <w:bCs/>
                <w:sz w:val="24"/>
              </w:rPr>
              <w:t>Area</w:t>
            </w:r>
          </w:p>
        </w:tc>
        <w:tc>
          <w:tcPr>
            <w:tcW w:w="2126" w:type="dxa"/>
            <w:tcBorders>
              <w:top w:val="single" w:sz="4" w:space="0" w:color="auto"/>
              <w:left w:val="single" w:sz="4" w:space="0" w:color="auto"/>
              <w:bottom w:val="single" w:sz="4" w:space="0" w:color="auto"/>
              <w:right w:val="single" w:sz="4" w:space="0" w:color="auto"/>
            </w:tcBorders>
            <w:shd w:val="clear" w:color="auto" w:fill="153D63"/>
            <w:hideMark/>
          </w:tcPr>
          <w:p w14:paraId="15422CE5" w14:textId="77777777" w:rsidR="00037037" w:rsidRPr="00037037" w:rsidRDefault="00037037" w:rsidP="00D202E7">
            <w:pPr>
              <w:keepNext/>
              <w:jc w:val="center"/>
              <w:rPr>
                <w:rFonts w:eastAsia="Arial" w:cs="Arial"/>
                <w:b/>
                <w:bCs/>
                <w:sz w:val="24"/>
              </w:rPr>
            </w:pPr>
            <w:r w:rsidRPr="00037037">
              <w:rPr>
                <w:rFonts w:eastAsia="Arial" w:cs="Arial"/>
                <w:b/>
                <w:bCs/>
                <w:sz w:val="24"/>
              </w:rPr>
              <w:t>Atrial fibrillation</w:t>
            </w:r>
          </w:p>
        </w:tc>
        <w:tc>
          <w:tcPr>
            <w:tcW w:w="1933" w:type="dxa"/>
            <w:tcBorders>
              <w:top w:val="single" w:sz="4" w:space="0" w:color="auto"/>
              <w:left w:val="single" w:sz="4" w:space="0" w:color="auto"/>
              <w:bottom w:val="single" w:sz="4" w:space="0" w:color="auto"/>
              <w:right w:val="single" w:sz="4" w:space="0" w:color="auto"/>
            </w:tcBorders>
            <w:shd w:val="clear" w:color="auto" w:fill="153D63"/>
            <w:hideMark/>
          </w:tcPr>
          <w:p w14:paraId="26C0FD72" w14:textId="77777777" w:rsidR="00037037" w:rsidRPr="00037037" w:rsidRDefault="00037037" w:rsidP="00D202E7">
            <w:pPr>
              <w:keepNext/>
              <w:jc w:val="center"/>
              <w:rPr>
                <w:rFonts w:eastAsia="Arial" w:cs="Arial"/>
                <w:b/>
                <w:bCs/>
                <w:sz w:val="24"/>
              </w:rPr>
            </w:pPr>
            <w:r w:rsidRPr="00037037">
              <w:rPr>
                <w:rFonts w:eastAsia="Arial" w:cs="Arial"/>
                <w:b/>
                <w:bCs/>
                <w:sz w:val="24"/>
              </w:rPr>
              <w:t>Hypertension</w:t>
            </w:r>
          </w:p>
        </w:tc>
      </w:tr>
      <w:tr w:rsidR="00037037" w:rsidRPr="00037037" w14:paraId="3093EA56" w14:textId="77777777" w:rsidTr="00037037">
        <w:tc>
          <w:tcPr>
            <w:tcW w:w="4673" w:type="dxa"/>
            <w:tcBorders>
              <w:top w:val="single" w:sz="4" w:space="0" w:color="auto"/>
              <w:left w:val="single" w:sz="4" w:space="0" w:color="auto"/>
              <w:bottom w:val="single" w:sz="4" w:space="0" w:color="auto"/>
              <w:right w:val="single" w:sz="4" w:space="0" w:color="auto"/>
            </w:tcBorders>
            <w:hideMark/>
          </w:tcPr>
          <w:p w14:paraId="119D88D7" w14:textId="77777777" w:rsidR="00037037" w:rsidRPr="00037037" w:rsidRDefault="00037037" w:rsidP="00D202E7">
            <w:pPr>
              <w:keepNext/>
              <w:rPr>
                <w:rFonts w:eastAsia="Arial" w:cs="Arial"/>
                <w:sz w:val="24"/>
              </w:rPr>
            </w:pPr>
            <w:r w:rsidRPr="00037037">
              <w:rPr>
                <w:rFonts w:eastAsia="Arial" w:cs="Arial"/>
                <w:sz w:val="24"/>
              </w:rPr>
              <w:t>Bay Health locality</w:t>
            </w:r>
          </w:p>
        </w:tc>
        <w:tc>
          <w:tcPr>
            <w:tcW w:w="2126" w:type="dxa"/>
            <w:tcBorders>
              <w:top w:val="single" w:sz="4" w:space="0" w:color="auto"/>
              <w:left w:val="single" w:sz="4" w:space="0" w:color="auto"/>
              <w:bottom w:val="single" w:sz="4" w:space="0" w:color="auto"/>
              <w:right w:val="single" w:sz="4" w:space="0" w:color="auto"/>
            </w:tcBorders>
            <w:hideMark/>
          </w:tcPr>
          <w:p w14:paraId="63975E38" w14:textId="77777777" w:rsidR="00037037" w:rsidRPr="00037037" w:rsidRDefault="00037037" w:rsidP="00D202E7">
            <w:pPr>
              <w:keepNext/>
              <w:jc w:val="center"/>
              <w:rPr>
                <w:rFonts w:eastAsia="Arial" w:cs="Arial"/>
                <w:sz w:val="24"/>
              </w:rPr>
            </w:pPr>
            <w:r w:rsidRPr="00037037">
              <w:rPr>
                <w:rFonts w:eastAsia="Arial" w:cs="Arial"/>
                <w:sz w:val="24"/>
              </w:rPr>
              <w:t>2.8%</w:t>
            </w:r>
          </w:p>
        </w:tc>
        <w:tc>
          <w:tcPr>
            <w:tcW w:w="1933" w:type="dxa"/>
            <w:tcBorders>
              <w:top w:val="single" w:sz="4" w:space="0" w:color="auto"/>
              <w:left w:val="single" w:sz="4" w:space="0" w:color="auto"/>
              <w:bottom w:val="single" w:sz="4" w:space="0" w:color="auto"/>
              <w:right w:val="single" w:sz="4" w:space="0" w:color="auto"/>
            </w:tcBorders>
            <w:hideMark/>
          </w:tcPr>
          <w:p w14:paraId="41067A70" w14:textId="77777777" w:rsidR="00037037" w:rsidRPr="00037037" w:rsidRDefault="00037037" w:rsidP="00D202E7">
            <w:pPr>
              <w:keepNext/>
              <w:jc w:val="center"/>
              <w:rPr>
                <w:rFonts w:eastAsia="Arial" w:cs="Arial"/>
                <w:sz w:val="24"/>
              </w:rPr>
            </w:pPr>
            <w:r w:rsidRPr="00037037">
              <w:rPr>
                <w:rFonts w:eastAsia="Arial" w:cs="Arial"/>
                <w:sz w:val="24"/>
              </w:rPr>
              <w:t>13.3%</w:t>
            </w:r>
          </w:p>
        </w:tc>
      </w:tr>
      <w:tr w:rsidR="00037037" w:rsidRPr="00037037" w14:paraId="476ED7BB" w14:textId="77777777" w:rsidTr="00037037">
        <w:tc>
          <w:tcPr>
            <w:tcW w:w="4673" w:type="dxa"/>
            <w:tcBorders>
              <w:top w:val="single" w:sz="4" w:space="0" w:color="auto"/>
              <w:left w:val="single" w:sz="4" w:space="0" w:color="auto"/>
              <w:bottom w:val="single" w:sz="4" w:space="0" w:color="auto"/>
              <w:right w:val="single" w:sz="4" w:space="0" w:color="auto"/>
            </w:tcBorders>
            <w:hideMark/>
          </w:tcPr>
          <w:p w14:paraId="3591C24E" w14:textId="77777777" w:rsidR="00037037" w:rsidRPr="00037037" w:rsidRDefault="00037037" w:rsidP="00D202E7">
            <w:pPr>
              <w:keepNext/>
              <w:rPr>
                <w:rFonts w:eastAsia="Arial" w:cs="Arial"/>
                <w:b/>
                <w:bCs/>
                <w:sz w:val="24"/>
              </w:rPr>
            </w:pPr>
            <w:r w:rsidRPr="00037037">
              <w:rPr>
                <w:rFonts w:eastAsia="Arial" w:cs="Arial"/>
                <w:sz w:val="24"/>
              </w:rPr>
              <w:t>Swansea Bay University Health Board</w:t>
            </w:r>
          </w:p>
        </w:tc>
        <w:tc>
          <w:tcPr>
            <w:tcW w:w="2126" w:type="dxa"/>
            <w:tcBorders>
              <w:top w:val="single" w:sz="4" w:space="0" w:color="auto"/>
              <w:left w:val="single" w:sz="4" w:space="0" w:color="auto"/>
              <w:bottom w:val="single" w:sz="4" w:space="0" w:color="auto"/>
              <w:right w:val="single" w:sz="4" w:space="0" w:color="auto"/>
            </w:tcBorders>
            <w:hideMark/>
          </w:tcPr>
          <w:p w14:paraId="33D7F4BE" w14:textId="77777777" w:rsidR="00037037" w:rsidRPr="00037037" w:rsidRDefault="00037037" w:rsidP="00D202E7">
            <w:pPr>
              <w:keepNext/>
              <w:jc w:val="center"/>
              <w:rPr>
                <w:rFonts w:eastAsia="Arial" w:cs="Arial"/>
                <w:sz w:val="24"/>
              </w:rPr>
            </w:pPr>
            <w:r w:rsidRPr="00037037">
              <w:rPr>
                <w:rFonts w:eastAsia="Arial" w:cs="Arial"/>
                <w:sz w:val="24"/>
              </w:rPr>
              <w:t>2.6%</w:t>
            </w:r>
          </w:p>
        </w:tc>
        <w:tc>
          <w:tcPr>
            <w:tcW w:w="1933" w:type="dxa"/>
            <w:tcBorders>
              <w:top w:val="single" w:sz="4" w:space="0" w:color="auto"/>
              <w:left w:val="single" w:sz="4" w:space="0" w:color="auto"/>
              <w:bottom w:val="single" w:sz="4" w:space="0" w:color="auto"/>
              <w:right w:val="single" w:sz="4" w:space="0" w:color="auto"/>
            </w:tcBorders>
            <w:hideMark/>
          </w:tcPr>
          <w:p w14:paraId="7ED4DEA8" w14:textId="77777777" w:rsidR="00037037" w:rsidRPr="00037037" w:rsidRDefault="00037037" w:rsidP="00D202E7">
            <w:pPr>
              <w:keepNext/>
              <w:jc w:val="center"/>
              <w:rPr>
                <w:rFonts w:eastAsia="Arial" w:cs="Arial"/>
                <w:sz w:val="24"/>
              </w:rPr>
            </w:pPr>
            <w:r w:rsidRPr="00037037">
              <w:rPr>
                <w:rFonts w:eastAsia="Arial" w:cs="Arial"/>
                <w:sz w:val="24"/>
              </w:rPr>
              <w:t>14.9%</w:t>
            </w:r>
          </w:p>
        </w:tc>
      </w:tr>
      <w:tr w:rsidR="00037037" w:rsidRPr="00037037" w14:paraId="3F4AC807" w14:textId="77777777" w:rsidTr="00037037">
        <w:tc>
          <w:tcPr>
            <w:tcW w:w="4673" w:type="dxa"/>
            <w:tcBorders>
              <w:top w:val="single" w:sz="4" w:space="0" w:color="auto"/>
              <w:left w:val="single" w:sz="4" w:space="0" w:color="auto"/>
              <w:bottom w:val="single" w:sz="4" w:space="0" w:color="auto"/>
              <w:right w:val="single" w:sz="4" w:space="0" w:color="auto"/>
            </w:tcBorders>
            <w:hideMark/>
          </w:tcPr>
          <w:p w14:paraId="0256EECA" w14:textId="77777777" w:rsidR="00037037" w:rsidRPr="00037037" w:rsidRDefault="00037037" w:rsidP="00D202E7">
            <w:pPr>
              <w:keepNext/>
              <w:rPr>
                <w:rFonts w:eastAsia="Arial" w:cs="Arial"/>
                <w:sz w:val="24"/>
              </w:rPr>
            </w:pPr>
            <w:r w:rsidRPr="00037037">
              <w:rPr>
                <w:rFonts w:eastAsia="Arial" w:cs="Arial"/>
                <w:sz w:val="24"/>
              </w:rPr>
              <w:t>Wales</w:t>
            </w:r>
          </w:p>
        </w:tc>
        <w:tc>
          <w:tcPr>
            <w:tcW w:w="2126" w:type="dxa"/>
            <w:tcBorders>
              <w:top w:val="single" w:sz="4" w:space="0" w:color="auto"/>
              <w:left w:val="single" w:sz="4" w:space="0" w:color="auto"/>
              <w:bottom w:val="single" w:sz="4" w:space="0" w:color="auto"/>
              <w:right w:val="single" w:sz="4" w:space="0" w:color="auto"/>
            </w:tcBorders>
            <w:hideMark/>
          </w:tcPr>
          <w:p w14:paraId="5C13644B" w14:textId="77777777" w:rsidR="00037037" w:rsidRPr="00037037" w:rsidRDefault="00037037" w:rsidP="00D202E7">
            <w:pPr>
              <w:keepNext/>
              <w:jc w:val="center"/>
              <w:rPr>
                <w:rFonts w:eastAsia="Arial" w:cs="Arial"/>
                <w:sz w:val="24"/>
              </w:rPr>
            </w:pPr>
            <w:r w:rsidRPr="00037037">
              <w:rPr>
                <w:rFonts w:eastAsia="Arial" w:cs="Arial"/>
                <w:sz w:val="24"/>
              </w:rPr>
              <w:t>2.7%</w:t>
            </w:r>
          </w:p>
        </w:tc>
        <w:tc>
          <w:tcPr>
            <w:tcW w:w="1933" w:type="dxa"/>
            <w:tcBorders>
              <w:top w:val="single" w:sz="4" w:space="0" w:color="auto"/>
              <w:left w:val="single" w:sz="4" w:space="0" w:color="auto"/>
              <w:bottom w:val="single" w:sz="4" w:space="0" w:color="auto"/>
              <w:right w:val="single" w:sz="4" w:space="0" w:color="auto"/>
            </w:tcBorders>
            <w:hideMark/>
          </w:tcPr>
          <w:p w14:paraId="6EFB71D4" w14:textId="77777777" w:rsidR="00037037" w:rsidRPr="00037037" w:rsidRDefault="00037037" w:rsidP="00D202E7">
            <w:pPr>
              <w:keepNext/>
              <w:jc w:val="center"/>
              <w:rPr>
                <w:rFonts w:eastAsia="Arial" w:cs="Arial"/>
                <w:sz w:val="24"/>
              </w:rPr>
            </w:pPr>
            <w:r w:rsidRPr="00037037">
              <w:rPr>
                <w:rFonts w:eastAsia="Arial" w:cs="Arial"/>
                <w:sz w:val="24"/>
              </w:rPr>
              <w:t>16.3%</w:t>
            </w:r>
          </w:p>
        </w:tc>
      </w:tr>
    </w:tbl>
    <w:p w14:paraId="32E891AE"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 </w:t>
      </w:r>
    </w:p>
    <w:p w14:paraId="1F299196" w14:textId="77777777" w:rsidR="00037037" w:rsidRPr="00037037" w:rsidRDefault="00037037" w:rsidP="00D202E7">
      <w:pPr>
        <w:contextualSpacing/>
        <w:rPr>
          <w:rFonts w:eastAsia="Aptos" w:cs="Arial"/>
          <w:kern w:val="0"/>
          <w14:ligatures w14:val="none"/>
        </w:rPr>
      </w:pPr>
      <w:r w:rsidRPr="00037037">
        <w:rPr>
          <w:rFonts w:eastAsia="Aptos" w:cs="Arial"/>
        </w:rPr>
        <w:t>The table below presents the percentage of adults aged 16 years and over, in Swansea who have self-reported engaging in six key lifestyle behaviours, as recorded by the National Survey for Wales</w:t>
      </w:r>
      <w:r w:rsidRPr="00037037">
        <w:rPr>
          <w:rFonts w:eastAsia="Aptos" w:cs="Arial"/>
          <w:vertAlign w:val="superscript"/>
        </w:rPr>
        <w:footnoteReference w:id="238"/>
      </w:r>
      <w:r w:rsidRPr="00037037">
        <w:rPr>
          <w:rFonts w:eastAsia="Aptos" w:cs="Arial"/>
        </w:rPr>
        <w:t xml:space="preserve"> between 2021 and 2023. This information offers valuable insight into the common habits and lifestyle choices among the adult population in the area.</w:t>
      </w:r>
    </w:p>
    <w:p w14:paraId="18C2E503" w14:textId="77777777" w:rsidR="00037037" w:rsidRPr="00037037" w:rsidRDefault="00037037" w:rsidP="00D202E7">
      <w:pPr>
        <w:contextualSpacing/>
        <w:rPr>
          <w:rFonts w:eastAsia="Aptos" w:cs="Arial"/>
        </w:rPr>
      </w:pPr>
    </w:p>
    <w:p w14:paraId="07D85C71" w14:textId="77777777" w:rsidR="00037037" w:rsidRPr="00037037" w:rsidRDefault="00037037" w:rsidP="00D202E7">
      <w:pPr>
        <w:keepNext/>
        <w:rPr>
          <w:rFonts w:eastAsia="Times New Roman" w:cs="Arial"/>
          <w:b/>
          <w:bCs/>
          <w:kern w:val="0"/>
          <w14:ligatures w14:val="none"/>
        </w:rPr>
      </w:pPr>
      <w:r w:rsidRPr="00037037">
        <w:rPr>
          <w:rFonts w:eastAsia="Times New Roman" w:cs="Arial"/>
          <w:b/>
          <w:bCs/>
          <w:kern w:val="0"/>
          <w14:ligatures w14:val="none"/>
        </w:rPr>
        <w:lastRenderedPageBreak/>
        <w:t>Table 8.6: Percentage of adults (aged 16 years and over) reporting lifestyle behaviours by local authority and Wales, 2021 to 2023</w:t>
      </w:r>
    </w:p>
    <w:p w14:paraId="125EFEF2" w14:textId="77777777" w:rsidR="00037037" w:rsidRPr="00037037" w:rsidRDefault="00037037" w:rsidP="00D202E7">
      <w:pPr>
        <w:keepNext/>
        <w:rPr>
          <w:rFonts w:eastAsia="Times New Roman" w:cs="Arial"/>
          <w:b/>
          <w:kern w:val="0"/>
          <w14:ligatures w14:val="none"/>
        </w:rPr>
      </w:pPr>
    </w:p>
    <w:tbl>
      <w:tblPr>
        <w:tblStyle w:val="TableGrid6"/>
        <w:tblW w:w="9988" w:type="dxa"/>
        <w:tblInd w:w="-431" w:type="dxa"/>
        <w:tblLook w:val="04A0" w:firstRow="1" w:lastRow="0" w:firstColumn="1" w:lastColumn="0" w:noHBand="0" w:noVBand="1"/>
      </w:tblPr>
      <w:tblGrid>
        <w:gridCol w:w="1204"/>
        <w:gridCol w:w="1551"/>
        <w:gridCol w:w="1430"/>
        <w:gridCol w:w="1190"/>
        <w:gridCol w:w="1523"/>
        <w:gridCol w:w="950"/>
        <w:gridCol w:w="1190"/>
        <w:gridCol w:w="950"/>
      </w:tblGrid>
      <w:tr w:rsidR="00037037" w:rsidRPr="00D0306F" w14:paraId="5F901CF0" w14:textId="77777777" w:rsidTr="00466EE5">
        <w:trPr>
          <w:trHeight w:val="1807"/>
        </w:trPr>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01B32F73" w14:textId="77777777" w:rsidR="00037037" w:rsidRPr="00037037" w:rsidRDefault="00037037" w:rsidP="00D202E7">
            <w:pPr>
              <w:keepNext/>
              <w:rPr>
                <w:rFonts w:eastAsia="Arial" w:cs="Arial"/>
                <w:b/>
                <w:bCs/>
                <w:sz w:val="24"/>
              </w:rPr>
            </w:pPr>
            <w:r w:rsidRPr="00037037">
              <w:rPr>
                <w:rFonts w:eastAsia="Arial" w:cs="Arial"/>
                <w:b/>
                <w:bCs/>
                <w:sz w:val="24"/>
              </w:rPr>
              <w:t>Area</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5230034D" w14:textId="77777777" w:rsidR="00037037" w:rsidRPr="00037037" w:rsidRDefault="00037037" w:rsidP="00D202E7">
            <w:pPr>
              <w:keepNext/>
              <w:rPr>
                <w:rFonts w:eastAsia="Arial" w:cs="Arial"/>
                <w:b/>
                <w:bCs/>
                <w:sz w:val="24"/>
              </w:rPr>
            </w:pPr>
            <w:r w:rsidRPr="00037037">
              <w:rPr>
                <w:rFonts w:eastAsia="Arial" w:cs="Arial"/>
                <w:b/>
                <w:bCs/>
                <w:sz w:val="24"/>
              </w:rPr>
              <w:t>Population 16 years and over</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16FB877B" w14:textId="77777777" w:rsidR="00037037" w:rsidRPr="00037037" w:rsidRDefault="00037037" w:rsidP="00D202E7">
            <w:pPr>
              <w:keepNext/>
              <w:rPr>
                <w:rFonts w:eastAsia="Arial" w:cs="Arial"/>
                <w:b/>
                <w:bCs/>
                <w:sz w:val="24"/>
              </w:rPr>
            </w:pPr>
            <w:r w:rsidRPr="00037037">
              <w:rPr>
                <w:rFonts w:eastAsia="Arial" w:cs="Arial"/>
                <w:b/>
                <w:bCs/>
                <w:sz w:val="24"/>
              </w:rPr>
              <w:t>Smoking (including e-cigarettes)</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4A893062" w14:textId="77777777" w:rsidR="00037037" w:rsidRPr="00037037" w:rsidRDefault="00037037" w:rsidP="00D202E7">
            <w:pPr>
              <w:keepNext/>
              <w:rPr>
                <w:rFonts w:eastAsia="Arial" w:cs="Arial"/>
                <w:b/>
                <w:bCs/>
                <w:sz w:val="24"/>
              </w:rPr>
            </w:pPr>
            <w:r w:rsidRPr="00037037">
              <w:rPr>
                <w:rFonts w:eastAsia="Arial" w:cs="Arial"/>
                <w:b/>
                <w:bCs/>
                <w:sz w:val="24"/>
              </w:rPr>
              <w:t>Drinking more than 14 units per week</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0C11EA02" w14:textId="77777777" w:rsidR="00037037" w:rsidRPr="00037037" w:rsidRDefault="00037037" w:rsidP="00D202E7">
            <w:pPr>
              <w:keepNext/>
              <w:rPr>
                <w:rFonts w:eastAsia="Arial" w:cs="Arial"/>
                <w:b/>
                <w:bCs/>
                <w:sz w:val="24"/>
              </w:rPr>
            </w:pPr>
            <w:r w:rsidRPr="00037037">
              <w:rPr>
                <w:rFonts w:eastAsia="Arial" w:cs="Arial"/>
                <w:b/>
                <w:bCs/>
                <w:sz w:val="24"/>
              </w:rPr>
              <w:t>Overweight with a body mass index of 25+</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264B105E" w14:textId="77777777" w:rsidR="00037037" w:rsidRPr="00037037" w:rsidRDefault="00037037" w:rsidP="00D202E7">
            <w:pPr>
              <w:keepNext/>
              <w:rPr>
                <w:rFonts w:eastAsia="Arial" w:cs="Arial"/>
                <w:b/>
                <w:bCs/>
                <w:sz w:val="24"/>
              </w:rPr>
            </w:pPr>
            <w:r w:rsidRPr="00037037">
              <w:rPr>
                <w:rFonts w:eastAsia="Arial" w:cs="Arial"/>
                <w:b/>
                <w:bCs/>
                <w:sz w:val="24"/>
              </w:rPr>
              <w:t>Obese with a body mass index of 30+</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28BF9E1F" w14:textId="77777777" w:rsidR="00037037" w:rsidRPr="00037037" w:rsidRDefault="00037037" w:rsidP="00D202E7">
            <w:pPr>
              <w:keepNext/>
              <w:rPr>
                <w:rFonts w:eastAsia="Arial" w:cs="Arial"/>
                <w:b/>
                <w:bCs/>
                <w:sz w:val="24"/>
              </w:rPr>
            </w:pPr>
            <w:r w:rsidRPr="00037037">
              <w:rPr>
                <w:rFonts w:eastAsia="Arial" w:cs="Arial"/>
                <w:b/>
                <w:bCs/>
                <w:sz w:val="24"/>
              </w:rPr>
              <w:t>Physical activity for 150 minutes per week</w:t>
            </w:r>
          </w:p>
        </w:tc>
        <w:tc>
          <w:tcPr>
            <w:tcW w:w="950" w:type="dxa"/>
            <w:tcBorders>
              <w:top w:val="single" w:sz="4" w:space="0" w:color="auto"/>
              <w:left w:val="single" w:sz="4" w:space="0" w:color="auto"/>
              <w:bottom w:val="single" w:sz="4" w:space="0" w:color="auto"/>
              <w:right w:val="single" w:sz="4" w:space="0" w:color="auto"/>
            </w:tcBorders>
            <w:shd w:val="clear" w:color="auto" w:fill="153D63"/>
            <w:hideMark/>
          </w:tcPr>
          <w:p w14:paraId="5A21D909" w14:textId="77777777" w:rsidR="00037037" w:rsidRPr="00037037" w:rsidRDefault="00037037" w:rsidP="00D202E7">
            <w:pPr>
              <w:keepNext/>
              <w:rPr>
                <w:rFonts w:eastAsia="Arial" w:cs="Arial"/>
                <w:b/>
                <w:bCs/>
                <w:sz w:val="24"/>
              </w:rPr>
            </w:pPr>
            <w:r w:rsidRPr="00037037">
              <w:rPr>
                <w:rFonts w:eastAsia="Arial" w:cs="Arial"/>
                <w:b/>
                <w:bCs/>
                <w:sz w:val="24"/>
              </w:rPr>
              <w:t>Eating five a day</w:t>
            </w:r>
          </w:p>
        </w:tc>
      </w:tr>
      <w:tr w:rsidR="00D0306F" w:rsidRPr="00037037" w14:paraId="7726F682" w14:textId="77777777" w:rsidTr="00466EE5">
        <w:trPr>
          <w:trHeight w:val="316"/>
        </w:trPr>
        <w:tc>
          <w:tcPr>
            <w:tcW w:w="0" w:type="auto"/>
            <w:tcBorders>
              <w:top w:val="single" w:sz="4" w:space="0" w:color="auto"/>
              <w:left w:val="single" w:sz="4" w:space="0" w:color="auto"/>
              <w:bottom w:val="single" w:sz="4" w:space="0" w:color="auto"/>
              <w:right w:val="single" w:sz="4" w:space="0" w:color="auto"/>
            </w:tcBorders>
            <w:hideMark/>
          </w:tcPr>
          <w:p w14:paraId="36B307E4" w14:textId="77777777" w:rsidR="00037037" w:rsidRPr="00037037" w:rsidRDefault="00037037" w:rsidP="00D202E7">
            <w:pPr>
              <w:keepNext/>
              <w:rPr>
                <w:rFonts w:cs="Arial"/>
                <w:bCs/>
                <w:sz w:val="24"/>
              </w:rPr>
            </w:pPr>
            <w:r w:rsidRPr="00037037">
              <w:rPr>
                <w:rFonts w:eastAsia="Arial" w:cs="Arial"/>
                <w:sz w:val="24"/>
              </w:rPr>
              <w:t>Swansea local authority</w:t>
            </w:r>
          </w:p>
        </w:tc>
        <w:tc>
          <w:tcPr>
            <w:tcW w:w="0" w:type="auto"/>
            <w:tcBorders>
              <w:top w:val="single" w:sz="4" w:space="0" w:color="auto"/>
              <w:left w:val="single" w:sz="4" w:space="0" w:color="auto"/>
              <w:bottom w:val="single" w:sz="4" w:space="0" w:color="auto"/>
              <w:right w:val="single" w:sz="4" w:space="0" w:color="auto"/>
            </w:tcBorders>
            <w:hideMark/>
          </w:tcPr>
          <w:p w14:paraId="0D429477" w14:textId="77777777" w:rsidR="00037037" w:rsidRPr="00037037" w:rsidRDefault="00037037" w:rsidP="00D202E7">
            <w:pPr>
              <w:keepNext/>
              <w:rPr>
                <w:rFonts w:eastAsia="Arial" w:cs="Arial"/>
                <w:sz w:val="24"/>
              </w:rPr>
            </w:pPr>
            <w:r w:rsidRPr="00037037">
              <w:rPr>
                <w:rFonts w:eastAsia="Arial" w:cs="Arial"/>
                <w:sz w:val="24"/>
              </w:rPr>
              <w:t>209,302</w:t>
            </w:r>
            <w:r w:rsidRPr="00037037">
              <w:rPr>
                <w:rFonts w:eastAsia="Arial" w:cs="Arial"/>
                <w:sz w:val="24"/>
                <w:vertAlign w:val="superscript"/>
              </w:rPr>
              <w:footnoteReference w:id="239"/>
            </w:r>
          </w:p>
        </w:tc>
        <w:tc>
          <w:tcPr>
            <w:tcW w:w="0" w:type="auto"/>
            <w:tcBorders>
              <w:top w:val="single" w:sz="4" w:space="0" w:color="auto"/>
              <w:left w:val="single" w:sz="4" w:space="0" w:color="auto"/>
              <w:bottom w:val="single" w:sz="4" w:space="0" w:color="auto"/>
              <w:right w:val="single" w:sz="4" w:space="0" w:color="auto"/>
            </w:tcBorders>
            <w:hideMark/>
          </w:tcPr>
          <w:p w14:paraId="4E465C84" w14:textId="77777777" w:rsidR="00037037" w:rsidRPr="00037037" w:rsidRDefault="00037037" w:rsidP="00D202E7">
            <w:pPr>
              <w:keepNext/>
              <w:rPr>
                <w:rFonts w:eastAsia="Arial" w:cs="Arial"/>
                <w:sz w:val="24"/>
              </w:rPr>
            </w:pPr>
            <w:r w:rsidRPr="00037037">
              <w:rPr>
                <w:rFonts w:eastAsia="Arial" w:cs="Arial"/>
                <w:sz w:val="24"/>
              </w:rPr>
              <w:t>20%</w:t>
            </w:r>
          </w:p>
        </w:tc>
        <w:tc>
          <w:tcPr>
            <w:tcW w:w="0" w:type="auto"/>
            <w:tcBorders>
              <w:top w:val="single" w:sz="4" w:space="0" w:color="auto"/>
              <w:left w:val="single" w:sz="4" w:space="0" w:color="auto"/>
              <w:bottom w:val="single" w:sz="4" w:space="0" w:color="auto"/>
              <w:right w:val="single" w:sz="4" w:space="0" w:color="auto"/>
            </w:tcBorders>
            <w:hideMark/>
          </w:tcPr>
          <w:p w14:paraId="7C581222" w14:textId="77777777" w:rsidR="00037037" w:rsidRPr="00037037" w:rsidRDefault="00037037" w:rsidP="00D202E7">
            <w:pPr>
              <w:keepNext/>
              <w:rPr>
                <w:rFonts w:eastAsia="Arial" w:cs="Arial"/>
                <w:sz w:val="24"/>
              </w:rPr>
            </w:pPr>
            <w:r w:rsidRPr="00037037">
              <w:rPr>
                <w:rFonts w:eastAsia="Arial" w:cs="Arial"/>
                <w:sz w:val="24"/>
              </w:rPr>
              <w:t>16%</w:t>
            </w:r>
          </w:p>
        </w:tc>
        <w:tc>
          <w:tcPr>
            <w:tcW w:w="0" w:type="auto"/>
            <w:tcBorders>
              <w:top w:val="single" w:sz="4" w:space="0" w:color="auto"/>
              <w:left w:val="single" w:sz="4" w:space="0" w:color="auto"/>
              <w:bottom w:val="single" w:sz="4" w:space="0" w:color="auto"/>
              <w:right w:val="single" w:sz="4" w:space="0" w:color="auto"/>
            </w:tcBorders>
            <w:hideMark/>
          </w:tcPr>
          <w:p w14:paraId="59BCAEEA" w14:textId="77777777" w:rsidR="00037037" w:rsidRPr="00037037" w:rsidRDefault="00037037" w:rsidP="00D202E7">
            <w:pPr>
              <w:keepNext/>
              <w:rPr>
                <w:rFonts w:eastAsia="Arial" w:cs="Arial"/>
                <w:sz w:val="24"/>
              </w:rPr>
            </w:pPr>
            <w:r w:rsidRPr="00037037">
              <w:rPr>
                <w:rFonts w:eastAsia="Arial" w:cs="Arial"/>
                <w:sz w:val="24"/>
              </w:rPr>
              <w:t>61%</w:t>
            </w:r>
          </w:p>
        </w:tc>
        <w:tc>
          <w:tcPr>
            <w:tcW w:w="0" w:type="auto"/>
            <w:tcBorders>
              <w:top w:val="single" w:sz="4" w:space="0" w:color="auto"/>
              <w:left w:val="single" w:sz="4" w:space="0" w:color="auto"/>
              <w:bottom w:val="single" w:sz="4" w:space="0" w:color="auto"/>
              <w:right w:val="single" w:sz="4" w:space="0" w:color="auto"/>
            </w:tcBorders>
            <w:hideMark/>
          </w:tcPr>
          <w:p w14:paraId="368F3DEB" w14:textId="77777777" w:rsidR="00037037" w:rsidRPr="00037037" w:rsidRDefault="00037037" w:rsidP="00D202E7">
            <w:pPr>
              <w:keepNext/>
              <w:rPr>
                <w:rFonts w:eastAsia="Arial" w:cs="Arial"/>
                <w:sz w:val="24"/>
              </w:rPr>
            </w:pPr>
            <w:r w:rsidRPr="00037037">
              <w:rPr>
                <w:rFonts w:eastAsia="Arial" w:cs="Arial"/>
                <w:sz w:val="24"/>
              </w:rPr>
              <w:t>24%</w:t>
            </w:r>
          </w:p>
        </w:tc>
        <w:tc>
          <w:tcPr>
            <w:tcW w:w="0" w:type="auto"/>
            <w:tcBorders>
              <w:top w:val="single" w:sz="4" w:space="0" w:color="auto"/>
              <w:left w:val="single" w:sz="4" w:space="0" w:color="auto"/>
              <w:bottom w:val="single" w:sz="4" w:space="0" w:color="auto"/>
              <w:right w:val="single" w:sz="4" w:space="0" w:color="auto"/>
            </w:tcBorders>
            <w:hideMark/>
          </w:tcPr>
          <w:p w14:paraId="30474454" w14:textId="77777777" w:rsidR="00037037" w:rsidRPr="00037037" w:rsidRDefault="00037037" w:rsidP="00D202E7">
            <w:pPr>
              <w:keepNext/>
              <w:rPr>
                <w:rFonts w:eastAsia="Arial" w:cs="Arial"/>
                <w:sz w:val="24"/>
              </w:rPr>
            </w:pPr>
            <w:r w:rsidRPr="00037037">
              <w:rPr>
                <w:rFonts w:eastAsia="Arial" w:cs="Arial"/>
                <w:sz w:val="24"/>
              </w:rPr>
              <w:t>59%</w:t>
            </w:r>
          </w:p>
        </w:tc>
        <w:tc>
          <w:tcPr>
            <w:tcW w:w="950" w:type="dxa"/>
            <w:tcBorders>
              <w:top w:val="single" w:sz="4" w:space="0" w:color="auto"/>
              <w:left w:val="single" w:sz="4" w:space="0" w:color="auto"/>
              <w:bottom w:val="single" w:sz="4" w:space="0" w:color="auto"/>
              <w:right w:val="single" w:sz="4" w:space="0" w:color="auto"/>
            </w:tcBorders>
            <w:hideMark/>
          </w:tcPr>
          <w:p w14:paraId="391509D5" w14:textId="77777777" w:rsidR="00037037" w:rsidRPr="00037037" w:rsidRDefault="00037037" w:rsidP="00D202E7">
            <w:pPr>
              <w:keepNext/>
              <w:rPr>
                <w:rFonts w:eastAsia="Arial" w:cs="Arial"/>
                <w:sz w:val="24"/>
              </w:rPr>
            </w:pPr>
            <w:r w:rsidRPr="00037037">
              <w:rPr>
                <w:rFonts w:eastAsia="Arial" w:cs="Arial"/>
                <w:sz w:val="24"/>
              </w:rPr>
              <w:t>34%</w:t>
            </w:r>
          </w:p>
        </w:tc>
      </w:tr>
      <w:tr w:rsidR="00D0306F" w:rsidRPr="00037037" w14:paraId="3638F8DC" w14:textId="77777777" w:rsidTr="00466EE5">
        <w:trPr>
          <w:trHeight w:val="328"/>
        </w:trPr>
        <w:tc>
          <w:tcPr>
            <w:tcW w:w="0" w:type="auto"/>
            <w:tcBorders>
              <w:top w:val="single" w:sz="4" w:space="0" w:color="auto"/>
              <w:left w:val="single" w:sz="4" w:space="0" w:color="auto"/>
              <w:bottom w:val="single" w:sz="4" w:space="0" w:color="auto"/>
              <w:right w:val="single" w:sz="4" w:space="0" w:color="auto"/>
            </w:tcBorders>
            <w:hideMark/>
          </w:tcPr>
          <w:p w14:paraId="2CCBDA08" w14:textId="77777777" w:rsidR="00037037" w:rsidRPr="00037037" w:rsidRDefault="00037037" w:rsidP="00D202E7">
            <w:pPr>
              <w:keepNext/>
              <w:rPr>
                <w:rFonts w:eastAsia="Arial" w:cs="Arial"/>
                <w:sz w:val="24"/>
              </w:rPr>
            </w:pPr>
            <w:r w:rsidRPr="00037037">
              <w:rPr>
                <w:rFonts w:eastAsia="Arial" w:cs="Arial"/>
                <w:sz w:val="24"/>
              </w:rPr>
              <w:t>Wales</w:t>
            </w:r>
          </w:p>
        </w:tc>
        <w:tc>
          <w:tcPr>
            <w:tcW w:w="0" w:type="auto"/>
            <w:tcBorders>
              <w:top w:val="single" w:sz="4" w:space="0" w:color="auto"/>
              <w:left w:val="single" w:sz="4" w:space="0" w:color="auto"/>
              <w:bottom w:val="single" w:sz="4" w:space="0" w:color="auto"/>
              <w:right w:val="single" w:sz="4" w:space="0" w:color="auto"/>
            </w:tcBorders>
            <w:hideMark/>
          </w:tcPr>
          <w:p w14:paraId="237821AD" w14:textId="77777777" w:rsidR="00037037" w:rsidRPr="00037037" w:rsidRDefault="00037037" w:rsidP="00D202E7">
            <w:pPr>
              <w:keepNext/>
              <w:rPr>
                <w:rFonts w:eastAsia="Arial" w:cs="Arial"/>
                <w:sz w:val="24"/>
              </w:rPr>
            </w:pPr>
            <w:r w:rsidRPr="00037037">
              <w:rPr>
                <w:rFonts w:eastAsia="Arial" w:cs="Arial"/>
                <w:sz w:val="24"/>
              </w:rPr>
              <w:t>2,641,000</w:t>
            </w:r>
            <w:r w:rsidRPr="00037037">
              <w:rPr>
                <w:rFonts w:eastAsia="Arial" w:cs="Arial"/>
                <w:sz w:val="24"/>
                <w:vertAlign w:val="superscript"/>
              </w:rPr>
              <w:footnoteReference w:id="240"/>
            </w:r>
          </w:p>
        </w:tc>
        <w:tc>
          <w:tcPr>
            <w:tcW w:w="0" w:type="auto"/>
            <w:tcBorders>
              <w:top w:val="single" w:sz="4" w:space="0" w:color="auto"/>
              <w:left w:val="single" w:sz="4" w:space="0" w:color="auto"/>
              <w:bottom w:val="single" w:sz="4" w:space="0" w:color="auto"/>
              <w:right w:val="single" w:sz="4" w:space="0" w:color="auto"/>
            </w:tcBorders>
            <w:hideMark/>
          </w:tcPr>
          <w:p w14:paraId="52B0A93C" w14:textId="77777777" w:rsidR="00037037" w:rsidRPr="00037037" w:rsidRDefault="00037037" w:rsidP="00D202E7">
            <w:pPr>
              <w:keepNext/>
              <w:rPr>
                <w:rFonts w:eastAsia="Arial" w:cs="Arial"/>
                <w:sz w:val="24"/>
              </w:rPr>
            </w:pPr>
            <w:r w:rsidRPr="00037037">
              <w:rPr>
                <w:rFonts w:eastAsia="Arial" w:cs="Arial"/>
                <w:sz w:val="24"/>
              </w:rPr>
              <w:t>20%</w:t>
            </w:r>
          </w:p>
        </w:tc>
        <w:tc>
          <w:tcPr>
            <w:tcW w:w="0" w:type="auto"/>
            <w:tcBorders>
              <w:top w:val="single" w:sz="4" w:space="0" w:color="auto"/>
              <w:left w:val="single" w:sz="4" w:space="0" w:color="auto"/>
              <w:bottom w:val="single" w:sz="4" w:space="0" w:color="auto"/>
              <w:right w:val="single" w:sz="4" w:space="0" w:color="auto"/>
            </w:tcBorders>
            <w:hideMark/>
          </w:tcPr>
          <w:p w14:paraId="5E595643" w14:textId="77777777" w:rsidR="00037037" w:rsidRPr="00037037" w:rsidRDefault="00037037" w:rsidP="00D202E7">
            <w:pPr>
              <w:keepNext/>
              <w:rPr>
                <w:rFonts w:eastAsia="Arial" w:cs="Arial"/>
                <w:sz w:val="24"/>
              </w:rPr>
            </w:pPr>
            <w:r w:rsidRPr="00037037">
              <w:rPr>
                <w:rFonts w:eastAsia="Arial" w:cs="Arial"/>
                <w:sz w:val="24"/>
              </w:rPr>
              <w:t>16%</w:t>
            </w:r>
          </w:p>
        </w:tc>
        <w:tc>
          <w:tcPr>
            <w:tcW w:w="0" w:type="auto"/>
            <w:tcBorders>
              <w:top w:val="single" w:sz="4" w:space="0" w:color="auto"/>
              <w:left w:val="single" w:sz="4" w:space="0" w:color="auto"/>
              <w:bottom w:val="single" w:sz="4" w:space="0" w:color="auto"/>
              <w:right w:val="single" w:sz="4" w:space="0" w:color="auto"/>
            </w:tcBorders>
            <w:hideMark/>
          </w:tcPr>
          <w:p w14:paraId="244F1EA9" w14:textId="77777777" w:rsidR="00037037" w:rsidRPr="00037037" w:rsidRDefault="00037037" w:rsidP="00D202E7">
            <w:pPr>
              <w:keepNext/>
              <w:rPr>
                <w:rFonts w:eastAsia="Arial" w:cs="Arial"/>
                <w:sz w:val="24"/>
              </w:rPr>
            </w:pPr>
            <w:r w:rsidRPr="00037037">
              <w:rPr>
                <w:rFonts w:eastAsia="Arial" w:cs="Arial"/>
                <w:sz w:val="24"/>
              </w:rPr>
              <w:t>62%</w:t>
            </w:r>
          </w:p>
        </w:tc>
        <w:tc>
          <w:tcPr>
            <w:tcW w:w="0" w:type="auto"/>
            <w:tcBorders>
              <w:top w:val="single" w:sz="4" w:space="0" w:color="auto"/>
              <w:left w:val="single" w:sz="4" w:space="0" w:color="auto"/>
              <w:bottom w:val="single" w:sz="4" w:space="0" w:color="auto"/>
              <w:right w:val="single" w:sz="4" w:space="0" w:color="auto"/>
            </w:tcBorders>
            <w:hideMark/>
          </w:tcPr>
          <w:p w14:paraId="0A57F677" w14:textId="77777777" w:rsidR="00037037" w:rsidRPr="00037037" w:rsidRDefault="00037037" w:rsidP="00D202E7">
            <w:pPr>
              <w:keepNext/>
              <w:rPr>
                <w:rFonts w:eastAsia="Arial" w:cs="Arial"/>
                <w:sz w:val="24"/>
              </w:rPr>
            </w:pPr>
            <w:r w:rsidRPr="00037037">
              <w:rPr>
                <w:rFonts w:eastAsia="Arial" w:cs="Arial"/>
                <w:sz w:val="24"/>
              </w:rPr>
              <w:t>25%</w:t>
            </w:r>
          </w:p>
        </w:tc>
        <w:tc>
          <w:tcPr>
            <w:tcW w:w="0" w:type="auto"/>
            <w:tcBorders>
              <w:top w:val="single" w:sz="4" w:space="0" w:color="auto"/>
              <w:left w:val="single" w:sz="4" w:space="0" w:color="auto"/>
              <w:bottom w:val="single" w:sz="4" w:space="0" w:color="auto"/>
              <w:right w:val="single" w:sz="4" w:space="0" w:color="auto"/>
            </w:tcBorders>
            <w:hideMark/>
          </w:tcPr>
          <w:p w14:paraId="6B96E821" w14:textId="77777777" w:rsidR="00037037" w:rsidRPr="00037037" w:rsidRDefault="00037037" w:rsidP="00D202E7">
            <w:pPr>
              <w:keepNext/>
              <w:rPr>
                <w:rFonts w:eastAsia="Arial" w:cs="Arial"/>
                <w:sz w:val="24"/>
              </w:rPr>
            </w:pPr>
            <w:r w:rsidRPr="00037037">
              <w:rPr>
                <w:rFonts w:eastAsia="Arial" w:cs="Arial"/>
                <w:sz w:val="24"/>
              </w:rPr>
              <w:t>56%</w:t>
            </w:r>
          </w:p>
        </w:tc>
        <w:tc>
          <w:tcPr>
            <w:tcW w:w="950" w:type="dxa"/>
            <w:tcBorders>
              <w:top w:val="single" w:sz="4" w:space="0" w:color="auto"/>
              <w:left w:val="single" w:sz="4" w:space="0" w:color="auto"/>
              <w:bottom w:val="single" w:sz="4" w:space="0" w:color="auto"/>
              <w:right w:val="single" w:sz="4" w:space="0" w:color="auto"/>
            </w:tcBorders>
          </w:tcPr>
          <w:p w14:paraId="10E82DFD" w14:textId="6704C98F" w:rsidR="00037037" w:rsidRPr="00037037" w:rsidRDefault="00037037" w:rsidP="00D202E7">
            <w:pPr>
              <w:keepNext/>
              <w:rPr>
                <w:rFonts w:eastAsia="Arial" w:cs="Arial"/>
                <w:sz w:val="24"/>
              </w:rPr>
            </w:pPr>
            <w:r w:rsidRPr="00037037">
              <w:rPr>
                <w:rFonts w:eastAsia="Arial" w:cs="Arial"/>
                <w:sz w:val="24"/>
              </w:rPr>
              <w:t>29%</w:t>
            </w:r>
          </w:p>
        </w:tc>
      </w:tr>
    </w:tbl>
    <w:p w14:paraId="42AFE15E" w14:textId="77777777" w:rsidR="00037037" w:rsidRPr="00037037" w:rsidRDefault="00037037" w:rsidP="00D202E7">
      <w:pPr>
        <w:contextualSpacing/>
        <w:rPr>
          <w:rFonts w:eastAsia="Aptos" w:cs="Arial"/>
        </w:rPr>
      </w:pPr>
    </w:p>
    <w:p w14:paraId="7065BDFE" w14:textId="77777777" w:rsidR="00037037" w:rsidRPr="00037037" w:rsidRDefault="00037037" w:rsidP="00D202E7">
      <w:pPr>
        <w:contextualSpacing/>
        <w:rPr>
          <w:rFonts w:eastAsia="Aptos" w:cs="Arial"/>
          <w:lang w:eastAsia="en-GB"/>
        </w:rPr>
      </w:pPr>
      <w:r w:rsidRPr="00037037">
        <w:rPr>
          <w:rFonts w:eastAsia="Aptos" w:cs="Arial"/>
        </w:rPr>
        <w:t>Overall, the adult lifestyle behaviours in Swansea are broadly in line with the Wales average for smoking, drinking above recommended limits, and maintaining a healthy weight. However, Swansea performs better than the Wales average for physical activity and in eating five portions of fruit and vegetables a day.</w:t>
      </w:r>
    </w:p>
    <w:p w14:paraId="0A36BA3B" w14:textId="77777777" w:rsidR="00037037" w:rsidRPr="00037037" w:rsidRDefault="00037037" w:rsidP="00D202E7">
      <w:pPr>
        <w:contextualSpacing/>
        <w:rPr>
          <w:rFonts w:eastAsia="Aptos" w:cs="Arial"/>
        </w:rPr>
      </w:pPr>
    </w:p>
    <w:p w14:paraId="70930DC5" w14:textId="77777777" w:rsidR="00037037" w:rsidRPr="00037037" w:rsidRDefault="00037037" w:rsidP="00D202E7">
      <w:pPr>
        <w:rPr>
          <w:rFonts w:eastAsia="Aptos" w:cs="Arial"/>
          <w:b/>
          <w:bCs/>
          <w:sz w:val="26"/>
          <w:szCs w:val="26"/>
        </w:rPr>
      </w:pPr>
      <w:r w:rsidRPr="00037037">
        <w:rPr>
          <w:rFonts w:eastAsia="Aptos" w:cs="Arial"/>
          <w:b/>
          <w:bCs/>
          <w:sz w:val="26"/>
          <w:szCs w:val="26"/>
        </w:rPr>
        <w:t>8.3 Current provision of pharmaceutical services within the locality</w:t>
      </w:r>
    </w:p>
    <w:p w14:paraId="54844270" w14:textId="77777777" w:rsidR="00037037" w:rsidRPr="00037037" w:rsidRDefault="00037037" w:rsidP="00D202E7">
      <w:pPr>
        <w:rPr>
          <w:rFonts w:eastAsia="Aptos" w:cs="Arial"/>
        </w:rPr>
      </w:pPr>
    </w:p>
    <w:p w14:paraId="70F5B6E6" w14:textId="77777777" w:rsidR="00037037" w:rsidRPr="00037037" w:rsidRDefault="00037037" w:rsidP="00D202E7">
      <w:pPr>
        <w:rPr>
          <w:rFonts w:eastAsia="Times New Roman" w:cs="Arial"/>
          <w:kern w:val="0"/>
          <w:lang w:val="en-US" w:eastAsia="en-GB"/>
          <w14:ligatures w14:val="none"/>
        </w:rPr>
      </w:pPr>
      <w:r w:rsidRPr="00037037">
        <w:rPr>
          <w:rFonts w:eastAsia="Aptos" w:cs="Arial"/>
        </w:rPr>
        <w:t>There are 16 pharmacies in the locality operated by seven different contractors.</w:t>
      </w:r>
    </w:p>
    <w:p w14:paraId="1D768B32" w14:textId="77777777" w:rsidR="00037037" w:rsidRPr="00037037" w:rsidRDefault="00037037" w:rsidP="00D202E7">
      <w:pPr>
        <w:rPr>
          <w:rFonts w:eastAsia="Aptos" w:cs="Arial"/>
        </w:rPr>
      </w:pPr>
      <w:r w:rsidRPr="00037037">
        <w:rPr>
          <w:rFonts w:eastAsia="Aptos" w:cs="Arial"/>
          <w:lang w:val="en-US"/>
        </w:rPr>
        <w:t xml:space="preserve"> </w:t>
      </w:r>
    </w:p>
    <w:p w14:paraId="67C6B788" w14:textId="77777777" w:rsidR="00037037" w:rsidRPr="00037037" w:rsidRDefault="00037037" w:rsidP="00D202E7">
      <w:pPr>
        <w:rPr>
          <w:rFonts w:eastAsia="Aptos" w:cs="Arial"/>
        </w:rPr>
      </w:pPr>
      <w:r w:rsidRPr="00037037">
        <w:rPr>
          <w:rFonts w:eastAsia="Aptos" w:cs="Arial"/>
        </w:rPr>
        <w:t>The availability of pharmaceutical services within the locality per 10,000 registered population is 2.1, which is slightly lower than the health board average of 2.3.</w:t>
      </w:r>
    </w:p>
    <w:p w14:paraId="4D7BC95A" w14:textId="77777777" w:rsidR="00037037" w:rsidRPr="00037037" w:rsidRDefault="00037037" w:rsidP="00D202E7">
      <w:pPr>
        <w:rPr>
          <w:rFonts w:eastAsia="Aptos" w:cs="Arial"/>
        </w:rPr>
      </w:pPr>
    </w:p>
    <w:p w14:paraId="20E85F95"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In 2024/25, 76.4% of items on prescriptions written by the GP practices in the locality were dispensed by one of the pharmacies within the locality. </w:t>
      </w:r>
    </w:p>
    <w:p w14:paraId="0DA7A176" w14:textId="77777777" w:rsidR="00037037" w:rsidRPr="00037037" w:rsidRDefault="00037037" w:rsidP="00D202E7">
      <w:pPr>
        <w:rPr>
          <w:rFonts w:eastAsia="Times New Roman" w:cs="Arial"/>
          <w:kern w:val="0"/>
          <w:lang w:eastAsia="en-GB"/>
          <w14:ligatures w14:val="none"/>
        </w:rPr>
      </w:pPr>
    </w:p>
    <w:p w14:paraId="72E9E689"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In 2025/26, 77.7% of items on prescriptions written by the GP practices in the locality were dispensed by one of the pharmacies within the locality. </w:t>
      </w:r>
    </w:p>
    <w:p w14:paraId="123DF83A" w14:textId="77777777" w:rsidR="00037037" w:rsidRPr="00037037" w:rsidRDefault="00037037" w:rsidP="00D202E7">
      <w:pPr>
        <w:rPr>
          <w:rFonts w:eastAsia="Aptos" w:cs="Arial"/>
        </w:rPr>
      </w:pPr>
    </w:p>
    <w:p w14:paraId="6E68969E" w14:textId="77777777" w:rsidR="00037037" w:rsidRPr="00037037" w:rsidRDefault="00037037" w:rsidP="00D202E7">
      <w:pPr>
        <w:rPr>
          <w:rFonts w:eastAsia="Aptos" w:cs="Arial"/>
        </w:rPr>
      </w:pPr>
      <w:r w:rsidRPr="00037037">
        <w:rPr>
          <w:rFonts w:eastAsia="Aptos" w:cs="Arial"/>
        </w:rPr>
        <w:t>The map below shows the pharmaceutical provision within the area. It should be noted that where premises are close to each other the symbols will overlap.</w:t>
      </w:r>
    </w:p>
    <w:p w14:paraId="3D672B87" w14:textId="77777777" w:rsidR="00037037" w:rsidRDefault="00037037" w:rsidP="00D202E7">
      <w:pPr>
        <w:rPr>
          <w:rFonts w:eastAsia="Times New Roman" w:cs="Arial"/>
          <w:kern w:val="0"/>
          <w:lang w:eastAsia="en-GB"/>
          <w14:ligatures w14:val="none"/>
        </w:rPr>
      </w:pPr>
    </w:p>
    <w:p w14:paraId="5B975E04" w14:textId="77777777" w:rsidR="00B43279" w:rsidRDefault="00B43279" w:rsidP="00D202E7">
      <w:pPr>
        <w:rPr>
          <w:rFonts w:eastAsia="Times New Roman" w:cs="Arial"/>
          <w:kern w:val="0"/>
          <w:lang w:eastAsia="en-GB"/>
          <w14:ligatures w14:val="none"/>
        </w:rPr>
      </w:pPr>
    </w:p>
    <w:p w14:paraId="3D95DE07" w14:textId="77777777" w:rsidR="00B43279" w:rsidRDefault="00B43279" w:rsidP="00D202E7">
      <w:pPr>
        <w:rPr>
          <w:rFonts w:eastAsia="Times New Roman" w:cs="Arial"/>
          <w:kern w:val="0"/>
          <w:lang w:eastAsia="en-GB"/>
          <w14:ligatures w14:val="none"/>
        </w:rPr>
      </w:pPr>
    </w:p>
    <w:p w14:paraId="1E119D7A" w14:textId="77777777" w:rsidR="00B43279" w:rsidRDefault="00B43279" w:rsidP="00D202E7">
      <w:pPr>
        <w:rPr>
          <w:rFonts w:eastAsia="Times New Roman" w:cs="Arial"/>
          <w:kern w:val="0"/>
          <w:lang w:eastAsia="en-GB"/>
          <w14:ligatures w14:val="none"/>
        </w:rPr>
      </w:pPr>
    </w:p>
    <w:p w14:paraId="52A78706" w14:textId="77777777" w:rsidR="00B43279" w:rsidRDefault="00B43279" w:rsidP="00D202E7">
      <w:pPr>
        <w:rPr>
          <w:rFonts w:eastAsia="Times New Roman" w:cs="Arial"/>
          <w:kern w:val="0"/>
          <w:lang w:eastAsia="en-GB"/>
          <w14:ligatures w14:val="none"/>
        </w:rPr>
      </w:pPr>
    </w:p>
    <w:p w14:paraId="4991D007" w14:textId="77777777" w:rsidR="00B43279" w:rsidRDefault="00B43279" w:rsidP="00D202E7">
      <w:pPr>
        <w:rPr>
          <w:rFonts w:eastAsia="Times New Roman" w:cs="Arial"/>
          <w:kern w:val="0"/>
          <w:lang w:eastAsia="en-GB"/>
          <w14:ligatures w14:val="none"/>
        </w:rPr>
      </w:pPr>
    </w:p>
    <w:p w14:paraId="0717F2EA" w14:textId="77777777" w:rsidR="00466EE5" w:rsidRDefault="00466EE5" w:rsidP="00D202E7">
      <w:pPr>
        <w:rPr>
          <w:rFonts w:eastAsia="Times New Roman" w:cs="Arial"/>
          <w:kern w:val="0"/>
          <w:lang w:eastAsia="en-GB"/>
          <w14:ligatures w14:val="none"/>
        </w:rPr>
      </w:pPr>
    </w:p>
    <w:p w14:paraId="19809D77" w14:textId="77777777" w:rsidR="00B43279" w:rsidRDefault="00B43279" w:rsidP="00D202E7">
      <w:pPr>
        <w:rPr>
          <w:rFonts w:eastAsia="Times New Roman" w:cs="Arial"/>
          <w:kern w:val="0"/>
          <w:lang w:eastAsia="en-GB"/>
          <w14:ligatures w14:val="none"/>
        </w:rPr>
      </w:pPr>
    </w:p>
    <w:p w14:paraId="1D1C7E5B" w14:textId="77777777" w:rsidR="00B43279" w:rsidRDefault="00B43279" w:rsidP="00D202E7">
      <w:pPr>
        <w:rPr>
          <w:rFonts w:eastAsia="Times New Roman" w:cs="Arial"/>
          <w:kern w:val="0"/>
          <w:lang w:eastAsia="en-GB"/>
          <w14:ligatures w14:val="none"/>
        </w:rPr>
      </w:pPr>
    </w:p>
    <w:p w14:paraId="44E0EE2A" w14:textId="77777777" w:rsidR="00B43279" w:rsidRDefault="00B43279" w:rsidP="00D202E7">
      <w:pPr>
        <w:rPr>
          <w:rFonts w:eastAsia="Times New Roman" w:cs="Arial"/>
          <w:kern w:val="0"/>
          <w:lang w:eastAsia="en-GB"/>
          <w14:ligatures w14:val="none"/>
        </w:rPr>
      </w:pPr>
    </w:p>
    <w:p w14:paraId="7CD436C5" w14:textId="77777777" w:rsidR="00B43279" w:rsidRPr="00037037" w:rsidRDefault="00B43279" w:rsidP="00D202E7">
      <w:pPr>
        <w:rPr>
          <w:rFonts w:eastAsia="Times New Roman" w:cs="Arial"/>
          <w:kern w:val="0"/>
          <w:lang w:eastAsia="en-GB"/>
          <w14:ligatures w14:val="none"/>
        </w:rPr>
      </w:pPr>
    </w:p>
    <w:p w14:paraId="39FDA4E6" w14:textId="77777777" w:rsidR="00037037" w:rsidRPr="00037037" w:rsidRDefault="00037037" w:rsidP="00D202E7">
      <w:pPr>
        <w:rPr>
          <w:rFonts w:eastAsia="Aptos" w:cs="Arial"/>
          <w:b/>
          <w:bCs/>
        </w:rPr>
      </w:pPr>
      <w:r w:rsidRPr="00037037">
        <w:rPr>
          <w:rFonts w:eastAsia="Aptos" w:cs="Arial"/>
          <w:b/>
          <w:bCs/>
        </w:rPr>
        <w:lastRenderedPageBreak/>
        <w:t>Map 8.1: Locations of the pharmacy premises within the locality</w:t>
      </w:r>
    </w:p>
    <w:p w14:paraId="52ABD0A3" w14:textId="77777777" w:rsidR="00037037" w:rsidRPr="00037037" w:rsidRDefault="00037037" w:rsidP="00D202E7">
      <w:pPr>
        <w:rPr>
          <w:rFonts w:eastAsia="Aptos" w:cs="Arial"/>
        </w:rPr>
      </w:pPr>
    </w:p>
    <w:p w14:paraId="7451A675" w14:textId="332A9924" w:rsidR="00037037" w:rsidRPr="00037037" w:rsidRDefault="00B43279" w:rsidP="00D202E7">
      <w:pPr>
        <w:rPr>
          <w:rFonts w:eastAsia="Aptos" w:cs="Arial"/>
        </w:rPr>
      </w:pPr>
      <w:r w:rsidRPr="00B43279">
        <w:rPr>
          <w:rFonts w:eastAsia="Aptos" w:cs="Arial"/>
          <w:noProof/>
        </w:rPr>
        <w:drawing>
          <wp:inline distT="0" distB="0" distL="0" distR="0" wp14:anchorId="0441B739" wp14:editId="27FAA777">
            <wp:extent cx="5731510" cy="3096260"/>
            <wp:effectExtent l="0" t="0" r="2540" b="8890"/>
            <wp:docPr id="41775783" name="Picture 1" descr="Map of the Gower Peninsula, South Wales, showing the locations of 16 community pharmacies marked with numbered pink map pins. A legend on the left lists the pharmacies: Scurlage Pharmacy (1), Well Pharmacy Pennard (2), Well Pharmacy Murton (3), Well Pharmacy West Cross Lane (4), Well Pharmacy West Cross (5), Welchem Castle Pharmacy (6), Newbury Pharmacy (7), Boots The Chemist Mumbles (8), Kevin Thomas Pharmacy Mumbles (9), Kevin Thomas Pharmacy Killay (10), Medihub Pharmacy Killay (11), Well Pharmacy Sketty Park (12), Kevin Thomas Pharmacy Tycoch (13), Well Pharmacy Sketty (14), Boots The Chemist Uplands (15), and Well Pharmacy Uplands (16). Most pharmacies are clustered around Mumbles, West Cross, Killay, Sketty, and Uplands in the eastern part of the map, with Scurlage Pharmacy located separately in the southwest of the penins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75783" name="Picture 1" descr="Map of the Gower Peninsula, South Wales, showing the locations of 16 community pharmacies marked with numbered pink map pins. A legend on the left lists the pharmacies: Scurlage Pharmacy (1), Well Pharmacy Pennard (2), Well Pharmacy Murton (3), Well Pharmacy West Cross Lane (4), Well Pharmacy West Cross (5), Welchem Castle Pharmacy (6), Newbury Pharmacy (7), Boots The Chemist Mumbles (8), Kevin Thomas Pharmacy Mumbles (9), Kevin Thomas Pharmacy Killay (10), Medihub Pharmacy Killay (11), Well Pharmacy Sketty Park (12), Kevin Thomas Pharmacy Tycoch (13), Well Pharmacy Sketty (14), Boots The Chemist Uplands (15), and Well Pharmacy Uplands (16). Most pharmacies are clustered around Mumbles, West Cross, Killay, Sketty, and Uplands in the eastern part of the map, with Scurlage Pharmacy located separately in the southwest of the peninsula."/>
                    <pic:cNvPicPr/>
                  </pic:nvPicPr>
                  <pic:blipFill>
                    <a:blip r:embed="rId56"/>
                    <a:stretch>
                      <a:fillRect/>
                    </a:stretch>
                  </pic:blipFill>
                  <pic:spPr>
                    <a:xfrm>
                      <a:off x="0" y="0"/>
                      <a:ext cx="5731510" cy="3096260"/>
                    </a:xfrm>
                    <a:prstGeom prst="rect">
                      <a:avLst/>
                    </a:prstGeom>
                  </pic:spPr>
                </pic:pic>
              </a:graphicData>
            </a:graphic>
          </wp:inline>
        </w:drawing>
      </w:r>
    </w:p>
    <w:p w14:paraId="42780712" w14:textId="77777777" w:rsidR="00B43279" w:rsidRDefault="00B43279" w:rsidP="00D202E7">
      <w:pPr>
        <w:rPr>
          <w:rFonts w:eastAsia="Times New Roman" w:cs="Arial"/>
          <w:kern w:val="0"/>
          <w:lang w:eastAsia="en-GB"/>
          <w14:ligatures w14:val="none"/>
        </w:rPr>
      </w:pPr>
    </w:p>
    <w:p w14:paraId="7B6BD667" w14:textId="744627F6" w:rsidR="00037037" w:rsidRPr="00037037" w:rsidRDefault="00037037" w:rsidP="00D202E7">
      <w:pPr>
        <w:rPr>
          <w:rFonts w:eastAsia="Aptos" w:cs="Arial"/>
        </w:rPr>
      </w:pPr>
      <w:r w:rsidRPr="00037037">
        <w:rPr>
          <w:rFonts w:eastAsia="Times New Roman" w:cs="Arial"/>
          <w:kern w:val="0"/>
          <w:lang w:eastAsia="en-GB"/>
          <w14:ligatures w14:val="none"/>
        </w:rPr>
        <w:t>The health board has noted the pharmaceutical needs assessment published on 1 October 2021 concluded that the pharmacies in this locality were mainly located in areas of greater population density. In addition, all residents were abl</w:t>
      </w:r>
      <w:r w:rsidRPr="00037037">
        <w:rPr>
          <w:rFonts w:eastAsia="Aptos" w:cs="Arial"/>
        </w:rPr>
        <w:t>e to access a pharmacy within 20 minutes by car. Those areas that were not within a 20-minute drive of a pharmacy did not have a resident population. Noting the locations of the pharmacies have not changed, the health board is satisfied this conclusion remains valid; residents are still able to access a pharmacy by car within 20 minutes.</w:t>
      </w:r>
    </w:p>
    <w:p w14:paraId="730D3004" w14:textId="77777777" w:rsidR="00037037" w:rsidRPr="00037037" w:rsidRDefault="00037037" w:rsidP="00D202E7">
      <w:pPr>
        <w:rPr>
          <w:rFonts w:eastAsia="Aptos" w:cs="Arial"/>
        </w:rPr>
      </w:pPr>
    </w:p>
    <w:p w14:paraId="5BF7FA5E" w14:textId="77777777" w:rsidR="00037037" w:rsidRPr="00037037" w:rsidRDefault="00037037" w:rsidP="00D202E7">
      <w:pPr>
        <w:rPr>
          <w:rFonts w:eastAsia="Aptos" w:cs="Arial"/>
        </w:rPr>
      </w:pPr>
      <w:r w:rsidRPr="00037037">
        <w:rPr>
          <w:rFonts w:eastAsia="Aptos" w:cs="Arial"/>
        </w:rPr>
        <w:t>Looking at the opening hours for the 16 pharmacies:</w:t>
      </w:r>
    </w:p>
    <w:p w14:paraId="534CDE29" w14:textId="77777777" w:rsidR="00037037" w:rsidRPr="00037037" w:rsidRDefault="00037037" w:rsidP="00D202E7">
      <w:pPr>
        <w:rPr>
          <w:rFonts w:eastAsia="Aptos" w:cs="Arial"/>
        </w:rPr>
      </w:pPr>
    </w:p>
    <w:p w14:paraId="46F3A7F5" w14:textId="77777777" w:rsidR="00037037" w:rsidRPr="00037037" w:rsidRDefault="00037037" w:rsidP="00B76905">
      <w:pPr>
        <w:numPr>
          <w:ilvl w:val="0"/>
          <w:numId w:val="143"/>
        </w:numPr>
        <w:contextualSpacing/>
        <w:rPr>
          <w:rFonts w:eastAsia="Aptos" w:cs="Arial"/>
        </w:rPr>
      </w:pPr>
      <w:r w:rsidRPr="00037037">
        <w:rPr>
          <w:rFonts w:eastAsia="Aptos" w:cs="Arial"/>
        </w:rPr>
        <w:t>Two pharmacies open from Monday to Saturday,</w:t>
      </w:r>
    </w:p>
    <w:p w14:paraId="0C7F2C69" w14:textId="77777777" w:rsidR="00037037" w:rsidRPr="00037037" w:rsidRDefault="00037037" w:rsidP="00B76905">
      <w:pPr>
        <w:numPr>
          <w:ilvl w:val="0"/>
          <w:numId w:val="143"/>
        </w:numPr>
        <w:contextualSpacing/>
        <w:rPr>
          <w:rFonts w:eastAsia="Aptos" w:cs="Arial"/>
        </w:rPr>
      </w:pPr>
      <w:r w:rsidRPr="00037037">
        <w:rPr>
          <w:rFonts w:eastAsia="Aptos" w:cs="Arial"/>
        </w:rPr>
        <w:t xml:space="preserve">Five pharmacies open Monday to Friday and Saturday morning, one of which is commissioned to also open on Sundays </w:t>
      </w:r>
    </w:p>
    <w:p w14:paraId="05D779C9" w14:textId="77777777" w:rsidR="00037037" w:rsidRPr="00037037" w:rsidRDefault="00037037" w:rsidP="00B76905">
      <w:pPr>
        <w:numPr>
          <w:ilvl w:val="0"/>
          <w:numId w:val="143"/>
        </w:numPr>
        <w:contextualSpacing/>
        <w:rPr>
          <w:rFonts w:eastAsia="Aptos" w:cs="Arial"/>
        </w:rPr>
      </w:pPr>
      <w:r w:rsidRPr="00037037">
        <w:rPr>
          <w:rFonts w:eastAsia="Aptos" w:cs="Arial"/>
        </w:rPr>
        <w:t>One pharmacy opens Monday to Friday and is commissioned to also open on Sundays, and</w:t>
      </w:r>
    </w:p>
    <w:p w14:paraId="3667CBFE" w14:textId="77777777" w:rsidR="00037037" w:rsidRPr="00037037" w:rsidRDefault="00037037" w:rsidP="00B76905">
      <w:pPr>
        <w:numPr>
          <w:ilvl w:val="0"/>
          <w:numId w:val="143"/>
        </w:numPr>
        <w:contextualSpacing/>
        <w:rPr>
          <w:rFonts w:eastAsia="Aptos" w:cs="Arial"/>
        </w:rPr>
      </w:pPr>
      <w:r w:rsidRPr="00037037">
        <w:rPr>
          <w:rFonts w:eastAsia="Aptos" w:cs="Arial"/>
        </w:rPr>
        <w:t>Eight pharmacies open Monday to Friday.</w:t>
      </w:r>
    </w:p>
    <w:p w14:paraId="47099D0D" w14:textId="77777777" w:rsidR="00037037" w:rsidRPr="00037037" w:rsidRDefault="00037037" w:rsidP="00D202E7">
      <w:pPr>
        <w:rPr>
          <w:rFonts w:eastAsia="Times New Roman" w:cs="Arial"/>
          <w:kern w:val="0"/>
          <w:lang w:eastAsia="en-GB"/>
          <w14:ligatures w14:val="none"/>
        </w:rPr>
      </w:pPr>
    </w:p>
    <w:p w14:paraId="56DAC407"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Within the locality when looking at the total pharmacy opening hours, the range of opening and closing times are shown in the table below. </w:t>
      </w:r>
      <w:r w:rsidRPr="00037037">
        <w:rPr>
          <w:rFonts w:eastAsia="Aptos" w:cs="Arial"/>
        </w:rPr>
        <w:t>For the purposes of the pharmaceutical needs assessment, normal working hours have been defined as Monday to Friday 9.00am to 5.30pm.</w:t>
      </w:r>
    </w:p>
    <w:p w14:paraId="219F2540" w14:textId="77777777" w:rsidR="00037037" w:rsidRDefault="00037037" w:rsidP="00D202E7">
      <w:pPr>
        <w:rPr>
          <w:rFonts w:eastAsia="Times New Roman" w:cs="Arial"/>
          <w:kern w:val="0"/>
          <w:lang w:eastAsia="en-GB"/>
          <w14:ligatures w14:val="none"/>
        </w:rPr>
      </w:pPr>
    </w:p>
    <w:p w14:paraId="038CCE2F" w14:textId="77777777" w:rsidR="004D24D2" w:rsidRDefault="004D24D2" w:rsidP="00D202E7">
      <w:pPr>
        <w:rPr>
          <w:rFonts w:eastAsia="Times New Roman" w:cs="Arial"/>
          <w:kern w:val="0"/>
          <w:lang w:eastAsia="en-GB"/>
          <w14:ligatures w14:val="none"/>
        </w:rPr>
      </w:pPr>
    </w:p>
    <w:p w14:paraId="4ECF7AC6" w14:textId="77777777" w:rsidR="004D24D2" w:rsidRDefault="004D24D2" w:rsidP="00D202E7">
      <w:pPr>
        <w:rPr>
          <w:rFonts w:eastAsia="Times New Roman" w:cs="Arial"/>
          <w:kern w:val="0"/>
          <w:lang w:eastAsia="en-GB"/>
          <w14:ligatures w14:val="none"/>
        </w:rPr>
      </w:pPr>
    </w:p>
    <w:p w14:paraId="5E89E445" w14:textId="77777777" w:rsidR="004D24D2" w:rsidRDefault="004D24D2" w:rsidP="00D202E7">
      <w:pPr>
        <w:rPr>
          <w:rFonts w:eastAsia="Times New Roman" w:cs="Arial"/>
          <w:kern w:val="0"/>
          <w:lang w:eastAsia="en-GB"/>
          <w14:ligatures w14:val="none"/>
        </w:rPr>
      </w:pPr>
    </w:p>
    <w:p w14:paraId="098D305A" w14:textId="77777777" w:rsidR="004D24D2" w:rsidRDefault="004D24D2" w:rsidP="00D202E7">
      <w:pPr>
        <w:rPr>
          <w:rFonts w:eastAsia="Times New Roman" w:cs="Arial"/>
          <w:kern w:val="0"/>
          <w:lang w:eastAsia="en-GB"/>
          <w14:ligatures w14:val="none"/>
        </w:rPr>
      </w:pPr>
    </w:p>
    <w:p w14:paraId="61639C47" w14:textId="77777777" w:rsidR="004D24D2" w:rsidRDefault="004D24D2" w:rsidP="00D202E7">
      <w:pPr>
        <w:rPr>
          <w:rFonts w:eastAsia="Times New Roman" w:cs="Arial"/>
          <w:kern w:val="0"/>
          <w:lang w:eastAsia="en-GB"/>
          <w14:ligatures w14:val="none"/>
        </w:rPr>
      </w:pPr>
    </w:p>
    <w:p w14:paraId="573D9F43" w14:textId="77777777" w:rsidR="004D24D2" w:rsidRDefault="004D24D2" w:rsidP="00D202E7">
      <w:pPr>
        <w:rPr>
          <w:rFonts w:eastAsia="Times New Roman" w:cs="Arial"/>
          <w:kern w:val="0"/>
          <w:lang w:eastAsia="en-GB"/>
          <w14:ligatures w14:val="none"/>
        </w:rPr>
      </w:pPr>
    </w:p>
    <w:p w14:paraId="7626EB35" w14:textId="77777777" w:rsidR="004D24D2" w:rsidRPr="00037037" w:rsidRDefault="004D24D2" w:rsidP="00D202E7">
      <w:pPr>
        <w:rPr>
          <w:rFonts w:eastAsia="Times New Roman" w:cs="Arial"/>
          <w:kern w:val="0"/>
          <w:lang w:eastAsia="en-GB"/>
          <w14:ligatures w14:val="none"/>
        </w:rPr>
      </w:pPr>
    </w:p>
    <w:p w14:paraId="7164C085"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lastRenderedPageBreak/>
        <w:t xml:space="preserve">Table 8.7: Pharmacy opening and closing hours </w:t>
      </w:r>
    </w:p>
    <w:p w14:paraId="413A97F7" w14:textId="77777777" w:rsidR="00037037" w:rsidRPr="00037037" w:rsidRDefault="00037037" w:rsidP="00D202E7">
      <w:pPr>
        <w:rPr>
          <w:rFonts w:eastAsia="Times New Roman" w:cs="Arial"/>
          <w:kern w:val="0"/>
          <w:lang w:eastAsia="en-GB"/>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3463"/>
        <w:gridCol w:w="3006"/>
      </w:tblGrid>
      <w:tr w:rsidR="00037037" w:rsidRPr="00D0306F" w14:paraId="4415725C" w14:textId="77777777" w:rsidTr="00037037">
        <w:tc>
          <w:tcPr>
            <w:tcW w:w="2547" w:type="dxa"/>
            <w:tcBorders>
              <w:top w:val="single" w:sz="4" w:space="0" w:color="auto"/>
              <w:left w:val="single" w:sz="4" w:space="0" w:color="auto"/>
              <w:bottom w:val="single" w:sz="4" w:space="0" w:color="auto"/>
              <w:right w:val="single" w:sz="4" w:space="0" w:color="auto"/>
            </w:tcBorders>
            <w:shd w:val="clear" w:color="auto" w:fill="153D63"/>
            <w:hideMark/>
          </w:tcPr>
          <w:p w14:paraId="7FE4BD10"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Days</w:t>
            </w:r>
          </w:p>
        </w:tc>
        <w:tc>
          <w:tcPr>
            <w:tcW w:w="3463" w:type="dxa"/>
            <w:tcBorders>
              <w:top w:val="single" w:sz="4" w:space="0" w:color="auto"/>
              <w:left w:val="single" w:sz="4" w:space="0" w:color="auto"/>
              <w:bottom w:val="single" w:sz="4" w:space="0" w:color="auto"/>
              <w:right w:val="single" w:sz="4" w:space="0" w:color="auto"/>
            </w:tcBorders>
            <w:shd w:val="clear" w:color="auto" w:fill="153D63"/>
            <w:hideMark/>
          </w:tcPr>
          <w:p w14:paraId="053602F5"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Opening hours range</w:t>
            </w:r>
          </w:p>
        </w:tc>
        <w:tc>
          <w:tcPr>
            <w:tcW w:w="3006" w:type="dxa"/>
            <w:tcBorders>
              <w:top w:val="single" w:sz="4" w:space="0" w:color="auto"/>
              <w:left w:val="single" w:sz="4" w:space="0" w:color="auto"/>
              <w:bottom w:val="single" w:sz="4" w:space="0" w:color="auto"/>
              <w:right w:val="single" w:sz="4" w:space="0" w:color="auto"/>
            </w:tcBorders>
            <w:shd w:val="clear" w:color="auto" w:fill="153D63"/>
            <w:hideMark/>
          </w:tcPr>
          <w:p w14:paraId="041C131A"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Closing hours range</w:t>
            </w:r>
          </w:p>
        </w:tc>
      </w:tr>
      <w:tr w:rsidR="00037037" w:rsidRPr="00037037" w14:paraId="40216C95" w14:textId="77777777" w:rsidTr="00037037">
        <w:tc>
          <w:tcPr>
            <w:tcW w:w="2547" w:type="dxa"/>
            <w:tcBorders>
              <w:top w:val="single" w:sz="4" w:space="0" w:color="auto"/>
              <w:left w:val="single" w:sz="4" w:space="0" w:color="auto"/>
              <w:bottom w:val="single" w:sz="4" w:space="0" w:color="auto"/>
              <w:right w:val="single" w:sz="4" w:space="0" w:color="auto"/>
            </w:tcBorders>
            <w:hideMark/>
          </w:tcPr>
          <w:p w14:paraId="05D109D1"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Monday, Tuesday, Thursday and Friday</w:t>
            </w:r>
          </w:p>
        </w:tc>
        <w:tc>
          <w:tcPr>
            <w:tcW w:w="3463" w:type="dxa"/>
            <w:tcBorders>
              <w:top w:val="single" w:sz="4" w:space="0" w:color="auto"/>
              <w:left w:val="single" w:sz="4" w:space="0" w:color="auto"/>
              <w:bottom w:val="single" w:sz="4" w:space="0" w:color="auto"/>
              <w:right w:val="single" w:sz="4" w:space="0" w:color="auto"/>
            </w:tcBorders>
            <w:hideMark/>
          </w:tcPr>
          <w:p w14:paraId="3F725AF6"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8.30am to 9.00am</w:t>
            </w:r>
          </w:p>
        </w:tc>
        <w:tc>
          <w:tcPr>
            <w:tcW w:w="3006" w:type="dxa"/>
            <w:tcBorders>
              <w:top w:val="single" w:sz="4" w:space="0" w:color="auto"/>
              <w:left w:val="single" w:sz="4" w:space="0" w:color="auto"/>
              <w:bottom w:val="single" w:sz="4" w:space="0" w:color="auto"/>
              <w:right w:val="single" w:sz="4" w:space="0" w:color="auto"/>
            </w:tcBorders>
            <w:hideMark/>
          </w:tcPr>
          <w:p w14:paraId="21186683"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5.00pm to 6.00pm </w:t>
            </w:r>
          </w:p>
        </w:tc>
      </w:tr>
      <w:tr w:rsidR="00037037" w:rsidRPr="00037037" w14:paraId="36DCDE71" w14:textId="77777777" w:rsidTr="00037037">
        <w:tc>
          <w:tcPr>
            <w:tcW w:w="2547" w:type="dxa"/>
            <w:tcBorders>
              <w:top w:val="single" w:sz="4" w:space="0" w:color="auto"/>
              <w:left w:val="single" w:sz="4" w:space="0" w:color="auto"/>
              <w:bottom w:val="single" w:sz="4" w:space="0" w:color="auto"/>
              <w:right w:val="single" w:sz="4" w:space="0" w:color="auto"/>
            </w:tcBorders>
            <w:hideMark/>
          </w:tcPr>
          <w:p w14:paraId="5D4F646C"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Wednesday</w:t>
            </w:r>
          </w:p>
        </w:tc>
        <w:tc>
          <w:tcPr>
            <w:tcW w:w="3463" w:type="dxa"/>
            <w:tcBorders>
              <w:top w:val="single" w:sz="4" w:space="0" w:color="auto"/>
              <w:left w:val="single" w:sz="4" w:space="0" w:color="auto"/>
              <w:bottom w:val="single" w:sz="4" w:space="0" w:color="auto"/>
              <w:right w:val="single" w:sz="4" w:space="0" w:color="auto"/>
            </w:tcBorders>
            <w:hideMark/>
          </w:tcPr>
          <w:p w14:paraId="49CC6A56"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8.30am to 9.00am</w:t>
            </w:r>
          </w:p>
        </w:tc>
        <w:tc>
          <w:tcPr>
            <w:tcW w:w="3006" w:type="dxa"/>
            <w:tcBorders>
              <w:top w:val="single" w:sz="4" w:space="0" w:color="auto"/>
              <w:left w:val="single" w:sz="4" w:space="0" w:color="auto"/>
              <w:bottom w:val="single" w:sz="4" w:space="0" w:color="auto"/>
              <w:right w:val="single" w:sz="4" w:space="0" w:color="auto"/>
            </w:tcBorders>
            <w:hideMark/>
          </w:tcPr>
          <w:p w14:paraId="42183CAF"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1.00pm to 6.00pm</w:t>
            </w:r>
          </w:p>
        </w:tc>
      </w:tr>
      <w:tr w:rsidR="00037037" w:rsidRPr="00037037" w14:paraId="049F6A72" w14:textId="77777777" w:rsidTr="00037037">
        <w:tc>
          <w:tcPr>
            <w:tcW w:w="2547" w:type="dxa"/>
            <w:tcBorders>
              <w:top w:val="single" w:sz="4" w:space="0" w:color="auto"/>
              <w:left w:val="single" w:sz="4" w:space="0" w:color="auto"/>
              <w:bottom w:val="single" w:sz="4" w:space="0" w:color="auto"/>
              <w:right w:val="single" w:sz="4" w:space="0" w:color="auto"/>
            </w:tcBorders>
            <w:hideMark/>
          </w:tcPr>
          <w:p w14:paraId="524E58DC"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Saturday</w:t>
            </w:r>
          </w:p>
        </w:tc>
        <w:tc>
          <w:tcPr>
            <w:tcW w:w="3463" w:type="dxa"/>
            <w:tcBorders>
              <w:top w:val="single" w:sz="4" w:space="0" w:color="auto"/>
              <w:left w:val="single" w:sz="4" w:space="0" w:color="auto"/>
              <w:bottom w:val="single" w:sz="4" w:space="0" w:color="auto"/>
              <w:right w:val="single" w:sz="4" w:space="0" w:color="auto"/>
            </w:tcBorders>
            <w:hideMark/>
          </w:tcPr>
          <w:p w14:paraId="22B3D886"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9.00am to 9.30am</w:t>
            </w:r>
          </w:p>
        </w:tc>
        <w:tc>
          <w:tcPr>
            <w:tcW w:w="3006" w:type="dxa"/>
            <w:tcBorders>
              <w:top w:val="single" w:sz="4" w:space="0" w:color="auto"/>
              <w:left w:val="single" w:sz="4" w:space="0" w:color="auto"/>
              <w:bottom w:val="single" w:sz="4" w:space="0" w:color="auto"/>
              <w:right w:val="single" w:sz="4" w:space="0" w:color="auto"/>
            </w:tcBorders>
            <w:hideMark/>
          </w:tcPr>
          <w:p w14:paraId="68865608"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12.00pm to 5.30pm</w:t>
            </w:r>
          </w:p>
        </w:tc>
      </w:tr>
      <w:tr w:rsidR="00037037" w:rsidRPr="00037037" w14:paraId="10970AB8" w14:textId="77777777" w:rsidTr="00037037">
        <w:tc>
          <w:tcPr>
            <w:tcW w:w="2547" w:type="dxa"/>
            <w:tcBorders>
              <w:top w:val="single" w:sz="4" w:space="0" w:color="auto"/>
              <w:left w:val="single" w:sz="4" w:space="0" w:color="auto"/>
              <w:bottom w:val="single" w:sz="4" w:space="0" w:color="auto"/>
              <w:right w:val="single" w:sz="4" w:space="0" w:color="auto"/>
            </w:tcBorders>
            <w:hideMark/>
          </w:tcPr>
          <w:p w14:paraId="72C33C5A"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Sunday</w:t>
            </w:r>
          </w:p>
        </w:tc>
        <w:tc>
          <w:tcPr>
            <w:tcW w:w="3463" w:type="dxa"/>
            <w:tcBorders>
              <w:top w:val="single" w:sz="4" w:space="0" w:color="auto"/>
              <w:left w:val="single" w:sz="4" w:space="0" w:color="auto"/>
              <w:bottom w:val="single" w:sz="4" w:space="0" w:color="auto"/>
              <w:right w:val="single" w:sz="4" w:space="0" w:color="auto"/>
            </w:tcBorders>
            <w:hideMark/>
          </w:tcPr>
          <w:p w14:paraId="46EF3797"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1.30pm</w:t>
            </w:r>
          </w:p>
        </w:tc>
        <w:tc>
          <w:tcPr>
            <w:tcW w:w="3006" w:type="dxa"/>
            <w:tcBorders>
              <w:top w:val="single" w:sz="4" w:space="0" w:color="auto"/>
              <w:left w:val="single" w:sz="4" w:space="0" w:color="auto"/>
              <w:bottom w:val="single" w:sz="4" w:space="0" w:color="auto"/>
              <w:right w:val="single" w:sz="4" w:space="0" w:color="auto"/>
            </w:tcBorders>
            <w:hideMark/>
          </w:tcPr>
          <w:p w14:paraId="62346F19"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6.00pm</w:t>
            </w:r>
          </w:p>
        </w:tc>
      </w:tr>
    </w:tbl>
    <w:p w14:paraId="0D82F942" w14:textId="77777777" w:rsidR="00037037" w:rsidRPr="00037037" w:rsidRDefault="00037037" w:rsidP="00D202E7">
      <w:pPr>
        <w:rPr>
          <w:rFonts w:eastAsia="Aptos" w:cs="Arial"/>
        </w:rPr>
      </w:pPr>
    </w:p>
    <w:p w14:paraId="74A1063B" w14:textId="77777777" w:rsidR="00037037" w:rsidRPr="00037037" w:rsidRDefault="00037037" w:rsidP="00B76905">
      <w:pPr>
        <w:numPr>
          <w:ilvl w:val="0"/>
          <w:numId w:val="144"/>
        </w:numPr>
        <w:contextualSpacing/>
        <w:rPr>
          <w:rFonts w:eastAsia="Aptos" w:cs="Arial"/>
        </w:rPr>
      </w:pPr>
      <w:r w:rsidRPr="00037037">
        <w:rPr>
          <w:rFonts w:eastAsia="Aptos" w:cs="Arial"/>
        </w:rPr>
        <w:t>Two pharmacies open at 8.30am Monday to Friday</w:t>
      </w:r>
    </w:p>
    <w:p w14:paraId="6078FA8B" w14:textId="77777777" w:rsidR="00037037" w:rsidRPr="00037037" w:rsidRDefault="00037037" w:rsidP="00B76905">
      <w:pPr>
        <w:numPr>
          <w:ilvl w:val="0"/>
          <w:numId w:val="144"/>
        </w:numPr>
        <w:contextualSpacing/>
        <w:rPr>
          <w:rFonts w:eastAsia="Aptos" w:cs="Arial"/>
        </w:rPr>
      </w:pPr>
      <w:r w:rsidRPr="00037037">
        <w:rPr>
          <w:rFonts w:eastAsia="Aptos" w:cs="Arial"/>
        </w:rPr>
        <w:t>Between nine and 11 pharmacies close at 6.00pm Monday to Friday – some pharmacies may close earlier on certain days</w:t>
      </w:r>
    </w:p>
    <w:p w14:paraId="1C30A31B" w14:textId="77777777" w:rsidR="00037037" w:rsidRPr="00037037" w:rsidRDefault="00037037" w:rsidP="00B76905">
      <w:pPr>
        <w:numPr>
          <w:ilvl w:val="0"/>
          <w:numId w:val="144"/>
        </w:numPr>
        <w:contextualSpacing/>
        <w:rPr>
          <w:rFonts w:eastAsia="Aptos" w:cs="Arial"/>
        </w:rPr>
      </w:pPr>
      <w:r w:rsidRPr="00037037">
        <w:rPr>
          <w:rFonts w:eastAsia="Aptos" w:cs="Arial"/>
        </w:rPr>
        <w:t>One pharmacy closes at 1.00pm on a Wednesday (half day closure)</w:t>
      </w:r>
    </w:p>
    <w:p w14:paraId="10EDF8E9" w14:textId="77777777" w:rsidR="00037037" w:rsidRPr="00037037" w:rsidRDefault="00037037" w:rsidP="00B76905">
      <w:pPr>
        <w:numPr>
          <w:ilvl w:val="0"/>
          <w:numId w:val="144"/>
        </w:numPr>
        <w:contextualSpacing/>
        <w:rPr>
          <w:rFonts w:eastAsia="Aptos" w:cs="Arial"/>
        </w:rPr>
      </w:pPr>
      <w:r w:rsidRPr="00037037">
        <w:rPr>
          <w:rFonts w:eastAsia="Aptos" w:cs="Arial"/>
        </w:rPr>
        <w:t>Seven pharmacies are open on Saturday:</w:t>
      </w:r>
    </w:p>
    <w:p w14:paraId="1472BBAB" w14:textId="77777777" w:rsidR="00037037" w:rsidRPr="00037037" w:rsidRDefault="00037037" w:rsidP="00B76905">
      <w:pPr>
        <w:numPr>
          <w:ilvl w:val="1"/>
          <w:numId w:val="144"/>
        </w:numPr>
        <w:contextualSpacing/>
        <w:rPr>
          <w:rFonts w:eastAsia="Aptos" w:cs="Arial"/>
        </w:rPr>
      </w:pPr>
      <w:r w:rsidRPr="00037037">
        <w:rPr>
          <w:rFonts w:eastAsia="Aptos" w:cs="Arial"/>
        </w:rPr>
        <w:t>Four pharmacies close at 12.00pm</w:t>
      </w:r>
    </w:p>
    <w:p w14:paraId="10964B5E" w14:textId="77777777" w:rsidR="00037037" w:rsidRPr="00037037" w:rsidRDefault="00037037" w:rsidP="00B76905">
      <w:pPr>
        <w:numPr>
          <w:ilvl w:val="1"/>
          <w:numId w:val="144"/>
        </w:numPr>
        <w:contextualSpacing/>
        <w:rPr>
          <w:rFonts w:eastAsia="Aptos" w:cs="Arial"/>
        </w:rPr>
      </w:pPr>
      <w:r w:rsidRPr="00037037">
        <w:rPr>
          <w:rFonts w:eastAsia="Aptos" w:cs="Arial"/>
        </w:rPr>
        <w:t>One pharmacy closes at 1.00pm</w:t>
      </w:r>
    </w:p>
    <w:p w14:paraId="70D60A1F" w14:textId="77777777" w:rsidR="00037037" w:rsidRPr="00037037" w:rsidRDefault="00037037" w:rsidP="00B76905">
      <w:pPr>
        <w:numPr>
          <w:ilvl w:val="1"/>
          <w:numId w:val="144"/>
        </w:numPr>
        <w:contextualSpacing/>
        <w:rPr>
          <w:rFonts w:eastAsia="Aptos" w:cs="Arial"/>
        </w:rPr>
      </w:pPr>
      <w:r w:rsidRPr="00037037">
        <w:rPr>
          <w:rFonts w:eastAsia="Aptos" w:cs="Arial"/>
        </w:rPr>
        <w:t>Two pharmacies close at 5.30pm</w:t>
      </w:r>
    </w:p>
    <w:p w14:paraId="5E4F3135" w14:textId="77777777" w:rsidR="00037037" w:rsidRPr="00037037" w:rsidRDefault="00037037" w:rsidP="00D202E7">
      <w:pPr>
        <w:rPr>
          <w:rFonts w:eastAsia="Aptos" w:cs="Arial"/>
        </w:rPr>
      </w:pPr>
    </w:p>
    <w:p w14:paraId="1F1FB877"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Some pharmacies across the health board’s area are commissioned to open at certain times of the day, on top of their usual core and supplementary opening hours. For this locality:</w:t>
      </w:r>
    </w:p>
    <w:p w14:paraId="1EF46A86" w14:textId="77777777" w:rsidR="00037037" w:rsidRPr="00037037" w:rsidRDefault="00037037" w:rsidP="00D202E7">
      <w:pPr>
        <w:rPr>
          <w:rFonts w:eastAsia="Times New Roman" w:cs="Arial"/>
          <w:b/>
          <w:bCs/>
          <w:kern w:val="0"/>
          <w:lang w:eastAsia="en-GB"/>
          <w14:ligatures w14:val="none"/>
        </w:rPr>
      </w:pPr>
    </w:p>
    <w:p w14:paraId="21A7607C" w14:textId="77777777" w:rsidR="00037037" w:rsidRPr="00037037" w:rsidRDefault="00037037" w:rsidP="00B76905">
      <w:pPr>
        <w:numPr>
          <w:ilvl w:val="0"/>
          <w:numId w:val="145"/>
        </w:numPr>
        <w:contextualSpacing/>
        <w:rPr>
          <w:rFonts w:eastAsia="Times New Roman" w:cs="Arial"/>
          <w:kern w:val="0"/>
          <w:lang w:eastAsia="en-GB"/>
          <w14:ligatures w14:val="none"/>
        </w:rPr>
      </w:pPr>
      <w:r w:rsidRPr="00037037">
        <w:rPr>
          <w:rFonts w:eastAsia="Times New Roman" w:cs="Arial"/>
          <w:kern w:val="0"/>
          <w:lang w:eastAsia="en-GB"/>
          <w14:ligatures w14:val="none"/>
        </w:rPr>
        <w:t>One pharmacy (location: Killay) is commissioned to be open on a Sunday 4.00pm to 6.00pm</w:t>
      </w:r>
    </w:p>
    <w:p w14:paraId="2D2D4BAA" w14:textId="77777777" w:rsidR="00037037" w:rsidRPr="00037037" w:rsidRDefault="00037037" w:rsidP="00B76905">
      <w:pPr>
        <w:numPr>
          <w:ilvl w:val="0"/>
          <w:numId w:val="145"/>
        </w:numPr>
        <w:contextualSpacing/>
        <w:rPr>
          <w:rFonts w:eastAsia="Times New Roman" w:cs="Arial"/>
          <w:kern w:val="0"/>
          <w:lang w:eastAsia="en-GB"/>
          <w14:ligatures w14:val="none"/>
        </w:rPr>
      </w:pPr>
      <w:r w:rsidRPr="00037037">
        <w:rPr>
          <w:rFonts w:eastAsia="Times New Roman" w:cs="Arial"/>
          <w:lang w:eastAsia="en-GB"/>
          <w14:ligatures w14:val="none"/>
        </w:rPr>
        <w:t>One pharmacy (location: Mumbles) is commissioned to be open on a Sunday 1.30pm to 3.30pm.</w:t>
      </w:r>
    </w:p>
    <w:p w14:paraId="3DBC91B3" w14:textId="77777777" w:rsidR="00037037" w:rsidRPr="00037037" w:rsidRDefault="00037037" w:rsidP="00D202E7">
      <w:pPr>
        <w:rPr>
          <w:rFonts w:eastAsia="Aptos" w:cs="Arial"/>
        </w:rPr>
      </w:pPr>
    </w:p>
    <w:p w14:paraId="062E4ACF" w14:textId="77777777" w:rsidR="00037037" w:rsidRPr="00037037" w:rsidRDefault="00037037" w:rsidP="00D202E7">
      <w:pPr>
        <w:rPr>
          <w:rFonts w:eastAsia="Aptos" w:cs="Arial"/>
        </w:rPr>
      </w:pPr>
      <w:r w:rsidRPr="00037037">
        <w:rPr>
          <w:rFonts w:eastAsia="Aptos" w:cs="Arial"/>
        </w:rPr>
        <w:t>Full details of pharmacy opening times can be found in Appendix L.</w:t>
      </w:r>
    </w:p>
    <w:p w14:paraId="38F8A551" w14:textId="77777777" w:rsidR="00037037" w:rsidRPr="00037037" w:rsidRDefault="00037037" w:rsidP="00D202E7">
      <w:pPr>
        <w:rPr>
          <w:rFonts w:eastAsia="Aptos" w:cs="Arial"/>
        </w:rPr>
      </w:pPr>
    </w:p>
    <w:p w14:paraId="35EADE28" w14:textId="77777777" w:rsidR="00037037" w:rsidRPr="00037037" w:rsidRDefault="00037037" w:rsidP="00D202E7">
      <w:pPr>
        <w:contextualSpacing/>
        <w:rPr>
          <w:rFonts w:eastAsia="Times New Roman" w:cs="Arial"/>
          <w:kern w:val="0"/>
          <w:lang w:eastAsia="en-GB"/>
          <w14:ligatures w14:val="none"/>
        </w:rPr>
      </w:pPr>
      <w:r w:rsidRPr="00037037">
        <w:rPr>
          <w:rFonts w:eastAsia="Times New Roman" w:cs="Arial"/>
          <w:kern w:val="0"/>
          <w:lang w:eastAsia="en-GB"/>
          <w14:ligatures w14:val="none"/>
        </w:rPr>
        <w:t>The following information was taken from responses to the contractor questionnaire to which 15 of the pharmacies responded.</w:t>
      </w:r>
    </w:p>
    <w:p w14:paraId="0E59742F" w14:textId="77777777" w:rsidR="00037037" w:rsidRPr="00037037" w:rsidRDefault="00037037" w:rsidP="00D202E7">
      <w:pPr>
        <w:contextualSpacing/>
        <w:rPr>
          <w:rFonts w:eastAsia="Times New Roman" w:cs="Arial"/>
          <w:kern w:val="0"/>
          <w:lang w:eastAsia="en-GB"/>
          <w14:ligatures w14:val="none"/>
        </w:rPr>
      </w:pPr>
    </w:p>
    <w:p w14:paraId="18CAE5C6" w14:textId="77777777" w:rsidR="00037037" w:rsidRPr="00037037" w:rsidRDefault="00037037" w:rsidP="00D202E7">
      <w:pPr>
        <w:textAlignment w:val="baseline"/>
        <w:rPr>
          <w:rFonts w:eastAsia="Times New Roman" w:cs="Arial"/>
          <w:kern w:val="0"/>
          <w:lang w:eastAsia="en-GB"/>
          <w14:ligatures w14:val="none"/>
        </w:rPr>
      </w:pPr>
      <w:r w:rsidRPr="00037037">
        <w:rPr>
          <w:rFonts w:eastAsia="Times New Roman" w:cs="Arial"/>
          <w:kern w:val="0"/>
          <w:lang w:eastAsia="en-GB"/>
          <w14:ligatures w14:val="none"/>
        </w:rPr>
        <w:t>The 15 pharmacies are accessible by wheelchair and have a consultation area that is accessible by wheelchair. All 15 consultation areas are: </w:t>
      </w:r>
    </w:p>
    <w:p w14:paraId="3ADDA756" w14:textId="77777777" w:rsidR="00037037" w:rsidRPr="00037037" w:rsidRDefault="00037037" w:rsidP="00D202E7">
      <w:pPr>
        <w:textAlignment w:val="baseline"/>
        <w:rPr>
          <w:rFonts w:eastAsia="Times New Roman" w:cs="Arial"/>
          <w:kern w:val="0"/>
          <w:lang w:eastAsia="en-GB"/>
          <w14:ligatures w14:val="none"/>
        </w:rPr>
      </w:pPr>
      <w:r w:rsidRPr="00037037">
        <w:rPr>
          <w:rFonts w:eastAsia="Times New Roman" w:cs="Arial"/>
          <w:kern w:val="0"/>
          <w:lang w:eastAsia="en-GB"/>
          <w14:ligatures w14:val="none"/>
        </w:rPr>
        <w:t> </w:t>
      </w:r>
    </w:p>
    <w:p w14:paraId="64694FE1" w14:textId="77777777" w:rsidR="00037037" w:rsidRPr="00037037" w:rsidRDefault="00037037" w:rsidP="00B76905">
      <w:pPr>
        <w:numPr>
          <w:ilvl w:val="0"/>
          <w:numId w:val="146"/>
        </w:numPr>
        <w:textAlignment w:val="baseline"/>
        <w:rPr>
          <w:rFonts w:eastAsia="Times New Roman" w:cs="Arial"/>
          <w:kern w:val="0"/>
          <w:lang w:eastAsia="en-GB"/>
          <w14:ligatures w14:val="none"/>
        </w:rPr>
      </w:pPr>
      <w:r w:rsidRPr="00037037">
        <w:rPr>
          <w:rFonts w:eastAsia="Times New Roman" w:cs="Arial"/>
          <w:kern w:val="0"/>
          <w:lang w:eastAsia="en-GB"/>
          <w14:ligatures w14:val="none"/>
        </w:rPr>
        <w:t>closed rooms, </w:t>
      </w:r>
    </w:p>
    <w:p w14:paraId="372A4913" w14:textId="77777777" w:rsidR="00037037" w:rsidRPr="00037037" w:rsidRDefault="00037037" w:rsidP="00B76905">
      <w:pPr>
        <w:numPr>
          <w:ilvl w:val="0"/>
          <w:numId w:val="146"/>
        </w:numPr>
        <w:textAlignment w:val="baseline"/>
        <w:rPr>
          <w:rFonts w:eastAsia="Times New Roman" w:cs="Arial"/>
          <w:kern w:val="0"/>
          <w:lang w:eastAsia="en-GB"/>
          <w14:ligatures w14:val="none"/>
        </w:rPr>
      </w:pPr>
      <w:r w:rsidRPr="00037037">
        <w:rPr>
          <w:rFonts w:eastAsia="Times New Roman" w:cs="Arial"/>
          <w:kern w:val="0"/>
          <w:lang w:eastAsia="en-GB"/>
          <w14:ligatures w14:val="none"/>
        </w:rPr>
        <w:t xml:space="preserve">a designated area where the patient and pharmacist can sit down together and talk at normal volumes without being overheard, and </w:t>
      </w:r>
    </w:p>
    <w:p w14:paraId="6C422BAD" w14:textId="77777777" w:rsidR="00037037" w:rsidRPr="00037037" w:rsidRDefault="00037037" w:rsidP="00B76905">
      <w:pPr>
        <w:numPr>
          <w:ilvl w:val="0"/>
          <w:numId w:val="146"/>
        </w:numPr>
        <w:textAlignment w:val="baseline"/>
        <w:rPr>
          <w:rFonts w:eastAsia="Times New Roman" w:cs="Arial"/>
          <w:kern w:val="0"/>
          <w:lang w:eastAsia="en-GB"/>
          <w14:ligatures w14:val="none"/>
        </w:rPr>
      </w:pPr>
      <w:r w:rsidRPr="00037037">
        <w:rPr>
          <w:rFonts w:eastAsia="Times New Roman" w:cs="Arial"/>
          <w:kern w:val="0"/>
          <w:lang w:eastAsia="en-GB"/>
          <w14:ligatures w14:val="none"/>
        </w:rPr>
        <w:t>clearly designated as an area for confidential consultations distinct from the general public areas of the pharmacy. </w:t>
      </w:r>
    </w:p>
    <w:p w14:paraId="41927A84" w14:textId="77777777" w:rsidR="00037037" w:rsidRPr="00037037" w:rsidRDefault="00037037" w:rsidP="00D202E7">
      <w:pPr>
        <w:textAlignment w:val="baseline"/>
        <w:rPr>
          <w:rFonts w:eastAsia="Times New Roman" w:cs="Arial"/>
          <w:kern w:val="0"/>
          <w:lang w:eastAsia="en-GB"/>
          <w14:ligatures w14:val="none"/>
        </w:rPr>
      </w:pPr>
    </w:p>
    <w:p w14:paraId="2B72FEBC" w14:textId="77777777" w:rsidR="00037037" w:rsidRPr="00037037" w:rsidRDefault="00037037" w:rsidP="00D202E7">
      <w:pPr>
        <w:textAlignment w:val="baseline"/>
        <w:rPr>
          <w:rFonts w:eastAsia="Times New Roman" w:cs="Arial"/>
          <w:kern w:val="0"/>
          <w:lang w:eastAsia="en-GB"/>
          <w14:ligatures w14:val="none"/>
        </w:rPr>
      </w:pPr>
      <w:r w:rsidRPr="00037037">
        <w:rPr>
          <w:rFonts w:eastAsia="Times New Roman" w:cs="Arial"/>
          <w:kern w:val="0"/>
          <w:lang w:eastAsia="en-GB"/>
          <w14:ligatures w14:val="none"/>
        </w:rPr>
        <w:t>Four pharmacies confirmed they have Welsh speakers in their staff. One pharmacy confirmed it has staff that speak Arabic, another Bengali and a third has staff that speak Punjabi.</w:t>
      </w:r>
    </w:p>
    <w:p w14:paraId="75A33189" w14:textId="77777777" w:rsidR="00037037" w:rsidRPr="00037037" w:rsidRDefault="00037037" w:rsidP="00D202E7">
      <w:pPr>
        <w:textAlignment w:val="baseline"/>
        <w:rPr>
          <w:rFonts w:eastAsia="Times New Roman" w:cs="Arial"/>
          <w:kern w:val="0"/>
          <w:lang w:eastAsia="en-GB"/>
          <w14:ligatures w14:val="none"/>
        </w:rPr>
      </w:pPr>
    </w:p>
    <w:p w14:paraId="10B03A4D" w14:textId="77777777" w:rsidR="00037037" w:rsidRPr="00037037" w:rsidRDefault="00037037" w:rsidP="00D202E7">
      <w:pPr>
        <w:textAlignment w:val="baseline"/>
        <w:rPr>
          <w:rFonts w:eastAsia="Times New Roman" w:cs="Arial"/>
          <w:kern w:val="0"/>
          <w:lang w:eastAsia="en-GB"/>
          <w14:ligatures w14:val="none"/>
        </w:rPr>
      </w:pPr>
      <w:r w:rsidRPr="00037037">
        <w:rPr>
          <w:rFonts w:eastAsia="Times New Roman" w:cs="Arial"/>
          <w:kern w:val="0"/>
          <w:lang w:eastAsia="en-GB"/>
          <w14:ligatures w14:val="none"/>
        </w:rPr>
        <w:t>The 15 pharmacies confirmed they dispense prescriptions for all types of appliances.</w:t>
      </w:r>
    </w:p>
    <w:p w14:paraId="53B9543E" w14:textId="77777777" w:rsidR="00037037" w:rsidRPr="00037037" w:rsidRDefault="00037037" w:rsidP="00D202E7">
      <w:pPr>
        <w:textAlignment w:val="baseline"/>
        <w:rPr>
          <w:rFonts w:eastAsia="Times New Roman" w:cs="Arial"/>
          <w:kern w:val="0"/>
          <w:lang w:eastAsia="en-GB"/>
          <w14:ligatures w14:val="none"/>
        </w:rPr>
      </w:pPr>
    </w:p>
    <w:p w14:paraId="07E1B82D" w14:textId="77777777" w:rsidR="00037037" w:rsidRPr="00037037" w:rsidRDefault="00037037" w:rsidP="00D202E7">
      <w:pPr>
        <w:textAlignment w:val="baseline"/>
        <w:rPr>
          <w:rFonts w:eastAsia="Times New Roman" w:cs="Arial"/>
          <w:kern w:val="0"/>
          <w:lang w:eastAsia="en-GB"/>
          <w14:ligatures w14:val="none"/>
        </w:rPr>
      </w:pPr>
      <w:r w:rsidRPr="00037037">
        <w:rPr>
          <w:rFonts w:eastAsia="Times New Roman" w:cs="Arial"/>
          <w:kern w:val="0"/>
          <w:lang w:eastAsia="en-GB"/>
          <w14:ligatures w14:val="none"/>
        </w:rPr>
        <w:t>Although non-commissioned services:</w:t>
      </w:r>
    </w:p>
    <w:p w14:paraId="79634E2B" w14:textId="77777777" w:rsidR="00037037" w:rsidRPr="00037037" w:rsidRDefault="00037037" w:rsidP="00D202E7">
      <w:pPr>
        <w:textAlignment w:val="baseline"/>
        <w:rPr>
          <w:rFonts w:eastAsia="Times New Roman" w:cs="Arial"/>
          <w:kern w:val="0"/>
          <w:lang w:eastAsia="en-GB"/>
          <w14:ligatures w14:val="none"/>
        </w:rPr>
      </w:pPr>
    </w:p>
    <w:p w14:paraId="71BAADD2" w14:textId="77777777" w:rsidR="00037037" w:rsidRPr="00037037" w:rsidRDefault="00037037" w:rsidP="00B76905">
      <w:pPr>
        <w:numPr>
          <w:ilvl w:val="0"/>
          <w:numId w:val="147"/>
        </w:numPr>
        <w:textAlignment w:val="baseline"/>
        <w:rPr>
          <w:rFonts w:eastAsia="Times New Roman" w:cs="Arial"/>
          <w:kern w:val="0"/>
          <w:lang w:eastAsia="en-GB"/>
          <w14:ligatures w14:val="none"/>
        </w:rPr>
      </w:pPr>
      <w:r w:rsidRPr="00037037">
        <w:rPr>
          <w:rFonts w:eastAsia="Times New Roman" w:cs="Arial"/>
          <w:kern w:val="0"/>
          <w:lang w:eastAsia="en-GB"/>
          <w14:ligatures w14:val="none"/>
        </w:rPr>
        <w:lastRenderedPageBreak/>
        <w:t>all 15 pharmacies collect prescriptions from GP practices,</w:t>
      </w:r>
    </w:p>
    <w:p w14:paraId="21AB4834" w14:textId="77777777" w:rsidR="00037037" w:rsidRPr="00037037" w:rsidRDefault="00037037" w:rsidP="00B76905">
      <w:pPr>
        <w:numPr>
          <w:ilvl w:val="0"/>
          <w:numId w:val="147"/>
        </w:numPr>
        <w:textAlignment w:val="baseline"/>
        <w:rPr>
          <w:rFonts w:eastAsia="Times New Roman" w:cs="Arial"/>
          <w:kern w:val="0"/>
          <w:lang w:eastAsia="en-GB"/>
          <w14:ligatures w14:val="none"/>
        </w:rPr>
      </w:pPr>
      <w:r w:rsidRPr="00037037">
        <w:rPr>
          <w:rFonts w:eastAsia="Times New Roman" w:cs="Arial"/>
          <w:kern w:val="0"/>
          <w:lang w:eastAsia="en-GB"/>
          <w14:ligatures w14:val="none"/>
        </w:rPr>
        <w:t xml:space="preserve">13 provide a free of charge delivery service on request, with another providing a free service to specific groups, </w:t>
      </w:r>
    </w:p>
    <w:p w14:paraId="42FDB08F" w14:textId="77777777" w:rsidR="00037037" w:rsidRPr="00037037" w:rsidRDefault="00037037" w:rsidP="00B76905">
      <w:pPr>
        <w:numPr>
          <w:ilvl w:val="0"/>
          <w:numId w:val="147"/>
        </w:numPr>
        <w:textAlignment w:val="baseline"/>
        <w:rPr>
          <w:rFonts w:eastAsia="Times New Roman" w:cs="Arial"/>
          <w:kern w:val="0"/>
          <w:lang w:eastAsia="en-GB"/>
          <w14:ligatures w14:val="none"/>
        </w:rPr>
      </w:pPr>
      <w:r w:rsidRPr="00037037">
        <w:rPr>
          <w:rFonts w:eastAsia="Times New Roman" w:cs="Arial"/>
          <w:kern w:val="0"/>
          <w:lang w:eastAsia="en-GB"/>
          <w14:ligatures w14:val="none"/>
        </w:rPr>
        <w:t xml:space="preserve">two restrict the service to certain areas, </w:t>
      </w:r>
    </w:p>
    <w:p w14:paraId="196B243C" w14:textId="77777777" w:rsidR="00037037" w:rsidRPr="00037037" w:rsidRDefault="00037037" w:rsidP="00B76905">
      <w:pPr>
        <w:numPr>
          <w:ilvl w:val="0"/>
          <w:numId w:val="147"/>
        </w:numPr>
        <w:textAlignment w:val="baseline"/>
        <w:rPr>
          <w:rFonts w:eastAsia="Times New Roman" w:cs="Arial"/>
          <w:kern w:val="0"/>
          <w:lang w:eastAsia="en-GB"/>
          <w14:ligatures w14:val="none"/>
        </w:rPr>
      </w:pPr>
      <w:r w:rsidRPr="00037037">
        <w:rPr>
          <w:rFonts w:eastAsia="Times New Roman" w:cs="Arial"/>
          <w:kern w:val="0"/>
          <w:lang w:eastAsia="en-GB"/>
          <w14:ligatures w14:val="none"/>
        </w:rPr>
        <w:t>three provide a delivery service for a fee, and</w:t>
      </w:r>
    </w:p>
    <w:p w14:paraId="3E59D3CF" w14:textId="77777777" w:rsidR="00037037" w:rsidRPr="00037037" w:rsidRDefault="00037037" w:rsidP="00B76905">
      <w:pPr>
        <w:numPr>
          <w:ilvl w:val="0"/>
          <w:numId w:val="147"/>
        </w:numPr>
        <w:textAlignment w:val="baseline"/>
        <w:rPr>
          <w:rFonts w:eastAsia="Times New Roman" w:cs="Arial"/>
          <w:kern w:val="0"/>
          <w:lang w:eastAsia="en-GB"/>
          <w14:ligatures w14:val="none"/>
        </w:rPr>
      </w:pPr>
      <w:r w:rsidRPr="00037037">
        <w:rPr>
          <w:rFonts w:eastAsia="Times New Roman" w:cs="Arial"/>
          <w:kern w:val="0"/>
          <w:lang w:eastAsia="en-GB"/>
          <w14:ligatures w14:val="none"/>
        </w:rPr>
        <w:t>three have an automated collection point at their premises with a fourth installing one in April 2026.</w:t>
      </w:r>
    </w:p>
    <w:p w14:paraId="171F8704" w14:textId="77777777" w:rsidR="00037037" w:rsidRPr="00037037" w:rsidRDefault="00037037" w:rsidP="00D202E7">
      <w:pPr>
        <w:textAlignment w:val="baseline"/>
        <w:rPr>
          <w:rFonts w:eastAsia="Times New Roman" w:cs="Arial"/>
          <w:kern w:val="0"/>
          <w:lang w:eastAsia="en-GB"/>
          <w14:ligatures w14:val="none"/>
        </w:rPr>
      </w:pPr>
    </w:p>
    <w:p w14:paraId="2F8B5DA0"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One pharmacy is of the opinion that a phlebotomy additional clinical service is required.</w:t>
      </w:r>
    </w:p>
    <w:p w14:paraId="10938D4F" w14:textId="77777777" w:rsidR="00037037" w:rsidRPr="00037037" w:rsidRDefault="00037037" w:rsidP="00D202E7">
      <w:pPr>
        <w:rPr>
          <w:rFonts w:eastAsia="Times New Roman" w:cs="Arial"/>
          <w:kern w:val="0"/>
          <w:lang w:eastAsia="en-GB"/>
          <w14:ligatures w14:val="none"/>
        </w:rPr>
      </w:pPr>
    </w:p>
    <w:p w14:paraId="07A0BC6F" w14:textId="77777777" w:rsidR="00037037" w:rsidRPr="00037037" w:rsidRDefault="00037037" w:rsidP="00D202E7">
      <w:pPr>
        <w:rPr>
          <w:rFonts w:eastAsia="Times New Roman" w:cs="Arial"/>
          <w:kern w:val="0"/>
          <w:lang w:eastAsia="en-GB"/>
          <w14:ligatures w14:val="none"/>
        </w:rPr>
      </w:pPr>
      <w:bookmarkStart w:id="32" w:name="_Hlk229128620"/>
      <w:r w:rsidRPr="00037037">
        <w:rPr>
          <w:rFonts w:eastAsia="Times New Roman" w:cs="Arial"/>
          <w:kern w:val="0"/>
          <w:lang w:eastAsia="en-GB"/>
          <w14:ligatures w14:val="none"/>
        </w:rPr>
        <w:t>13 of the pharmacies have sufficient capacity within their premises to manage an increase in demand, one doesn’t but could make adjustments, and one doesn’t have sufficient capacity and would have difficulty in managing an increase in demand.</w:t>
      </w:r>
    </w:p>
    <w:p w14:paraId="3C69B2A9" w14:textId="77777777" w:rsidR="00037037" w:rsidRPr="00037037" w:rsidRDefault="00037037" w:rsidP="00D202E7">
      <w:pPr>
        <w:rPr>
          <w:rFonts w:eastAsia="Times New Roman" w:cs="Arial"/>
          <w:kern w:val="0"/>
          <w:lang w:eastAsia="en-GB"/>
          <w14:ligatures w14:val="none"/>
        </w:rPr>
      </w:pPr>
    </w:p>
    <w:p w14:paraId="3DF7CA0C"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14 pharmacies have sufficient capacity within their staffing levels to manage an increase in demand, and one doesn’t but could make adjustments</w:t>
      </w:r>
      <w:bookmarkEnd w:id="32"/>
      <w:r w:rsidRPr="00037037">
        <w:rPr>
          <w:rFonts w:eastAsia="Times New Roman" w:cs="Arial"/>
          <w:kern w:val="0"/>
          <w:lang w:eastAsia="en-GB"/>
          <w14:ligatures w14:val="none"/>
        </w:rPr>
        <w:t>.</w:t>
      </w:r>
    </w:p>
    <w:p w14:paraId="660F013A" w14:textId="77777777" w:rsidR="00037037" w:rsidRPr="00037037" w:rsidRDefault="00037037" w:rsidP="00D202E7">
      <w:pPr>
        <w:rPr>
          <w:rFonts w:eastAsia="Times New Roman" w:cs="Arial"/>
          <w:kern w:val="0"/>
          <w:lang w:eastAsia="en-GB"/>
          <w14:ligatures w14:val="none"/>
        </w:rPr>
      </w:pPr>
    </w:p>
    <w:p w14:paraId="68AF0A39"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Seven pharmacies have plans to develop or expand their premises or service provision.</w:t>
      </w:r>
    </w:p>
    <w:p w14:paraId="1E282C16" w14:textId="77777777" w:rsidR="00037037" w:rsidRPr="00037037" w:rsidRDefault="00037037" w:rsidP="00D202E7">
      <w:pPr>
        <w:rPr>
          <w:rFonts w:eastAsia="Times New Roman" w:cs="Arial"/>
          <w:kern w:val="0"/>
          <w:lang w:eastAsia="en-GB"/>
          <w14:ligatures w14:val="none"/>
        </w:rPr>
      </w:pPr>
    </w:p>
    <w:p w14:paraId="063019BE" w14:textId="77777777" w:rsidR="00037037" w:rsidRPr="00037037" w:rsidRDefault="00037037" w:rsidP="00B76905">
      <w:pPr>
        <w:numPr>
          <w:ilvl w:val="0"/>
          <w:numId w:val="148"/>
        </w:numPr>
        <w:contextualSpacing/>
        <w:rPr>
          <w:rFonts w:eastAsia="Times New Roman" w:cs="Arial"/>
          <w:kern w:val="0"/>
          <w:lang w:eastAsia="en-GB"/>
          <w14:ligatures w14:val="none"/>
        </w:rPr>
      </w:pPr>
      <w:r w:rsidRPr="00037037">
        <w:rPr>
          <w:rFonts w:eastAsia="Times New Roman" w:cs="Arial"/>
          <w:kern w:val="0"/>
          <w:lang w:eastAsia="en-GB"/>
          <w14:ligatures w14:val="none"/>
        </w:rPr>
        <w:t>One plans to introduce a prescribing pharmacist.</w:t>
      </w:r>
    </w:p>
    <w:p w14:paraId="7E584804" w14:textId="77777777" w:rsidR="00037037" w:rsidRPr="00037037" w:rsidRDefault="00037037" w:rsidP="00B76905">
      <w:pPr>
        <w:numPr>
          <w:ilvl w:val="0"/>
          <w:numId w:val="148"/>
        </w:numPr>
        <w:contextualSpacing/>
        <w:rPr>
          <w:rFonts w:eastAsia="Times New Roman" w:cs="Arial"/>
          <w:kern w:val="0"/>
          <w:lang w:eastAsia="en-GB"/>
          <w14:ligatures w14:val="none"/>
        </w:rPr>
      </w:pPr>
      <w:r w:rsidRPr="00037037">
        <w:rPr>
          <w:rFonts w:eastAsia="Times New Roman" w:cs="Arial"/>
          <w:kern w:val="0"/>
          <w:lang w:eastAsia="en-GB"/>
          <w14:ligatures w14:val="none"/>
        </w:rPr>
        <w:t>As well as installing an automated collection point another pharmacy is expanding the pharmacist independent prescribing service to five days a week.</w:t>
      </w:r>
    </w:p>
    <w:p w14:paraId="1BCFB1EC" w14:textId="77777777" w:rsidR="00037037" w:rsidRPr="00037037" w:rsidRDefault="00037037" w:rsidP="00B76905">
      <w:pPr>
        <w:numPr>
          <w:ilvl w:val="0"/>
          <w:numId w:val="148"/>
        </w:numPr>
        <w:contextualSpacing/>
        <w:rPr>
          <w:rFonts w:eastAsia="Times New Roman" w:cs="Arial"/>
          <w:kern w:val="0"/>
          <w:lang w:eastAsia="en-GB"/>
          <w14:ligatures w14:val="none"/>
        </w:rPr>
      </w:pPr>
      <w:r w:rsidRPr="00037037">
        <w:rPr>
          <w:rFonts w:eastAsia="Times New Roman" w:cs="Arial"/>
          <w:kern w:val="0"/>
          <w:lang w:eastAsia="en-GB"/>
          <w14:ligatures w14:val="none"/>
        </w:rPr>
        <w:t>One pharmacy plans to introduce a travel health service, a phlebotomy service, and increase its vaccination services.</w:t>
      </w:r>
    </w:p>
    <w:p w14:paraId="09E976F1" w14:textId="77777777" w:rsidR="00037037" w:rsidRPr="00037037" w:rsidRDefault="00037037" w:rsidP="00B76905">
      <w:pPr>
        <w:numPr>
          <w:ilvl w:val="0"/>
          <w:numId w:val="148"/>
        </w:numPr>
        <w:contextualSpacing/>
        <w:rPr>
          <w:rFonts w:eastAsia="Times New Roman" w:cs="Arial"/>
          <w:kern w:val="0"/>
          <w:lang w:eastAsia="en-GB"/>
          <w14:ligatures w14:val="none"/>
        </w:rPr>
      </w:pPr>
      <w:r w:rsidRPr="00037037">
        <w:rPr>
          <w:rFonts w:eastAsia="Times New Roman" w:cs="Arial"/>
          <w:kern w:val="0"/>
          <w:lang w:eastAsia="en-GB"/>
          <w14:ligatures w14:val="none"/>
        </w:rPr>
        <w:t>One pharmacy is trailing a bar code checking system with a view to reducing the potential for errors and to release pharmacist time.</w:t>
      </w:r>
    </w:p>
    <w:p w14:paraId="5C84A49C" w14:textId="77777777" w:rsidR="00037037" w:rsidRPr="00037037" w:rsidRDefault="00037037" w:rsidP="00B76905">
      <w:pPr>
        <w:numPr>
          <w:ilvl w:val="0"/>
          <w:numId w:val="148"/>
        </w:numPr>
        <w:contextualSpacing/>
        <w:rPr>
          <w:rFonts w:eastAsia="Times New Roman" w:cs="Arial"/>
          <w:kern w:val="0"/>
          <w:lang w:eastAsia="en-GB"/>
          <w14:ligatures w14:val="none"/>
        </w:rPr>
      </w:pPr>
      <w:r w:rsidRPr="00037037">
        <w:rPr>
          <w:rFonts w:eastAsia="Times New Roman" w:cs="Arial"/>
          <w:kern w:val="0"/>
          <w:lang w:eastAsia="en-GB"/>
          <w14:ligatures w14:val="none"/>
        </w:rPr>
        <w:t>One pharmacy is training a pharmacy technician who will then be able to assist in service provision.</w:t>
      </w:r>
    </w:p>
    <w:p w14:paraId="67ABE330" w14:textId="77777777" w:rsidR="00037037" w:rsidRPr="00037037" w:rsidRDefault="00037037" w:rsidP="00B76905">
      <w:pPr>
        <w:numPr>
          <w:ilvl w:val="0"/>
          <w:numId w:val="148"/>
        </w:numPr>
        <w:contextualSpacing/>
        <w:rPr>
          <w:rFonts w:eastAsia="Times New Roman" w:cs="Arial"/>
          <w:kern w:val="0"/>
          <w:lang w:eastAsia="en-GB"/>
          <w14:ligatures w14:val="none"/>
        </w:rPr>
      </w:pPr>
      <w:r w:rsidRPr="00037037">
        <w:rPr>
          <w:rFonts w:eastAsia="Times New Roman" w:cs="Arial"/>
          <w:kern w:val="0"/>
          <w:lang w:eastAsia="en-GB"/>
          <w14:ligatures w14:val="none"/>
        </w:rPr>
        <w:t>One pharmacy has a trainee independent prescriber.</w:t>
      </w:r>
    </w:p>
    <w:p w14:paraId="4837A591" w14:textId="77777777" w:rsidR="00037037" w:rsidRPr="00037037" w:rsidRDefault="00037037" w:rsidP="00B76905">
      <w:pPr>
        <w:numPr>
          <w:ilvl w:val="0"/>
          <w:numId w:val="148"/>
        </w:numPr>
        <w:contextualSpacing/>
        <w:rPr>
          <w:rFonts w:eastAsia="Times New Roman" w:cs="Arial"/>
          <w:kern w:val="0"/>
          <w:lang w:eastAsia="en-GB"/>
          <w14:ligatures w14:val="none"/>
        </w:rPr>
      </w:pPr>
      <w:r w:rsidRPr="00037037">
        <w:rPr>
          <w:rFonts w:eastAsia="Times New Roman" w:cs="Arial"/>
          <w:kern w:val="0"/>
          <w:lang w:eastAsia="en-GB"/>
          <w14:ligatures w14:val="none"/>
        </w:rPr>
        <w:t>One pharmacy is seeking to expand its pharmacist independent prescriber service through advertising and GP engagement. It also plans to offer an NHS blood testing service.</w:t>
      </w:r>
    </w:p>
    <w:p w14:paraId="19D7928E"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 </w:t>
      </w:r>
    </w:p>
    <w:p w14:paraId="7E1E141E"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One pharmacy plans to introduce Sunday opening for Summer 2026.</w:t>
      </w:r>
    </w:p>
    <w:p w14:paraId="62F6CE7D" w14:textId="77777777" w:rsidR="00037037" w:rsidRPr="00037037" w:rsidRDefault="00037037" w:rsidP="00D202E7">
      <w:pPr>
        <w:rPr>
          <w:rFonts w:eastAsia="Times New Roman" w:cs="Arial"/>
          <w:kern w:val="0"/>
          <w:lang w:eastAsia="en-GB"/>
          <w14:ligatures w14:val="none"/>
        </w:rPr>
      </w:pPr>
    </w:p>
    <w:p w14:paraId="315C7A89" w14:textId="77777777" w:rsidR="00037037" w:rsidRPr="00037037" w:rsidRDefault="00037037" w:rsidP="00D202E7">
      <w:pPr>
        <w:contextualSpacing/>
        <w:rPr>
          <w:rFonts w:eastAsia="Times New Roman" w:cs="Arial"/>
          <w:b/>
          <w:bCs/>
          <w:kern w:val="0"/>
          <w:lang w:eastAsia="en-GB"/>
          <w14:ligatures w14:val="none"/>
        </w:rPr>
      </w:pPr>
      <w:r w:rsidRPr="00037037">
        <w:rPr>
          <w:rFonts w:eastAsia="Times New Roman" w:cs="Arial"/>
          <w:b/>
          <w:bCs/>
          <w:kern w:val="0"/>
          <w:lang w:eastAsia="en-GB"/>
          <w14:ligatures w14:val="none"/>
        </w:rPr>
        <w:t>8.3.1 National community pharmacy and appliance contractor services</w:t>
      </w:r>
    </w:p>
    <w:p w14:paraId="43D5AD8A" w14:textId="77777777" w:rsidR="00037037" w:rsidRPr="00037037" w:rsidRDefault="00037037" w:rsidP="00D202E7">
      <w:pPr>
        <w:rPr>
          <w:rFonts w:eastAsia="Times New Roman" w:cs="Arial"/>
          <w:kern w:val="0"/>
          <w:lang w:eastAsia="en-GB"/>
          <w14:ligatures w14:val="none"/>
        </w:rPr>
      </w:pPr>
    </w:p>
    <w:p w14:paraId="776F63D1"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8.3.1.1 Appliance use review service</w:t>
      </w:r>
    </w:p>
    <w:p w14:paraId="07553D38" w14:textId="77777777" w:rsidR="00037037" w:rsidRPr="00037037" w:rsidRDefault="00037037" w:rsidP="00D202E7">
      <w:pPr>
        <w:rPr>
          <w:rFonts w:eastAsia="Times New Roman" w:cs="Arial"/>
          <w:b/>
          <w:bCs/>
          <w:kern w:val="0"/>
          <w:lang w:eastAsia="en-GB"/>
          <w14:ligatures w14:val="none"/>
        </w:rPr>
      </w:pPr>
    </w:p>
    <w:p w14:paraId="6C1A3D38"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None of the pharmacies provide this service.</w:t>
      </w:r>
    </w:p>
    <w:p w14:paraId="45AB902B" w14:textId="77777777" w:rsidR="00037037" w:rsidRPr="00037037" w:rsidRDefault="00037037" w:rsidP="00D202E7">
      <w:pPr>
        <w:rPr>
          <w:rFonts w:eastAsia="Times New Roman" w:cs="Arial"/>
          <w:kern w:val="0"/>
          <w:lang w:eastAsia="en-GB"/>
          <w14:ligatures w14:val="none"/>
        </w:rPr>
      </w:pPr>
    </w:p>
    <w:p w14:paraId="61C6A127"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8.3.1.2 Clinical community pharmacy service</w:t>
      </w:r>
    </w:p>
    <w:p w14:paraId="1C2145B6" w14:textId="77777777" w:rsidR="00037037" w:rsidRPr="00037037" w:rsidRDefault="00037037" w:rsidP="00D202E7">
      <w:pPr>
        <w:rPr>
          <w:rFonts w:eastAsia="Times New Roman" w:cs="Arial"/>
          <w:kern w:val="0"/>
          <w:lang w:eastAsia="en-GB"/>
          <w14:ligatures w14:val="none"/>
        </w:rPr>
      </w:pPr>
    </w:p>
    <w:p w14:paraId="437C2A36"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All the pharmacies have signed up and provide this service: </w:t>
      </w:r>
    </w:p>
    <w:p w14:paraId="0D6C4452" w14:textId="77777777" w:rsidR="00037037" w:rsidRPr="00037037" w:rsidRDefault="00037037" w:rsidP="00D202E7">
      <w:pPr>
        <w:contextualSpacing/>
        <w:rPr>
          <w:rFonts w:eastAsia="Times New Roman" w:cs="Arial"/>
          <w:kern w:val="0"/>
          <w:lang w:eastAsia="en-GB"/>
          <w14:ligatures w14:val="none"/>
        </w:rPr>
      </w:pPr>
    </w:p>
    <w:p w14:paraId="0D85A415" w14:textId="77777777" w:rsidR="00037037" w:rsidRPr="00037037" w:rsidRDefault="00037037" w:rsidP="00D202E7">
      <w:pPr>
        <w:contextualSpacing/>
        <w:rPr>
          <w:rFonts w:eastAsia="Times New Roman" w:cs="Arial"/>
          <w:kern w:val="0"/>
          <w:lang w:eastAsia="en-GB"/>
          <w14:ligatures w14:val="none"/>
        </w:rPr>
      </w:pPr>
      <w:r w:rsidRPr="00037037">
        <w:rPr>
          <w:rFonts w:eastAsia="Times New Roman" w:cs="Arial"/>
          <w:kern w:val="0"/>
          <w:lang w:eastAsia="en-GB"/>
          <w14:ligatures w14:val="none"/>
        </w:rPr>
        <w:t>In 2024/25 the pharmacies provided:</w:t>
      </w:r>
    </w:p>
    <w:p w14:paraId="5AF46623" w14:textId="77777777" w:rsidR="00037037" w:rsidRPr="00037037" w:rsidRDefault="00037037" w:rsidP="00D202E7">
      <w:pPr>
        <w:contextualSpacing/>
        <w:rPr>
          <w:rFonts w:eastAsia="Times New Roman" w:cs="Arial"/>
          <w:kern w:val="0"/>
          <w:lang w:eastAsia="en-GB"/>
          <w14:ligatures w14:val="none"/>
        </w:rPr>
      </w:pPr>
    </w:p>
    <w:p w14:paraId="6CFF2281" w14:textId="77777777" w:rsidR="00037037" w:rsidRPr="00037037" w:rsidRDefault="00037037" w:rsidP="00B76905">
      <w:pPr>
        <w:numPr>
          <w:ilvl w:val="0"/>
          <w:numId w:val="149"/>
        </w:numPr>
        <w:contextualSpacing/>
        <w:rPr>
          <w:rFonts w:eastAsia="Times New Roman" w:cs="Arial"/>
          <w:kern w:val="0"/>
          <w:lang w:eastAsia="en-GB"/>
          <w14:ligatures w14:val="none"/>
        </w:rPr>
      </w:pPr>
      <w:r w:rsidRPr="00037037">
        <w:rPr>
          <w:rFonts w:eastAsia="Times New Roman" w:cs="Arial"/>
          <w:kern w:val="0"/>
          <w:lang w:eastAsia="en-GB"/>
          <w14:ligatures w14:val="none"/>
        </w:rPr>
        <w:t>9,120 consultations for common ailment consultations (range at pharmacy level 35 to 1,704)</w:t>
      </w:r>
    </w:p>
    <w:p w14:paraId="12DBAE3F" w14:textId="77777777" w:rsidR="00037037" w:rsidRPr="00037037" w:rsidRDefault="00037037" w:rsidP="00B76905">
      <w:pPr>
        <w:numPr>
          <w:ilvl w:val="0"/>
          <w:numId w:val="149"/>
        </w:numPr>
        <w:contextualSpacing/>
        <w:rPr>
          <w:rFonts w:eastAsia="Times New Roman" w:cs="Arial"/>
          <w:kern w:val="0"/>
          <w:lang w:eastAsia="en-GB"/>
          <w14:ligatures w14:val="none"/>
        </w:rPr>
      </w:pPr>
      <w:r w:rsidRPr="00037037">
        <w:rPr>
          <w:rFonts w:eastAsia="Times New Roman" w:cs="Arial"/>
          <w:kern w:val="0"/>
          <w:lang w:eastAsia="en-GB"/>
          <w14:ligatures w14:val="none"/>
        </w:rPr>
        <w:t>784 consultations for sore throat test and treat consultations (range at pharmacy level one to 260)</w:t>
      </w:r>
    </w:p>
    <w:p w14:paraId="10B85246" w14:textId="77777777" w:rsidR="00037037" w:rsidRPr="00037037" w:rsidRDefault="00037037" w:rsidP="00B76905">
      <w:pPr>
        <w:numPr>
          <w:ilvl w:val="0"/>
          <w:numId w:val="149"/>
        </w:numPr>
        <w:contextualSpacing/>
        <w:rPr>
          <w:rFonts w:eastAsia="Times New Roman" w:cs="Arial"/>
          <w:kern w:val="0"/>
          <w:lang w:eastAsia="en-GB"/>
          <w14:ligatures w14:val="none"/>
        </w:rPr>
      </w:pPr>
      <w:r w:rsidRPr="00037037">
        <w:rPr>
          <w:rFonts w:eastAsia="Times New Roman" w:cs="Arial"/>
          <w:kern w:val="0"/>
          <w:lang w:eastAsia="en-GB"/>
          <w14:ligatures w14:val="none"/>
        </w:rPr>
        <w:t>715 consultations for emergency contraception consultations, (range at pharmacy level two to 244)</w:t>
      </w:r>
    </w:p>
    <w:p w14:paraId="0A39016E" w14:textId="77777777" w:rsidR="00037037" w:rsidRPr="00037037" w:rsidRDefault="00037037" w:rsidP="00B76905">
      <w:pPr>
        <w:numPr>
          <w:ilvl w:val="0"/>
          <w:numId w:val="149"/>
        </w:numPr>
        <w:contextualSpacing/>
        <w:rPr>
          <w:rFonts w:eastAsia="Times New Roman" w:cs="Arial"/>
          <w:kern w:val="0"/>
          <w:lang w:eastAsia="en-GB"/>
          <w14:ligatures w14:val="none"/>
        </w:rPr>
      </w:pPr>
      <w:r w:rsidRPr="00037037">
        <w:rPr>
          <w:rFonts w:eastAsia="Times New Roman" w:cs="Arial"/>
          <w:kern w:val="0"/>
          <w:lang w:eastAsia="en-GB"/>
          <w14:ligatures w14:val="none"/>
        </w:rPr>
        <w:t>2,108 emergency medicines supplies (range at pharmacy level 18 to 394)</w:t>
      </w:r>
    </w:p>
    <w:p w14:paraId="47F87CB4" w14:textId="77777777" w:rsidR="00037037" w:rsidRPr="00037037" w:rsidRDefault="00037037" w:rsidP="00D202E7">
      <w:pPr>
        <w:contextualSpacing/>
        <w:rPr>
          <w:rFonts w:eastAsia="Times New Roman" w:cs="Arial"/>
          <w:kern w:val="0"/>
          <w:lang w:eastAsia="en-GB"/>
          <w14:ligatures w14:val="none"/>
        </w:rPr>
      </w:pPr>
    </w:p>
    <w:p w14:paraId="22D4D185" w14:textId="77777777" w:rsidR="00037037" w:rsidRPr="00037037" w:rsidRDefault="00037037" w:rsidP="00D202E7">
      <w:pPr>
        <w:contextualSpacing/>
        <w:rPr>
          <w:rFonts w:eastAsia="Times New Roman" w:cs="Arial"/>
          <w:kern w:val="0"/>
          <w:lang w:eastAsia="en-GB"/>
          <w14:ligatures w14:val="none"/>
        </w:rPr>
      </w:pPr>
      <w:r w:rsidRPr="00037037">
        <w:rPr>
          <w:rFonts w:eastAsia="Times New Roman" w:cs="Arial"/>
          <w:kern w:val="0"/>
          <w:lang w:eastAsia="en-GB"/>
          <w14:ligatures w14:val="none"/>
        </w:rPr>
        <w:t>In the first six months of 2025/26 the pharmacies provided:</w:t>
      </w:r>
    </w:p>
    <w:p w14:paraId="5976A3C5" w14:textId="77777777" w:rsidR="00037037" w:rsidRPr="00037037" w:rsidRDefault="00037037" w:rsidP="00D202E7">
      <w:pPr>
        <w:contextualSpacing/>
        <w:rPr>
          <w:rFonts w:eastAsia="Times New Roman" w:cs="Arial"/>
          <w:kern w:val="0"/>
          <w:lang w:eastAsia="en-GB"/>
          <w14:ligatures w14:val="none"/>
        </w:rPr>
      </w:pPr>
    </w:p>
    <w:p w14:paraId="3775AF35" w14:textId="77777777" w:rsidR="00037037" w:rsidRPr="00037037" w:rsidRDefault="00037037" w:rsidP="00B76905">
      <w:pPr>
        <w:numPr>
          <w:ilvl w:val="0"/>
          <w:numId w:val="150"/>
        </w:numPr>
        <w:contextualSpacing/>
        <w:rPr>
          <w:rFonts w:eastAsia="Times New Roman" w:cs="Arial"/>
          <w:kern w:val="0"/>
          <w:lang w:eastAsia="en-GB"/>
          <w14:ligatures w14:val="none"/>
        </w:rPr>
      </w:pPr>
      <w:r w:rsidRPr="00037037">
        <w:rPr>
          <w:rFonts w:eastAsia="Times New Roman" w:cs="Arial"/>
          <w:kern w:val="0"/>
          <w:lang w:eastAsia="en-GB"/>
          <w14:ligatures w14:val="none"/>
        </w:rPr>
        <w:t>5,934 consultations for common ailment consultations (range at pharmacy level 36 to 999)</w:t>
      </w:r>
    </w:p>
    <w:p w14:paraId="38CF5AA6" w14:textId="77777777" w:rsidR="00037037" w:rsidRPr="00037037" w:rsidRDefault="00037037" w:rsidP="00B76905">
      <w:pPr>
        <w:numPr>
          <w:ilvl w:val="0"/>
          <w:numId w:val="150"/>
        </w:numPr>
        <w:contextualSpacing/>
        <w:rPr>
          <w:rFonts w:eastAsia="Times New Roman" w:cs="Arial"/>
          <w:kern w:val="0"/>
          <w:lang w:eastAsia="en-GB"/>
          <w14:ligatures w14:val="none"/>
        </w:rPr>
      </w:pPr>
      <w:r w:rsidRPr="00037037">
        <w:rPr>
          <w:rFonts w:eastAsia="Times New Roman" w:cs="Arial"/>
          <w:kern w:val="0"/>
          <w:lang w:eastAsia="en-GB"/>
          <w14:ligatures w14:val="none"/>
        </w:rPr>
        <w:t>342 consultations for sore throat test and treat consultations (range at pharmacy level two to 80)</w:t>
      </w:r>
    </w:p>
    <w:p w14:paraId="05D55658" w14:textId="77777777" w:rsidR="00037037" w:rsidRPr="00037037" w:rsidRDefault="00037037" w:rsidP="00B76905">
      <w:pPr>
        <w:numPr>
          <w:ilvl w:val="0"/>
          <w:numId w:val="150"/>
        </w:numPr>
        <w:contextualSpacing/>
        <w:rPr>
          <w:rFonts w:eastAsia="Times New Roman" w:cs="Arial"/>
          <w:kern w:val="0"/>
          <w:lang w:eastAsia="en-GB"/>
          <w14:ligatures w14:val="none"/>
        </w:rPr>
      </w:pPr>
      <w:r w:rsidRPr="00037037">
        <w:rPr>
          <w:rFonts w:eastAsia="Times New Roman" w:cs="Arial"/>
          <w:kern w:val="0"/>
          <w:lang w:eastAsia="en-GB"/>
          <w14:ligatures w14:val="none"/>
        </w:rPr>
        <w:t>358 consultations for emergency contraception consultations (range at pharmacy level one to 144)</w:t>
      </w:r>
    </w:p>
    <w:p w14:paraId="645E1EBF" w14:textId="77777777" w:rsidR="00037037" w:rsidRPr="00037037" w:rsidRDefault="00037037" w:rsidP="00B76905">
      <w:pPr>
        <w:numPr>
          <w:ilvl w:val="0"/>
          <w:numId w:val="150"/>
        </w:numPr>
        <w:contextualSpacing/>
        <w:rPr>
          <w:rFonts w:eastAsia="Times New Roman" w:cs="Arial"/>
          <w:kern w:val="0"/>
          <w:lang w:eastAsia="en-GB"/>
          <w14:ligatures w14:val="none"/>
        </w:rPr>
      </w:pPr>
      <w:r w:rsidRPr="00037037">
        <w:rPr>
          <w:rFonts w:eastAsia="Times New Roman" w:cs="Arial"/>
          <w:kern w:val="0"/>
          <w:lang w:eastAsia="en-GB"/>
          <w14:ligatures w14:val="none"/>
        </w:rPr>
        <w:t>845 emergency medicines supplies (range at pharmacy level three to 131)</w:t>
      </w:r>
    </w:p>
    <w:p w14:paraId="09CE68BF" w14:textId="77777777" w:rsidR="00037037" w:rsidRPr="00037037" w:rsidRDefault="00037037" w:rsidP="00D202E7">
      <w:pPr>
        <w:rPr>
          <w:rFonts w:eastAsia="Aptos" w:cs="Arial"/>
        </w:rPr>
      </w:pPr>
    </w:p>
    <w:p w14:paraId="4E951551"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 xml:space="preserve">8.3.1.3 Discharge medicines review service </w:t>
      </w:r>
    </w:p>
    <w:p w14:paraId="485FAB87" w14:textId="77777777" w:rsidR="00037037" w:rsidRPr="00037037" w:rsidRDefault="00037037" w:rsidP="00D202E7">
      <w:pPr>
        <w:rPr>
          <w:rFonts w:eastAsia="Times New Roman" w:cs="Arial"/>
          <w:b/>
          <w:bCs/>
          <w:kern w:val="0"/>
          <w:lang w:eastAsia="en-GB"/>
          <w14:ligatures w14:val="none"/>
        </w:rPr>
      </w:pPr>
    </w:p>
    <w:p w14:paraId="1944317D"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All the pharmacies have signed up to provide this service.</w:t>
      </w:r>
    </w:p>
    <w:p w14:paraId="682B3AE9" w14:textId="77777777" w:rsidR="00037037" w:rsidRPr="00037037" w:rsidRDefault="00037037" w:rsidP="00D202E7">
      <w:pPr>
        <w:rPr>
          <w:rFonts w:eastAsia="Times New Roman" w:cs="Arial"/>
          <w:kern w:val="0"/>
          <w:lang w:eastAsia="en-GB"/>
          <w14:ligatures w14:val="none"/>
        </w:rPr>
      </w:pPr>
    </w:p>
    <w:p w14:paraId="5D7FE6D1"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14 pharmacies provided this service in 2024/25, providing a total of 408 reviews (range at pharmacy level four to 72)</w:t>
      </w:r>
    </w:p>
    <w:p w14:paraId="0EC6C887" w14:textId="77777777" w:rsidR="00037037" w:rsidRPr="00037037" w:rsidRDefault="00037037" w:rsidP="00D202E7">
      <w:pPr>
        <w:rPr>
          <w:rFonts w:eastAsia="Times New Roman" w:cs="Arial"/>
          <w:kern w:val="0"/>
          <w:lang w:eastAsia="en-GB"/>
          <w14:ligatures w14:val="none"/>
        </w:rPr>
      </w:pPr>
    </w:p>
    <w:p w14:paraId="7B07AC65"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All pharmacies provided this service in the first ten months of 2025/26, providing a total of 324 reviews, (range at pharmacy level two to 49) </w:t>
      </w:r>
    </w:p>
    <w:p w14:paraId="706D9839" w14:textId="77777777" w:rsidR="00037037" w:rsidRPr="00037037" w:rsidRDefault="00037037" w:rsidP="00D202E7">
      <w:pPr>
        <w:ind w:left="720"/>
        <w:contextualSpacing/>
        <w:rPr>
          <w:rFonts w:eastAsia="Times New Roman" w:cs="Arial"/>
          <w:kern w:val="0"/>
          <w:lang w:eastAsia="en-GB"/>
          <w14:ligatures w14:val="none"/>
        </w:rPr>
      </w:pPr>
    </w:p>
    <w:p w14:paraId="3775B486"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8.3.1.4 Influenza vaccination service</w:t>
      </w:r>
    </w:p>
    <w:p w14:paraId="399B4F39" w14:textId="77777777" w:rsidR="00037037" w:rsidRPr="00037037" w:rsidRDefault="00037037" w:rsidP="00D202E7">
      <w:pPr>
        <w:rPr>
          <w:rFonts w:eastAsia="Times New Roman" w:cs="Arial"/>
          <w:kern w:val="0"/>
          <w:lang w:eastAsia="en-GB"/>
          <w14:ligatures w14:val="none"/>
        </w:rPr>
      </w:pPr>
    </w:p>
    <w:p w14:paraId="163B0FAE"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All the pharmacies have signed up to provide this service.</w:t>
      </w:r>
    </w:p>
    <w:p w14:paraId="72D5551C"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 </w:t>
      </w:r>
    </w:p>
    <w:p w14:paraId="7D2EF746"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All pharmacies provided this service in 2024/25, providing a total of 4,455 vaccinations (range at pharmacy level 43 to 999).</w:t>
      </w:r>
    </w:p>
    <w:p w14:paraId="0DD12C0C" w14:textId="77777777" w:rsidR="00037037" w:rsidRPr="00037037" w:rsidRDefault="00037037" w:rsidP="00D202E7">
      <w:pPr>
        <w:rPr>
          <w:rFonts w:eastAsia="Times New Roman" w:cs="Arial"/>
          <w:kern w:val="0"/>
          <w:lang w:eastAsia="en-GB"/>
          <w14:ligatures w14:val="none"/>
        </w:rPr>
      </w:pPr>
    </w:p>
    <w:p w14:paraId="2C938654"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All pharmacies provided this service in 2025/26, providing a total of 1,400 vaccinations (range at pharmacy level six to 333). </w:t>
      </w:r>
    </w:p>
    <w:p w14:paraId="3295004F" w14:textId="77777777" w:rsidR="00037037" w:rsidRPr="00037037" w:rsidRDefault="00037037" w:rsidP="00D202E7">
      <w:pPr>
        <w:rPr>
          <w:rFonts w:eastAsia="Times New Roman" w:cs="Arial"/>
          <w:kern w:val="0"/>
          <w:lang w:eastAsia="en-GB"/>
          <w14:ligatures w14:val="none"/>
        </w:rPr>
      </w:pPr>
    </w:p>
    <w:p w14:paraId="1939AE98"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8.3.1.5 Lateral flow test supply service</w:t>
      </w:r>
    </w:p>
    <w:p w14:paraId="54EBB32B" w14:textId="77777777" w:rsidR="00037037" w:rsidRPr="00037037" w:rsidRDefault="00037037" w:rsidP="00D202E7">
      <w:pPr>
        <w:rPr>
          <w:rFonts w:eastAsia="Times New Roman" w:cs="Arial"/>
          <w:kern w:val="0"/>
          <w:lang w:eastAsia="en-GB"/>
          <w14:ligatures w14:val="none"/>
        </w:rPr>
      </w:pPr>
    </w:p>
    <w:p w14:paraId="71454A11"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13 of the pharmacies have signed up to provide this service.</w:t>
      </w:r>
    </w:p>
    <w:p w14:paraId="0A375907" w14:textId="77777777" w:rsidR="00037037" w:rsidRPr="00037037" w:rsidRDefault="00037037" w:rsidP="00D202E7">
      <w:pPr>
        <w:rPr>
          <w:rFonts w:eastAsia="Times New Roman" w:cs="Arial"/>
          <w:kern w:val="0"/>
          <w:lang w:eastAsia="en-GB"/>
          <w14:ligatures w14:val="none"/>
        </w:rPr>
      </w:pPr>
    </w:p>
    <w:p w14:paraId="085F15EC"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Six pharmacies provided this service in 2024/25, supplying 37 kits (range at pharmacy level three to 15). </w:t>
      </w:r>
    </w:p>
    <w:p w14:paraId="42D8B0F0" w14:textId="77777777" w:rsidR="00037037" w:rsidRPr="00037037" w:rsidRDefault="00037037" w:rsidP="00D202E7">
      <w:pPr>
        <w:rPr>
          <w:rFonts w:eastAsia="Times New Roman" w:cs="Arial"/>
          <w:kern w:val="0"/>
          <w:lang w:eastAsia="en-GB"/>
          <w14:ligatures w14:val="none"/>
        </w:rPr>
      </w:pPr>
    </w:p>
    <w:p w14:paraId="0E08B57E"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Three pharmacies provided this service in the first seven months of 2025/26, providing seven kits (range at pharmacy level one to three) </w:t>
      </w:r>
    </w:p>
    <w:p w14:paraId="63735FE7" w14:textId="77777777" w:rsidR="004D24D2" w:rsidRDefault="004D24D2" w:rsidP="004D24D2">
      <w:pPr>
        <w:contextualSpacing/>
        <w:rPr>
          <w:rFonts w:eastAsia="Times New Roman" w:cs="Arial"/>
          <w:kern w:val="0"/>
          <w:lang w:eastAsia="en-GB"/>
          <w14:ligatures w14:val="none"/>
        </w:rPr>
      </w:pPr>
    </w:p>
    <w:p w14:paraId="09EA1D35" w14:textId="77777777" w:rsidR="004D24D2" w:rsidRPr="00037037" w:rsidRDefault="004D24D2" w:rsidP="004D24D2">
      <w:pPr>
        <w:contextualSpacing/>
        <w:rPr>
          <w:rFonts w:eastAsia="Times New Roman" w:cs="Arial"/>
          <w:kern w:val="0"/>
          <w:lang w:eastAsia="en-GB"/>
          <w14:ligatures w14:val="none"/>
        </w:rPr>
      </w:pPr>
    </w:p>
    <w:p w14:paraId="22139336"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lastRenderedPageBreak/>
        <w:t>8.3.1.6 Pharmacist independent prescribing service</w:t>
      </w:r>
    </w:p>
    <w:p w14:paraId="64033995" w14:textId="77777777" w:rsidR="00037037" w:rsidRPr="00037037" w:rsidRDefault="00037037" w:rsidP="00D202E7">
      <w:pPr>
        <w:rPr>
          <w:rFonts w:eastAsia="Times New Roman" w:cs="Arial"/>
          <w:kern w:val="0"/>
          <w:lang w:eastAsia="en-GB"/>
          <w14:ligatures w14:val="none"/>
        </w:rPr>
      </w:pPr>
    </w:p>
    <w:p w14:paraId="6AC50775"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Seven of the pharmacies have signed up to provide this service.</w:t>
      </w:r>
    </w:p>
    <w:p w14:paraId="23BBF6C9" w14:textId="77777777" w:rsidR="00037037" w:rsidRPr="00037037" w:rsidRDefault="00037037" w:rsidP="00D202E7">
      <w:pPr>
        <w:rPr>
          <w:rFonts w:eastAsia="Times New Roman" w:cs="Arial"/>
          <w:kern w:val="0"/>
          <w:lang w:eastAsia="en-GB"/>
          <w14:ligatures w14:val="none"/>
        </w:rPr>
      </w:pPr>
    </w:p>
    <w:p w14:paraId="7CF74A6B"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Six pharmacies provided this service in 2024/25, providing a total of 2,553 consultations (pharmacy range eight to 1,299).</w:t>
      </w:r>
    </w:p>
    <w:p w14:paraId="35EEDD10" w14:textId="77777777" w:rsidR="00037037" w:rsidRPr="00037037" w:rsidRDefault="00037037" w:rsidP="00D202E7">
      <w:pPr>
        <w:rPr>
          <w:rFonts w:eastAsia="Times New Roman" w:cs="Arial"/>
          <w:kern w:val="0"/>
          <w:lang w:eastAsia="en-GB"/>
          <w14:ligatures w14:val="none"/>
        </w:rPr>
      </w:pPr>
    </w:p>
    <w:p w14:paraId="27A381C3"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Seven pharmacies provided this service in the first six months of 2025/26, providing a total of 1,611 consultations, (range at pharmacy level 47 to 606). </w:t>
      </w:r>
    </w:p>
    <w:p w14:paraId="46B5CC3D" w14:textId="77777777" w:rsidR="00037037" w:rsidRPr="00037037" w:rsidRDefault="00037037" w:rsidP="00D202E7">
      <w:pPr>
        <w:rPr>
          <w:rFonts w:eastAsia="Times New Roman" w:cs="Arial"/>
          <w:kern w:val="0"/>
          <w:lang w:eastAsia="en-GB"/>
          <w14:ligatures w14:val="none"/>
        </w:rPr>
      </w:pPr>
    </w:p>
    <w:p w14:paraId="4769150E"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8.3.1.7 Stoma customisation service</w:t>
      </w:r>
    </w:p>
    <w:p w14:paraId="25598C36" w14:textId="77777777" w:rsidR="00037037" w:rsidRPr="00037037" w:rsidRDefault="00037037" w:rsidP="00D202E7">
      <w:pPr>
        <w:rPr>
          <w:rFonts w:eastAsia="Times New Roman" w:cs="Arial"/>
          <w:kern w:val="0"/>
          <w:lang w:eastAsia="en-GB"/>
          <w14:ligatures w14:val="none"/>
        </w:rPr>
      </w:pPr>
    </w:p>
    <w:p w14:paraId="7764AA16"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None of the pharmacies provide this service. </w:t>
      </w:r>
    </w:p>
    <w:p w14:paraId="6BDE1037" w14:textId="77777777" w:rsidR="00037037" w:rsidRPr="00037037" w:rsidRDefault="00037037" w:rsidP="00D202E7">
      <w:pPr>
        <w:rPr>
          <w:rFonts w:eastAsia="Times New Roman" w:cs="Arial"/>
          <w:kern w:val="0"/>
          <w:lang w:eastAsia="en-GB"/>
          <w14:ligatures w14:val="none"/>
        </w:rPr>
      </w:pPr>
    </w:p>
    <w:p w14:paraId="4121027F"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8.3.2 Additional clinical services</w:t>
      </w:r>
    </w:p>
    <w:p w14:paraId="2A6986FF" w14:textId="77777777" w:rsidR="00037037" w:rsidRPr="00037037" w:rsidRDefault="00037037" w:rsidP="00D202E7">
      <w:pPr>
        <w:rPr>
          <w:rFonts w:eastAsia="Times New Roman" w:cs="Arial"/>
          <w:kern w:val="0"/>
          <w:lang w:eastAsia="en-GB"/>
          <w14:ligatures w14:val="none"/>
        </w:rPr>
      </w:pPr>
    </w:p>
    <w:p w14:paraId="2D6CBBB4"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8.3.2.1 Blood borne virus screening service</w:t>
      </w:r>
    </w:p>
    <w:p w14:paraId="3F69C4C7" w14:textId="77777777" w:rsidR="00037037" w:rsidRPr="00037037" w:rsidRDefault="00037037" w:rsidP="00D202E7">
      <w:pPr>
        <w:rPr>
          <w:rFonts w:eastAsia="Times New Roman" w:cs="Arial"/>
          <w:kern w:val="0"/>
          <w:lang w:eastAsia="en-GB"/>
          <w14:ligatures w14:val="none"/>
        </w:rPr>
      </w:pPr>
    </w:p>
    <w:p w14:paraId="57AEDEB5"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None of the pharmacies provide this service. </w:t>
      </w:r>
    </w:p>
    <w:p w14:paraId="6AA2AC7A" w14:textId="77777777" w:rsidR="00037037" w:rsidRPr="00037037" w:rsidRDefault="00037037" w:rsidP="00D202E7">
      <w:pPr>
        <w:rPr>
          <w:rFonts w:eastAsia="Times New Roman" w:cs="Arial"/>
          <w:kern w:val="0"/>
          <w:lang w:eastAsia="en-GB"/>
          <w14:ligatures w14:val="none"/>
        </w:rPr>
      </w:pPr>
    </w:p>
    <w:p w14:paraId="7DBFC5A5"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8.3.2.2 Care home support service - Level 1 medicines management support visits</w:t>
      </w:r>
    </w:p>
    <w:p w14:paraId="410E3869" w14:textId="77777777" w:rsidR="00037037" w:rsidRPr="00037037" w:rsidRDefault="00037037" w:rsidP="00D202E7">
      <w:pPr>
        <w:rPr>
          <w:rFonts w:eastAsia="Times New Roman" w:cs="Arial"/>
          <w:kern w:val="0"/>
          <w:lang w:eastAsia="en-GB"/>
          <w14:ligatures w14:val="none"/>
        </w:rPr>
      </w:pPr>
    </w:p>
    <w:p w14:paraId="5996FC85"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Five of the pharmacies have signed up to provide this service.</w:t>
      </w:r>
    </w:p>
    <w:p w14:paraId="10625522" w14:textId="77777777" w:rsidR="00037037" w:rsidRPr="00037037" w:rsidRDefault="00037037" w:rsidP="00D202E7">
      <w:pPr>
        <w:rPr>
          <w:rFonts w:eastAsia="Times New Roman" w:cs="Arial"/>
          <w:kern w:val="0"/>
          <w:lang w:eastAsia="en-GB"/>
          <w14:ligatures w14:val="none"/>
        </w:rPr>
      </w:pPr>
    </w:p>
    <w:p w14:paraId="2768B286"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One pharmacy provided the service in 2024/25, providing a total of one visit.</w:t>
      </w:r>
    </w:p>
    <w:p w14:paraId="769588DB" w14:textId="77777777" w:rsidR="00037037" w:rsidRPr="00037037" w:rsidRDefault="00037037" w:rsidP="00D202E7">
      <w:pPr>
        <w:rPr>
          <w:rFonts w:eastAsia="Times New Roman" w:cs="Arial"/>
          <w:kern w:val="0"/>
          <w:lang w:eastAsia="en-GB"/>
          <w14:ligatures w14:val="none"/>
        </w:rPr>
      </w:pPr>
    </w:p>
    <w:p w14:paraId="61B03304"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One pharmacy provided this service in the first ten months of 2025/26, providing a total of three visits.</w:t>
      </w:r>
    </w:p>
    <w:p w14:paraId="3FA20B3A" w14:textId="77777777" w:rsidR="00037037" w:rsidRPr="00037037" w:rsidRDefault="00037037" w:rsidP="00D202E7">
      <w:pPr>
        <w:ind w:left="720"/>
        <w:contextualSpacing/>
        <w:rPr>
          <w:rFonts w:eastAsia="Times New Roman" w:cs="Arial"/>
          <w:b/>
          <w:bCs/>
          <w:kern w:val="0"/>
          <w:lang w:eastAsia="en-GB"/>
          <w14:ligatures w14:val="none"/>
        </w:rPr>
      </w:pPr>
    </w:p>
    <w:p w14:paraId="469583B1" w14:textId="77777777" w:rsidR="00037037" w:rsidRPr="00037037" w:rsidRDefault="00037037" w:rsidP="00D202E7">
      <w:pPr>
        <w:shd w:val="clear" w:color="auto" w:fill="FFFFFF"/>
        <w:rPr>
          <w:rFonts w:eastAsia="Times New Roman" w:cs="Arial"/>
          <w:b/>
          <w:bCs/>
          <w:kern w:val="0"/>
          <w:lang w:eastAsia="en-GB"/>
          <w14:ligatures w14:val="none"/>
        </w:rPr>
      </w:pPr>
      <w:r w:rsidRPr="00037037">
        <w:rPr>
          <w:rFonts w:eastAsia="Times New Roman" w:cs="Arial"/>
          <w:b/>
          <w:bCs/>
          <w:kern w:val="0"/>
          <w:lang w:eastAsia="en-GB"/>
          <w14:ligatures w14:val="none"/>
        </w:rPr>
        <w:t xml:space="preserve">8.3.2.3 Access to inhaler review service </w:t>
      </w:r>
    </w:p>
    <w:p w14:paraId="70E9EC0C" w14:textId="77777777" w:rsidR="00037037" w:rsidRPr="00037037" w:rsidRDefault="00037037" w:rsidP="00D202E7">
      <w:pPr>
        <w:shd w:val="clear" w:color="auto" w:fill="FFFFFF"/>
        <w:rPr>
          <w:rFonts w:eastAsia="Times New Roman" w:cs="Arial"/>
          <w:b/>
          <w:bCs/>
          <w:kern w:val="0"/>
          <w:lang w:eastAsia="en-GB"/>
          <w14:ligatures w14:val="none"/>
        </w:rPr>
      </w:pPr>
    </w:p>
    <w:p w14:paraId="591184E4" w14:textId="77777777" w:rsidR="00037037" w:rsidRPr="00037037" w:rsidRDefault="00037037" w:rsidP="00D202E7">
      <w:pPr>
        <w:shd w:val="clear" w:color="auto" w:fill="FFFFFF"/>
        <w:rPr>
          <w:rFonts w:eastAsia="Times New Roman" w:cs="Arial"/>
          <w:kern w:val="0"/>
          <w:lang w:eastAsia="en-GB"/>
          <w14:ligatures w14:val="none"/>
        </w:rPr>
      </w:pPr>
      <w:r w:rsidRPr="00037037">
        <w:rPr>
          <w:rFonts w:eastAsia="Times New Roman" w:cs="Arial"/>
          <w:kern w:val="0"/>
          <w:lang w:eastAsia="en-GB"/>
          <w14:ligatures w14:val="none"/>
        </w:rPr>
        <w:t>Eight of the pharmacies have signed up to provide this service.</w:t>
      </w:r>
    </w:p>
    <w:p w14:paraId="1023F479" w14:textId="77777777" w:rsidR="00037037" w:rsidRPr="00037037" w:rsidRDefault="00037037" w:rsidP="00D202E7">
      <w:pPr>
        <w:shd w:val="clear" w:color="auto" w:fill="FFFFFF"/>
        <w:rPr>
          <w:rFonts w:eastAsia="Times New Roman" w:cs="Arial"/>
          <w:kern w:val="0"/>
          <w:lang w:eastAsia="en-GB"/>
          <w14:ligatures w14:val="none"/>
        </w:rPr>
      </w:pPr>
    </w:p>
    <w:p w14:paraId="4E669109" w14:textId="77777777" w:rsidR="00037037" w:rsidRPr="00037037" w:rsidRDefault="00037037" w:rsidP="00D202E7">
      <w:pPr>
        <w:shd w:val="clear" w:color="auto" w:fill="FFFFFF"/>
        <w:rPr>
          <w:rFonts w:eastAsia="Times New Roman" w:cs="Arial"/>
          <w:kern w:val="0"/>
          <w:lang w:eastAsia="en-GB"/>
          <w14:ligatures w14:val="none"/>
        </w:rPr>
      </w:pPr>
      <w:r w:rsidRPr="00037037">
        <w:rPr>
          <w:rFonts w:eastAsia="Times New Roman" w:cs="Arial"/>
          <w:kern w:val="0"/>
          <w:lang w:eastAsia="en-GB"/>
          <w14:ligatures w14:val="none"/>
        </w:rPr>
        <w:t>Eight pharmacies provided this service in 2024/25, providing a total of 465 reviews (range at pharmacy level three to 101).</w:t>
      </w:r>
    </w:p>
    <w:p w14:paraId="4FD6E042" w14:textId="77777777" w:rsidR="00037037" w:rsidRPr="00037037" w:rsidRDefault="00037037" w:rsidP="00D202E7">
      <w:pPr>
        <w:shd w:val="clear" w:color="auto" w:fill="FFFFFF"/>
        <w:rPr>
          <w:rFonts w:eastAsia="Times New Roman" w:cs="Arial"/>
          <w:kern w:val="0"/>
          <w:lang w:eastAsia="en-GB"/>
          <w14:ligatures w14:val="none"/>
        </w:rPr>
      </w:pPr>
    </w:p>
    <w:p w14:paraId="01662397" w14:textId="77777777" w:rsidR="00037037" w:rsidRPr="00037037" w:rsidRDefault="00037037" w:rsidP="00D202E7">
      <w:pPr>
        <w:shd w:val="clear" w:color="auto" w:fill="FFFFFF"/>
        <w:rPr>
          <w:rFonts w:eastAsia="Times New Roman" w:cs="Arial"/>
          <w:kern w:val="0"/>
          <w:lang w:eastAsia="en-GB"/>
          <w14:ligatures w14:val="none"/>
        </w:rPr>
      </w:pPr>
      <w:r w:rsidRPr="00037037">
        <w:rPr>
          <w:rFonts w:eastAsia="Times New Roman" w:cs="Arial"/>
          <w:kern w:val="0"/>
          <w:lang w:eastAsia="en-GB"/>
          <w14:ligatures w14:val="none"/>
        </w:rPr>
        <w:t>Seven pharmacies provided this service between April 2025 and February 2026, providing a total of 321 reviews (range at pharmacy level nine to 97).</w:t>
      </w:r>
    </w:p>
    <w:p w14:paraId="467002A4" w14:textId="77777777" w:rsidR="00037037" w:rsidRPr="00037037" w:rsidRDefault="00037037" w:rsidP="00D202E7">
      <w:pPr>
        <w:rPr>
          <w:rFonts w:eastAsia="Times New Roman" w:cs="Arial"/>
          <w:b/>
          <w:bCs/>
          <w:kern w:val="0"/>
          <w:lang w:eastAsia="en-GB"/>
          <w14:ligatures w14:val="none"/>
        </w:rPr>
      </w:pPr>
    </w:p>
    <w:p w14:paraId="52221C8E"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8.3.2.4 Just in case service (palliative care packs)</w:t>
      </w:r>
    </w:p>
    <w:p w14:paraId="01AE43C3" w14:textId="77777777" w:rsidR="00037037" w:rsidRPr="00037037" w:rsidRDefault="00037037" w:rsidP="00D202E7">
      <w:pPr>
        <w:rPr>
          <w:rFonts w:eastAsia="Times New Roman" w:cs="Arial"/>
          <w:kern w:val="0"/>
          <w:lang w:eastAsia="en-GB"/>
          <w14:ligatures w14:val="none"/>
        </w:rPr>
      </w:pPr>
    </w:p>
    <w:p w14:paraId="156A50F5"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14 of the pharmacies have signed up to provide this service.</w:t>
      </w:r>
    </w:p>
    <w:p w14:paraId="2AB07490" w14:textId="77777777" w:rsidR="00037037" w:rsidRPr="00037037" w:rsidRDefault="00037037" w:rsidP="00D202E7">
      <w:pPr>
        <w:rPr>
          <w:rFonts w:eastAsia="Times New Roman" w:cs="Arial"/>
          <w:kern w:val="0"/>
          <w:lang w:eastAsia="en-GB"/>
          <w14:ligatures w14:val="none"/>
        </w:rPr>
      </w:pPr>
    </w:p>
    <w:p w14:paraId="4E749393"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Three pharmacies provided this service in 2024/25, supplying a total of 14 packs (range at pharmacy level one to 12).</w:t>
      </w:r>
    </w:p>
    <w:p w14:paraId="694E5161" w14:textId="77777777" w:rsidR="00037037" w:rsidRPr="00037037" w:rsidRDefault="00037037" w:rsidP="00D202E7">
      <w:pPr>
        <w:rPr>
          <w:rFonts w:eastAsia="Times New Roman" w:cs="Arial"/>
          <w:kern w:val="0"/>
          <w:lang w:eastAsia="en-GB"/>
          <w14:ligatures w14:val="none"/>
        </w:rPr>
      </w:pPr>
    </w:p>
    <w:p w14:paraId="7C94F46A"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Three pharmacies provided this service in the first ten months of 2025/26, supplying a total of nine packs (range at pharmacy level one to seven).</w:t>
      </w:r>
    </w:p>
    <w:p w14:paraId="79718236" w14:textId="77777777" w:rsidR="00037037" w:rsidRPr="00037037" w:rsidRDefault="00037037" w:rsidP="00D202E7">
      <w:pPr>
        <w:ind w:left="720"/>
        <w:contextualSpacing/>
        <w:rPr>
          <w:rFonts w:eastAsia="Times New Roman" w:cs="Arial"/>
          <w:kern w:val="0"/>
          <w:lang w:eastAsia="en-GB"/>
          <w14:ligatures w14:val="none"/>
        </w:rPr>
      </w:pPr>
    </w:p>
    <w:p w14:paraId="129D4DA0"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lastRenderedPageBreak/>
        <w:t xml:space="preserve">8.3.2.5 Medicines administration record service </w:t>
      </w:r>
    </w:p>
    <w:p w14:paraId="37B7BE47" w14:textId="77777777" w:rsidR="00037037" w:rsidRPr="00037037" w:rsidRDefault="00037037" w:rsidP="00D202E7">
      <w:pPr>
        <w:rPr>
          <w:rFonts w:eastAsia="Times New Roman" w:cs="Arial"/>
          <w:kern w:val="0"/>
          <w:lang w:eastAsia="en-GB"/>
          <w14:ligatures w14:val="none"/>
        </w:rPr>
      </w:pPr>
    </w:p>
    <w:p w14:paraId="1F0B8AC1"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All the pharmacies have signed up to provide this service.</w:t>
      </w:r>
    </w:p>
    <w:p w14:paraId="18D6C33D" w14:textId="77777777" w:rsidR="00037037" w:rsidRPr="00037037" w:rsidRDefault="00037037" w:rsidP="00D202E7">
      <w:pPr>
        <w:contextualSpacing/>
        <w:rPr>
          <w:rFonts w:eastAsia="Times New Roman" w:cs="Arial"/>
          <w:kern w:val="0"/>
          <w:lang w:eastAsia="en-GB"/>
          <w14:ligatures w14:val="none"/>
        </w:rPr>
      </w:pPr>
    </w:p>
    <w:p w14:paraId="020CCCB0" w14:textId="77777777" w:rsidR="00037037" w:rsidRPr="00037037" w:rsidRDefault="00037037" w:rsidP="00D202E7">
      <w:pPr>
        <w:contextualSpacing/>
        <w:rPr>
          <w:rFonts w:eastAsia="Times New Roman" w:cs="Arial"/>
          <w:kern w:val="0"/>
          <w:lang w:eastAsia="en-GB"/>
          <w14:ligatures w14:val="none"/>
        </w:rPr>
      </w:pPr>
      <w:r w:rsidRPr="00037037">
        <w:rPr>
          <w:rFonts w:eastAsia="Times New Roman" w:cs="Arial"/>
          <w:kern w:val="0"/>
          <w:lang w:eastAsia="en-GB"/>
          <w14:ligatures w14:val="none"/>
        </w:rPr>
        <w:t>11 pharmacies provided the service in 2024/25, providing charts to a total of 228 patients (range at pharmacy level two to 44).</w:t>
      </w:r>
    </w:p>
    <w:p w14:paraId="40152107" w14:textId="77777777" w:rsidR="00037037" w:rsidRPr="00037037" w:rsidRDefault="00037037" w:rsidP="00D202E7">
      <w:pPr>
        <w:contextualSpacing/>
        <w:rPr>
          <w:rFonts w:eastAsia="Times New Roman" w:cs="Arial"/>
          <w:kern w:val="0"/>
          <w:lang w:eastAsia="en-GB"/>
          <w14:ligatures w14:val="none"/>
        </w:rPr>
      </w:pPr>
    </w:p>
    <w:p w14:paraId="05A0E004" w14:textId="77777777" w:rsidR="00037037" w:rsidRPr="00037037" w:rsidRDefault="00037037" w:rsidP="00D202E7">
      <w:pPr>
        <w:contextualSpacing/>
        <w:rPr>
          <w:rFonts w:eastAsia="Times New Roman" w:cs="Arial"/>
          <w:kern w:val="0"/>
          <w:lang w:eastAsia="en-GB"/>
          <w14:ligatures w14:val="none"/>
        </w:rPr>
      </w:pPr>
      <w:r w:rsidRPr="00037037">
        <w:rPr>
          <w:rFonts w:eastAsia="Times New Roman" w:cs="Arial"/>
          <w:kern w:val="0"/>
          <w:lang w:eastAsia="en-GB"/>
          <w14:ligatures w14:val="none"/>
        </w:rPr>
        <w:t>All the pharmacies provided the service in the first ten months of 2025/26, providing charts to 1,412 patients (range at pharmacy level six to 109)</w:t>
      </w:r>
    </w:p>
    <w:p w14:paraId="07BEB51A" w14:textId="77777777" w:rsidR="00037037" w:rsidRPr="00037037" w:rsidRDefault="00037037" w:rsidP="00D202E7">
      <w:pPr>
        <w:contextualSpacing/>
        <w:rPr>
          <w:rFonts w:eastAsia="Times New Roman" w:cs="Arial"/>
          <w:kern w:val="0"/>
          <w:lang w:eastAsia="en-GB"/>
          <w14:ligatures w14:val="none"/>
        </w:rPr>
      </w:pPr>
    </w:p>
    <w:p w14:paraId="3A364A09"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8.3.2.6 Needle and syringe programmes</w:t>
      </w:r>
    </w:p>
    <w:p w14:paraId="4FC31FD3" w14:textId="77777777" w:rsidR="00037037" w:rsidRPr="00037037" w:rsidRDefault="00037037" w:rsidP="00D202E7">
      <w:pPr>
        <w:rPr>
          <w:rFonts w:eastAsia="Times New Roman" w:cs="Arial"/>
          <w:kern w:val="0"/>
          <w:lang w:eastAsia="en-GB"/>
          <w14:ligatures w14:val="none"/>
        </w:rPr>
      </w:pPr>
    </w:p>
    <w:p w14:paraId="0BA8B25B"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Two of the pharmacies have signed up to provide this service.</w:t>
      </w:r>
    </w:p>
    <w:p w14:paraId="61CEF239" w14:textId="77777777" w:rsidR="00037037" w:rsidRPr="00037037" w:rsidRDefault="00037037" w:rsidP="00D202E7">
      <w:pPr>
        <w:rPr>
          <w:rFonts w:eastAsia="Times New Roman" w:cs="Arial"/>
          <w:kern w:val="0"/>
          <w:lang w:eastAsia="en-GB"/>
          <w14:ligatures w14:val="none"/>
        </w:rPr>
      </w:pPr>
    </w:p>
    <w:p w14:paraId="5B2F5224"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One pharmacy provided the service in 2024/25, providing a total of 153 provisions and 201 provisions in the first ten months of 2025/26. </w:t>
      </w:r>
    </w:p>
    <w:p w14:paraId="416F1C53" w14:textId="77777777" w:rsidR="00037037" w:rsidRPr="00037037" w:rsidRDefault="00037037" w:rsidP="00D202E7">
      <w:pPr>
        <w:rPr>
          <w:rFonts w:eastAsia="Times New Roman" w:cs="Arial"/>
          <w:kern w:val="0"/>
          <w:lang w:eastAsia="en-GB"/>
          <w14:ligatures w14:val="none"/>
        </w:rPr>
      </w:pPr>
    </w:p>
    <w:p w14:paraId="5E9E6F8C"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8.3.2.7 Help me quit @ pharmacy (level 2 smoking cessation) service</w:t>
      </w:r>
    </w:p>
    <w:p w14:paraId="7F2A2E10" w14:textId="77777777" w:rsidR="00037037" w:rsidRPr="00037037" w:rsidRDefault="00037037" w:rsidP="00D202E7">
      <w:pPr>
        <w:rPr>
          <w:rFonts w:eastAsia="Times New Roman" w:cs="Arial"/>
          <w:kern w:val="0"/>
          <w:lang w:eastAsia="en-GB"/>
          <w14:ligatures w14:val="none"/>
        </w:rPr>
      </w:pPr>
    </w:p>
    <w:p w14:paraId="103624B6"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All the pharmacies have signed up to provide this service.</w:t>
      </w:r>
    </w:p>
    <w:p w14:paraId="082B0834" w14:textId="77777777" w:rsidR="00037037" w:rsidRPr="00037037" w:rsidRDefault="00037037" w:rsidP="00D202E7">
      <w:pPr>
        <w:rPr>
          <w:rFonts w:eastAsia="Times New Roman" w:cs="Arial"/>
          <w:kern w:val="0"/>
          <w:lang w:eastAsia="en-GB"/>
          <w14:ligatures w14:val="none"/>
        </w:rPr>
      </w:pPr>
    </w:p>
    <w:p w14:paraId="75E65B33"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10 pharmacies provided the service in 2024/25, supporting 150 people (range at pharmacy level five to 49).</w:t>
      </w:r>
    </w:p>
    <w:p w14:paraId="2145A918" w14:textId="77777777" w:rsidR="00037037" w:rsidRPr="00037037" w:rsidRDefault="00037037" w:rsidP="00D202E7">
      <w:pPr>
        <w:rPr>
          <w:rFonts w:eastAsia="Times New Roman" w:cs="Arial"/>
          <w:kern w:val="0"/>
          <w:lang w:eastAsia="en-GB"/>
          <w14:ligatures w14:val="none"/>
        </w:rPr>
      </w:pPr>
    </w:p>
    <w:p w14:paraId="0874B10C"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10 pharmacies provided this service in the first ten months of 2025/26, supporting 111 people (range at pharmacy level four to 16). </w:t>
      </w:r>
    </w:p>
    <w:p w14:paraId="7FB8DD17" w14:textId="77777777" w:rsidR="00037037" w:rsidRPr="00037037" w:rsidRDefault="00037037" w:rsidP="00D202E7">
      <w:pPr>
        <w:rPr>
          <w:rFonts w:eastAsia="Times New Roman" w:cs="Arial"/>
          <w:kern w:val="0"/>
          <w:lang w:eastAsia="en-GB"/>
          <w14:ligatures w14:val="none"/>
        </w:rPr>
      </w:pPr>
    </w:p>
    <w:p w14:paraId="7206C359"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8.3.2.8 Help me quit @ pharmacy (level 3 smoking cessation) service</w:t>
      </w:r>
    </w:p>
    <w:p w14:paraId="08812140" w14:textId="77777777" w:rsidR="00037037" w:rsidRPr="00037037" w:rsidRDefault="00037037" w:rsidP="00D202E7">
      <w:pPr>
        <w:rPr>
          <w:rFonts w:eastAsia="Times New Roman" w:cs="Arial"/>
          <w:kern w:val="0"/>
          <w:lang w:eastAsia="en-GB"/>
          <w14:ligatures w14:val="none"/>
        </w:rPr>
      </w:pPr>
    </w:p>
    <w:p w14:paraId="5CE547B9"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13 of the pharmacies have signed up to provide this service.</w:t>
      </w:r>
    </w:p>
    <w:p w14:paraId="62FD7C3E" w14:textId="77777777" w:rsidR="00037037" w:rsidRPr="00037037" w:rsidRDefault="00037037" w:rsidP="00D202E7">
      <w:pPr>
        <w:rPr>
          <w:rFonts w:eastAsia="Times New Roman" w:cs="Arial"/>
          <w:kern w:val="0"/>
          <w:lang w:eastAsia="en-GB"/>
          <w14:ligatures w14:val="none"/>
        </w:rPr>
      </w:pPr>
    </w:p>
    <w:p w14:paraId="31942FEA"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Six pharmacies provided the service in 2024/25, supporting 299 people (range at pharmacy level 14 to 91)</w:t>
      </w:r>
    </w:p>
    <w:p w14:paraId="1CFEF23C" w14:textId="77777777" w:rsidR="00037037" w:rsidRPr="00037037" w:rsidRDefault="00037037" w:rsidP="00D202E7">
      <w:pPr>
        <w:rPr>
          <w:rFonts w:eastAsia="Times New Roman" w:cs="Arial"/>
          <w:kern w:val="0"/>
          <w:lang w:eastAsia="en-GB"/>
          <w14:ligatures w14:val="none"/>
        </w:rPr>
      </w:pPr>
    </w:p>
    <w:p w14:paraId="7B9FB38C"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Eight pharmacies provided this service in the first ten months of 2025/26, supporting 293 people (range at pharmacy level one to 78). </w:t>
      </w:r>
    </w:p>
    <w:p w14:paraId="38B7F433" w14:textId="77777777" w:rsidR="00037037" w:rsidRPr="00037037" w:rsidRDefault="00037037" w:rsidP="00D202E7">
      <w:pPr>
        <w:contextualSpacing/>
        <w:rPr>
          <w:rFonts w:eastAsia="Times New Roman" w:cs="Arial"/>
          <w:kern w:val="0"/>
          <w:lang w:eastAsia="en-GB"/>
          <w14:ligatures w14:val="none"/>
        </w:rPr>
      </w:pPr>
    </w:p>
    <w:p w14:paraId="04202990"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 xml:space="preserve">8.3.2.9 Supervised administration of medicine </w:t>
      </w:r>
    </w:p>
    <w:p w14:paraId="60E73567" w14:textId="77777777" w:rsidR="00037037" w:rsidRPr="00037037" w:rsidRDefault="00037037" w:rsidP="00D202E7">
      <w:pPr>
        <w:rPr>
          <w:rFonts w:eastAsia="Times New Roman" w:cs="Arial"/>
          <w:kern w:val="0"/>
          <w:lang w:eastAsia="en-GB"/>
          <w14:ligatures w14:val="none"/>
        </w:rPr>
      </w:pPr>
    </w:p>
    <w:p w14:paraId="20F8A42F"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14 of the pharmacies have signed up to provide this service.</w:t>
      </w:r>
    </w:p>
    <w:p w14:paraId="7DBF6AE6" w14:textId="77777777" w:rsidR="00037037" w:rsidRPr="00037037" w:rsidRDefault="00037037" w:rsidP="00D202E7">
      <w:pPr>
        <w:rPr>
          <w:rFonts w:eastAsia="Times New Roman" w:cs="Arial"/>
          <w:kern w:val="0"/>
          <w:lang w:eastAsia="en-GB"/>
          <w14:ligatures w14:val="none"/>
        </w:rPr>
      </w:pPr>
    </w:p>
    <w:p w14:paraId="3374F2DD" w14:textId="77777777" w:rsidR="00037037" w:rsidRPr="00037037" w:rsidRDefault="00037037" w:rsidP="00D202E7">
      <w:pPr>
        <w:rPr>
          <w:rFonts w:eastAsia="Times New Roman" w:cs="Arial"/>
          <w:kern w:val="0"/>
          <w:lang w:eastAsia="en-GB"/>
          <w14:ligatures w14:val="none"/>
        </w:rPr>
      </w:pPr>
      <w:r w:rsidRPr="00037037">
        <w:rPr>
          <w:rFonts w:eastAsia="Aptos" w:cs="Arial"/>
        </w:rPr>
        <w:t>In 2024/25, nine pharmacies provided this service to 314 clients (range at pharmacy level five to 111), supervising a total of 1,884 doses (range at pharmacy level 29 to 674).</w:t>
      </w:r>
    </w:p>
    <w:p w14:paraId="2895E520" w14:textId="77777777" w:rsidR="00037037" w:rsidRPr="00037037" w:rsidRDefault="00037037" w:rsidP="00D202E7">
      <w:pPr>
        <w:rPr>
          <w:rFonts w:eastAsia="Aptos" w:cs="Arial"/>
        </w:rPr>
      </w:pPr>
    </w:p>
    <w:p w14:paraId="1983B220" w14:textId="77777777" w:rsidR="00037037" w:rsidRPr="00037037" w:rsidRDefault="00037037" w:rsidP="00D202E7">
      <w:pPr>
        <w:rPr>
          <w:rFonts w:eastAsia="Aptos" w:cs="Arial"/>
        </w:rPr>
      </w:pPr>
      <w:r w:rsidRPr="00037037">
        <w:rPr>
          <w:rFonts w:eastAsia="Aptos" w:cs="Arial"/>
        </w:rPr>
        <w:t xml:space="preserve">In the first ten months of 2025/26, nine pharmacies provided this service to 410 clients (range at pharmacy level two to 109), supervising a total of 3,430 doses (range at pharmacy level 46 to 1,360). </w:t>
      </w:r>
    </w:p>
    <w:p w14:paraId="6C55439F" w14:textId="77777777" w:rsidR="00037037" w:rsidRDefault="00037037" w:rsidP="00D202E7">
      <w:pPr>
        <w:rPr>
          <w:rFonts w:eastAsia="Times New Roman" w:cs="Arial"/>
          <w:kern w:val="0"/>
          <w:lang w:eastAsia="en-GB"/>
          <w14:ligatures w14:val="none"/>
        </w:rPr>
      </w:pPr>
    </w:p>
    <w:p w14:paraId="4867AC02" w14:textId="77777777" w:rsidR="004D24D2" w:rsidRPr="00037037" w:rsidRDefault="004D24D2" w:rsidP="00D202E7">
      <w:pPr>
        <w:rPr>
          <w:rFonts w:eastAsia="Times New Roman" w:cs="Arial"/>
          <w:kern w:val="0"/>
          <w:lang w:eastAsia="en-GB"/>
          <w14:ligatures w14:val="none"/>
        </w:rPr>
      </w:pPr>
    </w:p>
    <w:p w14:paraId="1E102E57"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lastRenderedPageBreak/>
        <w:t xml:space="preserve">8.3.2.10 Urgent medicines service </w:t>
      </w:r>
    </w:p>
    <w:p w14:paraId="6DCE7195" w14:textId="77777777" w:rsidR="00037037" w:rsidRPr="00037037" w:rsidRDefault="00037037" w:rsidP="00D202E7">
      <w:pPr>
        <w:rPr>
          <w:rFonts w:eastAsia="Times New Roman" w:cs="Arial"/>
          <w:kern w:val="0"/>
          <w:lang w:eastAsia="en-GB"/>
          <w14:ligatures w14:val="none"/>
        </w:rPr>
      </w:pPr>
    </w:p>
    <w:p w14:paraId="23E840E4"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Three of the pharmacies have signed up to provide this service.</w:t>
      </w:r>
    </w:p>
    <w:p w14:paraId="200E23B3" w14:textId="77777777" w:rsidR="00037037" w:rsidRPr="00037037" w:rsidRDefault="00037037" w:rsidP="00D202E7">
      <w:pPr>
        <w:rPr>
          <w:rFonts w:eastAsia="Aptos" w:cs="Arial"/>
        </w:rPr>
      </w:pPr>
    </w:p>
    <w:p w14:paraId="597C5EB2" w14:textId="77777777" w:rsidR="00037037" w:rsidRPr="00037037" w:rsidRDefault="00037037" w:rsidP="00D202E7">
      <w:pPr>
        <w:rPr>
          <w:rFonts w:eastAsia="Aptos" w:cs="Arial"/>
          <w:b/>
          <w:bCs/>
          <w:sz w:val="26"/>
          <w:szCs w:val="26"/>
        </w:rPr>
      </w:pPr>
      <w:r w:rsidRPr="00037037">
        <w:rPr>
          <w:rFonts w:eastAsia="Aptos" w:cs="Arial"/>
          <w:b/>
          <w:bCs/>
          <w:sz w:val="26"/>
          <w:szCs w:val="26"/>
        </w:rPr>
        <w:t>8.4 Current provision of pharmaceutical services outside the locality</w:t>
      </w:r>
    </w:p>
    <w:p w14:paraId="1349B63F" w14:textId="77777777" w:rsidR="00037037" w:rsidRPr="00037037" w:rsidRDefault="00037037" w:rsidP="00D202E7">
      <w:pPr>
        <w:rPr>
          <w:rFonts w:eastAsia="Aptos" w:cs="Arial"/>
        </w:rPr>
      </w:pPr>
    </w:p>
    <w:p w14:paraId="0DE151BA" w14:textId="77777777" w:rsidR="00037037" w:rsidRPr="00037037" w:rsidRDefault="00037037" w:rsidP="00D202E7">
      <w:pPr>
        <w:rPr>
          <w:rFonts w:eastAsia="Aptos" w:cs="Arial"/>
        </w:rPr>
      </w:pPr>
      <w:r w:rsidRPr="00037037">
        <w:rPr>
          <w:rFonts w:eastAsia="Aptos" w:cs="Arial"/>
        </w:rPr>
        <w:t>Some residents may choose to access contractors outside both the locality and the health board’s area in order to access services:</w:t>
      </w:r>
    </w:p>
    <w:p w14:paraId="180900F3" w14:textId="77777777" w:rsidR="00037037" w:rsidRPr="00037037" w:rsidRDefault="00037037" w:rsidP="00D202E7">
      <w:pPr>
        <w:rPr>
          <w:rFonts w:eastAsia="Aptos" w:cs="Arial"/>
        </w:rPr>
      </w:pPr>
    </w:p>
    <w:p w14:paraId="2C761C7B" w14:textId="77777777" w:rsidR="00037037" w:rsidRPr="00037037" w:rsidRDefault="00037037" w:rsidP="00B76905">
      <w:pPr>
        <w:numPr>
          <w:ilvl w:val="0"/>
          <w:numId w:val="151"/>
        </w:numPr>
        <w:contextualSpacing/>
        <w:rPr>
          <w:rFonts w:eastAsia="Aptos" w:cs="Arial"/>
        </w:rPr>
      </w:pPr>
      <w:r w:rsidRPr="00037037">
        <w:rPr>
          <w:rFonts w:eastAsia="Aptos" w:cs="Arial"/>
        </w:rPr>
        <w:t>Offered by dispensing appliance contractors</w:t>
      </w:r>
    </w:p>
    <w:p w14:paraId="4A2F68FC" w14:textId="77777777" w:rsidR="00037037" w:rsidRPr="00037037" w:rsidRDefault="00037037" w:rsidP="00B76905">
      <w:pPr>
        <w:numPr>
          <w:ilvl w:val="0"/>
          <w:numId w:val="151"/>
        </w:numPr>
        <w:contextualSpacing/>
        <w:rPr>
          <w:rFonts w:eastAsia="Aptos" w:cs="Arial"/>
        </w:rPr>
      </w:pPr>
      <w:r w:rsidRPr="00037037">
        <w:rPr>
          <w:rFonts w:eastAsia="Aptos" w:cs="Arial"/>
        </w:rPr>
        <w:t>Which are located near to where they work, shop or visit for leisure or other purposes.</w:t>
      </w:r>
    </w:p>
    <w:p w14:paraId="17DB5E45" w14:textId="77777777" w:rsidR="00037037" w:rsidRPr="00037037" w:rsidRDefault="00037037" w:rsidP="00D202E7">
      <w:pPr>
        <w:shd w:val="clear" w:color="auto" w:fill="FFFFFF"/>
        <w:rPr>
          <w:rFonts w:eastAsia="Times New Roman" w:cs="Arial"/>
          <w:kern w:val="0"/>
          <w:lang w:eastAsia="en-GB"/>
          <w14:ligatures w14:val="none"/>
        </w:rPr>
      </w:pPr>
    </w:p>
    <w:p w14:paraId="55BC44EC" w14:textId="77777777" w:rsidR="00037037" w:rsidRPr="00037037" w:rsidRDefault="00037037" w:rsidP="00D202E7">
      <w:pPr>
        <w:shd w:val="clear" w:color="auto" w:fill="FFFFFF"/>
        <w:rPr>
          <w:rFonts w:eastAsia="Times New Roman" w:cs="Arial"/>
          <w:kern w:val="0"/>
          <w:lang w:eastAsia="en-GB"/>
          <w14:ligatures w14:val="none"/>
        </w:rPr>
      </w:pPr>
      <w:r w:rsidRPr="00037037">
        <w:rPr>
          <w:rFonts w:eastAsia="Times New Roman" w:cs="Arial"/>
          <w:kern w:val="0"/>
          <w:lang w:eastAsia="en-GB"/>
          <w14:ligatures w14:val="none"/>
        </w:rPr>
        <w:t>Whilst the majority of prescriptions written by the GP practices in 2024/25 were dispensed by the pharmacies in the locality (76.4%), with 21.9% dispensed outside the locality.</w:t>
      </w:r>
    </w:p>
    <w:p w14:paraId="32ACF2FE" w14:textId="77777777" w:rsidR="00037037" w:rsidRPr="00037037" w:rsidRDefault="00037037" w:rsidP="00D202E7">
      <w:pPr>
        <w:shd w:val="clear" w:color="auto" w:fill="FFFFFF"/>
        <w:rPr>
          <w:rFonts w:eastAsia="Times New Roman" w:cs="Arial"/>
          <w:kern w:val="0"/>
          <w:lang w:eastAsia="en-GB"/>
          <w14:ligatures w14:val="none"/>
        </w:rPr>
      </w:pPr>
    </w:p>
    <w:p w14:paraId="2FF2CB46" w14:textId="77777777" w:rsidR="00037037" w:rsidRPr="00037037" w:rsidRDefault="00037037" w:rsidP="00B76905">
      <w:pPr>
        <w:numPr>
          <w:ilvl w:val="0"/>
          <w:numId w:val="152"/>
        </w:numPr>
        <w:textAlignment w:val="baseline"/>
        <w:rPr>
          <w:rFonts w:eastAsia="Times New Roman" w:cs="Arial"/>
          <w:kern w:val="0"/>
          <w:lang w:eastAsia="en-GB"/>
          <w14:ligatures w14:val="none"/>
        </w:rPr>
      </w:pPr>
      <w:r w:rsidRPr="00037037">
        <w:rPr>
          <w:rFonts w:eastAsia="Times New Roman" w:cs="Arial"/>
          <w:kern w:val="0"/>
          <w:lang w:eastAsia="en-GB"/>
          <w14:ligatures w14:val="none"/>
        </w:rPr>
        <w:t>17.3% by pharmacies in City Health locality</w:t>
      </w:r>
    </w:p>
    <w:p w14:paraId="106CFD78" w14:textId="77777777" w:rsidR="00037037" w:rsidRPr="00037037" w:rsidRDefault="00037037" w:rsidP="00B76905">
      <w:pPr>
        <w:numPr>
          <w:ilvl w:val="0"/>
          <w:numId w:val="152"/>
        </w:numPr>
        <w:textAlignment w:val="baseline"/>
        <w:rPr>
          <w:rFonts w:eastAsia="Times New Roman" w:cs="Arial"/>
          <w:kern w:val="0"/>
          <w:lang w:eastAsia="en-GB"/>
          <w14:ligatures w14:val="none"/>
        </w:rPr>
      </w:pPr>
      <w:r w:rsidRPr="00037037">
        <w:rPr>
          <w:rFonts w:eastAsia="Times New Roman" w:cs="Arial"/>
          <w:kern w:val="0"/>
          <w:lang w:eastAsia="en-GB"/>
          <w14:ligatures w14:val="none"/>
        </w:rPr>
        <w:t>2.2% by pharmacies in Penderi locality</w:t>
      </w:r>
    </w:p>
    <w:p w14:paraId="4044B18C" w14:textId="77777777" w:rsidR="00037037" w:rsidRPr="00037037" w:rsidRDefault="00037037" w:rsidP="00B76905">
      <w:pPr>
        <w:numPr>
          <w:ilvl w:val="0"/>
          <w:numId w:val="152"/>
        </w:numPr>
        <w:textAlignment w:val="baseline"/>
        <w:rPr>
          <w:rFonts w:eastAsia="Times New Roman" w:cs="Arial"/>
          <w:kern w:val="0"/>
          <w:lang w:eastAsia="en-GB"/>
          <w14:ligatures w14:val="none"/>
        </w:rPr>
      </w:pPr>
      <w:r w:rsidRPr="00037037">
        <w:rPr>
          <w:rFonts w:eastAsia="Times New Roman" w:cs="Arial"/>
          <w:kern w:val="0"/>
          <w:lang w:eastAsia="en-GB"/>
          <w14:ligatures w14:val="none"/>
        </w:rPr>
        <w:t>1.3% by pharmacies in Llwchwr locality</w:t>
      </w:r>
    </w:p>
    <w:p w14:paraId="265C103E" w14:textId="77777777" w:rsidR="00037037" w:rsidRPr="00037037" w:rsidRDefault="00037037" w:rsidP="00B76905">
      <w:pPr>
        <w:numPr>
          <w:ilvl w:val="0"/>
          <w:numId w:val="152"/>
        </w:numPr>
        <w:textAlignment w:val="baseline"/>
        <w:rPr>
          <w:rFonts w:eastAsia="Times New Roman" w:cs="Arial"/>
          <w:kern w:val="0"/>
          <w:lang w:eastAsia="en-GB"/>
          <w14:ligatures w14:val="none"/>
        </w:rPr>
      </w:pPr>
      <w:r w:rsidRPr="00037037">
        <w:rPr>
          <w:rFonts w:eastAsia="Times New Roman" w:cs="Arial"/>
          <w:kern w:val="0"/>
          <w:lang w:eastAsia="en-GB"/>
          <w14:ligatures w14:val="none"/>
        </w:rPr>
        <w:t xml:space="preserve">0.7% by contractors in England </w:t>
      </w:r>
    </w:p>
    <w:p w14:paraId="34E7DFD5" w14:textId="77777777" w:rsidR="00037037" w:rsidRPr="00037037" w:rsidRDefault="00037037" w:rsidP="00B76905">
      <w:pPr>
        <w:numPr>
          <w:ilvl w:val="0"/>
          <w:numId w:val="152"/>
        </w:numPr>
        <w:textAlignment w:val="baseline"/>
        <w:rPr>
          <w:rFonts w:eastAsia="Times New Roman" w:cs="Arial"/>
          <w:kern w:val="0"/>
          <w:lang w:eastAsia="en-GB"/>
          <w14:ligatures w14:val="none"/>
        </w:rPr>
      </w:pPr>
      <w:r w:rsidRPr="00037037">
        <w:rPr>
          <w:rFonts w:eastAsia="Times New Roman" w:cs="Arial"/>
          <w:kern w:val="0"/>
          <w:lang w:eastAsia="en-GB"/>
          <w14:ligatures w14:val="none"/>
        </w:rPr>
        <w:t>0.2% by pharmacies in Cwmtawe locality</w:t>
      </w:r>
    </w:p>
    <w:p w14:paraId="3E82C8E5" w14:textId="77777777" w:rsidR="00037037" w:rsidRPr="00037037" w:rsidRDefault="00037037" w:rsidP="00B76905">
      <w:pPr>
        <w:numPr>
          <w:ilvl w:val="0"/>
          <w:numId w:val="152"/>
        </w:numPr>
        <w:textAlignment w:val="baseline"/>
        <w:rPr>
          <w:rFonts w:eastAsia="Times New Roman" w:cs="Arial"/>
          <w:kern w:val="0"/>
          <w:lang w:eastAsia="en-GB"/>
          <w14:ligatures w14:val="none"/>
        </w:rPr>
      </w:pPr>
      <w:r w:rsidRPr="00037037">
        <w:rPr>
          <w:rFonts w:eastAsia="Times New Roman" w:cs="Arial"/>
          <w:kern w:val="0"/>
          <w:lang w:eastAsia="en-GB"/>
          <w14:ligatures w14:val="none"/>
        </w:rPr>
        <w:t>0.1% by pharmacies in Cardiff and Vale University Health Board</w:t>
      </w:r>
    </w:p>
    <w:p w14:paraId="3A61BCDA" w14:textId="77777777" w:rsidR="00037037" w:rsidRPr="00037037" w:rsidRDefault="00037037" w:rsidP="00B76905">
      <w:pPr>
        <w:numPr>
          <w:ilvl w:val="0"/>
          <w:numId w:val="152"/>
        </w:numPr>
        <w:textAlignment w:val="baseline"/>
        <w:rPr>
          <w:rFonts w:eastAsia="Times New Roman" w:cs="Arial"/>
          <w:kern w:val="0"/>
          <w:lang w:eastAsia="en-GB"/>
          <w14:ligatures w14:val="none"/>
        </w:rPr>
      </w:pPr>
      <w:r w:rsidRPr="00037037">
        <w:rPr>
          <w:rFonts w:eastAsia="Times New Roman" w:cs="Arial"/>
          <w:kern w:val="0"/>
          <w:lang w:eastAsia="en-GB"/>
          <w14:ligatures w14:val="none"/>
        </w:rPr>
        <w:t>0.1% by pharmacies in Hywel Dda University Health Board</w:t>
      </w:r>
    </w:p>
    <w:p w14:paraId="5296D1DC" w14:textId="77777777" w:rsidR="00037037" w:rsidRPr="00037037" w:rsidRDefault="00037037" w:rsidP="00D202E7">
      <w:pPr>
        <w:ind w:left="774"/>
        <w:textAlignment w:val="baseline"/>
        <w:rPr>
          <w:rFonts w:eastAsia="Times New Roman" w:cs="Arial"/>
          <w:kern w:val="0"/>
          <w:lang w:eastAsia="en-GB"/>
          <w14:ligatures w14:val="none"/>
        </w:rPr>
      </w:pPr>
    </w:p>
    <w:p w14:paraId="7EFDB684" w14:textId="77777777" w:rsidR="00037037" w:rsidRPr="00037037" w:rsidRDefault="00037037" w:rsidP="00D202E7">
      <w:pPr>
        <w:shd w:val="clear" w:color="auto" w:fill="FFFFFF"/>
        <w:rPr>
          <w:rFonts w:eastAsia="Times New Roman" w:cs="Arial"/>
          <w:kern w:val="0"/>
          <w:lang w:eastAsia="en-GB"/>
          <w14:ligatures w14:val="none"/>
        </w:rPr>
      </w:pPr>
      <w:r w:rsidRPr="00037037">
        <w:rPr>
          <w:rFonts w:eastAsia="Times New Roman" w:cs="Arial"/>
          <w:kern w:val="0"/>
          <w:lang w:eastAsia="en-GB"/>
          <w14:ligatures w14:val="none"/>
        </w:rPr>
        <w:t>In the first nine months of 2025/26 the majority of prescriptions written by the GP practices were dispensed by the pharmacies in the locality (77.7%), with 21.7% dispensed outside the locality.</w:t>
      </w:r>
    </w:p>
    <w:p w14:paraId="664FDEBC" w14:textId="77777777" w:rsidR="00037037" w:rsidRPr="00037037" w:rsidRDefault="00037037" w:rsidP="00D202E7">
      <w:pPr>
        <w:shd w:val="clear" w:color="auto" w:fill="FFFFFF"/>
        <w:rPr>
          <w:rFonts w:eastAsia="Times New Roman" w:cs="Arial"/>
          <w:kern w:val="0"/>
          <w:lang w:eastAsia="en-GB"/>
          <w14:ligatures w14:val="none"/>
        </w:rPr>
      </w:pPr>
    </w:p>
    <w:p w14:paraId="2120CB02" w14:textId="77777777" w:rsidR="00037037" w:rsidRPr="00037037" w:rsidRDefault="00037037" w:rsidP="00B76905">
      <w:pPr>
        <w:numPr>
          <w:ilvl w:val="0"/>
          <w:numId w:val="152"/>
        </w:numPr>
        <w:textAlignment w:val="baseline"/>
        <w:rPr>
          <w:rFonts w:eastAsia="Times New Roman" w:cs="Arial"/>
          <w:kern w:val="0"/>
          <w:lang w:eastAsia="en-GB"/>
          <w14:ligatures w14:val="none"/>
        </w:rPr>
      </w:pPr>
      <w:r w:rsidRPr="00037037">
        <w:rPr>
          <w:rFonts w:eastAsia="Times New Roman" w:cs="Arial"/>
          <w:kern w:val="0"/>
          <w:lang w:eastAsia="en-GB"/>
          <w14:ligatures w14:val="none"/>
        </w:rPr>
        <w:t>17.1% by pharmacies in City Health locality</w:t>
      </w:r>
    </w:p>
    <w:p w14:paraId="0218D71C" w14:textId="77777777" w:rsidR="00037037" w:rsidRPr="00037037" w:rsidRDefault="00037037" w:rsidP="00B76905">
      <w:pPr>
        <w:numPr>
          <w:ilvl w:val="0"/>
          <w:numId w:val="152"/>
        </w:numPr>
        <w:textAlignment w:val="baseline"/>
        <w:rPr>
          <w:rFonts w:eastAsia="Times New Roman" w:cs="Arial"/>
          <w:kern w:val="0"/>
          <w:lang w:eastAsia="en-GB"/>
          <w14:ligatures w14:val="none"/>
        </w:rPr>
      </w:pPr>
      <w:r w:rsidRPr="00037037">
        <w:rPr>
          <w:rFonts w:eastAsia="Times New Roman" w:cs="Arial"/>
          <w:kern w:val="0"/>
          <w:lang w:eastAsia="en-GB"/>
          <w14:ligatures w14:val="none"/>
        </w:rPr>
        <w:t>2.1% by pharmacies in Penderi locality</w:t>
      </w:r>
    </w:p>
    <w:p w14:paraId="0E00F650" w14:textId="77777777" w:rsidR="00037037" w:rsidRPr="00037037" w:rsidRDefault="00037037" w:rsidP="00B76905">
      <w:pPr>
        <w:numPr>
          <w:ilvl w:val="0"/>
          <w:numId w:val="152"/>
        </w:numPr>
        <w:textAlignment w:val="baseline"/>
        <w:rPr>
          <w:rFonts w:eastAsia="Times New Roman" w:cs="Arial"/>
          <w:kern w:val="0"/>
          <w:lang w:eastAsia="en-GB"/>
          <w14:ligatures w14:val="none"/>
        </w:rPr>
      </w:pPr>
      <w:r w:rsidRPr="00037037">
        <w:rPr>
          <w:rFonts w:eastAsia="Times New Roman" w:cs="Arial"/>
          <w:kern w:val="0"/>
          <w:lang w:eastAsia="en-GB"/>
          <w14:ligatures w14:val="none"/>
        </w:rPr>
        <w:t>1.3% by pharmacies in Llwchwr locality</w:t>
      </w:r>
    </w:p>
    <w:p w14:paraId="55F603D3" w14:textId="77777777" w:rsidR="00037037" w:rsidRPr="00037037" w:rsidRDefault="00037037" w:rsidP="00B76905">
      <w:pPr>
        <w:numPr>
          <w:ilvl w:val="0"/>
          <w:numId w:val="152"/>
        </w:numPr>
        <w:textAlignment w:val="baseline"/>
        <w:rPr>
          <w:rFonts w:eastAsia="Times New Roman" w:cs="Arial"/>
          <w:kern w:val="0"/>
          <w:lang w:eastAsia="en-GB"/>
          <w14:ligatures w14:val="none"/>
        </w:rPr>
      </w:pPr>
      <w:r w:rsidRPr="00037037">
        <w:rPr>
          <w:rFonts w:eastAsia="Times New Roman" w:cs="Arial"/>
          <w:kern w:val="0"/>
          <w:lang w:eastAsia="en-GB"/>
          <w14:ligatures w14:val="none"/>
        </w:rPr>
        <w:t xml:space="preserve">0.7% by contractors in England </w:t>
      </w:r>
    </w:p>
    <w:p w14:paraId="59FD9F4D" w14:textId="77777777" w:rsidR="00037037" w:rsidRPr="00037037" w:rsidRDefault="00037037" w:rsidP="00B76905">
      <w:pPr>
        <w:numPr>
          <w:ilvl w:val="0"/>
          <w:numId w:val="152"/>
        </w:numPr>
        <w:textAlignment w:val="baseline"/>
        <w:rPr>
          <w:rFonts w:eastAsia="Times New Roman" w:cs="Arial"/>
          <w:kern w:val="0"/>
          <w:lang w:eastAsia="en-GB"/>
          <w14:ligatures w14:val="none"/>
        </w:rPr>
      </w:pPr>
      <w:r w:rsidRPr="00037037">
        <w:rPr>
          <w:rFonts w:eastAsia="Times New Roman" w:cs="Arial"/>
          <w:kern w:val="0"/>
          <w:lang w:eastAsia="en-GB"/>
          <w14:ligatures w14:val="none"/>
        </w:rPr>
        <w:t>0.2% by pharmacies in Cwmtawe locality</w:t>
      </w:r>
    </w:p>
    <w:p w14:paraId="71D52B28" w14:textId="77777777" w:rsidR="00037037" w:rsidRPr="00037037" w:rsidRDefault="00037037" w:rsidP="00B76905">
      <w:pPr>
        <w:numPr>
          <w:ilvl w:val="0"/>
          <w:numId w:val="152"/>
        </w:numPr>
        <w:textAlignment w:val="baseline"/>
        <w:rPr>
          <w:rFonts w:eastAsia="Times New Roman" w:cs="Arial"/>
          <w:kern w:val="0"/>
          <w:lang w:eastAsia="en-GB"/>
          <w14:ligatures w14:val="none"/>
        </w:rPr>
      </w:pPr>
      <w:r w:rsidRPr="00037037">
        <w:rPr>
          <w:rFonts w:eastAsia="Times New Roman" w:cs="Arial"/>
          <w:kern w:val="0"/>
          <w:lang w:eastAsia="en-GB"/>
          <w14:ligatures w14:val="none"/>
        </w:rPr>
        <w:t>0.1% by pharmacies in Cardiff and Vale University Health Board</w:t>
      </w:r>
    </w:p>
    <w:p w14:paraId="19E583BC" w14:textId="77777777" w:rsidR="00037037" w:rsidRPr="00037037" w:rsidRDefault="00037037" w:rsidP="00B76905">
      <w:pPr>
        <w:numPr>
          <w:ilvl w:val="0"/>
          <w:numId w:val="152"/>
        </w:numPr>
        <w:textAlignment w:val="baseline"/>
        <w:rPr>
          <w:rFonts w:eastAsia="Times New Roman" w:cs="Arial"/>
          <w:kern w:val="0"/>
          <w:lang w:eastAsia="en-GB"/>
          <w14:ligatures w14:val="none"/>
        </w:rPr>
      </w:pPr>
      <w:r w:rsidRPr="00037037">
        <w:rPr>
          <w:rFonts w:eastAsia="Times New Roman" w:cs="Arial"/>
          <w:kern w:val="0"/>
          <w:lang w:eastAsia="en-GB"/>
          <w14:ligatures w14:val="none"/>
        </w:rPr>
        <w:t>0.1% by pharmacies in Hywel Dda University Health Board</w:t>
      </w:r>
    </w:p>
    <w:p w14:paraId="14FB93D9" w14:textId="77777777" w:rsidR="00037037" w:rsidRPr="00037037" w:rsidRDefault="00037037" w:rsidP="00D202E7">
      <w:pPr>
        <w:textAlignment w:val="baseline"/>
        <w:rPr>
          <w:rFonts w:eastAsia="Times New Roman" w:cs="Arial"/>
          <w:kern w:val="0"/>
          <w:lang w:eastAsia="en-GB"/>
          <w14:ligatures w14:val="none"/>
        </w:rPr>
      </w:pPr>
    </w:p>
    <w:p w14:paraId="1263A96D" w14:textId="77777777" w:rsidR="00037037" w:rsidRPr="00037037" w:rsidRDefault="00037037" w:rsidP="00D202E7">
      <w:pPr>
        <w:shd w:val="clear" w:color="auto" w:fill="FFFFFF"/>
        <w:rPr>
          <w:rFonts w:eastAsia="Times New Roman" w:cs="Arial"/>
          <w:kern w:val="0"/>
          <w:lang w:eastAsia="en-GB"/>
          <w14:ligatures w14:val="none"/>
        </w:rPr>
      </w:pPr>
      <w:r w:rsidRPr="00037037">
        <w:rPr>
          <w:rFonts w:eastAsia="Times New Roman" w:cs="Arial"/>
          <w:kern w:val="0"/>
          <w:lang w:eastAsia="en-GB"/>
          <w14:ligatures w14:val="none"/>
        </w:rPr>
        <w:t>In addition, residents may have accessed one or more pharmaceutical services provided by another pharmacy outside of both the locality and the health board’s area; however, it is not possible to quantify this activity from the recorded data.</w:t>
      </w:r>
    </w:p>
    <w:p w14:paraId="146779EA" w14:textId="77777777" w:rsidR="00037037" w:rsidRPr="00037037" w:rsidRDefault="00037037" w:rsidP="00D202E7">
      <w:pPr>
        <w:shd w:val="clear" w:color="auto" w:fill="FFFFFF"/>
        <w:rPr>
          <w:rFonts w:eastAsia="Times New Roman" w:cs="Arial"/>
          <w:kern w:val="0"/>
          <w:lang w:eastAsia="en-GB"/>
          <w14:ligatures w14:val="none"/>
        </w:rPr>
      </w:pPr>
    </w:p>
    <w:p w14:paraId="60BCCC24" w14:textId="77777777" w:rsidR="00037037" w:rsidRPr="00037037" w:rsidRDefault="00037037" w:rsidP="00D202E7">
      <w:pPr>
        <w:rPr>
          <w:rFonts w:eastAsia="Aptos" w:cs="Arial"/>
          <w:b/>
          <w:bCs/>
          <w:sz w:val="26"/>
          <w:szCs w:val="26"/>
        </w:rPr>
      </w:pPr>
      <w:r w:rsidRPr="00037037">
        <w:rPr>
          <w:rFonts w:eastAsia="Aptos" w:cs="Arial"/>
          <w:b/>
          <w:bCs/>
          <w:sz w:val="26"/>
          <w:szCs w:val="26"/>
        </w:rPr>
        <w:t>8.5 Other NHS services</w:t>
      </w:r>
    </w:p>
    <w:p w14:paraId="45F05B84" w14:textId="77777777" w:rsidR="00037037" w:rsidRPr="00037037" w:rsidRDefault="00037037" w:rsidP="00D202E7">
      <w:pPr>
        <w:rPr>
          <w:rFonts w:eastAsia="Aptos" w:cs="Arial"/>
        </w:rPr>
      </w:pPr>
    </w:p>
    <w:p w14:paraId="30F3BA02" w14:textId="77777777" w:rsidR="00037037" w:rsidRPr="00037037" w:rsidRDefault="00037037" w:rsidP="00D202E7">
      <w:pPr>
        <w:rPr>
          <w:rFonts w:eastAsia="Aptos" w:cs="Arial"/>
        </w:rPr>
      </w:pPr>
      <w:r w:rsidRPr="00037037">
        <w:rPr>
          <w:rFonts w:eastAsia="Aptos" w:cs="Arial"/>
        </w:rPr>
        <w:t>Details of the NHS services which affect the need for pharmaceutical services can be found in chapter six.</w:t>
      </w:r>
    </w:p>
    <w:p w14:paraId="5E660EE4" w14:textId="77777777" w:rsidR="004D24D2" w:rsidRDefault="004D24D2" w:rsidP="00D202E7">
      <w:pPr>
        <w:rPr>
          <w:rFonts w:eastAsia="Aptos" w:cs="Arial"/>
          <w:b/>
          <w:bCs/>
        </w:rPr>
      </w:pPr>
    </w:p>
    <w:p w14:paraId="1986D134" w14:textId="77777777" w:rsidR="004D24D2" w:rsidRDefault="004D24D2" w:rsidP="00D202E7">
      <w:pPr>
        <w:rPr>
          <w:rFonts w:eastAsia="Aptos" w:cs="Arial"/>
          <w:b/>
          <w:bCs/>
        </w:rPr>
      </w:pPr>
    </w:p>
    <w:p w14:paraId="01AF2110" w14:textId="77777777" w:rsidR="004D24D2" w:rsidRDefault="004D24D2" w:rsidP="00D202E7">
      <w:pPr>
        <w:rPr>
          <w:rFonts w:eastAsia="Aptos" w:cs="Arial"/>
          <w:b/>
          <w:bCs/>
        </w:rPr>
      </w:pPr>
    </w:p>
    <w:p w14:paraId="67FA3FA5" w14:textId="77777777" w:rsidR="004D24D2" w:rsidRPr="00037037" w:rsidRDefault="004D24D2" w:rsidP="00D202E7">
      <w:pPr>
        <w:rPr>
          <w:rFonts w:eastAsia="Aptos" w:cs="Arial"/>
          <w:b/>
          <w:bCs/>
        </w:rPr>
      </w:pPr>
    </w:p>
    <w:p w14:paraId="08FA1BD1" w14:textId="77777777" w:rsidR="00037037" w:rsidRPr="00037037" w:rsidRDefault="00037037" w:rsidP="00D202E7">
      <w:pPr>
        <w:rPr>
          <w:rFonts w:eastAsia="Aptos" w:cs="Arial"/>
          <w:b/>
          <w:bCs/>
          <w:sz w:val="26"/>
          <w:szCs w:val="26"/>
        </w:rPr>
      </w:pPr>
      <w:r w:rsidRPr="00037037">
        <w:rPr>
          <w:rFonts w:eastAsia="Aptos" w:cs="Arial"/>
          <w:b/>
          <w:bCs/>
          <w:sz w:val="26"/>
          <w:szCs w:val="26"/>
        </w:rPr>
        <w:lastRenderedPageBreak/>
        <w:t>8.6 Choice with regard to obtaining pharmaceutical services</w:t>
      </w:r>
    </w:p>
    <w:p w14:paraId="7E09D080" w14:textId="77777777" w:rsidR="00037037" w:rsidRPr="00037037" w:rsidRDefault="00037037" w:rsidP="00D202E7">
      <w:pPr>
        <w:rPr>
          <w:rFonts w:eastAsia="Aptos" w:cs="Arial"/>
        </w:rPr>
      </w:pPr>
    </w:p>
    <w:p w14:paraId="5990CBD0" w14:textId="77777777" w:rsidR="00037037" w:rsidRPr="00037037" w:rsidRDefault="00037037" w:rsidP="00D202E7">
      <w:pPr>
        <w:rPr>
          <w:rFonts w:eastAsia="Times New Roman" w:cs="Arial"/>
          <w:kern w:val="0"/>
          <w:lang w:eastAsia="en-GB"/>
          <w14:ligatures w14:val="none"/>
        </w:rPr>
      </w:pPr>
      <w:r w:rsidRPr="00037037">
        <w:rPr>
          <w:rFonts w:eastAsia="Aptos" w:cs="Arial"/>
        </w:rPr>
        <w:t>As can be seen from sections 8.3 and 8.4, those living within the locality and registered with one of the GP practices generally choose to access one of the pharmacies in the locality in order to have their prescriptions dispensed.</w:t>
      </w:r>
      <w:r w:rsidRPr="00037037">
        <w:rPr>
          <w:rFonts w:eastAsia="Times New Roman" w:cs="Arial"/>
          <w:kern w:val="0"/>
          <w:lang w:eastAsia="en-GB"/>
          <w14:ligatures w14:val="none"/>
        </w:rPr>
        <w:t xml:space="preserve"> Those that look outside the locality usually do so to access a neighbouring pharmacy within the health board’s area. A minority choose to have their prescription dispensed by a pharmacy or an appliance contractor outside of the health board’s area. </w:t>
      </w:r>
    </w:p>
    <w:p w14:paraId="22E7DA95" w14:textId="77777777" w:rsidR="00037037" w:rsidRPr="00037037" w:rsidRDefault="00037037" w:rsidP="00D202E7">
      <w:pPr>
        <w:rPr>
          <w:rFonts w:eastAsia="Times New Roman" w:cs="Arial"/>
          <w:kern w:val="0"/>
          <w:lang w:val="en-US" w:eastAsia="en-GB"/>
          <w14:ligatures w14:val="none"/>
        </w:rPr>
      </w:pPr>
    </w:p>
    <w:p w14:paraId="33B94ECF" w14:textId="77777777" w:rsidR="00037037" w:rsidRPr="00037037" w:rsidRDefault="00037037" w:rsidP="00D202E7">
      <w:pPr>
        <w:rPr>
          <w:rFonts w:eastAsia="Times New Roman" w:cs="Arial"/>
          <w:kern w:val="0"/>
          <w:lang w:val="en-US" w:eastAsia="en-GB"/>
          <w14:ligatures w14:val="none"/>
        </w:rPr>
      </w:pPr>
      <w:r w:rsidRPr="00037037">
        <w:rPr>
          <w:rFonts w:eastAsia="Times New Roman" w:cs="Arial"/>
          <w:kern w:val="0"/>
          <w:lang w:val="en-US" w:eastAsia="en-GB"/>
          <w14:ligatures w14:val="none"/>
        </w:rPr>
        <w:t xml:space="preserve">A total of 387 contractors that were trading in Wales during 2024/25, dispensed items written by one of the GP practices in the locality, of which 296 were outside of the health board’s area. 10,142 prescription items were dispensed in England. </w:t>
      </w:r>
    </w:p>
    <w:p w14:paraId="67113C61" w14:textId="77777777" w:rsidR="00037037" w:rsidRPr="00037037" w:rsidRDefault="00037037" w:rsidP="00D202E7">
      <w:pPr>
        <w:rPr>
          <w:rFonts w:eastAsia="Times New Roman" w:cs="Arial"/>
          <w:kern w:val="0"/>
          <w:lang w:val="en-US" w:eastAsia="en-GB"/>
          <w14:ligatures w14:val="none"/>
        </w:rPr>
      </w:pPr>
    </w:p>
    <w:p w14:paraId="1B4645A2" w14:textId="77777777" w:rsidR="00037037" w:rsidRPr="00037037" w:rsidRDefault="00037037" w:rsidP="00D202E7">
      <w:pPr>
        <w:rPr>
          <w:rFonts w:eastAsia="Times New Roman" w:cs="Arial"/>
          <w:kern w:val="0"/>
          <w:lang w:val="en-US" w:eastAsia="en-GB"/>
          <w14:ligatures w14:val="none"/>
        </w:rPr>
      </w:pPr>
      <w:r w:rsidRPr="00037037">
        <w:rPr>
          <w:rFonts w:eastAsia="Times New Roman" w:cs="Arial"/>
          <w:kern w:val="0"/>
          <w:lang w:val="en-US" w:eastAsia="en-GB"/>
          <w14:ligatures w14:val="none"/>
        </w:rPr>
        <w:t xml:space="preserve">A total of 328 contractors that were trading in Wales during 2025/26 (up to December 2025), dispensed items written by one of the GP practices in the locality, of which 239 were outside of the health board’s area. 7,397 prescription items were dispensed in England. </w:t>
      </w:r>
    </w:p>
    <w:p w14:paraId="71EA1D02" w14:textId="77777777" w:rsidR="00037037" w:rsidRPr="00037037" w:rsidRDefault="00037037" w:rsidP="00D202E7">
      <w:pPr>
        <w:rPr>
          <w:rFonts w:eastAsia="Aptos" w:cs="Arial"/>
          <w:b/>
          <w:bCs/>
        </w:rPr>
      </w:pPr>
    </w:p>
    <w:p w14:paraId="3D67C8AB" w14:textId="77777777" w:rsidR="00037037" w:rsidRPr="00037037" w:rsidRDefault="00037037" w:rsidP="00D202E7">
      <w:pPr>
        <w:rPr>
          <w:rFonts w:eastAsia="Aptos" w:cs="Arial"/>
          <w:b/>
          <w:bCs/>
          <w:sz w:val="26"/>
          <w:szCs w:val="26"/>
        </w:rPr>
      </w:pPr>
      <w:r w:rsidRPr="00037037">
        <w:rPr>
          <w:rFonts w:eastAsia="Aptos" w:cs="Arial"/>
          <w:b/>
          <w:bCs/>
          <w:sz w:val="26"/>
          <w:szCs w:val="26"/>
        </w:rPr>
        <w:t xml:space="preserve">8.7 Housing developments </w:t>
      </w:r>
    </w:p>
    <w:p w14:paraId="518A142C" w14:textId="77777777" w:rsidR="00037037" w:rsidRPr="00037037" w:rsidRDefault="00037037" w:rsidP="00D202E7">
      <w:pPr>
        <w:rPr>
          <w:rFonts w:eastAsia="Aptos" w:cs="Arial"/>
        </w:rPr>
      </w:pPr>
    </w:p>
    <w:p w14:paraId="3934C3D6" w14:textId="77777777" w:rsidR="00037037" w:rsidRPr="00037037" w:rsidRDefault="00037037" w:rsidP="00D202E7">
      <w:pPr>
        <w:rPr>
          <w:rFonts w:eastAsia="Aptos" w:cs="Arial"/>
        </w:rPr>
      </w:pPr>
      <w:r w:rsidRPr="00037037">
        <w:rPr>
          <w:rFonts w:eastAsia="Aptos" w:cs="Arial"/>
        </w:rPr>
        <w:t>Work is underway in preparing a new local development plan for Swansea which will cover the period 2023 to 2038. The following strategic regeneration and placemaking areas are expected to be included in the plan period and the estimated capacity for new housing provision is set out below although this is subject to further detailed assessment so may change as the plan is finalised.</w:t>
      </w:r>
    </w:p>
    <w:p w14:paraId="3849B924" w14:textId="77777777" w:rsidR="00037037" w:rsidRPr="00037037" w:rsidRDefault="00037037" w:rsidP="00D202E7">
      <w:pPr>
        <w:rPr>
          <w:rFonts w:eastAsia="Aptos" w:cs="Arial"/>
        </w:rPr>
      </w:pPr>
    </w:p>
    <w:p w14:paraId="7F507018" w14:textId="77777777" w:rsidR="00037037" w:rsidRPr="00037037" w:rsidRDefault="00037037" w:rsidP="00B76905">
      <w:pPr>
        <w:numPr>
          <w:ilvl w:val="0"/>
          <w:numId w:val="153"/>
        </w:numPr>
        <w:contextualSpacing/>
        <w:rPr>
          <w:rFonts w:eastAsia="Aptos" w:cs="Arial"/>
        </w:rPr>
      </w:pPr>
      <w:r w:rsidRPr="00037037">
        <w:rPr>
          <w:rFonts w:eastAsia="Aptos" w:cs="Arial"/>
        </w:rPr>
        <w:t>Cefn Coed Hospital, Cockett – 170 dwellings. Assuming an average occupancy rate of 2.5 this equates to 425 people.</w:t>
      </w:r>
    </w:p>
    <w:p w14:paraId="4BE936A3" w14:textId="77777777" w:rsidR="00037037" w:rsidRPr="00037037" w:rsidRDefault="00037037" w:rsidP="00B76905">
      <w:pPr>
        <w:numPr>
          <w:ilvl w:val="0"/>
          <w:numId w:val="153"/>
        </w:numPr>
        <w:contextualSpacing/>
        <w:rPr>
          <w:rFonts w:eastAsia="Aptos" w:cs="Arial"/>
        </w:rPr>
      </w:pPr>
      <w:r w:rsidRPr="00037037">
        <w:rPr>
          <w:rFonts w:eastAsia="Aptos" w:cs="Arial"/>
        </w:rPr>
        <w:t>Waunarlwydd/Fforestfach – 500 dwellings. Assuming an average occupancy rate of 2.5 this equates to 1,250 people. This site also falls within Penderi locality.</w:t>
      </w:r>
    </w:p>
    <w:p w14:paraId="4CE1F709" w14:textId="77777777" w:rsidR="00037037" w:rsidRPr="00037037" w:rsidRDefault="00037037" w:rsidP="00D202E7">
      <w:pPr>
        <w:rPr>
          <w:rFonts w:eastAsia="Aptos" w:cs="Arial"/>
        </w:rPr>
      </w:pPr>
    </w:p>
    <w:p w14:paraId="13CEFCB9" w14:textId="77777777" w:rsidR="00037037" w:rsidRPr="00037037" w:rsidRDefault="00037037" w:rsidP="00D202E7">
      <w:pPr>
        <w:rPr>
          <w:rFonts w:eastAsia="Aptos" w:cs="Arial"/>
          <w:b/>
          <w:bCs/>
          <w:sz w:val="26"/>
          <w:szCs w:val="26"/>
        </w:rPr>
      </w:pPr>
      <w:r w:rsidRPr="00037037">
        <w:rPr>
          <w:rFonts w:eastAsia="Aptos" w:cs="Arial"/>
          <w:b/>
          <w:bCs/>
          <w:sz w:val="26"/>
          <w:szCs w:val="26"/>
        </w:rPr>
        <w:t>8.8 Gaps in provision</w:t>
      </w:r>
    </w:p>
    <w:p w14:paraId="06C200A1" w14:textId="77777777" w:rsidR="00037037" w:rsidRPr="00037037" w:rsidRDefault="00037037" w:rsidP="00D202E7">
      <w:pPr>
        <w:rPr>
          <w:rFonts w:eastAsia="Aptos" w:cs="Arial"/>
        </w:rPr>
      </w:pPr>
    </w:p>
    <w:p w14:paraId="5B9ED589" w14:textId="77777777" w:rsidR="00037037" w:rsidRPr="00037037" w:rsidRDefault="00037037" w:rsidP="00D202E7">
      <w:pPr>
        <w:rPr>
          <w:rFonts w:eastAsia="Aptos" w:cs="Arial"/>
        </w:rPr>
      </w:pPr>
      <w:r w:rsidRPr="00037037">
        <w:rPr>
          <w:rFonts w:eastAsia="Aptos" w:cs="Arial"/>
        </w:rPr>
        <w:t>When considering if there are any gaps in the provision of pharmaceutical services the health board has noted that of the pharmacies in the locality:</w:t>
      </w:r>
    </w:p>
    <w:p w14:paraId="7772D9AF" w14:textId="77777777" w:rsidR="00037037" w:rsidRPr="00037037" w:rsidRDefault="00037037" w:rsidP="00D202E7">
      <w:pPr>
        <w:rPr>
          <w:rFonts w:eastAsia="Aptos" w:cs="Arial"/>
        </w:rPr>
      </w:pPr>
    </w:p>
    <w:p w14:paraId="0C160484" w14:textId="77777777" w:rsidR="00037037" w:rsidRPr="00037037" w:rsidRDefault="00037037" w:rsidP="00B76905">
      <w:pPr>
        <w:numPr>
          <w:ilvl w:val="0"/>
          <w:numId w:val="154"/>
        </w:numPr>
        <w:contextualSpacing/>
        <w:rPr>
          <w:rFonts w:eastAsia="Aptos" w:cs="Arial"/>
        </w:rPr>
      </w:pPr>
      <w:r w:rsidRPr="00037037">
        <w:rPr>
          <w:rFonts w:eastAsia="Aptos" w:cs="Arial"/>
        </w:rPr>
        <w:t>13 pharmacies have sufficient capacity within their premises to manage an increase in demand, one doesn’t but could make adjustments, and one doesn’t have sufficient capacity and would have difficulty in managing an increase in demand.</w:t>
      </w:r>
    </w:p>
    <w:p w14:paraId="43B7EBD5" w14:textId="77777777" w:rsidR="00037037" w:rsidRPr="00037037" w:rsidRDefault="00037037" w:rsidP="00B76905">
      <w:pPr>
        <w:numPr>
          <w:ilvl w:val="0"/>
          <w:numId w:val="154"/>
        </w:numPr>
        <w:contextualSpacing/>
        <w:rPr>
          <w:rFonts w:eastAsia="Aptos" w:cs="Arial"/>
        </w:rPr>
      </w:pPr>
      <w:r w:rsidRPr="00037037">
        <w:rPr>
          <w:rFonts w:eastAsia="Aptos" w:cs="Arial"/>
        </w:rPr>
        <w:t>14 pharmacies have sufficient capacity within their staffing levels to manage an increase in demand, and one doesn’t but could make adjustments.</w:t>
      </w:r>
    </w:p>
    <w:p w14:paraId="01DF26D8" w14:textId="77777777" w:rsidR="00037037" w:rsidRPr="00037037" w:rsidRDefault="00037037" w:rsidP="00D202E7">
      <w:pPr>
        <w:rPr>
          <w:rFonts w:eastAsia="Aptos" w:cs="Arial"/>
        </w:rPr>
      </w:pPr>
    </w:p>
    <w:p w14:paraId="68E1E57D" w14:textId="77777777" w:rsidR="00037037" w:rsidRPr="00037037" w:rsidRDefault="00037037" w:rsidP="00D202E7">
      <w:pPr>
        <w:rPr>
          <w:rFonts w:eastAsia="Times New Roman" w:cs="Arial"/>
          <w:b/>
          <w:kern w:val="0"/>
          <w:lang w:val="en-US" w:eastAsia="en-GB"/>
          <w14:ligatures w14:val="none"/>
        </w:rPr>
      </w:pPr>
      <w:r w:rsidRPr="00037037">
        <w:rPr>
          <w:rFonts w:eastAsia="Times New Roman" w:cs="Arial"/>
          <w:b/>
          <w:kern w:val="0"/>
          <w:lang w:val="en-US" w:eastAsia="en-GB"/>
          <w14:ligatures w14:val="none"/>
        </w:rPr>
        <w:t>8.8.1 Essential services</w:t>
      </w:r>
    </w:p>
    <w:p w14:paraId="3D2DCF05" w14:textId="77777777" w:rsidR="00037037" w:rsidRPr="00037037" w:rsidRDefault="00037037" w:rsidP="00D202E7">
      <w:pPr>
        <w:rPr>
          <w:rFonts w:eastAsia="Times New Roman" w:cs="Arial"/>
          <w:b/>
          <w:kern w:val="0"/>
          <w:lang w:val="en-US" w:eastAsia="en-GB"/>
          <w14:ligatures w14:val="none"/>
        </w:rPr>
      </w:pPr>
    </w:p>
    <w:p w14:paraId="216BBECC" w14:textId="77777777" w:rsidR="00037037" w:rsidRPr="00037037" w:rsidRDefault="00037037" w:rsidP="00D202E7">
      <w:pPr>
        <w:textAlignment w:val="baseline"/>
        <w:rPr>
          <w:rFonts w:eastAsia="Times New Roman" w:cs="Arial"/>
          <w:kern w:val="0"/>
          <w:lang w:eastAsia="en-GB"/>
          <w14:ligatures w14:val="none"/>
        </w:rPr>
      </w:pPr>
      <w:r w:rsidRPr="00037037">
        <w:rPr>
          <w:rFonts w:eastAsia="Times New Roman" w:cs="Arial"/>
          <w:kern w:val="0"/>
          <w:lang w:eastAsia="en-GB"/>
          <w14:ligatures w14:val="none"/>
        </w:rPr>
        <w:t>The health board has noted: </w:t>
      </w:r>
    </w:p>
    <w:p w14:paraId="3D8352A1" w14:textId="77777777" w:rsidR="00037037" w:rsidRPr="00037037" w:rsidRDefault="00037037" w:rsidP="00D202E7">
      <w:pPr>
        <w:textAlignment w:val="baseline"/>
        <w:rPr>
          <w:rFonts w:eastAsia="Times New Roman" w:cs="Arial"/>
          <w:kern w:val="0"/>
          <w:lang w:eastAsia="en-GB"/>
          <w14:ligatures w14:val="none"/>
        </w:rPr>
      </w:pPr>
      <w:r w:rsidRPr="00037037">
        <w:rPr>
          <w:rFonts w:eastAsia="Times New Roman" w:cs="Arial"/>
          <w:kern w:val="0"/>
          <w:lang w:eastAsia="en-GB"/>
          <w14:ligatures w14:val="none"/>
        </w:rPr>
        <w:t> </w:t>
      </w:r>
    </w:p>
    <w:p w14:paraId="7205BF01" w14:textId="77777777" w:rsidR="00037037" w:rsidRPr="00037037" w:rsidRDefault="00037037" w:rsidP="00B76905">
      <w:pPr>
        <w:numPr>
          <w:ilvl w:val="0"/>
          <w:numId w:val="155"/>
        </w:numPr>
        <w:contextualSpacing/>
        <w:rPr>
          <w:rFonts w:eastAsia="Times New Roman" w:cs="Arial"/>
          <w:kern w:val="0"/>
          <w:lang w:eastAsia="en-GB"/>
          <w14:ligatures w14:val="none"/>
        </w:rPr>
      </w:pPr>
      <w:r w:rsidRPr="00037037">
        <w:rPr>
          <w:rFonts w:eastAsia="Times New Roman" w:cs="Arial"/>
          <w:kern w:val="0"/>
          <w:lang w:eastAsia="en-GB"/>
          <w14:ligatures w14:val="none"/>
        </w:rPr>
        <w:t xml:space="preserve">The location of pharmacies across the locality and the fact residents are able to access a pharmacy by car within 20 minutes. Whilst noting that not all </w:t>
      </w:r>
      <w:r w:rsidRPr="00037037">
        <w:rPr>
          <w:rFonts w:eastAsia="Times New Roman" w:cs="Arial"/>
          <w:kern w:val="0"/>
          <w:lang w:eastAsia="en-GB"/>
          <w14:ligatures w14:val="none"/>
        </w:rPr>
        <w:lastRenderedPageBreak/>
        <w:t xml:space="preserve">households have access to a car throughout the day, the nature of the locality means that walking to a pharmacy will be a realistic option for many residents and regular public transport services are available for those who are unable to undertake the whole journey on foot. </w:t>
      </w:r>
    </w:p>
    <w:p w14:paraId="617D855E" w14:textId="77777777" w:rsidR="00037037" w:rsidRPr="00037037" w:rsidRDefault="00037037" w:rsidP="00B76905">
      <w:pPr>
        <w:numPr>
          <w:ilvl w:val="0"/>
          <w:numId w:val="155"/>
        </w:numPr>
        <w:contextualSpacing/>
        <w:rPr>
          <w:rFonts w:eastAsia="Times New Roman" w:cs="Arial"/>
          <w:kern w:val="0"/>
          <w:lang w:eastAsia="en-GB"/>
          <w14:ligatures w14:val="none"/>
        </w:rPr>
      </w:pPr>
      <w:r w:rsidRPr="00037037">
        <w:rPr>
          <w:rFonts w:eastAsia="Times New Roman" w:cs="Arial"/>
          <w:kern w:val="0"/>
          <w:lang w:eastAsia="en-GB"/>
          <w14:ligatures w14:val="none"/>
        </w:rPr>
        <w:t xml:space="preserve">The scale of the known housing developments. </w:t>
      </w:r>
    </w:p>
    <w:p w14:paraId="277258AB" w14:textId="77777777" w:rsidR="00037037" w:rsidRPr="00037037" w:rsidRDefault="00037037" w:rsidP="00B76905">
      <w:pPr>
        <w:numPr>
          <w:ilvl w:val="0"/>
          <w:numId w:val="155"/>
        </w:numPr>
        <w:textAlignment w:val="baseline"/>
        <w:rPr>
          <w:rFonts w:eastAsia="Times New Roman" w:cs="Arial"/>
          <w:kern w:val="0"/>
          <w:lang w:eastAsia="en-GB"/>
          <w14:ligatures w14:val="none"/>
        </w:rPr>
      </w:pPr>
      <w:r w:rsidRPr="00037037">
        <w:rPr>
          <w:rFonts w:eastAsia="Times New Roman" w:cs="Arial"/>
          <w:kern w:val="0"/>
          <w:lang w:eastAsia="en-GB"/>
          <w14:ligatures w14:val="none"/>
        </w:rPr>
        <w:t>The opening hours of the pharmacies.</w:t>
      </w:r>
    </w:p>
    <w:p w14:paraId="68C052B6" w14:textId="77777777" w:rsidR="00037037" w:rsidRPr="00037037" w:rsidRDefault="00037037" w:rsidP="00D202E7">
      <w:pPr>
        <w:contextualSpacing/>
        <w:rPr>
          <w:rFonts w:eastAsia="Times New Roman" w:cs="Arial"/>
          <w:kern w:val="0"/>
          <w:lang w:eastAsia="en-GB"/>
          <w14:ligatures w14:val="none"/>
        </w:rPr>
      </w:pPr>
    </w:p>
    <w:p w14:paraId="353211F8" w14:textId="77777777" w:rsidR="00037037" w:rsidRPr="00037037" w:rsidRDefault="00037037" w:rsidP="00D202E7">
      <w:pPr>
        <w:contextualSpacing/>
        <w:rPr>
          <w:rFonts w:eastAsia="Times New Roman" w:cs="Arial"/>
          <w:kern w:val="0"/>
          <w:lang w:eastAsia="en-GB"/>
          <w14:ligatures w14:val="none"/>
        </w:rPr>
      </w:pPr>
      <w:r w:rsidRPr="00037037">
        <w:rPr>
          <w:rFonts w:eastAsia="Times New Roman" w:cs="Arial"/>
          <w:kern w:val="0"/>
          <w:lang w:eastAsia="en-GB"/>
          <w14:ligatures w14:val="none"/>
        </w:rPr>
        <w:t>The health board has not identified any current gaps in the provision of the essential services.</w:t>
      </w:r>
    </w:p>
    <w:p w14:paraId="5CE8289D" w14:textId="77777777" w:rsidR="00037037" w:rsidRPr="00037037" w:rsidRDefault="00037037" w:rsidP="00D202E7">
      <w:pPr>
        <w:contextualSpacing/>
        <w:rPr>
          <w:rFonts w:eastAsia="Times New Roman" w:cs="Arial"/>
          <w:kern w:val="0"/>
          <w:lang w:eastAsia="en-GB"/>
          <w14:ligatures w14:val="none"/>
        </w:rPr>
      </w:pPr>
    </w:p>
    <w:p w14:paraId="516B00DA" w14:textId="77777777" w:rsidR="00037037" w:rsidRPr="00037037" w:rsidRDefault="00037037" w:rsidP="00D202E7">
      <w:pPr>
        <w:contextualSpacing/>
        <w:rPr>
          <w:rFonts w:eastAsia="Times New Roman" w:cs="Arial"/>
          <w:kern w:val="0"/>
          <w:lang w:eastAsia="en-GB"/>
          <w14:ligatures w14:val="none"/>
        </w:rPr>
      </w:pPr>
      <w:r w:rsidRPr="00037037">
        <w:rPr>
          <w:rFonts w:eastAsia="Times New Roman" w:cs="Arial"/>
          <w:kern w:val="0"/>
          <w:lang w:eastAsia="en-GB"/>
          <w14:ligatures w14:val="none"/>
        </w:rPr>
        <w:t>The health board has considered the known housing developments that will deliver housing in the locality during the lifetime of this document. It is satisfied that the need for essential services by those moving into the new housing will be met by the existing pharmacies.</w:t>
      </w:r>
    </w:p>
    <w:p w14:paraId="110C81AA" w14:textId="77777777" w:rsidR="00037037" w:rsidRPr="00037037" w:rsidRDefault="00037037" w:rsidP="00D202E7">
      <w:pPr>
        <w:contextualSpacing/>
        <w:rPr>
          <w:rFonts w:eastAsia="Times New Roman" w:cs="Arial"/>
          <w:kern w:val="0"/>
          <w:lang w:eastAsia="en-GB"/>
          <w14:ligatures w14:val="none"/>
        </w:rPr>
      </w:pPr>
    </w:p>
    <w:p w14:paraId="27D721C3" w14:textId="77777777" w:rsidR="00037037" w:rsidRPr="00037037" w:rsidRDefault="00037037" w:rsidP="00D202E7">
      <w:pPr>
        <w:contextualSpacing/>
        <w:rPr>
          <w:rFonts w:eastAsia="Times New Roman" w:cs="Arial"/>
          <w:b/>
          <w:bCs/>
          <w:kern w:val="0"/>
          <w:lang w:eastAsia="en-GB"/>
          <w14:ligatures w14:val="none"/>
        </w:rPr>
      </w:pPr>
      <w:r w:rsidRPr="00037037">
        <w:rPr>
          <w:rFonts w:eastAsia="Times New Roman" w:cs="Arial"/>
          <w:b/>
          <w:bCs/>
          <w:kern w:val="0"/>
          <w:lang w:eastAsia="en-GB"/>
          <w14:ligatures w14:val="none"/>
        </w:rPr>
        <w:t>8.8.2 National community pharmacy and appliance contractor services</w:t>
      </w:r>
    </w:p>
    <w:p w14:paraId="033708DD" w14:textId="77777777" w:rsidR="00037037" w:rsidRPr="00037037" w:rsidRDefault="00037037" w:rsidP="00D202E7">
      <w:pPr>
        <w:contextualSpacing/>
        <w:rPr>
          <w:rFonts w:eastAsia="Times New Roman" w:cs="Arial"/>
          <w:kern w:val="0"/>
          <w:lang w:eastAsia="en-GB"/>
          <w14:ligatures w14:val="none"/>
        </w:rPr>
      </w:pPr>
    </w:p>
    <w:p w14:paraId="715BC3A6"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8.8.2.1 Appliance use review service</w:t>
      </w:r>
    </w:p>
    <w:p w14:paraId="686DAE71" w14:textId="77777777" w:rsidR="00037037" w:rsidRPr="00037037" w:rsidRDefault="00037037" w:rsidP="00D202E7">
      <w:pPr>
        <w:rPr>
          <w:rFonts w:eastAsia="Times New Roman" w:cs="Arial"/>
          <w:b/>
          <w:bCs/>
          <w:kern w:val="0"/>
          <w:lang w:eastAsia="en-GB"/>
          <w14:ligatures w14:val="none"/>
        </w:rPr>
      </w:pPr>
    </w:p>
    <w:p w14:paraId="52CA0EA0"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The health board has noted none of the pharmacies have signed up to provide this service. However, there are four dispensing appliance contractors in Cardiff and Vale University Health Board’s area which dispensed 0.1% of the items prescribed by GPs in the locality in 2024/25 and 2025/26. One of these contractors provides this service. In addition, of the items dispensed in England in 2024/25, 84.3% were dispensed by dispensing appliance contractors, and 83.5% in the first nine months of 2025/26. </w:t>
      </w:r>
    </w:p>
    <w:p w14:paraId="2C9FE758" w14:textId="77777777" w:rsidR="00037037" w:rsidRPr="00037037" w:rsidRDefault="00037037" w:rsidP="00D202E7">
      <w:pPr>
        <w:rPr>
          <w:rFonts w:eastAsia="Times New Roman" w:cs="Arial"/>
          <w:kern w:val="0"/>
          <w:lang w:eastAsia="en-GB"/>
          <w14:ligatures w14:val="none"/>
        </w:rPr>
      </w:pPr>
    </w:p>
    <w:p w14:paraId="0D7ADEEF"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Individuals requiring the appliance use review service are likely to access this service from the contractor that dispenses their prescriptions for appliances or may access it from other healthcare providers such as stoma nurses.</w:t>
      </w:r>
    </w:p>
    <w:p w14:paraId="3DC720A2" w14:textId="77777777" w:rsidR="00037037" w:rsidRPr="00037037" w:rsidRDefault="00037037" w:rsidP="00D202E7">
      <w:pPr>
        <w:rPr>
          <w:rFonts w:eastAsia="Times New Roman" w:cs="Arial"/>
          <w:kern w:val="0"/>
          <w:lang w:eastAsia="en-GB"/>
          <w14:ligatures w14:val="none"/>
        </w:rPr>
      </w:pPr>
    </w:p>
    <w:p w14:paraId="1B3BCE55"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Based on the above, the health board has not identified any current or future needs for this service within the locality.</w:t>
      </w:r>
    </w:p>
    <w:p w14:paraId="6067406F" w14:textId="77777777" w:rsidR="00037037" w:rsidRPr="00D0306F" w:rsidRDefault="00037037" w:rsidP="00D202E7">
      <w:pPr>
        <w:rPr>
          <w:rFonts w:eastAsia="Times New Roman" w:cs="Arial"/>
          <w:kern w:val="0"/>
          <w:lang w:eastAsia="en-GB"/>
          <w14:ligatures w14:val="none"/>
        </w:rPr>
      </w:pPr>
    </w:p>
    <w:p w14:paraId="741FCCF2"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8.8.2.2 Clinical community pharmacy service</w:t>
      </w:r>
    </w:p>
    <w:p w14:paraId="03064BF7" w14:textId="77777777" w:rsidR="00037037" w:rsidRPr="00037037" w:rsidRDefault="00037037" w:rsidP="00D202E7">
      <w:pPr>
        <w:rPr>
          <w:rFonts w:eastAsia="Times New Roman" w:cs="Arial"/>
          <w:kern w:val="0"/>
          <w:lang w:eastAsia="en-GB"/>
          <w14:ligatures w14:val="none"/>
        </w:rPr>
      </w:pPr>
    </w:p>
    <w:p w14:paraId="239CF383"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The health board has noted all the pharmacies have signed up and provide this service. As a result, the health board has not identified any current or future needs for this service within the locality.</w:t>
      </w:r>
    </w:p>
    <w:p w14:paraId="5736A595" w14:textId="77777777" w:rsidR="00037037" w:rsidRPr="00037037" w:rsidRDefault="00037037" w:rsidP="00D202E7">
      <w:pPr>
        <w:contextualSpacing/>
        <w:rPr>
          <w:rFonts w:eastAsia="Times New Roman" w:cs="Arial"/>
          <w:kern w:val="0"/>
          <w:lang w:eastAsia="en-GB"/>
          <w14:ligatures w14:val="none"/>
        </w:rPr>
      </w:pPr>
    </w:p>
    <w:p w14:paraId="667B306D"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 xml:space="preserve">8.8.2.3 Discharge medicines review service </w:t>
      </w:r>
    </w:p>
    <w:p w14:paraId="1EFDA3A3" w14:textId="77777777" w:rsidR="00037037" w:rsidRPr="00037037" w:rsidRDefault="00037037" w:rsidP="00D202E7">
      <w:pPr>
        <w:rPr>
          <w:rFonts w:eastAsia="Times New Roman" w:cs="Arial"/>
          <w:b/>
          <w:bCs/>
          <w:kern w:val="0"/>
          <w:lang w:eastAsia="en-GB"/>
          <w14:ligatures w14:val="none"/>
        </w:rPr>
      </w:pPr>
    </w:p>
    <w:p w14:paraId="037B561F"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The health board has noted all the pharmacies have signed up and provide this service. As a result, the health board has not identified any current or future needs for this service within the locality.</w:t>
      </w:r>
    </w:p>
    <w:p w14:paraId="2DA395B1" w14:textId="77777777" w:rsidR="00037037" w:rsidRPr="00037037" w:rsidRDefault="00037037" w:rsidP="00D202E7">
      <w:pPr>
        <w:ind w:left="360"/>
        <w:rPr>
          <w:rFonts w:eastAsia="Times New Roman" w:cs="Arial"/>
          <w:kern w:val="0"/>
          <w:lang w:eastAsia="en-GB"/>
          <w14:ligatures w14:val="none"/>
        </w:rPr>
      </w:pPr>
    </w:p>
    <w:p w14:paraId="77B26424"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8.8.2.4 Influenza vaccination service</w:t>
      </w:r>
    </w:p>
    <w:p w14:paraId="3702BB43" w14:textId="77777777" w:rsidR="004D24D2" w:rsidRDefault="004D24D2" w:rsidP="00D202E7">
      <w:pPr>
        <w:rPr>
          <w:rFonts w:eastAsia="Times New Roman" w:cs="Arial"/>
          <w:kern w:val="0"/>
          <w:lang w:eastAsia="en-GB"/>
          <w14:ligatures w14:val="none"/>
        </w:rPr>
      </w:pPr>
    </w:p>
    <w:p w14:paraId="3B470073" w14:textId="4FB6E883" w:rsidR="004D24D2"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The health board has noted all the pharmacies have signed up and provide this </w:t>
      </w:r>
    </w:p>
    <w:p w14:paraId="5E96869C" w14:textId="77777777" w:rsidR="004D24D2" w:rsidRDefault="004D24D2" w:rsidP="00D202E7">
      <w:pPr>
        <w:rPr>
          <w:rFonts w:eastAsia="Times New Roman" w:cs="Arial"/>
          <w:kern w:val="0"/>
          <w:lang w:eastAsia="en-GB"/>
          <w14:ligatures w14:val="none"/>
        </w:rPr>
      </w:pPr>
    </w:p>
    <w:p w14:paraId="73BD7286" w14:textId="2DE8FF4A"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lastRenderedPageBreak/>
        <w:t>service. As a result, the health board has not identified any current or future needs for this service within the locality.</w:t>
      </w:r>
    </w:p>
    <w:p w14:paraId="45DF82B4" w14:textId="77777777" w:rsidR="00037037" w:rsidRPr="00037037" w:rsidRDefault="00037037" w:rsidP="00D202E7">
      <w:pPr>
        <w:ind w:left="360"/>
        <w:rPr>
          <w:rFonts w:eastAsia="Times New Roman" w:cs="Arial"/>
          <w:kern w:val="0"/>
          <w:lang w:eastAsia="en-GB"/>
          <w14:ligatures w14:val="none"/>
        </w:rPr>
      </w:pPr>
    </w:p>
    <w:p w14:paraId="2AA60F54"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8.8.2.5 Lateral flow test supply service</w:t>
      </w:r>
    </w:p>
    <w:p w14:paraId="3FA6DE7C" w14:textId="77777777" w:rsidR="00037037" w:rsidRPr="00037037" w:rsidRDefault="00037037" w:rsidP="00D202E7">
      <w:pPr>
        <w:rPr>
          <w:rFonts w:eastAsia="Times New Roman" w:cs="Arial"/>
          <w:kern w:val="0"/>
          <w:lang w:eastAsia="en-GB"/>
          <w14:ligatures w14:val="none"/>
        </w:rPr>
      </w:pPr>
    </w:p>
    <w:p w14:paraId="7FB21422"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The health board has noted 13 of the pharmacies have signed up to this service and six pharmacies provide it. It has also noted that this service is only available to specified patient groups. If a pharmacy providing the service identified a need for it, the health board would commission the service from that pharmacy. As a result, the health board has not identified any current or future needs for this service within the locality.</w:t>
      </w:r>
    </w:p>
    <w:p w14:paraId="6DBB5B6D" w14:textId="77777777" w:rsidR="00037037" w:rsidRPr="00037037" w:rsidRDefault="00037037" w:rsidP="00D202E7">
      <w:pPr>
        <w:ind w:left="360"/>
        <w:rPr>
          <w:rFonts w:eastAsia="Times New Roman" w:cs="Arial"/>
          <w:kern w:val="0"/>
          <w:lang w:eastAsia="en-GB"/>
          <w14:ligatures w14:val="none"/>
        </w:rPr>
      </w:pPr>
    </w:p>
    <w:p w14:paraId="47AF6733"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8.8.2.6 Pharmacist independent prescribing service</w:t>
      </w:r>
    </w:p>
    <w:p w14:paraId="2F16DA15" w14:textId="77777777" w:rsidR="00037037" w:rsidRPr="00037037" w:rsidRDefault="00037037" w:rsidP="00D202E7">
      <w:pPr>
        <w:rPr>
          <w:rFonts w:eastAsia="Times New Roman" w:cs="Arial"/>
          <w:kern w:val="0"/>
          <w:lang w:eastAsia="en-GB"/>
          <w14:ligatures w14:val="none"/>
        </w:rPr>
      </w:pPr>
    </w:p>
    <w:p w14:paraId="1AB92735"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The health board has noted seven of the pharmacies have signed up to provide this service and provided it in 2025/26 and that two more pharmacies have pharmacists training to become independent prescribers. </w:t>
      </w:r>
    </w:p>
    <w:p w14:paraId="4C21CBFC" w14:textId="77777777" w:rsidR="00037037" w:rsidRPr="00037037" w:rsidRDefault="00037037" w:rsidP="00D202E7">
      <w:pPr>
        <w:rPr>
          <w:rFonts w:eastAsia="Times New Roman" w:cs="Arial"/>
          <w:kern w:val="0"/>
          <w:lang w:eastAsia="en-GB"/>
          <w14:ligatures w14:val="none"/>
        </w:rPr>
      </w:pPr>
    </w:p>
    <w:p w14:paraId="479B5112"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Welsh Government’s ambition is for each pharmacy to have an independent prescriber by 2030. The health board has noted that from 2026 it is anticipated that all newly qualified pharmacists will also qualify as independent prescribers on completion of their undergraduate programme.</w:t>
      </w:r>
    </w:p>
    <w:p w14:paraId="2C82072B" w14:textId="77777777" w:rsidR="00037037" w:rsidRPr="00037037" w:rsidRDefault="00037037" w:rsidP="00D202E7">
      <w:pPr>
        <w:rPr>
          <w:rFonts w:eastAsia="Times New Roman" w:cs="Arial"/>
          <w:kern w:val="0"/>
          <w:lang w:eastAsia="en-GB"/>
          <w14:ligatures w14:val="none"/>
        </w:rPr>
      </w:pPr>
    </w:p>
    <w:p w14:paraId="1359B81E"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Noting the above, the health board is of the opinion that the remaining pharmacies will sign up to provide this service during the lifetime of this pharmaceutical needs assessment. As a result, the health board has not identified any current or future needs for this service within the locality.</w:t>
      </w:r>
    </w:p>
    <w:p w14:paraId="73F912EA" w14:textId="77777777" w:rsidR="00037037" w:rsidRPr="00037037" w:rsidRDefault="00037037" w:rsidP="00D202E7">
      <w:pPr>
        <w:ind w:left="360"/>
        <w:rPr>
          <w:rFonts w:eastAsia="Times New Roman" w:cs="Arial"/>
          <w:kern w:val="0"/>
          <w:lang w:eastAsia="en-GB"/>
          <w14:ligatures w14:val="none"/>
        </w:rPr>
      </w:pPr>
    </w:p>
    <w:p w14:paraId="355787CE"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 xml:space="preserve">8.8.2.7 Stoma appliance customisation service </w:t>
      </w:r>
    </w:p>
    <w:p w14:paraId="7A01B9C8" w14:textId="77777777" w:rsidR="00037037" w:rsidRPr="00037037" w:rsidRDefault="00037037" w:rsidP="00D202E7">
      <w:pPr>
        <w:rPr>
          <w:rFonts w:eastAsia="Times New Roman" w:cs="Arial"/>
          <w:kern w:val="0"/>
          <w:lang w:eastAsia="en-GB"/>
          <w14:ligatures w14:val="none"/>
        </w:rPr>
      </w:pPr>
    </w:p>
    <w:p w14:paraId="2F412698"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The health board has noted none of the pharmacies have signed up to provide this service and neither have the four dispensing appliance contractors Cardiff and Vale University Health Board’s area. </w:t>
      </w:r>
    </w:p>
    <w:p w14:paraId="71724F49" w14:textId="77777777" w:rsidR="00037037" w:rsidRPr="00037037" w:rsidRDefault="00037037" w:rsidP="00D202E7">
      <w:pPr>
        <w:rPr>
          <w:rFonts w:eastAsia="Times New Roman" w:cs="Arial"/>
          <w:kern w:val="0"/>
          <w:lang w:eastAsia="en-GB"/>
          <w14:ligatures w14:val="none"/>
        </w:rPr>
      </w:pPr>
    </w:p>
    <w:p w14:paraId="49589AF4"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However, of the items dispensed in England in 2024/25, 84.3% were dispensed by dispensing appliance contractors, 83.5% in the first nine months of 2025/26. </w:t>
      </w:r>
    </w:p>
    <w:p w14:paraId="673D7128" w14:textId="77777777" w:rsidR="00037037" w:rsidRPr="00037037" w:rsidRDefault="00037037" w:rsidP="00D202E7">
      <w:pPr>
        <w:rPr>
          <w:rFonts w:eastAsia="Times New Roman" w:cs="Arial"/>
          <w:kern w:val="0"/>
          <w:lang w:eastAsia="en-GB"/>
          <w14:ligatures w14:val="none"/>
        </w:rPr>
      </w:pPr>
    </w:p>
    <w:p w14:paraId="3B2B08AA"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It is therefore anticipated that these contractors will be customising stoma appliances as required before dispatching or delivering them to patients. Based on the above, the health board has not identified any current or future needs for this service within the locality.</w:t>
      </w:r>
    </w:p>
    <w:p w14:paraId="7CF82245" w14:textId="77777777" w:rsidR="00037037" w:rsidRPr="00037037" w:rsidRDefault="00037037" w:rsidP="00D202E7">
      <w:pPr>
        <w:rPr>
          <w:rFonts w:eastAsia="Times New Roman" w:cs="Arial"/>
          <w:kern w:val="0"/>
          <w:lang w:eastAsia="en-GB"/>
          <w14:ligatures w14:val="none"/>
        </w:rPr>
      </w:pPr>
    </w:p>
    <w:p w14:paraId="564799F7"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8.8.3 Additional clinical services</w:t>
      </w:r>
    </w:p>
    <w:p w14:paraId="13EA7DF6" w14:textId="77777777" w:rsidR="00037037" w:rsidRPr="00037037" w:rsidRDefault="00037037" w:rsidP="00D202E7">
      <w:pPr>
        <w:rPr>
          <w:rFonts w:eastAsia="Aptos" w:cs="Arial"/>
          <w:shd w:val="clear" w:color="auto" w:fill="FFFFFF"/>
        </w:rPr>
      </w:pPr>
    </w:p>
    <w:p w14:paraId="25EF090E"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8.8.3.1 Blood borne virus screening service</w:t>
      </w:r>
    </w:p>
    <w:p w14:paraId="5E3B2AE3" w14:textId="77777777" w:rsidR="00037037" w:rsidRPr="00037037" w:rsidRDefault="00037037" w:rsidP="00D202E7">
      <w:pPr>
        <w:rPr>
          <w:rFonts w:eastAsia="Times New Roman" w:cs="Arial"/>
          <w:kern w:val="0"/>
          <w:lang w:eastAsia="en-GB"/>
          <w14:ligatures w14:val="none"/>
        </w:rPr>
      </w:pPr>
    </w:p>
    <w:p w14:paraId="1EE92746" w14:textId="77777777" w:rsidR="00037037" w:rsidRPr="00037037" w:rsidRDefault="00037037" w:rsidP="00D202E7">
      <w:pPr>
        <w:contextualSpacing/>
        <w:rPr>
          <w:rFonts w:eastAsia="Times New Roman" w:cs="Arial"/>
          <w:kern w:val="0"/>
          <w:lang w:eastAsia="en-GB"/>
          <w14:ligatures w14:val="none"/>
        </w:rPr>
      </w:pPr>
      <w:r w:rsidRPr="00037037">
        <w:rPr>
          <w:rFonts w:eastAsia="Times New Roman" w:cs="Arial"/>
          <w:kern w:val="0"/>
          <w:lang w:eastAsia="en-GB"/>
          <w14:ligatures w14:val="none"/>
        </w:rPr>
        <w:t xml:space="preserve">The health board has noted none of the pharmacies have signed up to provide this service. However, blood borne virus screening services are available through several other providers in the health board’s area, such as sexual health clinics, GP practices, ordering online home test and post screening kits via Sexual Health Wales </w:t>
      </w:r>
      <w:r w:rsidRPr="00037037">
        <w:rPr>
          <w:rFonts w:eastAsia="Times New Roman" w:cs="Arial"/>
          <w:kern w:val="0"/>
          <w:lang w:eastAsia="en-GB"/>
          <w14:ligatures w14:val="none"/>
        </w:rPr>
        <w:lastRenderedPageBreak/>
        <w:t xml:space="preserve">or collecting screening kits from community venues across the health board. Several pharmacies across the health board hold a stock of the test and post screening kits, ensuring convenient access for those who may prefer a more discreet or flexible option. </w:t>
      </w:r>
    </w:p>
    <w:p w14:paraId="719475FA" w14:textId="77777777" w:rsidR="00037037" w:rsidRPr="00037037" w:rsidRDefault="00037037" w:rsidP="00D202E7">
      <w:pPr>
        <w:contextualSpacing/>
        <w:rPr>
          <w:rFonts w:eastAsia="Times New Roman" w:cs="Arial"/>
          <w:kern w:val="0"/>
          <w:lang w:eastAsia="en-GB"/>
          <w14:ligatures w14:val="none"/>
        </w:rPr>
      </w:pPr>
    </w:p>
    <w:p w14:paraId="677EF7F2" w14:textId="77777777" w:rsidR="00037037" w:rsidRPr="00037037" w:rsidRDefault="00037037" w:rsidP="00D202E7">
      <w:pPr>
        <w:contextualSpacing/>
        <w:rPr>
          <w:rFonts w:eastAsia="Times New Roman" w:cs="Arial"/>
          <w:kern w:val="0"/>
          <w:lang w:eastAsia="en-GB"/>
          <w14:ligatures w14:val="none"/>
        </w:rPr>
      </w:pPr>
      <w:r w:rsidRPr="00037037">
        <w:rPr>
          <w:rFonts w:eastAsia="Times New Roman" w:cs="Arial"/>
          <w:kern w:val="0"/>
          <w:lang w:eastAsia="en-GB"/>
          <w14:ligatures w14:val="none"/>
        </w:rPr>
        <w:t>Based on the above, the health board has not identified any current or future needs for this service within the locality.</w:t>
      </w:r>
    </w:p>
    <w:p w14:paraId="0CFAF022" w14:textId="77777777" w:rsidR="00037037" w:rsidRPr="00037037" w:rsidRDefault="00037037" w:rsidP="00D202E7">
      <w:pPr>
        <w:rPr>
          <w:rFonts w:eastAsia="Times New Roman" w:cs="Arial"/>
          <w:kern w:val="0"/>
          <w:lang w:eastAsia="en-GB"/>
          <w14:ligatures w14:val="none"/>
        </w:rPr>
      </w:pPr>
    </w:p>
    <w:p w14:paraId="11DB0D70"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8.8.3.2 Care home support service - Level 1 medicines management support visits</w:t>
      </w:r>
    </w:p>
    <w:p w14:paraId="1B9F474C" w14:textId="77777777" w:rsidR="00037037" w:rsidRPr="00037037" w:rsidRDefault="00037037" w:rsidP="00D202E7">
      <w:pPr>
        <w:rPr>
          <w:rFonts w:eastAsia="Times New Roman" w:cs="Arial"/>
          <w:kern w:val="0"/>
          <w:lang w:eastAsia="en-GB"/>
          <w14:ligatures w14:val="none"/>
        </w:rPr>
      </w:pPr>
    </w:p>
    <w:p w14:paraId="487EFEA2"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The health board has noted five of the pharmacies have signed up to provide this service, and two pharmacies provide it. If approached by a pharmacy wishing to provide the service for the care homes it serves as it has identified there is a need for the service, the health board would commission the service from that pharmacy.</w:t>
      </w:r>
    </w:p>
    <w:p w14:paraId="4AFB6664" w14:textId="77777777" w:rsidR="00037037" w:rsidRPr="00037037" w:rsidRDefault="00037037" w:rsidP="00D202E7">
      <w:pPr>
        <w:rPr>
          <w:rFonts w:eastAsia="Times New Roman" w:cs="Arial"/>
          <w:kern w:val="0"/>
          <w:lang w:eastAsia="en-GB"/>
          <w14:ligatures w14:val="none"/>
        </w:rPr>
      </w:pPr>
    </w:p>
    <w:p w14:paraId="2993E67E" w14:textId="77777777" w:rsidR="00037037" w:rsidRPr="00037037" w:rsidRDefault="00037037" w:rsidP="00D202E7">
      <w:pPr>
        <w:contextualSpacing/>
        <w:rPr>
          <w:rFonts w:eastAsia="Times New Roman" w:cs="Arial"/>
          <w:kern w:val="0"/>
          <w:lang w:eastAsia="en-GB"/>
          <w14:ligatures w14:val="none"/>
        </w:rPr>
      </w:pPr>
      <w:r w:rsidRPr="00037037">
        <w:rPr>
          <w:rFonts w:eastAsia="Times New Roman" w:cs="Arial"/>
          <w:kern w:val="0"/>
          <w:lang w:eastAsia="en-GB"/>
          <w14:ligatures w14:val="none"/>
        </w:rPr>
        <w:t>Based on the above, the health board has not identified any current or future needs for this service within the locality.</w:t>
      </w:r>
    </w:p>
    <w:p w14:paraId="29FE3349" w14:textId="77777777" w:rsidR="00037037" w:rsidRPr="00037037" w:rsidRDefault="00037037" w:rsidP="00D202E7">
      <w:pPr>
        <w:rPr>
          <w:rFonts w:eastAsia="Times New Roman" w:cs="Arial"/>
          <w:kern w:val="0"/>
          <w:lang w:eastAsia="en-GB"/>
          <w14:ligatures w14:val="none"/>
        </w:rPr>
      </w:pPr>
    </w:p>
    <w:p w14:paraId="18024440"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8.8.3.3 Inhaler review service</w:t>
      </w:r>
    </w:p>
    <w:p w14:paraId="2A00FEBA" w14:textId="77777777" w:rsidR="00037037" w:rsidRPr="00037037" w:rsidRDefault="00037037" w:rsidP="00D202E7">
      <w:pPr>
        <w:rPr>
          <w:rFonts w:eastAsia="Times New Roman" w:cs="Arial"/>
          <w:b/>
          <w:bCs/>
          <w:kern w:val="0"/>
          <w:lang w:eastAsia="en-GB"/>
          <w14:ligatures w14:val="none"/>
        </w:rPr>
      </w:pPr>
    </w:p>
    <w:p w14:paraId="0338F73F"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The health board has noted eight of the pharmacies have signed up to provide this service and provide it. It has also noted that GP practices will provide the service which reduces demand for the service to be provided by pharmacies. If a pharmacy identified that the service is required by its users, the health board would commission the service from that pharmacy.</w:t>
      </w:r>
    </w:p>
    <w:p w14:paraId="3B71DEEA" w14:textId="77777777" w:rsidR="00037037" w:rsidRPr="00037037" w:rsidRDefault="00037037" w:rsidP="00D202E7">
      <w:pPr>
        <w:rPr>
          <w:rFonts w:eastAsia="Times New Roman" w:cs="Arial"/>
          <w:kern w:val="0"/>
          <w:lang w:eastAsia="en-GB"/>
          <w14:ligatures w14:val="none"/>
        </w:rPr>
      </w:pPr>
    </w:p>
    <w:p w14:paraId="1A81853D"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Based on the above, the health board has not identified any current or future needs for this service within the locality.</w:t>
      </w:r>
    </w:p>
    <w:p w14:paraId="75E1318D" w14:textId="77777777" w:rsidR="00037037" w:rsidRPr="00037037" w:rsidRDefault="00037037" w:rsidP="00D202E7">
      <w:pPr>
        <w:rPr>
          <w:rFonts w:eastAsia="Times New Roman" w:cs="Arial"/>
          <w:b/>
          <w:bCs/>
          <w:kern w:val="0"/>
          <w:lang w:eastAsia="en-GB"/>
          <w14:ligatures w14:val="none"/>
        </w:rPr>
      </w:pPr>
    </w:p>
    <w:p w14:paraId="5B36D77F"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8.8.3.4 Just in case service (palliative care packs)</w:t>
      </w:r>
    </w:p>
    <w:p w14:paraId="61F604EB" w14:textId="77777777" w:rsidR="00037037" w:rsidRPr="00037037" w:rsidRDefault="00037037" w:rsidP="00D202E7">
      <w:pPr>
        <w:rPr>
          <w:rFonts w:eastAsia="Times New Roman" w:cs="Arial"/>
          <w:kern w:val="0"/>
          <w:lang w:eastAsia="en-GB"/>
          <w14:ligatures w14:val="none"/>
        </w:rPr>
      </w:pPr>
    </w:p>
    <w:p w14:paraId="362786C9"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The health board has noted 14 of the pharmacies have signed up to provide this service, and four pharmacies provide it.</w:t>
      </w:r>
    </w:p>
    <w:p w14:paraId="256A9793" w14:textId="77777777" w:rsidR="00037037" w:rsidRPr="00037037" w:rsidRDefault="00037037" w:rsidP="00D202E7">
      <w:pPr>
        <w:ind w:left="360"/>
        <w:rPr>
          <w:rFonts w:eastAsia="Times New Roman" w:cs="Arial"/>
          <w:kern w:val="0"/>
          <w:lang w:eastAsia="en-GB"/>
          <w14:ligatures w14:val="none"/>
        </w:rPr>
      </w:pPr>
    </w:p>
    <w:p w14:paraId="0545B1FB" w14:textId="77777777" w:rsidR="00037037" w:rsidRPr="00037037" w:rsidRDefault="00037037" w:rsidP="00D202E7">
      <w:pPr>
        <w:contextualSpacing/>
        <w:rPr>
          <w:rFonts w:eastAsia="Times New Roman" w:cs="Arial"/>
          <w:kern w:val="0"/>
          <w:lang w:eastAsia="en-GB"/>
          <w14:ligatures w14:val="none"/>
        </w:rPr>
      </w:pPr>
      <w:r w:rsidRPr="00037037">
        <w:rPr>
          <w:rFonts w:eastAsia="Times New Roman" w:cs="Arial"/>
          <w:kern w:val="0"/>
          <w:lang w:eastAsia="en-GB"/>
          <w14:ligatures w14:val="none"/>
        </w:rPr>
        <w:t>Services are available within the locality through several other providers in the health board’s area, such as through the health board’s palliative care team.</w:t>
      </w:r>
    </w:p>
    <w:p w14:paraId="5DC999E9" w14:textId="77777777" w:rsidR="00037037" w:rsidRPr="00037037" w:rsidRDefault="00037037" w:rsidP="00D202E7">
      <w:pPr>
        <w:contextualSpacing/>
        <w:rPr>
          <w:rFonts w:eastAsia="Times New Roman" w:cs="Arial"/>
          <w:kern w:val="0"/>
          <w:lang w:eastAsia="en-GB"/>
          <w14:ligatures w14:val="none"/>
        </w:rPr>
      </w:pPr>
    </w:p>
    <w:p w14:paraId="1A227489"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Based on the above, the health board has not identified any current or future needs for this service within the locality.</w:t>
      </w:r>
    </w:p>
    <w:p w14:paraId="36DD6D08" w14:textId="77777777" w:rsidR="00037037" w:rsidRPr="00037037" w:rsidRDefault="00037037" w:rsidP="00D202E7">
      <w:pPr>
        <w:ind w:left="360"/>
        <w:rPr>
          <w:rFonts w:eastAsia="Times New Roman" w:cs="Arial"/>
          <w:kern w:val="0"/>
          <w:lang w:eastAsia="en-GB"/>
          <w14:ligatures w14:val="none"/>
        </w:rPr>
      </w:pPr>
    </w:p>
    <w:p w14:paraId="67ACADC3"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 xml:space="preserve">8.8.3.5 Medicines administration record service </w:t>
      </w:r>
    </w:p>
    <w:p w14:paraId="6692F438" w14:textId="77777777" w:rsidR="00037037" w:rsidRPr="00037037" w:rsidRDefault="00037037" w:rsidP="00D202E7">
      <w:pPr>
        <w:rPr>
          <w:rFonts w:eastAsia="Times New Roman" w:cs="Arial"/>
          <w:kern w:val="0"/>
          <w:lang w:eastAsia="en-GB"/>
          <w14:ligatures w14:val="none"/>
        </w:rPr>
      </w:pPr>
    </w:p>
    <w:p w14:paraId="2EAFF524"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The health board has noted all the pharmacies have signed up to provide this service, and all pharmacies provide it. The health board has therefore not identified any current or future needs for this service within the locality.</w:t>
      </w:r>
    </w:p>
    <w:p w14:paraId="2F5C3607" w14:textId="77777777" w:rsidR="00037037" w:rsidRPr="00037037" w:rsidRDefault="00037037" w:rsidP="00D202E7">
      <w:pPr>
        <w:rPr>
          <w:rFonts w:eastAsia="Times New Roman" w:cs="Arial"/>
          <w:b/>
          <w:bCs/>
          <w:kern w:val="0"/>
          <w:lang w:eastAsia="en-GB"/>
          <w14:ligatures w14:val="none"/>
        </w:rPr>
      </w:pPr>
    </w:p>
    <w:p w14:paraId="7F917D1C"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8.8.3.6 Needle and syringe programmes</w:t>
      </w:r>
    </w:p>
    <w:p w14:paraId="0B79A1D2" w14:textId="77777777" w:rsidR="00037037" w:rsidRDefault="00037037" w:rsidP="00D202E7">
      <w:pPr>
        <w:rPr>
          <w:rFonts w:eastAsia="Times New Roman" w:cs="Arial"/>
          <w:kern w:val="0"/>
          <w:lang w:eastAsia="en-GB"/>
          <w14:ligatures w14:val="none"/>
        </w:rPr>
      </w:pPr>
    </w:p>
    <w:p w14:paraId="1231AD28" w14:textId="77777777" w:rsidR="004D24D2"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The health board noted two of the pharmacies have signed up to provide this </w:t>
      </w:r>
    </w:p>
    <w:p w14:paraId="5441B880" w14:textId="41A92D0A"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lastRenderedPageBreak/>
        <w:t xml:space="preserve">service, and one pharmacy provides it. </w:t>
      </w:r>
    </w:p>
    <w:p w14:paraId="784FDDB7" w14:textId="77777777" w:rsidR="00037037" w:rsidRPr="00037037" w:rsidRDefault="00037037" w:rsidP="00D202E7">
      <w:pPr>
        <w:rPr>
          <w:rFonts w:eastAsia="Times New Roman" w:cs="Arial"/>
          <w:kern w:val="0"/>
          <w:lang w:eastAsia="en-GB"/>
          <w14:ligatures w14:val="none"/>
        </w:rPr>
      </w:pPr>
    </w:p>
    <w:p w14:paraId="2AF99FCE"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The health board has noted that this service is also provided by other providers and that demand for it has decreased across the full range of providers, reflecting changes in service user behaviour. No complaints have been received by the health board regarding discarded needles and syringes in public spaces. If a pharmacy wished to subsequently provide the service due to an increase in demand the health board would commission the pharmacy accordingly.</w:t>
      </w:r>
    </w:p>
    <w:p w14:paraId="45747216" w14:textId="77777777" w:rsidR="00037037" w:rsidRPr="00037037" w:rsidRDefault="00037037" w:rsidP="00D202E7">
      <w:pPr>
        <w:rPr>
          <w:rFonts w:eastAsia="Times New Roman" w:cs="Arial"/>
          <w:kern w:val="0"/>
          <w:lang w:eastAsia="en-GB"/>
          <w14:ligatures w14:val="none"/>
        </w:rPr>
      </w:pPr>
    </w:p>
    <w:p w14:paraId="1F497E13"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Based on the above, the health board has not identified any current or future needs for this service within the locality.</w:t>
      </w:r>
    </w:p>
    <w:p w14:paraId="61766EB3" w14:textId="77777777" w:rsidR="00037037" w:rsidRPr="00037037" w:rsidRDefault="00037037" w:rsidP="00D202E7">
      <w:pPr>
        <w:ind w:left="720"/>
        <w:contextualSpacing/>
        <w:rPr>
          <w:rFonts w:eastAsia="Times New Roman" w:cs="Arial"/>
          <w:kern w:val="0"/>
          <w:lang w:eastAsia="en-GB"/>
          <w14:ligatures w14:val="none"/>
        </w:rPr>
      </w:pPr>
    </w:p>
    <w:p w14:paraId="1781B407"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8.8.3.7 Help me quit @ pharmacy (level 2 smoking cessation) service</w:t>
      </w:r>
    </w:p>
    <w:p w14:paraId="65E432B4" w14:textId="77777777" w:rsidR="00037037" w:rsidRPr="00037037" w:rsidRDefault="00037037" w:rsidP="00D202E7">
      <w:pPr>
        <w:rPr>
          <w:rFonts w:eastAsia="Times New Roman" w:cs="Arial"/>
          <w:kern w:val="0"/>
          <w:lang w:eastAsia="en-GB"/>
          <w14:ligatures w14:val="none"/>
        </w:rPr>
      </w:pPr>
    </w:p>
    <w:p w14:paraId="7E7A0C23"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The health board has noted all the pharmacies have signed up to provide this service, and 12 pharmacies provide it. </w:t>
      </w:r>
    </w:p>
    <w:p w14:paraId="2B30985F" w14:textId="77777777" w:rsidR="00037037" w:rsidRPr="00037037" w:rsidRDefault="00037037" w:rsidP="00D202E7">
      <w:pPr>
        <w:rPr>
          <w:rFonts w:eastAsia="Times New Roman" w:cs="Arial"/>
          <w:kern w:val="0"/>
          <w:lang w:eastAsia="en-GB"/>
          <w14:ligatures w14:val="none"/>
        </w:rPr>
      </w:pPr>
    </w:p>
    <w:p w14:paraId="02523F85"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The health board has therefore not identified any current or future needs for this service within the locality.</w:t>
      </w:r>
    </w:p>
    <w:p w14:paraId="285B7DFA" w14:textId="77777777" w:rsidR="00037037" w:rsidRPr="00037037" w:rsidRDefault="00037037" w:rsidP="00D202E7">
      <w:pPr>
        <w:ind w:left="360"/>
        <w:rPr>
          <w:rFonts w:eastAsia="Times New Roman" w:cs="Arial"/>
          <w:kern w:val="0"/>
          <w:lang w:eastAsia="en-GB"/>
          <w14:ligatures w14:val="none"/>
        </w:rPr>
      </w:pPr>
    </w:p>
    <w:p w14:paraId="58FC9D30"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8.8.3.8 Help me quit @ pharmacy (level 3 smoking cessation) service</w:t>
      </w:r>
    </w:p>
    <w:p w14:paraId="6E272236" w14:textId="77777777" w:rsidR="00037037" w:rsidRPr="00037037" w:rsidRDefault="00037037" w:rsidP="00D202E7">
      <w:pPr>
        <w:rPr>
          <w:rFonts w:eastAsia="Times New Roman" w:cs="Arial"/>
          <w:kern w:val="0"/>
          <w:lang w:eastAsia="en-GB"/>
          <w14:ligatures w14:val="none"/>
        </w:rPr>
      </w:pPr>
    </w:p>
    <w:p w14:paraId="6E586168"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The health board has noted 13 of the pharmacies have signed up to this service, and eight pharmacies provide it.</w:t>
      </w:r>
    </w:p>
    <w:p w14:paraId="4F9DD348" w14:textId="77777777" w:rsidR="00037037" w:rsidRPr="00037037" w:rsidRDefault="00037037" w:rsidP="00D202E7">
      <w:pPr>
        <w:rPr>
          <w:rFonts w:eastAsia="Times New Roman" w:cs="Arial"/>
          <w:kern w:val="0"/>
          <w:lang w:eastAsia="en-GB"/>
          <w14:ligatures w14:val="none"/>
        </w:rPr>
      </w:pPr>
    </w:p>
    <w:p w14:paraId="74BF5EC6"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The health board has noted that service user behaviour and needs are changing, with more people using vapes instead of smoking tobacco. The service is not appropriate for those who wish to stop vaping. The service is also not appropriate for those who are heavy smokers and who have smoked for a number of years as the drugs they require to stop smoking are not available under this service.</w:t>
      </w:r>
    </w:p>
    <w:p w14:paraId="6CA3C82A" w14:textId="77777777" w:rsidR="00037037" w:rsidRPr="00037037" w:rsidRDefault="00037037" w:rsidP="00D202E7">
      <w:pPr>
        <w:rPr>
          <w:rFonts w:eastAsia="Times New Roman" w:cs="Arial"/>
          <w:kern w:val="0"/>
          <w:lang w:eastAsia="en-GB"/>
          <w14:ligatures w14:val="none"/>
        </w:rPr>
      </w:pPr>
    </w:p>
    <w:p w14:paraId="6242E55F"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Based on the above, the health board has not identified any current or future needs for this service within the locality.</w:t>
      </w:r>
    </w:p>
    <w:p w14:paraId="3B665FEE" w14:textId="77777777" w:rsidR="00037037" w:rsidRPr="00037037" w:rsidRDefault="00037037" w:rsidP="00D202E7">
      <w:pPr>
        <w:rPr>
          <w:rFonts w:eastAsia="Times New Roman" w:cs="Arial"/>
          <w:kern w:val="0"/>
          <w:lang w:eastAsia="en-GB"/>
          <w14:ligatures w14:val="none"/>
        </w:rPr>
      </w:pPr>
    </w:p>
    <w:p w14:paraId="617AEEF2"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8.8.3.9 Supervised administration of medicines service</w:t>
      </w:r>
    </w:p>
    <w:p w14:paraId="442DB0AD" w14:textId="77777777" w:rsidR="00037037" w:rsidRPr="00037037" w:rsidRDefault="00037037" w:rsidP="00D202E7">
      <w:pPr>
        <w:rPr>
          <w:rFonts w:eastAsia="Times New Roman" w:cs="Arial"/>
          <w:kern w:val="0"/>
          <w:lang w:eastAsia="en-GB"/>
          <w14:ligatures w14:val="none"/>
        </w:rPr>
      </w:pPr>
    </w:p>
    <w:p w14:paraId="27DFB2DE"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The health board has noted 14 of the pharmacies have signed up to provide this service, and 11 pharmacies provide it. The health board is satisfied that there is a good spread of pharmacies across the locality who do, or could, provide the service if required.</w:t>
      </w:r>
    </w:p>
    <w:p w14:paraId="4BDDB634" w14:textId="77777777" w:rsidR="00037037" w:rsidRPr="00037037" w:rsidRDefault="00037037" w:rsidP="00D202E7">
      <w:pPr>
        <w:rPr>
          <w:rFonts w:eastAsia="Times New Roman" w:cs="Arial"/>
          <w:kern w:val="0"/>
          <w:lang w:eastAsia="en-GB"/>
          <w14:ligatures w14:val="none"/>
        </w:rPr>
      </w:pPr>
    </w:p>
    <w:p w14:paraId="13A3D4A4"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The health board has therefore not identified any current or future needs for this service within the locality.</w:t>
      </w:r>
    </w:p>
    <w:p w14:paraId="0F2152B3" w14:textId="77777777" w:rsidR="00037037" w:rsidRPr="00037037" w:rsidRDefault="00037037" w:rsidP="00D202E7">
      <w:pPr>
        <w:rPr>
          <w:rFonts w:eastAsia="Times New Roman" w:cs="Arial"/>
          <w:kern w:val="0"/>
          <w:lang w:eastAsia="en-GB"/>
          <w14:ligatures w14:val="none"/>
        </w:rPr>
      </w:pPr>
    </w:p>
    <w:p w14:paraId="0C6E5C92" w14:textId="77777777" w:rsidR="00037037" w:rsidRPr="00037037" w:rsidRDefault="00037037" w:rsidP="00D202E7">
      <w:pPr>
        <w:rPr>
          <w:rFonts w:eastAsia="Times New Roman" w:cs="Arial"/>
          <w:b/>
          <w:bCs/>
          <w:kern w:val="0"/>
          <w:lang w:eastAsia="en-GB"/>
          <w14:ligatures w14:val="none"/>
        </w:rPr>
      </w:pPr>
      <w:r w:rsidRPr="00037037">
        <w:rPr>
          <w:rFonts w:eastAsia="Times New Roman" w:cs="Arial"/>
          <w:b/>
          <w:bCs/>
          <w:kern w:val="0"/>
          <w:lang w:eastAsia="en-GB"/>
          <w14:ligatures w14:val="none"/>
        </w:rPr>
        <w:t xml:space="preserve">8.8.3.10 Urgent medicines service </w:t>
      </w:r>
    </w:p>
    <w:p w14:paraId="00E201B8" w14:textId="77777777" w:rsidR="00037037" w:rsidRPr="00037037" w:rsidRDefault="00037037" w:rsidP="00D202E7">
      <w:pPr>
        <w:rPr>
          <w:rFonts w:eastAsia="Times New Roman" w:cs="Arial"/>
          <w:kern w:val="0"/>
          <w:lang w:eastAsia="en-GB"/>
          <w14:ligatures w14:val="none"/>
        </w:rPr>
      </w:pPr>
    </w:p>
    <w:p w14:paraId="7968978D"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 xml:space="preserve">The health board has noted three of the pharmacies have signed up to provide this service. Due to the nature of the service, it is commissioned to ensure a good geographical spread of pharmacies providing it across the health board’s geography. </w:t>
      </w:r>
      <w:r w:rsidRPr="00037037">
        <w:rPr>
          <w:rFonts w:eastAsia="Times New Roman" w:cs="Arial"/>
          <w:kern w:val="0"/>
          <w:lang w:eastAsia="en-GB"/>
          <w14:ligatures w14:val="none"/>
        </w:rPr>
        <w:lastRenderedPageBreak/>
        <w:t>The health board continues to monitor provision of the service and would commission more pharmacies to provide if required.</w:t>
      </w:r>
    </w:p>
    <w:p w14:paraId="3C8B06C4" w14:textId="77777777" w:rsidR="00037037" w:rsidRPr="00037037" w:rsidRDefault="00037037" w:rsidP="00D202E7">
      <w:pPr>
        <w:rPr>
          <w:rFonts w:eastAsia="Times New Roman" w:cs="Arial"/>
          <w:kern w:val="0"/>
          <w:lang w:eastAsia="en-GB"/>
          <w14:ligatures w14:val="none"/>
        </w:rPr>
      </w:pPr>
    </w:p>
    <w:p w14:paraId="3C8F6D09" w14:textId="77777777" w:rsidR="00037037" w:rsidRPr="00037037" w:rsidRDefault="00037037" w:rsidP="00D202E7">
      <w:pPr>
        <w:rPr>
          <w:rFonts w:eastAsia="Times New Roman" w:cs="Arial"/>
          <w:kern w:val="0"/>
          <w:lang w:eastAsia="en-GB"/>
          <w14:ligatures w14:val="none"/>
        </w:rPr>
      </w:pPr>
      <w:r w:rsidRPr="00037037">
        <w:rPr>
          <w:rFonts w:eastAsia="Times New Roman" w:cs="Arial"/>
          <w:kern w:val="0"/>
          <w:lang w:eastAsia="en-GB"/>
          <w14:ligatures w14:val="none"/>
        </w:rPr>
        <w:t>The health board has therefore not identified any current or future needs for this service within the locality.</w:t>
      </w:r>
    </w:p>
    <w:p w14:paraId="58EC157D" w14:textId="635C6AF7" w:rsidR="003F2A9F" w:rsidRPr="00D0306F" w:rsidRDefault="003F2A9F">
      <w:pPr>
        <w:spacing w:after="160" w:line="278" w:lineRule="auto"/>
        <w:rPr>
          <w:rFonts w:cs="Arial"/>
        </w:rPr>
      </w:pPr>
      <w:r w:rsidRPr="00D0306F">
        <w:rPr>
          <w:rFonts w:cs="Arial"/>
        </w:rPr>
        <w:br w:type="page"/>
      </w:r>
    </w:p>
    <w:p w14:paraId="377DC2A4" w14:textId="6B04D151" w:rsidR="00ED2186" w:rsidRPr="00D0306F" w:rsidRDefault="00ED2186" w:rsidP="00ED2186">
      <w:pPr>
        <w:pStyle w:val="Heading1"/>
        <w:rPr>
          <w:rFonts w:eastAsia="Aptos"/>
          <w:sz w:val="28"/>
          <w:szCs w:val="28"/>
        </w:rPr>
      </w:pPr>
      <w:bookmarkStart w:id="33" w:name="_Toc235185380"/>
      <w:r w:rsidRPr="00D0306F">
        <w:rPr>
          <w:rFonts w:eastAsia="Aptos"/>
          <w:sz w:val="28"/>
          <w:szCs w:val="28"/>
        </w:rPr>
        <w:lastRenderedPageBreak/>
        <w:t>9 City Health locality</w:t>
      </w:r>
      <w:bookmarkEnd w:id="33"/>
    </w:p>
    <w:p w14:paraId="6AFDC943" w14:textId="77777777" w:rsidR="00B84219" w:rsidRPr="00B84219" w:rsidRDefault="00B84219" w:rsidP="00B84219">
      <w:pPr>
        <w:rPr>
          <w:rFonts w:eastAsia="Aptos" w:cs="Arial"/>
        </w:rPr>
      </w:pPr>
    </w:p>
    <w:p w14:paraId="251EF817" w14:textId="77777777" w:rsidR="00B84219" w:rsidRPr="00B84219" w:rsidRDefault="00B84219" w:rsidP="00B84219">
      <w:pPr>
        <w:rPr>
          <w:rFonts w:eastAsia="Aptos" w:cs="Arial"/>
          <w:b/>
          <w:bCs/>
          <w:sz w:val="26"/>
          <w:szCs w:val="26"/>
        </w:rPr>
      </w:pPr>
      <w:r w:rsidRPr="00B84219">
        <w:rPr>
          <w:rFonts w:eastAsia="Aptos" w:cs="Arial"/>
          <w:b/>
          <w:bCs/>
          <w:sz w:val="26"/>
          <w:szCs w:val="26"/>
        </w:rPr>
        <w:t>9.1 Key facts</w:t>
      </w:r>
    </w:p>
    <w:p w14:paraId="302061CC" w14:textId="77777777" w:rsidR="00B84219" w:rsidRPr="00B84219" w:rsidRDefault="00B84219" w:rsidP="00B84219">
      <w:pPr>
        <w:rPr>
          <w:rFonts w:eastAsia="Aptos" w:cs="Arial"/>
        </w:rPr>
      </w:pPr>
    </w:p>
    <w:p w14:paraId="6554A7F9" w14:textId="77777777" w:rsidR="00B84219" w:rsidRPr="00B84219" w:rsidRDefault="00B84219" w:rsidP="00B76905">
      <w:pPr>
        <w:numPr>
          <w:ilvl w:val="0"/>
          <w:numId w:val="156"/>
        </w:numPr>
        <w:contextualSpacing/>
        <w:rPr>
          <w:rFonts w:eastAsia="Aptos" w:cs="Arial"/>
        </w:rPr>
      </w:pPr>
      <w:r w:rsidRPr="00B84219">
        <w:rPr>
          <w:rFonts w:eastAsia="Aptos" w:cs="Arial"/>
        </w:rPr>
        <w:t>The largest area within the locality is around the city centre, the adjacent wards of Cwmbwrla and Uplands (6,800 people per square kilometre, the highest density in the county), and in Townhill and Penderi.</w:t>
      </w:r>
    </w:p>
    <w:p w14:paraId="7BBCE5A1" w14:textId="77777777" w:rsidR="00B84219" w:rsidRPr="00B84219" w:rsidRDefault="00B84219" w:rsidP="00B76905">
      <w:pPr>
        <w:numPr>
          <w:ilvl w:val="0"/>
          <w:numId w:val="156"/>
        </w:numPr>
        <w:contextualSpacing/>
        <w:rPr>
          <w:rFonts w:eastAsia="Aptos" w:cs="Arial"/>
        </w:rPr>
      </w:pPr>
      <w:r w:rsidRPr="00B84219">
        <w:rPr>
          <w:rFonts w:eastAsia="Aptos" w:cs="Arial"/>
        </w:rPr>
        <w:t>The City Health locality serves a registered population of 55,915</w:t>
      </w:r>
      <w:r w:rsidRPr="00B84219">
        <w:rPr>
          <w:rFonts w:eastAsia="Aptos" w:cs="Arial"/>
          <w:vertAlign w:val="superscript"/>
        </w:rPr>
        <w:footnoteReference w:id="241"/>
      </w:r>
      <w:r w:rsidRPr="00B84219">
        <w:rPr>
          <w:rFonts w:eastAsia="Aptos" w:cs="Arial"/>
        </w:rPr>
        <w:t xml:space="preserve"> (January 2026) and is the third largest locality by registered population in the health board and the second largest of the five localities in Swansea. </w:t>
      </w:r>
    </w:p>
    <w:p w14:paraId="18C23A17" w14:textId="77777777" w:rsidR="00B84219" w:rsidRPr="00B84219" w:rsidRDefault="00B84219" w:rsidP="00B76905">
      <w:pPr>
        <w:numPr>
          <w:ilvl w:val="0"/>
          <w:numId w:val="156"/>
        </w:numPr>
        <w:contextualSpacing/>
        <w:rPr>
          <w:rFonts w:eastAsia="Aptos" w:cs="Arial"/>
        </w:rPr>
      </w:pPr>
      <w:r w:rsidRPr="00B84219">
        <w:rPr>
          <w:rFonts w:eastAsia="Aptos" w:cs="Arial"/>
        </w:rPr>
        <w:t>The locality has a registered population of 8,505 aged 65 years and over (15.5%) which is lower than the Welsh average of 21.9%.</w:t>
      </w:r>
    </w:p>
    <w:p w14:paraId="6E3B4DB5" w14:textId="77777777" w:rsidR="00B84219" w:rsidRPr="00B84219" w:rsidRDefault="00B84219" w:rsidP="00B76905">
      <w:pPr>
        <w:numPr>
          <w:ilvl w:val="0"/>
          <w:numId w:val="156"/>
        </w:numPr>
        <w:contextualSpacing/>
        <w:rPr>
          <w:rFonts w:eastAsia="Aptos" w:cs="Arial"/>
        </w:rPr>
      </w:pPr>
      <w:r w:rsidRPr="00B84219">
        <w:rPr>
          <w:rFonts w:eastAsia="Aptos" w:cs="Arial"/>
        </w:rPr>
        <w:t>The number of Welsh speakers in Swansea remained at 11.2% in 2021 with approximately 350 fewer Welsh-speaking residents aged over three years compared with 2011 Census. The number of non-Welsh speaking residents increased by 1,100.</w:t>
      </w:r>
      <w:r w:rsidRPr="00B84219">
        <w:rPr>
          <w:rFonts w:eastAsia="Aptos" w:cs="Arial"/>
          <w:vertAlign w:val="superscript"/>
        </w:rPr>
        <w:footnoteReference w:id="242"/>
      </w:r>
    </w:p>
    <w:p w14:paraId="74211249" w14:textId="77777777" w:rsidR="00B84219" w:rsidRPr="00B84219" w:rsidRDefault="00B84219" w:rsidP="00B76905">
      <w:pPr>
        <w:numPr>
          <w:ilvl w:val="0"/>
          <w:numId w:val="156"/>
        </w:numPr>
        <w:contextualSpacing/>
        <w:rPr>
          <w:rFonts w:eastAsia="Aptos" w:cs="Arial"/>
        </w:rPr>
      </w:pPr>
      <w:r w:rsidRPr="00B84219">
        <w:rPr>
          <w:rFonts w:eastAsia="Aptos" w:cs="Arial"/>
        </w:rPr>
        <w:t>Swansea local authority population is projected to increase by 6.1% by the year 2032.</w:t>
      </w:r>
      <w:r w:rsidRPr="00B84219">
        <w:rPr>
          <w:rFonts w:eastAsia="Aptos" w:cs="Arial"/>
          <w:vertAlign w:val="superscript"/>
        </w:rPr>
        <w:footnoteReference w:id="243"/>
      </w:r>
      <w:r w:rsidRPr="00B84219">
        <w:rPr>
          <w:rFonts w:eastAsia="Aptos" w:cs="Arial"/>
        </w:rPr>
        <w:t xml:space="preserve"> </w:t>
      </w:r>
    </w:p>
    <w:p w14:paraId="33C76C56" w14:textId="77777777" w:rsidR="00B84219" w:rsidRPr="00B84219" w:rsidRDefault="00B84219" w:rsidP="00B76905">
      <w:pPr>
        <w:numPr>
          <w:ilvl w:val="0"/>
          <w:numId w:val="156"/>
        </w:numPr>
        <w:contextualSpacing/>
        <w:rPr>
          <w:rFonts w:eastAsia="Aptos" w:cs="Arial"/>
        </w:rPr>
      </w:pPr>
      <w:r w:rsidRPr="00B84219">
        <w:rPr>
          <w:rFonts w:eastAsia="Aptos" w:cs="Arial"/>
        </w:rPr>
        <w:t>There are 240 lower layer super output areas in the health board’s area; 150 lower layer super output areas fall within Swansea local authority, and 20 (around 13%) are in the 10% most deprived in Wales.</w:t>
      </w:r>
      <w:r w:rsidRPr="00B84219">
        <w:rPr>
          <w:rFonts w:eastAsia="Aptos" w:cs="Arial"/>
          <w:vertAlign w:val="superscript"/>
        </w:rPr>
        <w:footnoteReference w:id="244"/>
      </w:r>
    </w:p>
    <w:p w14:paraId="0493F5CA" w14:textId="77777777" w:rsidR="00B84219" w:rsidRPr="00B84219" w:rsidRDefault="00B84219" w:rsidP="00B76905">
      <w:pPr>
        <w:numPr>
          <w:ilvl w:val="0"/>
          <w:numId w:val="156"/>
        </w:numPr>
        <w:ind w:left="714" w:hanging="357"/>
        <w:contextualSpacing/>
        <w:rPr>
          <w:rFonts w:eastAsia="Aptos" w:cs="Arial"/>
        </w:rPr>
      </w:pPr>
      <w:r w:rsidRPr="00B84219">
        <w:rPr>
          <w:rFonts w:eastAsia="Aptos" w:cs="Arial"/>
        </w:rPr>
        <w:t xml:space="preserve">Of the 20% most deprived lower layer super output areas in Wales, 34 are within Swansea, with 10 found within the City Health Locality. </w:t>
      </w:r>
    </w:p>
    <w:p w14:paraId="3B48F1FE" w14:textId="77777777" w:rsidR="00B84219" w:rsidRPr="00B84219" w:rsidRDefault="00B84219" w:rsidP="00B76905">
      <w:pPr>
        <w:numPr>
          <w:ilvl w:val="0"/>
          <w:numId w:val="156"/>
        </w:numPr>
        <w:contextualSpacing/>
        <w:rPr>
          <w:rFonts w:eastAsia="Aptos" w:cs="Arial"/>
        </w:rPr>
      </w:pPr>
      <w:r w:rsidRPr="00B84219">
        <w:rPr>
          <w:rFonts w:eastAsia="Aptos" w:cs="Arial"/>
        </w:rPr>
        <w:t xml:space="preserve">The area consists of 24 lower layer super output areas in the city centre area and adjacent urban areas to the north, west and east; across both sides of the River Tawe. </w:t>
      </w:r>
    </w:p>
    <w:p w14:paraId="78786C2B" w14:textId="77777777" w:rsidR="00B84219" w:rsidRPr="00B84219" w:rsidRDefault="00B84219" w:rsidP="00B76905">
      <w:pPr>
        <w:numPr>
          <w:ilvl w:val="0"/>
          <w:numId w:val="156"/>
        </w:numPr>
        <w:contextualSpacing/>
        <w:rPr>
          <w:rFonts w:eastAsia="Aptos" w:cs="Arial"/>
        </w:rPr>
      </w:pPr>
      <w:r w:rsidRPr="00B84219">
        <w:rPr>
          <w:rFonts w:eastAsia="Aptos" w:cs="Arial"/>
        </w:rPr>
        <w:t>The locality is served by:</w:t>
      </w:r>
    </w:p>
    <w:p w14:paraId="3EDAB817" w14:textId="77777777" w:rsidR="00B84219" w:rsidRPr="00B84219" w:rsidRDefault="00B84219" w:rsidP="00B76905">
      <w:pPr>
        <w:numPr>
          <w:ilvl w:val="1"/>
          <w:numId w:val="156"/>
        </w:numPr>
        <w:contextualSpacing/>
        <w:rPr>
          <w:rFonts w:eastAsia="Aptos" w:cs="Arial"/>
        </w:rPr>
      </w:pPr>
      <w:r w:rsidRPr="00B84219">
        <w:rPr>
          <w:rFonts w:eastAsia="Aptos" w:cs="Arial"/>
        </w:rPr>
        <w:t>14 community pharmacies operated by six contractors</w:t>
      </w:r>
    </w:p>
    <w:p w14:paraId="67D5179B" w14:textId="77777777" w:rsidR="00B84219" w:rsidRPr="00B84219" w:rsidRDefault="00B84219" w:rsidP="00B76905">
      <w:pPr>
        <w:numPr>
          <w:ilvl w:val="1"/>
          <w:numId w:val="156"/>
        </w:numPr>
        <w:contextualSpacing/>
        <w:rPr>
          <w:rFonts w:eastAsia="Aptos" w:cs="Arial"/>
        </w:rPr>
      </w:pPr>
      <w:r w:rsidRPr="00B84219">
        <w:rPr>
          <w:rFonts w:eastAsia="Aptos" w:cs="Arial"/>
        </w:rPr>
        <w:t xml:space="preserve">seven dental practices that offer NHS treatment </w:t>
      </w:r>
    </w:p>
    <w:p w14:paraId="74F7798F" w14:textId="77777777" w:rsidR="00B84219" w:rsidRPr="00B84219" w:rsidRDefault="00B84219" w:rsidP="00B76905">
      <w:pPr>
        <w:numPr>
          <w:ilvl w:val="1"/>
          <w:numId w:val="156"/>
        </w:numPr>
        <w:contextualSpacing/>
        <w:rPr>
          <w:rFonts w:eastAsia="Aptos" w:cs="Arial"/>
        </w:rPr>
      </w:pPr>
      <w:r w:rsidRPr="00B84219">
        <w:rPr>
          <w:rFonts w:eastAsia="Aptos" w:cs="Arial"/>
        </w:rPr>
        <w:t xml:space="preserve">six optical practices </w:t>
      </w:r>
    </w:p>
    <w:p w14:paraId="54FF6480" w14:textId="77777777" w:rsidR="00B84219" w:rsidRPr="00B84219" w:rsidRDefault="00B84219" w:rsidP="00B76905">
      <w:pPr>
        <w:numPr>
          <w:ilvl w:val="1"/>
          <w:numId w:val="156"/>
        </w:numPr>
        <w:contextualSpacing/>
        <w:rPr>
          <w:rFonts w:eastAsia="Aptos" w:cs="Arial"/>
        </w:rPr>
      </w:pPr>
      <w:r w:rsidRPr="00B84219">
        <w:rPr>
          <w:rFonts w:eastAsia="Aptos" w:cs="Arial"/>
        </w:rPr>
        <w:t>eight GP practices (four of which operate branch surgery sites)</w:t>
      </w:r>
    </w:p>
    <w:p w14:paraId="64BF5E96" w14:textId="77777777" w:rsidR="00B84219" w:rsidRPr="00B84219" w:rsidRDefault="00B84219" w:rsidP="00B76905">
      <w:pPr>
        <w:numPr>
          <w:ilvl w:val="0"/>
          <w:numId w:val="156"/>
        </w:numPr>
        <w:contextualSpacing/>
        <w:rPr>
          <w:rFonts w:eastAsia="Aptos" w:cs="Arial"/>
        </w:rPr>
      </w:pPr>
      <w:r w:rsidRPr="00B84219">
        <w:rPr>
          <w:rFonts w:eastAsia="Aptos" w:cs="Arial"/>
        </w:rPr>
        <w:t>There are six care home services within the locality of which three provide services to adults with nursing, and three to adults without nursing.</w:t>
      </w:r>
    </w:p>
    <w:p w14:paraId="1C9C8366" w14:textId="77777777" w:rsidR="00B84219" w:rsidRPr="00B84219" w:rsidRDefault="00B84219" w:rsidP="00B84219">
      <w:pPr>
        <w:rPr>
          <w:rFonts w:eastAsia="Aptos" w:cs="Arial"/>
        </w:rPr>
      </w:pPr>
    </w:p>
    <w:p w14:paraId="3B69B0E7" w14:textId="77777777" w:rsidR="00B84219" w:rsidRPr="00B84219" w:rsidRDefault="00B84219" w:rsidP="00B84219">
      <w:pPr>
        <w:rPr>
          <w:rFonts w:eastAsia="Times New Roman" w:cs="Arial"/>
          <w:b/>
          <w:bCs/>
          <w:kern w:val="0"/>
          <w:sz w:val="26"/>
          <w:szCs w:val="26"/>
          <w:lang w:eastAsia="en-GB"/>
          <w14:ligatures w14:val="none"/>
        </w:rPr>
      </w:pPr>
      <w:r w:rsidRPr="00B84219">
        <w:rPr>
          <w:rFonts w:eastAsia="Times New Roman" w:cs="Arial"/>
          <w:b/>
          <w:bCs/>
          <w:kern w:val="0"/>
          <w:sz w:val="26"/>
          <w:szCs w:val="26"/>
          <w:lang w:eastAsia="en-GB"/>
          <w14:ligatures w14:val="none"/>
        </w:rPr>
        <w:t xml:space="preserve">9.2 Key population features </w:t>
      </w:r>
    </w:p>
    <w:p w14:paraId="60B46761" w14:textId="77777777" w:rsidR="00B84219" w:rsidRPr="00B84219" w:rsidRDefault="00B84219" w:rsidP="00B84219">
      <w:pPr>
        <w:rPr>
          <w:rFonts w:eastAsia="Times New Roman" w:cs="Arial"/>
          <w:b/>
          <w:bCs/>
          <w:kern w:val="0"/>
          <w:lang w:eastAsia="en-GB"/>
          <w14:ligatures w14:val="none"/>
        </w:rPr>
      </w:pPr>
    </w:p>
    <w:p w14:paraId="03EEEFCD"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9.2.1 Population projections 2022 to 2032</w:t>
      </w:r>
    </w:p>
    <w:p w14:paraId="00722CBF" w14:textId="77777777" w:rsidR="00B84219" w:rsidRPr="00B84219" w:rsidRDefault="00B84219" w:rsidP="00B84219">
      <w:pPr>
        <w:rPr>
          <w:rFonts w:eastAsia="Times New Roman" w:cs="Arial"/>
          <w:b/>
          <w:bCs/>
          <w:kern w:val="0"/>
          <w:lang w:eastAsia="en-GB"/>
          <w14:ligatures w14:val="none"/>
        </w:rPr>
      </w:pPr>
    </w:p>
    <w:p w14:paraId="372B4160"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The population of Swansea is projected to increase by up to 6.1% between 2022 and 2032, an increase of 14,894 people. It is projected by 2032</w:t>
      </w:r>
      <w:r w:rsidRPr="00B84219">
        <w:rPr>
          <w:rFonts w:eastAsia="Times New Roman" w:cs="Arial"/>
          <w:kern w:val="0"/>
          <w:vertAlign w:val="superscript"/>
          <w:lang w:eastAsia="en-GB"/>
          <w14:ligatures w14:val="none"/>
        </w:rPr>
        <w:footnoteReference w:id="245"/>
      </w:r>
      <w:r w:rsidRPr="00B84219">
        <w:rPr>
          <w:rFonts w:eastAsia="Times New Roman" w:cs="Arial"/>
          <w:kern w:val="0"/>
          <w:lang w:eastAsia="en-GB"/>
          <w14:ligatures w14:val="none"/>
        </w:rPr>
        <w:t xml:space="preserve"> that Swansea local authority will see:</w:t>
      </w:r>
    </w:p>
    <w:p w14:paraId="1177DD3D" w14:textId="77777777" w:rsidR="00B84219" w:rsidRPr="00B84219" w:rsidRDefault="00B84219" w:rsidP="00B84219">
      <w:pPr>
        <w:rPr>
          <w:rFonts w:eastAsia="Times New Roman" w:cs="Arial"/>
          <w:kern w:val="0"/>
          <w:lang w:eastAsia="en-GB"/>
          <w14:ligatures w14:val="none"/>
        </w:rPr>
      </w:pPr>
    </w:p>
    <w:p w14:paraId="3E6F388A" w14:textId="77777777" w:rsidR="00B84219" w:rsidRPr="00B84219" w:rsidRDefault="00B84219" w:rsidP="00B76905">
      <w:pPr>
        <w:numPr>
          <w:ilvl w:val="0"/>
          <w:numId w:val="141"/>
        </w:numPr>
        <w:ind w:left="714" w:hanging="357"/>
        <w:contextualSpacing/>
        <w:rPr>
          <w:rFonts w:eastAsia="Times New Roman" w:cs="Arial"/>
          <w:kern w:val="0"/>
          <w:lang w:eastAsia="en-GB"/>
          <w14:ligatures w14:val="none"/>
        </w:rPr>
      </w:pPr>
      <w:r w:rsidRPr="00B84219">
        <w:rPr>
          <w:rFonts w:eastAsia="Times New Roman" w:cs="Arial"/>
          <w:kern w:val="0"/>
          <w:lang w:eastAsia="en-GB"/>
          <w14:ligatures w14:val="none"/>
        </w:rPr>
        <w:lastRenderedPageBreak/>
        <w:t>a decrease in the number of people aged 0 to 15 years,</w:t>
      </w:r>
    </w:p>
    <w:p w14:paraId="4BD8D5A2" w14:textId="77777777" w:rsidR="00B84219" w:rsidRPr="00B84219" w:rsidRDefault="00B84219" w:rsidP="00B76905">
      <w:pPr>
        <w:numPr>
          <w:ilvl w:val="0"/>
          <w:numId w:val="141"/>
        </w:numPr>
        <w:ind w:left="714" w:hanging="357"/>
        <w:contextualSpacing/>
        <w:rPr>
          <w:rFonts w:eastAsia="Times New Roman" w:cs="Arial"/>
          <w:kern w:val="0"/>
          <w:lang w:eastAsia="en-GB"/>
          <w14:ligatures w14:val="none"/>
        </w:rPr>
      </w:pPr>
      <w:r w:rsidRPr="00B84219">
        <w:rPr>
          <w:rFonts w:eastAsia="Times New Roman" w:cs="Arial"/>
          <w:kern w:val="0"/>
          <w:lang w:eastAsia="en-GB"/>
          <w14:ligatures w14:val="none"/>
        </w:rPr>
        <w:t xml:space="preserve">an increase in the working age population aged 16 to 64 years (one of eight local authorities that will see the largest increases), </w:t>
      </w:r>
    </w:p>
    <w:p w14:paraId="588876FA" w14:textId="77777777" w:rsidR="00B84219" w:rsidRPr="00B84219" w:rsidRDefault="00B84219" w:rsidP="00B76905">
      <w:pPr>
        <w:numPr>
          <w:ilvl w:val="0"/>
          <w:numId w:val="141"/>
        </w:numPr>
        <w:ind w:left="714" w:hanging="357"/>
        <w:contextualSpacing/>
        <w:rPr>
          <w:rFonts w:eastAsia="Times New Roman" w:cs="Arial"/>
          <w:kern w:val="0"/>
          <w:lang w:eastAsia="en-GB"/>
          <w14:ligatures w14:val="none"/>
        </w:rPr>
      </w:pPr>
      <w:r w:rsidRPr="00B84219">
        <w:rPr>
          <w:rFonts w:eastAsia="Times New Roman" w:cs="Arial"/>
          <w:kern w:val="0"/>
          <w:lang w:eastAsia="en-GB"/>
          <w14:ligatures w14:val="none"/>
        </w:rPr>
        <w:t>an increase in the population aged 65 years, and</w:t>
      </w:r>
    </w:p>
    <w:p w14:paraId="06492778" w14:textId="77777777" w:rsidR="00B84219" w:rsidRPr="00B84219" w:rsidRDefault="00B84219" w:rsidP="00B76905">
      <w:pPr>
        <w:numPr>
          <w:ilvl w:val="0"/>
          <w:numId w:val="141"/>
        </w:numPr>
        <w:ind w:left="714" w:hanging="357"/>
        <w:contextualSpacing/>
        <w:rPr>
          <w:rFonts w:eastAsia="Times New Roman" w:cs="Arial"/>
          <w:kern w:val="0"/>
          <w:lang w:eastAsia="en-GB"/>
          <w14:ligatures w14:val="none"/>
        </w:rPr>
      </w:pPr>
      <w:r w:rsidRPr="00B84219">
        <w:rPr>
          <w:rFonts w:eastAsia="Times New Roman" w:cs="Arial"/>
          <w:kern w:val="0"/>
          <w:lang w:eastAsia="en-GB"/>
          <w14:ligatures w14:val="none"/>
        </w:rPr>
        <w:t>an increase in the population aged 75 years and over.</w:t>
      </w:r>
    </w:p>
    <w:p w14:paraId="3F7BE77B" w14:textId="77777777" w:rsidR="00B84219" w:rsidRPr="00B84219" w:rsidRDefault="00B84219" w:rsidP="00B84219">
      <w:pPr>
        <w:rPr>
          <w:rFonts w:eastAsia="Times New Roman" w:cs="Arial"/>
          <w:kern w:val="0"/>
          <w:lang w:eastAsia="en-GB"/>
          <w14:ligatures w14:val="none"/>
        </w:rPr>
      </w:pPr>
    </w:p>
    <w:p w14:paraId="0F6C3F11"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The population is projected to continue to age in the local authority over this period.</w:t>
      </w:r>
    </w:p>
    <w:p w14:paraId="46BC196F" w14:textId="77777777" w:rsidR="00B84219" w:rsidRPr="00B84219" w:rsidRDefault="00B84219" w:rsidP="00B84219">
      <w:pPr>
        <w:rPr>
          <w:rFonts w:eastAsia="Times New Roman" w:cs="Arial"/>
          <w:kern w:val="0"/>
          <w:lang w:eastAsia="en-GB"/>
          <w14:ligatures w14:val="none"/>
        </w:rPr>
      </w:pPr>
    </w:p>
    <w:p w14:paraId="3928A23F"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 xml:space="preserve">9.2.2 Total life expectancy, healthy life expectancy and the ‘inequality gap’ (2020 to 2022) </w:t>
      </w:r>
    </w:p>
    <w:p w14:paraId="66E52C71" w14:textId="77777777" w:rsidR="00B84219" w:rsidRPr="00B84219" w:rsidRDefault="00B84219" w:rsidP="00B84219">
      <w:pPr>
        <w:rPr>
          <w:rFonts w:eastAsia="Times New Roman" w:cs="Arial"/>
          <w:b/>
          <w:bCs/>
          <w:kern w:val="0"/>
          <w:lang w:eastAsia="en-GB"/>
          <w14:ligatures w14:val="none"/>
        </w:rPr>
      </w:pPr>
    </w:p>
    <w:p w14:paraId="00E6D7ED" w14:textId="77777777" w:rsidR="00B84219" w:rsidRPr="00B84219" w:rsidRDefault="00B84219" w:rsidP="00B76905">
      <w:pPr>
        <w:numPr>
          <w:ilvl w:val="0"/>
          <w:numId w:val="157"/>
        </w:numPr>
        <w:contextualSpacing/>
        <w:rPr>
          <w:rFonts w:eastAsia="Calibri" w:cs="Arial"/>
          <w:color w:val="323132"/>
          <w:kern w:val="0"/>
          <w:shd w:val="clear" w:color="auto" w:fill="FFFFFF"/>
          <w14:ligatures w14:val="none"/>
        </w:rPr>
      </w:pPr>
      <w:r w:rsidRPr="00B84219">
        <w:rPr>
          <w:rFonts w:eastAsia="Calibri" w:cs="Arial"/>
          <w:color w:val="323132"/>
          <w:kern w:val="0"/>
          <w:shd w:val="clear" w:color="auto" w:fill="FFFFFF"/>
          <w14:ligatures w14:val="none"/>
        </w:rPr>
        <w:t xml:space="preserve">Swansea local authority has a lower total life expectancy at birth for females and for males when compared to the average for Wales (table 9.1). </w:t>
      </w:r>
    </w:p>
    <w:p w14:paraId="32F64FA7" w14:textId="77777777" w:rsidR="00B84219" w:rsidRPr="00B84219" w:rsidRDefault="00B84219" w:rsidP="00B76905">
      <w:pPr>
        <w:numPr>
          <w:ilvl w:val="0"/>
          <w:numId w:val="158"/>
        </w:numPr>
        <w:ind w:left="357"/>
        <w:contextualSpacing/>
        <w:rPr>
          <w:rFonts w:eastAsia="Calibri" w:cs="Arial"/>
          <w:kern w:val="0"/>
          <w14:ligatures w14:val="none"/>
        </w:rPr>
      </w:pPr>
      <w:r w:rsidRPr="00B84219">
        <w:rPr>
          <w:rFonts w:eastAsia="Calibri" w:cs="Arial"/>
          <w:bCs/>
          <w:kern w:val="0"/>
          <w14:ligatures w14:val="none"/>
        </w:rPr>
        <w:t>Healthy life expectancy</w:t>
      </w:r>
      <w:r w:rsidRPr="00B84219">
        <w:rPr>
          <w:rFonts w:eastAsia="Calibri" w:cs="Arial"/>
          <w:bCs/>
          <w:kern w:val="0"/>
          <w:vertAlign w:val="superscript"/>
          <w14:ligatures w14:val="none"/>
        </w:rPr>
        <w:footnoteReference w:id="246"/>
      </w:r>
      <w:r w:rsidRPr="00B84219">
        <w:rPr>
          <w:rFonts w:eastAsia="Calibri" w:cs="Arial"/>
          <w:bCs/>
          <w:kern w:val="0"/>
          <w14:ligatures w14:val="none"/>
        </w:rPr>
        <w:t xml:space="preserve">, defined as </w:t>
      </w:r>
      <w:r w:rsidRPr="00B84219">
        <w:rPr>
          <w:rFonts w:eastAsia="Calibri" w:cs="Arial"/>
          <w:kern w:val="0"/>
          <w14:ligatures w14:val="none"/>
        </w:rPr>
        <w:t>the number of years a person can expect to live in good health, is measured at local authority level. In Swansea, healthy life expectancy stands at 59.9 years for males and 59.6 years for females. Comparatively, the Wales average is slightly higher at 60.8 years for males and 60.2 years for females. This indicates that both males and females in Swansea enjoy fewer years of good health than the average across Wales.</w:t>
      </w:r>
    </w:p>
    <w:p w14:paraId="2E5A881F" w14:textId="77777777" w:rsidR="00B84219" w:rsidRPr="00B84219" w:rsidRDefault="00B84219" w:rsidP="00B76905">
      <w:pPr>
        <w:numPr>
          <w:ilvl w:val="0"/>
          <w:numId w:val="158"/>
        </w:numPr>
        <w:ind w:left="357"/>
        <w:contextualSpacing/>
        <w:rPr>
          <w:rFonts w:eastAsia="Calibri" w:cs="Arial"/>
          <w:kern w:val="0"/>
          <w14:ligatures w14:val="none"/>
        </w:rPr>
      </w:pPr>
      <w:r w:rsidRPr="00B84219">
        <w:rPr>
          <w:rFonts w:eastAsia="Calibri" w:cs="Arial"/>
          <w:kern w:val="0"/>
          <w14:ligatures w14:val="none"/>
        </w:rPr>
        <w:t>The differences in healthy life expectancy that exist across an area between the most and least deprived areas is referred to as the ‘inequality gap’. The inequality gap for healthy life expectancy in Swansea is 10.9 years for males and 7.9 years for females</w:t>
      </w:r>
      <w:r w:rsidRPr="00B84219">
        <w:rPr>
          <w:rFonts w:eastAsia="Calibri" w:cs="Arial"/>
          <w:kern w:val="0"/>
          <w:vertAlign w:val="superscript"/>
          <w14:ligatures w14:val="none"/>
        </w:rPr>
        <w:footnoteReference w:id="247"/>
      </w:r>
      <w:r w:rsidRPr="00B84219">
        <w:rPr>
          <w:rFonts w:eastAsia="Calibri" w:cs="Arial"/>
          <w:kern w:val="0"/>
          <w14:ligatures w14:val="none"/>
        </w:rPr>
        <w:t xml:space="preserve">. </w:t>
      </w:r>
    </w:p>
    <w:p w14:paraId="6224D30E" w14:textId="77777777" w:rsidR="00B84219" w:rsidRPr="00B84219" w:rsidRDefault="00B84219" w:rsidP="00B84219">
      <w:pPr>
        <w:rPr>
          <w:rFonts w:eastAsia="Times New Roman" w:cs="Arial"/>
          <w:kern w:val="0"/>
          <w:lang w:eastAsia="en-GB"/>
          <w14:ligatures w14:val="none"/>
        </w:rPr>
      </w:pPr>
    </w:p>
    <w:p w14:paraId="39C1B4B6"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Table 9.1: Total life expectancy at birth for females and males, 2020 to 2022</w:t>
      </w:r>
      <w:r w:rsidRPr="00B84219">
        <w:rPr>
          <w:rFonts w:eastAsia="Times New Roman" w:cs="Arial"/>
          <w:b/>
          <w:bCs/>
          <w:kern w:val="0"/>
          <w:vertAlign w:val="superscript"/>
          <w:lang w:eastAsia="en-GB"/>
          <w14:ligatures w14:val="none"/>
        </w:rPr>
        <w:footnoteReference w:id="248"/>
      </w:r>
    </w:p>
    <w:p w14:paraId="573E8C92" w14:textId="77777777" w:rsidR="00B84219" w:rsidRPr="00B84219" w:rsidRDefault="00B84219" w:rsidP="00B84219">
      <w:pPr>
        <w:rPr>
          <w:rFonts w:eastAsia="Times New Roman" w:cs="Arial"/>
          <w:b/>
          <w:bCs/>
          <w:kern w:val="0"/>
          <w:lang w:eastAsia="en-GB"/>
          <w14:ligatures w14:val="none"/>
        </w:rPr>
      </w:pPr>
    </w:p>
    <w:tbl>
      <w:tblPr>
        <w:tblStyle w:val="TableGrid"/>
        <w:tblW w:w="0" w:type="auto"/>
        <w:tblInd w:w="0" w:type="dxa"/>
        <w:tblLook w:val="04A0" w:firstRow="1" w:lastRow="0" w:firstColumn="1" w:lastColumn="0" w:noHBand="0" w:noVBand="1"/>
      </w:tblPr>
      <w:tblGrid>
        <w:gridCol w:w="3005"/>
        <w:gridCol w:w="3005"/>
        <w:gridCol w:w="3006"/>
      </w:tblGrid>
      <w:tr w:rsidR="00B84219" w:rsidRPr="00D0306F" w14:paraId="6CD65C26" w14:textId="77777777" w:rsidTr="00B84219">
        <w:tc>
          <w:tcPr>
            <w:tcW w:w="3005" w:type="dxa"/>
            <w:tcBorders>
              <w:top w:val="single" w:sz="4" w:space="0" w:color="auto"/>
              <w:left w:val="single" w:sz="4" w:space="0" w:color="auto"/>
              <w:bottom w:val="single" w:sz="4" w:space="0" w:color="auto"/>
              <w:right w:val="single" w:sz="4" w:space="0" w:color="auto"/>
            </w:tcBorders>
            <w:shd w:val="clear" w:color="auto" w:fill="153D63"/>
            <w:hideMark/>
          </w:tcPr>
          <w:p w14:paraId="15A3B0CE" w14:textId="77777777" w:rsidR="00B84219" w:rsidRPr="00B84219" w:rsidRDefault="00B84219" w:rsidP="00B84219">
            <w:pPr>
              <w:rPr>
                <w:rFonts w:cs="Arial"/>
                <w:b/>
                <w:bCs/>
              </w:rPr>
            </w:pPr>
            <w:r w:rsidRPr="00B84219">
              <w:rPr>
                <w:rFonts w:cs="Arial"/>
                <w:b/>
                <w:bCs/>
              </w:rPr>
              <w:t>Area</w:t>
            </w:r>
          </w:p>
        </w:tc>
        <w:tc>
          <w:tcPr>
            <w:tcW w:w="3005" w:type="dxa"/>
            <w:tcBorders>
              <w:top w:val="single" w:sz="4" w:space="0" w:color="auto"/>
              <w:left w:val="single" w:sz="4" w:space="0" w:color="auto"/>
              <w:bottom w:val="single" w:sz="4" w:space="0" w:color="auto"/>
              <w:right w:val="single" w:sz="4" w:space="0" w:color="auto"/>
            </w:tcBorders>
            <w:shd w:val="clear" w:color="auto" w:fill="153D63"/>
            <w:hideMark/>
          </w:tcPr>
          <w:p w14:paraId="43C29AAA" w14:textId="77777777" w:rsidR="00B84219" w:rsidRPr="00B84219" w:rsidRDefault="00B84219" w:rsidP="00B84219">
            <w:pPr>
              <w:rPr>
                <w:rFonts w:cs="Arial"/>
                <w:b/>
                <w:bCs/>
              </w:rPr>
            </w:pPr>
            <w:r w:rsidRPr="00B84219">
              <w:rPr>
                <w:rFonts w:cs="Arial"/>
                <w:b/>
                <w:bCs/>
              </w:rPr>
              <w:t>Female at birth (years)</w:t>
            </w:r>
          </w:p>
        </w:tc>
        <w:tc>
          <w:tcPr>
            <w:tcW w:w="3006" w:type="dxa"/>
            <w:tcBorders>
              <w:top w:val="single" w:sz="4" w:space="0" w:color="auto"/>
              <w:left w:val="single" w:sz="4" w:space="0" w:color="auto"/>
              <w:bottom w:val="single" w:sz="4" w:space="0" w:color="auto"/>
              <w:right w:val="single" w:sz="4" w:space="0" w:color="auto"/>
            </w:tcBorders>
            <w:shd w:val="clear" w:color="auto" w:fill="153D63"/>
            <w:hideMark/>
          </w:tcPr>
          <w:p w14:paraId="1BB43EB5" w14:textId="77777777" w:rsidR="00B84219" w:rsidRPr="00B84219" w:rsidRDefault="00B84219" w:rsidP="00B84219">
            <w:pPr>
              <w:rPr>
                <w:rFonts w:cs="Arial"/>
                <w:b/>
                <w:bCs/>
              </w:rPr>
            </w:pPr>
            <w:r w:rsidRPr="00B84219">
              <w:rPr>
                <w:rFonts w:cs="Arial"/>
                <w:b/>
                <w:bCs/>
              </w:rPr>
              <w:t>Male at birth (years)</w:t>
            </w:r>
          </w:p>
        </w:tc>
      </w:tr>
      <w:tr w:rsidR="00B84219" w:rsidRPr="00B84219" w14:paraId="76E3FE04" w14:textId="77777777" w:rsidTr="00B84219">
        <w:tc>
          <w:tcPr>
            <w:tcW w:w="3005" w:type="dxa"/>
            <w:tcBorders>
              <w:top w:val="single" w:sz="4" w:space="0" w:color="auto"/>
              <w:left w:val="single" w:sz="4" w:space="0" w:color="auto"/>
              <w:bottom w:val="single" w:sz="4" w:space="0" w:color="auto"/>
              <w:right w:val="single" w:sz="4" w:space="0" w:color="auto"/>
            </w:tcBorders>
            <w:hideMark/>
          </w:tcPr>
          <w:p w14:paraId="769A190F" w14:textId="77777777" w:rsidR="00B84219" w:rsidRPr="00B84219" w:rsidRDefault="00B84219" w:rsidP="00B84219">
            <w:pPr>
              <w:rPr>
                <w:rFonts w:cs="Arial"/>
              </w:rPr>
            </w:pPr>
            <w:r w:rsidRPr="00B84219">
              <w:rPr>
                <w:rFonts w:cs="Arial"/>
              </w:rPr>
              <w:t>Swansea</w:t>
            </w:r>
          </w:p>
        </w:tc>
        <w:tc>
          <w:tcPr>
            <w:tcW w:w="3005" w:type="dxa"/>
            <w:tcBorders>
              <w:top w:val="single" w:sz="4" w:space="0" w:color="auto"/>
              <w:left w:val="single" w:sz="4" w:space="0" w:color="auto"/>
              <w:bottom w:val="single" w:sz="4" w:space="0" w:color="auto"/>
              <w:right w:val="single" w:sz="4" w:space="0" w:color="auto"/>
            </w:tcBorders>
            <w:hideMark/>
          </w:tcPr>
          <w:p w14:paraId="10C04D03" w14:textId="77777777" w:rsidR="00B84219" w:rsidRPr="00B84219" w:rsidRDefault="00B84219" w:rsidP="00B84219">
            <w:pPr>
              <w:rPr>
                <w:rFonts w:cs="Arial"/>
              </w:rPr>
            </w:pPr>
            <w:r w:rsidRPr="00B84219">
              <w:rPr>
                <w:rFonts w:cs="Arial"/>
              </w:rPr>
              <w:t>81.5</w:t>
            </w:r>
          </w:p>
        </w:tc>
        <w:tc>
          <w:tcPr>
            <w:tcW w:w="3006" w:type="dxa"/>
            <w:tcBorders>
              <w:top w:val="single" w:sz="4" w:space="0" w:color="auto"/>
              <w:left w:val="single" w:sz="4" w:space="0" w:color="auto"/>
              <w:bottom w:val="single" w:sz="4" w:space="0" w:color="auto"/>
              <w:right w:val="single" w:sz="4" w:space="0" w:color="auto"/>
            </w:tcBorders>
            <w:hideMark/>
          </w:tcPr>
          <w:p w14:paraId="3C57299B" w14:textId="77777777" w:rsidR="00B84219" w:rsidRPr="00B84219" w:rsidRDefault="00B84219" w:rsidP="00B84219">
            <w:pPr>
              <w:rPr>
                <w:rFonts w:cs="Arial"/>
              </w:rPr>
            </w:pPr>
            <w:r w:rsidRPr="00B84219">
              <w:rPr>
                <w:rFonts w:cs="Arial"/>
              </w:rPr>
              <w:t>76.9</w:t>
            </w:r>
          </w:p>
        </w:tc>
      </w:tr>
      <w:tr w:rsidR="00B84219" w:rsidRPr="00D0306F" w14:paraId="4E8E1999" w14:textId="77777777" w:rsidTr="00B84219">
        <w:tc>
          <w:tcPr>
            <w:tcW w:w="3005" w:type="dxa"/>
            <w:tcBorders>
              <w:top w:val="single" w:sz="4" w:space="0" w:color="auto"/>
              <w:left w:val="single" w:sz="4" w:space="0" w:color="auto"/>
              <w:bottom w:val="single" w:sz="4" w:space="0" w:color="auto"/>
              <w:right w:val="single" w:sz="4" w:space="0" w:color="auto"/>
            </w:tcBorders>
            <w:hideMark/>
          </w:tcPr>
          <w:p w14:paraId="2394D013" w14:textId="77777777" w:rsidR="00B84219" w:rsidRPr="00B84219" w:rsidRDefault="00B84219" w:rsidP="00B84219">
            <w:pPr>
              <w:rPr>
                <w:rFonts w:cs="Arial"/>
              </w:rPr>
            </w:pPr>
            <w:r w:rsidRPr="00B84219">
              <w:rPr>
                <w:rFonts w:cs="Arial"/>
              </w:rPr>
              <w:t>Wales</w:t>
            </w:r>
          </w:p>
        </w:tc>
        <w:tc>
          <w:tcPr>
            <w:tcW w:w="3005" w:type="dxa"/>
            <w:tcBorders>
              <w:top w:val="single" w:sz="4" w:space="0" w:color="auto"/>
              <w:left w:val="single" w:sz="4" w:space="0" w:color="auto"/>
              <w:bottom w:val="single" w:sz="4" w:space="0" w:color="auto"/>
              <w:right w:val="single" w:sz="4" w:space="0" w:color="auto"/>
            </w:tcBorders>
            <w:shd w:val="clear" w:color="auto" w:fill="FFFFFF"/>
            <w:hideMark/>
          </w:tcPr>
          <w:p w14:paraId="1EFF1CAE" w14:textId="77777777" w:rsidR="00B84219" w:rsidRPr="00B84219" w:rsidRDefault="00B84219" w:rsidP="00B84219">
            <w:pPr>
              <w:rPr>
                <w:rFonts w:cs="Arial"/>
              </w:rPr>
            </w:pPr>
            <w:r w:rsidRPr="00B84219">
              <w:rPr>
                <w:rFonts w:cs="Arial"/>
                <w:color w:val="000000"/>
              </w:rPr>
              <w:t>81.8</w:t>
            </w:r>
          </w:p>
        </w:tc>
        <w:tc>
          <w:tcPr>
            <w:tcW w:w="3006" w:type="dxa"/>
            <w:tcBorders>
              <w:top w:val="single" w:sz="4" w:space="0" w:color="auto"/>
              <w:left w:val="single" w:sz="4" w:space="0" w:color="auto"/>
              <w:bottom w:val="single" w:sz="4" w:space="0" w:color="auto"/>
              <w:right w:val="single" w:sz="4" w:space="0" w:color="auto"/>
            </w:tcBorders>
            <w:shd w:val="clear" w:color="auto" w:fill="FFFFFF"/>
            <w:hideMark/>
          </w:tcPr>
          <w:p w14:paraId="3BFC0665" w14:textId="77777777" w:rsidR="00B84219" w:rsidRPr="00B84219" w:rsidRDefault="00B84219" w:rsidP="00B84219">
            <w:pPr>
              <w:rPr>
                <w:rFonts w:cs="Arial"/>
              </w:rPr>
            </w:pPr>
            <w:r w:rsidRPr="00B84219">
              <w:rPr>
                <w:rFonts w:cs="Arial"/>
                <w:color w:val="000000"/>
              </w:rPr>
              <w:t>77.9</w:t>
            </w:r>
          </w:p>
        </w:tc>
      </w:tr>
    </w:tbl>
    <w:p w14:paraId="3C78D24E" w14:textId="77777777" w:rsidR="00B84219" w:rsidRPr="00B84219" w:rsidRDefault="00B84219" w:rsidP="00B84219">
      <w:pPr>
        <w:contextualSpacing/>
        <w:rPr>
          <w:rFonts w:eastAsia="Aptos" w:cs="Arial"/>
        </w:rPr>
      </w:pPr>
    </w:p>
    <w:p w14:paraId="0228DE5F" w14:textId="77777777" w:rsidR="00B84219" w:rsidRPr="00B84219" w:rsidRDefault="00B84219" w:rsidP="00B84219">
      <w:pPr>
        <w:contextualSpacing/>
        <w:rPr>
          <w:rFonts w:eastAsia="Aptos" w:cs="Arial"/>
          <w:kern w:val="0"/>
          <w14:ligatures w14:val="none"/>
        </w:rPr>
      </w:pPr>
      <w:r w:rsidRPr="00B84219">
        <w:rPr>
          <w:rFonts w:eastAsia="Aptos" w:cs="Arial"/>
        </w:rPr>
        <w:t>Disclaimer: Whilst the data presented in healthy life expectancy show figures for 2024, data from the years 2020 to 2022 have been used to ensure consistency and comparability across all years.</w:t>
      </w:r>
    </w:p>
    <w:p w14:paraId="74E7826E" w14:textId="77777777" w:rsidR="00B84219" w:rsidRPr="00B84219" w:rsidRDefault="00B84219" w:rsidP="00B84219">
      <w:pPr>
        <w:rPr>
          <w:rFonts w:eastAsia="Times New Roman" w:cs="Arial"/>
          <w:b/>
          <w:bCs/>
          <w:color w:val="000000"/>
          <w:kern w:val="0"/>
          <w:lang w:eastAsia="en-GB"/>
          <w14:ligatures w14:val="none"/>
        </w:rPr>
      </w:pPr>
    </w:p>
    <w:p w14:paraId="70839E56" w14:textId="77777777" w:rsidR="00B84219" w:rsidRPr="00B84219" w:rsidRDefault="00B84219" w:rsidP="00B84219">
      <w:pPr>
        <w:rPr>
          <w:rFonts w:eastAsia="Times New Roman" w:cs="Arial"/>
          <w:b/>
          <w:bCs/>
          <w:color w:val="000000"/>
          <w:kern w:val="0"/>
          <w:lang w:eastAsia="en-GB"/>
          <w14:ligatures w14:val="none"/>
        </w:rPr>
      </w:pPr>
      <w:r w:rsidRPr="00B84219">
        <w:rPr>
          <w:rFonts w:eastAsia="Times New Roman" w:cs="Arial"/>
          <w:b/>
          <w:bCs/>
          <w:color w:val="000000"/>
          <w:kern w:val="0"/>
          <w:lang w:eastAsia="en-GB"/>
          <w14:ligatures w14:val="none"/>
        </w:rPr>
        <w:t>9.2.3 Deprivation</w:t>
      </w:r>
    </w:p>
    <w:p w14:paraId="045E3B10" w14:textId="77777777" w:rsidR="00B84219" w:rsidRPr="00B84219" w:rsidRDefault="00B84219" w:rsidP="00B84219">
      <w:pPr>
        <w:rPr>
          <w:rFonts w:eastAsia="Times New Roman" w:cs="Arial"/>
          <w:b/>
          <w:bCs/>
          <w:color w:val="000000"/>
          <w:kern w:val="0"/>
          <w:lang w:eastAsia="en-GB"/>
          <w14:ligatures w14:val="none"/>
        </w:rPr>
      </w:pPr>
    </w:p>
    <w:p w14:paraId="2E0C84FE" w14:textId="77777777" w:rsidR="00B84219" w:rsidRPr="00B84219" w:rsidRDefault="00B84219" w:rsidP="00B84219">
      <w:pPr>
        <w:contextualSpacing/>
        <w:rPr>
          <w:rFonts w:eastAsia="Aptos" w:cs="Arial"/>
          <w:lang w:eastAsia="en-GB"/>
        </w:rPr>
      </w:pPr>
      <w:r w:rsidRPr="00B84219">
        <w:rPr>
          <w:rFonts w:eastAsia="Aptos" w:cs="Arial"/>
        </w:rPr>
        <w:t xml:space="preserve">The link between deprivation and poor health is well documented. Of the five localities in Swansea, City Health has a high proportion of people living in the most deprived areas in Wales (47.1%), compared with Bay Health (8.3%), Llwchwr (8.4%), Cwmtawe (22.0%) and Penderi (49.7%), and the health board as a whole (27.9%). </w:t>
      </w:r>
      <w:r w:rsidRPr="00B84219">
        <w:rPr>
          <w:rFonts w:eastAsia="Times New Roman" w:cs="Arial"/>
          <w:kern w:val="0"/>
          <w:lang w:eastAsia="en-GB"/>
          <w14:ligatures w14:val="none"/>
        </w:rPr>
        <w:t>There are, however, small areas of “deep-rooted” deprivation</w:t>
      </w:r>
      <w:r w:rsidRPr="00B84219">
        <w:rPr>
          <w:rFonts w:eastAsia="Times New Roman" w:cs="Arial"/>
          <w:kern w:val="0"/>
          <w:vertAlign w:val="superscript"/>
          <w:lang w:eastAsia="en-GB"/>
          <w14:ligatures w14:val="none"/>
        </w:rPr>
        <w:footnoteReference w:id="249"/>
      </w:r>
      <w:r w:rsidRPr="00B84219">
        <w:rPr>
          <w:rFonts w:eastAsia="Times New Roman" w:cs="Arial"/>
          <w:kern w:val="0"/>
          <w:lang w:eastAsia="en-GB"/>
          <w14:ligatures w14:val="none"/>
        </w:rPr>
        <w:t xml:space="preserve"> that have remained within the top 50 most deprived areas, roughly equal to the top 2.6% of small areas in Wales for the last six publications of Welsh Index of Multiple deprivation ranks. </w:t>
      </w:r>
      <w:r w:rsidRPr="00B84219">
        <w:rPr>
          <w:rFonts w:eastAsia="Times New Roman" w:cs="Arial"/>
          <w:kern w:val="0"/>
          <w:lang w:eastAsia="en-GB"/>
          <w14:ligatures w14:val="none"/>
        </w:rPr>
        <w:lastRenderedPageBreak/>
        <w:t>Where areas of deprivation exist, the population is likely to be experiencing the poorest health.</w:t>
      </w:r>
    </w:p>
    <w:p w14:paraId="3156D63F" w14:textId="77777777" w:rsidR="00B84219" w:rsidRPr="00B84219" w:rsidRDefault="00B84219" w:rsidP="00B84219">
      <w:pPr>
        <w:rPr>
          <w:rFonts w:eastAsia="Times New Roman" w:cs="Arial"/>
          <w:b/>
          <w:bCs/>
          <w:kern w:val="0"/>
          <w:lang w:eastAsia="en-GB"/>
          <w14:ligatures w14:val="none"/>
        </w:rPr>
      </w:pPr>
    </w:p>
    <w:p w14:paraId="6B65FDC9"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The table below shows the estimated percentage of people living in the most deprived 20% areas in the locality, compared with the health board.</w:t>
      </w:r>
    </w:p>
    <w:p w14:paraId="42C5EC20" w14:textId="77777777" w:rsidR="00B84219" w:rsidRPr="00B84219" w:rsidRDefault="00B84219" w:rsidP="00B84219">
      <w:pPr>
        <w:rPr>
          <w:rFonts w:eastAsia="Times New Roman" w:cs="Arial"/>
          <w:kern w:val="0"/>
          <w:lang w:eastAsia="en-GB"/>
          <w14:ligatures w14:val="none"/>
        </w:rPr>
      </w:pPr>
    </w:p>
    <w:p w14:paraId="3E0054E0"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Table 9.2: Estimated percentage of people living in the most deprived 20% of areas in the locality and the health board (2025)</w:t>
      </w:r>
      <w:r w:rsidRPr="00B84219">
        <w:rPr>
          <w:rFonts w:eastAsia="Times New Roman" w:cs="Arial"/>
          <w:b/>
          <w:bCs/>
          <w:kern w:val="0"/>
          <w:vertAlign w:val="superscript"/>
          <w:lang w:eastAsia="en-GB"/>
          <w14:ligatures w14:val="none"/>
        </w:rPr>
        <w:footnoteReference w:id="250"/>
      </w:r>
    </w:p>
    <w:p w14:paraId="2DC4F9A1" w14:textId="77777777" w:rsidR="00B84219" w:rsidRPr="00B84219" w:rsidRDefault="00B84219" w:rsidP="00B84219">
      <w:pPr>
        <w:rPr>
          <w:rFonts w:eastAsia="Times New Roman" w:cs="Arial"/>
          <w:b/>
          <w:bCs/>
          <w:kern w:val="0"/>
          <w:lang w:eastAsia="en-GB"/>
          <w14:ligatures w14:val="none"/>
        </w:rPr>
      </w:pPr>
    </w:p>
    <w:tbl>
      <w:tblPr>
        <w:tblStyle w:val="TableGrid"/>
        <w:tblW w:w="0" w:type="auto"/>
        <w:tblInd w:w="0" w:type="dxa"/>
        <w:tblLook w:val="04A0" w:firstRow="1" w:lastRow="0" w:firstColumn="1" w:lastColumn="0" w:noHBand="0" w:noVBand="1"/>
      </w:tblPr>
      <w:tblGrid>
        <w:gridCol w:w="5382"/>
        <w:gridCol w:w="3634"/>
      </w:tblGrid>
      <w:tr w:rsidR="00B84219" w:rsidRPr="00D0306F" w14:paraId="1EAD6BDC" w14:textId="77777777" w:rsidTr="00B84219">
        <w:tc>
          <w:tcPr>
            <w:tcW w:w="5382" w:type="dxa"/>
            <w:tcBorders>
              <w:top w:val="single" w:sz="4" w:space="0" w:color="auto"/>
              <w:left w:val="single" w:sz="4" w:space="0" w:color="auto"/>
              <w:bottom w:val="single" w:sz="4" w:space="0" w:color="auto"/>
              <w:right w:val="single" w:sz="4" w:space="0" w:color="auto"/>
            </w:tcBorders>
            <w:shd w:val="clear" w:color="auto" w:fill="153D63"/>
            <w:hideMark/>
          </w:tcPr>
          <w:p w14:paraId="78A970AC" w14:textId="77777777" w:rsidR="00B84219" w:rsidRPr="00B84219" w:rsidRDefault="00B84219" w:rsidP="00B84219">
            <w:pPr>
              <w:rPr>
                <w:rFonts w:cs="Arial"/>
                <w:b/>
                <w:bCs/>
              </w:rPr>
            </w:pPr>
            <w:r w:rsidRPr="00B84219">
              <w:rPr>
                <w:rFonts w:cs="Arial"/>
                <w:b/>
                <w:bCs/>
              </w:rPr>
              <w:t>Area</w:t>
            </w:r>
          </w:p>
        </w:tc>
        <w:tc>
          <w:tcPr>
            <w:tcW w:w="3634" w:type="dxa"/>
            <w:tcBorders>
              <w:top w:val="single" w:sz="4" w:space="0" w:color="auto"/>
              <w:left w:val="single" w:sz="4" w:space="0" w:color="auto"/>
              <w:bottom w:val="single" w:sz="4" w:space="0" w:color="auto"/>
              <w:right w:val="single" w:sz="4" w:space="0" w:color="auto"/>
            </w:tcBorders>
            <w:shd w:val="clear" w:color="auto" w:fill="153D63"/>
            <w:hideMark/>
          </w:tcPr>
          <w:p w14:paraId="175478DD" w14:textId="77777777" w:rsidR="00B84219" w:rsidRPr="00B84219" w:rsidRDefault="00B84219" w:rsidP="00B84219">
            <w:pPr>
              <w:jc w:val="center"/>
              <w:rPr>
                <w:rFonts w:cs="Arial"/>
                <w:b/>
                <w:bCs/>
              </w:rPr>
            </w:pPr>
            <w:r w:rsidRPr="00B84219">
              <w:rPr>
                <w:rFonts w:cs="Arial"/>
                <w:b/>
                <w:bCs/>
              </w:rPr>
              <w:t>Percentage</w:t>
            </w:r>
          </w:p>
        </w:tc>
      </w:tr>
      <w:tr w:rsidR="00B84219" w:rsidRPr="00B84219" w14:paraId="16426A2A" w14:textId="77777777" w:rsidTr="00B84219">
        <w:tc>
          <w:tcPr>
            <w:tcW w:w="5382" w:type="dxa"/>
            <w:tcBorders>
              <w:top w:val="single" w:sz="4" w:space="0" w:color="auto"/>
              <w:left w:val="single" w:sz="4" w:space="0" w:color="auto"/>
              <w:bottom w:val="single" w:sz="4" w:space="0" w:color="auto"/>
              <w:right w:val="single" w:sz="4" w:space="0" w:color="auto"/>
            </w:tcBorders>
            <w:hideMark/>
          </w:tcPr>
          <w:p w14:paraId="7E0FABE3" w14:textId="77777777" w:rsidR="00B84219" w:rsidRPr="00B84219" w:rsidRDefault="00B84219" w:rsidP="00B84219">
            <w:pPr>
              <w:rPr>
                <w:rFonts w:cs="Arial"/>
              </w:rPr>
            </w:pPr>
            <w:r w:rsidRPr="00B84219">
              <w:rPr>
                <w:rFonts w:cs="Arial"/>
              </w:rPr>
              <w:t>City Health locality</w:t>
            </w:r>
          </w:p>
        </w:tc>
        <w:tc>
          <w:tcPr>
            <w:tcW w:w="3634" w:type="dxa"/>
            <w:tcBorders>
              <w:top w:val="single" w:sz="4" w:space="0" w:color="auto"/>
              <w:left w:val="single" w:sz="4" w:space="0" w:color="auto"/>
              <w:bottom w:val="single" w:sz="4" w:space="0" w:color="auto"/>
              <w:right w:val="single" w:sz="4" w:space="0" w:color="auto"/>
            </w:tcBorders>
            <w:hideMark/>
          </w:tcPr>
          <w:p w14:paraId="3A4222EB" w14:textId="77777777" w:rsidR="00B84219" w:rsidRPr="00B84219" w:rsidRDefault="00B84219" w:rsidP="00B84219">
            <w:pPr>
              <w:jc w:val="center"/>
              <w:rPr>
                <w:rFonts w:cs="Arial"/>
              </w:rPr>
            </w:pPr>
            <w:r w:rsidRPr="00B84219">
              <w:rPr>
                <w:rFonts w:cs="Arial"/>
              </w:rPr>
              <w:t>47.1%</w:t>
            </w:r>
          </w:p>
        </w:tc>
      </w:tr>
      <w:tr w:rsidR="00B84219" w:rsidRPr="00B84219" w14:paraId="609120D0" w14:textId="77777777" w:rsidTr="00B84219">
        <w:tc>
          <w:tcPr>
            <w:tcW w:w="5382" w:type="dxa"/>
            <w:tcBorders>
              <w:top w:val="single" w:sz="4" w:space="0" w:color="auto"/>
              <w:left w:val="single" w:sz="4" w:space="0" w:color="auto"/>
              <w:bottom w:val="single" w:sz="4" w:space="0" w:color="auto"/>
              <w:right w:val="single" w:sz="4" w:space="0" w:color="auto"/>
            </w:tcBorders>
            <w:hideMark/>
          </w:tcPr>
          <w:p w14:paraId="0CEF8A1A" w14:textId="77777777" w:rsidR="00B84219" w:rsidRPr="00B84219" w:rsidRDefault="00B84219" w:rsidP="00B84219">
            <w:pPr>
              <w:rPr>
                <w:rFonts w:cs="Arial"/>
              </w:rPr>
            </w:pPr>
            <w:r w:rsidRPr="00B84219">
              <w:rPr>
                <w:rFonts w:cs="Arial"/>
              </w:rPr>
              <w:t>Swansea Bay University Health Board</w:t>
            </w:r>
          </w:p>
        </w:tc>
        <w:tc>
          <w:tcPr>
            <w:tcW w:w="3634" w:type="dxa"/>
            <w:tcBorders>
              <w:top w:val="single" w:sz="4" w:space="0" w:color="auto"/>
              <w:left w:val="single" w:sz="4" w:space="0" w:color="auto"/>
              <w:bottom w:val="single" w:sz="4" w:space="0" w:color="auto"/>
              <w:right w:val="single" w:sz="4" w:space="0" w:color="auto"/>
            </w:tcBorders>
            <w:hideMark/>
          </w:tcPr>
          <w:p w14:paraId="5C91CDCD" w14:textId="77777777" w:rsidR="00B84219" w:rsidRPr="00B84219" w:rsidRDefault="00B84219" w:rsidP="00B84219">
            <w:pPr>
              <w:jc w:val="center"/>
              <w:rPr>
                <w:rFonts w:cs="Arial"/>
              </w:rPr>
            </w:pPr>
            <w:r w:rsidRPr="00B84219">
              <w:rPr>
                <w:rFonts w:cs="Arial"/>
              </w:rPr>
              <w:t>27.9%</w:t>
            </w:r>
          </w:p>
        </w:tc>
      </w:tr>
    </w:tbl>
    <w:p w14:paraId="3AA4C89E" w14:textId="77777777" w:rsidR="00B84219" w:rsidRPr="00B84219" w:rsidRDefault="00B84219" w:rsidP="00B84219">
      <w:pPr>
        <w:rPr>
          <w:rFonts w:eastAsia="Times New Roman" w:cs="Arial"/>
          <w:b/>
          <w:bCs/>
          <w:kern w:val="0"/>
          <w:lang w:eastAsia="en-GB"/>
          <w14:ligatures w14:val="none"/>
        </w:rPr>
      </w:pPr>
    </w:p>
    <w:p w14:paraId="5EB1354E"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 xml:space="preserve">9.2.4 Health profile </w:t>
      </w:r>
    </w:p>
    <w:p w14:paraId="4F56DE5B" w14:textId="77777777" w:rsidR="00B84219" w:rsidRPr="00B84219" w:rsidRDefault="00B84219" w:rsidP="00B84219">
      <w:pPr>
        <w:rPr>
          <w:rFonts w:eastAsia="Aptos" w:cs="Arial"/>
        </w:rPr>
      </w:pPr>
    </w:p>
    <w:p w14:paraId="529D2DE9" w14:textId="77777777" w:rsidR="00B84219" w:rsidRPr="00B84219" w:rsidRDefault="00B84219" w:rsidP="00B84219">
      <w:pPr>
        <w:contextualSpacing/>
        <w:rPr>
          <w:rFonts w:eastAsia="Aptos" w:cs="Arial"/>
        </w:rPr>
      </w:pPr>
      <w:r w:rsidRPr="00B84219">
        <w:rPr>
          <w:rFonts w:eastAsia="Aptos" w:cs="Arial"/>
        </w:rPr>
        <w:t>The table below shows that the locality has a lower estimated prevalence of chronic conditions than both the health board and Wales averages in asthma (0.5% to 0.6% lower respectively), coronary heart disease (0.4% to 0.5% lower respectively), diabetes (0.2% to 0.5% lower respectively) and stroke and transient ischaemic attack (0.2% lower). Heart failure matches the Wales average but is lower than the health board average (0.2% lower), while chronic obstructive pulmonary disease is higher than both the health board and Wales average (0.3% higher).</w:t>
      </w:r>
    </w:p>
    <w:p w14:paraId="72F73036" w14:textId="77777777" w:rsidR="00B84219" w:rsidRPr="00B84219" w:rsidRDefault="00B84219" w:rsidP="00B84219">
      <w:pPr>
        <w:contextualSpacing/>
        <w:rPr>
          <w:rFonts w:eastAsia="Aptos" w:cs="Arial"/>
        </w:rPr>
      </w:pPr>
    </w:p>
    <w:p w14:paraId="10018F64" w14:textId="77777777" w:rsidR="00B84219" w:rsidRPr="00B84219" w:rsidRDefault="00B84219" w:rsidP="00B84219">
      <w:pPr>
        <w:keepNext/>
        <w:rPr>
          <w:rFonts w:eastAsia="Times New Roman" w:cs="Arial"/>
          <w:b/>
          <w:bCs/>
          <w:kern w:val="0"/>
          <w14:ligatures w14:val="none"/>
        </w:rPr>
      </w:pPr>
      <w:r w:rsidRPr="00B84219">
        <w:rPr>
          <w:rFonts w:eastAsia="Times New Roman" w:cs="Arial"/>
          <w:b/>
          <w:bCs/>
          <w:kern w:val="0"/>
          <w14:ligatures w14:val="none"/>
        </w:rPr>
        <w:t>Table 9.3: Estimated percentage prevalence of chronic condition based on people on GP practice registers by locality, health board and Wales, 2025</w:t>
      </w:r>
      <w:r w:rsidRPr="00B84219">
        <w:rPr>
          <w:rFonts w:eastAsia="Times New Roman" w:cs="Arial"/>
          <w:b/>
          <w:bCs/>
          <w:kern w:val="0"/>
          <w:vertAlign w:val="superscript"/>
          <w14:ligatures w14:val="none"/>
        </w:rPr>
        <w:footnoteReference w:id="251"/>
      </w:r>
    </w:p>
    <w:p w14:paraId="26E6A7E7" w14:textId="77777777" w:rsidR="00B84219" w:rsidRPr="00B84219" w:rsidRDefault="00B84219" w:rsidP="00B84219">
      <w:pPr>
        <w:keepNext/>
        <w:rPr>
          <w:rFonts w:eastAsia="Times New Roman" w:cs="Arial"/>
          <w:b/>
          <w:kern w:val="0"/>
          <w14:ligatures w14:val="none"/>
        </w:rPr>
      </w:pPr>
    </w:p>
    <w:tbl>
      <w:tblPr>
        <w:tblStyle w:val="TableGrid"/>
        <w:tblW w:w="9214" w:type="dxa"/>
        <w:tblInd w:w="-5" w:type="dxa"/>
        <w:tblLook w:val="04A0" w:firstRow="1" w:lastRow="0" w:firstColumn="1" w:lastColumn="0" w:noHBand="0" w:noVBand="1"/>
      </w:tblPr>
      <w:tblGrid>
        <w:gridCol w:w="1364"/>
        <w:gridCol w:w="1135"/>
        <w:gridCol w:w="1284"/>
        <w:gridCol w:w="1510"/>
        <w:gridCol w:w="1231"/>
        <w:gridCol w:w="1007"/>
        <w:gridCol w:w="1683"/>
      </w:tblGrid>
      <w:tr w:rsidR="00B84219" w:rsidRPr="00D0306F" w14:paraId="4D53974A" w14:textId="77777777" w:rsidTr="00B84219">
        <w:tc>
          <w:tcPr>
            <w:tcW w:w="1364" w:type="dxa"/>
            <w:tcBorders>
              <w:top w:val="single" w:sz="4" w:space="0" w:color="auto"/>
              <w:left w:val="single" w:sz="4" w:space="0" w:color="auto"/>
              <w:bottom w:val="single" w:sz="4" w:space="0" w:color="auto"/>
              <w:right w:val="single" w:sz="4" w:space="0" w:color="auto"/>
            </w:tcBorders>
            <w:shd w:val="clear" w:color="auto" w:fill="153D63"/>
            <w:hideMark/>
          </w:tcPr>
          <w:p w14:paraId="79C401B6" w14:textId="77777777" w:rsidR="00B84219" w:rsidRPr="00B84219" w:rsidRDefault="00B84219" w:rsidP="00B84219">
            <w:pPr>
              <w:keepNext/>
              <w:rPr>
                <w:rFonts w:cs="Arial"/>
                <w:b/>
              </w:rPr>
            </w:pPr>
            <w:r w:rsidRPr="00B84219">
              <w:rPr>
                <w:rFonts w:cs="Arial"/>
                <w:b/>
                <w:bCs/>
                <w:color w:val="FFFFFF"/>
              </w:rPr>
              <w:t>Area</w:t>
            </w:r>
          </w:p>
        </w:tc>
        <w:tc>
          <w:tcPr>
            <w:tcW w:w="1135" w:type="dxa"/>
            <w:tcBorders>
              <w:top w:val="single" w:sz="4" w:space="0" w:color="auto"/>
              <w:left w:val="single" w:sz="4" w:space="0" w:color="auto"/>
              <w:bottom w:val="single" w:sz="4" w:space="0" w:color="auto"/>
              <w:right w:val="single" w:sz="4" w:space="0" w:color="auto"/>
            </w:tcBorders>
            <w:shd w:val="clear" w:color="auto" w:fill="153D63"/>
            <w:hideMark/>
          </w:tcPr>
          <w:p w14:paraId="6F82972E" w14:textId="77777777" w:rsidR="00B84219" w:rsidRPr="00B84219" w:rsidRDefault="00B84219" w:rsidP="00B84219">
            <w:pPr>
              <w:keepNext/>
              <w:rPr>
                <w:rFonts w:cs="Arial"/>
                <w:b/>
              </w:rPr>
            </w:pPr>
            <w:r w:rsidRPr="00B84219">
              <w:rPr>
                <w:rFonts w:cs="Arial"/>
                <w:b/>
                <w:bCs/>
                <w:color w:val="FFFFFF"/>
              </w:rPr>
              <w:t>Asthma</w:t>
            </w:r>
          </w:p>
        </w:tc>
        <w:tc>
          <w:tcPr>
            <w:tcW w:w="1284" w:type="dxa"/>
            <w:tcBorders>
              <w:top w:val="single" w:sz="4" w:space="0" w:color="auto"/>
              <w:left w:val="single" w:sz="4" w:space="0" w:color="auto"/>
              <w:bottom w:val="single" w:sz="4" w:space="0" w:color="auto"/>
              <w:right w:val="single" w:sz="4" w:space="0" w:color="auto"/>
            </w:tcBorders>
            <w:shd w:val="clear" w:color="auto" w:fill="153D63"/>
            <w:hideMark/>
          </w:tcPr>
          <w:p w14:paraId="7FEEA77C" w14:textId="77777777" w:rsidR="00B84219" w:rsidRPr="00B84219" w:rsidRDefault="00B84219" w:rsidP="00B84219">
            <w:pPr>
              <w:keepNext/>
              <w:rPr>
                <w:rFonts w:cs="Arial"/>
                <w:b/>
              </w:rPr>
            </w:pPr>
            <w:r w:rsidRPr="00B84219">
              <w:rPr>
                <w:rFonts w:cs="Arial"/>
                <w:b/>
                <w:bCs/>
                <w:color w:val="FFFFFF"/>
              </w:rPr>
              <w:t>Coronary heart disease</w:t>
            </w:r>
          </w:p>
        </w:tc>
        <w:tc>
          <w:tcPr>
            <w:tcW w:w="1510" w:type="dxa"/>
            <w:tcBorders>
              <w:top w:val="single" w:sz="4" w:space="0" w:color="auto"/>
              <w:left w:val="single" w:sz="4" w:space="0" w:color="auto"/>
              <w:bottom w:val="single" w:sz="4" w:space="0" w:color="auto"/>
              <w:right w:val="single" w:sz="4" w:space="0" w:color="auto"/>
            </w:tcBorders>
            <w:shd w:val="clear" w:color="auto" w:fill="153D63"/>
            <w:hideMark/>
          </w:tcPr>
          <w:p w14:paraId="019C2FEB" w14:textId="77777777" w:rsidR="00B84219" w:rsidRPr="00B84219" w:rsidRDefault="00B84219" w:rsidP="00B84219">
            <w:pPr>
              <w:keepNext/>
              <w:rPr>
                <w:rFonts w:cs="Arial"/>
                <w:b/>
              </w:rPr>
            </w:pPr>
            <w:r w:rsidRPr="00B84219">
              <w:rPr>
                <w:rFonts w:cs="Arial"/>
                <w:b/>
                <w:bCs/>
                <w:color w:val="FFFFFF"/>
              </w:rPr>
              <w:t>Chronic obstructive pulmonary disease</w:t>
            </w:r>
          </w:p>
        </w:tc>
        <w:tc>
          <w:tcPr>
            <w:tcW w:w="1231" w:type="dxa"/>
            <w:tcBorders>
              <w:top w:val="single" w:sz="4" w:space="0" w:color="auto"/>
              <w:left w:val="single" w:sz="4" w:space="0" w:color="auto"/>
              <w:bottom w:val="single" w:sz="4" w:space="0" w:color="auto"/>
              <w:right w:val="single" w:sz="4" w:space="0" w:color="auto"/>
            </w:tcBorders>
            <w:shd w:val="clear" w:color="auto" w:fill="153D63"/>
            <w:hideMark/>
          </w:tcPr>
          <w:p w14:paraId="5FE70530" w14:textId="77777777" w:rsidR="00B84219" w:rsidRPr="00B84219" w:rsidRDefault="00B84219" w:rsidP="00B84219">
            <w:pPr>
              <w:keepNext/>
              <w:rPr>
                <w:rFonts w:cs="Arial"/>
                <w:b/>
              </w:rPr>
            </w:pPr>
            <w:r w:rsidRPr="00B84219">
              <w:rPr>
                <w:rFonts w:cs="Arial"/>
                <w:b/>
                <w:bCs/>
                <w:color w:val="FFFFFF"/>
              </w:rPr>
              <w:t>Diabetes</w:t>
            </w:r>
          </w:p>
        </w:tc>
        <w:tc>
          <w:tcPr>
            <w:tcW w:w="1007" w:type="dxa"/>
            <w:tcBorders>
              <w:top w:val="single" w:sz="4" w:space="0" w:color="auto"/>
              <w:left w:val="single" w:sz="4" w:space="0" w:color="auto"/>
              <w:bottom w:val="single" w:sz="4" w:space="0" w:color="auto"/>
              <w:right w:val="single" w:sz="4" w:space="0" w:color="auto"/>
            </w:tcBorders>
            <w:shd w:val="clear" w:color="auto" w:fill="153D63"/>
            <w:hideMark/>
          </w:tcPr>
          <w:p w14:paraId="3CBEF2D5" w14:textId="77777777" w:rsidR="00B84219" w:rsidRPr="00B84219" w:rsidRDefault="00B84219" w:rsidP="00B84219">
            <w:pPr>
              <w:keepNext/>
              <w:rPr>
                <w:rFonts w:cs="Arial"/>
                <w:b/>
              </w:rPr>
            </w:pPr>
            <w:r w:rsidRPr="00B84219">
              <w:rPr>
                <w:rFonts w:cs="Arial"/>
                <w:b/>
                <w:bCs/>
                <w:color w:val="FFFFFF"/>
              </w:rPr>
              <w:t>Heart failure</w:t>
            </w:r>
          </w:p>
        </w:tc>
        <w:tc>
          <w:tcPr>
            <w:tcW w:w="1683" w:type="dxa"/>
            <w:tcBorders>
              <w:top w:val="single" w:sz="4" w:space="0" w:color="auto"/>
              <w:left w:val="single" w:sz="4" w:space="0" w:color="auto"/>
              <w:bottom w:val="single" w:sz="4" w:space="0" w:color="auto"/>
              <w:right w:val="single" w:sz="4" w:space="0" w:color="auto"/>
            </w:tcBorders>
            <w:shd w:val="clear" w:color="auto" w:fill="153D63"/>
          </w:tcPr>
          <w:p w14:paraId="0476A601" w14:textId="77777777" w:rsidR="00B84219" w:rsidRPr="00B84219" w:rsidRDefault="00B84219" w:rsidP="00B84219">
            <w:pPr>
              <w:keepNext/>
              <w:rPr>
                <w:rFonts w:cs="Arial"/>
                <w:b/>
                <w:bCs/>
                <w:color w:val="FFFFFF"/>
              </w:rPr>
            </w:pPr>
            <w:r w:rsidRPr="00B84219">
              <w:rPr>
                <w:rFonts w:cs="Arial"/>
                <w:b/>
                <w:bCs/>
                <w:color w:val="FFFFFF"/>
              </w:rPr>
              <w:t>Stroke and transient ischaemic attacks</w:t>
            </w:r>
          </w:p>
          <w:p w14:paraId="56CB38EC" w14:textId="77777777" w:rsidR="00B84219" w:rsidRPr="00B84219" w:rsidRDefault="00B84219" w:rsidP="00B84219">
            <w:pPr>
              <w:keepNext/>
              <w:rPr>
                <w:rFonts w:cs="Arial"/>
                <w:b/>
              </w:rPr>
            </w:pPr>
          </w:p>
        </w:tc>
      </w:tr>
      <w:tr w:rsidR="00B84219" w:rsidRPr="00B84219" w14:paraId="15378D0E" w14:textId="77777777" w:rsidTr="00B84219">
        <w:tc>
          <w:tcPr>
            <w:tcW w:w="1364" w:type="dxa"/>
            <w:tcBorders>
              <w:top w:val="single" w:sz="4" w:space="0" w:color="auto"/>
              <w:left w:val="single" w:sz="4" w:space="0" w:color="auto"/>
              <w:bottom w:val="single" w:sz="4" w:space="0" w:color="auto"/>
              <w:right w:val="single" w:sz="4" w:space="0" w:color="auto"/>
            </w:tcBorders>
            <w:hideMark/>
          </w:tcPr>
          <w:p w14:paraId="1ADFDEC2" w14:textId="77777777" w:rsidR="00B84219" w:rsidRPr="00B84219" w:rsidRDefault="00B84219" w:rsidP="00B84219">
            <w:pPr>
              <w:keepNext/>
              <w:rPr>
                <w:rFonts w:cs="Arial"/>
                <w:color w:val="000000"/>
              </w:rPr>
            </w:pPr>
            <w:r w:rsidRPr="00B84219">
              <w:rPr>
                <w:rFonts w:cs="Arial"/>
                <w:color w:val="000000"/>
              </w:rPr>
              <w:t>City Health locality</w:t>
            </w:r>
          </w:p>
        </w:tc>
        <w:tc>
          <w:tcPr>
            <w:tcW w:w="1135" w:type="dxa"/>
            <w:tcBorders>
              <w:top w:val="single" w:sz="4" w:space="0" w:color="auto"/>
              <w:left w:val="single" w:sz="4" w:space="0" w:color="auto"/>
              <w:bottom w:val="single" w:sz="4" w:space="0" w:color="auto"/>
              <w:right w:val="single" w:sz="4" w:space="0" w:color="auto"/>
            </w:tcBorders>
            <w:hideMark/>
          </w:tcPr>
          <w:p w14:paraId="19716908" w14:textId="77777777" w:rsidR="00B84219" w:rsidRPr="00B84219" w:rsidRDefault="00B84219" w:rsidP="00B84219">
            <w:pPr>
              <w:keepNext/>
              <w:rPr>
                <w:rFonts w:cs="Arial"/>
                <w:bCs/>
              </w:rPr>
            </w:pPr>
            <w:r w:rsidRPr="00B84219">
              <w:rPr>
                <w:rFonts w:cs="Arial"/>
                <w:bCs/>
              </w:rPr>
              <w:t>6.5%</w:t>
            </w:r>
          </w:p>
        </w:tc>
        <w:tc>
          <w:tcPr>
            <w:tcW w:w="1284" w:type="dxa"/>
            <w:tcBorders>
              <w:top w:val="single" w:sz="4" w:space="0" w:color="auto"/>
              <w:left w:val="single" w:sz="4" w:space="0" w:color="auto"/>
              <w:bottom w:val="single" w:sz="4" w:space="0" w:color="auto"/>
              <w:right w:val="single" w:sz="4" w:space="0" w:color="auto"/>
            </w:tcBorders>
            <w:hideMark/>
          </w:tcPr>
          <w:p w14:paraId="2ED7265C" w14:textId="77777777" w:rsidR="00B84219" w:rsidRPr="00B84219" w:rsidRDefault="00B84219" w:rsidP="00B84219">
            <w:pPr>
              <w:keepNext/>
              <w:rPr>
                <w:rFonts w:cs="Arial"/>
                <w:bCs/>
              </w:rPr>
            </w:pPr>
            <w:r w:rsidRPr="00B84219">
              <w:rPr>
                <w:rFonts w:cs="Arial"/>
                <w:bCs/>
              </w:rPr>
              <w:t>2.9%</w:t>
            </w:r>
          </w:p>
        </w:tc>
        <w:tc>
          <w:tcPr>
            <w:tcW w:w="1510" w:type="dxa"/>
            <w:tcBorders>
              <w:top w:val="single" w:sz="4" w:space="0" w:color="auto"/>
              <w:left w:val="single" w:sz="4" w:space="0" w:color="auto"/>
              <w:bottom w:val="single" w:sz="4" w:space="0" w:color="auto"/>
              <w:right w:val="single" w:sz="4" w:space="0" w:color="auto"/>
            </w:tcBorders>
            <w:hideMark/>
          </w:tcPr>
          <w:p w14:paraId="0EE751B8" w14:textId="77777777" w:rsidR="00B84219" w:rsidRPr="00B84219" w:rsidRDefault="00B84219" w:rsidP="00B84219">
            <w:pPr>
              <w:keepNext/>
              <w:rPr>
                <w:rFonts w:cs="Arial"/>
                <w:bCs/>
              </w:rPr>
            </w:pPr>
            <w:r w:rsidRPr="00B84219">
              <w:rPr>
                <w:rFonts w:cs="Arial"/>
                <w:bCs/>
              </w:rPr>
              <w:t>2.6%</w:t>
            </w:r>
          </w:p>
        </w:tc>
        <w:tc>
          <w:tcPr>
            <w:tcW w:w="1231" w:type="dxa"/>
            <w:tcBorders>
              <w:top w:val="single" w:sz="4" w:space="0" w:color="auto"/>
              <w:left w:val="single" w:sz="4" w:space="0" w:color="auto"/>
              <w:bottom w:val="single" w:sz="4" w:space="0" w:color="auto"/>
              <w:right w:val="single" w:sz="4" w:space="0" w:color="auto"/>
            </w:tcBorders>
            <w:hideMark/>
          </w:tcPr>
          <w:p w14:paraId="5B36BF75" w14:textId="77777777" w:rsidR="00B84219" w:rsidRPr="00B84219" w:rsidRDefault="00B84219" w:rsidP="00B84219">
            <w:pPr>
              <w:keepNext/>
              <w:rPr>
                <w:rFonts w:cs="Arial"/>
                <w:bCs/>
              </w:rPr>
            </w:pPr>
            <w:r w:rsidRPr="00B84219">
              <w:rPr>
                <w:rFonts w:cs="Arial"/>
                <w:bCs/>
              </w:rPr>
              <w:t>7.9%</w:t>
            </w:r>
          </w:p>
        </w:tc>
        <w:tc>
          <w:tcPr>
            <w:tcW w:w="1007" w:type="dxa"/>
            <w:tcBorders>
              <w:top w:val="single" w:sz="4" w:space="0" w:color="auto"/>
              <w:left w:val="single" w:sz="4" w:space="0" w:color="auto"/>
              <w:bottom w:val="single" w:sz="4" w:space="0" w:color="auto"/>
              <w:right w:val="single" w:sz="4" w:space="0" w:color="auto"/>
            </w:tcBorders>
            <w:hideMark/>
          </w:tcPr>
          <w:p w14:paraId="5E5BCD82" w14:textId="77777777" w:rsidR="00B84219" w:rsidRPr="00B84219" w:rsidRDefault="00B84219" w:rsidP="00B84219">
            <w:pPr>
              <w:keepNext/>
              <w:rPr>
                <w:rFonts w:cs="Arial"/>
                <w:bCs/>
              </w:rPr>
            </w:pPr>
            <w:r w:rsidRPr="00B84219">
              <w:rPr>
                <w:rFonts w:cs="Arial"/>
                <w:bCs/>
              </w:rPr>
              <w:t>1.4%</w:t>
            </w:r>
          </w:p>
        </w:tc>
        <w:tc>
          <w:tcPr>
            <w:tcW w:w="1683" w:type="dxa"/>
            <w:tcBorders>
              <w:top w:val="single" w:sz="4" w:space="0" w:color="auto"/>
              <w:left w:val="single" w:sz="4" w:space="0" w:color="auto"/>
              <w:bottom w:val="single" w:sz="4" w:space="0" w:color="auto"/>
              <w:right w:val="single" w:sz="4" w:space="0" w:color="auto"/>
            </w:tcBorders>
            <w:hideMark/>
          </w:tcPr>
          <w:p w14:paraId="02E7E48C" w14:textId="77777777" w:rsidR="00B84219" w:rsidRPr="00B84219" w:rsidRDefault="00B84219" w:rsidP="00B84219">
            <w:pPr>
              <w:keepNext/>
              <w:rPr>
                <w:rFonts w:cs="Arial"/>
                <w:bCs/>
              </w:rPr>
            </w:pPr>
            <w:r w:rsidRPr="00B84219">
              <w:rPr>
                <w:rFonts w:cs="Arial"/>
                <w:bCs/>
              </w:rPr>
              <w:t>2.0%</w:t>
            </w:r>
          </w:p>
        </w:tc>
      </w:tr>
      <w:tr w:rsidR="00B84219" w:rsidRPr="00B84219" w14:paraId="1C2717F6" w14:textId="77777777" w:rsidTr="00B84219">
        <w:tc>
          <w:tcPr>
            <w:tcW w:w="1364" w:type="dxa"/>
            <w:tcBorders>
              <w:top w:val="single" w:sz="4" w:space="0" w:color="auto"/>
              <w:left w:val="single" w:sz="4" w:space="0" w:color="auto"/>
              <w:bottom w:val="single" w:sz="4" w:space="0" w:color="auto"/>
              <w:right w:val="single" w:sz="4" w:space="0" w:color="auto"/>
            </w:tcBorders>
            <w:hideMark/>
          </w:tcPr>
          <w:p w14:paraId="0F2AFC6D" w14:textId="77777777" w:rsidR="00B84219" w:rsidRPr="00B84219" w:rsidRDefault="00B84219" w:rsidP="00B84219">
            <w:pPr>
              <w:keepNext/>
              <w:rPr>
                <w:rFonts w:cs="Arial"/>
                <w:color w:val="000000"/>
              </w:rPr>
            </w:pPr>
            <w:r w:rsidRPr="00B84219">
              <w:rPr>
                <w:rFonts w:cs="Arial"/>
                <w:color w:val="000000"/>
              </w:rPr>
              <w:t xml:space="preserve">Swansea Bay University Health Board </w:t>
            </w:r>
          </w:p>
        </w:tc>
        <w:tc>
          <w:tcPr>
            <w:tcW w:w="1135" w:type="dxa"/>
            <w:tcBorders>
              <w:top w:val="single" w:sz="4" w:space="0" w:color="auto"/>
              <w:left w:val="single" w:sz="4" w:space="0" w:color="auto"/>
              <w:bottom w:val="single" w:sz="4" w:space="0" w:color="auto"/>
              <w:right w:val="single" w:sz="4" w:space="0" w:color="auto"/>
            </w:tcBorders>
            <w:hideMark/>
          </w:tcPr>
          <w:p w14:paraId="7F229DC3" w14:textId="77777777" w:rsidR="00B84219" w:rsidRPr="00B84219" w:rsidRDefault="00B84219" w:rsidP="00B84219">
            <w:pPr>
              <w:keepNext/>
              <w:rPr>
                <w:rFonts w:cs="Arial"/>
                <w:color w:val="000000"/>
              </w:rPr>
            </w:pPr>
            <w:r w:rsidRPr="00B84219">
              <w:rPr>
                <w:rFonts w:cs="Arial"/>
                <w:color w:val="000000"/>
              </w:rPr>
              <w:t>7.0%</w:t>
            </w:r>
          </w:p>
        </w:tc>
        <w:tc>
          <w:tcPr>
            <w:tcW w:w="1284" w:type="dxa"/>
            <w:tcBorders>
              <w:top w:val="single" w:sz="4" w:space="0" w:color="auto"/>
              <w:left w:val="single" w:sz="4" w:space="0" w:color="auto"/>
              <w:bottom w:val="single" w:sz="4" w:space="0" w:color="auto"/>
              <w:right w:val="single" w:sz="4" w:space="0" w:color="auto"/>
            </w:tcBorders>
            <w:hideMark/>
          </w:tcPr>
          <w:p w14:paraId="6E0B3C92" w14:textId="77777777" w:rsidR="00B84219" w:rsidRPr="00B84219" w:rsidRDefault="00B84219" w:rsidP="00B84219">
            <w:pPr>
              <w:keepNext/>
              <w:rPr>
                <w:rFonts w:cs="Arial"/>
                <w:color w:val="000000"/>
              </w:rPr>
            </w:pPr>
            <w:r w:rsidRPr="00B84219">
              <w:rPr>
                <w:rFonts w:cs="Arial"/>
                <w:color w:val="000000"/>
              </w:rPr>
              <w:t>3.3%</w:t>
            </w:r>
          </w:p>
        </w:tc>
        <w:tc>
          <w:tcPr>
            <w:tcW w:w="1510" w:type="dxa"/>
            <w:tcBorders>
              <w:top w:val="single" w:sz="4" w:space="0" w:color="auto"/>
              <w:left w:val="single" w:sz="4" w:space="0" w:color="auto"/>
              <w:bottom w:val="single" w:sz="4" w:space="0" w:color="auto"/>
              <w:right w:val="single" w:sz="4" w:space="0" w:color="auto"/>
            </w:tcBorders>
            <w:hideMark/>
          </w:tcPr>
          <w:p w14:paraId="401F9B42" w14:textId="77777777" w:rsidR="00B84219" w:rsidRPr="00B84219" w:rsidRDefault="00B84219" w:rsidP="00B84219">
            <w:pPr>
              <w:keepNext/>
              <w:rPr>
                <w:rFonts w:cs="Arial"/>
                <w:color w:val="000000"/>
              </w:rPr>
            </w:pPr>
            <w:r w:rsidRPr="00B84219">
              <w:rPr>
                <w:rFonts w:cs="Arial"/>
                <w:color w:val="000000"/>
              </w:rPr>
              <w:t>2.3%</w:t>
            </w:r>
          </w:p>
        </w:tc>
        <w:tc>
          <w:tcPr>
            <w:tcW w:w="1231" w:type="dxa"/>
            <w:tcBorders>
              <w:top w:val="single" w:sz="4" w:space="0" w:color="auto"/>
              <w:left w:val="single" w:sz="4" w:space="0" w:color="auto"/>
              <w:bottom w:val="single" w:sz="4" w:space="0" w:color="auto"/>
              <w:right w:val="single" w:sz="4" w:space="0" w:color="auto"/>
            </w:tcBorders>
            <w:hideMark/>
          </w:tcPr>
          <w:p w14:paraId="17941450" w14:textId="77777777" w:rsidR="00B84219" w:rsidRPr="00B84219" w:rsidRDefault="00B84219" w:rsidP="00B84219">
            <w:pPr>
              <w:keepNext/>
              <w:rPr>
                <w:rFonts w:cs="Arial"/>
                <w:color w:val="000000"/>
              </w:rPr>
            </w:pPr>
            <w:r w:rsidRPr="00B84219">
              <w:rPr>
                <w:rFonts w:cs="Arial"/>
                <w:color w:val="000000"/>
              </w:rPr>
              <w:t>8.1%</w:t>
            </w:r>
          </w:p>
        </w:tc>
        <w:tc>
          <w:tcPr>
            <w:tcW w:w="1007" w:type="dxa"/>
            <w:tcBorders>
              <w:top w:val="single" w:sz="4" w:space="0" w:color="auto"/>
              <w:left w:val="single" w:sz="4" w:space="0" w:color="auto"/>
              <w:bottom w:val="single" w:sz="4" w:space="0" w:color="auto"/>
              <w:right w:val="single" w:sz="4" w:space="0" w:color="auto"/>
            </w:tcBorders>
            <w:hideMark/>
          </w:tcPr>
          <w:p w14:paraId="26DBF2AB" w14:textId="77777777" w:rsidR="00B84219" w:rsidRPr="00B84219" w:rsidRDefault="00B84219" w:rsidP="00B84219">
            <w:pPr>
              <w:keepNext/>
              <w:rPr>
                <w:rFonts w:cs="Arial"/>
                <w:color w:val="000000"/>
              </w:rPr>
            </w:pPr>
            <w:r w:rsidRPr="00B84219">
              <w:rPr>
                <w:rFonts w:cs="Arial"/>
                <w:color w:val="000000"/>
              </w:rPr>
              <w:t>1.6%</w:t>
            </w:r>
          </w:p>
        </w:tc>
        <w:tc>
          <w:tcPr>
            <w:tcW w:w="1683" w:type="dxa"/>
            <w:tcBorders>
              <w:top w:val="single" w:sz="4" w:space="0" w:color="auto"/>
              <w:left w:val="single" w:sz="4" w:space="0" w:color="auto"/>
              <w:bottom w:val="single" w:sz="4" w:space="0" w:color="auto"/>
              <w:right w:val="single" w:sz="4" w:space="0" w:color="auto"/>
            </w:tcBorders>
            <w:hideMark/>
          </w:tcPr>
          <w:p w14:paraId="5EF94709" w14:textId="77777777" w:rsidR="00B84219" w:rsidRPr="00B84219" w:rsidRDefault="00B84219" w:rsidP="00B84219">
            <w:pPr>
              <w:keepNext/>
              <w:rPr>
                <w:rFonts w:cs="Arial"/>
                <w:color w:val="000000"/>
              </w:rPr>
            </w:pPr>
            <w:r w:rsidRPr="00B84219">
              <w:rPr>
                <w:rFonts w:cs="Arial"/>
                <w:color w:val="000000"/>
              </w:rPr>
              <w:t>2.2%</w:t>
            </w:r>
          </w:p>
        </w:tc>
      </w:tr>
      <w:tr w:rsidR="00B84219" w:rsidRPr="00B84219" w14:paraId="20899B87" w14:textId="77777777" w:rsidTr="00B84219">
        <w:tc>
          <w:tcPr>
            <w:tcW w:w="1364" w:type="dxa"/>
            <w:tcBorders>
              <w:top w:val="single" w:sz="4" w:space="0" w:color="auto"/>
              <w:left w:val="single" w:sz="4" w:space="0" w:color="auto"/>
              <w:bottom w:val="single" w:sz="4" w:space="0" w:color="auto"/>
              <w:right w:val="single" w:sz="4" w:space="0" w:color="auto"/>
            </w:tcBorders>
            <w:hideMark/>
          </w:tcPr>
          <w:p w14:paraId="22CEFD3A" w14:textId="77777777" w:rsidR="00B84219" w:rsidRPr="00B84219" w:rsidRDefault="00B84219" w:rsidP="00B84219">
            <w:pPr>
              <w:keepNext/>
              <w:rPr>
                <w:rFonts w:cs="Arial"/>
                <w:color w:val="000000"/>
              </w:rPr>
            </w:pPr>
            <w:r w:rsidRPr="00B84219">
              <w:rPr>
                <w:rFonts w:cs="Arial"/>
                <w:color w:val="000000"/>
              </w:rPr>
              <w:t>Wales</w:t>
            </w:r>
          </w:p>
        </w:tc>
        <w:tc>
          <w:tcPr>
            <w:tcW w:w="1135" w:type="dxa"/>
            <w:tcBorders>
              <w:top w:val="single" w:sz="4" w:space="0" w:color="auto"/>
              <w:left w:val="single" w:sz="4" w:space="0" w:color="auto"/>
              <w:bottom w:val="single" w:sz="4" w:space="0" w:color="auto"/>
              <w:right w:val="single" w:sz="4" w:space="0" w:color="auto"/>
            </w:tcBorders>
            <w:hideMark/>
          </w:tcPr>
          <w:p w14:paraId="79D57122" w14:textId="77777777" w:rsidR="00B84219" w:rsidRPr="00B84219" w:rsidRDefault="00B84219" w:rsidP="00B84219">
            <w:pPr>
              <w:keepNext/>
              <w:rPr>
                <w:rFonts w:cs="Arial"/>
                <w:color w:val="000000"/>
              </w:rPr>
            </w:pPr>
            <w:r w:rsidRPr="00B84219">
              <w:rPr>
                <w:rFonts w:cs="Arial"/>
                <w:color w:val="000000"/>
              </w:rPr>
              <w:t>7.1%</w:t>
            </w:r>
          </w:p>
        </w:tc>
        <w:tc>
          <w:tcPr>
            <w:tcW w:w="1284" w:type="dxa"/>
            <w:tcBorders>
              <w:top w:val="single" w:sz="4" w:space="0" w:color="auto"/>
              <w:left w:val="single" w:sz="4" w:space="0" w:color="auto"/>
              <w:bottom w:val="single" w:sz="4" w:space="0" w:color="auto"/>
              <w:right w:val="single" w:sz="4" w:space="0" w:color="auto"/>
            </w:tcBorders>
            <w:hideMark/>
          </w:tcPr>
          <w:p w14:paraId="0C62281B" w14:textId="77777777" w:rsidR="00B84219" w:rsidRPr="00B84219" w:rsidRDefault="00B84219" w:rsidP="00B84219">
            <w:pPr>
              <w:keepNext/>
              <w:rPr>
                <w:rFonts w:cs="Arial"/>
                <w:color w:val="000000"/>
              </w:rPr>
            </w:pPr>
            <w:r w:rsidRPr="00B84219">
              <w:rPr>
                <w:rFonts w:cs="Arial"/>
                <w:color w:val="000000"/>
              </w:rPr>
              <w:t>3.4%</w:t>
            </w:r>
          </w:p>
        </w:tc>
        <w:tc>
          <w:tcPr>
            <w:tcW w:w="1510" w:type="dxa"/>
            <w:tcBorders>
              <w:top w:val="single" w:sz="4" w:space="0" w:color="auto"/>
              <w:left w:val="single" w:sz="4" w:space="0" w:color="auto"/>
              <w:bottom w:val="single" w:sz="4" w:space="0" w:color="auto"/>
              <w:right w:val="single" w:sz="4" w:space="0" w:color="auto"/>
            </w:tcBorders>
            <w:hideMark/>
          </w:tcPr>
          <w:p w14:paraId="2CA945F0" w14:textId="77777777" w:rsidR="00B84219" w:rsidRPr="00B84219" w:rsidRDefault="00B84219" w:rsidP="00B84219">
            <w:pPr>
              <w:keepNext/>
              <w:rPr>
                <w:rFonts w:cs="Arial"/>
                <w:color w:val="000000"/>
              </w:rPr>
            </w:pPr>
            <w:r w:rsidRPr="00B84219">
              <w:rPr>
                <w:rFonts w:cs="Arial"/>
                <w:color w:val="000000"/>
              </w:rPr>
              <w:t>2.3%</w:t>
            </w:r>
          </w:p>
        </w:tc>
        <w:tc>
          <w:tcPr>
            <w:tcW w:w="1231" w:type="dxa"/>
            <w:tcBorders>
              <w:top w:val="single" w:sz="4" w:space="0" w:color="auto"/>
              <w:left w:val="single" w:sz="4" w:space="0" w:color="auto"/>
              <w:bottom w:val="single" w:sz="4" w:space="0" w:color="auto"/>
              <w:right w:val="single" w:sz="4" w:space="0" w:color="auto"/>
            </w:tcBorders>
            <w:hideMark/>
          </w:tcPr>
          <w:p w14:paraId="74ECCF84" w14:textId="77777777" w:rsidR="00B84219" w:rsidRPr="00B84219" w:rsidRDefault="00B84219" w:rsidP="00B84219">
            <w:pPr>
              <w:keepNext/>
              <w:rPr>
                <w:rFonts w:cs="Arial"/>
                <w:color w:val="000000"/>
              </w:rPr>
            </w:pPr>
            <w:r w:rsidRPr="00B84219">
              <w:rPr>
                <w:rFonts w:cs="Arial"/>
                <w:color w:val="000000"/>
              </w:rPr>
              <w:t>8.4%</w:t>
            </w:r>
          </w:p>
        </w:tc>
        <w:tc>
          <w:tcPr>
            <w:tcW w:w="1007" w:type="dxa"/>
            <w:tcBorders>
              <w:top w:val="single" w:sz="4" w:space="0" w:color="auto"/>
              <w:left w:val="single" w:sz="4" w:space="0" w:color="auto"/>
              <w:bottom w:val="single" w:sz="4" w:space="0" w:color="auto"/>
              <w:right w:val="single" w:sz="4" w:space="0" w:color="auto"/>
            </w:tcBorders>
            <w:hideMark/>
          </w:tcPr>
          <w:p w14:paraId="3BE1F829" w14:textId="77777777" w:rsidR="00B84219" w:rsidRPr="00B84219" w:rsidRDefault="00B84219" w:rsidP="00B84219">
            <w:pPr>
              <w:keepNext/>
              <w:rPr>
                <w:rFonts w:cs="Arial"/>
                <w:color w:val="000000"/>
              </w:rPr>
            </w:pPr>
            <w:r w:rsidRPr="00B84219">
              <w:rPr>
                <w:rFonts w:cs="Arial"/>
                <w:color w:val="000000"/>
              </w:rPr>
              <w:t>1.4%</w:t>
            </w:r>
          </w:p>
        </w:tc>
        <w:tc>
          <w:tcPr>
            <w:tcW w:w="1683" w:type="dxa"/>
            <w:tcBorders>
              <w:top w:val="single" w:sz="4" w:space="0" w:color="auto"/>
              <w:left w:val="single" w:sz="4" w:space="0" w:color="auto"/>
              <w:bottom w:val="single" w:sz="4" w:space="0" w:color="auto"/>
              <w:right w:val="single" w:sz="4" w:space="0" w:color="auto"/>
            </w:tcBorders>
            <w:hideMark/>
          </w:tcPr>
          <w:p w14:paraId="66FA0473" w14:textId="77777777" w:rsidR="00B84219" w:rsidRPr="00B84219" w:rsidRDefault="00B84219" w:rsidP="00B84219">
            <w:pPr>
              <w:keepNext/>
              <w:rPr>
                <w:rFonts w:cs="Arial"/>
                <w:color w:val="000000"/>
              </w:rPr>
            </w:pPr>
            <w:r w:rsidRPr="00B84219">
              <w:rPr>
                <w:rFonts w:cs="Arial"/>
                <w:color w:val="000000"/>
              </w:rPr>
              <w:t>2.2%</w:t>
            </w:r>
          </w:p>
        </w:tc>
      </w:tr>
    </w:tbl>
    <w:p w14:paraId="5A204529" w14:textId="77777777" w:rsidR="00B84219" w:rsidRPr="00B84219" w:rsidRDefault="00B84219" w:rsidP="00B84219">
      <w:pPr>
        <w:rPr>
          <w:rFonts w:eastAsia="Times New Roman" w:cs="Arial"/>
          <w:kern w:val="0"/>
          <w:lang w:eastAsia="en-GB"/>
          <w14:ligatures w14:val="none"/>
        </w:rPr>
      </w:pPr>
    </w:p>
    <w:p w14:paraId="230A1BCD"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The table below compares the percentage of people registered with a mental health condition and dementia in the locality with the health board and Wales averages. It shows the rate of mental health conditions is higher than both the health board and Wales averages (0.2% and 0.4% higher respectively) and dementia is lower than both the health board and Wales average (0.3% lower).</w:t>
      </w:r>
    </w:p>
    <w:p w14:paraId="55D93C25" w14:textId="77777777" w:rsidR="00B84219" w:rsidRPr="00B84219" w:rsidRDefault="00B84219" w:rsidP="00B84219">
      <w:pPr>
        <w:rPr>
          <w:rFonts w:eastAsia="Times New Roman" w:cs="Arial"/>
          <w:b/>
          <w:bCs/>
          <w:kern w:val="0"/>
          <w:lang w:eastAsia="en-GB"/>
          <w14:ligatures w14:val="none"/>
        </w:rPr>
      </w:pPr>
    </w:p>
    <w:p w14:paraId="09E54BE2"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lastRenderedPageBreak/>
        <w:t>Table 9.4: Percentage of people registered as having a mental health condition, and dementia by locality, health board and Wales, 2025</w:t>
      </w:r>
      <w:r w:rsidRPr="00B84219">
        <w:rPr>
          <w:rFonts w:eastAsia="Times New Roman" w:cs="Arial"/>
          <w:b/>
          <w:bCs/>
          <w:kern w:val="0"/>
          <w:vertAlign w:val="superscript"/>
          <w:lang w:eastAsia="en-GB"/>
          <w14:ligatures w14:val="none"/>
        </w:rPr>
        <w:footnoteReference w:id="252"/>
      </w:r>
    </w:p>
    <w:p w14:paraId="3C9CDAEB" w14:textId="77777777" w:rsidR="00B84219" w:rsidRPr="00B84219" w:rsidRDefault="00B84219" w:rsidP="00B84219">
      <w:pPr>
        <w:rPr>
          <w:rFonts w:eastAsia="Times New Roman" w:cs="Arial"/>
          <w:kern w:val="0"/>
          <w:lang w:eastAsia="en-GB"/>
          <w14:ligatures w14:val="none"/>
        </w:rPr>
      </w:pPr>
    </w:p>
    <w:tbl>
      <w:tblPr>
        <w:tblStyle w:val="TableGrid"/>
        <w:tblW w:w="8184" w:type="dxa"/>
        <w:tblInd w:w="0" w:type="dxa"/>
        <w:tblLook w:val="04A0" w:firstRow="1" w:lastRow="0" w:firstColumn="1" w:lastColumn="0" w:noHBand="0" w:noVBand="1"/>
      </w:tblPr>
      <w:tblGrid>
        <w:gridCol w:w="4673"/>
        <w:gridCol w:w="1810"/>
        <w:gridCol w:w="1701"/>
      </w:tblGrid>
      <w:tr w:rsidR="00B84219" w:rsidRPr="00D0306F" w14:paraId="037A3C74" w14:textId="77777777" w:rsidTr="00B84219">
        <w:tc>
          <w:tcPr>
            <w:tcW w:w="4673" w:type="dxa"/>
            <w:tcBorders>
              <w:top w:val="single" w:sz="4" w:space="0" w:color="auto"/>
              <w:left w:val="single" w:sz="4" w:space="0" w:color="auto"/>
              <w:bottom w:val="single" w:sz="4" w:space="0" w:color="auto"/>
              <w:right w:val="single" w:sz="4" w:space="0" w:color="auto"/>
            </w:tcBorders>
            <w:shd w:val="clear" w:color="auto" w:fill="153D63"/>
            <w:hideMark/>
          </w:tcPr>
          <w:p w14:paraId="68873D97" w14:textId="77777777" w:rsidR="00B84219" w:rsidRPr="00B84219" w:rsidRDefault="00B84219" w:rsidP="00B84219">
            <w:pPr>
              <w:rPr>
                <w:rFonts w:cs="Arial"/>
              </w:rPr>
            </w:pPr>
            <w:r w:rsidRPr="00B84219">
              <w:rPr>
                <w:rFonts w:cs="Arial"/>
                <w:b/>
                <w:bCs/>
                <w:color w:val="FFFFFF"/>
              </w:rPr>
              <w:t>Area</w:t>
            </w:r>
          </w:p>
        </w:tc>
        <w:tc>
          <w:tcPr>
            <w:tcW w:w="1810" w:type="dxa"/>
            <w:tcBorders>
              <w:top w:val="single" w:sz="4" w:space="0" w:color="auto"/>
              <w:left w:val="single" w:sz="4" w:space="0" w:color="auto"/>
              <w:bottom w:val="single" w:sz="4" w:space="0" w:color="auto"/>
              <w:right w:val="single" w:sz="4" w:space="0" w:color="auto"/>
            </w:tcBorders>
            <w:shd w:val="clear" w:color="auto" w:fill="153D63"/>
            <w:hideMark/>
          </w:tcPr>
          <w:p w14:paraId="2752A9FE" w14:textId="77777777" w:rsidR="00B84219" w:rsidRPr="00B84219" w:rsidRDefault="00B84219" w:rsidP="00B84219">
            <w:pPr>
              <w:jc w:val="center"/>
              <w:rPr>
                <w:rFonts w:cs="Arial"/>
              </w:rPr>
            </w:pPr>
            <w:r w:rsidRPr="00B84219">
              <w:rPr>
                <w:rFonts w:cs="Arial"/>
                <w:b/>
                <w:bCs/>
                <w:color w:val="FFFFFF"/>
              </w:rPr>
              <w:t>Mental health</w:t>
            </w:r>
          </w:p>
        </w:tc>
        <w:tc>
          <w:tcPr>
            <w:tcW w:w="1701" w:type="dxa"/>
            <w:tcBorders>
              <w:top w:val="single" w:sz="4" w:space="0" w:color="auto"/>
              <w:left w:val="single" w:sz="4" w:space="0" w:color="auto"/>
              <w:bottom w:val="single" w:sz="4" w:space="0" w:color="auto"/>
              <w:right w:val="single" w:sz="4" w:space="0" w:color="auto"/>
            </w:tcBorders>
            <w:shd w:val="clear" w:color="auto" w:fill="153D63"/>
            <w:hideMark/>
          </w:tcPr>
          <w:p w14:paraId="29502A79" w14:textId="77777777" w:rsidR="00B84219" w:rsidRPr="00B84219" w:rsidRDefault="00B84219" w:rsidP="00B84219">
            <w:pPr>
              <w:jc w:val="center"/>
              <w:rPr>
                <w:rFonts w:cs="Arial"/>
              </w:rPr>
            </w:pPr>
            <w:r w:rsidRPr="00B84219">
              <w:rPr>
                <w:rFonts w:cs="Arial"/>
                <w:b/>
                <w:bCs/>
                <w:color w:val="FFFFFF"/>
              </w:rPr>
              <w:t>Dementia</w:t>
            </w:r>
          </w:p>
        </w:tc>
      </w:tr>
      <w:tr w:rsidR="00B84219" w:rsidRPr="00B84219" w14:paraId="6E2EB19A" w14:textId="77777777" w:rsidTr="00B84219">
        <w:tc>
          <w:tcPr>
            <w:tcW w:w="4673" w:type="dxa"/>
            <w:tcBorders>
              <w:top w:val="single" w:sz="4" w:space="0" w:color="auto"/>
              <w:left w:val="single" w:sz="4" w:space="0" w:color="auto"/>
              <w:bottom w:val="single" w:sz="4" w:space="0" w:color="auto"/>
              <w:right w:val="single" w:sz="4" w:space="0" w:color="auto"/>
            </w:tcBorders>
            <w:hideMark/>
          </w:tcPr>
          <w:p w14:paraId="036DCF1D" w14:textId="77777777" w:rsidR="00B84219" w:rsidRPr="00B84219" w:rsidRDefault="00B84219" w:rsidP="00B84219">
            <w:pPr>
              <w:rPr>
                <w:rFonts w:cs="Arial"/>
              </w:rPr>
            </w:pPr>
            <w:r w:rsidRPr="00B84219">
              <w:rPr>
                <w:rFonts w:cs="Arial"/>
              </w:rPr>
              <w:t>City Health locality</w:t>
            </w:r>
          </w:p>
        </w:tc>
        <w:tc>
          <w:tcPr>
            <w:tcW w:w="1810" w:type="dxa"/>
            <w:tcBorders>
              <w:top w:val="single" w:sz="4" w:space="0" w:color="auto"/>
              <w:left w:val="single" w:sz="4" w:space="0" w:color="auto"/>
              <w:bottom w:val="single" w:sz="4" w:space="0" w:color="auto"/>
              <w:right w:val="single" w:sz="4" w:space="0" w:color="auto"/>
            </w:tcBorders>
            <w:hideMark/>
          </w:tcPr>
          <w:p w14:paraId="26AF3C04" w14:textId="77777777" w:rsidR="00B84219" w:rsidRPr="00B84219" w:rsidRDefault="00B84219" w:rsidP="00B84219">
            <w:pPr>
              <w:jc w:val="center"/>
              <w:rPr>
                <w:rFonts w:cs="Arial"/>
              </w:rPr>
            </w:pPr>
            <w:r w:rsidRPr="00B84219">
              <w:rPr>
                <w:rFonts w:cs="Arial"/>
              </w:rPr>
              <w:t>1.5%</w:t>
            </w:r>
          </w:p>
        </w:tc>
        <w:tc>
          <w:tcPr>
            <w:tcW w:w="1701" w:type="dxa"/>
            <w:tcBorders>
              <w:top w:val="single" w:sz="4" w:space="0" w:color="auto"/>
              <w:left w:val="single" w:sz="4" w:space="0" w:color="auto"/>
              <w:bottom w:val="single" w:sz="4" w:space="0" w:color="auto"/>
              <w:right w:val="single" w:sz="4" w:space="0" w:color="auto"/>
            </w:tcBorders>
            <w:hideMark/>
          </w:tcPr>
          <w:p w14:paraId="2B9E2CF0" w14:textId="77777777" w:rsidR="00B84219" w:rsidRPr="00B84219" w:rsidRDefault="00B84219" w:rsidP="00B84219">
            <w:pPr>
              <w:jc w:val="center"/>
              <w:rPr>
                <w:rFonts w:cs="Arial"/>
              </w:rPr>
            </w:pPr>
            <w:r w:rsidRPr="00B84219">
              <w:rPr>
                <w:rFonts w:cs="Arial"/>
              </w:rPr>
              <w:t>0.5%</w:t>
            </w:r>
          </w:p>
        </w:tc>
      </w:tr>
      <w:tr w:rsidR="00B84219" w:rsidRPr="00B84219" w14:paraId="3B73995C" w14:textId="77777777" w:rsidTr="00B84219">
        <w:tc>
          <w:tcPr>
            <w:tcW w:w="4673" w:type="dxa"/>
            <w:tcBorders>
              <w:top w:val="single" w:sz="4" w:space="0" w:color="auto"/>
              <w:left w:val="single" w:sz="4" w:space="0" w:color="auto"/>
              <w:bottom w:val="single" w:sz="4" w:space="0" w:color="auto"/>
              <w:right w:val="single" w:sz="4" w:space="0" w:color="auto"/>
            </w:tcBorders>
            <w:hideMark/>
          </w:tcPr>
          <w:p w14:paraId="1060468D" w14:textId="77777777" w:rsidR="00B84219" w:rsidRPr="00B84219" w:rsidRDefault="00B84219" w:rsidP="00B84219">
            <w:pPr>
              <w:rPr>
                <w:rFonts w:cs="Arial"/>
                <w:color w:val="000000"/>
              </w:rPr>
            </w:pPr>
            <w:r w:rsidRPr="00B84219">
              <w:rPr>
                <w:rFonts w:cs="Arial"/>
                <w:color w:val="000000"/>
              </w:rPr>
              <w:t>Swansea Bay University Health Board</w:t>
            </w:r>
          </w:p>
        </w:tc>
        <w:tc>
          <w:tcPr>
            <w:tcW w:w="1810" w:type="dxa"/>
            <w:tcBorders>
              <w:top w:val="single" w:sz="4" w:space="0" w:color="auto"/>
              <w:left w:val="single" w:sz="4" w:space="0" w:color="auto"/>
              <w:bottom w:val="single" w:sz="4" w:space="0" w:color="auto"/>
              <w:right w:val="single" w:sz="4" w:space="0" w:color="auto"/>
            </w:tcBorders>
            <w:hideMark/>
          </w:tcPr>
          <w:p w14:paraId="587F4E63" w14:textId="77777777" w:rsidR="00B84219" w:rsidRPr="00B84219" w:rsidRDefault="00B84219" w:rsidP="00B84219">
            <w:pPr>
              <w:jc w:val="center"/>
              <w:rPr>
                <w:rFonts w:cs="Arial"/>
                <w:color w:val="000000"/>
              </w:rPr>
            </w:pPr>
            <w:r w:rsidRPr="00B84219">
              <w:rPr>
                <w:rFonts w:cs="Arial"/>
                <w:color w:val="000000"/>
              </w:rPr>
              <w:t>1.3%</w:t>
            </w:r>
          </w:p>
        </w:tc>
        <w:tc>
          <w:tcPr>
            <w:tcW w:w="1701" w:type="dxa"/>
            <w:tcBorders>
              <w:top w:val="single" w:sz="4" w:space="0" w:color="auto"/>
              <w:left w:val="single" w:sz="4" w:space="0" w:color="auto"/>
              <w:bottom w:val="single" w:sz="4" w:space="0" w:color="auto"/>
              <w:right w:val="single" w:sz="4" w:space="0" w:color="auto"/>
            </w:tcBorders>
            <w:hideMark/>
          </w:tcPr>
          <w:p w14:paraId="26EF0A87" w14:textId="77777777" w:rsidR="00B84219" w:rsidRPr="00B84219" w:rsidRDefault="00B84219" w:rsidP="00B84219">
            <w:pPr>
              <w:jc w:val="center"/>
              <w:rPr>
                <w:rFonts w:cs="Arial"/>
                <w:color w:val="000000"/>
              </w:rPr>
            </w:pPr>
            <w:r w:rsidRPr="00B84219">
              <w:rPr>
                <w:rFonts w:cs="Arial"/>
                <w:color w:val="000000"/>
              </w:rPr>
              <w:t>0.8%</w:t>
            </w:r>
          </w:p>
        </w:tc>
      </w:tr>
      <w:tr w:rsidR="00B84219" w:rsidRPr="00B84219" w14:paraId="021613D3" w14:textId="77777777" w:rsidTr="00B84219">
        <w:tc>
          <w:tcPr>
            <w:tcW w:w="4673" w:type="dxa"/>
            <w:tcBorders>
              <w:top w:val="single" w:sz="4" w:space="0" w:color="auto"/>
              <w:left w:val="single" w:sz="4" w:space="0" w:color="auto"/>
              <w:bottom w:val="single" w:sz="4" w:space="0" w:color="auto"/>
              <w:right w:val="single" w:sz="4" w:space="0" w:color="auto"/>
            </w:tcBorders>
            <w:hideMark/>
          </w:tcPr>
          <w:p w14:paraId="5CCF40BA" w14:textId="77777777" w:rsidR="00B84219" w:rsidRPr="00B84219" w:rsidRDefault="00B84219" w:rsidP="00B84219">
            <w:pPr>
              <w:rPr>
                <w:rFonts w:cs="Arial"/>
                <w:color w:val="000000"/>
              </w:rPr>
            </w:pPr>
            <w:r w:rsidRPr="00B84219">
              <w:rPr>
                <w:rFonts w:cs="Arial"/>
                <w:color w:val="000000"/>
              </w:rPr>
              <w:t>Wales</w:t>
            </w:r>
          </w:p>
        </w:tc>
        <w:tc>
          <w:tcPr>
            <w:tcW w:w="1810" w:type="dxa"/>
            <w:tcBorders>
              <w:top w:val="single" w:sz="4" w:space="0" w:color="auto"/>
              <w:left w:val="single" w:sz="4" w:space="0" w:color="auto"/>
              <w:bottom w:val="single" w:sz="4" w:space="0" w:color="auto"/>
              <w:right w:val="single" w:sz="4" w:space="0" w:color="auto"/>
            </w:tcBorders>
            <w:hideMark/>
          </w:tcPr>
          <w:p w14:paraId="15F30567" w14:textId="77777777" w:rsidR="00B84219" w:rsidRPr="00B84219" w:rsidRDefault="00B84219" w:rsidP="00B84219">
            <w:pPr>
              <w:jc w:val="center"/>
              <w:rPr>
                <w:rFonts w:cs="Arial"/>
                <w:color w:val="000000"/>
              </w:rPr>
            </w:pPr>
            <w:r w:rsidRPr="00B84219">
              <w:rPr>
                <w:rFonts w:cs="Arial"/>
                <w:color w:val="000000"/>
              </w:rPr>
              <w:t>1.1%</w:t>
            </w:r>
          </w:p>
        </w:tc>
        <w:tc>
          <w:tcPr>
            <w:tcW w:w="1701" w:type="dxa"/>
            <w:tcBorders>
              <w:top w:val="single" w:sz="4" w:space="0" w:color="auto"/>
              <w:left w:val="single" w:sz="4" w:space="0" w:color="auto"/>
              <w:bottom w:val="single" w:sz="4" w:space="0" w:color="auto"/>
              <w:right w:val="single" w:sz="4" w:space="0" w:color="auto"/>
            </w:tcBorders>
            <w:hideMark/>
          </w:tcPr>
          <w:p w14:paraId="2722EE20" w14:textId="77777777" w:rsidR="00B84219" w:rsidRPr="00B84219" w:rsidRDefault="00B84219" w:rsidP="00B84219">
            <w:pPr>
              <w:jc w:val="center"/>
              <w:rPr>
                <w:rFonts w:cs="Arial"/>
                <w:color w:val="000000"/>
              </w:rPr>
            </w:pPr>
            <w:r w:rsidRPr="00B84219">
              <w:rPr>
                <w:rFonts w:cs="Arial"/>
                <w:color w:val="000000"/>
              </w:rPr>
              <w:t>0.8%</w:t>
            </w:r>
          </w:p>
        </w:tc>
      </w:tr>
    </w:tbl>
    <w:p w14:paraId="24034318" w14:textId="77777777" w:rsidR="00B84219" w:rsidRPr="00B84219" w:rsidRDefault="00B84219" w:rsidP="00B84219">
      <w:pPr>
        <w:keepNext/>
        <w:rPr>
          <w:rFonts w:eastAsia="Times New Roman" w:cs="Arial"/>
          <w:bCs/>
          <w:kern w:val="0"/>
          <w14:ligatures w14:val="none"/>
        </w:rPr>
      </w:pPr>
    </w:p>
    <w:p w14:paraId="2C31C777" w14:textId="77777777" w:rsidR="00B84219" w:rsidRPr="00B84219" w:rsidRDefault="00B84219" w:rsidP="00B84219">
      <w:pPr>
        <w:keepLines/>
        <w:rPr>
          <w:rFonts w:eastAsia="Times New Roman" w:cs="Arial"/>
          <w:bCs/>
          <w:kern w:val="0"/>
          <w14:ligatures w14:val="none"/>
        </w:rPr>
      </w:pPr>
      <w:r w:rsidRPr="00B84219">
        <w:rPr>
          <w:rFonts w:eastAsia="Times New Roman" w:cs="Arial"/>
          <w:bCs/>
          <w:kern w:val="0"/>
          <w14:ligatures w14:val="none"/>
        </w:rPr>
        <w:t>The table below shows that the locality is lower in atrial fibrillation than both the health board and Wales averages (0.7% and 0.8% lower respectively). Hypertension is much lower than the averages for the health board and Wales (2.3% and 3.7% lower respectively).</w:t>
      </w:r>
    </w:p>
    <w:p w14:paraId="0CBDDF40" w14:textId="77777777" w:rsidR="00B84219" w:rsidRPr="00B84219" w:rsidRDefault="00B84219" w:rsidP="00B84219">
      <w:pPr>
        <w:keepNext/>
        <w:rPr>
          <w:rFonts w:eastAsia="Times New Roman" w:cs="Arial"/>
          <w:b/>
          <w:kern w:val="0"/>
          <w14:ligatures w14:val="none"/>
        </w:rPr>
      </w:pPr>
    </w:p>
    <w:p w14:paraId="6B2A4482" w14:textId="77777777" w:rsidR="00B84219" w:rsidRPr="00B84219" w:rsidRDefault="00B84219" w:rsidP="00B84219">
      <w:pPr>
        <w:keepNext/>
        <w:rPr>
          <w:rFonts w:eastAsia="Times New Roman" w:cs="Arial"/>
          <w:b/>
          <w:bCs/>
          <w:kern w:val="0"/>
          <w14:ligatures w14:val="none"/>
        </w:rPr>
      </w:pPr>
      <w:r w:rsidRPr="00B84219">
        <w:rPr>
          <w:rFonts w:eastAsia="Times New Roman" w:cs="Arial"/>
          <w:b/>
          <w:bCs/>
          <w:kern w:val="0"/>
          <w14:ligatures w14:val="none"/>
        </w:rPr>
        <w:t>Table 9.5: Estimated percentage prevalence of hypertension and atrial fibrillation based on people on GP practice registers by locality, health board and Wales, 2025</w:t>
      </w:r>
      <w:r w:rsidRPr="00B84219">
        <w:rPr>
          <w:rFonts w:eastAsia="Times New Roman" w:cs="Arial"/>
          <w:b/>
          <w:bCs/>
          <w:kern w:val="0"/>
          <w:vertAlign w:val="superscript"/>
          <w14:ligatures w14:val="none"/>
        </w:rPr>
        <w:footnoteReference w:id="253"/>
      </w:r>
    </w:p>
    <w:p w14:paraId="4F931A26" w14:textId="77777777" w:rsidR="00B84219" w:rsidRPr="00B84219" w:rsidRDefault="00B84219" w:rsidP="00B84219">
      <w:pPr>
        <w:keepNext/>
        <w:rPr>
          <w:rFonts w:eastAsia="Times New Roman" w:cs="Arial"/>
          <w:b/>
          <w:kern w:val="0"/>
          <w14:ligatures w14:val="none"/>
        </w:rPr>
      </w:pPr>
    </w:p>
    <w:tbl>
      <w:tblPr>
        <w:tblStyle w:val="TableGrid"/>
        <w:tblW w:w="9158" w:type="dxa"/>
        <w:tblInd w:w="0" w:type="dxa"/>
        <w:tblLook w:val="04A0" w:firstRow="1" w:lastRow="0" w:firstColumn="1" w:lastColumn="0" w:noHBand="0" w:noVBand="1"/>
      </w:tblPr>
      <w:tblGrid>
        <w:gridCol w:w="4957"/>
        <w:gridCol w:w="2268"/>
        <w:gridCol w:w="1933"/>
      </w:tblGrid>
      <w:tr w:rsidR="00B84219" w:rsidRPr="00D0306F" w14:paraId="6D30ACE8" w14:textId="77777777" w:rsidTr="00B84219">
        <w:tc>
          <w:tcPr>
            <w:tcW w:w="4957" w:type="dxa"/>
            <w:tcBorders>
              <w:top w:val="single" w:sz="4" w:space="0" w:color="auto"/>
              <w:left w:val="single" w:sz="4" w:space="0" w:color="auto"/>
              <w:bottom w:val="single" w:sz="4" w:space="0" w:color="auto"/>
              <w:right w:val="single" w:sz="4" w:space="0" w:color="auto"/>
            </w:tcBorders>
            <w:shd w:val="clear" w:color="auto" w:fill="153D63"/>
            <w:hideMark/>
          </w:tcPr>
          <w:p w14:paraId="595F056F" w14:textId="77777777" w:rsidR="00B84219" w:rsidRPr="00B84219" w:rsidRDefault="00B84219" w:rsidP="00B84219">
            <w:pPr>
              <w:keepNext/>
              <w:rPr>
                <w:rFonts w:cs="Arial"/>
                <w:b/>
              </w:rPr>
            </w:pPr>
            <w:r w:rsidRPr="00B84219">
              <w:rPr>
                <w:rFonts w:cs="Arial"/>
                <w:b/>
              </w:rPr>
              <w:t>Area</w:t>
            </w:r>
          </w:p>
        </w:tc>
        <w:tc>
          <w:tcPr>
            <w:tcW w:w="2268" w:type="dxa"/>
            <w:tcBorders>
              <w:top w:val="single" w:sz="4" w:space="0" w:color="auto"/>
              <w:left w:val="single" w:sz="4" w:space="0" w:color="auto"/>
              <w:bottom w:val="single" w:sz="4" w:space="0" w:color="auto"/>
              <w:right w:val="single" w:sz="4" w:space="0" w:color="auto"/>
            </w:tcBorders>
            <w:shd w:val="clear" w:color="auto" w:fill="153D63"/>
            <w:hideMark/>
          </w:tcPr>
          <w:p w14:paraId="2D60672A" w14:textId="77777777" w:rsidR="00B84219" w:rsidRPr="00B84219" w:rsidRDefault="00B84219" w:rsidP="00B84219">
            <w:pPr>
              <w:keepNext/>
              <w:jc w:val="center"/>
              <w:rPr>
                <w:rFonts w:cs="Arial"/>
                <w:b/>
              </w:rPr>
            </w:pPr>
            <w:r w:rsidRPr="00B84219">
              <w:rPr>
                <w:rFonts w:cs="Arial"/>
                <w:b/>
              </w:rPr>
              <w:t>Atrial fibrillation</w:t>
            </w:r>
          </w:p>
        </w:tc>
        <w:tc>
          <w:tcPr>
            <w:tcW w:w="1933" w:type="dxa"/>
            <w:tcBorders>
              <w:top w:val="single" w:sz="4" w:space="0" w:color="auto"/>
              <w:left w:val="single" w:sz="4" w:space="0" w:color="auto"/>
              <w:bottom w:val="single" w:sz="4" w:space="0" w:color="auto"/>
              <w:right w:val="single" w:sz="4" w:space="0" w:color="auto"/>
            </w:tcBorders>
            <w:shd w:val="clear" w:color="auto" w:fill="153D63"/>
            <w:hideMark/>
          </w:tcPr>
          <w:p w14:paraId="6662890D" w14:textId="77777777" w:rsidR="00B84219" w:rsidRPr="00B84219" w:rsidRDefault="00B84219" w:rsidP="00B84219">
            <w:pPr>
              <w:keepNext/>
              <w:jc w:val="center"/>
              <w:rPr>
                <w:rFonts w:cs="Arial"/>
                <w:b/>
              </w:rPr>
            </w:pPr>
            <w:r w:rsidRPr="00B84219">
              <w:rPr>
                <w:rFonts w:cs="Arial"/>
                <w:b/>
              </w:rPr>
              <w:t>Hypertension</w:t>
            </w:r>
          </w:p>
        </w:tc>
      </w:tr>
      <w:tr w:rsidR="00B84219" w:rsidRPr="00B84219" w14:paraId="2B2870B5" w14:textId="77777777" w:rsidTr="00B84219">
        <w:tc>
          <w:tcPr>
            <w:tcW w:w="4957" w:type="dxa"/>
            <w:tcBorders>
              <w:top w:val="single" w:sz="4" w:space="0" w:color="auto"/>
              <w:left w:val="single" w:sz="4" w:space="0" w:color="auto"/>
              <w:bottom w:val="single" w:sz="4" w:space="0" w:color="auto"/>
              <w:right w:val="single" w:sz="4" w:space="0" w:color="auto"/>
            </w:tcBorders>
            <w:hideMark/>
          </w:tcPr>
          <w:p w14:paraId="7F6643C7" w14:textId="77777777" w:rsidR="00B84219" w:rsidRPr="00B84219" w:rsidRDefault="00B84219" w:rsidP="00B84219">
            <w:pPr>
              <w:keepNext/>
              <w:rPr>
                <w:rFonts w:cs="Arial"/>
                <w:bCs/>
              </w:rPr>
            </w:pPr>
            <w:r w:rsidRPr="00B84219">
              <w:rPr>
                <w:rFonts w:cs="Arial"/>
                <w:bCs/>
              </w:rPr>
              <w:t>City Health locality</w:t>
            </w:r>
          </w:p>
        </w:tc>
        <w:tc>
          <w:tcPr>
            <w:tcW w:w="2268" w:type="dxa"/>
            <w:tcBorders>
              <w:top w:val="single" w:sz="4" w:space="0" w:color="auto"/>
              <w:left w:val="single" w:sz="4" w:space="0" w:color="auto"/>
              <w:bottom w:val="single" w:sz="4" w:space="0" w:color="auto"/>
              <w:right w:val="single" w:sz="4" w:space="0" w:color="auto"/>
            </w:tcBorders>
            <w:hideMark/>
          </w:tcPr>
          <w:p w14:paraId="1143211B" w14:textId="77777777" w:rsidR="00B84219" w:rsidRPr="00B84219" w:rsidRDefault="00B84219" w:rsidP="00B84219">
            <w:pPr>
              <w:keepNext/>
              <w:jc w:val="center"/>
              <w:rPr>
                <w:rFonts w:cs="Arial"/>
                <w:bCs/>
              </w:rPr>
            </w:pPr>
            <w:r w:rsidRPr="00B84219">
              <w:rPr>
                <w:rFonts w:cs="Arial"/>
                <w:bCs/>
              </w:rPr>
              <w:t>1.9%</w:t>
            </w:r>
          </w:p>
        </w:tc>
        <w:tc>
          <w:tcPr>
            <w:tcW w:w="1933" w:type="dxa"/>
            <w:tcBorders>
              <w:top w:val="single" w:sz="4" w:space="0" w:color="auto"/>
              <w:left w:val="single" w:sz="4" w:space="0" w:color="auto"/>
              <w:bottom w:val="single" w:sz="4" w:space="0" w:color="auto"/>
              <w:right w:val="single" w:sz="4" w:space="0" w:color="auto"/>
            </w:tcBorders>
            <w:hideMark/>
          </w:tcPr>
          <w:p w14:paraId="5759CD5E" w14:textId="77777777" w:rsidR="00B84219" w:rsidRPr="00B84219" w:rsidRDefault="00B84219" w:rsidP="00B84219">
            <w:pPr>
              <w:keepNext/>
              <w:jc w:val="center"/>
              <w:rPr>
                <w:rFonts w:cs="Arial"/>
                <w:bCs/>
              </w:rPr>
            </w:pPr>
            <w:r w:rsidRPr="00B84219">
              <w:rPr>
                <w:rFonts w:cs="Arial"/>
                <w:bCs/>
              </w:rPr>
              <w:t>12.6%</w:t>
            </w:r>
          </w:p>
        </w:tc>
      </w:tr>
      <w:tr w:rsidR="00B84219" w:rsidRPr="00B84219" w14:paraId="1F667742" w14:textId="77777777" w:rsidTr="00B84219">
        <w:tc>
          <w:tcPr>
            <w:tcW w:w="4957" w:type="dxa"/>
            <w:tcBorders>
              <w:top w:val="single" w:sz="4" w:space="0" w:color="auto"/>
              <w:left w:val="single" w:sz="4" w:space="0" w:color="auto"/>
              <w:bottom w:val="single" w:sz="4" w:space="0" w:color="auto"/>
              <w:right w:val="single" w:sz="4" w:space="0" w:color="auto"/>
            </w:tcBorders>
            <w:hideMark/>
          </w:tcPr>
          <w:p w14:paraId="49789643" w14:textId="77777777" w:rsidR="00B84219" w:rsidRPr="00B84219" w:rsidRDefault="00B84219" w:rsidP="00B84219">
            <w:pPr>
              <w:keepNext/>
              <w:rPr>
                <w:rFonts w:cs="Arial"/>
                <w:b/>
              </w:rPr>
            </w:pPr>
            <w:r w:rsidRPr="00B84219">
              <w:rPr>
                <w:rFonts w:cs="Arial"/>
                <w:color w:val="000000"/>
              </w:rPr>
              <w:t>Swansea Bay University Health Board</w:t>
            </w:r>
          </w:p>
        </w:tc>
        <w:tc>
          <w:tcPr>
            <w:tcW w:w="2268" w:type="dxa"/>
            <w:tcBorders>
              <w:top w:val="single" w:sz="4" w:space="0" w:color="auto"/>
              <w:left w:val="single" w:sz="4" w:space="0" w:color="auto"/>
              <w:bottom w:val="single" w:sz="4" w:space="0" w:color="auto"/>
              <w:right w:val="single" w:sz="4" w:space="0" w:color="auto"/>
            </w:tcBorders>
            <w:hideMark/>
          </w:tcPr>
          <w:p w14:paraId="32295F42" w14:textId="77777777" w:rsidR="00B84219" w:rsidRPr="00B84219" w:rsidRDefault="00B84219" w:rsidP="00B84219">
            <w:pPr>
              <w:keepNext/>
              <w:jc w:val="center"/>
              <w:rPr>
                <w:rFonts w:cs="Arial"/>
                <w:bCs/>
              </w:rPr>
            </w:pPr>
            <w:r w:rsidRPr="00B84219">
              <w:rPr>
                <w:rFonts w:cs="Arial"/>
                <w:bCs/>
              </w:rPr>
              <w:t>2.6%</w:t>
            </w:r>
          </w:p>
        </w:tc>
        <w:tc>
          <w:tcPr>
            <w:tcW w:w="1933" w:type="dxa"/>
            <w:tcBorders>
              <w:top w:val="single" w:sz="4" w:space="0" w:color="auto"/>
              <w:left w:val="single" w:sz="4" w:space="0" w:color="auto"/>
              <w:bottom w:val="single" w:sz="4" w:space="0" w:color="auto"/>
              <w:right w:val="single" w:sz="4" w:space="0" w:color="auto"/>
            </w:tcBorders>
            <w:hideMark/>
          </w:tcPr>
          <w:p w14:paraId="7838356C" w14:textId="77777777" w:rsidR="00B84219" w:rsidRPr="00B84219" w:rsidRDefault="00B84219" w:rsidP="00B84219">
            <w:pPr>
              <w:keepNext/>
              <w:jc w:val="center"/>
              <w:rPr>
                <w:rFonts w:cs="Arial"/>
                <w:bCs/>
              </w:rPr>
            </w:pPr>
            <w:r w:rsidRPr="00B84219">
              <w:rPr>
                <w:rFonts w:cs="Arial"/>
                <w:bCs/>
              </w:rPr>
              <w:t>14.9%</w:t>
            </w:r>
          </w:p>
        </w:tc>
      </w:tr>
      <w:tr w:rsidR="00B84219" w:rsidRPr="00B84219" w14:paraId="21F8591F" w14:textId="77777777" w:rsidTr="00B84219">
        <w:tc>
          <w:tcPr>
            <w:tcW w:w="4957" w:type="dxa"/>
            <w:tcBorders>
              <w:top w:val="single" w:sz="4" w:space="0" w:color="auto"/>
              <w:left w:val="single" w:sz="4" w:space="0" w:color="auto"/>
              <w:bottom w:val="single" w:sz="4" w:space="0" w:color="auto"/>
              <w:right w:val="single" w:sz="4" w:space="0" w:color="auto"/>
            </w:tcBorders>
            <w:hideMark/>
          </w:tcPr>
          <w:p w14:paraId="38F9DEBE" w14:textId="77777777" w:rsidR="00B84219" w:rsidRPr="00B84219" w:rsidRDefault="00B84219" w:rsidP="00B84219">
            <w:pPr>
              <w:keepNext/>
              <w:rPr>
                <w:rFonts w:cs="Arial"/>
                <w:color w:val="000000"/>
              </w:rPr>
            </w:pPr>
            <w:r w:rsidRPr="00B84219">
              <w:rPr>
                <w:rFonts w:cs="Arial"/>
                <w:color w:val="000000"/>
              </w:rPr>
              <w:t>Wales</w:t>
            </w:r>
          </w:p>
        </w:tc>
        <w:tc>
          <w:tcPr>
            <w:tcW w:w="2268" w:type="dxa"/>
            <w:tcBorders>
              <w:top w:val="single" w:sz="4" w:space="0" w:color="auto"/>
              <w:left w:val="single" w:sz="4" w:space="0" w:color="auto"/>
              <w:bottom w:val="single" w:sz="4" w:space="0" w:color="auto"/>
              <w:right w:val="single" w:sz="4" w:space="0" w:color="auto"/>
            </w:tcBorders>
            <w:hideMark/>
          </w:tcPr>
          <w:p w14:paraId="64E2E89A" w14:textId="77777777" w:rsidR="00B84219" w:rsidRPr="00B84219" w:rsidRDefault="00B84219" w:rsidP="00B84219">
            <w:pPr>
              <w:keepNext/>
              <w:jc w:val="center"/>
              <w:rPr>
                <w:rFonts w:cs="Arial"/>
                <w:color w:val="000000"/>
              </w:rPr>
            </w:pPr>
            <w:r w:rsidRPr="00B84219">
              <w:rPr>
                <w:rFonts w:cs="Arial"/>
                <w:color w:val="000000"/>
              </w:rPr>
              <w:t>2.7%</w:t>
            </w:r>
          </w:p>
        </w:tc>
        <w:tc>
          <w:tcPr>
            <w:tcW w:w="1933" w:type="dxa"/>
            <w:tcBorders>
              <w:top w:val="single" w:sz="4" w:space="0" w:color="auto"/>
              <w:left w:val="single" w:sz="4" w:space="0" w:color="auto"/>
              <w:bottom w:val="single" w:sz="4" w:space="0" w:color="auto"/>
              <w:right w:val="single" w:sz="4" w:space="0" w:color="auto"/>
            </w:tcBorders>
            <w:hideMark/>
          </w:tcPr>
          <w:p w14:paraId="70024405" w14:textId="77777777" w:rsidR="00B84219" w:rsidRPr="00B84219" w:rsidRDefault="00B84219" w:rsidP="00B84219">
            <w:pPr>
              <w:keepNext/>
              <w:jc w:val="center"/>
              <w:rPr>
                <w:rFonts w:cs="Arial"/>
                <w:color w:val="000000"/>
              </w:rPr>
            </w:pPr>
            <w:r w:rsidRPr="00B84219">
              <w:rPr>
                <w:rFonts w:cs="Arial"/>
                <w:color w:val="000000"/>
              </w:rPr>
              <w:t>16.3%</w:t>
            </w:r>
          </w:p>
        </w:tc>
      </w:tr>
    </w:tbl>
    <w:p w14:paraId="4F7FC3EA" w14:textId="77777777" w:rsidR="00B84219" w:rsidRPr="00B84219" w:rsidRDefault="00B84219" w:rsidP="00B84219">
      <w:pPr>
        <w:rPr>
          <w:rFonts w:eastAsia="Times New Roman" w:cs="Arial"/>
          <w:kern w:val="0"/>
          <w:lang w:eastAsia="en-GB"/>
          <w14:ligatures w14:val="none"/>
        </w:rPr>
      </w:pPr>
    </w:p>
    <w:p w14:paraId="738BD70C" w14:textId="77777777" w:rsidR="00B84219" w:rsidRPr="00B84219" w:rsidRDefault="00B84219" w:rsidP="00B84219">
      <w:pPr>
        <w:contextualSpacing/>
        <w:rPr>
          <w:rFonts w:eastAsia="Aptos" w:cs="Arial"/>
          <w:kern w:val="0"/>
          <w14:ligatures w14:val="none"/>
        </w:rPr>
      </w:pPr>
      <w:r w:rsidRPr="00B84219">
        <w:rPr>
          <w:rFonts w:eastAsia="Aptos" w:cs="Arial"/>
        </w:rPr>
        <w:t>The table below presents the percentage of adults aged 16 years and over, in Swansea who have self-reported engaging in six key lifestyle behaviours, as recorded by the National Survey for Wales</w:t>
      </w:r>
      <w:r w:rsidRPr="00B84219">
        <w:rPr>
          <w:rFonts w:eastAsia="Aptos" w:cs="Arial"/>
          <w:vertAlign w:val="superscript"/>
        </w:rPr>
        <w:footnoteReference w:id="254"/>
      </w:r>
      <w:r w:rsidRPr="00B84219">
        <w:rPr>
          <w:rFonts w:eastAsia="Aptos" w:cs="Arial"/>
        </w:rPr>
        <w:t xml:space="preserve"> between 2021 and 2023. This information offers valuable insight into the common habits and lifestyle choices among the adult population in the area.</w:t>
      </w:r>
    </w:p>
    <w:p w14:paraId="56C5EEE7" w14:textId="77777777" w:rsidR="00B84219" w:rsidRPr="00B84219" w:rsidRDefault="00B84219" w:rsidP="00B84219">
      <w:pPr>
        <w:contextualSpacing/>
        <w:rPr>
          <w:rFonts w:eastAsia="Aptos" w:cs="Arial"/>
        </w:rPr>
      </w:pPr>
    </w:p>
    <w:p w14:paraId="026B0464" w14:textId="77777777" w:rsidR="00B84219" w:rsidRPr="00B84219" w:rsidRDefault="00B84219" w:rsidP="00B84219">
      <w:pPr>
        <w:keepNext/>
        <w:rPr>
          <w:rFonts w:eastAsia="Times New Roman" w:cs="Arial"/>
          <w:b/>
          <w:bCs/>
          <w:kern w:val="0"/>
          <w14:ligatures w14:val="none"/>
        </w:rPr>
      </w:pPr>
      <w:r w:rsidRPr="00B84219">
        <w:rPr>
          <w:rFonts w:eastAsia="Times New Roman" w:cs="Arial"/>
          <w:b/>
          <w:bCs/>
          <w:kern w:val="0"/>
          <w14:ligatures w14:val="none"/>
        </w:rPr>
        <w:t>Table 9.6: Percentage of adults (aged 16 years and over) reporting lifestyle behaviours by local authority and Wales, 2021 to 2023</w:t>
      </w:r>
    </w:p>
    <w:p w14:paraId="5E941617" w14:textId="77777777" w:rsidR="00B84219" w:rsidRDefault="00B84219" w:rsidP="00B84219">
      <w:pPr>
        <w:keepNext/>
        <w:rPr>
          <w:rFonts w:eastAsia="Times New Roman" w:cs="Arial"/>
          <w:b/>
          <w:kern w:val="0"/>
          <w14:ligatures w14:val="none"/>
        </w:rPr>
      </w:pPr>
    </w:p>
    <w:tbl>
      <w:tblPr>
        <w:tblStyle w:val="TableGrid6"/>
        <w:tblW w:w="9988" w:type="dxa"/>
        <w:tblInd w:w="-431" w:type="dxa"/>
        <w:tblLook w:val="04A0" w:firstRow="1" w:lastRow="0" w:firstColumn="1" w:lastColumn="0" w:noHBand="0" w:noVBand="1"/>
      </w:tblPr>
      <w:tblGrid>
        <w:gridCol w:w="1204"/>
        <w:gridCol w:w="1551"/>
        <w:gridCol w:w="1430"/>
        <w:gridCol w:w="1190"/>
        <w:gridCol w:w="1523"/>
        <w:gridCol w:w="950"/>
        <w:gridCol w:w="1190"/>
        <w:gridCol w:w="950"/>
      </w:tblGrid>
      <w:tr w:rsidR="00004334" w:rsidRPr="00D0306F" w14:paraId="0435ABAD" w14:textId="77777777" w:rsidTr="00466EE5">
        <w:trPr>
          <w:trHeight w:val="1807"/>
        </w:trPr>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7D829410" w14:textId="77777777" w:rsidR="00004334" w:rsidRPr="00037037" w:rsidRDefault="00004334" w:rsidP="00426D39">
            <w:pPr>
              <w:keepNext/>
              <w:rPr>
                <w:rFonts w:eastAsia="Arial" w:cs="Arial"/>
                <w:b/>
                <w:bCs/>
                <w:sz w:val="24"/>
              </w:rPr>
            </w:pPr>
            <w:r w:rsidRPr="00037037">
              <w:rPr>
                <w:rFonts w:eastAsia="Arial" w:cs="Arial"/>
                <w:b/>
                <w:bCs/>
                <w:sz w:val="24"/>
              </w:rPr>
              <w:t>Area</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157723A6" w14:textId="77777777" w:rsidR="00004334" w:rsidRPr="00037037" w:rsidRDefault="00004334" w:rsidP="00426D39">
            <w:pPr>
              <w:keepNext/>
              <w:rPr>
                <w:rFonts w:eastAsia="Arial" w:cs="Arial"/>
                <w:b/>
                <w:bCs/>
                <w:sz w:val="24"/>
              </w:rPr>
            </w:pPr>
            <w:r w:rsidRPr="00037037">
              <w:rPr>
                <w:rFonts w:eastAsia="Arial" w:cs="Arial"/>
                <w:b/>
                <w:bCs/>
                <w:sz w:val="24"/>
              </w:rPr>
              <w:t>Population 16 years and over</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169F5845" w14:textId="77777777" w:rsidR="00004334" w:rsidRPr="00037037" w:rsidRDefault="00004334" w:rsidP="00426D39">
            <w:pPr>
              <w:keepNext/>
              <w:rPr>
                <w:rFonts w:eastAsia="Arial" w:cs="Arial"/>
                <w:b/>
                <w:bCs/>
                <w:sz w:val="24"/>
              </w:rPr>
            </w:pPr>
            <w:r w:rsidRPr="00037037">
              <w:rPr>
                <w:rFonts w:eastAsia="Arial" w:cs="Arial"/>
                <w:b/>
                <w:bCs/>
                <w:sz w:val="24"/>
              </w:rPr>
              <w:t>Smoking (including e-cigarettes)</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7A0A150C" w14:textId="77777777" w:rsidR="00004334" w:rsidRPr="00037037" w:rsidRDefault="00004334" w:rsidP="00426D39">
            <w:pPr>
              <w:keepNext/>
              <w:rPr>
                <w:rFonts w:eastAsia="Arial" w:cs="Arial"/>
                <w:b/>
                <w:bCs/>
                <w:sz w:val="24"/>
              </w:rPr>
            </w:pPr>
            <w:r w:rsidRPr="00037037">
              <w:rPr>
                <w:rFonts w:eastAsia="Arial" w:cs="Arial"/>
                <w:b/>
                <w:bCs/>
                <w:sz w:val="24"/>
              </w:rPr>
              <w:t>Drinking more than 14 units per week</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6FD66039" w14:textId="77777777" w:rsidR="00004334" w:rsidRPr="00037037" w:rsidRDefault="00004334" w:rsidP="00426D39">
            <w:pPr>
              <w:keepNext/>
              <w:rPr>
                <w:rFonts w:eastAsia="Arial" w:cs="Arial"/>
                <w:b/>
                <w:bCs/>
                <w:sz w:val="24"/>
              </w:rPr>
            </w:pPr>
            <w:r w:rsidRPr="00037037">
              <w:rPr>
                <w:rFonts w:eastAsia="Arial" w:cs="Arial"/>
                <w:b/>
                <w:bCs/>
                <w:sz w:val="24"/>
              </w:rPr>
              <w:t>Overweight with a body mass index of 25+</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0E365615" w14:textId="77777777" w:rsidR="00004334" w:rsidRPr="00037037" w:rsidRDefault="00004334" w:rsidP="00426D39">
            <w:pPr>
              <w:keepNext/>
              <w:rPr>
                <w:rFonts w:eastAsia="Arial" w:cs="Arial"/>
                <w:b/>
                <w:bCs/>
                <w:sz w:val="24"/>
              </w:rPr>
            </w:pPr>
            <w:r w:rsidRPr="00037037">
              <w:rPr>
                <w:rFonts w:eastAsia="Arial" w:cs="Arial"/>
                <w:b/>
                <w:bCs/>
                <w:sz w:val="24"/>
              </w:rPr>
              <w:t>Obese with a body mass index of 30+</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55912258" w14:textId="77777777" w:rsidR="00004334" w:rsidRPr="00037037" w:rsidRDefault="00004334" w:rsidP="00426D39">
            <w:pPr>
              <w:keepNext/>
              <w:rPr>
                <w:rFonts w:eastAsia="Arial" w:cs="Arial"/>
                <w:b/>
                <w:bCs/>
                <w:sz w:val="24"/>
              </w:rPr>
            </w:pPr>
            <w:r w:rsidRPr="00037037">
              <w:rPr>
                <w:rFonts w:eastAsia="Arial" w:cs="Arial"/>
                <w:b/>
                <w:bCs/>
                <w:sz w:val="24"/>
              </w:rPr>
              <w:t>Physical activity for 150 minutes per week</w:t>
            </w:r>
          </w:p>
        </w:tc>
        <w:tc>
          <w:tcPr>
            <w:tcW w:w="950" w:type="dxa"/>
            <w:tcBorders>
              <w:top w:val="single" w:sz="4" w:space="0" w:color="auto"/>
              <w:left w:val="single" w:sz="4" w:space="0" w:color="auto"/>
              <w:bottom w:val="single" w:sz="4" w:space="0" w:color="auto"/>
              <w:right w:val="single" w:sz="4" w:space="0" w:color="auto"/>
            </w:tcBorders>
            <w:shd w:val="clear" w:color="auto" w:fill="153D63"/>
            <w:hideMark/>
          </w:tcPr>
          <w:p w14:paraId="3BDF6515" w14:textId="77777777" w:rsidR="00004334" w:rsidRPr="00037037" w:rsidRDefault="00004334" w:rsidP="00426D39">
            <w:pPr>
              <w:keepNext/>
              <w:rPr>
                <w:rFonts w:eastAsia="Arial" w:cs="Arial"/>
                <w:b/>
                <w:bCs/>
                <w:sz w:val="24"/>
              </w:rPr>
            </w:pPr>
            <w:r w:rsidRPr="00037037">
              <w:rPr>
                <w:rFonts w:eastAsia="Arial" w:cs="Arial"/>
                <w:b/>
                <w:bCs/>
                <w:sz w:val="24"/>
              </w:rPr>
              <w:t>Eating five a day</w:t>
            </w:r>
          </w:p>
        </w:tc>
      </w:tr>
      <w:tr w:rsidR="00004334" w:rsidRPr="00037037" w14:paraId="4F096D0E" w14:textId="77777777" w:rsidTr="00466EE5">
        <w:trPr>
          <w:trHeight w:val="316"/>
        </w:trPr>
        <w:tc>
          <w:tcPr>
            <w:tcW w:w="0" w:type="auto"/>
            <w:tcBorders>
              <w:top w:val="single" w:sz="4" w:space="0" w:color="auto"/>
              <w:left w:val="single" w:sz="4" w:space="0" w:color="auto"/>
              <w:bottom w:val="single" w:sz="4" w:space="0" w:color="auto"/>
              <w:right w:val="single" w:sz="4" w:space="0" w:color="auto"/>
            </w:tcBorders>
            <w:hideMark/>
          </w:tcPr>
          <w:p w14:paraId="1A07C58C" w14:textId="77777777" w:rsidR="00004334" w:rsidRPr="00037037" w:rsidRDefault="00004334" w:rsidP="00426D39">
            <w:pPr>
              <w:keepNext/>
              <w:rPr>
                <w:rFonts w:cs="Arial"/>
                <w:bCs/>
                <w:sz w:val="24"/>
              </w:rPr>
            </w:pPr>
            <w:r w:rsidRPr="00037037">
              <w:rPr>
                <w:rFonts w:eastAsia="Arial" w:cs="Arial"/>
                <w:sz w:val="24"/>
              </w:rPr>
              <w:t>Swansea local authority</w:t>
            </w:r>
          </w:p>
        </w:tc>
        <w:tc>
          <w:tcPr>
            <w:tcW w:w="0" w:type="auto"/>
            <w:tcBorders>
              <w:top w:val="single" w:sz="4" w:space="0" w:color="auto"/>
              <w:left w:val="single" w:sz="4" w:space="0" w:color="auto"/>
              <w:bottom w:val="single" w:sz="4" w:space="0" w:color="auto"/>
              <w:right w:val="single" w:sz="4" w:space="0" w:color="auto"/>
            </w:tcBorders>
            <w:hideMark/>
          </w:tcPr>
          <w:p w14:paraId="37323A17" w14:textId="77777777" w:rsidR="00004334" w:rsidRPr="00037037" w:rsidRDefault="00004334" w:rsidP="00426D39">
            <w:pPr>
              <w:keepNext/>
              <w:rPr>
                <w:rFonts w:eastAsia="Arial" w:cs="Arial"/>
                <w:sz w:val="24"/>
              </w:rPr>
            </w:pPr>
            <w:r w:rsidRPr="00037037">
              <w:rPr>
                <w:rFonts w:eastAsia="Arial" w:cs="Arial"/>
                <w:sz w:val="24"/>
              </w:rPr>
              <w:t>209,302</w:t>
            </w:r>
            <w:r w:rsidRPr="00037037">
              <w:rPr>
                <w:rFonts w:eastAsia="Arial" w:cs="Arial"/>
                <w:sz w:val="24"/>
                <w:vertAlign w:val="superscript"/>
              </w:rPr>
              <w:footnoteReference w:id="255"/>
            </w:r>
          </w:p>
        </w:tc>
        <w:tc>
          <w:tcPr>
            <w:tcW w:w="0" w:type="auto"/>
            <w:tcBorders>
              <w:top w:val="single" w:sz="4" w:space="0" w:color="auto"/>
              <w:left w:val="single" w:sz="4" w:space="0" w:color="auto"/>
              <w:bottom w:val="single" w:sz="4" w:space="0" w:color="auto"/>
              <w:right w:val="single" w:sz="4" w:space="0" w:color="auto"/>
            </w:tcBorders>
            <w:hideMark/>
          </w:tcPr>
          <w:p w14:paraId="1CEB60F8" w14:textId="77777777" w:rsidR="00004334" w:rsidRPr="00037037" w:rsidRDefault="00004334" w:rsidP="00426D39">
            <w:pPr>
              <w:keepNext/>
              <w:rPr>
                <w:rFonts w:eastAsia="Arial" w:cs="Arial"/>
                <w:sz w:val="24"/>
              </w:rPr>
            </w:pPr>
            <w:r w:rsidRPr="00037037">
              <w:rPr>
                <w:rFonts w:eastAsia="Arial" w:cs="Arial"/>
                <w:sz w:val="24"/>
              </w:rPr>
              <w:t>20%</w:t>
            </w:r>
          </w:p>
        </w:tc>
        <w:tc>
          <w:tcPr>
            <w:tcW w:w="0" w:type="auto"/>
            <w:tcBorders>
              <w:top w:val="single" w:sz="4" w:space="0" w:color="auto"/>
              <w:left w:val="single" w:sz="4" w:space="0" w:color="auto"/>
              <w:bottom w:val="single" w:sz="4" w:space="0" w:color="auto"/>
              <w:right w:val="single" w:sz="4" w:space="0" w:color="auto"/>
            </w:tcBorders>
            <w:hideMark/>
          </w:tcPr>
          <w:p w14:paraId="0CF3D10E" w14:textId="77777777" w:rsidR="00004334" w:rsidRPr="00037037" w:rsidRDefault="00004334" w:rsidP="00426D39">
            <w:pPr>
              <w:keepNext/>
              <w:rPr>
                <w:rFonts w:eastAsia="Arial" w:cs="Arial"/>
                <w:sz w:val="24"/>
              </w:rPr>
            </w:pPr>
            <w:r w:rsidRPr="00037037">
              <w:rPr>
                <w:rFonts w:eastAsia="Arial" w:cs="Arial"/>
                <w:sz w:val="24"/>
              </w:rPr>
              <w:t>16%</w:t>
            </w:r>
          </w:p>
        </w:tc>
        <w:tc>
          <w:tcPr>
            <w:tcW w:w="0" w:type="auto"/>
            <w:tcBorders>
              <w:top w:val="single" w:sz="4" w:space="0" w:color="auto"/>
              <w:left w:val="single" w:sz="4" w:space="0" w:color="auto"/>
              <w:bottom w:val="single" w:sz="4" w:space="0" w:color="auto"/>
              <w:right w:val="single" w:sz="4" w:space="0" w:color="auto"/>
            </w:tcBorders>
            <w:hideMark/>
          </w:tcPr>
          <w:p w14:paraId="00A7BA17" w14:textId="77777777" w:rsidR="00004334" w:rsidRPr="00037037" w:rsidRDefault="00004334" w:rsidP="00426D39">
            <w:pPr>
              <w:keepNext/>
              <w:rPr>
                <w:rFonts w:eastAsia="Arial" w:cs="Arial"/>
                <w:sz w:val="24"/>
              </w:rPr>
            </w:pPr>
            <w:r w:rsidRPr="00037037">
              <w:rPr>
                <w:rFonts w:eastAsia="Arial" w:cs="Arial"/>
                <w:sz w:val="24"/>
              </w:rPr>
              <w:t>61%</w:t>
            </w:r>
          </w:p>
        </w:tc>
        <w:tc>
          <w:tcPr>
            <w:tcW w:w="0" w:type="auto"/>
            <w:tcBorders>
              <w:top w:val="single" w:sz="4" w:space="0" w:color="auto"/>
              <w:left w:val="single" w:sz="4" w:space="0" w:color="auto"/>
              <w:bottom w:val="single" w:sz="4" w:space="0" w:color="auto"/>
              <w:right w:val="single" w:sz="4" w:space="0" w:color="auto"/>
            </w:tcBorders>
            <w:hideMark/>
          </w:tcPr>
          <w:p w14:paraId="3D9ABA14" w14:textId="77777777" w:rsidR="00004334" w:rsidRPr="00037037" w:rsidRDefault="00004334" w:rsidP="00426D39">
            <w:pPr>
              <w:keepNext/>
              <w:rPr>
                <w:rFonts w:eastAsia="Arial" w:cs="Arial"/>
                <w:sz w:val="24"/>
              </w:rPr>
            </w:pPr>
            <w:r w:rsidRPr="00037037">
              <w:rPr>
                <w:rFonts w:eastAsia="Arial" w:cs="Arial"/>
                <w:sz w:val="24"/>
              </w:rPr>
              <w:t>24%</w:t>
            </w:r>
          </w:p>
        </w:tc>
        <w:tc>
          <w:tcPr>
            <w:tcW w:w="0" w:type="auto"/>
            <w:tcBorders>
              <w:top w:val="single" w:sz="4" w:space="0" w:color="auto"/>
              <w:left w:val="single" w:sz="4" w:space="0" w:color="auto"/>
              <w:bottom w:val="single" w:sz="4" w:space="0" w:color="auto"/>
              <w:right w:val="single" w:sz="4" w:space="0" w:color="auto"/>
            </w:tcBorders>
            <w:hideMark/>
          </w:tcPr>
          <w:p w14:paraId="73E1742B" w14:textId="77777777" w:rsidR="00004334" w:rsidRPr="00037037" w:rsidRDefault="00004334" w:rsidP="00426D39">
            <w:pPr>
              <w:keepNext/>
              <w:rPr>
                <w:rFonts w:eastAsia="Arial" w:cs="Arial"/>
                <w:sz w:val="24"/>
              </w:rPr>
            </w:pPr>
            <w:r w:rsidRPr="00037037">
              <w:rPr>
                <w:rFonts w:eastAsia="Arial" w:cs="Arial"/>
                <w:sz w:val="24"/>
              </w:rPr>
              <w:t>59%</w:t>
            </w:r>
          </w:p>
        </w:tc>
        <w:tc>
          <w:tcPr>
            <w:tcW w:w="950" w:type="dxa"/>
            <w:tcBorders>
              <w:top w:val="single" w:sz="4" w:space="0" w:color="auto"/>
              <w:left w:val="single" w:sz="4" w:space="0" w:color="auto"/>
              <w:bottom w:val="single" w:sz="4" w:space="0" w:color="auto"/>
              <w:right w:val="single" w:sz="4" w:space="0" w:color="auto"/>
            </w:tcBorders>
            <w:hideMark/>
          </w:tcPr>
          <w:p w14:paraId="2B32984C" w14:textId="77777777" w:rsidR="00004334" w:rsidRPr="00037037" w:rsidRDefault="00004334" w:rsidP="00426D39">
            <w:pPr>
              <w:keepNext/>
              <w:rPr>
                <w:rFonts w:eastAsia="Arial" w:cs="Arial"/>
                <w:sz w:val="24"/>
              </w:rPr>
            </w:pPr>
            <w:r w:rsidRPr="00037037">
              <w:rPr>
                <w:rFonts w:eastAsia="Arial" w:cs="Arial"/>
                <w:sz w:val="24"/>
              </w:rPr>
              <w:t>34%</w:t>
            </w:r>
          </w:p>
        </w:tc>
      </w:tr>
      <w:tr w:rsidR="00004334" w:rsidRPr="00037037" w14:paraId="428F6F53" w14:textId="77777777" w:rsidTr="00466EE5">
        <w:trPr>
          <w:trHeight w:val="328"/>
        </w:trPr>
        <w:tc>
          <w:tcPr>
            <w:tcW w:w="0" w:type="auto"/>
            <w:tcBorders>
              <w:top w:val="single" w:sz="4" w:space="0" w:color="auto"/>
              <w:left w:val="single" w:sz="4" w:space="0" w:color="auto"/>
              <w:bottom w:val="single" w:sz="4" w:space="0" w:color="auto"/>
              <w:right w:val="single" w:sz="4" w:space="0" w:color="auto"/>
            </w:tcBorders>
            <w:hideMark/>
          </w:tcPr>
          <w:p w14:paraId="37A99CEF" w14:textId="77777777" w:rsidR="00004334" w:rsidRPr="00037037" w:rsidRDefault="00004334" w:rsidP="00426D39">
            <w:pPr>
              <w:keepNext/>
              <w:rPr>
                <w:rFonts w:eastAsia="Arial" w:cs="Arial"/>
                <w:sz w:val="24"/>
              </w:rPr>
            </w:pPr>
            <w:r w:rsidRPr="00037037">
              <w:rPr>
                <w:rFonts w:eastAsia="Arial" w:cs="Arial"/>
                <w:sz w:val="24"/>
              </w:rPr>
              <w:t>Wales</w:t>
            </w:r>
          </w:p>
        </w:tc>
        <w:tc>
          <w:tcPr>
            <w:tcW w:w="0" w:type="auto"/>
            <w:tcBorders>
              <w:top w:val="single" w:sz="4" w:space="0" w:color="auto"/>
              <w:left w:val="single" w:sz="4" w:space="0" w:color="auto"/>
              <w:bottom w:val="single" w:sz="4" w:space="0" w:color="auto"/>
              <w:right w:val="single" w:sz="4" w:space="0" w:color="auto"/>
            </w:tcBorders>
            <w:hideMark/>
          </w:tcPr>
          <w:p w14:paraId="00F6576B" w14:textId="77777777" w:rsidR="00004334" w:rsidRPr="00037037" w:rsidRDefault="00004334" w:rsidP="00426D39">
            <w:pPr>
              <w:keepNext/>
              <w:rPr>
                <w:rFonts w:eastAsia="Arial" w:cs="Arial"/>
                <w:sz w:val="24"/>
              </w:rPr>
            </w:pPr>
            <w:r w:rsidRPr="00037037">
              <w:rPr>
                <w:rFonts w:eastAsia="Arial" w:cs="Arial"/>
                <w:sz w:val="24"/>
              </w:rPr>
              <w:t>2,641,000</w:t>
            </w:r>
            <w:r w:rsidRPr="00037037">
              <w:rPr>
                <w:rFonts w:eastAsia="Arial" w:cs="Arial"/>
                <w:sz w:val="24"/>
                <w:vertAlign w:val="superscript"/>
              </w:rPr>
              <w:footnoteReference w:id="256"/>
            </w:r>
          </w:p>
        </w:tc>
        <w:tc>
          <w:tcPr>
            <w:tcW w:w="0" w:type="auto"/>
            <w:tcBorders>
              <w:top w:val="single" w:sz="4" w:space="0" w:color="auto"/>
              <w:left w:val="single" w:sz="4" w:space="0" w:color="auto"/>
              <w:bottom w:val="single" w:sz="4" w:space="0" w:color="auto"/>
              <w:right w:val="single" w:sz="4" w:space="0" w:color="auto"/>
            </w:tcBorders>
            <w:hideMark/>
          </w:tcPr>
          <w:p w14:paraId="05844824" w14:textId="77777777" w:rsidR="00004334" w:rsidRPr="00037037" w:rsidRDefault="00004334" w:rsidP="00426D39">
            <w:pPr>
              <w:keepNext/>
              <w:rPr>
                <w:rFonts w:eastAsia="Arial" w:cs="Arial"/>
                <w:sz w:val="24"/>
              </w:rPr>
            </w:pPr>
            <w:r w:rsidRPr="00037037">
              <w:rPr>
                <w:rFonts w:eastAsia="Arial" w:cs="Arial"/>
                <w:sz w:val="24"/>
              </w:rPr>
              <w:t>20%</w:t>
            </w:r>
          </w:p>
        </w:tc>
        <w:tc>
          <w:tcPr>
            <w:tcW w:w="0" w:type="auto"/>
            <w:tcBorders>
              <w:top w:val="single" w:sz="4" w:space="0" w:color="auto"/>
              <w:left w:val="single" w:sz="4" w:space="0" w:color="auto"/>
              <w:bottom w:val="single" w:sz="4" w:space="0" w:color="auto"/>
              <w:right w:val="single" w:sz="4" w:space="0" w:color="auto"/>
            </w:tcBorders>
            <w:hideMark/>
          </w:tcPr>
          <w:p w14:paraId="3ED03D42" w14:textId="77777777" w:rsidR="00004334" w:rsidRPr="00037037" w:rsidRDefault="00004334" w:rsidP="00426D39">
            <w:pPr>
              <w:keepNext/>
              <w:rPr>
                <w:rFonts w:eastAsia="Arial" w:cs="Arial"/>
                <w:sz w:val="24"/>
              </w:rPr>
            </w:pPr>
            <w:r w:rsidRPr="00037037">
              <w:rPr>
                <w:rFonts w:eastAsia="Arial" w:cs="Arial"/>
                <w:sz w:val="24"/>
              </w:rPr>
              <w:t>16%</w:t>
            </w:r>
          </w:p>
        </w:tc>
        <w:tc>
          <w:tcPr>
            <w:tcW w:w="0" w:type="auto"/>
            <w:tcBorders>
              <w:top w:val="single" w:sz="4" w:space="0" w:color="auto"/>
              <w:left w:val="single" w:sz="4" w:space="0" w:color="auto"/>
              <w:bottom w:val="single" w:sz="4" w:space="0" w:color="auto"/>
              <w:right w:val="single" w:sz="4" w:space="0" w:color="auto"/>
            </w:tcBorders>
            <w:hideMark/>
          </w:tcPr>
          <w:p w14:paraId="55CAEA72" w14:textId="77777777" w:rsidR="00004334" w:rsidRPr="00037037" w:rsidRDefault="00004334" w:rsidP="00426D39">
            <w:pPr>
              <w:keepNext/>
              <w:rPr>
                <w:rFonts w:eastAsia="Arial" w:cs="Arial"/>
                <w:sz w:val="24"/>
              </w:rPr>
            </w:pPr>
            <w:r w:rsidRPr="00037037">
              <w:rPr>
                <w:rFonts w:eastAsia="Arial" w:cs="Arial"/>
                <w:sz w:val="24"/>
              </w:rPr>
              <w:t>62%</w:t>
            </w:r>
          </w:p>
        </w:tc>
        <w:tc>
          <w:tcPr>
            <w:tcW w:w="0" w:type="auto"/>
            <w:tcBorders>
              <w:top w:val="single" w:sz="4" w:space="0" w:color="auto"/>
              <w:left w:val="single" w:sz="4" w:space="0" w:color="auto"/>
              <w:bottom w:val="single" w:sz="4" w:space="0" w:color="auto"/>
              <w:right w:val="single" w:sz="4" w:space="0" w:color="auto"/>
            </w:tcBorders>
            <w:hideMark/>
          </w:tcPr>
          <w:p w14:paraId="6490ED5B" w14:textId="77777777" w:rsidR="00004334" w:rsidRPr="00037037" w:rsidRDefault="00004334" w:rsidP="00426D39">
            <w:pPr>
              <w:keepNext/>
              <w:rPr>
                <w:rFonts w:eastAsia="Arial" w:cs="Arial"/>
                <w:sz w:val="24"/>
              </w:rPr>
            </w:pPr>
            <w:r w:rsidRPr="00037037">
              <w:rPr>
                <w:rFonts w:eastAsia="Arial" w:cs="Arial"/>
                <w:sz w:val="24"/>
              </w:rPr>
              <w:t>25%</w:t>
            </w:r>
          </w:p>
        </w:tc>
        <w:tc>
          <w:tcPr>
            <w:tcW w:w="0" w:type="auto"/>
            <w:tcBorders>
              <w:top w:val="single" w:sz="4" w:space="0" w:color="auto"/>
              <w:left w:val="single" w:sz="4" w:space="0" w:color="auto"/>
              <w:bottom w:val="single" w:sz="4" w:space="0" w:color="auto"/>
              <w:right w:val="single" w:sz="4" w:space="0" w:color="auto"/>
            </w:tcBorders>
            <w:hideMark/>
          </w:tcPr>
          <w:p w14:paraId="26EEA303" w14:textId="77777777" w:rsidR="00004334" w:rsidRPr="00037037" w:rsidRDefault="00004334" w:rsidP="00426D39">
            <w:pPr>
              <w:keepNext/>
              <w:rPr>
                <w:rFonts w:eastAsia="Arial" w:cs="Arial"/>
                <w:sz w:val="24"/>
              </w:rPr>
            </w:pPr>
            <w:r w:rsidRPr="00037037">
              <w:rPr>
                <w:rFonts w:eastAsia="Arial" w:cs="Arial"/>
                <w:sz w:val="24"/>
              </w:rPr>
              <w:t>56%</w:t>
            </w:r>
          </w:p>
        </w:tc>
        <w:tc>
          <w:tcPr>
            <w:tcW w:w="950" w:type="dxa"/>
            <w:tcBorders>
              <w:top w:val="single" w:sz="4" w:space="0" w:color="auto"/>
              <w:left w:val="single" w:sz="4" w:space="0" w:color="auto"/>
              <w:bottom w:val="single" w:sz="4" w:space="0" w:color="auto"/>
              <w:right w:val="single" w:sz="4" w:space="0" w:color="auto"/>
            </w:tcBorders>
          </w:tcPr>
          <w:p w14:paraId="2BF07399" w14:textId="77777777" w:rsidR="00004334" w:rsidRPr="00037037" w:rsidRDefault="00004334" w:rsidP="00426D39">
            <w:pPr>
              <w:keepNext/>
              <w:rPr>
                <w:rFonts w:eastAsia="Arial" w:cs="Arial"/>
                <w:sz w:val="24"/>
              </w:rPr>
            </w:pPr>
            <w:r w:rsidRPr="00037037">
              <w:rPr>
                <w:rFonts w:eastAsia="Arial" w:cs="Arial"/>
                <w:sz w:val="24"/>
              </w:rPr>
              <w:t>29%</w:t>
            </w:r>
          </w:p>
        </w:tc>
      </w:tr>
    </w:tbl>
    <w:p w14:paraId="61AD9316" w14:textId="77777777" w:rsidR="00B84219" w:rsidRPr="00B84219" w:rsidRDefault="00B84219" w:rsidP="00B84219">
      <w:pPr>
        <w:contextualSpacing/>
        <w:rPr>
          <w:rFonts w:eastAsia="Aptos" w:cs="Arial"/>
        </w:rPr>
      </w:pPr>
    </w:p>
    <w:p w14:paraId="5AF0AA0D" w14:textId="77777777" w:rsidR="00B84219" w:rsidRPr="00B84219" w:rsidRDefault="00B84219" w:rsidP="00B84219">
      <w:pPr>
        <w:contextualSpacing/>
        <w:rPr>
          <w:rFonts w:eastAsia="Aptos" w:cs="Arial"/>
          <w:lang w:eastAsia="en-GB"/>
        </w:rPr>
      </w:pPr>
      <w:r w:rsidRPr="00B84219">
        <w:rPr>
          <w:rFonts w:eastAsia="Aptos" w:cs="Arial"/>
        </w:rPr>
        <w:lastRenderedPageBreak/>
        <w:t>Overall, the adult lifestyle behaviours in Swansea are broadly in line with the Wales average for smoking, drinking above recommended limits, and maintaining a healthy weight. However, Swansea performs better than the Wales average for physical activity and in eating five portions of fruit and vegetables a day.</w:t>
      </w:r>
    </w:p>
    <w:p w14:paraId="5DB8A69D" w14:textId="77777777" w:rsidR="00B84219" w:rsidRPr="00B84219" w:rsidRDefault="00B84219" w:rsidP="00B84219">
      <w:pPr>
        <w:contextualSpacing/>
        <w:rPr>
          <w:rFonts w:eastAsia="Aptos" w:cs="Arial"/>
        </w:rPr>
      </w:pPr>
    </w:p>
    <w:p w14:paraId="0FDCB279" w14:textId="77777777" w:rsidR="00B84219" w:rsidRPr="00B84219" w:rsidRDefault="00B84219" w:rsidP="00B84219">
      <w:pPr>
        <w:rPr>
          <w:rFonts w:eastAsia="Aptos" w:cs="Arial"/>
          <w:b/>
          <w:bCs/>
          <w:sz w:val="26"/>
          <w:szCs w:val="26"/>
        </w:rPr>
      </w:pPr>
      <w:r w:rsidRPr="00B84219">
        <w:rPr>
          <w:rFonts w:eastAsia="Aptos" w:cs="Arial"/>
          <w:b/>
          <w:bCs/>
          <w:sz w:val="26"/>
          <w:szCs w:val="26"/>
        </w:rPr>
        <w:t>9.3 Current provision of pharmaceutical services within the locality</w:t>
      </w:r>
    </w:p>
    <w:p w14:paraId="20B792D7" w14:textId="77777777" w:rsidR="00B84219" w:rsidRPr="00B84219" w:rsidRDefault="00B84219" w:rsidP="00B84219">
      <w:pPr>
        <w:rPr>
          <w:rFonts w:eastAsia="Aptos" w:cs="Arial"/>
        </w:rPr>
      </w:pPr>
    </w:p>
    <w:p w14:paraId="3D891580" w14:textId="77777777" w:rsidR="00B84219" w:rsidRPr="00B84219" w:rsidRDefault="00B84219" w:rsidP="00B84219">
      <w:pPr>
        <w:rPr>
          <w:rFonts w:eastAsia="Aptos" w:cs="Arial"/>
        </w:rPr>
      </w:pPr>
      <w:r w:rsidRPr="00B84219">
        <w:rPr>
          <w:rFonts w:eastAsia="Aptos" w:cs="Arial"/>
        </w:rPr>
        <w:t>There are 14 pharmacies in the locality operated by six different contractors. The majority of pharmacies are located in the centre and residential suburbs.</w:t>
      </w:r>
    </w:p>
    <w:p w14:paraId="4F0AAFB5" w14:textId="77777777" w:rsidR="00B84219" w:rsidRPr="00B84219" w:rsidRDefault="00B84219" w:rsidP="00B84219">
      <w:pPr>
        <w:rPr>
          <w:rFonts w:eastAsia="Aptos" w:cs="Arial"/>
        </w:rPr>
      </w:pPr>
    </w:p>
    <w:p w14:paraId="68039548" w14:textId="77777777" w:rsidR="00B84219" w:rsidRPr="00B84219" w:rsidRDefault="00B84219" w:rsidP="00B84219">
      <w:pPr>
        <w:rPr>
          <w:rFonts w:eastAsia="Aptos" w:cs="Arial"/>
        </w:rPr>
      </w:pPr>
      <w:r w:rsidRPr="00B84219">
        <w:rPr>
          <w:rFonts w:eastAsia="Aptos" w:cs="Arial"/>
        </w:rPr>
        <w:t>The availability of pharmacy services within the locality per 10,000 registered population is 2.5, which is higher than the health board average of 2.27.</w:t>
      </w:r>
    </w:p>
    <w:p w14:paraId="6C82E5E3" w14:textId="77777777" w:rsidR="00B84219" w:rsidRPr="00B84219" w:rsidRDefault="00B84219" w:rsidP="00B84219">
      <w:pPr>
        <w:rPr>
          <w:rFonts w:eastAsia="Aptos" w:cs="Arial"/>
        </w:rPr>
      </w:pPr>
    </w:p>
    <w:p w14:paraId="74BA2388"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In 2024/25, 79.7% of items on prescriptions written by the GP practices in the locality were dispensed by one of the pharmacies within the locality. </w:t>
      </w:r>
    </w:p>
    <w:p w14:paraId="23F2122B" w14:textId="77777777" w:rsidR="00B84219" w:rsidRPr="00B84219" w:rsidRDefault="00B84219" w:rsidP="00B84219">
      <w:pPr>
        <w:rPr>
          <w:rFonts w:eastAsia="Times New Roman" w:cs="Arial"/>
          <w:kern w:val="0"/>
          <w:lang w:eastAsia="en-GB"/>
          <w14:ligatures w14:val="none"/>
        </w:rPr>
      </w:pPr>
    </w:p>
    <w:p w14:paraId="18AFB58B"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In 2025/26, 79.3% of items on prescriptions written by the GP practices in the locality were dispensed by one of the pharmacies within the locality. </w:t>
      </w:r>
    </w:p>
    <w:p w14:paraId="27D458A2" w14:textId="77777777" w:rsidR="00B84219" w:rsidRPr="00B84219" w:rsidRDefault="00B84219" w:rsidP="00B84219">
      <w:pPr>
        <w:rPr>
          <w:rFonts w:eastAsia="Aptos" w:cs="Arial"/>
        </w:rPr>
      </w:pPr>
    </w:p>
    <w:p w14:paraId="18590F1A" w14:textId="77777777" w:rsidR="00B84219" w:rsidRPr="00B84219" w:rsidRDefault="00B84219" w:rsidP="00B84219">
      <w:pPr>
        <w:rPr>
          <w:rFonts w:eastAsia="Aptos" w:cs="Arial"/>
        </w:rPr>
      </w:pPr>
      <w:r w:rsidRPr="00B84219">
        <w:rPr>
          <w:rFonts w:eastAsia="Aptos" w:cs="Arial"/>
        </w:rPr>
        <w:t>The map below shows the pharmaceutical provision within the area. It should be noted that where premises are close to each other the symbols will overlap.</w:t>
      </w:r>
    </w:p>
    <w:p w14:paraId="2BA52087" w14:textId="77777777" w:rsidR="00B84219" w:rsidRPr="00B84219" w:rsidRDefault="00B84219" w:rsidP="00B84219">
      <w:pPr>
        <w:rPr>
          <w:rFonts w:eastAsia="Aptos" w:cs="Arial"/>
          <w:b/>
          <w:bCs/>
        </w:rPr>
      </w:pPr>
    </w:p>
    <w:p w14:paraId="78DDAAD7" w14:textId="77777777" w:rsidR="00B84219" w:rsidRPr="00B84219" w:rsidRDefault="00B84219" w:rsidP="00B84219">
      <w:pPr>
        <w:rPr>
          <w:rFonts w:eastAsia="Aptos" w:cs="Arial"/>
          <w:b/>
          <w:bCs/>
        </w:rPr>
      </w:pPr>
      <w:r w:rsidRPr="00B84219">
        <w:rPr>
          <w:rFonts w:eastAsia="Aptos" w:cs="Arial"/>
          <w:b/>
          <w:bCs/>
        </w:rPr>
        <w:t>Map 9.1: Locations of the pharmacy premises within the locality</w:t>
      </w:r>
    </w:p>
    <w:p w14:paraId="6AEFE51A" w14:textId="77777777" w:rsidR="00B84219" w:rsidRPr="00B84219" w:rsidRDefault="00B84219" w:rsidP="00B84219">
      <w:pPr>
        <w:rPr>
          <w:rFonts w:eastAsia="Aptos" w:cs="Arial"/>
        </w:rPr>
      </w:pPr>
    </w:p>
    <w:p w14:paraId="5C2658EB" w14:textId="695AAB09" w:rsidR="00B84219" w:rsidRPr="00B84219" w:rsidRDefault="00982041" w:rsidP="00B84219">
      <w:pPr>
        <w:rPr>
          <w:rFonts w:eastAsia="Aptos" w:cs="Arial"/>
        </w:rPr>
      </w:pPr>
      <w:r w:rsidRPr="00982041">
        <w:rPr>
          <w:rFonts w:eastAsia="Aptos" w:cs="Arial"/>
          <w:noProof/>
        </w:rPr>
        <w:drawing>
          <wp:inline distT="0" distB="0" distL="0" distR="0" wp14:anchorId="56606969" wp14:editId="59690262">
            <wp:extent cx="5731510" cy="4170045"/>
            <wp:effectExtent l="0" t="0" r="2540" b="1905"/>
            <wp:docPr id="470340369" name="Picture 1" descr="Map of Swansea showing the locations of 14 pharmacies, marked with numbered purple pins. A legend in the upper-left corner lists the pharmacies: Well Pharmacy Townhill (1), Kevin Thomas Pharmacy St Helens (2), Well Pharmacy St Helens (3), Mountain View Pharmacy (4), Well Pharmacy Kingsway (5), Well Pharmacy High Street (6), Superdrug Pharmacy (7), Boots The Chemist Quadrant (8), Well Pharmacy Greenhill Medical Centre (9), Kevin Thomas Pharmacy Hafod (10), Kevin Thomas Pharmacy Tawe (11), Well Pharmacy Beacon Centre (12), Ysgol Street Pharmacy (13), and Kevin Thomas Pharmacy Bonymaen (14). The pharmacies are concentrated around Swansea city centre, High Street, St Helens, and the waterfront, with additional locations in Townhill, Hafod, Tawe, Port Tennant, and Bonymaen. The numbered pins correspond to the pharmacy list and show their distribution across the urban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340369" name="Picture 1" descr="Map of Swansea showing the locations of 14 pharmacies, marked with numbered purple pins. A legend in the upper-left corner lists the pharmacies: Well Pharmacy Townhill (1), Kevin Thomas Pharmacy St Helens (2), Well Pharmacy St Helens (3), Mountain View Pharmacy (4), Well Pharmacy Kingsway (5), Well Pharmacy High Street (6), Superdrug Pharmacy (7), Boots The Chemist Quadrant (8), Well Pharmacy Greenhill Medical Centre (9), Kevin Thomas Pharmacy Hafod (10), Kevin Thomas Pharmacy Tawe (11), Well Pharmacy Beacon Centre (12), Ysgol Street Pharmacy (13), and Kevin Thomas Pharmacy Bonymaen (14). The pharmacies are concentrated around Swansea city centre, High Street, St Helens, and the waterfront, with additional locations in Townhill, Hafod, Tawe, Port Tennant, and Bonymaen. The numbered pins correspond to the pharmacy list and show their distribution across the urban area."/>
                    <pic:cNvPicPr/>
                  </pic:nvPicPr>
                  <pic:blipFill>
                    <a:blip r:embed="rId57"/>
                    <a:stretch>
                      <a:fillRect/>
                    </a:stretch>
                  </pic:blipFill>
                  <pic:spPr>
                    <a:xfrm>
                      <a:off x="0" y="0"/>
                      <a:ext cx="5731510" cy="4170045"/>
                    </a:xfrm>
                    <a:prstGeom prst="rect">
                      <a:avLst/>
                    </a:prstGeom>
                  </pic:spPr>
                </pic:pic>
              </a:graphicData>
            </a:graphic>
          </wp:inline>
        </w:drawing>
      </w:r>
    </w:p>
    <w:p w14:paraId="780345AC" w14:textId="77777777" w:rsidR="00466EE5" w:rsidRDefault="00466EE5" w:rsidP="00B84219">
      <w:pPr>
        <w:rPr>
          <w:rFonts w:eastAsia="Aptos" w:cs="Arial"/>
        </w:rPr>
      </w:pPr>
    </w:p>
    <w:p w14:paraId="462E0DA1" w14:textId="19C00EC4" w:rsidR="00B84219" w:rsidRPr="00B84219" w:rsidRDefault="00B84219" w:rsidP="00B84219">
      <w:pPr>
        <w:rPr>
          <w:rFonts w:eastAsia="Aptos" w:cs="Arial"/>
        </w:rPr>
      </w:pPr>
      <w:r w:rsidRPr="00B84219">
        <w:rPr>
          <w:rFonts w:eastAsia="Aptos" w:cs="Arial"/>
        </w:rPr>
        <w:lastRenderedPageBreak/>
        <w:t>The health board has noted the pharmaceutical needs assessment published on 1 October 2021 concluded that the pharmacies in this locality were mainly located in areas of greater population density. In addition, all residents of the locality were able to access a pharmacy within 20 minutes by car. Noting the locations of the pharmacies have not changed, the health board is satisfied this conclusion remains valid; residents are still able to access a pharmacy by car within 20 minutes and for many the travel time will be shorter.</w:t>
      </w:r>
    </w:p>
    <w:p w14:paraId="6FCDC6A8" w14:textId="77777777" w:rsidR="00B84219" w:rsidRPr="00B84219" w:rsidRDefault="00B84219" w:rsidP="00B84219">
      <w:pPr>
        <w:rPr>
          <w:rFonts w:eastAsia="Aptos" w:cs="Arial"/>
        </w:rPr>
      </w:pPr>
    </w:p>
    <w:p w14:paraId="444B0DD2" w14:textId="77777777" w:rsidR="00B84219" w:rsidRPr="00B84219" w:rsidRDefault="00B84219" w:rsidP="00B84219">
      <w:pPr>
        <w:rPr>
          <w:rFonts w:eastAsia="Aptos" w:cs="Arial"/>
        </w:rPr>
      </w:pPr>
      <w:r w:rsidRPr="00B84219">
        <w:rPr>
          <w:rFonts w:eastAsia="Aptos" w:cs="Arial"/>
        </w:rPr>
        <w:t xml:space="preserve">Looking at the opening hours of the pharmacies: </w:t>
      </w:r>
    </w:p>
    <w:p w14:paraId="0E5E159F" w14:textId="77777777" w:rsidR="00B84219" w:rsidRPr="00B84219" w:rsidRDefault="00B84219" w:rsidP="00B84219">
      <w:pPr>
        <w:rPr>
          <w:rFonts w:eastAsia="Aptos" w:cs="Arial"/>
        </w:rPr>
      </w:pPr>
    </w:p>
    <w:p w14:paraId="4A70308E" w14:textId="77777777" w:rsidR="00B84219" w:rsidRPr="00B84219" w:rsidRDefault="00B84219" w:rsidP="00B76905">
      <w:pPr>
        <w:numPr>
          <w:ilvl w:val="0"/>
          <w:numId w:val="159"/>
        </w:numPr>
        <w:contextualSpacing/>
        <w:rPr>
          <w:rFonts w:eastAsia="Aptos" w:cs="Arial"/>
        </w:rPr>
      </w:pPr>
      <w:r w:rsidRPr="00B84219">
        <w:rPr>
          <w:rFonts w:eastAsia="Aptos" w:cs="Arial"/>
        </w:rPr>
        <w:t>One pharmacy is open seven days a week,</w:t>
      </w:r>
    </w:p>
    <w:p w14:paraId="4D038F7A" w14:textId="77777777" w:rsidR="00B84219" w:rsidRPr="00B84219" w:rsidRDefault="00B84219" w:rsidP="00B76905">
      <w:pPr>
        <w:numPr>
          <w:ilvl w:val="0"/>
          <w:numId w:val="160"/>
        </w:numPr>
        <w:contextualSpacing/>
        <w:rPr>
          <w:rFonts w:eastAsia="Aptos" w:cs="Arial"/>
        </w:rPr>
      </w:pPr>
      <w:r w:rsidRPr="00B84219">
        <w:rPr>
          <w:rFonts w:eastAsia="Aptos" w:cs="Arial"/>
        </w:rPr>
        <w:t>One pharmacy is open from Monday to Saturday,</w:t>
      </w:r>
    </w:p>
    <w:p w14:paraId="1CA417A2" w14:textId="77777777" w:rsidR="00B84219" w:rsidRPr="00B84219" w:rsidRDefault="00B84219" w:rsidP="00B76905">
      <w:pPr>
        <w:numPr>
          <w:ilvl w:val="0"/>
          <w:numId w:val="160"/>
        </w:numPr>
        <w:contextualSpacing/>
        <w:rPr>
          <w:rFonts w:eastAsia="Aptos" w:cs="Arial"/>
        </w:rPr>
      </w:pPr>
      <w:r w:rsidRPr="00B84219">
        <w:rPr>
          <w:rFonts w:eastAsia="Aptos" w:cs="Arial"/>
        </w:rPr>
        <w:t>Two pharmacies are open Monday to Friday and on Saturday mornings, and</w:t>
      </w:r>
    </w:p>
    <w:p w14:paraId="5E2B734C" w14:textId="77777777" w:rsidR="00B84219" w:rsidRPr="00B84219" w:rsidRDefault="00B84219" w:rsidP="00B76905">
      <w:pPr>
        <w:numPr>
          <w:ilvl w:val="0"/>
          <w:numId w:val="160"/>
        </w:numPr>
        <w:contextualSpacing/>
        <w:rPr>
          <w:rFonts w:eastAsia="Aptos" w:cs="Arial"/>
        </w:rPr>
      </w:pPr>
      <w:r w:rsidRPr="00B84219">
        <w:rPr>
          <w:rFonts w:eastAsia="Aptos" w:cs="Arial"/>
        </w:rPr>
        <w:t xml:space="preserve">Ten pharmacies are open Monday to Friday. </w:t>
      </w:r>
    </w:p>
    <w:p w14:paraId="43F31575" w14:textId="77777777" w:rsidR="00B84219" w:rsidRPr="00B84219" w:rsidRDefault="00B84219" w:rsidP="00B84219">
      <w:pPr>
        <w:rPr>
          <w:rFonts w:eastAsia="Times New Roman" w:cs="Arial"/>
          <w:kern w:val="0"/>
          <w:lang w:eastAsia="en-GB"/>
          <w14:ligatures w14:val="none"/>
        </w:rPr>
      </w:pPr>
    </w:p>
    <w:p w14:paraId="5F8B0417" w14:textId="77777777" w:rsidR="00B84219" w:rsidRPr="00B84219" w:rsidRDefault="00B84219" w:rsidP="00B84219">
      <w:pPr>
        <w:rPr>
          <w:rFonts w:eastAsia="Aptos" w:cs="Arial"/>
        </w:rPr>
      </w:pPr>
      <w:r w:rsidRPr="00B84219">
        <w:rPr>
          <w:rFonts w:eastAsia="Times New Roman" w:cs="Arial"/>
          <w:kern w:val="0"/>
          <w:lang w:eastAsia="en-GB"/>
          <w14:ligatures w14:val="none"/>
        </w:rPr>
        <w:t xml:space="preserve">Within the locality when looking at the total pharmacy opening hours, the range of opening and closing hours are shown in the table below. </w:t>
      </w:r>
      <w:r w:rsidRPr="00B84219">
        <w:rPr>
          <w:rFonts w:eastAsia="Aptos" w:cs="Arial"/>
        </w:rPr>
        <w:t>For the purposes of the pharmaceutical needs assessment, normal working hours have been defined as Monday to Friday 9.00am to 5.30pm.</w:t>
      </w:r>
    </w:p>
    <w:p w14:paraId="02E121CE" w14:textId="77777777" w:rsidR="00283FB4" w:rsidRPr="00B84219" w:rsidRDefault="00283FB4" w:rsidP="00B84219">
      <w:pPr>
        <w:rPr>
          <w:rFonts w:eastAsia="Aptos" w:cs="Arial"/>
        </w:rPr>
      </w:pPr>
    </w:p>
    <w:p w14:paraId="00DA47E1"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 xml:space="preserve">Table 9.7: Pharmacy opening and closing hours </w:t>
      </w:r>
    </w:p>
    <w:p w14:paraId="51042E6C" w14:textId="77777777" w:rsidR="00B84219" w:rsidRPr="00B84219" w:rsidRDefault="00B84219" w:rsidP="00B84219">
      <w:pPr>
        <w:ind w:left="720"/>
        <w:contextualSpacing/>
        <w:rPr>
          <w:rFonts w:eastAsia="Times New Roman" w:cs="Arial"/>
          <w:kern w:val="0"/>
          <w:lang w:eastAsia="en-GB"/>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3463"/>
        <w:gridCol w:w="3006"/>
      </w:tblGrid>
      <w:tr w:rsidR="00B84219" w:rsidRPr="00D0306F" w14:paraId="37B27D7F" w14:textId="77777777" w:rsidTr="00B84219">
        <w:tc>
          <w:tcPr>
            <w:tcW w:w="2547" w:type="dxa"/>
            <w:tcBorders>
              <w:top w:val="single" w:sz="4" w:space="0" w:color="auto"/>
              <w:left w:val="single" w:sz="4" w:space="0" w:color="auto"/>
              <w:bottom w:val="single" w:sz="4" w:space="0" w:color="auto"/>
              <w:right w:val="single" w:sz="4" w:space="0" w:color="auto"/>
            </w:tcBorders>
            <w:shd w:val="clear" w:color="auto" w:fill="153D63"/>
            <w:hideMark/>
          </w:tcPr>
          <w:p w14:paraId="2875BB1B"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Days</w:t>
            </w:r>
          </w:p>
        </w:tc>
        <w:tc>
          <w:tcPr>
            <w:tcW w:w="3463" w:type="dxa"/>
            <w:tcBorders>
              <w:top w:val="single" w:sz="4" w:space="0" w:color="auto"/>
              <w:left w:val="single" w:sz="4" w:space="0" w:color="auto"/>
              <w:bottom w:val="single" w:sz="4" w:space="0" w:color="auto"/>
              <w:right w:val="single" w:sz="4" w:space="0" w:color="auto"/>
            </w:tcBorders>
            <w:shd w:val="clear" w:color="auto" w:fill="153D63"/>
            <w:hideMark/>
          </w:tcPr>
          <w:p w14:paraId="4797BFE4"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Opening hours range</w:t>
            </w:r>
          </w:p>
        </w:tc>
        <w:tc>
          <w:tcPr>
            <w:tcW w:w="3006" w:type="dxa"/>
            <w:tcBorders>
              <w:top w:val="single" w:sz="4" w:space="0" w:color="auto"/>
              <w:left w:val="single" w:sz="4" w:space="0" w:color="auto"/>
              <w:bottom w:val="single" w:sz="4" w:space="0" w:color="auto"/>
              <w:right w:val="single" w:sz="4" w:space="0" w:color="auto"/>
            </w:tcBorders>
            <w:shd w:val="clear" w:color="auto" w:fill="153D63"/>
            <w:hideMark/>
          </w:tcPr>
          <w:p w14:paraId="23A979CD"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Closing hours range</w:t>
            </w:r>
          </w:p>
        </w:tc>
      </w:tr>
      <w:tr w:rsidR="00B84219" w:rsidRPr="00B84219" w14:paraId="1B37C1C0" w14:textId="77777777" w:rsidTr="00B84219">
        <w:tc>
          <w:tcPr>
            <w:tcW w:w="2547" w:type="dxa"/>
            <w:tcBorders>
              <w:top w:val="single" w:sz="4" w:space="0" w:color="auto"/>
              <w:left w:val="single" w:sz="4" w:space="0" w:color="auto"/>
              <w:bottom w:val="single" w:sz="4" w:space="0" w:color="auto"/>
              <w:right w:val="single" w:sz="4" w:space="0" w:color="auto"/>
            </w:tcBorders>
            <w:hideMark/>
          </w:tcPr>
          <w:p w14:paraId="55854AAD"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Monday to Friday</w:t>
            </w:r>
          </w:p>
        </w:tc>
        <w:tc>
          <w:tcPr>
            <w:tcW w:w="3463" w:type="dxa"/>
            <w:tcBorders>
              <w:top w:val="single" w:sz="4" w:space="0" w:color="auto"/>
              <w:left w:val="single" w:sz="4" w:space="0" w:color="auto"/>
              <w:bottom w:val="single" w:sz="4" w:space="0" w:color="auto"/>
              <w:right w:val="single" w:sz="4" w:space="0" w:color="auto"/>
            </w:tcBorders>
            <w:hideMark/>
          </w:tcPr>
          <w:p w14:paraId="758EAB02"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8.00am to 9.00am</w:t>
            </w:r>
          </w:p>
        </w:tc>
        <w:tc>
          <w:tcPr>
            <w:tcW w:w="3006" w:type="dxa"/>
            <w:tcBorders>
              <w:top w:val="single" w:sz="4" w:space="0" w:color="auto"/>
              <w:left w:val="single" w:sz="4" w:space="0" w:color="auto"/>
              <w:bottom w:val="single" w:sz="4" w:space="0" w:color="auto"/>
              <w:right w:val="single" w:sz="4" w:space="0" w:color="auto"/>
            </w:tcBorders>
            <w:hideMark/>
          </w:tcPr>
          <w:p w14:paraId="7D435599"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5.30pm to 6.00pm</w:t>
            </w:r>
          </w:p>
        </w:tc>
      </w:tr>
      <w:tr w:rsidR="00B84219" w:rsidRPr="00B84219" w14:paraId="64B0EDCB" w14:textId="77777777" w:rsidTr="00B84219">
        <w:tc>
          <w:tcPr>
            <w:tcW w:w="2547" w:type="dxa"/>
            <w:tcBorders>
              <w:top w:val="single" w:sz="4" w:space="0" w:color="auto"/>
              <w:left w:val="single" w:sz="4" w:space="0" w:color="auto"/>
              <w:bottom w:val="single" w:sz="4" w:space="0" w:color="auto"/>
              <w:right w:val="single" w:sz="4" w:space="0" w:color="auto"/>
            </w:tcBorders>
            <w:hideMark/>
          </w:tcPr>
          <w:p w14:paraId="45109D45"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Thursday</w:t>
            </w:r>
          </w:p>
        </w:tc>
        <w:tc>
          <w:tcPr>
            <w:tcW w:w="3463" w:type="dxa"/>
            <w:tcBorders>
              <w:top w:val="single" w:sz="4" w:space="0" w:color="auto"/>
              <w:left w:val="single" w:sz="4" w:space="0" w:color="auto"/>
              <w:bottom w:val="single" w:sz="4" w:space="0" w:color="auto"/>
              <w:right w:val="single" w:sz="4" w:space="0" w:color="auto"/>
            </w:tcBorders>
            <w:hideMark/>
          </w:tcPr>
          <w:p w14:paraId="296E3496"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8.00am to 9.00am</w:t>
            </w:r>
          </w:p>
        </w:tc>
        <w:tc>
          <w:tcPr>
            <w:tcW w:w="3006" w:type="dxa"/>
            <w:tcBorders>
              <w:top w:val="single" w:sz="4" w:space="0" w:color="auto"/>
              <w:left w:val="single" w:sz="4" w:space="0" w:color="auto"/>
              <w:bottom w:val="single" w:sz="4" w:space="0" w:color="auto"/>
              <w:right w:val="single" w:sz="4" w:space="0" w:color="auto"/>
            </w:tcBorders>
            <w:hideMark/>
          </w:tcPr>
          <w:p w14:paraId="03E43424"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1.00pm to 6.00pm</w:t>
            </w:r>
          </w:p>
        </w:tc>
      </w:tr>
      <w:tr w:rsidR="00B84219" w:rsidRPr="00B84219" w14:paraId="1969E4F0" w14:textId="77777777" w:rsidTr="00B84219">
        <w:tc>
          <w:tcPr>
            <w:tcW w:w="2547" w:type="dxa"/>
            <w:tcBorders>
              <w:top w:val="single" w:sz="4" w:space="0" w:color="auto"/>
              <w:left w:val="single" w:sz="4" w:space="0" w:color="auto"/>
              <w:bottom w:val="single" w:sz="4" w:space="0" w:color="auto"/>
              <w:right w:val="single" w:sz="4" w:space="0" w:color="auto"/>
            </w:tcBorders>
            <w:hideMark/>
          </w:tcPr>
          <w:p w14:paraId="729F5EBB"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Saturday</w:t>
            </w:r>
          </w:p>
        </w:tc>
        <w:tc>
          <w:tcPr>
            <w:tcW w:w="3463" w:type="dxa"/>
            <w:tcBorders>
              <w:top w:val="single" w:sz="4" w:space="0" w:color="auto"/>
              <w:left w:val="single" w:sz="4" w:space="0" w:color="auto"/>
              <w:bottom w:val="single" w:sz="4" w:space="0" w:color="auto"/>
              <w:right w:val="single" w:sz="4" w:space="0" w:color="auto"/>
            </w:tcBorders>
            <w:hideMark/>
          </w:tcPr>
          <w:p w14:paraId="670231E7"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9.00am</w:t>
            </w:r>
          </w:p>
        </w:tc>
        <w:tc>
          <w:tcPr>
            <w:tcW w:w="3006" w:type="dxa"/>
            <w:tcBorders>
              <w:top w:val="single" w:sz="4" w:space="0" w:color="auto"/>
              <w:left w:val="single" w:sz="4" w:space="0" w:color="auto"/>
              <w:bottom w:val="single" w:sz="4" w:space="0" w:color="auto"/>
              <w:right w:val="single" w:sz="4" w:space="0" w:color="auto"/>
            </w:tcBorders>
            <w:hideMark/>
          </w:tcPr>
          <w:p w14:paraId="5A41626D"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12.00pm to 5.30pm</w:t>
            </w:r>
          </w:p>
        </w:tc>
      </w:tr>
      <w:tr w:rsidR="00B84219" w:rsidRPr="00B84219" w14:paraId="565293A1" w14:textId="77777777" w:rsidTr="00B84219">
        <w:tc>
          <w:tcPr>
            <w:tcW w:w="2547" w:type="dxa"/>
            <w:tcBorders>
              <w:top w:val="single" w:sz="4" w:space="0" w:color="auto"/>
              <w:left w:val="single" w:sz="4" w:space="0" w:color="auto"/>
              <w:bottom w:val="single" w:sz="4" w:space="0" w:color="auto"/>
              <w:right w:val="single" w:sz="4" w:space="0" w:color="auto"/>
            </w:tcBorders>
            <w:hideMark/>
          </w:tcPr>
          <w:p w14:paraId="0E808FE6"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Sunday</w:t>
            </w:r>
          </w:p>
        </w:tc>
        <w:tc>
          <w:tcPr>
            <w:tcW w:w="3463" w:type="dxa"/>
            <w:tcBorders>
              <w:top w:val="single" w:sz="4" w:space="0" w:color="auto"/>
              <w:left w:val="single" w:sz="4" w:space="0" w:color="auto"/>
              <w:bottom w:val="single" w:sz="4" w:space="0" w:color="auto"/>
              <w:right w:val="single" w:sz="4" w:space="0" w:color="auto"/>
            </w:tcBorders>
            <w:hideMark/>
          </w:tcPr>
          <w:p w14:paraId="751D33AF"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10.30am</w:t>
            </w:r>
          </w:p>
        </w:tc>
        <w:tc>
          <w:tcPr>
            <w:tcW w:w="3006" w:type="dxa"/>
            <w:tcBorders>
              <w:top w:val="single" w:sz="4" w:space="0" w:color="auto"/>
              <w:left w:val="single" w:sz="4" w:space="0" w:color="auto"/>
              <w:bottom w:val="single" w:sz="4" w:space="0" w:color="auto"/>
              <w:right w:val="single" w:sz="4" w:space="0" w:color="auto"/>
            </w:tcBorders>
            <w:hideMark/>
          </w:tcPr>
          <w:p w14:paraId="7C54A533"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4.30pm</w:t>
            </w:r>
          </w:p>
        </w:tc>
      </w:tr>
    </w:tbl>
    <w:p w14:paraId="38F67C4D" w14:textId="77777777" w:rsidR="00B84219" w:rsidRPr="00B84219" w:rsidRDefault="00B84219" w:rsidP="00B84219">
      <w:pPr>
        <w:ind w:left="720"/>
        <w:contextualSpacing/>
        <w:rPr>
          <w:rFonts w:eastAsia="Aptos" w:cs="Arial"/>
        </w:rPr>
      </w:pPr>
    </w:p>
    <w:p w14:paraId="630B76A1" w14:textId="77777777" w:rsidR="00B84219" w:rsidRPr="00B84219" w:rsidRDefault="00B84219" w:rsidP="00B76905">
      <w:pPr>
        <w:numPr>
          <w:ilvl w:val="0"/>
          <w:numId w:val="161"/>
        </w:numPr>
        <w:contextualSpacing/>
        <w:rPr>
          <w:rFonts w:eastAsia="Aptos" w:cs="Arial"/>
        </w:rPr>
      </w:pPr>
      <w:r w:rsidRPr="00B84219">
        <w:rPr>
          <w:rFonts w:eastAsia="Aptos" w:cs="Arial"/>
        </w:rPr>
        <w:t>One pharmacy opens at 8.00am Monday to Friday</w:t>
      </w:r>
    </w:p>
    <w:p w14:paraId="49D2E477" w14:textId="77777777" w:rsidR="00B84219" w:rsidRPr="00B84219" w:rsidRDefault="00B84219" w:rsidP="00B76905">
      <w:pPr>
        <w:numPr>
          <w:ilvl w:val="0"/>
          <w:numId w:val="161"/>
        </w:numPr>
        <w:contextualSpacing/>
        <w:rPr>
          <w:rFonts w:eastAsia="Aptos" w:cs="Arial"/>
        </w:rPr>
      </w:pPr>
      <w:r w:rsidRPr="00B84219">
        <w:rPr>
          <w:rFonts w:eastAsia="Aptos" w:cs="Arial"/>
        </w:rPr>
        <w:t>Ten pharmacies close at 6.00pm Monday, Tuesday, Thursday and Friday</w:t>
      </w:r>
    </w:p>
    <w:p w14:paraId="3A938B3D" w14:textId="77777777" w:rsidR="00B84219" w:rsidRPr="00B84219" w:rsidRDefault="00B84219" w:rsidP="00B76905">
      <w:pPr>
        <w:numPr>
          <w:ilvl w:val="0"/>
          <w:numId w:val="161"/>
        </w:numPr>
        <w:contextualSpacing/>
        <w:rPr>
          <w:rFonts w:eastAsia="Aptos" w:cs="Arial"/>
        </w:rPr>
      </w:pPr>
      <w:r w:rsidRPr="00B84219">
        <w:rPr>
          <w:rFonts w:eastAsia="Aptos" w:cs="Arial"/>
        </w:rPr>
        <w:t>Eight pharmacies close at 6.00pm on a Thursday.</w:t>
      </w:r>
    </w:p>
    <w:p w14:paraId="49516D1D" w14:textId="77777777" w:rsidR="00B84219" w:rsidRPr="00B84219" w:rsidRDefault="00B84219" w:rsidP="00B76905">
      <w:pPr>
        <w:numPr>
          <w:ilvl w:val="0"/>
          <w:numId w:val="161"/>
        </w:numPr>
        <w:contextualSpacing/>
        <w:rPr>
          <w:rFonts w:eastAsia="Aptos" w:cs="Arial"/>
        </w:rPr>
      </w:pPr>
      <w:r w:rsidRPr="00B84219">
        <w:rPr>
          <w:rFonts w:eastAsia="Aptos" w:cs="Arial"/>
        </w:rPr>
        <w:t xml:space="preserve">One pharmacy closes at 1.00pm </w:t>
      </w:r>
    </w:p>
    <w:p w14:paraId="53D3D617" w14:textId="77777777" w:rsidR="00B84219" w:rsidRPr="00B84219" w:rsidRDefault="00B84219" w:rsidP="00B76905">
      <w:pPr>
        <w:numPr>
          <w:ilvl w:val="0"/>
          <w:numId w:val="161"/>
        </w:numPr>
        <w:contextualSpacing/>
        <w:rPr>
          <w:rFonts w:eastAsia="Aptos" w:cs="Arial"/>
        </w:rPr>
      </w:pPr>
      <w:r w:rsidRPr="00B84219">
        <w:rPr>
          <w:rFonts w:eastAsia="Aptos" w:cs="Arial"/>
        </w:rPr>
        <w:t>Four pharmacies are open on Saturday:</w:t>
      </w:r>
    </w:p>
    <w:p w14:paraId="00C9010F" w14:textId="77777777" w:rsidR="00B84219" w:rsidRPr="00B84219" w:rsidRDefault="00B84219" w:rsidP="00B76905">
      <w:pPr>
        <w:numPr>
          <w:ilvl w:val="1"/>
          <w:numId w:val="161"/>
        </w:numPr>
        <w:contextualSpacing/>
        <w:rPr>
          <w:rFonts w:eastAsia="Aptos" w:cs="Arial"/>
        </w:rPr>
      </w:pPr>
      <w:r w:rsidRPr="00B84219">
        <w:rPr>
          <w:rFonts w:eastAsia="Aptos" w:cs="Arial"/>
        </w:rPr>
        <w:t>One pharmacy closes at 12.00pm</w:t>
      </w:r>
    </w:p>
    <w:p w14:paraId="3A3A419D" w14:textId="77777777" w:rsidR="00B84219" w:rsidRPr="00B84219" w:rsidRDefault="00B84219" w:rsidP="00B76905">
      <w:pPr>
        <w:numPr>
          <w:ilvl w:val="1"/>
          <w:numId w:val="161"/>
        </w:numPr>
        <w:contextualSpacing/>
        <w:rPr>
          <w:rFonts w:eastAsia="Aptos" w:cs="Arial"/>
        </w:rPr>
      </w:pPr>
      <w:r w:rsidRPr="00B84219">
        <w:rPr>
          <w:rFonts w:eastAsia="Aptos" w:cs="Arial"/>
        </w:rPr>
        <w:t>One pharmacy closes at 1.00pm</w:t>
      </w:r>
    </w:p>
    <w:p w14:paraId="67F40178" w14:textId="77777777" w:rsidR="00B84219" w:rsidRPr="00B84219" w:rsidRDefault="00B84219" w:rsidP="00B76905">
      <w:pPr>
        <w:numPr>
          <w:ilvl w:val="1"/>
          <w:numId w:val="161"/>
        </w:numPr>
        <w:contextualSpacing/>
        <w:rPr>
          <w:rFonts w:eastAsia="Aptos" w:cs="Arial"/>
        </w:rPr>
      </w:pPr>
      <w:r w:rsidRPr="00B84219">
        <w:rPr>
          <w:rFonts w:eastAsia="Aptos" w:cs="Arial"/>
        </w:rPr>
        <w:t>Two pharmacies close at 5.30pm</w:t>
      </w:r>
    </w:p>
    <w:p w14:paraId="16E9514E" w14:textId="77777777" w:rsidR="00B84219" w:rsidRPr="00B84219" w:rsidRDefault="00B84219" w:rsidP="00B76905">
      <w:pPr>
        <w:numPr>
          <w:ilvl w:val="0"/>
          <w:numId w:val="161"/>
        </w:numPr>
        <w:contextualSpacing/>
        <w:rPr>
          <w:rFonts w:eastAsia="Aptos" w:cs="Arial"/>
        </w:rPr>
      </w:pPr>
      <w:r w:rsidRPr="00B84219">
        <w:rPr>
          <w:rFonts w:eastAsia="Aptos" w:cs="Arial"/>
        </w:rPr>
        <w:t>One pharmacy is open on a Sunday</w:t>
      </w:r>
    </w:p>
    <w:p w14:paraId="0FE0E8B8" w14:textId="77777777" w:rsidR="00B84219" w:rsidRPr="00B84219" w:rsidRDefault="00B84219" w:rsidP="00B84219">
      <w:pPr>
        <w:rPr>
          <w:rFonts w:eastAsia="Aptos" w:cs="Arial"/>
        </w:rPr>
      </w:pPr>
    </w:p>
    <w:p w14:paraId="424C83FB" w14:textId="77777777" w:rsidR="00B84219" w:rsidRPr="00B84219" w:rsidRDefault="00B84219" w:rsidP="00B84219">
      <w:pPr>
        <w:rPr>
          <w:rFonts w:eastAsia="Aptos" w:cs="Arial"/>
        </w:rPr>
      </w:pPr>
      <w:r w:rsidRPr="00B84219">
        <w:rPr>
          <w:rFonts w:eastAsia="Aptos" w:cs="Arial"/>
        </w:rPr>
        <w:t>Full details of pharmacy opening times can be found in Appendix L.</w:t>
      </w:r>
    </w:p>
    <w:p w14:paraId="0C700350" w14:textId="77777777" w:rsidR="00B84219" w:rsidRPr="00B84219" w:rsidRDefault="00B84219" w:rsidP="00B84219">
      <w:pPr>
        <w:rPr>
          <w:rFonts w:eastAsia="Aptos" w:cs="Arial"/>
        </w:rPr>
      </w:pPr>
    </w:p>
    <w:p w14:paraId="403BC058" w14:textId="77777777" w:rsidR="00B84219" w:rsidRPr="00B84219" w:rsidRDefault="00B84219" w:rsidP="00B84219">
      <w:pPr>
        <w:contextualSpacing/>
        <w:rPr>
          <w:rFonts w:eastAsia="Times New Roman" w:cs="Arial"/>
          <w:kern w:val="0"/>
          <w:lang w:eastAsia="en-GB"/>
          <w14:ligatures w14:val="none"/>
        </w:rPr>
      </w:pPr>
      <w:r w:rsidRPr="00B84219">
        <w:rPr>
          <w:rFonts w:eastAsia="Times New Roman" w:cs="Arial"/>
          <w:kern w:val="0"/>
          <w:lang w:eastAsia="en-GB"/>
          <w14:ligatures w14:val="none"/>
        </w:rPr>
        <w:t>The following information was taken from responses to the contractor questionnaire which all the pharmacies responded to.</w:t>
      </w:r>
    </w:p>
    <w:p w14:paraId="4F4ED738" w14:textId="77777777" w:rsidR="00B84219" w:rsidRPr="00B84219" w:rsidRDefault="00B84219" w:rsidP="00B84219">
      <w:pPr>
        <w:contextualSpacing/>
        <w:rPr>
          <w:rFonts w:eastAsia="Times New Roman" w:cs="Arial"/>
          <w:kern w:val="0"/>
          <w:lang w:eastAsia="en-GB"/>
          <w14:ligatures w14:val="none"/>
        </w:rPr>
      </w:pPr>
    </w:p>
    <w:p w14:paraId="1EA364B9" w14:textId="77777777" w:rsidR="00B84219" w:rsidRPr="00B84219" w:rsidRDefault="00B84219" w:rsidP="00B84219">
      <w:pPr>
        <w:textAlignment w:val="baseline"/>
        <w:rPr>
          <w:rFonts w:eastAsia="Times New Roman" w:cs="Arial"/>
          <w:kern w:val="0"/>
          <w:lang w:eastAsia="en-GB"/>
          <w14:ligatures w14:val="none"/>
        </w:rPr>
      </w:pPr>
      <w:r w:rsidRPr="00B84219">
        <w:rPr>
          <w:rFonts w:eastAsia="Times New Roman" w:cs="Arial"/>
          <w:kern w:val="0"/>
          <w:lang w:eastAsia="en-GB"/>
          <w14:ligatures w14:val="none"/>
        </w:rPr>
        <w:t>11 of the pharmacies are accessible by wheelchair and have a consultation area that is accessible by wheelchair. All the consultation areas are: </w:t>
      </w:r>
    </w:p>
    <w:p w14:paraId="7D5BDDD4" w14:textId="77777777" w:rsidR="00B84219" w:rsidRPr="00B84219" w:rsidRDefault="00B84219" w:rsidP="00B84219">
      <w:pPr>
        <w:textAlignment w:val="baseline"/>
        <w:rPr>
          <w:rFonts w:eastAsia="Times New Roman" w:cs="Arial"/>
          <w:kern w:val="0"/>
          <w:lang w:eastAsia="en-GB"/>
          <w14:ligatures w14:val="none"/>
        </w:rPr>
      </w:pPr>
      <w:r w:rsidRPr="00B84219">
        <w:rPr>
          <w:rFonts w:eastAsia="Times New Roman" w:cs="Arial"/>
          <w:kern w:val="0"/>
          <w:lang w:eastAsia="en-GB"/>
          <w14:ligatures w14:val="none"/>
        </w:rPr>
        <w:t> </w:t>
      </w:r>
    </w:p>
    <w:p w14:paraId="4859F8F0" w14:textId="77777777" w:rsidR="00B84219" w:rsidRPr="00B84219" w:rsidRDefault="00B84219" w:rsidP="00B76905">
      <w:pPr>
        <w:numPr>
          <w:ilvl w:val="0"/>
          <w:numId w:val="146"/>
        </w:numPr>
        <w:textAlignment w:val="baseline"/>
        <w:rPr>
          <w:rFonts w:eastAsia="Times New Roman" w:cs="Arial"/>
          <w:kern w:val="0"/>
          <w:lang w:eastAsia="en-GB"/>
          <w14:ligatures w14:val="none"/>
        </w:rPr>
      </w:pPr>
      <w:r w:rsidRPr="00B84219">
        <w:rPr>
          <w:rFonts w:eastAsia="Times New Roman" w:cs="Arial"/>
          <w:kern w:val="0"/>
          <w:lang w:eastAsia="en-GB"/>
          <w14:ligatures w14:val="none"/>
        </w:rPr>
        <w:t>closed rooms, </w:t>
      </w:r>
    </w:p>
    <w:p w14:paraId="3EAFF0D2" w14:textId="77777777" w:rsidR="00B84219" w:rsidRPr="00B84219" w:rsidRDefault="00B84219" w:rsidP="00B76905">
      <w:pPr>
        <w:numPr>
          <w:ilvl w:val="0"/>
          <w:numId w:val="146"/>
        </w:numPr>
        <w:textAlignment w:val="baseline"/>
        <w:rPr>
          <w:rFonts w:eastAsia="Times New Roman" w:cs="Arial"/>
          <w:kern w:val="0"/>
          <w:lang w:eastAsia="en-GB"/>
          <w14:ligatures w14:val="none"/>
        </w:rPr>
      </w:pPr>
      <w:r w:rsidRPr="00B84219">
        <w:rPr>
          <w:rFonts w:eastAsia="Times New Roman" w:cs="Arial"/>
          <w:kern w:val="0"/>
          <w:lang w:eastAsia="en-GB"/>
          <w14:ligatures w14:val="none"/>
        </w:rPr>
        <w:t xml:space="preserve">a designated area where the patient and pharmacist can sit down together and talk at normal volumes without being overheard, and </w:t>
      </w:r>
    </w:p>
    <w:p w14:paraId="7EB675C3" w14:textId="77777777" w:rsidR="00B84219" w:rsidRPr="00B84219" w:rsidRDefault="00B84219" w:rsidP="00B76905">
      <w:pPr>
        <w:numPr>
          <w:ilvl w:val="0"/>
          <w:numId w:val="146"/>
        </w:numPr>
        <w:textAlignment w:val="baseline"/>
        <w:rPr>
          <w:rFonts w:eastAsia="Times New Roman" w:cs="Arial"/>
          <w:kern w:val="0"/>
          <w:lang w:eastAsia="en-GB"/>
          <w14:ligatures w14:val="none"/>
        </w:rPr>
      </w:pPr>
      <w:r w:rsidRPr="00B84219">
        <w:rPr>
          <w:rFonts w:eastAsia="Times New Roman" w:cs="Arial"/>
          <w:kern w:val="0"/>
          <w:lang w:eastAsia="en-GB"/>
          <w14:ligatures w14:val="none"/>
        </w:rPr>
        <w:lastRenderedPageBreak/>
        <w:t>clearly designated as an area for confidential consultations distinct from the general public areas of the pharmacy. </w:t>
      </w:r>
    </w:p>
    <w:p w14:paraId="38D0B300" w14:textId="77777777" w:rsidR="00B84219" w:rsidRPr="00B84219" w:rsidRDefault="00B84219" w:rsidP="00B84219">
      <w:pPr>
        <w:textAlignment w:val="baseline"/>
        <w:rPr>
          <w:rFonts w:eastAsia="Times New Roman" w:cs="Arial"/>
          <w:kern w:val="0"/>
          <w:lang w:eastAsia="en-GB"/>
          <w14:ligatures w14:val="none"/>
        </w:rPr>
      </w:pPr>
    </w:p>
    <w:p w14:paraId="396FD5E6" w14:textId="77777777" w:rsidR="00B84219" w:rsidRPr="00B84219" w:rsidRDefault="00B84219" w:rsidP="00B84219">
      <w:pPr>
        <w:textAlignment w:val="baseline"/>
        <w:rPr>
          <w:rFonts w:eastAsia="Times New Roman" w:cs="Arial"/>
          <w:kern w:val="0"/>
          <w:lang w:eastAsia="en-GB"/>
          <w14:ligatures w14:val="none"/>
        </w:rPr>
      </w:pPr>
      <w:r w:rsidRPr="00B84219">
        <w:rPr>
          <w:rFonts w:eastAsia="Times New Roman" w:cs="Arial"/>
          <w:kern w:val="0"/>
          <w:lang w:eastAsia="en-GB"/>
          <w14:ligatures w14:val="none"/>
        </w:rPr>
        <w:t>Seven pharmacies confirmed they have Welsh speakers in their staff. Six pharmacies confirmed they have staff that speak other languages.</w:t>
      </w:r>
    </w:p>
    <w:p w14:paraId="126DBCA9" w14:textId="77777777" w:rsidR="00B84219" w:rsidRPr="00B84219" w:rsidRDefault="00B84219" w:rsidP="00B84219">
      <w:pPr>
        <w:textAlignment w:val="baseline"/>
        <w:rPr>
          <w:rFonts w:eastAsia="Times New Roman" w:cs="Arial"/>
          <w:kern w:val="0"/>
          <w:lang w:eastAsia="en-GB"/>
          <w14:ligatures w14:val="none"/>
        </w:rPr>
      </w:pPr>
    </w:p>
    <w:p w14:paraId="16EB6CA6" w14:textId="77777777" w:rsidR="00B84219" w:rsidRPr="00B84219" w:rsidRDefault="00B84219" w:rsidP="00B84219">
      <w:pPr>
        <w:rPr>
          <w:rFonts w:eastAsia="Times New Roman" w:cs="Arial"/>
          <w:kern w:val="0"/>
          <w:lang w:eastAsia="en-GB"/>
          <w14:ligatures w14:val="none"/>
        </w:rPr>
        <w:sectPr w:rsidR="00B84219" w:rsidRPr="00B84219" w:rsidSect="00B84219">
          <w:type w:val="continuous"/>
          <w:pgSz w:w="11906" w:h="16838"/>
          <w:pgMar w:top="1440" w:right="1440" w:bottom="1440" w:left="1440" w:header="708" w:footer="708" w:gutter="0"/>
          <w:cols w:space="720"/>
        </w:sectPr>
      </w:pPr>
    </w:p>
    <w:p w14:paraId="60B3DA32" w14:textId="77777777" w:rsidR="00B84219" w:rsidRPr="00B84219" w:rsidRDefault="00B84219" w:rsidP="00B76905">
      <w:pPr>
        <w:numPr>
          <w:ilvl w:val="0"/>
          <w:numId w:val="16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Arabic (two pharmacies)</w:t>
      </w:r>
    </w:p>
    <w:p w14:paraId="6EC68B59" w14:textId="77777777" w:rsidR="00B84219" w:rsidRPr="00B84219" w:rsidRDefault="00B84219" w:rsidP="00B76905">
      <w:pPr>
        <w:numPr>
          <w:ilvl w:val="0"/>
          <w:numId w:val="16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Punjabi (two pharmacies)</w:t>
      </w:r>
    </w:p>
    <w:p w14:paraId="51DCD7B5" w14:textId="77777777" w:rsidR="00B84219" w:rsidRPr="00B84219" w:rsidRDefault="00B84219" w:rsidP="00B76905">
      <w:pPr>
        <w:numPr>
          <w:ilvl w:val="0"/>
          <w:numId w:val="16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Dutch</w:t>
      </w:r>
    </w:p>
    <w:p w14:paraId="204C16B1" w14:textId="77777777" w:rsidR="00B84219" w:rsidRPr="00B84219" w:rsidRDefault="00B84219" w:rsidP="00B76905">
      <w:pPr>
        <w:numPr>
          <w:ilvl w:val="0"/>
          <w:numId w:val="16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Hindi</w:t>
      </w:r>
    </w:p>
    <w:p w14:paraId="220F5946" w14:textId="77777777" w:rsidR="00B84219" w:rsidRPr="00B84219" w:rsidRDefault="00B84219" w:rsidP="00B76905">
      <w:pPr>
        <w:numPr>
          <w:ilvl w:val="0"/>
          <w:numId w:val="16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Korean</w:t>
      </w:r>
    </w:p>
    <w:p w14:paraId="41E08528" w14:textId="77777777" w:rsidR="00B84219" w:rsidRPr="00B84219" w:rsidRDefault="00B84219" w:rsidP="00B76905">
      <w:pPr>
        <w:numPr>
          <w:ilvl w:val="0"/>
          <w:numId w:val="16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Nepali</w:t>
      </w:r>
    </w:p>
    <w:p w14:paraId="5D61283F" w14:textId="77777777" w:rsidR="00B84219" w:rsidRPr="00B84219" w:rsidRDefault="00B84219" w:rsidP="00B76905">
      <w:pPr>
        <w:numPr>
          <w:ilvl w:val="0"/>
          <w:numId w:val="16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Romanian</w:t>
      </w:r>
    </w:p>
    <w:p w14:paraId="7351D51F" w14:textId="77777777" w:rsidR="00B84219" w:rsidRPr="00B84219" w:rsidRDefault="00B84219" w:rsidP="00B76905">
      <w:pPr>
        <w:numPr>
          <w:ilvl w:val="0"/>
          <w:numId w:val="16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Russian</w:t>
      </w:r>
    </w:p>
    <w:p w14:paraId="2569F71B" w14:textId="77777777" w:rsidR="00B84219" w:rsidRPr="00B84219" w:rsidRDefault="00B84219" w:rsidP="00B76905">
      <w:pPr>
        <w:numPr>
          <w:ilvl w:val="0"/>
          <w:numId w:val="16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Ukrainian</w:t>
      </w:r>
    </w:p>
    <w:p w14:paraId="6D398F90" w14:textId="77777777" w:rsidR="00B84219" w:rsidRPr="00B84219" w:rsidRDefault="00B84219" w:rsidP="00B76905">
      <w:pPr>
        <w:numPr>
          <w:ilvl w:val="0"/>
          <w:numId w:val="16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Urdu</w:t>
      </w:r>
    </w:p>
    <w:p w14:paraId="54456F76" w14:textId="77777777" w:rsidR="00B84219" w:rsidRPr="00B84219" w:rsidRDefault="00B84219" w:rsidP="00B84219">
      <w:pPr>
        <w:rPr>
          <w:rFonts w:eastAsia="Times New Roman" w:cs="Arial"/>
          <w:kern w:val="0"/>
          <w:lang w:eastAsia="en-GB"/>
          <w14:ligatures w14:val="none"/>
        </w:rPr>
        <w:sectPr w:rsidR="00B84219" w:rsidRPr="00B84219" w:rsidSect="00B84219">
          <w:type w:val="continuous"/>
          <w:pgSz w:w="11906" w:h="16838"/>
          <w:pgMar w:top="1440" w:right="1440" w:bottom="1440" w:left="1440" w:header="708" w:footer="708" w:gutter="0"/>
          <w:cols w:num="2" w:space="708"/>
        </w:sectPr>
      </w:pPr>
    </w:p>
    <w:p w14:paraId="06D1EE4B" w14:textId="77777777" w:rsidR="00B84219" w:rsidRPr="00B84219" w:rsidRDefault="00B84219" w:rsidP="00B84219">
      <w:pPr>
        <w:textAlignment w:val="baseline"/>
        <w:rPr>
          <w:rFonts w:eastAsia="Times New Roman" w:cs="Arial"/>
          <w:kern w:val="0"/>
          <w:lang w:eastAsia="en-GB"/>
          <w14:ligatures w14:val="none"/>
        </w:rPr>
      </w:pPr>
    </w:p>
    <w:p w14:paraId="3EAF605A" w14:textId="77777777" w:rsidR="00B84219" w:rsidRPr="00B84219" w:rsidRDefault="00B84219" w:rsidP="00B84219">
      <w:pPr>
        <w:textAlignment w:val="baseline"/>
        <w:rPr>
          <w:rFonts w:eastAsia="Times New Roman" w:cs="Arial"/>
          <w:kern w:val="0"/>
          <w:lang w:eastAsia="en-GB"/>
          <w14:ligatures w14:val="none"/>
        </w:rPr>
      </w:pPr>
      <w:r w:rsidRPr="00B84219">
        <w:rPr>
          <w:rFonts w:eastAsia="Times New Roman" w:cs="Arial"/>
          <w:kern w:val="0"/>
          <w:lang w:eastAsia="en-GB"/>
          <w14:ligatures w14:val="none"/>
        </w:rPr>
        <w:t>All the pharmacies dispense prescriptions for all types of appliances.</w:t>
      </w:r>
    </w:p>
    <w:p w14:paraId="691043DF" w14:textId="77777777" w:rsidR="00B84219" w:rsidRPr="00B84219" w:rsidRDefault="00B84219" w:rsidP="00B84219">
      <w:pPr>
        <w:textAlignment w:val="baseline"/>
        <w:rPr>
          <w:rFonts w:eastAsia="Times New Roman" w:cs="Arial"/>
          <w:kern w:val="0"/>
          <w:lang w:eastAsia="en-GB"/>
          <w14:ligatures w14:val="none"/>
        </w:rPr>
      </w:pPr>
    </w:p>
    <w:p w14:paraId="3008A06C" w14:textId="77777777" w:rsidR="00B84219" w:rsidRPr="00B84219" w:rsidRDefault="00B84219" w:rsidP="00B84219">
      <w:pPr>
        <w:textAlignment w:val="baseline"/>
        <w:rPr>
          <w:rFonts w:eastAsia="Times New Roman" w:cs="Arial"/>
          <w:kern w:val="0"/>
          <w:lang w:eastAsia="en-GB"/>
          <w14:ligatures w14:val="none"/>
        </w:rPr>
      </w:pPr>
      <w:r w:rsidRPr="00B84219">
        <w:rPr>
          <w:rFonts w:eastAsia="Times New Roman" w:cs="Arial"/>
          <w:kern w:val="0"/>
          <w:lang w:eastAsia="en-GB"/>
          <w14:ligatures w14:val="none"/>
        </w:rPr>
        <w:t>Although non-commissioned services:</w:t>
      </w:r>
    </w:p>
    <w:p w14:paraId="55FF23FA" w14:textId="77777777" w:rsidR="00B84219" w:rsidRPr="00B84219" w:rsidRDefault="00B84219" w:rsidP="00B84219">
      <w:pPr>
        <w:textAlignment w:val="baseline"/>
        <w:rPr>
          <w:rFonts w:eastAsia="Times New Roman" w:cs="Arial"/>
          <w:kern w:val="0"/>
          <w:lang w:eastAsia="en-GB"/>
          <w14:ligatures w14:val="none"/>
        </w:rPr>
      </w:pPr>
    </w:p>
    <w:p w14:paraId="3814185F" w14:textId="77777777" w:rsidR="00B84219" w:rsidRPr="00B84219" w:rsidRDefault="00B84219" w:rsidP="00B76905">
      <w:pPr>
        <w:numPr>
          <w:ilvl w:val="0"/>
          <w:numId w:val="147"/>
        </w:numPr>
        <w:textAlignment w:val="baseline"/>
        <w:rPr>
          <w:rFonts w:eastAsia="Times New Roman" w:cs="Arial"/>
          <w:kern w:val="0"/>
          <w:lang w:eastAsia="en-GB"/>
          <w14:ligatures w14:val="none"/>
        </w:rPr>
      </w:pPr>
      <w:r w:rsidRPr="00B84219">
        <w:rPr>
          <w:rFonts w:eastAsia="Times New Roman" w:cs="Arial"/>
          <w:kern w:val="0"/>
          <w:lang w:eastAsia="en-GB"/>
          <w14:ligatures w14:val="none"/>
        </w:rPr>
        <w:t>all the pharmacies collect prescriptions from GP practices</w:t>
      </w:r>
    </w:p>
    <w:p w14:paraId="75F7B339" w14:textId="77777777" w:rsidR="00B84219" w:rsidRPr="00B84219" w:rsidRDefault="00B84219" w:rsidP="00B76905">
      <w:pPr>
        <w:numPr>
          <w:ilvl w:val="0"/>
          <w:numId w:val="147"/>
        </w:numPr>
        <w:textAlignment w:val="baseline"/>
        <w:rPr>
          <w:rFonts w:eastAsia="Times New Roman" w:cs="Arial"/>
          <w:kern w:val="0"/>
          <w:lang w:eastAsia="en-GB"/>
          <w14:ligatures w14:val="none"/>
        </w:rPr>
      </w:pPr>
      <w:r w:rsidRPr="00B84219">
        <w:rPr>
          <w:rFonts w:eastAsia="Times New Roman" w:cs="Arial"/>
          <w:kern w:val="0"/>
          <w:lang w:eastAsia="en-GB"/>
          <w14:ligatures w14:val="none"/>
        </w:rPr>
        <w:t>13 provide a free of charge delivery service on request, although one limits the service to those who may have conditions which make collecting their medicines from the pharmacy difficult, and</w:t>
      </w:r>
    </w:p>
    <w:p w14:paraId="3AA3932F" w14:textId="77777777" w:rsidR="00B84219" w:rsidRPr="00B84219" w:rsidRDefault="00B84219" w:rsidP="00B76905">
      <w:pPr>
        <w:numPr>
          <w:ilvl w:val="0"/>
          <w:numId w:val="147"/>
        </w:numPr>
        <w:textAlignment w:val="baseline"/>
        <w:rPr>
          <w:rFonts w:eastAsia="Times New Roman" w:cs="Arial"/>
          <w:kern w:val="0"/>
          <w:lang w:eastAsia="en-GB"/>
          <w14:ligatures w14:val="none"/>
        </w:rPr>
      </w:pPr>
      <w:r w:rsidRPr="00B84219">
        <w:rPr>
          <w:rFonts w:eastAsia="Times New Roman" w:cs="Arial"/>
          <w:kern w:val="0"/>
          <w:lang w:eastAsia="en-GB"/>
          <w14:ligatures w14:val="none"/>
        </w:rPr>
        <w:t>two have an automated collection point at their premises.</w:t>
      </w:r>
    </w:p>
    <w:p w14:paraId="3052471E" w14:textId="77777777" w:rsidR="00B84219" w:rsidRPr="00B84219" w:rsidRDefault="00B84219" w:rsidP="00B84219">
      <w:pPr>
        <w:textAlignment w:val="baseline"/>
        <w:rPr>
          <w:rFonts w:eastAsia="Times New Roman" w:cs="Arial"/>
          <w:kern w:val="0"/>
          <w:lang w:eastAsia="en-GB"/>
          <w14:ligatures w14:val="none"/>
        </w:rPr>
      </w:pPr>
    </w:p>
    <w:p w14:paraId="5F7F29F4"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One pharmacy is of the opinion that a Covid vaccination additional clinical service is required as well as asthma/inhaler clinics. Another pharmacy is of the opinion that the following services are required.</w:t>
      </w:r>
    </w:p>
    <w:p w14:paraId="2C797099" w14:textId="77777777" w:rsidR="00B84219" w:rsidRPr="00B84219" w:rsidRDefault="00B84219" w:rsidP="00B84219">
      <w:pPr>
        <w:rPr>
          <w:rFonts w:eastAsia="Times New Roman" w:cs="Arial"/>
          <w:kern w:val="0"/>
          <w:lang w:eastAsia="en-GB"/>
          <w14:ligatures w14:val="none"/>
        </w:rPr>
      </w:pPr>
    </w:p>
    <w:p w14:paraId="49E17A31" w14:textId="77777777" w:rsidR="00B84219" w:rsidRPr="00B84219" w:rsidRDefault="00B84219" w:rsidP="00B76905">
      <w:pPr>
        <w:numPr>
          <w:ilvl w:val="0"/>
          <w:numId w:val="163"/>
        </w:numPr>
        <w:contextualSpacing/>
        <w:rPr>
          <w:rFonts w:eastAsia="Times New Roman" w:cs="Arial"/>
          <w:kern w:val="0"/>
          <w:lang w:eastAsia="en-GB"/>
          <w14:ligatures w14:val="none"/>
        </w:rPr>
      </w:pPr>
      <w:r w:rsidRPr="00B84219">
        <w:rPr>
          <w:rFonts w:eastAsia="Times New Roman" w:cs="Arial"/>
          <w:kern w:val="0"/>
          <w:lang w:eastAsia="en-GB"/>
          <w14:ligatures w14:val="none"/>
        </w:rPr>
        <w:t>Drug and alcohol testing</w:t>
      </w:r>
    </w:p>
    <w:p w14:paraId="6A19971E" w14:textId="77777777" w:rsidR="00B84219" w:rsidRPr="00B84219" w:rsidRDefault="00B84219" w:rsidP="00B76905">
      <w:pPr>
        <w:numPr>
          <w:ilvl w:val="0"/>
          <w:numId w:val="163"/>
        </w:numPr>
        <w:contextualSpacing/>
        <w:rPr>
          <w:rFonts w:eastAsia="Times New Roman" w:cs="Arial"/>
          <w:kern w:val="0"/>
          <w:lang w:eastAsia="en-GB"/>
          <w14:ligatures w14:val="none"/>
        </w:rPr>
      </w:pPr>
      <w:r w:rsidRPr="00B84219">
        <w:rPr>
          <w:rFonts w:eastAsia="Times New Roman" w:cs="Arial"/>
          <w:kern w:val="0"/>
          <w:lang w:eastAsia="en-GB"/>
          <w14:ligatures w14:val="none"/>
        </w:rPr>
        <w:t>A scheme to check if patients have participated in the national screening programmes e.g. cervical/breast/prostate cancer, aortic aneurysm screening etc</w:t>
      </w:r>
    </w:p>
    <w:p w14:paraId="72C75A9F" w14:textId="77777777" w:rsidR="00B84219" w:rsidRPr="00B84219" w:rsidRDefault="00B84219" w:rsidP="00B76905">
      <w:pPr>
        <w:numPr>
          <w:ilvl w:val="0"/>
          <w:numId w:val="163"/>
        </w:numPr>
        <w:contextualSpacing/>
        <w:rPr>
          <w:rFonts w:eastAsia="Times New Roman" w:cs="Arial"/>
          <w:kern w:val="0"/>
          <w:lang w:eastAsia="en-GB"/>
          <w14:ligatures w14:val="none"/>
        </w:rPr>
      </w:pPr>
      <w:r w:rsidRPr="00B84219">
        <w:rPr>
          <w:rFonts w:eastAsia="Times New Roman" w:cs="Arial"/>
          <w:kern w:val="0"/>
          <w:lang w:eastAsia="en-GB"/>
          <w14:ligatures w14:val="none"/>
        </w:rPr>
        <w:t>A “just ask once” programme for healthcare.</w:t>
      </w:r>
    </w:p>
    <w:p w14:paraId="64EC8836" w14:textId="77777777" w:rsidR="00B84219" w:rsidRPr="00B84219" w:rsidRDefault="00B84219" w:rsidP="00B84219">
      <w:pPr>
        <w:rPr>
          <w:rFonts w:eastAsia="Times New Roman" w:cs="Arial"/>
          <w:kern w:val="0"/>
          <w:lang w:eastAsia="en-GB"/>
          <w14:ligatures w14:val="none"/>
        </w:rPr>
      </w:pPr>
    </w:p>
    <w:p w14:paraId="61326299"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Ten of the pharmacies have sufficient capacity within their premises to manage an increase in demand, three don’t but could make adjustments, and one doesn’t have sufficient capacity and would have difficulty in managing an increase in demand.</w:t>
      </w:r>
    </w:p>
    <w:p w14:paraId="64FD5F65" w14:textId="77777777" w:rsidR="00B84219" w:rsidRPr="00B84219" w:rsidRDefault="00B84219" w:rsidP="00B84219">
      <w:pPr>
        <w:rPr>
          <w:rFonts w:eastAsia="Times New Roman" w:cs="Arial"/>
          <w:kern w:val="0"/>
          <w:lang w:eastAsia="en-GB"/>
          <w14:ligatures w14:val="none"/>
        </w:rPr>
      </w:pPr>
    </w:p>
    <w:p w14:paraId="6741A165"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11 pharmacies have sufficient capacity within their staffing levels to manage an increase in demand, two don’t but could make adjustments, and one doesn’t have sufficient capacity and would have difficulty in managing an increase in demand. </w:t>
      </w:r>
    </w:p>
    <w:p w14:paraId="5BD99B9F" w14:textId="77777777" w:rsidR="00B84219" w:rsidRPr="00B84219" w:rsidRDefault="00B84219" w:rsidP="00B84219">
      <w:pPr>
        <w:rPr>
          <w:rFonts w:eastAsia="Times New Roman" w:cs="Arial"/>
          <w:kern w:val="0"/>
          <w:lang w:eastAsia="en-GB"/>
          <w14:ligatures w14:val="none"/>
        </w:rPr>
      </w:pPr>
    </w:p>
    <w:p w14:paraId="46340D3C"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The pharmacy that said it doesn’t have capacity in either its premises or staffing levels said that it would like to be able to expand.</w:t>
      </w:r>
    </w:p>
    <w:p w14:paraId="55EC94E8" w14:textId="77777777" w:rsidR="00B84219" w:rsidRPr="00B84219" w:rsidRDefault="00B84219" w:rsidP="00B84219">
      <w:pPr>
        <w:rPr>
          <w:rFonts w:eastAsia="Times New Roman" w:cs="Arial"/>
          <w:kern w:val="0"/>
          <w:lang w:eastAsia="en-GB"/>
          <w14:ligatures w14:val="none"/>
        </w:rPr>
      </w:pPr>
    </w:p>
    <w:p w14:paraId="70196783"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Five pharmacies have plans to develop or expand their premises or service provision.</w:t>
      </w:r>
    </w:p>
    <w:p w14:paraId="19A507A0" w14:textId="77777777" w:rsidR="00B84219" w:rsidRPr="00B84219" w:rsidRDefault="00B84219" w:rsidP="00B84219">
      <w:pPr>
        <w:rPr>
          <w:rFonts w:eastAsia="Times New Roman" w:cs="Arial"/>
          <w:kern w:val="0"/>
          <w:lang w:eastAsia="en-GB"/>
          <w14:ligatures w14:val="none"/>
        </w:rPr>
      </w:pPr>
    </w:p>
    <w:p w14:paraId="6B22427D" w14:textId="77777777" w:rsidR="00B84219" w:rsidRPr="00B84219" w:rsidRDefault="00B84219" w:rsidP="00B76905">
      <w:pPr>
        <w:numPr>
          <w:ilvl w:val="0"/>
          <w:numId w:val="148"/>
        </w:numPr>
        <w:contextualSpacing/>
        <w:rPr>
          <w:rFonts w:eastAsia="Times New Roman" w:cs="Arial"/>
          <w:kern w:val="0"/>
          <w:lang w:eastAsia="en-GB"/>
          <w14:ligatures w14:val="none"/>
        </w:rPr>
      </w:pPr>
      <w:r w:rsidRPr="00B84219">
        <w:rPr>
          <w:rFonts w:eastAsia="Times New Roman" w:cs="Arial"/>
          <w:kern w:val="0"/>
          <w:lang w:eastAsia="en-GB"/>
          <w14:ligatures w14:val="none"/>
        </w:rPr>
        <w:t xml:space="preserve">One will begin to provide the pharmacist independent prescribing service once the pharmacist has qualified and the consultation room upgraded, </w:t>
      </w:r>
      <w:r w:rsidRPr="00B84219">
        <w:rPr>
          <w:rFonts w:eastAsia="Times New Roman" w:cs="Arial"/>
          <w:kern w:val="0"/>
          <w:lang w:eastAsia="en-GB"/>
          <w14:ligatures w14:val="none"/>
        </w:rPr>
        <w:lastRenderedPageBreak/>
        <w:t>another has a pharmacist training to become an independent prescriber, and another plans to start providing the service from May 2026.</w:t>
      </w:r>
    </w:p>
    <w:p w14:paraId="1C5DAC8C" w14:textId="77777777" w:rsidR="00B84219" w:rsidRPr="00B84219" w:rsidRDefault="00B84219" w:rsidP="00B76905">
      <w:pPr>
        <w:numPr>
          <w:ilvl w:val="0"/>
          <w:numId w:val="148"/>
        </w:numPr>
        <w:contextualSpacing/>
        <w:rPr>
          <w:rFonts w:eastAsia="Times New Roman" w:cs="Arial"/>
          <w:kern w:val="0"/>
          <w:lang w:eastAsia="en-GB"/>
          <w14:ligatures w14:val="none"/>
        </w:rPr>
      </w:pPr>
      <w:r w:rsidRPr="00B84219">
        <w:rPr>
          <w:rFonts w:eastAsia="Times New Roman" w:cs="Arial"/>
          <w:kern w:val="0"/>
          <w:lang w:eastAsia="en-GB"/>
          <w14:ligatures w14:val="none"/>
        </w:rPr>
        <w:t>One pharmacy is currently trialling a bar code checking system in one of its branches to free up pharmacist and technician time. It is also increasing its technician employees and supporting pharmacist training as independent prescribers so it can increase service provision in the future.</w:t>
      </w:r>
    </w:p>
    <w:p w14:paraId="50B14981" w14:textId="77777777" w:rsidR="00B84219" w:rsidRPr="00B84219" w:rsidRDefault="00B84219" w:rsidP="00B76905">
      <w:pPr>
        <w:numPr>
          <w:ilvl w:val="0"/>
          <w:numId w:val="148"/>
        </w:numPr>
        <w:contextualSpacing/>
        <w:rPr>
          <w:rFonts w:eastAsia="Times New Roman" w:cs="Arial"/>
          <w:kern w:val="0"/>
          <w:lang w:eastAsia="en-GB"/>
          <w14:ligatures w14:val="none"/>
        </w:rPr>
      </w:pPr>
      <w:r w:rsidRPr="00B84219">
        <w:rPr>
          <w:rFonts w:eastAsia="Times New Roman" w:cs="Arial"/>
          <w:kern w:val="0"/>
          <w:lang w:eastAsia="en-GB"/>
          <w14:ligatures w14:val="none"/>
        </w:rPr>
        <w:t>One pharmacy has already expanded its premises and has recently commenced providing the pharmacist independent prescribing service five days a week.</w:t>
      </w:r>
    </w:p>
    <w:p w14:paraId="3C5DC11D" w14:textId="77777777" w:rsidR="00B84219" w:rsidRPr="00B84219" w:rsidRDefault="00B84219" w:rsidP="00B84219">
      <w:pPr>
        <w:rPr>
          <w:rFonts w:eastAsia="Times New Roman" w:cs="Arial"/>
          <w:kern w:val="0"/>
          <w:lang w:eastAsia="en-GB"/>
          <w14:ligatures w14:val="none"/>
        </w:rPr>
      </w:pPr>
    </w:p>
    <w:p w14:paraId="73C65AE9"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One pharmacy is considering applying to close at 5.30pm instead of 6.00pm.</w:t>
      </w:r>
    </w:p>
    <w:p w14:paraId="1B9A93A2" w14:textId="77777777" w:rsidR="00B84219" w:rsidRPr="00B84219" w:rsidRDefault="00B84219" w:rsidP="00B84219">
      <w:pPr>
        <w:rPr>
          <w:rFonts w:eastAsia="Aptos" w:cs="Arial"/>
        </w:rPr>
      </w:pPr>
    </w:p>
    <w:p w14:paraId="141E726A" w14:textId="77777777" w:rsidR="00B84219" w:rsidRPr="00B84219" w:rsidRDefault="00B84219" w:rsidP="00B84219">
      <w:pPr>
        <w:contextualSpacing/>
        <w:rPr>
          <w:rFonts w:eastAsia="Times New Roman" w:cs="Arial"/>
          <w:b/>
          <w:bCs/>
          <w:kern w:val="0"/>
          <w:lang w:eastAsia="en-GB"/>
          <w14:ligatures w14:val="none"/>
        </w:rPr>
      </w:pPr>
      <w:r w:rsidRPr="00B84219">
        <w:rPr>
          <w:rFonts w:eastAsia="Times New Roman" w:cs="Arial"/>
          <w:b/>
          <w:bCs/>
          <w:kern w:val="0"/>
          <w:lang w:eastAsia="en-GB"/>
          <w14:ligatures w14:val="none"/>
        </w:rPr>
        <w:t>9.3.1 National community pharmacy and appliance contractor services</w:t>
      </w:r>
    </w:p>
    <w:p w14:paraId="6F1807B3" w14:textId="77777777" w:rsidR="00B84219" w:rsidRPr="00B84219" w:rsidRDefault="00B84219" w:rsidP="00B84219">
      <w:pPr>
        <w:rPr>
          <w:rFonts w:eastAsia="Times New Roman" w:cs="Arial"/>
          <w:kern w:val="0"/>
          <w:lang w:eastAsia="en-GB"/>
          <w14:ligatures w14:val="none"/>
        </w:rPr>
      </w:pPr>
    </w:p>
    <w:p w14:paraId="07EC4AE7"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9.3.1.1 Appliance use review service</w:t>
      </w:r>
    </w:p>
    <w:p w14:paraId="0F02308D" w14:textId="77777777" w:rsidR="00B84219" w:rsidRPr="00B84219" w:rsidRDefault="00B84219" w:rsidP="00B84219">
      <w:pPr>
        <w:rPr>
          <w:rFonts w:eastAsia="Times New Roman" w:cs="Arial"/>
          <w:b/>
          <w:bCs/>
          <w:kern w:val="0"/>
          <w:lang w:eastAsia="en-GB"/>
          <w14:ligatures w14:val="none"/>
        </w:rPr>
      </w:pPr>
    </w:p>
    <w:p w14:paraId="620D4047"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None of the pharmacies provide this service.</w:t>
      </w:r>
    </w:p>
    <w:p w14:paraId="3167C055" w14:textId="77777777" w:rsidR="00B84219" w:rsidRPr="00B84219" w:rsidRDefault="00B84219" w:rsidP="00B84219">
      <w:pPr>
        <w:rPr>
          <w:rFonts w:eastAsia="Times New Roman" w:cs="Arial"/>
          <w:kern w:val="0"/>
          <w:lang w:eastAsia="en-GB"/>
          <w14:ligatures w14:val="none"/>
        </w:rPr>
      </w:pPr>
    </w:p>
    <w:p w14:paraId="744A3CDD"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9.3.1.2 Clinical community pharmacy service</w:t>
      </w:r>
    </w:p>
    <w:p w14:paraId="5F0DEF22" w14:textId="77777777" w:rsidR="00B84219" w:rsidRPr="00B84219" w:rsidRDefault="00B84219" w:rsidP="00B84219">
      <w:pPr>
        <w:rPr>
          <w:rFonts w:eastAsia="Times New Roman" w:cs="Arial"/>
          <w:kern w:val="0"/>
          <w:lang w:eastAsia="en-GB"/>
          <w14:ligatures w14:val="none"/>
        </w:rPr>
      </w:pPr>
    </w:p>
    <w:p w14:paraId="349BC724"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All the pharmacies have signed up and provide this service: </w:t>
      </w:r>
    </w:p>
    <w:p w14:paraId="5733771C" w14:textId="77777777" w:rsidR="00B84219" w:rsidRPr="00B84219" w:rsidRDefault="00B84219" w:rsidP="00B84219">
      <w:pPr>
        <w:ind w:left="720"/>
        <w:contextualSpacing/>
        <w:rPr>
          <w:rFonts w:eastAsia="Times New Roman" w:cs="Arial"/>
          <w:kern w:val="0"/>
          <w:lang w:eastAsia="en-GB"/>
          <w14:ligatures w14:val="none"/>
        </w:rPr>
      </w:pPr>
    </w:p>
    <w:p w14:paraId="6C6D4E80" w14:textId="77777777" w:rsidR="00B84219" w:rsidRPr="00B84219" w:rsidRDefault="00B84219" w:rsidP="00B84219">
      <w:pPr>
        <w:contextualSpacing/>
        <w:rPr>
          <w:rFonts w:eastAsia="Times New Roman" w:cs="Arial"/>
          <w:kern w:val="0"/>
          <w:lang w:eastAsia="en-GB"/>
          <w14:ligatures w14:val="none"/>
        </w:rPr>
      </w:pPr>
      <w:r w:rsidRPr="00B84219">
        <w:rPr>
          <w:rFonts w:eastAsia="Times New Roman" w:cs="Arial"/>
          <w:kern w:val="0"/>
          <w:lang w:eastAsia="en-GB"/>
          <w14:ligatures w14:val="none"/>
        </w:rPr>
        <w:t>In 2024/25 the pharmacies provided:</w:t>
      </w:r>
    </w:p>
    <w:p w14:paraId="386982D4" w14:textId="77777777" w:rsidR="00B84219" w:rsidRPr="00B84219" w:rsidRDefault="00B84219" w:rsidP="00B84219">
      <w:pPr>
        <w:contextualSpacing/>
        <w:rPr>
          <w:rFonts w:eastAsia="Times New Roman" w:cs="Arial"/>
          <w:kern w:val="0"/>
          <w:lang w:eastAsia="en-GB"/>
          <w14:ligatures w14:val="none"/>
        </w:rPr>
      </w:pPr>
    </w:p>
    <w:p w14:paraId="42CCE272" w14:textId="77777777" w:rsidR="00B84219" w:rsidRPr="00B84219" w:rsidRDefault="00B84219" w:rsidP="00B76905">
      <w:pPr>
        <w:numPr>
          <w:ilvl w:val="0"/>
          <w:numId w:val="149"/>
        </w:numPr>
        <w:contextualSpacing/>
        <w:rPr>
          <w:rFonts w:eastAsia="Times New Roman" w:cs="Arial"/>
          <w:kern w:val="0"/>
          <w:lang w:eastAsia="en-GB"/>
          <w14:ligatures w14:val="none"/>
        </w:rPr>
      </w:pPr>
      <w:r w:rsidRPr="00B84219">
        <w:rPr>
          <w:rFonts w:eastAsia="Times New Roman" w:cs="Arial"/>
          <w:kern w:val="0"/>
          <w:lang w:eastAsia="en-GB"/>
          <w14:ligatures w14:val="none"/>
        </w:rPr>
        <w:t>7,364 consultations for common ailment consultations (range at pharmacy level 160 to 1,171)</w:t>
      </w:r>
    </w:p>
    <w:p w14:paraId="49180AAD" w14:textId="77777777" w:rsidR="00B84219" w:rsidRPr="00B84219" w:rsidRDefault="00B84219" w:rsidP="00B76905">
      <w:pPr>
        <w:numPr>
          <w:ilvl w:val="0"/>
          <w:numId w:val="149"/>
        </w:numPr>
        <w:contextualSpacing/>
        <w:rPr>
          <w:rFonts w:eastAsia="Times New Roman" w:cs="Arial"/>
          <w:kern w:val="0"/>
          <w:lang w:eastAsia="en-GB"/>
          <w14:ligatures w14:val="none"/>
        </w:rPr>
      </w:pPr>
      <w:r w:rsidRPr="00B84219">
        <w:rPr>
          <w:rFonts w:eastAsia="Times New Roman" w:cs="Arial"/>
          <w:kern w:val="0"/>
          <w:lang w:eastAsia="en-GB"/>
          <w14:ligatures w14:val="none"/>
        </w:rPr>
        <w:t>1,004 consultations for sore throat test and treat consultations (range at pharmacy level four to 277)</w:t>
      </w:r>
    </w:p>
    <w:p w14:paraId="3A5E71D4" w14:textId="77777777" w:rsidR="00B84219" w:rsidRPr="00B84219" w:rsidRDefault="00B84219" w:rsidP="00B76905">
      <w:pPr>
        <w:numPr>
          <w:ilvl w:val="0"/>
          <w:numId w:val="149"/>
        </w:numPr>
        <w:contextualSpacing/>
        <w:rPr>
          <w:rFonts w:eastAsia="Times New Roman" w:cs="Arial"/>
          <w:kern w:val="0"/>
          <w:lang w:eastAsia="en-GB"/>
          <w14:ligatures w14:val="none"/>
        </w:rPr>
      </w:pPr>
      <w:r w:rsidRPr="00B84219">
        <w:rPr>
          <w:rFonts w:eastAsia="Times New Roman" w:cs="Arial"/>
          <w:kern w:val="0"/>
          <w:lang w:eastAsia="en-GB"/>
          <w14:ligatures w14:val="none"/>
        </w:rPr>
        <w:t>1,574 consultations for emergency contraception consultations (range at pharmacy level four to 842)</w:t>
      </w:r>
    </w:p>
    <w:p w14:paraId="5441A9D5" w14:textId="77777777" w:rsidR="00B84219" w:rsidRPr="00B84219" w:rsidRDefault="00B84219" w:rsidP="00B76905">
      <w:pPr>
        <w:numPr>
          <w:ilvl w:val="0"/>
          <w:numId w:val="149"/>
        </w:numPr>
        <w:contextualSpacing/>
        <w:rPr>
          <w:rFonts w:eastAsia="Times New Roman" w:cs="Arial"/>
          <w:kern w:val="0"/>
          <w:lang w:eastAsia="en-GB"/>
          <w14:ligatures w14:val="none"/>
        </w:rPr>
      </w:pPr>
      <w:r w:rsidRPr="00B84219">
        <w:rPr>
          <w:rFonts w:eastAsia="Times New Roman" w:cs="Arial"/>
          <w:kern w:val="0"/>
          <w:lang w:eastAsia="en-GB"/>
          <w14:ligatures w14:val="none"/>
        </w:rPr>
        <w:t>2,007 emergency medicines supplies (range at pharmacy level nine to 349)</w:t>
      </w:r>
    </w:p>
    <w:p w14:paraId="761D25B8" w14:textId="77777777" w:rsidR="00B84219" w:rsidRPr="00B84219" w:rsidRDefault="00B84219" w:rsidP="00B84219">
      <w:pPr>
        <w:contextualSpacing/>
        <w:rPr>
          <w:rFonts w:eastAsia="Times New Roman" w:cs="Arial"/>
          <w:kern w:val="0"/>
          <w:lang w:eastAsia="en-GB"/>
          <w14:ligatures w14:val="none"/>
        </w:rPr>
      </w:pPr>
    </w:p>
    <w:p w14:paraId="573CFFC6" w14:textId="77777777" w:rsidR="00B84219" w:rsidRPr="00B84219" w:rsidRDefault="00B84219" w:rsidP="00B84219">
      <w:pPr>
        <w:contextualSpacing/>
        <w:rPr>
          <w:rFonts w:eastAsia="Times New Roman" w:cs="Arial"/>
          <w:kern w:val="0"/>
          <w:lang w:eastAsia="en-GB"/>
          <w14:ligatures w14:val="none"/>
        </w:rPr>
      </w:pPr>
      <w:r w:rsidRPr="00B84219">
        <w:rPr>
          <w:rFonts w:eastAsia="Times New Roman" w:cs="Arial"/>
          <w:kern w:val="0"/>
          <w:lang w:eastAsia="en-GB"/>
          <w14:ligatures w14:val="none"/>
        </w:rPr>
        <w:t>In the first six months of 2025/26 the pharmacies provided:</w:t>
      </w:r>
    </w:p>
    <w:p w14:paraId="5A2D398D" w14:textId="77777777" w:rsidR="00B84219" w:rsidRPr="00B84219" w:rsidRDefault="00B84219" w:rsidP="00B84219">
      <w:pPr>
        <w:contextualSpacing/>
        <w:rPr>
          <w:rFonts w:eastAsia="Times New Roman" w:cs="Arial"/>
          <w:kern w:val="0"/>
          <w:lang w:eastAsia="en-GB"/>
          <w14:ligatures w14:val="none"/>
        </w:rPr>
      </w:pPr>
    </w:p>
    <w:p w14:paraId="1405C246" w14:textId="77777777" w:rsidR="00B84219" w:rsidRPr="00B84219" w:rsidRDefault="00B84219" w:rsidP="00B76905">
      <w:pPr>
        <w:numPr>
          <w:ilvl w:val="0"/>
          <w:numId w:val="149"/>
        </w:numPr>
        <w:contextualSpacing/>
        <w:rPr>
          <w:rFonts w:eastAsia="Times New Roman" w:cs="Arial"/>
          <w:kern w:val="0"/>
          <w:lang w:eastAsia="en-GB"/>
          <w14:ligatures w14:val="none"/>
        </w:rPr>
      </w:pPr>
      <w:r w:rsidRPr="00B84219">
        <w:rPr>
          <w:rFonts w:eastAsia="Times New Roman" w:cs="Arial"/>
          <w:kern w:val="0"/>
          <w:lang w:eastAsia="en-GB"/>
          <w14:ligatures w14:val="none"/>
        </w:rPr>
        <w:t>3,933 consultations for common ailment consultations (range at pharmacy level 87 to 766)</w:t>
      </w:r>
    </w:p>
    <w:p w14:paraId="3BFAA80F" w14:textId="77777777" w:rsidR="00B84219" w:rsidRPr="00B84219" w:rsidRDefault="00B84219" w:rsidP="00B76905">
      <w:pPr>
        <w:numPr>
          <w:ilvl w:val="0"/>
          <w:numId w:val="149"/>
        </w:numPr>
        <w:contextualSpacing/>
        <w:rPr>
          <w:rFonts w:eastAsia="Times New Roman" w:cs="Arial"/>
          <w:kern w:val="0"/>
          <w:lang w:eastAsia="en-GB"/>
          <w14:ligatures w14:val="none"/>
        </w:rPr>
      </w:pPr>
      <w:r w:rsidRPr="00B84219">
        <w:rPr>
          <w:rFonts w:eastAsia="Times New Roman" w:cs="Arial"/>
          <w:kern w:val="0"/>
          <w:lang w:eastAsia="en-GB"/>
          <w14:ligatures w14:val="none"/>
        </w:rPr>
        <w:t>375 consultations for sore throat test and treat consultations (range at pharmacy level seven to 93)</w:t>
      </w:r>
    </w:p>
    <w:p w14:paraId="1A0E1CDF" w14:textId="77777777" w:rsidR="00B84219" w:rsidRPr="00B84219" w:rsidRDefault="00B84219" w:rsidP="00B76905">
      <w:pPr>
        <w:numPr>
          <w:ilvl w:val="0"/>
          <w:numId w:val="149"/>
        </w:numPr>
        <w:contextualSpacing/>
        <w:rPr>
          <w:rFonts w:eastAsia="Times New Roman" w:cs="Arial"/>
          <w:kern w:val="0"/>
          <w:lang w:eastAsia="en-GB"/>
          <w14:ligatures w14:val="none"/>
        </w:rPr>
      </w:pPr>
      <w:r w:rsidRPr="00B84219">
        <w:rPr>
          <w:rFonts w:eastAsia="Times New Roman" w:cs="Arial"/>
          <w:kern w:val="0"/>
          <w:lang w:eastAsia="en-GB"/>
          <w14:ligatures w14:val="none"/>
        </w:rPr>
        <w:t>655 consultations for emergency contraception consultations (range at pharmacy level six to 355)</w:t>
      </w:r>
    </w:p>
    <w:p w14:paraId="2A764D30" w14:textId="77777777" w:rsidR="00B84219" w:rsidRPr="00B84219" w:rsidRDefault="00B84219" w:rsidP="00B76905">
      <w:pPr>
        <w:numPr>
          <w:ilvl w:val="0"/>
          <w:numId w:val="149"/>
        </w:numPr>
        <w:contextualSpacing/>
        <w:rPr>
          <w:rFonts w:eastAsia="Times New Roman" w:cs="Arial"/>
          <w:kern w:val="0"/>
          <w:lang w:eastAsia="en-GB"/>
          <w14:ligatures w14:val="none"/>
        </w:rPr>
      </w:pPr>
      <w:r w:rsidRPr="00B84219">
        <w:rPr>
          <w:rFonts w:eastAsia="Times New Roman" w:cs="Arial"/>
          <w:kern w:val="0"/>
          <w:lang w:eastAsia="en-GB"/>
          <w14:ligatures w14:val="none"/>
        </w:rPr>
        <w:t>701 emergency medicines supplies (range at pharmacy level 23 to 499)</w:t>
      </w:r>
    </w:p>
    <w:p w14:paraId="177BEA6E" w14:textId="77777777" w:rsidR="00B84219" w:rsidRPr="00B84219" w:rsidRDefault="00B84219" w:rsidP="00B84219">
      <w:pPr>
        <w:rPr>
          <w:rFonts w:eastAsia="Times New Roman" w:cs="Arial"/>
          <w:b/>
          <w:bCs/>
          <w:kern w:val="0"/>
          <w:lang w:eastAsia="en-GB"/>
          <w14:ligatures w14:val="none"/>
        </w:rPr>
      </w:pPr>
    </w:p>
    <w:p w14:paraId="07DD3616"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 xml:space="preserve">9.3.1.3 Discharge medicines review service </w:t>
      </w:r>
    </w:p>
    <w:p w14:paraId="4C709F57" w14:textId="77777777" w:rsidR="00B84219" w:rsidRPr="00B84219" w:rsidRDefault="00B84219" w:rsidP="00B84219">
      <w:pPr>
        <w:rPr>
          <w:rFonts w:eastAsia="Times New Roman" w:cs="Arial"/>
          <w:b/>
          <w:bCs/>
          <w:kern w:val="0"/>
          <w:lang w:eastAsia="en-GB"/>
          <w14:ligatures w14:val="none"/>
        </w:rPr>
      </w:pPr>
    </w:p>
    <w:p w14:paraId="179DB309"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All the pharmacies have signed up to provide this service.</w:t>
      </w:r>
    </w:p>
    <w:p w14:paraId="17EA1F5D" w14:textId="77777777" w:rsidR="00B84219" w:rsidRPr="00B84219" w:rsidRDefault="00B84219" w:rsidP="00B84219">
      <w:pPr>
        <w:rPr>
          <w:rFonts w:eastAsia="Times New Roman" w:cs="Arial"/>
          <w:kern w:val="0"/>
          <w:lang w:eastAsia="en-GB"/>
          <w14:ligatures w14:val="none"/>
        </w:rPr>
      </w:pPr>
    </w:p>
    <w:p w14:paraId="0BC1E404"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13 pharmacies provided this service in 2024/25, providing a total of 269 reviews (range at pharmacy level two to 67). 11 pharmacies provided this service in the first </w:t>
      </w:r>
      <w:r w:rsidRPr="00B84219">
        <w:rPr>
          <w:rFonts w:eastAsia="Times New Roman" w:cs="Arial"/>
          <w:kern w:val="0"/>
          <w:lang w:eastAsia="en-GB"/>
          <w14:ligatures w14:val="none"/>
        </w:rPr>
        <w:lastRenderedPageBreak/>
        <w:t>ten months of 2025/26, providing a total of 257 reviews (range at pharmacy level two to 87).</w:t>
      </w:r>
    </w:p>
    <w:p w14:paraId="28552DE5" w14:textId="77777777" w:rsidR="00B84219" w:rsidRPr="00B84219" w:rsidRDefault="00B84219" w:rsidP="00B84219">
      <w:pPr>
        <w:rPr>
          <w:rFonts w:eastAsia="Times New Roman" w:cs="Arial"/>
          <w:kern w:val="0"/>
          <w:lang w:eastAsia="en-GB"/>
          <w14:ligatures w14:val="none"/>
        </w:rPr>
      </w:pPr>
    </w:p>
    <w:p w14:paraId="66CE65C2"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9.3.1.4 Influenza vaccination service</w:t>
      </w:r>
    </w:p>
    <w:p w14:paraId="1722ACD4" w14:textId="77777777" w:rsidR="00B84219" w:rsidRPr="00B84219" w:rsidRDefault="00B84219" w:rsidP="00B84219">
      <w:pPr>
        <w:rPr>
          <w:rFonts w:eastAsia="Times New Roman" w:cs="Arial"/>
          <w:kern w:val="0"/>
          <w:lang w:eastAsia="en-GB"/>
          <w14:ligatures w14:val="none"/>
        </w:rPr>
      </w:pPr>
    </w:p>
    <w:p w14:paraId="284D0354"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All the pharmacies have signed up to provide this service.</w:t>
      </w:r>
    </w:p>
    <w:p w14:paraId="2D857DD7" w14:textId="77777777" w:rsidR="00B84219" w:rsidRPr="00B84219" w:rsidRDefault="00B84219" w:rsidP="00B84219">
      <w:pPr>
        <w:rPr>
          <w:rFonts w:eastAsia="Times New Roman" w:cs="Arial"/>
          <w:kern w:val="0"/>
          <w:lang w:eastAsia="en-GB"/>
          <w14:ligatures w14:val="none"/>
        </w:rPr>
      </w:pPr>
    </w:p>
    <w:p w14:paraId="75397027"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14 pharmacies provided this service in 2024/25, providing a total of 1,770 vaccinations (range at pharmacy level one to 618). 11 pharmacies provided this service in 2025/26, providing a total of 511 vaccinations (range at pharmacy level one to 253). </w:t>
      </w:r>
    </w:p>
    <w:p w14:paraId="37907A36"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 </w:t>
      </w:r>
    </w:p>
    <w:p w14:paraId="3CAD2EC7"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9.3.1.5 Lateral flow test supply service</w:t>
      </w:r>
    </w:p>
    <w:p w14:paraId="5AE854DE" w14:textId="77777777" w:rsidR="00B84219" w:rsidRPr="00B84219" w:rsidRDefault="00B84219" w:rsidP="00B84219">
      <w:pPr>
        <w:rPr>
          <w:rFonts w:eastAsia="Times New Roman" w:cs="Arial"/>
          <w:kern w:val="0"/>
          <w:lang w:eastAsia="en-GB"/>
          <w14:ligatures w14:val="none"/>
        </w:rPr>
      </w:pPr>
    </w:p>
    <w:p w14:paraId="1E0CBAEB"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Ten of the pharmacies have signed up to provide this service.</w:t>
      </w:r>
    </w:p>
    <w:p w14:paraId="696B7CEB" w14:textId="77777777" w:rsidR="00B84219" w:rsidRPr="00B84219" w:rsidRDefault="00B84219" w:rsidP="00B84219">
      <w:pPr>
        <w:rPr>
          <w:rFonts w:eastAsia="Times New Roman" w:cs="Arial"/>
          <w:kern w:val="0"/>
          <w:lang w:eastAsia="en-GB"/>
          <w14:ligatures w14:val="none"/>
        </w:rPr>
      </w:pPr>
    </w:p>
    <w:p w14:paraId="5BA44260"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Five pharmacies provided this service in 2024/25, supplying 26 kits (range at pharmacy level one to 11). One pharmacy provided this service in the first seven months of 2025/26, providing three kits. </w:t>
      </w:r>
    </w:p>
    <w:p w14:paraId="47933225" w14:textId="77777777" w:rsidR="00B84219" w:rsidRPr="00B84219" w:rsidRDefault="00B84219" w:rsidP="00B84219">
      <w:pPr>
        <w:ind w:left="720"/>
        <w:contextualSpacing/>
        <w:rPr>
          <w:rFonts w:eastAsia="Times New Roman" w:cs="Arial"/>
          <w:kern w:val="0"/>
          <w:lang w:eastAsia="en-GB"/>
          <w14:ligatures w14:val="none"/>
        </w:rPr>
      </w:pPr>
    </w:p>
    <w:p w14:paraId="74F7840A"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9.3.1.6 Pharmacist independent prescribing service</w:t>
      </w:r>
    </w:p>
    <w:p w14:paraId="5691623A" w14:textId="77777777" w:rsidR="00B84219" w:rsidRPr="00B84219" w:rsidRDefault="00B84219" w:rsidP="00B84219">
      <w:pPr>
        <w:rPr>
          <w:rFonts w:eastAsia="Times New Roman" w:cs="Arial"/>
          <w:kern w:val="0"/>
          <w:lang w:eastAsia="en-GB"/>
          <w14:ligatures w14:val="none"/>
        </w:rPr>
      </w:pPr>
    </w:p>
    <w:p w14:paraId="227228CF"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Two of the pharmacies have signed up to provide this service.</w:t>
      </w:r>
    </w:p>
    <w:p w14:paraId="10944998" w14:textId="77777777" w:rsidR="00B84219" w:rsidRPr="00B84219" w:rsidRDefault="00B84219" w:rsidP="00B84219">
      <w:pPr>
        <w:rPr>
          <w:rFonts w:eastAsia="Times New Roman" w:cs="Arial"/>
          <w:kern w:val="0"/>
          <w:lang w:eastAsia="en-GB"/>
          <w14:ligatures w14:val="none"/>
        </w:rPr>
      </w:pPr>
    </w:p>
    <w:p w14:paraId="23D80F22"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Two pharmacies provided this service in 2024/25, providing a total of 680 consultations (pharmacy range one to 679). Two pharmacies provided this service in the first six months of 2025/26, providing a total of 236 consultations, (range at pharmacy level four to 232). </w:t>
      </w:r>
    </w:p>
    <w:p w14:paraId="32C946B2" w14:textId="77777777" w:rsidR="00B84219" w:rsidRPr="00B84219" w:rsidRDefault="00B84219" w:rsidP="00B84219">
      <w:pPr>
        <w:rPr>
          <w:rFonts w:eastAsia="Times New Roman" w:cs="Arial"/>
          <w:kern w:val="0"/>
          <w:lang w:eastAsia="en-GB"/>
          <w14:ligatures w14:val="none"/>
        </w:rPr>
      </w:pPr>
    </w:p>
    <w:p w14:paraId="6EA9EF1B"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9.3.1.7 Stoma customisation service</w:t>
      </w:r>
    </w:p>
    <w:p w14:paraId="0846D3DA" w14:textId="77777777" w:rsidR="00B84219" w:rsidRPr="00B84219" w:rsidRDefault="00B84219" w:rsidP="00B84219">
      <w:pPr>
        <w:rPr>
          <w:rFonts w:eastAsia="Times New Roman" w:cs="Arial"/>
          <w:kern w:val="0"/>
          <w:lang w:eastAsia="en-GB"/>
          <w14:ligatures w14:val="none"/>
        </w:rPr>
      </w:pPr>
    </w:p>
    <w:p w14:paraId="2039FB2F"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None of the pharmacies provide this service. </w:t>
      </w:r>
    </w:p>
    <w:p w14:paraId="6B65FB42" w14:textId="77777777" w:rsidR="00B84219" w:rsidRPr="00B84219" w:rsidRDefault="00B84219" w:rsidP="00B84219">
      <w:pPr>
        <w:rPr>
          <w:rFonts w:eastAsia="Times New Roman" w:cs="Arial"/>
          <w:kern w:val="0"/>
          <w:lang w:eastAsia="en-GB"/>
          <w14:ligatures w14:val="none"/>
        </w:rPr>
      </w:pPr>
    </w:p>
    <w:p w14:paraId="4265143A"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9.3.2 Additional clinical services</w:t>
      </w:r>
    </w:p>
    <w:p w14:paraId="3AC5DBA6" w14:textId="77777777" w:rsidR="00B84219" w:rsidRPr="00B84219" w:rsidRDefault="00B84219" w:rsidP="00B84219">
      <w:pPr>
        <w:rPr>
          <w:rFonts w:eastAsia="Times New Roman" w:cs="Arial"/>
          <w:kern w:val="0"/>
          <w:lang w:eastAsia="en-GB"/>
          <w14:ligatures w14:val="none"/>
        </w:rPr>
      </w:pPr>
    </w:p>
    <w:p w14:paraId="53883C55"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9.3.2.1 Blood borne virus screening service</w:t>
      </w:r>
    </w:p>
    <w:p w14:paraId="2C7F583B" w14:textId="77777777" w:rsidR="00B84219" w:rsidRPr="00B84219" w:rsidRDefault="00B84219" w:rsidP="00B84219">
      <w:pPr>
        <w:rPr>
          <w:rFonts w:eastAsia="Times New Roman" w:cs="Arial"/>
          <w:kern w:val="0"/>
          <w:lang w:eastAsia="en-GB"/>
          <w14:ligatures w14:val="none"/>
        </w:rPr>
      </w:pPr>
    </w:p>
    <w:p w14:paraId="2C68909F"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None of the pharmacies provide this service. </w:t>
      </w:r>
    </w:p>
    <w:p w14:paraId="4280FEA6" w14:textId="77777777" w:rsidR="00B84219" w:rsidRPr="00B84219" w:rsidRDefault="00B84219" w:rsidP="00B84219">
      <w:pPr>
        <w:rPr>
          <w:rFonts w:eastAsia="Times New Roman" w:cs="Arial"/>
          <w:kern w:val="0"/>
          <w:lang w:eastAsia="en-GB"/>
          <w14:ligatures w14:val="none"/>
        </w:rPr>
      </w:pPr>
    </w:p>
    <w:p w14:paraId="69B60CCE"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9.3.2.2 Care home support service - Level 1 medicines management support visits</w:t>
      </w:r>
    </w:p>
    <w:p w14:paraId="08162743" w14:textId="77777777" w:rsidR="00B84219" w:rsidRPr="00B84219" w:rsidRDefault="00B84219" w:rsidP="00B84219">
      <w:pPr>
        <w:rPr>
          <w:rFonts w:eastAsia="Times New Roman" w:cs="Arial"/>
          <w:kern w:val="0"/>
          <w:lang w:eastAsia="en-GB"/>
          <w14:ligatures w14:val="none"/>
        </w:rPr>
      </w:pPr>
    </w:p>
    <w:p w14:paraId="54ECE272"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Five of the pharmacies have signed up to provide this service.</w:t>
      </w:r>
    </w:p>
    <w:p w14:paraId="1EB81698" w14:textId="77777777" w:rsidR="00B84219" w:rsidRPr="00B84219" w:rsidRDefault="00B84219" w:rsidP="00B84219">
      <w:pPr>
        <w:rPr>
          <w:rFonts w:eastAsia="Times New Roman" w:cs="Arial"/>
          <w:kern w:val="0"/>
          <w:lang w:eastAsia="en-GB"/>
          <w14:ligatures w14:val="none"/>
        </w:rPr>
      </w:pPr>
    </w:p>
    <w:p w14:paraId="17477D45"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One pharmacy provided the service in 2024/25, providing a total of 26 visits. One pharmacy provided this service in the first ten months of 2025/26, providing a total of 23 visits.</w:t>
      </w:r>
    </w:p>
    <w:p w14:paraId="2C9D6E73" w14:textId="77777777" w:rsid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 </w:t>
      </w:r>
    </w:p>
    <w:p w14:paraId="189F72F3" w14:textId="77777777" w:rsidR="0064729F" w:rsidRDefault="0064729F" w:rsidP="00B84219">
      <w:pPr>
        <w:rPr>
          <w:rFonts w:eastAsia="Times New Roman" w:cs="Arial"/>
          <w:kern w:val="0"/>
          <w:lang w:eastAsia="en-GB"/>
          <w14:ligatures w14:val="none"/>
        </w:rPr>
      </w:pPr>
    </w:p>
    <w:p w14:paraId="64B1BA5B" w14:textId="77777777" w:rsidR="0064729F" w:rsidRPr="00B84219" w:rsidRDefault="0064729F" w:rsidP="00B84219">
      <w:pPr>
        <w:rPr>
          <w:rFonts w:eastAsia="Times New Roman" w:cs="Arial"/>
          <w:b/>
          <w:bCs/>
          <w:kern w:val="0"/>
          <w:lang w:eastAsia="en-GB"/>
          <w14:ligatures w14:val="none"/>
        </w:rPr>
      </w:pPr>
    </w:p>
    <w:p w14:paraId="2EA2F5F7" w14:textId="77777777" w:rsidR="00B84219" w:rsidRPr="00B84219" w:rsidRDefault="00B84219" w:rsidP="00B84219">
      <w:pPr>
        <w:shd w:val="clear" w:color="auto" w:fill="FFFFFF"/>
        <w:rPr>
          <w:rFonts w:eastAsia="Times New Roman" w:cs="Arial"/>
          <w:b/>
          <w:bCs/>
          <w:color w:val="000000"/>
          <w:kern w:val="0"/>
          <w:lang w:eastAsia="en-GB"/>
          <w14:ligatures w14:val="none"/>
        </w:rPr>
      </w:pPr>
      <w:r w:rsidRPr="00B84219">
        <w:rPr>
          <w:rFonts w:eastAsia="Times New Roman" w:cs="Arial"/>
          <w:b/>
          <w:bCs/>
          <w:color w:val="000000"/>
          <w:kern w:val="0"/>
          <w:lang w:eastAsia="en-GB"/>
          <w14:ligatures w14:val="none"/>
        </w:rPr>
        <w:lastRenderedPageBreak/>
        <w:t xml:space="preserve">9.3.2.3 Access to inhaler review service </w:t>
      </w:r>
    </w:p>
    <w:p w14:paraId="3CC2C372" w14:textId="77777777" w:rsidR="00B84219" w:rsidRPr="00B84219" w:rsidRDefault="00B84219" w:rsidP="00B84219">
      <w:pPr>
        <w:shd w:val="clear" w:color="auto" w:fill="FFFFFF"/>
        <w:rPr>
          <w:rFonts w:eastAsia="Times New Roman" w:cs="Arial"/>
          <w:b/>
          <w:bCs/>
          <w:color w:val="000000"/>
          <w:kern w:val="0"/>
          <w:lang w:eastAsia="en-GB"/>
          <w14:ligatures w14:val="none"/>
        </w:rPr>
      </w:pPr>
    </w:p>
    <w:p w14:paraId="16D0C788" w14:textId="77777777" w:rsidR="00B84219" w:rsidRPr="00B84219" w:rsidRDefault="00B84219" w:rsidP="00B84219">
      <w:pPr>
        <w:shd w:val="clear" w:color="auto" w:fill="FFFFFF"/>
        <w:rPr>
          <w:rFonts w:eastAsia="Times New Roman" w:cs="Arial"/>
          <w:color w:val="000000"/>
          <w:kern w:val="0"/>
          <w:lang w:eastAsia="en-GB"/>
          <w14:ligatures w14:val="none"/>
        </w:rPr>
      </w:pPr>
      <w:r w:rsidRPr="00B84219">
        <w:rPr>
          <w:rFonts w:eastAsia="Times New Roman" w:cs="Arial"/>
          <w:color w:val="000000"/>
          <w:kern w:val="0"/>
          <w:lang w:eastAsia="en-GB"/>
          <w14:ligatures w14:val="none"/>
        </w:rPr>
        <w:t>Six of the pharmacies have signed up to provide this service.</w:t>
      </w:r>
    </w:p>
    <w:p w14:paraId="62835B16" w14:textId="77777777" w:rsidR="00B84219" w:rsidRPr="00B84219" w:rsidRDefault="00B84219" w:rsidP="00B84219">
      <w:pPr>
        <w:shd w:val="clear" w:color="auto" w:fill="FFFFFF"/>
        <w:rPr>
          <w:rFonts w:eastAsia="Times New Roman" w:cs="Arial"/>
          <w:color w:val="000000"/>
          <w:kern w:val="0"/>
          <w:lang w:eastAsia="en-GB"/>
          <w14:ligatures w14:val="none"/>
        </w:rPr>
      </w:pPr>
    </w:p>
    <w:p w14:paraId="644A3B0C" w14:textId="77777777" w:rsidR="00B84219" w:rsidRPr="00B84219" w:rsidRDefault="00B84219" w:rsidP="00B84219">
      <w:pPr>
        <w:shd w:val="clear" w:color="auto" w:fill="FFFFFF"/>
        <w:rPr>
          <w:rFonts w:eastAsia="Times New Roman" w:cs="Arial"/>
          <w:color w:val="000000"/>
          <w:kern w:val="0"/>
          <w:lang w:eastAsia="en-GB"/>
          <w14:ligatures w14:val="none"/>
        </w:rPr>
      </w:pPr>
      <w:r w:rsidRPr="00B84219">
        <w:rPr>
          <w:rFonts w:eastAsia="Times New Roman" w:cs="Arial"/>
          <w:color w:val="000000"/>
          <w:kern w:val="0"/>
          <w:lang w:eastAsia="en-GB"/>
          <w14:ligatures w14:val="none"/>
        </w:rPr>
        <w:t>Five pharmacies provided this service in 2024/25, providing a total of 400 reviews (range at pharmacy level 36 to 100). Three pharmacies provided this service between April 2025 and February 2026, providing a total of 141 reviews (range at pharmacy level 16 to 94).</w:t>
      </w:r>
    </w:p>
    <w:p w14:paraId="0EC83652" w14:textId="77777777" w:rsidR="00B84219" w:rsidRPr="00B84219" w:rsidRDefault="00B84219" w:rsidP="00B84219">
      <w:pPr>
        <w:shd w:val="clear" w:color="auto" w:fill="FFFFFF"/>
        <w:rPr>
          <w:rFonts w:eastAsia="Times New Roman" w:cs="Arial"/>
          <w:color w:val="000000"/>
          <w:kern w:val="0"/>
          <w:lang w:eastAsia="en-GB"/>
          <w14:ligatures w14:val="none"/>
        </w:rPr>
      </w:pPr>
    </w:p>
    <w:p w14:paraId="31D89E0A"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9.3.2.4 Just in case service (palliative care packs)</w:t>
      </w:r>
    </w:p>
    <w:p w14:paraId="5E33AC97" w14:textId="77777777" w:rsidR="00B84219" w:rsidRPr="00B84219" w:rsidRDefault="00B84219" w:rsidP="00B84219">
      <w:pPr>
        <w:rPr>
          <w:rFonts w:eastAsia="Times New Roman" w:cs="Arial"/>
          <w:kern w:val="0"/>
          <w:lang w:eastAsia="en-GB"/>
          <w14:ligatures w14:val="none"/>
        </w:rPr>
      </w:pPr>
    </w:p>
    <w:p w14:paraId="7F70F737"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11 of the pharmacies have signed up to provide this service.</w:t>
      </w:r>
    </w:p>
    <w:p w14:paraId="2BC8FB6F" w14:textId="77777777" w:rsidR="00B84219" w:rsidRPr="00B84219" w:rsidRDefault="00B84219" w:rsidP="00B84219">
      <w:pPr>
        <w:rPr>
          <w:rFonts w:eastAsia="Times New Roman" w:cs="Arial"/>
          <w:kern w:val="0"/>
          <w:lang w:eastAsia="en-GB"/>
          <w14:ligatures w14:val="none"/>
        </w:rPr>
      </w:pPr>
    </w:p>
    <w:p w14:paraId="58628DF1"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No pharmacies provided this service in 2024/25. One pharmacy provided this service in the first ten months of 2025/26, supplying a total of one pack. </w:t>
      </w:r>
    </w:p>
    <w:p w14:paraId="57EC2E5E" w14:textId="77777777" w:rsidR="00B84219" w:rsidRPr="00B84219" w:rsidRDefault="00B84219" w:rsidP="00B84219">
      <w:pPr>
        <w:ind w:left="720"/>
        <w:contextualSpacing/>
        <w:rPr>
          <w:rFonts w:eastAsia="Times New Roman" w:cs="Arial"/>
          <w:kern w:val="0"/>
          <w:lang w:eastAsia="en-GB"/>
          <w14:ligatures w14:val="none"/>
        </w:rPr>
      </w:pPr>
    </w:p>
    <w:p w14:paraId="1ABBA17F"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 xml:space="preserve">9.3.2.5 Medicines administration record service </w:t>
      </w:r>
    </w:p>
    <w:p w14:paraId="2B2F3458" w14:textId="77777777" w:rsidR="00B84219" w:rsidRPr="00B84219" w:rsidRDefault="00B84219" w:rsidP="00B84219">
      <w:pPr>
        <w:rPr>
          <w:rFonts w:eastAsia="Times New Roman" w:cs="Arial"/>
          <w:kern w:val="0"/>
          <w:lang w:eastAsia="en-GB"/>
          <w14:ligatures w14:val="none"/>
        </w:rPr>
      </w:pPr>
    </w:p>
    <w:p w14:paraId="4CF7D814"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11 of the pharmacies have signed up to provide this service.</w:t>
      </w:r>
    </w:p>
    <w:p w14:paraId="5B295560" w14:textId="77777777" w:rsidR="00B84219" w:rsidRPr="00B84219" w:rsidRDefault="00B84219" w:rsidP="00B84219">
      <w:pPr>
        <w:rPr>
          <w:rFonts w:eastAsia="Times New Roman" w:cs="Arial"/>
          <w:kern w:val="0"/>
          <w:lang w:eastAsia="en-GB"/>
          <w14:ligatures w14:val="none"/>
        </w:rPr>
      </w:pPr>
    </w:p>
    <w:p w14:paraId="5BBD231C" w14:textId="77777777" w:rsidR="00B84219" w:rsidRPr="00B84219" w:rsidRDefault="00B84219" w:rsidP="00B84219">
      <w:pPr>
        <w:contextualSpacing/>
        <w:rPr>
          <w:rFonts w:eastAsia="Times New Roman" w:cs="Arial"/>
          <w:kern w:val="0"/>
          <w:lang w:eastAsia="en-GB"/>
          <w14:ligatures w14:val="none"/>
        </w:rPr>
      </w:pPr>
      <w:r w:rsidRPr="00B84219">
        <w:rPr>
          <w:rFonts w:eastAsia="Times New Roman" w:cs="Arial"/>
          <w:kern w:val="0"/>
          <w:lang w:eastAsia="en-GB"/>
          <w14:ligatures w14:val="none"/>
        </w:rPr>
        <w:t>Seven pharmacies provided the service in 2024/25, providing charts to a total of 152 patients (range at pharmacy level seven to 48). Ten pharmacies provided the service in the first ten months of 2025/26, providing charts to a total of 812 patients (range at pharmacy level 15 to 148)</w:t>
      </w:r>
    </w:p>
    <w:p w14:paraId="0700F587" w14:textId="77777777" w:rsidR="00283FB4" w:rsidRPr="00D0306F" w:rsidRDefault="00283FB4" w:rsidP="00283FB4">
      <w:pPr>
        <w:contextualSpacing/>
        <w:rPr>
          <w:rFonts w:eastAsia="Times New Roman" w:cs="Arial"/>
          <w:kern w:val="0"/>
          <w:lang w:eastAsia="en-GB"/>
          <w14:ligatures w14:val="none"/>
        </w:rPr>
      </w:pPr>
    </w:p>
    <w:p w14:paraId="3E97C4B0"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9.3.2.6 Needle and syringe programmes</w:t>
      </w:r>
    </w:p>
    <w:p w14:paraId="5F6156C6" w14:textId="77777777" w:rsidR="00B84219" w:rsidRPr="00B84219" w:rsidRDefault="00B84219" w:rsidP="00B84219">
      <w:pPr>
        <w:rPr>
          <w:rFonts w:eastAsia="Times New Roman" w:cs="Arial"/>
          <w:kern w:val="0"/>
          <w:lang w:eastAsia="en-GB"/>
          <w14:ligatures w14:val="none"/>
        </w:rPr>
      </w:pPr>
    </w:p>
    <w:p w14:paraId="344ADBAC"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One of the pharmacies has signed up to provide this service.</w:t>
      </w:r>
    </w:p>
    <w:p w14:paraId="36DA24FC" w14:textId="77777777" w:rsidR="00B84219" w:rsidRPr="00B84219" w:rsidRDefault="00B84219" w:rsidP="00B84219">
      <w:pPr>
        <w:rPr>
          <w:rFonts w:eastAsia="Times New Roman" w:cs="Arial"/>
          <w:kern w:val="0"/>
          <w:lang w:eastAsia="en-GB"/>
          <w14:ligatures w14:val="none"/>
        </w:rPr>
      </w:pPr>
    </w:p>
    <w:p w14:paraId="69C9A6AB"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No pharmacy provided the service in 2024/25. One pharmacy provided the service in the first ten months of 2025/26 providing a total of five provisions. </w:t>
      </w:r>
    </w:p>
    <w:p w14:paraId="780BE721" w14:textId="77777777" w:rsidR="00B84219" w:rsidRPr="00B84219" w:rsidRDefault="00B84219" w:rsidP="00B84219">
      <w:pPr>
        <w:rPr>
          <w:rFonts w:eastAsia="Times New Roman" w:cs="Arial"/>
          <w:kern w:val="0"/>
          <w:lang w:eastAsia="en-GB"/>
          <w14:ligatures w14:val="none"/>
        </w:rPr>
      </w:pPr>
    </w:p>
    <w:p w14:paraId="7BAEC43C"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9.3.2.7 Help me quit @ pharmacy (level 2 smoking cessation) service</w:t>
      </w:r>
    </w:p>
    <w:p w14:paraId="7AAB3DAF" w14:textId="77777777" w:rsidR="00B84219" w:rsidRPr="00B84219" w:rsidRDefault="00B84219" w:rsidP="00B84219">
      <w:pPr>
        <w:rPr>
          <w:rFonts w:eastAsia="Times New Roman" w:cs="Arial"/>
          <w:kern w:val="0"/>
          <w:lang w:eastAsia="en-GB"/>
          <w14:ligatures w14:val="none"/>
        </w:rPr>
      </w:pPr>
    </w:p>
    <w:p w14:paraId="166A6793"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All the pharmacies have signed up to provide this service.</w:t>
      </w:r>
    </w:p>
    <w:p w14:paraId="0B1435C4" w14:textId="77777777" w:rsidR="00B84219" w:rsidRPr="00B84219" w:rsidRDefault="00B84219" w:rsidP="00B84219">
      <w:pPr>
        <w:rPr>
          <w:rFonts w:eastAsia="Times New Roman" w:cs="Arial"/>
          <w:kern w:val="0"/>
          <w:lang w:eastAsia="en-GB"/>
          <w14:ligatures w14:val="none"/>
        </w:rPr>
      </w:pPr>
    </w:p>
    <w:p w14:paraId="215F5EFF"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12 pharmacies provided the service in 2024/25, supporting 383 people (range at pharmacy level five to 73). 12 pharmacies provided this service in the first ten months of 2025/26, supporting 385 people (range at pharmacy level two to 108).</w:t>
      </w:r>
    </w:p>
    <w:p w14:paraId="62CC185A" w14:textId="77777777" w:rsidR="00B84219" w:rsidRPr="00B84219" w:rsidRDefault="00B84219" w:rsidP="00B84219">
      <w:pPr>
        <w:rPr>
          <w:rFonts w:eastAsia="Times New Roman" w:cs="Arial"/>
          <w:kern w:val="0"/>
          <w:lang w:eastAsia="en-GB"/>
          <w14:ligatures w14:val="none"/>
        </w:rPr>
      </w:pPr>
    </w:p>
    <w:p w14:paraId="4ACF2BFB"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9.3.2.8 Help me quit @ pharmacy (level 3 smoking cessation) service</w:t>
      </w:r>
    </w:p>
    <w:p w14:paraId="08D71C9F" w14:textId="77777777" w:rsidR="00B84219" w:rsidRPr="00B84219" w:rsidRDefault="00B84219" w:rsidP="00B84219">
      <w:pPr>
        <w:rPr>
          <w:rFonts w:eastAsia="Times New Roman" w:cs="Arial"/>
          <w:kern w:val="0"/>
          <w:lang w:eastAsia="en-GB"/>
          <w14:ligatures w14:val="none"/>
        </w:rPr>
      </w:pPr>
    </w:p>
    <w:p w14:paraId="3F71AA79"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Ten of the pharmacies have signed up to provide this service.</w:t>
      </w:r>
    </w:p>
    <w:p w14:paraId="06A5ABF8" w14:textId="77777777" w:rsidR="00B84219" w:rsidRPr="00B84219" w:rsidRDefault="00B84219" w:rsidP="00B84219">
      <w:pPr>
        <w:rPr>
          <w:rFonts w:eastAsia="Times New Roman" w:cs="Arial"/>
          <w:kern w:val="0"/>
          <w:lang w:eastAsia="en-GB"/>
          <w14:ligatures w14:val="none"/>
        </w:rPr>
      </w:pPr>
    </w:p>
    <w:p w14:paraId="1CC2EB90"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Nine pharmacies provided the service in 2024/25, supporting 641 people (range at pharmacy level 19 to 150). Nine pharmacies provided this service in the first ten months of 2025/26, supporting 354 people (range at pharmacy level seven to 100).</w:t>
      </w:r>
    </w:p>
    <w:p w14:paraId="7CD3BC11" w14:textId="77777777" w:rsidR="00B84219" w:rsidRDefault="00B84219" w:rsidP="0064729F">
      <w:pPr>
        <w:contextualSpacing/>
        <w:rPr>
          <w:rFonts w:eastAsia="Times New Roman" w:cs="Arial"/>
          <w:kern w:val="0"/>
          <w:lang w:eastAsia="en-GB"/>
          <w14:ligatures w14:val="none"/>
        </w:rPr>
      </w:pPr>
    </w:p>
    <w:p w14:paraId="0B76323F" w14:textId="77777777" w:rsidR="0064729F" w:rsidRDefault="0064729F" w:rsidP="0064729F">
      <w:pPr>
        <w:contextualSpacing/>
        <w:rPr>
          <w:rFonts w:eastAsia="Times New Roman" w:cs="Arial"/>
          <w:kern w:val="0"/>
          <w:lang w:eastAsia="en-GB"/>
          <w14:ligatures w14:val="none"/>
        </w:rPr>
      </w:pPr>
    </w:p>
    <w:p w14:paraId="4CA81249" w14:textId="77777777" w:rsidR="0064729F" w:rsidRPr="00B84219" w:rsidRDefault="0064729F" w:rsidP="0064729F">
      <w:pPr>
        <w:contextualSpacing/>
        <w:rPr>
          <w:rFonts w:eastAsia="Times New Roman" w:cs="Arial"/>
          <w:kern w:val="0"/>
          <w:lang w:eastAsia="en-GB"/>
          <w14:ligatures w14:val="none"/>
        </w:rPr>
      </w:pPr>
    </w:p>
    <w:p w14:paraId="61E2C053"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lastRenderedPageBreak/>
        <w:t xml:space="preserve">9.3.2.9 Supervised administration of medicine </w:t>
      </w:r>
    </w:p>
    <w:p w14:paraId="52F91C93" w14:textId="77777777" w:rsidR="00B84219" w:rsidRPr="00B84219" w:rsidRDefault="00B84219" w:rsidP="00B84219">
      <w:pPr>
        <w:rPr>
          <w:rFonts w:eastAsia="Times New Roman" w:cs="Arial"/>
          <w:kern w:val="0"/>
          <w:lang w:eastAsia="en-GB"/>
          <w14:ligatures w14:val="none"/>
        </w:rPr>
      </w:pPr>
    </w:p>
    <w:p w14:paraId="39CA06E0"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All the pharmacies have signed up to provide this service.</w:t>
      </w:r>
    </w:p>
    <w:p w14:paraId="16768031" w14:textId="77777777" w:rsidR="00B84219" w:rsidRPr="00B84219" w:rsidRDefault="00B84219" w:rsidP="00B84219">
      <w:pPr>
        <w:rPr>
          <w:rFonts w:eastAsia="Times New Roman" w:cs="Arial"/>
          <w:kern w:val="0"/>
          <w:lang w:eastAsia="en-GB"/>
          <w14:ligatures w14:val="none"/>
        </w:rPr>
      </w:pPr>
    </w:p>
    <w:p w14:paraId="5B208FD9" w14:textId="77777777" w:rsidR="00B84219" w:rsidRPr="00B84219" w:rsidRDefault="00B84219" w:rsidP="00B84219">
      <w:pPr>
        <w:rPr>
          <w:rFonts w:eastAsia="Aptos" w:cs="Arial"/>
        </w:rPr>
      </w:pPr>
      <w:r w:rsidRPr="00B84219">
        <w:rPr>
          <w:rFonts w:eastAsia="Aptos" w:cs="Arial"/>
        </w:rPr>
        <w:t>In 2024/25, 12 pharmacies provided this service to 1,066 clients (range at pharmacy level 20 to 205), supervising a total of 9,854 doses (range at pharmacy level 227 to 2,487). In the first ten months of 2025/26, 12 pharmacies provided this service to 657 clients (range at pharmacy level 30 to 125), supervising a total of 5,304 doses (range at pharmacy level 74 to 1,165).</w:t>
      </w:r>
    </w:p>
    <w:p w14:paraId="0B3B4C94" w14:textId="77777777" w:rsidR="00B84219" w:rsidRPr="00B84219" w:rsidRDefault="00B84219" w:rsidP="00B84219">
      <w:pPr>
        <w:rPr>
          <w:rFonts w:eastAsia="Times New Roman" w:cs="Arial"/>
          <w:kern w:val="0"/>
          <w:lang w:eastAsia="en-GB"/>
          <w14:ligatures w14:val="none"/>
        </w:rPr>
      </w:pPr>
    </w:p>
    <w:p w14:paraId="7CF58DF2"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 xml:space="preserve">9.3.2.10 Urgent medicines service </w:t>
      </w:r>
    </w:p>
    <w:p w14:paraId="7353885A" w14:textId="77777777" w:rsidR="00B84219" w:rsidRPr="00B84219" w:rsidRDefault="00B84219" w:rsidP="00B84219">
      <w:pPr>
        <w:rPr>
          <w:rFonts w:eastAsia="Times New Roman" w:cs="Arial"/>
          <w:kern w:val="0"/>
          <w:lang w:eastAsia="en-GB"/>
          <w14:ligatures w14:val="none"/>
        </w:rPr>
      </w:pPr>
    </w:p>
    <w:p w14:paraId="66A2E63F"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Two of the pharmacies have signed up to provide this service.</w:t>
      </w:r>
    </w:p>
    <w:p w14:paraId="1267DAFA" w14:textId="77777777" w:rsidR="00B84219" w:rsidRPr="00B84219" w:rsidRDefault="00B84219" w:rsidP="00B84219">
      <w:pPr>
        <w:rPr>
          <w:rFonts w:eastAsia="Times New Roman" w:cs="Arial"/>
          <w:kern w:val="0"/>
          <w:lang w:eastAsia="en-GB"/>
          <w14:ligatures w14:val="none"/>
        </w:rPr>
      </w:pPr>
    </w:p>
    <w:p w14:paraId="3548655D" w14:textId="77777777" w:rsidR="00B84219" w:rsidRPr="00B84219" w:rsidRDefault="00B84219" w:rsidP="00B84219">
      <w:pPr>
        <w:rPr>
          <w:rFonts w:eastAsia="Aptos" w:cs="Arial"/>
          <w:b/>
          <w:bCs/>
          <w:sz w:val="26"/>
          <w:szCs w:val="26"/>
        </w:rPr>
      </w:pPr>
      <w:r w:rsidRPr="00B84219">
        <w:rPr>
          <w:rFonts w:eastAsia="Aptos" w:cs="Arial"/>
          <w:b/>
          <w:bCs/>
          <w:sz w:val="26"/>
          <w:szCs w:val="26"/>
        </w:rPr>
        <w:t>9.4 Current provision of pharmaceutical services outside the locality</w:t>
      </w:r>
    </w:p>
    <w:p w14:paraId="356571A2" w14:textId="77777777" w:rsidR="00B84219" w:rsidRPr="00B84219" w:rsidRDefault="00B84219" w:rsidP="00B84219">
      <w:pPr>
        <w:rPr>
          <w:rFonts w:eastAsia="Aptos" w:cs="Arial"/>
        </w:rPr>
      </w:pPr>
    </w:p>
    <w:p w14:paraId="0FC52D52" w14:textId="77777777" w:rsidR="00B84219" w:rsidRPr="00B84219" w:rsidRDefault="00B84219" w:rsidP="00B84219">
      <w:pPr>
        <w:rPr>
          <w:rFonts w:eastAsia="Aptos" w:cs="Arial"/>
        </w:rPr>
      </w:pPr>
      <w:r w:rsidRPr="00B84219">
        <w:rPr>
          <w:rFonts w:eastAsia="Aptos" w:cs="Arial"/>
        </w:rPr>
        <w:t>Some residents may choose to access contractors outside both the locality and the health board’s area in order to access services:</w:t>
      </w:r>
    </w:p>
    <w:p w14:paraId="1A68519F" w14:textId="77777777" w:rsidR="00B84219" w:rsidRPr="00B84219" w:rsidRDefault="00B84219" w:rsidP="00B84219">
      <w:pPr>
        <w:rPr>
          <w:rFonts w:eastAsia="Aptos" w:cs="Arial"/>
        </w:rPr>
      </w:pPr>
    </w:p>
    <w:p w14:paraId="2F100865" w14:textId="77777777" w:rsidR="00B84219" w:rsidRPr="00B84219" w:rsidRDefault="00B84219" w:rsidP="00B76905">
      <w:pPr>
        <w:numPr>
          <w:ilvl w:val="0"/>
          <w:numId w:val="164"/>
        </w:numPr>
        <w:contextualSpacing/>
        <w:rPr>
          <w:rFonts w:eastAsia="Aptos" w:cs="Arial"/>
        </w:rPr>
      </w:pPr>
      <w:r w:rsidRPr="00B84219">
        <w:rPr>
          <w:rFonts w:eastAsia="Aptos" w:cs="Arial"/>
        </w:rPr>
        <w:t>Offered by dispensing appliance contractors</w:t>
      </w:r>
    </w:p>
    <w:p w14:paraId="151ED70C" w14:textId="77777777" w:rsidR="00B84219" w:rsidRPr="00B84219" w:rsidRDefault="00B84219" w:rsidP="00B76905">
      <w:pPr>
        <w:numPr>
          <w:ilvl w:val="0"/>
          <w:numId w:val="164"/>
        </w:numPr>
        <w:contextualSpacing/>
        <w:rPr>
          <w:rFonts w:eastAsia="Aptos" w:cs="Arial"/>
        </w:rPr>
      </w:pPr>
      <w:r w:rsidRPr="00B84219">
        <w:rPr>
          <w:rFonts w:eastAsia="Aptos" w:cs="Arial"/>
        </w:rPr>
        <w:t>Which are located near to where they work, shop or visit for leisure or other purposes</w:t>
      </w:r>
    </w:p>
    <w:p w14:paraId="5B2C9E5B" w14:textId="77777777" w:rsidR="00B84219" w:rsidRPr="00B84219" w:rsidRDefault="00B84219" w:rsidP="00B84219">
      <w:pPr>
        <w:shd w:val="clear" w:color="auto" w:fill="FFFFFF"/>
        <w:rPr>
          <w:rFonts w:eastAsia="Times New Roman" w:cs="Arial"/>
          <w:color w:val="000000"/>
          <w:kern w:val="0"/>
          <w:lang w:eastAsia="en-GB"/>
          <w14:ligatures w14:val="none"/>
        </w:rPr>
      </w:pPr>
    </w:p>
    <w:p w14:paraId="59C3EF56" w14:textId="77777777" w:rsidR="00B84219" w:rsidRPr="00B84219" w:rsidRDefault="00B84219" w:rsidP="00B84219">
      <w:pPr>
        <w:shd w:val="clear" w:color="auto" w:fill="FFFFFF"/>
        <w:rPr>
          <w:rFonts w:eastAsia="Times New Roman" w:cs="Arial"/>
          <w:color w:val="000000"/>
          <w:kern w:val="0"/>
          <w:lang w:eastAsia="en-GB"/>
          <w14:ligatures w14:val="none"/>
        </w:rPr>
      </w:pPr>
      <w:r w:rsidRPr="00B84219">
        <w:rPr>
          <w:rFonts w:eastAsia="Times New Roman" w:cs="Arial"/>
          <w:color w:val="000000"/>
          <w:kern w:val="0"/>
          <w:lang w:eastAsia="en-GB"/>
          <w14:ligatures w14:val="none"/>
        </w:rPr>
        <w:t>Whilst the majority of prescriptions written by the GP practices in 2024/25 were dispensed by the pharmacies in the locality (79.7%), 19.3% were dispensed outside the locality.</w:t>
      </w:r>
    </w:p>
    <w:p w14:paraId="4CC18DC2" w14:textId="77777777" w:rsidR="00B84219" w:rsidRPr="00B84219" w:rsidRDefault="00B84219" w:rsidP="00B84219">
      <w:pPr>
        <w:shd w:val="clear" w:color="auto" w:fill="FFFFFF"/>
        <w:rPr>
          <w:rFonts w:eastAsia="Times New Roman" w:cs="Arial"/>
          <w:color w:val="000000"/>
          <w:kern w:val="0"/>
          <w:lang w:eastAsia="en-GB"/>
          <w14:ligatures w14:val="none"/>
        </w:rPr>
      </w:pPr>
    </w:p>
    <w:p w14:paraId="38682B50" w14:textId="77777777" w:rsidR="00B84219" w:rsidRPr="00B84219" w:rsidRDefault="00B84219" w:rsidP="00B76905">
      <w:pPr>
        <w:numPr>
          <w:ilvl w:val="0"/>
          <w:numId w:val="15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7.2% by pharmacies in Penderi locality</w:t>
      </w:r>
    </w:p>
    <w:p w14:paraId="0F525BC1" w14:textId="77777777" w:rsidR="00B84219" w:rsidRPr="00B84219" w:rsidRDefault="00B84219" w:rsidP="00B76905">
      <w:pPr>
        <w:numPr>
          <w:ilvl w:val="0"/>
          <w:numId w:val="15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 xml:space="preserve">5.8% by pharmacies in Bay Health locality </w:t>
      </w:r>
    </w:p>
    <w:p w14:paraId="6596BDB9" w14:textId="77777777" w:rsidR="00B84219" w:rsidRPr="00B84219" w:rsidRDefault="00B84219" w:rsidP="00B76905">
      <w:pPr>
        <w:numPr>
          <w:ilvl w:val="0"/>
          <w:numId w:val="15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4.9% by pharmacies in Cwmtawe locality</w:t>
      </w:r>
    </w:p>
    <w:p w14:paraId="62F94E67" w14:textId="77777777" w:rsidR="00B84219" w:rsidRPr="00B84219" w:rsidRDefault="00B84219" w:rsidP="00B76905">
      <w:pPr>
        <w:numPr>
          <w:ilvl w:val="0"/>
          <w:numId w:val="15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0.5% by pharmacies in Llwchwr locality</w:t>
      </w:r>
    </w:p>
    <w:p w14:paraId="1141AA59" w14:textId="77777777" w:rsidR="00B84219" w:rsidRPr="00B84219" w:rsidRDefault="00B84219" w:rsidP="00B76905">
      <w:pPr>
        <w:numPr>
          <w:ilvl w:val="0"/>
          <w:numId w:val="15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0.5% by contractors in England</w:t>
      </w:r>
    </w:p>
    <w:p w14:paraId="1F30E583" w14:textId="77777777" w:rsidR="00B84219" w:rsidRPr="00B84219" w:rsidRDefault="00B84219" w:rsidP="00B76905">
      <w:pPr>
        <w:numPr>
          <w:ilvl w:val="0"/>
          <w:numId w:val="15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 xml:space="preserve">0.1% by pharmacies in Afan locality </w:t>
      </w:r>
    </w:p>
    <w:p w14:paraId="31E18983" w14:textId="77777777" w:rsidR="00B84219" w:rsidRPr="00B84219" w:rsidRDefault="00B84219" w:rsidP="00B76905">
      <w:pPr>
        <w:numPr>
          <w:ilvl w:val="0"/>
          <w:numId w:val="15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 xml:space="preserve">0.1% by pharmacies in Neath locality </w:t>
      </w:r>
    </w:p>
    <w:p w14:paraId="346545E6" w14:textId="77777777" w:rsidR="00B84219" w:rsidRPr="00B84219" w:rsidRDefault="00B84219" w:rsidP="00B76905">
      <w:pPr>
        <w:numPr>
          <w:ilvl w:val="0"/>
          <w:numId w:val="15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0.1% by pharmacies in Cardiff and Vale University Health Board</w:t>
      </w:r>
    </w:p>
    <w:p w14:paraId="2C376432" w14:textId="77777777" w:rsidR="00B84219" w:rsidRPr="00B84219" w:rsidRDefault="00B84219" w:rsidP="00B76905">
      <w:pPr>
        <w:numPr>
          <w:ilvl w:val="0"/>
          <w:numId w:val="15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0.1% by pharmacies in Hywel Dda University Health Board</w:t>
      </w:r>
    </w:p>
    <w:p w14:paraId="640B8B42" w14:textId="77777777" w:rsidR="00B84219" w:rsidRPr="00B84219" w:rsidRDefault="00B84219" w:rsidP="00B84219">
      <w:pPr>
        <w:textAlignment w:val="baseline"/>
        <w:rPr>
          <w:rFonts w:eastAsia="Times New Roman" w:cs="Arial"/>
          <w:kern w:val="0"/>
          <w:lang w:eastAsia="en-GB"/>
          <w14:ligatures w14:val="none"/>
        </w:rPr>
      </w:pPr>
    </w:p>
    <w:p w14:paraId="29EA4C8D" w14:textId="77777777" w:rsidR="00B84219" w:rsidRPr="00B84219" w:rsidRDefault="00B84219" w:rsidP="00B84219">
      <w:pPr>
        <w:shd w:val="clear" w:color="auto" w:fill="FFFFFF"/>
        <w:rPr>
          <w:rFonts w:eastAsia="Times New Roman" w:cs="Arial"/>
          <w:color w:val="000000"/>
          <w:kern w:val="0"/>
          <w:lang w:eastAsia="en-GB"/>
          <w14:ligatures w14:val="none"/>
        </w:rPr>
      </w:pPr>
      <w:r w:rsidRPr="00B84219">
        <w:rPr>
          <w:rFonts w:eastAsia="Times New Roman" w:cs="Arial"/>
          <w:color w:val="000000"/>
          <w:kern w:val="0"/>
          <w:lang w:eastAsia="en-GB"/>
          <w14:ligatures w14:val="none"/>
        </w:rPr>
        <w:t>In the first nine months of 2025/26 the majority of prescriptions written by the GP practices were dispensed by the pharmacies in the locality (79.3%), with 20.3% dispensed outside the locality.</w:t>
      </w:r>
    </w:p>
    <w:p w14:paraId="1C879471" w14:textId="77777777" w:rsidR="00B84219" w:rsidRPr="00B84219" w:rsidRDefault="00B84219" w:rsidP="00B84219">
      <w:pPr>
        <w:shd w:val="clear" w:color="auto" w:fill="FFFFFF"/>
        <w:rPr>
          <w:rFonts w:eastAsia="Times New Roman" w:cs="Arial"/>
          <w:color w:val="000000"/>
          <w:kern w:val="0"/>
          <w:lang w:eastAsia="en-GB"/>
          <w14:ligatures w14:val="none"/>
        </w:rPr>
      </w:pPr>
    </w:p>
    <w:p w14:paraId="18567703" w14:textId="77777777" w:rsidR="00B84219" w:rsidRPr="00B84219" w:rsidRDefault="00B84219" w:rsidP="00B76905">
      <w:pPr>
        <w:numPr>
          <w:ilvl w:val="0"/>
          <w:numId w:val="15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7.9% by pharmacies in Penderi locality</w:t>
      </w:r>
    </w:p>
    <w:p w14:paraId="48207E43" w14:textId="77777777" w:rsidR="00B84219" w:rsidRPr="00B84219" w:rsidRDefault="00B84219" w:rsidP="00B76905">
      <w:pPr>
        <w:numPr>
          <w:ilvl w:val="0"/>
          <w:numId w:val="15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 xml:space="preserve">5.9% by pharmacies in Bay Health locality </w:t>
      </w:r>
    </w:p>
    <w:p w14:paraId="2198B7D1" w14:textId="77777777" w:rsidR="00B84219" w:rsidRPr="00B84219" w:rsidRDefault="00B84219" w:rsidP="00B76905">
      <w:pPr>
        <w:numPr>
          <w:ilvl w:val="0"/>
          <w:numId w:val="15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5.0% by pharmacies in Cwmtawe locality</w:t>
      </w:r>
    </w:p>
    <w:p w14:paraId="7AD0A0D8" w14:textId="77777777" w:rsidR="00B84219" w:rsidRPr="00B84219" w:rsidRDefault="00B84219" w:rsidP="00B76905">
      <w:pPr>
        <w:numPr>
          <w:ilvl w:val="0"/>
          <w:numId w:val="15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 xml:space="preserve">0.6% by contractors in England </w:t>
      </w:r>
    </w:p>
    <w:p w14:paraId="30B76918" w14:textId="77777777" w:rsidR="00B84219" w:rsidRPr="00B84219" w:rsidRDefault="00B84219" w:rsidP="00B76905">
      <w:pPr>
        <w:numPr>
          <w:ilvl w:val="0"/>
          <w:numId w:val="15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0.5% by pharmacies in Llwchwr locality</w:t>
      </w:r>
    </w:p>
    <w:p w14:paraId="0747837B" w14:textId="77777777" w:rsidR="00B84219" w:rsidRPr="00B84219" w:rsidRDefault="00B84219" w:rsidP="00B76905">
      <w:pPr>
        <w:numPr>
          <w:ilvl w:val="0"/>
          <w:numId w:val="15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 xml:space="preserve">0.1% by pharmacies in Afan locality </w:t>
      </w:r>
    </w:p>
    <w:p w14:paraId="5D8BBD47" w14:textId="77777777" w:rsidR="00B84219" w:rsidRPr="00B84219" w:rsidRDefault="00B84219" w:rsidP="00B76905">
      <w:pPr>
        <w:numPr>
          <w:ilvl w:val="0"/>
          <w:numId w:val="15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 xml:space="preserve">0.1% by pharmacies in Neath locality </w:t>
      </w:r>
    </w:p>
    <w:p w14:paraId="54E94474" w14:textId="77777777" w:rsidR="00B84219" w:rsidRPr="00B84219" w:rsidRDefault="00B84219" w:rsidP="00B76905">
      <w:pPr>
        <w:numPr>
          <w:ilvl w:val="0"/>
          <w:numId w:val="152"/>
        </w:numPr>
        <w:textAlignment w:val="baseline"/>
        <w:rPr>
          <w:rFonts w:eastAsia="Times New Roman" w:cs="Arial"/>
          <w:kern w:val="0"/>
          <w:lang w:eastAsia="en-GB"/>
          <w14:ligatures w14:val="none"/>
        </w:rPr>
      </w:pPr>
      <w:r w:rsidRPr="00B84219">
        <w:rPr>
          <w:rFonts w:eastAsia="Times New Roman" w:cs="Arial"/>
          <w:kern w:val="0"/>
          <w:lang w:eastAsia="en-GB"/>
          <w14:ligatures w14:val="none"/>
        </w:rPr>
        <w:t>0.1% by pharmacies in Cardiff and Vale University Health Board</w:t>
      </w:r>
    </w:p>
    <w:p w14:paraId="13F3F30E" w14:textId="77777777" w:rsidR="00B84219" w:rsidRPr="00B84219" w:rsidRDefault="00B84219" w:rsidP="00B76905">
      <w:pPr>
        <w:numPr>
          <w:ilvl w:val="0"/>
          <w:numId w:val="152"/>
        </w:numPr>
        <w:textAlignment w:val="baseline"/>
        <w:rPr>
          <w:rFonts w:eastAsia="Times New Roman" w:cs="Arial"/>
          <w:kern w:val="0"/>
          <w:lang w:eastAsia="en-GB"/>
          <w14:ligatures w14:val="none"/>
        </w:rPr>
      </w:pPr>
      <w:r w:rsidRPr="00B84219">
        <w:rPr>
          <w:rFonts w:eastAsia="Times New Roman" w:cs="Arial"/>
          <w:kern w:val="0"/>
          <w:lang w:eastAsia="en-GB"/>
          <w14:ligatures w14:val="none"/>
        </w:rPr>
        <w:lastRenderedPageBreak/>
        <w:t>0.1% by pharmacies in Hywel Dda University Health Board</w:t>
      </w:r>
    </w:p>
    <w:p w14:paraId="10C01C8E" w14:textId="77777777" w:rsidR="00B84219" w:rsidRPr="00B84219" w:rsidRDefault="00B84219" w:rsidP="00B84219">
      <w:pPr>
        <w:rPr>
          <w:rFonts w:eastAsia="Aptos" w:cs="Arial"/>
        </w:rPr>
      </w:pPr>
    </w:p>
    <w:p w14:paraId="35143D77" w14:textId="77777777" w:rsidR="00B84219" w:rsidRPr="00B84219" w:rsidRDefault="00B84219" w:rsidP="00B84219">
      <w:pPr>
        <w:shd w:val="clear" w:color="auto" w:fill="FFFFFF"/>
        <w:rPr>
          <w:rFonts w:eastAsia="Times New Roman" w:cs="Arial"/>
          <w:kern w:val="0"/>
          <w:lang w:eastAsia="en-GB"/>
          <w14:ligatures w14:val="none"/>
        </w:rPr>
      </w:pPr>
      <w:r w:rsidRPr="00B84219">
        <w:rPr>
          <w:rFonts w:eastAsia="Times New Roman" w:cs="Arial"/>
          <w:kern w:val="0"/>
          <w:lang w:eastAsia="en-GB"/>
          <w14:ligatures w14:val="none"/>
        </w:rPr>
        <w:t>In addition, residents may have accessed one or more pharmaceutical services provided by another pharmacy outside of both the locality and the health board’s area; however, it is not possible to quantify this activity from the recorded data.</w:t>
      </w:r>
    </w:p>
    <w:p w14:paraId="6486DBD0" w14:textId="77777777" w:rsidR="00B84219" w:rsidRPr="00B84219" w:rsidRDefault="00B84219" w:rsidP="00B84219">
      <w:pPr>
        <w:shd w:val="clear" w:color="auto" w:fill="FFFFFF"/>
        <w:rPr>
          <w:rFonts w:eastAsia="Times New Roman" w:cs="Arial"/>
          <w:kern w:val="0"/>
          <w:lang w:eastAsia="en-GB"/>
          <w14:ligatures w14:val="none"/>
        </w:rPr>
      </w:pPr>
    </w:p>
    <w:p w14:paraId="24ABB5BF" w14:textId="77777777" w:rsidR="00B84219" w:rsidRPr="00B84219" w:rsidRDefault="00B84219" w:rsidP="00B84219">
      <w:pPr>
        <w:rPr>
          <w:rFonts w:eastAsia="Aptos" w:cs="Arial"/>
          <w:b/>
          <w:bCs/>
          <w:sz w:val="26"/>
          <w:szCs w:val="26"/>
        </w:rPr>
      </w:pPr>
      <w:r w:rsidRPr="00B84219">
        <w:rPr>
          <w:rFonts w:eastAsia="Aptos" w:cs="Arial"/>
          <w:b/>
          <w:bCs/>
          <w:sz w:val="26"/>
          <w:szCs w:val="26"/>
        </w:rPr>
        <w:t>9.5 Other NHS services</w:t>
      </w:r>
    </w:p>
    <w:p w14:paraId="6A682B8A" w14:textId="77777777" w:rsidR="00B84219" w:rsidRPr="00B84219" w:rsidRDefault="00B84219" w:rsidP="00B84219">
      <w:pPr>
        <w:rPr>
          <w:rFonts w:eastAsia="Aptos" w:cs="Arial"/>
        </w:rPr>
      </w:pPr>
    </w:p>
    <w:p w14:paraId="395B2E17" w14:textId="77777777" w:rsidR="00B84219" w:rsidRPr="00B84219" w:rsidRDefault="00B84219" w:rsidP="00B84219">
      <w:pPr>
        <w:rPr>
          <w:rFonts w:eastAsia="Aptos" w:cs="Arial"/>
        </w:rPr>
      </w:pPr>
      <w:r w:rsidRPr="00B84219">
        <w:rPr>
          <w:rFonts w:eastAsia="Aptos" w:cs="Arial"/>
        </w:rPr>
        <w:t>Details of the NHS services which affect the need for pharmaceutical services can be found in chapter six.</w:t>
      </w:r>
    </w:p>
    <w:p w14:paraId="7A0403D7" w14:textId="77777777" w:rsidR="00B84219" w:rsidRPr="00B84219" w:rsidRDefault="00B84219" w:rsidP="00B84219">
      <w:pPr>
        <w:rPr>
          <w:rFonts w:eastAsia="Aptos" w:cs="Arial"/>
        </w:rPr>
      </w:pPr>
    </w:p>
    <w:p w14:paraId="071446FF" w14:textId="77777777" w:rsidR="00B84219" w:rsidRPr="00B84219" w:rsidRDefault="00B84219" w:rsidP="00B84219">
      <w:pPr>
        <w:rPr>
          <w:rFonts w:eastAsia="Aptos" w:cs="Arial"/>
          <w:b/>
          <w:bCs/>
          <w:sz w:val="26"/>
          <w:szCs w:val="26"/>
        </w:rPr>
      </w:pPr>
      <w:r w:rsidRPr="00B84219">
        <w:rPr>
          <w:rFonts w:eastAsia="Aptos" w:cs="Arial"/>
          <w:b/>
          <w:bCs/>
          <w:sz w:val="26"/>
          <w:szCs w:val="26"/>
        </w:rPr>
        <w:t>9.6 Choice with regard to obtaining pharmaceutical services</w:t>
      </w:r>
    </w:p>
    <w:p w14:paraId="2FF449BA" w14:textId="77777777" w:rsidR="00B84219" w:rsidRPr="00B84219" w:rsidRDefault="00B84219" w:rsidP="00B84219">
      <w:pPr>
        <w:rPr>
          <w:rFonts w:eastAsia="Aptos" w:cs="Arial"/>
        </w:rPr>
      </w:pPr>
    </w:p>
    <w:p w14:paraId="49BD3B0A" w14:textId="77777777" w:rsidR="00B84219" w:rsidRPr="00B84219" w:rsidRDefault="00B84219" w:rsidP="00B84219">
      <w:pPr>
        <w:rPr>
          <w:rFonts w:eastAsia="Times New Roman" w:cs="Arial"/>
          <w:kern w:val="0"/>
          <w:lang w:eastAsia="en-GB"/>
          <w14:ligatures w14:val="none"/>
        </w:rPr>
      </w:pPr>
      <w:r w:rsidRPr="00B84219">
        <w:rPr>
          <w:rFonts w:eastAsia="Aptos" w:cs="Arial"/>
        </w:rPr>
        <w:t>As can be seen from sections 9.3 and 9.4, those living within the locality and registered with one of the GP practices generally choose to access one of the pharmacies in the locality in order to have their prescriptions dispensed.</w:t>
      </w:r>
      <w:r w:rsidRPr="00B84219">
        <w:rPr>
          <w:rFonts w:eastAsia="Times New Roman" w:cs="Arial"/>
          <w:kern w:val="0"/>
          <w:lang w:eastAsia="en-GB"/>
          <w14:ligatures w14:val="none"/>
        </w:rPr>
        <w:t xml:space="preserve"> Those that look outside the locality usually do so to access a neighbouring pharmacy within the health board’s area. A minority choose to have their prescription dispensed by a pharmacy or an appliance contractor outside of the health board’s area. </w:t>
      </w:r>
    </w:p>
    <w:p w14:paraId="7B8EB9A2" w14:textId="77777777" w:rsidR="00B84219" w:rsidRPr="00B84219" w:rsidRDefault="00B84219" w:rsidP="00B84219">
      <w:pPr>
        <w:rPr>
          <w:rFonts w:eastAsia="Times New Roman" w:cs="Arial"/>
          <w:kern w:val="0"/>
          <w:lang w:val="en-US" w:eastAsia="en-GB"/>
          <w14:ligatures w14:val="none"/>
        </w:rPr>
      </w:pPr>
    </w:p>
    <w:p w14:paraId="2D74753D" w14:textId="77777777" w:rsidR="00B84219" w:rsidRPr="00B84219" w:rsidRDefault="00B84219" w:rsidP="00B84219">
      <w:pPr>
        <w:rPr>
          <w:rFonts w:eastAsia="Times New Roman" w:cs="Arial"/>
          <w:kern w:val="0"/>
          <w:lang w:val="en-US" w:eastAsia="en-GB"/>
          <w14:ligatures w14:val="none"/>
        </w:rPr>
      </w:pPr>
      <w:r w:rsidRPr="00B84219">
        <w:rPr>
          <w:rFonts w:eastAsia="Times New Roman" w:cs="Arial"/>
          <w:kern w:val="0"/>
          <w:lang w:val="en-US" w:eastAsia="en-GB"/>
          <w14:ligatures w14:val="none"/>
        </w:rPr>
        <w:t xml:space="preserve">A total of 278 contractors that were trading in Wales during 2024/25 dispensed items written by one of the GP practices in the locality, of which 185 were outside of the health board’s area. 8,242 prescription items were dispensed in England. </w:t>
      </w:r>
    </w:p>
    <w:p w14:paraId="67C26286" w14:textId="77777777" w:rsidR="00B84219" w:rsidRPr="00B84219" w:rsidRDefault="00B84219" w:rsidP="00B84219">
      <w:pPr>
        <w:rPr>
          <w:rFonts w:eastAsia="Times New Roman" w:cs="Arial"/>
          <w:kern w:val="0"/>
          <w:lang w:val="en-US" w:eastAsia="en-GB"/>
          <w14:ligatures w14:val="none"/>
        </w:rPr>
      </w:pPr>
    </w:p>
    <w:p w14:paraId="274AA5D1" w14:textId="77777777" w:rsidR="00B84219" w:rsidRPr="00B84219" w:rsidRDefault="00B84219" w:rsidP="00B84219">
      <w:pPr>
        <w:rPr>
          <w:rFonts w:eastAsia="Times New Roman" w:cs="Arial"/>
          <w:kern w:val="0"/>
          <w:lang w:val="en-US" w:eastAsia="en-GB"/>
          <w14:ligatures w14:val="none"/>
        </w:rPr>
      </w:pPr>
      <w:r w:rsidRPr="00B84219">
        <w:rPr>
          <w:rFonts w:eastAsia="Times New Roman" w:cs="Arial"/>
          <w:kern w:val="0"/>
          <w:lang w:val="en-US" w:eastAsia="en-GB"/>
          <w14:ligatures w14:val="none"/>
        </w:rPr>
        <w:t xml:space="preserve">A total of 249 contractors that were trading in Wales during 2025/26 (up to December 2025), dispensed items written by one of the GP practices in the locality, of which 155 were outside of the health board’s area. 6,159 prescription items were dispensed in England. </w:t>
      </w:r>
    </w:p>
    <w:p w14:paraId="75C8156B" w14:textId="77777777" w:rsidR="00B84219" w:rsidRPr="00B84219" w:rsidRDefault="00B84219" w:rsidP="00B84219">
      <w:pPr>
        <w:rPr>
          <w:rFonts w:eastAsia="Times New Roman" w:cs="Arial"/>
          <w:kern w:val="0"/>
          <w:lang w:val="en-US" w:eastAsia="en-GB"/>
          <w14:ligatures w14:val="none"/>
        </w:rPr>
      </w:pPr>
    </w:p>
    <w:p w14:paraId="17EAA98D" w14:textId="77777777" w:rsidR="00B84219" w:rsidRPr="00B84219" w:rsidRDefault="00B84219" w:rsidP="00B84219">
      <w:pPr>
        <w:rPr>
          <w:rFonts w:eastAsia="Aptos" w:cs="Arial"/>
          <w:b/>
          <w:bCs/>
          <w:sz w:val="26"/>
          <w:szCs w:val="26"/>
        </w:rPr>
      </w:pPr>
      <w:r w:rsidRPr="00B84219">
        <w:rPr>
          <w:rFonts w:eastAsia="Aptos" w:cs="Arial"/>
          <w:b/>
          <w:bCs/>
          <w:sz w:val="26"/>
          <w:szCs w:val="26"/>
        </w:rPr>
        <w:t xml:space="preserve">9.7 Housing developments </w:t>
      </w:r>
    </w:p>
    <w:p w14:paraId="20774D7B" w14:textId="77777777" w:rsidR="00B84219" w:rsidRPr="00B84219" w:rsidRDefault="00B84219" w:rsidP="00B84219">
      <w:pPr>
        <w:contextualSpacing/>
        <w:rPr>
          <w:rFonts w:eastAsia="Aptos" w:cs="Arial"/>
        </w:rPr>
      </w:pPr>
    </w:p>
    <w:p w14:paraId="1BE4378F" w14:textId="77777777" w:rsidR="00B84219" w:rsidRPr="00B84219" w:rsidRDefault="00B84219" w:rsidP="00B84219">
      <w:pPr>
        <w:rPr>
          <w:rFonts w:eastAsia="Aptos" w:cs="Arial"/>
        </w:rPr>
      </w:pPr>
      <w:r w:rsidRPr="00B84219">
        <w:rPr>
          <w:rFonts w:eastAsia="Aptos" w:cs="Arial"/>
        </w:rPr>
        <w:t>Work is underway in preparing a new local development plan for Swansea which will cover the period 2023 to 2038. The following strategic regeneration and placemaking areas are expected to be included in the plan period and the estimated capacity for new housing provision is set out below although this is subject to further detailed assessment so may change as the plan is finalised.</w:t>
      </w:r>
    </w:p>
    <w:p w14:paraId="1D34348E" w14:textId="77777777" w:rsidR="00B84219" w:rsidRPr="00B84219" w:rsidRDefault="00B84219" w:rsidP="00B84219">
      <w:pPr>
        <w:rPr>
          <w:rFonts w:eastAsia="Aptos" w:cs="Arial"/>
        </w:rPr>
      </w:pPr>
    </w:p>
    <w:p w14:paraId="76D0E9A0" w14:textId="77777777" w:rsidR="00B84219" w:rsidRPr="00B84219" w:rsidRDefault="00B84219" w:rsidP="00B76905">
      <w:pPr>
        <w:numPr>
          <w:ilvl w:val="0"/>
          <w:numId w:val="153"/>
        </w:numPr>
        <w:contextualSpacing/>
        <w:rPr>
          <w:rFonts w:eastAsia="Aptos" w:cs="Arial"/>
        </w:rPr>
      </w:pPr>
      <w:r w:rsidRPr="00B84219">
        <w:rPr>
          <w:rFonts w:eastAsia="Aptos" w:cs="Arial"/>
        </w:rPr>
        <w:t>Swansea central area and City waterfront – 200 dwellings. Assuming an average occupancy rate of 2.5 this equates to 500 people.</w:t>
      </w:r>
    </w:p>
    <w:p w14:paraId="479F8840" w14:textId="77777777" w:rsidR="00B84219" w:rsidRPr="00B84219" w:rsidRDefault="00B84219" w:rsidP="00B76905">
      <w:pPr>
        <w:numPr>
          <w:ilvl w:val="0"/>
          <w:numId w:val="153"/>
        </w:numPr>
        <w:contextualSpacing/>
        <w:rPr>
          <w:rFonts w:eastAsia="Aptos" w:cs="Arial"/>
        </w:rPr>
      </w:pPr>
      <w:r w:rsidRPr="00B84219">
        <w:rPr>
          <w:rFonts w:eastAsia="Aptos" w:cs="Arial"/>
        </w:rPr>
        <w:t xml:space="preserve">SA1 Swansea waterfront – 200 dwellings. Assuming an average occupancy rate of 2.5 this equates to 500 people. </w:t>
      </w:r>
    </w:p>
    <w:p w14:paraId="4E3AD318" w14:textId="77777777" w:rsidR="00B84219" w:rsidRPr="00B84219" w:rsidRDefault="00B84219" w:rsidP="00B76905">
      <w:pPr>
        <w:numPr>
          <w:ilvl w:val="0"/>
          <w:numId w:val="153"/>
        </w:numPr>
        <w:contextualSpacing/>
        <w:rPr>
          <w:rFonts w:eastAsia="Aptos" w:cs="Arial"/>
        </w:rPr>
      </w:pPr>
      <w:r w:rsidRPr="00B84219">
        <w:rPr>
          <w:rFonts w:eastAsia="Aptos" w:cs="Arial"/>
        </w:rPr>
        <w:t>Tawe riverside corridor and Hafod Morfa copper works - 200 dwellings. Assuming an average occupancy rate of 2.5 this equates to 500 people. It is to be noted that this site also falls within Penderi locality.</w:t>
      </w:r>
    </w:p>
    <w:p w14:paraId="41C12360" w14:textId="77777777" w:rsidR="00B84219" w:rsidRPr="00B84219" w:rsidRDefault="00B84219" w:rsidP="00B84219">
      <w:pPr>
        <w:rPr>
          <w:rFonts w:eastAsia="Aptos" w:cs="Arial"/>
        </w:rPr>
      </w:pPr>
    </w:p>
    <w:p w14:paraId="2976E3AE" w14:textId="77777777" w:rsidR="00B84219" w:rsidRPr="00B84219" w:rsidRDefault="00B84219" w:rsidP="00B84219">
      <w:pPr>
        <w:rPr>
          <w:rFonts w:eastAsia="Aptos" w:cs="Arial"/>
          <w:b/>
          <w:bCs/>
          <w:sz w:val="26"/>
          <w:szCs w:val="26"/>
        </w:rPr>
      </w:pPr>
      <w:r w:rsidRPr="00B84219">
        <w:rPr>
          <w:rFonts w:eastAsia="Aptos" w:cs="Arial"/>
          <w:b/>
          <w:bCs/>
          <w:sz w:val="26"/>
          <w:szCs w:val="26"/>
        </w:rPr>
        <w:t>9.8 Gaps in provision</w:t>
      </w:r>
    </w:p>
    <w:p w14:paraId="510960D4" w14:textId="77777777" w:rsidR="00B84219" w:rsidRPr="00B84219" w:rsidRDefault="00B84219" w:rsidP="00B84219">
      <w:pPr>
        <w:rPr>
          <w:rFonts w:eastAsia="Times New Roman" w:cs="Arial"/>
          <w:b/>
          <w:kern w:val="0"/>
          <w:lang w:val="en-US" w:eastAsia="en-GB"/>
          <w14:ligatures w14:val="none"/>
        </w:rPr>
      </w:pPr>
    </w:p>
    <w:p w14:paraId="6FD47DF4" w14:textId="77777777" w:rsidR="00B84219" w:rsidRPr="00B84219" w:rsidRDefault="00B84219" w:rsidP="00B84219">
      <w:pPr>
        <w:rPr>
          <w:rFonts w:eastAsia="Aptos" w:cs="Arial"/>
        </w:rPr>
      </w:pPr>
      <w:r w:rsidRPr="00B84219">
        <w:rPr>
          <w:rFonts w:eastAsia="Aptos" w:cs="Arial"/>
        </w:rPr>
        <w:t>When considering if there are any gaps in the provision of pharmaceutical services the health board has noted that of the pharmacies in the locality:</w:t>
      </w:r>
    </w:p>
    <w:p w14:paraId="45F0EAC8" w14:textId="77777777" w:rsidR="00B84219" w:rsidRPr="00B84219" w:rsidRDefault="00B84219" w:rsidP="00B84219">
      <w:pPr>
        <w:rPr>
          <w:rFonts w:eastAsia="Aptos" w:cs="Arial"/>
        </w:rPr>
      </w:pPr>
    </w:p>
    <w:p w14:paraId="466BDF49" w14:textId="77777777" w:rsidR="00B84219" w:rsidRPr="00B84219" w:rsidRDefault="00B84219" w:rsidP="00B76905">
      <w:pPr>
        <w:numPr>
          <w:ilvl w:val="0"/>
          <w:numId w:val="165"/>
        </w:numPr>
        <w:contextualSpacing/>
        <w:rPr>
          <w:rFonts w:eastAsia="Times New Roman" w:cs="Arial"/>
          <w:kern w:val="0"/>
          <w:lang w:eastAsia="en-GB"/>
          <w14:ligatures w14:val="none"/>
        </w:rPr>
      </w:pPr>
      <w:r w:rsidRPr="00B84219">
        <w:rPr>
          <w:rFonts w:eastAsia="Times New Roman" w:cs="Arial"/>
          <w:kern w:val="0"/>
          <w:lang w:eastAsia="en-GB"/>
          <w14:ligatures w14:val="none"/>
        </w:rPr>
        <w:lastRenderedPageBreak/>
        <w:t>Ten of the pharmacies have sufficient capacity within their premises to manage an increase in demand, three don’t but could make adjustments, and one doesn’t have sufficient capacity and would have difficulty in managing an increase in demand.</w:t>
      </w:r>
    </w:p>
    <w:p w14:paraId="3361CB30" w14:textId="77777777" w:rsidR="00B84219" w:rsidRPr="00B84219" w:rsidRDefault="00B84219" w:rsidP="00B76905">
      <w:pPr>
        <w:numPr>
          <w:ilvl w:val="0"/>
          <w:numId w:val="165"/>
        </w:numPr>
        <w:contextualSpacing/>
        <w:rPr>
          <w:rFonts w:eastAsia="Times New Roman" w:cs="Arial"/>
          <w:kern w:val="0"/>
          <w:lang w:eastAsia="en-GB"/>
          <w14:ligatures w14:val="none"/>
        </w:rPr>
      </w:pPr>
      <w:r w:rsidRPr="00B84219">
        <w:rPr>
          <w:rFonts w:eastAsia="Times New Roman" w:cs="Arial"/>
          <w:kern w:val="0"/>
          <w:lang w:eastAsia="en-GB"/>
          <w14:ligatures w14:val="none"/>
        </w:rPr>
        <w:t xml:space="preserve">11 pharmacies have sufficient capacity within their staffing levels to manage an increase in demand, two don’t but could make adjustments, and one doesn’t have sufficient capacity and would have difficulty in managing an increase in demand. </w:t>
      </w:r>
    </w:p>
    <w:p w14:paraId="49BCB7D8" w14:textId="77777777" w:rsidR="00B84219" w:rsidRPr="00B84219" w:rsidRDefault="00B84219" w:rsidP="00B76905">
      <w:pPr>
        <w:numPr>
          <w:ilvl w:val="0"/>
          <w:numId w:val="165"/>
        </w:numPr>
        <w:contextualSpacing/>
        <w:rPr>
          <w:rFonts w:eastAsia="Times New Roman" w:cs="Arial"/>
          <w:kern w:val="0"/>
          <w:lang w:eastAsia="en-GB"/>
          <w14:ligatures w14:val="none"/>
        </w:rPr>
      </w:pPr>
      <w:r w:rsidRPr="00B84219">
        <w:rPr>
          <w:rFonts w:eastAsia="Times New Roman" w:cs="Arial"/>
          <w:kern w:val="0"/>
          <w:lang w:eastAsia="en-GB"/>
          <w14:ligatures w14:val="none"/>
        </w:rPr>
        <w:t>The pharmacy that doesn’t have capacity in either its premises or staffing levels said that it would like to be able to expand.</w:t>
      </w:r>
    </w:p>
    <w:p w14:paraId="67E5B747" w14:textId="77777777" w:rsidR="00B84219" w:rsidRPr="00B84219" w:rsidRDefault="00B84219" w:rsidP="00B84219">
      <w:pPr>
        <w:rPr>
          <w:rFonts w:eastAsia="Times New Roman" w:cs="Arial"/>
          <w:b/>
          <w:kern w:val="0"/>
          <w:lang w:val="en-US" w:eastAsia="en-GB"/>
          <w14:ligatures w14:val="none"/>
        </w:rPr>
      </w:pPr>
    </w:p>
    <w:p w14:paraId="72B50884" w14:textId="77777777" w:rsidR="00B84219" w:rsidRPr="00B84219" w:rsidRDefault="00B84219" w:rsidP="00B84219">
      <w:pPr>
        <w:rPr>
          <w:rFonts w:eastAsia="Times New Roman" w:cs="Arial"/>
          <w:b/>
          <w:kern w:val="0"/>
          <w:lang w:val="en-US" w:eastAsia="en-GB"/>
          <w14:ligatures w14:val="none"/>
        </w:rPr>
      </w:pPr>
      <w:r w:rsidRPr="00B84219">
        <w:rPr>
          <w:rFonts w:eastAsia="Times New Roman" w:cs="Arial"/>
          <w:b/>
          <w:kern w:val="0"/>
          <w:lang w:val="en-US" w:eastAsia="en-GB"/>
          <w14:ligatures w14:val="none"/>
        </w:rPr>
        <w:t>9.8.1 Essential services</w:t>
      </w:r>
    </w:p>
    <w:p w14:paraId="2614951C" w14:textId="77777777" w:rsidR="00B84219" w:rsidRPr="00B84219" w:rsidRDefault="00B84219" w:rsidP="00B84219">
      <w:pPr>
        <w:rPr>
          <w:rFonts w:eastAsia="Times New Roman" w:cs="Arial"/>
          <w:b/>
          <w:kern w:val="0"/>
          <w:lang w:val="en-US" w:eastAsia="en-GB"/>
          <w14:ligatures w14:val="none"/>
        </w:rPr>
      </w:pPr>
    </w:p>
    <w:p w14:paraId="7EA90F09" w14:textId="77777777" w:rsidR="00B84219" w:rsidRPr="00B84219" w:rsidRDefault="00B84219" w:rsidP="00B84219">
      <w:pPr>
        <w:textAlignment w:val="baseline"/>
        <w:rPr>
          <w:rFonts w:eastAsia="Times New Roman" w:cs="Arial"/>
          <w:kern w:val="0"/>
          <w:lang w:eastAsia="en-GB"/>
          <w14:ligatures w14:val="none"/>
        </w:rPr>
      </w:pPr>
      <w:r w:rsidRPr="00B84219">
        <w:rPr>
          <w:rFonts w:eastAsia="Times New Roman" w:cs="Arial"/>
          <w:kern w:val="0"/>
          <w:lang w:eastAsia="en-GB"/>
          <w14:ligatures w14:val="none"/>
        </w:rPr>
        <w:t>The health board has noted: </w:t>
      </w:r>
    </w:p>
    <w:p w14:paraId="36B2D17E" w14:textId="77777777" w:rsidR="00B84219" w:rsidRPr="00B84219" w:rsidRDefault="00B84219" w:rsidP="00B84219">
      <w:pPr>
        <w:textAlignment w:val="baseline"/>
        <w:rPr>
          <w:rFonts w:eastAsia="Times New Roman" w:cs="Arial"/>
          <w:kern w:val="0"/>
          <w:lang w:eastAsia="en-GB"/>
          <w14:ligatures w14:val="none"/>
        </w:rPr>
      </w:pPr>
      <w:r w:rsidRPr="00B84219">
        <w:rPr>
          <w:rFonts w:eastAsia="Times New Roman" w:cs="Arial"/>
          <w:kern w:val="0"/>
          <w:lang w:eastAsia="en-GB"/>
          <w14:ligatures w14:val="none"/>
        </w:rPr>
        <w:t> </w:t>
      </w:r>
    </w:p>
    <w:p w14:paraId="051BA71E" w14:textId="77777777" w:rsidR="00B84219" w:rsidRPr="00B84219" w:rsidRDefault="00B84219" w:rsidP="00B76905">
      <w:pPr>
        <w:numPr>
          <w:ilvl w:val="0"/>
          <w:numId w:val="155"/>
        </w:numPr>
        <w:contextualSpacing/>
        <w:rPr>
          <w:rFonts w:eastAsia="Times New Roman" w:cs="Arial"/>
          <w:kern w:val="0"/>
          <w:lang w:eastAsia="en-GB"/>
          <w14:ligatures w14:val="none"/>
        </w:rPr>
      </w:pPr>
      <w:r w:rsidRPr="00B84219">
        <w:rPr>
          <w:rFonts w:eastAsia="Times New Roman" w:cs="Arial"/>
          <w:kern w:val="0"/>
          <w:lang w:eastAsia="en-GB"/>
          <w14:ligatures w14:val="none"/>
        </w:rPr>
        <w:t>The location of pharmacies across the locality and the fact residents are able to access a pharmacy by car within 20 minutes, and for many the journey time is shorter.</w:t>
      </w:r>
    </w:p>
    <w:p w14:paraId="10E6E34C" w14:textId="77777777" w:rsidR="00B84219" w:rsidRPr="00B84219" w:rsidRDefault="00B84219" w:rsidP="00B76905">
      <w:pPr>
        <w:numPr>
          <w:ilvl w:val="0"/>
          <w:numId w:val="155"/>
        </w:numPr>
        <w:contextualSpacing/>
        <w:rPr>
          <w:rFonts w:eastAsia="Times New Roman" w:cs="Arial"/>
          <w:kern w:val="0"/>
          <w:lang w:eastAsia="en-GB"/>
          <w14:ligatures w14:val="none"/>
        </w:rPr>
      </w:pPr>
      <w:r w:rsidRPr="00B84219">
        <w:rPr>
          <w:rFonts w:eastAsia="Times New Roman" w:cs="Arial"/>
          <w:kern w:val="0"/>
          <w:lang w:eastAsia="en-GB"/>
          <w14:ligatures w14:val="none"/>
        </w:rPr>
        <w:t xml:space="preserve">Whilst noting that not all households have access to a car throughout the day, the nature of the locality means that walking to a pharmacy will be a realistic option for many residents and regular public transport services are available for those who are unable to undertake the whole journey on foot. </w:t>
      </w:r>
    </w:p>
    <w:p w14:paraId="04AA9356" w14:textId="77777777" w:rsidR="00B84219" w:rsidRPr="00B84219" w:rsidRDefault="00B84219" w:rsidP="00B76905">
      <w:pPr>
        <w:numPr>
          <w:ilvl w:val="0"/>
          <w:numId w:val="155"/>
        </w:numPr>
        <w:textAlignment w:val="baseline"/>
        <w:rPr>
          <w:rFonts w:eastAsia="Times New Roman" w:cs="Arial"/>
          <w:kern w:val="0"/>
          <w:lang w:eastAsia="en-GB"/>
          <w14:ligatures w14:val="none"/>
        </w:rPr>
      </w:pPr>
      <w:r w:rsidRPr="00B84219">
        <w:rPr>
          <w:rFonts w:eastAsia="Times New Roman" w:cs="Arial"/>
          <w:kern w:val="0"/>
          <w:lang w:eastAsia="en-GB"/>
          <w14:ligatures w14:val="none"/>
        </w:rPr>
        <w:t>The scale of the known housing developments.</w:t>
      </w:r>
    </w:p>
    <w:p w14:paraId="1EE2EA9D" w14:textId="77777777" w:rsidR="00B84219" w:rsidRPr="00B84219" w:rsidRDefault="00B84219" w:rsidP="00B76905">
      <w:pPr>
        <w:numPr>
          <w:ilvl w:val="0"/>
          <w:numId w:val="155"/>
        </w:numPr>
        <w:textAlignment w:val="baseline"/>
        <w:rPr>
          <w:rFonts w:eastAsia="Times New Roman" w:cs="Arial"/>
          <w:kern w:val="0"/>
          <w:lang w:eastAsia="en-GB"/>
          <w14:ligatures w14:val="none"/>
        </w:rPr>
      </w:pPr>
      <w:r w:rsidRPr="00B84219">
        <w:rPr>
          <w:rFonts w:eastAsia="Times New Roman" w:cs="Arial"/>
          <w:kern w:val="0"/>
          <w:lang w:eastAsia="en-GB"/>
          <w14:ligatures w14:val="none"/>
        </w:rPr>
        <w:t>The opening hours of the pharmacies.</w:t>
      </w:r>
    </w:p>
    <w:p w14:paraId="024F4E7F" w14:textId="77777777" w:rsidR="00B84219" w:rsidRPr="00B84219" w:rsidRDefault="00B84219" w:rsidP="00B84219">
      <w:pPr>
        <w:contextualSpacing/>
        <w:rPr>
          <w:rFonts w:eastAsia="Times New Roman" w:cs="Arial"/>
          <w:kern w:val="0"/>
          <w:lang w:eastAsia="en-GB"/>
          <w14:ligatures w14:val="none"/>
        </w:rPr>
      </w:pPr>
    </w:p>
    <w:p w14:paraId="37832039" w14:textId="77777777" w:rsidR="00B84219" w:rsidRPr="00B84219" w:rsidRDefault="00B84219" w:rsidP="00B84219">
      <w:pPr>
        <w:contextualSpacing/>
        <w:rPr>
          <w:rFonts w:eastAsia="Times New Roman" w:cs="Arial"/>
          <w:kern w:val="0"/>
          <w:lang w:eastAsia="en-GB"/>
          <w14:ligatures w14:val="none"/>
        </w:rPr>
      </w:pPr>
      <w:r w:rsidRPr="00B84219">
        <w:rPr>
          <w:rFonts w:eastAsia="Times New Roman" w:cs="Arial"/>
          <w:kern w:val="0"/>
          <w:lang w:eastAsia="en-GB"/>
          <w14:ligatures w14:val="none"/>
        </w:rPr>
        <w:t>The health board has not identified any current gaps in the provision of the essential services.</w:t>
      </w:r>
    </w:p>
    <w:p w14:paraId="3C780C7E" w14:textId="77777777" w:rsidR="00B84219" w:rsidRPr="00B84219" w:rsidRDefault="00B84219" w:rsidP="00B84219">
      <w:pPr>
        <w:contextualSpacing/>
        <w:rPr>
          <w:rFonts w:eastAsia="Times New Roman" w:cs="Arial"/>
          <w:kern w:val="0"/>
          <w:lang w:eastAsia="en-GB"/>
          <w14:ligatures w14:val="none"/>
        </w:rPr>
      </w:pPr>
    </w:p>
    <w:p w14:paraId="648409D3" w14:textId="77777777" w:rsidR="00B84219" w:rsidRPr="00B84219" w:rsidRDefault="00B84219" w:rsidP="00B84219">
      <w:pPr>
        <w:contextualSpacing/>
        <w:rPr>
          <w:rFonts w:eastAsia="Times New Roman" w:cs="Arial"/>
          <w:kern w:val="0"/>
          <w:lang w:eastAsia="en-GB"/>
          <w14:ligatures w14:val="none"/>
        </w:rPr>
      </w:pPr>
      <w:r w:rsidRPr="00B84219">
        <w:rPr>
          <w:rFonts w:eastAsia="Times New Roman" w:cs="Arial"/>
          <w:kern w:val="0"/>
          <w:lang w:eastAsia="en-GB"/>
          <w14:ligatures w14:val="none"/>
        </w:rPr>
        <w:t>The health board has considered the known housing developments that will deliver housing in the locality during the lifetime of this document. It is satisfied that the need for essential services by those moving into the new housing will be met by the existing pharmacies.</w:t>
      </w:r>
    </w:p>
    <w:p w14:paraId="3879CB81" w14:textId="77777777" w:rsidR="00B84219" w:rsidRPr="00B84219" w:rsidRDefault="00B84219" w:rsidP="00B84219">
      <w:pPr>
        <w:contextualSpacing/>
        <w:rPr>
          <w:rFonts w:eastAsia="Times New Roman" w:cs="Arial"/>
          <w:kern w:val="0"/>
          <w:lang w:eastAsia="en-GB"/>
          <w14:ligatures w14:val="none"/>
        </w:rPr>
      </w:pPr>
    </w:p>
    <w:p w14:paraId="3380E443" w14:textId="77777777" w:rsidR="00B84219" w:rsidRPr="00B84219" w:rsidRDefault="00B84219" w:rsidP="00B84219">
      <w:pPr>
        <w:contextualSpacing/>
        <w:rPr>
          <w:rFonts w:eastAsia="Times New Roman" w:cs="Arial"/>
          <w:b/>
          <w:bCs/>
          <w:kern w:val="0"/>
          <w:lang w:eastAsia="en-GB"/>
          <w14:ligatures w14:val="none"/>
        </w:rPr>
      </w:pPr>
      <w:r w:rsidRPr="00B84219">
        <w:rPr>
          <w:rFonts w:eastAsia="Times New Roman" w:cs="Arial"/>
          <w:b/>
          <w:bCs/>
          <w:kern w:val="0"/>
          <w:lang w:eastAsia="en-GB"/>
          <w14:ligatures w14:val="none"/>
        </w:rPr>
        <w:t>9.8.2 National community pharmacy and appliance contractor services</w:t>
      </w:r>
    </w:p>
    <w:p w14:paraId="72C1B45B" w14:textId="77777777" w:rsidR="00B84219" w:rsidRPr="00B84219" w:rsidRDefault="00B84219" w:rsidP="00B84219">
      <w:pPr>
        <w:contextualSpacing/>
        <w:rPr>
          <w:rFonts w:eastAsia="Times New Roman" w:cs="Arial"/>
          <w:kern w:val="0"/>
          <w:lang w:eastAsia="en-GB"/>
          <w14:ligatures w14:val="none"/>
        </w:rPr>
      </w:pPr>
    </w:p>
    <w:p w14:paraId="0C30F4FB"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9.8.2.1 Appliance use review service</w:t>
      </w:r>
    </w:p>
    <w:p w14:paraId="4D3306A4" w14:textId="77777777" w:rsidR="00B84219" w:rsidRPr="00B84219" w:rsidRDefault="00B84219" w:rsidP="00B84219">
      <w:pPr>
        <w:rPr>
          <w:rFonts w:eastAsia="Times New Roman" w:cs="Arial"/>
          <w:b/>
          <w:bCs/>
          <w:kern w:val="0"/>
          <w:lang w:eastAsia="en-GB"/>
          <w14:ligatures w14:val="none"/>
        </w:rPr>
      </w:pPr>
    </w:p>
    <w:p w14:paraId="3992AA07"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The health board has noted none of the pharmacies have signed up to provide this service. However, there are four dispensing appliance contractors in Cardiff and Vale University Health Board’s area which dispensed 0.1% of the items prescribed by GPs in the locality in 2024/25 (0% in the first nine months of 2025/26). One of these contractors provides this service. </w:t>
      </w:r>
    </w:p>
    <w:p w14:paraId="4A91B053" w14:textId="77777777" w:rsidR="00B84219" w:rsidRPr="00B84219" w:rsidRDefault="00B84219" w:rsidP="00B84219">
      <w:pPr>
        <w:rPr>
          <w:rFonts w:eastAsia="Times New Roman" w:cs="Arial"/>
          <w:kern w:val="0"/>
          <w:lang w:eastAsia="en-GB"/>
          <w14:ligatures w14:val="none"/>
        </w:rPr>
      </w:pPr>
    </w:p>
    <w:p w14:paraId="52263B90"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In addition, of the items dispensed in England in 2024/25, 84.9% were dispensed by dispensing appliance contractors and 86.1% in the first nine months of 2025/26. </w:t>
      </w:r>
    </w:p>
    <w:p w14:paraId="1FC7F43B" w14:textId="77777777" w:rsidR="00B84219" w:rsidRPr="00B84219" w:rsidRDefault="00B84219" w:rsidP="00B84219">
      <w:pPr>
        <w:rPr>
          <w:rFonts w:eastAsia="Times New Roman" w:cs="Arial"/>
          <w:kern w:val="0"/>
          <w:lang w:eastAsia="en-GB"/>
          <w14:ligatures w14:val="none"/>
        </w:rPr>
      </w:pPr>
    </w:p>
    <w:p w14:paraId="54F14B02"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Individuals requiring the appliance use review service are likely to access this service from the contractor that dispenses their prescriptions for appliances or may access it from other healthcare providers such as stoma nurses.</w:t>
      </w:r>
    </w:p>
    <w:p w14:paraId="47D761D2" w14:textId="77777777" w:rsidR="00B84219" w:rsidRPr="00B84219" w:rsidRDefault="00B84219" w:rsidP="00B84219">
      <w:pPr>
        <w:rPr>
          <w:rFonts w:eastAsia="Times New Roman" w:cs="Arial"/>
          <w:kern w:val="0"/>
          <w:lang w:eastAsia="en-GB"/>
          <w14:ligatures w14:val="none"/>
        </w:rPr>
      </w:pPr>
    </w:p>
    <w:p w14:paraId="2CD083D1"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lastRenderedPageBreak/>
        <w:t>Based on the above, the health board has not identified any current or future needs for this service within the locality.</w:t>
      </w:r>
    </w:p>
    <w:p w14:paraId="565DAA30" w14:textId="77777777" w:rsidR="00B84219" w:rsidRPr="00B84219" w:rsidRDefault="00B84219" w:rsidP="00B84219">
      <w:pPr>
        <w:rPr>
          <w:rFonts w:eastAsia="Times New Roman" w:cs="Arial"/>
          <w:b/>
          <w:bCs/>
          <w:kern w:val="0"/>
          <w:lang w:eastAsia="en-GB"/>
          <w14:ligatures w14:val="none"/>
        </w:rPr>
      </w:pPr>
    </w:p>
    <w:p w14:paraId="6256D54B"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9.8.2.2 Clinical community pharmacy service</w:t>
      </w:r>
    </w:p>
    <w:p w14:paraId="384180A1" w14:textId="77777777" w:rsidR="00B84219" w:rsidRPr="00B84219" w:rsidRDefault="00B84219" w:rsidP="00B84219">
      <w:pPr>
        <w:rPr>
          <w:rFonts w:eastAsia="Times New Roman" w:cs="Arial"/>
          <w:kern w:val="0"/>
          <w:lang w:eastAsia="en-GB"/>
          <w14:ligatures w14:val="none"/>
        </w:rPr>
      </w:pPr>
    </w:p>
    <w:p w14:paraId="43F066EC"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The health board has noted all the pharmacies have signed up and provide this service. As a result, the health board has not identified any current or future needs for this service within the locality.</w:t>
      </w:r>
    </w:p>
    <w:p w14:paraId="78A93BAE" w14:textId="77777777" w:rsidR="00B84219" w:rsidRPr="00B84219" w:rsidRDefault="00B84219" w:rsidP="00B84219">
      <w:pPr>
        <w:contextualSpacing/>
        <w:rPr>
          <w:rFonts w:eastAsia="Times New Roman" w:cs="Arial"/>
          <w:kern w:val="0"/>
          <w:lang w:eastAsia="en-GB"/>
          <w14:ligatures w14:val="none"/>
        </w:rPr>
      </w:pPr>
    </w:p>
    <w:p w14:paraId="0F637B26"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 xml:space="preserve">9.8.2.3 Discharge medicines review service </w:t>
      </w:r>
    </w:p>
    <w:p w14:paraId="76781ADF" w14:textId="77777777" w:rsidR="00B84219" w:rsidRPr="00B84219" w:rsidRDefault="00B84219" w:rsidP="00B84219">
      <w:pPr>
        <w:rPr>
          <w:rFonts w:eastAsia="Times New Roman" w:cs="Arial"/>
          <w:b/>
          <w:bCs/>
          <w:kern w:val="0"/>
          <w:lang w:eastAsia="en-GB"/>
          <w14:ligatures w14:val="none"/>
        </w:rPr>
      </w:pPr>
    </w:p>
    <w:p w14:paraId="78ABD472"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The health board has noted all the pharmacies have signed up to provide this service, and 13 pharmacies provide it. As a result, the health board has not identified any current or future needs for this service within the locality.</w:t>
      </w:r>
    </w:p>
    <w:p w14:paraId="730207EE" w14:textId="77777777" w:rsidR="00B84219" w:rsidRPr="00B84219" w:rsidRDefault="00B84219" w:rsidP="00B84219">
      <w:pPr>
        <w:ind w:left="360"/>
        <w:rPr>
          <w:rFonts w:eastAsia="Times New Roman" w:cs="Arial"/>
          <w:kern w:val="0"/>
          <w:lang w:eastAsia="en-GB"/>
          <w14:ligatures w14:val="none"/>
        </w:rPr>
      </w:pPr>
    </w:p>
    <w:p w14:paraId="2FF732AB"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9.8.2.4 Influenza vaccination service</w:t>
      </w:r>
    </w:p>
    <w:p w14:paraId="395F91AE" w14:textId="77777777" w:rsidR="00B84219" w:rsidRPr="00B84219" w:rsidRDefault="00B84219" w:rsidP="00B84219">
      <w:pPr>
        <w:rPr>
          <w:rFonts w:eastAsia="Times New Roman" w:cs="Arial"/>
          <w:kern w:val="0"/>
          <w:lang w:eastAsia="en-GB"/>
          <w14:ligatures w14:val="none"/>
        </w:rPr>
      </w:pPr>
    </w:p>
    <w:p w14:paraId="22648599"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The health board has noted all the pharmacies have signed up to provide this service, and all pharmacies provide it. As a result, the health board has not identified any current or future needs for this service within the locality.</w:t>
      </w:r>
    </w:p>
    <w:p w14:paraId="0565F9B4" w14:textId="77777777" w:rsidR="00B84219" w:rsidRPr="00B84219" w:rsidRDefault="00B84219" w:rsidP="00B84219">
      <w:pPr>
        <w:ind w:left="360"/>
        <w:rPr>
          <w:rFonts w:eastAsia="Times New Roman" w:cs="Arial"/>
          <w:kern w:val="0"/>
          <w:lang w:eastAsia="en-GB"/>
          <w14:ligatures w14:val="none"/>
        </w:rPr>
      </w:pPr>
    </w:p>
    <w:p w14:paraId="34292DEE"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9.8.2.5 Lateral flow test supply service</w:t>
      </w:r>
    </w:p>
    <w:p w14:paraId="2AD3DE80" w14:textId="77777777" w:rsidR="00B84219" w:rsidRPr="00B84219" w:rsidRDefault="00B84219" w:rsidP="00B84219">
      <w:pPr>
        <w:rPr>
          <w:rFonts w:eastAsia="Times New Roman" w:cs="Arial"/>
          <w:kern w:val="0"/>
          <w:lang w:eastAsia="en-GB"/>
          <w14:ligatures w14:val="none"/>
        </w:rPr>
      </w:pPr>
    </w:p>
    <w:p w14:paraId="1D0BA294"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The health board has noted ten of the pharmacies have signed up to provide the service, and five pharmacies provide it. It has also noted that this service is only available to specified patient groups. If one of the pharmacies that doesn’t provide the service identified a need for it, the health board would commission the service from that pharmacy. As a result, the health board has not identified any current or future needs for this service within the locality.</w:t>
      </w:r>
    </w:p>
    <w:p w14:paraId="6268C594" w14:textId="77777777" w:rsidR="00B84219" w:rsidRPr="00B84219" w:rsidRDefault="00B84219" w:rsidP="00B84219">
      <w:pPr>
        <w:ind w:left="360"/>
        <w:rPr>
          <w:rFonts w:eastAsia="Times New Roman" w:cs="Arial"/>
          <w:kern w:val="0"/>
          <w:lang w:eastAsia="en-GB"/>
          <w14:ligatures w14:val="none"/>
        </w:rPr>
      </w:pPr>
    </w:p>
    <w:p w14:paraId="6870B959"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9.8.2.6 Pharmacist independent prescribing service</w:t>
      </w:r>
    </w:p>
    <w:p w14:paraId="47836B77" w14:textId="77777777" w:rsidR="00B84219" w:rsidRPr="00B84219" w:rsidRDefault="00B84219" w:rsidP="00B84219">
      <w:pPr>
        <w:rPr>
          <w:rFonts w:eastAsia="Times New Roman" w:cs="Arial"/>
          <w:kern w:val="0"/>
          <w:lang w:eastAsia="en-GB"/>
          <w14:ligatures w14:val="none"/>
        </w:rPr>
      </w:pPr>
    </w:p>
    <w:p w14:paraId="17BE8FCC"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The health board has noted two of the pharmacies have signed up to provide this service and provided it in 2025/26, and three more plan to commence provision.</w:t>
      </w:r>
    </w:p>
    <w:p w14:paraId="049F373E" w14:textId="77777777" w:rsidR="00B84219" w:rsidRPr="00B84219" w:rsidRDefault="00B84219" w:rsidP="00B84219">
      <w:pPr>
        <w:rPr>
          <w:rFonts w:eastAsia="Times New Roman" w:cs="Arial"/>
          <w:kern w:val="0"/>
          <w:lang w:eastAsia="en-GB"/>
          <w14:ligatures w14:val="none"/>
        </w:rPr>
      </w:pPr>
    </w:p>
    <w:p w14:paraId="6B16E67D"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Welsh Government’s ambition is for each pharmacy to have an independent prescriber by 2030. The health board has noted that from 2026 it is anticipated that all newly qualified pharmacists will also qualify as independent prescribers on completion of their undergraduate programme.</w:t>
      </w:r>
    </w:p>
    <w:p w14:paraId="6895469D" w14:textId="77777777" w:rsidR="00B84219" w:rsidRPr="00B84219" w:rsidRDefault="00B84219" w:rsidP="00B84219">
      <w:pPr>
        <w:rPr>
          <w:rFonts w:eastAsia="Times New Roman" w:cs="Arial"/>
          <w:kern w:val="0"/>
          <w:lang w:eastAsia="en-GB"/>
          <w14:ligatures w14:val="none"/>
        </w:rPr>
      </w:pPr>
    </w:p>
    <w:p w14:paraId="41C2E2F5"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Noting the above, the health board is of the opinion that the remaining pharmacies will sign up to provide this service during the lifetime of this pharmaceutical needs assessment. As a result, the health board has not identified any current or future needs for this service within the locality. </w:t>
      </w:r>
    </w:p>
    <w:p w14:paraId="6C899663" w14:textId="77777777" w:rsidR="00B84219" w:rsidRPr="00B84219" w:rsidRDefault="00B84219" w:rsidP="00B84219">
      <w:pPr>
        <w:ind w:left="360"/>
        <w:rPr>
          <w:rFonts w:eastAsia="Times New Roman" w:cs="Arial"/>
          <w:kern w:val="0"/>
          <w:lang w:eastAsia="en-GB"/>
          <w14:ligatures w14:val="none"/>
        </w:rPr>
      </w:pPr>
    </w:p>
    <w:p w14:paraId="755B3572"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 xml:space="preserve">9.8.2.7 Stoma appliance customisation service </w:t>
      </w:r>
    </w:p>
    <w:p w14:paraId="471E3C64" w14:textId="77777777" w:rsidR="00B84219" w:rsidRPr="00B84219" w:rsidRDefault="00B84219" w:rsidP="00B84219">
      <w:pPr>
        <w:rPr>
          <w:rFonts w:eastAsia="Times New Roman" w:cs="Arial"/>
          <w:kern w:val="0"/>
          <w:lang w:eastAsia="en-GB"/>
          <w14:ligatures w14:val="none"/>
        </w:rPr>
      </w:pPr>
    </w:p>
    <w:p w14:paraId="6DFFAA68"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The health board has noted none of the pharmacies have signed up to provide this service and neither have the four dispensing appliance contractors Cardiff and Vale University Health Board’s area. However, of the items dispensed in England in </w:t>
      </w:r>
      <w:r w:rsidRPr="00B84219">
        <w:rPr>
          <w:rFonts w:eastAsia="Times New Roman" w:cs="Arial"/>
          <w:kern w:val="0"/>
          <w:lang w:eastAsia="en-GB"/>
          <w14:ligatures w14:val="none"/>
        </w:rPr>
        <w:lastRenderedPageBreak/>
        <w:t>2024/25, 84.9% were dispensed by dispensing appliance contractors and 86.1% in the first nine months of 2025/26.</w:t>
      </w:r>
    </w:p>
    <w:p w14:paraId="04394F12" w14:textId="77777777" w:rsidR="00B84219" w:rsidRPr="00B84219" w:rsidRDefault="00B84219" w:rsidP="00B84219">
      <w:pPr>
        <w:rPr>
          <w:rFonts w:eastAsia="Times New Roman" w:cs="Arial"/>
          <w:kern w:val="0"/>
          <w:lang w:eastAsia="en-GB"/>
          <w14:ligatures w14:val="none"/>
        </w:rPr>
      </w:pPr>
    </w:p>
    <w:p w14:paraId="259B1F9C"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It is therefore anticipated that these contractors will be customising stoma appliances as required before dispatching or delivering them to patients. Based on this, the health board has not identified any current or future needs for this service within the locality.</w:t>
      </w:r>
    </w:p>
    <w:p w14:paraId="4B1874BE" w14:textId="77777777" w:rsidR="00B84219" w:rsidRPr="00B84219" w:rsidRDefault="00B84219" w:rsidP="00B84219">
      <w:pPr>
        <w:rPr>
          <w:rFonts w:eastAsia="Times New Roman" w:cs="Arial"/>
          <w:kern w:val="0"/>
          <w:lang w:eastAsia="en-GB"/>
          <w14:ligatures w14:val="none"/>
        </w:rPr>
      </w:pPr>
    </w:p>
    <w:p w14:paraId="04438B66"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9.8.3 Additional clinical services</w:t>
      </w:r>
    </w:p>
    <w:p w14:paraId="2E476A86" w14:textId="77777777" w:rsidR="00B84219" w:rsidRPr="00B84219" w:rsidRDefault="00B84219" w:rsidP="00B84219">
      <w:pPr>
        <w:rPr>
          <w:rFonts w:eastAsia="Aptos" w:cs="Arial"/>
          <w:color w:val="000000"/>
          <w:shd w:val="clear" w:color="auto" w:fill="FFFFFF"/>
        </w:rPr>
      </w:pPr>
    </w:p>
    <w:p w14:paraId="04CE5F70"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9.8.3.1 Blood borne virus screening service</w:t>
      </w:r>
    </w:p>
    <w:p w14:paraId="7C300D79" w14:textId="77777777" w:rsidR="00B84219" w:rsidRPr="00B84219" w:rsidRDefault="00B84219" w:rsidP="00B84219">
      <w:pPr>
        <w:rPr>
          <w:rFonts w:eastAsia="Times New Roman" w:cs="Arial"/>
          <w:kern w:val="0"/>
          <w:lang w:eastAsia="en-GB"/>
          <w14:ligatures w14:val="none"/>
        </w:rPr>
      </w:pPr>
    </w:p>
    <w:p w14:paraId="5A81C73A"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The health board has noted none of the pharmacies have signed up to provide this service. </w:t>
      </w:r>
    </w:p>
    <w:p w14:paraId="3FC4E80B" w14:textId="77777777" w:rsidR="00B84219" w:rsidRPr="00B84219" w:rsidRDefault="00B84219" w:rsidP="00B84219">
      <w:pPr>
        <w:rPr>
          <w:rFonts w:eastAsia="Times New Roman" w:cs="Arial"/>
          <w:kern w:val="0"/>
          <w:lang w:eastAsia="en-GB"/>
          <w14:ligatures w14:val="none"/>
        </w:rPr>
      </w:pPr>
    </w:p>
    <w:p w14:paraId="0006BE06" w14:textId="77777777" w:rsidR="00B84219" w:rsidRPr="00B84219" w:rsidRDefault="00B84219" w:rsidP="00B84219">
      <w:pPr>
        <w:contextualSpacing/>
        <w:rPr>
          <w:rFonts w:eastAsia="Times New Roman" w:cs="Arial"/>
          <w:kern w:val="0"/>
          <w:lang w:eastAsia="en-GB"/>
          <w14:ligatures w14:val="none"/>
        </w:rPr>
      </w:pPr>
      <w:r w:rsidRPr="00B84219">
        <w:rPr>
          <w:rFonts w:eastAsia="Times New Roman" w:cs="Arial"/>
          <w:kern w:val="0"/>
          <w:lang w:eastAsia="en-GB"/>
          <w14:ligatures w14:val="none"/>
        </w:rPr>
        <w:t xml:space="preserve">However, blood borne virus screening services are available through several other providers in the health board’s area, such as sexual health clinics, GP practices, ordering online home test and post screening kits via Sexual Health Wales or collecting screening kits from community venues across </w:t>
      </w:r>
      <w:r w:rsidRPr="00B84219">
        <w:rPr>
          <w:rFonts w:eastAsia="Aptos" w:cs="Arial"/>
        </w:rPr>
        <w:t>the health board</w:t>
      </w:r>
      <w:r w:rsidRPr="00B84219">
        <w:rPr>
          <w:rFonts w:eastAsia="Times New Roman" w:cs="Arial"/>
          <w:kern w:val="0"/>
          <w:lang w:eastAsia="en-GB"/>
          <w14:ligatures w14:val="none"/>
        </w:rPr>
        <w:t xml:space="preserve">. Several pharmacies across the health board hold a stock of the test and post screening kits, ensuring convenient access for those who may prefer a more discreet or flexible option. </w:t>
      </w:r>
    </w:p>
    <w:p w14:paraId="1DB49F5C" w14:textId="77777777" w:rsidR="00B84219" w:rsidRPr="00B84219" w:rsidRDefault="00B84219" w:rsidP="00B84219">
      <w:pPr>
        <w:contextualSpacing/>
        <w:rPr>
          <w:rFonts w:eastAsia="Times New Roman" w:cs="Arial"/>
          <w:kern w:val="0"/>
          <w:lang w:eastAsia="en-GB"/>
          <w14:ligatures w14:val="none"/>
        </w:rPr>
      </w:pPr>
    </w:p>
    <w:p w14:paraId="35524239" w14:textId="77777777" w:rsidR="00B84219" w:rsidRPr="00B84219" w:rsidRDefault="00B84219" w:rsidP="00B84219">
      <w:pPr>
        <w:contextualSpacing/>
        <w:rPr>
          <w:rFonts w:eastAsia="Times New Roman" w:cs="Arial"/>
          <w:kern w:val="0"/>
          <w:lang w:eastAsia="en-GB"/>
          <w14:ligatures w14:val="none"/>
        </w:rPr>
      </w:pPr>
      <w:r w:rsidRPr="00B84219">
        <w:rPr>
          <w:rFonts w:eastAsia="Times New Roman" w:cs="Arial"/>
          <w:kern w:val="0"/>
          <w:lang w:eastAsia="en-GB"/>
          <w14:ligatures w14:val="none"/>
        </w:rPr>
        <w:t>Based on the above, the health board has not identified any current or future needs for this service within the locality.</w:t>
      </w:r>
    </w:p>
    <w:p w14:paraId="2FC355DB" w14:textId="77777777" w:rsidR="00B84219" w:rsidRPr="00B84219" w:rsidRDefault="00B84219" w:rsidP="00B84219">
      <w:pPr>
        <w:rPr>
          <w:rFonts w:eastAsia="Times New Roman" w:cs="Arial"/>
          <w:kern w:val="0"/>
          <w:lang w:eastAsia="en-GB"/>
          <w14:ligatures w14:val="none"/>
        </w:rPr>
      </w:pPr>
    </w:p>
    <w:p w14:paraId="73C18188"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9.8.3.2 Care home support service - Level 1 medicines management support visits</w:t>
      </w:r>
    </w:p>
    <w:p w14:paraId="6193297A" w14:textId="77777777" w:rsidR="00B84219" w:rsidRPr="00B84219" w:rsidRDefault="00B84219" w:rsidP="00B84219">
      <w:pPr>
        <w:rPr>
          <w:rFonts w:eastAsia="Times New Roman" w:cs="Arial"/>
          <w:kern w:val="0"/>
          <w:lang w:eastAsia="en-GB"/>
          <w14:ligatures w14:val="none"/>
        </w:rPr>
      </w:pPr>
    </w:p>
    <w:p w14:paraId="65AB1CE3"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The health board has noted five of the pharmacies have signed up to provide this service, and one pharmacy provides it. If approached by a pharmacy wishing to provide the service for the care homes it serves as it has identified there is a need for the service, the health board would commission the service from that pharmacy.</w:t>
      </w:r>
    </w:p>
    <w:p w14:paraId="70801C0F" w14:textId="77777777" w:rsidR="00B84219" w:rsidRPr="00B84219" w:rsidRDefault="00B84219" w:rsidP="00B84219">
      <w:pPr>
        <w:rPr>
          <w:rFonts w:eastAsia="Times New Roman" w:cs="Arial"/>
          <w:kern w:val="0"/>
          <w:lang w:eastAsia="en-GB"/>
          <w14:ligatures w14:val="none"/>
        </w:rPr>
      </w:pPr>
    </w:p>
    <w:p w14:paraId="7DC1655B"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Based on the above, the health board has not identified any current or future needs for this service within the locality</w:t>
      </w:r>
    </w:p>
    <w:p w14:paraId="7F5A4246" w14:textId="77777777" w:rsidR="00B84219" w:rsidRPr="00B84219" w:rsidRDefault="00B84219" w:rsidP="00B84219">
      <w:pPr>
        <w:rPr>
          <w:rFonts w:eastAsia="Times New Roman" w:cs="Arial"/>
          <w:kern w:val="0"/>
          <w:lang w:eastAsia="en-GB"/>
          <w14:ligatures w14:val="none"/>
        </w:rPr>
      </w:pPr>
    </w:p>
    <w:p w14:paraId="44AD7F20"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9.8.3.3 Inhaler review service</w:t>
      </w:r>
    </w:p>
    <w:p w14:paraId="4EF2C6AA" w14:textId="77777777" w:rsidR="00B84219" w:rsidRPr="00B84219" w:rsidRDefault="00B84219" w:rsidP="00B84219">
      <w:pPr>
        <w:rPr>
          <w:rFonts w:eastAsia="Times New Roman" w:cs="Arial"/>
          <w:b/>
          <w:bCs/>
          <w:kern w:val="0"/>
          <w:lang w:eastAsia="en-GB"/>
          <w14:ligatures w14:val="none"/>
        </w:rPr>
      </w:pPr>
    </w:p>
    <w:p w14:paraId="52BC5201"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The health board has noted six of the pharmacies have signed up to provide this service, and five pharmacies provide it. It has also noted that GP practices will provide the service which reduces demand for the service to be provided by pharmacies. If a pharmacy identified that the service is required by its users, the health board would commission the service from that pharmacy.</w:t>
      </w:r>
    </w:p>
    <w:p w14:paraId="1DA2DFEF" w14:textId="77777777" w:rsidR="00B84219" w:rsidRPr="00B84219" w:rsidRDefault="00B84219" w:rsidP="00B84219">
      <w:pPr>
        <w:rPr>
          <w:rFonts w:eastAsia="Times New Roman" w:cs="Arial"/>
          <w:kern w:val="0"/>
          <w:lang w:eastAsia="en-GB"/>
          <w14:ligatures w14:val="none"/>
        </w:rPr>
      </w:pPr>
    </w:p>
    <w:p w14:paraId="0C759910"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Based on the above, the health board has not identified any current or future needs for this service within the locality.</w:t>
      </w:r>
    </w:p>
    <w:p w14:paraId="167DA7FF" w14:textId="77777777" w:rsidR="00B84219" w:rsidRDefault="00B84219" w:rsidP="00B84219">
      <w:pPr>
        <w:rPr>
          <w:rFonts w:eastAsia="Times New Roman" w:cs="Arial"/>
          <w:b/>
          <w:bCs/>
          <w:kern w:val="0"/>
          <w:lang w:eastAsia="en-GB"/>
          <w14:ligatures w14:val="none"/>
        </w:rPr>
      </w:pPr>
    </w:p>
    <w:p w14:paraId="2C34F387" w14:textId="77777777" w:rsidR="0064729F" w:rsidRDefault="0064729F" w:rsidP="00B84219">
      <w:pPr>
        <w:rPr>
          <w:rFonts w:eastAsia="Times New Roman" w:cs="Arial"/>
          <w:b/>
          <w:bCs/>
          <w:kern w:val="0"/>
          <w:lang w:eastAsia="en-GB"/>
          <w14:ligatures w14:val="none"/>
        </w:rPr>
      </w:pPr>
    </w:p>
    <w:p w14:paraId="78EB415B" w14:textId="77777777" w:rsidR="0064729F" w:rsidRPr="00B84219" w:rsidRDefault="0064729F" w:rsidP="00B84219">
      <w:pPr>
        <w:rPr>
          <w:rFonts w:eastAsia="Times New Roman" w:cs="Arial"/>
          <w:b/>
          <w:bCs/>
          <w:kern w:val="0"/>
          <w:lang w:eastAsia="en-GB"/>
          <w14:ligatures w14:val="none"/>
        </w:rPr>
      </w:pPr>
    </w:p>
    <w:p w14:paraId="6DA2A96A"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lastRenderedPageBreak/>
        <w:t>9.8.3.4 Just in case service (palliative care packs)</w:t>
      </w:r>
    </w:p>
    <w:p w14:paraId="144A482A" w14:textId="77777777" w:rsidR="00B84219" w:rsidRPr="00B84219" w:rsidRDefault="00B84219" w:rsidP="00B84219">
      <w:pPr>
        <w:rPr>
          <w:rFonts w:eastAsia="Times New Roman" w:cs="Arial"/>
          <w:kern w:val="0"/>
          <w:lang w:eastAsia="en-GB"/>
          <w14:ligatures w14:val="none"/>
        </w:rPr>
      </w:pPr>
    </w:p>
    <w:p w14:paraId="00BF2218"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The health board has noted 11 of the pharmacies have signed up to provide this service, and one pharmacy provides it. </w:t>
      </w:r>
    </w:p>
    <w:p w14:paraId="3F8B93FD" w14:textId="77777777" w:rsidR="00B84219" w:rsidRPr="00B84219" w:rsidRDefault="00B84219" w:rsidP="00B84219">
      <w:pPr>
        <w:ind w:left="360"/>
        <w:rPr>
          <w:rFonts w:eastAsia="Times New Roman" w:cs="Arial"/>
          <w:kern w:val="0"/>
          <w:lang w:eastAsia="en-GB"/>
          <w14:ligatures w14:val="none"/>
        </w:rPr>
      </w:pPr>
    </w:p>
    <w:p w14:paraId="68B91D43" w14:textId="77777777" w:rsidR="00B84219" w:rsidRPr="00B84219" w:rsidRDefault="00B84219" w:rsidP="00B84219">
      <w:pPr>
        <w:contextualSpacing/>
        <w:rPr>
          <w:rFonts w:eastAsia="Times New Roman" w:cs="Arial"/>
          <w:kern w:val="0"/>
          <w:lang w:eastAsia="en-GB"/>
          <w14:ligatures w14:val="none"/>
        </w:rPr>
      </w:pPr>
      <w:r w:rsidRPr="00B84219">
        <w:rPr>
          <w:rFonts w:eastAsia="Times New Roman" w:cs="Arial"/>
          <w:kern w:val="0"/>
          <w:lang w:eastAsia="en-GB"/>
          <w14:ligatures w14:val="none"/>
        </w:rPr>
        <w:t>Services are available within the locality through several other providers in the health board’s area, such as through the health board’s palliative care team.</w:t>
      </w:r>
    </w:p>
    <w:p w14:paraId="20A47C2B" w14:textId="77777777" w:rsidR="00B84219" w:rsidRPr="00B84219" w:rsidRDefault="00B84219" w:rsidP="00B84219">
      <w:pPr>
        <w:contextualSpacing/>
        <w:rPr>
          <w:rFonts w:eastAsia="Times New Roman" w:cs="Arial"/>
          <w:kern w:val="0"/>
          <w:lang w:eastAsia="en-GB"/>
          <w14:ligatures w14:val="none"/>
        </w:rPr>
      </w:pPr>
    </w:p>
    <w:p w14:paraId="613C3584"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Based on the above, the health board has not identified any current or future needs for this service within the locality.</w:t>
      </w:r>
    </w:p>
    <w:p w14:paraId="5DDDF61F" w14:textId="77777777" w:rsidR="00B84219" w:rsidRPr="00B84219" w:rsidRDefault="00B84219" w:rsidP="00B84219">
      <w:pPr>
        <w:ind w:left="360"/>
        <w:rPr>
          <w:rFonts w:eastAsia="Times New Roman" w:cs="Arial"/>
          <w:kern w:val="0"/>
          <w:lang w:eastAsia="en-GB"/>
          <w14:ligatures w14:val="none"/>
        </w:rPr>
      </w:pPr>
    </w:p>
    <w:p w14:paraId="2737F60E"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 xml:space="preserve">9.8.3.5 Medicines administration record service </w:t>
      </w:r>
    </w:p>
    <w:p w14:paraId="28E7350E" w14:textId="77777777" w:rsidR="00B84219" w:rsidRPr="00B84219" w:rsidRDefault="00B84219" w:rsidP="00B84219">
      <w:pPr>
        <w:rPr>
          <w:rFonts w:eastAsia="Times New Roman" w:cs="Arial"/>
          <w:kern w:val="0"/>
          <w:lang w:eastAsia="en-GB"/>
          <w14:ligatures w14:val="none"/>
        </w:rPr>
      </w:pPr>
    </w:p>
    <w:p w14:paraId="48EB15E1"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The health board has noted 11 of the pharmacies have signed up to provide this service, and ten pharmacies provide it. If approached by a pharmacy wishing to provide the service for the care homes it serves as it has identified there is a need for the service, the health board would commission the service from that pharmacy.</w:t>
      </w:r>
    </w:p>
    <w:p w14:paraId="7DB330A0" w14:textId="77777777" w:rsidR="00B84219" w:rsidRPr="00B84219" w:rsidRDefault="00B84219" w:rsidP="00B84219">
      <w:pPr>
        <w:rPr>
          <w:rFonts w:eastAsia="Times New Roman" w:cs="Arial"/>
          <w:kern w:val="0"/>
          <w:lang w:eastAsia="en-GB"/>
          <w14:ligatures w14:val="none"/>
        </w:rPr>
      </w:pPr>
    </w:p>
    <w:p w14:paraId="5E5D6CCC"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Based on the above, the health board has not identified any current or future needs for this service within the locality.</w:t>
      </w:r>
    </w:p>
    <w:p w14:paraId="4123C5EC" w14:textId="77777777" w:rsidR="00B84219" w:rsidRPr="00B84219" w:rsidRDefault="00B84219" w:rsidP="00B84219">
      <w:pPr>
        <w:rPr>
          <w:rFonts w:eastAsia="Times New Roman" w:cs="Arial"/>
          <w:b/>
          <w:bCs/>
          <w:kern w:val="0"/>
          <w:lang w:eastAsia="en-GB"/>
          <w14:ligatures w14:val="none"/>
        </w:rPr>
      </w:pPr>
    </w:p>
    <w:p w14:paraId="146CB339"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9.8.3.6 Needle and syringe programmes</w:t>
      </w:r>
    </w:p>
    <w:p w14:paraId="292445EF" w14:textId="77777777" w:rsidR="00B84219" w:rsidRPr="00B84219" w:rsidRDefault="00B84219" w:rsidP="00B84219">
      <w:pPr>
        <w:rPr>
          <w:rFonts w:eastAsia="Times New Roman" w:cs="Arial"/>
          <w:kern w:val="0"/>
          <w:lang w:eastAsia="en-GB"/>
          <w14:ligatures w14:val="none"/>
        </w:rPr>
      </w:pPr>
    </w:p>
    <w:p w14:paraId="6F9BAC73"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The health board has noted one of the pharmacies have signed up to provide this service, and one pharmacy provides it. </w:t>
      </w:r>
    </w:p>
    <w:p w14:paraId="4233B4AF" w14:textId="77777777" w:rsidR="00B84219" w:rsidRPr="00B84219" w:rsidRDefault="00B84219" w:rsidP="00B84219">
      <w:pPr>
        <w:rPr>
          <w:rFonts w:eastAsia="Times New Roman" w:cs="Arial"/>
          <w:kern w:val="0"/>
          <w:lang w:eastAsia="en-GB"/>
          <w14:ligatures w14:val="none"/>
        </w:rPr>
      </w:pPr>
    </w:p>
    <w:p w14:paraId="54A76F9F"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The health board has noted that this service is also provided by other providers and that demand for it has decreased across the full range of providers, reflecting changes in service user behaviour. No complaints have been received by the health board regarding discarded needles and syringes in public spaces. If a pharmacy wished to subsequently provide the service due to an increase in demand the health board would commission the pharmacy accordingly.</w:t>
      </w:r>
    </w:p>
    <w:p w14:paraId="3671FCA1" w14:textId="77777777" w:rsidR="00B84219" w:rsidRPr="00B84219" w:rsidRDefault="00B84219" w:rsidP="00B84219">
      <w:pPr>
        <w:rPr>
          <w:rFonts w:eastAsia="Times New Roman" w:cs="Arial"/>
          <w:kern w:val="0"/>
          <w:lang w:eastAsia="en-GB"/>
          <w14:ligatures w14:val="none"/>
        </w:rPr>
      </w:pPr>
    </w:p>
    <w:p w14:paraId="4DF58C79"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Based on the above, the health board has not identified any current or future needs for this service within the locality.</w:t>
      </w:r>
    </w:p>
    <w:p w14:paraId="601ACB95" w14:textId="77777777" w:rsidR="00B84219" w:rsidRPr="00B84219" w:rsidRDefault="00B84219" w:rsidP="00B84219">
      <w:pPr>
        <w:ind w:left="720"/>
        <w:contextualSpacing/>
        <w:rPr>
          <w:rFonts w:eastAsia="Times New Roman" w:cs="Arial"/>
          <w:kern w:val="0"/>
          <w:lang w:eastAsia="en-GB"/>
          <w14:ligatures w14:val="none"/>
        </w:rPr>
      </w:pPr>
    </w:p>
    <w:p w14:paraId="7F00F3DC"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9.8.3.7 Help me quit @ pharmacy (level 2 smoking cessation) service</w:t>
      </w:r>
    </w:p>
    <w:p w14:paraId="62982BDE" w14:textId="77777777" w:rsidR="00B84219" w:rsidRPr="00B84219" w:rsidRDefault="00B84219" w:rsidP="00B84219">
      <w:pPr>
        <w:rPr>
          <w:rFonts w:eastAsia="Times New Roman" w:cs="Arial"/>
          <w:kern w:val="0"/>
          <w:lang w:eastAsia="en-GB"/>
          <w14:ligatures w14:val="none"/>
        </w:rPr>
      </w:pPr>
    </w:p>
    <w:p w14:paraId="02D7C1B0"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The health board has noted all the pharmacies have signed up to provide this service, and 13 pharmacies provide it. </w:t>
      </w:r>
    </w:p>
    <w:p w14:paraId="2A2E2ED7" w14:textId="77777777" w:rsidR="00B84219" w:rsidRPr="00B84219" w:rsidRDefault="00B84219" w:rsidP="00B84219">
      <w:pPr>
        <w:rPr>
          <w:rFonts w:eastAsia="Times New Roman" w:cs="Arial"/>
          <w:kern w:val="0"/>
          <w:lang w:eastAsia="en-GB"/>
          <w14:ligatures w14:val="none"/>
        </w:rPr>
      </w:pPr>
    </w:p>
    <w:p w14:paraId="48C7C6E6"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The health board has therefore not identified any current or future needs for this service within the locality.</w:t>
      </w:r>
    </w:p>
    <w:p w14:paraId="33263967" w14:textId="77777777" w:rsidR="00B84219" w:rsidRPr="00B84219" w:rsidRDefault="00B84219" w:rsidP="00B84219">
      <w:pPr>
        <w:ind w:left="360"/>
        <w:rPr>
          <w:rFonts w:eastAsia="Times New Roman" w:cs="Arial"/>
          <w:kern w:val="0"/>
          <w:lang w:eastAsia="en-GB"/>
          <w14:ligatures w14:val="none"/>
        </w:rPr>
      </w:pPr>
    </w:p>
    <w:p w14:paraId="5C74E1B5"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9.8.3.8 Help me quit @ pharmacy (level 3 smoking cessation) service</w:t>
      </w:r>
    </w:p>
    <w:p w14:paraId="0B03CCED" w14:textId="77777777" w:rsidR="00B84219" w:rsidRPr="00B84219" w:rsidRDefault="00B84219" w:rsidP="00B84219">
      <w:pPr>
        <w:rPr>
          <w:rFonts w:eastAsia="Times New Roman" w:cs="Arial"/>
          <w:kern w:val="0"/>
          <w:lang w:eastAsia="en-GB"/>
          <w14:ligatures w14:val="none"/>
        </w:rPr>
      </w:pPr>
    </w:p>
    <w:p w14:paraId="2BD9505A"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 xml:space="preserve">The health board has noted ten of the pharmacies have signed up to provide this service, and nine pharmacies provide it. </w:t>
      </w:r>
    </w:p>
    <w:p w14:paraId="4AEC65A3" w14:textId="77777777" w:rsidR="00B84219" w:rsidRPr="00B84219" w:rsidRDefault="00B84219" w:rsidP="00B84219">
      <w:pPr>
        <w:rPr>
          <w:rFonts w:eastAsia="Times New Roman" w:cs="Arial"/>
          <w:kern w:val="0"/>
          <w:lang w:eastAsia="en-GB"/>
          <w14:ligatures w14:val="none"/>
        </w:rPr>
      </w:pPr>
    </w:p>
    <w:p w14:paraId="6A03E8FE"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lastRenderedPageBreak/>
        <w:t>The health board has noted that service user behaviour and needs are changing, with more people using vapes instead of smoking tobacco. The service is not appropriate for those who wish to stop vaping. The service is also not appropriate for those who are heavy smokers and who have smoked for a number of years as the drugs they require to stop smoking are not available under this service.</w:t>
      </w:r>
    </w:p>
    <w:p w14:paraId="330E3CC1" w14:textId="77777777" w:rsidR="00B84219" w:rsidRPr="00B84219" w:rsidRDefault="00B84219" w:rsidP="00B84219">
      <w:pPr>
        <w:rPr>
          <w:rFonts w:eastAsia="Times New Roman" w:cs="Arial"/>
          <w:kern w:val="0"/>
          <w:lang w:eastAsia="en-GB"/>
          <w14:ligatures w14:val="none"/>
        </w:rPr>
      </w:pPr>
    </w:p>
    <w:p w14:paraId="443D81D8"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Based on the above, the health board has not identified any current or future needs for this service within the locality.</w:t>
      </w:r>
    </w:p>
    <w:p w14:paraId="06AB0B1F" w14:textId="77777777" w:rsidR="00B84219" w:rsidRPr="00B84219" w:rsidRDefault="00B84219" w:rsidP="00B84219">
      <w:pPr>
        <w:ind w:left="360"/>
        <w:rPr>
          <w:rFonts w:eastAsia="Times New Roman" w:cs="Arial"/>
          <w:kern w:val="0"/>
          <w:lang w:eastAsia="en-GB"/>
          <w14:ligatures w14:val="none"/>
        </w:rPr>
      </w:pPr>
    </w:p>
    <w:p w14:paraId="6AD65AF5"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9.8.3.9 Supervised administration of medicines service</w:t>
      </w:r>
    </w:p>
    <w:p w14:paraId="3C6C59C6" w14:textId="77777777" w:rsidR="00B84219" w:rsidRPr="00B84219" w:rsidRDefault="00B84219" w:rsidP="00B84219">
      <w:pPr>
        <w:rPr>
          <w:rFonts w:eastAsia="Times New Roman" w:cs="Arial"/>
          <w:kern w:val="0"/>
          <w:lang w:eastAsia="en-GB"/>
          <w14:ligatures w14:val="none"/>
        </w:rPr>
      </w:pPr>
    </w:p>
    <w:p w14:paraId="23BCC2A5"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The health board has noted all the pharmacies signed up to provide this service, and 12 pharmacies provide it. The health board has therefore not identified any current or future needs for this service within the locality.</w:t>
      </w:r>
    </w:p>
    <w:p w14:paraId="1B83F2E2" w14:textId="77777777" w:rsidR="00B84219" w:rsidRPr="00B84219" w:rsidRDefault="00B84219" w:rsidP="00B84219">
      <w:pPr>
        <w:rPr>
          <w:rFonts w:eastAsia="Times New Roman" w:cs="Arial"/>
          <w:kern w:val="0"/>
          <w:lang w:eastAsia="en-GB"/>
          <w14:ligatures w14:val="none"/>
        </w:rPr>
      </w:pPr>
    </w:p>
    <w:p w14:paraId="300991C2" w14:textId="77777777" w:rsidR="00B84219" w:rsidRPr="00B84219" w:rsidRDefault="00B84219" w:rsidP="00B84219">
      <w:pPr>
        <w:rPr>
          <w:rFonts w:eastAsia="Times New Roman" w:cs="Arial"/>
          <w:b/>
          <w:bCs/>
          <w:kern w:val="0"/>
          <w:lang w:eastAsia="en-GB"/>
          <w14:ligatures w14:val="none"/>
        </w:rPr>
      </w:pPr>
      <w:r w:rsidRPr="00B84219">
        <w:rPr>
          <w:rFonts w:eastAsia="Times New Roman" w:cs="Arial"/>
          <w:b/>
          <w:bCs/>
          <w:kern w:val="0"/>
          <w:lang w:eastAsia="en-GB"/>
          <w14:ligatures w14:val="none"/>
        </w:rPr>
        <w:t xml:space="preserve">9.8.3.10 Urgent medicines service </w:t>
      </w:r>
    </w:p>
    <w:p w14:paraId="7A298827" w14:textId="77777777" w:rsidR="00B84219" w:rsidRPr="00B84219" w:rsidRDefault="00B84219" w:rsidP="00B84219">
      <w:pPr>
        <w:rPr>
          <w:rFonts w:eastAsia="Times New Roman" w:cs="Arial"/>
          <w:kern w:val="0"/>
          <w:lang w:eastAsia="en-GB"/>
          <w14:ligatures w14:val="none"/>
        </w:rPr>
      </w:pPr>
    </w:p>
    <w:p w14:paraId="265947B7"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The health board noted two of the pharmacies signed up to provide this service. Due to the nature of the service, it is commissioned to ensure a good geographical spread of pharmacies providing it across the health board’s geography. The health board continues to monitor provision of the service and would commission more pharmacies to provide if required.</w:t>
      </w:r>
    </w:p>
    <w:p w14:paraId="4A210196" w14:textId="77777777" w:rsidR="00B84219" w:rsidRPr="00B84219" w:rsidRDefault="00B84219" w:rsidP="00B84219">
      <w:pPr>
        <w:rPr>
          <w:rFonts w:eastAsia="Times New Roman" w:cs="Arial"/>
          <w:kern w:val="0"/>
          <w:lang w:eastAsia="en-GB"/>
          <w14:ligatures w14:val="none"/>
        </w:rPr>
      </w:pPr>
    </w:p>
    <w:p w14:paraId="6F46A39E" w14:textId="77777777" w:rsidR="00B84219" w:rsidRPr="00B84219" w:rsidRDefault="00B84219" w:rsidP="00B84219">
      <w:pPr>
        <w:rPr>
          <w:rFonts w:eastAsia="Times New Roman" w:cs="Arial"/>
          <w:kern w:val="0"/>
          <w:lang w:eastAsia="en-GB"/>
          <w14:ligatures w14:val="none"/>
        </w:rPr>
      </w:pPr>
      <w:r w:rsidRPr="00B84219">
        <w:rPr>
          <w:rFonts w:eastAsia="Times New Roman" w:cs="Arial"/>
          <w:kern w:val="0"/>
          <w:lang w:eastAsia="en-GB"/>
          <w14:ligatures w14:val="none"/>
        </w:rPr>
        <w:t>The health board has therefore not identified any current or future needs for this service within the locality.</w:t>
      </w:r>
    </w:p>
    <w:p w14:paraId="03FFD339" w14:textId="77777777" w:rsidR="00B84219" w:rsidRPr="00B84219" w:rsidRDefault="00B84219" w:rsidP="00B84219">
      <w:pPr>
        <w:rPr>
          <w:rFonts w:eastAsia="Times New Roman" w:cs="Arial"/>
          <w:kern w:val="0"/>
          <w:lang w:eastAsia="en-GB"/>
          <w14:ligatures w14:val="none"/>
        </w:rPr>
      </w:pPr>
    </w:p>
    <w:p w14:paraId="0856D7B3" w14:textId="16A775B6" w:rsidR="00283FB4" w:rsidRPr="00D0306F" w:rsidRDefault="00283FB4">
      <w:pPr>
        <w:spacing w:after="160" w:line="278" w:lineRule="auto"/>
        <w:rPr>
          <w:rFonts w:eastAsia="Times New Roman" w:cs="Arial"/>
          <w:color w:val="000000"/>
          <w:kern w:val="0"/>
          <w:lang w:eastAsia="en-GB"/>
          <w14:ligatures w14:val="none"/>
        </w:rPr>
      </w:pPr>
      <w:r w:rsidRPr="00D0306F">
        <w:rPr>
          <w:rFonts w:eastAsia="Times New Roman" w:cs="Arial"/>
          <w:color w:val="000000"/>
          <w:kern w:val="0"/>
          <w:lang w:eastAsia="en-GB"/>
          <w14:ligatures w14:val="none"/>
        </w:rPr>
        <w:br w:type="page"/>
      </w:r>
    </w:p>
    <w:p w14:paraId="0828A8C7" w14:textId="057CAF0E" w:rsidR="00E96A92" w:rsidRPr="00D0306F" w:rsidRDefault="00E96A92" w:rsidP="00E96A92">
      <w:pPr>
        <w:pStyle w:val="Heading1"/>
        <w:rPr>
          <w:rFonts w:eastAsia="Aptos"/>
          <w:sz w:val="28"/>
          <w:szCs w:val="28"/>
        </w:rPr>
      </w:pPr>
      <w:bookmarkStart w:id="34" w:name="_Toc235185381"/>
      <w:r w:rsidRPr="00D0306F">
        <w:rPr>
          <w:rFonts w:eastAsia="Aptos"/>
          <w:sz w:val="28"/>
          <w:szCs w:val="28"/>
        </w:rPr>
        <w:lastRenderedPageBreak/>
        <w:t>10 Cwmtawe locality</w:t>
      </w:r>
      <w:bookmarkEnd w:id="34"/>
    </w:p>
    <w:p w14:paraId="315B8203" w14:textId="77777777" w:rsidR="00B84219" w:rsidRPr="00B84219" w:rsidRDefault="00B84219" w:rsidP="00B84219">
      <w:pPr>
        <w:rPr>
          <w:rFonts w:eastAsia="Times New Roman" w:cs="Arial"/>
          <w:color w:val="000000"/>
          <w:kern w:val="0"/>
          <w:lang w:eastAsia="en-GB"/>
          <w14:ligatures w14:val="none"/>
        </w:rPr>
      </w:pPr>
    </w:p>
    <w:p w14:paraId="50157EB9" w14:textId="77777777" w:rsidR="00197EC0" w:rsidRPr="00197EC0" w:rsidRDefault="00197EC0" w:rsidP="00197EC0">
      <w:pPr>
        <w:rPr>
          <w:rFonts w:eastAsia="Aptos" w:cs="Arial"/>
          <w:b/>
          <w:bCs/>
          <w:sz w:val="26"/>
          <w:szCs w:val="26"/>
        </w:rPr>
      </w:pPr>
      <w:r w:rsidRPr="00197EC0">
        <w:rPr>
          <w:rFonts w:eastAsia="Aptos" w:cs="Arial"/>
          <w:b/>
          <w:bCs/>
          <w:sz w:val="26"/>
          <w:szCs w:val="26"/>
        </w:rPr>
        <w:t>10.1 Key facts</w:t>
      </w:r>
    </w:p>
    <w:p w14:paraId="63AB6FF9" w14:textId="77777777" w:rsidR="00197EC0" w:rsidRPr="00197EC0" w:rsidRDefault="00197EC0" w:rsidP="00107F42">
      <w:pPr>
        <w:rPr>
          <w:rFonts w:eastAsia="Aptos" w:cs="Arial"/>
        </w:rPr>
      </w:pPr>
    </w:p>
    <w:p w14:paraId="42F38B75" w14:textId="77777777" w:rsidR="00197EC0" w:rsidRPr="00197EC0" w:rsidRDefault="00197EC0" w:rsidP="00B76905">
      <w:pPr>
        <w:numPr>
          <w:ilvl w:val="0"/>
          <w:numId w:val="166"/>
        </w:numPr>
        <w:contextualSpacing/>
        <w:rPr>
          <w:rFonts w:eastAsia="Aptos" w:cs="Arial"/>
        </w:rPr>
      </w:pPr>
      <w:r w:rsidRPr="00197EC0">
        <w:rPr>
          <w:rFonts w:eastAsia="Aptos" w:cs="Arial"/>
        </w:rPr>
        <w:t>The locality geographically covers the wards of Bonymaen, Clydach, Landore (part), Llangyfelach (part), Llansamlet, Morriston, Mynyddbach (part). The Cwmtawe locality serves a registered population of 43,442</w:t>
      </w:r>
      <w:r w:rsidRPr="00197EC0">
        <w:rPr>
          <w:rFonts w:eastAsia="Aptos" w:cs="Arial"/>
          <w:vertAlign w:val="superscript"/>
        </w:rPr>
        <w:footnoteReference w:id="257"/>
      </w:r>
      <w:r w:rsidRPr="00197EC0">
        <w:rPr>
          <w:rFonts w:eastAsia="Aptos" w:cs="Arial"/>
        </w:rPr>
        <w:t xml:space="preserve"> (January 2026) and is the fourth smallest locality by registered population in the health board and the second smallest of the five localities in Swansea. </w:t>
      </w:r>
    </w:p>
    <w:p w14:paraId="1439E5D7" w14:textId="77777777" w:rsidR="00197EC0" w:rsidRPr="00197EC0" w:rsidRDefault="00197EC0" w:rsidP="00B76905">
      <w:pPr>
        <w:numPr>
          <w:ilvl w:val="0"/>
          <w:numId w:val="166"/>
        </w:numPr>
        <w:contextualSpacing/>
        <w:rPr>
          <w:rFonts w:eastAsia="Aptos" w:cs="Arial"/>
        </w:rPr>
      </w:pPr>
      <w:r w:rsidRPr="00197EC0">
        <w:rPr>
          <w:rFonts w:eastAsia="Aptos" w:cs="Arial"/>
        </w:rPr>
        <w:t>The locality has a registered population of 9,103 aged 65 years and over (21.0%) which is slightly lower than the Welsh average of 21.9%.</w:t>
      </w:r>
    </w:p>
    <w:p w14:paraId="0C3336E2" w14:textId="77777777" w:rsidR="00197EC0" w:rsidRPr="00197EC0" w:rsidRDefault="00197EC0" w:rsidP="00B76905">
      <w:pPr>
        <w:numPr>
          <w:ilvl w:val="0"/>
          <w:numId w:val="166"/>
        </w:numPr>
        <w:contextualSpacing/>
        <w:rPr>
          <w:rFonts w:eastAsia="Aptos" w:cs="Arial"/>
        </w:rPr>
      </w:pPr>
      <w:r w:rsidRPr="00197EC0">
        <w:rPr>
          <w:rFonts w:eastAsia="Aptos" w:cs="Arial"/>
        </w:rPr>
        <w:t>The number of Welsh speakers in Swansea remained at 11.2% in 2021 with approximately, 350 fewer Welsh-speaking residents aged over three years compared with 2011 Census. The number of non-Welsh speaking residents increased by 1,100.</w:t>
      </w:r>
      <w:r w:rsidRPr="00197EC0">
        <w:rPr>
          <w:rFonts w:eastAsia="Aptos" w:cs="Arial"/>
          <w:vertAlign w:val="superscript"/>
        </w:rPr>
        <w:footnoteReference w:id="258"/>
      </w:r>
    </w:p>
    <w:p w14:paraId="23CD4469" w14:textId="77777777" w:rsidR="00197EC0" w:rsidRPr="00197EC0" w:rsidRDefault="00197EC0" w:rsidP="00B76905">
      <w:pPr>
        <w:numPr>
          <w:ilvl w:val="0"/>
          <w:numId w:val="166"/>
        </w:numPr>
        <w:contextualSpacing/>
        <w:rPr>
          <w:rFonts w:eastAsia="Aptos" w:cs="Arial"/>
        </w:rPr>
      </w:pPr>
      <w:r w:rsidRPr="00197EC0">
        <w:rPr>
          <w:rFonts w:eastAsia="Aptos" w:cs="Arial"/>
        </w:rPr>
        <w:t>Swansea local authority population is projected to increase by 6.1% by the year 2032.</w:t>
      </w:r>
      <w:r w:rsidRPr="00197EC0">
        <w:rPr>
          <w:rFonts w:eastAsia="Aptos" w:cs="Arial"/>
          <w:vertAlign w:val="superscript"/>
        </w:rPr>
        <w:footnoteReference w:id="259"/>
      </w:r>
    </w:p>
    <w:p w14:paraId="14C62E7D" w14:textId="77777777" w:rsidR="00197EC0" w:rsidRPr="00197EC0" w:rsidRDefault="00197EC0" w:rsidP="00B76905">
      <w:pPr>
        <w:numPr>
          <w:ilvl w:val="0"/>
          <w:numId w:val="167"/>
        </w:numPr>
        <w:contextualSpacing/>
        <w:rPr>
          <w:rFonts w:eastAsia="Aptos" w:cs="Arial"/>
        </w:rPr>
      </w:pPr>
      <w:r w:rsidRPr="00197EC0">
        <w:rPr>
          <w:rFonts w:eastAsia="Aptos" w:cs="Arial"/>
        </w:rPr>
        <w:t>There are 240 lower layer super output areas in the health board’s area; 150 lower layer super output areas fall within Swansea local authority, and 20 (around 13%) are in the 10% most deprived in Wales.</w:t>
      </w:r>
      <w:r w:rsidRPr="00197EC0">
        <w:rPr>
          <w:rFonts w:eastAsia="Aptos" w:cs="Arial"/>
          <w:vertAlign w:val="superscript"/>
        </w:rPr>
        <w:footnoteReference w:id="260"/>
      </w:r>
    </w:p>
    <w:p w14:paraId="11F229AF" w14:textId="77777777" w:rsidR="00197EC0" w:rsidRPr="00197EC0" w:rsidRDefault="00197EC0" w:rsidP="00B76905">
      <w:pPr>
        <w:numPr>
          <w:ilvl w:val="0"/>
          <w:numId w:val="167"/>
        </w:numPr>
        <w:contextualSpacing/>
        <w:rPr>
          <w:rFonts w:eastAsia="Aptos" w:cs="Arial"/>
        </w:rPr>
      </w:pPr>
      <w:r w:rsidRPr="00197EC0">
        <w:rPr>
          <w:rFonts w:eastAsia="Aptos" w:cs="Arial"/>
        </w:rPr>
        <w:t xml:space="preserve">Of the 20% most deprived lower layer super output areas in Wales, 34 are within Swansea, with nine found within the locality. </w:t>
      </w:r>
    </w:p>
    <w:p w14:paraId="1235E1DD" w14:textId="77777777" w:rsidR="00197EC0" w:rsidRPr="00197EC0" w:rsidRDefault="00197EC0" w:rsidP="00B76905">
      <w:pPr>
        <w:numPr>
          <w:ilvl w:val="0"/>
          <w:numId w:val="167"/>
        </w:numPr>
        <w:contextualSpacing/>
        <w:rPr>
          <w:rFonts w:eastAsia="Aptos" w:cs="Arial"/>
        </w:rPr>
      </w:pPr>
      <w:r w:rsidRPr="00197EC0">
        <w:rPr>
          <w:rFonts w:eastAsia="Aptos" w:cs="Arial"/>
        </w:rPr>
        <w:t>The locality is served by:</w:t>
      </w:r>
    </w:p>
    <w:p w14:paraId="3826931C" w14:textId="77777777" w:rsidR="00197EC0" w:rsidRPr="00197EC0" w:rsidRDefault="00197EC0" w:rsidP="00B76905">
      <w:pPr>
        <w:numPr>
          <w:ilvl w:val="1"/>
          <w:numId w:val="140"/>
        </w:numPr>
        <w:contextualSpacing/>
        <w:rPr>
          <w:rFonts w:eastAsia="Aptos" w:cs="Arial"/>
        </w:rPr>
      </w:pPr>
      <w:r w:rsidRPr="00197EC0">
        <w:rPr>
          <w:rFonts w:eastAsia="Aptos" w:cs="Arial"/>
        </w:rPr>
        <w:t>nine community pharmacies operated by five contractors</w:t>
      </w:r>
    </w:p>
    <w:p w14:paraId="3AE65903" w14:textId="77777777" w:rsidR="00197EC0" w:rsidRPr="00197EC0" w:rsidRDefault="00197EC0" w:rsidP="00B76905">
      <w:pPr>
        <w:numPr>
          <w:ilvl w:val="1"/>
          <w:numId w:val="140"/>
        </w:numPr>
        <w:contextualSpacing/>
        <w:rPr>
          <w:rFonts w:eastAsia="Aptos" w:cs="Arial"/>
        </w:rPr>
      </w:pPr>
      <w:r w:rsidRPr="00197EC0">
        <w:rPr>
          <w:rFonts w:eastAsia="Aptos" w:cs="Arial"/>
        </w:rPr>
        <w:t xml:space="preserve">seven dental practices that offer NHS treatment </w:t>
      </w:r>
    </w:p>
    <w:p w14:paraId="31F198A4" w14:textId="77777777" w:rsidR="00197EC0" w:rsidRPr="00197EC0" w:rsidRDefault="00197EC0" w:rsidP="00B76905">
      <w:pPr>
        <w:numPr>
          <w:ilvl w:val="1"/>
          <w:numId w:val="140"/>
        </w:numPr>
        <w:contextualSpacing/>
        <w:rPr>
          <w:rFonts w:eastAsia="Aptos" w:cs="Arial"/>
        </w:rPr>
      </w:pPr>
      <w:r w:rsidRPr="00197EC0">
        <w:rPr>
          <w:rFonts w:eastAsia="Aptos" w:cs="Arial"/>
        </w:rPr>
        <w:t xml:space="preserve">four optical practices </w:t>
      </w:r>
    </w:p>
    <w:p w14:paraId="1C79892C" w14:textId="77777777" w:rsidR="00197EC0" w:rsidRPr="00197EC0" w:rsidRDefault="00197EC0" w:rsidP="00B76905">
      <w:pPr>
        <w:numPr>
          <w:ilvl w:val="0"/>
          <w:numId w:val="166"/>
        </w:numPr>
        <w:contextualSpacing/>
        <w:rPr>
          <w:rFonts w:eastAsia="Aptos" w:cs="Arial"/>
        </w:rPr>
      </w:pPr>
      <w:r w:rsidRPr="00197EC0">
        <w:rPr>
          <w:rFonts w:eastAsia="Aptos" w:cs="Arial"/>
        </w:rPr>
        <w:t>Three GP practices (one of which operates two branch surgery sites). There is one hospital within the locality - Morriston Hospital, Heol Maes Eglwys, Swansea SA6 6NL</w:t>
      </w:r>
    </w:p>
    <w:p w14:paraId="7D901C4C" w14:textId="77777777" w:rsidR="00197EC0" w:rsidRPr="00197EC0" w:rsidRDefault="00197EC0" w:rsidP="00B76905">
      <w:pPr>
        <w:numPr>
          <w:ilvl w:val="0"/>
          <w:numId w:val="166"/>
        </w:numPr>
        <w:contextualSpacing/>
        <w:rPr>
          <w:rFonts w:eastAsia="Times New Roman" w:cs="Arial"/>
          <w:b/>
          <w:bCs/>
          <w:kern w:val="0"/>
          <w:lang w:eastAsia="en-GB"/>
          <w14:ligatures w14:val="none"/>
        </w:rPr>
      </w:pPr>
      <w:r w:rsidRPr="00197EC0">
        <w:rPr>
          <w:rFonts w:eastAsia="Aptos" w:cs="Arial"/>
        </w:rPr>
        <w:t>There are 21 care home services in the locality, of which four provide services to adults with nursing, and 17 to adults without nursing.</w:t>
      </w:r>
    </w:p>
    <w:p w14:paraId="1C9A7C1C" w14:textId="77777777" w:rsidR="00197EC0" w:rsidRPr="00197EC0" w:rsidRDefault="00197EC0" w:rsidP="00107F42">
      <w:pPr>
        <w:rPr>
          <w:rFonts w:eastAsia="Times New Roman" w:cs="Arial"/>
          <w:b/>
          <w:bCs/>
          <w:kern w:val="0"/>
          <w:lang w:eastAsia="en-GB"/>
          <w14:ligatures w14:val="none"/>
        </w:rPr>
      </w:pPr>
    </w:p>
    <w:p w14:paraId="6D97F23F" w14:textId="77777777" w:rsidR="00197EC0" w:rsidRPr="00197EC0" w:rsidRDefault="00197EC0" w:rsidP="00107F42">
      <w:pPr>
        <w:rPr>
          <w:rFonts w:eastAsia="Times New Roman" w:cs="Arial"/>
          <w:b/>
          <w:bCs/>
          <w:kern w:val="0"/>
          <w:sz w:val="26"/>
          <w:szCs w:val="26"/>
          <w:lang w:eastAsia="en-GB"/>
          <w14:ligatures w14:val="none"/>
        </w:rPr>
      </w:pPr>
      <w:r w:rsidRPr="00197EC0">
        <w:rPr>
          <w:rFonts w:eastAsia="Times New Roman" w:cs="Arial"/>
          <w:b/>
          <w:bCs/>
          <w:kern w:val="0"/>
          <w:sz w:val="26"/>
          <w:szCs w:val="26"/>
          <w:lang w:eastAsia="en-GB"/>
          <w14:ligatures w14:val="none"/>
        </w:rPr>
        <w:t xml:space="preserve">10.2 Key population features </w:t>
      </w:r>
    </w:p>
    <w:p w14:paraId="79353DF0" w14:textId="77777777" w:rsidR="00197EC0" w:rsidRPr="00197EC0" w:rsidRDefault="00197EC0" w:rsidP="00107F42">
      <w:pPr>
        <w:rPr>
          <w:rFonts w:eastAsia="Times New Roman" w:cs="Arial"/>
          <w:b/>
          <w:bCs/>
          <w:kern w:val="0"/>
          <w:lang w:eastAsia="en-GB"/>
          <w14:ligatures w14:val="none"/>
        </w:rPr>
      </w:pPr>
    </w:p>
    <w:p w14:paraId="0A96257D"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10.2.1 Population projections 2022 to 2032</w:t>
      </w:r>
    </w:p>
    <w:p w14:paraId="3D28E548" w14:textId="77777777" w:rsidR="00197EC0" w:rsidRPr="00197EC0" w:rsidRDefault="00197EC0" w:rsidP="00107F42">
      <w:pPr>
        <w:rPr>
          <w:rFonts w:eastAsia="Times New Roman" w:cs="Arial"/>
          <w:b/>
          <w:bCs/>
          <w:kern w:val="0"/>
          <w:lang w:eastAsia="en-GB"/>
          <w14:ligatures w14:val="none"/>
        </w:rPr>
      </w:pPr>
    </w:p>
    <w:p w14:paraId="64F0CFD3"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The population of Swansea is projected to increase by up to 6.1% between 2022 and 2032, an increase of 14,894 people. It is projected that by 2032</w:t>
      </w:r>
      <w:r w:rsidRPr="00197EC0">
        <w:rPr>
          <w:rFonts w:eastAsia="Times New Roman" w:cs="Arial"/>
          <w:kern w:val="0"/>
          <w:vertAlign w:val="superscript"/>
          <w:lang w:eastAsia="en-GB"/>
          <w14:ligatures w14:val="none"/>
        </w:rPr>
        <w:footnoteReference w:id="261"/>
      </w:r>
      <w:r w:rsidRPr="00197EC0">
        <w:rPr>
          <w:rFonts w:eastAsia="Times New Roman" w:cs="Arial"/>
          <w:kern w:val="0"/>
          <w:lang w:eastAsia="en-GB"/>
          <w14:ligatures w14:val="none"/>
        </w:rPr>
        <w:t xml:space="preserve"> Swansea local authority will see:</w:t>
      </w:r>
    </w:p>
    <w:p w14:paraId="0561B53C" w14:textId="77777777" w:rsidR="00197EC0" w:rsidRPr="00197EC0" w:rsidRDefault="00197EC0" w:rsidP="00107F42">
      <w:pPr>
        <w:rPr>
          <w:rFonts w:eastAsia="Times New Roman" w:cs="Arial"/>
          <w:kern w:val="0"/>
          <w:lang w:eastAsia="en-GB"/>
          <w14:ligatures w14:val="none"/>
        </w:rPr>
      </w:pPr>
    </w:p>
    <w:p w14:paraId="107281A3" w14:textId="77777777" w:rsidR="00197EC0" w:rsidRPr="00197EC0" w:rsidRDefault="00197EC0" w:rsidP="00B76905">
      <w:pPr>
        <w:numPr>
          <w:ilvl w:val="0"/>
          <w:numId w:val="141"/>
        </w:numPr>
        <w:ind w:left="714" w:hanging="357"/>
        <w:contextualSpacing/>
        <w:rPr>
          <w:rFonts w:eastAsia="Times New Roman" w:cs="Arial"/>
          <w:kern w:val="0"/>
          <w:lang w:eastAsia="en-GB"/>
          <w14:ligatures w14:val="none"/>
        </w:rPr>
      </w:pPr>
      <w:r w:rsidRPr="00197EC0">
        <w:rPr>
          <w:rFonts w:eastAsia="Times New Roman" w:cs="Arial"/>
          <w:kern w:val="0"/>
          <w:lang w:eastAsia="en-GB"/>
          <w14:ligatures w14:val="none"/>
        </w:rPr>
        <w:t>a decrease in the number of people aged 0 to 15 years,</w:t>
      </w:r>
    </w:p>
    <w:p w14:paraId="13E3FE98" w14:textId="77777777" w:rsidR="00197EC0" w:rsidRPr="00197EC0" w:rsidRDefault="00197EC0" w:rsidP="00B76905">
      <w:pPr>
        <w:numPr>
          <w:ilvl w:val="0"/>
          <w:numId w:val="141"/>
        </w:numPr>
        <w:ind w:left="714" w:hanging="357"/>
        <w:contextualSpacing/>
        <w:rPr>
          <w:rFonts w:eastAsia="Times New Roman" w:cs="Arial"/>
          <w:kern w:val="0"/>
          <w:lang w:eastAsia="en-GB"/>
          <w14:ligatures w14:val="none"/>
        </w:rPr>
      </w:pPr>
      <w:r w:rsidRPr="00197EC0">
        <w:rPr>
          <w:rFonts w:eastAsia="Times New Roman" w:cs="Arial"/>
          <w:kern w:val="0"/>
          <w:lang w:eastAsia="en-GB"/>
          <w14:ligatures w14:val="none"/>
        </w:rPr>
        <w:lastRenderedPageBreak/>
        <w:t>an increase in the working age population aged 16 to 64 years (one of eight local authorities that will see the largest increases),</w:t>
      </w:r>
    </w:p>
    <w:p w14:paraId="2CAABF6C" w14:textId="77777777" w:rsidR="00197EC0" w:rsidRPr="00197EC0" w:rsidRDefault="00197EC0" w:rsidP="00B76905">
      <w:pPr>
        <w:numPr>
          <w:ilvl w:val="0"/>
          <w:numId w:val="141"/>
        </w:numPr>
        <w:ind w:left="714" w:hanging="357"/>
        <w:contextualSpacing/>
        <w:rPr>
          <w:rFonts w:eastAsia="Times New Roman" w:cs="Arial"/>
          <w:kern w:val="0"/>
          <w:lang w:eastAsia="en-GB"/>
          <w14:ligatures w14:val="none"/>
        </w:rPr>
      </w:pPr>
      <w:r w:rsidRPr="00197EC0">
        <w:rPr>
          <w:rFonts w:eastAsia="Times New Roman" w:cs="Arial"/>
          <w:kern w:val="0"/>
          <w:lang w:eastAsia="en-GB"/>
          <w14:ligatures w14:val="none"/>
        </w:rPr>
        <w:t xml:space="preserve">an increase in the population aged 65 years, and </w:t>
      </w:r>
    </w:p>
    <w:p w14:paraId="2D7E6089" w14:textId="77777777" w:rsidR="00197EC0" w:rsidRPr="00197EC0" w:rsidRDefault="00197EC0" w:rsidP="00B76905">
      <w:pPr>
        <w:numPr>
          <w:ilvl w:val="0"/>
          <w:numId w:val="141"/>
        </w:numPr>
        <w:ind w:left="714" w:hanging="357"/>
        <w:contextualSpacing/>
        <w:rPr>
          <w:rFonts w:eastAsia="Times New Roman" w:cs="Arial"/>
          <w:kern w:val="0"/>
          <w:lang w:eastAsia="en-GB"/>
          <w14:ligatures w14:val="none"/>
        </w:rPr>
      </w:pPr>
      <w:r w:rsidRPr="00197EC0">
        <w:rPr>
          <w:rFonts w:eastAsia="Times New Roman" w:cs="Arial"/>
          <w:kern w:val="0"/>
          <w:lang w:eastAsia="en-GB"/>
          <w14:ligatures w14:val="none"/>
        </w:rPr>
        <w:t>an increase in the population aged 75 years and over.</w:t>
      </w:r>
    </w:p>
    <w:p w14:paraId="644A3A7D" w14:textId="77777777" w:rsidR="00197EC0" w:rsidRPr="00197EC0" w:rsidRDefault="00197EC0" w:rsidP="00107F42">
      <w:pPr>
        <w:rPr>
          <w:rFonts w:eastAsia="Times New Roman" w:cs="Arial"/>
          <w:kern w:val="0"/>
          <w:lang w:eastAsia="en-GB"/>
          <w14:ligatures w14:val="none"/>
        </w:rPr>
      </w:pPr>
    </w:p>
    <w:p w14:paraId="0EB2BBA2"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The population is projected to continue to age in the local authority, over this period.</w:t>
      </w:r>
    </w:p>
    <w:p w14:paraId="79D4F0BE" w14:textId="77777777" w:rsidR="00197EC0" w:rsidRPr="00197EC0" w:rsidRDefault="00197EC0" w:rsidP="00107F42">
      <w:pPr>
        <w:rPr>
          <w:rFonts w:eastAsia="Times New Roman" w:cs="Arial"/>
          <w:kern w:val="0"/>
          <w:lang w:eastAsia="en-GB"/>
          <w14:ligatures w14:val="none"/>
        </w:rPr>
      </w:pPr>
    </w:p>
    <w:p w14:paraId="7924A062"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 xml:space="preserve">10.2.2 Total life expectancy, healthy life expectancy and the ‘inequality gap’ (2020 to 2022) </w:t>
      </w:r>
    </w:p>
    <w:p w14:paraId="0D29B715" w14:textId="77777777" w:rsidR="00197EC0" w:rsidRPr="00197EC0" w:rsidRDefault="00197EC0" w:rsidP="00107F42">
      <w:pPr>
        <w:rPr>
          <w:rFonts w:eastAsia="Times New Roman" w:cs="Arial"/>
          <w:b/>
          <w:bCs/>
          <w:kern w:val="0"/>
          <w:lang w:eastAsia="en-GB"/>
          <w14:ligatures w14:val="none"/>
        </w:rPr>
      </w:pPr>
    </w:p>
    <w:p w14:paraId="14614E43" w14:textId="77777777" w:rsidR="00197EC0" w:rsidRPr="00197EC0" w:rsidRDefault="00197EC0" w:rsidP="00B76905">
      <w:pPr>
        <w:numPr>
          <w:ilvl w:val="0"/>
          <w:numId w:val="157"/>
        </w:numPr>
        <w:shd w:val="clear" w:color="auto" w:fill="FFFFFF"/>
        <w:contextualSpacing/>
        <w:rPr>
          <w:rFonts w:eastAsia="Calibri" w:cs="Arial"/>
          <w:kern w:val="0"/>
          <w:shd w:val="clear" w:color="auto" w:fill="FFFFFF"/>
          <w14:ligatures w14:val="none"/>
        </w:rPr>
      </w:pPr>
      <w:r w:rsidRPr="00197EC0">
        <w:rPr>
          <w:rFonts w:eastAsia="Calibri" w:cs="Arial"/>
          <w:kern w:val="0"/>
          <w:shd w:val="clear" w:color="auto" w:fill="FFFFFF"/>
          <w14:ligatures w14:val="none"/>
        </w:rPr>
        <w:t xml:space="preserve">Swansea local authority has a lower total life expectancy at birth for females and for males when compared to the average for Wales (table 10.1). </w:t>
      </w:r>
    </w:p>
    <w:p w14:paraId="74042B91" w14:textId="77777777" w:rsidR="00197EC0" w:rsidRPr="00197EC0" w:rsidRDefault="00197EC0" w:rsidP="00B76905">
      <w:pPr>
        <w:numPr>
          <w:ilvl w:val="0"/>
          <w:numId w:val="158"/>
        </w:numPr>
        <w:ind w:left="357"/>
        <w:contextualSpacing/>
        <w:rPr>
          <w:rFonts w:eastAsia="Calibri" w:cs="Arial"/>
          <w:kern w:val="0"/>
          <w14:ligatures w14:val="none"/>
        </w:rPr>
      </w:pPr>
      <w:r w:rsidRPr="00197EC0">
        <w:rPr>
          <w:rFonts w:eastAsia="Calibri" w:cs="Arial"/>
          <w:bCs/>
          <w:kern w:val="0"/>
          <w14:ligatures w14:val="none"/>
        </w:rPr>
        <w:t>Healthy life expectancy</w:t>
      </w:r>
      <w:r w:rsidRPr="00197EC0">
        <w:rPr>
          <w:rFonts w:eastAsia="Calibri" w:cs="Arial"/>
          <w:bCs/>
          <w:kern w:val="0"/>
          <w:vertAlign w:val="superscript"/>
          <w14:ligatures w14:val="none"/>
        </w:rPr>
        <w:footnoteReference w:id="262"/>
      </w:r>
      <w:r w:rsidRPr="00197EC0">
        <w:rPr>
          <w:rFonts w:eastAsia="Calibri" w:cs="Arial"/>
          <w:bCs/>
          <w:kern w:val="0"/>
          <w14:ligatures w14:val="none"/>
        </w:rPr>
        <w:t xml:space="preserve">, defined as </w:t>
      </w:r>
      <w:r w:rsidRPr="00197EC0">
        <w:rPr>
          <w:rFonts w:eastAsia="Calibri" w:cs="Arial"/>
          <w:kern w:val="0"/>
          <w14:ligatures w14:val="none"/>
        </w:rPr>
        <w:t>the number of years a person can expect to live in good health, is measured at local authority level. In Swansea, healthy life expectancy stands at 59.9 years for males and 59.6 years for females. Comparatively, the Wales average is slightly higher at 60.8 years for males and 60.2 years for females. This indicates that both males and females in Swansea enjoy fewer years of good health than the average across Wales.</w:t>
      </w:r>
    </w:p>
    <w:p w14:paraId="5F08419A" w14:textId="77777777" w:rsidR="00197EC0" w:rsidRPr="00197EC0" w:rsidRDefault="00197EC0" w:rsidP="00B76905">
      <w:pPr>
        <w:numPr>
          <w:ilvl w:val="0"/>
          <w:numId w:val="158"/>
        </w:numPr>
        <w:ind w:left="357"/>
        <w:contextualSpacing/>
        <w:rPr>
          <w:rFonts w:eastAsia="Calibri" w:cs="Arial"/>
          <w:kern w:val="0"/>
          <w14:ligatures w14:val="none"/>
        </w:rPr>
      </w:pPr>
      <w:r w:rsidRPr="00197EC0">
        <w:rPr>
          <w:rFonts w:eastAsia="Calibri" w:cs="Arial"/>
          <w:kern w:val="0"/>
          <w14:ligatures w14:val="none"/>
        </w:rPr>
        <w:t>The differences in healthy life expectancy that exist across an area between the most and least deprived areas is referred to as the ‘inequality gap’. The inequality gap for healthy life expectancy in Swansea is 10.9 years for males and 7.9 years for females</w:t>
      </w:r>
      <w:r w:rsidRPr="00197EC0">
        <w:rPr>
          <w:rFonts w:eastAsia="Calibri" w:cs="Arial"/>
          <w:kern w:val="0"/>
          <w:vertAlign w:val="superscript"/>
          <w14:ligatures w14:val="none"/>
        </w:rPr>
        <w:footnoteReference w:id="263"/>
      </w:r>
      <w:r w:rsidRPr="00197EC0">
        <w:rPr>
          <w:rFonts w:eastAsia="Calibri" w:cs="Arial"/>
          <w:kern w:val="0"/>
          <w14:ligatures w14:val="none"/>
        </w:rPr>
        <w:t xml:space="preserve">. </w:t>
      </w:r>
    </w:p>
    <w:p w14:paraId="5AC98863" w14:textId="77777777" w:rsidR="00197EC0" w:rsidRPr="00197EC0" w:rsidRDefault="00197EC0" w:rsidP="00107F42">
      <w:pPr>
        <w:rPr>
          <w:rFonts w:eastAsia="Times New Roman" w:cs="Arial"/>
          <w:kern w:val="0"/>
          <w:lang w:eastAsia="en-GB"/>
          <w14:ligatures w14:val="none"/>
        </w:rPr>
      </w:pPr>
    </w:p>
    <w:p w14:paraId="008216D6"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Table 10.1: Total life expectancy at birth for females and males, 2020 to 2022</w:t>
      </w:r>
      <w:r w:rsidRPr="00197EC0">
        <w:rPr>
          <w:rFonts w:eastAsia="Times New Roman" w:cs="Arial"/>
          <w:b/>
          <w:bCs/>
          <w:kern w:val="0"/>
          <w:vertAlign w:val="superscript"/>
          <w:lang w:eastAsia="en-GB"/>
          <w14:ligatures w14:val="none"/>
        </w:rPr>
        <w:footnoteReference w:id="264"/>
      </w:r>
    </w:p>
    <w:p w14:paraId="19B2AD31" w14:textId="77777777" w:rsidR="00197EC0" w:rsidRPr="00197EC0" w:rsidRDefault="00197EC0" w:rsidP="00107F42">
      <w:pPr>
        <w:rPr>
          <w:rFonts w:eastAsia="Times New Roman" w:cs="Arial"/>
          <w:b/>
          <w:bCs/>
          <w:kern w:val="0"/>
          <w:lang w:eastAsia="en-GB"/>
          <w14:ligatures w14:val="none"/>
        </w:rPr>
      </w:pPr>
    </w:p>
    <w:tbl>
      <w:tblPr>
        <w:tblStyle w:val="TableGrid"/>
        <w:tblW w:w="0" w:type="auto"/>
        <w:tblInd w:w="0" w:type="dxa"/>
        <w:tblLook w:val="04A0" w:firstRow="1" w:lastRow="0" w:firstColumn="1" w:lastColumn="0" w:noHBand="0" w:noVBand="1"/>
      </w:tblPr>
      <w:tblGrid>
        <w:gridCol w:w="3005"/>
        <w:gridCol w:w="3005"/>
        <w:gridCol w:w="3006"/>
      </w:tblGrid>
      <w:tr w:rsidR="00197EC0" w:rsidRPr="00D0306F" w14:paraId="4D56AEF4" w14:textId="77777777" w:rsidTr="00197EC0">
        <w:tc>
          <w:tcPr>
            <w:tcW w:w="3005" w:type="dxa"/>
            <w:tcBorders>
              <w:top w:val="single" w:sz="4" w:space="0" w:color="auto"/>
              <w:left w:val="single" w:sz="4" w:space="0" w:color="auto"/>
              <w:bottom w:val="single" w:sz="4" w:space="0" w:color="auto"/>
              <w:right w:val="single" w:sz="4" w:space="0" w:color="auto"/>
            </w:tcBorders>
            <w:shd w:val="clear" w:color="auto" w:fill="153D63"/>
            <w:hideMark/>
          </w:tcPr>
          <w:p w14:paraId="76AAF309" w14:textId="77777777" w:rsidR="00197EC0" w:rsidRPr="00197EC0" w:rsidRDefault="00197EC0" w:rsidP="00107F42">
            <w:pPr>
              <w:rPr>
                <w:rFonts w:cs="Arial"/>
                <w:b/>
                <w:bCs/>
              </w:rPr>
            </w:pPr>
            <w:r w:rsidRPr="00197EC0">
              <w:rPr>
                <w:rFonts w:cs="Arial"/>
                <w:b/>
                <w:bCs/>
              </w:rPr>
              <w:t>Area</w:t>
            </w:r>
          </w:p>
        </w:tc>
        <w:tc>
          <w:tcPr>
            <w:tcW w:w="3005" w:type="dxa"/>
            <w:tcBorders>
              <w:top w:val="single" w:sz="4" w:space="0" w:color="auto"/>
              <w:left w:val="single" w:sz="4" w:space="0" w:color="auto"/>
              <w:bottom w:val="single" w:sz="4" w:space="0" w:color="auto"/>
              <w:right w:val="single" w:sz="4" w:space="0" w:color="auto"/>
            </w:tcBorders>
            <w:shd w:val="clear" w:color="auto" w:fill="153D63"/>
            <w:hideMark/>
          </w:tcPr>
          <w:p w14:paraId="173A9B7E" w14:textId="77777777" w:rsidR="00197EC0" w:rsidRPr="00197EC0" w:rsidRDefault="00197EC0" w:rsidP="00107F42">
            <w:pPr>
              <w:rPr>
                <w:rFonts w:cs="Arial"/>
                <w:b/>
                <w:bCs/>
              </w:rPr>
            </w:pPr>
            <w:r w:rsidRPr="00197EC0">
              <w:rPr>
                <w:rFonts w:cs="Arial"/>
                <w:b/>
                <w:bCs/>
              </w:rPr>
              <w:t>Female at birth (years)</w:t>
            </w:r>
          </w:p>
        </w:tc>
        <w:tc>
          <w:tcPr>
            <w:tcW w:w="3006" w:type="dxa"/>
            <w:tcBorders>
              <w:top w:val="single" w:sz="4" w:space="0" w:color="auto"/>
              <w:left w:val="single" w:sz="4" w:space="0" w:color="auto"/>
              <w:bottom w:val="single" w:sz="4" w:space="0" w:color="auto"/>
              <w:right w:val="single" w:sz="4" w:space="0" w:color="auto"/>
            </w:tcBorders>
            <w:shd w:val="clear" w:color="auto" w:fill="153D63"/>
            <w:hideMark/>
          </w:tcPr>
          <w:p w14:paraId="3E6BEC58" w14:textId="77777777" w:rsidR="00197EC0" w:rsidRPr="00197EC0" w:rsidRDefault="00197EC0" w:rsidP="00107F42">
            <w:pPr>
              <w:rPr>
                <w:rFonts w:cs="Arial"/>
                <w:b/>
                <w:bCs/>
              </w:rPr>
            </w:pPr>
            <w:r w:rsidRPr="00197EC0">
              <w:rPr>
                <w:rFonts w:cs="Arial"/>
                <w:b/>
                <w:bCs/>
              </w:rPr>
              <w:t>Male at birth (years)</w:t>
            </w:r>
          </w:p>
        </w:tc>
      </w:tr>
      <w:tr w:rsidR="00197EC0" w:rsidRPr="00197EC0" w14:paraId="51817E26" w14:textId="77777777" w:rsidTr="00197EC0">
        <w:tc>
          <w:tcPr>
            <w:tcW w:w="3005" w:type="dxa"/>
            <w:tcBorders>
              <w:top w:val="single" w:sz="4" w:space="0" w:color="auto"/>
              <w:left w:val="single" w:sz="4" w:space="0" w:color="auto"/>
              <w:bottom w:val="single" w:sz="4" w:space="0" w:color="auto"/>
              <w:right w:val="single" w:sz="4" w:space="0" w:color="auto"/>
            </w:tcBorders>
            <w:hideMark/>
          </w:tcPr>
          <w:p w14:paraId="1182AF52" w14:textId="77777777" w:rsidR="00197EC0" w:rsidRPr="00197EC0" w:rsidRDefault="00197EC0" w:rsidP="00107F42">
            <w:pPr>
              <w:rPr>
                <w:rFonts w:cs="Arial"/>
              </w:rPr>
            </w:pPr>
            <w:r w:rsidRPr="00197EC0">
              <w:rPr>
                <w:rFonts w:cs="Arial"/>
              </w:rPr>
              <w:t>Swansea</w:t>
            </w:r>
          </w:p>
        </w:tc>
        <w:tc>
          <w:tcPr>
            <w:tcW w:w="3005" w:type="dxa"/>
            <w:tcBorders>
              <w:top w:val="single" w:sz="4" w:space="0" w:color="auto"/>
              <w:left w:val="single" w:sz="4" w:space="0" w:color="auto"/>
              <w:bottom w:val="single" w:sz="4" w:space="0" w:color="auto"/>
              <w:right w:val="single" w:sz="4" w:space="0" w:color="auto"/>
            </w:tcBorders>
            <w:hideMark/>
          </w:tcPr>
          <w:p w14:paraId="5D8C86BF" w14:textId="77777777" w:rsidR="00197EC0" w:rsidRPr="00197EC0" w:rsidRDefault="00197EC0" w:rsidP="00107F42">
            <w:pPr>
              <w:jc w:val="center"/>
              <w:rPr>
                <w:rFonts w:cs="Arial"/>
              </w:rPr>
            </w:pPr>
            <w:r w:rsidRPr="00197EC0">
              <w:rPr>
                <w:rFonts w:cs="Arial"/>
              </w:rPr>
              <w:t>81.5</w:t>
            </w:r>
          </w:p>
        </w:tc>
        <w:tc>
          <w:tcPr>
            <w:tcW w:w="3006" w:type="dxa"/>
            <w:tcBorders>
              <w:top w:val="single" w:sz="4" w:space="0" w:color="auto"/>
              <w:left w:val="single" w:sz="4" w:space="0" w:color="auto"/>
              <w:bottom w:val="single" w:sz="4" w:space="0" w:color="auto"/>
              <w:right w:val="single" w:sz="4" w:space="0" w:color="auto"/>
            </w:tcBorders>
            <w:hideMark/>
          </w:tcPr>
          <w:p w14:paraId="731A42CC" w14:textId="77777777" w:rsidR="00197EC0" w:rsidRPr="00197EC0" w:rsidRDefault="00197EC0" w:rsidP="00107F42">
            <w:pPr>
              <w:jc w:val="center"/>
              <w:rPr>
                <w:rFonts w:cs="Arial"/>
              </w:rPr>
            </w:pPr>
            <w:r w:rsidRPr="00197EC0">
              <w:rPr>
                <w:rFonts w:cs="Arial"/>
              </w:rPr>
              <w:t>76.9</w:t>
            </w:r>
          </w:p>
        </w:tc>
      </w:tr>
      <w:tr w:rsidR="00197EC0" w:rsidRPr="00D0306F" w14:paraId="1E6B6B6B" w14:textId="77777777" w:rsidTr="00197EC0">
        <w:tc>
          <w:tcPr>
            <w:tcW w:w="3005" w:type="dxa"/>
            <w:tcBorders>
              <w:top w:val="single" w:sz="4" w:space="0" w:color="auto"/>
              <w:left w:val="single" w:sz="4" w:space="0" w:color="auto"/>
              <w:bottom w:val="single" w:sz="4" w:space="0" w:color="auto"/>
              <w:right w:val="single" w:sz="4" w:space="0" w:color="auto"/>
            </w:tcBorders>
            <w:hideMark/>
          </w:tcPr>
          <w:p w14:paraId="6FD16353" w14:textId="77777777" w:rsidR="00197EC0" w:rsidRPr="00197EC0" w:rsidRDefault="00197EC0" w:rsidP="00107F42">
            <w:pPr>
              <w:rPr>
                <w:rFonts w:cs="Arial"/>
              </w:rPr>
            </w:pPr>
            <w:r w:rsidRPr="00197EC0">
              <w:rPr>
                <w:rFonts w:cs="Arial"/>
              </w:rPr>
              <w:t>Wales</w:t>
            </w:r>
          </w:p>
        </w:tc>
        <w:tc>
          <w:tcPr>
            <w:tcW w:w="3005" w:type="dxa"/>
            <w:tcBorders>
              <w:top w:val="single" w:sz="4" w:space="0" w:color="auto"/>
              <w:left w:val="single" w:sz="4" w:space="0" w:color="auto"/>
              <w:bottom w:val="single" w:sz="4" w:space="0" w:color="auto"/>
              <w:right w:val="single" w:sz="4" w:space="0" w:color="auto"/>
            </w:tcBorders>
            <w:shd w:val="clear" w:color="auto" w:fill="FFFFFF"/>
            <w:hideMark/>
          </w:tcPr>
          <w:p w14:paraId="4EDC5A17" w14:textId="77777777" w:rsidR="00197EC0" w:rsidRPr="00197EC0" w:rsidRDefault="00197EC0" w:rsidP="00107F42">
            <w:pPr>
              <w:jc w:val="center"/>
              <w:rPr>
                <w:rFonts w:cs="Arial"/>
              </w:rPr>
            </w:pPr>
            <w:r w:rsidRPr="00197EC0">
              <w:rPr>
                <w:rFonts w:cs="Arial"/>
              </w:rPr>
              <w:t>81.8</w:t>
            </w:r>
          </w:p>
        </w:tc>
        <w:tc>
          <w:tcPr>
            <w:tcW w:w="3006" w:type="dxa"/>
            <w:tcBorders>
              <w:top w:val="single" w:sz="4" w:space="0" w:color="auto"/>
              <w:left w:val="single" w:sz="4" w:space="0" w:color="auto"/>
              <w:bottom w:val="single" w:sz="4" w:space="0" w:color="auto"/>
              <w:right w:val="single" w:sz="4" w:space="0" w:color="auto"/>
            </w:tcBorders>
            <w:shd w:val="clear" w:color="auto" w:fill="FFFFFF"/>
            <w:hideMark/>
          </w:tcPr>
          <w:p w14:paraId="767916C5" w14:textId="77777777" w:rsidR="00197EC0" w:rsidRPr="00197EC0" w:rsidRDefault="00197EC0" w:rsidP="00107F42">
            <w:pPr>
              <w:jc w:val="center"/>
              <w:rPr>
                <w:rFonts w:cs="Arial"/>
              </w:rPr>
            </w:pPr>
            <w:r w:rsidRPr="00197EC0">
              <w:rPr>
                <w:rFonts w:cs="Arial"/>
              </w:rPr>
              <w:t>77.9</w:t>
            </w:r>
          </w:p>
        </w:tc>
      </w:tr>
    </w:tbl>
    <w:p w14:paraId="1A04B86C" w14:textId="77777777" w:rsidR="00197EC0" w:rsidRPr="00197EC0" w:rsidRDefault="00197EC0" w:rsidP="00107F42">
      <w:pPr>
        <w:contextualSpacing/>
        <w:rPr>
          <w:rFonts w:eastAsia="Aptos" w:cs="Arial"/>
        </w:rPr>
      </w:pPr>
    </w:p>
    <w:p w14:paraId="4223C4D3" w14:textId="77777777" w:rsidR="00197EC0" w:rsidRPr="00197EC0" w:rsidRDefault="00197EC0" w:rsidP="00107F42">
      <w:pPr>
        <w:contextualSpacing/>
        <w:rPr>
          <w:rFonts w:eastAsia="Aptos" w:cs="Arial"/>
          <w:kern w:val="0"/>
          <w14:ligatures w14:val="none"/>
        </w:rPr>
      </w:pPr>
      <w:r w:rsidRPr="00197EC0">
        <w:rPr>
          <w:rFonts w:eastAsia="Aptos" w:cs="Arial"/>
        </w:rPr>
        <w:t>Disclaimer: Whilst the data presented in healthy life expectancy show figures for 2024, data from the years 2020 to 2022 have been used to ensure consistency and comparability across all years.</w:t>
      </w:r>
    </w:p>
    <w:p w14:paraId="7142B854" w14:textId="77777777" w:rsidR="00197EC0" w:rsidRPr="00197EC0" w:rsidRDefault="00197EC0" w:rsidP="00107F42">
      <w:pPr>
        <w:rPr>
          <w:rFonts w:eastAsia="Times New Roman" w:cs="Arial"/>
          <w:b/>
          <w:bCs/>
          <w:kern w:val="0"/>
          <w:lang w:eastAsia="en-GB"/>
          <w14:ligatures w14:val="none"/>
        </w:rPr>
      </w:pPr>
    </w:p>
    <w:p w14:paraId="27A65B03"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10.2.3 Deprivation</w:t>
      </w:r>
    </w:p>
    <w:p w14:paraId="33FE5C88" w14:textId="77777777" w:rsidR="00197EC0" w:rsidRPr="00197EC0" w:rsidRDefault="00197EC0" w:rsidP="00107F42">
      <w:pPr>
        <w:rPr>
          <w:rFonts w:eastAsia="Times New Roman" w:cs="Arial"/>
          <w:b/>
          <w:bCs/>
          <w:kern w:val="0"/>
          <w:lang w:eastAsia="en-GB"/>
          <w14:ligatures w14:val="none"/>
        </w:rPr>
      </w:pPr>
    </w:p>
    <w:p w14:paraId="40308A19" w14:textId="77777777" w:rsidR="00197EC0" w:rsidRPr="00197EC0" w:rsidRDefault="00197EC0" w:rsidP="00107F42">
      <w:pPr>
        <w:contextualSpacing/>
        <w:rPr>
          <w:rFonts w:eastAsia="Aptos" w:cs="Arial"/>
          <w:lang w:eastAsia="en-GB"/>
        </w:rPr>
      </w:pPr>
      <w:r w:rsidRPr="00197EC0">
        <w:rPr>
          <w:rFonts w:eastAsia="Aptos" w:cs="Arial"/>
        </w:rPr>
        <w:t xml:space="preserve">The link between deprivation and poor health is well documented. Of the five localities in Swansea, Cwmtawe has a moderately high proportion of people living in the most deprived areas in Wales (22.0%), compared with Bay Health (8.3%), Llwchwr (8.4%), City Health (47.1%), and Penderi (49.7%), and the health board as a whole (27.9%). </w:t>
      </w:r>
      <w:r w:rsidRPr="00197EC0">
        <w:rPr>
          <w:rFonts w:eastAsia="Times New Roman" w:cs="Arial"/>
          <w:kern w:val="0"/>
          <w:lang w:eastAsia="en-GB"/>
          <w14:ligatures w14:val="none"/>
        </w:rPr>
        <w:t>There are, however, small areas of “deep-rooted” deprivation</w:t>
      </w:r>
      <w:r w:rsidRPr="00197EC0">
        <w:rPr>
          <w:rFonts w:eastAsia="Times New Roman" w:cs="Arial"/>
          <w:kern w:val="0"/>
          <w:vertAlign w:val="superscript"/>
          <w:lang w:eastAsia="en-GB"/>
          <w14:ligatures w14:val="none"/>
        </w:rPr>
        <w:footnoteReference w:id="265"/>
      </w:r>
      <w:r w:rsidRPr="00197EC0">
        <w:rPr>
          <w:rFonts w:eastAsia="Times New Roman" w:cs="Arial"/>
          <w:kern w:val="0"/>
          <w:lang w:eastAsia="en-GB"/>
          <w14:ligatures w14:val="none"/>
        </w:rPr>
        <w:t xml:space="preserve"> that have remained within the top 50 most deprived areas, roughly equal to the top 2.6% of small areas in Wales for the last six publications of the Welsh Index of </w:t>
      </w:r>
      <w:r w:rsidRPr="00197EC0">
        <w:rPr>
          <w:rFonts w:eastAsia="Times New Roman" w:cs="Arial"/>
          <w:kern w:val="0"/>
          <w:lang w:eastAsia="en-GB"/>
          <w14:ligatures w14:val="none"/>
        </w:rPr>
        <w:lastRenderedPageBreak/>
        <w:t>Multiple deprivation ranks. Where areas of deprivation exist, the population is likely to be experiencing the poorest health.</w:t>
      </w:r>
    </w:p>
    <w:p w14:paraId="212EBFDE" w14:textId="77777777" w:rsidR="00197EC0" w:rsidRPr="00197EC0" w:rsidRDefault="00197EC0" w:rsidP="00107F42">
      <w:pPr>
        <w:rPr>
          <w:rFonts w:eastAsia="Times New Roman" w:cs="Arial"/>
          <w:b/>
          <w:bCs/>
          <w:kern w:val="0"/>
          <w:lang w:eastAsia="en-GB"/>
          <w14:ligatures w14:val="none"/>
        </w:rPr>
      </w:pPr>
    </w:p>
    <w:p w14:paraId="198378E0"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The table below shows the estimated percentage of people living in the most deprived 20% areas in the locality, compared with the health board.</w:t>
      </w:r>
    </w:p>
    <w:p w14:paraId="63C0D8F4" w14:textId="77777777" w:rsidR="00197EC0" w:rsidRPr="00197EC0" w:rsidRDefault="00197EC0" w:rsidP="00107F42">
      <w:pPr>
        <w:rPr>
          <w:rFonts w:eastAsia="Times New Roman" w:cs="Arial"/>
          <w:kern w:val="0"/>
          <w:lang w:eastAsia="en-GB"/>
          <w14:ligatures w14:val="none"/>
        </w:rPr>
      </w:pPr>
    </w:p>
    <w:p w14:paraId="784FEF97"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Table 10.2: Estimated percentage of people living in the most deprived 20% of areas in the locality and the health board (2025)</w:t>
      </w:r>
      <w:r w:rsidRPr="00197EC0">
        <w:rPr>
          <w:rFonts w:eastAsia="Times New Roman" w:cs="Arial"/>
          <w:b/>
          <w:bCs/>
          <w:kern w:val="0"/>
          <w:vertAlign w:val="superscript"/>
          <w:lang w:eastAsia="en-GB"/>
          <w14:ligatures w14:val="none"/>
        </w:rPr>
        <w:footnoteReference w:id="266"/>
      </w:r>
    </w:p>
    <w:p w14:paraId="2DA763BA" w14:textId="77777777" w:rsidR="00197EC0" w:rsidRPr="00197EC0" w:rsidRDefault="00197EC0" w:rsidP="00107F42">
      <w:pPr>
        <w:rPr>
          <w:rFonts w:eastAsia="Times New Roman" w:cs="Arial"/>
          <w:b/>
          <w:bCs/>
          <w:kern w:val="0"/>
          <w:lang w:eastAsia="en-GB"/>
          <w14:ligatures w14:val="none"/>
        </w:rPr>
      </w:pPr>
    </w:p>
    <w:tbl>
      <w:tblPr>
        <w:tblStyle w:val="TableGrid"/>
        <w:tblW w:w="0" w:type="auto"/>
        <w:tblInd w:w="0" w:type="dxa"/>
        <w:tblLook w:val="04A0" w:firstRow="1" w:lastRow="0" w:firstColumn="1" w:lastColumn="0" w:noHBand="0" w:noVBand="1"/>
      </w:tblPr>
      <w:tblGrid>
        <w:gridCol w:w="5382"/>
        <w:gridCol w:w="3634"/>
      </w:tblGrid>
      <w:tr w:rsidR="00107F42" w:rsidRPr="00D0306F" w14:paraId="08C55596" w14:textId="77777777" w:rsidTr="00197EC0">
        <w:tc>
          <w:tcPr>
            <w:tcW w:w="5382" w:type="dxa"/>
            <w:tcBorders>
              <w:top w:val="single" w:sz="4" w:space="0" w:color="auto"/>
              <w:left w:val="single" w:sz="4" w:space="0" w:color="auto"/>
              <w:bottom w:val="single" w:sz="4" w:space="0" w:color="auto"/>
              <w:right w:val="single" w:sz="4" w:space="0" w:color="auto"/>
            </w:tcBorders>
            <w:shd w:val="clear" w:color="auto" w:fill="153D63"/>
            <w:hideMark/>
          </w:tcPr>
          <w:p w14:paraId="09A99165" w14:textId="77777777" w:rsidR="00197EC0" w:rsidRPr="00197EC0" w:rsidRDefault="00197EC0" w:rsidP="00107F42">
            <w:pPr>
              <w:rPr>
                <w:rFonts w:cs="Arial"/>
                <w:b/>
                <w:bCs/>
              </w:rPr>
            </w:pPr>
            <w:r w:rsidRPr="00197EC0">
              <w:rPr>
                <w:rFonts w:cs="Arial"/>
                <w:b/>
                <w:bCs/>
              </w:rPr>
              <w:t>Area</w:t>
            </w:r>
          </w:p>
        </w:tc>
        <w:tc>
          <w:tcPr>
            <w:tcW w:w="3634" w:type="dxa"/>
            <w:tcBorders>
              <w:top w:val="single" w:sz="4" w:space="0" w:color="auto"/>
              <w:left w:val="single" w:sz="4" w:space="0" w:color="auto"/>
              <w:bottom w:val="single" w:sz="4" w:space="0" w:color="auto"/>
              <w:right w:val="single" w:sz="4" w:space="0" w:color="auto"/>
            </w:tcBorders>
            <w:shd w:val="clear" w:color="auto" w:fill="153D63"/>
            <w:hideMark/>
          </w:tcPr>
          <w:p w14:paraId="493B735B" w14:textId="77777777" w:rsidR="00197EC0" w:rsidRPr="00197EC0" w:rsidRDefault="00197EC0" w:rsidP="00107F42">
            <w:pPr>
              <w:jc w:val="center"/>
              <w:rPr>
                <w:rFonts w:cs="Arial"/>
                <w:b/>
                <w:bCs/>
              </w:rPr>
            </w:pPr>
            <w:r w:rsidRPr="00197EC0">
              <w:rPr>
                <w:rFonts w:cs="Arial"/>
                <w:b/>
                <w:bCs/>
              </w:rPr>
              <w:t>Percentage</w:t>
            </w:r>
          </w:p>
        </w:tc>
      </w:tr>
      <w:tr w:rsidR="00197EC0" w:rsidRPr="00197EC0" w14:paraId="67FF2EF1" w14:textId="77777777" w:rsidTr="00197EC0">
        <w:tc>
          <w:tcPr>
            <w:tcW w:w="5382" w:type="dxa"/>
            <w:tcBorders>
              <w:top w:val="single" w:sz="4" w:space="0" w:color="auto"/>
              <w:left w:val="single" w:sz="4" w:space="0" w:color="auto"/>
              <w:bottom w:val="single" w:sz="4" w:space="0" w:color="auto"/>
              <w:right w:val="single" w:sz="4" w:space="0" w:color="auto"/>
            </w:tcBorders>
            <w:hideMark/>
          </w:tcPr>
          <w:p w14:paraId="157101B5" w14:textId="77777777" w:rsidR="00197EC0" w:rsidRPr="00197EC0" w:rsidRDefault="00197EC0" w:rsidP="00107F42">
            <w:pPr>
              <w:rPr>
                <w:rFonts w:cs="Arial"/>
              </w:rPr>
            </w:pPr>
            <w:r w:rsidRPr="00197EC0">
              <w:rPr>
                <w:rFonts w:cs="Arial"/>
              </w:rPr>
              <w:t>Cwmtawe locality</w:t>
            </w:r>
          </w:p>
        </w:tc>
        <w:tc>
          <w:tcPr>
            <w:tcW w:w="3634" w:type="dxa"/>
            <w:tcBorders>
              <w:top w:val="single" w:sz="4" w:space="0" w:color="auto"/>
              <w:left w:val="single" w:sz="4" w:space="0" w:color="auto"/>
              <w:bottom w:val="single" w:sz="4" w:space="0" w:color="auto"/>
              <w:right w:val="single" w:sz="4" w:space="0" w:color="auto"/>
            </w:tcBorders>
            <w:hideMark/>
          </w:tcPr>
          <w:p w14:paraId="2B5B48A8" w14:textId="77777777" w:rsidR="00197EC0" w:rsidRPr="00197EC0" w:rsidRDefault="00197EC0" w:rsidP="00107F42">
            <w:pPr>
              <w:jc w:val="center"/>
              <w:rPr>
                <w:rFonts w:cs="Arial"/>
              </w:rPr>
            </w:pPr>
            <w:r w:rsidRPr="00197EC0">
              <w:rPr>
                <w:rFonts w:cs="Arial"/>
              </w:rPr>
              <w:t>22.0%</w:t>
            </w:r>
          </w:p>
        </w:tc>
      </w:tr>
      <w:tr w:rsidR="00197EC0" w:rsidRPr="00197EC0" w14:paraId="53E0AE28" w14:textId="77777777" w:rsidTr="00197EC0">
        <w:tc>
          <w:tcPr>
            <w:tcW w:w="5382" w:type="dxa"/>
            <w:tcBorders>
              <w:top w:val="single" w:sz="4" w:space="0" w:color="auto"/>
              <w:left w:val="single" w:sz="4" w:space="0" w:color="auto"/>
              <w:bottom w:val="single" w:sz="4" w:space="0" w:color="auto"/>
              <w:right w:val="single" w:sz="4" w:space="0" w:color="auto"/>
            </w:tcBorders>
            <w:hideMark/>
          </w:tcPr>
          <w:p w14:paraId="43B8D28E" w14:textId="77777777" w:rsidR="00197EC0" w:rsidRPr="00197EC0" w:rsidRDefault="00197EC0" w:rsidP="00107F42">
            <w:pPr>
              <w:rPr>
                <w:rFonts w:cs="Arial"/>
              </w:rPr>
            </w:pPr>
            <w:r w:rsidRPr="00197EC0">
              <w:rPr>
                <w:rFonts w:cs="Arial"/>
              </w:rPr>
              <w:t>Swansea Bay University Health Board</w:t>
            </w:r>
          </w:p>
        </w:tc>
        <w:tc>
          <w:tcPr>
            <w:tcW w:w="3634" w:type="dxa"/>
            <w:tcBorders>
              <w:top w:val="single" w:sz="4" w:space="0" w:color="auto"/>
              <w:left w:val="single" w:sz="4" w:space="0" w:color="auto"/>
              <w:bottom w:val="single" w:sz="4" w:space="0" w:color="auto"/>
              <w:right w:val="single" w:sz="4" w:space="0" w:color="auto"/>
            </w:tcBorders>
            <w:hideMark/>
          </w:tcPr>
          <w:p w14:paraId="247266DB" w14:textId="77777777" w:rsidR="00197EC0" w:rsidRPr="00197EC0" w:rsidRDefault="00197EC0" w:rsidP="00107F42">
            <w:pPr>
              <w:jc w:val="center"/>
              <w:rPr>
                <w:rFonts w:cs="Arial"/>
              </w:rPr>
            </w:pPr>
            <w:r w:rsidRPr="00197EC0">
              <w:rPr>
                <w:rFonts w:cs="Arial"/>
              </w:rPr>
              <w:t>27.9%</w:t>
            </w:r>
          </w:p>
        </w:tc>
      </w:tr>
    </w:tbl>
    <w:p w14:paraId="6D86231F" w14:textId="77777777" w:rsidR="00197EC0" w:rsidRPr="00197EC0" w:rsidRDefault="00197EC0" w:rsidP="00107F42">
      <w:pPr>
        <w:rPr>
          <w:rFonts w:eastAsia="Times New Roman" w:cs="Arial"/>
          <w:kern w:val="0"/>
          <w:lang w:eastAsia="en-GB"/>
          <w14:ligatures w14:val="none"/>
        </w:rPr>
      </w:pPr>
    </w:p>
    <w:p w14:paraId="4DFE605C"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 xml:space="preserve">10.2.4 Health profile </w:t>
      </w:r>
    </w:p>
    <w:p w14:paraId="32C38C41" w14:textId="77777777" w:rsidR="00197EC0" w:rsidRPr="00197EC0" w:rsidRDefault="00197EC0" w:rsidP="00107F42">
      <w:pPr>
        <w:rPr>
          <w:rFonts w:eastAsia="Aptos" w:cs="Arial"/>
        </w:rPr>
      </w:pPr>
    </w:p>
    <w:p w14:paraId="12E8637F" w14:textId="77777777" w:rsidR="00197EC0" w:rsidRPr="00197EC0" w:rsidRDefault="00197EC0" w:rsidP="00107F42">
      <w:pPr>
        <w:contextualSpacing/>
        <w:rPr>
          <w:rFonts w:eastAsia="Aptos" w:cs="Arial"/>
          <w:lang w:eastAsia="en-GB"/>
        </w:rPr>
      </w:pPr>
      <w:r w:rsidRPr="00197EC0">
        <w:rPr>
          <w:rFonts w:eastAsia="Aptos" w:cs="Arial"/>
        </w:rPr>
        <w:t>The table below shows that the locality has lower estimated prevalence of chronic conditions than both the health board and Wales averages in asthma (0.8% and 0.9% lower respectively) and chronic obstructive pulmonary disease (0.8% and 0.9% lower respectively). Coronary heart disease aligns with the health board average but is lower than the Wales average (0.1% lower) and heart failure is lower than the health board average (0.1% lower) but higher than the Wales average (0.1% higher). Diabetes is higher than both the health board and Wales averages (0.8% and 0.5% higher respectively) and higher in stroke and transient ischaemic attack than both the health board and Wales average (0.1% higher).</w:t>
      </w:r>
    </w:p>
    <w:p w14:paraId="783DB65B" w14:textId="77777777" w:rsidR="00197EC0" w:rsidRPr="00197EC0" w:rsidRDefault="00197EC0" w:rsidP="00107F42">
      <w:pPr>
        <w:keepNext/>
        <w:rPr>
          <w:rFonts w:eastAsia="Times New Roman" w:cs="Arial"/>
          <w:bCs/>
          <w:kern w:val="0"/>
          <w14:ligatures w14:val="none"/>
        </w:rPr>
      </w:pPr>
    </w:p>
    <w:p w14:paraId="7289BC3D" w14:textId="77777777" w:rsidR="00197EC0" w:rsidRPr="00197EC0" w:rsidRDefault="00197EC0" w:rsidP="00107F42">
      <w:pPr>
        <w:keepNext/>
        <w:rPr>
          <w:rFonts w:eastAsia="Times New Roman" w:cs="Arial"/>
          <w:b/>
          <w:bCs/>
          <w:kern w:val="0"/>
          <w14:ligatures w14:val="none"/>
        </w:rPr>
      </w:pPr>
      <w:r w:rsidRPr="00197EC0">
        <w:rPr>
          <w:rFonts w:eastAsia="Times New Roman" w:cs="Arial"/>
          <w:b/>
          <w:bCs/>
          <w:kern w:val="0"/>
          <w14:ligatures w14:val="none"/>
        </w:rPr>
        <w:t>Table 10.3: Estimated percentage prevalence of chronic condition based on people on GP practice registers by locality, health board and Wales, 2025</w:t>
      </w:r>
      <w:r w:rsidRPr="00197EC0">
        <w:rPr>
          <w:rFonts w:eastAsia="Times New Roman" w:cs="Arial"/>
          <w:b/>
          <w:bCs/>
          <w:kern w:val="0"/>
          <w:vertAlign w:val="superscript"/>
          <w14:ligatures w14:val="none"/>
        </w:rPr>
        <w:footnoteReference w:id="267"/>
      </w:r>
    </w:p>
    <w:p w14:paraId="290761AE" w14:textId="77777777" w:rsidR="00197EC0" w:rsidRPr="00197EC0" w:rsidRDefault="00197EC0" w:rsidP="00107F42">
      <w:pPr>
        <w:keepNext/>
        <w:rPr>
          <w:rFonts w:eastAsia="Times New Roman" w:cs="Arial"/>
          <w:b/>
          <w:kern w:val="0"/>
          <w14:ligatures w14:val="none"/>
        </w:rPr>
      </w:pPr>
    </w:p>
    <w:tbl>
      <w:tblPr>
        <w:tblStyle w:val="TableGrid"/>
        <w:tblW w:w="9214" w:type="dxa"/>
        <w:tblInd w:w="-5" w:type="dxa"/>
        <w:tblLook w:val="04A0" w:firstRow="1" w:lastRow="0" w:firstColumn="1" w:lastColumn="0" w:noHBand="0" w:noVBand="1"/>
      </w:tblPr>
      <w:tblGrid>
        <w:gridCol w:w="1364"/>
        <w:gridCol w:w="1135"/>
        <w:gridCol w:w="1284"/>
        <w:gridCol w:w="1510"/>
        <w:gridCol w:w="1231"/>
        <w:gridCol w:w="1007"/>
        <w:gridCol w:w="1683"/>
      </w:tblGrid>
      <w:tr w:rsidR="00197EC0" w:rsidRPr="00D0306F" w14:paraId="68120D5A" w14:textId="77777777" w:rsidTr="00197EC0">
        <w:tc>
          <w:tcPr>
            <w:tcW w:w="1364" w:type="dxa"/>
            <w:tcBorders>
              <w:top w:val="single" w:sz="4" w:space="0" w:color="auto"/>
              <w:left w:val="single" w:sz="4" w:space="0" w:color="auto"/>
              <w:bottom w:val="single" w:sz="4" w:space="0" w:color="auto"/>
              <w:right w:val="single" w:sz="4" w:space="0" w:color="auto"/>
            </w:tcBorders>
            <w:shd w:val="clear" w:color="auto" w:fill="153D63"/>
            <w:hideMark/>
          </w:tcPr>
          <w:p w14:paraId="1B3B0AE2" w14:textId="77777777" w:rsidR="00197EC0" w:rsidRPr="00197EC0" w:rsidRDefault="00197EC0" w:rsidP="00107F42">
            <w:pPr>
              <w:keepNext/>
              <w:rPr>
                <w:rFonts w:cs="Arial"/>
                <w:b/>
              </w:rPr>
            </w:pPr>
            <w:r w:rsidRPr="00197EC0">
              <w:rPr>
                <w:rFonts w:cs="Arial"/>
                <w:b/>
                <w:bCs/>
              </w:rPr>
              <w:t>Area</w:t>
            </w:r>
          </w:p>
        </w:tc>
        <w:tc>
          <w:tcPr>
            <w:tcW w:w="1135" w:type="dxa"/>
            <w:tcBorders>
              <w:top w:val="single" w:sz="4" w:space="0" w:color="auto"/>
              <w:left w:val="single" w:sz="4" w:space="0" w:color="auto"/>
              <w:bottom w:val="single" w:sz="4" w:space="0" w:color="auto"/>
              <w:right w:val="single" w:sz="4" w:space="0" w:color="auto"/>
            </w:tcBorders>
            <w:shd w:val="clear" w:color="auto" w:fill="153D63"/>
            <w:hideMark/>
          </w:tcPr>
          <w:p w14:paraId="431D3C32" w14:textId="77777777" w:rsidR="00197EC0" w:rsidRPr="00197EC0" w:rsidRDefault="00197EC0" w:rsidP="00107F42">
            <w:pPr>
              <w:keepNext/>
              <w:rPr>
                <w:rFonts w:cs="Arial"/>
                <w:b/>
              </w:rPr>
            </w:pPr>
            <w:r w:rsidRPr="00197EC0">
              <w:rPr>
                <w:rFonts w:cs="Arial"/>
                <w:b/>
                <w:bCs/>
              </w:rPr>
              <w:t>Asthma</w:t>
            </w:r>
          </w:p>
        </w:tc>
        <w:tc>
          <w:tcPr>
            <w:tcW w:w="1284" w:type="dxa"/>
            <w:tcBorders>
              <w:top w:val="single" w:sz="4" w:space="0" w:color="auto"/>
              <w:left w:val="single" w:sz="4" w:space="0" w:color="auto"/>
              <w:bottom w:val="single" w:sz="4" w:space="0" w:color="auto"/>
              <w:right w:val="single" w:sz="4" w:space="0" w:color="auto"/>
            </w:tcBorders>
            <w:shd w:val="clear" w:color="auto" w:fill="153D63"/>
            <w:hideMark/>
          </w:tcPr>
          <w:p w14:paraId="539B1790" w14:textId="77777777" w:rsidR="00197EC0" w:rsidRPr="00197EC0" w:rsidRDefault="00197EC0" w:rsidP="00107F42">
            <w:pPr>
              <w:keepNext/>
              <w:rPr>
                <w:rFonts w:cs="Arial"/>
                <w:b/>
              </w:rPr>
            </w:pPr>
            <w:r w:rsidRPr="00197EC0">
              <w:rPr>
                <w:rFonts w:cs="Arial"/>
                <w:b/>
                <w:bCs/>
              </w:rPr>
              <w:t>Coronary heart disease</w:t>
            </w:r>
          </w:p>
        </w:tc>
        <w:tc>
          <w:tcPr>
            <w:tcW w:w="1510" w:type="dxa"/>
            <w:tcBorders>
              <w:top w:val="single" w:sz="4" w:space="0" w:color="auto"/>
              <w:left w:val="single" w:sz="4" w:space="0" w:color="auto"/>
              <w:bottom w:val="single" w:sz="4" w:space="0" w:color="auto"/>
              <w:right w:val="single" w:sz="4" w:space="0" w:color="auto"/>
            </w:tcBorders>
            <w:shd w:val="clear" w:color="auto" w:fill="153D63"/>
            <w:hideMark/>
          </w:tcPr>
          <w:p w14:paraId="7FE3E180" w14:textId="77777777" w:rsidR="00197EC0" w:rsidRPr="00197EC0" w:rsidRDefault="00197EC0" w:rsidP="00107F42">
            <w:pPr>
              <w:keepNext/>
              <w:rPr>
                <w:rFonts w:cs="Arial"/>
                <w:b/>
              </w:rPr>
            </w:pPr>
            <w:r w:rsidRPr="00197EC0">
              <w:rPr>
                <w:rFonts w:cs="Arial"/>
                <w:b/>
                <w:bCs/>
              </w:rPr>
              <w:t>Chronic obstructive pulmonary disease</w:t>
            </w:r>
          </w:p>
        </w:tc>
        <w:tc>
          <w:tcPr>
            <w:tcW w:w="1231" w:type="dxa"/>
            <w:tcBorders>
              <w:top w:val="single" w:sz="4" w:space="0" w:color="auto"/>
              <w:left w:val="single" w:sz="4" w:space="0" w:color="auto"/>
              <w:bottom w:val="single" w:sz="4" w:space="0" w:color="auto"/>
              <w:right w:val="single" w:sz="4" w:space="0" w:color="auto"/>
            </w:tcBorders>
            <w:shd w:val="clear" w:color="auto" w:fill="153D63"/>
            <w:hideMark/>
          </w:tcPr>
          <w:p w14:paraId="644EE4CF" w14:textId="77777777" w:rsidR="00197EC0" w:rsidRPr="00197EC0" w:rsidRDefault="00197EC0" w:rsidP="00107F42">
            <w:pPr>
              <w:keepNext/>
              <w:rPr>
                <w:rFonts w:cs="Arial"/>
                <w:b/>
              </w:rPr>
            </w:pPr>
            <w:r w:rsidRPr="00197EC0">
              <w:rPr>
                <w:rFonts w:cs="Arial"/>
                <w:b/>
                <w:bCs/>
              </w:rPr>
              <w:t>Diabetes</w:t>
            </w:r>
          </w:p>
        </w:tc>
        <w:tc>
          <w:tcPr>
            <w:tcW w:w="1007" w:type="dxa"/>
            <w:tcBorders>
              <w:top w:val="single" w:sz="4" w:space="0" w:color="auto"/>
              <w:left w:val="single" w:sz="4" w:space="0" w:color="auto"/>
              <w:bottom w:val="single" w:sz="4" w:space="0" w:color="auto"/>
              <w:right w:val="single" w:sz="4" w:space="0" w:color="auto"/>
            </w:tcBorders>
            <w:shd w:val="clear" w:color="auto" w:fill="153D63"/>
            <w:hideMark/>
          </w:tcPr>
          <w:p w14:paraId="41ACB609" w14:textId="77777777" w:rsidR="00197EC0" w:rsidRPr="00197EC0" w:rsidRDefault="00197EC0" w:rsidP="00107F42">
            <w:pPr>
              <w:keepNext/>
              <w:rPr>
                <w:rFonts w:cs="Arial"/>
                <w:b/>
              </w:rPr>
            </w:pPr>
            <w:r w:rsidRPr="00197EC0">
              <w:rPr>
                <w:rFonts w:cs="Arial"/>
                <w:b/>
                <w:bCs/>
              </w:rPr>
              <w:t>Heart failure</w:t>
            </w:r>
          </w:p>
        </w:tc>
        <w:tc>
          <w:tcPr>
            <w:tcW w:w="1683" w:type="dxa"/>
            <w:tcBorders>
              <w:top w:val="single" w:sz="4" w:space="0" w:color="auto"/>
              <w:left w:val="single" w:sz="4" w:space="0" w:color="auto"/>
              <w:bottom w:val="single" w:sz="4" w:space="0" w:color="auto"/>
              <w:right w:val="single" w:sz="4" w:space="0" w:color="auto"/>
            </w:tcBorders>
            <w:shd w:val="clear" w:color="auto" w:fill="153D63"/>
            <w:hideMark/>
          </w:tcPr>
          <w:p w14:paraId="19D05322" w14:textId="77777777" w:rsidR="00197EC0" w:rsidRPr="00197EC0" w:rsidRDefault="00197EC0" w:rsidP="00107F42">
            <w:pPr>
              <w:keepNext/>
              <w:rPr>
                <w:rFonts w:cs="Arial"/>
                <w:b/>
              </w:rPr>
            </w:pPr>
            <w:r w:rsidRPr="00197EC0">
              <w:rPr>
                <w:rFonts w:cs="Arial"/>
                <w:b/>
                <w:bCs/>
              </w:rPr>
              <w:t>Stroke and transient ischaemic attacks</w:t>
            </w:r>
          </w:p>
        </w:tc>
      </w:tr>
      <w:tr w:rsidR="00197EC0" w:rsidRPr="00197EC0" w14:paraId="4E61202F" w14:textId="77777777" w:rsidTr="00197EC0">
        <w:tc>
          <w:tcPr>
            <w:tcW w:w="1364" w:type="dxa"/>
            <w:tcBorders>
              <w:top w:val="single" w:sz="4" w:space="0" w:color="auto"/>
              <w:left w:val="single" w:sz="4" w:space="0" w:color="auto"/>
              <w:bottom w:val="single" w:sz="4" w:space="0" w:color="auto"/>
              <w:right w:val="single" w:sz="4" w:space="0" w:color="auto"/>
            </w:tcBorders>
            <w:hideMark/>
          </w:tcPr>
          <w:p w14:paraId="179712E9" w14:textId="77777777" w:rsidR="00197EC0" w:rsidRPr="00197EC0" w:rsidRDefault="00197EC0" w:rsidP="00107F42">
            <w:pPr>
              <w:keepNext/>
              <w:rPr>
                <w:rFonts w:cs="Arial"/>
              </w:rPr>
            </w:pPr>
            <w:r w:rsidRPr="00197EC0">
              <w:rPr>
                <w:rFonts w:cs="Arial"/>
              </w:rPr>
              <w:t>Cwmtawe locality</w:t>
            </w:r>
          </w:p>
        </w:tc>
        <w:tc>
          <w:tcPr>
            <w:tcW w:w="1135" w:type="dxa"/>
            <w:tcBorders>
              <w:top w:val="single" w:sz="4" w:space="0" w:color="auto"/>
              <w:left w:val="single" w:sz="4" w:space="0" w:color="auto"/>
              <w:bottom w:val="single" w:sz="4" w:space="0" w:color="auto"/>
              <w:right w:val="single" w:sz="4" w:space="0" w:color="auto"/>
            </w:tcBorders>
            <w:hideMark/>
          </w:tcPr>
          <w:p w14:paraId="19BD26A0" w14:textId="77777777" w:rsidR="00197EC0" w:rsidRPr="00197EC0" w:rsidRDefault="00197EC0" w:rsidP="00107F42">
            <w:pPr>
              <w:keepNext/>
              <w:rPr>
                <w:rFonts w:cs="Arial"/>
                <w:bCs/>
              </w:rPr>
            </w:pPr>
            <w:r w:rsidRPr="00197EC0">
              <w:rPr>
                <w:rFonts w:cs="Arial"/>
                <w:bCs/>
              </w:rPr>
              <w:t>6.4%</w:t>
            </w:r>
          </w:p>
        </w:tc>
        <w:tc>
          <w:tcPr>
            <w:tcW w:w="1284" w:type="dxa"/>
            <w:tcBorders>
              <w:top w:val="single" w:sz="4" w:space="0" w:color="auto"/>
              <w:left w:val="single" w:sz="4" w:space="0" w:color="auto"/>
              <w:bottom w:val="single" w:sz="4" w:space="0" w:color="auto"/>
              <w:right w:val="single" w:sz="4" w:space="0" w:color="auto"/>
            </w:tcBorders>
            <w:hideMark/>
          </w:tcPr>
          <w:p w14:paraId="087F8186" w14:textId="77777777" w:rsidR="00197EC0" w:rsidRPr="00197EC0" w:rsidRDefault="00197EC0" w:rsidP="00107F42">
            <w:pPr>
              <w:keepNext/>
              <w:rPr>
                <w:rFonts w:cs="Arial"/>
                <w:bCs/>
              </w:rPr>
            </w:pPr>
            <w:r w:rsidRPr="00197EC0">
              <w:rPr>
                <w:rFonts w:cs="Arial"/>
                <w:bCs/>
              </w:rPr>
              <w:t>2.8%</w:t>
            </w:r>
          </w:p>
        </w:tc>
        <w:tc>
          <w:tcPr>
            <w:tcW w:w="1510" w:type="dxa"/>
            <w:tcBorders>
              <w:top w:val="single" w:sz="4" w:space="0" w:color="auto"/>
              <w:left w:val="single" w:sz="4" w:space="0" w:color="auto"/>
              <w:bottom w:val="single" w:sz="4" w:space="0" w:color="auto"/>
              <w:right w:val="single" w:sz="4" w:space="0" w:color="auto"/>
            </w:tcBorders>
            <w:hideMark/>
          </w:tcPr>
          <w:p w14:paraId="1E98AA67" w14:textId="77777777" w:rsidR="00197EC0" w:rsidRPr="00197EC0" w:rsidRDefault="00197EC0" w:rsidP="00107F42">
            <w:pPr>
              <w:keepNext/>
              <w:rPr>
                <w:rFonts w:cs="Arial"/>
                <w:bCs/>
              </w:rPr>
            </w:pPr>
            <w:r w:rsidRPr="00197EC0">
              <w:rPr>
                <w:rFonts w:cs="Arial"/>
                <w:bCs/>
              </w:rPr>
              <w:t>1.4%</w:t>
            </w:r>
          </w:p>
        </w:tc>
        <w:tc>
          <w:tcPr>
            <w:tcW w:w="1231" w:type="dxa"/>
            <w:tcBorders>
              <w:top w:val="single" w:sz="4" w:space="0" w:color="auto"/>
              <w:left w:val="single" w:sz="4" w:space="0" w:color="auto"/>
              <w:bottom w:val="single" w:sz="4" w:space="0" w:color="auto"/>
              <w:right w:val="single" w:sz="4" w:space="0" w:color="auto"/>
            </w:tcBorders>
            <w:hideMark/>
          </w:tcPr>
          <w:p w14:paraId="61CDF826" w14:textId="77777777" w:rsidR="00197EC0" w:rsidRPr="00197EC0" w:rsidRDefault="00197EC0" w:rsidP="00107F42">
            <w:pPr>
              <w:keepNext/>
              <w:rPr>
                <w:rFonts w:cs="Arial"/>
                <w:bCs/>
              </w:rPr>
            </w:pPr>
            <w:r w:rsidRPr="00197EC0">
              <w:rPr>
                <w:rFonts w:cs="Arial"/>
                <w:bCs/>
              </w:rPr>
              <w:t>5.6%</w:t>
            </w:r>
          </w:p>
        </w:tc>
        <w:tc>
          <w:tcPr>
            <w:tcW w:w="1007" w:type="dxa"/>
            <w:tcBorders>
              <w:top w:val="single" w:sz="4" w:space="0" w:color="auto"/>
              <w:left w:val="single" w:sz="4" w:space="0" w:color="auto"/>
              <w:bottom w:val="single" w:sz="4" w:space="0" w:color="auto"/>
              <w:right w:val="single" w:sz="4" w:space="0" w:color="auto"/>
            </w:tcBorders>
            <w:hideMark/>
          </w:tcPr>
          <w:p w14:paraId="35B5B5A1" w14:textId="77777777" w:rsidR="00197EC0" w:rsidRPr="00197EC0" w:rsidRDefault="00197EC0" w:rsidP="00107F42">
            <w:pPr>
              <w:keepNext/>
              <w:rPr>
                <w:rFonts w:cs="Arial"/>
                <w:bCs/>
              </w:rPr>
            </w:pPr>
            <w:r w:rsidRPr="00197EC0">
              <w:rPr>
                <w:rFonts w:cs="Arial"/>
                <w:bCs/>
              </w:rPr>
              <w:t>1.4%</w:t>
            </w:r>
          </w:p>
        </w:tc>
        <w:tc>
          <w:tcPr>
            <w:tcW w:w="1683" w:type="dxa"/>
            <w:tcBorders>
              <w:top w:val="single" w:sz="4" w:space="0" w:color="auto"/>
              <w:left w:val="single" w:sz="4" w:space="0" w:color="auto"/>
              <w:bottom w:val="single" w:sz="4" w:space="0" w:color="auto"/>
              <w:right w:val="single" w:sz="4" w:space="0" w:color="auto"/>
            </w:tcBorders>
            <w:hideMark/>
          </w:tcPr>
          <w:p w14:paraId="1705A394" w14:textId="77777777" w:rsidR="00197EC0" w:rsidRPr="00197EC0" w:rsidRDefault="00197EC0" w:rsidP="00107F42">
            <w:pPr>
              <w:keepNext/>
              <w:rPr>
                <w:rFonts w:cs="Arial"/>
                <w:bCs/>
              </w:rPr>
            </w:pPr>
            <w:r w:rsidRPr="00197EC0">
              <w:rPr>
                <w:rFonts w:cs="Arial"/>
                <w:bCs/>
              </w:rPr>
              <w:t>2.1%</w:t>
            </w:r>
          </w:p>
        </w:tc>
      </w:tr>
      <w:tr w:rsidR="00197EC0" w:rsidRPr="00197EC0" w14:paraId="7A935D4C" w14:textId="77777777" w:rsidTr="00197EC0">
        <w:tc>
          <w:tcPr>
            <w:tcW w:w="1364" w:type="dxa"/>
            <w:tcBorders>
              <w:top w:val="single" w:sz="4" w:space="0" w:color="auto"/>
              <w:left w:val="single" w:sz="4" w:space="0" w:color="auto"/>
              <w:bottom w:val="single" w:sz="4" w:space="0" w:color="auto"/>
              <w:right w:val="single" w:sz="4" w:space="0" w:color="auto"/>
            </w:tcBorders>
            <w:hideMark/>
          </w:tcPr>
          <w:p w14:paraId="7F1C867C" w14:textId="77777777" w:rsidR="00197EC0" w:rsidRPr="00197EC0" w:rsidRDefault="00197EC0" w:rsidP="00107F42">
            <w:pPr>
              <w:keepNext/>
              <w:rPr>
                <w:rFonts w:cs="Arial"/>
              </w:rPr>
            </w:pPr>
            <w:r w:rsidRPr="00197EC0">
              <w:rPr>
                <w:rFonts w:cs="Arial"/>
              </w:rPr>
              <w:t xml:space="preserve">Swansea Bay University Health Board </w:t>
            </w:r>
          </w:p>
        </w:tc>
        <w:tc>
          <w:tcPr>
            <w:tcW w:w="1135" w:type="dxa"/>
            <w:tcBorders>
              <w:top w:val="single" w:sz="4" w:space="0" w:color="auto"/>
              <w:left w:val="single" w:sz="4" w:space="0" w:color="auto"/>
              <w:bottom w:val="single" w:sz="4" w:space="0" w:color="auto"/>
              <w:right w:val="single" w:sz="4" w:space="0" w:color="auto"/>
            </w:tcBorders>
            <w:hideMark/>
          </w:tcPr>
          <w:p w14:paraId="046033F8" w14:textId="77777777" w:rsidR="00197EC0" w:rsidRPr="00197EC0" w:rsidRDefault="00197EC0" w:rsidP="00107F42">
            <w:pPr>
              <w:keepNext/>
              <w:rPr>
                <w:rFonts w:cs="Arial"/>
              </w:rPr>
            </w:pPr>
            <w:r w:rsidRPr="00197EC0">
              <w:rPr>
                <w:rFonts w:cs="Arial"/>
              </w:rPr>
              <w:t>7.0%</w:t>
            </w:r>
          </w:p>
        </w:tc>
        <w:tc>
          <w:tcPr>
            <w:tcW w:w="1284" w:type="dxa"/>
            <w:tcBorders>
              <w:top w:val="single" w:sz="4" w:space="0" w:color="auto"/>
              <w:left w:val="single" w:sz="4" w:space="0" w:color="auto"/>
              <w:bottom w:val="single" w:sz="4" w:space="0" w:color="auto"/>
              <w:right w:val="single" w:sz="4" w:space="0" w:color="auto"/>
            </w:tcBorders>
            <w:hideMark/>
          </w:tcPr>
          <w:p w14:paraId="79B65A60" w14:textId="77777777" w:rsidR="00197EC0" w:rsidRPr="00197EC0" w:rsidRDefault="00197EC0" w:rsidP="00107F42">
            <w:pPr>
              <w:keepNext/>
              <w:rPr>
                <w:rFonts w:cs="Arial"/>
              </w:rPr>
            </w:pPr>
            <w:r w:rsidRPr="00197EC0">
              <w:rPr>
                <w:rFonts w:cs="Arial"/>
              </w:rPr>
              <w:t>3.3%</w:t>
            </w:r>
          </w:p>
        </w:tc>
        <w:tc>
          <w:tcPr>
            <w:tcW w:w="1510" w:type="dxa"/>
            <w:tcBorders>
              <w:top w:val="single" w:sz="4" w:space="0" w:color="auto"/>
              <w:left w:val="single" w:sz="4" w:space="0" w:color="auto"/>
              <w:bottom w:val="single" w:sz="4" w:space="0" w:color="auto"/>
              <w:right w:val="single" w:sz="4" w:space="0" w:color="auto"/>
            </w:tcBorders>
            <w:hideMark/>
          </w:tcPr>
          <w:p w14:paraId="63B6184C" w14:textId="77777777" w:rsidR="00197EC0" w:rsidRPr="00197EC0" w:rsidRDefault="00197EC0" w:rsidP="00107F42">
            <w:pPr>
              <w:keepNext/>
              <w:rPr>
                <w:rFonts w:cs="Arial"/>
              </w:rPr>
            </w:pPr>
            <w:r w:rsidRPr="00197EC0">
              <w:rPr>
                <w:rFonts w:cs="Arial"/>
              </w:rPr>
              <w:t>2.3%</w:t>
            </w:r>
          </w:p>
        </w:tc>
        <w:tc>
          <w:tcPr>
            <w:tcW w:w="1231" w:type="dxa"/>
            <w:tcBorders>
              <w:top w:val="single" w:sz="4" w:space="0" w:color="auto"/>
              <w:left w:val="single" w:sz="4" w:space="0" w:color="auto"/>
              <w:bottom w:val="single" w:sz="4" w:space="0" w:color="auto"/>
              <w:right w:val="single" w:sz="4" w:space="0" w:color="auto"/>
            </w:tcBorders>
            <w:hideMark/>
          </w:tcPr>
          <w:p w14:paraId="5BCF0C86" w14:textId="77777777" w:rsidR="00197EC0" w:rsidRPr="00197EC0" w:rsidRDefault="00197EC0" w:rsidP="00107F42">
            <w:pPr>
              <w:keepNext/>
              <w:rPr>
                <w:rFonts w:cs="Arial"/>
              </w:rPr>
            </w:pPr>
            <w:r w:rsidRPr="00197EC0">
              <w:rPr>
                <w:rFonts w:cs="Arial"/>
              </w:rPr>
              <w:t>8.1%</w:t>
            </w:r>
          </w:p>
        </w:tc>
        <w:tc>
          <w:tcPr>
            <w:tcW w:w="1007" w:type="dxa"/>
            <w:tcBorders>
              <w:top w:val="single" w:sz="4" w:space="0" w:color="auto"/>
              <w:left w:val="single" w:sz="4" w:space="0" w:color="auto"/>
              <w:bottom w:val="single" w:sz="4" w:space="0" w:color="auto"/>
              <w:right w:val="single" w:sz="4" w:space="0" w:color="auto"/>
            </w:tcBorders>
            <w:hideMark/>
          </w:tcPr>
          <w:p w14:paraId="3120669E" w14:textId="77777777" w:rsidR="00197EC0" w:rsidRPr="00197EC0" w:rsidRDefault="00197EC0" w:rsidP="00107F42">
            <w:pPr>
              <w:keepNext/>
              <w:rPr>
                <w:rFonts w:cs="Arial"/>
              </w:rPr>
            </w:pPr>
            <w:r w:rsidRPr="00197EC0">
              <w:rPr>
                <w:rFonts w:cs="Arial"/>
              </w:rPr>
              <w:t>1.6%</w:t>
            </w:r>
          </w:p>
        </w:tc>
        <w:tc>
          <w:tcPr>
            <w:tcW w:w="1683" w:type="dxa"/>
            <w:tcBorders>
              <w:top w:val="single" w:sz="4" w:space="0" w:color="auto"/>
              <w:left w:val="single" w:sz="4" w:space="0" w:color="auto"/>
              <w:bottom w:val="single" w:sz="4" w:space="0" w:color="auto"/>
              <w:right w:val="single" w:sz="4" w:space="0" w:color="auto"/>
            </w:tcBorders>
            <w:hideMark/>
          </w:tcPr>
          <w:p w14:paraId="430D917E" w14:textId="77777777" w:rsidR="00197EC0" w:rsidRPr="00197EC0" w:rsidRDefault="00197EC0" w:rsidP="00107F42">
            <w:pPr>
              <w:keepNext/>
              <w:rPr>
                <w:rFonts w:cs="Arial"/>
              </w:rPr>
            </w:pPr>
            <w:r w:rsidRPr="00197EC0">
              <w:rPr>
                <w:rFonts w:cs="Arial"/>
              </w:rPr>
              <w:t>2.2%</w:t>
            </w:r>
          </w:p>
        </w:tc>
      </w:tr>
      <w:tr w:rsidR="00197EC0" w:rsidRPr="00197EC0" w14:paraId="5C6559A5" w14:textId="77777777" w:rsidTr="00197EC0">
        <w:tc>
          <w:tcPr>
            <w:tcW w:w="1364" w:type="dxa"/>
            <w:tcBorders>
              <w:top w:val="single" w:sz="4" w:space="0" w:color="auto"/>
              <w:left w:val="single" w:sz="4" w:space="0" w:color="auto"/>
              <w:bottom w:val="single" w:sz="4" w:space="0" w:color="auto"/>
              <w:right w:val="single" w:sz="4" w:space="0" w:color="auto"/>
            </w:tcBorders>
            <w:hideMark/>
          </w:tcPr>
          <w:p w14:paraId="026F143D" w14:textId="77777777" w:rsidR="00197EC0" w:rsidRPr="00197EC0" w:rsidRDefault="00197EC0" w:rsidP="00107F42">
            <w:pPr>
              <w:keepNext/>
              <w:rPr>
                <w:rFonts w:cs="Arial"/>
              </w:rPr>
            </w:pPr>
            <w:r w:rsidRPr="00197EC0">
              <w:rPr>
                <w:rFonts w:cs="Arial"/>
              </w:rPr>
              <w:t>Wales</w:t>
            </w:r>
          </w:p>
        </w:tc>
        <w:tc>
          <w:tcPr>
            <w:tcW w:w="1135" w:type="dxa"/>
            <w:tcBorders>
              <w:top w:val="single" w:sz="4" w:space="0" w:color="auto"/>
              <w:left w:val="single" w:sz="4" w:space="0" w:color="auto"/>
              <w:bottom w:val="single" w:sz="4" w:space="0" w:color="auto"/>
              <w:right w:val="single" w:sz="4" w:space="0" w:color="auto"/>
            </w:tcBorders>
            <w:hideMark/>
          </w:tcPr>
          <w:p w14:paraId="7A6823BA" w14:textId="77777777" w:rsidR="00197EC0" w:rsidRPr="00197EC0" w:rsidRDefault="00197EC0" w:rsidP="00107F42">
            <w:pPr>
              <w:keepNext/>
              <w:rPr>
                <w:rFonts w:cs="Arial"/>
              </w:rPr>
            </w:pPr>
            <w:r w:rsidRPr="00197EC0">
              <w:rPr>
                <w:rFonts w:cs="Arial"/>
              </w:rPr>
              <w:t>7.1%</w:t>
            </w:r>
          </w:p>
        </w:tc>
        <w:tc>
          <w:tcPr>
            <w:tcW w:w="1284" w:type="dxa"/>
            <w:tcBorders>
              <w:top w:val="single" w:sz="4" w:space="0" w:color="auto"/>
              <w:left w:val="single" w:sz="4" w:space="0" w:color="auto"/>
              <w:bottom w:val="single" w:sz="4" w:space="0" w:color="auto"/>
              <w:right w:val="single" w:sz="4" w:space="0" w:color="auto"/>
            </w:tcBorders>
            <w:hideMark/>
          </w:tcPr>
          <w:p w14:paraId="082F7FED" w14:textId="77777777" w:rsidR="00197EC0" w:rsidRPr="00197EC0" w:rsidRDefault="00197EC0" w:rsidP="00107F42">
            <w:pPr>
              <w:keepNext/>
              <w:rPr>
                <w:rFonts w:cs="Arial"/>
              </w:rPr>
            </w:pPr>
            <w:r w:rsidRPr="00197EC0">
              <w:rPr>
                <w:rFonts w:cs="Arial"/>
              </w:rPr>
              <w:t>3.4%</w:t>
            </w:r>
          </w:p>
        </w:tc>
        <w:tc>
          <w:tcPr>
            <w:tcW w:w="1510" w:type="dxa"/>
            <w:tcBorders>
              <w:top w:val="single" w:sz="4" w:space="0" w:color="auto"/>
              <w:left w:val="single" w:sz="4" w:space="0" w:color="auto"/>
              <w:bottom w:val="single" w:sz="4" w:space="0" w:color="auto"/>
              <w:right w:val="single" w:sz="4" w:space="0" w:color="auto"/>
            </w:tcBorders>
            <w:hideMark/>
          </w:tcPr>
          <w:p w14:paraId="214B5A20" w14:textId="77777777" w:rsidR="00197EC0" w:rsidRPr="00197EC0" w:rsidRDefault="00197EC0" w:rsidP="00107F42">
            <w:pPr>
              <w:keepNext/>
              <w:rPr>
                <w:rFonts w:cs="Arial"/>
              </w:rPr>
            </w:pPr>
            <w:r w:rsidRPr="00197EC0">
              <w:rPr>
                <w:rFonts w:cs="Arial"/>
              </w:rPr>
              <w:t>2.3%</w:t>
            </w:r>
          </w:p>
        </w:tc>
        <w:tc>
          <w:tcPr>
            <w:tcW w:w="1231" w:type="dxa"/>
            <w:tcBorders>
              <w:top w:val="single" w:sz="4" w:space="0" w:color="auto"/>
              <w:left w:val="single" w:sz="4" w:space="0" w:color="auto"/>
              <w:bottom w:val="single" w:sz="4" w:space="0" w:color="auto"/>
              <w:right w:val="single" w:sz="4" w:space="0" w:color="auto"/>
            </w:tcBorders>
            <w:hideMark/>
          </w:tcPr>
          <w:p w14:paraId="62CD4BD9" w14:textId="77777777" w:rsidR="00197EC0" w:rsidRPr="00197EC0" w:rsidRDefault="00197EC0" w:rsidP="00107F42">
            <w:pPr>
              <w:keepNext/>
              <w:rPr>
                <w:rFonts w:cs="Arial"/>
              </w:rPr>
            </w:pPr>
            <w:r w:rsidRPr="00197EC0">
              <w:rPr>
                <w:rFonts w:cs="Arial"/>
              </w:rPr>
              <w:t>8.4%</w:t>
            </w:r>
          </w:p>
        </w:tc>
        <w:tc>
          <w:tcPr>
            <w:tcW w:w="1007" w:type="dxa"/>
            <w:tcBorders>
              <w:top w:val="single" w:sz="4" w:space="0" w:color="auto"/>
              <w:left w:val="single" w:sz="4" w:space="0" w:color="auto"/>
              <w:bottom w:val="single" w:sz="4" w:space="0" w:color="auto"/>
              <w:right w:val="single" w:sz="4" w:space="0" w:color="auto"/>
            </w:tcBorders>
            <w:hideMark/>
          </w:tcPr>
          <w:p w14:paraId="78E3B5F2" w14:textId="77777777" w:rsidR="00197EC0" w:rsidRPr="00197EC0" w:rsidRDefault="00197EC0" w:rsidP="00107F42">
            <w:pPr>
              <w:keepNext/>
              <w:rPr>
                <w:rFonts w:cs="Arial"/>
              </w:rPr>
            </w:pPr>
            <w:r w:rsidRPr="00197EC0">
              <w:rPr>
                <w:rFonts w:cs="Arial"/>
              </w:rPr>
              <w:t>1.4%</w:t>
            </w:r>
          </w:p>
        </w:tc>
        <w:tc>
          <w:tcPr>
            <w:tcW w:w="1683" w:type="dxa"/>
            <w:tcBorders>
              <w:top w:val="single" w:sz="4" w:space="0" w:color="auto"/>
              <w:left w:val="single" w:sz="4" w:space="0" w:color="auto"/>
              <w:bottom w:val="single" w:sz="4" w:space="0" w:color="auto"/>
              <w:right w:val="single" w:sz="4" w:space="0" w:color="auto"/>
            </w:tcBorders>
            <w:hideMark/>
          </w:tcPr>
          <w:p w14:paraId="52C7F741" w14:textId="77777777" w:rsidR="00197EC0" w:rsidRPr="00197EC0" w:rsidRDefault="00197EC0" w:rsidP="00107F42">
            <w:pPr>
              <w:keepNext/>
              <w:rPr>
                <w:rFonts w:cs="Arial"/>
              </w:rPr>
            </w:pPr>
            <w:r w:rsidRPr="00197EC0">
              <w:rPr>
                <w:rFonts w:cs="Arial"/>
              </w:rPr>
              <w:t>2.2%</w:t>
            </w:r>
          </w:p>
        </w:tc>
      </w:tr>
    </w:tbl>
    <w:p w14:paraId="372CF166" w14:textId="77777777" w:rsidR="00197EC0" w:rsidRPr="00197EC0" w:rsidRDefault="00197EC0" w:rsidP="00107F42">
      <w:pPr>
        <w:rPr>
          <w:rFonts w:eastAsia="Times New Roman" w:cs="Arial"/>
          <w:kern w:val="0"/>
          <w:lang w:eastAsia="en-GB"/>
          <w14:ligatures w14:val="none"/>
        </w:rPr>
      </w:pPr>
    </w:p>
    <w:p w14:paraId="5235A374"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The table below compares the percentage of people registered with a mental health condition and dementia in the locality with the health board and Wales averages. It shows the rates in mental health align with the Wales average and is lower than the health board average (0.2%). Dementia is lower than both the health board and Wales average (0.1% lower).</w:t>
      </w:r>
    </w:p>
    <w:p w14:paraId="6ECC8B54" w14:textId="77777777" w:rsidR="00197EC0" w:rsidRPr="00197EC0" w:rsidRDefault="00197EC0" w:rsidP="00107F42">
      <w:pPr>
        <w:rPr>
          <w:rFonts w:eastAsia="Times New Roman" w:cs="Arial"/>
          <w:b/>
          <w:bCs/>
          <w:kern w:val="0"/>
          <w:lang w:eastAsia="en-GB"/>
          <w14:ligatures w14:val="none"/>
        </w:rPr>
      </w:pPr>
    </w:p>
    <w:p w14:paraId="380A0ED3"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lastRenderedPageBreak/>
        <w:t>Table 10.4: Percentage of people registered as having a mental health condition, and dementia by locality, health board and Wales, 2025</w:t>
      </w:r>
      <w:r w:rsidRPr="00197EC0">
        <w:rPr>
          <w:rFonts w:eastAsia="Times New Roman" w:cs="Arial"/>
          <w:b/>
          <w:bCs/>
          <w:kern w:val="0"/>
          <w:vertAlign w:val="superscript"/>
          <w:lang w:eastAsia="en-GB"/>
          <w14:ligatures w14:val="none"/>
        </w:rPr>
        <w:footnoteReference w:id="268"/>
      </w:r>
    </w:p>
    <w:p w14:paraId="74E7917C" w14:textId="77777777" w:rsidR="00197EC0" w:rsidRPr="00197EC0" w:rsidRDefault="00197EC0" w:rsidP="00107F42">
      <w:pPr>
        <w:rPr>
          <w:rFonts w:eastAsia="Times New Roman" w:cs="Arial"/>
          <w:kern w:val="0"/>
          <w:lang w:eastAsia="en-GB"/>
          <w14:ligatures w14:val="none"/>
        </w:rPr>
      </w:pPr>
    </w:p>
    <w:tbl>
      <w:tblPr>
        <w:tblStyle w:val="TableGrid"/>
        <w:tblW w:w="8610" w:type="dxa"/>
        <w:tblInd w:w="0" w:type="dxa"/>
        <w:tblLook w:val="04A0" w:firstRow="1" w:lastRow="0" w:firstColumn="1" w:lastColumn="0" w:noHBand="0" w:noVBand="1"/>
      </w:tblPr>
      <w:tblGrid>
        <w:gridCol w:w="4390"/>
        <w:gridCol w:w="2093"/>
        <w:gridCol w:w="2127"/>
      </w:tblGrid>
      <w:tr w:rsidR="00197EC0" w:rsidRPr="00D0306F" w14:paraId="0025AFFB" w14:textId="77777777" w:rsidTr="00197EC0">
        <w:tc>
          <w:tcPr>
            <w:tcW w:w="4390" w:type="dxa"/>
            <w:tcBorders>
              <w:top w:val="single" w:sz="4" w:space="0" w:color="auto"/>
              <w:left w:val="single" w:sz="4" w:space="0" w:color="auto"/>
              <w:bottom w:val="single" w:sz="4" w:space="0" w:color="auto"/>
              <w:right w:val="single" w:sz="4" w:space="0" w:color="auto"/>
            </w:tcBorders>
            <w:shd w:val="clear" w:color="auto" w:fill="153D63"/>
            <w:hideMark/>
          </w:tcPr>
          <w:p w14:paraId="72C54445" w14:textId="77777777" w:rsidR="00197EC0" w:rsidRPr="00197EC0" w:rsidRDefault="00197EC0" w:rsidP="00107F42">
            <w:pPr>
              <w:rPr>
                <w:rFonts w:cs="Arial"/>
              </w:rPr>
            </w:pPr>
            <w:r w:rsidRPr="00197EC0">
              <w:rPr>
                <w:rFonts w:cs="Arial"/>
                <w:b/>
                <w:bCs/>
              </w:rPr>
              <w:t>Area</w:t>
            </w:r>
          </w:p>
        </w:tc>
        <w:tc>
          <w:tcPr>
            <w:tcW w:w="2093" w:type="dxa"/>
            <w:tcBorders>
              <w:top w:val="single" w:sz="4" w:space="0" w:color="auto"/>
              <w:left w:val="single" w:sz="4" w:space="0" w:color="auto"/>
              <w:bottom w:val="single" w:sz="4" w:space="0" w:color="auto"/>
              <w:right w:val="single" w:sz="4" w:space="0" w:color="auto"/>
            </w:tcBorders>
            <w:shd w:val="clear" w:color="auto" w:fill="153D63"/>
            <w:hideMark/>
          </w:tcPr>
          <w:p w14:paraId="14D8FF95" w14:textId="77777777" w:rsidR="00197EC0" w:rsidRPr="00197EC0" w:rsidRDefault="00197EC0" w:rsidP="00107F42">
            <w:pPr>
              <w:jc w:val="center"/>
              <w:rPr>
                <w:rFonts w:cs="Arial"/>
              </w:rPr>
            </w:pPr>
            <w:r w:rsidRPr="00197EC0">
              <w:rPr>
                <w:rFonts w:cs="Arial"/>
                <w:b/>
                <w:bCs/>
              </w:rPr>
              <w:t>Mental health</w:t>
            </w:r>
          </w:p>
        </w:tc>
        <w:tc>
          <w:tcPr>
            <w:tcW w:w="2127" w:type="dxa"/>
            <w:tcBorders>
              <w:top w:val="single" w:sz="4" w:space="0" w:color="auto"/>
              <w:left w:val="single" w:sz="4" w:space="0" w:color="auto"/>
              <w:bottom w:val="single" w:sz="4" w:space="0" w:color="auto"/>
              <w:right w:val="single" w:sz="4" w:space="0" w:color="auto"/>
            </w:tcBorders>
            <w:shd w:val="clear" w:color="auto" w:fill="153D63"/>
            <w:hideMark/>
          </w:tcPr>
          <w:p w14:paraId="63D1BBFC" w14:textId="77777777" w:rsidR="00197EC0" w:rsidRPr="00197EC0" w:rsidRDefault="00197EC0" w:rsidP="00107F42">
            <w:pPr>
              <w:jc w:val="center"/>
              <w:rPr>
                <w:rFonts w:cs="Arial"/>
              </w:rPr>
            </w:pPr>
            <w:r w:rsidRPr="00197EC0">
              <w:rPr>
                <w:rFonts w:cs="Arial"/>
                <w:b/>
                <w:bCs/>
              </w:rPr>
              <w:t>Dementia</w:t>
            </w:r>
          </w:p>
        </w:tc>
      </w:tr>
      <w:tr w:rsidR="00197EC0" w:rsidRPr="00197EC0" w14:paraId="2EEF440A" w14:textId="77777777" w:rsidTr="00197EC0">
        <w:tc>
          <w:tcPr>
            <w:tcW w:w="4390" w:type="dxa"/>
            <w:tcBorders>
              <w:top w:val="single" w:sz="4" w:space="0" w:color="auto"/>
              <w:left w:val="single" w:sz="4" w:space="0" w:color="auto"/>
              <w:bottom w:val="single" w:sz="4" w:space="0" w:color="auto"/>
              <w:right w:val="single" w:sz="4" w:space="0" w:color="auto"/>
            </w:tcBorders>
            <w:hideMark/>
          </w:tcPr>
          <w:p w14:paraId="40DCE635" w14:textId="77777777" w:rsidR="00197EC0" w:rsidRPr="00197EC0" w:rsidRDefault="00197EC0" w:rsidP="00107F42">
            <w:pPr>
              <w:rPr>
                <w:rFonts w:cs="Arial"/>
              </w:rPr>
            </w:pPr>
            <w:r w:rsidRPr="00197EC0">
              <w:rPr>
                <w:rFonts w:cs="Arial"/>
              </w:rPr>
              <w:t>Cwmtawe locality</w:t>
            </w:r>
          </w:p>
        </w:tc>
        <w:tc>
          <w:tcPr>
            <w:tcW w:w="2093" w:type="dxa"/>
            <w:tcBorders>
              <w:top w:val="single" w:sz="4" w:space="0" w:color="auto"/>
              <w:left w:val="single" w:sz="4" w:space="0" w:color="auto"/>
              <w:bottom w:val="single" w:sz="4" w:space="0" w:color="auto"/>
              <w:right w:val="single" w:sz="4" w:space="0" w:color="auto"/>
            </w:tcBorders>
            <w:hideMark/>
          </w:tcPr>
          <w:p w14:paraId="757857AB" w14:textId="77777777" w:rsidR="00197EC0" w:rsidRPr="00197EC0" w:rsidRDefault="00197EC0" w:rsidP="00107F42">
            <w:pPr>
              <w:jc w:val="center"/>
              <w:rPr>
                <w:rFonts w:cs="Arial"/>
              </w:rPr>
            </w:pPr>
            <w:r w:rsidRPr="00197EC0">
              <w:rPr>
                <w:rFonts w:cs="Arial"/>
              </w:rPr>
              <w:t>1.1%</w:t>
            </w:r>
          </w:p>
        </w:tc>
        <w:tc>
          <w:tcPr>
            <w:tcW w:w="2127" w:type="dxa"/>
            <w:tcBorders>
              <w:top w:val="single" w:sz="4" w:space="0" w:color="auto"/>
              <w:left w:val="single" w:sz="4" w:space="0" w:color="auto"/>
              <w:bottom w:val="single" w:sz="4" w:space="0" w:color="auto"/>
              <w:right w:val="single" w:sz="4" w:space="0" w:color="auto"/>
            </w:tcBorders>
            <w:hideMark/>
          </w:tcPr>
          <w:p w14:paraId="24C8303C" w14:textId="77777777" w:rsidR="00197EC0" w:rsidRPr="00197EC0" w:rsidRDefault="00197EC0" w:rsidP="00107F42">
            <w:pPr>
              <w:jc w:val="center"/>
              <w:rPr>
                <w:rFonts w:cs="Arial"/>
              </w:rPr>
            </w:pPr>
            <w:r w:rsidRPr="00197EC0">
              <w:rPr>
                <w:rFonts w:cs="Arial"/>
              </w:rPr>
              <w:t>0.7%</w:t>
            </w:r>
          </w:p>
        </w:tc>
      </w:tr>
      <w:tr w:rsidR="00197EC0" w:rsidRPr="00197EC0" w14:paraId="0737FE10" w14:textId="77777777" w:rsidTr="00197EC0">
        <w:tc>
          <w:tcPr>
            <w:tcW w:w="4390" w:type="dxa"/>
            <w:tcBorders>
              <w:top w:val="single" w:sz="4" w:space="0" w:color="auto"/>
              <w:left w:val="single" w:sz="4" w:space="0" w:color="auto"/>
              <w:bottom w:val="single" w:sz="4" w:space="0" w:color="auto"/>
              <w:right w:val="single" w:sz="4" w:space="0" w:color="auto"/>
            </w:tcBorders>
            <w:hideMark/>
          </w:tcPr>
          <w:p w14:paraId="2C121019" w14:textId="77777777" w:rsidR="00197EC0" w:rsidRPr="00197EC0" w:rsidRDefault="00197EC0" w:rsidP="00107F42">
            <w:pPr>
              <w:rPr>
                <w:rFonts w:cs="Arial"/>
              </w:rPr>
            </w:pPr>
            <w:r w:rsidRPr="00197EC0">
              <w:rPr>
                <w:rFonts w:cs="Arial"/>
              </w:rPr>
              <w:t>Swansea Bay University Health Board</w:t>
            </w:r>
          </w:p>
        </w:tc>
        <w:tc>
          <w:tcPr>
            <w:tcW w:w="2093" w:type="dxa"/>
            <w:tcBorders>
              <w:top w:val="single" w:sz="4" w:space="0" w:color="auto"/>
              <w:left w:val="single" w:sz="4" w:space="0" w:color="auto"/>
              <w:bottom w:val="single" w:sz="4" w:space="0" w:color="auto"/>
              <w:right w:val="single" w:sz="4" w:space="0" w:color="auto"/>
            </w:tcBorders>
            <w:hideMark/>
          </w:tcPr>
          <w:p w14:paraId="4C00481A" w14:textId="77777777" w:rsidR="00197EC0" w:rsidRPr="00197EC0" w:rsidRDefault="00197EC0" w:rsidP="00107F42">
            <w:pPr>
              <w:jc w:val="center"/>
              <w:rPr>
                <w:rFonts w:cs="Arial"/>
              </w:rPr>
            </w:pPr>
            <w:r w:rsidRPr="00197EC0">
              <w:rPr>
                <w:rFonts w:cs="Arial"/>
              </w:rPr>
              <w:t>1.3%</w:t>
            </w:r>
          </w:p>
        </w:tc>
        <w:tc>
          <w:tcPr>
            <w:tcW w:w="2127" w:type="dxa"/>
            <w:tcBorders>
              <w:top w:val="single" w:sz="4" w:space="0" w:color="auto"/>
              <w:left w:val="single" w:sz="4" w:space="0" w:color="auto"/>
              <w:bottom w:val="single" w:sz="4" w:space="0" w:color="auto"/>
              <w:right w:val="single" w:sz="4" w:space="0" w:color="auto"/>
            </w:tcBorders>
            <w:hideMark/>
          </w:tcPr>
          <w:p w14:paraId="41DAF00D" w14:textId="77777777" w:rsidR="00197EC0" w:rsidRPr="00197EC0" w:rsidRDefault="00197EC0" w:rsidP="00107F42">
            <w:pPr>
              <w:jc w:val="center"/>
              <w:rPr>
                <w:rFonts w:cs="Arial"/>
              </w:rPr>
            </w:pPr>
            <w:r w:rsidRPr="00197EC0">
              <w:rPr>
                <w:rFonts w:cs="Arial"/>
              </w:rPr>
              <w:t>0.8%</w:t>
            </w:r>
          </w:p>
        </w:tc>
      </w:tr>
      <w:tr w:rsidR="00197EC0" w:rsidRPr="00197EC0" w14:paraId="6A3843A3" w14:textId="77777777" w:rsidTr="00197EC0">
        <w:tc>
          <w:tcPr>
            <w:tcW w:w="4390" w:type="dxa"/>
            <w:tcBorders>
              <w:top w:val="single" w:sz="4" w:space="0" w:color="auto"/>
              <w:left w:val="single" w:sz="4" w:space="0" w:color="auto"/>
              <w:bottom w:val="single" w:sz="4" w:space="0" w:color="auto"/>
              <w:right w:val="single" w:sz="4" w:space="0" w:color="auto"/>
            </w:tcBorders>
            <w:hideMark/>
          </w:tcPr>
          <w:p w14:paraId="0A1A6F67" w14:textId="77777777" w:rsidR="00197EC0" w:rsidRPr="00197EC0" w:rsidRDefault="00197EC0" w:rsidP="00107F42">
            <w:pPr>
              <w:rPr>
                <w:rFonts w:cs="Arial"/>
              </w:rPr>
            </w:pPr>
            <w:r w:rsidRPr="00197EC0">
              <w:rPr>
                <w:rFonts w:cs="Arial"/>
              </w:rPr>
              <w:t>Wales</w:t>
            </w:r>
          </w:p>
        </w:tc>
        <w:tc>
          <w:tcPr>
            <w:tcW w:w="2093" w:type="dxa"/>
            <w:tcBorders>
              <w:top w:val="single" w:sz="4" w:space="0" w:color="auto"/>
              <w:left w:val="single" w:sz="4" w:space="0" w:color="auto"/>
              <w:bottom w:val="single" w:sz="4" w:space="0" w:color="auto"/>
              <w:right w:val="single" w:sz="4" w:space="0" w:color="auto"/>
            </w:tcBorders>
            <w:hideMark/>
          </w:tcPr>
          <w:p w14:paraId="33306FC0" w14:textId="77777777" w:rsidR="00197EC0" w:rsidRPr="00197EC0" w:rsidRDefault="00197EC0" w:rsidP="00107F42">
            <w:pPr>
              <w:jc w:val="center"/>
              <w:rPr>
                <w:rFonts w:cs="Arial"/>
              </w:rPr>
            </w:pPr>
            <w:r w:rsidRPr="00197EC0">
              <w:rPr>
                <w:rFonts w:cs="Arial"/>
              </w:rPr>
              <w:t>1.1%</w:t>
            </w:r>
          </w:p>
        </w:tc>
        <w:tc>
          <w:tcPr>
            <w:tcW w:w="2127" w:type="dxa"/>
            <w:tcBorders>
              <w:top w:val="single" w:sz="4" w:space="0" w:color="auto"/>
              <w:left w:val="single" w:sz="4" w:space="0" w:color="auto"/>
              <w:bottom w:val="single" w:sz="4" w:space="0" w:color="auto"/>
              <w:right w:val="single" w:sz="4" w:space="0" w:color="auto"/>
            </w:tcBorders>
            <w:hideMark/>
          </w:tcPr>
          <w:p w14:paraId="643BEE77" w14:textId="77777777" w:rsidR="00197EC0" w:rsidRPr="00197EC0" w:rsidRDefault="00197EC0" w:rsidP="00107F42">
            <w:pPr>
              <w:jc w:val="center"/>
              <w:rPr>
                <w:rFonts w:cs="Arial"/>
              </w:rPr>
            </w:pPr>
            <w:r w:rsidRPr="00197EC0">
              <w:rPr>
                <w:rFonts w:cs="Arial"/>
              </w:rPr>
              <w:t>0.8%</w:t>
            </w:r>
          </w:p>
        </w:tc>
      </w:tr>
    </w:tbl>
    <w:p w14:paraId="0B87C073" w14:textId="77777777" w:rsidR="00197EC0" w:rsidRPr="00197EC0" w:rsidRDefault="00197EC0" w:rsidP="00107F42">
      <w:pPr>
        <w:keepNext/>
        <w:rPr>
          <w:rFonts w:eastAsia="Times New Roman" w:cs="Arial"/>
          <w:bCs/>
          <w:kern w:val="0"/>
          <w14:ligatures w14:val="none"/>
        </w:rPr>
      </w:pPr>
    </w:p>
    <w:p w14:paraId="71EEB565" w14:textId="77777777" w:rsidR="00197EC0" w:rsidRPr="00197EC0" w:rsidRDefault="00197EC0" w:rsidP="00107F42">
      <w:pPr>
        <w:keepLines/>
        <w:rPr>
          <w:rFonts w:eastAsia="Times New Roman" w:cs="Arial"/>
          <w:bCs/>
          <w:kern w:val="0"/>
          <w14:ligatures w14:val="none"/>
        </w:rPr>
      </w:pPr>
      <w:r w:rsidRPr="00197EC0">
        <w:rPr>
          <w:rFonts w:eastAsia="Times New Roman" w:cs="Arial"/>
          <w:bCs/>
          <w:kern w:val="0"/>
          <w14:ligatures w14:val="none"/>
        </w:rPr>
        <w:t>The table below shows that the locality is higher in atrial fibrillation than the health board average (0.1% higher) and aligns with the Wales average. Hypertension is lower than the averages for the health board and Wales (0.6% and 2.0% lower respectively).</w:t>
      </w:r>
    </w:p>
    <w:p w14:paraId="6DB1D7AE" w14:textId="77777777" w:rsidR="00197EC0" w:rsidRPr="00197EC0" w:rsidRDefault="00197EC0" w:rsidP="00107F42">
      <w:pPr>
        <w:keepNext/>
        <w:rPr>
          <w:rFonts w:eastAsia="Times New Roman" w:cs="Arial"/>
          <w:b/>
          <w:kern w:val="0"/>
          <w14:ligatures w14:val="none"/>
        </w:rPr>
      </w:pPr>
    </w:p>
    <w:p w14:paraId="5AAC0EF1" w14:textId="77777777" w:rsidR="00197EC0" w:rsidRPr="00197EC0" w:rsidRDefault="00197EC0" w:rsidP="00107F42">
      <w:pPr>
        <w:keepNext/>
        <w:rPr>
          <w:rFonts w:eastAsia="Times New Roman" w:cs="Arial"/>
          <w:b/>
          <w:bCs/>
          <w:kern w:val="0"/>
          <w14:ligatures w14:val="none"/>
        </w:rPr>
      </w:pPr>
      <w:r w:rsidRPr="00197EC0">
        <w:rPr>
          <w:rFonts w:eastAsia="Times New Roman" w:cs="Arial"/>
          <w:b/>
          <w:bCs/>
          <w:kern w:val="0"/>
          <w14:ligatures w14:val="none"/>
        </w:rPr>
        <w:t>Table 10.5: Estimated percentage prevalence of hypertension and atrial fibrillation based on people on GP practice registers by locality, health board and Wales, 2025</w:t>
      </w:r>
      <w:r w:rsidRPr="00197EC0">
        <w:rPr>
          <w:rFonts w:eastAsia="Times New Roman" w:cs="Arial"/>
          <w:b/>
          <w:bCs/>
          <w:kern w:val="0"/>
          <w:vertAlign w:val="superscript"/>
          <w14:ligatures w14:val="none"/>
        </w:rPr>
        <w:footnoteReference w:id="269"/>
      </w:r>
    </w:p>
    <w:p w14:paraId="15C62093" w14:textId="77777777" w:rsidR="00197EC0" w:rsidRPr="00197EC0" w:rsidRDefault="00197EC0" w:rsidP="00107F42">
      <w:pPr>
        <w:keepNext/>
        <w:rPr>
          <w:rFonts w:eastAsia="Times New Roman" w:cs="Arial"/>
          <w:b/>
          <w:kern w:val="0"/>
          <w14:ligatures w14:val="none"/>
        </w:rPr>
      </w:pPr>
    </w:p>
    <w:tbl>
      <w:tblPr>
        <w:tblStyle w:val="TableGrid"/>
        <w:tblW w:w="8591" w:type="dxa"/>
        <w:tblInd w:w="0" w:type="dxa"/>
        <w:tblLook w:val="04A0" w:firstRow="1" w:lastRow="0" w:firstColumn="1" w:lastColumn="0" w:noHBand="0" w:noVBand="1"/>
      </w:tblPr>
      <w:tblGrid>
        <w:gridCol w:w="4390"/>
        <w:gridCol w:w="2268"/>
        <w:gridCol w:w="1933"/>
      </w:tblGrid>
      <w:tr w:rsidR="00197EC0" w:rsidRPr="00D0306F" w14:paraId="75C2B7AB" w14:textId="77777777" w:rsidTr="00197EC0">
        <w:tc>
          <w:tcPr>
            <w:tcW w:w="4390" w:type="dxa"/>
            <w:tcBorders>
              <w:top w:val="single" w:sz="4" w:space="0" w:color="auto"/>
              <w:left w:val="single" w:sz="4" w:space="0" w:color="auto"/>
              <w:bottom w:val="single" w:sz="4" w:space="0" w:color="auto"/>
              <w:right w:val="single" w:sz="4" w:space="0" w:color="auto"/>
            </w:tcBorders>
            <w:shd w:val="clear" w:color="auto" w:fill="153D63"/>
            <w:hideMark/>
          </w:tcPr>
          <w:p w14:paraId="6CDC65E4" w14:textId="77777777" w:rsidR="00197EC0" w:rsidRPr="00197EC0" w:rsidRDefault="00197EC0" w:rsidP="00107F42">
            <w:pPr>
              <w:keepNext/>
              <w:rPr>
                <w:rFonts w:cs="Arial"/>
                <w:b/>
              </w:rPr>
            </w:pPr>
            <w:r w:rsidRPr="00197EC0">
              <w:rPr>
                <w:rFonts w:cs="Arial"/>
                <w:b/>
              </w:rPr>
              <w:t>Area</w:t>
            </w:r>
          </w:p>
        </w:tc>
        <w:tc>
          <w:tcPr>
            <w:tcW w:w="2268" w:type="dxa"/>
            <w:tcBorders>
              <w:top w:val="single" w:sz="4" w:space="0" w:color="auto"/>
              <w:left w:val="single" w:sz="4" w:space="0" w:color="auto"/>
              <w:bottom w:val="single" w:sz="4" w:space="0" w:color="auto"/>
              <w:right w:val="single" w:sz="4" w:space="0" w:color="auto"/>
            </w:tcBorders>
            <w:shd w:val="clear" w:color="auto" w:fill="153D63"/>
            <w:hideMark/>
          </w:tcPr>
          <w:p w14:paraId="5E3DC866" w14:textId="77777777" w:rsidR="00197EC0" w:rsidRPr="00197EC0" w:rsidRDefault="00197EC0" w:rsidP="00107F42">
            <w:pPr>
              <w:keepNext/>
              <w:jc w:val="center"/>
              <w:rPr>
                <w:rFonts w:cs="Arial"/>
                <w:b/>
              </w:rPr>
            </w:pPr>
            <w:r w:rsidRPr="00197EC0">
              <w:rPr>
                <w:rFonts w:cs="Arial"/>
                <w:b/>
              </w:rPr>
              <w:t>Atrial fibrillation</w:t>
            </w:r>
          </w:p>
        </w:tc>
        <w:tc>
          <w:tcPr>
            <w:tcW w:w="1933" w:type="dxa"/>
            <w:tcBorders>
              <w:top w:val="single" w:sz="4" w:space="0" w:color="auto"/>
              <w:left w:val="single" w:sz="4" w:space="0" w:color="auto"/>
              <w:bottom w:val="single" w:sz="4" w:space="0" w:color="auto"/>
              <w:right w:val="single" w:sz="4" w:space="0" w:color="auto"/>
            </w:tcBorders>
            <w:shd w:val="clear" w:color="auto" w:fill="153D63"/>
            <w:hideMark/>
          </w:tcPr>
          <w:p w14:paraId="033DD28A" w14:textId="77777777" w:rsidR="00197EC0" w:rsidRPr="00197EC0" w:rsidRDefault="00197EC0" w:rsidP="00107F42">
            <w:pPr>
              <w:keepNext/>
              <w:jc w:val="center"/>
              <w:rPr>
                <w:rFonts w:cs="Arial"/>
                <w:b/>
              </w:rPr>
            </w:pPr>
            <w:r w:rsidRPr="00197EC0">
              <w:rPr>
                <w:rFonts w:cs="Arial"/>
                <w:b/>
              </w:rPr>
              <w:t>Hypertension</w:t>
            </w:r>
          </w:p>
        </w:tc>
      </w:tr>
      <w:tr w:rsidR="00197EC0" w:rsidRPr="00197EC0" w14:paraId="62669BE6" w14:textId="77777777" w:rsidTr="00197EC0">
        <w:tc>
          <w:tcPr>
            <w:tcW w:w="4390" w:type="dxa"/>
            <w:tcBorders>
              <w:top w:val="single" w:sz="4" w:space="0" w:color="auto"/>
              <w:left w:val="single" w:sz="4" w:space="0" w:color="auto"/>
              <w:bottom w:val="single" w:sz="4" w:space="0" w:color="auto"/>
              <w:right w:val="single" w:sz="4" w:space="0" w:color="auto"/>
            </w:tcBorders>
            <w:hideMark/>
          </w:tcPr>
          <w:p w14:paraId="4A0D1C86" w14:textId="77777777" w:rsidR="00197EC0" w:rsidRPr="00197EC0" w:rsidRDefault="00197EC0" w:rsidP="00107F42">
            <w:pPr>
              <w:keepNext/>
              <w:rPr>
                <w:rFonts w:cs="Arial"/>
                <w:bCs/>
              </w:rPr>
            </w:pPr>
            <w:r w:rsidRPr="00197EC0">
              <w:rPr>
                <w:rFonts w:cs="Arial"/>
                <w:bCs/>
              </w:rPr>
              <w:t xml:space="preserve">Cwmtawe locality </w:t>
            </w:r>
          </w:p>
        </w:tc>
        <w:tc>
          <w:tcPr>
            <w:tcW w:w="2268" w:type="dxa"/>
            <w:tcBorders>
              <w:top w:val="single" w:sz="4" w:space="0" w:color="auto"/>
              <w:left w:val="single" w:sz="4" w:space="0" w:color="auto"/>
              <w:bottom w:val="single" w:sz="4" w:space="0" w:color="auto"/>
              <w:right w:val="single" w:sz="4" w:space="0" w:color="auto"/>
            </w:tcBorders>
            <w:hideMark/>
          </w:tcPr>
          <w:p w14:paraId="740C25C1" w14:textId="77777777" w:rsidR="00197EC0" w:rsidRPr="00197EC0" w:rsidRDefault="00197EC0" w:rsidP="00107F42">
            <w:pPr>
              <w:keepNext/>
              <w:jc w:val="center"/>
              <w:rPr>
                <w:rFonts w:cs="Arial"/>
                <w:bCs/>
              </w:rPr>
            </w:pPr>
            <w:r w:rsidRPr="00197EC0">
              <w:rPr>
                <w:rFonts w:cs="Arial"/>
                <w:bCs/>
              </w:rPr>
              <w:t>2.7%</w:t>
            </w:r>
          </w:p>
        </w:tc>
        <w:tc>
          <w:tcPr>
            <w:tcW w:w="1933" w:type="dxa"/>
            <w:tcBorders>
              <w:top w:val="single" w:sz="4" w:space="0" w:color="auto"/>
              <w:left w:val="single" w:sz="4" w:space="0" w:color="auto"/>
              <w:bottom w:val="single" w:sz="4" w:space="0" w:color="auto"/>
              <w:right w:val="single" w:sz="4" w:space="0" w:color="auto"/>
            </w:tcBorders>
            <w:hideMark/>
          </w:tcPr>
          <w:p w14:paraId="11115E98" w14:textId="77777777" w:rsidR="00197EC0" w:rsidRPr="00197EC0" w:rsidRDefault="00197EC0" w:rsidP="00107F42">
            <w:pPr>
              <w:keepNext/>
              <w:jc w:val="center"/>
              <w:rPr>
                <w:rFonts w:cs="Arial"/>
                <w:bCs/>
              </w:rPr>
            </w:pPr>
            <w:r w:rsidRPr="00197EC0">
              <w:rPr>
                <w:rFonts w:cs="Arial"/>
                <w:bCs/>
              </w:rPr>
              <w:t>14.3%</w:t>
            </w:r>
          </w:p>
        </w:tc>
      </w:tr>
      <w:tr w:rsidR="00197EC0" w:rsidRPr="00197EC0" w14:paraId="37CF4667" w14:textId="77777777" w:rsidTr="00197EC0">
        <w:tc>
          <w:tcPr>
            <w:tcW w:w="4390" w:type="dxa"/>
            <w:tcBorders>
              <w:top w:val="single" w:sz="4" w:space="0" w:color="auto"/>
              <w:left w:val="single" w:sz="4" w:space="0" w:color="auto"/>
              <w:bottom w:val="single" w:sz="4" w:space="0" w:color="auto"/>
              <w:right w:val="single" w:sz="4" w:space="0" w:color="auto"/>
            </w:tcBorders>
            <w:hideMark/>
          </w:tcPr>
          <w:p w14:paraId="1577A69E" w14:textId="77777777" w:rsidR="00197EC0" w:rsidRPr="00197EC0" w:rsidRDefault="00197EC0" w:rsidP="00107F42">
            <w:pPr>
              <w:keepNext/>
              <w:rPr>
                <w:rFonts w:cs="Arial"/>
                <w:b/>
              </w:rPr>
            </w:pPr>
            <w:r w:rsidRPr="00197EC0">
              <w:rPr>
                <w:rFonts w:cs="Arial"/>
              </w:rPr>
              <w:t>Swansea Bay University Health Board</w:t>
            </w:r>
          </w:p>
        </w:tc>
        <w:tc>
          <w:tcPr>
            <w:tcW w:w="2268" w:type="dxa"/>
            <w:tcBorders>
              <w:top w:val="single" w:sz="4" w:space="0" w:color="auto"/>
              <w:left w:val="single" w:sz="4" w:space="0" w:color="auto"/>
              <w:bottom w:val="single" w:sz="4" w:space="0" w:color="auto"/>
              <w:right w:val="single" w:sz="4" w:space="0" w:color="auto"/>
            </w:tcBorders>
            <w:hideMark/>
          </w:tcPr>
          <w:p w14:paraId="2A3FA9A1" w14:textId="77777777" w:rsidR="00197EC0" w:rsidRPr="00197EC0" w:rsidRDefault="00197EC0" w:rsidP="00107F42">
            <w:pPr>
              <w:keepNext/>
              <w:jc w:val="center"/>
              <w:rPr>
                <w:rFonts w:cs="Arial"/>
                <w:bCs/>
              </w:rPr>
            </w:pPr>
            <w:r w:rsidRPr="00197EC0">
              <w:rPr>
                <w:rFonts w:cs="Arial"/>
                <w:bCs/>
              </w:rPr>
              <w:t>2.6%</w:t>
            </w:r>
          </w:p>
        </w:tc>
        <w:tc>
          <w:tcPr>
            <w:tcW w:w="1933" w:type="dxa"/>
            <w:tcBorders>
              <w:top w:val="single" w:sz="4" w:space="0" w:color="auto"/>
              <w:left w:val="single" w:sz="4" w:space="0" w:color="auto"/>
              <w:bottom w:val="single" w:sz="4" w:space="0" w:color="auto"/>
              <w:right w:val="single" w:sz="4" w:space="0" w:color="auto"/>
            </w:tcBorders>
            <w:hideMark/>
          </w:tcPr>
          <w:p w14:paraId="675B6219" w14:textId="77777777" w:rsidR="00197EC0" w:rsidRPr="00197EC0" w:rsidRDefault="00197EC0" w:rsidP="00107F42">
            <w:pPr>
              <w:keepNext/>
              <w:jc w:val="center"/>
              <w:rPr>
                <w:rFonts w:cs="Arial"/>
                <w:bCs/>
              </w:rPr>
            </w:pPr>
            <w:r w:rsidRPr="00197EC0">
              <w:rPr>
                <w:rFonts w:cs="Arial"/>
                <w:bCs/>
              </w:rPr>
              <w:t>14.9%</w:t>
            </w:r>
          </w:p>
        </w:tc>
      </w:tr>
      <w:tr w:rsidR="00197EC0" w:rsidRPr="00197EC0" w14:paraId="3CD4914F" w14:textId="77777777" w:rsidTr="00197EC0">
        <w:tc>
          <w:tcPr>
            <w:tcW w:w="4390" w:type="dxa"/>
            <w:tcBorders>
              <w:top w:val="single" w:sz="4" w:space="0" w:color="auto"/>
              <w:left w:val="single" w:sz="4" w:space="0" w:color="auto"/>
              <w:bottom w:val="single" w:sz="4" w:space="0" w:color="auto"/>
              <w:right w:val="single" w:sz="4" w:space="0" w:color="auto"/>
            </w:tcBorders>
            <w:hideMark/>
          </w:tcPr>
          <w:p w14:paraId="25CCB7C9" w14:textId="77777777" w:rsidR="00197EC0" w:rsidRPr="00197EC0" w:rsidRDefault="00197EC0" w:rsidP="00107F42">
            <w:pPr>
              <w:keepNext/>
              <w:rPr>
                <w:rFonts w:cs="Arial"/>
              </w:rPr>
            </w:pPr>
            <w:r w:rsidRPr="00197EC0">
              <w:rPr>
                <w:rFonts w:cs="Arial"/>
              </w:rPr>
              <w:t>Wales</w:t>
            </w:r>
          </w:p>
        </w:tc>
        <w:tc>
          <w:tcPr>
            <w:tcW w:w="2268" w:type="dxa"/>
            <w:tcBorders>
              <w:top w:val="single" w:sz="4" w:space="0" w:color="auto"/>
              <w:left w:val="single" w:sz="4" w:space="0" w:color="auto"/>
              <w:bottom w:val="single" w:sz="4" w:space="0" w:color="auto"/>
              <w:right w:val="single" w:sz="4" w:space="0" w:color="auto"/>
            </w:tcBorders>
            <w:hideMark/>
          </w:tcPr>
          <w:p w14:paraId="39B34FBE" w14:textId="77777777" w:rsidR="00197EC0" w:rsidRPr="00197EC0" w:rsidRDefault="00197EC0" w:rsidP="00107F42">
            <w:pPr>
              <w:keepNext/>
              <w:jc w:val="center"/>
              <w:rPr>
                <w:rFonts w:cs="Arial"/>
              </w:rPr>
            </w:pPr>
            <w:r w:rsidRPr="00197EC0">
              <w:rPr>
                <w:rFonts w:cs="Arial"/>
              </w:rPr>
              <w:t>2.7%</w:t>
            </w:r>
          </w:p>
        </w:tc>
        <w:tc>
          <w:tcPr>
            <w:tcW w:w="1933" w:type="dxa"/>
            <w:tcBorders>
              <w:top w:val="single" w:sz="4" w:space="0" w:color="auto"/>
              <w:left w:val="single" w:sz="4" w:space="0" w:color="auto"/>
              <w:bottom w:val="single" w:sz="4" w:space="0" w:color="auto"/>
              <w:right w:val="single" w:sz="4" w:space="0" w:color="auto"/>
            </w:tcBorders>
            <w:hideMark/>
          </w:tcPr>
          <w:p w14:paraId="2F070EEE" w14:textId="77777777" w:rsidR="00197EC0" w:rsidRPr="00197EC0" w:rsidRDefault="00197EC0" w:rsidP="00107F42">
            <w:pPr>
              <w:keepNext/>
              <w:jc w:val="center"/>
              <w:rPr>
                <w:rFonts w:cs="Arial"/>
              </w:rPr>
            </w:pPr>
            <w:r w:rsidRPr="00197EC0">
              <w:rPr>
                <w:rFonts w:cs="Arial"/>
              </w:rPr>
              <w:t>16.3%</w:t>
            </w:r>
          </w:p>
        </w:tc>
      </w:tr>
    </w:tbl>
    <w:p w14:paraId="41D75D2A" w14:textId="77777777" w:rsidR="00197EC0" w:rsidRPr="00197EC0" w:rsidRDefault="00197EC0" w:rsidP="00107F42">
      <w:pPr>
        <w:rPr>
          <w:rFonts w:eastAsia="Times New Roman" w:cs="Arial"/>
          <w:kern w:val="0"/>
          <w:lang w:eastAsia="en-GB"/>
          <w14:ligatures w14:val="none"/>
        </w:rPr>
      </w:pPr>
    </w:p>
    <w:p w14:paraId="7E1DE973" w14:textId="77777777" w:rsidR="00197EC0" w:rsidRPr="00197EC0" w:rsidRDefault="00197EC0" w:rsidP="00107F42">
      <w:pPr>
        <w:contextualSpacing/>
        <w:rPr>
          <w:rFonts w:eastAsia="Aptos" w:cs="Arial"/>
          <w:kern w:val="0"/>
          <w14:ligatures w14:val="none"/>
        </w:rPr>
      </w:pPr>
      <w:r w:rsidRPr="00197EC0">
        <w:rPr>
          <w:rFonts w:eastAsia="Aptos" w:cs="Arial"/>
        </w:rPr>
        <w:t>The table below presents the percentage of adults aged 16 years and over, in Swansea who have self-reported engaging in six key lifestyle behaviours, as recorded by the National Survey for Wales</w:t>
      </w:r>
      <w:r w:rsidRPr="00197EC0">
        <w:rPr>
          <w:rFonts w:eastAsia="Aptos" w:cs="Arial"/>
          <w:vertAlign w:val="superscript"/>
        </w:rPr>
        <w:footnoteReference w:id="270"/>
      </w:r>
      <w:r w:rsidRPr="00197EC0">
        <w:rPr>
          <w:rFonts w:eastAsia="Aptos" w:cs="Arial"/>
        </w:rPr>
        <w:t>. This information offers valuable insight into the common habits and lifestyle choices among the adult population in the area.</w:t>
      </w:r>
    </w:p>
    <w:p w14:paraId="5C91CEC5" w14:textId="77777777" w:rsidR="00197EC0" w:rsidRPr="00197EC0" w:rsidRDefault="00197EC0" w:rsidP="00107F42">
      <w:pPr>
        <w:contextualSpacing/>
        <w:rPr>
          <w:rFonts w:eastAsia="Aptos" w:cs="Arial"/>
        </w:rPr>
      </w:pPr>
    </w:p>
    <w:p w14:paraId="60B64E48" w14:textId="77777777" w:rsidR="00197EC0" w:rsidRPr="00197EC0" w:rsidRDefault="00197EC0" w:rsidP="00107F42">
      <w:pPr>
        <w:keepNext/>
        <w:rPr>
          <w:rFonts w:eastAsia="Times New Roman" w:cs="Arial"/>
          <w:b/>
          <w:bCs/>
          <w:kern w:val="0"/>
          <w14:ligatures w14:val="none"/>
        </w:rPr>
      </w:pPr>
      <w:r w:rsidRPr="00197EC0">
        <w:rPr>
          <w:rFonts w:eastAsia="Times New Roman" w:cs="Arial"/>
          <w:b/>
          <w:bCs/>
          <w:kern w:val="0"/>
          <w14:ligatures w14:val="none"/>
        </w:rPr>
        <w:t>Table 10.6: Percentage of adults (aged 16 years and over) reporting lifestyle behaviours by local authority and Wales, 2021 to 2023</w:t>
      </w:r>
    </w:p>
    <w:p w14:paraId="4CE5FD84" w14:textId="77777777" w:rsidR="00197EC0" w:rsidRDefault="00197EC0" w:rsidP="00107F42">
      <w:pPr>
        <w:keepNext/>
        <w:rPr>
          <w:rFonts w:eastAsia="Times New Roman" w:cs="Arial"/>
          <w:b/>
          <w:kern w:val="0"/>
          <w14:ligatures w14:val="none"/>
        </w:rPr>
      </w:pPr>
    </w:p>
    <w:tbl>
      <w:tblPr>
        <w:tblStyle w:val="TableGrid6"/>
        <w:tblW w:w="9988" w:type="dxa"/>
        <w:tblInd w:w="-431" w:type="dxa"/>
        <w:tblLook w:val="04A0" w:firstRow="1" w:lastRow="0" w:firstColumn="1" w:lastColumn="0" w:noHBand="0" w:noVBand="1"/>
      </w:tblPr>
      <w:tblGrid>
        <w:gridCol w:w="1204"/>
        <w:gridCol w:w="1551"/>
        <w:gridCol w:w="1430"/>
        <w:gridCol w:w="1190"/>
        <w:gridCol w:w="1523"/>
        <w:gridCol w:w="950"/>
        <w:gridCol w:w="1190"/>
        <w:gridCol w:w="950"/>
      </w:tblGrid>
      <w:tr w:rsidR="00B72FC3" w:rsidRPr="00D0306F" w14:paraId="65EFAD0F" w14:textId="77777777" w:rsidTr="00466EE5">
        <w:trPr>
          <w:trHeight w:val="1807"/>
        </w:trPr>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440834AC" w14:textId="77777777" w:rsidR="00B72FC3" w:rsidRPr="00037037" w:rsidRDefault="00B72FC3" w:rsidP="00426D39">
            <w:pPr>
              <w:keepNext/>
              <w:rPr>
                <w:rFonts w:eastAsia="Arial" w:cs="Arial"/>
                <w:b/>
                <w:bCs/>
                <w:sz w:val="24"/>
              </w:rPr>
            </w:pPr>
            <w:r w:rsidRPr="00037037">
              <w:rPr>
                <w:rFonts w:eastAsia="Arial" w:cs="Arial"/>
                <w:b/>
                <w:bCs/>
                <w:sz w:val="24"/>
              </w:rPr>
              <w:t>Area</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09D993B0" w14:textId="77777777" w:rsidR="00B72FC3" w:rsidRPr="00037037" w:rsidRDefault="00B72FC3" w:rsidP="00426D39">
            <w:pPr>
              <w:keepNext/>
              <w:rPr>
                <w:rFonts w:eastAsia="Arial" w:cs="Arial"/>
                <w:b/>
                <w:bCs/>
                <w:sz w:val="24"/>
              </w:rPr>
            </w:pPr>
            <w:r w:rsidRPr="00037037">
              <w:rPr>
                <w:rFonts w:eastAsia="Arial" w:cs="Arial"/>
                <w:b/>
                <w:bCs/>
                <w:sz w:val="24"/>
              </w:rPr>
              <w:t>Population 16 years and over</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7B037B4F" w14:textId="77777777" w:rsidR="00B72FC3" w:rsidRPr="00037037" w:rsidRDefault="00B72FC3" w:rsidP="00426D39">
            <w:pPr>
              <w:keepNext/>
              <w:rPr>
                <w:rFonts w:eastAsia="Arial" w:cs="Arial"/>
                <w:b/>
                <w:bCs/>
                <w:sz w:val="24"/>
              </w:rPr>
            </w:pPr>
            <w:r w:rsidRPr="00037037">
              <w:rPr>
                <w:rFonts w:eastAsia="Arial" w:cs="Arial"/>
                <w:b/>
                <w:bCs/>
                <w:sz w:val="24"/>
              </w:rPr>
              <w:t>Smoking (including e-cigarettes)</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4F9E84A1" w14:textId="77777777" w:rsidR="00B72FC3" w:rsidRPr="00037037" w:rsidRDefault="00B72FC3" w:rsidP="00426D39">
            <w:pPr>
              <w:keepNext/>
              <w:rPr>
                <w:rFonts w:eastAsia="Arial" w:cs="Arial"/>
                <w:b/>
                <w:bCs/>
                <w:sz w:val="24"/>
              </w:rPr>
            </w:pPr>
            <w:r w:rsidRPr="00037037">
              <w:rPr>
                <w:rFonts w:eastAsia="Arial" w:cs="Arial"/>
                <w:b/>
                <w:bCs/>
                <w:sz w:val="24"/>
              </w:rPr>
              <w:t>Drinking more than 14 units per week</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0F52E2F1" w14:textId="77777777" w:rsidR="00B72FC3" w:rsidRPr="00037037" w:rsidRDefault="00B72FC3" w:rsidP="00426D39">
            <w:pPr>
              <w:keepNext/>
              <w:rPr>
                <w:rFonts w:eastAsia="Arial" w:cs="Arial"/>
                <w:b/>
                <w:bCs/>
                <w:sz w:val="24"/>
              </w:rPr>
            </w:pPr>
            <w:r w:rsidRPr="00037037">
              <w:rPr>
                <w:rFonts w:eastAsia="Arial" w:cs="Arial"/>
                <w:b/>
                <w:bCs/>
                <w:sz w:val="24"/>
              </w:rPr>
              <w:t>Overweight with a body mass index of 25+</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79D8F1D7" w14:textId="77777777" w:rsidR="00B72FC3" w:rsidRPr="00037037" w:rsidRDefault="00B72FC3" w:rsidP="00426D39">
            <w:pPr>
              <w:keepNext/>
              <w:rPr>
                <w:rFonts w:eastAsia="Arial" w:cs="Arial"/>
                <w:b/>
                <w:bCs/>
                <w:sz w:val="24"/>
              </w:rPr>
            </w:pPr>
            <w:r w:rsidRPr="00037037">
              <w:rPr>
                <w:rFonts w:eastAsia="Arial" w:cs="Arial"/>
                <w:b/>
                <w:bCs/>
                <w:sz w:val="24"/>
              </w:rPr>
              <w:t>Obese with a body mass index of 30+</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12C2D173" w14:textId="77777777" w:rsidR="00B72FC3" w:rsidRPr="00037037" w:rsidRDefault="00B72FC3" w:rsidP="00426D39">
            <w:pPr>
              <w:keepNext/>
              <w:rPr>
                <w:rFonts w:eastAsia="Arial" w:cs="Arial"/>
                <w:b/>
                <w:bCs/>
                <w:sz w:val="24"/>
              </w:rPr>
            </w:pPr>
            <w:r w:rsidRPr="00037037">
              <w:rPr>
                <w:rFonts w:eastAsia="Arial" w:cs="Arial"/>
                <w:b/>
                <w:bCs/>
                <w:sz w:val="24"/>
              </w:rPr>
              <w:t>Physical activity for 150 minutes per week</w:t>
            </w:r>
          </w:p>
        </w:tc>
        <w:tc>
          <w:tcPr>
            <w:tcW w:w="950" w:type="dxa"/>
            <w:tcBorders>
              <w:top w:val="single" w:sz="4" w:space="0" w:color="auto"/>
              <w:left w:val="single" w:sz="4" w:space="0" w:color="auto"/>
              <w:bottom w:val="single" w:sz="4" w:space="0" w:color="auto"/>
              <w:right w:val="single" w:sz="4" w:space="0" w:color="auto"/>
            </w:tcBorders>
            <w:shd w:val="clear" w:color="auto" w:fill="153D63"/>
            <w:hideMark/>
          </w:tcPr>
          <w:p w14:paraId="56E9E47E" w14:textId="77777777" w:rsidR="00B72FC3" w:rsidRPr="00037037" w:rsidRDefault="00B72FC3" w:rsidP="00426D39">
            <w:pPr>
              <w:keepNext/>
              <w:rPr>
                <w:rFonts w:eastAsia="Arial" w:cs="Arial"/>
                <w:b/>
                <w:bCs/>
                <w:sz w:val="24"/>
              </w:rPr>
            </w:pPr>
            <w:r w:rsidRPr="00037037">
              <w:rPr>
                <w:rFonts w:eastAsia="Arial" w:cs="Arial"/>
                <w:b/>
                <w:bCs/>
                <w:sz w:val="24"/>
              </w:rPr>
              <w:t>Eating five a day</w:t>
            </w:r>
          </w:p>
        </w:tc>
      </w:tr>
      <w:tr w:rsidR="00B72FC3" w:rsidRPr="00037037" w14:paraId="144B730C" w14:textId="77777777" w:rsidTr="00466EE5">
        <w:trPr>
          <w:trHeight w:val="316"/>
        </w:trPr>
        <w:tc>
          <w:tcPr>
            <w:tcW w:w="0" w:type="auto"/>
            <w:tcBorders>
              <w:top w:val="single" w:sz="4" w:space="0" w:color="auto"/>
              <w:left w:val="single" w:sz="4" w:space="0" w:color="auto"/>
              <w:bottom w:val="single" w:sz="4" w:space="0" w:color="auto"/>
              <w:right w:val="single" w:sz="4" w:space="0" w:color="auto"/>
            </w:tcBorders>
            <w:hideMark/>
          </w:tcPr>
          <w:p w14:paraId="36CEF8E2" w14:textId="77777777" w:rsidR="00B72FC3" w:rsidRPr="00037037" w:rsidRDefault="00B72FC3" w:rsidP="00426D39">
            <w:pPr>
              <w:keepNext/>
              <w:rPr>
                <w:rFonts w:cs="Arial"/>
                <w:bCs/>
                <w:sz w:val="24"/>
              </w:rPr>
            </w:pPr>
            <w:r w:rsidRPr="00037037">
              <w:rPr>
                <w:rFonts w:eastAsia="Arial" w:cs="Arial"/>
                <w:sz w:val="24"/>
              </w:rPr>
              <w:t>Swansea local authority</w:t>
            </w:r>
          </w:p>
        </w:tc>
        <w:tc>
          <w:tcPr>
            <w:tcW w:w="0" w:type="auto"/>
            <w:tcBorders>
              <w:top w:val="single" w:sz="4" w:space="0" w:color="auto"/>
              <w:left w:val="single" w:sz="4" w:space="0" w:color="auto"/>
              <w:bottom w:val="single" w:sz="4" w:space="0" w:color="auto"/>
              <w:right w:val="single" w:sz="4" w:space="0" w:color="auto"/>
            </w:tcBorders>
            <w:hideMark/>
          </w:tcPr>
          <w:p w14:paraId="3D2EC72D" w14:textId="77777777" w:rsidR="00B72FC3" w:rsidRPr="00037037" w:rsidRDefault="00B72FC3" w:rsidP="00426D39">
            <w:pPr>
              <w:keepNext/>
              <w:rPr>
                <w:rFonts w:eastAsia="Arial" w:cs="Arial"/>
                <w:sz w:val="24"/>
              </w:rPr>
            </w:pPr>
            <w:r w:rsidRPr="00037037">
              <w:rPr>
                <w:rFonts w:eastAsia="Arial" w:cs="Arial"/>
                <w:sz w:val="24"/>
              </w:rPr>
              <w:t>209,302</w:t>
            </w:r>
            <w:r w:rsidRPr="00037037">
              <w:rPr>
                <w:rFonts w:eastAsia="Arial" w:cs="Arial"/>
                <w:sz w:val="24"/>
                <w:vertAlign w:val="superscript"/>
              </w:rPr>
              <w:footnoteReference w:id="271"/>
            </w:r>
          </w:p>
        </w:tc>
        <w:tc>
          <w:tcPr>
            <w:tcW w:w="0" w:type="auto"/>
            <w:tcBorders>
              <w:top w:val="single" w:sz="4" w:space="0" w:color="auto"/>
              <w:left w:val="single" w:sz="4" w:space="0" w:color="auto"/>
              <w:bottom w:val="single" w:sz="4" w:space="0" w:color="auto"/>
              <w:right w:val="single" w:sz="4" w:space="0" w:color="auto"/>
            </w:tcBorders>
            <w:hideMark/>
          </w:tcPr>
          <w:p w14:paraId="469BD15B" w14:textId="77777777" w:rsidR="00B72FC3" w:rsidRPr="00037037" w:rsidRDefault="00B72FC3" w:rsidP="00426D39">
            <w:pPr>
              <w:keepNext/>
              <w:rPr>
                <w:rFonts w:eastAsia="Arial" w:cs="Arial"/>
                <w:sz w:val="24"/>
              </w:rPr>
            </w:pPr>
            <w:r w:rsidRPr="00037037">
              <w:rPr>
                <w:rFonts w:eastAsia="Arial" w:cs="Arial"/>
                <w:sz w:val="24"/>
              </w:rPr>
              <w:t>20%</w:t>
            </w:r>
          </w:p>
        </w:tc>
        <w:tc>
          <w:tcPr>
            <w:tcW w:w="0" w:type="auto"/>
            <w:tcBorders>
              <w:top w:val="single" w:sz="4" w:space="0" w:color="auto"/>
              <w:left w:val="single" w:sz="4" w:space="0" w:color="auto"/>
              <w:bottom w:val="single" w:sz="4" w:space="0" w:color="auto"/>
              <w:right w:val="single" w:sz="4" w:space="0" w:color="auto"/>
            </w:tcBorders>
            <w:hideMark/>
          </w:tcPr>
          <w:p w14:paraId="62BB58E3" w14:textId="77777777" w:rsidR="00B72FC3" w:rsidRPr="00037037" w:rsidRDefault="00B72FC3" w:rsidP="00426D39">
            <w:pPr>
              <w:keepNext/>
              <w:rPr>
                <w:rFonts w:eastAsia="Arial" w:cs="Arial"/>
                <w:sz w:val="24"/>
              </w:rPr>
            </w:pPr>
            <w:r w:rsidRPr="00037037">
              <w:rPr>
                <w:rFonts w:eastAsia="Arial" w:cs="Arial"/>
                <w:sz w:val="24"/>
              </w:rPr>
              <w:t>16%</w:t>
            </w:r>
          </w:p>
        </w:tc>
        <w:tc>
          <w:tcPr>
            <w:tcW w:w="0" w:type="auto"/>
            <w:tcBorders>
              <w:top w:val="single" w:sz="4" w:space="0" w:color="auto"/>
              <w:left w:val="single" w:sz="4" w:space="0" w:color="auto"/>
              <w:bottom w:val="single" w:sz="4" w:space="0" w:color="auto"/>
              <w:right w:val="single" w:sz="4" w:space="0" w:color="auto"/>
            </w:tcBorders>
            <w:hideMark/>
          </w:tcPr>
          <w:p w14:paraId="484DEB95" w14:textId="77777777" w:rsidR="00B72FC3" w:rsidRPr="00037037" w:rsidRDefault="00B72FC3" w:rsidP="00426D39">
            <w:pPr>
              <w:keepNext/>
              <w:rPr>
                <w:rFonts w:eastAsia="Arial" w:cs="Arial"/>
                <w:sz w:val="24"/>
              </w:rPr>
            </w:pPr>
            <w:r w:rsidRPr="00037037">
              <w:rPr>
                <w:rFonts w:eastAsia="Arial" w:cs="Arial"/>
                <w:sz w:val="24"/>
              </w:rPr>
              <w:t>61%</w:t>
            </w:r>
          </w:p>
        </w:tc>
        <w:tc>
          <w:tcPr>
            <w:tcW w:w="0" w:type="auto"/>
            <w:tcBorders>
              <w:top w:val="single" w:sz="4" w:space="0" w:color="auto"/>
              <w:left w:val="single" w:sz="4" w:space="0" w:color="auto"/>
              <w:bottom w:val="single" w:sz="4" w:space="0" w:color="auto"/>
              <w:right w:val="single" w:sz="4" w:space="0" w:color="auto"/>
            </w:tcBorders>
            <w:hideMark/>
          </w:tcPr>
          <w:p w14:paraId="70539B47" w14:textId="77777777" w:rsidR="00B72FC3" w:rsidRPr="00037037" w:rsidRDefault="00B72FC3" w:rsidP="00426D39">
            <w:pPr>
              <w:keepNext/>
              <w:rPr>
                <w:rFonts w:eastAsia="Arial" w:cs="Arial"/>
                <w:sz w:val="24"/>
              </w:rPr>
            </w:pPr>
            <w:r w:rsidRPr="00037037">
              <w:rPr>
                <w:rFonts w:eastAsia="Arial" w:cs="Arial"/>
                <w:sz w:val="24"/>
              </w:rPr>
              <w:t>24%</w:t>
            </w:r>
          </w:p>
        </w:tc>
        <w:tc>
          <w:tcPr>
            <w:tcW w:w="0" w:type="auto"/>
            <w:tcBorders>
              <w:top w:val="single" w:sz="4" w:space="0" w:color="auto"/>
              <w:left w:val="single" w:sz="4" w:space="0" w:color="auto"/>
              <w:bottom w:val="single" w:sz="4" w:space="0" w:color="auto"/>
              <w:right w:val="single" w:sz="4" w:space="0" w:color="auto"/>
            </w:tcBorders>
            <w:hideMark/>
          </w:tcPr>
          <w:p w14:paraId="5278DF10" w14:textId="77777777" w:rsidR="00B72FC3" w:rsidRPr="00037037" w:rsidRDefault="00B72FC3" w:rsidP="00426D39">
            <w:pPr>
              <w:keepNext/>
              <w:rPr>
                <w:rFonts w:eastAsia="Arial" w:cs="Arial"/>
                <w:sz w:val="24"/>
              </w:rPr>
            </w:pPr>
            <w:r w:rsidRPr="00037037">
              <w:rPr>
                <w:rFonts w:eastAsia="Arial" w:cs="Arial"/>
                <w:sz w:val="24"/>
              </w:rPr>
              <w:t>59%</w:t>
            </w:r>
          </w:p>
        </w:tc>
        <w:tc>
          <w:tcPr>
            <w:tcW w:w="950" w:type="dxa"/>
            <w:tcBorders>
              <w:top w:val="single" w:sz="4" w:space="0" w:color="auto"/>
              <w:left w:val="single" w:sz="4" w:space="0" w:color="auto"/>
              <w:bottom w:val="single" w:sz="4" w:space="0" w:color="auto"/>
              <w:right w:val="single" w:sz="4" w:space="0" w:color="auto"/>
            </w:tcBorders>
            <w:hideMark/>
          </w:tcPr>
          <w:p w14:paraId="021254CA" w14:textId="77777777" w:rsidR="00B72FC3" w:rsidRPr="00037037" w:rsidRDefault="00B72FC3" w:rsidP="00426D39">
            <w:pPr>
              <w:keepNext/>
              <w:rPr>
                <w:rFonts w:eastAsia="Arial" w:cs="Arial"/>
                <w:sz w:val="24"/>
              </w:rPr>
            </w:pPr>
            <w:r w:rsidRPr="00037037">
              <w:rPr>
                <w:rFonts w:eastAsia="Arial" w:cs="Arial"/>
                <w:sz w:val="24"/>
              </w:rPr>
              <w:t>34%</w:t>
            </w:r>
          </w:p>
        </w:tc>
      </w:tr>
      <w:tr w:rsidR="00B72FC3" w:rsidRPr="00037037" w14:paraId="11E3A937" w14:textId="77777777" w:rsidTr="00466EE5">
        <w:trPr>
          <w:trHeight w:val="328"/>
        </w:trPr>
        <w:tc>
          <w:tcPr>
            <w:tcW w:w="0" w:type="auto"/>
            <w:tcBorders>
              <w:top w:val="single" w:sz="4" w:space="0" w:color="auto"/>
              <w:left w:val="single" w:sz="4" w:space="0" w:color="auto"/>
              <w:bottom w:val="single" w:sz="4" w:space="0" w:color="auto"/>
              <w:right w:val="single" w:sz="4" w:space="0" w:color="auto"/>
            </w:tcBorders>
            <w:hideMark/>
          </w:tcPr>
          <w:p w14:paraId="2D89468A" w14:textId="77777777" w:rsidR="00B72FC3" w:rsidRPr="00037037" w:rsidRDefault="00B72FC3" w:rsidP="00426D39">
            <w:pPr>
              <w:keepNext/>
              <w:rPr>
                <w:rFonts w:eastAsia="Arial" w:cs="Arial"/>
                <w:sz w:val="24"/>
              </w:rPr>
            </w:pPr>
            <w:r w:rsidRPr="00037037">
              <w:rPr>
                <w:rFonts w:eastAsia="Arial" w:cs="Arial"/>
                <w:sz w:val="24"/>
              </w:rPr>
              <w:t>Wales</w:t>
            </w:r>
          </w:p>
        </w:tc>
        <w:tc>
          <w:tcPr>
            <w:tcW w:w="0" w:type="auto"/>
            <w:tcBorders>
              <w:top w:val="single" w:sz="4" w:space="0" w:color="auto"/>
              <w:left w:val="single" w:sz="4" w:space="0" w:color="auto"/>
              <w:bottom w:val="single" w:sz="4" w:space="0" w:color="auto"/>
              <w:right w:val="single" w:sz="4" w:space="0" w:color="auto"/>
            </w:tcBorders>
            <w:hideMark/>
          </w:tcPr>
          <w:p w14:paraId="0663E8F0" w14:textId="77777777" w:rsidR="00B72FC3" w:rsidRPr="00037037" w:rsidRDefault="00B72FC3" w:rsidP="00426D39">
            <w:pPr>
              <w:keepNext/>
              <w:rPr>
                <w:rFonts w:eastAsia="Arial" w:cs="Arial"/>
                <w:sz w:val="24"/>
              </w:rPr>
            </w:pPr>
            <w:r w:rsidRPr="00037037">
              <w:rPr>
                <w:rFonts w:eastAsia="Arial" w:cs="Arial"/>
                <w:sz w:val="24"/>
              </w:rPr>
              <w:t>2,641,000</w:t>
            </w:r>
            <w:r w:rsidRPr="00037037">
              <w:rPr>
                <w:rFonts w:eastAsia="Arial" w:cs="Arial"/>
                <w:sz w:val="24"/>
                <w:vertAlign w:val="superscript"/>
              </w:rPr>
              <w:footnoteReference w:id="272"/>
            </w:r>
          </w:p>
        </w:tc>
        <w:tc>
          <w:tcPr>
            <w:tcW w:w="0" w:type="auto"/>
            <w:tcBorders>
              <w:top w:val="single" w:sz="4" w:space="0" w:color="auto"/>
              <w:left w:val="single" w:sz="4" w:space="0" w:color="auto"/>
              <w:bottom w:val="single" w:sz="4" w:space="0" w:color="auto"/>
              <w:right w:val="single" w:sz="4" w:space="0" w:color="auto"/>
            </w:tcBorders>
            <w:hideMark/>
          </w:tcPr>
          <w:p w14:paraId="41EBF9A2" w14:textId="77777777" w:rsidR="00B72FC3" w:rsidRPr="00037037" w:rsidRDefault="00B72FC3" w:rsidP="00426D39">
            <w:pPr>
              <w:keepNext/>
              <w:rPr>
                <w:rFonts w:eastAsia="Arial" w:cs="Arial"/>
                <w:sz w:val="24"/>
              </w:rPr>
            </w:pPr>
            <w:r w:rsidRPr="00037037">
              <w:rPr>
                <w:rFonts w:eastAsia="Arial" w:cs="Arial"/>
                <w:sz w:val="24"/>
              </w:rPr>
              <w:t>20%</w:t>
            </w:r>
          </w:p>
        </w:tc>
        <w:tc>
          <w:tcPr>
            <w:tcW w:w="0" w:type="auto"/>
            <w:tcBorders>
              <w:top w:val="single" w:sz="4" w:space="0" w:color="auto"/>
              <w:left w:val="single" w:sz="4" w:space="0" w:color="auto"/>
              <w:bottom w:val="single" w:sz="4" w:space="0" w:color="auto"/>
              <w:right w:val="single" w:sz="4" w:space="0" w:color="auto"/>
            </w:tcBorders>
            <w:hideMark/>
          </w:tcPr>
          <w:p w14:paraId="14D48968" w14:textId="77777777" w:rsidR="00B72FC3" w:rsidRPr="00037037" w:rsidRDefault="00B72FC3" w:rsidP="00426D39">
            <w:pPr>
              <w:keepNext/>
              <w:rPr>
                <w:rFonts w:eastAsia="Arial" w:cs="Arial"/>
                <w:sz w:val="24"/>
              </w:rPr>
            </w:pPr>
            <w:r w:rsidRPr="00037037">
              <w:rPr>
                <w:rFonts w:eastAsia="Arial" w:cs="Arial"/>
                <w:sz w:val="24"/>
              </w:rPr>
              <w:t>16%</w:t>
            </w:r>
          </w:p>
        </w:tc>
        <w:tc>
          <w:tcPr>
            <w:tcW w:w="0" w:type="auto"/>
            <w:tcBorders>
              <w:top w:val="single" w:sz="4" w:space="0" w:color="auto"/>
              <w:left w:val="single" w:sz="4" w:space="0" w:color="auto"/>
              <w:bottom w:val="single" w:sz="4" w:space="0" w:color="auto"/>
              <w:right w:val="single" w:sz="4" w:space="0" w:color="auto"/>
            </w:tcBorders>
            <w:hideMark/>
          </w:tcPr>
          <w:p w14:paraId="38A80E2F" w14:textId="77777777" w:rsidR="00B72FC3" w:rsidRPr="00037037" w:rsidRDefault="00B72FC3" w:rsidP="00426D39">
            <w:pPr>
              <w:keepNext/>
              <w:rPr>
                <w:rFonts w:eastAsia="Arial" w:cs="Arial"/>
                <w:sz w:val="24"/>
              </w:rPr>
            </w:pPr>
            <w:r w:rsidRPr="00037037">
              <w:rPr>
                <w:rFonts w:eastAsia="Arial" w:cs="Arial"/>
                <w:sz w:val="24"/>
              </w:rPr>
              <w:t>62%</w:t>
            </w:r>
          </w:p>
        </w:tc>
        <w:tc>
          <w:tcPr>
            <w:tcW w:w="0" w:type="auto"/>
            <w:tcBorders>
              <w:top w:val="single" w:sz="4" w:space="0" w:color="auto"/>
              <w:left w:val="single" w:sz="4" w:space="0" w:color="auto"/>
              <w:bottom w:val="single" w:sz="4" w:space="0" w:color="auto"/>
              <w:right w:val="single" w:sz="4" w:space="0" w:color="auto"/>
            </w:tcBorders>
            <w:hideMark/>
          </w:tcPr>
          <w:p w14:paraId="2234EBC8" w14:textId="77777777" w:rsidR="00B72FC3" w:rsidRPr="00037037" w:rsidRDefault="00B72FC3" w:rsidP="00426D39">
            <w:pPr>
              <w:keepNext/>
              <w:rPr>
                <w:rFonts w:eastAsia="Arial" w:cs="Arial"/>
                <w:sz w:val="24"/>
              </w:rPr>
            </w:pPr>
            <w:r w:rsidRPr="00037037">
              <w:rPr>
                <w:rFonts w:eastAsia="Arial" w:cs="Arial"/>
                <w:sz w:val="24"/>
              </w:rPr>
              <w:t>25%</w:t>
            </w:r>
          </w:p>
        </w:tc>
        <w:tc>
          <w:tcPr>
            <w:tcW w:w="0" w:type="auto"/>
            <w:tcBorders>
              <w:top w:val="single" w:sz="4" w:space="0" w:color="auto"/>
              <w:left w:val="single" w:sz="4" w:space="0" w:color="auto"/>
              <w:bottom w:val="single" w:sz="4" w:space="0" w:color="auto"/>
              <w:right w:val="single" w:sz="4" w:space="0" w:color="auto"/>
            </w:tcBorders>
            <w:hideMark/>
          </w:tcPr>
          <w:p w14:paraId="63460ECD" w14:textId="77777777" w:rsidR="00B72FC3" w:rsidRPr="00037037" w:rsidRDefault="00B72FC3" w:rsidP="00426D39">
            <w:pPr>
              <w:keepNext/>
              <w:rPr>
                <w:rFonts w:eastAsia="Arial" w:cs="Arial"/>
                <w:sz w:val="24"/>
              </w:rPr>
            </w:pPr>
            <w:r w:rsidRPr="00037037">
              <w:rPr>
                <w:rFonts w:eastAsia="Arial" w:cs="Arial"/>
                <w:sz w:val="24"/>
              </w:rPr>
              <w:t>56%</w:t>
            </w:r>
          </w:p>
        </w:tc>
        <w:tc>
          <w:tcPr>
            <w:tcW w:w="950" w:type="dxa"/>
            <w:tcBorders>
              <w:top w:val="single" w:sz="4" w:space="0" w:color="auto"/>
              <w:left w:val="single" w:sz="4" w:space="0" w:color="auto"/>
              <w:bottom w:val="single" w:sz="4" w:space="0" w:color="auto"/>
              <w:right w:val="single" w:sz="4" w:space="0" w:color="auto"/>
            </w:tcBorders>
          </w:tcPr>
          <w:p w14:paraId="11B2C2B1" w14:textId="77777777" w:rsidR="00B72FC3" w:rsidRPr="00037037" w:rsidRDefault="00B72FC3" w:rsidP="00426D39">
            <w:pPr>
              <w:keepNext/>
              <w:rPr>
                <w:rFonts w:eastAsia="Arial" w:cs="Arial"/>
                <w:sz w:val="24"/>
              </w:rPr>
            </w:pPr>
            <w:r w:rsidRPr="00037037">
              <w:rPr>
                <w:rFonts w:eastAsia="Arial" w:cs="Arial"/>
                <w:sz w:val="24"/>
              </w:rPr>
              <w:t>29%</w:t>
            </w:r>
          </w:p>
        </w:tc>
      </w:tr>
    </w:tbl>
    <w:p w14:paraId="5C89A366" w14:textId="77777777" w:rsidR="00197EC0" w:rsidRDefault="00197EC0" w:rsidP="00107F42">
      <w:pPr>
        <w:contextualSpacing/>
        <w:rPr>
          <w:rFonts w:eastAsia="Aptos" w:cs="Arial"/>
        </w:rPr>
      </w:pPr>
    </w:p>
    <w:p w14:paraId="7D13F282" w14:textId="77777777" w:rsidR="00BF2D0B" w:rsidRDefault="00197EC0" w:rsidP="00107F42">
      <w:pPr>
        <w:contextualSpacing/>
        <w:rPr>
          <w:rFonts w:eastAsia="Aptos" w:cs="Arial"/>
        </w:rPr>
      </w:pPr>
      <w:r w:rsidRPr="00197EC0">
        <w:rPr>
          <w:rFonts w:eastAsia="Aptos" w:cs="Arial"/>
        </w:rPr>
        <w:t xml:space="preserve">Overall, the adult lifestyle behaviours in Swansea are broadly in line with the Wales </w:t>
      </w:r>
    </w:p>
    <w:p w14:paraId="274E7804" w14:textId="386B07B8" w:rsidR="00197EC0" w:rsidRPr="00197EC0" w:rsidRDefault="00197EC0" w:rsidP="00107F42">
      <w:pPr>
        <w:contextualSpacing/>
        <w:rPr>
          <w:rFonts w:eastAsia="Aptos" w:cs="Arial"/>
          <w:lang w:eastAsia="en-GB"/>
        </w:rPr>
      </w:pPr>
      <w:r w:rsidRPr="00197EC0">
        <w:rPr>
          <w:rFonts w:eastAsia="Aptos" w:cs="Arial"/>
        </w:rPr>
        <w:lastRenderedPageBreak/>
        <w:t>average for smoking, drinking above recommended limits, and maintaining a healthy weight. However, Swansea performs better than the Wales average for physical activity and in eating five portions of fruit and vegetables a day.</w:t>
      </w:r>
    </w:p>
    <w:p w14:paraId="085F03E1" w14:textId="77777777" w:rsidR="00197EC0" w:rsidRPr="00197EC0" w:rsidRDefault="00197EC0" w:rsidP="00107F42">
      <w:pPr>
        <w:contextualSpacing/>
        <w:rPr>
          <w:rFonts w:eastAsia="Aptos" w:cs="Arial"/>
        </w:rPr>
      </w:pPr>
    </w:p>
    <w:p w14:paraId="40247AB9" w14:textId="77777777" w:rsidR="00197EC0" w:rsidRPr="00197EC0" w:rsidRDefault="00197EC0" w:rsidP="00107F42">
      <w:pPr>
        <w:rPr>
          <w:rFonts w:eastAsia="Aptos" w:cs="Arial"/>
          <w:b/>
          <w:bCs/>
          <w:sz w:val="26"/>
          <w:szCs w:val="26"/>
        </w:rPr>
      </w:pPr>
      <w:r w:rsidRPr="00197EC0">
        <w:rPr>
          <w:rFonts w:eastAsia="Aptos" w:cs="Arial"/>
          <w:b/>
          <w:bCs/>
          <w:sz w:val="26"/>
          <w:szCs w:val="26"/>
        </w:rPr>
        <w:t>10.3 Current provision of pharmaceutical services within the locality</w:t>
      </w:r>
    </w:p>
    <w:p w14:paraId="5284D696" w14:textId="77777777" w:rsidR="00197EC0" w:rsidRPr="00197EC0" w:rsidRDefault="00197EC0" w:rsidP="00107F42">
      <w:pPr>
        <w:rPr>
          <w:rFonts w:eastAsia="Aptos" w:cs="Arial"/>
        </w:rPr>
      </w:pPr>
    </w:p>
    <w:p w14:paraId="4D2907FE" w14:textId="77777777" w:rsidR="00197EC0" w:rsidRPr="00197EC0" w:rsidRDefault="00197EC0" w:rsidP="00107F42">
      <w:pPr>
        <w:rPr>
          <w:rFonts w:eastAsia="Aptos" w:cs="Arial"/>
        </w:rPr>
      </w:pPr>
      <w:r w:rsidRPr="00197EC0">
        <w:rPr>
          <w:rFonts w:eastAsia="Aptos" w:cs="Arial"/>
        </w:rPr>
        <w:t>There are nine pharmacies in the locality, with five of these being in Morriston town operated by five different contractors.</w:t>
      </w:r>
    </w:p>
    <w:p w14:paraId="3A246A66" w14:textId="77777777" w:rsidR="00197EC0" w:rsidRPr="00197EC0" w:rsidRDefault="00197EC0" w:rsidP="00107F42">
      <w:pPr>
        <w:rPr>
          <w:rFonts w:eastAsia="Aptos" w:cs="Arial"/>
        </w:rPr>
      </w:pPr>
    </w:p>
    <w:p w14:paraId="22129DB4" w14:textId="77777777" w:rsidR="00197EC0" w:rsidRPr="00197EC0" w:rsidRDefault="00197EC0" w:rsidP="00107F42">
      <w:pPr>
        <w:rPr>
          <w:rFonts w:eastAsia="Aptos" w:cs="Arial"/>
        </w:rPr>
      </w:pPr>
      <w:r w:rsidRPr="00197EC0">
        <w:rPr>
          <w:rFonts w:eastAsia="Aptos" w:cs="Arial"/>
        </w:rPr>
        <w:t>The availability of pharmaceutical services within the locality per 10,000 registered population is 2.1 which is below the health board average of 2.3.</w:t>
      </w:r>
    </w:p>
    <w:p w14:paraId="3F38C347" w14:textId="77777777" w:rsidR="00197EC0" w:rsidRPr="00197EC0" w:rsidRDefault="00197EC0" w:rsidP="00107F42">
      <w:pPr>
        <w:rPr>
          <w:rFonts w:eastAsia="Aptos" w:cs="Arial"/>
        </w:rPr>
      </w:pPr>
    </w:p>
    <w:p w14:paraId="7FA8602B"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 xml:space="preserve">In 2024/25, 89.6% of items on prescriptions written by the GP practices in the locality were dispensed by one of the pharmacies within the locality. </w:t>
      </w:r>
    </w:p>
    <w:p w14:paraId="797E489B" w14:textId="77777777" w:rsidR="00197EC0" w:rsidRPr="00197EC0" w:rsidRDefault="00197EC0" w:rsidP="00107F42">
      <w:pPr>
        <w:rPr>
          <w:rFonts w:eastAsia="Times New Roman" w:cs="Arial"/>
          <w:kern w:val="0"/>
          <w:lang w:eastAsia="en-GB"/>
          <w14:ligatures w14:val="none"/>
        </w:rPr>
      </w:pPr>
    </w:p>
    <w:p w14:paraId="7CB44D3A"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 xml:space="preserve">In 2025/26, 89.2% of items on prescriptions written by the GP practices in the locality were dispensed by one of the pharmacies within the locality. </w:t>
      </w:r>
    </w:p>
    <w:p w14:paraId="2C03B211" w14:textId="77777777" w:rsidR="00197EC0" w:rsidRPr="00197EC0" w:rsidRDefault="00197EC0" w:rsidP="00107F42">
      <w:pPr>
        <w:rPr>
          <w:rFonts w:eastAsia="Aptos" w:cs="Arial"/>
        </w:rPr>
      </w:pPr>
    </w:p>
    <w:p w14:paraId="24D303BB" w14:textId="77777777" w:rsidR="00197EC0" w:rsidRPr="00197EC0" w:rsidRDefault="00197EC0" w:rsidP="00107F42">
      <w:pPr>
        <w:rPr>
          <w:rFonts w:eastAsia="Aptos" w:cs="Arial"/>
        </w:rPr>
      </w:pPr>
      <w:r w:rsidRPr="00197EC0">
        <w:rPr>
          <w:rFonts w:eastAsia="Aptos" w:cs="Arial"/>
        </w:rPr>
        <w:t>The map below shows the pharmaceutical provision within in the area. It should be noted that where premises are close to each other the symbols will overlap.</w:t>
      </w:r>
    </w:p>
    <w:p w14:paraId="4E42D055" w14:textId="77777777" w:rsidR="00197EC0" w:rsidRPr="00197EC0" w:rsidRDefault="00197EC0" w:rsidP="00107F42">
      <w:pPr>
        <w:rPr>
          <w:rFonts w:eastAsia="Aptos" w:cs="Arial"/>
        </w:rPr>
      </w:pPr>
    </w:p>
    <w:p w14:paraId="743F3DF1" w14:textId="77777777" w:rsidR="00197EC0" w:rsidRPr="00197EC0" w:rsidRDefault="00197EC0" w:rsidP="00107F42">
      <w:pPr>
        <w:rPr>
          <w:rFonts w:eastAsia="Aptos" w:cs="Arial"/>
          <w:b/>
          <w:bCs/>
        </w:rPr>
      </w:pPr>
      <w:r w:rsidRPr="00197EC0">
        <w:rPr>
          <w:rFonts w:eastAsia="Aptos" w:cs="Arial"/>
          <w:b/>
          <w:bCs/>
        </w:rPr>
        <w:t>Map 10.1: Locations of the pharmacy premises within the locality</w:t>
      </w:r>
    </w:p>
    <w:p w14:paraId="39384A6D" w14:textId="77777777" w:rsidR="00197EC0" w:rsidRPr="00197EC0" w:rsidRDefault="00197EC0" w:rsidP="00107F42">
      <w:pPr>
        <w:rPr>
          <w:rFonts w:eastAsia="Aptos" w:cs="Arial"/>
        </w:rPr>
      </w:pPr>
    </w:p>
    <w:p w14:paraId="79B9DC0C" w14:textId="2C0D5CCF" w:rsidR="00197EC0" w:rsidRPr="00197EC0" w:rsidRDefault="005114C5" w:rsidP="00107F42">
      <w:pPr>
        <w:rPr>
          <w:rFonts w:eastAsia="Aptos" w:cs="Arial"/>
        </w:rPr>
      </w:pPr>
      <w:r w:rsidRPr="005114C5">
        <w:rPr>
          <w:rFonts w:eastAsia="Aptos" w:cs="Arial"/>
          <w:noProof/>
        </w:rPr>
        <w:drawing>
          <wp:inline distT="0" distB="0" distL="0" distR="0" wp14:anchorId="17AE4040" wp14:editId="74615B71">
            <wp:extent cx="5731510" cy="4308475"/>
            <wp:effectExtent l="0" t="0" r="2540" b="0"/>
            <wp:docPr id="2057330839" name="Picture 1" descr="Map of the Morriston, Clase, Llansamlet, and Clydach areas of Swansea showing the locations of nine pharmacies marked with numbered blue pins. A legend in the upper-left corner lists the pharmacies: Well Pharmacy Clase (1), Jhoots Pharmacy Strawberry Place (2), Morriston Pharmacy (3), Allied Pharmacy 67 Sway Road (4), Allied Pharmacy 50 Sway Road (5), Well Pharmacy Morriston (6), Llansamlet Pharmacy (7), Welchem Central Pharmacy (8), and Welchem Clydach Health Centre (9). Several pharmacies are clustered in central Morriston, with individual locations in Clase to the west, Llansamlet to the southeast, and Clydach to the northeast. Numbered arrows identify pharmacies within the Morriston cluster, while the numbered map pins correspond to the pharmacy list and illustrate their distribution across the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7330839" name="Picture 1" descr="Map of the Morriston, Clase, Llansamlet, and Clydach areas of Swansea showing the locations of nine pharmacies marked with numbered blue pins. A legend in the upper-left corner lists the pharmacies: Well Pharmacy Clase (1), Jhoots Pharmacy Strawberry Place (2), Morriston Pharmacy (3), Allied Pharmacy 67 Sway Road (4), Allied Pharmacy 50 Sway Road (5), Well Pharmacy Morriston (6), Llansamlet Pharmacy (7), Welchem Central Pharmacy (8), and Welchem Clydach Health Centre (9). Several pharmacies are clustered in central Morriston, with individual locations in Clase to the west, Llansamlet to the southeast, and Clydach to the northeast. Numbered arrows identify pharmacies within the Morriston cluster, while the numbered map pins correspond to the pharmacy list and illustrate their distribution across the area."/>
                    <pic:cNvPicPr/>
                  </pic:nvPicPr>
                  <pic:blipFill>
                    <a:blip r:embed="rId58"/>
                    <a:stretch>
                      <a:fillRect/>
                    </a:stretch>
                  </pic:blipFill>
                  <pic:spPr>
                    <a:xfrm>
                      <a:off x="0" y="0"/>
                      <a:ext cx="5731510" cy="4308475"/>
                    </a:xfrm>
                    <a:prstGeom prst="rect">
                      <a:avLst/>
                    </a:prstGeom>
                  </pic:spPr>
                </pic:pic>
              </a:graphicData>
            </a:graphic>
          </wp:inline>
        </w:drawing>
      </w:r>
    </w:p>
    <w:p w14:paraId="06DFBBB8" w14:textId="77777777" w:rsidR="00910AD7" w:rsidRDefault="00910AD7" w:rsidP="00107F42">
      <w:pPr>
        <w:rPr>
          <w:rFonts w:eastAsia="Aptos" w:cs="Arial"/>
        </w:rPr>
      </w:pPr>
    </w:p>
    <w:p w14:paraId="096D2CC2" w14:textId="77777777" w:rsidR="00910AD7" w:rsidRDefault="00197EC0" w:rsidP="00107F42">
      <w:pPr>
        <w:rPr>
          <w:rFonts w:eastAsia="Aptos" w:cs="Arial"/>
        </w:rPr>
      </w:pPr>
      <w:r w:rsidRPr="00197EC0">
        <w:rPr>
          <w:rFonts w:eastAsia="Aptos" w:cs="Arial"/>
        </w:rPr>
        <w:t xml:space="preserve">The health board has noted the pharmaceutical needs assessment published on 1 </w:t>
      </w:r>
    </w:p>
    <w:p w14:paraId="6A3BBF4E" w14:textId="50312BE1" w:rsidR="00197EC0" w:rsidRPr="00197EC0" w:rsidRDefault="00197EC0" w:rsidP="00107F42">
      <w:pPr>
        <w:rPr>
          <w:rFonts w:eastAsia="Aptos" w:cs="Arial"/>
        </w:rPr>
      </w:pPr>
      <w:r w:rsidRPr="00197EC0">
        <w:rPr>
          <w:rFonts w:eastAsia="Aptos" w:cs="Arial"/>
        </w:rPr>
        <w:lastRenderedPageBreak/>
        <w:t>October 2021 concluded that the pharmacies in this locality were mainly located in areas of greater population density. In addition, all residents could access one of the pharmacies within 20 minutes by car. Noting the locations of the pharmacies have not changed, the health board is satisfied this conclusion remains valid; residents are still able to access a pharmacy by car within 20 minutes and for many the travel time will be shorter.</w:t>
      </w:r>
    </w:p>
    <w:p w14:paraId="1126F26C" w14:textId="77777777" w:rsidR="00197EC0" w:rsidRPr="00197EC0" w:rsidRDefault="00197EC0" w:rsidP="00107F42">
      <w:pPr>
        <w:rPr>
          <w:rFonts w:eastAsia="Times New Roman" w:cs="Arial"/>
          <w:kern w:val="0"/>
          <w:lang w:eastAsia="en-GB"/>
          <w14:ligatures w14:val="none"/>
        </w:rPr>
      </w:pPr>
    </w:p>
    <w:p w14:paraId="1E2EDFF8" w14:textId="77777777" w:rsidR="00197EC0" w:rsidRPr="00197EC0" w:rsidRDefault="00197EC0" w:rsidP="00107F42">
      <w:pPr>
        <w:rPr>
          <w:rFonts w:eastAsia="Aptos" w:cs="Arial"/>
        </w:rPr>
      </w:pPr>
      <w:r w:rsidRPr="00197EC0">
        <w:rPr>
          <w:rFonts w:eastAsia="Aptos" w:cs="Arial"/>
        </w:rPr>
        <w:t>Looking at the opening hours for the pharmacies in this locality:</w:t>
      </w:r>
    </w:p>
    <w:p w14:paraId="0752F28E" w14:textId="77777777" w:rsidR="00197EC0" w:rsidRPr="00197EC0" w:rsidRDefault="00197EC0" w:rsidP="00107F42">
      <w:pPr>
        <w:rPr>
          <w:rFonts w:eastAsia="Aptos" w:cs="Arial"/>
        </w:rPr>
      </w:pPr>
    </w:p>
    <w:p w14:paraId="142FF3AD" w14:textId="77777777" w:rsidR="00197EC0" w:rsidRPr="00197EC0" w:rsidRDefault="00197EC0" w:rsidP="00B76905">
      <w:pPr>
        <w:numPr>
          <w:ilvl w:val="0"/>
          <w:numId w:val="168"/>
        </w:numPr>
        <w:contextualSpacing/>
        <w:rPr>
          <w:rFonts w:eastAsia="Aptos" w:cs="Arial"/>
        </w:rPr>
      </w:pPr>
      <w:r w:rsidRPr="00197EC0">
        <w:rPr>
          <w:rFonts w:eastAsia="Aptos" w:cs="Arial"/>
        </w:rPr>
        <w:t>Four pharmacies are open Monday to Friday and Saturday morning, one of which is commissioned to also open on Sundays, and</w:t>
      </w:r>
    </w:p>
    <w:p w14:paraId="0EA3EF45" w14:textId="77777777" w:rsidR="00197EC0" w:rsidRPr="00197EC0" w:rsidRDefault="00197EC0" w:rsidP="00B76905">
      <w:pPr>
        <w:numPr>
          <w:ilvl w:val="0"/>
          <w:numId w:val="168"/>
        </w:numPr>
        <w:contextualSpacing/>
        <w:rPr>
          <w:rFonts w:eastAsia="Aptos" w:cs="Arial"/>
        </w:rPr>
      </w:pPr>
      <w:r w:rsidRPr="00197EC0">
        <w:rPr>
          <w:rFonts w:eastAsia="Aptos" w:cs="Arial"/>
        </w:rPr>
        <w:t>Five pharmacies are open Monday to Friday.</w:t>
      </w:r>
    </w:p>
    <w:p w14:paraId="421EDF1E" w14:textId="77777777" w:rsidR="00197EC0" w:rsidRPr="00197EC0" w:rsidRDefault="00197EC0" w:rsidP="00107F42">
      <w:pPr>
        <w:rPr>
          <w:rFonts w:eastAsia="Times New Roman" w:cs="Arial"/>
          <w:kern w:val="0"/>
          <w:lang w:eastAsia="en-GB"/>
          <w14:ligatures w14:val="none"/>
        </w:rPr>
      </w:pPr>
    </w:p>
    <w:p w14:paraId="35624C74" w14:textId="77777777" w:rsidR="00197EC0" w:rsidRPr="00197EC0" w:rsidRDefault="00197EC0" w:rsidP="00107F42">
      <w:pPr>
        <w:rPr>
          <w:rFonts w:eastAsia="Aptos" w:cs="Arial"/>
        </w:rPr>
      </w:pPr>
      <w:r w:rsidRPr="00197EC0">
        <w:rPr>
          <w:rFonts w:eastAsia="Times New Roman" w:cs="Arial"/>
          <w:kern w:val="0"/>
          <w:lang w:eastAsia="en-GB"/>
          <w14:ligatures w14:val="none"/>
        </w:rPr>
        <w:t xml:space="preserve">Within the locality when looking at the total pharmacy opening hours, the range of opening and closing times are shown in the table below. </w:t>
      </w:r>
      <w:r w:rsidRPr="00197EC0">
        <w:rPr>
          <w:rFonts w:eastAsia="Aptos" w:cs="Arial"/>
        </w:rPr>
        <w:t>For the purposes of the pharmaceutical needs assessment, normal working hours have been defined as Monday to Friday 9.00am to 5.30pm.</w:t>
      </w:r>
    </w:p>
    <w:p w14:paraId="30693790" w14:textId="77777777" w:rsidR="00161673" w:rsidRPr="00197EC0" w:rsidRDefault="00161673" w:rsidP="00107F42">
      <w:pPr>
        <w:rPr>
          <w:rFonts w:eastAsia="Aptos" w:cs="Arial"/>
        </w:rPr>
      </w:pPr>
    </w:p>
    <w:p w14:paraId="20AFBB93"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 xml:space="preserve">Table 10.7: Pharmacy opening and closing hours </w:t>
      </w:r>
    </w:p>
    <w:p w14:paraId="10BBC4EE" w14:textId="77777777" w:rsidR="00197EC0" w:rsidRPr="00197EC0" w:rsidRDefault="00197EC0" w:rsidP="00107F42">
      <w:pPr>
        <w:ind w:left="720"/>
        <w:contextualSpacing/>
        <w:rPr>
          <w:rFonts w:eastAsia="Times New Roman" w:cs="Arial"/>
          <w:kern w:val="0"/>
          <w:lang w:eastAsia="en-GB"/>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3463"/>
        <w:gridCol w:w="3006"/>
      </w:tblGrid>
      <w:tr w:rsidR="00197EC0" w:rsidRPr="00D0306F" w14:paraId="68533A98" w14:textId="77777777" w:rsidTr="00161673">
        <w:trPr>
          <w:trHeight w:val="282"/>
        </w:trPr>
        <w:tc>
          <w:tcPr>
            <w:tcW w:w="2547" w:type="dxa"/>
            <w:tcBorders>
              <w:top w:val="single" w:sz="4" w:space="0" w:color="auto"/>
              <w:left w:val="single" w:sz="4" w:space="0" w:color="auto"/>
              <w:bottom w:val="single" w:sz="4" w:space="0" w:color="auto"/>
              <w:right w:val="single" w:sz="4" w:space="0" w:color="auto"/>
            </w:tcBorders>
            <w:shd w:val="clear" w:color="auto" w:fill="153D63"/>
            <w:hideMark/>
          </w:tcPr>
          <w:p w14:paraId="0E7E9FBA"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Days</w:t>
            </w:r>
          </w:p>
        </w:tc>
        <w:tc>
          <w:tcPr>
            <w:tcW w:w="3463" w:type="dxa"/>
            <w:tcBorders>
              <w:top w:val="single" w:sz="4" w:space="0" w:color="auto"/>
              <w:left w:val="single" w:sz="4" w:space="0" w:color="auto"/>
              <w:bottom w:val="single" w:sz="4" w:space="0" w:color="auto"/>
              <w:right w:val="single" w:sz="4" w:space="0" w:color="auto"/>
            </w:tcBorders>
            <w:shd w:val="clear" w:color="auto" w:fill="153D63"/>
            <w:hideMark/>
          </w:tcPr>
          <w:p w14:paraId="2AC25E11" w14:textId="6B63FFEF" w:rsidR="00161673"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Opening hours range</w:t>
            </w:r>
          </w:p>
        </w:tc>
        <w:tc>
          <w:tcPr>
            <w:tcW w:w="3006" w:type="dxa"/>
            <w:tcBorders>
              <w:top w:val="single" w:sz="4" w:space="0" w:color="auto"/>
              <w:left w:val="single" w:sz="4" w:space="0" w:color="auto"/>
              <w:bottom w:val="single" w:sz="4" w:space="0" w:color="auto"/>
              <w:right w:val="single" w:sz="4" w:space="0" w:color="auto"/>
            </w:tcBorders>
            <w:shd w:val="clear" w:color="auto" w:fill="153D63"/>
            <w:hideMark/>
          </w:tcPr>
          <w:p w14:paraId="7D9F6E31"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Closing hours range</w:t>
            </w:r>
          </w:p>
        </w:tc>
      </w:tr>
      <w:tr w:rsidR="00197EC0" w:rsidRPr="00197EC0" w14:paraId="749F7FF1" w14:textId="77777777" w:rsidTr="00197EC0">
        <w:trPr>
          <w:trHeight w:val="411"/>
        </w:trPr>
        <w:tc>
          <w:tcPr>
            <w:tcW w:w="2547" w:type="dxa"/>
            <w:tcBorders>
              <w:top w:val="single" w:sz="4" w:space="0" w:color="auto"/>
              <w:left w:val="single" w:sz="4" w:space="0" w:color="auto"/>
              <w:bottom w:val="single" w:sz="4" w:space="0" w:color="auto"/>
              <w:right w:val="single" w:sz="4" w:space="0" w:color="auto"/>
            </w:tcBorders>
            <w:hideMark/>
          </w:tcPr>
          <w:p w14:paraId="5BFBCF87"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Monday to Friday</w:t>
            </w:r>
          </w:p>
        </w:tc>
        <w:tc>
          <w:tcPr>
            <w:tcW w:w="3463" w:type="dxa"/>
            <w:tcBorders>
              <w:top w:val="single" w:sz="4" w:space="0" w:color="auto"/>
              <w:left w:val="single" w:sz="4" w:space="0" w:color="auto"/>
              <w:bottom w:val="single" w:sz="4" w:space="0" w:color="auto"/>
              <w:right w:val="single" w:sz="4" w:space="0" w:color="auto"/>
            </w:tcBorders>
            <w:hideMark/>
          </w:tcPr>
          <w:p w14:paraId="665566FA"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8.30am to 9.00am</w:t>
            </w:r>
          </w:p>
        </w:tc>
        <w:tc>
          <w:tcPr>
            <w:tcW w:w="3006" w:type="dxa"/>
            <w:tcBorders>
              <w:top w:val="single" w:sz="4" w:space="0" w:color="auto"/>
              <w:left w:val="single" w:sz="4" w:space="0" w:color="auto"/>
              <w:bottom w:val="single" w:sz="4" w:space="0" w:color="auto"/>
              <w:right w:val="single" w:sz="4" w:space="0" w:color="auto"/>
            </w:tcBorders>
            <w:hideMark/>
          </w:tcPr>
          <w:p w14:paraId="755C651A"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5.30pm to 6.00pm</w:t>
            </w:r>
          </w:p>
        </w:tc>
      </w:tr>
      <w:tr w:rsidR="00197EC0" w:rsidRPr="00197EC0" w14:paraId="59E2974E" w14:textId="77777777" w:rsidTr="00197EC0">
        <w:tc>
          <w:tcPr>
            <w:tcW w:w="2547" w:type="dxa"/>
            <w:tcBorders>
              <w:top w:val="single" w:sz="4" w:space="0" w:color="auto"/>
              <w:left w:val="single" w:sz="4" w:space="0" w:color="auto"/>
              <w:bottom w:val="single" w:sz="4" w:space="0" w:color="auto"/>
              <w:right w:val="single" w:sz="4" w:space="0" w:color="auto"/>
            </w:tcBorders>
            <w:hideMark/>
          </w:tcPr>
          <w:p w14:paraId="25FC372A"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Saturday</w:t>
            </w:r>
          </w:p>
        </w:tc>
        <w:tc>
          <w:tcPr>
            <w:tcW w:w="3463" w:type="dxa"/>
            <w:tcBorders>
              <w:top w:val="single" w:sz="4" w:space="0" w:color="auto"/>
              <w:left w:val="single" w:sz="4" w:space="0" w:color="auto"/>
              <w:bottom w:val="single" w:sz="4" w:space="0" w:color="auto"/>
              <w:right w:val="single" w:sz="4" w:space="0" w:color="auto"/>
            </w:tcBorders>
            <w:hideMark/>
          </w:tcPr>
          <w:p w14:paraId="57DD0E6A"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9.00am</w:t>
            </w:r>
          </w:p>
        </w:tc>
        <w:tc>
          <w:tcPr>
            <w:tcW w:w="3006" w:type="dxa"/>
            <w:tcBorders>
              <w:top w:val="single" w:sz="4" w:space="0" w:color="auto"/>
              <w:left w:val="single" w:sz="4" w:space="0" w:color="auto"/>
              <w:bottom w:val="single" w:sz="4" w:space="0" w:color="auto"/>
              <w:right w:val="single" w:sz="4" w:space="0" w:color="auto"/>
            </w:tcBorders>
            <w:hideMark/>
          </w:tcPr>
          <w:p w14:paraId="567ECF46"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12.00pm to 1.00pm</w:t>
            </w:r>
          </w:p>
        </w:tc>
      </w:tr>
      <w:tr w:rsidR="00197EC0" w:rsidRPr="00197EC0" w14:paraId="0C5B563D" w14:textId="77777777" w:rsidTr="00197EC0">
        <w:tc>
          <w:tcPr>
            <w:tcW w:w="2547" w:type="dxa"/>
            <w:tcBorders>
              <w:top w:val="single" w:sz="4" w:space="0" w:color="auto"/>
              <w:left w:val="single" w:sz="4" w:space="0" w:color="auto"/>
              <w:bottom w:val="single" w:sz="4" w:space="0" w:color="auto"/>
              <w:right w:val="single" w:sz="4" w:space="0" w:color="auto"/>
            </w:tcBorders>
            <w:hideMark/>
          </w:tcPr>
          <w:p w14:paraId="64D3743C"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Sunday</w:t>
            </w:r>
          </w:p>
        </w:tc>
        <w:tc>
          <w:tcPr>
            <w:tcW w:w="3463" w:type="dxa"/>
            <w:tcBorders>
              <w:top w:val="single" w:sz="4" w:space="0" w:color="auto"/>
              <w:left w:val="single" w:sz="4" w:space="0" w:color="auto"/>
              <w:bottom w:val="single" w:sz="4" w:space="0" w:color="auto"/>
              <w:right w:val="single" w:sz="4" w:space="0" w:color="auto"/>
            </w:tcBorders>
            <w:hideMark/>
          </w:tcPr>
          <w:p w14:paraId="1F1F0707"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5.00pm</w:t>
            </w:r>
          </w:p>
        </w:tc>
        <w:tc>
          <w:tcPr>
            <w:tcW w:w="3006" w:type="dxa"/>
            <w:tcBorders>
              <w:top w:val="single" w:sz="4" w:space="0" w:color="auto"/>
              <w:left w:val="single" w:sz="4" w:space="0" w:color="auto"/>
              <w:bottom w:val="single" w:sz="4" w:space="0" w:color="auto"/>
              <w:right w:val="single" w:sz="4" w:space="0" w:color="auto"/>
            </w:tcBorders>
            <w:hideMark/>
          </w:tcPr>
          <w:p w14:paraId="045D5A3C"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6.00pm</w:t>
            </w:r>
          </w:p>
        </w:tc>
      </w:tr>
    </w:tbl>
    <w:p w14:paraId="27081C9B" w14:textId="77777777" w:rsidR="00197EC0" w:rsidRPr="00197EC0" w:rsidRDefault="00197EC0" w:rsidP="00107F42">
      <w:pPr>
        <w:rPr>
          <w:rFonts w:eastAsia="Aptos" w:cs="Arial"/>
        </w:rPr>
      </w:pPr>
    </w:p>
    <w:p w14:paraId="7D3E33DB" w14:textId="740325DD" w:rsidR="00197EC0" w:rsidRPr="005114C5" w:rsidRDefault="00422C06" w:rsidP="00B76905">
      <w:pPr>
        <w:numPr>
          <w:ilvl w:val="0"/>
          <w:numId w:val="169"/>
        </w:numPr>
        <w:contextualSpacing/>
        <w:rPr>
          <w:rFonts w:eastAsia="Aptos" w:cs="Arial"/>
        </w:rPr>
      </w:pPr>
      <w:r w:rsidRPr="005114C5">
        <w:rPr>
          <w:rFonts w:eastAsia="Aptos" w:cs="Arial"/>
        </w:rPr>
        <w:t>Two</w:t>
      </w:r>
      <w:r w:rsidR="00197EC0" w:rsidRPr="005114C5">
        <w:rPr>
          <w:rFonts w:eastAsia="Aptos" w:cs="Arial"/>
        </w:rPr>
        <w:t xml:space="preserve"> pharmacies open at 8.30am Monday to Friday</w:t>
      </w:r>
    </w:p>
    <w:p w14:paraId="565858AF" w14:textId="77777777" w:rsidR="00197EC0" w:rsidRPr="005114C5" w:rsidRDefault="00197EC0" w:rsidP="00B76905">
      <w:pPr>
        <w:numPr>
          <w:ilvl w:val="0"/>
          <w:numId w:val="169"/>
        </w:numPr>
        <w:contextualSpacing/>
        <w:rPr>
          <w:rFonts w:eastAsia="Aptos" w:cs="Arial"/>
        </w:rPr>
      </w:pPr>
      <w:r w:rsidRPr="005114C5">
        <w:rPr>
          <w:rFonts w:eastAsia="Aptos" w:cs="Arial"/>
        </w:rPr>
        <w:t xml:space="preserve">Five pharmacies close at 5.30pm Monday to Friday </w:t>
      </w:r>
    </w:p>
    <w:p w14:paraId="164F22CB" w14:textId="77777777" w:rsidR="00197EC0" w:rsidRPr="005114C5" w:rsidRDefault="00197EC0" w:rsidP="00B76905">
      <w:pPr>
        <w:numPr>
          <w:ilvl w:val="0"/>
          <w:numId w:val="169"/>
        </w:numPr>
        <w:contextualSpacing/>
        <w:rPr>
          <w:rFonts w:eastAsia="Aptos" w:cs="Arial"/>
        </w:rPr>
      </w:pPr>
      <w:r w:rsidRPr="005114C5">
        <w:rPr>
          <w:rFonts w:eastAsia="Aptos" w:cs="Arial"/>
        </w:rPr>
        <w:t>Four pharmacies close at 6.00pm Monday to Friday</w:t>
      </w:r>
    </w:p>
    <w:p w14:paraId="74F68AD4" w14:textId="2DAEE691" w:rsidR="00197EC0" w:rsidRPr="005114C5" w:rsidRDefault="00EF4F31" w:rsidP="00B76905">
      <w:pPr>
        <w:numPr>
          <w:ilvl w:val="0"/>
          <w:numId w:val="169"/>
        </w:numPr>
        <w:contextualSpacing/>
        <w:rPr>
          <w:rFonts w:eastAsia="Aptos" w:cs="Arial"/>
        </w:rPr>
      </w:pPr>
      <w:r w:rsidRPr="005114C5">
        <w:rPr>
          <w:rFonts w:eastAsia="Aptos" w:cs="Arial"/>
        </w:rPr>
        <w:t>Three</w:t>
      </w:r>
      <w:r w:rsidR="00197EC0" w:rsidRPr="005114C5">
        <w:rPr>
          <w:rFonts w:eastAsia="Aptos" w:cs="Arial"/>
        </w:rPr>
        <w:t xml:space="preserve"> pharmacies open on a Saturday:</w:t>
      </w:r>
    </w:p>
    <w:p w14:paraId="3138D2FD" w14:textId="390BBE64" w:rsidR="00197EC0" w:rsidRPr="005114C5" w:rsidRDefault="00EF4F31" w:rsidP="00B76905">
      <w:pPr>
        <w:numPr>
          <w:ilvl w:val="1"/>
          <w:numId w:val="169"/>
        </w:numPr>
        <w:contextualSpacing/>
        <w:rPr>
          <w:rFonts w:eastAsia="Aptos" w:cs="Arial"/>
        </w:rPr>
      </w:pPr>
      <w:r w:rsidRPr="005114C5">
        <w:rPr>
          <w:rFonts w:eastAsia="Aptos" w:cs="Arial"/>
        </w:rPr>
        <w:t>Two</w:t>
      </w:r>
      <w:r w:rsidR="00197EC0" w:rsidRPr="005114C5">
        <w:rPr>
          <w:rFonts w:eastAsia="Aptos" w:cs="Arial"/>
        </w:rPr>
        <w:t xml:space="preserve"> pharmacies close at 12.00pm</w:t>
      </w:r>
    </w:p>
    <w:p w14:paraId="6C030402" w14:textId="77777777" w:rsidR="00197EC0" w:rsidRPr="005114C5" w:rsidRDefault="00197EC0" w:rsidP="00B76905">
      <w:pPr>
        <w:numPr>
          <w:ilvl w:val="1"/>
          <w:numId w:val="169"/>
        </w:numPr>
        <w:contextualSpacing/>
        <w:rPr>
          <w:rFonts w:eastAsia="Aptos" w:cs="Arial"/>
        </w:rPr>
      </w:pPr>
      <w:r w:rsidRPr="005114C5">
        <w:rPr>
          <w:rFonts w:eastAsia="Aptos" w:cs="Arial"/>
        </w:rPr>
        <w:t>One pharmacy closes at 1.00pm</w:t>
      </w:r>
      <w:r w:rsidRPr="005114C5">
        <w:rPr>
          <w:rFonts w:eastAsia="Aptos" w:cs="Arial"/>
        </w:rPr>
        <w:br/>
      </w:r>
    </w:p>
    <w:p w14:paraId="4ABDA13C" w14:textId="77777777" w:rsidR="00197EC0" w:rsidRPr="00197EC0" w:rsidRDefault="00197EC0" w:rsidP="00107F42">
      <w:pPr>
        <w:rPr>
          <w:rFonts w:eastAsia="Times New Roman" w:cs="Arial"/>
          <w:kern w:val="0"/>
          <w:lang w:eastAsia="en-GB"/>
          <w14:ligatures w14:val="none"/>
        </w:rPr>
      </w:pPr>
      <w:r w:rsidRPr="005114C5">
        <w:rPr>
          <w:rFonts w:eastAsia="Times New Roman" w:cs="Arial"/>
          <w:kern w:val="0"/>
          <w:lang w:eastAsia="en-GB"/>
          <w14:ligatures w14:val="none"/>
        </w:rPr>
        <w:t>Some pharmacies across the health board’s area are commissioned to open at</w:t>
      </w:r>
      <w:r w:rsidRPr="00197EC0">
        <w:rPr>
          <w:rFonts w:eastAsia="Times New Roman" w:cs="Arial"/>
          <w:kern w:val="0"/>
          <w:lang w:eastAsia="en-GB"/>
          <w14:ligatures w14:val="none"/>
        </w:rPr>
        <w:t xml:space="preserve"> certain times of the day, on top of their usual core and supplementary opening hours. For this locality one pharmacy (location: Swansea) is commissioned to be open on a Sunday between 5.00pm and 6.00pm.</w:t>
      </w:r>
    </w:p>
    <w:p w14:paraId="67DF52D6" w14:textId="77777777" w:rsidR="00197EC0" w:rsidRPr="00197EC0" w:rsidRDefault="00197EC0" w:rsidP="00107F42">
      <w:pPr>
        <w:rPr>
          <w:rFonts w:eastAsia="Aptos" w:cs="Arial"/>
        </w:rPr>
      </w:pPr>
    </w:p>
    <w:p w14:paraId="7D79C5FD" w14:textId="77777777" w:rsidR="00197EC0" w:rsidRPr="00197EC0" w:rsidRDefault="00197EC0" w:rsidP="00107F42">
      <w:pPr>
        <w:rPr>
          <w:rFonts w:eastAsia="Aptos" w:cs="Arial"/>
        </w:rPr>
      </w:pPr>
      <w:r w:rsidRPr="00197EC0">
        <w:rPr>
          <w:rFonts w:eastAsia="Aptos" w:cs="Arial"/>
        </w:rPr>
        <w:t>Full details of pharmacy opening times can be found in Appendix L.</w:t>
      </w:r>
    </w:p>
    <w:p w14:paraId="43AD6A7A" w14:textId="77777777" w:rsidR="00197EC0" w:rsidRPr="00197EC0" w:rsidRDefault="00197EC0" w:rsidP="00107F42">
      <w:pPr>
        <w:contextualSpacing/>
        <w:rPr>
          <w:rFonts w:eastAsia="Times New Roman" w:cs="Arial"/>
          <w:kern w:val="0"/>
          <w:lang w:eastAsia="en-GB"/>
          <w14:ligatures w14:val="none"/>
        </w:rPr>
      </w:pPr>
      <w:r w:rsidRPr="00197EC0">
        <w:rPr>
          <w:rFonts w:eastAsia="Aptos" w:cs="Arial"/>
        </w:rPr>
        <w:t xml:space="preserve"> </w:t>
      </w:r>
    </w:p>
    <w:p w14:paraId="6EDAB5FD" w14:textId="77777777" w:rsidR="00197EC0" w:rsidRPr="00197EC0" w:rsidRDefault="00197EC0" w:rsidP="00107F42">
      <w:pPr>
        <w:contextualSpacing/>
        <w:rPr>
          <w:rFonts w:eastAsia="Times New Roman" w:cs="Arial"/>
          <w:kern w:val="0"/>
          <w:lang w:eastAsia="en-GB"/>
          <w14:ligatures w14:val="none"/>
        </w:rPr>
      </w:pPr>
      <w:r w:rsidRPr="00197EC0">
        <w:rPr>
          <w:rFonts w:eastAsia="Times New Roman" w:cs="Arial"/>
          <w:kern w:val="0"/>
          <w:lang w:eastAsia="en-GB"/>
          <w14:ligatures w14:val="none"/>
        </w:rPr>
        <w:t>The following information was taken from responses to the contractor questionnaire to which all the pharmacies responded.</w:t>
      </w:r>
    </w:p>
    <w:p w14:paraId="5784ABC9" w14:textId="77777777" w:rsidR="00197EC0" w:rsidRPr="00197EC0" w:rsidRDefault="00197EC0" w:rsidP="00107F42">
      <w:pPr>
        <w:contextualSpacing/>
        <w:rPr>
          <w:rFonts w:eastAsia="Times New Roman" w:cs="Arial"/>
          <w:kern w:val="0"/>
          <w:lang w:eastAsia="en-GB"/>
          <w14:ligatures w14:val="none"/>
        </w:rPr>
      </w:pPr>
    </w:p>
    <w:p w14:paraId="17BF280C" w14:textId="77777777" w:rsidR="00197EC0" w:rsidRPr="00197EC0" w:rsidRDefault="00197EC0" w:rsidP="00107F42">
      <w:pPr>
        <w:textAlignment w:val="baseline"/>
        <w:rPr>
          <w:rFonts w:eastAsia="Times New Roman" w:cs="Arial"/>
          <w:kern w:val="0"/>
          <w:lang w:eastAsia="en-GB"/>
          <w14:ligatures w14:val="none"/>
        </w:rPr>
      </w:pPr>
      <w:r w:rsidRPr="00197EC0">
        <w:rPr>
          <w:rFonts w:eastAsia="Times New Roman" w:cs="Arial"/>
          <w:kern w:val="0"/>
          <w:lang w:eastAsia="en-GB"/>
          <w14:ligatures w14:val="none"/>
        </w:rPr>
        <w:t>Six pharmacies are accessible by wheelchair and have a consultation area that is accessible by wheelchair. All the consultation areas are: </w:t>
      </w:r>
    </w:p>
    <w:p w14:paraId="1B7008A9" w14:textId="77777777" w:rsidR="00197EC0" w:rsidRPr="00197EC0" w:rsidRDefault="00197EC0" w:rsidP="00107F42">
      <w:pPr>
        <w:textAlignment w:val="baseline"/>
        <w:rPr>
          <w:rFonts w:eastAsia="Times New Roman" w:cs="Arial"/>
          <w:kern w:val="0"/>
          <w:lang w:eastAsia="en-GB"/>
          <w14:ligatures w14:val="none"/>
        </w:rPr>
      </w:pPr>
      <w:r w:rsidRPr="00197EC0">
        <w:rPr>
          <w:rFonts w:eastAsia="Times New Roman" w:cs="Arial"/>
          <w:kern w:val="0"/>
          <w:lang w:eastAsia="en-GB"/>
          <w14:ligatures w14:val="none"/>
        </w:rPr>
        <w:t> </w:t>
      </w:r>
    </w:p>
    <w:p w14:paraId="34090CFE" w14:textId="77777777" w:rsidR="00197EC0" w:rsidRPr="00197EC0" w:rsidRDefault="00197EC0" w:rsidP="00B76905">
      <w:pPr>
        <w:numPr>
          <w:ilvl w:val="0"/>
          <w:numId w:val="146"/>
        </w:numPr>
        <w:textAlignment w:val="baseline"/>
        <w:rPr>
          <w:rFonts w:eastAsia="Times New Roman" w:cs="Arial"/>
          <w:kern w:val="0"/>
          <w:lang w:eastAsia="en-GB"/>
          <w14:ligatures w14:val="none"/>
        </w:rPr>
      </w:pPr>
      <w:r w:rsidRPr="00197EC0">
        <w:rPr>
          <w:rFonts w:eastAsia="Times New Roman" w:cs="Arial"/>
          <w:kern w:val="0"/>
          <w:lang w:eastAsia="en-GB"/>
          <w14:ligatures w14:val="none"/>
        </w:rPr>
        <w:t>closed rooms, </w:t>
      </w:r>
    </w:p>
    <w:p w14:paraId="5A443EB1" w14:textId="77777777" w:rsidR="00197EC0" w:rsidRPr="00197EC0" w:rsidRDefault="00197EC0" w:rsidP="00B76905">
      <w:pPr>
        <w:numPr>
          <w:ilvl w:val="0"/>
          <w:numId w:val="146"/>
        </w:numPr>
        <w:textAlignment w:val="baseline"/>
        <w:rPr>
          <w:rFonts w:eastAsia="Times New Roman" w:cs="Arial"/>
          <w:kern w:val="0"/>
          <w:lang w:eastAsia="en-GB"/>
          <w14:ligatures w14:val="none"/>
        </w:rPr>
      </w:pPr>
      <w:r w:rsidRPr="00197EC0">
        <w:rPr>
          <w:rFonts w:eastAsia="Times New Roman" w:cs="Arial"/>
          <w:kern w:val="0"/>
          <w:lang w:eastAsia="en-GB"/>
          <w14:ligatures w14:val="none"/>
        </w:rPr>
        <w:t xml:space="preserve">a designated area where the patient and pharmacist can sit down together and talk at normal volumes without being overheard, and </w:t>
      </w:r>
    </w:p>
    <w:p w14:paraId="07260504" w14:textId="77777777" w:rsidR="00197EC0" w:rsidRPr="00197EC0" w:rsidRDefault="00197EC0" w:rsidP="00B76905">
      <w:pPr>
        <w:numPr>
          <w:ilvl w:val="0"/>
          <w:numId w:val="146"/>
        </w:numPr>
        <w:textAlignment w:val="baseline"/>
        <w:rPr>
          <w:rFonts w:eastAsia="Times New Roman" w:cs="Arial"/>
          <w:kern w:val="0"/>
          <w:lang w:eastAsia="en-GB"/>
          <w14:ligatures w14:val="none"/>
        </w:rPr>
      </w:pPr>
      <w:r w:rsidRPr="00197EC0">
        <w:rPr>
          <w:rFonts w:eastAsia="Times New Roman" w:cs="Arial"/>
          <w:kern w:val="0"/>
          <w:lang w:eastAsia="en-GB"/>
          <w14:ligatures w14:val="none"/>
        </w:rPr>
        <w:lastRenderedPageBreak/>
        <w:t>clearly designated as an area for confidential consultations distinct from the general public areas of the pharmacy. </w:t>
      </w:r>
    </w:p>
    <w:p w14:paraId="589B0F77" w14:textId="77777777" w:rsidR="00197EC0" w:rsidRPr="00197EC0" w:rsidRDefault="00197EC0" w:rsidP="00107F42">
      <w:pPr>
        <w:textAlignment w:val="baseline"/>
        <w:rPr>
          <w:rFonts w:eastAsia="Times New Roman" w:cs="Arial"/>
          <w:kern w:val="0"/>
          <w:lang w:eastAsia="en-GB"/>
          <w14:ligatures w14:val="none"/>
        </w:rPr>
      </w:pPr>
    </w:p>
    <w:p w14:paraId="4FAD3E18" w14:textId="77777777" w:rsidR="00197EC0" w:rsidRPr="00197EC0" w:rsidRDefault="00197EC0" w:rsidP="00107F42">
      <w:pPr>
        <w:textAlignment w:val="baseline"/>
        <w:rPr>
          <w:rFonts w:eastAsia="Times New Roman" w:cs="Arial"/>
          <w:kern w:val="0"/>
          <w:lang w:eastAsia="en-GB"/>
          <w14:ligatures w14:val="none"/>
        </w:rPr>
      </w:pPr>
      <w:r w:rsidRPr="00197EC0">
        <w:rPr>
          <w:rFonts w:eastAsia="Times New Roman" w:cs="Arial"/>
          <w:kern w:val="0"/>
          <w:lang w:eastAsia="en-GB"/>
          <w14:ligatures w14:val="none"/>
        </w:rPr>
        <w:t>Four pharmacies confirmed they have Welsh speakers in their staff. Two pharmacies confirmed they have staff that speak other languages:</w:t>
      </w:r>
    </w:p>
    <w:p w14:paraId="4433EDD8" w14:textId="77777777" w:rsidR="00197EC0" w:rsidRPr="00197EC0" w:rsidRDefault="00197EC0" w:rsidP="00107F42">
      <w:pPr>
        <w:textAlignment w:val="baseline"/>
        <w:rPr>
          <w:rFonts w:eastAsia="Times New Roman" w:cs="Arial"/>
          <w:kern w:val="0"/>
          <w:lang w:eastAsia="en-GB"/>
          <w14:ligatures w14:val="none"/>
        </w:rPr>
      </w:pPr>
    </w:p>
    <w:p w14:paraId="17384A1E" w14:textId="77777777" w:rsidR="00197EC0" w:rsidRPr="00197EC0" w:rsidRDefault="00197EC0" w:rsidP="00B76905">
      <w:pPr>
        <w:numPr>
          <w:ilvl w:val="0"/>
          <w:numId w:val="170"/>
        </w:numPr>
        <w:textAlignment w:val="baseline"/>
        <w:rPr>
          <w:rFonts w:eastAsia="Times New Roman" w:cs="Arial"/>
          <w:kern w:val="0"/>
          <w:lang w:eastAsia="en-GB"/>
          <w14:ligatures w14:val="none"/>
        </w:rPr>
      </w:pPr>
      <w:r w:rsidRPr="00197EC0">
        <w:rPr>
          <w:rFonts w:eastAsia="Times New Roman" w:cs="Arial"/>
          <w:kern w:val="0"/>
          <w:lang w:eastAsia="en-GB"/>
          <w14:ligatures w14:val="none"/>
        </w:rPr>
        <w:t>Arabic</w:t>
      </w:r>
    </w:p>
    <w:p w14:paraId="658021C9" w14:textId="77777777" w:rsidR="00197EC0" w:rsidRPr="00197EC0" w:rsidRDefault="00197EC0" w:rsidP="00B76905">
      <w:pPr>
        <w:numPr>
          <w:ilvl w:val="0"/>
          <w:numId w:val="170"/>
        </w:numPr>
        <w:textAlignment w:val="baseline"/>
        <w:rPr>
          <w:rFonts w:eastAsia="Times New Roman" w:cs="Arial"/>
          <w:kern w:val="0"/>
          <w:lang w:eastAsia="en-GB"/>
          <w14:ligatures w14:val="none"/>
        </w:rPr>
      </w:pPr>
      <w:r w:rsidRPr="00197EC0">
        <w:rPr>
          <w:rFonts w:eastAsia="Times New Roman" w:cs="Arial"/>
          <w:kern w:val="0"/>
          <w:lang w:eastAsia="en-GB"/>
          <w14:ligatures w14:val="none"/>
        </w:rPr>
        <w:t>Bengali</w:t>
      </w:r>
    </w:p>
    <w:p w14:paraId="7F9D0165" w14:textId="77777777" w:rsidR="00197EC0" w:rsidRPr="00197EC0" w:rsidRDefault="00197EC0" w:rsidP="00107F42">
      <w:pPr>
        <w:textAlignment w:val="baseline"/>
        <w:rPr>
          <w:rFonts w:eastAsia="Times New Roman" w:cs="Arial"/>
          <w:kern w:val="0"/>
          <w:lang w:eastAsia="en-GB"/>
          <w14:ligatures w14:val="none"/>
        </w:rPr>
      </w:pPr>
    </w:p>
    <w:p w14:paraId="454B76AD" w14:textId="77777777" w:rsidR="00197EC0" w:rsidRPr="00197EC0" w:rsidRDefault="00197EC0" w:rsidP="00107F42">
      <w:pPr>
        <w:textAlignment w:val="baseline"/>
        <w:rPr>
          <w:rFonts w:eastAsia="Times New Roman" w:cs="Arial"/>
          <w:kern w:val="0"/>
          <w:lang w:eastAsia="en-GB"/>
          <w14:ligatures w14:val="none"/>
        </w:rPr>
      </w:pPr>
      <w:r w:rsidRPr="00197EC0">
        <w:rPr>
          <w:rFonts w:eastAsia="Times New Roman" w:cs="Arial"/>
          <w:kern w:val="0"/>
          <w:lang w:eastAsia="en-GB"/>
          <w14:ligatures w14:val="none"/>
        </w:rPr>
        <w:t>Six pharmacies said they dispense prescriptions for all types of appliances. The other three do not dispense any appliances.</w:t>
      </w:r>
    </w:p>
    <w:p w14:paraId="7B14B5C4" w14:textId="77777777" w:rsidR="00197EC0" w:rsidRPr="00197EC0" w:rsidRDefault="00197EC0" w:rsidP="00107F42">
      <w:pPr>
        <w:textAlignment w:val="baseline"/>
        <w:rPr>
          <w:rFonts w:eastAsia="Times New Roman" w:cs="Arial"/>
          <w:kern w:val="0"/>
          <w:lang w:eastAsia="en-GB"/>
          <w14:ligatures w14:val="none"/>
        </w:rPr>
      </w:pPr>
    </w:p>
    <w:p w14:paraId="648E281F" w14:textId="77777777" w:rsidR="00197EC0" w:rsidRPr="00197EC0" w:rsidRDefault="00197EC0" w:rsidP="00107F42">
      <w:pPr>
        <w:textAlignment w:val="baseline"/>
        <w:rPr>
          <w:rFonts w:eastAsia="Times New Roman" w:cs="Arial"/>
          <w:kern w:val="0"/>
          <w:lang w:eastAsia="en-GB"/>
          <w14:ligatures w14:val="none"/>
        </w:rPr>
      </w:pPr>
      <w:r w:rsidRPr="00197EC0">
        <w:rPr>
          <w:rFonts w:eastAsia="Times New Roman" w:cs="Arial"/>
          <w:kern w:val="0"/>
          <w:lang w:eastAsia="en-GB"/>
          <w14:ligatures w14:val="none"/>
        </w:rPr>
        <w:t>Although non-commissioned services:</w:t>
      </w:r>
    </w:p>
    <w:p w14:paraId="3CA61A48" w14:textId="77777777" w:rsidR="00197EC0" w:rsidRPr="00197EC0" w:rsidRDefault="00197EC0" w:rsidP="00107F42">
      <w:pPr>
        <w:textAlignment w:val="baseline"/>
        <w:rPr>
          <w:rFonts w:eastAsia="Times New Roman" w:cs="Arial"/>
          <w:kern w:val="0"/>
          <w:lang w:eastAsia="en-GB"/>
          <w14:ligatures w14:val="none"/>
        </w:rPr>
      </w:pPr>
    </w:p>
    <w:p w14:paraId="4B4B2102" w14:textId="77777777" w:rsidR="00197EC0" w:rsidRPr="00197EC0" w:rsidRDefault="00197EC0" w:rsidP="00B76905">
      <w:pPr>
        <w:numPr>
          <w:ilvl w:val="0"/>
          <w:numId w:val="147"/>
        </w:numPr>
        <w:textAlignment w:val="baseline"/>
        <w:rPr>
          <w:rFonts w:eastAsia="Times New Roman" w:cs="Arial"/>
          <w:kern w:val="0"/>
          <w:lang w:eastAsia="en-GB"/>
          <w14:ligatures w14:val="none"/>
        </w:rPr>
      </w:pPr>
      <w:r w:rsidRPr="00197EC0">
        <w:rPr>
          <w:rFonts w:eastAsia="Times New Roman" w:cs="Arial"/>
          <w:kern w:val="0"/>
          <w:lang w:eastAsia="en-GB"/>
          <w14:ligatures w14:val="none"/>
        </w:rPr>
        <w:t>six pharmacies collect prescriptions from GP practices, and</w:t>
      </w:r>
    </w:p>
    <w:p w14:paraId="1C3E364D" w14:textId="77777777" w:rsidR="00197EC0" w:rsidRPr="00197EC0" w:rsidRDefault="00197EC0" w:rsidP="00B76905">
      <w:pPr>
        <w:numPr>
          <w:ilvl w:val="0"/>
          <w:numId w:val="147"/>
        </w:numPr>
        <w:textAlignment w:val="baseline"/>
        <w:rPr>
          <w:rFonts w:eastAsia="Times New Roman" w:cs="Arial"/>
          <w:kern w:val="0"/>
          <w:lang w:eastAsia="en-GB"/>
          <w14:ligatures w14:val="none"/>
        </w:rPr>
      </w:pPr>
      <w:r w:rsidRPr="00197EC0">
        <w:rPr>
          <w:rFonts w:eastAsia="Times New Roman" w:cs="Arial"/>
          <w:kern w:val="0"/>
          <w:lang w:eastAsia="en-GB"/>
          <w14:ligatures w14:val="none"/>
        </w:rPr>
        <w:t xml:space="preserve">all provide a free of charge delivery service on request. </w:t>
      </w:r>
    </w:p>
    <w:p w14:paraId="19B5E305" w14:textId="77777777" w:rsidR="00197EC0" w:rsidRPr="00197EC0" w:rsidRDefault="00197EC0" w:rsidP="00107F42">
      <w:pPr>
        <w:textAlignment w:val="baseline"/>
        <w:rPr>
          <w:rFonts w:eastAsia="Times New Roman" w:cs="Arial"/>
          <w:kern w:val="0"/>
          <w:lang w:eastAsia="en-GB"/>
          <w14:ligatures w14:val="none"/>
        </w:rPr>
      </w:pPr>
    </w:p>
    <w:p w14:paraId="71D2EF62" w14:textId="77777777" w:rsidR="00197EC0" w:rsidRPr="00197EC0" w:rsidRDefault="00197EC0" w:rsidP="00107F42">
      <w:pPr>
        <w:rPr>
          <w:rFonts w:eastAsia="Aptos" w:cs="Arial"/>
        </w:rPr>
      </w:pPr>
      <w:r w:rsidRPr="00197EC0">
        <w:rPr>
          <w:rFonts w:eastAsia="Aptos" w:cs="Arial"/>
        </w:rPr>
        <w:t>One pharmacy is of the opinion that a blood pressure testing additional clinical service is required.</w:t>
      </w:r>
    </w:p>
    <w:p w14:paraId="44368820" w14:textId="77777777" w:rsidR="00197EC0" w:rsidRPr="00197EC0" w:rsidRDefault="00197EC0" w:rsidP="00107F42">
      <w:pPr>
        <w:rPr>
          <w:rFonts w:eastAsia="Aptos" w:cs="Arial"/>
        </w:rPr>
      </w:pPr>
    </w:p>
    <w:p w14:paraId="7B110179"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Eight of the pharmacies have sufficient capacity within their premises to manage an increase in demand, and one doesn’t and would have difficulty in managing an increase in demand. All the pharmacies have sufficient capacity within their staffing levels to manage an increase in demand.</w:t>
      </w:r>
    </w:p>
    <w:p w14:paraId="56727498" w14:textId="77777777" w:rsidR="00197EC0" w:rsidRPr="00197EC0" w:rsidRDefault="00197EC0" w:rsidP="00107F42">
      <w:pPr>
        <w:rPr>
          <w:rFonts w:eastAsia="Times New Roman" w:cs="Arial"/>
          <w:kern w:val="0"/>
          <w:lang w:eastAsia="en-GB"/>
          <w14:ligatures w14:val="none"/>
        </w:rPr>
      </w:pPr>
    </w:p>
    <w:p w14:paraId="7FEFCBF3"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Four pharmacies have plans to develop or expand their premises or service provision.</w:t>
      </w:r>
    </w:p>
    <w:p w14:paraId="2D701639" w14:textId="77777777" w:rsidR="00197EC0" w:rsidRPr="00197EC0" w:rsidRDefault="00197EC0" w:rsidP="00107F42">
      <w:pPr>
        <w:rPr>
          <w:rFonts w:eastAsia="Times New Roman" w:cs="Arial"/>
          <w:kern w:val="0"/>
          <w:lang w:eastAsia="en-GB"/>
          <w14:ligatures w14:val="none"/>
        </w:rPr>
      </w:pPr>
    </w:p>
    <w:p w14:paraId="401166BE" w14:textId="77777777" w:rsidR="00197EC0" w:rsidRPr="00197EC0" w:rsidRDefault="00197EC0" w:rsidP="00B76905">
      <w:pPr>
        <w:numPr>
          <w:ilvl w:val="0"/>
          <w:numId w:val="148"/>
        </w:numPr>
        <w:contextualSpacing/>
        <w:rPr>
          <w:rFonts w:eastAsia="Aptos" w:cs="Arial"/>
        </w:rPr>
      </w:pPr>
      <w:r w:rsidRPr="00197EC0">
        <w:rPr>
          <w:rFonts w:eastAsia="Times New Roman" w:cs="Arial"/>
          <w:kern w:val="0"/>
          <w:lang w:eastAsia="en-GB"/>
          <w14:ligatures w14:val="none"/>
        </w:rPr>
        <w:t>One plans to install extra consultation rooms in order to expand service provision and to also provide vaccination services.</w:t>
      </w:r>
    </w:p>
    <w:p w14:paraId="769F5F49" w14:textId="77777777" w:rsidR="00197EC0" w:rsidRPr="00197EC0" w:rsidRDefault="00197EC0" w:rsidP="00B76905">
      <w:pPr>
        <w:numPr>
          <w:ilvl w:val="0"/>
          <w:numId w:val="148"/>
        </w:numPr>
        <w:contextualSpacing/>
        <w:rPr>
          <w:rFonts w:eastAsia="Aptos" w:cs="Arial"/>
        </w:rPr>
      </w:pPr>
      <w:r w:rsidRPr="00197EC0">
        <w:rPr>
          <w:rFonts w:eastAsia="Times New Roman" w:cs="Arial"/>
          <w:kern w:val="0"/>
          <w:lang w:eastAsia="en-GB"/>
          <w14:ligatures w14:val="none"/>
        </w:rPr>
        <w:t>Another is refitting the premises in order to extend the dispensary.</w:t>
      </w:r>
    </w:p>
    <w:p w14:paraId="5B1772AC" w14:textId="77777777" w:rsidR="00197EC0" w:rsidRPr="00197EC0" w:rsidRDefault="00197EC0" w:rsidP="00B76905">
      <w:pPr>
        <w:numPr>
          <w:ilvl w:val="0"/>
          <w:numId w:val="148"/>
        </w:numPr>
        <w:contextualSpacing/>
        <w:rPr>
          <w:rFonts w:eastAsia="Aptos" w:cs="Arial"/>
        </w:rPr>
      </w:pPr>
      <w:r w:rsidRPr="00197EC0">
        <w:rPr>
          <w:rFonts w:eastAsia="Times New Roman" w:cs="Arial"/>
          <w:kern w:val="0"/>
          <w:lang w:eastAsia="en-GB"/>
          <w14:ligatures w14:val="none"/>
        </w:rPr>
        <w:t>One pharmacy has a pharmacist who has applied to become an independent prescriber.</w:t>
      </w:r>
    </w:p>
    <w:p w14:paraId="2D9713C4" w14:textId="77777777" w:rsidR="00197EC0" w:rsidRPr="00197EC0" w:rsidRDefault="00197EC0" w:rsidP="00B76905">
      <w:pPr>
        <w:numPr>
          <w:ilvl w:val="0"/>
          <w:numId w:val="148"/>
        </w:numPr>
        <w:contextualSpacing/>
        <w:rPr>
          <w:rFonts w:eastAsia="Aptos" w:cs="Arial"/>
        </w:rPr>
      </w:pPr>
      <w:r w:rsidRPr="00197EC0">
        <w:rPr>
          <w:rFonts w:eastAsia="Times New Roman" w:cs="Arial"/>
          <w:kern w:val="0"/>
          <w:lang w:eastAsia="en-GB"/>
          <w14:ligatures w14:val="none"/>
        </w:rPr>
        <w:t>One contractor is trialling a bar code checking system in one of its pharmacies to improve patient safety and free up pharmacist time. It is also hoping to provide the pharmacist independent prescribing service in 2026.</w:t>
      </w:r>
    </w:p>
    <w:p w14:paraId="17DE1388" w14:textId="77777777" w:rsidR="00197EC0" w:rsidRPr="00197EC0" w:rsidRDefault="00197EC0" w:rsidP="00107F42">
      <w:pPr>
        <w:rPr>
          <w:rFonts w:eastAsia="Aptos" w:cs="Arial"/>
        </w:rPr>
      </w:pPr>
    </w:p>
    <w:p w14:paraId="3DA00D44" w14:textId="77777777" w:rsidR="00197EC0" w:rsidRPr="00197EC0" w:rsidRDefault="00197EC0" w:rsidP="00107F42">
      <w:pPr>
        <w:contextualSpacing/>
        <w:rPr>
          <w:rFonts w:eastAsia="Times New Roman" w:cs="Arial"/>
          <w:b/>
          <w:bCs/>
          <w:kern w:val="0"/>
          <w:lang w:eastAsia="en-GB"/>
          <w14:ligatures w14:val="none"/>
        </w:rPr>
      </w:pPr>
      <w:r w:rsidRPr="00197EC0">
        <w:rPr>
          <w:rFonts w:eastAsia="Times New Roman" w:cs="Arial"/>
          <w:b/>
          <w:bCs/>
          <w:kern w:val="0"/>
          <w:lang w:eastAsia="en-GB"/>
          <w14:ligatures w14:val="none"/>
        </w:rPr>
        <w:t>10.3.1 National community pharmacy and appliance contractor services</w:t>
      </w:r>
    </w:p>
    <w:p w14:paraId="4029C0C5" w14:textId="77777777" w:rsidR="00197EC0" w:rsidRPr="00197EC0" w:rsidRDefault="00197EC0" w:rsidP="00107F42">
      <w:pPr>
        <w:rPr>
          <w:rFonts w:eastAsia="Times New Roman" w:cs="Arial"/>
          <w:kern w:val="0"/>
          <w:lang w:eastAsia="en-GB"/>
          <w14:ligatures w14:val="none"/>
        </w:rPr>
      </w:pPr>
    </w:p>
    <w:p w14:paraId="1CD521F5"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10.3.1.1 Appliance use review service</w:t>
      </w:r>
    </w:p>
    <w:p w14:paraId="3784660F" w14:textId="77777777" w:rsidR="00197EC0" w:rsidRPr="00197EC0" w:rsidRDefault="00197EC0" w:rsidP="00107F42">
      <w:pPr>
        <w:rPr>
          <w:rFonts w:eastAsia="Times New Roman" w:cs="Arial"/>
          <w:b/>
          <w:bCs/>
          <w:kern w:val="0"/>
          <w:lang w:eastAsia="en-GB"/>
          <w14:ligatures w14:val="none"/>
        </w:rPr>
      </w:pPr>
    </w:p>
    <w:p w14:paraId="6D4C0DCF"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None of the pharmacies provide this service.</w:t>
      </w:r>
    </w:p>
    <w:p w14:paraId="19BABF87" w14:textId="77777777" w:rsidR="00197EC0" w:rsidRPr="00197EC0" w:rsidRDefault="00197EC0" w:rsidP="00107F42">
      <w:pPr>
        <w:rPr>
          <w:rFonts w:eastAsia="Times New Roman" w:cs="Arial"/>
          <w:kern w:val="0"/>
          <w:lang w:eastAsia="en-GB"/>
          <w14:ligatures w14:val="none"/>
        </w:rPr>
      </w:pPr>
    </w:p>
    <w:p w14:paraId="2C52654D"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10.3.1.2 Clinical community pharmacy service</w:t>
      </w:r>
    </w:p>
    <w:p w14:paraId="70050AD8" w14:textId="77777777" w:rsidR="00197EC0" w:rsidRPr="00197EC0" w:rsidRDefault="00197EC0" w:rsidP="00107F42">
      <w:pPr>
        <w:rPr>
          <w:rFonts w:eastAsia="Times New Roman" w:cs="Arial"/>
          <w:kern w:val="0"/>
          <w:lang w:eastAsia="en-GB"/>
          <w14:ligatures w14:val="none"/>
        </w:rPr>
      </w:pPr>
    </w:p>
    <w:p w14:paraId="0C7DF270"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All the pharmacies have signed up and provide this service:</w:t>
      </w:r>
    </w:p>
    <w:p w14:paraId="56CA70CD" w14:textId="77777777" w:rsidR="00197EC0" w:rsidRPr="00197EC0" w:rsidRDefault="00197EC0" w:rsidP="00107F42">
      <w:pPr>
        <w:rPr>
          <w:rFonts w:eastAsia="Times New Roman" w:cs="Arial"/>
          <w:kern w:val="0"/>
          <w:lang w:eastAsia="en-GB"/>
          <w14:ligatures w14:val="none"/>
        </w:rPr>
      </w:pPr>
    </w:p>
    <w:p w14:paraId="2F565891" w14:textId="77777777" w:rsidR="00197EC0" w:rsidRPr="00197EC0" w:rsidRDefault="00197EC0" w:rsidP="00107F42">
      <w:pPr>
        <w:contextualSpacing/>
        <w:rPr>
          <w:rFonts w:eastAsia="Times New Roman" w:cs="Arial"/>
          <w:kern w:val="0"/>
          <w:lang w:eastAsia="en-GB"/>
          <w14:ligatures w14:val="none"/>
        </w:rPr>
      </w:pPr>
      <w:r w:rsidRPr="00197EC0">
        <w:rPr>
          <w:rFonts w:eastAsia="Times New Roman" w:cs="Arial"/>
          <w:kern w:val="0"/>
          <w:lang w:eastAsia="en-GB"/>
          <w14:ligatures w14:val="none"/>
        </w:rPr>
        <w:t xml:space="preserve"> In 2024/25 the pharmacies provided:</w:t>
      </w:r>
    </w:p>
    <w:p w14:paraId="1E908254" w14:textId="77777777" w:rsidR="00197EC0" w:rsidRPr="00197EC0" w:rsidRDefault="00197EC0" w:rsidP="00107F42">
      <w:pPr>
        <w:contextualSpacing/>
        <w:rPr>
          <w:rFonts w:eastAsia="Times New Roman" w:cs="Arial"/>
          <w:kern w:val="0"/>
          <w:lang w:eastAsia="en-GB"/>
          <w14:ligatures w14:val="none"/>
        </w:rPr>
      </w:pPr>
    </w:p>
    <w:p w14:paraId="28E48737" w14:textId="77777777" w:rsidR="00197EC0" w:rsidRPr="00197EC0" w:rsidRDefault="00197EC0" w:rsidP="00B76905">
      <w:pPr>
        <w:numPr>
          <w:ilvl w:val="0"/>
          <w:numId w:val="149"/>
        </w:numPr>
        <w:contextualSpacing/>
        <w:rPr>
          <w:rFonts w:eastAsia="Times New Roman" w:cs="Arial"/>
          <w:kern w:val="0"/>
          <w:lang w:eastAsia="en-GB"/>
          <w14:ligatures w14:val="none"/>
        </w:rPr>
      </w:pPr>
      <w:r w:rsidRPr="00197EC0">
        <w:rPr>
          <w:rFonts w:eastAsia="Times New Roman" w:cs="Arial"/>
          <w:kern w:val="0"/>
          <w:lang w:eastAsia="en-GB"/>
          <w14:ligatures w14:val="none"/>
        </w:rPr>
        <w:lastRenderedPageBreak/>
        <w:t>5,672 consultations for common ailment consultations (range at pharmacy level 131 to 1,393)</w:t>
      </w:r>
    </w:p>
    <w:p w14:paraId="62241362" w14:textId="77777777" w:rsidR="00197EC0" w:rsidRPr="00197EC0" w:rsidRDefault="00197EC0" w:rsidP="00B76905">
      <w:pPr>
        <w:numPr>
          <w:ilvl w:val="0"/>
          <w:numId w:val="149"/>
        </w:numPr>
        <w:contextualSpacing/>
        <w:rPr>
          <w:rFonts w:eastAsia="Times New Roman" w:cs="Arial"/>
          <w:kern w:val="0"/>
          <w:lang w:eastAsia="en-GB"/>
          <w14:ligatures w14:val="none"/>
        </w:rPr>
      </w:pPr>
      <w:r w:rsidRPr="00197EC0">
        <w:rPr>
          <w:rFonts w:eastAsia="Times New Roman" w:cs="Arial"/>
          <w:kern w:val="0"/>
          <w:lang w:eastAsia="en-GB"/>
          <w14:ligatures w14:val="none"/>
        </w:rPr>
        <w:t>738 consultations for sore throat test and treat consultations (range at pharmacy level 14 to 294)</w:t>
      </w:r>
    </w:p>
    <w:p w14:paraId="1D087E9B" w14:textId="77777777" w:rsidR="00197EC0" w:rsidRPr="00197EC0" w:rsidRDefault="00197EC0" w:rsidP="00B76905">
      <w:pPr>
        <w:numPr>
          <w:ilvl w:val="0"/>
          <w:numId w:val="149"/>
        </w:numPr>
        <w:contextualSpacing/>
        <w:rPr>
          <w:rFonts w:eastAsia="Times New Roman" w:cs="Arial"/>
          <w:kern w:val="0"/>
          <w:lang w:eastAsia="en-GB"/>
          <w14:ligatures w14:val="none"/>
        </w:rPr>
      </w:pPr>
      <w:r w:rsidRPr="00197EC0">
        <w:rPr>
          <w:rFonts w:eastAsia="Times New Roman" w:cs="Arial"/>
          <w:kern w:val="0"/>
          <w:lang w:eastAsia="en-GB"/>
          <w14:ligatures w14:val="none"/>
        </w:rPr>
        <w:t>220 consultations for emergency contraception consultations (range at pharmacy level seven to 45)</w:t>
      </w:r>
    </w:p>
    <w:p w14:paraId="69EDB847" w14:textId="77777777" w:rsidR="00197EC0" w:rsidRPr="00197EC0" w:rsidRDefault="00197EC0" w:rsidP="00B76905">
      <w:pPr>
        <w:numPr>
          <w:ilvl w:val="0"/>
          <w:numId w:val="149"/>
        </w:numPr>
        <w:contextualSpacing/>
        <w:rPr>
          <w:rFonts w:eastAsia="Times New Roman" w:cs="Arial"/>
          <w:kern w:val="0"/>
          <w:lang w:eastAsia="en-GB"/>
          <w14:ligatures w14:val="none"/>
        </w:rPr>
      </w:pPr>
      <w:r w:rsidRPr="00197EC0">
        <w:rPr>
          <w:rFonts w:eastAsia="Times New Roman" w:cs="Arial"/>
          <w:kern w:val="0"/>
          <w:lang w:eastAsia="en-GB"/>
          <w14:ligatures w14:val="none"/>
        </w:rPr>
        <w:t>728 emergency medicines supplies (range at pharmacy level 18 to 232)</w:t>
      </w:r>
    </w:p>
    <w:p w14:paraId="5FC36FEE" w14:textId="77777777" w:rsidR="00197EC0" w:rsidRPr="00197EC0" w:rsidRDefault="00197EC0" w:rsidP="00107F42">
      <w:pPr>
        <w:contextualSpacing/>
        <w:rPr>
          <w:rFonts w:eastAsia="Times New Roman" w:cs="Arial"/>
          <w:kern w:val="0"/>
          <w:lang w:eastAsia="en-GB"/>
          <w14:ligatures w14:val="none"/>
        </w:rPr>
      </w:pPr>
    </w:p>
    <w:p w14:paraId="67A9EC21" w14:textId="77777777" w:rsidR="00197EC0" w:rsidRPr="00197EC0" w:rsidRDefault="00197EC0" w:rsidP="00107F42">
      <w:pPr>
        <w:contextualSpacing/>
        <w:rPr>
          <w:rFonts w:eastAsia="Times New Roman" w:cs="Arial"/>
          <w:kern w:val="0"/>
          <w:lang w:eastAsia="en-GB"/>
          <w14:ligatures w14:val="none"/>
        </w:rPr>
      </w:pPr>
      <w:r w:rsidRPr="00197EC0">
        <w:rPr>
          <w:rFonts w:eastAsia="Times New Roman" w:cs="Arial"/>
          <w:kern w:val="0"/>
          <w:lang w:eastAsia="en-GB"/>
          <w14:ligatures w14:val="none"/>
        </w:rPr>
        <w:t>In the first six months of 2025/26 the pharmacies provided:</w:t>
      </w:r>
    </w:p>
    <w:p w14:paraId="7CD492B0" w14:textId="77777777" w:rsidR="00197EC0" w:rsidRPr="00197EC0" w:rsidRDefault="00197EC0" w:rsidP="00107F42">
      <w:pPr>
        <w:contextualSpacing/>
        <w:rPr>
          <w:rFonts w:eastAsia="Times New Roman" w:cs="Arial"/>
          <w:kern w:val="0"/>
          <w:lang w:eastAsia="en-GB"/>
          <w14:ligatures w14:val="none"/>
        </w:rPr>
      </w:pPr>
    </w:p>
    <w:p w14:paraId="020C6EF0" w14:textId="77777777" w:rsidR="00197EC0" w:rsidRPr="00197EC0" w:rsidRDefault="00197EC0" w:rsidP="00B76905">
      <w:pPr>
        <w:numPr>
          <w:ilvl w:val="0"/>
          <w:numId w:val="149"/>
        </w:numPr>
        <w:contextualSpacing/>
        <w:rPr>
          <w:rFonts w:eastAsia="Times New Roman" w:cs="Arial"/>
          <w:kern w:val="0"/>
          <w:lang w:eastAsia="en-GB"/>
          <w14:ligatures w14:val="none"/>
        </w:rPr>
      </w:pPr>
      <w:r w:rsidRPr="00197EC0">
        <w:rPr>
          <w:rFonts w:eastAsia="Times New Roman" w:cs="Arial"/>
          <w:kern w:val="0"/>
          <w:lang w:eastAsia="en-GB"/>
          <w14:ligatures w14:val="none"/>
        </w:rPr>
        <w:t>2,914 consultations for common ailment consultations (range at pharmacy level 81 to 650)</w:t>
      </w:r>
    </w:p>
    <w:p w14:paraId="3208B08D" w14:textId="77777777" w:rsidR="00197EC0" w:rsidRPr="00197EC0" w:rsidRDefault="00197EC0" w:rsidP="00B76905">
      <w:pPr>
        <w:numPr>
          <w:ilvl w:val="0"/>
          <w:numId w:val="149"/>
        </w:numPr>
        <w:contextualSpacing/>
        <w:rPr>
          <w:rFonts w:eastAsia="Times New Roman" w:cs="Arial"/>
          <w:kern w:val="0"/>
          <w:lang w:eastAsia="en-GB"/>
          <w14:ligatures w14:val="none"/>
        </w:rPr>
      </w:pPr>
      <w:r w:rsidRPr="00197EC0">
        <w:rPr>
          <w:rFonts w:eastAsia="Times New Roman" w:cs="Arial"/>
          <w:kern w:val="0"/>
          <w:lang w:eastAsia="en-GB"/>
          <w14:ligatures w14:val="none"/>
        </w:rPr>
        <w:t>321 consultations for sore throat test and treat consultations (range at pharmacy level seven to 106)</w:t>
      </w:r>
    </w:p>
    <w:p w14:paraId="1269D005" w14:textId="77777777" w:rsidR="00197EC0" w:rsidRPr="00197EC0" w:rsidRDefault="00197EC0" w:rsidP="00B76905">
      <w:pPr>
        <w:numPr>
          <w:ilvl w:val="0"/>
          <w:numId w:val="149"/>
        </w:numPr>
        <w:contextualSpacing/>
        <w:rPr>
          <w:rFonts w:eastAsia="Times New Roman" w:cs="Arial"/>
          <w:kern w:val="0"/>
          <w:lang w:eastAsia="en-GB"/>
          <w14:ligatures w14:val="none"/>
        </w:rPr>
      </w:pPr>
      <w:r w:rsidRPr="00197EC0">
        <w:rPr>
          <w:rFonts w:eastAsia="Times New Roman" w:cs="Arial"/>
          <w:kern w:val="0"/>
          <w:lang w:eastAsia="en-GB"/>
          <w14:ligatures w14:val="none"/>
        </w:rPr>
        <w:t>127 consultations for emergency contraception consultations (range at pharmacy level four to 29)</w:t>
      </w:r>
    </w:p>
    <w:p w14:paraId="005DFC2E" w14:textId="77777777" w:rsidR="00197EC0" w:rsidRPr="00197EC0" w:rsidRDefault="00197EC0" w:rsidP="00B76905">
      <w:pPr>
        <w:numPr>
          <w:ilvl w:val="0"/>
          <w:numId w:val="149"/>
        </w:numPr>
        <w:contextualSpacing/>
        <w:rPr>
          <w:rFonts w:eastAsia="Times New Roman" w:cs="Arial"/>
          <w:kern w:val="0"/>
          <w:lang w:eastAsia="en-GB"/>
          <w14:ligatures w14:val="none"/>
        </w:rPr>
      </w:pPr>
      <w:r w:rsidRPr="00197EC0">
        <w:rPr>
          <w:rFonts w:eastAsia="Times New Roman" w:cs="Arial"/>
          <w:kern w:val="0"/>
          <w:lang w:eastAsia="en-GB"/>
          <w14:ligatures w14:val="none"/>
        </w:rPr>
        <w:t>374 emergency medicines supplies (range at pharmacy level 12 to 124)</w:t>
      </w:r>
    </w:p>
    <w:p w14:paraId="7B2D78C8" w14:textId="77777777" w:rsidR="00161673" w:rsidRPr="00197EC0" w:rsidRDefault="00161673" w:rsidP="00107F42">
      <w:pPr>
        <w:rPr>
          <w:rFonts w:eastAsia="Times New Roman" w:cs="Arial"/>
          <w:kern w:val="0"/>
          <w:lang w:eastAsia="en-GB"/>
          <w14:ligatures w14:val="none"/>
        </w:rPr>
      </w:pPr>
    </w:p>
    <w:p w14:paraId="07E73627"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 xml:space="preserve">10.3.1.3 Discharge medicines review service </w:t>
      </w:r>
    </w:p>
    <w:p w14:paraId="4C152F30" w14:textId="77777777" w:rsidR="00197EC0" w:rsidRPr="00197EC0" w:rsidRDefault="00197EC0" w:rsidP="00107F42">
      <w:pPr>
        <w:rPr>
          <w:rFonts w:eastAsia="Times New Roman" w:cs="Arial"/>
          <w:b/>
          <w:bCs/>
          <w:kern w:val="0"/>
          <w:lang w:eastAsia="en-GB"/>
          <w14:ligatures w14:val="none"/>
        </w:rPr>
      </w:pPr>
    </w:p>
    <w:p w14:paraId="63C0270B"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All the pharmacies have signed up to provide this service.</w:t>
      </w:r>
    </w:p>
    <w:p w14:paraId="5DA6AC55" w14:textId="77777777" w:rsidR="00197EC0" w:rsidRPr="00197EC0" w:rsidRDefault="00197EC0" w:rsidP="00107F42">
      <w:pPr>
        <w:rPr>
          <w:rFonts w:eastAsia="Times New Roman" w:cs="Arial"/>
          <w:kern w:val="0"/>
          <w:lang w:eastAsia="en-GB"/>
          <w14:ligatures w14:val="none"/>
        </w:rPr>
      </w:pPr>
    </w:p>
    <w:p w14:paraId="5E2E22D3"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 xml:space="preserve">Seven pharmacies provided this service in 2024/25, providing a total of 135 reviews (range at pharmacy level one to 42). Eight pharmacies provided this service in the first ten months of 2025/26, providing a total of 169 reviews, (range at pharmacy level seven to 50) </w:t>
      </w:r>
    </w:p>
    <w:p w14:paraId="2AFAF2B6" w14:textId="77777777" w:rsidR="00197EC0" w:rsidRPr="00197EC0" w:rsidRDefault="00197EC0" w:rsidP="00107F42">
      <w:pPr>
        <w:ind w:left="720"/>
        <w:contextualSpacing/>
        <w:rPr>
          <w:rFonts w:eastAsia="Times New Roman" w:cs="Arial"/>
          <w:kern w:val="0"/>
          <w:lang w:eastAsia="en-GB"/>
          <w14:ligatures w14:val="none"/>
        </w:rPr>
      </w:pPr>
    </w:p>
    <w:p w14:paraId="783E05D5"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10.3.1.4 Influenza vaccination service</w:t>
      </w:r>
    </w:p>
    <w:p w14:paraId="7E72B4C9" w14:textId="77777777" w:rsidR="00197EC0" w:rsidRPr="00197EC0" w:rsidRDefault="00197EC0" w:rsidP="00107F42">
      <w:pPr>
        <w:rPr>
          <w:rFonts w:eastAsia="Times New Roman" w:cs="Arial"/>
          <w:kern w:val="0"/>
          <w:lang w:eastAsia="en-GB"/>
          <w14:ligatures w14:val="none"/>
        </w:rPr>
      </w:pPr>
    </w:p>
    <w:p w14:paraId="118E7F54"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 xml:space="preserve">Eight of the pharmacies have signed up to provide this service. </w:t>
      </w:r>
    </w:p>
    <w:p w14:paraId="22B77A2E" w14:textId="77777777" w:rsidR="00197EC0" w:rsidRPr="00197EC0" w:rsidRDefault="00197EC0" w:rsidP="00107F42">
      <w:pPr>
        <w:rPr>
          <w:rFonts w:eastAsia="Times New Roman" w:cs="Arial"/>
          <w:kern w:val="0"/>
          <w:lang w:eastAsia="en-GB"/>
          <w14:ligatures w14:val="none"/>
        </w:rPr>
      </w:pPr>
    </w:p>
    <w:p w14:paraId="73D7072E"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 xml:space="preserve">Eight pharmacies provided this service in 2024/25, providing a total of 1,536 vaccinations (range at pharmacy level 42 to 435). Seven pharmacies provided this service in 2025/26, providing a total of 449 vaccinations (range at pharmacy level 13 to 199). </w:t>
      </w:r>
    </w:p>
    <w:p w14:paraId="1B3B7310" w14:textId="77777777" w:rsidR="00197EC0" w:rsidRPr="00197EC0" w:rsidRDefault="00197EC0" w:rsidP="00107F42">
      <w:pPr>
        <w:rPr>
          <w:rFonts w:eastAsia="Times New Roman" w:cs="Arial"/>
          <w:b/>
          <w:bCs/>
          <w:kern w:val="0"/>
          <w:lang w:eastAsia="en-GB"/>
          <w14:ligatures w14:val="none"/>
        </w:rPr>
      </w:pPr>
    </w:p>
    <w:p w14:paraId="52B9F052"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10.3.1.5 Lateral flow test supply service</w:t>
      </w:r>
    </w:p>
    <w:p w14:paraId="42456CE1" w14:textId="77777777" w:rsidR="00197EC0" w:rsidRPr="00197EC0" w:rsidRDefault="00197EC0" w:rsidP="00107F42">
      <w:pPr>
        <w:rPr>
          <w:rFonts w:eastAsia="Times New Roman" w:cs="Arial"/>
          <w:kern w:val="0"/>
          <w:lang w:eastAsia="en-GB"/>
          <w14:ligatures w14:val="none"/>
        </w:rPr>
      </w:pPr>
    </w:p>
    <w:p w14:paraId="7C6ECD93"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Seven of the pharmacies have signed up to provide this service.</w:t>
      </w:r>
    </w:p>
    <w:p w14:paraId="41D17870" w14:textId="77777777" w:rsidR="00197EC0" w:rsidRPr="00197EC0" w:rsidRDefault="00197EC0" w:rsidP="00107F42">
      <w:pPr>
        <w:rPr>
          <w:rFonts w:eastAsia="Times New Roman" w:cs="Arial"/>
          <w:kern w:val="0"/>
          <w:lang w:eastAsia="en-GB"/>
          <w14:ligatures w14:val="none"/>
        </w:rPr>
      </w:pPr>
    </w:p>
    <w:p w14:paraId="1C063A3B"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 xml:space="preserve">Three pharmacies provided this service in 2024/25, supplying 16 kits (range at pharmacy level one to 12). One pharmacy provided this service in the first seven months of 2025/26, providing five kits. </w:t>
      </w:r>
    </w:p>
    <w:p w14:paraId="35F49F3C" w14:textId="77777777" w:rsidR="00197EC0" w:rsidRPr="00197EC0" w:rsidRDefault="00197EC0" w:rsidP="00107F42">
      <w:pPr>
        <w:ind w:left="720"/>
        <w:contextualSpacing/>
        <w:rPr>
          <w:rFonts w:eastAsia="Times New Roman" w:cs="Arial"/>
          <w:kern w:val="0"/>
          <w:lang w:eastAsia="en-GB"/>
          <w14:ligatures w14:val="none"/>
        </w:rPr>
      </w:pPr>
    </w:p>
    <w:p w14:paraId="048D8450"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10.3.1.6 Pharmacist independent prescribing service</w:t>
      </w:r>
    </w:p>
    <w:p w14:paraId="4419976D" w14:textId="77777777" w:rsidR="00197EC0" w:rsidRPr="00197EC0" w:rsidRDefault="00197EC0" w:rsidP="00107F42">
      <w:pPr>
        <w:rPr>
          <w:rFonts w:eastAsia="Times New Roman" w:cs="Arial"/>
          <w:kern w:val="0"/>
          <w:lang w:eastAsia="en-GB"/>
          <w14:ligatures w14:val="none"/>
        </w:rPr>
      </w:pPr>
    </w:p>
    <w:p w14:paraId="24D30A70"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Six of the pharmacies have signed up to provide this service.</w:t>
      </w:r>
    </w:p>
    <w:p w14:paraId="4F443C5C" w14:textId="77777777" w:rsidR="00197EC0" w:rsidRPr="00197EC0" w:rsidRDefault="00197EC0" w:rsidP="00107F42">
      <w:pPr>
        <w:rPr>
          <w:rFonts w:eastAsia="Times New Roman" w:cs="Arial"/>
          <w:kern w:val="0"/>
          <w:lang w:eastAsia="en-GB"/>
          <w14:ligatures w14:val="none"/>
        </w:rPr>
      </w:pPr>
    </w:p>
    <w:p w14:paraId="07CC6ED1"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 xml:space="preserve">Four pharmacies provided this service in 2024/25, providing a total of 2,874 consultations (pharmacy range 100 to 1,579). Five pharmacies provided this service </w:t>
      </w:r>
      <w:r w:rsidRPr="00197EC0">
        <w:rPr>
          <w:rFonts w:eastAsia="Times New Roman" w:cs="Arial"/>
          <w:kern w:val="0"/>
          <w:lang w:eastAsia="en-GB"/>
          <w14:ligatures w14:val="none"/>
        </w:rPr>
        <w:lastRenderedPageBreak/>
        <w:t xml:space="preserve">in the first six months of 2025/26, providing a total of 1,357 consultations (range at pharmacy level 31 to 685). </w:t>
      </w:r>
    </w:p>
    <w:p w14:paraId="48C3EFCA" w14:textId="77777777" w:rsidR="00197EC0" w:rsidRPr="00197EC0" w:rsidRDefault="00197EC0" w:rsidP="00107F42">
      <w:pPr>
        <w:rPr>
          <w:rFonts w:eastAsia="Times New Roman" w:cs="Arial"/>
          <w:kern w:val="0"/>
          <w:lang w:eastAsia="en-GB"/>
          <w14:ligatures w14:val="none"/>
        </w:rPr>
      </w:pPr>
    </w:p>
    <w:p w14:paraId="1FD2E423"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10.3.1.7 Stoma customisation service</w:t>
      </w:r>
    </w:p>
    <w:p w14:paraId="7886DEB0" w14:textId="77777777" w:rsidR="00197EC0" w:rsidRPr="00197EC0" w:rsidRDefault="00197EC0" w:rsidP="00107F42">
      <w:pPr>
        <w:rPr>
          <w:rFonts w:eastAsia="Times New Roman" w:cs="Arial"/>
          <w:kern w:val="0"/>
          <w:lang w:eastAsia="en-GB"/>
          <w14:ligatures w14:val="none"/>
        </w:rPr>
      </w:pPr>
    </w:p>
    <w:p w14:paraId="691A0D2E"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 xml:space="preserve">None of the pharmacies provide this service. </w:t>
      </w:r>
    </w:p>
    <w:p w14:paraId="277898AC" w14:textId="77777777" w:rsidR="00197EC0" w:rsidRPr="00197EC0" w:rsidRDefault="00197EC0" w:rsidP="00107F42">
      <w:pPr>
        <w:rPr>
          <w:rFonts w:eastAsia="Times New Roman" w:cs="Arial"/>
          <w:kern w:val="0"/>
          <w:lang w:eastAsia="en-GB"/>
          <w14:ligatures w14:val="none"/>
        </w:rPr>
      </w:pPr>
    </w:p>
    <w:p w14:paraId="5885B4BB"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10.3.2 Additional clinical services</w:t>
      </w:r>
    </w:p>
    <w:p w14:paraId="1C735742" w14:textId="77777777" w:rsidR="00197EC0" w:rsidRPr="00197EC0" w:rsidRDefault="00197EC0" w:rsidP="00107F42">
      <w:pPr>
        <w:rPr>
          <w:rFonts w:eastAsia="Times New Roman" w:cs="Arial"/>
          <w:kern w:val="0"/>
          <w:lang w:eastAsia="en-GB"/>
          <w14:ligatures w14:val="none"/>
        </w:rPr>
      </w:pPr>
    </w:p>
    <w:p w14:paraId="0FE732FB"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10.3.2.1 Blood borne virus screening service</w:t>
      </w:r>
    </w:p>
    <w:p w14:paraId="339B7CE9" w14:textId="77777777" w:rsidR="00197EC0" w:rsidRPr="00197EC0" w:rsidRDefault="00197EC0" w:rsidP="00107F42">
      <w:pPr>
        <w:rPr>
          <w:rFonts w:eastAsia="Times New Roman" w:cs="Arial"/>
          <w:kern w:val="0"/>
          <w:lang w:eastAsia="en-GB"/>
          <w14:ligatures w14:val="none"/>
        </w:rPr>
      </w:pPr>
    </w:p>
    <w:p w14:paraId="6F13B32F"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 xml:space="preserve">One of the pharmacies has signed up to provide this service. </w:t>
      </w:r>
    </w:p>
    <w:p w14:paraId="61CE0949" w14:textId="77777777" w:rsidR="00197EC0" w:rsidRPr="00197EC0" w:rsidRDefault="00197EC0" w:rsidP="00107F42">
      <w:pPr>
        <w:rPr>
          <w:rFonts w:eastAsia="Times New Roman" w:cs="Arial"/>
          <w:kern w:val="0"/>
          <w:lang w:eastAsia="en-GB"/>
          <w14:ligatures w14:val="none"/>
        </w:rPr>
      </w:pPr>
    </w:p>
    <w:p w14:paraId="38470F0F"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10.3.2.2 Care home support service - Level 1 medicines management support visits</w:t>
      </w:r>
    </w:p>
    <w:p w14:paraId="19198E9D" w14:textId="77777777" w:rsidR="00197EC0" w:rsidRPr="00197EC0" w:rsidRDefault="00197EC0" w:rsidP="00107F42">
      <w:pPr>
        <w:rPr>
          <w:rFonts w:eastAsia="Times New Roman" w:cs="Arial"/>
          <w:kern w:val="0"/>
          <w:lang w:eastAsia="en-GB"/>
          <w14:ligatures w14:val="none"/>
        </w:rPr>
      </w:pPr>
    </w:p>
    <w:p w14:paraId="0480E08D"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Three of the pharmacies have signed up to provide the service.</w:t>
      </w:r>
    </w:p>
    <w:p w14:paraId="5F332796" w14:textId="77777777" w:rsidR="00197EC0" w:rsidRPr="00197EC0" w:rsidRDefault="00197EC0" w:rsidP="00107F42">
      <w:pPr>
        <w:rPr>
          <w:rFonts w:eastAsia="Times New Roman" w:cs="Arial"/>
          <w:kern w:val="0"/>
          <w:lang w:eastAsia="en-GB"/>
          <w14:ligatures w14:val="none"/>
        </w:rPr>
      </w:pPr>
    </w:p>
    <w:p w14:paraId="48827F55"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 xml:space="preserve">No pharmacies provided the service in 2024/25. One pharmacy provided this service in the first ten months of 2025/26, providing a total of four visits. </w:t>
      </w:r>
    </w:p>
    <w:p w14:paraId="515BB18D" w14:textId="77777777" w:rsidR="00197EC0" w:rsidRPr="00197EC0" w:rsidRDefault="00197EC0" w:rsidP="00107F42">
      <w:pPr>
        <w:rPr>
          <w:rFonts w:eastAsia="Times New Roman" w:cs="Arial"/>
          <w:kern w:val="0"/>
          <w:lang w:eastAsia="en-GB"/>
          <w14:ligatures w14:val="none"/>
        </w:rPr>
      </w:pPr>
    </w:p>
    <w:p w14:paraId="45B7479D"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 xml:space="preserve">10.3.2.3 Access to inhaler review service </w:t>
      </w:r>
    </w:p>
    <w:p w14:paraId="23432043" w14:textId="77777777" w:rsidR="00197EC0" w:rsidRPr="00197EC0" w:rsidRDefault="00197EC0" w:rsidP="00107F42">
      <w:pPr>
        <w:shd w:val="clear" w:color="auto" w:fill="FFFFFF"/>
        <w:rPr>
          <w:rFonts w:eastAsia="Times New Roman" w:cs="Arial"/>
          <w:b/>
          <w:bCs/>
          <w:kern w:val="0"/>
          <w:lang w:eastAsia="en-GB"/>
          <w14:ligatures w14:val="none"/>
        </w:rPr>
      </w:pPr>
    </w:p>
    <w:p w14:paraId="61397617" w14:textId="77777777" w:rsidR="00197EC0" w:rsidRPr="00197EC0" w:rsidRDefault="00197EC0" w:rsidP="00107F42">
      <w:pPr>
        <w:shd w:val="clear" w:color="auto" w:fill="FFFFFF"/>
        <w:rPr>
          <w:rFonts w:eastAsia="Times New Roman" w:cs="Arial"/>
          <w:kern w:val="0"/>
          <w:lang w:eastAsia="en-GB"/>
          <w14:ligatures w14:val="none"/>
        </w:rPr>
      </w:pPr>
      <w:r w:rsidRPr="00197EC0">
        <w:rPr>
          <w:rFonts w:eastAsia="Times New Roman" w:cs="Arial"/>
          <w:kern w:val="0"/>
          <w:lang w:eastAsia="en-GB"/>
          <w14:ligatures w14:val="none"/>
        </w:rPr>
        <w:t>Seven of the pharmacies have signed up to provide this service</w:t>
      </w:r>
    </w:p>
    <w:p w14:paraId="747442B1" w14:textId="77777777" w:rsidR="00197EC0" w:rsidRPr="00197EC0" w:rsidRDefault="00197EC0" w:rsidP="00107F42">
      <w:pPr>
        <w:shd w:val="clear" w:color="auto" w:fill="FFFFFF"/>
        <w:rPr>
          <w:rFonts w:eastAsia="Times New Roman" w:cs="Arial"/>
          <w:kern w:val="0"/>
          <w:lang w:eastAsia="en-GB"/>
          <w14:ligatures w14:val="none"/>
        </w:rPr>
      </w:pPr>
    </w:p>
    <w:p w14:paraId="2B2F878C" w14:textId="77777777" w:rsidR="00197EC0" w:rsidRPr="00197EC0" w:rsidRDefault="00197EC0" w:rsidP="00107F42">
      <w:pPr>
        <w:shd w:val="clear" w:color="auto" w:fill="FFFFFF"/>
        <w:rPr>
          <w:rFonts w:eastAsia="Times New Roman" w:cs="Arial"/>
          <w:kern w:val="0"/>
          <w:lang w:eastAsia="en-GB"/>
          <w14:ligatures w14:val="none"/>
        </w:rPr>
      </w:pPr>
      <w:r w:rsidRPr="00197EC0">
        <w:rPr>
          <w:rFonts w:eastAsia="Times New Roman" w:cs="Arial"/>
          <w:kern w:val="0"/>
          <w:lang w:eastAsia="en-GB"/>
          <w14:ligatures w14:val="none"/>
        </w:rPr>
        <w:t>Four pharmacies provided this service in 2024/25, providing a total of 208 reviews (range at pharmacy level one to 90). Three pharmacies provided this service between April 2025 and February 2026, providing a total of 81 reviews (range at pharmacy level two to 77).</w:t>
      </w:r>
    </w:p>
    <w:p w14:paraId="596FDA74" w14:textId="77777777" w:rsidR="00197EC0" w:rsidRPr="00197EC0" w:rsidRDefault="00197EC0" w:rsidP="00107F42">
      <w:pPr>
        <w:rPr>
          <w:rFonts w:eastAsia="Times New Roman" w:cs="Arial"/>
          <w:b/>
          <w:bCs/>
          <w:kern w:val="0"/>
          <w:lang w:eastAsia="en-GB"/>
          <w14:ligatures w14:val="none"/>
        </w:rPr>
      </w:pPr>
    </w:p>
    <w:p w14:paraId="331C70C1"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10.3.2.4 Just in case service (palliative care packs)</w:t>
      </w:r>
    </w:p>
    <w:p w14:paraId="651E6312" w14:textId="77777777" w:rsidR="00197EC0" w:rsidRPr="00197EC0" w:rsidRDefault="00197EC0" w:rsidP="00107F42">
      <w:pPr>
        <w:rPr>
          <w:rFonts w:eastAsia="Times New Roman" w:cs="Arial"/>
          <w:kern w:val="0"/>
          <w:lang w:eastAsia="en-GB"/>
          <w14:ligatures w14:val="none"/>
        </w:rPr>
      </w:pPr>
    </w:p>
    <w:p w14:paraId="59CB83E7"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Seven of the pharmacies have signed up to provide this service.</w:t>
      </w:r>
    </w:p>
    <w:p w14:paraId="6F901101" w14:textId="77777777" w:rsidR="00197EC0" w:rsidRPr="00197EC0" w:rsidRDefault="00197EC0" w:rsidP="00107F42">
      <w:pPr>
        <w:rPr>
          <w:rFonts w:eastAsia="Times New Roman" w:cs="Arial"/>
          <w:kern w:val="0"/>
          <w:lang w:eastAsia="en-GB"/>
          <w14:ligatures w14:val="none"/>
        </w:rPr>
      </w:pPr>
    </w:p>
    <w:p w14:paraId="04E93646"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 xml:space="preserve">No pharmacy provided this service in 2024/25. No pharmacy provided this service in the first ten months of 2025/26. </w:t>
      </w:r>
    </w:p>
    <w:p w14:paraId="01D3C5EB" w14:textId="77777777" w:rsidR="00197EC0" w:rsidRPr="00197EC0" w:rsidRDefault="00197EC0" w:rsidP="00107F42">
      <w:pPr>
        <w:ind w:left="720"/>
        <w:contextualSpacing/>
        <w:rPr>
          <w:rFonts w:eastAsia="Times New Roman" w:cs="Arial"/>
          <w:kern w:val="0"/>
          <w:lang w:eastAsia="en-GB"/>
          <w14:ligatures w14:val="none"/>
        </w:rPr>
      </w:pPr>
    </w:p>
    <w:p w14:paraId="345C7B79"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 xml:space="preserve">10.3.2.5 Medicines administration record service </w:t>
      </w:r>
    </w:p>
    <w:p w14:paraId="5AF9A627" w14:textId="77777777" w:rsidR="00197EC0" w:rsidRPr="00197EC0" w:rsidRDefault="00197EC0" w:rsidP="00107F42">
      <w:pPr>
        <w:rPr>
          <w:rFonts w:eastAsia="Times New Roman" w:cs="Arial"/>
          <w:kern w:val="0"/>
          <w:lang w:eastAsia="en-GB"/>
          <w14:ligatures w14:val="none"/>
        </w:rPr>
      </w:pPr>
    </w:p>
    <w:p w14:paraId="366804CE"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Eight of the pharmacies have signed up to provide this service.</w:t>
      </w:r>
    </w:p>
    <w:p w14:paraId="4F8D161F" w14:textId="77777777" w:rsidR="00197EC0" w:rsidRPr="00197EC0" w:rsidRDefault="00197EC0" w:rsidP="00107F42">
      <w:pPr>
        <w:rPr>
          <w:rFonts w:eastAsia="Times New Roman" w:cs="Arial"/>
          <w:kern w:val="0"/>
          <w:lang w:eastAsia="en-GB"/>
          <w14:ligatures w14:val="none"/>
        </w:rPr>
      </w:pPr>
    </w:p>
    <w:p w14:paraId="72968172" w14:textId="77777777" w:rsidR="00197EC0" w:rsidRPr="00197EC0" w:rsidRDefault="00197EC0" w:rsidP="00107F42">
      <w:pPr>
        <w:contextualSpacing/>
        <w:rPr>
          <w:rFonts w:eastAsia="Times New Roman" w:cs="Arial"/>
          <w:kern w:val="0"/>
          <w:lang w:eastAsia="en-GB"/>
          <w14:ligatures w14:val="none"/>
        </w:rPr>
      </w:pPr>
      <w:r w:rsidRPr="00197EC0">
        <w:rPr>
          <w:rFonts w:eastAsia="Times New Roman" w:cs="Arial"/>
          <w:kern w:val="0"/>
          <w:lang w:eastAsia="en-GB"/>
          <w14:ligatures w14:val="none"/>
        </w:rPr>
        <w:t>Five pharmacies provided the service in 2024/25, providing charts to 238 patients (range at pharmacy level 12 to 89). Six pharmacies provided the service in the first ten months of 2025/26, providing charts to 730 patients (range at pharmacy level eight to 227).</w:t>
      </w:r>
    </w:p>
    <w:p w14:paraId="12F0D89F" w14:textId="77777777" w:rsidR="00197EC0" w:rsidRPr="00197EC0" w:rsidRDefault="00197EC0" w:rsidP="00107F42">
      <w:pPr>
        <w:ind w:left="720"/>
        <w:contextualSpacing/>
        <w:rPr>
          <w:rFonts w:eastAsia="Times New Roman" w:cs="Arial"/>
          <w:kern w:val="0"/>
          <w:lang w:eastAsia="en-GB"/>
          <w14:ligatures w14:val="none"/>
        </w:rPr>
      </w:pPr>
    </w:p>
    <w:p w14:paraId="3CB2F5F2"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10.3.2.6 Needle and syringe programmes</w:t>
      </w:r>
    </w:p>
    <w:p w14:paraId="389228DF" w14:textId="77777777" w:rsidR="00197EC0" w:rsidRPr="00197EC0" w:rsidRDefault="00197EC0" w:rsidP="00107F42">
      <w:pPr>
        <w:rPr>
          <w:rFonts w:eastAsia="Times New Roman" w:cs="Arial"/>
          <w:kern w:val="0"/>
          <w:lang w:eastAsia="en-GB"/>
          <w14:ligatures w14:val="none"/>
        </w:rPr>
      </w:pPr>
    </w:p>
    <w:p w14:paraId="5A36B253"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Three of the pharmacies have signed up to provide this service.</w:t>
      </w:r>
    </w:p>
    <w:p w14:paraId="7F6406A5" w14:textId="77777777" w:rsidR="00197EC0" w:rsidRPr="00197EC0" w:rsidRDefault="00197EC0" w:rsidP="00107F42">
      <w:pPr>
        <w:rPr>
          <w:rFonts w:eastAsia="Times New Roman" w:cs="Arial"/>
          <w:kern w:val="0"/>
          <w:lang w:eastAsia="en-GB"/>
          <w14:ligatures w14:val="none"/>
        </w:rPr>
      </w:pPr>
    </w:p>
    <w:p w14:paraId="3B5FE8BE"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lastRenderedPageBreak/>
        <w:t xml:space="preserve">No pharmacy provided the service in 2024/25. One pharmacy in the first ten months of 2025/26 provided a total of five provisions. </w:t>
      </w:r>
    </w:p>
    <w:p w14:paraId="6970A427" w14:textId="77777777" w:rsidR="00197EC0" w:rsidRPr="00197EC0" w:rsidRDefault="00197EC0" w:rsidP="00107F42">
      <w:pPr>
        <w:rPr>
          <w:rFonts w:eastAsia="Times New Roman" w:cs="Arial"/>
          <w:kern w:val="0"/>
          <w:lang w:eastAsia="en-GB"/>
          <w14:ligatures w14:val="none"/>
        </w:rPr>
      </w:pPr>
    </w:p>
    <w:p w14:paraId="215651EC"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10.3.2.7 Help me quit @ pharmacy (level 2 smoking cessation) service</w:t>
      </w:r>
    </w:p>
    <w:p w14:paraId="079197D7" w14:textId="77777777" w:rsidR="00197EC0" w:rsidRPr="00197EC0" w:rsidRDefault="00197EC0" w:rsidP="00107F42">
      <w:pPr>
        <w:rPr>
          <w:rFonts w:eastAsia="Times New Roman" w:cs="Arial"/>
          <w:kern w:val="0"/>
          <w:lang w:eastAsia="en-GB"/>
          <w14:ligatures w14:val="none"/>
        </w:rPr>
      </w:pPr>
    </w:p>
    <w:p w14:paraId="777AC30E"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All the pharmacies have signed up to this service.</w:t>
      </w:r>
    </w:p>
    <w:p w14:paraId="3B99F9E1" w14:textId="77777777" w:rsidR="00197EC0" w:rsidRPr="00197EC0" w:rsidRDefault="00197EC0" w:rsidP="00107F42">
      <w:pPr>
        <w:rPr>
          <w:rFonts w:eastAsia="Times New Roman" w:cs="Arial"/>
          <w:kern w:val="0"/>
          <w:lang w:eastAsia="en-GB"/>
          <w14:ligatures w14:val="none"/>
        </w:rPr>
      </w:pPr>
    </w:p>
    <w:p w14:paraId="1D140814"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All pharmacies provided the service in 2024/25, supporting 336 people (range at pharmacy level one to 77). Six pharmacies provided this service in the first ten months of 2025/26, supporting 220 people (range at pharmacy level eight to 120).</w:t>
      </w:r>
    </w:p>
    <w:p w14:paraId="2486AADA" w14:textId="77777777" w:rsidR="00197EC0" w:rsidRPr="00197EC0" w:rsidRDefault="00197EC0" w:rsidP="00107F42">
      <w:pPr>
        <w:rPr>
          <w:rFonts w:eastAsia="Times New Roman" w:cs="Arial"/>
          <w:kern w:val="0"/>
          <w:lang w:eastAsia="en-GB"/>
          <w14:ligatures w14:val="none"/>
        </w:rPr>
      </w:pPr>
    </w:p>
    <w:p w14:paraId="5D5540E4"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10.3.2.8 Help me quit @ pharmacy (level 3 smoking cessation) service</w:t>
      </w:r>
    </w:p>
    <w:p w14:paraId="2AA7408C" w14:textId="77777777" w:rsidR="00197EC0" w:rsidRPr="00197EC0" w:rsidRDefault="00197EC0" w:rsidP="00107F42">
      <w:pPr>
        <w:rPr>
          <w:rFonts w:eastAsia="Times New Roman" w:cs="Arial"/>
          <w:kern w:val="0"/>
          <w:lang w:eastAsia="en-GB"/>
          <w14:ligatures w14:val="none"/>
        </w:rPr>
      </w:pPr>
    </w:p>
    <w:p w14:paraId="6D640CE7"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Eight of the pharmacies have signed up to provide this service.</w:t>
      </w:r>
    </w:p>
    <w:p w14:paraId="324FF626" w14:textId="77777777" w:rsidR="00197EC0" w:rsidRPr="00197EC0" w:rsidRDefault="00197EC0" w:rsidP="00107F42">
      <w:pPr>
        <w:rPr>
          <w:rFonts w:eastAsia="Times New Roman" w:cs="Arial"/>
          <w:kern w:val="0"/>
          <w:lang w:eastAsia="en-GB"/>
          <w14:ligatures w14:val="none"/>
        </w:rPr>
      </w:pPr>
    </w:p>
    <w:p w14:paraId="40A2EFF0"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Five pharmacies provided the service in 2024/25, supporting 369 people (range at pharmacy level 19 to 154). Seven pharmacies provided this service in the first ten months of 2025/26, supporting 419 people (range at pharmacy level 13 to 131).</w:t>
      </w:r>
    </w:p>
    <w:p w14:paraId="45DBA5C0" w14:textId="77777777" w:rsidR="00197EC0" w:rsidRPr="00197EC0" w:rsidRDefault="00197EC0" w:rsidP="00107F42">
      <w:pPr>
        <w:ind w:left="720"/>
        <w:contextualSpacing/>
        <w:rPr>
          <w:rFonts w:eastAsia="Times New Roman" w:cs="Arial"/>
          <w:kern w:val="0"/>
          <w:lang w:eastAsia="en-GB"/>
          <w14:ligatures w14:val="none"/>
        </w:rPr>
      </w:pPr>
    </w:p>
    <w:p w14:paraId="16728F3E"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 xml:space="preserve">10.3.2.9 Supervised administration of medicine </w:t>
      </w:r>
    </w:p>
    <w:p w14:paraId="43EE04DB" w14:textId="77777777" w:rsidR="00197EC0" w:rsidRPr="00197EC0" w:rsidRDefault="00197EC0" w:rsidP="00107F42">
      <w:pPr>
        <w:rPr>
          <w:rFonts w:eastAsia="Times New Roman" w:cs="Arial"/>
          <w:kern w:val="0"/>
          <w:lang w:eastAsia="en-GB"/>
          <w14:ligatures w14:val="none"/>
        </w:rPr>
      </w:pPr>
    </w:p>
    <w:p w14:paraId="1D3D1C67"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All the pharmacies have signed up to provide this service.</w:t>
      </w:r>
    </w:p>
    <w:p w14:paraId="4C7762E6" w14:textId="77777777" w:rsidR="00197EC0" w:rsidRPr="00197EC0" w:rsidRDefault="00197EC0" w:rsidP="00107F42">
      <w:pPr>
        <w:rPr>
          <w:rFonts w:eastAsia="Times New Roman" w:cs="Arial"/>
          <w:kern w:val="0"/>
          <w:lang w:eastAsia="en-GB"/>
          <w14:ligatures w14:val="none"/>
        </w:rPr>
      </w:pPr>
    </w:p>
    <w:p w14:paraId="1B19F656" w14:textId="77777777" w:rsidR="00197EC0" w:rsidRPr="00197EC0" w:rsidRDefault="00197EC0" w:rsidP="00107F42">
      <w:pPr>
        <w:rPr>
          <w:rFonts w:eastAsia="Aptos" w:cs="Arial"/>
        </w:rPr>
      </w:pPr>
      <w:r w:rsidRPr="00197EC0">
        <w:rPr>
          <w:rFonts w:eastAsia="Aptos" w:cs="Arial"/>
        </w:rPr>
        <w:t>In 2024/25, seven pharmacies provided this service to 526 clients (range at pharmacy level three to 171), supervising a total of 5,349 doses (range at pharmacy level 34 to 2,046). In the first ten months of 2025/26, eight pharmacies provided this service to 317 clients (range at pharmacy level ten to 68), supervising a total of 3,368 doses (range at pharmacy level 144 to 775).</w:t>
      </w:r>
    </w:p>
    <w:p w14:paraId="4E0C007B" w14:textId="77777777" w:rsidR="00197EC0" w:rsidRPr="00197EC0" w:rsidRDefault="00197EC0" w:rsidP="00107F42">
      <w:pPr>
        <w:rPr>
          <w:rFonts w:eastAsia="Times New Roman" w:cs="Arial"/>
          <w:kern w:val="0"/>
          <w:lang w:eastAsia="en-GB"/>
          <w14:ligatures w14:val="none"/>
        </w:rPr>
      </w:pPr>
    </w:p>
    <w:p w14:paraId="3D7B5436"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 xml:space="preserve">10.3.2.10 Urgent medicines service </w:t>
      </w:r>
    </w:p>
    <w:p w14:paraId="3F5A7A2D" w14:textId="77777777" w:rsidR="00197EC0" w:rsidRPr="00197EC0" w:rsidRDefault="00197EC0" w:rsidP="00107F42">
      <w:pPr>
        <w:rPr>
          <w:rFonts w:eastAsia="Times New Roman" w:cs="Arial"/>
          <w:kern w:val="0"/>
          <w:lang w:eastAsia="en-GB"/>
          <w14:ligatures w14:val="none"/>
        </w:rPr>
      </w:pPr>
    </w:p>
    <w:p w14:paraId="0D0DF308" w14:textId="77777777" w:rsidR="00197EC0" w:rsidRPr="00197EC0" w:rsidRDefault="00197EC0" w:rsidP="00107F42">
      <w:pPr>
        <w:rPr>
          <w:rFonts w:eastAsia="Aptos" w:cs="Arial"/>
        </w:rPr>
      </w:pPr>
      <w:r w:rsidRPr="00197EC0">
        <w:rPr>
          <w:rFonts w:eastAsia="Times New Roman" w:cs="Arial"/>
          <w:kern w:val="0"/>
          <w:lang w:eastAsia="en-GB"/>
          <w14:ligatures w14:val="none"/>
        </w:rPr>
        <w:t>None of the pharmacies provide this service.</w:t>
      </w:r>
    </w:p>
    <w:p w14:paraId="6B3135D9" w14:textId="77777777" w:rsidR="00197EC0" w:rsidRPr="00197EC0" w:rsidRDefault="00197EC0" w:rsidP="00107F42">
      <w:pPr>
        <w:rPr>
          <w:rFonts w:eastAsia="Aptos" w:cs="Arial"/>
        </w:rPr>
      </w:pPr>
    </w:p>
    <w:p w14:paraId="59EBABA9" w14:textId="77777777" w:rsidR="00197EC0" w:rsidRPr="00197EC0" w:rsidRDefault="00197EC0" w:rsidP="00107F42">
      <w:pPr>
        <w:rPr>
          <w:rFonts w:eastAsia="Aptos" w:cs="Arial"/>
          <w:b/>
          <w:bCs/>
          <w:sz w:val="26"/>
          <w:szCs w:val="26"/>
        </w:rPr>
      </w:pPr>
      <w:r w:rsidRPr="00197EC0">
        <w:rPr>
          <w:rFonts w:eastAsia="Aptos" w:cs="Arial"/>
          <w:b/>
          <w:bCs/>
          <w:sz w:val="26"/>
          <w:szCs w:val="26"/>
        </w:rPr>
        <w:t>10.4 Current provision of pharmaceutical services outside the County’s area</w:t>
      </w:r>
    </w:p>
    <w:p w14:paraId="4125468A" w14:textId="77777777" w:rsidR="00197EC0" w:rsidRPr="00197EC0" w:rsidRDefault="00197EC0" w:rsidP="00107F42">
      <w:pPr>
        <w:rPr>
          <w:rFonts w:eastAsia="Aptos" w:cs="Arial"/>
        </w:rPr>
      </w:pPr>
    </w:p>
    <w:p w14:paraId="4E0FF54C" w14:textId="77777777" w:rsidR="00197EC0" w:rsidRPr="00197EC0" w:rsidRDefault="00197EC0" w:rsidP="00107F42">
      <w:pPr>
        <w:rPr>
          <w:rFonts w:eastAsia="Aptos" w:cs="Arial"/>
        </w:rPr>
      </w:pPr>
      <w:r w:rsidRPr="00197EC0">
        <w:rPr>
          <w:rFonts w:eastAsia="Aptos" w:cs="Arial"/>
        </w:rPr>
        <w:t>Some residents may choose to access contractors outside both the locality and the health board’s area in order to access services:</w:t>
      </w:r>
    </w:p>
    <w:p w14:paraId="5542444B" w14:textId="77777777" w:rsidR="00197EC0" w:rsidRPr="00197EC0" w:rsidRDefault="00197EC0" w:rsidP="00107F42">
      <w:pPr>
        <w:rPr>
          <w:rFonts w:eastAsia="Aptos" w:cs="Arial"/>
        </w:rPr>
      </w:pPr>
    </w:p>
    <w:p w14:paraId="6A42C95C" w14:textId="77777777" w:rsidR="00197EC0" w:rsidRPr="00197EC0" w:rsidRDefault="00197EC0" w:rsidP="00B76905">
      <w:pPr>
        <w:numPr>
          <w:ilvl w:val="0"/>
          <w:numId w:val="171"/>
        </w:numPr>
        <w:contextualSpacing/>
        <w:rPr>
          <w:rFonts w:eastAsia="Aptos" w:cs="Arial"/>
        </w:rPr>
      </w:pPr>
      <w:r w:rsidRPr="00197EC0">
        <w:rPr>
          <w:rFonts w:eastAsia="Aptos" w:cs="Arial"/>
        </w:rPr>
        <w:t>Offered by dispensing appliance contractors</w:t>
      </w:r>
    </w:p>
    <w:p w14:paraId="1F33BFA4" w14:textId="77777777" w:rsidR="00197EC0" w:rsidRPr="00197EC0" w:rsidRDefault="00197EC0" w:rsidP="00B76905">
      <w:pPr>
        <w:numPr>
          <w:ilvl w:val="0"/>
          <w:numId w:val="171"/>
        </w:numPr>
        <w:contextualSpacing/>
        <w:rPr>
          <w:rFonts w:eastAsia="Aptos" w:cs="Arial"/>
        </w:rPr>
      </w:pPr>
      <w:r w:rsidRPr="00197EC0">
        <w:rPr>
          <w:rFonts w:eastAsia="Aptos" w:cs="Arial"/>
        </w:rPr>
        <w:t>Which are located near to where they work, shop or visit for leisure or other purposes</w:t>
      </w:r>
    </w:p>
    <w:p w14:paraId="1F4BBBAA" w14:textId="77777777" w:rsidR="00197EC0" w:rsidRPr="00197EC0" w:rsidRDefault="00197EC0" w:rsidP="00107F42">
      <w:pPr>
        <w:shd w:val="clear" w:color="auto" w:fill="FFFFFF"/>
        <w:rPr>
          <w:rFonts w:eastAsia="Times New Roman" w:cs="Arial"/>
          <w:kern w:val="0"/>
          <w:lang w:eastAsia="en-GB"/>
          <w14:ligatures w14:val="none"/>
        </w:rPr>
      </w:pPr>
    </w:p>
    <w:p w14:paraId="376B2E5E" w14:textId="77777777" w:rsidR="00197EC0" w:rsidRPr="00197EC0" w:rsidRDefault="00197EC0" w:rsidP="00107F42">
      <w:pPr>
        <w:shd w:val="clear" w:color="auto" w:fill="FFFFFF"/>
        <w:rPr>
          <w:rFonts w:eastAsia="Times New Roman" w:cs="Arial"/>
          <w:kern w:val="0"/>
          <w:lang w:eastAsia="en-GB"/>
          <w14:ligatures w14:val="none"/>
        </w:rPr>
      </w:pPr>
      <w:r w:rsidRPr="00197EC0">
        <w:rPr>
          <w:rFonts w:eastAsia="Times New Roman" w:cs="Arial"/>
          <w:kern w:val="0"/>
          <w:lang w:eastAsia="en-GB"/>
          <w14:ligatures w14:val="none"/>
        </w:rPr>
        <w:t>Whilst the majority of prescriptions written by the GP practices in 2024/25 were dispensed by the pharmacies in the locality (89.6%), around 8.9% were dispensed outside the locality.</w:t>
      </w:r>
    </w:p>
    <w:p w14:paraId="25DE9C2C" w14:textId="77777777" w:rsidR="00197EC0" w:rsidRPr="00197EC0" w:rsidRDefault="00197EC0" w:rsidP="00107F42">
      <w:pPr>
        <w:shd w:val="clear" w:color="auto" w:fill="FFFFFF"/>
        <w:rPr>
          <w:rFonts w:eastAsia="Times New Roman" w:cs="Arial"/>
          <w:kern w:val="0"/>
          <w:lang w:eastAsia="en-GB"/>
          <w14:ligatures w14:val="none"/>
        </w:rPr>
      </w:pPr>
    </w:p>
    <w:p w14:paraId="681A1D86" w14:textId="77777777" w:rsidR="00197EC0" w:rsidRPr="00197EC0" w:rsidRDefault="00197EC0" w:rsidP="00B76905">
      <w:pPr>
        <w:numPr>
          <w:ilvl w:val="0"/>
          <w:numId w:val="152"/>
        </w:numPr>
        <w:textAlignment w:val="baseline"/>
        <w:rPr>
          <w:rFonts w:eastAsia="Times New Roman" w:cs="Arial"/>
          <w:kern w:val="0"/>
          <w:lang w:eastAsia="en-GB"/>
          <w14:ligatures w14:val="none"/>
        </w:rPr>
      </w:pPr>
      <w:r w:rsidRPr="00197EC0">
        <w:rPr>
          <w:rFonts w:eastAsia="Times New Roman" w:cs="Arial"/>
          <w:kern w:val="0"/>
          <w:lang w:eastAsia="en-GB"/>
          <w14:ligatures w14:val="none"/>
        </w:rPr>
        <w:t>3.8% by pharmacies in City Health locality</w:t>
      </w:r>
    </w:p>
    <w:p w14:paraId="4CEB79D7" w14:textId="77777777" w:rsidR="00197EC0" w:rsidRPr="00197EC0" w:rsidRDefault="00197EC0" w:rsidP="00B76905">
      <w:pPr>
        <w:numPr>
          <w:ilvl w:val="0"/>
          <w:numId w:val="152"/>
        </w:numPr>
        <w:textAlignment w:val="baseline"/>
        <w:rPr>
          <w:rFonts w:eastAsia="Times New Roman" w:cs="Arial"/>
          <w:kern w:val="0"/>
          <w:lang w:eastAsia="en-GB"/>
          <w14:ligatures w14:val="none"/>
        </w:rPr>
      </w:pPr>
      <w:r w:rsidRPr="00197EC0">
        <w:rPr>
          <w:rFonts w:eastAsia="Times New Roman" w:cs="Arial"/>
          <w:kern w:val="0"/>
          <w:lang w:eastAsia="en-GB"/>
          <w14:ligatures w14:val="none"/>
        </w:rPr>
        <w:t>3.5% by pharmacies in Penderi locality</w:t>
      </w:r>
    </w:p>
    <w:p w14:paraId="00AE16FC" w14:textId="77777777" w:rsidR="00197EC0" w:rsidRPr="00197EC0" w:rsidRDefault="00197EC0" w:rsidP="00B76905">
      <w:pPr>
        <w:numPr>
          <w:ilvl w:val="0"/>
          <w:numId w:val="152"/>
        </w:numPr>
        <w:textAlignment w:val="baseline"/>
        <w:rPr>
          <w:rFonts w:eastAsia="Times New Roman" w:cs="Arial"/>
          <w:kern w:val="0"/>
          <w:lang w:eastAsia="en-GB"/>
          <w14:ligatures w14:val="none"/>
        </w:rPr>
      </w:pPr>
      <w:r w:rsidRPr="00197EC0">
        <w:rPr>
          <w:rFonts w:eastAsia="Times New Roman" w:cs="Arial"/>
          <w:kern w:val="0"/>
          <w:lang w:eastAsia="en-GB"/>
          <w14:ligatures w14:val="none"/>
        </w:rPr>
        <w:t>0.5% by pharmacies in Llwchwr locality</w:t>
      </w:r>
    </w:p>
    <w:p w14:paraId="31B467E9" w14:textId="77777777" w:rsidR="00197EC0" w:rsidRPr="00197EC0" w:rsidRDefault="00197EC0" w:rsidP="00B76905">
      <w:pPr>
        <w:numPr>
          <w:ilvl w:val="0"/>
          <w:numId w:val="152"/>
        </w:numPr>
        <w:textAlignment w:val="baseline"/>
        <w:rPr>
          <w:rFonts w:eastAsia="Times New Roman" w:cs="Arial"/>
          <w:kern w:val="0"/>
          <w:lang w:eastAsia="en-GB"/>
          <w14:ligatures w14:val="none"/>
        </w:rPr>
      </w:pPr>
      <w:r w:rsidRPr="00197EC0">
        <w:rPr>
          <w:rFonts w:eastAsia="Times New Roman" w:cs="Arial"/>
          <w:kern w:val="0"/>
          <w:lang w:eastAsia="en-GB"/>
          <w14:ligatures w14:val="none"/>
        </w:rPr>
        <w:lastRenderedPageBreak/>
        <w:t xml:space="preserve">0.4% by pharmacies in Upper Valleys locality </w:t>
      </w:r>
    </w:p>
    <w:p w14:paraId="71032F7B" w14:textId="77777777" w:rsidR="00197EC0" w:rsidRPr="00197EC0" w:rsidRDefault="00197EC0" w:rsidP="00B76905">
      <w:pPr>
        <w:numPr>
          <w:ilvl w:val="0"/>
          <w:numId w:val="152"/>
        </w:numPr>
        <w:textAlignment w:val="baseline"/>
        <w:rPr>
          <w:rFonts w:eastAsia="Times New Roman" w:cs="Arial"/>
          <w:kern w:val="0"/>
          <w:lang w:eastAsia="en-GB"/>
          <w14:ligatures w14:val="none"/>
        </w:rPr>
      </w:pPr>
      <w:r w:rsidRPr="00197EC0">
        <w:rPr>
          <w:rFonts w:eastAsia="Times New Roman" w:cs="Arial"/>
          <w:kern w:val="0"/>
          <w:lang w:eastAsia="en-GB"/>
          <w14:ligatures w14:val="none"/>
        </w:rPr>
        <w:t xml:space="preserve">0.4% by contractors in England </w:t>
      </w:r>
    </w:p>
    <w:p w14:paraId="22418539" w14:textId="77777777" w:rsidR="00197EC0" w:rsidRPr="00197EC0" w:rsidRDefault="00197EC0" w:rsidP="00B76905">
      <w:pPr>
        <w:numPr>
          <w:ilvl w:val="0"/>
          <w:numId w:val="152"/>
        </w:numPr>
        <w:textAlignment w:val="baseline"/>
        <w:rPr>
          <w:rFonts w:eastAsia="Times New Roman" w:cs="Arial"/>
          <w:kern w:val="0"/>
          <w:lang w:eastAsia="en-GB"/>
          <w14:ligatures w14:val="none"/>
        </w:rPr>
      </w:pPr>
      <w:r w:rsidRPr="00197EC0">
        <w:rPr>
          <w:rFonts w:eastAsia="Times New Roman" w:cs="Arial"/>
          <w:kern w:val="0"/>
          <w:lang w:eastAsia="en-GB"/>
          <w14:ligatures w14:val="none"/>
        </w:rPr>
        <w:t xml:space="preserve">0.1% by pharmacies in Bay Health locality </w:t>
      </w:r>
    </w:p>
    <w:p w14:paraId="46A09D6B" w14:textId="77777777" w:rsidR="00197EC0" w:rsidRPr="00197EC0" w:rsidRDefault="00197EC0" w:rsidP="00B76905">
      <w:pPr>
        <w:numPr>
          <w:ilvl w:val="0"/>
          <w:numId w:val="152"/>
        </w:numPr>
        <w:textAlignment w:val="baseline"/>
        <w:rPr>
          <w:rFonts w:eastAsia="Times New Roman" w:cs="Arial"/>
          <w:kern w:val="0"/>
          <w:lang w:eastAsia="en-GB"/>
          <w14:ligatures w14:val="none"/>
        </w:rPr>
      </w:pPr>
      <w:r w:rsidRPr="00197EC0">
        <w:rPr>
          <w:rFonts w:eastAsia="Times New Roman" w:cs="Arial"/>
          <w:kern w:val="0"/>
          <w:lang w:eastAsia="en-GB"/>
          <w14:ligatures w14:val="none"/>
        </w:rPr>
        <w:t xml:space="preserve">0.1% by pharmacies in Neath locality </w:t>
      </w:r>
    </w:p>
    <w:p w14:paraId="1AC3F72D" w14:textId="77777777" w:rsidR="00197EC0" w:rsidRPr="00197EC0" w:rsidRDefault="00197EC0" w:rsidP="00B76905">
      <w:pPr>
        <w:numPr>
          <w:ilvl w:val="0"/>
          <w:numId w:val="152"/>
        </w:numPr>
        <w:textAlignment w:val="baseline"/>
        <w:rPr>
          <w:rFonts w:eastAsia="Times New Roman" w:cs="Arial"/>
          <w:kern w:val="0"/>
          <w:lang w:eastAsia="en-GB"/>
          <w14:ligatures w14:val="none"/>
        </w:rPr>
      </w:pPr>
      <w:r w:rsidRPr="00197EC0">
        <w:rPr>
          <w:rFonts w:eastAsia="Times New Roman" w:cs="Arial"/>
          <w:kern w:val="0"/>
          <w:lang w:eastAsia="en-GB"/>
          <w14:ligatures w14:val="none"/>
        </w:rPr>
        <w:t>0.1% by pharmacies in Hywel Dda University Health Board</w:t>
      </w:r>
    </w:p>
    <w:p w14:paraId="6AEE4300" w14:textId="77777777" w:rsidR="00197EC0" w:rsidRPr="00197EC0" w:rsidRDefault="00197EC0" w:rsidP="00107F42">
      <w:pPr>
        <w:ind w:left="774"/>
        <w:textAlignment w:val="baseline"/>
        <w:rPr>
          <w:rFonts w:eastAsia="Times New Roman" w:cs="Arial"/>
          <w:kern w:val="0"/>
          <w:lang w:eastAsia="en-GB"/>
          <w14:ligatures w14:val="none"/>
        </w:rPr>
      </w:pPr>
    </w:p>
    <w:p w14:paraId="518D460B" w14:textId="77777777" w:rsidR="00197EC0" w:rsidRPr="00197EC0" w:rsidRDefault="00197EC0" w:rsidP="00107F42">
      <w:pPr>
        <w:shd w:val="clear" w:color="auto" w:fill="FFFFFF"/>
        <w:rPr>
          <w:rFonts w:eastAsia="Times New Roman" w:cs="Arial"/>
          <w:kern w:val="0"/>
          <w:lang w:eastAsia="en-GB"/>
          <w14:ligatures w14:val="none"/>
        </w:rPr>
      </w:pPr>
      <w:r w:rsidRPr="00197EC0">
        <w:rPr>
          <w:rFonts w:eastAsia="Times New Roman" w:cs="Arial"/>
          <w:kern w:val="0"/>
          <w:lang w:eastAsia="en-GB"/>
          <w14:ligatures w14:val="none"/>
        </w:rPr>
        <w:t>In the first nine months of 2025/26 the majority of prescriptions written by the GP practices were dispensed by the pharmacies in the locality (89.2%), with 10.1% dispensed outside the locality.</w:t>
      </w:r>
    </w:p>
    <w:p w14:paraId="33C4F554" w14:textId="77777777" w:rsidR="00197EC0" w:rsidRPr="00197EC0" w:rsidRDefault="00197EC0" w:rsidP="00107F42">
      <w:pPr>
        <w:shd w:val="clear" w:color="auto" w:fill="FFFFFF"/>
        <w:rPr>
          <w:rFonts w:eastAsia="Times New Roman" w:cs="Arial"/>
          <w:kern w:val="0"/>
          <w:lang w:eastAsia="en-GB"/>
          <w14:ligatures w14:val="none"/>
        </w:rPr>
      </w:pPr>
    </w:p>
    <w:p w14:paraId="26046F7C" w14:textId="77777777" w:rsidR="00197EC0" w:rsidRPr="00197EC0" w:rsidRDefault="00197EC0" w:rsidP="00B76905">
      <w:pPr>
        <w:numPr>
          <w:ilvl w:val="0"/>
          <w:numId w:val="152"/>
        </w:numPr>
        <w:textAlignment w:val="baseline"/>
        <w:rPr>
          <w:rFonts w:eastAsia="Times New Roman" w:cs="Arial"/>
          <w:kern w:val="0"/>
          <w:lang w:eastAsia="en-GB"/>
          <w14:ligatures w14:val="none"/>
        </w:rPr>
      </w:pPr>
      <w:r w:rsidRPr="00197EC0">
        <w:rPr>
          <w:rFonts w:eastAsia="Times New Roman" w:cs="Arial"/>
          <w:kern w:val="0"/>
          <w:lang w:eastAsia="en-GB"/>
          <w14:ligatures w14:val="none"/>
        </w:rPr>
        <w:t>4.0% by pharmacies in City Health locality</w:t>
      </w:r>
    </w:p>
    <w:p w14:paraId="1335A4F7" w14:textId="77777777" w:rsidR="00197EC0" w:rsidRPr="00197EC0" w:rsidRDefault="00197EC0" w:rsidP="00B76905">
      <w:pPr>
        <w:numPr>
          <w:ilvl w:val="0"/>
          <w:numId w:val="152"/>
        </w:numPr>
        <w:textAlignment w:val="baseline"/>
        <w:rPr>
          <w:rFonts w:eastAsia="Times New Roman" w:cs="Arial"/>
          <w:kern w:val="0"/>
          <w:lang w:eastAsia="en-GB"/>
          <w14:ligatures w14:val="none"/>
        </w:rPr>
      </w:pPr>
      <w:r w:rsidRPr="00197EC0">
        <w:rPr>
          <w:rFonts w:eastAsia="Times New Roman" w:cs="Arial"/>
          <w:kern w:val="0"/>
          <w:lang w:eastAsia="en-GB"/>
          <w14:ligatures w14:val="none"/>
        </w:rPr>
        <w:t>3.9% by pharmacies in Penderi locality</w:t>
      </w:r>
    </w:p>
    <w:p w14:paraId="0C06650F" w14:textId="77777777" w:rsidR="00197EC0" w:rsidRPr="00197EC0" w:rsidRDefault="00197EC0" w:rsidP="00B76905">
      <w:pPr>
        <w:numPr>
          <w:ilvl w:val="0"/>
          <w:numId w:val="152"/>
        </w:numPr>
        <w:textAlignment w:val="baseline"/>
        <w:rPr>
          <w:rFonts w:eastAsia="Times New Roman" w:cs="Arial"/>
          <w:kern w:val="0"/>
          <w:lang w:eastAsia="en-GB"/>
          <w14:ligatures w14:val="none"/>
        </w:rPr>
      </w:pPr>
      <w:r w:rsidRPr="00197EC0">
        <w:rPr>
          <w:rFonts w:eastAsia="Times New Roman" w:cs="Arial"/>
          <w:kern w:val="0"/>
          <w:lang w:eastAsia="en-GB"/>
          <w14:ligatures w14:val="none"/>
        </w:rPr>
        <w:t>0.6% by pharmacies in Llwchwr locality</w:t>
      </w:r>
    </w:p>
    <w:p w14:paraId="6C5FB54E" w14:textId="77777777" w:rsidR="00197EC0" w:rsidRPr="00197EC0" w:rsidRDefault="00197EC0" w:rsidP="00B76905">
      <w:pPr>
        <w:numPr>
          <w:ilvl w:val="0"/>
          <w:numId w:val="152"/>
        </w:numPr>
        <w:textAlignment w:val="baseline"/>
        <w:rPr>
          <w:rFonts w:eastAsia="Times New Roman" w:cs="Arial"/>
          <w:kern w:val="0"/>
          <w:lang w:eastAsia="en-GB"/>
          <w14:ligatures w14:val="none"/>
        </w:rPr>
      </w:pPr>
      <w:r w:rsidRPr="00197EC0">
        <w:rPr>
          <w:rFonts w:eastAsia="Times New Roman" w:cs="Arial"/>
          <w:kern w:val="0"/>
          <w:lang w:eastAsia="en-GB"/>
          <w14:ligatures w14:val="none"/>
        </w:rPr>
        <w:t xml:space="preserve">0.6% by pharmacies in Upper Valleys locality </w:t>
      </w:r>
    </w:p>
    <w:p w14:paraId="2EBB6EC4" w14:textId="77777777" w:rsidR="00197EC0" w:rsidRPr="00197EC0" w:rsidRDefault="00197EC0" w:rsidP="00B76905">
      <w:pPr>
        <w:numPr>
          <w:ilvl w:val="0"/>
          <w:numId w:val="152"/>
        </w:numPr>
        <w:textAlignment w:val="baseline"/>
        <w:rPr>
          <w:rFonts w:eastAsia="Times New Roman" w:cs="Arial"/>
          <w:kern w:val="0"/>
          <w:lang w:eastAsia="en-GB"/>
          <w14:ligatures w14:val="none"/>
        </w:rPr>
      </w:pPr>
      <w:r w:rsidRPr="00197EC0">
        <w:rPr>
          <w:rFonts w:eastAsia="Times New Roman" w:cs="Arial"/>
          <w:kern w:val="0"/>
          <w:lang w:eastAsia="en-GB"/>
          <w14:ligatures w14:val="none"/>
        </w:rPr>
        <w:t xml:space="preserve">0.4% by contractors in England </w:t>
      </w:r>
    </w:p>
    <w:p w14:paraId="679531BD" w14:textId="77777777" w:rsidR="00197EC0" w:rsidRPr="00197EC0" w:rsidRDefault="00197EC0" w:rsidP="00B76905">
      <w:pPr>
        <w:numPr>
          <w:ilvl w:val="0"/>
          <w:numId w:val="152"/>
        </w:numPr>
        <w:textAlignment w:val="baseline"/>
        <w:rPr>
          <w:rFonts w:eastAsia="Times New Roman" w:cs="Arial"/>
          <w:kern w:val="0"/>
          <w:lang w:eastAsia="en-GB"/>
          <w14:ligatures w14:val="none"/>
        </w:rPr>
      </w:pPr>
      <w:r w:rsidRPr="00197EC0">
        <w:rPr>
          <w:rFonts w:eastAsia="Times New Roman" w:cs="Arial"/>
          <w:kern w:val="0"/>
          <w:lang w:eastAsia="en-GB"/>
          <w14:ligatures w14:val="none"/>
        </w:rPr>
        <w:t>0.2% by pharmacies in Hywel Dda University Health Board</w:t>
      </w:r>
    </w:p>
    <w:p w14:paraId="61A20603" w14:textId="77777777" w:rsidR="00197EC0" w:rsidRPr="00197EC0" w:rsidRDefault="00197EC0" w:rsidP="00B76905">
      <w:pPr>
        <w:numPr>
          <w:ilvl w:val="0"/>
          <w:numId w:val="152"/>
        </w:numPr>
        <w:textAlignment w:val="baseline"/>
        <w:rPr>
          <w:rFonts w:eastAsia="Times New Roman" w:cs="Arial"/>
          <w:kern w:val="0"/>
          <w:lang w:eastAsia="en-GB"/>
          <w14:ligatures w14:val="none"/>
        </w:rPr>
      </w:pPr>
      <w:r w:rsidRPr="00197EC0">
        <w:rPr>
          <w:rFonts w:eastAsia="Times New Roman" w:cs="Arial"/>
          <w:kern w:val="0"/>
          <w:lang w:eastAsia="en-GB"/>
          <w14:ligatures w14:val="none"/>
        </w:rPr>
        <w:t xml:space="preserve">0.1% by pharmacies in Afan locality </w:t>
      </w:r>
    </w:p>
    <w:p w14:paraId="1FCD7F94" w14:textId="77777777" w:rsidR="00197EC0" w:rsidRPr="00197EC0" w:rsidRDefault="00197EC0" w:rsidP="00B76905">
      <w:pPr>
        <w:numPr>
          <w:ilvl w:val="0"/>
          <w:numId w:val="152"/>
        </w:numPr>
        <w:textAlignment w:val="baseline"/>
        <w:rPr>
          <w:rFonts w:eastAsia="Times New Roman" w:cs="Arial"/>
          <w:kern w:val="0"/>
          <w:lang w:eastAsia="en-GB"/>
          <w14:ligatures w14:val="none"/>
        </w:rPr>
      </w:pPr>
      <w:r w:rsidRPr="00197EC0">
        <w:rPr>
          <w:rFonts w:eastAsia="Times New Roman" w:cs="Arial"/>
          <w:kern w:val="0"/>
          <w:lang w:eastAsia="en-GB"/>
          <w14:ligatures w14:val="none"/>
        </w:rPr>
        <w:t xml:space="preserve">0.1% by pharmacies in Bay Health locality </w:t>
      </w:r>
    </w:p>
    <w:p w14:paraId="29A4061E" w14:textId="77777777" w:rsidR="00197EC0" w:rsidRPr="00197EC0" w:rsidRDefault="00197EC0" w:rsidP="00B76905">
      <w:pPr>
        <w:numPr>
          <w:ilvl w:val="0"/>
          <w:numId w:val="152"/>
        </w:numPr>
        <w:textAlignment w:val="baseline"/>
        <w:rPr>
          <w:rFonts w:eastAsia="Times New Roman" w:cs="Arial"/>
          <w:kern w:val="0"/>
          <w:lang w:eastAsia="en-GB"/>
          <w14:ligatures w14:val="none"/>
        </w:rPr>
      </w:pPr>
      <w:r w:rsidRPr="00197EC0">
        <w:rPr>
          <w:rFonts w:eastAsia="Times New Roman" w:cs="Arial"/>
          <w:kern w:val="0"/>
          <w:lang w:eastAsia="en-GB"/>
          <w14:ligatures w14:val="none"/>
        </w:rPr>
        <w:t xml:space="preserve">0.1% by pharmacies in Neath locality </w:t>
      </w:r>
    </w:p>
    <w:p w14:paraId="148B6CF7" w14:textId="77777777" w:rsidR="00197EC0" w:rsidRPr="00197EC0" w:rsidRDefault="00197EC0" w:rsidP="00107F42">
      <w:pPr>
        <w:textAlignment w:val="baseline"/>
        <w:rPr>
          <w:rFonts w:eastAsia="Times New Roman" w:cs="Arial"/>
          <w:kern w:val="0"/>
          <w:lang w:eastAsia="en-GB"/>
          <w14:ligatures w14:val="none"/>
        </w:rPr>
      </w:pPr>
    </w:p>
    <w:p w14:paraId="43DFFED2" w14:textId="77777777" w:rsidR="00197EC0" w:rsidRPr="00197EC0" w:rsidRDefault="00197EC0" w:rsidP="00107F42">
      <w:pPr>
        <w:shd w:val="clear" w:color="auto" w:fill="FFFFFF"/>
        <w:rPr>
          <w:rFonts w:eastAsia="Times New Roman" w:cs="Arial"/>
          <w:kern w:val="0"/>
          <w:lang w:eastAsia="en-GB"/>
          <w14:ligatures w14:val="none"/>
        </w:rPr>
      </w:pPr>
      <w:r w:rsidRPr="00197EC0">
        <w:rPr>
          <w:rFonts w:eastAsia="Times New Roman" w:cs="Arial"/>
          <w:kern w:val="0"/>
          <w:lang w:eastAsia="en-GB"/>
          <w14:ligatures w14:val="none"/>
        </w:rPr>
        <w:t>In addition, residents may have accessed one or more pharmaceutical services provided by another pharmacy outside of both the locality and the health board’s area; however, it is not possible to quantify this activity from the recorded data.</w:t>
      </w:r>
    </w:p>
    <w:p w14:paraId="033F95E2" w14:textId="77777777" w:rsidR="00197EC0" w:rsidRPr="00197EC0" w:rsidRDefault="00197EC0" w:rsidP="00107F42">
      <w:pPr>
        <w:rPr>
          <w:rFonts w:eastAsia="Aptos" w:cs="Arial"/>
        </w:rPr>
      </w:pPr>
    </w:p>
    <w:p w14:paraId="3965BF8A" w14:textId="77777777" w:rsidR="00197EC0" w:rsidRPr="00197EC0" w:rsidRDefault="00197EC0" w:rsidP="00107F42">
      <w:pPr>
        <w:rPr>
          <w:rFonts w:eastAsia="Aptos" w:cs="Arial"/>
          <w:b/>
          <w:bCs/>
          <w:sz w:val="26"/>
          <w:szCs w:val="26"/>
        </w:rPr>
      </w:pPr>
      <w:r w:rsidRPr="00197EC0">
        <w:rPr>
          <w:rFonts w:eastAsia="Aptos" w:cs="Arial"/>
          <w:b/>
          <w:bCs/>
          <w:sz w:val="26"/>
          <w:szCs w:val="26"/>
        </w:rPr>
        <w:t>10.5 Other NHS services</w:t>
      </w:r>
    </w:p>
    <w:p w14:paraId="0F71F312" w14:textId="77777777" w:rsidR="00197EC0" w:rsidRPr="00197EC0" w:rsidRDefault="00197EC0" w:rsidP="00107F42">
      <w:pPr>
        <w:textAlignment w:val="baseline"/>
        <w:rPr>
          <w:rFonts w:eastAsia="Times New Roman" w:cs="Arial"/>
          <w:kern w:val="0"/>
          <w:lang w:eastAsia="en-GB"/>
          <w14:ligatures w14:val="none"/>
        </w:rPr>
      </w:pPr>
    </w:p>
    <w:p w14:paraId="2186AD2B" w14:textId="77777777" w:rsidR="00197EC0" w:rsidRPr="00197EC0" w:rsidRDefault="00197EC0" w:rsidP="00107F42">
      <w:pPr>
        <w:textAlignment w:val="baseline"/>
        <w:rPr>
          <w:rFonts w:eastAsia="Times New Roman" w:cs="Arial"/>
          <w:kern w:val="0"/>
          <w:lang w:eastAsia="en-GB"/>
          <w14:ligatures w14:val="none"/>
        </w:rPr>
      </w:pPr>
      <w:r w:rsidRPr="00197EC0">
        <w:rPr>
          <w:rFonts w:eastAsia="Times New Roman" w:cs="Arial"/>
          <w:kern w:val="0"/>
          <w:lang w:eastAsia="en-GB"/>
          <w14:ligatures w14:val="none"/>
        </w:rPr>
        <w:t>Details of the NHS services which affect the need for pharmaceutical services can be found in chapter six.</w:t>
      </w:r>
    </w:p>
    <w:p w14:paraId="46AE03DE" w14:textId="77777777" w:rsidR="00197EC0" w:rsidRPr="00197EC0" w:rsidRDefault="00197EC0" w:rsidP="00107F42">
      <w:pPr>
        <w:rPr>
          <w:rFonts w:eastAsia="Aptos" w:cs="Arial"/>
        </w:rPr>
      </w:pPr>
    </w:p>
    <w:p w14:paraId="1CD72CCC" w14:textId="77777777" w:rsidR="00197EC0" w:rsidRPr="00197EC0" w:rsidRDefault="00197EC0" w:rsidP="00107F42">
      <w:pPr>
        <w:rPr>
          <w:rFonts w:eastAsia="Aptos" w:cs="Arial"/>
          <w:b/>
          <w:bCs/>
          <w:sz w:val="26"/>
          <w:szCs w:val="26"/>
        </w:rPr>
      </w:pPr>
      <w:r w:rsidRPr="00197EC0">
        <w:rPr>
          <w:rFonts w:eastAsia="Aptos" w:cs="Arial"/>
          <w:b/>
          <w:bCs/>
          <w:sz w:val="26"/>
          <w:szCs w:val="26"/>
        </w:rPr>
        <w:t>10.6 Choice with regard to obtaining pharmaceutical services</w:t>
      </w:r>
    </w:p>
    <w:p w14:paraId="05DE5D16" w14:textId="77777777" w:rsidR="00197EC0" w:rsidRPr="00197EC0" w:rsidRDefault="00197EC0" w:rsidP="00107F42">
      <w:pPr>
        <w:rPr>
          <w:rFonts w:eastAsia="Aptos" w:cs="Arial"/>
        </w:rPr>
      </w:pPr>
    </w:p>
    <w:p w14:paraId="3EA5D9B4" w14:textId="77777777" w:rsidR="00197EC0" w:rsidRPr="00197EC0" w:rsidRDefault="00197EC0" w:rsidP="00107F42">
      <w:pPr>
        <w:rPr>
          <w:rFonts w:eastAsia="Aptos" w:cs="Arial"/>
        </w:rPr>
      </w:pPr>
      <w:r w:rsidRPr="00197EC0">
        <w:rPr>
          <w:rFonts w:eastAsia="Aptos" w:cs="Arial"/>
        </w:rPr>
        <w:t>As can be seen from sections 10.3 and 10.4, those living within the locality and registered with one of the GP practices generally choose to access one of the pharmacies in the locality in order to have their prescriptions dispensed. Those that look outside the locality usually do so to access a neighbouring pharmacy within the health board’s area. A minority choose to have their prescription dispensed by a pharmacy or an appliance contractor outside of the health board’s area.</w:t>
      </w:r>
    </w:p>
    <w:p w14:paraId="7B9D9784" w14:textId="77777777" w:rsidR="00197EC0" w:rsidRPr="00197EC0" w:rsidRDefault="00197EC0" w:rsidP="00107F42">
      <w:pPr>
        <w:rPr>
          <w:rFonts w:eastAsia="Aptos" w:cs="Arial"/>
        </w:rPr>
      </w:pPr>
    </w:p>
    <w:p w14:paraId="67CAADF1" w14:textId="77777777" w:rsidR="00197EC0" w:rsidRPr="00197EC0" w:rsidRDefault="00197EC0" w:rsidP="00107F42">
      <w:pPr>
        <w:rPr>
          <w:rFonts w:eastAsia="Times New Roman" w:cs="Arial"/>
          <w:kern w:val="0"/>
          <w:lang w:val="en-US" w:eastAsia="en-GB"/>
          <w14:ligatures w14:val="none"/>
        </w:rPr>
      </w:pPr>
      <w:r w:rsidRPr="00197EC0">
        <w:rPr>
          <w:rFonts w:eastAsia="Times New Roman" w:cs="Arial"/>
          <w:kern w:val="0"/>
          <w:lang w:val="en-US" w:eastAsia="en-GB"/>
          <w14:ligatures w14:val="none"/>
        </w:rPr>
        <w:t xml:space="preserve">A total of 241 contractors that were trading in Wales during 2024/25, dispensed items written by one of the GP practices in the locality, of which 150 were outside of the health board’s area. 4,766 prescription items were dispensed in England. </w:t>
      </w:r>
    </w:p>
    <w:p w14:paraId="657FF4A7" w14:textId="77777777" w:rsidR="00197EC0" w:rsidRPr="00197EC0" w:rsidRDefault="00197EC0" w:rsidP="00107F42">
      <w:pPr>
        <w:rPr>
          <w:rFonts w:eastAsia="Times New Roman" w:cs="Arial"/>
          <w:kern w:val="0"/>
          <w:lang w:val="en-US" w:eastAsia="en-GB"/>
          <w14:ligatures w14:val="none"/>
        </w:rPr>
      </w:pPr>
    </w:p>
    <w:p w14:paraId="78D99F67" w14:textId="77777777" w:rsidR="00197EC0" w:rsidRPr="00197EC0" w:rsidRDefault="00197EC0" w:rsidP="00107F42">
      <w:pPr>
        <w:rPr>
          <w:rFonts w:eastAsia="Times New Roman" w:cs="Arial"/>
          <w:kern w:val="0"/>
          <w:lang w:val="en-US" w:eastAsia="en-GB"/>
          <w14:ligatures w14:val="none"/>
        </w:rPr>
      </w:pPr>
      <w:r w:rsidRPr="00197EC0">
        <w:rPr>
          <w:rFonts w:eastAsia="Times New Roman" w:cs="Arial"/>
          <w:kern w:val="0"/>
          <w:lang w:val="en-US" w:eastAsia="en-GB"/>
          <w14:ligatures w14:val="none"/>
        </w:rPr>
        <w:t xml:space="preserve">A total of 216 contractors that were trading in Wales during 2025/26 (up to December 2025), dispensed items written by one of the GP practices in the locality, of which 126 were outside of the health board’s area. 3,835 prescription items were dispensed in England. </w:t>
      </w:r>
    </w:p>
    <w:p w14:paraId="4FC53278" w14:textId="77777777" w:rsidR="00197EC0" w:rsidRDefault="00197EC0" w:rsidP="00107F42">
      <w:pPr>
        <w:rPr>
          <w:rFonts w:eastAsia="Aptos" w:cs="Arial"/>
        </w:rPr>
      </w:pPr>
    </w:p>
    <w:p w14:paraId="661DE4C3" w14:textId="77777777" w:rsidR="005114C5" w:rsidRDefault="005114C5" w:rsidP="00107F42">
      <w:pPr>
        <w:rPr>
          <w:rFonts w:eastAsia="Aptos" w:cs="Arial"/>
        </w:rPr>
      </w:pPr>
    </w:p>
    <w:p w14:paraId="14C77D4A" w14:textId="77777777" w:rsidR="005114C5" w:rsidRPr="00197EC0" w:rsidRDefault="005114C5" w:rsidP="00107F42">
      <w:pPr>
        <w:rPr>
          <w:rFonts w:eastAsia="Aptos" w:cs="Arial"/>
        </w:rPr>
      </w:pPr>
    </w:p>
    <w:p w14:paraId="5B2E0FC4" w14:textId="77777777" w:rsidR="00197EC0" w:rsidRPr="00197EC0" w:rsidRDefault="00197EC0" w:rsidP="00107F42">
      <w:pPr>
        <w:rPr>
          <w:rFonts w:eastAsia="Aptos" w:cs="Arial"/>
          <w:b/>
          <w:bCs/>
          <w:sz w:val="26"/>
          <w:szCs w:val="26"/>
        </w:rPr>
      </w:pPr>
      <w:r w:rsidRPr="00197EC0">
        <w:rPr>
          <w:rFonts w:eastAsia="Aptos" w:cs="Arial"/>
          <w:b/>
          <w:bCs/>
          <w:sz w:val="26"/>
          <w:szCs w:val="26"/>
        </w:rPr>
        <w:lastRenderedPageBreak/>
        <w:t xml:space="preserve">10.7 Housing developments </w:t>
      </w:r>
    </w:p>
    <w:p w14:paraId="111FBACE" w14:textId="77777777" w:rsidR="00197EC0" w:rsidRPr="00197EC0" w:rsidRDefault="00197EC0" w:rsidP="00107F42">
      <w:pPr>
        <w:contextualSpacing/>
        <w:rPr>
          <w:rFonts w:eastAsia="Aptos" w:cs="Arial"/>
        </w:rPr>
      </w:pPr>
    </w:p>
    <w:p w14:paraId="094E3A32" w14:textId="77777777" w:rsidR="00197EC0" w:rsidRPr="00197EC0" w:rsidRDefault="00197EC0" w:rsidP="00107F42">
      <w:pPr>
        <w:rPr>
          <w:rFonts w:eastAsia="Aptos" w:cs="Arial"/>
        </w:rPr>
      </w:pPr>
      <w:r w:rsidRPr="00197EC0">
        <w:rPr>
          <w:rFonts w:eastAsia="Aptos" w:cs="Arial"/>
        </w:rPr>
        <w:t>Work is underway in preparing a new local development plan for Swansea which will cover the period 2023 to 2038. The following strategic regeneration and placemaking areas are expected to be included in the plan period and the estimated capacity for new housing provision is set out below although this is subject to further detailed assessment so may change as the plan is finalised.</w:t>
      </w:r>
    </w:p>
    <w:p w14:paraId="191B3CF9" w14:textId="77777777" w:rsidR="00197EC0" w:rsidRPr="00197EC0" w:rsidRDefault="00197EC0" w:rsidP="00107F42">
      <w:pPr>
        <w:rPr>
          <w:rFonts w:eastAsia="Aptos" w:cs="Arial"/>
        </w:rPr>
      </w:pPr>
    </w:p>
    <w:p w14:paraId="44FEE7C3" w14:textId="77777777" w:rsidR="00197EC0" w:rsidRPr="00197EC0" w:rsidRDefault="00197EC0" w:rsidP="00B76905">
      <w:pPr>
        <w:numPr>
          <w:ilvl w:val="0"/>
          <w:numId w:val="153"/>
        </w:numPr>
        <w:contextualSpacing/>
        <w:rPr>
          <w:rFonts w:eastAsia="Aptos" w:cs="Arial"/>
        </w:rPr>
      </w:pPr>
      <w:r w:rsidRPr="00197EC0">
        <w:rPr>
          <w:rFonts w:eastAsia="Aptos" w:cs="Arial"/>
        </w:rPr>
        <w:t>Felindre – 800 dwellings. Assuming an average occupancy rate of 2.5 this equates to 2,000 people.</w:t>
      </w:r>
    </w:p>
    <w:p w14:paraId="020DEC60" w14:textId="77777777" w:rsidR="00197EC0" w:rsidRPr="00197EC0" w:rsidRDefault="00197EC0" w:rsidP="00B76905">
      <w:pPr>
        <w:numPr>
          <w:ilvl w:val="0"/>
          <w:numId w:val="153"/>
        </w:numPr>
        <w:contextualSpacing/>
        <w:rPr>
          <w:rFonts w:eastAsia="Aptos" w:cs="Arial"/>
        </w:rPr>
      </w:pPr>
      <w:r w:rsidRPr="00197EC0">
        <w:rPr>
          <w:rFonts w:eastAsia="Aptos" w:cs="Arial"/>
        </w:rPr>
        <w:t xml:space="preserve">Morriston – 600 dwellings. Assuming an average occupancy rate of 2.5 this equates to 1,500 people. </w:t>
      </w:r>
    </w:p>
    <w:p w14:paraId="6B31CBC1" w14:textId="77777777" w:rsidR="00197EC0" w:rsidRPr="00197EC0" w:rsidRDefault="00197EC0" w:rsidP="00B76905">
      <w:pPr>
        <w:numPr>
          <w:ilvl w:val="0"/>
          <w:numId w:val="153"/>
        </w:numPr>
        <w:contextualSpacing/>
        <w:rPr>
          <w:rFonts w:eastAsia="Aptos" w:cs="Arial"/>
        </w:rPr>
      </w:pPr>
      <w:r w:rsidRPr="00197EC0">
        <w:rPr>
          <w:rFonts w:eastAsia="Aptos" w:cs="Arial"/>
        </w:rPr>
        <w:t>Penllergaer – 850 dwellings. Assuming an average occupancy rate of 2.5 this equates to 2,125 people. It is to be noted that this site also falls within Llwchwr and Penderi localities.</w:t>
      </w:r>
    </w:p>
    <w:p w14:paraId="7062A3BF" w14:textId="77777777" w:rsidR="00197EC0" w:rsidRPr="00197EC0" w:rsidRDefault="00197EC0" w:rsidP="00B76905">
      <w:pPr>
        <w:numPr>
          <w:ilvl w:val="0"/>
          <w:numId w:val="153"/>
        </w:numPr>
        <w:contextualSpacing/>
        <w:rPr>
          <w:rFonts w:eastAsia="Aptos" w:cs="Arial"/>
        </w:rPr>
      </w:pPr>
      <w:r w:rsidRPr="00197EC0">
        <w:rPr>
          <w:rFonts w:eastAsia="Aptos" w:cs="Arial"/>
        </w:rPr>
        <w:t>Llangyfelach/Penderry – 1,950 dwellings. Assuming an average occupancy rate of 2.5 this equates to 4,875 people. It is to be noted that this site also falls within the Penderi and Cwmtawe localities.</w:t>
      </w:r>
    </w:p>
    <w:p w14:paraId="1330D83E" w14:textId="77777777" w:rsidR="00197EC0" w:rsidRPr="00197EC0" w:rsidRDefault="00197EC0" w:rsidP="00107F42">
      <w:pPr>
        <w:rPr>
          <w:rFonts w:eastAsia="Aptos" w:cs="Arial"/>
        </w:rPr>
      </w:pPr>
    </w:p>
    <w:p w14:paraId="53E46DC2" w14:textId="77777777" w:rsidR="00197EC0" w:rsidRPr="00197EC0" w:rsidRDefault="00197EC0" w:rsidP="00107F42">
      <w:pPr>
        <w:rPr>
          <w:rFonts w:eastAsia="Aptos" w:cs="Arial"/>
          <w:b/>
          <w:bCs/>
          <w:sz w:val="26"/>
          <w:szCs w:val="26"/>
        </w:rPr>
      </w:pPr>
      <w:r w:rsidRPr="00197EC0">
        <w:rPr>
          <w:rFonts w:eastAsia="Aptos" w:cs="Arial"/>
          <w:b/>
          <w:bCs/>
          <w:sz w:val="26"/>
          <w:szCs w:val="26"/>
        </w:rPr>
        <w:t>10.8 Gaps in provision</w:t>
      </w:r>
    </w:p>
    <w:p w14:paraId="7D537DE5" w14:textId="77777777" w:rsidR="00197EC0" w:rsidRPr="00197EC0" w:rsidRDefault="00197EC0" w:rsidP="00107F42">
      <w:pPr>
        <w:rPr>
          <w:rFonts w:eastAsia="Aptos" w:cs="Arial"/>
          <w:b/>
          <w:bCs/>
        </w:rPr>
      </w:pPr>
    </w:p>
    <w:p w14:paraId="0711B2E8" w14:textId="77777777" w:rsidR="00197EC0" w:rsidRPr="00197EC0" w:rsidRDefault="00197EC0" w:rsidP="00107F42">
      <w:pPr>
        <w:rPr>
          <w:rFonts w:eastAsia="Aptos" w:cs="Arial"/>
        </w:rPr>
      </w:pPr>
      <w:r w:rsidRPr="00197EC0">
        <w:rPr>
          <w:rFonts w:eastAsia="Aptos" w:cs="Arial"/>
        </w:rPr>
        <w:t>When considering if there are any gaps in the provision of pharmaceutical services the health board has noted that of the pharmacies in the locality:</w:t>
      </w:r>
    </w:p>
    <w:p w14:paraId="4D09135F" w14:textId="77777777" w:rsidR="00197EC0" w:rsidRPr="00197EC0" w:rsidRDefault="00197EC0" w:rsidP="00107F42">
      <w:pPr>
        <w:rPr>
          <w:rFonts w:eastAsia="Aptos" w:cs="Arial"/>
          <w:b/>
          <w:bCs/>
        </w:rPr>
      </w:pPr>
    </w:p>
    <w:p w14:paraId="7038F9FA" w14:textId="77777777" w:rsidR="00197EC0" w:rsidRPr="00197EC0" w:rsidRDefault="00197EC0" w:rsidP="00B76905">
      <w:pPr>
        <w:numPr>
          <w:ilvl w:val="0"/>
          <w:numId w:val="172"/>
        </w:numPr>
        <w:contextualSpacing/>
        <w:rPr>
          <w:rFonts w:eastAsia="Times New Roman" w:cs="Arial"/>
          <w:kern w:val="0"/>
          <w:lang w:eastAsia="en-GB"/>
          <w14:ligatures w14:val="none"/>
        </w:rPr>
      </w:pPr>
      <w:r w:rsidRPr="00197EC0">
        <w:rPr>
          <w:rFonts w:eastAsia="Times New Roman" w:cs="Arial"/>
          <w:kern w:val="0"/>
          <w:lang w:eastAsia="en-GB"/>
          <w14:ligatures w14:val="none"/>
        </w:rPr>
        <w:t xml:space="preserve">Eight of the pharmacies have sufficient capacity within their premises to manage an increase in demand, and one doesn’t and would have difficulty in managing an increase in demand. </w:t>
      </w:r>
    </w:p>
    <w:p w14:paraId="54DADD30" w14:textId="77777777" w:rsidR="00197EC0" w:rsidRPr="00197EC0" w:rsidRDefault="00197EC0" w:rsidP="00B76905">
      <w:pPr>
        <w:numPr>
          <w:ilvl w:val="0"/>
          <w:numId w:val="172"/>
        </w:numPr>
        <w:contextualSpacing/>
        <w:rPr>
          <w:rFonts w:eastAsia="Times New Roman" w:cs="Arial"/>
          <w:kern w:val="0"/>
          <w:lang w:eastAsia="en-GB"/>
          <w14:ligatures w14:val="none"/>
        </w:rPr>
      </w:pPr>
      <w:r w:rsidRPr="00197EC0">
        <w:rPr>
          <w:rFonts w:eastAsia="Times New Roman" w:cs="Arial"/>
          <w:kern w:val="0"/>
          <w:lang w:eastAsia="en-GB"/>
          <w14:ligatures w14:val="none"/>
        </w:rPr>
        <w:t>All the pharmacies have sufficient capacity within their staffing levels to manage an increase in demand.</w:t>
      </w:r>
    </w:p>
    <w:p w14:paraId="6B644D88" w14:textId="77777777" w:rsidR="00197EC0" w:rsidRPr="00197EC0" w:rsidRDefault="00197EC0" w:rsidP="00107F42">
      <w:pPr>
        <w:rPr>
          <w:rFonts w:eastAsia="Aptos" w:cs="Arial"/>
          <w:b/>
          <w:bCs/>
        </w:rPr>
      </w:pPr>
    </w:p>
    <w:p w14:paraId="01FF451C" w14:textId="77777777" w:rsidR="00197EC0" w:rsidRPr="00197EC0" w:rsidRDefault="00197EC0" w:rsidP="00107F42">
      <w:pPr>
        <w:rPr>
          <w:rFonts w:eastAsia="Aptos" w:cs="Arial"/>
          <w:b/>
          <w:bCs/>
        </w:rPr>
      </w:pPr>
      <w:r w:rsidRPr="00197EC0">
        <w:rPr>
          <w:rFonts w:eastAsia="Aptos" w:cs="Arial"/>
          <w:b/>
          <w:bCs/>
        </w:rPr>
        <w:t xml:space="preserve">10.8.1 Essential services </w:t>
      </w:r>
    </w:p>
    <w:p w14:paraId="390AE976" w14:textId="77777777" w:rsidR="00197EC0" w:rsidRPr="00197EC0" w:rsidRDefault="00197EC0" w:rsidP="00107F42">
      <w:pPr>
        <w:rPr>
          <w:rFonts w:eastAsia="Aptos" w:cs="Arial"/>
          <w:b/>
          <w:bCs/>
        </w:rPr>
      </w:pPr>
    </w:p>
    <w:p w14:paraId="72AB26BD" w14:textId="77777777" w:rsidR="00197EC0" w:rsidRPr="00197EC0" w:rsidRDefault="00197EC0" w:rsidP="00107F42">
      <w:pPr>
        <w:textAlignment w:val="baseline"/>
        <w:rPr>
          <w:rFonts w:eastAsia="Times New Roman" w:cs="Arial"/>
          <w:kern w:val="0"/>
          <w:lang w:eastAsia="en-GB"/>
          <w14:ligatures w14:val="none"/>
        </w:rPr>
      </w:pPr>
      <w:r w:rsidRPr="00197EC0">
        <w:rPr>
          <w:rFonts w:eastAsia="Times New Roman" w:cs="Arial"/>
          <w:kern w:val="0"/>
          <w:lang w:eastAsia="en-GB"/>
          <w14:ligatures w14:val="none"/>
        </w:rPr>
        <w:t>The health board has noted: </w:t>
      </w:r>
    </w:p>
    <w:p w14:paraId="2AFA0D75" w14:textId="77777777" w:rsidR="00197EC0" w:rsidRPr="00197EC0" w:rsidRDefault="00197EC0" w:rsidP="00107F42">
      <w:pPr>
        <w:textAlignment w:val="baseline"/>
        <w:rPr>
          <w:rFonts w:eastAsia="Times New Roman" w:cs="Arial"/>
          <w:kern w:val="0"/>
          <w:lang w:eastAsia="en-GB"/>
          <w14:ligatures w14:val="none"/>
        </w:rPr>
      </w:pPr>
      <w:r w:rsidRPr="00197EC0">
        <w:rPr>
          <w:rFonts w:eastAsia="Times New Roman" w:cs="Arial"/>
          <w:kern w:val="0"/>
          <w:lang w:eastAsia="en-GB"/>
          <w14:ligatures w14:val="none"/>
        </w:rPr>
        <w:t> </w:t>
      </w:r>
    </w:p>
    <w:p w14:paraId="55E31174" w14:textId="77777777" w:rsidR="00197EC0" w:rsidRPr="00197EC0" w:rsidRDefault="00197EC0" w:rsidP="00B76905">
      <w:pPr>
        <w:numPr>
          <w:ilvl w:val="0"/>
          <w:numId w:val="155"/>
        </w:numPr>
        <w:contextualSpacing/>
        <w:rPr>
          <w:rFonts w:eastAsia="Times New Roman" w:cs="Arial"/>
          <w:kern w:val="0"/>
          <w:lang w:eastAsia="en-GB"/>
          <w14:ligatures w14:val="none"/>
        </w:rPr>
      </w:pPr>
      <w:r w:rsidRPr="00197EC0">
        <w:rPr>
          <w:rFonts w:eastAsia="Times New Roman" w:cs="Arial"/>
          <w:kern w:val="0"/>
          <w:lang w:eastAsia="en-GB"/>
          <w14:ligatures w14:val="none"/>
        </w:rPr>
        <w:t xml:space="preserve">The location of pharmacies across the locality and the fact all residents are able to access one of the pharmacies within 20 minutes by car and for many the travel time will be shorter. Whilst noting that not all households have access to a car throughout the day, the nature of the locality means that walking to a pharmacy will be a realistic option for many residents and regular public transport services are available for those who are unable to undertake the whole journey on foot. </w:t>
      </w:r>
    </w:p>
    <w:p w14:paraId="032161B7" w14:textId="77777777" w:rsidR="00197EC0" w:rsidRPr="00197EC0" w:rsidRDefault="00197EC0" w:rsidP="00B76905">
      <w:pPr>
        <w:numPr>
          <w:ilvl w:val="0"/>
          <w:numId w:val="155"/>
        </w:numPr>
        <w:textAlignment w:val="baseline"/>
        <w:rPr>
          <w:rFonts w:eastAsia="Times New Roman" w:cs="Arial"/>
          <w:kern w:val="0"/>
          <w:lang w:eastAsia="en-GB"/>
          <w14:ligatures w14:val="none"/>
        </w:rPr>
      </w:pPr>
      <w:r w:rsidRPr="00197EC0">
        <w:rPr>
          <w:rFonts w:eastAsia="Times New Roman" w:cs="Arial"/>
          <w:kern w:val="0"/>
          <w:lang w:eastAsia="en-GB"/>
          <w14:ligatures w14:val="none"/>
        </w:rPr>
        <w:t>The scale of the known housing developments.</w:t>
      </w:r>
    </w:p>
    <w:p w14:paraId="32AE6367" w14:textId="77777777" w:rsidR="00197EC0" w:rsidRPr="00197EC0" w:rsidRDefault="00197EC0" w:rsidP="00B76905">
      <w:pPr>
        <w:numPr>
          <w:ilvl w:val="0"/>
          <w:numId w:val="155"/>
        </w:numPr>
        <w:textAlignment w:val="baseline"/>
        <w:rPr>
          <w:rFonts w:eastAsia="Times New Roman" w:cs="Arial"/>
          <w:kern w:val="0"/>
          <w:lang w:eastAsia="en-GB"/>
          <w14:ligatures w14:val="none"/>
        </w:rPr>
      </w:pPr>
      <w:r w:rsidRPr="00197EC0">
        <w:rPr>
          <w:rFonts w:eastAsia="Times New Roman" w:cs="Arial"/>
          <w:kern w:val="0"/>
          <w:lang w:eastAsia="en-GB"/>
          <w14:ligatures w14:val="none"/>
        </w:rPr>
        <w:t>The opening hours of the pharmacies.</w:t>
      </w:r>
    </w:p>
    <w:p w14:paraId="6728298E" w14:textId="77777777" w:rsidR="00197EC0" w:rsidRPr="00197EC0" w:rsidRDefault="00197EC0" w:rsidP="00107F42">
      <w:pPr>
        <w:contextualSpacing/>
        <w:rPr>
          <w:rFonts w:eastAsia="Times New Roman" w:cs="Arial"/>
          <w:b/>
          <w:bCs/>
          <w:kern w:val="0"/>
          <w:lang w:eastAsia="en-GB"/>
          <w14:ligatures w14:val="none"/>
        </w:rPr>
      </w:pPr>
    </w:p>
    <w:p w14:paraId="0ACF13D7" w14:textId="77777777" w:rsidR="00197EC0" w:rsidRPr="00197EC0" w:rsidRDefault="00197EC0" w:rsidP="00107F42">
      <w:pPr>
        <w:contextualSpacing/>
        <w:rPr>
          <w:rFonts w:eastAsia="Times New Roman" w:cs="Arial"/>
          <w:kern w:val="0"/>
          <w:lang w:eastAsia="en-GB"/>
          <w14:ligatures w14:val="none"/>
        </w:rPr>
      </w:pPr>
      <w:r w:rsidRPr="00197EC0">
        <w:rPr>
          <w:rFonts w:eastAsia="Times New Roman" w:cs="Arial"/>
          <w:kern w:val="0"/>
          <w:lang w:eastAsia="en-GB"/>
          <w14:ligatures w14:val="none"/>
        </w:rPr>
        <w:t>The health board has not identified any current gaps in the provision of the essential services.</w:t>
      </w:r>
    </w:p>
    <w:p w14:paraId="4538DE1F" w14:textId="77777777" w:rsidR="00197EC0" w:rsidRPr="00197EC0" w:rsidRDefault="00197EC0" w:rsidP="00107F42">
      <w:pPr>
        <w:contextualSpacing/>
        <w:rPr>
          <w:rFonts w:eastAsia="Times New Roman" w:cs="Arial"/>
          <w:kern w:val="0"/>
          <w:lang w:eastAsia="en-GB"/>
          <w14:ligatures w14:val="none"/>
        </w:rPr>
      </w:pPr>
    </w:p>
    <w:p w14:paraId="31AE1BE3" w14:textId="77777777" w:rsidR="00197EC0" w:rsidRPr="00197EC0" w:rsidRDefault="00197EC0" w:rsidP="00107F42">
      <w:pPr>
        <w:contextualSpacing/>
        <w:rPr>
          <w:rFonts w:eastAsia="Times New Roman" w:cs="Arial"/>
          <w:kern w:val="0"/>
          <w:lang w:eastAsia="en-GB"/>
          <w14:ligatures w14:val="none"/>
        </w:rPr>
      </w:pPr>
      <w:r w:rsidRPr="00197EC0">
        <w:rPr>
          <w:rFonts w:eastAsia="Times New Roman" w:cs="Arial"/>
          <w:kern w:val="0"/>
          <w:lang w:eastAsia="en-GB"/>
          <w14:ligatures w14:val="none"/>
        </w:rPr>
        <w:t xml:space="preserve">The health board has considered the known housing developments that will deliver housing in the locality during the lifetime of this document. It is satisfied that the need </w:t>
      </w:r>
      <w:r w:rsidRPr="00197EC0">
        <w:rPr>
          <w:rFonts w:eastAsia="Times New Roman" w:cs="Arial"/>
          <w:kern w:val="0"/>
          <w:lang w:eastAsia="en-GB"/>
          <w14:ligatures w14:val="none"/>
        </w:rPr>
        <w:lastRenderedPageBreak/>
        <w:t>for essential services by those moving into the new housing will be met by the existing pharmacies.</w:t>
      </w:r>
    </w:p>
    <w:p w14:paraId="7F709805" w14:textId="77777777" w:rsidR="00197EC0" w:rsidRPr="00197EC0" w:rsidRDefault="00197EC0" w:rsidP="00107F42">
      <w:pPr>
        <w:contextualSpacing/>
        <w:rPr>
          <w:rFonts w:eastAsia="Times New Roman" w:cs="Arial"/>
          <w:kern w:val="0"/>
          <w:lang w:eastAsia="en-GB"/>
          <w14:ligatures w14:val="none"/>
        </w:rPr>
      </w:pPr>
    </w:p>
    <w:p w14:paraId="1D84FFBD" w14:textId="77777777" w:rsidR="00197EC0" w:rsidRPr="00197EC0" w:rsidRDefault="00197EC0" w:rsidP="00107F42">
      <w:pPr>
        <w:contextualSpacing/>
        <w:rPr>
          <w:rFonts w:eastAsia="Times New Roman" w:cs="Arial"/>
          <w:b/>
          <w:bCs/>
          <w:kern w:val="0"/>
          <w:lang w:eastAsia="en-GB"/>
          <w14:ligatures w14:val="none"/>
        </w:rPr>
      </w:pPr>
      <w:r w:rsidRPr="00197EC0">
        <w:rPr>
          <w:rFonts w:eastAsia="Times New Roman" w:cs="Arial"/>
          <w:b/>
          <w:bCs/>
          <w:kern w:val="0"/>
          <w:lang w:eastAsia="en-GB"/>
          <w14:ligatures w14:val="none"/>
        </w:rPr>
        <w:t>10.8.2 National community pharmacy and appliance contractor services</w:t>
      </w:r>
    </w:p>
    <w:p w14:paraId="1253BC52" w14:textId="77777777" w:rsidR="00197EC0" w:rsidRPr="00197EC0" w:rsidRDefault="00197EC0" w:rsidP="00107F42">
      <w:pPr>
        <w:contextualSpacing/>
        <w:rPr>
          <w:rFonts w:eastAsia="Times New Roman" w:cs="Arial"/>
          <w:kern w:val="0"/>
          <w:lang w:eastAsia="en-GB"/>
          <w14:ligatures w14:val="none"/>
        </w:rPr>
      </w:pPr>
    </w:p>
    <w:p w14:paraId="316C5448"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10.8.2.1 Appliance use review service</w:t>
      </w:r>
    </w:p>
    <w:p w14:paraId="23EA145E" w14:textId="77777777" w:rsidR="00197EC0" w:rsidRPr="00197EC0" w:rsidRDefault="00197EC0" w:rsidP="00107F42">
      <w:pPr>
        <w:rPr>
          <w:rFonts w:eastAsia="Times New Roman" w:cs="Arial"/>
          <w:b/>
          <w:bCs/>
          <w:kern w:val="0"/>
          <w:lang w:eastAsia="en-GB"/>
          <w14:ligatures w14:val="none"/>
        </w:rPr>
      </w:pPr>
    </w:p>
    <w:p w14:paraId="661C1531"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 xml:space="preserve">The health board has noted none of the pharmacies have signed up to provide this service. However, of the items dispensed in England in 2024/25, 78.5% were dispensed by dispensing appliance contractors and 67.4% in the first nine months of 2025/26. </w:t>
      </w:r>
    </w:p>
    <w:p w14:paraId="5E65D7BC" w14:textId="77777777" w:rsidR="00197EC0" w:rsidRPr="00197EC0" w:rsidRDefault="00197EC0" w:rsidP="00107F42">
      <w:pPr>
        <w:rPr>
          <w:rFonts w:eastAsia="Times New Roman" w:cs="Arial"/>
          <w:kern w:val="0"/>
          <w:lang w:eastAsia="en-GB"/>
          <w14:ligatures w14:val="none"/>
        </w:rPr>
      </w:pPr>
    </w:p>
    <w:p w14:paraId="04122676"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Individuals requiring the appliance use review service are likely to access this service from the contractor that dispenses their prescriptions for appliances or may access it from other healthcare providers such as stoma nurses.</w:t>
      </w:r>
    </w:p>
    <w:p w14:paraId="475A2434" w14:textId="77777777" w:rsidR="00197EC0" w:rsidRPr="00197EC0" w:rsidRDefault="00197EC0" w:rsidP="00107F42">
      <w:pPr>
        <w:rPr>
          <w:rFonts w:eastAsia="Times New Roman" w:cs="Arial"/>
          <w:kern w:val="0"/>
          <w:lang w:eastAsia="en-GB"/>
          <w14:ligatures w14:val="none"/>
        </w:rPr>
      </w:pPr>
    </w:p>
    <w:p w14:paraId="682BC697"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Based on the above, the health board has not identified any current or future needs for this service within the locality.</w:t>
      </w:r>
    </w:p>
    <w:p w14:paraId="2B0A77EA" w14:textId="77777777" w:rsidR="00161673" w:rsidRPr="00197EC0" w:rsidRDefault="00161673" w:rsidP="00107F42">
      <w:pPr>
        <w:rPr>
          <w:rFonts w:eastAsia="Times New Roman" w:cs="Arial"/>
          <w:b/>
          <w:bCs/>
          <w:kern w:val="0"/>
          <w:lang w:eastAsia="en-GB"/>
          <w14:ligatures w14:val="none"/>
        </w:rPr>
      </w:pPr>
    </w:p>
    <w:p w14:paraId="12F22C79"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10.8.2.2 Clinical community pharmacy service</w:t>
      </w:r>
    </w:p>
    <w:p w14:paraId="6FA0E4E9" w14:textId="77777777" w:rsidR="00197EC0" w:rsidRPr="00197EC0" w:rsidRDefault="00197EC0" w:rsidP="00107F42">
      <w:pPr>
        <w:rPr>
          <w:rFonts w:eastAsia="Times New Roman" w:cs="Arial"/>
          <w:kern w:val="0"/>
          <w:lang w:eastAsia="en-GB"/>
          <w14:ligatures w14:val="none"/>
        </w:rPr>
      </w:pPr>
    </w:p>
    <w:p w14:paraId="0A7ABF60"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 xml:space="preserve">The health board has noted all the pharmacies have signed up and provide this service. </w:t>
      </w:r>
      <w:bookmarkStart w:id="36" w:name="_Hlk229155839"/>
      <w:r w:rsidRPr="00197EC0">
        <w:rPr>
          <w:rFonts w:eastAsia="Times New Roman" w:cs="Arial"/>
          <w:kern w:val="0"/>
          <w:lang w:eastAsia="en-GB"/>
          <w14:ligatures w14:val="none"/>
        </w:rPr>
        <w:t>As a result, the health board has not identified any current or future needs for this service within the locality</w:t>
      </w:r>
      <w:bookmarkEnd w:id="36"/>
      <w:r w:rsidRPr="00197EC0">
        <w:rPr>
          <w:rFonts w:eastAsia="Times New Roman" w:cs="Arial"/>
          <w:kern w:val="0"/>
          <w:lang w:eastAsia="en-GB"/>
          <w14:ligatures w14:val="none"/>
        </w:rPr>
        <w:t>.</w:t>
      </w:r>
    </w:p>
    <w:p w14:paraId="220C7BC0" w14:textId="77777777" w:rsidR="00197EC0" w:rsidRPr="00197EC0" w:rsidRDefault="00197EC0" w:rsidP="00107F42">
      <w:pPr>
        <w:ind w:left="720"/>
        <w:contextualSpacing/>
        <w:rPr>
          <w:rFonts w:eastAsia="Times New Roman" w:cs="Arial"/>
          <w:kern w:val="0"/>
          <w:lang w:eastAsia="en-GB"/>
          <w14:ligatures w14:val="none"/>
        </w:rPr>
      </w:pPr>
    </w:p>
    <w:p w14:paraId="53F43F3A"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 xml:space="preserve">10.8.2.3 Discharge medicines review service </w:t>
      </w:r>
    </w:p>
    <w:p w14:paraId="5C2A830A" w14:textId="77777777" w:rsidR="00197EC0" w:rsidRPr="00197EC0" w:rsidRDefault="00197EC0" w:rsidP="00107F42">
      <w:pPr>
        <w:rPr>
          <w:rFonts w:eastAsia="Times New Roman" w:cs="Arial"/>
          <w:b/>
          <w:bCs/>
          <w:kern w:val="0"/>
          <w:lang w:eastAsia="en-GB"/>
          <w14:ligatures w14:val="none"/>
        </w:rPr>
      </w:pPr>
    </w:p>
    <w:p w14:paraId="65F1F0D8"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The health board has noted all the pharmacies have signed up to provide this service, and eight pharmacies provide it. As a result, the health board has not identified any current or future needs for this service within the locality.</w:t>
      </w:r>
    </w:p>
    <w:p w14:paraId="0DB182FC" w14:textId="77777777" w:rsidR="00197EC0" w:rsidRPr="00197EC0" w:rsidRDefault="00197EC0" w:rsidP="00107F42">
      <w:pPr>
        <w:ind w:left="360"/>
        <w:rPr>
          <w:rFonts w:eastAsia="Times New Roman" w:cs="Arial"/>
          <w:kern w:val="0"/>
          <w:lang w:eastAsia="en-GB"/>
          <w14:ligatures w14:val="none"/>
        </w:rPr>
      </w:pPr>
    </w:p>
    <w:p w14:paraId="6DFAC254"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10.8.2.4 Influenza vaccination service</w:t>
      </w:r>
    </w:p>
    <w:p w14:paraId="47FE06FA" w14:textId="77777777" w:rsidR="00197EC0" w:rsidRPr="00197EC0" w:rsidRDefault="00197EC0" w:rsidP="00107F42">
      <w:pPr>
        <w:rPr>
          <w:rFonts w:eastAsia="Times New Roman" w:cs="Arial"/>
          <w:kern w:val="0"/>
          <w:lang w:eastAsia="en-GB"/>
          <w14:ligatures w14:val="none"/>
        </w:rPr>
      </w:pPr>
    </w:p>
    <w:p w14:paraId="775E8566"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The health board has noted eight of the pharmacies have signed up to provide this service, and eight pharmacies provide it. In addition, the service is provided by the GP practices. As a result, the health board has not identified any current or future needs for this service within the locality.</w:t>
      </w:r>
    </w:p>
    <w:p w14:paraId="00309F6E" w14:textId="77777777" w:rsidR="00197EC0" w:rsidRPr="00197EC0" w:rsidRDefault="00197EC0" w:rsidP="00107F42">
      <w:pPr>
        <w:ind w:left="360"/>
        <w:rPr>
          <w:rFonts w:eastAsia="Times New Roman" w:cs="Arial"/>
          <w:kern w:val="0"/>
          <w:lang w:eastAsia="en-GB"/>
          <w14:ligatures w14:val="none"/>
        </w:rPr>
      </w:pPr>
    </w:p>
    <w:p w14:paraId="6460FEB9"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10.8.2.5 Lateral flow test supply service</w:t>
      </w:r>
    </w:p>
    <w:p w14:paraId="7818EF26" w14:textId="77777777" w:rsidR="00197EC0" w:rsidRPr="00197EC0" w:rsidRDefault="00197EC0" w:rsidP="00107F42">
      <w:pPr>
        <w:rPr>
          <w:rFonts w:eastAsia="Times New Roman" w:cs="Arial"/>
          <w:kern w:val="0"/>
          <w:lang w:eastAsia="en-GB"/>
          <w14:ligatures w14:val="none"/>
        </w:rPr>
      </w:pPr>
    </w:p>
    <w:p w14:paraId="6F9B7B44"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The health board has noted seven of the pharmacies have signed up to provide this service, and four pharmacies provide it. It has also noted that this service is only available to specified patient groups. If one of the pharmacies that doesn’t provide the service identified a need for it, the health board would commission the service from that pharmacy. As a result, the health board has not identified any current or future needs for this service within the locality.</w:t>
      </w:r>
    </w:p>
    <w:p w14:paraId="3AD4C049" w14:textId="77777777" w:rsidR="00197EC0" w:rsidRPr="00197EC0" w:rsidRDefault="00197EC0" w:rsidP="00107F42">
      <w:pPr>
        <w:ind w:left="360"/>
        <w:rPr>
          <w:rFonts w:eastAsia="Times New Roman" w:cs="Arial"/>
          <w:kern w:val="0"/>
          <w:lang w:eastAsia="en-GB"/>
          <w14:ligatures w14:val="none"/>
        </w:rPr>
      </w:pPr>
    </w:p>
    <w:p w14:paraId="0EE18F9B"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10.8.2.6 Pharmacist independent prescribing service</w:t>
      </w:r>
    </w:p>
    <w:p w14:paraId="7E4EF40A" w14:textId="77777777" w:rsidR="00197EC0" w:rsidRPr="00197EC0" w:rsidRDefault="00197EC0" w:rsidP="00107F42">
      <w:pPr>
        <w:rPr>
          <w:rFonts w:eastAsia="Times New Roman" w:cs="Arial"/>
          <w:kern w:val="0"/>
          <w:lang w:eastAsia="en-GB"/>
          <w14:ligatures w14:val="none"/>
        </w:rPr>
      </w:pPr>
    </w:p>
    <w:p w14:paraId="3A2BF178" w14:textId="77777777" w:rsidR="005114C5"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 xml:space="preserve">The health board has noted six of the pharmacies have signed up to provide this </w:t>
      </w:r>
    </w:p>
    <w:p w14:paraId="35F50F75" w14:textId="7FFA235F"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lastRenderedPageBreak/>
        <w:t>service, and six pharmacies provide it. In addition, two more pharmacies anticipate starting to provide it.</w:t>
      </w:r>
    </w:p>
    <w:p w14:paraId="155EBDAB" w14:textId="77777777" w:rsidR="00197EC0" w:rsidRPr="00197EC0" w:rsidRDefault="00197EC0" w:rsidP="00107F42">
      <w:pPr>
        <w:rPr>
          <w:rFonts w:eastAsia="Times New Roman" w:cs="Arial"/>
          <w:kern w:val="0"/>
          <w:lang w:eastAsia="en-GB"/>
          <w14:ligatures w14:val="none"/>
        </w:rPr>
      </w:pPr>
    </w:p>
    <w:p w14:paraId="6E9F0B81"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Welsh Government’s ambition is for each pharmacy to have an independent prescriber by 2030. The health board has noted that from 2026 it is anticipated that all newly qualified pharmacists will also qualify as independent prescribers on completion of their undergraduate programme.</w:t>
      </w:r>
    </w:p>
    <w:p w14:paraId="66895184" w14:textId="77777777" w:rsidR="00197EC0" w:rsidRPr="00197EC0" w:rsidRDefault="00197EC0" w:rsidP="00107F42">
      <w:pPr>
        <w:rPr>
          <w:rFonts w:eastAsia="Times New Roman" w:cs="Arial"/>
          <w:kern w:val="0"/>
          <w:lang w:eastAsia="en-GB"/>
          <w14:ligatures w14:val="none"/>
        </w:rPr>
      </w:pPr>
    </w:p>
    <w:p w14:paraId="3D092652"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Noting the above, the health board is of the opinion that the remaining pharmacies will sign up to provide this service during the lifetime of this pharmaceutical needs assessment. As a result, the health board has not identified any current or future needs for this service within the locality.</w:t>
      </w:r>
    </w:p>
    <w:p w14:paraId="230FEAD0" w14:textId="77777777" w:rsidR="00197EC0" w:rsidRPr="00197EC0" w:rsidRDefault="00197EC0" w:rsidP="00107F42">
      <w:pPr>
        <w:ind w:left="360"/>
        <w:rPr>
          <w:rFonts w:eastAsia="Times New Roman" w:cs="Arial"/>
          <w:kern w:val="0"/>
          <w:lang w:eastAsia="en-GB"/>
          <w14:ligatures w14:val="none"/>
        </w:rPr>
      </w:pPr>
    </w:p>
    <w:p w14:paraId="34AFEAEE"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 xml:space="preserve">10.8.2.7 Stoma appliance customisation service </w:t>
      </w:r>
    </w:p>
    <w:p w14:paraId="5BD47D3B" w14:textId="77777777" w:rsidR="00197EC0" w:rsidRPr="00197EC0" w:rsidRDefault="00197EC0" w:rsidP="00107F42">
      <w:pPr>
        <w:rPr>
          <w:rFonts w:eastAsia="Times New Roman" w:cs="Arial"/>
          <w:kern w:val="0"/>
          <w:lang w:eastAsia="en-GB"/>
          <w14:ligatures w14:val="none"/>
        </w:rPr>
      </w:pPr>
    </w:p>
    <w:p w14:paraId="01D5394C"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 xml:space="preserve">The health board has noted none of the pharmacies have signed up to provide this service and neither have the four dispensing appliance contractors Cardiff and Vale University Health Board’s area. </w:t>
      </w:r>
    </w:p>
    <w:p w14:paraId="6C03CB8F" w14:textId="77777777" w:rsidR="00197EC0" w:rsidRPr="00197EC0" w:rsidRDefault="00197EC0" w:rsidP="00107F42">
      <w:pPr>
        <w:rPr>
          <w:rFonts w:eastAsia="Times New Roman" w:cs="Arial"/>
          <w:kern w:val="0"/>
          <w:lang w:eastAsia="en-GB"/>
          <w14:ligatures w14:val="none"/>
        </w:rPr>
      </w:pPr>
    </w:p>
    <w:p w14:paraId="68A51A92"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 xml:space="preserve">However, of the items dispensed in England in 2024/25, 78.5% were dispensed by dispensing appliance contractors and 67.4% in the first nine months of 2025/26. </w:t>
      </w:r>
    </w:p>
    <w:p w14:paraId="20F939EB" w14:textId="77777777" w:rsidR="00197EC0" w:rsidRPr="00197EC0" w:rsidRDefault="00197EC0" w:rsidP="00107F42">
      <w:pPr>
        <w:rPr>
          <w:rFonts w:eastAsia="Times New Roman" w:cs="Arial"/>
          <w:kern w:val="0"/>
          <w:lang w:eastAsia="en-GB"/>
          <w14:ligatures w14:val="none"/>
        </w:rPr>
      </w:pPr>
    </w:p>
    <w:p w14:paraId="142FAEE9"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It is therefore anticipated that these contractors will be customising stoma appliances as required before dispatching or delivering them to patients. Based on this, the health board has not identified any current or future needs for this service within the locality.</w:t>
      </w:r>
    </w:p>
    <w:p w14:paraId="0455DF83" w14:textId="77777777" w:rsidR="00197EC0" w:rsidRPr="00197EC0" w:rsidRDefault="00197EC0" w:rsidP="00107F42">
      <w:pPr>
        <w:rPr>
          <w:rFonts w:eastAsia="Times New Roman" w:cs="Arial"/>
          <w:kern w:val="0"/>
          <w:lang w:eastAsia="en-GB"/>
          <w14:ligatures w14:val="none"/>
        </w:rPr>
      </w:pPr>
    </w:p>
    <w:p w14:paraId="6D6C6746"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10.8.3 Additional clinical services</w:t>
      </w:r>
    </w:p>
    <w:p w14:paraId="72C2DB97" w14:textId="77777777" w:rsidR="00197EC0" w:rsidRPr="00197EC0" w:rsidRDefault="00197EC0" w:rsidP="00107F42">
      <w:pPr>
        <w:rPr>
          <w:rFonts w:eastAsia="Aptos" w:cs="Arial"/>
          <w:shd w:val="clear" w:color="auto" w:fill="FFFFFF"/>
        </w:rPr>
      </w:pPr>
    </w:p>
    <w:p w14:paraId="386F371A"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10.8.3.1 Blood borne virus screening service</w:t>
      </w:r>
    </w:p>
    <w:p w14:paraId="1DA1B50B" w14:textId="77777777" w:rsidR="00197EC0" w:rsidRPr="00197EC0" w:rsidRDefault="00197EC0" w:rsidP="00107F42">
      <w:pPr>
        <w:rPr>
          <w:rFonts w:eastAsia="Times New Roman" w:cs="Arial"/>
          <w:kern w:val="0"/>
          <w:lang w:eastAsia="en-GB"/>
          <w14:ligatures w14:val="none"/>
        </w:rPr>
      </w:pPr>
    </w:p>
    <w:p w14:paraId="5FAB1D3E"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The health board has noted one of the pharmacies has signed up to provide this service and provides it.</w:t>
      </w:r>
    </w:p>
    <w:p w14:paraId="428DC0D8" w14:textId="77777777" w:rsidR="00197EC0" w:rsidRPr="00197EC0" w:rsidRDefault="00197EC0" w:rsidP="00107F42">
      <w:pPr>
        <w:rPr>
          <w:rFonts w:eastAsia="Times New Roman" w:cs="Arial"/>
          <w:kern w:val="0"/>
          <w:lang w:eastAsia="en-GB"/>
          <w14:ligatures w14:val="none"/>
        </w:rPr>
      </w:pPr>
    </w:p>
    <w:p w14:paraId="532BF8D5" w14:textId="77777777" w:rsidR="00197EC0" w:rsidRPr="00197EC0" w:rsidRDefault="00197EC0" w:rsidP="00107F42">
      <w:pPr>
        <w:contextualSpacing/>
        <w:rPr>
          <w:rFonts w:eastAsia="Times New Roman" w:cs="Arial"/>
          <w:kern w:val="0"/>
          <w:lang w:eastAsia="en-GB"/>
          <w14:ligatures w14:val="none"/>
        </w:rPr>
      </w:pPr>
      <w:r w:rsidRPr="00197EC0">
        <w:rPr>
          <w:rFonts w:eastAsia="Times New Roman" w:cs="Arial"/>
          <w:kern w:val="0"/>
          <w:lang w:eastAsia="en-GB"/>
          <w14:ligatures w14:val="none"/>
        </w:rPr>
        <w:t xml:space="preserve">However, blood borne virus screening services are available through several other providers in the health board’s area, such as sexual health clinics, GP practices, ordering online home test and post screening kits via Sexual Health Wales or collecting screening kits from community venues across Swansea Bay. Several pharmacies across Swansea Bay hold a stock of the test and post screening kits, ensuring convenient access for those who may prefer a more discreet or flexible option. </w:t>
      </w:r>
    </w:p>
    <w:p w14:paraId="58F5DF77" w14:textId="77777777" w:rsidR="00197EC0" w:rsidRPr="00197EC0" w:rsidRDefault="00197EC0" w:rsidP="00107F42">
      <w:pPr>
        <w:contextualSpacing/>
        <w:rPr>
          <w:rFonts w:eastAsia="Times New Roman" w:cs="Arial"/>
          <w:kern w:val="0"/>
          <w:lang w:eastAsia="en-GB"/>
          <w14:ligatures w14:val="none"/>
        </w:rPr>
      </w:pPr>
    </w:p>
    <w:p w14:paraId="6B8ABB22" w14:textId="77777777" w:rsidR="00197EC0" w:rsidRPr="00197EC0" w:rsidRDefault="00197EC0" w:rsidP="00107F42">
      <w:pPr>
        <w:contextualSpacing/>
        <w:rPr>
          <w:rFonts w:eastAsia="Times New Roman" w:cs="Arial"/>
          <w:kern w:val="0"/>
          <w:lang w:eastAsia="en-GB"/>
          <w14:ligatures w14:val="none"/>
        </w:rPr>
      </w:pPr>
      <w:r w:rsidRPr="00197EC0">
        <w:rPr>
          <w:rFonts w:eastAsia="Times New Roman" w:cs="Arial"/>
          <w:kern w:val="0"/>
          <w:lang w:eastAsia="en-GB"/>
          <w14:ligatures w14:val="none"/>
        </w:rPr>
        <w:t>Based on the above, the health board has not identified any current or future needs for this service within the locality.</w:t>
      </w:r>
    </w:p>
    <w:p w14:paraId="4439FE90" w14:textId="77777777" w:rsidR="00197EC0" w:rsidRPr="00197EC0" w:rsidRDefault="00197EC0" w:rsidP="00107F42">
      <w:pPr>
        <w:rPr>
          <w:rFonts w:eastAsia="Times New Roman" w:cs="Arial"/>
          <w:kern w:val="0"/>
          <w:lang w:eastAsia="en-GB"/>
          <w14:ligatures w14:val="none"/>
        </w:rPr>
      </w:pPr>
    </w:p>
    <w:p w14:paraId="7FE7B3D9"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10.8.3.2 Care home support service - Level 1 medicines management support visits</w:t>
      </w:r>
    </w:p>
    <w:p w14:paraId="76EB8E5B" w14:textId="77777777" w:rsidR="00197EC0" w:rsidRPr="00197EC0" w:rsidRDefault="00197EC0" w:rsidP="00107F42">
      <w:pPr>
        <w:rPr>
          <w:rFonts w:eastAsia="Times New Roman" w:cs="Arial"/>
          <w:kern w:val="0"/>
          <w:lang w:eastAsia="en-GB"/>
          <w14:ligatures w14:val="none"/>
        </w:rPr>
      </w:pPr>
    </w:p>
    <w:p w14:paraId="45C12315"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 xml:space="preserve">The health board has noted three of the pharmacies have signed up to provide this service, and one pharmacy provides it. If approached by a pharmacy wishing to </w:t>
      </w:r>
      <w:r w:rsidRPr="00197EC0">
        <w:rPr>
          <w:rFonts w:eastAsia="Times New Roman" w:cs="Arial"/>
          <w:kern w:val="0"/>
          <w:lang w:eastAsia="en-GB"/>
          <w14:ligatures w14:val="none"/>
        </w:rPr>
        <w:lastRenderedPageBreak/>
        <w:t>provide the service for the care homes it serves as it has identified there is a need for the service, the health board would commission the service from that pharmacy.</w:t>
      </w:r>
    </w:p>
    <w:p w14:paraId="1D6BB75F" w14:textId="77777777" w:rsidR="00197EC0" w:rsidRPr="00197EC0" w:rsidRDefault="00197EC0" w:rsidP="00107F42">
      <w:pPr>
        <w:rPr>
          <w:rFonts w:eastAsia="Times New Roman" w:cs="Arial"/>
          <w:kern w:val="0"/>
          <w:lang w:eastAsia="en-GB"/>
          <w14:ligatures w14:val="none"/>
        </w:rPr>
      </w:pPr>
    </w:p>
    <w:p w14:paraId="486669B7" w14:textId="77777777" w:rsidR="00197EC0" w:rsidRPr="00197EC0" w:rsidRDefault="00197EC0" w:rsidP="00107F42">
      <w:pPr>
        <w:contextualSpacing/>
        <w:rPr>
          <w:rFonts w:eastAsia="Times New Roman" w:cs="Arial"/>
          <w:kern w:val="0"/>
          <w:lang w:eastAsia="en-GB"/>
          <w14:ligatures w14:val="none"/>
        </w:rPr>
      </w:pPr>
      <w:r w:rsidRPr="00197EC0">
        <w:rPr>
          <w:rFonts w:eastAsia="Times New Roman" w:cs="Arial"/>
          <w:kern w:val="0"/>
          <w:lang w:eastAsia="en-GB"/>
          <w14:ligatures w14:val="none"/>
        </w:rPr>
        <w:t>Based on the above, the health board has not identified any current or future needs for this service within the locality.</w:t>
      </w:r>
    </w:p>
    <w:p w14:paraId="1BF25FC8" w14:textId="77777777" w:rsidR="00197EC0" w:rsidRPr="00197EC0" w:rsidRDefault="00197EC0" w:rsidP="00107F42">
      <w:pPr>
        <w:rPr>
          <w:rFonts w:eastAsia="Times New Roman" w:cs="Arial"/>
          <w:kern w:val="0"/>
          <w:lang w:eastAsia="en-GB"/>
          <w14:ligatures w14:val="none"/>
        </w:rPr>
      </w:pPr>
    </w:p>
    <w:p w14:paraId="3C514E61"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10.8.3.3 Inhaler review service</w:t>
      </w:r>
    </w:p>
    <w:p w14:paraId="1638A719" w14:textId="77777777" w:rsidR="00197EC0" w:rsidRPr="00197EC0" w:rsidRDefault="00197EC0" w:rsidP="00107F42">
      <w:pPr>
        <w:rPr>
          <w:rFonts w:eastAsia="Times New Roman" w:cs="Arial"/>
          <w:b/>
          <w:bCs/>
          <w:kern w:val="0"/>
          <w:lang w:eastAsia="en-GB"/>
          <w14:ligatures w14:val="none"/>
        </w:rPr>
      </w:pPr>
    </w:p>
    <w:p w14:paraId="166F24FB"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The health board has noted seven of the pharmacies have signed up to provide this service, and four pharmacies provide it. It has also noted that GP practices will provide the service which reduces demand for the service to be provided by pharmacies. If a pharmacy identified that the service is required by its users, the health board would commission the service from that pharmacy.</w:t>
      </w:r>
    </w:p>
    <w:p w14:paraId="40EA5BD1" w14:textId="77777777" w:rsidR="00197EC0" w:rsidRPr="00197EC0" w:rsidRDefault="00197EC0" w:rsidP="00107F42">
      <w:pPr>
        <w:rPr>
          <w:rFonts w:eastAsia="Times New Roman" w:cs="Arial"/>
          <w:kern w:val="0"/>
          <w:lang w:eastAsia="en-GB"/>
          <w14:ligatures w14:val="none"/>
        </w:rPr>
      </w:pPr>
    </w:p>
    <w:p w14:paraId="79D14853"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Based on the above, the health board has not identified any current or future needs for this service within the locality.</w:t>
      </w:r>
    </w:p>
    <w:p w14:paraId="2227B668" w14:textId="77777777" w:rsidR="00161673" w:rsidRPr="00197EC0" w:rsidRDefault="00161673" w:rsidP="00107F42">
      <w:pPr>
        <w:rPr>
          <w:rFonts w:eastAsia="Times New Roman" w:cs="Arial"/>
          <w:b/>
          <w:bCs/>
          <w:kern w:val="0"/>
          <w:lang w:eastAsia="en-GB"/>
          <w14:ligatures w14:val="none"/>
        </w:rPr>
      </w:pPr>
    </w:p>
    <w:p w14:paraId="1783430D"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10.8.3.4 Just in case service (palliative care packs)</w:t>
      </w:r>
    </w:p>
    <w:p w14:paraId="21B01614" w14:textId="77777777" w:rsidR="00197EC0" w:rsidRPr="00197EC0" w:rsidRDefault="00197EC0" w:rsidP="00107F42">
      <w:pPr>
        <w:rPr>
          <w:rFonts w:eastAsia="Times New Roman" w:cs="Arial"/>
          <w:kern w:val="0"/>
          <w:lang w:eastAsia="en-GB"/>
          <w14:ligatures w14:val="none"/>
        </w:rPr>
      </w:pPr>
    </w:p>
    <w:p w14:paraId="7B4BB442"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 xml:space="preserve">The health board has noted seven of the pharmacies have signed up to provide this service. No service was provided. </w:t>
      </w:r>
    </w:p>
    <w:p w14:paraId="224F549E" w14:textId="77777777" w:rsidR="00197EC0" w:rsidRPr="00197EC0" w:rsidRDefault="00197EC0" w:rsidP="00107F42">
      <w:pPr>
        <w:ind w:left="360"/>
        <w:rPr>
          <w:rFonts w:eastAsia="Times New Roman" w:cs="Arial"/>
          <w:kern w:val="0"/>
          <w:lang w:eastAsia="en-GB"/>
          <w14:ligatures w14:val="none"/>
        </w:rPr>
      </w:pPr>
    </w:p>
    <w:p w14:paraId="586E08FD" w14:textId="77777777" w:rsidR="00197EC0" w:rsidRPr="00197EC0" w:rsidRDefault="00197EC0" w:rsidP="00107F42">
      <w:pPr>
        <w:contextualSpacing/>
        <w:rPr>
          <w:rFonts w:eastAsia="Times New Roman" w:cs="Arial"/>
          <w:kern w:val="0"/>
          <w:lang w:eastAsia="en-GB"/>
          <w14:ligatures w14:val="none"/>
        </w:rPr>
      </w:pPr>
      <w:r w:rsidRPr="00197EC0">
        <w:rPr>
          <w:rFonts w:eastAsia="Times New Roman" w:cs="Arial"/>
          <w:kern w:val="0"/>
          <w:lang w:eastAsia="en-GB"/>
          <w14:ligatures w14:val="none"/>
        </w:rPr>
        <w:t>Services are available within the locality through several other providers in the health board’s area, such as through the health board’s palliative care team.</w:t>
      </w:r>
    </w:p>
    <w:p w14:paraId="105BB8B7" w14:textId="77777777" w:rsidR="00197EC0" w:rsidRPr="00197EC0" w:rsidRDefault="00197EC0" w:rsidP="00107F42">
      <w:pPr>
        <w:rPr>
          <w:rFonts w:eastAsia="Times New Roman" w:cs="Arial"/>
          <w:kern w:val="0"/>
          <w:lang w:eastAsia="en-GB"/>
          <w14:ligatures w14:val="none"/>
        </w:rPr>
      </w:pPr>
    </w:p>
    <w:p w14:paraId="29CA000D"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Based on the above, the health board has not identified any current or future needs for this service within the locality.</w:t>
      </w:r>
    </w:p>
    <w:p w14:paraId="4570B5B5" w14:textId="77777777" w:rsidR="00197EC0" w:rsidRPr="00197EC0" w:rsidRDefault="00197EC0" w:rsidP="00107F42">
      <w:pPr>
        <w:rPr>
          <w:rFonts w:eastAsia="Times New Roman" w:cs="Arial"/>
          <w:kern w:val="0"/>
          <w:lang w:eastAsia="en-GB"/>
          <w14:ligatures w14:val="none"/>
        </w:rPr>
      </w:pPr>
    </w:p>
    <w:p w14:paraId="0FF7C96F"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 xml:space="preserve">10.8.3.5 Medicines administration record service </w:t>
      </w:r>
    </w:p>
    <w:p w14:paraId="2FF75149" w14:textId="77777777" w:rsidR="00197EC0" w:rsidRPr="00197EC0" w:rsidRDefault="00197EC0" w:rsidP="00107F42">
      <w:pPr>
        <w:rPr>
          <w:rFonts w:eastAsia="Times New Roman" w:cs="Arial"/>
          <w:kern w:val="0"/>
          <w:lang w:eastAsia="en-GB"/>
          <w14:ligatures w14:val="none"/>
        </w:rPr>
      </w:pPr>
    </w:p>
    <w:p w14:paraId="3DF62C92"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 xml:space="preserve">The health board has noted eight of the pharmacies have signed up to provide this service, and seven pharmacies provide it. The health board has therefore not identified any current or future needs for this service within the locality. </w:t>
      </w:r>
    </w:p>
    <w:p w14:paraId="2818A8B8" w14:textId="77777777" w:rsidR="00197EC0" w:rsidRPr="00197EC0" w:rsidRDefault="00197EC0" w:rsidP="00107F42">
      <w:pPr>
        <w:rPr>
          <w:rFonts w:eastAsia="Times New Roman" w:cs="Arial"/>
          <w:b/>
          <w:bCs/>
          <w:kern w:val="0"/>
          <w:lang w:eastAsia="en-GB"/>
          <w14:ligatures w14:val="none"/>
        </w:rPr>
      </w:pPr>
    </w:p>
    <w:p w14:paraId="550D5FDA"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10.8.3.6 Needle and syringe programmes</w:t>
      </w:r>
    </w:p>
    <w:p w14:paraId="7D231332" w14:textId="77777777" w:rsidR="00197EC0" w:rsidRPr="00197EC0" w:rsidRDefault="00197EC0" w:rsidP="00107F42">
      <w:pPr>
        <w:rPr>
          <w:rFonts w:eastAsia="Times New Roman" w:cs="Arial"/>
          <w:kern w:val="0"/>
          <w:lang w:eastAsia="en-GB"/>
          <w14:ligatures w14:val="none"/>
        </w:rPr>
      </w:pPr>
    </w:p>
    <w:p w14:paraId="45A45FAC"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 xml:space="preserve">The health board has noted three of the pharmacies have signed up to provide this service and provide it. </w:t>
      </w:r>
    </w:p>
    <w:p w14:paraId="4DF722B9" w14:textId="77777777" w:rsidR="00197EC0" w:rsidRPr="00197EC0" w:rsidRDefault="00197EC0" w:rsidP="00107F42">
      <w:pPr>
        <w:rPr>
          <w:rFonts w:eastAsia="Times New Roman" w:cs="Arial"/>
          <w:kern w:val="0"/>
          <w:lang w:eastAsia="en-GB"/>
          <w14:ligatures w14:val="none"/>
        </w:rPr>
      </w:pPr>
    </w:p>
    <w:p w14:paraId="1CFBF9DC"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The health board has noted that this service is also provided by other providers and that demand for it has decreased across the full range of providers, reflecting changes in service user behaviour. No complaints have been received by the health board regarding discarded needles and syringes in public spaces. If a pharmacy wished to subsequently provide the service due to an increase in demand the health board would commission the pharmacy accordingly.</w:t>
      </w:r>
    </w:p>
    <w:p w14:paraId="09AD40EC" w14:textId="77777777" w:rsidR="00197EC0" w:rsidRPr="00197EC0" w:rsidRDefault="00197EC0" w:rsidP="00107F42">
      <w:pPr>
        <w:rPr>
          <w:rFonts w:eastAsia="Times New Roman" w:cs="Arial"/>
          <w:kern w:val="0"/>
          <w:lang w:eastAsia="en-GB"/>
          <w14:ligatures w14:val="none"/>
        </w:rPr>
      </w:pPr>
    </w:p>
    <w:p w14:paraId="56A04299"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Based on the above, the health board has not identified any current or future needs for this service within the locality.</w:t>
      </w:r>
    </w:p>
    <w:p w14:paraId="5D27CF82" w14:textId="77777777" w:rsidR="00197EC0" w:rsidRDefault="00197EC0" w:rsidP="005114C5">
      <w:pPr>
        <w:contextualSpacing/>
        <w:rPr>
          <w:rFonts w:eastAsia="Times New Roman" w:cs="Arial"/>
          <w:kern w:val="0"/>
          <w:lang w:eastAsia="en-GB"/>
          <w14:ligatures w14:val="none"/>
        </w:rPr>
      </w:pPr>
    </w:p>
    <w:p w14:paraId="4C73AD48" w14:textId="77777777" w:rsidR="005114C5" w:rsidRPr="00197EC0" w:rsidRDefault="005114C5" w:rsidP="005114C5">
      <w:pPr>
        <w:contextualSpacing/>
        <w:rPr>
          <w:rFonts w:eastAsia="Times New Roman" w:cs="Arial"/>
          <w:kern w:val="0"/>
          <w:lang w:eastAsia="en-GB"/>
          <w14:ligatures w14:val="none"/>
        </w:rPr>
      </w:pPr>
    </w:p>
    <w:p w14:paraId="5B508597"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lastRenderedPageBreak/>
        <w:t>10.8.3.7 Help me quit @ pharmacy (level 2 smoking cessation) service</w:t>
      </w:r>
    </w:p>
    <w:p w14:paraId="3B21EA1E" w14:textId="77777777" w:rsidR="00197EC0" w:rsidRPr="00197EC0" w:rsidRDefault="00197EC0" w:rsidP="00107F42">
      <w:pPr>
        <w:rPr>
          <w:rFonts w:eastAsia="Times New Roman" w:cs="Arial"/>
          <w:kern w:val="0"/>
          <w:lang w:eastAsia="en-GB"/>
          <w14:ligatures w14:val="none"/>
        </w:rPr>
      </w:pPr>
    </w:p>
    <w:p w14:paraId="1F1F48D5"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 xml:space="preserve">The health board has noted all the pharmacies have signed up to provide this service, and nine pharmacies provide it. </w:t>
      </w:r>
    </w:p>
    <w:p w14:paraId="0E39D53F" w14:textId="77777777" w:rsidR="00197EC0" w:rsidRPr="00197EC0" w:rsidRDefault="00197EC0" w:rsidP="00107F42">
      <w:pPr>
        <w:rPr>
          <w:rFonts w:eastAsia="Times New Roman" w:cs="Arial"/>
          <w:kern w:val="0"/>
          <w:lang w:eastAsia="en-GB"/>
          <w14:ligatures w14:val="none"/>
        </w:rPr>
      </w:pPr>
    </w:p>
    <w:p w14:paraId="5BB67866"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The health board has therefore not identified any current or future needs for this service within the locality.</w:t>
      </w:r>
    </w:p>
    <w:p w14:paraId="0235C8D6" w14:textId="77777777" w:rsidR="00197EC0" w:rsidRPr="00197EC0" w:rsidRDefault="00197EC0" w:rsidP="00107F42">
      <w:pPr>
        <w:ind w:left="360"/>
        <w:rPr>
          <w:rFonts w:eastAsia="Times New Roman" w:cs="Arial"/>
          <w:kern w:val="0"/>
          <w:lang w:eastAsia="en-GB"/>
          <w14:ligatures w14:val="none"/>
        </w:rPr>
      </w:pPr>
    </w:p>
    <w:p w14:paraId="64665CCF"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10.8.3.8 Help me quit @ pharmacy (level 3 smoking cessation) service</w:t>
      </w:r>
    </w:p>
    <w:p w14:paraId="46034B57" w14:textId="77777777" w:rsidR="00197EC0" w:rsidRPr="00197EC0" w:rsidRDefault="00197EC0" w:rsidP="00107F42">
      <w:pPr>
        <w:rPr>
          <w:rFonts w:eastAsia="Times New Roman" w:cs="Arial"/>
          <w:kern w:val="0"/>
          <w:lang w:eastAsia="en-GB"/>
          <w14:ligatures w14:val="none"/>
        </w:rPr>
      </w:pPr>
    </w:p>
    <w:p w14:paraId="076E26CB"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 xml:space="preserve">The health board has noted eight of the pharmacies have signed up to provide this service, and seven pharmacies provide it. </w:t>
      </w:r>
    </w:p>
    <w:p w14:paraId="27D2F996" w14:textId="77777777" w:rsidR="00197EC0" w:rsidRPr="00197EC0" w:rsidRDefault="00197EC0" w:rsidP="00107F42">
      <w:pPr>
        <w:rPr>
          <w:rFonts w:eastAsia="Times New Roman" w:cs="Arial"/>
          <w:kern w:val="0"/>
          <w:lang w:eastAsia="en-GB"/>
          <w14:ligatures w14:val="none"/>
        </w:rPr>
      </w:pPr>
    </w:p>
    <w:p w14:paraId="63BDC00A"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The health board has noted that service user behaviour and needs are changing, with more people using vapes instead of smoking tobacco. The service is not appropriate for those who wish to stop vaping. The service is also not appropriate for those who are heavy smokers and who have smoked for a number of years as the drugs they require to stop smoking are not available under this service.</w:t>
      </w:r>
    </w:p>
    <w:p w14:paraId="017D2397" w14:textId="77777777" w:rsidR="00197EC0" w:rsidRPr="00197EC0" w:rsidRDefault="00197EC0" w:rsidP="00107F42">
      <w:pPr>
        <w:rPr>
          <w:rFonts w:eastAsia="Times New Roman" w:cs="Arial"/>
          <w:kern w:val="0"/>
          <w:lang w:eastAsia="en-GB"/>
          <w14:ligatures w14:val="none"/>
        </w:rPr>
      </w:pPr>
    </w:p>
    <w:p w14:paraId="38CB172C"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Based on the above, the health board has not identified any current or future needs for this service within the locality.</w:t>
      </w:r>
    </w:p>
    <w:p w14:paraId="6244B91E" w14:textId="77777777" w:rsidR="00197EC0" w:rsidRPr="00197EC0" w:rsidRDefault="00197EC0" w:rsidP="00107F42">
      <w:pPr>
        <w:ind w:left="360"/>
        <w:rPr>
          <w:rFonts w:eastAsia="Times New Roman" w:cs="Arial"/>
          <w:kern w:val="0"/>
          <w:lang w:eastAsia="en-GB"/>
          <w14:ligatures w14:val="none"/>
        </w:rPr>
      </w:pPr>
    </w:p>
    <w:p w14:paraId="017E99CE"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10.8.3.9 Supervised administration of medicines service</w:t>
      </w:r>
    </w:p>
    <w:p w14:paraId="70DF2882" w14:textId="77777777" w:rsidR="00197EC0" w:rsidRPr="00197EC0" w:rsidRDefault="00197EC0" w:rsidP="00107F42">
      <w:pPr>
        <w:rPr>
          <w:rFonts w:eastAsia="Times New Roman" w:cs="Arial"/>
          <w:kern w:val="0"/>
          <w:lang w:eastAsia="en-GB"/>
          <w14:ligatures w14:val="none"/>
        </w:rPr>
      </w:pPr>
    </w:p>
    <w:p w14:paraId="3C21F7AB"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The health board has noted all the pharmacies have signed up to provide this service, and eight pharmacies provide it.</w:t>
      </w:r>
    </w:p>
    <w:p w14:paraId="7E272479" w14:textId="77777777" w:rsidR="00197EC0" w:rsidRPr="00197EC0" w:rsidRDefault="00197EC0" w:rsidP="00107F42">
      <w:pPr>
        <w:rPr>
          <w:rFonts w:eastAsia="Times New Roman" w:cs="Arial"/>
          <w:kern w:val="0"/>
          <w:lang w:eastAsia="en-GB"/>
          <w14:ligatures w14:val="none"/>
        </w:rPr>
      </w:pPr>
    </w:p>
    <w:p w14:paraId="3EAF2F7E"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The health board has therefore not identified any current or future needs for this service within the locality.</w:t>
      </w:r>
    </w:p>
    <w:p w14:paraId="61BDC039" w14:textId="77777777" w:rsidR="00197EC0" w:rsidRPr="00197EC0" w:rsidRDefault="00197EC0" w:rsidP="00107F42">
      <w:pPr>
        <w:rPr>
          <w:rFonts w:eastAsia="Times New Roman" w:cs="Arial"/>
          <w:kern w:val="0"/>
          <w:lang w:eastAsia="en-GB"/>
          <w14:ligatures w14:val="none"/>
        </w:rPr>
      </w:pPr>
    </w:p>
    <w:p w14:paraId="4784478A" w14:textId="77777777" w:rsidR="00197EC0" w:rsidRPr="00197EC0" w:rsidRDefault="00197EC0" w:rsidP="00107F42">
      <w:pPr>
        <w:rPr>
          <w:rFonts w:eastAsia="Times New Roman" w:cs="Arial"/>
          <w:b/>
          <w:bCs/>
          <w:kern w:val="0"/>
          <w:lang w:eastAsia="en-GB"/>
          <w14:ligatures w14:val="none"/>
        </w:rPr>
      </w:pPr>
      <w:r w:rsidRPr="00197EC0">
        <w:rPr>
          <w:rFonts w:eastAsia="Times New Roman" w:cs="Arial"/>
          <w:b/>
          <w:bCs/>
          <w:kern w:val="0"/>
          <w:lang w:eastAsia="en-GB"/>
          <w14:ligatures w14:val="none"/>
        </w:rPr>
        <w:t xml:space="preserve">10.8.3.10 Urgent medicines service </w:t>
      </w:r>
    </w:p>
    <w:p w14:paraId="38B94423" w14:textId="77777777" w:rsidR="00197EC0" w:rsidRPr="00197EC0" w:rsidRDefault="00197EC0" w:rsidP="00107F42">
      <w:pPr>
        <w:rPr>
          <w:rFonts w:eastAsia="Times New Roman" w:cs="Arial"/>
          <w:kern w:val="0"/>
          <w:lang w:eastAsia="en-GB"/>
          <w14:ligatures w14:val="none"/>
        </w:rPr>
      </w:pPr>
    </w:p>
    <w:p w14:paraId="3677C5BC"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The health board has noted none of the pharmacies have signed up to provide this service. Due to the nature of the service, it is commissioned to ensure a good geographical spread of pharmacies providing it across the health board’s geography. The health board continues to monitor provision of the service and would commission more pharmacies to provide if required.</w:t>
      </w:r>
    </w:p>
    <w:p w14:paraId="2BE9A107" w14:textId="77777777" w:rsidR="00197EC0" w:rsidRPr="00197EC0" w:rsidRDefault="00197EC0" w:rsidP="00107F42">
      <w:pPr>
        <w:rPr>
          <w:rFonts w:eastAsia="Times New Roman" w:cs="Arial"/>
          <w:kern w:val="0"/>
          <w:lang w:eastAsia="en-GB"/>
          <w14:ligatures w14:val="none"/>
        </w:rPr>
      </w:pPr>
    </w:p>
    <w:p w14:paraId="3CD35A51" w14:textId="77777777" w:rsidR="00197EC0" w:rsidRPr="00197EC0" w:rsidRDefault="00197EC0" w:rsidP="00107F42">
      <w:pPr>
        <w:rPr>
          <w:rFonts w:eastAsia="Times New Roman" w:cs="Arial"/>
          <w:kern w:val="0"/>
          <w:lang w:eastAsia="en-GB"/>
          <w14:ligatures w14:val="none"/>
        </w:rPr>
      </w:pPr>
      <w:r w:rsidRPr="00197EC0">
        <w:rPr>
          <w:rFonts w:eastAsia="Times New Roman" w:cs="Arial"/>
          <w:kern w:val="0"/>
          <w:lang w:eastAsia="en-GB"/>
          <w14:ligatures w14:val="none"/>
        </w:rPr>
        <w:t>The health board has therefore not identified any current or future needs for this service within the locality.</w:t>
      </w:r>
    </w:p>
    <w:p w14:paraId="133CA7ED" w14:textId="77777777" w:rsidR="00197EC0" w:rsidRPr="00197EC0" w:rsidRDefault="00197EC0" w:rsidP="00107F42">
      <w:pPr>
        <w:rPr>
          <w:rFonts w:eastAsia="Times New Roman" w:cs="Arial"/>
          <w:kern w:val="0"/>
          <w:lang w:eastAsia="en-GB"/>
          <w14:ligatures w14:val="none"/>
        </w:rPr>
      </w:pPr>
    </w:p>
    <w:p w14:paraId="1902E20D" w14:textId="688D8800" w:rsidR="00161673" w:rsidRPr="00D0306F" w:rsidRDefault="00161673">
      <w:pPr>
        <w:spacing w:after="160" w:line="278" w:lineRule="auto"/>
        <w:rPr>
          <w:rFonts w:eastAsia="Times New Roman" w:cs="Arial"/>
          <w:kern w:val="0"/>
          <w:lang w:eastAsia="en-GB"/>
          <w14:ligatures w14:val="none"/>
        </w:rPr>
      </w:pPr>
      <w:r w:rsidRPr="00D0306F">
        <w:rPr>
          <w:rFonts w:eastAsia="Times New Roman" w:cs="Arial"/>
          <w:kern w:val="0"/>
          <w:lang w:eastAsia="en-GB"/>
          <w14:ligatures w14:val="none"/>
        </w:rPr>
        <w:br w:type="page"/>
      </w:r>
    </w:p>
    <w:p w14:paraId="4F69CCF1" w14:textId="16180816" w:rsidR="00335F08" w:rsidRPr="00D0306F" w:rsidRDefault="00335F08" w:rsidP="00335F08">
      <w:pPr>
        <w:pStyle w:val="Heading1"/>
        <w:rPr>
          <w:rFonts w:eastAsia="Aptos"/>
          <w:sz w:val="28"/>
          <w:szCs w:val="28"/>
        </w:rPr>
      </w:pPr>
      <w:bookmarkStart w:id="37" w:name="_Toc235185382"/>
      <w:r w:rsidRPr="00D0306F">
        <w:rPr>
          <w:rFonts w:eastAsia="Aptos"/>
          <w:sz w:val="28"/>
          <w:szCs w:val="28"/>
        </w:rPr>
        <w:lastRenderedPageBreak/>
        <w:t>11 Llwchwr locality</w:t>
      </w:r>
      <w:bookmarkEnd w:id="37"/>
    </w:p>
    <w:p w14:paraId="18A74823" w14:textId="77777777" w:rsidR="00197EC0" w:rsidRPr="00197EC0" w:rsidRDefault="00197EC0" w:rsidP="00107F42">
      <w:pPr>
        <w:rPr>
          <w:rFonts w:eastAsia="Times New Roman" w:cs="Arial"/>
          <w:kern w:val="0"/>
          <w:lang w:eastAsia="en-GB"/>
          <w14:ligatures w14:val="none"/>
        </w:rPr>
      </w:pPr>
    </w:p>
    <w:p w14:paraId="76F44E43" w14:textId="77777777" w:rsidR="00AA5968" w:rsidRPr="00AA5968" w:rsidRDefault="00AA5968" w:rsidP="00794C07">
      <w:pPr>
        <w:rPr>
          <w:rFonts w:eastAsia="Aptos" w:cs="Arial"/>
          <w:b/>
          <w:bCs/>
          <w:sz w:val="26"/>
          <w:szCs w:val="26"/>
        </w:rPr>
      </w:pPr>
      <w:r w:rsidRPr="00AA5968">
        <w:rPr>
          <w:rFonts w:eastAsia="Aptos" w:cs="Arial"/>
          <w:b/>
          <w:bCs/>
          <w:sz w:val="26"/>
          <w:szCs w:val="26"/>
        </w:rPr>
        <w:t>11.1 Key facts</w:t>
      </w:r>
    </w:p>
    <w:p w14:paraId="156B5F6C" w14:textId="77777777" w:rsidR="00AA5968" w:rsidRPr="00AA5968" w:rsidRDefault="00AA5968" w:rsidP="00794C07">
      <w:pPr>
        <w:rPr>
          <w:rFonts w:eastAsia="Aptos" w:cs="Arial"/>
        </w:rPr>
      </w:pPr>
    </w:p>
    <w:p w14:paraId="5338681B" w14:textId="77777777" w:rsidR="00AA5968" w:rsidRPr="00AA5968" w:rsidRDefault="00AA5968" w:rsidP="00B76905">
      <w:pPr>
        <w:numPr>
          <w:ilvl w:val="0"/>
          <w:numId w:val="173"/>
        </w:numPr>
        <w:contextualSpacing/>
        <w:rPr>
          <w:rFonts w:eastAsia="Aptos" w:cs="Arial"/>
        </w:rPr>
      </w:pPr>
      <w:r w:rsidRPr="00AA5968">
        <w:rPr>
          <w:rFonts w:eastAsia="Aptos" w:cs="Arial"/>
        </w:rPr>
        <w:t xml:space="preserve">The locality geographically covers the wards: Cockett (part), Gorseinon, Gowerton, Kingsbridge, Llangyfelach (part), Lower Loughor, Mawr, Penclawdd, Penllergaer, Penyrheol, Pontardulais, Upper Loughor. </w:t>
      </w:r>
    </w:p>
    <w:p w14:paraId="35FEC4A7" w14:textId="77777777" w:rsidR="00AA5968" w:rsidRPr="00AA5968" w:rsidRDefault="00AA5968" w:rsidP="00B76905">
      <w:pPr>
        <w:numPr>
          <w:ilvl w:val="0"/>
          <w:numId w:val="173"/>
        </w:numPr>
        <w:contextualSpacing/>
        <w:rPr>
          <w:rFonts w:eastAsia="Aptos" w:cs="Arial"/>
        </w:rPr>
      </w:pPr>
      <w:r w:rsidRPr="00AA5968">
        <w:rPr>
          <w:rFonts w:eastAsia="Aptos" w:cs="Arial"/>
        </w:rPr>
        <w:t>The Llwchwr locality serves a registered population of 49,920</w:t>
      </w:r>
      <w:r w:rsidRPr="00AA5968">
        <w:rPr>
          <w:rFonts w:eastAsia="Aptos" w:cs="Arial"/>
          <w:vertAlign w:val="superscript"/>
        </w:rPr>
        <w:footnoteReference w:id="273"/>
      </w:r>
      <w:r w:rsidRPr="00AA5968">
        <w:rPr>
          <w:rFonts w:eastAsia="Aptos" w:cs="Arial"/>
        </w:rPr>
        <w:t xml:space="preserve"> (January 2026) and is the fourth largest locality by registered population in the health board and the third largest of the five localities in Swansea.</w:t>
      </w:r>
    </w:p>
    <w:p w14:paraId="09CB0347" w14:textId="77777777" w:rsidR="00AA5968" w:rsidRPr="00AA5968" w:rsidRDefault="00AA5968" w:rsidP="00B76905">
      <w:pPr>
        <w:numPr>
          <w:ilvl w:val="0"/>
          <w:numId w:val="156"/>
        </w:numPr>
        <w:contextualSpacing/>
        <w:rPr>
          <w:rFonts w:eastAsia="Aptos" w:cs="Arial"/>
        </w:rPr>
      </w:pPr>
      <w:r w:rsidRPr="00AA5968">
        <w:rPr>
          <w:rFonts w:eastAsia="Aptos" w:cs="Arial"/>
        </w:rPr>
        <w:t xml:space="preserve">The locality has a registered population of 11,091 that are 65 years and over (22.2%), slightly above the Welsh average of 21.9%. </w:t>
      </w:r>
    </w:p>
    <w:p w14:paraId="4C496EA5" w14:textId="77777777" w:rsidR="00AA5968" w:rsidRPr="00AA5968" w:rsidRDefault="00AA5968" w:rsidP="00B76905">
      <w:pPr>
        <w:numPr>
          <w:ilvl w:val="0"/>
          <w:numId w:val="156"/>
        </w:numPr>
        <w:contextualSpacing/>
        <w:rPr>
          <w:rFonts w:eastAsia="Aptos" w:cs="Arial"/>
        </w:rPr>
      </w:pPr>
      <w:r w:rsidRPr="00AA5968">
        <w:rPr>
          <w:rFonts w:eastAsia="Aptos" w:cs="Arial"/>
        </w:rPr>
        <w:t>The number of Welsh speakers in Swansea remained at 11.2% in 2021 with approximately 350 fewer Welsh-speaking residents aged over three years compared with 2011 Census. The number of non-Welsh speaking residents increased by 1,100</w:t>
      </w:r>
      <w:r w:rsidRPr="00AA5968">
        <w:rPr>
          <w:rFonts w:eastAsia="Aptos" w:cs="Arial"/>
          <w:vertAlign w:val="superscript"/>
        </w:rPr>
        <w:footnoteReference w:id="274"/>
      </w:r>
      <w:r w:rsidRPr="00AA5968">
        <w:rPr>
          <w:rFonts w:eastAsia="Aptos" w:cs="Arial"/>
        </w:rPr>
        <w:t>.</w:t>
      </w:r>
    </w:p>
    <w:p w14:paraId="38267E18" w14:textId="77777777" w:rsidR="00AA5968" w:rsidRPr="00AA5968" w:rsidRDefault="00AA5968" w:rsidP="00B76905">
      <w:pPr>
        <w:numPr>
          <w:ilvl w:val="0"/>
          <w:numId w:val="173"/>
        </w:numPr>
        <w:contextualSpacing/>
        <w:rPr>
          <w:rFonts w:eastAsia="Aptos" w:cs="Arial"/>
        </w:rPr>
      </w:pPr>
      <w:r w:rsidRPr="00AA5968">
        <w:rPr>
          <w:rFonts w:eastAsia="Aptos" w:cs="Arial"/>
        </w:rPr>
        <w:t>Swansea local authority population is projected to increase by 6.1% by the year 2032</w:t>
      </w:r>
      <w:r w:rsidRPr="00AA5968">
        <w:rPr>
          <w:rFonts w:eastAsia="Aptos" w:cs="Arial"/>
          <w:vertAlign w:val="superscript"/>
        </w:rPr>
        <w:footnoteReference w:id="275"/>
      </w:r>
      <w:r w:rsidRPr="00AA5968">
        <w:rPr>
          <w:rFonts w:eastAsia="Aptos" w:cs="Arial"/>
        </w:rPr>
        <w:t xml:space="preserve">. </w:t>
      </w:r>
    </w:p>
    <w:p w14:paraId="37C02381" w14:textId="77777777" w:rsidR="00AA5968" w:rsidRPr="00AA5968" w:rsidRDefault="00AA5968" w:rsidP="00B76905">
      <w:pPr>
        <w:numPr>
          <w:ilvl w:val="0"/>
          <w:numId w:val="173"/>
        </w:numPr>
        <w:contextualSpacing/>
        <w:rPr>
          <w:rFonts w:eastAsia="Aptos" w:cs="Arial"/>
        </w:rPr>
      </w:pPr>
      <w:r w:rsidRPr="00AA5968">
        <w:rPr>
          <w:rFonts w:eastAsia="Aptos" w:cs="Arial"/>
        </w:rPr>
        <w:t>There are 240 lower layer super output areas in the health board’s area, 150 lower layer super output areas fall within Swansea local authority, and 20 (around 13%) are in the 10% most deprived in Wales</w:t>
      </w:r>
      <w:r w:rsidRPr="00AA5968">
        <w:rPr>
          <w:rFonts w:eastAsia="Aptos" w:cs="Arial"/>
          <w:vertAlign w:val="superscript"/>
        </w:rPr>
        <w:footnoteReference w:id="276"/>
      </w:r>
      <w:r w:rsidRPr="00AA5968">
        <w:rPr>
          <w:rFonts w:eastAsia="Aptos" w:cs="Arial"/>
        </w:rPr>
        <w:t>.</w:t>
      </w:r>
    </w:p>
    <w:p w14:paraId="611EDBF6" w14:textId="77777777" w:rsidR="00AA5968" w:rsidRPr="00AA5968" w:rsidRDefault="00AA5968" w:rsidP="00B76905">
      <w:pPr>
        <w:numPr>
          <w:ilvl w:val="0"/>
          <w:numId w:val="173"/>
        </w:numPr>
        <w:contextualSpacing/>
        <w:rPr>
          <w:rFonts w:eastAsia="Aptos" w:cs="Arial"/>
        </w:rPr>
      </w:pPr>
      <w:r w:rsidRPr="00AA5968">
        <w:rPr>
          <w:rFonts w:eastAsia="Aptos" w:cs="Arial"/>
        </w:rPr>
        <w:t>Of the 20% most deprived lower layer super output areas in Wales, 34 are within Swansea, with four found within the locality</w:t>
      </w:r>
      <w:r w:rsidRPr="00AA5968">
        <w:rPr>
          <w:rFonts w:eastAsia="Aptos" w:cs="Arial"/>
          <w:vertAlign w:val="superscript"/>
        </w:rPr>
        <w:footnoteReference w:id="277"/>
      </w:r>
      <w:r w:rsidRPr="00AA5968">
        <w:rPr>
          <w:rFonts w:eastAsia="Aptos" w:cs="Arial"/>
        </w:rPr>
        <w:t xml:space="preserve">. </w:t>
      </w:r>
    </w:p>
    <w:p w14:paraId="77E94CDF" w14:textId="77777777" w:rsidR="00AA5968" w:rsidRPr="00AA5968" w:rsidRDefault="00AA5968" w:rsidP="00B76905">
      <w:pPr>
        <w:numPr>
          <w:ilvl w:val="0"/>
          <w:numId w:val="173"/>
        </w:numPr>
        <w:contextualSpacing/>
        <w:rPr>
          <w:rFonts w:eastAsia="Aptos" w:cs="Arial"/>
        </w:rPr>
      </w:pPr>
      <w:r w:rsidRPr="00AA5968">
        <w:rPr>
          <w:rFonts w:eastAsia="Aptos" w:cs="Arial"/>
        </w:rPr>
        <w:t>This area comprises mostly the district centres to the north-west and around the Loughor estuary/river, and the rural north of</w:t>
      </w:r>
      <w:r w:rsidRPr="00AA5968">
        <w:rPr>
          <w:rFonts w:eastAsia="Aptos" w:cs="Arial"/>
        </w:rPr>
        <w:tab/>
        <w:t xml:space="preserve">the county. It consists of 28 lower layer super output areas. </w:t>
      </w:r>
    </w:p>
    <w:p w14:paraId="4C37056A" w14:textId="77777777" w:rsidR="00AA5968" w:rsidRPr="00AA5968" w:rsidRDefault="00AA5968" w:rsidP="00B76905">
      <w:pPr>
        <w:numPr>
          <w:ilvl w:val="0"/>
          <w:numId w:val="173"/>
        </w:numPr>
        <w:contextualSpacing/>
        <w:rPr>
          <w:rFonts w:eastAsia="Aptos" w:cs="Arial"/>
        </w:rPr>
      </w:pPr>
      <w:r w:rsidRPr="00AA5968">
        <w:rPr>
          <w:rFonts w:eastAsia="Aptos" w:cs="Arial"/>
        </w:rPr>
        <w:t>The locality is served by:</w:t>
      </w:r>
    </w:p>
    <w:p w14:paraId="75D79DD4" w14:textId="43044697" w:rsidR="00AA5968" w:rsidRPr="00AA5968" w:rsidRDefault="00AA5968" w:rsidP="00B76905">
      <w:pPr>
        <w:numPr>
          <w:ilvl w:val="1"/>
          <w:numId w:val="173"/>
        </w:numPr>
        <w:contextualSpacing/>
        <w:rPr>
          <w:rFonts w:eastAsia="Aptos" w:cs="Arial"/>
        </w:rPr>
      </w:pPr>
      <w:r w:rsidRPr="00AA5968">
        <w:rPr>
          <w:rFonts w:eastAsia="Aptos" w:cs="Arial"/>
        </w:rPr>
        <w:t>nine pharmacies operated by six contractors</w:t>
      </w:r>
    </w:p>
    <w:p w14:paraId="6BCEC48D" w14:textId="77777777" w:rsidR="00AA5968" w:rsidRPr="00AA5968" w:rsidRDefault="00AA5968" w:rsidP="00B76905">
      <w:pPr>
        <w:numPr>
          <w:ilvl w:val="1"/>
          <w:numId w:val="173"/>
        </w:numPr>
        <w:contextualSpacing/>
        <w:rPr>
          <w:rFonts w:eastAsia="Aptos" w:cs="Arial"/>
        </w:rPr>
      </w:pPr>
      <w:r w:rsidRPr="00AA5968">
        <w:rPr>
          <w:rFonts w:eastAsia="Aptos" w:cs="Arial"/>
        </w:rPr>
        <w:t xml:space="preserve">six dental practices that offer NHS treatment </w:t>
      </w:r>
    </w:p>
    <w:p w14:paraId="76573CD8" w14:textId="77777777" w:rsidR="00AA5968" w:rsidRPr="00AA5968" w:rsidRDefault="00AA5968" w:rsidP="00B76905">
      <w:pPr>
        <w:numPr>
          <w:ilvl w:val="1"/>
          <w:numId w:val="173"/>
        </w:numPr>
        <w:contextualSpacing/>
        <w:rPr>
          <w:rFonts w:eastAsia="Aptos" w:cs="Arial"/>
        </w:rPr>
      </w:pPr>
      <w:r w:rsidRPr="00AA5968">
        <w:rPr>
          <w:rFonts w:eastAsia="Aptos" w:cs="Arial"/>
        </w:rPr>
        <w:t xml:space="preserve">four optical practices </w:t>
      </w:r>
    </w:p>
    <w:p w14:paraId="0BC632C4" w14:textId="77777777" w:rsidR="00AA5968" w:rsidRPr="00AA5968" w:rsidRDefault="00AA5968" w:rsidP="00B76905">
      <w:pPr>
        <w:numPr>
          <w:ilvl w:val="1"/>
          <w:numId w:val="173"/>
        </w:numPr>
        <w:contextualSpacing/>
        <w:rPr>
          <w:rFonts w:eastAsia="Aptos" w:cs="Arial"/>
        </w:rPr>
      </w:pPr>
      <w:r w:rsidRPr="00AA5968">
        <w:rPr>
          <w:rFonts w:eastAsia="Aptos" w:cs="Arial"/>
        </w:rPr>
        <w:t>four GP practices (one of which operates two branch surgery sites)</w:t>
      </w:r>
    </w:p>
    <w:p w14:paraId="4D964C43" w14:textId="77777777" w:rsidR="00AA5968" w:rsidRPr="00AA5968" w:rsidRDefault="00AA5968" w:rsidP="00B76905">
      <w:pPr>
        <w:numPr>
          <w:ilvl w:val="0"/>
          <w:numId w:val="173"/>
        </w:numPr>
        <w:contextualSpacing/>
        <w:rPr>
          <w:rFonts w:eastAsia="Aptos" w:cs="Arial"/>
        </w:rPr>
      </w:pPr>
      <w:r w:rsidRPr="00AA5968">
        <w:rPr>
          <w:rFonts w:eastAsia="Aptos" w:cs="Arial"/>
        </w:rPr>
        <w:t>There is one hospital within the locality, Gorseinon Community Hospital, Brynawel Road, Gorseinon, Swansea SA4 4UU</w:t>
      </w:r>
    </w:p>
    <w:p w14:paraId="19F895FC" w14:textId="77777777" w:rsidR="00AA5968" w:rsidRPr="00AA5968" w:rsidRDefault="00AA5968" w:rsidP="00B76905">
      <w:pPr>
        <w:numPr>
          <w:ilvl w:val="0"/>
          <w:numId w:val="173"/>
        </w:numPr>
        <w:contextualSpacing/>
        <w:rPr>
          <w:rFonts w:eastAsia="Aptos" w:cs="Arial"/>
        </w:rPr>
      </w:pPr>
      <w:r w:rsidRPr="00AA5968">
        <w:rPr>
          <w:rFonts w:eastAsia="Aptos" w:cs="Arial"/>
        </w:rPr>
        <w:t>There are ten care home services within the locality of which four provide services to adults with nursing, and six to adults without nursing.</w:t>
      </w:r>
    </w:p>
    <w:p w14:paraId="709EB0BF" w14:textId="77777777" w:rsidR="00AA5968" w:rsidRPr="00AA5968" w:rsidRDefault="00AA5968" w:rsidP="00794C07">
      <w:pPr>
        <w:rPr>
          <w:rFonts w:eastAsia="Aptos" w:cs="Arial"/>
        </w:rPr>
      </w:pPr>
    </w:p>
    <w:p w14:paraId="12EF852D" w14:textId="77777777" w:rsidR="00AA5968" w:rsidRPr="00AA5968" w:rsidRDefault="00AA5968" w:rsidP="00794C07">
      <w:pPr>
        <w:rPr>
          <w:rFonts w:eastAsia="Times New Roman" w:cs="Arial"/>
          <w:b/>
          <w:bCs/>
          <w:kern w:val="0"/>
          <w:sz w:val="26"/>
          <w:szCs w:val="26"/>
          <w:lang w:eastAsia="en-GB"/>
          <w14:ligatures w14:val="none"/>
        </w:rPr>
      </w:pPr>
      <w:r w:rsidRPr="00AA5968">
        <w:rPr>
          <w:rFonts w:eastAsia="Times New Roman" w:cs="Arial"/>
          <w:b/>
          <w:bCs/>
          <w:kern w:val="0"/>
          <w:sz w:val="26"/>
          <w:szCs w:val="26"/>
          <w:lang w:eastAsia="en-GB"/>
          <w14:ligatures w14:val="none"/>
        </w:rPr>
        <w:t xml:space="preserve">11.2 Key population features </w:t>
      </w:r>
    </w:p>
    <w:p w14:paraId="09D4D782" w14:textId="77777777" w:rsidR="00AA5968" w:rsidRPr="00AA5968" w:rsidRDefault="00AA5968" w:rsidP="00794C07">
      <w:pPr>
        <w:rPr>
          <w:rFonts w:eastAsia="Times New Roman" w:cs="Arial"/>
          <w:kern w:val="0"/>
          <w:lang w:eastAsia="en-GB"/>
          <w14:ligatures w14:val="none"/>
        </w:rPr>
      </w:pPr>
    </w:p>
    <w:p w14:paraId="455C46A1"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11.2.1 Population projections 2022 to 2032</w:t>
      </w:r>
    </w:p>
    <w:p w14:paraId="000E755E" w14:textId="77777777" w:rsidR="00AA5968" w:rsidRPr="00D0306F" w:rsidRDefault="00AA5968" w:rsidP="00794C07">
      <w:pPr>
        <w:rPr>
          <w:rFonts w:eastAsia="Times New Roman" w:cs="Arial"/>
          <w:kern w:val="0"/>
          <w:lang w:eastAsia="en-GB"/>
          <w14:ligatures w14:val="none"/>
        </w:rPr>
      </w:pPr>
    </w:p>
    <w:p w14:paraId="18B64E3E" w14:textId="49A3430C" w:rsidR="00741989" w:rsidRPr="00AA5968" w:rsidRDefault="00741989" w:rsidP="00794C07">
      <w:pPr>
        <w:rPr>
          <w:rFonts w:eastAsia="Times New Roman" w:cs="Arial"/>
          <w:kern w:val="0"/>
          <w:lang w:eastAsia="en-GB"/>
          <w14:ligatures w14:val="none"/>
        </w:rPr>
      </w:pPr>
      <w:r w:rsidRPr="00D0306F">
        <w:rPr>
          <w:rFonts w:eastAsia="Times New Roman" w:cs="Arial"/>
          <w:kern w:val="0"/>
          <w:lang w:eastAsia="en-GB"/>
          <w14:ligatures w14:val="none"/>
        </w:rPr>
        <w:t xml:space="preserve">The population of Swansea is projected to increase by up to 6.1% between 2022 and </w:t>
      </w:r>
    </w:p>
    <w:p w14:paraId="45B959AF" w14:textId="17501122"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lastRenderedPageBreak/>
        <w:t>2032, an increase of 14,894 people. It is projected that by 2032</w:t>
      </w:r>
      <w:r w:rsidRPr="00AA5968">
        <w:rPr>
          <w:rFonts w:eastAsia="Times New Roman" w:cs="Arial"/>
          <w:kern w:val="0"/>
          <w:vertAlign w:val="superscript"/>
          <w:lang w:eastAsia="en-GB"/>
          <w14:ligatures w14:val="none"/>
        </w:rPr>
        <w:footnoteReference w:id="278"/>
      </w:r>
      <w:r w:rsidRPr="00AA5968">
        <w:rPr>
          <w:rFonts w:eastAsia="Times New Roman" w:cs="Arial"/>
          <w:kern w:val="0"/>
          <w:lang w:eastAsia="en-GB"/>
          <w14:ligatures w14:val="none"/>
        </w:rPr>
        <w:t xml:space="preserve"> Swansea local authority will see:</w:t>
      </w:r>
    </w:p>
    <w:p w14:paraId="72B273CD" w14:textId="77777777" w:rsidR="00AA5968" w:rsidRPr="00AA5968" w:rsidRDefault="00AA5968" w:rsidP="00794C07">
      <w:pPr>
        <w:rPr>
          <w:rFonts w:eastAsia="Times New Roman" w:cs="Arial"/>
          <w:kern w:val="0"/>
          <w:lang w:eastAsia="en-GB"/>
          <w14:ligatures w14:val="none"/>
        </w:rPr>
      </w:pPr>
    </w:p>
    <w:p w14:paraId="43117629" w14:textId="77777777" w:rsidR="00AA5968" w:rsidRPr="00AA5968" w:rsidRDefault="00AA5968" w:rsidP="00B76905">
      <w:pPr>
        <w:numPr>
          <w:ilvl w:val="0"/>
          <w:numId w:val="141"/>
        </w:numPr>
        <w:ind w:left="714" w:hanging="357"/>
        <w:contextualSpacing/>
        <w:rPr>
          <w:rFonts w:eastAsia="Times New Roman" w:cs="Arial"/>
          <w:kern w:val="0"/>
          <w:lang w:eastAsia="en-GB"/>
          <w14:ligatures w14:val="none"/>
        </w:rPr>
      </w:pPr>
      <w:r w:rsidRPr="00AA5968">
        <w:rPr>
          <w:rFonts w:eastAsia="Times New Roman" w:cs="Arial"/>
          <w:kern w:val="0"/>
          <w:lang w:eastAsia="en-GB"/>
          <w14:ligatures w14:val="none"/>
        </w:rPr>
        <w:t>a decrease in the number of people aged 0 to 15 years</w:t>
      </w:r>
    </w:p>
    <w:p w14:paraId="0FEED1F2" w14:textId="77777777" w:rsidR="00AA5968" w:rsidRPr="00AA5968" w:rsidRDefault="00AA5968" w:rsidP="00B76905">
      <w:pPr>
        <w:numPr>
          <w:ilvl w:val="0"/>
          <w:numId w:val="141"/>
        </w:numPr>
        <w:ind w:left="714" w:hanging="357"/>
        <w:contextualSpacing/>
        <w:rPr>
          <w:rFonts w:eastAsia="Times New Roman" w:cs="Arial"/>
          <w:kern w:val="0"/>
          <w:lang w:eastAsia="en-GB"/>
          <w14:ligatures w14:val="none"/>
        </w:rPr>
      </w:pPr>
      <w:r w:rsidRPr="00AA5968">
        <w:rPr>
          <w:rFonts w:eastAsia="Times New Roman" w:cs="Arial"/>
          <w:kern w:val="0"/>
          <w:lang w:eastAsia="en-GB"/>
          <w14:ligatures w14:val="none"/>
        </w:rPr>
        <w:t xml:space="preserve">an increase in the working age population 16 to 64 years (one of eight local authorities that will see the largest increases) </w:t>
      </w:r>
    </w:p>
    <w:p w14:paraId="57F8FC97" w14:textId="77777777" w:rsidR="00AA5968" w:rsidRPr="00AA5968" w:rsidRDefault="00AA5968" w:rsidP="00B76905">
      <w:pPr>
        <w:numPr>
          <w:ilvl w:val="0"/>
          <w:numId w:val="141"/>
        </w:numPr>
        <w:ind w:left="714" w:hanging="357"/>
        <w:contextualSpacing/>
        <w:rPr>
          <w:rFonts w:eastAsia="Times New Roman" w:cs="Arial"/>
          <w:kern w:val="0"/>
          <w:lang w:eastAsia="en-GB"/>
          <w14:ligatures w14:val="none"/>
        </w:rPr>
      </w:pPr>
      <w:r w:rsidRPr="00AA5968">
        <w:rPr>
          <w:rFonts w:eastAsia="Times New Roman" w:cs="Arial"/>
          <w:kern w:val="0"/>
          <w:lang w:eastAsia="en-GB"/>
          <w14:ligatures w14:val="none"/>
        </w:rPr>
        <w:t xml:space="preserve">an increase in the population aged 65 years </w:t>
      </w:r>
    </w:p>
    <w:p w14:paraId="05FF183B" w14:textId="77777777" w:rsidR="00AA5968" w:rsidRPr="00AA5968" w:rsidRDefault="00AA5968" w:rsidP="00B76905">
      <w:pPr>
        <w:numPr>
          <w:ilvl w:val="0"/>
          <w:numId w:val="141"/>
        </w:numPr>
        <w:ind w:left="714" w:hanging="357"/>
        <w:contextualSpacing/>
        <w:rPr>
          <w:rFonts w:eastAsia="Times New Roman" w:cs="Arial"/>
          <w:kern w:val="0"/>
          <w:lang w:eastAsia="en-GB"/>
          <w14:ligatures w14:val="none"/>
        </w:rPr>
      </w:pPr>
      <w:r w:rsidRPr="00AA5968">
        <w:rPr>
          <w:rFonts w:eastAsia="Times New Roman" w:cs="Arial"/>
          <w:kern w:val="0"/>
          <w:lang w:eastAsia="en-GB"/>
          <w14:ligatures w14:val="none"/>
        </w:rPr>
        <w:t>an increase in the population aged 75 years and over</w:t>
      </w:r>
    </w:p>
    <w:p w14:paraId="26514E13" w14:textId="77777777" w:rsidR="00AA5968" w:rsidRPr="00AA5968" w:rsidRDefault="00AA5968" w:rsidP="00794C07">
      <w:pPr>
        <w:rPr>
          <w:rFonts w:eastAsia="Times New Roman" w:cs="Arial"/>
          <w:kern w:val="0"/>
          <w:lang w:eastAsia="en-GB"/>
          <w14:ligatures w14:val="none"/>
        </w:rPr>
      </w:pPr>
    </w:p>
    <w:p w14:paraId="182D030D"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The population is projected to continue to age in the local authority over this period.</w:t>
      </w:r>
    </w:p>
    <w:p w14:paraId="11DABC87" w14:textId="77777777" w:rsidR="00AA5968" w:rsidRPr="00AA5968" w:rsidRDefault="00AA5968" w:rsidP="00794C07">
      <w:pPr>
        <w:rPr>
          <w:rFonts w:eastAsia="Times New Roman" w:cs="Arial"/>
          <w:kern w:val="0"/>
          <w:lang w:eastAsia="en-GB"/>
          <w14:ligatures w14:val="none"/>
        </w:rPr>
      </w:pPr>
    </w:p>
    <w:p w14:paraId="0F7F405E"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 xml:space="preserve">11.2.2 Total life expectancy, healthy life expectancy and the ‘inequality gap’ (2020 to 2022) </w:t>
      </w:r>
    </w:p>
    <w:p w14:paraId="1FD507E7" w14:textId="77777777" w:rsidR="00AA5968" w:rsidRPr="00AA5968" w:rsidRDefault="00AA5968" w:rsidP="00794C07">
      <w:pPr>
        <w:rPr>
          <w:rFonts w:eastAsia="Times New Roman" w:cs="Arial"/>
          <w:b/>
          <w:bCs/>
          <w:kern w:val="0"/>
          <w:lang w:eastAsia="en-GB"/>
          <w14:ligatures w14:val="none"/>
        </w:rPr>
      </w:pPr>
    </w:p>
    <w:p w14:paraId="4A9CF3C5" w14:textId="77777777" w:rsidR="00AA5968" w:rsidRPr="00AA5968" w:rsidRDefault="00AA5968" w:rsidP="00B76905">
      <w:pPr>
        <w:numPr>
          <w:ilvl w:val="0"/>
          <w:numId w:val="157"/>
        </w:numPr>
        <w:contextualSpacing/>
        <w:rPr>
          <w:rFonts w:eastAsia="Calibri" w:cs="Arial"/>
          <w:kern w:val="0"/>
          <w:shd w:val="clear" w:color="auto" w:fill="FFFFFF"/>
          <w14:ligatures w14:val="none"/>
        </w:rPr>
      </w:pPr>
      <w:r w:rsidRPr="00AA5968">
        <w:rPr>
          <w:rFonts w:eastAsia="Calibri" w:cs="Arial"/>
          <w:kern w:val="0"/>
          <w:shd w:val="clear" w:color="auto" w:fill="FFFFFF"/>
          <w14:ligatures w14:val="none"/>
        </w:rPr>
        <w:t xml:space="preserve">Swansea local authority has a lower total life expectancy at birth for females and for males when compared to the average for Wales (table 11.1). </w:t>
      </w:r>
    </w:p>
    <w:p w14:paraId="0240B805" w14:textId="77777777" w:rsidR="00AA5968" w:rsidRPr="00AA5968" w:rsidRDefault="00AA5968" w:rsidP="00B76905">
      <w:pPr>
        <w:numPr>
          <w:ilvl w:val="0"/>
          <w:numId w:val="158"/>
        </w:numPr>
        <w:ind w:left="357"/>
        <w:contextualSpacing/>
        <w:rPr>
          <w:rFonts w:eastAsia="Calibri" w:cs="Arial"/>
          <w:kern w:val="0"/>
          <w14:ligatures w14:val="none"/>
        </w:rPr>
      </w:pPr>
      <w:r w:rsidRPr="00AA5968">
        <w:rPr>
          <w:rFonts w:eastAsia="Calibri" w:cs="Arial"/>
          <w:bCs/>
          <w:kern w:val="0"/>
          <w14:ligatures w14:val="none"/>
        </w:rPr>
        <w:t>Healthy life expectancy</w:t>
      </w:r>
      <w:r w:rsidRPr="00AA5968">
        <w:rPr>
          <w:rFonts w:eastAsia="Calibri" w:cs="Arial"/>
          <w:bCs/>
          <w:kern w:val="0"/>
          <w:vertAlign w:val="superscript"/>
          <w14:ligatures w14:val="none"/>
        </w:rPr>
        <w:footnoteReference w:id="279"/>
      </w:r>
      <w:r w:rsidRPr="00AA5968">
        <w:rPr>
          <w:rFonts w:eastAsia="Calibri" w:cs="Arial"/>
          <w:bCs/>
          <w:kern w:val="0"/>
          <w14:ligatures w14:val="none"/>
        </w:rPr>
        <w:t xml:space="preserve">, defined as </w:t>
      </w:r>
      <w:r w:rsidRPr="00AA5968">
        <w:rPr>
          <w:rFonts w:eastAsia="Calibri" w:cs="Arial"/>
          <w:kern w:val="0"/>
          <w14:ligatures w14:val="none"/>
        </w:rPr>
        <w:t>the number of years a person can expect to live in good health, is measured at local authority level. In Swansea, healthy life expectancy stands at 59.9 years for males and 59.6 years for females. Comparatively, the Wales average is slightly higher at 60.8 years for males and 60.2 years for females. This indicates that both males and females in Swansea enjoy fewer years of good health than the average across Wales.</w:t>
      </w:r>
    </w:p>
    <w:p w14:paraId="07E03711" w14:textId="77777777" w:rsidR="00AA5968" w:rsidRPr="00AA5968" w:rsidRDefault="00AA5968" w:rsidP="00B76905">
      <w:pPr>
        <w:numPr>
          <w:ilvl w:val="0"/>
          <w:numId w:val="158"/>
        </w:numPr>
        <w:ind w:left="357"/>
        <w:contextualSpacing/>
        <w:rPr>
          <w:rFonts w:eastAsia="Calibri" w:cs="Arial"/>
          <w:kern w:val="0"/>
          <w14:ligatures w14:val="none"/>
        </w:rPr>
      </w:pPr>
      <w:r w:rsidRPr="00AA5968">
        <w:rPr>
          <w:rFonts w:eastAsia="Calibri" w:cs="Arial"/>
          <w:kern w:val="0"/>
          <w14:ligatures w14:val="none"/>
        </w:rPr>
        <w:t>The differences in healthy life expectancy that exist across an area between the most and least deprived areas is referred to as the ‘inequality gap’. The inequality gap for healthy life expectancy in Swansea is 10.9 years for males and 7.9 years for females</w:t>
      </w:r>
      <w:r w:rsidRPr="00AA5968">
        <w:rPr>
          <w:rFonts w:eastAsia="Calibri" w:cs="Arial"/>
          <w:kern w:val="0"/>
          <w:vertAlign w:val="superscript"/>
          <w14:ligatures w14:val="none"/>
        </w:rPr>
        <w:footnoteReference w:id="280"/>
      </w:r>
      <w:r w:rsidRPr="00AA5968">
        <w:rPr>
          <w:rFonts w:eastAsia="Calibri" w:cs="Arial"/>
          <w:kern w:val="0"/>
          <w14:ligatures w14:val="none"/>
        </w:rPr>
        <w:t xml:space="preserve">. </w:t>
      </w:r>
    </w:p>
    <w:p w14:paraId="3FAD30D7" w14:textId="77777777" w:rsidR="00AA5968" w:rsidRPr="00AA5968" w:rsidRDefault="00AA5968" w:rsidP="00794C07">
      <w:pPr>
        <w:rPr>
          <w:rFonts w:eastAsia="Times New Roman" w:cs="Arial"/>
          <w:kern w:val="0"/>
          <w:lang w:eastAsia="en-GB"/>
          <w14:ligatures w14:val="none"/>
        </w:rPr>
      </w:pPr>
    </w:p>
    <w:p w14:paraId="72377246"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Table 11.1: Total life expectancy at birth for females and males, 2020 to 2022</w:t>
      </w:r>
      <w:r w:rsidRPr="00AA5968">
        <w:rPr>
          <w:rFonts w:eastAsia="Times New Roman" w:cs="Arial"/>
          <w:b/>
          <w:bCs/>
          <w:kern w:val="0"/>
          <w:vertAlign w:val="superscript"/>
          <w:lang w:eastAsia="en-GB"/>
          <w14:ligatures w14:val="none"/>
        </w:rPr>
        <w:footnoteReference w:id="281"/>
      </w:r>
    </w:p>
    <w:p w14:paraId="5427D19A" w14:textId="77777777" w:rsidR="00AA5968" w:rsidRPr="00AA5968" w:rsidRDefault="00AA5968" w:rsidP="00794C07">
      <w:pPr>
        <w:rPr>
          <w:rFonts w:eastAsia="Times New Roman" w:cs="Arial"/>
          <w:b/>
          <w:bCs/>
          <w:kern w:val="0"/>
          <w:lang w:eastAsia="en-GB"/>
          <w14:ligatures w14:val="none"/>
        </w:rPr>
      </w:pPr>
    </w:p>
    <w:tbl>
      <w:tblPr>
        <w:tblStyle w:val="TableGrid"/>
        <w:tblW w:w="0" w:type="auto"/>
        <w:tblInd w:w="0" w:type="dxa"/>
        <w:tblLook w:val="04A0" w:firstRow="1" w:lastRow="0" w:firstColumn="1" w:lastColumn="0" w:noHBand="0" w:noVBand="1"/>
      </w:tblPr>
      <w:tblGrid>
        <w:gridCol w:w="3005"/>
        <w:gridCol w:w="3005"/>
        <w:gridCol w:w="3006"/>
      </w:tblGrid>
      <w:tr w:rsidR="00AA5968" w:rsidRPr="00D0306F" w14:paraId="3EEF91AD" w14:textId="77777777" w:rsidTr="00AA5968">
        <w:tc>
          <w:tcPr>
            <w:tcW w:w="3005" w:type="dxa"/>
            <w:tcBorders>
              <w:top w:val="single" w:sz="4" w:space="0" w:color="auto"/>
              <w:left w:val="single" w:sz="4" w:space="0" w:color="auto"/>
              <w:bottom w:val="single" w:sz="4" w:space="0" w:color="auto"/>
              <w:right w:val="single" w:sz="4" w:space="0" w:color="auto"/>
            </w:tcBorders>
            <w:shd w:val="clear" w:color="auto" w:fill="153D63"/>
            <w:hideMark/>
          </w:tcPr>
          <w:p w14:paraId="16A0E99F" w14:textId="77777777" w:rsidR="00AA5968" w:rsidRPr="00AA5968" w:rsidRDefault="00AA5968" w:rsidP="00794C07">
            <w:pPr>
              <w:rPr>
                <w:rFonts w:cs="Arial"/>
                <w:b/>
                <w:bCs/>
              </w:rPr>
            </w:pPr>
            <w:r w:rsidRPr="00AA5968">
              <w:rPr>
                <w:rFonts w:cs="Arial"/>
                <w:b/>
                <w:bCs/>
              </w:rPr>
              <w:t>Area</w:t>
            </w:r>
          </w:p>
        </w:tc>
        <w:tc>
          <w:tcPr>
            <w:tcW w:w="3005" w:type="dxa"/>
            <w:tcBorders>
              <w:top w:val="single" w:sz="4" w:space="0" w:color="auto"/>
              <w:left w:val="single" w:sz="4" w:space="0" w:color="auto"/>
              <w:bottom w:val="single" w:sz="4" w:space="0" w:color="auto"/>
              <w:right w:val="single" w:sz="4" w:space="0" w:color="auto"/>
            </w:tcBorders>
            <w:shd w:val="clear" w:color="auto" w:fill="153D63"/>
            <w:hideMark/>
          </w:tcPr>
          <w:p w14:paraId="362F4916" w14:textId="77777777" w:rsidR="00AA5968" w:rsidRPr="00AA5968" w:rsidRDefault="00AA5968" w:rsidP="00794C07">
            <w:pPr>
              <w:rPr>
                <w:rFonts w:cs="Arial"/>
                <w:b/>
                <w:bCs/>
              </w:rPr>
            </w:pPr>
            <w:r w:rsidRPr="00AA5968">
              <w:rPr>
                <w:rFonts w:cs="Arial"/>
                <w:b/>
                <w:bCs/>
              </w:rPr>
              <w:t>Female at birth (years)</w:t>
            </w:r>
          </w:p>
        </w:tc>
        <w:tc>
          <w:tcPr>
            <w:tcW w:w="3006" w:type="dxa"/>
            <w:tcBorders>
              <w:top w:val="single" w:sz="4" w:space="0" w:color="auto"/>
              <w:left w:val="single" w:sz="4" w:space="0" w:color="auto"/>
              <w:bottom w:val="single" w:sz="4" w:space="0" w:color="auto"/>
              <w:right w:val="single" w:sz="4" w:space="0" w:color="auto"/>
            </w:tcBorders>
            <w:shd w:val="clear" w:color="auto" w:fill="153D63"/>
            <w:hideMark/>
          </w:tcPr>
          <w:p w14:paraId="4F13A00A" w14:textId="77777777" w:rsidR="00AA5968" w:rsidRPr="00AA5968" w:rsidRDefault="00AA5968" w:rsidP="00794C07">
            <w:pPr>
              <w:rPr>
                <w:rFonts w:cs="Arial"/>
                <w:b/>
                <w:bCs/>
              </w:rPr>
            </w:pPr>
            <w:r w:rsidRPr="00AA5968">
              <w:rPr>
                <w:rFonts w:cs="Arial"/>
                <w:b/>
                <w:bCs/>
              </w:rPr>
              <w:t>Male at birth (years)</w:t>
            </w:r>
          </w:p>
        </w:tc>
      </w:tr>
      <w:tr w:rsidR="00AA5968" w:rsidRPr="00AA5968" w14:paraId="7C45E5AA" w14:textId="77777777" w:rsidTr="00AA5968">
        <w:tc>
          <w:tcPr>
            <w:tcW w:w="3005" w:type="dxa"/>
            <w:tcBorders>
              <w:top w:val="single" w:sz="4" w:space="0" w:color="auto"/>
              <w:left w:val="single" w:sz="4" w:space="0" w:color="auto"/>
              <w:bottom w:val="single" w:sz="4" w:space="0" w:color="auto"/>
              <w:right w:val="single" w:sz="4" w:space="0" w:color="auto"/>
            </w:tcBorders>
            <w:hideMark/>
          </w:tcPr>
          <w:p w14:paraId="07B45EDC" w14:textId="77777777" w:rsidR="00AA5968" w:rsidRPr="00AA5968" w:rsidRDefault="00AA5968" w:rsidP="00794C07">
            <w:pPr>
              <w:rPr>
                <w:rFonts w:cs="Arial"/>
              </w:rPr>
            </w:pPr>
            <w:r w:rsidRPr="00AA5968">
              <w:rPr>
                <w:rFonts w:cs="Arial"/>
              </w:rPr>
              <w:t>Swansea</w:t>
            </w:r>
          </w:p>
        </w:tc>
        <w:tc>
          <w:tcPr>
            <w:tcW w:w="3005" w:type="dxa"/>
            <w:tcBorders>
              <w:top w:val="single" w:sz="4" w:space="0" w:color="auto"/>
              <w:left w:val="single" w:sz="4" w:space="0" w:color="auto"/>
              <w:bottom w:val="single" w:sz="4" w:space="0" w:color="auto"/>
              <w:right w:val="single" w:sz="4" w:space="0" w:color="auto"/>
            </w:tcBorders>
            <w:hideMark/>
          </w:tcPr>
          <w:p w14:paraId="2DA7DC90" w14:textId="77777777" w:rsidR="00AA5968" w:rsidRPr="00AA5968" w:rsidRDefault="00AA5968" w:rsidP="00794C07">
            <w:pPr>
              <w:rPr>
                <w:rFonts w:cs="Arial"/>
              </w:rPr>
            </w:pPr>
            <w:r w:rsidRPr="00AA5968">
              <w:rPr>
                <w:rFonts w:cs="Arial"/>
              </w:rPr>
              <w:t>81.5</w:t>
            </w:r>
          </w:p>
        </w:tc>
        <w:tc>
          <w:tcPr>
            <w:tcW w:w="3006" w:type="dxa"/>
            <w:tcBorders>
              <w:top w:val="single" w:sz="4" w:space="0" w:color="auto"/>
              <w:left w:val="single" w:sz="4" w:space="0" w:color="auto"/>
              <w:bottom w:val="single" w:sz="4" w:space="0" w:color="auto"/>
              <w:right w:val="single" w:sz="4" w:space="0" w:color="auto"/>
            </w:tcBorders>
            <w:hideMark/>
          </w:tcPr>
          <w:p w14:paraId="1BC55476" w14:textId="77777777" w:rsidR="00AA5968" w:rsidRPr="00AA5968" w:rsidRDefault="00AA5968" w:rsidP="00794C07">
            <w:pPr>
              <w:rPr>
                <w:rFonts w:cs="Arial"/>
              </w:rPr>
            </w:pPr>
            <w:r w:rsidRPr="00AA5968">
              <w:rPr>
                <w:rFonts w:cs="Arial"/>
              </w:rPr>
              <w:t>76.9</w:t>
            </w:r>
          </w:p>
        </w:tc>
      </w:tr>
      <w:tr w:rsidR="00AA5968" w:rsidRPr="00D0306F" w14:paraId="1EB19C1D" w14:textId="77777777" w:rsidTr="00AA5968">
        <w:tc>
          <w:tcPr>
            <w:tcW w:w="3005" w:type="dxa"/>
            <w:tcBorders>
              <w:top w:val="single" w:sz="4" w:space="0" w:color="auto"/>
              <w:left w:val="single" w:sz="4" w:space="0" w:color="auto"/>
              <w:bottom w:val="single" w:sz="4" w:space="0" w:color="auto"/>
              <w:right w:val="single" w:sz="4" w:space="0" w:color="auto"/>
            </w:tcBorders>
            <w:hideMark/>
          </w:tcPr>
          <w:p w14:paraId="2088B0CF" w14:textId="77777777" w:rsidR="00AA5968" w:rsidRPr="00AA5968" w:rsidRDefault="00AA5968" w:rsidP="00794C07">
            <w:pPr>
              <w:rPr>
                <w:rFonts w:cs="Arial"/>
              </w:rPr>
            </w:pPr>
            <w:r w:rsidRPr="00AA5968">
              <w:rPr>
                <w:rFonts w:cs="Arial"/>
              </w:rPr>
              <w:t>Wales</w:t>
            </w:r>
          </w:p>
        </w:tc>
        <w:tc>
          <w:tcPr>
            <w:tcW w:w="3005" w:type="dxa"/>
            <w:tcBorders>
              <w:top w:val="single" w:sz="4" w:space="0" w:color="auto"/>
              <w:left w:val="single" w:sz="4" w:space="0" w:color="auto"/>
              <w:bottom w:val="single" w:sz="4" w:space="0" w:color="auto"/>
              <w:right w:val="single" w:sz="4" w:space="0" w:color="auto"/>
            </w:tcBorders>
            <w:shd w:val="clear" w:color="auto" w:fill="FFFFFF"/>
            <w:hideMark/>
          </w:tcPr>
          <w:p w14:paraId="36F3A707" w14:textId="77777777" w:rsidR="00AA5968" w:rsidRPr="00AA5968" w:rsidRDefault="00AA5968" w:rsidP="00794C07">
            <w:pPr>
              <w:rPr>
                <w:rFonts w:cs="Arial"/>
              </w:rPr>
            </w:pPr>
            <w:r w:rsidRPr="00AA5968">
              <w:rPr>
                <w:rFonts w:cs="Arial"/>
              </w:rPr>
              <w:t>81.8</w:t>
            </w:r>
          </w:p>
        </w:tc>
        <w:tc>
          <w:tcPr>
            <w:tcW w:w="3006" w:type="dxa"/>
            <w:tcBorders>
              <w:top w:val="single" w:sz="4" w:space="0" w:color="auto"/>
              <w:left w:val="single" w:sz="4" w:space="0" w:color="auto"/>
              <w:bottom w:val="single" w:sz="4" w:space="0" w:color="auto"/>
              <w:right w:val="single" w:sz="4" w:space="0" w:color="auto"/>
            </w:tcBorders>
            <w:shd w:val="clear" w:color="auto" w:fill="FFFFFF"/>
            <w:hideMark/>
          </w:tcPr>
          <w:p w14:paraId="3C5B895D" w14:textId="77777777" w:rsidR="00AA5968" w:rsidRPr="00AA5968" w:rsidRDefault="00AA5968" w:rsidP="00794C07">
            <w:pPr>
              <w:rPr>
                <w:rFonts w:cs="Arial"/>
              </w:rPr>
            </w:pPr>
            <w:r w:rsidRPr="00AA5968">
              <w:rPr>
                <w:rFonts w:cs="Arial"/>
              </w:rPr>
              <w:t>77.9</w:t>
            </w:r>
          </w:p>
        </w:tc>
      </w:tr>
    </w:tbl>
    <w:p w14:paraId="1EBECA85" w14:textId="77777777" w:rsidR="00AA5968" w:rsidRPr="00AA5968" w:rsidRDefault="00AA5968" w:rsidP="00794C07">
      <w:pPr>
        <w:contextualSpacing/>
        <w:rPr>
          <w:rFonts w:eastAsia="Aptos" w:cs="Arial"/>
        </w:rPr>
      </w:pPr>
    </w:p>
    <w:p w14:paraId="186C1CD2" w14:textId="77777777" w:rsidR="00AA5968" w:rsidRPr="00AA5968" w:rsidRDefault="00AA5968" w:rsidP="00794C07">
      <w:pPr>
        <w:contextualSpacing/>
        <w:rPr>
          <w:rFonts w:eastAsia="Aptos" w:cs="Arial"/>
          <w:kern w:val="0"/>
          <w14:ligatures w14:val="none"/>
        </w:rPr>
      </w:pPr>
      <w:r w:rsidRPr="00AA5968">
        <w:rPr>
          <w:rFonts w:eastAsia="Aptos" w:cs="Arial"/>
        </w:rPr>
        <w:t>Disclaimer: Whilst the data presented in healthy life expectancy show figures for 2024, data from the years 2020 to 2022 have been used to ensure consistency and comparability across all years.</w:t>
      </w:r>
    </w:p>
    <w:p w14:paraId="069A693A" w14:textId="77777777" w:rsidR="00AA5968" w:rsidRPr="00AA5968" w:rsidRDefault="00AA5968" w:rsidP="00794C07">
      <w:pPr>
        <w:rPr>
          <w:rFonts w:eastAsia="Times New Roman" w:cs="Arial"/>
          <w:b/>
          <w:bCs/>
          <w:kern w:val="0"/>
          <w:lang w:eastAsia="en-GB"/>
          <w14:ligatures w14:val="none"/>
        </w:rPr>
      </w:pPr>
    </w:p>
    <w:p w14:paraId="6CC38DBD"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11.2.3 Deprivation</w:t>
      </w:r>
    </w:p>
    <w:p w14:paraId="25218A4A" w14:textId="77777777" w:rsidR="00AA5968" w:rsidRPr="00AA5968" w:rsidRDefault="00AA5968" w:rsidP="00794C07">
      <w:pPr>
        <w:rPr>
          <w:rFonts w:eastAsia="Times New Roman" w:cs="Arial"/>
          <w:b/>
          <w:bCs/>
          <w:kern w:val="0"/>
          <w:lang w:eastAsia="en-GB"/>
          <w14:ligatures w14:val="none"/>
        </w:rPr>
      </w:pPr>
    </w:p>
    <w:p w14:paraId="12C311D3" w14:textId="77777777" w:rsidR="00AA5968" w:rsidRPr="00AA5968" w:rsidRDefault="00AA5968" w:rsidP="00794C07">
      <w:pPr>
        <w:contextualSpacing/>
        <w:rPr>
          <w:rFonts w:eastAsia="Aptos" w:cs="Arial"/>
          <w:lang w:eastAsia="en-GB"/>
        </w:rPr>
      </w:pPr>
      <w:r w:rsidRPr="00AA5968">
        <w:rPr>
          <w:rFonts w:eastAsia="Aptos" w:cs="Arial"/>
        </w:rPr>
        <w:t xml:space="preserve">The link between deprivation and poor health is well documented. Of the five localities in Swansea, Llwchwr has a low proportion of people living in the most deprived areas in Wales (8.4%), compared with Bay Health (8.3%), Cwmtawe (22.0%), City Health (47.1%) and Penderi (49.7%), and the health board as a whole </w:t>
      </w:r>
      <w:r w:rsidRPr="00AA5968">
        <w:rPr>
          <w:rFonts w:eastAsia="Aptos" w:cs="Arial"/>
        </w:rPr>
        <w:lastRenderedPageBreak/>
        <w:t xml:space="preserve">(27.9%). </w:t>
      </w:r>
      <w:r w:rsidRPr="00AA5968">
        <w:rPr>
          <w:rFonts w:eastAsia="Times New Roman" w:cs="Arial"/>
          <w:kern w:val="0"/>
          <w:lang w:eastAsia="en-GB"/>
          <w14:ligatures w14:val="none"/>
        </w:rPr>
        <w:t>There are, however, small areas of “deep-rooted” deprivation</w:t>
      </w:r>
      <w:r w:rsidRPr="00AA5968">
        <w:rPr>
          <w:rFonts w:eastAsia="Times New Roman" w:cs="Arial"/>
          <w:kern w:val="0"/>
          <w:vertAlign w:val="superscript"/>
          <w:lang w:eastAsia="en-GB"/>
          <w14:ligatures w14:val="none"/>
        </w:rPr>
        <w:footnoteReference w:id="282"/>
      </w:r>
      <w:r w:rsidRPr="00AA5968">
        <w:rPr>
          <w:rFonts w:eastAsia="Times New Roman" w:cs="Arial"/>
          <w:kern w:val="0"/>
          <w:lang w:eastAsia="en-GB"/>
          <w14:ligatures w14:val="none"/>
        </w:rPr>
        <w:t xml:space="preserve"> that have remained within the top 50 most deprived areas, roughly equal to the top 2.6% of small areas in Wales for the last six publications of the Welsh Index of Multiple deprivation ranks. Where areas of deprivation exist, the population is likely to be experiencing the poorest health.</w:t>
      </w:r>
    </w:p>
    <w:p w14:paraId="608F966E" w14:textId="77777777" w:rsidR="00AA5968" w:rsidRPr="00AA5968" w:rsidRDefault="00AA5968" w:rsidP="00794C07">
      <w:pPr>
        <w:rPr>
          <w:rFonts w:eastAsia="Times New Roman" w:cs="Arial"/>
          <w:b/>
          <w:bCs/>
          <w:kern w:val="0"/>
          <w:lang w:eastAsia="en-GB"/>
          <w14:ligatures w14:val="none"/>
        </w:rPr>
      </w:pPr>
    </w:p>
    <w:p w14:paraId="7F8ADE70"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The table below shows, the estimated percentage of people living in the most deprived 20% areas in the locality, compared with the health board.</w:t>
      </w:r>
    </w:p>
    <w:p w14:paraId="0D845EC9" w14:textId="77777777" w:rsidR="00AA5968" w:rsidRPr="00AA5968" w:rsidRDefault="00AA5968" w:rsidP="00794C07">
      <w:pPr>
        <w:rPr>
          <w:rFonts w:eastAsia="Times New Roman" w:cs="Arial"/>
          <w:kern w:val="0"/>
          <w:lang w:eastAsia="en-GB"/>
          <w14:ligatures w14:val="none"/>
        </w:rPr>
      </w:pPr>
    </w:p>
    <w:p w14:paraId="2A34EE4F"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Table 11.2: Estimated percentage of people living in the most deprived 20% of areas in the locality and the health board (2025)</w:t>
      </w:r>
      <w:r w:rsidRPr="00AA5968">
        <w:rPr>
          <w:rFonts w:eastAsia="Times New Roman" w:cs="Arial"/>
          <w:b/>
          <w:bCs/>
          <w:kern w:val="0"/>
          <w:vertAlign w:val="superscript"/>
          <w:lang w:eastAsia="en-GB"/>
          <w14:ligatures w14:val="none"/>
        </w:rPr>
        <w:footnoteReference w:id="283"/>
      </w:r>
    </w:p>
    <w:p w14:paraId="4BA70366" w14:textId="77777777" w:rsidR="00AA5968" w:rsidRPr="00AA5968" w:rsidRDefault="00AA5968" w:rsidP="00794C07">
      <w:pPr>
        <w:rPr>
          <w:rFonts w:eastAsia="Times New Roman" w:cs="Arial"/>
          <w:b/>
          <w:bCs/>
          <w:kern w:val="0"/>
          <w:lang w:eastAsia="en-GB"/>
          <w14:ligatures w14:val="none"/>
        </w:rPr>
      </w:pPr>
    </w:p>
    <w:tbl>
      <w:tblPr>
        <w:tblStyle w:val="TableGrid"/>
        <w:tblW w:w="0" w:type="auto"/>
        <w:tblInd w:w="0" w:type="dxa"/>
        <w:tblLook w:val="04A0" w:firstRow="1" w:lastRow="0" w:firstColumn="1" w:lastColumn="0" w:noHBand="0" w:noVBand="1"/>
      </w:tblPr>
      <w:tblGrid>
        <w:gridCol w:w="5382"/>
        <w:gridCol w:w="3634"/>
      </w:tblGrid>
      <w:tr w:rsidR="00794C07" w:rsidRPr="00D0306F" w14:paraId="177BDD33" w14:textId="77777777" w:rsidTr="00AA5968">
        <w:tc>
          <w:tcPr>
            <w:tcW w:w="5382" w:type="dxa"/>
            <w:tcBorders>
              <w:top w:val="single" w:sz="4" w:space="0" w:color="auto"/>
              <w:left w:val="single" w:sz="4" w:space="0" w:color="auto"/>
              <w:bottom w:val="single" w:sz="4" w:space="0" w:color="auto"/>
              <w:right w:val="single" w:sz="4" w:space="0" w:color="auto"/>
            </w:tcBorders>
            <w:shd w:val="clear" w:color="auto" w:fill="153D63"/>
            <w:hideMark/>
          </w:tcPr>
          <w:p w14:paraId="613A2A75" w14:textId="77777777" w:rsidR="00AA5968" w:rsidRPr="00AA5968" w:rsidRDefault="00AA5968" w:rsidP="00794C07">
            <w:pPr>
              <w:rPr>
                <w:rFonts w:cs="Arial"/>
                <w:b/>
                <w:bCs/>
              </w:rPr>
            </w:pPr>
            <w:r w:rsidRPr="00AA5968">
              <w:rPr>
                <w:rFonts w:cs="Arial"/>
                <w:b/>
                <w:bCs/>
              </w:rPr>
              <w:t>Area</w:t>
            </w:r>
          </w:p>
        </w:tc>
        <w:tc>
          <w:tcPr>
            <w:tcW w:w="3634" w:type="dxa"/>
            <w:tcBorders>
              <w:top w:val="single" w:sz="4" w:space="0" w:color="auto"/>
              <w:left w:val="single" w:sz="4" w:space="0" w:color="auto"/>
              <w:bottom w:val="single" w:sz="4" w:space="0" w:color="auto"/>
              <w:right w:val="single" w:sz="4" w:space="0" w:color="auto"/>
            </w:tcBorders>
            <w:shd w:val="clear" w:color="auto" w:fill="153D63"/>
            <w:hideMark/>
          </w:tcPr>
          <w:p w14:paraId="0F7BB282" w14:textId="77777777" w:rsidR="00AA5968" w:rsidRPr="00AA5968" w:rsidRDefault="00AA5968" w:rsidP="00794C07">
            <w:pPr>
              <w:jc w:val="center"/>
              <w:rPr>
                <w:rFonts w:cs="Arial"/>
                <w:b/>
                <w:bCs/>
              </w:rPr>
            </w:pPr>
            <w:r w:rsidRPr="00AA5968">
              <w:rPr>
                <w:rFonts w:cs="Arial"/>
                <w:b/>
                <w:bCs/>
              </w:rPr>
              <w:t>Percentage</w:t>
            </w:r>
          </w:p>
        </w:tc>
      </w:tr>
      <w:tr w:rsidR="00AA5968" w:rsidRPr="00AA5968" w14:paraId="5F23E348" w14:textId="77777777" w:rsidTr="00AA5968">
        <w:tc>
          <w:tcPr>
            <w:tcW w:w="5382" w:type="dxa"/>
            <w:tcBorders>
              <w:top w:val="single" w:sz="4" w:space="0" w:color="auto"/>
              <w:left w:val="single" w:sz="4" w:space="0" w:color="auto"/>
              <w:bottom w:val="single" w:sz="4" w:space="0" w:color="auto"/>
              <w:right w:val="single" w:sz="4" w:space="0" w:color="auto"/>
            </w:tcBorders>
            <w:hideMark/>
          </w:tcPr>
          <w:p w14:paraId="05E1BB4F" w14:textId="77777777" w:rsidR="00AA5968" w:rsidRPr="00AA5968" w:rsidRDefault="00AA5968" w:rsidP="00794C07">
            <w:pPr>
              <w:rPr>
                <w:rFonts w:cs="Arial"/>
              </w:rPr>
            </w:pPr>
            <w:r w:rsidRPr="00AA5968">
              <w:rPr>
                <w:rFonts w:cs="Arial"/>
              </w:rPr>
              <w:t>Llwchwr</w:t>
            </w:r>
          </w:p>
        </w:tc>
        <w:tc>
          <w:tcPr>
            <w:tcW w:w="3634" w:type="dxa"/>
            <w:tcBorders>
              <w:top w:val="single" w:sz="4" w:space="0" w:color="auto"/>
              <w:left w:val="single" w:sz="4" w:space="0" w:color="auto"/>
              <w:bottom w:val="single" w:sz="4" w:space="0" w:color="auto"/>
              <w:right w:val="single" w:sz="4" w:space="0" w:color="auto"/>
            </w:tcBorders>
            <w:hideMark/>
          </w:tcPr>
          <w:p w14:paraId="3FDB67A4" w14:textId="77777777" w:rsidR="00AA5968" w:rsidRPr="00AA5968" w:rsidRDefault="00AA5968" w:rsidP="00794C07">
            <w:pPr>
              <w:jc w:val="center"/>
              <w:rPr>
                <w:rFonts w:cs="Arial"/>
              </w:rPr>
            </w:pPr>
            <w:r w:rsidRPr="00AA5968">
              <w:rPr>
                <w:rFonts w:cs="Arial"/>
              </w:rPr>
              <w:t>8.4%</w:t>
            </w:r>
          </w:p>
        </w:tc>
      </w:tr>
      <w:tr w:rsidR="00AA5968" w:rsidRPr="00AA5968" w14:paraId="755E7B3D" w14:textId="77777777" w:rsidTr="00AA5968">
        <w:tc>
          <w:tcPr>
            <w:tcW w:w="5382" w:type="dxa"/>
            <w:tcBorders>
              <w:top w:val="single" w:sz="4" w:space="0" w:color="auto"/>
              <w:left w:val="single" w:sz="4" w:space="0" w:color="auto"/>
              <w:bottom w:val="single" w:sz="4" w:space="0" w:color="auto"/>
              <w:right w:val="single" w:sz="4" w:space="0" w:color="auto"/>
            </w:tcBorders>
            <w:hideMark/>
          </w:tcPr>
          <w:p w14:paraId="7ED31FCA" w14:textId="77777777" w:rsidR="00AA5968" w:rsidRPr="00AA5968" w:rsidRDefault="00AA5968" w:rsidP="00794C07">
            <w:pPr>
              <w:rPr>
                <w:rFonts w:cs="Arial"/>
              </w:rPr>
            </w:pPr>
            <w:r w:rsidRPr="00AA5968">
              <w:rPr>
                <w:rFonts w:cs="Arial"/>
              </w:rPr>
              <w:t>Swansea Bay University Health Board</w:t>
            </w:r>
          </w:p>
        </w:tc>
        <w:tc>
          <w:tcPr>
            <w:tcW w:w="3634" w:type="dxa"/>
            <w:tcBorders>
              <w:top w:val="single" w:sz="4" w:space="0" w:color="auto"/>
              <w:left w:val="single" w:sz="4" w:space="0" w:color="auto"/>
              <w:bottom w:val="single" w:sz="4" w:space="0" w:color="auto"/>
              <w:right w:val="single" w:sz="4" w:space="0" w:color="auto"/>
            </w:tcBorders>
            <w:hideMark/>
          </w:tcPr>
          <w:p w14:paraId="04777209" w14:textId="77777777" w:rsidR="00AA5968" w:rsidRPr="00AA5968" w:rsidRDefault="00AA5968" w:rsidP="00794C07">
            <w:pPr>
              <w:jc w:val="center"/>
              <w:rPr>
                <w:rFonts w:cs="Arial"/>
              </w:rPr>
            </w:pPr>
            <w:r w:rsidRPr="00AA5968">
              <w:rPr>
                <w:rFonts w:cs="Arial"/>
              </w:rPr>
              <w:t>27.9%</w:t>
            </w:r>
          </w:p>
        </w:tc>
      </w:tr>
    </w:tbl>
    <w:p w14:paraId="44AAC74D" w14:textId="77777777" w:rsidR="00AA5968" w:rsidRPr="00AA5968" w:rsidRDefault="00AA5968" w:rsidP="00794C07">
      <w:pPr>
        <w:rPr>
          <w:rFonts w:eastAsia="Times New Roman" w:cs="Arial"/>
          <w:b/>
          <w:bCs/>
          <w:kern w:val="0"/>
          <w:lang w:eastAsia="en-GB"/>
          <w14:ligatures w14:val="none"/>
        </w:rPr>
      </w:pPr>
    </w:p>
    <w:p w14:paraId="66AC9D6D"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 xml:space="preserve">11.2.4 Health profile </w:t>
      </w:r>
    </w:p>
    <w:p w14:paraId="0720513E" w14:textId="77777777" w:rsidR="00AA5968" w:rsidRPr="00AA5968" w:rsidRDefault="00AA5968" w:rsidP="00794C07">
      <w:pPr>
        <w:rPr>
          <w:rFonts w:eastAsia="Aptos" w:cs="Arial"/>
        </w:rPr>
      </w:pPr>
    </w:p>
    <w:p w14:paraId="7DD9678D" w14:textId="77777777" w:rsidR="00AA5968" w:rsidRPr="00AA5968" w:rsidRDefault="00AA5968" w:rsidP="00794C07">
      <w:pPr>
        <w:contextualSpacing/>
        <w:rPr>
          <w:rFonts w:eastAsia="Aptos" w:cs="Arial"/>
          <w:lang w:eastAsia="en-GB"/>
        </w:rPr>
      </w:pPr>
      <w:r w:rsidRPr="00AA5968">
        <w:rPr>
          <w:rFonts w:eastAsia="Aptos" w:cs="Arial"/>
        </w:rPr>
        <w:t>The table below shows that the locality has lower estimated prevalence of chronic conditions than both the health board and Wales averages in chronic obstructive pulmonary disease (0.4% lower), coronary heart disease is lower than the health board average (0.1% lower) and aligns with the Wales average, diabetes aligns with the health board average but lower than the Wales average (0.3% lower). Compared with higher rates than both the health board and Wales averages in asthma (0.6% and 0.5% higher respectively), heart failure (0.2% and 0.4% higher respectively) and stroke and transient ischaemic attack (0.1% higher)</w:t>
      </w:r>
    </w:p>
    <w:p w14:paraId="186676A0" w14:textId="77777777" w:rsidR="00AA5968" w:rsidRPr="00AA5968" w:rsidRDefault="00AA5968" w:rsidP="00794C07">
      <w:pPr>
        <w:keepNext/>
        <w:rPr>
          <w:rFonts w:eastAsia="Times New Roman" w:cs="Arial"/>
          <w:bCs/>
          <w:kern w:val="0"/>
          <w14:ligatures w14:val="none"/>
        </w:rPr>
      </w:pPr>
    </w:p>
    <w:p w14:paraId="2DE188E8" w14:textId="77777777" w:rsidR="00AA5968" w:rsidRPr="00AA5968" w:rsidRDefault="00AA5968" w:rsidP="00794C07">
      <w:pPr>
        <w:keepNext/>
        <w:rPr>
          <w:rFonts w:eastAsia="Times New Roman" w:cs="Arial"/>
          <w:b/>
          <w:bCs/>
          <w:kern w:val="0"/>
          <w14:ligatures w14:val="none"/>
        </w:rPr>
      </w:pPr>
      <w:r w:rsidRPr="00AA5968">
        <w:rPr>
          <w:rFonts w:eastAsia="Times New Roman" w:cs="Arial"/>
          <w:b/>
          <w:bCs/>
          <w:kern w:val="0"/>
          <w14:ligatures w14:val="none"/>
        </w:rPr>
        <w:t>Table 11.3: Estimated percentage prevalence of chronic condition based on people on GP practice registers by locality, health board and Wales, 2025</w:t>
      </w:r>
      <w:r w:rsidRPr="00AA5968">
        <w:rPr>
          <w:rFonts w:eastAsia="Times New Roman" w:cs="Arial"/>
          <w:b/>
          <w:bCs/>
          <w:kern w:val="0"/>
          <w:vertAlign w:val="superscript"/>
          <w14:ligatures w14:val="none"/>
        </w:rPr>
        <w:footnoteReference w:id="284"/>
      </w:r>
    </w:p>
    <w:p w14:paraId="404DE946" w14:textId="77777777" w:rsidR="00AA5968" w:rsidRPr="00AA5968" w:rsidRDefault="00AA5968" w:rsidP="00794C07">
      <w:pPr>
        <w:keepNext/>
        <w:rPr>
          <w:rFonts w:eastAsia="Times New Roman" w:cs="Arial"/>
          <w:b/>
          <w:kern w:val="0"/>
          <w14:ligatures w14:val="none"/>
        </w:rPr>
      </w:pPr>
    </w:p>
    <w:tbl>
      <w:tblPr>
        <w:tblStyle w:val="TableGrid"/>
        <w:tblW w:w="9214" w:type="dxa"/>
        <w:tblInd w:w="-5" w:type="dxa"/>
        <w:tblLook w:val="04A0" w:firstRow="1" w:lastRow="0" w:firstColumn="1" w:lastColumn="0" w:noHBand="0" w:noVBand="1"/>
      </w:tblPr>
      <w:tblGrid>
        <w:gridCol w:w="1364"/>
        <w:gridCol w:w="1135"/>
        <w:gridCol w:w="1284"/>
        <w:gridCol w:w="1510"/>
        <w:gridCol w:w="1231"/>
        <w:gridCol w:w="1007"/>
        <w:gridCol w:w="1683"/>
      </w:tblGrid>
      <w:tr w:rsidR="00AA5968" w:rsidRPr="00D0306F" w14:paraId="3BE036C8" w14:textId="77777777" w:rsidTr="00AA5968">
        <w:tc>
          <w:tcPr>
            <w:tcW w:w="1364" w:type="dxa"/>
            <w:tcBorders>
              <w:top w:val="single" w:sz="4" w:space="0" w:color="auto"/>
              <w:left w:val="single" w:sz="4" w:space="0" w:color="auto"/>
              <w:bottom w:val="single" w:sz="4" w:space="0" w:color="auto"/>
              <w:right w:val="single" w:sz="4" w:space="0" w:color="auto"/>
            </w:tcBorders>
            <w:shd w:val="clear" w:color="auto" w:fill="153D63"/>
            <w:hideMark/>
          </w:tcPr>
          <w:p w14:paraId="07FAF6BA" w14:textId="77777777" w:rsidR="00AA5968" w:rsidRPr="00AA5968" w:rsidRDefault="00AA5968" w:rsidP="00794C07">
            <w:pPr>
              <w:keepNext/>
              <w:rPr>
                <w:rFonts w:cs="Arial"/>
                <w:b/>
              </w:rPr>
            </w:pPr>
            <w:r w:rsidRPr="00AA5968">
              <w:rPr>
                <w:rFonts w:cs="Arial"/>
                <w:b/>
                <w:bCs/>
              </w:rPr>
              <w:t>Area</w:t>
            </w:r>
          </w:p>
        </w:tc>
        <w:tc>
          <w:tcPr>
            <w:tcW w:w="1135" w:type="dxa"/>
            <w:tcBorders>
              <w:top w:val="single" w:sz="4" w:space="0" w:color="auto"/>
              <w:left w:val="single" w:sz="4" w:space="0" w:color="auto"/>
              <w:bottom w:val="single" w:sz="4" w:space="0" w:color="auto"/>
              <w:right w:val="single" w:sz="4" w:space="0" w:color="auto"/>
            </w:tcBorders>
            <w:shd w:val="clear" w:color="auto" w:fill="153D63"/>
            <w:hideMark/>
          </w:tcPr>
          <w:p w14:paraId="41D7FE4F" w14:textId="77777777" w:rsidR="00AA5968" w:rsidRPr="00AA5968" w:rsidRDefault="00AA5968" w:rsidP="00794C07">
            <w:pPr>
              <w:keepNext/>
              <w:rPr>
                <w:rFonts w:cs="Arial"/>
                <w:b/>
              </w:rPr>
            </w:pPr>
            <w:r w:rsidRPr="00AA5968">
              <w:rPr>
                <w:rFonts w:cs="Arial"/>
                <w:b/>
                <w:bCs/>
              </w:rPr>
              <w:t>Asthma</w:t>
            </w:r>
          </w:p>
        </w:tc>
        <w:tc>
          <w:tcPr>
            <w:tcW w:w="1284" w:type="dxa"/>
            <w:tcBorders>
              <w:top w:val="single" w:sz="4" w:space="0" w:color="auto"/>
              <w:left w:val="single" w:sz="4" w:space="0" w:color="auto"/>
              <w:bottom w:val="single" w:sz="4" w:space="0" w:color="auto"/>
              <w:right w:val="single" w:sz="4" w:space="0" w:color="auto"/>
            </w:tcBorders>
            <w:shd w:val="clear" w:color="auto" w:fill="153D63"/>
            <w:hideMark/>
          </w:tcPr>
          <w:p w14:paraId="1643F425" w14:textId="77777777" w:rsidR="00AA5968" w:rsidRPr="00AA5968" w:rsidRDefault="00AA5968" w:rsidP="00794C07">
            <w:pPr>
              <w:keepNext/>
              <w:rPr>
                <w:rFonts w:cs="Arial"/>
                <w:b/>
              </w:rPr>
            </w:pPr>
            <w:r w:rsidRPr="00AA5968">
              <w:rPr>
                <w:rFonts w:cs="Arial"/>
                <w:b/>
                <w:bCs/>
              </w:rPr>
              <w:t>Coronary heart disease</w:t>
            </w:r>
          </w:p>
        </w:tc>
        <w:tc>
          <w:tcPr>
            <w:tcW w:w="1510" w:type="dxa"/>
            <w:tcBorders>
              <w:top w:val="single" w:sz="4" w:space="0" w:color="auto"/>
              <w:left w:val="single" w:sz="4" w:space="0" w:color="auto"/>
              <w:bottom w:val="single" w:sz="4" w:space="0" w:color="auto"/>
              <w:right w:val="single" w:sz="4" w:space="0" w:color="auto"/>
            </w:tcBorders>
            <w:shd w:val="clear" w:color="auto" w:fill="153D63"/>
            <w:hideMark/>
          </w:tcPr>
          <w:p w14:paraId="47F9E1F1" w14:textId="77777777" w:rsidR="00AA5968" w:rsidRPr="00AA5968" w:rsidRDefault="00AA5968" w:rsidP="00794C07">
            <w:pPr>
              <w:keepNext/>
              <w:rPr>
                <w:rFonts w:cs="Arial"/>
                <w:b/>
              </w:rPr>
            </w:pPr>
            <w:r w:rsidRPr="00AA5968">
              <w:rPr>
                <w:rFonts w:cs="Arial"/>
                <w:b/>
                <w:bCs/>
              </w:rPr>
              <w:t>Chronic obstructive pulmonary disease</w:t>
            </w:r>
          </w:p>
        </w:tc>
        <w:tc>
          <w:tcPr>
            <w:tcW w:w="1231" w:type="dxa"/>
            <w:tcBorders>
              <w:top w:val="single" w:sz="4" w:space="0" w:color="auto"/>
              <w:left w:val="single" w:sz="4" w:space="0" w:color="auto"/>
              <w:bottom w:val="single" w:sz="4" w:space="0" w:color="auto"/>
              <w:right w:val="single" w:sz="4" w:space="0" w:color="auto"/>
            </w:tcBorders>
            <w:shd w:val="clear" w:color="auto" w:fill="153D63"/>
            <w:hideMark/>
          </w:tcPr>
          <w:p w14:paraId="585DC4B9" w14:textId="77777777" w:rsidR="00AA5968" w:rsidRPr="00AA5968" w:rsidRDefault="00AA5968" w:rsidP="00794C07">
            <w:pPr>
              <w:keepNext/>
              <w:rPr>
                <w:rFonts w:cs="Arial"/>
                <w:b/>
              </w:rPr>
            </w:pPr>
            <w:r w:rsidRPr="00AA5968">
              <w:rPr>
                <w:rFonts w:cs="Arial"/>
                <w:b/>
                <w:bCs/>
              </w:rPr>
              <w:t>Diabetes</w:t>
            </w:r>
          </w:p>
        </w:tc>
        <w:tc>
          <w:tcPr>
            <w:tcW w:w="1007" w:type="dxa"/>
            <w:tcBorders>
              <w:top w:val="single" w:sz="4" w:space="0" w:color="auto"/>
              <w:left w:val="single" w:sz="4" w:space="0" w:color="auto"/>
              <w:bottom w:val="single" w:sz="4" w:space="0" w:color="auto"/>
              <w:right w:val="single" w:sz="4" w:space="0" w:color="auto"/>
            </w:tcBorders>
            <w:shd w:val="clear" w:color="auto" w:fill="153D63"/>
            <w:hideMark/>
          </w:tcPr>
          <w:p w14:paraId="2050D5CF" w14:textId="77777777" w:rsidR="00AA5968" w:rsidRPr="00AA5968" w:rsidRDefault="00AA5968" w:rsidP="00794C07">
            <w:pPr>
              <w:keepNext/>
              <w:rPr>
                <w:rFonts w:cs="Arial"/>
                <w:b/>
              </w:rPr>
            </w:pPr>
            <w:r w:rsidRPr="00AA5968">
              <w:rPr>
                <w:rFonts w:cs="Arial"/>
                <w:b/>
                <w:bCs/>
              </w:rPr>
              <w:t>Heart failure</w:t>
            </w:r>
          </w:p>
        </w:tc>
        <w:tc>
          <w:tcPr>
            <w:tcW w:w="1683" w:type="dxa"/>
            <w:tcBorders>
              <w:top w:val="single" w:sz="4" w:space="0" w:color="auto"/>
              <w:left w:val="single" w:sz="4" w:space="0" w:color="auto"/>
              <w:bottom w:val="single" w:sz="4" w:space="0" w:color="auto"/>
              <w:right w:val="single" w:sz="4" w:space="0" w:color="auto"/>
            </w:tcBorders>
            <w:shd w:val="clear" w:color="auto" w:fill="153D63"/>
          </w:tcPr>
          <w:p w14:paraId="72582DC1" w14:textId="531FE5FB" w:rsidR="00AA5968" w:rsidRPr="00AA5968" w:rsidRDefault="00AA5968" w:rsidP="00741989">
            <w:pPr>
              <w:keepNext/>
              <w:rPr>
                <w:rFonts w:cs="Arial"/>
                <w:b/>
              </w:rPr>
            </w:pPr>
            <w:r w:rsidRPr="00AA5968">
              <w:rPr>
                <w:rFonts w:cs="Arial"/>
                <w:b/>
                <w:bCs/>
              </w:rPr>
              <w:t>Stroke and transient ischaemic attacks</w:t>
            </w:r>
          </w:p>
        </w:tc>
      </w:tr>
      <w:tr w:rsidR="00AA5968" w:rsidRPr="00AA5968" w14:paraId="0D653C83" w14:textId="77777777" w:rsidTr="00AA5968">
        <w:tc>
          <w:tcPr>
            <w:tcW w:w="1364" w:type="dxa"/>
            <w:tcBorders>
              <w:top w:val="single" w:sz="4" w:space="0" w:color="auto"/>
              <w:left w:val="single" w:sz="4" w:space="0" w:color="auto"/>
              <w:bottom w:val="single" w:sz="4" w:space="0" w:color="auto"/>
              <w:right w:val="single" w:sz="4" w:space="0" w:color="auto"/>
            </w:tcBorders>
            <w:hideMark/>
          </w:tcPr>
          <w:p w14:paraId="23A25F44" w14:textId="77777777" w:rsidR="00AA5968" w:rsidRPr="00AA5968" w:rsidRDefault="00AA5968" w:rsidP="00794C07">
            <w:pPr>
              <w:keepNext/>
              <w:rPr>
                <w:rFonts w:cs="Arial"/>
              </w:rPr>
            </w:pPr>
            <w:r w:rsidRPr="00AA5968">
              <w:rPr>
                <w:rFonts w:cs="Arial"/>
              </w:rPr>
              <w:t>Llwchwr locality</w:t>
            </w:r>
          </w:p>
        </w:tc>
        <w:tc>
          <w:tcPr>
            <w:tcW w:w="1135" w:type="dxa"/>
            <w:tcBorders>
              <w:top w:val="single" w:sz="4" w:space="0" w:color="auto"/>
              <w:left w:val="single" w:sz="4" w:space="0" w:color="auto"/>
              <w:bottom w:val="single" w:sz="4" w:space="0" w:color="auto"/>
              <w:right w:val="single" w:sz="4" w:space="0" w:color="auto"/>
            </w:tcBorders>
            <w:hideMark/>
          </w:tcPr>
          <w:p w14:paraId="272D678E" w14:textId="77777777" w:rsidR="00AA5968" w:rsidRPr="00AA5968" w:rsidRDefault="00AA5968" w:rsidP="00794C07">
            <w:pPr>
              <w:keepNext/>
              <w:rPr>
                <w:rFonts w:cs="Arial"/>
                <w:bCs/>
              </w:rPr>
            </w:pPr>
            <w:r w:rsidRPr="00AA5968">
              <w:rPr>
                <w:rFonts w:cs="Arial"/>
                <w:bCs/>
              </w:rPr>
              <w:t>7.6%</w:t>
            </w:r>
          </w:p>
        </w:tc>
        <w:tc>
          <w:tcPr>
            <w:tcW w:w="1284" w:type="dxa"/>
            <w:tcBorders>
              <w:top w:val="single" w:sz="4" w:space="0" w:color="auto"/>
              <w:left w:val="single" w:sz="4" w:space="0" w:color="auto"/>
              <w:bottom w:val="single" w:sz="4" w:space="0" w:color="auto"/>
              <w:right w:val="single" w:sz="4" w:space="0" w:color="auto"/>
            </w:tcBorders>
            <w:hideMark/>
          </w:tcPr>
          <w:p w14:paraId="13EA80BD" w14:textId="77777777" w:rsidR="00AA5968" w:rsidRPr="00AA5968" w:rsidRDefault="00AA5968" w:rsidP="00794C07">
            <w:pPr>
              <w:keepNext/>
              <w:rPr>
                <w:rFonts w:cs="Arial"/>
                <w:bCs/>
              </w:rPr>
            </w:pPr>
            <w:r w:rsidRPr="00AA5968">
              <w:rPr>
                <w:rFonts w:cs="Arial"/>
                <w:bCs/>
              </w:rPr>
              <w:t>3.4%</w:t>
            </w:r>
          </w:p>
        </w:tc>
        <w:tc>
          <w:tcPr>
            <w:tcW w:w="1510" w:type="dxa"/>
            <w:tcBorders>
              <w:top w:val="single" w:sz="4" w:space="0" w:color="auto"/>
              <w:left w:val="single" w:sz="4" w:space="0" w:color="auto"/>
              <w:bottom w:val="single" w:sz="4" w:space="0" w:color="auto"/>
              <w:right w:val="single" w:sz="4" w:space="0" w:color="auto"/>
            </w:tcBorders>
            <w:hideMark/>
          </w:tcPr>
          <w:p w14:paraId="26599772" w14:textId="77777777" w:rsidR="00AA5968" w:rsidRPr="00AA5968" w:rsidRDefault="00AA5968" w:rsidP="00794C07">
            <w:pPr>
              <w:keepNext/>
              <w:rPr>
                <w:rFonts w:cs="Arial"/>
                <w:bCs/>
              </w:rPr>
            </w:pPr>
            <w:r w:rsidRPr="00AA5968">
              <w:rPr>
                <w:rFonts w:cs="Arial"/>
                <w:bCs/>
              </w:rPr>
              <w:t>1.9%</w:t>
            </w:r>
          </w:p>
        </w:tc>
        <w:tc>
          <w:tcPr>
            <w:tcW w:w="1231" w:type="dxa"/>
            <w:tcBorders>
              <w:top w:val="single" w:sz="4" w:space="0" w:color="auto"/>
              <w:left w:val="single" w:sz="4" w:space="0" w:color="auto"/>
              <w:bottom w:val="single" w:sz="4" w:space="0" w:color="auto"/>
              <w:right w:val="single" w:sz="4" w:space="0" w:color="auto"/>
            </w:tcBorders>
            <w:hideMark/>
          </w:tcPr>
          <w:p w14:paraId="5613C083" w14:textId="77777777" w:rsidR="00AA5968" w:rsidRPr="00AA5968" w:rsidRDefault="00AA5968" w:rsidP="00794C07">
            <w:pPr>
              <w:keepNext/>
              <w:rPr>
                <w:rFonts w:cs="Arial"/>
                <w:bCs/>
              </w:rPr>
            </w:pPr>
            <w:r w:rsidRPr="00AA5968">
              <w:rPr>
                <w:rFonts w:cs="Arial"/>
                <w:bCs/>
              </w:rPr>
              <w:t>8.1%</w:t>
            </w:r>
          </w:p>
        </w:tc>
        <w:tc>
          <w:tcPr>
            <w:tcW w:w="1007" w:type="dxa"/>
            <w:tcBorders>
              <w:top w:val="single" w:sz="4" w:space="0" w:color="auto"/>
              <w:left w:val="single" w:sz="4" w:space="0" w:color="auto"/>
              <w:bottom w:val="single" w:sz="4" w:space="0" w:color="auto"/>
              <w:right w:val="single" w:sz="4" w:space="0" w:color="auto"/>
            </w:tcBorders>
            <w:hideMark/>
          </w:tcPr>
          <w:p w14:paraId="4ECD4219" w14:textId="77777777" w:rsidR="00AA5968" w:rsidRPr="00AA5968" w:rsidRDefault="00AA5968" w:rsidP="00794C07">
            <w:pPr>
              <w:keepNext/>
              <w:rPr>
                <w:rFonts w:cs="Arial"/>
                <w:bCs/>
              </w:rPr>
            </w:pPr>
            <w:r w:rsidRPr="00AA5968">
              <w:rPr>
                <w:rFonts w:cs="Arial"/>
                <w:bCs/>
              </w:rPr>
              <w:t>1.8%</w:t>
            </w:r>
          </w:p>
        </w:tc>
        <w:tc>
          <w:tcPr>
            <w:tcW w:w="1683" w:type="dxa"/>
            <w:tcBorders>
              <w:top w:val="single" w:sz="4" w:space="0" w:color="auto"/>
              <w:left w:val="single" w:sz="4" w:space="0" w:color="auto"/>
              <w:bottom w:val="single" w:sz="4" w:space="0" w:color="auto"/>
              <w:right w:val="single" w:sz="4" w:space="0" w:color="auto"/>
            </w:tcBorders>
            <w:hideMark/>
          </w:tcPr>
          <w:p w14:paraId="336D9120" w14:textId="77777777" w:rsidR="00AA5968" w:rsidRPr="00AA5968" w:rsidRDefault="00AA5968" w:rsidP="00794C07">
            <w:pPr>
              <w:keepNext/>
              <w:rPr>
                <w:rFonts w:cs="Arial"/>
                <w:bCs/>
              </w:rPr>
            </w:pPr>
            <w:r w:rsidRPr="00AA5968">
              <w:rPr>
                <w:rFonts w:cs="Arial"/>
                <w:bCs/>
              </w:rPr>
              <w:t>2.3%</w:t>
            </w:r>
          </w:p>
        </w:tc>
      </w:tr>
      <w:tr w:rsidR="00AA5968" w:rsidRPr="00AA5968" w14:paraId="78AA7063" w14:textId="77777777" w:rsidTr="00AA5968">
        <w:tc>
          <w:tcPr>
            <w:tcW w:w="1364" w:type="dxa"/>
            <w:tcBorders>
              <w:top w:val="single" w:sz="4" w:space="0" w:color="auto"/>
              <w:left w:val="single" w:sz="4" w:space="0" w:color="auto"/>
              <w:bottom w:val="single" w:sz="4" w:space="0" w:color="auto"/>
              <w:right w:val="single" w:sz="4" w:space="0" w:color="auto"/>
            </w:tcBorders>
            <w:hideMark/>
          </w:tcPr>
          <w:p w14:paraId="7FCF36CB" w14:textId="77777777" w:rsidR="00AA5968" w:rsidRPr="00AA5968" w:rsidRDefault="00AA5968" w:rsidP="00794C07">
            <w:pPr>
              <w:keepNext/>
              <w:rPr>
                <w:rFonts w:cs="Arial"/>
              </w:rPr>
            </w:pPr>
            <w:r w:rsidRPr="00AA5968">
              <w:rPr>
                <w:rFonts w:cs="Arial"/>
              </w:rPr>
              <w:t xml:space="preserve">Swansea Bay University Health Board </w:t>
            </w:r>
          </w:p>
        </w:tc>
        <w:tc>
          <w:tcPr>
            <w:tcW w:w="1135" w:type="dxa"/>
            <w:tcBorders>
              <w:top w:val="single" w:sz="4" w:space="0" w:color="auto"/>
              <w:left w:val="single" w:sz="4" w:space="0" w:color="auto"/>
              <w:bottom w:val="single" w:sz="4" w:space="0" w:color="auto"/>
              <w:right w:val="single" w:sz="4" w:space="0" w:color="auto"/>
            </w:tcBorders>
            <w:hideMark/>
          </w:tcPr>
          <w:p w14:paraId="4B75F558" w14:textId="77777777" w:rsidR="00AA5968" w:rsidRPr="00AA5968" w:rsidRDefault="00AA5968" w:rsidP="00794C07">
            <w:pPr>
              <w:keepNext/>
              <w:rPr>
                <w:rFonts w:cs="Arial"/>
              </w:rPr>
            </w:pPr>
            <w:r w:rsidRPr="00AA5968">
              <w:rPr>
                <w:rFonts w:cs="Arial"/>
              </w:rPr>
              <w:t>7.0%</w:t>
            </w:r>
          </w:p>
        </w:tc>
        <w:tc>
          <w:tcPr>
            <w:tcW w:w="1284" w:type="dxa"/>
            <w:tcBorders>
              <w:top w:val="single" w:sz="4" w:space="0" w:color="auto"/>
              <w:left w:val="single" w:sz="4" w:space="0" w:color="auto"/>
              <w:bottom w:val="single" w:sz="4" w:space="0" w:color="auto"/>
              <w:right w:val="single" w:sz="4" w:space="0" w:color="auto"/>
            </w:tcBorders>
            <w:hideMark/>
          </w:tcPr>
          <w:p w14:paraId="07520485" w14:textId="77777777" w:rsidR="00AA5968" w:rsidRPr="00AA5968" w:rsidRDefault="00AA5968" w:rsidP="00794C07">
            <w:pPr>
              <w:keepNext/>
              <w:rPr>
                <w:rFonts w:cs="Arial"/>
              </w:rPr>
            </w:pPr>
            <w:r w:rsidRPr="00AA5968">
              <w:rPr>
                <w:rFonts w:cs="Arial"/>
              </w:rPr>
              <w:t>3.3%</w:t>
            </w:r>
          </w:p>
        </w:tc>
        <w:tc>
          <w:tcPr>
            <w:tcW w:w="1510" w:type="dxa"/>
            <w:tcBorders>
              <w:top w:val="single" w:sz="4" w:space="0" w:color="auto"/>
              <w:left w:val="single" w:sz="4" w:space="0" w:color="auto"/>
              <w:bottom w:val="single" w:sz="4" w:space="0" w:color="auto"/>
              <w:right w:val="single" w:sz="4" w:space="0" w:color="auto"/>
            </w:tcBorders>
            <w:hideMark/>
          </w:tcPr>
          <w:p w14:paraId="708403BB" w14:textId="77777777" w:rsidR="00AA5968" w:rsidRPr="00AA5968" w:rsidRDefault="00AA5968" w:rsidP="00794C07">
            <w:pPr>
              <w:keepNext/>
              <w:rPr>
                <w:rFonts w:cs="Arial"/>
              </w:rPr>
            </w:pPr>
            <w:r w:rsidRPr="00AA5968">
              <w:rPr>
                <w:rFonts w:cs="Arial"/>
              </w:rPr>
              <w:t>2.3%</w:t>
            </w:r>
          </w:p>
        </w:tc>
        <w:tc>
          <w:tcPr>
            <w:tcW w:w="1231" w:type="dxa"/>
            <w:tcBorders>
              <w:top w:val="single" w:sz="4" w:space="0" w:color="auto"/>
              <w:left w:val="single" w:sz="4" w:space="0" w:color="auto"/>
              <w:bottom w:val="single" w:sz="4" w:space="0" w:color="auto"/>
              <w:right w:val="single" w:sz="4" w:space="0" w:color="auto"/>
            </w:tcBorders>
            <w:hideMark/>
          </w:tcPr>
          <w:p w14:paraId="13901D97" w14:textId="77777777" w:rsidR="00AA5968" w:rsidRPr="00AA5968" w:rsidRDefault="00AA5968" w:rsidP="00794C07">
            <w:pPr>
              <w:keepNext/>
              <w:rPr>
                <w:rFonts w:cs="Arial"/>
              </w:rPr>
            </w:pPr>
            <w:r w:rsidRPr="00AA5968">
              <w:rPr>
                <w:rFonts w:cs="Arial"/>
              </w:rPr>
              <w:t>8.1%</w:t>
            </w:r>
          </w:p>
        </w:tc>
        <w:tc>
          <w:tcPr>
            <w:tcW w:w="1007" w:type="dxa"/>
            <w:tcBorders>
              <w:top w:val="single" w:sz="4" w:space="0" w:color="auto"/>
              <w:left w:val="single" w:sz="4" w:space="0" w:color="auto"/>
              <w:bottom w:val="single" w:sz="4" w:space="0" w:color="auto"/>
              <w:right w:val="single" w:sz="4" w:space="0" w:color="auto"/>
            </w:tcBorders>
            <w:hideMark/>
          </w:tcPr>
          <w:p w14:paraId="1ACBD8B0" w14:textId="77777777" w:rsidR="00AA5968" w:rsidRPr="00AA5968" w:rsidRDefault="00AA5968" w:rsidP="00794C07">
            <w:pPr>
              <w:keepNext/>
              <w:rPr>
                <w:rFonts w:cs="Arial"/>
              </w:rPr>
            </w:pPr>
            <w:r w:rsidRPr="00AA5968">
              <w:rPr>
                <w:rFonts w:cs="Arial"/>
              </w:rPr>
              <w:t>1.6%</w:t>
            </w:r>
          </w:p>
        </w:tc>
        <w:tc>
          <w:tcPr>
            <w:tcW w:w="1683" w:type="dxa"/>
            <w:tcBorders>
              <w:top w:val="single" w:sz="4" w:space="0" w:color="auto"/>
              <w:left w:val="single" w:sz="4" w:space="0" w:color="auto"/>
              <w:bottom w:val="single" w:sz="4" w:space="0" w:color="auto"/>
              <w:right w:val="single" w:sz="4" w:space="0" w:color="auto"/>
            </w:tcBorders>
            <w:hideMark/>
          </w:tcPr>
          <w:p w14:paraId="19449F92" w14:textId="77777777" w:rsidR="00AA5968" w:rsidRPr="00AA5968" w:rsidRDefault="00AA5968" w:rsidP="00794C07">
            <w:pPr>
              <w:keepNext/>
              <w:rPr>
                <w:rFonts w:cs="Arial"/>
              </w:rPr>
            </w:pPr>
            <w:r w:rsidRPr="00AA5968">
              <w:rPr>
                <w:rFonts w:cs="Arial"/>
              </w:rPr>
              <w:t>2.2%</w:t>
            </w:r>
          </w:p>
        </w:tc>
      </w:tr>
      <w:tr w:rsidR="00AA5968" w:rsidRPr="00AA5968" w14:paraId="028AB3A2" w14:textId="77777777" w:rsidTr="00AA5968">
        <w:tc>
          <w:tcPr>
            <w:tcW w:w="1364" w:type="dxa"/>
            <w:tcBorders>
              <w:top w:val="single" w:sz="4" w:space="0" w:color="auto"/>
              <w:left w:val="single" w:sz="4" w:space="0" w:color="auto"/>
              <w:bottom w:val="single" w:sz="4" w:space="0" w:color="auto"/>
              <w:right w:val="single" w:sz="4" w:space="0" w:color="auto"/>
            </w:tcBorders>
            <w:hideMark/>
          </w:tcPr>
          <w:p w14:paraId="3DA689B0" w14:textId="77777777" w:rsidR="00AA5968" w:rsidRPr="00AA5968" w:rsidRDefault="00AA5968" w:rsidP="00794C07">
            <w:pPr>
              <w:keepNext/>
              <w:rPr>
                <w:rFonts w:cs="Arial"/>
              </w:rPr>
            </w:pPr>
            <w:r w:rsidRPr="00AA5968">
              <w:rPr>
                <w:rFonts w:cs="Arial"/>
              </w:rPr>
              <w:t>Wales</w:t>
            </w:r>
          </w:p>
        </w:tc>
        <w:tc>
          <w:tcPr>
            <w:tcW w:w="1135" w:type="dxa"/>
            <w:tcBorders>
              <w:top w:val="single" w:sz="4" w:space="0" w:color="auto"/>
              <w:left w:val="single" w:sz="4" w:space="0" w:color="auto"/>
              <w:bottom w:val="single" w:sz="4" w:space="0" w:color="auto"/>
              <w:right w:val="single" w:sz="4" w:space="0" w:color="auto"/>
            </w:tcBorders>
            <w:hideMark/>
          </w:tcPr>
          <w:p w14:paraId="38FD0B5D" w14:textId="77777777" w:rsidR="00AA5968" w:rsidRPr="00AA5968" w:rsidRDefault="00AA5968" w:rsidP="00794C07">
            <w:pPr>
              <w:keepNext/>
              <w:rPr>
                <w:rFonts w:cs="Arial"/>
              </w:rPr>
            </w:pPr>
            <w:r w:rsidRPr="00AA5968">
              <w:rPr>
                <w:rFonts w:cs="Arial"/>
              </w:rPr>
              <w:t>7.1%</w:t>
            </w:r>
          </w:p>
        </w:tc>
        <w:tc>
          <w:tcPr>
            <w:tcW w:w="1284" w:type="dxa"/>
            <w:tcBorders>
              <w:top w:val="single" w:sz="4" w:space="0" w:color="auto"/>
              <w:left w:val="single" w:sz="4" w:space="0" w:color="auto"/>
              <w:bottom w:val="single" w:sz="4" w:space="0" w:color="auto"/>
              <w:right w:val="single" w:sz="4" w:space="0" w:color="auto"/>
            </w:tcBorders>
            <w:hideMark/>
          </w:tcPr>
          <w:p w14:paraId="5EA9D43D" w14:textId="77777777" w:rsidR="00AA5968" w:rsidRPr="00AA5968" w:rsidRDefault="00AA5968" w:rsidP="00794C07">
            <w:pPr>
              <w:keepNext/>
              <w:rPr>
                <w:rFonts w:cs="Arial"/>
              </w:rPr>
            </w:pPr>
            <w:r w:rsidRPr="00AA5968">
              <w:rPr>
                <w:rFonts w:cs="Arial"/>
              </w:rPr>
              <w:t>3.4%</w:t>
            </w:r>
          </w:p>
        </w:tc>
        <w:tc>
          <w:tcPr>
            <w:tcW w:w="1510" w:type="dxa"/>
            <w:tcBorders>
              <w:top w:val="single" w:sz="4" w:space="0" w:color="auto"/>
              <w:left w:val="single" w:sz="4" w:space="0" w:color="auto"/>
              <w:bottom w:val="single" w:sz="4" w:space="0" w:color="auto"/>
              <w:right w:val="single" w:sz="4" w:space="0" w:color="auto"/>
            </w:tcBorders>
            <w:hideMark/>
          </w:tcPr>
          <w:p w14:paraId="343FFFC1" w14:textId="77777777" w:rsidR="00AA5968" w:rsidRPr="00AA5968" w:rsidRDefault="00AA5968" w:rsidP="00794C07">
            <w:pPr>
              <w:keepNext/>
              <w:rPr>
                <w:rFonts w:cs="Arial"/>
              </w:rPr>
            </w:pPr>
            <w:r w:rsidRPr="00AA5968">
              <w:rPr>
                <w:rFonts w:cs="Arial"/>
              </w:rPr>
              <w:t>2.3%</w:t>
            </w:r>
          </w:p>
        </w:tc>
        <w:tc>
          <w:tcPr>
            <w:tcW w:w="1231" w:type="dxa"/>
            <w:tcBorders>
              <w:top w:val="single" w:sz="4" w:space="0" w:color="auto"/>
              <w:left w:val="single" w:sz="4" w:space="0" w:color="auto"/>
              <w:bottom w:val="single" w:sz="4" w:space="0" w:color="auto"/>
              <w:right w:val="single" w:sz="4" w:space="0" w:color="auto"/>
            </w:tcBorders>
            <w:hideMark/>
          </w:tcPr>
          <w:p w14:paraId="16434F8E" w14:textId="77777777" w:rsidR="00AA5968" w:rsidRPr="00AA5968" w:rsidRDefault="00AA5968" w:rsidP="00794C07">
            <w:pPr>
              <w:keepNext/>
              <w:rPr>
                <w:rFonts w:cs="Arial"/>
              </w:rPr>
            </w:pPr>
            <w:r w:rsidRPr="00AA5968">
              <w:rPr>
                <w:rFonts w:cs="Arial"/>
              </w:rPr>
              <w:t>8.4%</w:t>
            </w:r>
          </w:p>
        </w:tc>
        <w:tc>
          <w:tcPr>
            <w:tcW w:w="1007" w:type="dxa"/>
            <w:tcBorders>
              <w:top w:val="single" w:sz="4" w:space="0" w:color="auto"/>
              <w:left w:val="single" w:sz="4" w:space="0" w:color="auto"/>
              <w:bottom w:val="single" w:sz="4" w:space="0" w:color="auto"/>
              <w:right w:val="single" w:sz="4" w:space="0" w:color="auto"/>
            </w:tcBorders>
            <w:hideMark/>
          </w:tcPr>
          <w:p w14:paraId="2F4FB628" w14:textId="77777777" w:rsidR="00AA5968" w:rsidRPr="00AA5968" w:rsidRDefault="00AA5968" w:rsidP="00794C07">
            <w:pPr>
              <w:keepNext/>
              <w:rPr>
                <w:rFonts w:cs="Arial"/>
              </w:rPr>
            </w:pPr>
            <w:r w:rsidRPr="00AA5968">
              <w:rPr>
                <w:rFonts w:cs="Arial"/>
              </w:rPr>
              <w:t>1.4%</w:t>
            </w:r>
          </w:p>
        </w:tc>
        <w:tc>
          <w:tcPr>
            <w:tcW w:w="1683" w:type="dxa"/>
            <w:tcBorders>
              <w:top w:val="single" w:sz="4" w:space="0" w:color="auto"/>
              <w:left w:val="single" w:sz="4" w:space="0" w:color="auto"/>
              <w:bottom w:val="single" w:sz="4" w:space="0" w:color="auto"/>
              <w:right w:val="single" w:sz="4" w:space="0" w:color="auto"/>
            </w:tcBorders>
            <w:hideMark/>
          </w:tcPr>
          <w:p w14:paraId="200BDF85" w14:textId="77777777" w:rsidR="00AA5968" w:rsidRPr="00AA5968" w:rsidRDefault="00AA5968" w:rsidP="00794C07">
            <w:pPr>
              <w:keepNext/>
              <w:rPr>
                <w:rFonts w:cs="Arial"/>
              </w:rPr>
            </w:pPr>
            <w:r w:rsidRPr="00AA5968">
              <w:rPr>
                <w:rFonts w:cs="Arial"/>
              </w:rPr>
              <w:t>2.2%</w:t>
            </w:r>
          </w:p>
        </w:tc>
      </w:tr>
    </w:tbl>
    <w:p w14:paraId="1E19F7D0" w14:textId="77777777" w:rsidR="00AA5968" w:rsidRPr="00AA5968" w:rsidRDefault="00AA5968" w:rsidP="00794C07">
      <w:pPr>
        <w:rPr>
          <w:rFonts w:eastAsia="Times New Roman" w:cs="Arial"/>
          <w:kern w:val="0"/>
          <w:lang w:eastAsia="en-GB"/>
          <w14:ligatures w14:val="none"/>
        </w:rPr>
      </w:pPr>
    </w:p>
    <w:p w14:paraId="6544B59D"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 xml:space="preserve">The table below compares the percentage of people registered with a mental health condition and dementia in the locality with the health board and Wales averages. It </w:t>
      </w:r>
      <w:r w:rsidRPr="00AA5968">
        <w:rPr>
          <w:rFonts w:eastAsia="Times New Roman" w:cs="Arial"/>
          <w:kern w:val="0"/>
          <w:lang w:eastAsia="en-GB"/>
          <w14:ligatures w14:val="none"/>
        </w:rPr>
        <w:lastRenderedPageBreak/>
        <w:t>shows the rates in mental health are lower than both the health board and Wales averages (0.3% and 0.1% lower), and for dementia aligns with both the health board and Wales average.</w:t>
      </w:r>
    </w:p>
    <w:p w14:paraId="17F82AB8" w14:textId="77777777" w:rsidR="00AA5968" w:rsidRPr="00AA5968" w:rsidRDefault="00AA5968" w:rsidP="00794C07">
      <w:pPr>
        <w:rPr>
          <w:rFonts w:eastAsia="Times New Roman" w:cs="Arial"/>
          <w:b/>
          <w:bCs/>
          <w:kern w:val="0"/>
          <w:lang w:eastAsia="en-GB"/>
          <w14:ligatures w14:val="none"/>
        </w:rPr>
      </w:pPr>
    </w:p>
    <w:p w14:paraId="268B90CA"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Table 11.4: Percentage of people registered as having a mental health condition, and dementia by locality, health board and Wales, 2025</w:t>
      </w:r>
      <w:r w:rsidRPr="00AA5968">
        <w:rPr>
          <w:rFonts w:eastAsia="Times New Roman" w:cs="Arial"/>
          <w:b/>
          <w:bCs/>
          <w:kern w:val="0"/>
          <w:vertAlign w:val="superscript"/>
          <w:lang w:eastAsia="en-GB"/>
          <w14:ligatures w14:val="none"/>
        </w:rPr>
        <w:footnoteReference w:id="285"/>
      </w:r>
    </w:p>
    <w:p w14:paraId="533E54D9" w14:textId="77777777" w:rsidR="00AA5968" w:rsidRPr="00AA5968" w:rsidRDefault="00AA5968" w:rsidP="00794C07">
      <w:pPr>
        <w:rPr>
          <w:rFonts w:eastAsia="Times New Roman" w:cs="Arial"/>
          <w:kern w:val="0"/>
          <w:lang w:eastAsia="en-GB"/>
          <w14:ligatures w14:val="none"/>
        </w:rPr>
      </w:pPr>
    </w:p>
    <w:tbl>
      <w:tblPr>
        <w:tblStyle w:val="TableGrid"/>
        <w:tblW w:w="8926" w:type="dxa"/>
        <w:tblInd w:w="0" w:type="dxa"/>
        <w:tblLook w:val="04A0" w:firstRow="1" w:lastRow="0" w:firstColumn="1" w:lastColumn="0" w:noHBand="0" w:noVBand="1"/>
      </w:tblPr>
      <w:tblGrid>
        <w:gridCol w:w="4957"/>
        <w:gridCol w:w="1842"/>
        <w:gridCol w:w="2127"/>
      </w:tblGrid>
      <w:tr w:rsidR="00AA5968" w:rsidRPr="00D0306F" w14:paraId="7384E958" w14:textId="77777777" w:rsidTr="00AA5968">
        <w:tc>
          <w:tcPr>
            <w:tcW w:w="4957" w:type="dxa"/>
            <w:tcBorders>
              <w:top w:val="single" w:sz="4" w:space="0" w:color="auto"/>
              <w:left w:val="single" w:sz="4" w:space="0" w:color="auto"/>
              <w:bottom w:val="single" w:sz="4" w:space="0" w:color="auto"/>
              <w:right w:val="single" w:sz="4" w:space="0" w:color="auto"/>
            </w:tcBorders>
            <w:shd w:val="clear" w:color="auto" w:fill="153D63"/>
            <w:hideMark/>
          </w:tcPr>
          <w:p w14:paraId="1949DCE7" w14:textId="77777777" w:rsidR="00AA5968" w:rsidRPr="00AA5968" w:rsidRDefault="00AA5968" w:rsidP="00794C07">
            <w:pPr>
              <w:rPr>
                <w:rFonts w:cs="Arial"/>
              </w:rPr>
            </w:pPr>
            <w:r w:rsidRPr="00AA5968">
              <w:rPr>
                <w:rFonts w:cs="Arial"/>
                <w:b/>
                <w:bCs/>
              </w:rPr>
              <w:t>Area</w:t>
            </w:r>
          </w:p>
        </w:tc>
        <w:tc>
          <w:tcPr>
            <w:tcW w:w="1842" w:type="dxa"/>
            <w:tcBorders>
              <w:top w:val="single" w:sz="4" w:space="0" w:color="auto"/>
              <w:left w:val="single" w:sz="4" w:space="0" w:color="auto"/>
              <w:bottom w:val="single" w:sz="4" w:space="0" w:color="auto"/>
              <w:right w:val="single" w:sz="4" w:space="0" w:color="auto"/>
            </w:tcBorders>
            <w:shd w:val="clear" w:color="auto" w:fill="153D63"/>
            <w:hideMark/>
          </w:tcPr>
          <w:p w14:paraId="41AC5C1D" w14:textId="77777777" w:rsidR="00AA5968" w:rsidRPr="00AA5968" w:rsidRDefault="00AA5968" w:rsidP="00794C07">
            <w:pPr>
              <w:jc w:val="center"/>
              <w:rPr>
                <w:rFonts w:cs="Arial"/>
              </w:rPr>
            </w:pPr>
            <w:r w:rsidRPr="00AA5968">
              <w:rPr>
                <w:rFonts w:cs="Arial"/>
                <w:b/>
                <w:bCs/>
              </w:rPr>
              <w:t>Mental health</w:t>
            </w:r>
          </w:p>
        </w:tc>
        <w:tc>
          <w:tcPr>
            <w:tcW w:w="2127" w:type="dxa"/>
            <w:tcBorders>
              <w:top w:val="single" w:sz="4" w:space="0" w:color="auto"/>
              <w:left w:val="single" w:sz="4" w:space="0" w:color="auto"/>
              <w:bottom w:val="single" w:sz="4" w:space="0" w:color="auto"/>
              <w:right w:val="single" w:sz="4" w:space="0" w:color="auto"/>
            </w:tcBorders>
            <w:shd w:val="clear" w:color="auto" w:fill="153D63"/>
            <w:hideMark/>
          </w:tcPr>
          <w:p w14:paraId="0C56A858" w14:textId="77777777" w:rsidR="00AA5968" w:rsidRPr="00AA5968" w:rsidRDefault="00AA5968" w:rsidP="00794C07">
            <w:pPr>
              <w:jc w:val="center"/>
              <w:rPr>
                <w:rFonts w:cs="Arial"/>
              </w:rPr>
            </w:pPr>
            <w:r w:rsidRPr="00AA5968">
              <w:rPr>
                <w:rFonts w:cs="Arial"/>
                <w:b/>
                <w:bCs/>
              </w:rPr>
              <w:t>Dementia</w:t>
            </w:r>
          </w:p>
        </w:tc>
      </w:tr>
      <w:tr w:rsidR="00AA5968" w:rsidRPr="00AA5968" w14:paraId="64C8AA5E" w14:textId="77777777" w:rsidTr="00AA5968">
        <w:tc>
          <w:tcPr>
            <w:tcW w:w="4957" w:type="dxa"/>
            <w:tcBorders>
              <w:top w:val="single" w:sz="4" w:space="0" w:color="auto"/>
              <w:left w:val="single" w:sz="4" w:space="0" w:color="auto"/>
              <w:bottom w:val="single" w:sz="4" w:space="0" w:color="auto"/>
              <w:right w:val="single" w:sz="4" w:space="0" w:color="auto"/>
            </w:tcBorders>
            <w:hideMark/>
          </w:tcPr>
          <w:p w14:paraId="4CF8C9B5" w14:textId="77777777" w:rsidR="00AA5968" w:rsidRPr="00AA5968" w:rsidRDefault="00AA5968" w:rsidP="00794C07">
            <w:pPr>
              <w:rPr>
                <w:rFonts w:cs="Arial"/>
              </w:rPr>
            </w:pPr>
            <w:r w:rsidRPr="00AA5968">
              <w:rPr>
                <w:rFonts w:cs="Arial"/>
              </w:rPr>
              <w:t>Llwchwr locality</w:t>
            </w:r>
          </w:p>
        </w:tc>
        <w:tc>
          <w:tcPr>
            <w:tcW w:w="1842" w:type="dxa"/>
            <w:tcBorders>
              <w:top w:val="single" w:sz="4" w:space="0" w:color="auto"/>
              <w:left w:val="single" w:sz="4" w:space="0" w:color="auto"/>
              <w:bottom w:val="single" w:sz="4" w:space="0" w:color="auto"/>
              <w:right w:val="single" w:sz="4" w:space="0" w:color="auto"/>
            </w:tcBorders>
            <w:hideMark/>
          </w:tcPr>
          <w:p w14:paraId="7F5EFE97" w14:textId="77777777" w:rsidR="00AA5968" w:rsidRPr="00AA5968" w:rsidRDefault="00AA5968" w:rsidP="00794C07">
            <w:pPr>
              <w:jc w:val="center"/>
              <w:rPr>
                <w:rFonts w:cs="Arial"/>
              </w:rPr>
            </w:pPr>
            <w:r w:rsidRPr="00AA5968">
              <w:rPr>
                <w:rFonts w:cs="Arial"/>
              </w:rPr>
              <w:t>1.0%</w:t>
            </w:r>
          </w:p>
        </w:tc>
        <w:tc>
          <w:tcPr>
            <w:tcW w:w="2127" w:type="dxa"/>
            <w:tcBorders>
              <w:top w:val="single" w:sz="4" w:space="0" w:color="auto"/>
              <w:left w:val="single" w:sz="4" w:space="0" w:color="auto"/>
              <w:bottom w:val="single" w:sz="4" w:space="0" w:color="auto"/>
              <w:right w:val="single" w:sz="4" w:space="0" w:color="auto"/>
            </w:tcBorders>
            <w:hideMark/>
          </w:tcPr>
          <w:p w14:paraId="7A59DEE3" w14:textId="77777777" w:rsidR="00AA5968" w:rsidRPr="00AA5968" w:rsidRDefault="00AA5968" w:rsidP="00794C07">
            <w:pPr>
              <w:jc w:val="center"/>
              <w:rPr>
                <w:rFonts w:cs="Arial"/>
              </w:rPr>
            </w:pPr>
            <w:r w:rsidRPr="00AA5968">
              <w:rPr>
                <w:rFonts w:cs="Arial"/>
              </w:rPr>
              <w:t>0.8%</w:t>
            </w:r>
          </w:p>
        </w:tc>
      </w:tr>
      <w:tr w:rsidR="00AA5968" w:rsidRPr="00AA5968" w14:paraId="407B6F88" w14:textId="77777777" w:rsidTr="00AA5968">
        <w:tc>
          <w:tcPr>
            <w:tcW w:w="4957" w:type="dxa"/>
            <w:tcBorders>
              <w:top w:val="single" w:sz="4" w:space="0" w:color="auto"/>
              <w:left w:val="single" w:sz="4" w:space="0" w:color="auto"/>
              <w:bottom w:val="single" w:sz="4" w:space="0" w:color="auto"/>
              <w:right w:val="single" w:sz="4" w:space="0" w:color="auto"/>
            </w:tcBorders>
            <w:hideMark/>
          </w:tcPr>
          <w:p w14:paraId="013CB464" w14:textId="77777777" w:rsidR="00AA5968" w:rsidRPr="00AA5968" w:rsidRDefault="00AA5968" w:rsidP="00794C07">
            <w:pPr>
              <w:rPr>
                <w:rFonts w:cs="Arial"/>
              </w:rPr>
            </w:pPr>
            <w:r w:rsidRPr="00AA5968">
              <w:rPr>
                <w:rFonts w:cs="Arial"/>
              </w:rPr>
              <w:t>Swansea Bay University Health Board</w:t>
            </w:r>
          </w:p>
        </w:tc>
        <w:tc>
          <w:tcPr>
            <w:tcW w:w="1842" w:type="dxa"/>
            <w:tcBorders>
              <w:top w:val="single" w:sz="4" w:space="0" w:color="auto"/>
              <w:left w:val="single" w:sz="4" w:space="0" w:color="auto"/>
              <w:bottom w:val="single" w:sz="4" w:space="0" w:color="auto"/>
              <w:right w:val="single" w:sz="4" w:space="0" w:color="auto"/>
            </w:tcBorders>
            <w:hideMark/>
          </w:tcPr>
          <w:p w14:paraId="10E10472" w14:textId="77777777" w:rsidR="00AA5968" w:rsidRPr="00AA5968" w:rsidRDefault="00AA5968" w:rsidP="00794C07">
            <w:pPr>
              <w:jc w:val="center"/>
              <w:rPr>
                <w:rFonts w:cs="Arial"/>
              </w:rPr>
            </w:pPr>
            <w:r w:rsidRPr="00AA5968">
              <w:rPr>
                <w:rFonts w:cs="Arial"/>
              </w:rPr>
              <w:t>1.3%</w:t>
            </w:r>
          </w:p>
        </w:tc>
        <w:tc>
          <w:tcPr>
            <w:tcW w:w="2127" w:type="dxa"/>
            <w:tcBorders>
              <w:top w:val="single" w:sz="4" w:space="0" w:color="auto"/>
              <w:left w:val="single" w:sz="4" w:space="0" w:color="auto"/>
              <w:bottom w:val="single" w:sz="4" w:space="0" w:color="auto"/>
              <w:right w:val="single" w:sz="4" w:space="0" w:color="auto"/>
            </w:tcBorders>
            <w:hideMark/>
          </w:tcPr>
          <w:p w14:paraId="23745206" w14:textId="77777777" w:rsidR="00AA5968" w:rsidRPr="00AA5968" w:rsidRDefault="00AA5968" w:rsidP="00794C07">
            <w:pPr>
              <w:jc w:val="center"/>
              <w:rPr>
                <w:rFonts w:cs="Arial"/>
              </w:rPr>
            </w:pPr>
            <w:r w:rsidRPr="00AA5968">
              <w:rPr>
                <w:rFonts w:cs="Arial"/>
              </w:rPr>
              <w:t>0.8%</w:t>
            </w:r>
          </w:p>
        </w:tc>
      </w:tr>
      <w:tr w:rsidR="00AA5968" w:rsidRPr="00AA5968" w14:paraId="44E1CFDC" w14:textId="77777777" w:rsidTr="00AA5968">
        <w:tc>
          <w:tcPr>
            <w:tcW w:w="4957" w:type="dxa"/>
            <w:tcBorders>
              <w:top w:val="single" w:sz="4" w:space="0" w:color="auto"/>
              <w:left w:val="single" w:sz="4" w:space="0" w:color="auto"/>
              <w:bottom w:val="single" w:sz="4" w:space="0" w:color="auto"/>
              <w:right w:val="single" w:sz="4" w:space="0" w:color="auto"/>
            </w:tcBorders>
            <w:hideMark/>
          </w:tcPr>
          <w:p w14:paraId="5A729134" w14:textId="77777777" w:rsidR="00AA5968" w:rsidRPr="00AA5968" w:rsidRDefault="00AA5968" w:rsidP="00794C07">
            <w:pPr>
              <w:rPr>
                <w:rFonts w:cs="Arial"/>
              </w:rPr>
            </w:pPr>
            <w:r w:rsidRPr="00AA5968">
              <w:rPr>
                <w:rFonts w:cs="Arial"/>
              </w:rPr>
              <w:t>Wales</w:t>
            </w:r>
          </w:p>
        </w:tc>
        <w:tc>
          <w:tcPr>
            <w:tcW w:w="1842" w:type="dxa"/>
            <w:tcBorders>
              <w:top w:val="single" w:sz="4" w:space="0" w:color="auto"/>
              <w:left w:val="single" w:sz="4" w:space="0" w:color="auto"/>
              <w:bottom w:val="single" w:sz="4" w:space="0" w:color="auto"/>
              <w:right w:val="single" w:sz="4" w:space="0" w:color="auto"/>
            </w:tcBorders>
            <w:hideMark/>
          </w:tcPr>
          <w:p w14:paraId="7839637C" w14:textId="77777777" w:rsidR="00AA5968" w:rsidRPr="00AA5968" w:rsidRDefault="00AA5968" w:rsidP="00794C07">
            <w:pPr>
              <w:jc w:val="center"/>
              <w:rPr>
                <w:rFonts w:cs="Arial"/>
              </w:rPr>
            </w:pPr>
            <w:r w:rsidRPr="00AA5968">
              <w:rPr>
                <w:rFonts w:cs="Arial"/>
              </w:rPr>
              <w:t>1.1%</w:t>
            </w:r>
          </w:p>
        </w:tc>
        <w:tc>
          <w:tcPr>
            <w:tcW w:w="2127" w:type="dxa"/>
            <w:tcBorders>
              <w:top w:val="single" w:sz="4" w:space="0" w:color="auto"/>
              <w:left w:val="single" w:sz="4" w:space="0" w:color="auto"/>
              <w:bottom w:val="single" w:sz="4" w:space="0" w:color="auto"/>
              <w:right w:val="single" w:sz="4" w:space="0" w:color="auto"/>
            </w:tcBorders>
            <w:hideMark/>
          </w:tcPr>
          <w:p w14:paraId="4CAA85F4" w14:textId="77777777" w:rsidR="00AA5968" w:rsidRPr="00AA5968" w:rsidRDefault="00AA5968" w:rsidP="00794C07">
            <w:pPr>
              <w:jc w:val="center"/>
              <w:rPr>
                <w:rFonts w:cs="Arial"/>
              </w:rPr>
            </w:pPr>
            <w:r w:rsidRPr="00AA5968">
              <w:rPr>
                <w:rFonts w:cs="Arial"/>
              </w:rPr>
              <w:t>0.8%</w:t>
            </w:r>
          </w:p>
        </w:tc>
      </w:tr>
    </w:tbl>
    <w:p w14:paraId="25F00C2E" w14:textId="77777777" w:rsidR="00AA5968" w:rsidRPr="00AA5968" w:rsidRDefault="00AA5968" w:rsidP="00794C07">
      <w:pPr>
        <w:keepNext/>
        <w:rPr>
          <w:rFonts w:eastAsia="Times New Roman" w:cs="Arial"/>
          <w:bCs/>
          <w:kern w:val="0"/>
          <w14:ligatures w14:val="none"/>
        </w:rPr>
      </w:pPr>
    </w:p>
    <w:p w14:paraId="051011B6" w14:textId="77777777" w:rsidR="00AA5968" w:rsidRPr="00AA5968" w:rsidRDefault="00AA5968" w:rsidP="00794C07">
      <w:pPr>
        <w:keepNext/>
        <w:rPr>
          <w:rFonts w:eastAsia="Times New Roman" w:cs="Arial"/>
          <w:bCs/>
          <w:kern w:val="0"/>
          <w14:ligatures w14:val="none"/>
        </w:rPr>
      </w:pPr>
      <w:r w:rsidRPr="00AA5968">
        <w:rPr>
          <w:rFonts w:eastAsia="Times New Roman" w:cs="Arial"/>
          <w:bCs/>
          <w:kern w:val="0"/>
          <w14:ligatures w14:val="none"/>
        </w:rPr>
        <w:t>The table below shows that the locality is higher in atrial fibrillation than the health board and Wales averages (2.6% and 2.7% lower respectively). Hypertension is higher than the health board average (1.0% higher), but lower than the Wales average (0.4% lower).</w:t>
      </w:r>
    </w:p>
    <w:p w14:paraId="54843427" w14:textId="77777777" w:rsidR="00AA5968" w:rsidRPr="00AA5968" w:rsidRDefault="00AA5968" w:rsidP="00794C07">
      <w:pPr>
        <w:keepNext/>
        <w:rPr>
          <w:rFonts w:eastAsia="Times New Roman" w:cs="Arial"/>
          <w:b/>
          <w:kern w:val="0"/>
          <w14:ligatures w14:val="none"/>
        </w:rPr>
      </w:pPr>
    </w:p>
    <w:p w14:paraId="6ED1AF7B" w14:textId="77777777" w:rsidR="00AA5968" w:rsidRPr="00AA5968" w:rsidRDefault="00AA5968" w:rsidP="00794C07">
      <w:pPr>
        <w:keepNext/>
        <w:rPr>
          <w:rFonts w:eastAsia="Times New Roman" w:cs="Arial"/>
          <w:b/>
          <w:bCs/>
          <w:kern w:val="0"/>
          <w14:ligatures w14:val="none"/>
        </w:rPr>
      </w:pPr>
      <w:r w:rsidRPr="00AA5968">
        <w:rPr>
          <w:rFonts w:eastAsia="Times New Roman" w:cs="Arial"/>
          <w:b/>
          <w:bCs/>
          <w:kern w:val="0"/>
          <w14:ligatures w14:val="none"/>
        </w:rPr>
        <w:t>Table 11.5: Estimated percentage prevalence of hypertension and atrial fibrillation based on people on GP practice registers by locality, health board and Wales, 2025</w:t>
      </w:r>
      <w:r w:rsidRPr="00AA5968">
        <w:rPr>
          <w:rFonts w:eastAsia="Times New Roman" w:cs="Arial"/>
          <w:b/>
          <w:bCs/>
          <w:kern w:val="0"/>
          <w:vertAlign w:val="superscript"/>
          <w14:ligatures w14:val="none"/>
        </w:rPr>
        <w:footnoteReference w:id="286"/>
      </w:r>
    </w:p>
    <w:p w14:paraId="7D45F06D" w14:textId="77777777" w:rsidR="00AA5968" w:rsidRPr="00AA5968" w:rsidRDefault="00AA5968" w:rsidP="00794C07">
      <w:pPr>
        <w:keepNext/>
        <w:rPr>
          <w:rFonts w:eastAsia="Times New Roman" w:cs="Arial"/>
          <w:b/>
          <w:kern w:val="0"/>
          <w14:ligatures w14:val="none"/>
        </w:rPr>
      </w:pPr>
    </w:p>
    <w:tbl>
      <w:tblPr>
        <w:tblStyle w:val="TableGrid"/>
        <w:tblW w:w="8591" w:type="dxa"/>
        <w:tblInd w:w="0" w:type="dxa"/>
        <w:tblLook w:val="04A0" w:firstRow="1" w:lastRow="0" w:firstColumn="1" w:lastColumn="0" w:noHBand="0" w:noVBand="1"/>
      </w:tblPr>
      <w:tblGrid>
        <w:gridCol w:w="4531"/>
        <w:gridCol w:w="2127"/>
        <w:gridCol w:w="1933"/>
      </w:tblGrid>
      <w:tr w:rsidR="00AA5968" w:rsidRPr="00D0306F" w14:paraId="739C1336" w14:textId="77777777" w:rsidTr="00AA5968">
        <w:tc>
          <w:tcPr>
            <w:tcW w:w="4531" w:type="dxa"/>
            <w:tcBorders>
              <w:top w:val="single" w:sz="4" w:space="0" w:color="auto"/>
              <w:left w:val="single" w:sz="4" w:space="0" w:color="auto"/>
              <w:bottom w:val="single" w:sz="4" w:space="0" w:color="auto"/>
              <w:right w:val="single" w:sz="4" w:space="0" w:color="auto"/>
            </w:tcBorders>
            <w:shd w:val="clear" w:color="auto" w:fill="153D63"/>
            <w:hideMark/>
          </w:tcPr>
          <w:p w14:paraId="7F25716A" w14:textId="77777777" w:rsidR="00AA5968" w:rsidRPr="00AA5968" w:rsidRDefault="00AA5968" w:rsidP="00794C07">
            <w:pPr>
              <w:keepNext/>
              <w:rPr>
                <w:rFonts w:cs="Arial"/>
                <w:b/>
              </w:rPr>
            </w:pPr>
            <w:r w:rsidRPr="00AA5968">
              <w:rPr>
                <w:rFonts w:cs="Arial"/>
                <w:b/>
              </w:rPr>
              <w:t>Area</w:t>
            </w:r>
          </w:p>
        </w:tc>
        <w:tc>
          <w:tcPr>
            <w:tcW w:w="2127" w:type="dxa"/>
            <w:tcBorders>
              <w:top w:val="single" w:sz="4" w:space="0" w:color="auto"/>
              <w:left w:val="single" w:sz="4" w:space="0" w:color="auto"/>
              <w:bottom w:val="single" w:sz="4" w:space="0" w:color="auto"/>
              <w:right w:val="single" w:sz="4" w:space="0" w:color="auto"/>
            </w:tcBorders>
            <w:shd w:val="clear" w:color="auto" w:fill="153D63"/>
            <w:hideMark/>
          </w:tcPr>
          <w:p w14:paraId="5A7CFE65" w14:textId="77777777" w:rsidR="00AA5968" w:rsidRPr="00AA5968" w:rsidRDefault="00AA5968" w:rsidP="00794C07">
            <w:pPr>
              <w:keepNext/>
              <w:jc w:val="center"/>
              <w:rPr>
                <w:rFonts w:cs="Arial"/>
                <w:b/>
              </w:rPr>
            </w:pPr>
            <w:r w:rsidRPr="00AA5968">
              <w:rPr>
                <w:rFonts w:cs="Arial"/>
                <w:b/>
              </w:rPr>
              <w:t>Atrial fibrillation</w:t>
            </w:r>
          </w:p>
        </w:tc>
        <w:tc>
          <w:tcPr>
            <w:tcW w:w="1933" w:type="dxa"/>
            <w:tcBorders>
              <w:top w:val="single" w:sz="4" w:space="0" w:color="auto"/>
              <w:left w:val="single" w:sz="4" w:space="0" w:color="auto"/>
              <w:bottom w:val="single" w:sz="4" w:space="0" w:color="auto"/>
              <w:right w:val="single" w:sz="4" w:space="0" w:color="auto"/>
            </w:tcBorders>
            <w:shd w:val="clear" w:color="auto" w:fill="153D63"/>
            <w:hideMark/>
          </w:tcPr>
          <w:p w14:paraId="08385185" w14:textId="77777777" w:rsidR="00AA5968" w:rsidRPr="00AA5968" w:rsidRDefault="00AA5968" w:rsidP="00794C07">
            <w:pPr>
              <w:keepNext/>
              <w:jc w:val="center"/>
              <w:rPr>
                <w:rFonts w:cs="Arial"/>
                <w:b/>
              </w:rPr>
            </w:pPr>
            <w:r w:rsidRPr="00AA5968">
              <w:rPr>
                <w:rFonts w:cs="Arial"/>
                <w:b/>
              </w:rPr>
              <w:t>Hypertension</w:t>
            </w:r>
          </w:p>
        </w:tc>
      </w:tr>
      <w:tr w:rsidR="00AA5968" w:rsidRPr="00AA5968" w14:paraId="08E81C18" w14:textId="77777777" w:rsidTr="00AA5968">
        <w:tc>
          <w:tcPr>
            <w:tcW w:w="4531" w:type="dxa"/>
            <w:tcBorders>
              <w:top w:val="single" w:sz="4" w:space="0" w:color="auto"/>
              <w:left w:val="single" w:sz="4" w:space="0" w:color="auto"/>
              <w:bottom w:val="single" w:sz="4" w:space="0" w:color="auto"/>
              <w:right w:val="single" w:sz="4" w:space="0" w:color="auto"/>
            </w:tcBorders>
            <w:hideMark/>
          </w:tcPr>
          <w:p w14:paraId="4599EBCA" w14:textId="77777777" w:rsidR="00AA5968" w:rsidRPr="00AA5968" w:rsidRDefault="00AA5968" w:rsidP="00794C07">
            <w:pPr>
              <w:keepNext/>
              <w:rPr>
                <w:rFonts w:cs="Arial"/>
                <w:bCs/>
              </w:rPr>
            </w:pPr>
            <w:r w:rsidRPr="00AA5968">
              <w:rPr>
                <w:rFonts w:cs="Arial"/>
                <w:bCs/>
              </w:rPr>
              <w:t>Llwchwr locality</w:t>
            </w:r>
          </w:p>
        </w:tc>
        <w:tc>
          <w:tcPr>
            <w:tcW w:w="2127" w:type="dxa"/>
            <w:tcBorders>
              <w:top w:val="single" w:sz="4" w:space="0" w:color="auto"/>
              <w:left w:val="single" w:sz="4" w:space="0" w:color="auto"/>
              <w:bottom w:val="single" w:sz="4" w:space="0" w:color="auto"/>
              <w:right w:val="single" w:sz="4" w:space="0" w:color="auto"/>
            </w:tcBorders>
            <w:hideMark/>
          </w:tcPr>
          <w:p w14:paraId="3CF770E3" w14:textId="77777777" w:rsidR="00AA5968" w:rsidRPr="00AA5968" w:rsidRDefault="00AA5968" w:rsidP="00794C07">
            <w:pPr>
              <w:keepNext/>
              <w:jc w:val="center"/>
              <w:rPr>
                <w:rFonts w:cs="Arial"/>
                <w:bCs/>
              </w:rPr>
            </w:pPr>
            <w:r w:rsidRPr="00AA5968">
              <w:rPr>
                <w:rFonts w:cs="Arial"/>
                <w:bCs/>
              </w:rPr>
              <w:t>3.0%</w:t>
            </w:r>
          </w:p>
        </w:tc>
        <w:tc>
          <w:tcPr>
            <w:tcW w:w="1933" w:type="dxa"/>
            <w:tcBorders>
              <w:top w:val="single" w:sz="4" w:space="0" w:color="auto"/>
              <w:left w:val="single" w:sz="4" w:space="0" w:color="auto"/>
              <w:bottom w:val="single" w:sz="4" w:space="0" w:color="auto"/>
              <w:right w:val="single" w:sz="4" w:space="0" w:color="auto"/>
            </w:tcBorders>
            <w:hideMark/>
          </w:tcPr>
          <w:p w14:paraId="7BB27965" w14:textId="77777777" w:rsidR="00AA5968" w:rsidRPr="00AA5968" w:rsidRDefault="00AA5968" w:rsidP="00794C07">
            <w:pPr>
              <w:keepNext/>
              <w:jc w:val="center"/>
              <w:rPr>
                <w:rFonts w:cs="Arial"/>
                <w:bCs/>
              </w:rPr>
            </w:pPr>
            <w:r w:rsidRPr="00AA5968">
              <w:rPr>
                <w:rFonts w:cs="Arial"/>
                <w:bCs/>
              </w:rPr>
              <w:t>15.9%</w:t>
            </w:r>
          </w:p>
        </w:tc>
      </w:tr>
      <w:tr w:rsidR="00AA5968" w:rsidRPr="00AA5968" w14:paraId="25086086" w14:textId="77777777" w:rsidTr="00AA5968">
        <w:tc>
          <w:tcPr>
            <w:tcW w:w="4531" w:type="dxa"/>
            <w:tcBorders>
              <w:top w:val="single" w:sz="4" w:space="0" w:color="auto"/>
              <w:left w:val="single" w:sz="4" w:space="0" w:color="auto"/>
              <w:bottom w:val="single" w:sz="4" w:space="0" w:color="auto"/>
              <w:right w:val="single" w:sz="4" w:space="0" w:color="auto"/>
            </w:tcBorders>
            <w:hideMark/>
          </w:tcPr>
          <w:p w14:paraId="4B8A76B2" w14:textId="77777777" w:rsidR="00AA5968" w:rsidRPr="00AA5968" w:rsidRDefault="00AA5968" w:rsidP="00794C07">
            <w:pPr>
              <w:keepNext/>
              <w:rPr>
                <w:rFonts w:cs="Arial"/>
                <w:b/>
              </w:rPr>
            </w:pPr>
            <w:r w:rsidRPr="00AA5968">
              <w:rPr>
                <w:rFonts w:cs="Arial"/>
              </w:rPr>
              <w:t>Swansea Bay University Health Board</w:t>
            </w:r>
          </w:p>
        </w:tc>
        <w:tc>
          <w:tcPr>
            <w:tcW w:w="2127" w:type="dxa"/>
            <w:tcBorders>
              <w:top w:val="single" w:sz="4" w:space="0" w:color="auto"/>
              <w:left w:val="single" w:sz="4" w:space="0" w:color="auto"/>
              <w:bottom w:val="single" w:sz="4" w:space="0" w:color="auto"/>
              <w:right w:val="single" w:sz="4" w:space="0" w:color="auto"/>
            </w:tcBorders>
            <w:hideMark/>
          </w:tcPr>
          <w:p w14:paraId="19F86A6D" w14:textId="77777777" w:rsidR="00AA5968" w:rsidRPr="00AA5968" w:rsidRDefault="00AA5968" w:rsidP="00794C07">
            <w:pPr>
              <w:keepNext/>
              <w:jc w:val="center"/>
              <w:rPr>
                <w:rFonts w:cs="Arial"/>
                <w:bCs/>
              </w:rPr>
            </w:pPr>
            <w:r w:rsidRPr="00AA5968">
              <w:rPr>
                <w:rFonts w:cs="Arial"/>
                <w:bCs/>
              </w:rPr>
              <w:t>2.6%</w:t>
            </w:r>
          </w:p>
        </w:tc>
        <w:tc>
          <w:tcPr>
            <w:tcW w:w="1933" w:type="dxa"/>
            <w:tcBorders>
              <w:top w:val="single" w:sz="4" w:space="0" w:color="auto"/>
              <w:left w:val="single" w:sz="4" w:space="0" w:color="auto"/>
              <w:bottom w:val="single" w:sz="4" w:space="0" w:color="auto"/>
              <w:right w:val="single" w:sz="4" w:space="0" w:color="auto"/>
            </w:tcBorders>
            <w:hideMark/>
          </w:tcPr>
          <w:p w14:paraId="6A179051" w14:textId="77777777" w:rsidR="00AA5968" w:rsidRPr="00AA5968" w:rsidRDefault="00AA5968" w:rsidP="00794C07">
            <w:pPr>
              <w:keepNext/>
              <w:jc w:val="center"/>
              <w:rPr>
                <w:rFonts w:cs="Arial"/>
                <w:bCs/>
              </w:rPr>
            </w:pPr>
            <w:r w:rsidRPr="00AA5968">
              <w:rPr>
                <w:rFonts w:cs="Arial"/>
                <w:bCs/>
              </w:rPr>
              <w:t>14.9%</w:t>
            </w:r>
          </w:p>
        </w:tc>
      </w:tr>
      <w:tr w:rsidR="00AA5968" w:rsidRPr="00AA5968" w14:paraId="0529F50D" w14:textId="77777777" w:rsidTr="00AA5968">
        <w:tc>
          <w:tcPr>
            <w:tcW w:w="4531" w:type="dxa"/>
            <w:tcBorders>
              <w:top w:val="single" w:sz="4" w:space="0" w:color="auto"/>
              <w:left w:val="single" w:sz="4" w:space="0" w:color="auto"/>
              <w:bottom w:val="single" w:sz="4" w:space="0" w:color="auto"/>
              <w:right w:val="single" w:sz="4" w:space="0" w:color="auto"/>
            </w:tcBorders>
            <w:hideMark/>
          </w:tcPr>
          <w:p w14:paraId="4D6BBA23" w14:textId="77777777" w:rsidR="00AA5968" w:rsidRPr="00AA5968" w:rsidRDefault="00AA5968" w:rsidP="00794C07">
            <w:pPr>
              <w:keepNext/>
              <w:rPr>
                <w:rFonts w:cs="Arial"/>
              </w:rPr>
            </w:pPr>
            <w:r w:rsidRPr="00AA5968">
              <w:rPr>
                <w:rFonts w:cs="Arial"/>
              </w:rPr>
              <w:t>Wales</w:t>
            </w:r>
          </w:p>
        </w:tc>
        <w:tc>
          <w:tcPr>
            <w:tcW w:w="2127" w:type="dxa"/>
            <w:tcBorders>
              <w:top w:val="single" w:sz="4" w:space="0" w:color="auto"/>
              <w:left w:val="single" w:sz="4" w:space="0" w:color="auto"/>
              <w:bottom w:val="single" w:sz="4" w:space="0" w:color="auto"/>
              <w:right w:val="single" w:sz="4" w:space="0" w:color="auto"/>
            </w:tcBorders>
            <w:hideMark/>
          </w:tcPr>
          <w:p w14:paraId="38D0B92A" w14:textId="77777777" w:rsidR="00AA5968" w:rsidRPr="00AA5968" w:rsidRDefault="00AA5968" w:rsidP="00794C07">
            <w:pPr>
              <w:keepNext/>
              <w:jc w:val="center"/>
              <w:rPr>
                <w:rFonts w:cs="Arial"/>
              </w:rPr>
            </w:pPr>
            <w:r w:rsidRPr="00AA5968">
              <w:rPr>
                <w:rFonts w:cs="Arial"/>
              </w:rPr>
              <w:t>2.7%</w:t>
            </w:r>
          </w:p>
        </w:tc>
        <w:tc>
          <w:tcPr>
            <w:tcW w:w="1933" w:type="dxa"/>
            <w:tcBorders>
              <w:top w:val="single" w:sz="4" w:space="0" w:color="auto"/>
              <w:left w:val="single" w:sz="4" w:space="0" w:color="auto"/>
              <w:bottom w:val="single" w:sz="4" w:space="0" w:color="auto"/>
              <w:right w:val="single" w:sz="4" w:space="0" w:color="auto"/>
            </w:tcBorders>
            <w:hideMark/>
          </w:tcPr>
          <w:p w14:paraId="3A5C620A" w14:textId="77777777" w:rsidR="00AA5968" w:rsidRPr="00AA5968" w:rsidRDefault="00AA5968" w:rsidP="00794C07">
            <w:pPr>
              <w:keepNext/>
              <w:jc w:val="center"/>
              <w:rPr>
                <w:rFonts w:cs="Arial"/>
              </w:rPr>
            </w:pPr>
            <w:r w:rsidRPr="00AA5968">
              <w:rPr>
                <w:rFonts w:cs="Arial"/>
              </w:rPr>
              <w:t>16.3%</w:t>
            </w:r>
          </w:p>
        </w:tc>
      </w:tr>
    </w:tbl>
    <w:p w14:paraId="35AA97EA" w14:textId="77777777" w:rsidR="00AA5968" w:rsidRPr="00AA5968" w:rsidRDefault="00AA5968" w:rsidP="00794C07">
      <w:pPr>
        <w:rPr>
          <w:rFonts w:eastAsia="Times New Roman" w:cs="Arial"/>
          <w:kern w:val="0"/>
          <w:lang w:eastAsia="en-GB"/>
          <w14:ligatures w14:val="none"/>
        </w:rPr>
      </w:pPr>
    </w:p>
    <w:p w14:paraId="6C92BB94" w14:textId="77777777" w:rsidR="00AA5968" w:rsidRPr="00AA5968" w:rsidRDefault="00AA5968" w:rsidP="00794C07">
      <w:pPr>
        <w:contextualSpacing/>
        <w:rPr>
          <w:rFonts w:eastAsia="Aptos" w:cs="Arial"/>
          <w:kern w:val="0"/>
          <w14:ligatures w14:val="none"/>
        </w:rPr>
      </w:pPr>
      <w:r w:rsidRPr="00AA5968">
        <w:rPr>
          <w:rFonts w:eastAsia="Aptos" w:cs="Arial"/>
        </w:rPr>
        <w:t>The table below presents the percentage of adults aged 16 years and over, in Swansea who have self-reported engaging in six key lifestyle behaviours, as recorded by the National Survey for Wales</w:t>
      </w:r>
      <w:r w:rsidRPr="00AA5968">
        <w:rPr>
          <w:rFonts w:eastAsia="Aptos" w:cs="Arial"/>
          <w:vertAlign w:val="superscript"/>
        </w:rPr>
        <w:footnoteReference w:id="287"/>
      </w:r>
      <w:r w:rsidRPr="00AA5968">
        <w:rPr>
          <w:rFonts w:eastAsia="Aptos" w:cs="Arial"/>
        </w:rPr>
        <w:t xml:space="preserve"> between 2021 and 2023. This information offers valuable insight into the common habits and lifestyle choices among the adult population in the area.</w:t>
      </w:r>
    </w:p>
    <w:p w14:paraId="54331938" w14:textId="77777777" w:rsidR="00AA5968" w:rsidRPr="00D0306F" w:rsidRDefault="00AA5968" w:rsidP="00794C07">
      <w:pPr>
        <w:contextualSpacing/>
        <w:rPr>
          <w:rFonts w:eastAsia="Aptos" w:cs="Arial"/>
        </w:rPr>
      </w:pPr>
    </w:p>
    <w:p w14:paraId="6CF35FE8" w14:textId="77777777" w:rsidR="00741989" w:rsidRPr="00D0306F" w:rsidRDefault="00741989" w:rsidP="00794C07">
      <w:pPr>
        <w:contextualSpacing/>
        <w:rPr>
          <w:rFonts w:eastAsia="Aptos" w:cs="Arial"/>
        </w:rPr>
      </w:pPr>
    </w:p>
    <w:p w14:paraId="28A55602" w14:textId="77777777" w:rsidR="00741989" w:rsidRPr="00D0306F" w:rsidRDefault="00741989" w:rsidP="00794C07">
      <w:pPr>
        <w:contextualSpacing/>
        <w:rPr>
          <w:rFonts w:eastAsia="Aptos" w:cs="Arial"/>
        </w:rPr>
      </w:pPr>
    </w:p>
    <w:p w14:paraId="02893224" w14:textId="77777777" w:rsidR="00741989" w:rsidRPr="00D0306F" w:rsidRDefault="00741989" w:rsidP="00794C07">
      <w:pPr>
        <w:contextualSpacing/>
        <w:rPr>
          <w:rFonts w:eastAsia="Aptos" w:cs="Arial"/>
        </w:rPr>
      </w:pPr>
    </w:p>
    <w:p w14:paraId="37E3DC5F" w14:textId="77777777" w:rsidR="00741989" w:rsidRPr="00D0306F" w:rsidRDefault="00741989" w:rsidP="00794C07">
      <w:pPr>
        <w:contextualSpacing/>
        <w:rPr>
          <w:rFonts w:eastAsia="Aptos" w:cs="Arial"/>
        </w:rPr>
      </w:pPr>
    </w:p>
    <w:p w14:paraId="36166490" w14:textId="77777777" w:rsidR="00741989" w:rsidRPr="00AA5968" w:rsidRDefault="00741989" w:rsidP="00794C07">
      <w:pPr>
        <w:contextualSpacing/>
        <w:rPr>
          <w:rFonts w:eastAsia="Aptos" w:cs="Arial"/>
        </w:rPr>
      </w:pPr>
    </w:p>
    <w:p w14:paraId="475B6E4F" w14:textId="77777777" w:rsidR="00AA5968" w:rsidRPr="00AA5968" w:rsidRDefault="00AA5968" w:rsidP="00794C07">
      <w:pPr>
        <w:keepNext/>
        <w:rPr>
          <w:rFonts w:eastAsia="Times New Roman" w:cs="Arial"/>
          <w:b/>
          <w:bCs/>
          <w:kern w:val="0"/>
          <w14:ligatures w14:val="none"/>
        </w:rPr>
      </w:pPr>
      <w:r w:rsidRPr="00AA5968">
        <w:rPr>
          <w:rFonts w:eastAsia="Times New Roman" w:cs="Arial"/>
          <w:b/>
          <w:bCs/>
          <w:kern w:val="0"/>
          <w14:ligatures w14:val="none"/>
        </w:rPr>
        <w:lastRenderedPageBreak/>
        <w:t>Table 11.6: Percentage of adults (aged 16 years and over) reporting lifestyle behaviours by local authority and Wales, 2021 to 2023</w:t>
      </w:r>
    </w:p>
    <w:p w14:paraId="19A394EF" w14:textId="77777777" w:rsidR="00AA5968" w:rsidRDefault="00AA5968" w:rsidP="00794C07">
      <w:pPr>
        <w:keepNext/>
        <w:rPr>
          <w:rFonts w:eastAsia="Times New Roman" w:cs="Arial"/>
          <w:b/>
          <w:kern w:val="0"/>
          <w14:ligatures w14:val="none"/>
        </w:rPr>
      </w:pPr>
    </w:p>
    <w:tbl>
      <w:tblPr>
        <w:tblStyle w:val="TableGrid6"/>
        <w:tblW w:w="9988" w:type="dxa"/>
        <w:tblInd w:w="-431" w:type="dxa"/>
        <w:tblLook w:val="04A0" w:firstRow="1" w:lastRow="0" w:firstColumn="1" w:lastColumn="0" w:noHBand="0" w:noVBand="1"/>
      </w:tblPr>
      <w:tblGrid>
        <w:gridCol w:w="1204"/>
        <w:gridCol w:w="1551"/>
        <w:gridCol w:w="1430"/>
        <w:gridCol w:w="1190"/>
        <w:gridCol w:w="1523"/>
        <w:gridCol w:w="950"/>
        <w:gridCol w:w="1190"/>
        <w:gridCol w:w="950"/>
      </w:tblGrid>
      <w:tr w:rsidR="007B106A" w:rsidRPr="00D0306F" w14:paraId="4B57F1F2" w14:textId="77777777" w:rsidTr="00910AD7">
        <w:trPr>
          <w:trHeight w:val="1807"/>
        </w:trPr>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3B8A27AA" w14:textId="77777777" w:rsidR="007B106A" w:rsidRPr="00037037" w:rsidRDefault="007B106A" w:rsidP="00426D39">
            <w:pPr>
              <w:keepNext/>
              <w:rPr>
                <w:rFonts w:eastAsia="Arial" w:cs="Arial"/>
                <w:b/>
                <w:bCs/>
                <w:sz w:val="24"/>
              </w:rPr>
            </w:pPr>
            <w:r w:rsidRPr="00037037">
              <w:rPr>
                <w:rFonts w:eastAsia="Arial" w:cs="Arial"/>
                <w:b/>
                <w:bCs/>
                <w:sz w:val="24"/>
              </w:rPr>
              <w:t>Area</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3E207827" w14:textId="77777777" w:rsidR="007B106A" w:rsidRPr="00037037" w:rsidRDefault="007B106A" w:rsidP="00426D39">
            <w:pPr>
              <w:keepNext/>
              <w:rPr>
                <w:rFonts w:eastAsia="Arial" w:cs="Arial"/>
                <w:b/>
                <w:bCs/>
                <w:sz w:val="24"/>
              </w:rPr>
            </w:pPr>
            <w:r w:rsidRPr="00037037">
              <w:rPr>
                <w:rFonts w:eastAsia="Arial" w:cs="Arial"/>
                <w:b/>
                <w:bCs/>
                <w:sz w:val="24"/>
              </w:rPr>
              <w:t>Population 16 years and over</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7EAE505F" w14:textId="77777777" w:rsidR="007B106A" w:rsidRPr="00037037" w:rsidRDefault="007B106A" w:rsidP="00426D39">
            <w:pPr>
              <w:keepNext/>
              <w:rPr>
                <w:rFonts w:eastAsia="Arial" w:cs="Arial"/>
                <w:b/>
                <w:bCs/>
                <w:sz w:val="24"/>
              </w:rPr>
            </w:pPr>
            <w:r w:rsidRPr="00037037">
              <w:rPr>
                <w:rFonts w:eastAsia="Arial" w:cs="Arial"/>
                <w:b/>
                <w:bCs/>
                <w:sz w:val="24"/>
              </w:rPr>
              <w:t>Smoking (including e-cigarettes)</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004E5569" w14:textId="77777777" w:rsidR="007B106A" w:rsidRPr="00037037" w:rsidRDefault="007B106A" w:rsidP="00426D39">
            <w:pPr>
              <w:keepNext/>
              <w:rPr>
                <w:rFonts w:eastAsia="Arial" w:cs="Arial"/>
                <w:b/>
                <w:bCs/>
                <w:sz w:val="24"/>
              </w:rPr>
            </w:pPr>
            <w:r w:rsidRPr="00037037">
              <w:rPr>
                <w:rFonts w:eastAsia="Arial" w:cs="Arial"/>
                <w:b/>
                <w:bCs/>
                <w:sz w:val="24"/>
              </w:rPr>
              <w:t>Drinking more than 14 units per week</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582F4B39" w14:textId="77777777" w:rsidR="007B106A" w:rsidRPr="00037037" w:rsidRDefault="007B106A" w:rsidP="00426D39">
            <w:pPr>
              <w:keepNext/>
              <w:rPr>
                <w:rFonts w:eastAsia="Arial" w:cs="Arial"/>
                <w:b/>
                <w:bCs/>
                <w:sz w:val="24"/>
              </w:rPr>
            </w:pPr>
            <w:r w:rsidRPr="00037037">
              <w:rPr>
                <w:rFonts w:eastAsia="Arial" w:cs="Arial"/>
                <w:b/>
                <w:bCs/>
                <w:sz w:val="24"/>
              </w:rPr>
              <w:t>Overweight with a body mass index of 25+</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2965BEC0" w14:textId="77777777" w:rsidR="007B106A" w:rsidRPr="00037037" w:rsidRDefault="007B106A" w:rsidP="00426D39">
            <w:pPr>
              <w:keepNext/>
              <w:rPr>
                <w:rFonts w:eastAsia="Arial" w:cs="Arial"/>
                <w:b/>
                <w:bCs/>
                <w:sz w:val="24"/>
              </w:rPr>
            </w:pPr>
            <w:r w:rsidRPr="00037037">
              <w:rPr>
                <w:rFonts w:eastAsia="Arial" w:cs="Arial"/>
                <w:b/>
                <w:bCs/>
                <w:sz w:val="24"/>
              </w:rPr>
              <w:t>Obese with a body mass index of 30+</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3F5382F9" w14:textId="77777777" w:rsidR="007B106A" w:rsidRPr="00037037" w:rsidRDefault="007B106A" w:rsidP="00426D39">
            <w:pPr>
              <w:keepNext/>
              <w:rPr>
                <w:rFonts w:eastAsia="Arial" w:cs="Arial"/>
                <w:b/>
                <w:bCs/>
                <w:sz w:val="24"/>
              </w:rPr>
            </w:pPr>
            <w:r w:rsidRPr="00037037">
              <w:rPr>
                <w:rFonts w:eastAsia="Arial" w:cs="Arial"/>
                <w:b/>
                <w:bCs/>
                <w:sz w:val="24"/>
              </w:rPr>
              <w:t>Physical activity for 150 minutes per week</w:t>
            </w:r>
          </w:p>
        </w:tc>
        <w:tc>
          <w:tcPr>
            <w:tcW w:w="950" w:type="dxa"/>
            <w:tcBorders>
              <w:top w:val="single" w:sz="4" w:space="0" w:color="auto"/>
              <w:left w:val="single" w:sz="4" w:space="0" w:color="auto"/>
              <w:bottom w:val="single" w:sz="4" w:space="0" w:color="auto"/>
              <w:right w:val="single" w:sz="4" w:space="0" w:color="auto"/>
            </w:tcBorders>
            <w:shd w:val="clear" w:color="auto" w:fill="153D63"/>
            <w:hideMark/>
          </w:tcPr>
          <w:p w14:paraId="01D45F48" w14:textId="77777777" w:rsidR="007B106A" w:rsidRPr="00037037" w:rsidRDefault="007B106A" w:rsidP="00426D39">
            <w:pPr>
              <w:keepNext/>
              <w:rPr>
                <w:rFonts w:eastAsia="Arial" w:cs="Arial"/>
                <w:b/>
                <w:bCs/>
                <w:sz w:val="24"/>
              </w:rPr>
            </w:pPr>
            <w:r w:rsidRPr="00037037">
              <w:rPr>
                <w:rFonts w:eastAsia="Arial" w:cs="Arial"/>
                <w:b/>
                <w:bCs/>
                <w:sz w:val="24"/>
              </w:rPr>
              <w:t>Eating five a day</w:t>
            </w:r>
          </w:p>
        </w:tc>
      </w:tr>
      <w:tr w:rsidR="007B106A" w:rsidRPr="00037037" w14:paraId="5A70A5FD" w14:textId="77777777" w:rsidTr="00910AD7">
        <w:trPr>
          <w:trHeight w:val="316"/>
        </w:trPr>
        <w:tc>
          <w:tcPr>
            <w:tcW w:w="0" w:type="auto"/>
            <w:tcBorders>
              <w:top w:val="single" w:sz="4" w:space="0" w:color="auto"/>
              <w:left w:val="single" w:sz="4" w:space="0" w:color="auto"/>
              <w:bottom w:val="single" w:sz="4" w:space="0" w:color="auto"/>
              <w:right w:val="single" w:sz="4" w:space="0" w:color="auto"/>
            </w:tcBorders>
            <w:hideMark/>
          </w:tcPr>
          <w:p w14:paraId="07E9B1E1" w14:textId="77777777" w:rsidR="007B106A" w:rsidRPr="00037037" w:rsidRDefault="007B106A" w:rsidP="00426D39">
            <w:pPr>
              <w:keepNext/>
              <w:rPr>
                <w:rFonts w:cs="Arial"/>
                <w:bCs/>
                <w:sz w:val="24"/>
              </w:rPr>
            </w:pPr>
            <w:r w:rsidRPr="00037037">
              <w:rPr>
                <w:rFonts w:eastAsia="Arial" w:cs="Arial"/>
                <w:sz w:val="24"/>
              </w:rPr>
              <w:t>Swansea local authority</w:t>
            </w:r>
          </w:p>
        </w:tc>
        <w:tc>
          <w:tcPr>
            <w:tcW w:w="0" w:type="auto"/>
            <w:tcBorders>
              <w:top w:val="single" w:sz="4" w:space="0" w:color="auto"/>
              <w:left w:val="single" w:sz="4" w:space="0" w:color="auto"/>
              <w:bottom w:val="single" w:sz="4" w:space="0" w:color="auto"/>
              <w:right w:val="single" w:sz="4" w:space="0" w:color="auto"/>
            </w:tcBorders>
            <w:hideMark/>
          </w:tcPr>
          <w:p w14:paraId="2B59AA81" w14:textId="77777777" w:rsidR="007B106A" w:rsidRPr="00037037" w:rsidRDefault="007B106A" w:rsidP="00426D39">
            <w:pPr>
              <w:keepNext/>
              <w:rPr>
                <w:rFonts w:eastAsia="Arial" w:cs="Arial"/>
                <w:sz w:val="24"/>
              </w:rPr>
            </w:pPr>
            <w:r w:rsidRPr="00037037">
              <w:rPr>
                <w:rFonts w:eastAsia="Arial" w:cs="Arial"/>
                <w:sz w:val="24"/>
              </w:rPr>
              <w:t>209,302</w:t>
            </w:r>
            <w:r w:rsidRPr="00037037">
              <w:rPr>
                <w:rFonts w:eastAsia="Arial" w:cs="Arial"/>
                <w:sz w:val="24"/>
                <w:vertAlign w:val="superscript"/>
              </w:rPr>
              <w:footnoteReference w:id="288"/>
            </w:r>
          </w:p>
        </w:tc>
        <w:tc>
          <w:tcPr>
            <w:tcW w:w="0" w:type="auto"/>
            <w:tcBorders>
              <w:top w:val="single" w:sz="4" w:space="0" w:color="auto"/>
              <w:left w:val="single" w:sz="4" w:space="0" w:color="auto"/>
              <w:bottom w:val="single" w:sz="4" w:space="0" w:color="auto"/>
              <w:right w:val="single" w:sz="4" w:space="0" w:color="auto"/>
            </w:tcBorders>
            <w:hideMark/>
          </w:tcPr>
          <w:p w14:paraId="29EEDF52" w14:textId="77777777" w:rsidR="007B106A" w:rsidRPr="00037037" w:rsidRDefault="007B106A" w:rsidP="00426D39">
            <w:pPr>
              <w:keepNext/>
              <w:rPr>
                <w:rFonts w:eastAsia="Arial" w:cs="Arial"/>
                <w:sz w:val="24"/>
              </w:rPr>
            </w:pPr>
            <w:r w:rsidRPr="00037037">
              <w:rPr>
                <w:rFonts w:eastAsia="Arial" w:cs="Arial"/>
                <w:sz w:val="24"/>
              </w:rPr>
              <w:t>20%</w:t>
            </w:r>
          </w:p>
        </w:tc>
        <w:tc>
          <w:tcPr>
            <w:tcW w:w="0" w:type="auto"/>
            <w:tcBorders>
              <w:top w:val="single" w:sz="4" w:space="0" w:color="auto"/>
              <w:left w:val="single" w:sz="4" w:space="0" w:color="auto"/>
              <w:bottom w:val="single" w:sz="4" w:space="0" w:color="auto"/>
              <w:right w:val="single" w:sz="4" w:space="0" w:color="auto"/>
            </w:tcBorders>
            <w:hideMark/>
          </w:tcPr>
          <w:p w14:paraId="4BFA1911" w14:textId="77777777" w:rsidR="007B106A" w:rsidRPr="00037037" w:rsidRDefault="007B106A" w:rsidP="00426D39">
            <w:pPr>
              <w:keepNext/>
              <w:rPr>
                <w:rFonts w:eastAsia="Arial" w:cs="Arial"/>
                <w:sz w:val="24"/>
              </w:rPr>
            </w:pPr>
            <w:r w:rsidRPr="00037037">
              <w:rPr>
                <w:rFonts w:eastAsia="Arial" w:cs="Arial"/>
                <w:sz w:val="24"/>
              </w:rPr>
              <w:t>16%</w:t>
            </w:r>
          </w:p>
        </w:tc>
        <w:tc>
          <w:tcPr>
            <w:tcW w:w="0" w:type="auto"/>
            <w:tcBorders>
              <w:top w:val="single" w:sz="4" w:space="0" w:color="auto"/>
              <w:left w:val="single" w:sz="4" w:space="0" w:color="auto"/>
              <w:bottom w:val="single" w:sz="4" w:space="0" w:color="auto"/>
              <w:right w:val="single" w:sz="4" w:space="0" w:color="auto"/>
            </w:tcBorders>
            <w:hideMark/>
          </w:tcPr>
          <w:p w14:paraId="54A07791" w14:textId="77777777" w:rsidR="007B106A" w:rsidRPr="00037037" w:rsidRDefault="007B106A" w:rsidP="00426D39">
            <w:pPr>
              <w:keepNext/>
              <w:rPr>
                <w:rFonts w:eastAsia="Arial" w:cs="Arial"/>
                <w:sz w:val="24"/>
              </w:rPr>
            </w:pPr>
            <w:r w:rsidRPr="00037037">
              <w:rPr>
                <w:rFonts w:eastAsia="Arial" w:cs="Arial"/>
                <w:sz w:val="24"/>
              </w:rPr>
              <w:t>61%</w:t>
            </w:r>
          </w:p>
        </w:tc>
        <w:tc>
          <w:tcPr>
            <w:tcW w:w="0" w:type="auto"/>
            <w:tcBorders>
              <w:top w:val="single" w:sz="4" w:space="0" w:color="auto"/>
              <w:left w:val="single" w:sz="4" w:space="0" w:color="auto"/>
              <w:bottom w:val="single" w:sz="4" w:space="0" w:color="auto"/>
              <w:right w:val="single" w:sz="4" w:space="0" w:color="auto"/>
            </w:tcBorders>
            <w:hideMark/>
          </w:tcPr>
          <w:p w14:paraId="2B17E013" w14:textId="77777777" w:rsidR="007B106A" w:rsidRPr="00037037" w:rsidRDefault="007B106A" w:rsidP="00426D39">
            <w:pPr>
              <w:keepNext/>
              <w:rPr>
                <w:rFonts w:eastAsia="Arial" w:cs="Arial"/>
                <w:sz w:val="24"/>
              </w:rPr>
            </w:pPr>
            <w:r w:rsidRPr="00037037">
              <w:rPr>
                <w:rFonts w:eastAsia="Arial" w:cs="Arial"/>
                <w:sz w:val="24"/>
              </w:rPr>
              <w:t>24%</w:t>
            </w:r>
          </w:p>
        </w:tc>
        <w:tc>
          <w:tcPr>
            <w:tcW w:w="0" w:type="auto"/>
            <w:tcBorders>
              <w:top w:val="single" w:sz="4" w:space="0" w:color="auto"/>
              <w:left w:val="single" w:sz="4" w:space="0" w:color="auto"/>
              <w:bottom w:val="single" w:sz="4" w:space="0" w:color="auto"/>
              <w:right w:val="single" w:sz="4" w:space="0" w:color="auto"/>
            </w:tcBorders>
            <w:hideMark/>
          </w:tcPr>
          <w:p w14:paraId="4DFC100B" w14:textId="77777777" w:rsidR="007B106A" w:rsidRPr="00037037" w:rsidRDefault="007B106A" w:rsidP="00426D39">
            <w:pPr>
              <w:keepNext/>
              <w:rPr>
                <w:rFonts w:eastAsia="Arial" w:cs="Arial"/>
                <w:sz w:val="24"/>
              </w:rPr>
            </w:pPr>
            <w:r w:rsidRPr="00037037">
              <w:rPr>
                <w:rFonts w:eastAsia="Arial" w:cs="Arial"/>
                <w:sz w:val="24"/>
              </w:rPr>
              <w:t>59%</w:t>
            </w:r>
          </w:p>
        </w:tc>
        <w:tc>
          <w:tcPr>
            <w:tcW w:w="950" w:type="dxa"/>
            <w:tcBorders>
              <w:top w:val="single" w:sz="4" w:space="0" w:color="auto"/>
              <w:left w:val="single" w:sz="4" w:space="0" w:color="auto"/>
              <w:bottom w:val="single" w:sz="4" w:space="0" w:color="auto"/>
              <w:right w:val="single" w:sz="4" w:space="0" w:color="auto"/>
            </w:tcBorders>
            <w:hideMark/>
          </w:tcPr>
          <w:p w14:paraId="5A00595A" w14:textId="77777777" w:rsidR="007B106A" w:rsidRPr="00037037" w:rsidRDefault="007B106A" w:rsidP="00426D39">
            <w:pPr>
              <w:keepNext/>
              <w:rPr>
                <w:rFonts w:eastAsia="Arial" w:cs="Arial"/>
                <w:sz w:val="24"/>
              </w:rPr>
            </w:pPr>
            <w:r w:rsidRPr="00037037">
              <w:rPr>
                <w:rFonts w:eastAsia="Arial" w:cs="Arial"/>
                <w:sz w:val="24"/>
              </w:rPr>
              <w:t>34%</w:t>
            </w:r>
          </w:p>
        </w:tc>
      </w:tr>
      <w:tr w:rsidR="007B106A" w:rsidRPr="00037037" w14:paraId="70027B09" w14:textId="77777777" w:rsidTr="00910AD7">
        <w:trPr>
          <w:trHeight w:val="328"/>
        </w:trPr>
        <w:tc>
          <w:tcPr>
            <w:tcW w:w="0" w:type="auto"/>
            <w:tcBorders>
              <w:top w:val="single" w:sz="4" w:space="0" w:color="auto"/>
              <w:left w:val="single" w:sz="4" w:space="0" w:color="auto"/>
              <w:bottom w:val="single" w:sz="4" w:space="0" w:color="auto"/>
              <w:right w:val="single" w:sz="4" w:space="0" w:color="auto"/>
            </w:tcBorders>
            <w:hideMark/>
          </w:tcPr>
          <w:p w14:paraId="2E9CC203" w14:textId="77777777" w:rsidR="007B106A" w:rsidRPr="00037037" w:rsidRDefault="007B106A" w:rsidP="00426D39">
            <w:pPr>
              <w:keepNext/>
              <w:rPr>
                <w:rFonts w:eastAsia="Arial" w:cs="Arial"/>
                <w:sz w:val="24"/>
              </w:rPr>
            </w:pPr>
            <w:r w:rsidRPr="00037037">
              <w:rPr>
                <w:rFonts w:eastAsia="Arial" w:cs="Arial"/>
                <w:sz w:val="24"/>
              </w:rPr>
              <w:t>Wales</w:t>
            </w:r>
          </w:p>
        </w:tc>
        <w:tc>
          <w:tcPr>
            <w:tcW w:w="0" w:type="auto"/>
            <w:tcBorders>
              <w:top w:val="single" w:sz="4" w:space="0" w:color="auto"/>
              <w:left w:val="single" w:sz="4" w:space="0" w:color="auto"/>
              <w:bottom w:val="single" w:sz="4" w:space="0" w:color="auto"/>
              <w:right w:val="single" w:sz="4" w:space="0" w:color="auto"/>
            </w:tcBorders>
            <w:hideMark/>
          </w:tcPr>
          <w:p w14:paraId="4ECBC488" w14:textId="77777777" w:rsidR="007B106A" w:rsidRPr="00037037" w:rsidRDefault="007B106A" w:rsidP="00426D39">
            <w:pPr>
              <w:keepNext/>
              <w:rPr>
                <w:rFonts w:eastAsia="Arial" w:cs="Arial"/>
                <w:sz w:val="24"/>
              </w:rPr>
            </w:pPr>
            <w:r w:rsidRPr="00037037">
              <w:rPr>
                <w:rFonts w:eastAsia="Arial" w:cs="Arial"/>
                <w:sz w:val="24"/>
              </w:rPr>
              <w:t>2,641,000</w:t>
            </w:r>
            <w:r w:rsidRPr="00037037">
              <w:rPr>
                <w:rFonts w:eastAsia="Arial" w:cs="Arial"/>
                <w:sz w:val="24"/>
                <w:vertAlign w:val="superscript"/>
              </w:rPr>
              <w:footnoteReference w:id="289"/>
            </w:r>
          </w:p>
        </w:tc>
        <w:tc>
          <w:tcPr>
            <w:tcW w:w="0" w:type="auto"/>
            <w:tcBorders>
              <w:top w:val="single" w:sz="4" w:space="0" w:color="auto"/>
              <w:left w:val="single" w:sz="4" w:space="0" w:color="auto"/>
              <w:bottom w:val="single" w:sz="4" w:space="0" w:color="auto"/>
              <w:right w:val="single" w:sz="4" w:space="0" w:color="auto"/>
            </w:tcBorders>
            <w:hideMark/>
          </w:tcPr>
          <w:p w14:paraId="7A3F6E45" w14:textId="77777777" w:rsidR="007B106A" w:rsidRPr="00037037" w:rsidRDefault="007B106A" w:rsidP="00426D39">
            <w:pPr>
              <w:keepNext/>
              <w:rPr>
                <w:rFonts w:eastAsia="Arial" w:cs="Arial"/>
                <w:sz w:val="24"/>
              </w:rPr>
            </w:pPr>
            <w:r w:rsidRPr="00037037">
              <w:rPr>
                <w:rFonts w:eastAsia="Arial" w:cs="Arial"/>
                <w:sz w:val="24"/>
              </w:rPr>
              <w:t>20%</w:t>
            </w:r>
          </w:p>
        </w:tc>
        <w:tc>
          <w:tcPr>
            <w:tcW w:w="0" w:type="auto"/>
            <w:tcBorders>
              <w:top w:val="single" w:sz="4" w:space="0" w:color="auto"/>
              <w:left w:val="single" w:sz="4" w:space="0" w:color="auto"/>
              <w:bottom w:val="single" w:sz="4" w:space="0" w:color="auto"/>
              <w:right w:val="single" w:sz="4" w:space="0" w:color="auto"/>
            </w:tcBorders>
            <w:hideMark/>
          </w:tcPr>
          <w:p w14:paraId="6E76373D" w14:textId="77777777" w:rsidR="007B106A" w:rsidRPr="00037037" w:rsidRDefault="007B106A" w:rsidP="00426D39">
            <w:pPr>
              <w:keepNext/>
              <w:rPr>
                <w:rFonts w:eastAsia="Arial" w:cs="Arial"/>
                <w:sz w:val="24"/>
              </w:rPr>
            </w:pPr>
            <w:r w:rsidRPr="00037037">
              <w:rPr>
                <w:rFonts w:eastAsia="Arial" w:cs="Arial"/>
                <w:sz w:val="24"/>
              </w:rPr>
              <w:t>16%</w:t>
            </w:r>
          </w:p>
        </w:tc>
        <w:tc>
          <w:tcPr>
            <w:tcW w:w="0" w:type="auto"/>
            <w:tcBorders>
              <w:top w:val="single" w:sz="4" w:space="0" w:color="auto"/>
              <w:left w:val="single" w:sz="4" w:space="0" w:color="auto"/>
              <w:bottom w:val="single" w:sz="4" w:space="0" w:color="auto"/>
              <w:right w:val="single" w:sz="4" w:space="0" w:color="auto"/>
            </w:tcBorders>
            <w:hideMark/>
          </w:tcPr>
          <w:p w14:paraId="483207D6" w14:textId="77777777" w:rsidR="007B106A" w:rsidRPr="00037037" w:rsidRDefault="007B106A" w:rsidP="00426D39">
            <w:pPr>
              <w:keepNext/>
              <w:rPr>
                <w:rFonts w:eastAsia="Arial" w:cs="Arial"/>
                <w:sz w:val="24"/>
              </w:rPr>
            </w:pPr>
            <w:r w:rsidRPr="00037037">
              <w:rPr>
                <w:rFonts w:eastAsia="Arial" w:cs="Arial"/>
                <w:sz w:val="24"/>
              </w:rPr>
              <w:t>62%</w:t>
            </w:r>
          </w:p>
        </w:tc>
        <w:tc>
          <w:tcPr>
            <w:tcW w:w="0" w:type="auto"/>
            <w:tcBorders>
              <w:top w:val="single" w:sz="4" w:space="0" w:color="auto"/>
              <w:left w:val="single" w:sz="4" w:space="0" w:color="auto"/>
              <w:bottom w:val="single" w:sz="4" w:space="0" w:color="auto"/>
              <w:right w:val="single" w:sz="4" w:space="0" w:color="auto"/>
            </w:tcBorders>
            <w:hideMark/>
          </w:tcPr>
          <w:p w14:paraId="42636D24" w14:textId="77777777" w:rsidR="007B106A" w:rsidRPr="00037037" w:rsidRDefault="007B106A" w:rsidP="00426D39">
            <w:pPr>
              <w:keepNext/>
              <w:rPr>
                <w:rFonts w:eastAsia="Arial" w:cs="Arial"/>
                <w:sz w:val="24"/>
              </w:rPr>
            </w:pPr>
            <w:r w:rsidRPr="00037037">
              <w:rPr>
                <w:rFonts w:eastAsia="Arial" w:cs="Arial"/>
                <w:sz w:val="24"/>
              </w:rPr>
              <w:t>25%</w:t>
            </w:r>
          </w:p>
        </w:tc>
        <w:tc>
          <w:tcPr>
            <w:tcW w:w="0" w:type="auto"/>
            <w:tcBorders>
              <w:top w:val="single" w:sz="4" w:space="0" w:color="auto"/>
              <w:left w:val="single" w:sz="4" w:space="0" w:color="auto"/>
              <w:bottom w:val="single" w:sz="4" w:space="0" w:color="auto"/>
              <w:right w:val="single" w:sz="4" w:space="0" w:color="auto"/>
            </w:tcBorders>
            <w:hideMark/>
          </w:tcPr>
          <w:p w14:paraId="7B5ED418" w14:textId="77777777" w:rsidR="007B106A" w:rsidRPr="00037037" w:rsidRDefault="007B106A" w:rsidP="00426D39">
            <w:pPr>
              <w:keepNext/>
              <w:rPr>
                <w:rFonts w:eastAsia="Arial" w:cs="Arial"/>
                <w:sz w:val="24"/>
              </w:rPr>
            </w:pPr>
            <w:r w:rsidRPr="00037037">
              <w:rPr>
                <w:rFonts w:eastAsia="Arial" w:cs="Arial"/>
                <w:sz w:val="24"/>
              </w:rPr>
              <w:t>56%</w:t>
            </w:r>
          </w:p>
        </w:tc>
        <w:tc>
          <w:tcPr>
            <w:tcW w:w="950" w:type="dxa"/>
            <w:tcBorders>
              <w:top w:val="single" w:sz="4" w:space="0" w:color="auto"/>
              <w:left w:val="single" w:sz="4" w:space="0" w:color="auto"/>
              <w:bottom w:val="single" w:sz="4" w:space="0" w:color="auto"/>
              <w:right w:val="single" w:sz="4" w:space="0" w:color="auto"/>
            </w:tcBorders>
          </w:tcPr>
          <w:p w14:paraId="7FFB8AA3" w14:textId="77777777" w:rsidR="007B106A" w:rsidRPr="00037037" w:rsidRDefault="007B106A" w:rsidP="00426D39">
            <w:pPr>
              <w:keepNext/>
              <w:rPr>
                <w:rFonts w:eastAsia="Arial" w:cs="Arial"/>
                <w:sz w:val="24"/>
              </w:rPr>
            </w:pPr>
            <w:r w:rsidRPr="00037037">
              <w:rPr>
                <w:rFonts w:eastAsia="Arial" w:cs="Arial"/>
                <w:sz w:val="24"/>
              </w:rPr>
              <w:t>29%</w:t>
            </w:r>
          </w:p>
        </w:tc>
      </w:tr>
    </w:tbl>
    <w:p w14:paraId="2C3F28A2" w14:textId="77777777" w:rsidR="00AA5968" w:rsidRPr="00AA5968" w:rsidRDefault="00AA5968" w:rsidP="00794C07">
      <w:pPr>
        <w:contextualSpacing/>
        <w:rPr>
          <w:rFonts w:eastAsia="Aptos" w:cs="Arial"/>
        </w:rPr>
      </w:pPr>
    </w:p>
    <w:p w14:paraId="0E069A75" w14:textId="77777777" w:rsidR="00AA5968" w:rsidRPr="00AA5968" w:rsidRDefault="00AA5968" w:rsidP="00794C07">
      <w:pPr>
        <w:contextualSpacing/>
        <w:rPr>
          <w:rFonts w:eastAsia="Aptos" w:cs="Arial"/>
          <w:lang w:eastAsia="en-GB"/>
        </w:rPr>
      </w:pPr>
      <w:r w:rsidRPr="00AA5968">
        <w:rPr>
          <w:rFonts w:eastAsia="Aptos" w:cs="Arial"/>
        </w:rPr>
        <w:t>Overall, the adult lifestyle behaviours in Swansea are broadly in line with the Wales average for smoking, drinking above recommended limits, and maintaining a healthy weight. However, Swansea performs better than the Wales average for physical activity and in eating five portions of fruit and vegetables a day.</w:t>
      </w:r>
    </w:p>
    <w:p w14:paraId="2E60388C" w14:textId="77777777" w:rsidR="00AA5968" w:rsidRPr="00AA5968" w:rsidRDefault="00AA5968" w:rsidP="00794C07">
      <w:pPr>
        <w:contextualSpacing/>
        <w:rPr>
          <w:rFonts w:eastAsia="Aptos" w:cs="Arial"/>
        </w:rPr>
      </w:pPr>
    </w:p>
    <w:p w14:paraId="3C66159F" w14:textId="77777777" w:rsidR="00AA5968" w:rsidRPr="00AA5968" w:rsidRDefault="00AA5968" w:rsidP="00794C07">
      <w:pPr>
        <w:rPr>
          <w:rFonts w:eastAsia="Aptos" w:cs="Arial"/>
          <w:b/>
          <w:bCs/>
          <w:sz w:val="26"/>
          <w:szCs w:val="26"/>
        </w:rPr>
      </w:pPr>
      <w:r w:rsidRPr="00AA5968">
        <w:rPr>
          <w:rFonts w:eastAsia="Aptos" w:cs="Arial"/>
          <w:b/>
          <w:bCs/>
          <w:sz w:val="26"/>
          <w:szCs w:val="26"/>
        </w:rPr>
        <w:t>11.3 Current provision of pharmaceutical services within the locality</w:t>
      </w:r>
    </w:p>
    <w:p w14:paraId="33584888" w14:textId="77777777" w:rsidR="00AA5968" w:rsidRPr="00AA5968" w:rsidRDefault="00AA5968" w:rsidP="00794C07">
      <w:pPr>
        <w:rPr>
          <w:rFonts w:eastAsia="Aptos" w:cs="Arial"/>
        </w:rPr>
      </w:pPr>
    </w:p>
    <w:p w14:paraId="5CE36617" w14:textId="77777777" w:rsidR="00AA5968" w:rsidRPr="00AA5968" w:rsidRDefault="00AA5968" w:rsidP="00794C07">
      <w:pPr>
        <w:rPr>
          <w:rFonts w:eastAsia="Aptos" w:cs="Arial"/>
        </w:rPr>
      </w:pPr>
      <w:r w:rsidRPr="00AA5968">
        <w:rPr>
          <w:rFonts w:eastAsia="Aptos" w:cs="Arial"/>
        </w:rPr>
        <w:t>There are nine pharmacies in the locality operated by six different contractors.</w:t>
      </w:r>
    </w:p>
    <w:p w14:paraId="1AD074A6" w14:textId="77777777" w:rsidR="00AA5968" w:rsidRPr="00AA5968" w:rsidRDefault="00AA5968" w:rsidP="00794C07">
      <w:pPr>
        <w:rPr>
          <w:rFonts w:eastAsia="Aptos" w:cs="Arial"/>
        </w:rPr>
      </w:pPr>
    </w:p>
    <w:p w14:paraId="4A17B42F" w14:textId="77777777" w:rsidR="00AA5968" w:rsidRPr="00AA5968" w:rsidRDefault="00AA5968" w:rsidP="00794C07">
      <w:pPr>
        <w:rPr>
          <w:rFonts w:eastAsia="Aptos" w:cs="Arial"/>
        </w:rPr>
      </w:pPr>
      <w:r w:rsidRPr="00AA5968">
        <w:rPr>
          <w:rFonts w:eastAsia="Aptos" w:cs="Arial"/>
        </w:rPr>
        <w:t>The availability of pharmaceutical services within the locality per 10,000 registered population is 1.8, which is lower than the health board average of 2.3.</w:t>
      </w:r>
    </w:p>
    <w:p w14:paraId="0A684B8A" w14:textId="77777777" w:rsidR="00AA5968" w:rsidRPr="00AA5968" w:rsidRDefault="00AA5968" w:rsidP="00794C07">
      <w:pPr>
        <w:rPr>
          <w:rFonts w:eastAsia="Aptos" w:cs="Arial"/>
        </w:rPr>
      </w:pPr>
    </w:p>
    <w:p w14:paraId="5E26A627"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In 2024/25, 95.1% of items on prescriptions written by the GP practices in the locality were dispensed by one of the pharmacies within the locality.</w:t>
      </w:r>
    </w:p>
    <w:p w14:paraId="0BC108C7" w14:textId="77777777" w:rsidR="00AA5968" w:rsidRPr="00AA5968" w:rsidRDefault="00AA5968" w:rsidP="00794C07">
      <w:pPr>
        <w:rPr>
          <w:rFonts w:eastAsia="Times New Roman" w:cs="Arial"/>
          <w:kern w:val="0"/>
          <w:lang w:eastAsia="en-GB"/>
          <w14:ligatures w14:val="none"/>
        </w:rPr>
      </w:pPr>
    </w:p>
    <w:p w14:paraId="077A6F45"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In 2025/26, 95.4% of items on prescriptions written by the GP practices in the locality were dispensed by one of the pharmacies within the locality.</w:t>
      </w:r>
    </w:p>
    <w:p w14:paraId="7F0B6DA6" w14:textId="77777777" w:rsidR="00AA5968" w:rsidRPr="00AA5968" w:rsidRDefault="00AA5968" w:rsidP="00794C07">
      <w:pPr>
        <w:rPr>
          <w:rFonts w:eastAsia="Times New Roman" w:cs="Arial"/>
          <w:kern w:val="0"/>
          <w:lang w:eastAsia="en-GB"/>
          <w14:ligatures w14:val="none"/>
        </w:rPr>
      </w:pPr>
    </w:p>
    <w:p w14:paraId="747A735C" w14:textId="77777777" w:rsidR="00AA5968" w:rsidRPr="00AA5968" w:rsidRDefault="00AA5968" w:rsidP="00794C07">
      <w:pPr>
        <w:rPr>
          <w:rFonts w:eastAsia="Aptos" w:cs="Arial"/>
        </w:rPr>
      </w:pPr>
      <w:r w:rsidRPr="00AA5968">
        <w:rPr>
          <w:rFonts w:eastAsia="Aptos" w:cs="Arial"/>
        </w:rPr>
        <w:t>The map below shows the pharmaceutical provision within the area. It should be noted that where premises are close to each other the symbols will overlap.</w:t>
      </w:r>
    </w:p>
    <w:p w14:paraId="18A88C95" w14:textId="77777777" w:rsidR="00AA5968" w:rsidRDefault="00AA5968" w:rsidP="00794C07">
      <w:pPr>
        <w:rPr>
          <w:rFonts w:eastAsia="Aptos" w:cs="Arial"/>
        </w:rPr>
      </w:pPr>
    </w:p>
    <w:p w14:paraId="3091569E" w14:textId="77777777" w:rsidR="001C494D" w:rsidRDefault="001C494D" w:rsidP="00794C07">
      <w:pPr>
        <w:rPr>
          <w:rFonts w:eastAsia="Aptos" w:cs="Arial"/>
        </w:rPr>
      </w:pPr>
    </w:p>
    <w:p w14:paraId="7956457B" w14:textId="77777777" w:rsidR="001C494D" w:rsidRDefault="001C494D" w:rsidP="00794C07">
      <w:pPr>
        <w:rPr>
          <w:rFonts w:eastAsia="Aptos" w:cs="Arial"/>
        </w:rPr>
      </w:pPr>
    </w:p>
    <w:p w14:paraId="0D6D7DBD" w14:textId="77777777" w:rsidR="001C494D" w:rsidRDefault="001C494D" w:rsidP="00794C07">
      <w:pPr>
        <w:rPr>
          <w:rFonts w:eastAsia="Aptos" w:cs="Arial"/>
        </w:rPr>
      </w:pPr>
    </w:p>
    <w:p w14:paraId="0875099C" w14:textId="77777777" w:rsidR="00910AD7" w:rsidRDefault="00910AD7" w:rsidP="00794C07">
      <w:pPr>
        <w:rPr>
          <w:rFonts w:eastAsia="Aptos" w:cs="Arial"/>
        </w:rPr>
      </w:pPr>
    </w:p>
    <w:p w14:paraId="355C4986" w14:textId="77777777" w:rsidR="001C494D" w:rsidRDefault="001C494D" w:rsidP="00794C07">
      <w:pPr>
        <w:rPr>
          <w:rFonts w:eastAsia="Aptos" w:cs="Arial"/>
        </w:rPr>
      </w:pPr>
    </w:p>
    <w:p w14:paraId="54EB67D6" w14:textId="77777777" w:rsidR="001C494D" w:rsidRDefault="001C494D" w:rsidP="00794C07">
      <w:pPr>
        <w:rPr>
          <w:rFonts w:eastAsia="Aptos" w:cs="Arial"/>
        </w:rPr>
      </w:pPr>
    </w:p>
    <w:p w14:paraId="77C7D1B1" w14:textId="77777777" w:rsidR="001C494D" w:rsidRDefault="001C494D" w:rsidP="00794C07">
      <w:pPr>
        <w:rPr>
          <w:rFonts w:eastAsia="Aptos" w:cs="Arial"/>
        </w:rPr>
      </w:pPr>
    </w:p>
    <w:p w14:paraId="564530F9" w14:textId="77777777" w:rsidR="001C494D" w:rsidRDefault="001C494D" w:rsidP="00794C07">
      <w:pPr>
        <w:rPr>
          <w:rFonts w:eastAsia="Aptos" w:cs="Arial"/>
        </w:rPr>
      </w:pPr>
    </w:p>
    <w:p w14:paraId="0F1989BE" w14:textId="77777777" w:rsidR="001C494D" w:rsidRDefault="001C494D" w:rsidP="00794C07">
      <w:pPr>
        <w:rPr>
          <w:rFonts w:eastAsia="Aptos" w:cs="Arial"/>
        </w:rPr>
      </w:pPr>
    </w:p>
    <w:p w14:paraId="01F9AB3C" w14:textId="77777777" w:rsidR="001C494D" w:rsidRPr="00AA5968" w:rsidRDefault="001C494D" w:rsidP="00794C07">
      <w:pPr>
        <w:rPr>
          <w:rFonts w:eastAsia="Aptos" w:cs="Arial"/>
        </w:rPr>
      </w:pPr>
    </w:p>
    <w:p w14:paraId="1525E2DC" w14:textId="77777777" w:rsidR="00AA5968" w:rsidRPr="00AA5968" w:rsidRDefault="00AA5968" w:rsidP="00794C07">
      <w:pPr>
        <w:rPr>
          <w:rFonts w:eastAsia="Aptos" w:cs="Arial"/>
          <w:b/>
          <w:bCs/>
        </w:rPr>
      </w:pPr>
      <w:r w:rsidRPr="00AA5968">
        <w:rPr>
          <w:rFonts w:eastAsia="Aptos" w:cs="Arial"/>
          <w:b/>
          <w:bCs/>
        </w:rPr>
        <w:lastRenderedPageBreak/>
        <w:t>Map 11.1: Locations of the pharmacy premises within the locality</w:t>
      </w:r>
    </w:p>
    <w:p w14:paraId="697CC446" w14:textId="77777777" w:rsidR="00AA5968" w:rsidRPr="00AA5968" w:rsidRDefault="00AA5968" w:rsidP="00794C07">
      <w:pPr>
        <w:rPr>
          <w:rFonts w:eastAsia="Aptos" w:cs="Arial"/>
        </w:rPr>
      </w:pPr>
    </w:p>
    <w:p w14:paraId="1581A39A" w14:textId="30080E9C" w:rsidR="00AA5968" w:rsidRPr="00AA5968" w:rsidRDefault="001C494D" w:rsidP="00794C07">
      <w:pPr>
        <w:rPr>
          <w:rFonts w:eastAsia="Aptos" w:cs="Arial"/>
        </w:rPr>
      </w:pPr>
      <w:r w:rsidRPr="001C494D">
        <w:rPr>
          <w:rFonts w:eastAsia="Aptos" w:cs="Arial"/>
          <w:noProof/>
        </w:rPr>
        <w:drawing>
          <wp:inline distT="0" distB="0" distL="0" distR="0" wp14:anchorId="402545F2" wp14:editId="4675BB14">
            <wp:extent cx="5204968" cy="5467350"/>
            <wp:effectExtent l="0" t="0" r="0" b="0"/>
            <wp:docPr id="951868834" name="Picture 1" descr="Map of the Gowerton, Gorseinon, Pen-clawdd, and Pontarddulais areas of Swansea showing the locations of nine pharmacies marked with numbered yellow pins. A legend in the upper-left corner lists: The Pharmacy Sea View Penclawdd (1), Well Pharmacy Gowerton (2), Gowerton Pharmacy (3), Well Pharmacy 63 Alexandra Road Gowerton (4), Well Pharmacy 2 Alexandra Road Gowerton (5), Welchem Tyr Felin Pharmacy (6), Welchem Gorseinon Pharmacy (7), Village Pharmacy (8), and Medihub Pharmacy Pontardulais (9). Pharmacy locations are clustered in Gowerton, Gorseinon, and Pontarddulais, with a single pharmacy located in Pen-clawdd on the northern shore of the Loughor Estuary. Numbered arrows identify pharmacies within the Gowerton and Gorseinon clusters, while the numbered pins correspond to the pharmacy list and show their distribution across the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868834" name="Picture 1" descr="Map of the Gowerton, Gorseinon, Pen-clawdd, and Pontarddulais areas of Swansea showing the locations of nine pharmacies marked with numbered yellow pins. A legend in the upper-left corner lists: The Pharmacy Sea View Penclawdd (1), Well Pharmacy Gowerton (2), Gowerton Pharmacy (3), Well Pharmacy 63 Alexandra Road Gowerton (4), Well Pharmacy 2 Alexandra Road Gowerton (5), Welchem Tyr Felin Pharmacy (6), Welchem Gorseinon Pharmacy (7), Village Pharmacy (8), and Medihub Pharmacy Pontardulais (9). Pharmacy locations are clustered in Gowerton, Gorseinon, and Pontarddulais, with a single pharmacy located in Pen-clawdd on the northern shore of the Loughor Estuary. Numbered arrows identify pharmacies within the Gowerton and Gorseinon clusters, while the numbered pins correspond to the pharmacy list and show their distribution across the area."/>
                    <pic:cNvPicPr/>
                  </pic:nvPicPr>
                  <pic:blipFill>
                    <a:blip r:embed="rId59"/>
                    <a:stretch>
                      <a:fillRect/>
                    </a:stretch>
                  </pic:blipFill>
                  <pic:spPr>
                    <a:xfrm>
                      <a:off x="0" y="0"/>
                      <a:ext cx="5211583" cy="5474298"/>
                    </a:xfrm>
                    <a:prstGeom prst="rect">
                      <a:avLst/>
                    </a:prstGeom>
                  </pic:spPr>
                </pic:pic>
              </a:graphicData>
            </a:graphic>
          </wp:inline>
        </w:drawing>
      </w:r>
    </w:p>
    <w:p w14:paraId="25B0679E" w14:textId="77777777" w:rsidR="001C494D" w:rsidRDefault="001C494D" w:rsidP="00794C07">
      <w:pPr>
        <w:rPr>
          <w:rFonts w:eastAsia="Aptos" w:cs="Arial"/>
        </w:rPr>
      </w:pPr>
    </w:p>
    <w:p w14:paraId="296E13B4" w14:textId="6245AAA5" w:rsidR="00AA5968" w:rsidRPr="00AA5968" w:rsidRDefault="00AA5968" w:rsidP="00794C07">
      <w:pPr>
        <w:rPr>
          <w:rFonts w:eastAsia="Aptos" w:cs="Arial"/>
        </w:rPr>
      </w:pPr>
      <w:r w:rsidRPr="00AA5968">
        <w:rPr>
          <w:rFonts w:eastAsia="Aptos" w:cs="Arial"/>
        </w:rPr>
        <w:t>The health board has noted the pharmaceutical needs assessment published on 1 October 2021 concluded that the pharmacies in this locality were located in areas of greater population density. In addition, all residents were able to access a pharmacy within 20 minutes by car. The one area that was not within a 20-minute drive of a pharmacy did not have a resident population. Noting the locations of the pharmacies have not changed, the health board is satisfied this conclusion remains valid; residents are still able to access a pharmacy by car within 20 minutes and for many the travel time will be shorter.</w:t>
      </w:r>
    </w:p>
    <w:p w14:paraId="7EF6A22D" w14:textId="77777777" w:rsidR="00AA5968" w:rsidRPr="00AA5968" w:rsidRDefault="00AA5968" w:rsidP="00794C07">
      <w:pPr>
        <w:rPr>
          <w:rFonts w:eastAsia="Aptos" w:cs="Arial"/>
        </w:rPr>
      </w:pPr>
    </w:p>
    <w:p w14:paraId="56B8849E" w14:textId="77777777" w:rsidR="00AA5968" w:rsidRPr="00AA5968" w:rsidRDefault="00AA5968" w:rsidP="00794C07">
      <w:pPr>
        <w:rPr>
          <w:rFonts w:eastAsia="Aptos" w:cs="Arial"/>
        </w:rPr>
      </w:pPr>
      <w:r w:rsidRPr="00AA5968">
        <w:rPr>
          <w:rFonts w:eastAsia="Aptos" w:cs="Arial"/>
        </w:rPr>
        <w:t xml:space="preserve">Looking at the opening hours of the pharmacies: </w:t>
      </w:r>
    </w:p>
    <w:p w14:paraId="7FC48D5E" w14:textId="77777777" w:rsidR="00AA5968" w:rsidRPr="00AA5968" w:rsidRDefault="00AA5968" w:rsidP="00794C07">
      <w:pPr>
        <w:rPr>
          <w:rFonts w:eastAsia="Aptos" w:cs="Arial"/>
        </w:rPr>
      </w:pPr>
    </w:p>
    <w:p w14:paraId="32704589" w14:textId="77777777" w:rsidR="00AA5968" w:rsidRPr="00AA5968" w:rsidRDefault="00AA5968" w:rsidP="00B76905">
      <w:pPr>
        <w:numPr>
          <w:ilvl w:val="0"/>
          <w:numId w:val="174"/>
        </w:numPr>
        <w:contextualSpacing/>
        <w:rPr>
          <w:rFonts w:eastAsia="Aptos" w:cs="Arial"/>
        </w:rPr>
      </w:pPr>
      <w:r w:rsidRPr="00AA5968">
        <w:rPr>
          <w:rFonts w:eastAsia="Aptos" w:cs="Arial"/>
        </w:rPr>
        <w:t>One pharmacy is open from Monday to Saturday,</w:t>
      </w:r>
    </w:p>
    <w:p w14:paraId="18287250" w14:textId="77777777" w:rsidR="00AA5968" w:rsidRPr="00AA5968" w:rsidRDefault="00AA5968" w:rsidP="00B76905">
      <w:pPr>
        <w:numPr>
          <w:ilvl w:val="0"/>
          <w:numId w:val="174"/>
        </w:numPr>
        <w:contextualSpacing/>
        <w:rPr>
          <w:rFonts w:eastAsia="Aptos" w:cs="Arial"/>
        </w:rPr>
      </w:pPr>
      <w:r w:rsidRPr="00AA5968">
        <w:rPr>
          <w:rFonts w:eastAsia="Aptos" w:cs="Arial"/>
        </w:rPr>
        <w:t>Four pharmacies are open Monday to Friday and Saturday morning, and one is commissioned to open on Sundays, and</w:t>
      </w:r>
    </w:p>
    <w:p w14:paraId="62B61CDC" w14:textId="77777777" w:rsidR="00AA5968" w:rsidRPr="00AA5968" w:rsidRDefault="00AA5968" w:rsidP="00B76905">
      <w:pPr>
        <w:numPr>
          <w:ilvl w:val="0"/>
          <w:numId w:val="174"/>
        </w:numPr>
        <w:contextualSpacing/>
        <w:rPr>
          <w:rFonts w:eastAsia="Aptos" w:cs="Arial"/>
        </w:rPr>
      </w:pPr>
      <w:r w:rsidRPr="00AA5968">
        <w:rPr>
          <w:rFonts w:eastAsia="Aptos" w:cs="Arial"/>
        </w:rPr>
        <w:t>Four pharmacies are open Monday to Friday only.</w:t>
      </w:r>
    </w:p>
    <w:p w14:paraId="7F7E0DCB" w14:textId="77777777" w:rsidR="00AA5968" w:rsidRPr="00AA5968" w:rsidRDefault="00AA5968" w:rsidP="00794C07">
      <w:pPr>
        <w:ind w:left="720"/>
        <w:contextualSpacing/>
        <w:rPr>
          <w:rFonts w:eastAsia="Aptos" w:cs="Arial"/>
        </w:rPr>
      </w:pPr>
    </w:p>
    <w:p w14:paraId="21E417D7" w14:textId="77777777" w:rsidR="00AA5968" w:rsidRPr="00AA5968" w:rsidRDefault="00AA5968" w:rsidP="00794C07">
      <w:pPr>
        <w:rPr>
          <w:rFonts w:eastAsia="Aptos" w:cs="Arial"/>
        </w:rPr>
      </w:pPr>
      <w:r w:rsidRPr="00AA5968">
        <w:rPr>
          <w:rFonts w:eastAsia="Times New Roman" w:cs="Arial"/>
          <w:kern w:val="0"/>
          <w:lang w:eastAsia="en-GB"/>
          <w14:ligatures w14:val="none"/>
        </w:rPr>
        <w:lastRenderedPageBreak/>
        <w:t xml:space="preserve">Within the locality when looking at the total pharmacy opening hours, the range of opening and closing hours are shown in the table below. </w:t>
      </w:r>
      <w:r w:rsidRPr="00AA5968">
        <w:rPr>
          <w:rFonts w:eastAsia="Aptos" w:cs="Arial"/>
        </w:rPr>
        <w:t>For the purposes of the pharmaceutical needs assessment, normal working hours have been defined as Monday to Friday 9.00am to 5.30pm.</w:t>
      </w:r>
    </w:p>
    <w:p w14:paraId="46734695" w14:textId="77777777" w:rsidR="00AA5968" w:rsidRPr="00AA5968" w:rsidRDefault="00AA5968" w:rsidP="00794C07">
      <w:pPr>
        <w:rPr>
          <w:rFonts w:eastAsia="Times New Roman" w:cs="Arial"/>
          <w:b/>
          <w:bCs/>
          <w:kern w:val="0"/>
          <w:lang w:eastAsia="en-GB"/>
          <w14:ligatures w14:val="none"/>
        </w:rPr>
      </w:pPr>
    </w:p>
    <w:p w14:paraId="4F6793CD"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 xml:space="preserve">Table 11.7: Pharmacy opening and closing hours </w:t>
      </w:r>
    </w:p>
    <w:p w14:paraId="539DF8DC" w14:textId="77777777" w:rsidR="00AA5968" w:rsidRPr="00AA5968" w:rsidRDefault="00AA5968" w:rsidP="00794C07">
      <w:pPr>
        <w:ind w:left="720"/>
        <w:contextualSpacing/>
        <w:rPr>
          <w:rFonts w:eastAsia="Times New Roman" w:cs="Arial"/>
          <w:kern w:val="0"/>
          <w:lang w:eastAsia="en-GB"/>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3463"/>
        <w:gridCol w:w="3006"/>
      </w:tblGrid>
      <w:tr w:rsidR="00AA5968" w:rsidRPr="00D0306F" w14:paraId="1DD9DCAB" w14:textId="77777777" w:rsidTr="00AA5968">
        <w:tc>
          <w:tcPr>
            <w:tcW w:w="2547" w:type="dxa"/>
            <w:tcBorders>
              <w:top w:val="single" w:sz="4" w:space="0" w:color="auto"/>
              <w:left w:val="single" w:sz="4" w:space="0" w:color="auto"/>
              <w:bottom w:val="single" w:sz="4" w:space="0" w:color="auto"/>
              <w:right w:val="single" w:sz="4" w:space="0" w:color="auto"/>
            </w:tcBorders>
            <w:shd w:val="clear" w:color="auto" w:fill="153D63"/>
            <w:hideMark/>
          </w:tcPr>
          <w:p w14:paraId="6E610482"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Days</w:t>
            </w:r>
          </w:p>
        </w:tc>
        <w:tc>
          <w:tcPr>
            <w:tcW w:w="3463" w:type="dxa"/>
            <w:tcBorders>
              <w:top w:val="single" w:sz="4" w:space="0" w:color="auto"/>
              <w:left w:val="single" w:sz="4" w:space="0" w:color="auto"/>
              <w:bottom w:val="single" w:sz="4" w:space="0" w:color="auto"/>
              <w:right w:val="single" w:sz="4" w:space="0" w:color="auto"/>
            </w:tcBorders>
            <w:shd w:val="clear" w:color="auto" w:fill="153D63"/>
            <w:hideMark/>
          </w:tcPr>
          <w:p w14:paraId="1AF6E158"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Opening hours range</w:t>
            </w:r>
          </w:p>
        </w:tc>
        <w:tc>
          <w:tcPr>
            <w:tcW w:w="3006" w:type="dxa"/>
            <w:tcBorders>
              <w:top w:val="single" w:sz="4" w:space="0" w:color="auto"/>
              <w:left w:val="single" w:sz="4" w:space="0" w:color="auto"/>
              <w:bottom w:val="single" w:sz="4" w:space="0" w:color="auto"/>
              <w:right w:val="single" w:sz="4" w:space="0" w:color="auto"/>
            </w:tcBorders>
            <w:shd w:val="clear" w:color="auto" w:fill="153D63"/>
            <w:hideMark/>
          </w:tcPr>
          <w:p w14:paraId="0C2FB906"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Closing hours range</w:t>
            </w:r>
          </w:p>
        </w:tc>
      </w:tr>
      <w:tr w:rsidR="00AA5968" w:rsidRPr="00AA5968" w14:paraId="61C8EFDB" w14:textId="77777777" w:rsidTr="00AA5968">
        <w:tc>
          <w:tcPr>
            <w:tcW w:w="2547" w:type="dxa"/>
            <w:tcBorders>
              <w:top w:val="single" w:sz="4" w:space="0" w:color="auto"/>
              <w:left w:val="single" w:sz="4" w:space="0" w:color="auto"/>
              <w:bottom w:val="single" w:sz="4" w:space="0" w:color="auto"/>
              <w:right w:val="single" w:sz="4" w:space="0" w:color="auto"/>
            </w:tcBorders>
            <w:hideMark/>
          </w:tcPr>
          <w:p w14:paraId="49F35C85"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Monday to Friday</w:t>
            </w:r>
          </w:p>
        </w:tc>
        <w:tc>
          <w:tcPr>
            <w:tcW w:w="3463" w:type="dxa"/>
            <w:tcBorders>
              <w:top w:val="single" w:sz="4" w:space="0" w:color="auto"/>
              <w:left w:val="single" w:sz="4" w:space="0" w:color="auto"/>
              <w:bottom w:val="single" w:sz="4" w:space="0" w:color="auto"/>
              <w:right w:val="single" w:sz="4" w:space="0" w:color="auto"/>
            </w:tcBorders>
            <w:hideMark/>
          </w:tcPr>
          <w:p w14:paraId="18313056"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8.30am to 9.00am</w:t>
            </w:r>
          </w:p>
        </w:tc>
        <w:tc>
          <w:tcPr>
            <w:tcW w:w="3006" w:type="dxa"/>
            <w:tcBorders>
              <w:top w:val="single" w:sz="4" w:space="0" w:color="auto"/>
              <w:left w:val="single" w:sz="4" w:space="0" w:color="auto"/>
              <w:bottom w:val="single" w:sz="4" w:space="0" w:color="auto"/>
              <w:right w:val="single" w:sz="4" w:space="0" w:color="auto"/>
            </w:tcBorders>
            <w:hideMark/>
          </w:tcPr>
          <w:p w14:paraId="32181ACD"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5.30pm to 6.00pm</w:t>
            </w:r>
          </w:p>
        </w:tc>
      </w:tr>
      <w:tr w:rsidR="00AA5968" w:rsidRPr="00AA5968" w14:paraId="76A75846" w14:textId="77777777" w:rsidTr="00AA5968">
        <w:tc>
          <w:tcPr>
            <w:tcW w:w="2547" w:type="dxa"/>
            <w:tcBorders>
              <w:top w:val="single" w:sz="4" w:space="0" w:color="auto"/>
              <w:left w:val="single" w:sz="4" w:space="0" w:color="auto"/>
              <w:bottom w:val="single" w:sz="4" w:space="0" w:color="auto"/>
              <w:right w:val="single" w:sz="4" w:space="0" w:color="auto"/>
            </w:tcBorders>
            <w:hideMark/>
          </w:tcPr>
          <w:p w14:paraId="74A6860A"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Saturday</w:t>
            </w:r>
          </w:p>
        </w:tc>
        <w:tc>
          <w:tcPr>
            <w:tcW w:w="3463" w:type="dxa"/>
            <w:tcBorders>
              <w:top w:val="single" w:sz="4" w:space="0" w:color="auto"/>
              <w:left w:val="single" w:sz="4" w:space="0" w:color="auto"/>
              <w:bottom w:val="single" w:sz="4" w:space="0" w:color="auto"/>
              <w:right w:val="single" w:sz="4" w:space="0" w:color="auto"/>
            </w:tcBorders>
            <w:hideMark/>
          </w:tcPr>
          <w:p w14:paraId="33711389"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9.00am</w:t>
            </w:r>
          </w:p>
        </w:tc>
        <w:tc>
          <w:tcPr>
            <w:tcW w:w="3006" w:type="dxa"/>
            <w:tcBorders>
              <w:top w:val="single" w:sz="4" w:space="0" w:color="auto"/>
              <w:left w:val="single" w:sz="4" w:space="0" w:color="auto"/>
              <w:bottom w:val="single" w:sz="4" w:space="0" w:color="auto"/>
              <w:right w:val="single" w:sz="4" w:space="0" w:color="auto"/>
            </w:tcBorders>
            <w:hideMark/>
          </w:tcPr>
          <w:p w14:paraId="140749CF"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12.00pm to 4.00pm</w:t>
            </w:r>
          </w:p>
        </w:tc>
      </w:tr>
      <w:tr w:rsidR="00AA5968" w:rsidRPr="00AA5968" w14:paraId="2C1F55D2" w14:textId="77777777" w:rsidTr="00AA5968">
        <w:tc>
          <w:tcPr>
            <w:tcW w:w="2547" w:type="dxa"/>
            <w:tcBorders>
              <w:top w:val="single" w:sz="4" w:space="0" w:color="auto"/>
              <w:left w:val="single" w:sz="4" w:space="0" w:color="auto"/>
              <w:bottom w:val="single" w:sz="4" w:space="0" w:color="auto"/>
              <w:right w:val="single" w:sz="4" w:space="0" w:color="auto"/>
            </w:tcBorders>
            <w:hideMark/>
          </w:tcPr>
          <w:p w14:paraId="0CF2599D"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Sunday</w:t>
            </w:r>
          </w:p>
        </w:tc>
        <w:tc>
          <w:tcPr>
            <w:tcW w:w="3463" w:type="dxa"/>
            <w:tcBorders>
              <w:top w:val="single" w:sz="4" w:space="0" w:color="auto"/>
              <w:left w:val="single" w:sz="4" w:space="0" w:color="auto"/>
              <w:bottom w:val="single" w:sz="4" w:space="0" w:color="auto"/>
              <w:right w:val="single" w:sz="4" w:space="0" w:color="auto"/>
            </w:tcBorders>
            <w:hideMark/>
          </w:tcPr>
          <w:p w14:paraId="486489F7"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11.00am</w:t>
            </w:r>
          </w:p>
        </w:tc>
        <w:tc>
          <w:tcPr>
            <w:tcW w:w="3006" w:type="dxa"/>
            <w:tcBorders>
              <w:top w:val="single" w:sz="4" w:space="0" w:color="auto"/>
              <w:left w:val="single" w:sz="4" w:space="0" w:color="auto"/>
              <w:bottom w:val="single" w:sz="4" w:space="0" w:color="auto"/>
              <w:right w:val="single" w:sz="4" w:space="0" w:color="auto"/>
            </w:tcBorders>
            <w:hideMark/>
          </w:tcPr>
          <w:p w14:paraId="540DAFD5"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1.00pm</w:t>
            </w:r>
          </w:p>
        </w:tc>
      </w:tr>
    </w:tbl>
    <w:p w14:paraId="492C3227" w14:textId="77777777" w:rsidR="00AA5968" w:rsidRPr="00AA5968" w:rsidRDefault="00AA5968" w:rsidP="00794C07">
      <w:pPr>
        <w:rPr>
          <w:rFonts w:eastAsia="Aptos" w:cs="Arial"/>
        </w:rPr>
      </w:pPr>
    </w:p>
    <w:p w14:paraId="3F8CEC57" w14:textId="77777777" w:rsidR="00AA5968" w:rsidRPr="00AA5968" w:rsidRDefault="00AA5968" w:rsidP="00B76905">
      <w:pPr>
        <w:numPr>
          <w:ilvl w:val="0"/>
          <w:numId w:val="175"/>
        </w:numPr>
        <w:contextualSpacing/>
        <w:rPr>
          <w:rFonts w:eastAsia="Aptos" w:cs="Arial"/>
        </w:rPr>
      </w:pPr>
      <w:r w:rsidRPr="00AA5968">
        <w:rPr>
          <w:rFonts w:eastAsia="Aptos" w:cs="Arial"/>
        </w:rPr>
        <w:t>Two pharmacies open at 8.30am Monday to Friday</w:t>
      </w:r>
    </w:p>
    <w:p w14:paraId="1C53AE35" w14:textId="77777777" w:rsidR="00AA5968" w:rsidRPr="00AA5968" w:rsidRDefault="00AA5968" w:rsidP="00B76905">
      <w:pPr>
        <w:numPr>
          <w:ilvl w:val="0"/>
          <w:numId w:val="175"/>
        </w:numPr>
        <w:contextualSpacing/>
        <w:rPr>
          <w:rFonts w:eastAsia="Aptos" w:cs="Arial"/>
        </w:rPr>
      </w:pPr>
      <w:r w:rsidRPr="00AA5968">
        <w:rPr>
          <w:rFonts w:eastAsia="Aptos" w:cs="Arial"/>
        </w:rPr>
        <w:t>Two pharmacies close at 5.30pm Monday to Friday</w:t>
      </w:r>
    </w:p>
    <w:p w14:paraId="514EF09C" w14:textId="77777777" w:rsidR="00AA5968" w:rsidRPr="00AA5968" w:rsidRDefault="00AA5968" w:rsidP="00B76905">
      <w:pPr>
        <w:numPr>
          <w:ilvl w:val="0"/>
          <w:numId w:val="175"/>
        </w:numPr>
        <w:contextualSpacing/>
        <w:rPr>
          <w:rFonts w:eastAsia="Aptos" w:cs="Arial"/>
        </w:rPr>
      </w:pPr>
      <w:r w:rsidRPr="00AA5968">
        <w:rPr>
          <w:rFonts w:eastAsia="Aptos" w:cs="Arial"/>
        </w:rPr>
        <w:t>Seven pharmacies close at 6.00pm Monday to Friday</w:t>
      </w:r>
    </w:p>
    <w:p w14:paraId="5C7163D7" w14:textId="77777777" w:rsidR="00AA5968" w:rsidRPr="00AA5968" w:rsidRDefault="00AA5968" w:rsidP="00B76905">
      <w:pPr>
        <w:numPr>
          <w:ilvl w:val="0"/>
          <w:numId w:val="175"/>
        </w:numPr>
        <w:contextualSpacing/>
        <w:rPr>
          <w:rFonts w:eastAsia="Aptos" w:cs="Arial"/>
        </w:rPr>
      </w:pPr>
      <w:r w:rsidRPr="00AA5968">
        <w:rPr>
          <w:rFonts w:eastAsia="Aptos" w:cs="Arial"/>
        </w:rPr>
        <w:t>Five pharmacies open on a Saturday:</w:t>
      </w:r>
    </w:p>
    <w:p w14:paraId="051020C7" w14:textId="77777777" w:rsidR="00AA5968" w:rsidRPr="00AA5968" w:rsidRDefault="00AA5968" w:rsidP="00B76905">
      <w:pPr>
        <w:numPr>
          <w:ilvl w:val="1"/>
          <w:numId w:val="175"/>
        </w:numPr>
        <w:contextualSpacing/>
        <w:rPr>
          <w:rFonts w:eastAsia="Aptos" w:cs="Arial"/>
        </w:rPr>
      </w:pPr>
      <w:r w:rsidRPr="00AA5968">
        <w:rPr>
          <w:rFonts w:eastAsia="Aptos" w:cs="Arial"/>
        </w:rPr>
        <w:t>Two pharmacies close at 12.00pm</w:t>
      </w:r>
    </w:p>
    <w:p w14:paraId="56C61476" w14:textId="77777777" w:rsidR="00AA5968" w:rsidRPr="00AA5968" w:rsidRDefault="00AA5968" w:rsidP="00B76905">
      <w:pPr>
        <w:numPr>
          <w:ilvl w:val="1"/>
          <w:numId w:val="175"/>
        </w:numPr>
        <w:contextualSpacing/>
        <w:rPr>
          <w:rFonts w:eastAsia="Aptos" w:cs="Arial"/>
        </w:rPr>
      </w:pPr>
      <w:r w:rsidRPr="00AA5968">
        <w:rPr>
          <w:rFonts w:eastAsia="Aptos" w:cs="Arial"/>
        </w:rPr>
        <w:t>Two pharmacies close at 1.00pm</w:t>
      </w:r>
    </w:p>
    <w:p w14:paraId="080BC61E" w14:textId="77777777" w:rsidR="00AA5968" w:rsidRPr="00AA5968" w:rsidRDefault="00AA5968" w:rsidP="00B76905">
      <w:pPr>
        <w:numPr>
          <w:ilvl w:val="1"/>
          <w:numId w:val="175"/>
        </w:numPr>
        <w:contextualSpacing/>
        <w:rPr>
          <w:rFonts w:eastAsia="Aptos" w:cs="Arial"/>
        </w:rPr>
      </w:pPr>
      <w:r w:rsidRPr="00AA5968">
        <w:rPr>
          <w:rFonts w:eastAsia="Aptos" w:cs="Arial"/>
        </w:rPr>
        <w:t>One pharmacy closes at 4.00pm</w:t>
      </w:r>
    </w:p>
    <w:p w14:paraId="46BC18CE" w14:textId="77777777" w:rsidR="00AA5968" w:rsidRPr="00AA5968" w:rsidRDefault="00AA5968" w:rsidP="00794C07">
      <w:pPr>
        <w:rPr>
          <w:rFonts w:eastAsia="Times New Roman" w:cs="Arial"/>
          <w:kern w:val="0"/>
          <w:lang w:eastAsia="en-GB"/>
          <w14:ligatures w14:val="none"/>
        </w:rPr>
      </w:pPr>
    </w:p>
    <w:p w14:paraId="3910819C"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Some pharmacies across the health board’s area are commissioned to open at certain times of the day, on top of their usual core and supplementary opening hours. For this locality one pharmacy (location: Swansea) is commissioned to be open on a Sunday from 11.00am to 1.00pm.</w:t>
      </w:r>
    </w:p>
    <w:p w14:paraId="4949114B" w14:textId="77777777" w:rsidR="00AA5968" w:rsidRPr="00AA5968" w:rsidRDefault="00AA5968" w:rsidP="00794C07">
      <w:pPr>
        <w:rPr>
          <w:rFonts w:eastAsia="Aptos" w:cs="Arial"/>
        </w:rPr>
      </w:pPr>
    </w:p>
    <w:p w14:paraId="13293900" w14:textId="77777777" w:rsidR="00AA5968" w:rsidRPr="00AA5968" w:rsidRDefault="00AA5968" w:rsidP="00794C07">
      <w:pPr>
        <w:rPr>
          <w:rFonts w:eastAsia="Aptos" w:cs="Arial"/>
        </w:rPr>
      </w:pPr>
      <w:r w:rsidRPr="00AA5968">
        <w:rPr>
          <w:rFonts w:eastAsia="Aptos" w:cs="Arial"/>
        </w:rPr>
        <w:t>Full details of pharmacy opening times can be found in Appendix L.</w:t>
      </w:r>
    </w:p>
    <w:p w14:paraId="2F7C64CE" w14:textId="77777777" w:rsidR="00AA5968" w:rsidRPr="00AA5968" w:rsidRDefault="00AA5968" w:rsidP="00794C07">
      <w:pPr>
        <w:contextualSpacing/>
        <w:rPr>
          <w:rFonts w:eastAsia="Times New Roman" w:cs="Arial"/>
          <w:kern w:val="0"/>
          <w:lang w:eastAsia="en-GB"/>
          <w14:ligatures w14:val="none"/>
        </w:rPr>
      </w:pPr>
    </w:p>
    <w:p w14:paraId="52340854" w14:textId="77777777" w:rsidR="00AA5968" w:rsidRPr="00AA5968" w:rsidRDefault="00AA5968" w:rsidP="00794C07">
      <w:pPr>
        <w:contextualSpacing/>
        <w:rPr>
          <w:rFonts w:eastAsia="Times New Roman" w:cs="Arial"/>
          <w:kern w:val="0"/>
          <w:lang w:eastAsia="en-GB"/>
          <w14:ligatures w14:val="none"/>
        </w:rPr>
      </w:pPr>
      <w:r w:rsidRPr="00AA5968">
        <w:rPr>
          <w:rFonts w:eastAsia="Times New Roman" w:cs="Arial"/>
          <w:kern w:val="0"/>
          <w:lang w:eastAsia="en-GB"/>
          <w14:ligatures w14:val="none"/>
        </w:rPr>
        <w:t>The following information was taken from responses to the contractor questionnaire to which all nine responded.</w:t>
      </w:r>
    </w:p>
    <w:p w14:paraId="31306206" w14:textId="77777777" w:rsidR="00AA5968" w:rsidRPr="00AA5968" w:rsidRDefault="00AA5968" w:rsidP="00794C07">
      <w:pPr>
        <w:contextualSpacing/>
        <w:rPr>
          <w:rFonts w:eastAsia="Times New Roman" w:cs="Arial"/>
          <w:kern w:val="0"/>
          <w:lang w:eastAsia="en-GB"/>
          <w14:ligatures w14:val="none"/>
        </w:rPr>
      </w:pPr>
    </w:p>
    <w:p w14:paraId="282D3C0D" w14:textId="77777777" w:rsidR="00AA5968" w:rsidRPr="00AA5968" w:rsidRDefault="00AA5968" w:rsidP="00794C07">
      <w:pPr>
        <w:textAlignment w:val="baseline"/>
        <w:rPr>
          <w:rFonts w:eastAsia="Times New Roman" w:cs="Arial"/>
          <w:kern w:val="0"/>
          <w:lang w:eastAsia="en-GB"/>
          <w14:ligatures w14:val="none"/>
        </w:rPr>
      </w:pPr>
      <w:r w:rsidRPr="00AA5968">
        <w:rPr>
          <w:rFonts w:eastAsia="Times New Roman" w:cs="Arial"/>
          <w:kern w:val="0"/>
          <w:lang w:eastAsia="en-GB"/>
          <w14:ligatures w14:val="none"/>
        </w:rPr>
        <w:t>All the pharmacies are accessible by wheelchair and have a consultation area that is accessible by wheelchair. All the consultation areas are: </w:t>
      </w:r>
    </w:p>
    <w:p w14:paraId="6A657737" w14:textId="77777777" w:rsidR="00AA5968" w:rsidRPr="00AA5968" w:rsidRDefault="00AA5968" w:rsidP="00794C07">
      <w:pPr>
        <w:textAlignment w:val="baseline"/>
        <w:rPr>
          <w:rFonts w:eastAsia="Times New Roman" w:cs="Arial"/>
          <w:kern w:val="0"/>
          <w:lang w:eastAsia="en-GB"/>
          <w14:ligatures w14:val="none"/>
        </w:rPr>
      </w:pPr>
      <w:r w:rsidRPr="00AA5968">
        <w:rPr>
          <w:rFonts w:eastAsia="Times New Roman" w:cs="Arial"/>
          <w:kern w:val="0"/>
          <w:lang w:eastAsia="en-GB"/>
          <w14:ligatures w14:val="none"/>
        </w:rPr>
        <w:t> </w:t>
      </w:r>
    </w:p>
    <w:p w14:paraId="519B7789" w14:textId="77777777" w:rsidR="00AA5968" w:rsidRPr="00AA5968" w:rsidRDefault="00AA5968" w:rsidP="00B76905">
      <w:pPr>
        <w:numPr>
          <w:ilvl w:val="0"/>
          <w:numId w:val="146"/>
        </w:numPr>
        <w:textAlignment w:val="baseline"/>
        <w:rPr>
          <w:rFonts w:eastAsia="Times New Roman" w:cs="Arial"/>
          <w:kern w:val="0"/>
          <w:lang w:eastAsia="en-GB"/>
          <w14:ligatures w14:val="none"/>
        </w:rPr>
      </w:pPr>
      <w:r w:rsidRPr="00AA5968">
        <w:rPr>
          <w:rFonts w:eastAsia="Times New Roman" w:cs="Arial"/>
          <w:kern w:val="0"/>
          <w:lang w:eastAsia="en-GB"/>
          <w14:ligatures w14:val="none"/>
        </w:rPr>
        <w:t>closed rooms, </w:t>
      </w:r>
    </w:p>
    <w:p w14:paraId="54459497" w14:textId="77777777" w:rsidR="00AA5968" w:rsidRPr="00AA5968" w:rsidRDefault="00AA5968" w:rsidP="00B76905">
      <w:pPr>
        <w:numPr>
          <w:ilvl w:val="0"/>
          <w:numId w:val="146"/>
        </w:numPr>
        <w:textAlignment w:val="baseline"/>
        <w:rPr>
          <w:rFonts w:eastAsia="Times New Roman" w:cs="Arial"/>
          <w:kern w:val="0"/>
          <w:lang w:eastAsia="en-GB"/>
          <w14:ligatures w14:val="none"/>
        </w:rPr>
      </w:pPr>
      <w:r w:rsidRPr="00AA5968">
        <w:rPr>
          <w:rFonts w:eastAsia="Times New Roman" w:cs="Arial"/>
          <w:kern w:val="0"/>
          <w:lang w:eastAsia="en-GB"/>
          <w14:ligatures w14:val="none"/>
        </w:rPr>
        <w:t xml:space="preserve">a designated area where the patient and pharmacist can sit down together and talk at normal volumes without being overheard, and </w:t>
      </w:r>
    </w:p>
    <w:p w14:paraId="0C624C2F" w14:textId="77777777" w:rsidR="00AA5968" w:rsidRPr="00AA5968" w:rsidRDefault="00AA5968" w:rsidP="00B76905">
      <w:pPr>
        <w:numPr>
          <w:ilvl w:val="0"/>
          <w:numId w:val="146"/>
        </w:numPr>
        <w:textAlignment w:val="baseline"/>
        <w:rPr>
          <w:rFonts w:eastAsia="Times New Roman" w:cs="Arial"/>
          <w:kern w:val="0"/>
          <w:lang w:eastAsia="en-GB"/>
          <w14:ligatures w14:val="none"/>
        </w:rPr>
      </w:pPr>
      <w:r w:rsidRPr="00AA5968">
        <w:rPr>
          <w:rFonts w:eastAsia="Times New Roman" w:cs="Arial"/>
          <w:kern w:val="0"/>
          <w:lang w:eastAsia="en-GB"/>
          <w14:ligatures w14:val="none"/>
        </w:rPr>
        <w:t>clearly designated as an area for confidential consultations distinct from the general public areas of the pharmacy. </w:t>
      </w:r>
    </w:p>
    <w:p w14:paraId="32116D0F" w14:textId="77777777" w:rsidR="00AA5968" w:rsidRPr="00AA5968" w:rsidRDefault="00AA5968" w:rsidP="00794C07">
      <w:pPr>
        <w:textAlignment w:val="baseline"/>
        <w:rPr>
          <w:rFonts w:eastAsia="Times New Roman" w:cs="Arial"/>
          <w:kern w:val="0"/>
          <w:lang w:eastAsia="en-GB"/>
          <w14:ligatures w14:val="none"/>
        </w:rPr>
      </w:pPr>
    </w:p>
    <w:p w14:paraId="6191A4F3" w14:textId="77777777" w:rsidR="00AA5968" w:rsidRPr="00AA5968" w:rsidRDefault="00AA5968" w:rsidP="00794C07">
      <w:pPr>
        <w:textAlignment w:val="baseline"/>
        <w:rPr>
          <w:rFonts w:eastAsia="Times New Roman" w:cs="Arial"/>
          <w:kern w:val="0"/>
          <w:lang w:eastAsia="en-GB"/>
          <w14:ligatures w14:val="none"/>
        </w:rPr>
      </w:pPr>
      <w:r w:rsidRPr="00AA5968">
        <w:rPr>
          <w:rFonts w:eastAsia="Times New Roman" w:cs="Arial"/>
          <w:kern w:val="0"/>
          <w:lang w:eastAsia="en-GB"/>
          <w14:ligatures w14:val="none"/>
        </w:rPr>
        <w:t>Six pharmacies confirmed they have Welsh speakers in their staff. Two pharmacies confirmed that other languages are spoken by staff. One pharmacy has staff that speak Gujarati and Filipino, and the other has staff that speak French and German.</w:t>
      </w:r>
    </w:p>
    <w:p w14:paraId="2B71E994" w14:textId="77777777" w:rsidR="00AA5968" w:rsidRPr="00AA5968" w:rsidRDefault="00AA5968" w:rsidP="00794C07">
      <w:pPr>
        <w:textAlignment w:val="baseline"/>
        <w:rPr>
          <w:rFonts w:eastAsia="Times New Roman" w:cs="Arial"/>
          <w:kern w:val="0"/>
          <w:lang w:eastAsia="en-GB"/>
          <w14:ligatures w14:val="none"/>
        </w:rPr>
      </w:pPr>
    </w:p>
    <w:p w14:paraId="4C1A8A70" w14:textId="77777777" w:rsidR="00AA5968" w:rsidRPr="00AA5968" w:rsidRDefault="00AA5968" w:rsidP="00794C07">
      <w:pPr>
        <w:textAlignment w:val="baseline"/>
        <w:rPr>
          <w:rFonts w:eastAsia="Times New Roman" w:cs="Arial"/>
          <w:kern w:val="0"/>
          <w:lang w:eastAsia="en-GB"/>
          <w14:ligatures w14:val="none"/>
        </w:rPr>
      </w:pPr>
      <w:r w:rsidRPr="00AA5968">
        <w:rPr>
          <w:rFonts w:eastAsia="Times New Roman" w:cs="Arial"/>
          <w:kern w:val="0"/>
          <w:lang w:eastAsia="en-GB"/>
          <w14:ligatures w14:val="none"/>
        </w:rPr>
        <w:t>All the pharmacies dispense prescriptions for all types of appliances, although one noted that it uses an agency scheme for some appliances.</w:t>
      </w:r>
    </w:p>
    <w:p w14:paraId="313DC2F4" w14:textId="77777777" w:rsidR="00AA5968" w:rsidRPr="00AA5968" w:rsidRDefault="00AA5968" w:rsidP="00794C07">
      <w:pPr>
        <w:textAlignment w:val="baseline"/>
        <w:rPr>
          <w:rFonts w:eastAsia="Times New Roman" w:cs="Arial"/>
          <w:kern w:val="0"/>
          <w:lang w:eastAsia="en-GB"/>
          <w14:ligatures w14:val="none"/>
        </w:rPr>
      </w:pPr>
    </w:p>
    <w:p w14:paraId="296CE36F" w14:textId="77777777" w:rsidR="00AA5968" w:rsidRPr="00AA5968" w:rsidRDefault="00AA5968" w:rsidP="00794C07">
      <w:pPr>
        <w:textAlignment w:val="baseline"/>
        <w:rPr>
          <w:rFonts w:eastAsia="Times New Roman" w:cs="Arial"/>
          <w:kern w:val="0"/>
          <w:lang w:eastAsia="en-GB"/>
          <w14:ligatures w14:val="none"/>
        </w:rPr>
      </w:pPr>
      <w:r w:rsidRPr="00AA5968">
        <w:rPr>
          <w:rFonts w:eastAsia="Times New Roman" w:cs="Arial"/>
          <w:kern w:val="0"/>
          <w:lang w:eastAsia="en-GB"/>
          <w14:ligatures w14:val="none"/>
        </w:rPr>
        <w:t>Although non-commissioned services:</w:t>
      </w:r>
    </w:p>
    <w:p w14:paraId="515DD62A" w14:textId="77777777" w:rsidR="00AA5968" w:rsidRPr="00AA5968" w:rsidRDefault="00AA5968" w:rsidP="00794C07">
      <w:pPr>
        <w:textAlignment w:val="baseline"/>
        <w:rPr>
          <w:rFonts w:eastAsia="Times New Roman" w:cs="Arial"/>
          <w:kern w:val="0"/>
          <w:lang w:eastAsia="en-GB"/>
          <w14:ligatures w14:val="none"/>
        </w:rPr>
      </w:pPr>
    </w:p>
    <w:p w14:paraId="17EDF5FB" w14:textId="77777777" w:rsidR="00AA5968" w:rsidRPr="00AA5968" w:rsidRDefault="00AA5968" w:rsidP="00B76905">
      <w:pPr>
        <w:numPr>
          <w:ilvl w:val="0"/>
          <w:numId w:val="147"/>
        </w:numPr>
        <w:textAlignment w:val="baseline"/>
        <w:rPr>
          <w:rFonts w:eastAsia="Times New Roman" w:cs="Arial"/>
          <w:kern w:val="0"/>
          <w:lang w:eastAsia="en-GB"/>
          <w14:ligatures w14:val="none"/>
        </w:rPr>
      </w:pPr>
      <w:r w:rsidRPr="00AA5968">
        <w:rPr>
          <w:rFonts w:eastAsia="Times New Roman" w:cs="Arial"/>
          <w:kern w:val="0"/>
          <w:lang w:eastAsia="en-GB"/>
          <w14:ligatures w14:val="none"/>
        </w:rPr>
        <w:t>all the pharmacies collect prescriptions from GP practices,</w:t>
      </w:r>
    </w:p>
    <w:p w14:paraId="1F02672B" w14:textId="77777777" w:rsidR="00AA5968" w:rsidRPr="00AA5968" w:rsidRDefault="00AA5968" w:rsidP="00B76905">
      <w:pPr>
        <w:numPr>
          <w:ilvl w:val="0"/>
          <w:numId w:val="147"/>
        </w:numPr>
        <w:textAlignment w:val="baseline"/>
        <w:rPr>
          <w:rFonts w:eastAsia="Times New Roman" w:cs="Arial"/>
          <w:kern w:val="0"/>
          <w:lang w:eastAsia="en-GB"/>
          <w14:ligatures w14:val="none"/>
        </w:rPr>
      </w:pPr>
      <w:r w:rsidRPr="00AA5968">
        <w:rPr>
          <w:rFonts w:eastAsia="Times New Roman" w:cs="Arial"/>
          <w:kern w:val="0"/>
          <w:lang w:eastAsia="en-GB"/>
          <w14:ligatures w14:val="none"/>
        </w:rPr>
        <w:lastRenderedPageBreak/>
        <w:t>six provide a free of charge delivery service on request although one only provides it two days a week to housebound patients, and</w:t>
      </w:r>
    </w:p>
    <w:p w14:paraId="3A3C8CF3" w14:textId="77777777" w:rsidR="00AA5968" w:rsidRPr="00AA5968" w:rsidRDefault="00AA5968" w:rsidP="00B76905">
      <w:pPr>
        <w:numPr>
          <w:ilvl w:val="0"/>
          <w:numId w:val="147"/>
        </w:numPr>
        <w:textAlignment w:val="baseline"/>
        <w:rPr>
          <w:rFonts w:eastAsia="Times New Roman" w:cs="Arial"/>
          <w:kern w:val="0"/>
          <w:lang w:eastAsia="en-GB"/>
          <w14:ligatures w14:val="none"/>
        </w:rPr>
      </w:pPr>
      <w:r w:rsidRPr="00AA5968">
        <w:rPr>
          <w:rFonts w:eastAsia="Times New Roman" w:cs="Arial"/>
          <w:kern w:val="0"/>
          <w:lang w:eastAsia="en-GB"/>
          <w14:ligatures w14:val="none"/>
        </w:rPr>
        <w:t xml:space="preserve">one pharmacy also provides a delivery service for a fee, and </w:t>
      </w:r>
    </w:p>
    <w:p w14:paraId="3FF82630" w14:textId="77777777" w:rsidR="00AA5968" w:rsidRPr="00AA5968" w:rsidRDefault="00AA5968" w:rsidP="00B76905">
      <w:pPr>
        <w:numPr>
          <w:ilvl w:val="0"/>
          <w:numId w:val="147"/>
        </w:numPr>
        <w:textAlignment w:val="baseline"/>
        <w:rPr>
          <w:rFonts w:eastAsia="Times New Roman" w:cs="Arial"/>
          <w:kern w:val="0"/>
          <w:lang w:eastAsia="en-GB"/>
          <w14:ligatures w14:val="none"/>
        </w:rPr>
      </w:pPr>
      <w:r w:rsidRPr="00AA5968">
        <w:rPr>
          <w:rFonts w:eastAsia="Times New Roman" w:cs="Arial"/>
          <w:kern w:val="0"/>
          <w:lang w:eastAsia="en-GB"/>
          <w14:ligatures w14:val="none"/>
        </w:rPr>
        <w:t>three pharmacies have an automated collection point at their premises.</w:t>
      </w:r>
    </w:p>
    <w:p w14:paraId="2DDDC619" w14:textId="77777777" w:rsidR="00AA5968" w:rsidRPr="00AA5968" w:rsidRDefault="00AA5968" w:rsidP="00794C07">
      <w:pPr>
        <w:rPr>
          <w:rFonts w:eastAsia="Aptos" w:cs="Arial"/>
        </w:rPr>
      </w:pPr>
    </w:p>
    <w:p w14:paraId="30056B93" w14:textId="77777777" w:rsidR="00AA5968" w:rsidRPr="00AA5968" w:rsidRDefault="00AA5968" w:rsidP="00794C07">
      <w:pPr>
        <w:rPr>
          <w:rFonts w:eastAsia="Aptos" w:cs="Arial"/>
        </w:rPr>
      </w:pPr>
      <w:r w:rsidRPr="00AA5968">
        <w:rPr>
          <w:rFonts w:eastAsia="Aptos" w:cs="Arial"/>
        </w:rPr>
        <w:t>One pharmacy stated that the medicines use review service should not have been decommissioned due to the level of medicines wastage.</w:t>
      </w:r>
    </w:p>
    <w:p w14:paraId="5AFCAC9C" w14:textId="77777777" w:rsidR="00AA5968" w:rsidRPr="00AA5968" w:rsidRDefault="00AA5968" w:rsidP="00794C07">
      <w:pPr>
        <w:rPr>
          <w:rFonts w:eastAsia="Aptos" w:cs="Arial"/>
        </w:rPr>
      </w:pPr>
    </w:p>
    <w:p w14:paraId="2A76BE15" w14:textId="77777777" w:rsidR="00AA5968" w:rsidRPr="00AA5968" w:rsidRDefault="00AA5968" w:rsidP="00794C07">
      <w:pPr>
        <w:rPr>
          <w:rFonts w:eastAsia="Aptos" w:cs="Arial"/>
        </w:rPr>
      </w:pPr>
      <w:r w:rsidRPr="00AA5968">
        <w:rPr>
          <w:rFonts w:eastAsia="Aptos" w:cs="Arial"/>
        </w:rPr>
        <w:t>One pharmacy stated that the inhaler review service needs to be reviewed.</w:t>
      </w:r>
    </w:p>
    <w:p w14:paraId="2866E434" w14:textId="77777777" w:rsidR="00AA5968" w:rsidRPr="00AA5968" w:rsidRDefault="00AA5968" w:rsidP="00794C07">
      <w:pPr>
        <w:rPr>
          <w:rFonts w:eastAsia="Times New Roman" w:cs="Arial"/>
          <w:kern w:val="0"/>
          <w:lang w:eastAsia="en-GB"/>
          <w14:ligatures w14:val="none"/>
        </w:rPr>
      </w:pPr>
      <w:r w:rsidRPr="00AA5968">
        <w:rPr>
          <w:rFonts w:eastAsia="Aptos" w:cs="Arial"/>
        </w:rPr>
        <w:t>Eight</w:t>
      </w:r>
      <w:r w:rsidRPr="00AA5968">
        <w:rPr>
          <w:rFonts w:eastAsia="Times New Roman" w:cs="Arial"/>
          <w:kern w:val="0"/>
          <w:lang w:eastAsia="en-GB"/>
          <w14:ligatures w14:val="none"/>
        </w:rPr>
        <w:t xml:space="preserve"> of the pharmacies have sufficient capacity within their premises and staffing levels to manage an increase in demand, and one doesn’t but could make adjustments.</w:t>
      </w:r>
    </w:p>
    <w:p w14:paraId="0E4D57B1" w14:textId="77777777" w:rsidR="00AA5968" w:rsidRPr="00AA5968" w:rsidRDefault="00AA5968" w:rsidP="00794C07">
      <w:pPr>
        <w:rPr>
          <w:rFonts w:eastAsia="Times New Roman" w:cs="Arial"/>
          <w:kern w:val="0"/>
          <w:lang w:eastAsia="en-GB"/>
          <w14:ligatures w14:val="none"/>
        </w:rPr>
      </w:pPr>
    </w:p>
    <w:p w14:paraId="4829C8A3"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Six pharmacies have plans to develop or expand their premises or service provision.</w:t>
      </w:r>
    </w:p>
    <w:p w14:paraId="0602FCEB" w14:textId="77777777" w:rsidR="00AA5968" w:rsidRPr="00AA5968" w:rsidRDefault="00AA5968" w:rsidP="00794C07">
      <w:pPr>
        <w:rPr>
          <w:rFonts w:eastAsia="Times New Roman" w:cs="Arial"/>
          <w:kern w:val="0"/>
          <w:lang w:eastAsia="en-GB"/>
          <w14:ligatures w14:val="none"/>
        </w:rPr>
      </w:pPr>
    </w:p>
    <w:p w14:paraId="3BAD85D5" w14:textId="77777777" w:rsidR="00AA5968" w:rsidRPr="00AA5968" w:rsidRDefault="00AA5968" w:rsidP="00B76905">
      <w:pPr>
        <w:numPr>
          <w:ilvl w:val="0"/>
          <w:numId w:val="148"/>
        </w:numPr>
        <w:contextualSpacing/>
        <w:rPr>
          <w:rFonts w:eastAsia="Aptos" w:cs="Arial"/>
        </w:rPr>
      </w:pPr>
      <w:r w:rsidRPr="00AA5968">
        <w:rPr>
          <w:rFonts w:eastAsia="Times New Roman" w:cs="Arial"/>
          <w:kern w:val="0"/>
          <w:lang w:eastAsia="en-GB"/>
          <w14:ligatures w14:val="none"/>
        </w:rPr>
        <w:t>One is currently training its technicians to aid the pharmacist to provide services and has a trainee technician.</w:t>
      </w:r>
    </w:p>
    <w:p w14:paraId="0AF41AA4" w14:textId="77777777" w:rsidR="00AA5968" w:rsidRPr="00AA5968" w:rsidRDefault="00AA5968" w:rsidP="00B76905">
      <w:pPr>
        <w:numPr>
          <w:ilvl w:val="0"/>
          <w:numId w:val="148"/>
        </w:numPr>
        <w:contextualSpacing/>
        <w:rPr>
          <w:rFonts w:eastAsia="Aptos" w:cs="Arial"/>
        </w:rPr>
      </w:pPr>
      <w:r w:rsidRPr="00AA5968">
        <w:rPr>
          <w:rFonts w:eastAsia="Aptos" w:cs="Arial"/>
        </w:rPr>
        <w:t>One pharmacy is hoping to increase provision of the pharmacist independent prescribing service. A pharmacy technician NVQ level 4 started in April 2026 and will support service provision. There is space to add at least one more consultation room in the premises.</w:t>
      </w:r>
    </w:p>
    <w:p w14:paraId="51AECC62" w14:textId="77777777" w:rsidR="00AA5968" w:rsidRPr="00AA5968" w:rsidRDefault="00AA5968" w:rsidP="00B76905">
      <w:pPr>
        <w:numPr>
          <w:ilvl w:val="0"/>
          <w:numId w:val="148"/>
        </w:numPr>
        <w:contextualSpacing/>
        <w:rPr>
          <w:rFonts w:eastAsia="Aptos" w:cs="Arial"/>
        </w:rPr>
      </w:pPr>
      <w:r w:rsidRPr="00AA5968">
        <w:rPr>
          <w:rFonts w:eastAsia="Aptos" w:cs="Arial"/>
        </w:rPr>
        <w:t>Two more pharmacies have trainee technicians to aid with service provision.</w:t>
      </w:r>
    </w:p>
    <w:p w14:paraId="39E3BE64" w14:textId="77777777" w:rsidR="00AA5968" w:rsidRPr="00AA5968" w:rsidRDefault="00AA5968" w:rsidP="00B76905">
      <w:pPr>
        <w:numPr>
          <w:ilvl w:val="0"/>
          <w:numId w:val="148"/>
        </w:numPr>
        <w:contextualSpacing/>
        <w:rPr>
          <w:rFonts w:eastAsia="Aptos" w:cs="Arial"/>
        </w:rPr>
      </w:pPr>
      <w:r w:rsidRPr="00AA5968">
        <w:rPr>
          <w:rFonts w:eastAsia="Aptos" w:cs="Arial"/>
        </w:rPr>
        <w:t>One contractor is trialling a bar code checking system in one of its pharmacies to free up pharmacist time for services. It is training a member of staff to become a NVQ level 4 technician and anticipates that they will help with service provision. It is planning to introduce an additional consultation room for the pharmacist who has completed training as an independent prescriber.</w:t>
      </w:r>
    </w:p>
    <w:p w14:paraId="710BE6A8" w14:textId="77777777" w:rsidR="00AA5968" w:rsidRPr="00AA5968" w:rsidRDefault="00AA5968" w:rsidP="00B76905">
      <w:pPr>
        <w:numPr>
          <w:ilvl w:val="0"/>
          <w:numId w:val="148"/>
        </w:numPr>
        <w:contextualSpacing/>
        <w:rPr>
          <w:rFonts w:eastAsia="Aptos" w:cs="Arial"/>
        </w:rPr>
      </w:pPr>
      <w:r w:rsidRPr="00AA5968">
        <w:rPr>
          <w:rFonts w:eastAsia="Aptos" w:cs="Arial"/>
        </w:rPr>
        <w:t>One pharmacy plans to provide more private services.</w:t>
      </w:r>
    </w:p>
    <w:p w14:paraId="709C9D2F" w14:textId="77777777" w:rsidR="00AA5968" w:rsidRPr="00AA5968" w:rsidRDefault="00AA5968" w:rsidP="00794C07">
      <w:pPr>
        <w:rPr>
          <w:rFonts w:eastAsia="Aptos" w:cs="Arial"/>
        </w:rPr>
      </w:pPr>
    </w:p>
    <w:p w14:paraId="4347127A" w14:textId="77777777" w:rsidR="00AA5968" w:rsidRPr="00AA5968" w:rsidRDefault="00AA5968" w:rsidP="00794C07">
      <w:pPr>
        <w:rPr>
          <w:rFonts w:eastAsia="Aptos" w:cs="Arial"/>
        </w:rPr>
      </w:pPr>
      <w:r w:rsidRPr="00AA5968">
        <w:rPr>
          <w:rFonts w:eastAsia="Aptos" w:cs="Arial"/>
        </w:rPr>
        <w:t>One pharmacy has considered closing on Saturdays, but due to an increase in demand no longer plans to.</w:t>
      </w:r>
    </w:p>
    <w:p w14:paraId="189CBCA5" w14:textId="77777777" w:rsidR="00AA5968" w:rsidRPr="00AA5968" w:rsidRDefault="00AA5968" w:rsidP="00794C07">
      <w:pPr>
        <w:rPr>
          <w:rFonts w:eastAsia="Aptos" w:cs="Arial"/>
        </w:rPr>
      </w:pPr>
    </w:p>
    <w:p w14:paraId="4FFDD61D" w14:textId="77777777" w:rsidR="00AA5968" w:rsidRPr="00AA5968" w:rsidRDefault="00AA5968" w:rsidP="00794C07">
      <w:pPr>
        <w:contextualSpacing/>
        <w:rPr>
          <w:rFonts w:eastAsia="Times New Roman" w:cs="Arial"/>
          <w:b/>
          <w:bCs/>
          <w:kern w:val="0"/>
          <w:lang w:eastAsia="en-GB"/>
          <w14:ligatures w14:val="none"/>
        </w:rPr>
      </w:pPr>
      <w:r w:rsidRPr="00AA5968">
        <w:rPr>
          <w:rFonts w:eastAsia="Times New Roman" w:cs="Arial"/>
          <w:b/>
          <w:bCs/>
          <w:kern w:val="0"/>
          <w:lang w:eastAsia="en-GB"/>
          <w14:ligatures w14:val="none"/>
        </w:rPr>
        <w:t>11.3.1 National community pharmacy and appliance contractor services</w:t>
      </w:r>
    </w:p>
    <w:p w14:paraId="580BFE03" w14:textId="77777777" w:rsidR="00AA5968" w:rsidRPr="00AA5968" w:rsidRDefault="00AA5968" w:rsidP="00794C07">
      <w:pPr>
        <w:rPr>
          <w:rFonts w:eastAsia="Times New Roman" w:cs="Arial"/>
          <w:kern w:val="0"/>
          <w:lang w:eastAsia="en-GB"/>
          <w14:ligatures w14:val="none"/>
        </w:rPr>
      </w:pPr>
    </w:p>
    <w:p w14:paraId="5F1C8D02"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11.3.1.1 Appliance use review service</w:t>
      </w:r>
    </w:p>
    <w:p w14:paraId="655A7059" w14:textId="77777777" w:rsidR="00AA5968" w:rsidRPr="00AA5968" w:rsidRDefault="00AA5968" w:rsidP="00794C07">
      <w:pPr>
        <w:rPr>
          <w:rFonts w:eastAsia="Times New Roman" w:cs="Arial"/>
          <w:b/>
          <w:bCs/>
          <w:kern w:val="0"/>
          <w:lang w:eastAsia="en-GB"/>
          <w14:ligatures w14:val="none"/>
        </w:rPr>
      </w:pPr>
    </w:p>
    <w:p w14:paraId="5994F261"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None of the pharmacies provide this service.</w:t>
      </w:r>
    </w:p>
    <w:p w14:paraId="42234A3B" w14:textId="77777777" w:rsidR="00AA5968" w:rsidRPr="00D0306F" w:rsidRDefault="00AA5968" w:rsidP="00794C07">
      <w:pPr>
        <w:rPr>
          <w:rFonts w:eastAsia="Times New Roman" w:cs="Arial"/>
          <w:kern w:val="0"/>
          <w:lang w:eastAsia="en-GB"/>
          <w14:ligatures w14:val="none"/>
        </w:rPr>
      </w:pPr>
    </w:p>
    <w:p w14:paraId="5EE38EDA"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11.3.1.2 Clinical community pharmacy service</w:t>
      </w:r>
    </w:p>
    <w:p w14:paraId="5AEC1DBB" w14:textId="77777777" w:rsidR="00AA5968" w:rsidRPr="00AA5968" w:rsidRDefault="00AA5968" w:rsidP="00794C07">
      <w:pPr>
        <w:rPr>
          <w:rFonts w:eastAsia="Times New Roman" w:cs="Arial"/>
          <w:kern w:val="0"/>
          <w:lang w:eastAsia="en-GB"/>
          <w14:ligatures w14:val="none"/>
        </w:rPr>
      </w:pPr>
    </w:p>
    <w:p w14:paraId="2F3D7549"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All nine pharmacies have signed up and provide this service:</w:t>
      </w:r>
    </w:p>
    <w:p w14:paraId="63C95001" w14:textId="77777777" w:rsidR="00AA5968" w:rsidRPr="00AA5968" w:rsidRDefault="00AA5968" w:rsidP="00794C07">
      <w:pPr>
        <w:contextualSpacing/>
        <w:rPr>
          <w:rFonts w:eastAsia="Times New Roman" w:cs="Arial"/>
          <w:kern w:val="0"/>
          <w:lang w:eastAsia="en-GB"/>
          <w14:ligatures w14:val="none"/>
        </w:rPr>
      </w:pPr>
    </w:p>
    <w:p w14:paraId="3D0F1213" w14:textId="77777777" w:rsidR="00AA5968" w:rsidRPr="00AA5968" w:rsidRDefault="00AA5968" w:rsidP="00794C07">
      <w:pPr>
        <w:contextualSpacing/>
        <w:rPr>
          <w:rFonts w:eastAsia="Times New Roman" w:cs="Arial"/>
          <w:kern w:val="0"/>
          <w:lang w:eastAsia="en-GB"/>
          <w14:ligatures w14:val="none"/>
        </w:rPr>
      </w:pPr>
      <w:r w:rsidRPr="00AA5968">
        <w:rPr>
          <w:rFonts w:eastAsia="Times New Roman" w:cs="Arial"/>
          <w:kern w:val="0"/>
          <w:lang w:eastAsia="en-GB"/>
          <w14:ligatures w14:val="none"/>
        </w:rPr>
        <w:t>In 2024/25 the pharmacies provided:</w:t>
      </w:r>
    </w:p>
    <w:p w14:paraId="06354955" w14:textId="77777777" w:rsidR="00AA5968" w:rsidRPr="00AA5968" w:rsidRDefault="00AA5968" w:rsidP="00794C07">
      <w:pPr>
        <w:contextualSpacing/>
        <w:rPr>
          <w:rFonts w:eastAsia="Times New Roman" w:cs="Arial"/>
          <w:kern w:val="0"/>
          <w:lang w:eastAsia="en-GB"/>
          <w14:ligatures w14:val="none"/>
        </w:rPr>
      </w:pPr>
    </w:p>
    <w:p w14:paraId="454B00F8" w14:textId="77777777" w:rsidR="00AA5968" w:rsidRPr="00AA5968" w:rsidRDefault="00AA5968" w:rsidP="00B76905">
      <w:pPr>
        <w:numPr>
          <w:ilvl w:val="0"/>
          <w:numId w:val="149"/>
        </w:numPr>
        <w:contextualSpacing/>
        <w:rPr>
          <w:rFonts w:eastAsia="Times New Roman" w:cs="Arial"/>
          <w:kern w:val="0"/>
          <w:lang w:eastAsia="en-GB"/>
          <w14:ligatures w14:val="none"/>
        </w:rPr>
      </w:pPr>
      <w:r w:rsidRPr="00AA5968">
        <w:rPr>
          <w:rFonts w:eastAsia="Times New Roman" w:cs="Arial"/>
          <w:kern w:val="0"/>
          <w:lang w:eastAsia="en-GB"/>
          <w14:ligatures w14:val="none"/>
        </w:rPr>
        <w:t>8,700 consultations for common ailment consultations (range at pharmacy level 151 to 1,860)</w:t>
      </w:r>
    </w:p>
    <w:p w14:paraId="697101AF" w14:textId="77777777" w:rsidR="00AA5968" w:rsidRPr="00AA5968" w:rsidRDefault="00AA5968" w:rsidP="00B76905">
      <w:pPr>
        <w:numPr>
          <w:ilvl w:val="0"/>
          <w:numId w:val="149"/>
        </w:numPr>
        <w:contextualSpacing/>
        <w:rPr>
          <w:rFonts w:eastAsia="Times New Roman" w:cs="Arial"/>
          <w:kern w:val="0"/>
          <w:lang w:eastAsia="en-GB"/>
          <w14:ligatures w14:val="none"/>
        </w:rPr>
      </w:pPr>
      <w:r w:rsidRPr="00AA5968">
        <w:rPr>
          <w:rFonts w:eastAsia="Times New Roman" w:cs="Arial"/>
          <w:kern w:val="0"/>
          <w:lang w:eastAsia="en-GB"/>
          <w14:ligatures w14:val="none"/>
        </w:rPr>
        <w:t>1,365 consultations for sore throat test and treat consultations (range at pharmacy level two to 384)</w:t>
      </w:r>
    </w:p>
    <w:p w14:paraId="2F5A7D61" w14:textId="77777777" w:rsidR="00AA5968" w:rsidRPr="00AA5968" w:rsidRDefault="00AA5968" w:rsidP="00B76905">
      <w:pPr>
        <w:numPr>
          <w:ilvl w:val="0"/>
          <w:numId w:val="149"/>
        </w:numPr>
        <w:contextualSpacing/>
        <w:rPr>
          <w:rFonts w:eastAsia="Times New Roman" w:cs="Arial"/>
          <w:kern w:val="0"/>
          <w:lang w:eastAsia="en-GB"/>
          <w14:ligatures w14:val="none"/>
        </w:rPr>
      </w:pPr>
      <w:r w:rsidRPr="00AA5968">
        <w:rPr>
          <w:rFonts w:eastAsia="Times New Roman" w:cs="Arial"/>
          <w:kern w:val="0"/>
          <w:lang w:eastAsia="en-GB"/>
          <w14:ligatures w14:val="none"/>
        </w:rPr>
        <w:lastRenderedPageBreak/>
        <w:t>360 consultations for emergency contraception consultations (range at pharmacy level 16 to 94)</w:t>
      </w:r>
    </w:p>
    <w:p w14:paraId="3D88ADCF" w14:textId="77777777" w:rsidR="00AA5968" w:rsidRPr="00AA5968" w:rsidRDefault="00AA5968" w:rsidP="00B76905">
      <w:pPr>
        <w:numPr>
          <w:ilvl w:val="0"/>
          <w:numId w:val="149"/>
        </w:numPr>
        <w:contextualSpacing/>
        <w:rPr>
          <w:rFonts w:eastAsia="Times New Roman" w:cs="Arial"/>
          <w:kern w:val="0"/>
          <w:lang w:eastAsia="en-GB"/>
          <w14:ligatures w14:val="none"/>
        </w:rPr>
      </w:pPr>
      <w:r w:rsidRPr="00AA5968">
        <w:rPr>
          <w:rFonts w:eastAsia="Times New Roman" w:cs="Arial"/>
          <w:kern w:val="0"/>
          <w:lang w:eastAsia="en-GB"/>
          <w14:ligatures w14:val="none"/>
        </w:rPr>
        <w:t>1,718 emergency medicines supplies (range at pharmacy level 14 to 545)</w:t>
      </w:r>
    </w:p>
    <w:p w14:paraId="3F80A12F" w14:textId="77777777" w:rsidR="00AA5968" w:rsidRPr="00AA5968" w:rsidRDefault="00AA5968" w:rsidP="00794C07">
      <w:pPr>
        <w:contextualSpacing/>
        <w:rPr>
          <w:rFonts w:eastAsia="Times New Roman" w:cs="Arial"/>
          <w:kern w:val="0"/>
          <w:lang w:eastAsia="en-GB"/>
          <w14:ligatures w14:val="none"/>
        </w:rPr>
      </w:pPr>
    </w:p>
    <w:p w14:paraId="44B470C0" w14:textId="77777777" w:rsidR="00AA5968" w:rsidRPr="00AA5968" w:rsidRDefault="00AA5968" w:rsidP="00794C07">
      <w:pPr>
        <w:contextualSpacing/>
        <w:rPr>
          <w:rFonts w:eastAsia="Times New Roman" w:cs="Arial"/>
          <w:kern w:val="0"/>
          <w:lang w:eastAsia="en-GB"/>
          <w14:ligatures w14:val="none"/>
        </w:rPr>
      </w:pPr>
      <w:r w:rsidRPr="00AA5968">
        <w:rPr>
          <w:rFonts w:eastAsia="Times New Roman" w:cs="Arial"/>
          <w:kern w:val="0"/>
          <w:lang w:eastAsia="en-GB"/>
          <w14:ligatures w14:val="none"/>
        </w:rPr>
        <w:t>In the first six months of 2025/26 the pharmacies provided:</w:t>
      </w:r>
    </w:p>
    <w:p w14:paraId="59564612" w14:textId="77777777" w:rsidR="00AA5968" w:rsidRPr="00AA5968" w:rsidRDefault="00AA5968" w:rsidP="00794C07">
      <w:pPr>
        <w:contextualSpacing/>
        <w:rPr>
          <w:rFonts w:eastAsia="Times New Roman" w:cs="Arial"/>
          <w:kern w:val="0"/>
          <w:lang w:eastAsia="en-GB"/>
          <w14:ligatures w14:val="none"/>
        </w:rPr>
      </w:pPr>
    </w:p>
    <w:p w14:paraId="5DCB15F3" w14:textId="77777777" w:rsidR="00AA5968" w:rsidRPr="00AA5968" w:rsidRDefault="00AA5968" w:rsidP="00B76905">
      <w:pPr>
        <w:numPr>
          <w:ilvl w:val="0"/>
          <w:numId w:val="149"/>
        </w:numPr>
        <w:contextualSpacing/>
        <w:rPr>
          <w:rFonts w:eastAsia="Times New Roman" w:cs="Arial"/>
          <w:kern w:val="0"/>
          <w:lang w:eastAsia="en-GB"/>
          <w14:ligatures w14:val="none"/>
        </w:rPr>
      </w:pPr>
      <w:r w:rsidRPr="00AA5968">
        <w:rPr>
          <w:rFonts w:eastAsia="Times New Roman" w:cs="Arial"/>
          <w:kern w:val="0"/>
          <w:lang w:eastAsia="en-GB"/>
          <w14:ligatures w14:val="none"/>
        </w:rPr>
        <w:t>5,217 consultations for common ailment consultations (range at pharmacy level 44 to 1,434)</w:t>
      </w:r>
    </w:p>
    <w:p w14:paraId="5315FD51" w14:textId="77777777" w:rsidR="00AA5968" w:rsidRPr="00AA5968" w:rsidRDefault="00AA5968" w:rsidP="00B76905">
      <w:pPr>
        <w:numPr>
          <w:ilvl w:val="0"/>
          <w:numId w:val="149"/>
        </w:numPr>
        <w:contextualSpacing/>
        <w:rPr>
          <w:rFonts w:eastAsia="Times New Roman" w:cs="Arial"/>
          <w:kern w:val="0"/>
          <w:lang w:eastAsia="en-GB"/>
          <w14:ligatures w14:val="none"/>
        </w:rPr>
      </w:pPr>
      <w:r w:rsidRPr="00AA5968">
        <w:rPr>
          <w:rFonts w:eastAsia="Times New Roman" w:cs="Arial"/>
          <w:kern w:val="0"/>
          <w:lang w:eastAsia="en-GB"/>
          <w14:ligatures w14:val="none"/>
        </w:rPr>
        <w:t>606 consultations for sore throat test and treat consultations (range at pharmacy level one to 162)</w:t>
      </w:r>
    </w:p>
    <w:p w14:paraId="0DA3F7CD" w14:textId="77777777" w:rsidR="00AA5968" w:rsidRPr="00AA5968" w:rsidRDefault="00AA5968" w:rsidP="00B76905">
      <w:pPr>
        <w:numPr>
          <w:ilvl w:val="0"/>
          <w:numId w:val="149"/>
        </w:numPr>
        <w:contextualSpacing/>
        <w:rPr>
          <w:rFonts w:eastAsia="Times New Roman" w:cs="Arial"/>
          <w:kern w:val="0"/>
          <w:lang w:eastAsia="en-GB"/>
          <w14:ligatures w14:val="none"/>
        </w:rPr>
      </w:pPr>
      <w:r w:rsidRPr="00AA5968">
        <w:rPr>
          <w:rFonts w:eastAsia="Times New Roman" w:cs="Arial"/>
          <w:kern w:val="0"/>
          <w:lang w:eastAsia="en-GB"/>
          <w14:ligatures w14:val="none"/>
        </w:rPr>
        <w:t>161 consultations for emergency contraception consultations (range at pharmacy level five to 62)</w:t>
      </w:r>
    </w:p>
    <w:p w14:paraId="6666321C" w14:textId="77777777" w:rsidR="00AA5968" w:rsidRPr="00AA5968" w:rsidRDefault="00AA5968" w:rsidP="00B76905">
      <w:pPr>
        <w:numPr>
          <w:ilvl w:val="0"/>
          <w:numId w:val="149"/>
        </w:numPr>
        <w:contextualSpacing/>
        <w:rPr>
          <w:rFonts w:eastAsia="Times New Roman" w:cs="Arial"/>
          <w:kern w:val="0"/>
          <w:lang w:eastAsia="en-GB"/>
          <w14:ligatures w14:val="none"/>
        </w:rPr>
      </w:pPr>
      <w:r w:rsidRPr="00AA5968">
        <w:rPr>
          <w:rFonts w:eastAsia="Times New Roman" w:cs="Arial"/>
          <w:kern w:val="0"/>
          <w:lang w:eastAsia="en-GB"/>
          <w14:ligatures w14:val="none"/>
        </w:rPr>
        <w:t>840 emergency medicines supplies (range at pharmacy level nine to 270)</w:t>
      </w:r>
    </w:p>
    <w:p w14:paraId="799D56AD" w14:textId="77777777" w:rsidR="00AA5968" w:rsidRPr="00AA5968" w:rsidRDefault="00AA5968" w:rsidP="00794C07">
      <w:pPr>
        <w:rPr>
          <w:rFonts w:eastAsia="Times New Roman" w:cs="Arial"/>
          <w:kern w:val="0"/>
          <w:lang w:eastAsia="en-GB"/>
          <w14:ligatures w14:val="none"/>
        </w:rPr>
      </w:pPr>
    </w:p>
    <w:p w14:paraId="24132A61"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 xml:space="preserve">11.3.1.3 Discharge medicines review service </w:t>
      </w:r>
    </w:p>
    <w:p w14:paraId="0E4D84B6" w14:textId="77777777" w:rsidR="00AA5968" w:rsidRPr="00AA5968" w:rsidRDefault="00AA5968" w:rsidP="00794C07">
      <w:pPr>
        <w:rPr>
          <w:rFonts w:eastAsia="Times New Roman" w:cs="Arial"/>
          <w:b/>
          <w:bCs/>
          <w:kern w:val="0"/>
          <w:lang w:eastAsia="en-GB"/>
          <w14:ligatures w14:val="none"/>
        </w:rPr>
      </w:pPr>
    </w:p>
    <w:p w14:paraId="4EE8F9CE"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All nine pharmacies have signed up to provide this service.</w:t>
      </w:r>
    </w:p>
    <w:p w14:paraId="5AC43CCF" w14:textId="77777777" w:rsidR="00AA5968" w:rsidRPr="00AA5968" w:rsidRDefault="00AA5968" w:rsidP="00794C07">
      <w:pPr>
        <w:rPr>
          <w:rFonts w:eastAsia="Times New Roman" w:cs="Arial"/>
          <w:kern w:val="0"/>
          <w:lang w:eastAsia="en-GB"/>
          <w14:ligatures w14:val="none"/>
        </w:rPr>
      </w:pPr>
    </w:p>
    <w:p w14:paraId="355DBD66"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Nine pharmacies provided this service in 2024/25, providing a total of 265 reviews (range at pharmacy level one to 63). Eight pharmacies provided this service in the first ten months of 2025/26, providing a total of 177 reviews (range at pharmacy level two to 123).</w:t>
      </w:r>
    </w:p>
    <w:p w14:paraId="6837B09E" w14:textId="77777777" w:rsidR="00AA5968" w:rsidRPr="00AA5968" w:rsidRDefault="00AA5968" w:rsidP="00794C07">
      <w:pPr>
        <w:rPr>
          <w:rFonts w:eastAsia="Times New Roman" w:cs="Arial"/>
          <w:kern w:val="0"/>
          <w:lang w:eastAsia="en-GB"/>
          <w14:ligatures w14:val="none"/>
        </w:rPr>
      </w:pPr>
    </w:p>
    <w:p w14:paraId="3B7F90F0"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11.3.1.4 Influenza vaccination service</w:t>
      </w:r>
    </w:p>
    <w:p w14:paraId="27E8247A" w14:textId="77777777" w:rsidR="00AA5968" w:rsidRPr="00AA5968" w:rsidRDefault="00AA5968" w:rsidP="00794C07">
      <w:pPr>
        <w:rPr>
          <w:rFonts w:eastAsia="Times New Roman" w:cs="Arial"/>
          <w:kern w:val="0"/>
          <w:lang w:eastAsia="en-GB"/>
          <w14:ligatures w14:val="none"/>
        </w:rPr>
      </w:pPr>
    </w:p>
    <w:p w14:paraId="0FCC1545"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All nine pharmacies have signed up to provide this service.</w:t>
      </w:r>
    </w:p>
    <w:p w14:paraId="2358AD58" w14:textId="77777777" w:rsidR="00AA5968" w:rsidRPr="00AA5968" w:rsidRDefault="00AA5968" w:rsidP="00794C07">
      <w:pPr>
        <w:rPr>
          <w:rFonts w:eastAsia="Times New Roman" w:cs="Arial"/>
          <w:kern w:val="0"/>
          <w:lang w:eastAsia="en-GB"/>
          <w14:ligatures w14:val="none"/>
        </w:rPr>
      </w:pPr>
    </w:p>
    <w:p w14:paraId="1BFEC211"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 xml:space="preserve">All pharmacies provided this service in 2024/25, providing a total of 2,338 vaccinations (range at pharmacy level 25 to 922). All pharmacies provided this service in 2025/26, providing a total of 1,054 vaccinations (range at pharmacy level 13 to 301). </w:t>
      </w:r>
    </w:p>
    <w:p w14:paraId="1767C964" w14:textId="77777777" w:rsidR="00AA5968" w:rsidRPr="00AA5968" w:rsidRDefault="00AA5968" w:rsidP="00794C07">
      <w:pPr>
        <w:rPr>
          <w:rFonts w:eastAsia="Times New Roman" w:cs="Arial"/>
          <w:kern w:val="0"/>
          <w:lang w:eastAsia="en-GB"/>
          <w14:ligatures w14:val="none"/>
        </w:rPr>
      </w:pPr>
    </w:p>
    <w:p w14:paraId="03A5B22F"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11.3.1.5 Lateral flow test supply service</w:t>
      </w:r>
    </w:p>
    <w:p w14:paraId="06B1790A" w14:textId="77777777" w:rsidR="00AA5968" w:rsidRPr="00AA5968" w:rsidRDefault="00AA5968" w:rsidP="00794C07">
      <w:pPr>
        <w:rPr>
          <w:rFonts w:eastAsia="Times New Roman" w:cs="Arial"/>
          <w:kern w:val="0"/>
          <w:lang w:eastAsia="en-GB"/>
          <w14:ligatures w14:val="none"/>
        </w:rPr>
      </w:pPr>
    </w:p>
    <w:p w14:paraId="617D1E71"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Eight of the pharmacies have signed up to provide this service.</w:t>
      </w:r>
    </w:p>
    <w:p w14:paraId="1805BC88" w14:textId="77777777" w:rsidR="00AA5968" w:rsidRPr="00AA5968" w:rsidRDefault="00AA5968" w:rsidP="00794C07">
      <w:pPr>
        <w:rPr>
          <w:rFonts w:eastAsia="Times New Roman" w:cs="Arial"/>
          <w:kern w:val="0"/>
          <w:lang w:eastAsia="en-GB"/>
          <w14:ligatures w14:val="none"/>
        </w:rPr>
      </w:pPr>
    </w:p>
    <w:p w14:paraId="2F1E5AF7"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Eight pharmacies provided this service in 2024/25, supplying 55 kits (range at pharmacy level one to 17). Four pharmacies provided this service in the first seven months of 2025/26, providing 13 kits (range at pharmacy level one to nine).</w:t>
      </w:r>
    </w:p>
    <w:p w14:paraId="3A9479FE"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 xml:space="preserve"> </w:t>
      </w:r>
    </w:p>
    <w:p w14:paraId="6D18CAF4"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11.3.1.6 Pharmacist independent prescribing service</w:t>
      </w:r>
    </w:p>
    <w:p w14:paraId="6B2EEFFE" w14:textId="77777777" w:rsidR="00AA5968" w:rsidRPr="00AA5968" w:rsidRDefault="00AA5968" w:rsidP="00794C07">
      <w:pPr>
        <w:rPr>
          <w:rFonts w:eastAsia="Times New Roman" w:cs="Arial"/>
          <w:kern w:val="0"/>
          <w:lang w:eastAsia="en-GB"/>
          <w14:ligatures w14:val="none"/>
        </w:rPr>
      </w:pPr>
    </w:p>
    <w:p w14:paraId="02B9DF22"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 xml:space="preserve">Five of the pharmacies have signed up to provide this service. </w:t>
      </w:r>
    </w:p>
    <w:p w14:paraId="2FB1D892" w14:textId="77777777" w:rsidR="00AA5968" w:rsidRPr="00AA5968" w:rsidRDefault="00AA5968" w:rsidP="00794C07">
      <w:pPr>
        <w:rPr>
          <w:rFonts w:eastAsia="Times New Roman" w:cs="Arial"/>
          <w:kern w:val="0"/>
          <w:lang w:eastAsia="en-GB"/>
          <w14:ligatures w14:val="none"/>
        </w:rPr>
      </w:pPr>
    </w:p>
    <w:p w14:paraId="54CE1BE0"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 xml:space="preserve">Four pharmacies provided this service in 2024/25, providing a total of 5,376 consultations (pharmacy range 113 to 2,622). Five pharmacies provided this service in the first six months of 2025/26, providing a total of 1,896 consultations, (range at pharmacy level four to 607). </w:t>
      </w:r>
    </w:p>
    <w:p w14:paraId="0210521F" w14:textId="77777777" w:rsidR="00AA5968" w:rsidRDefault="00AA5968" w:rsidP="00794C07">
      <w:pPr>
        <w:rPr>
          <w:rFonts w:eastAsia="Times New Roman" w:cs="Arial"/>
          <w:kern w:val="0"/>
          <w:lang w:eastAsia="en-GB"/>
          <w14:ligatures w14:val="none"/>
        </w:rPr>
      </w:pPr>
    </w:p>
    <w:p w14:paraId="2566EC66" w14:textId="77777777" w:rsidR="001C494D" w:rsidRPr="00AA5968" w:rsidRDefault="001C494D" w:rsidP="00794C07">
      <w:pPr>
        <w:rPr>
          <w:rFonts w:eastAsia="Times New Roman" w:cs="Arial"/>
          <w:kern w:val="0"/>
          <w:lang w:eastAsia="en-GB"/>
          <w14:ligatures w14:val="none"/>
        </w:rPr>
      </w:pPr>
    </w:p>
    <w:p w14:paraId="472B1866"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lastRenderedPageBreak/>
        <w:t>11.3.1.7 Stoma customisation service</w:t>
      </w:r>
    </w:p>
    <w:p w14:paraId="5B53D02E" w14:textId="77777777" w:rsidR="00AA5968" w:rsidRPr="00AA5968" w:rsidRDefault="00AA5968" w:rsidP="00794C07">
      <w:pPr>
        <w:rPr>
          <w:rFonts w:eastAsia="Times New Roman" w:cs="Arial"/>
          <w:kern w:val="0"/>
          <w:lang w:eastAsia="en-GB"/>
          <w14:ligatures w14:val="none"/>
        </w:rPr>
      </w:pPr>
    </w:p>
    <w:p w14:paraId="39665E5C"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 xml:space="preserve">None of the pharmacies provide this service. </w:t>
      </w:r>
    </w:p>
    <w:p w14:paraId="273ECD9C" w14:textId="77777777" w:rsidR="00AA5968" w:rsidRPr="00AA5968" w:rsidRDefault="00AA5968" w:rsidP="00794C07">
      <w:pPr>
        <w:rPr>
          <w:rFonts w:eastAsia="Times New Roman" w:cs="Arial"/>
          <w:kern w:val="0"/>
          <w:lang w:eastAsia="en-GB"/>
          <w14:ligatures w14:val="none"/>
        </w:rPr>
      </w:pPr>
    </w:p>
    <w:p w14:paraId="2F629983"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11.3.2 Additional clinical services</w:t>
      </w:r>
    </w:p>
    <w:p w14:paraId="74A80723" w14:textId="77777777" w:rsidR="00AA5968" w:rsidRPr="00AA5968" w:rsidRDefault="00AA5968" w:rsidP="00794C07">
      <w:pPr>
        <w:rPr>
          <w:rFonts w:eastAsia="Times New Roman" w:cs="Arial"/>
          <w:kern w:val="0"/>
          <w:lang w:eastAsia="en-GB"/>
          <w14:ligatures w14:val="none"/>
        </w:rPr>
      </w:pPr>
    </w:p>
    <w:p w14:paraId="6D26ADAB"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11.3.2.1 Blood borne virus screening service</w:t>
      </w:r>
    </w:p>
    <w:p w14:paraId="7FE15EF2" w14:textId="77777777" w:rsidR="00AA5968" w:rsidRPr="00AA5968" w:rsidRDefault="00AA5968" w:rsidP="00794C07">
      <w:pPr>
        <w:rPr>
          <w:rFonts w:eastAsia="Times New Roman" w:cs="Arial"/>
          <w:kern w:val="0"/>
          <w:lang w:eastAsia="en-GB"/>
          <w14:ligatures w14:val="none"/>
        </w:rPr>
      </w:pPr>
    </w:p>
    <w:p w14:paraId="0404646D"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 xml:space="preserve">One of the pharmacies has signed up to provide this service. </w:t>
      </w:r>
    </w:p>
    <w:p w14:paraId="378D5C7A" w14:textId="77777777" w:rsidR="00AA5968" w:rsidRPr="00AA5968" w:rsidRDefault="00AA5968" w:rsidP="00794C07">
      <w:pPr>
        <w:rPr>
          <w:rFonts w:eastAsia="Times New Roman" w:cs="Arial"/>
          <w:kern w:val="0"/>
          <w:lang w:eastAsia="en-GB"/>
          <w14:ligatures w14:val="none"/>
        </w:rPr>
      </w:pPr>
    </w:p>
    <w:p w14:paraId="4521749C"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11.3.2.2 Care home support service - Level 1 medicines management support visits</w:t>
      </w:r>
    </w:p>
    <w:p w14:paraId="2F8358AB" w14:textId="77777777" w:rsidR="00AA5968" w:rsidRPr="00AA5968" w:rsidRDefault="00AA5968" w:rsidP="00794C07">
      <w:pPr>
        <w:rPr>
          <w:rFonts w:eastAsia="Times New Roman" w:cs="Arial"/>
          <w:kern w:val="0"/>
          <w:lang w:eastAsia="en-GB"/>
          <w14:ligatures w14:val="none"/>
        </w:rPr>
      </w:pPr>
    </w:p>
    <w:p w14:paraId="5CED6359"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 xml:space="preserve">Three of the pharmacies have signed up to provide this service. </w:t>
      </w:r>
    </w:p>
    <w:p w14:paraId="1A093543" w14:textId="77777777" w:rsidR="00AA5968" w:rsidRPr="00AA5968" w:rsidRDefault="00AA5968" w:rsidP="00794C07">
      <w:pPr>
        <w:rPr>
          <w:rFonts w:eastAsia="Times New Roman" w:cs="Arial"/>
          <w:kern w:val="0"/>
          <w:lang w:eastAsia="en-GB"/>
          <w14:ligatures w14:val="none"/>
        </w:rPr>
      </w:pPr>
    </w:p>
    <w:p w14:paraId="6E4CFC57"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 xml:space="preserve">Two pharmacies provided the service in 2024/25, providing a total of 11 visits (range at pharmacy level one to ten). Two pharmacies provided this service in the first ten months of 2025/26, providing a total of eight visits (range at pharmacy level two to six). </w:t>
      </w:r>
    </w:p>
    <w:p w14:paraId="1A798DDE" w14:textId="77777777" w:rsidR="00AA5968" w:rsidRPr="00AA5968" w:rsidRDefault="00AA5968" w:rsidP="00794C07">
      <w:pPr>
        <w:ind w:left="720"/>
        <w:contextualSpacing/>
        <w:rPr>
          <w:rFonts w:eastAsia="Times New Roman" w:cs="Arial"/>
          <w:b/>
          <w:bCs/>
          <w:kern w:val="0"/>
          <w:lang w:eastAsia="en-GB"/>
          <w14:ligatures w14:val="none"/>
        </w:rPr>
      </w:pPr>
    </w:p>
    <w:p w14:paraId="444445A8" w14:textId="77777777" w:rsidR="00AA5968" w:rsidRPr="00AA5968" w:rsidRDefault="00AA5968" w:rsidP="00794C07">
      <w:pPr>
        <w:shd w:val="clear" w:color="auto" w:fill="FFFFFF"/>
        <w:rPr>
          <w:rFonts w:eastAsia="Times New Roman" w:cs="Arial"/>
          <w:b/>
          <w:bCs/>
          <w:kern w:val="0"/>
          <w:lang w:eastAsia="en-GB"/>
          <w14:ligatures w14:val="none"/>
        </w:rPr>
      </w:pPr>
      <w:r w:rsidRPr="00AA5968">
        <w:rPr>
          <w:rFonts w:eastAsia="Times New Roman" w:cs="Arial"/>
          <w:b/>
          <w:bCs/>
          <w:kern w:val="0"/>
          <w:lang w:eastAsia="en-GB"/>
          <w14:ligatures w14:val="none"/>
        </w:rPr>
        <w:t xml:space="preserve">11.3.2.3 Access to inhaler review service </w:t>
      </w:r>
    </w:p>
    <w:p w14:paraId="0A3106DD" w14:textId="77777777" w:rsidR="00AA5968" w:rsidRPr="00AA5968" w:rsidRDefault="00AA5968" w:rsidP="00794C07">
      <w:pPr>
        <w:shd w:val="clear" w:color="auto" w:fill="FFFFFF"/>
        <w:rPr>
          <w:rFonts w:eastAsia="Times New Roman" w:cs="Arial"/>
          <w:b/>
          <w:bCs/>
          <w:kern w:val="0"/>
          <w:lang w:eastAsia="en-GB"/>
          <w14:ligatures w14:val="none"/>
        </w:rPr>
      </w:pPr>
    </w:p>
    <w:p w14:paraId="15E1150B" w14:textId="77777777" w:rsidR="00AA5968" w:rsidRPr="00AA5968" w:rsidRDefault="00AA5968" w:rsidP="00794C07">
      <w:pPr>
        <w:shd w:val="clear" w:color="auto" w:fill="FFFFFF"/>
        <w:rPr>
          <w:rFonts w:eastAsia="Times New Roman" w:cs="Arial"/>
          <w:kern w:val="0"/>
          <w:lang w:eastAsia="en-GB"/>
          <w14:ligatures w14:val="none"/>
        </w:rPr>
      </w:pPr>
      <w:r w:rsidRPr="00AA5968">
        <w:rPr>
          <w:rFonts w:eastAsia="Times New Roman" w:cs="Arial"/>
          <w:kern w:val="0"/>
          <w:lang w:eastAsia="en-GB"/>
          <w14:ligatures w14:val="none"/>
        </w:rPr>
        <w:t>Six of the pharmacies have signed up to provide this service.</w:t>
      </w:r>
    </w:p>
    <w:p w14:paraId="76F108C8" w14:textId="77777777" w:rsidR="00AA5968" w:rsidRPr="00AA5968" w:rsidRDefault="00AA5968" w:rsidP="00794C07">
      <w:pPr>
        <w:shd w:val="clear" w:color="auto" w:fill="FFFFFF"/>
        <w:rPr>
          <w:rFonts w:eastAsia="Times New Roman" w:cs="Arial"/>
          <w:kern w:val="0"/>
          <w:lang w:eastAsia="en-GB"/>
          <w14:ligatures w14:val="none"/>
        </w:rPr>
      </w:pPr>
    </w:p>
    <w:p w14:paraId="17EACCEE" w14:textId="77777777" w:rsidR="00AA5968" w:rsidRPr="00AA5968" w:rsidRDefault="00AA5968" w:rsidP="00794C07">
      <w:pPr>
        <w:shd w:val="clear" w:color="auto" w:fill="FFFFFF"/>
        <w:rPr>
          <w:rFonts w:eastAsia="Times New Roman" w:cs="Arial"/>
          <w:kern w:val="0"/>
          <w:lang w:eastAsia="en-GB"/>
          <w14:ligatures w14:val="none"/>
        </w:rPr>
      </w:pPr>
      <w:r w:rsidRPr="00AA5968">
        <w:rPr>
          <w:rFonts w:eastAsia="Times New Roman" w:cs="Arial"/>
          <w:kern w:val="0"/>
          <w:lang w:eastAsia="en-GB"/>
          <w14:ligatures w14:val="none"/>
        </w:rPr>
        <w:t>Six pharmacies provided this service in 2024/25, providing a total of 151 reviews (range at pharmacy level one to 98). Four pharmacies provided this service between April 2025 and February 2026, providing a total of 73 reviews (range at pharmacy level three to 53).</w:t>
      </w:r>
    </w:p>
    <w:p w14:paraId="25C48C12" w14:textId="77777777" w:rsidR="00AA5968" w:rsidRPr="00AA5968" w:rsidRDefault="00AA5968" w:rsidP="00794C07">
      <w:pPr>
        <w:rPr>
          <w:rFonts w:eastAsia="Times New Roman" w:cs="Arial"/>
          <w:kern w:val="0"/>
          <w:lang w:eastAsia="en-GB"/>
          <w14:ligatures w14:val="none"/>
        </w:rPr>
      </w:pPr>
    </w:p>
    <w:p w14:paraId="003E5E91"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11.3.2.4 Just in case service (palliative care packs)</w:t>
      </w:r>
    </w:p>
    <w:p w14:paraId="73BE93D9" w14:textId="77777777" w:rsidR="00AA5968" w:rsidRPr="00AA5968" w:rsidRDefault="00AA5968" w:rsidP="00794C07">
      <w:pPr>
        <w:rPr>
          <w:rFonts w:eastAsia="Times New Roman" w:cs="Arial"/>
          <w:kern w:val="0"/>
          <w:lang w:eastAsia="en-GB"/>
          <w14:ligatures w14:val="none"/>
        </w:rPr>
      </w:pPr>
    </w:p>
    <w:p w14:paraId="713AEE5B"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Eight of the pharmacies have signed up to provide this service.</w:t>
      </w:r>
    </w:p>
    <w:p w14:paraId="7CD71151" w14:textId="77777777" w:rsidR="00AA5968" w:rsidRPr="00AA5968" w:rsidRDefault="00AA5968" w:rsidP="00794C07">
      <w:pPr>
        <w:ind w:left="720"/>
        <w:contextualSpacing/>
        <w:rPr>
          <w:rFonts w:eastAsia="Times New Roman" w:cs="Arial"/>
          <w:kern w:val="0"/>
          <w:lang w:eastAsia="en-GB"/>
          <w14:ligatures w14:val="none"/>
        </w:rPr>
      </w:pPr>
    </w:p>
    <w:p w14:paraId="61C03ECB"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 xml:space="preserve">One pharmacy provided this service in 2024/25, supplying a total of two packs. One pharmacy provided this service in the first ten months of 2025/26, supplying a total of four packs. </w:t>
      </w:r>
    </w:p>
    <w:p w14:paraId="2735E104" w14:textId="77777777" w:rsidR="00AA5968" w:rsidRPr="00AA5968" w:rsidRDefault="00AA5968" w:rsidP="00794C07">
      <w:pPr>
        <w:ind w:left="720"/>
        <w:contextualSpacing/>
        <w:rPr>
          <w:rFonts w:eastAsia="Times New Roman" w:cs="Arial"/>
          <w:kern w:val="0"/>
          <w:lang w:eastAsia="en-GB"/>
          <w14:ligatures w14:val="none"/>
        </w:rPr>
      </w:pPr>
    </w:p>
    <w:p w14:paraId="5906262D"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 xml:space="preserve">11.3.2.5 Medicines administration record service </w:t>
      </w:r>
    </w:p>
    <w:p w14:paraId="5BF37060" w14:textId="77777777" w:rsidR="00AA5968" w:rsidRPr="00AA5968" w:rsidRDefault="00AA5968" w:rsidP="00794C07">
      <w:pPr>
        <w:rPr>
          <w:rFonts w:eastAsia="Times New Roman" w:cs="Arial"/>
          <w:kern w:val="0"/>
          <w:lang w:eastAsia="en-GB"/>
          <w14:ligatures w14:val="none"/>
        </w:rPr>
      </w:pPr>
    </w:p>
    <w:p w14:paraId="252AFF86"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All nine pharmacies have signed up to provide this service.</w:t>
      </w:r>
    </w:p>
    <w:p w14:paraId="7D9979B0" w14:textId="77777777" w:rsidR="00AA5968" w:rsidRPr="00AA5968" w:rsidRDefault="00AA5968" w:rsidP="00794C07">
      <w:pPr>
        <w:ind w:left="720"/>
        <w:contextualSpacing/>
        <w:rPr>
          <w:rFonts w:eastAsia="Times New Roman" w:cs="Arial"/>
          <w:kern w:val="0"/>
          <w:lang w:eastAsia="en-GB"/>
          <w14:ligatures w14:val="none"/>
        </w:rPr>
      </w:pPr>
    </w:p>
    <w:p w14:paraId="03DE561E" w14:textId="77777777" w:rsidR="00AA5968" w:rsidRPr="00AA5968" w:rsidRDefault="00AA5968" w:rsidP="00794C07">
      <w:pPr>
        <w:contextualSpacing/>
        <w:rPr>
          <w:rFonts w:eastAsia="Times New Roman" w:cs="Arial"/>
          <w:kern w:val="0"/>
          <w:lang w:eastAsia="en-GB"/>
          <w14:ligatures w14:val="none"/>
        </w:rPr>
      </w:pPr>
      <w:r w:rsidRPr="00AA5968">
        <w:rPr>
          <w:rFonts w:eastAsia="Times New Roman" w:cs="Arial"/>
          <w:kern w:val="0"/>
          <w:lang w:eastAsia="en-GB"/>
          <w14:ligatures w14:val="none"/>
        </w:rPr>
        <w:t>Eight pharmacies provided the service in 2024/25, providing charts to 210 patients (range at pharmacy level three to 69). All pharmacies provided the service in the first ten months of 2025/26, providing charts to 917 patients (range at pharmacy level eight to 392).</w:t>
      </w:r>
    </w:p>
    <w:p w14:paraId="039A7613" w14:textId="77777777" w:rsidR="00AA5968" w:rsidRPr="00AA5968" w:rsidRDefault="00AA5968" w:rsidP="00794C07">
      <w:pPr>
        <w:ind w:left="720"/>
        <w:contextualSpacing/>
        <w:rPr>
          <w:rFonts w:eastAsia="Times New Roman" w:cs="Arial"/>
          <w:kern w:val="0"/>
          <w:lang w:eastAsia="en-GB"/>
          <w14:ligatures w14:val="none"/>
        </w:rPr>
      </w:pPr>
    </w:p>
    <w:p w14:paraId="57B05AB8"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11.3.2.6 Needle and syringe programmes</w:t>
      </w:r>
    </w:p>
    <w:p w14:paraId="239517F1" w14:textId="77777777" w:rsidR="00AA5968" w:rsidRPr="00AA5968" w:rsidRDefault="00AA5968" w:rsidP="00794C07">
      <w:pPr>
        <w:rPr>
          <w:rFonts w:eastAsia="Times New Roman" w:cs="Arial"/>
          <w:kern w:val="0"/>
          <w:lang w:eastAsia="en-GB"/>
          <w14:ligatures w14:val="none"/>
        </w:rPr>
      </w:pPr>
    </w:p>
    <w:p w14:paraId="29C43CE3"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Four of the pharmacies have signed up to provide this service.</w:t>
      </w:r>
    </w:p>
    <w:p w14:paraId="68609D1D" w14:textId="77777777" w:rsidR="00AA5968" w:rsidRPr="00AA5968" w:rsidRDefault="00AA5968" w:rsidP="00794C07">
      <w:pPr>
        <w:rPr>
          <w:rFonts w:eastAsia="Times New Roman" w:cs="Arial"/>
          <w:kern w:val="0"/>
          <w:lang w:eastAsia="en-GB"/>
          <w14:ligatures w14:val="none"/>
        </w:rPr>
      </w:pPr>
    </w:p>
    <w:p w14:paraId="5D785AC5"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lastRenderedPageBreak/>
        <w:t xml:space="preserve">Three pharmacies provided the service in 2024/25, providing a total of 195 provisions (range at pharmacy level 33 to 89) and in the first ten months of 2025/26 providing a total of 216 provisions (range at pharmacy level 14 to 116). </w:t>
      </w:r>
    </w:p>
    <w:p w14:paraId="6D3F0D5B" w14:textId="77777777" w:rsidR="00AA5968" w:rsidRPr="00AA5968" w:rsidRDefault="00AA5968" w:rsidP="00794C07">
      <w:pPr>
        <w:rPr>
          <w:rFonts w:eastAsia="Times New Roman" w:cs="Arial"/>
          <w:kern w:val="0"/>
          <w:lang w:eastAsia="en-GB"/>
          <w14:ligatures w14:val="none"/>
        </w:rPr>
      </w:pPr>
    </w:p>
    <w:p w14:paraId="26F05B70"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11.3.2.7 Help me quit @ pharmacy (level 2 smoking cessation) service</w:t>
      </w:r>
    </w:p>
    <w:p w14:paraId="6DF0A96F" w14:textId="77777777" w:rsidR="00AA5968" w:rsidRPr="00AA5968" w:rsidRDefault="00AA5968" w:rsidP="00794C07">
      <w:pPr>
        <w:rPr>
          <w:rFonts w:eastAsia="Times New Roman" w:cs="Arial"/>
          <w:kern w:val="0"/>
          <w:lang w:eastAsia="en-GB"/>
          <w14:ligatures w14:val="none"/>
        </w:rPr>
      </w:pPr>
    </w:p>
    <w:p w14:paraId="44A0E7AF"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All nine pharmacies have signed up to provide this service.</w:t>
      </w:r>
    </w:p>
    <w:p w14:paraId="6BE4EED3" w14:textId="77777777" w:rsidR="00AA5968" w:rsidRPr="00AA5968" w:rsidRDefault="00AA5968" w:rsidP="00794C07">
      <w:pPr>
        <w:rPr>
          <w:rFonts w:eastAsia="Times New Roman" w:cs="Arial"/>
          <w:kern w:val="0"/>
          <w:lang w:eastAsia="en-GB"/>
          <w14:ligatures w14:val="none"/>
        </w:rPr>
      </w:pPr>
    </w:p>
    <w:p w14:paraId="48AB1514"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All pharmacies provided the service in 2024/25, supporting 241 people (range at pharmacy level five to 65). Eight pharmacies provided this service in the first ten months of 2025/26, supporting 169 people (range at pharmacy level nine to 40).</w:t>
      </w:r>
    </w:p>
    <w:p w14:paraId="665486FE" w14:textId="77777777" w:rsidR="00AA5968" w:rsidRPr="00AA5968" w:rsidRDefault="00AA5968" w:rsidP="00794C07">
      <w:pPr>
        <w:rPr>
          <w:rFonts w:eastAsia="Times New Roman" w:cs="Arial"/>
          <w:kern w:val="0"/>
          <w:lang w:eastAsia="en-GB"/>
          <w14:ligatures w14:val="none"/>
        </w:rPr>
      </w:pPr>
    </w:p>
    <w:p w14:paraId="53CB993C"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11.3.2.8 Help me quit @ pharmacy (level 3 smoking cessation) service</w:t>
      </w:r>
    </w:p>
    <w:p w14:paraId="44C28044" w14:textId="77777777" w:rsidR="00AA5968" w:rsidRPr="00AA5968" w:rsidRDefault="00AA5968" w:rsidP="00794C07">
      <w:pPr>
        <w:rPr>
          <w:rFonts w:eastAsia="Times New Roman" w:cs="Arial"/>
          <w:kern w:val="0"/>
          <w:lang w:eastAsia="en-GB"/>
          <w14:ligatures w14:val="none"/>
        </w:rPr>
      </w:pPr>
    </w:p>
    <w:p w14:paraId="74BF9900"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All nine pharmacies have signed up to provide this service.</w:t>
      </w:r>
    </w:p>
    <w:p w14:paraId="755D8F35" w14:textId="77777777" w:rsidR="00AA5968" w:rsidRPr="00AA5968" w:rsidRDefault="00AA5968" w:rsidP="00794C07">
      <w:pPr>
        <w:ind w:left="720"/>
        <w:contextualSpacing/>
        <w:rPr>
          <w:rFonts w:eastAsia="Times New Roman" w:cs="Arial"/>
          <w:kern w:val="0"/>
          <w:lang w:eastAsia="en-GB"/>
          <w14:ligatures w14:val="none"/>
        </w:rPr>
      </w:pPr>
    </w:p>
    <w:p w14:paraId="214BC7FC"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Seven pharmacies provided the service in 2024/25, supporting 431 people (range at pharmacy level 37 to 125). Eight pharmacies provided this service in the first ten months of 2025/26, supporting 350 people (range at pharmacy level 23 to 67).</w:t>
      </w:r>
    </w:p>
    <w:p w14:paraId="7343DF64" w14:textId="77777777" w:rsidR="00AA5968" w:rsidRPr="00AA5968" w:rsidRDefault="00AA5968" w:rsidP="00794C07">
      <w:pPr>
        <w:ind w:left="720"/>
        <w:contextualSpacing/>
        <w:rPr>
          <w:rFonts w:eastAsia="Times New Roman" w:cs="Arial"/>
          <w:kern w:val="0"/>
          <w:lang w:eastAsia="en-GB"/>
          <w14:ligatures w14:val="none"/>
        </w:rPr>
      </w:pPr>
    </w:p>
    <w:p w14:paraId="0DDDFF29"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 xml:space="preserve">11.3.2.9 Supervised administration of medicine </w:t>
      </w:r>
    </w:p>
    <w:p w14:paraId="189276E1" w14:textId="77777777" w:rsidR="00AA5968" w:rsidRPr="00AA5968" w:rsidRDefault="00AA5968" w:rsidP="00794C07">
      <w:pPr>
        <w:rPr>
          <w:rFonts w:eastAsia="Times New Roman" w:cs="Arial"/>
          <w:kern w:val="0"/>
          <w:lang w:eastAsia="en-GB"/>
          <w14:ligatures w14:val="none"/>
        </w:rPr>
      </w:pPr>
    </w:p>
    <w:p w14:paraId="45E744F1"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Seven of the pharmacies have signed up to provide this service.</w:t>
      </w:r>
    </w:p>
    <w:p w14:paraId="544CBC06" w14:textId="77777777" w:rsidR="00AA5968" w:rsidRPr="00AA5968" w:rsidRDefault="00AA5968" w:rsidP="00794C07">
      <w:pPr>
        <w:rPr>
          <w:rFonts w:eastAsia="Times New Roman" w:cs="Arial"/>
          <w:kern w:val="0"/>
          <w:lang w:eastAsia="en-GB"/>
          <w14:ligatures w14:val="none"/>
        </w:rPr>
      </w:pPr>
    </w:p>
    <w:p w14:paraId="1ED6104B" w14:textId="77777777" w:rsidR="00AA5968" w:rsidRPr="00AA5968" w:rsidRDefault="00AA5968" w:rsidP="00794C07">
      <w:pPr>
        <w:rPr>
          <w:rFonts w:eastAsia="Aptos" w:cs="Arial"/>
        </w:rPr>
      </w:pPr>
      <w:r w:rsidRPr="00AA5968">
        <w:rPr>
          <w:rFonts w:eastAsia="Aptos" w:cs="Arial"/>
        </w:rPr>
        <w:t>In 2024/25, six pharmacies provided this service to 221 clients (range at pharmacy level ten to 61), supervising a total of 1,767 doses (range at pharmacy level 203 to 527). In the first ten months of 2025/26, six pharmacies provided this service to 120 clients (range at pharmacy level two to 35), supervising a total of 820 doses (range at pharmacy level eight to 412).</w:t>
      </w:r>
    </w:p>
    <w:p w14:paraId="153BC61F" w14:textId="77777777" w:rsidR="00AA5968" w:rsidRPr="00AA5968" w:rsidRDefault="00AA5968" w:rsidP="00794C07">
      <w:pPr>
        <w:rPr>
          <w:rFonts w:eastAsia="Times New Roman" w:cs="Arial"/>
          <w:kern w:val="0"/>
          <w:lang w:eastAsia="en-GB"/>
          <w14:ligatures w14:val="none"/>
        </w:rPr>
      </w:pPr>
    </w:p>
    <w:p w14:paraId="312C4192"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 xml:space="preserve">11.3.2.10 Urgent medicines service </w:t>
      </w:r>
    </w:p>
    <w:p w14:paraId="09DC3B42" w14:textId="77777777" w:rsidR="00AA5968" w:rsidRPr="00AA5968" w:rsidRDefault="00AA5968" w:rsidP="00794C07">
      <w:pPr>
        <w:rPr>
          <w:rFonts w:eastAsia="Times New Roman" w:cs="Arial"/>
          <w:kern w:val="0"/>
          <w:lang w:eastAsia="en-GB"/>
          <w14:ligatures w14:val="none"/>
        </w:rPr>
      </w:pPr>
    </w:p>
    <w:p w14:paraId="60DA15D0"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Three of the pharmacies have signed up to provide this service.</w:t>
      </w:r>
    </w:p>
    <w:p w14:paraId="2983A74D" w14:textId="77777777" w:rsidR="00AA5968" w:rsidRPr="00AA5968" w:rsidRDefault="00AA5968" w:rsidP="00794C07">
      <w:pPr>
        <w:rPr>
          <w:rFonts w:eastAsia="Aptos" w:cs="Arial"/>
        </w:rPr>
      </w:pPr>
    </w:p>
    <w:p w14:paraId="3AB60D8A" w14:textId="77777777" w:rsidR="00AA5968" w:rsidRPr="00AA5968" w:rsidRDefault="00AA5968" w:rsidP="00794C07">
      <w:pPr>
        <w:rPr>
          <w:rFonts w:eastAsia="Aptos" w:cs="Arial"/>
          <w:b/>
          <w:bCs/>
          <w:sz w:val="26"/>
          <w:szCs w:val="26"/>
        </w:rPr>
      </w:pPr>
      <w:r w:rsidRPr="00AA5968">
        <w:rPr>
          <w:rFonts w:eastAsia="Aptos" w:cs="Arial"/>
          <w:b/>
          <w:bCs/>
          <w:sz w:val="26"/>
          <w:szCs w:val="26"/>
        </w:rPr>
        <w:t>11.4 Current provision of pharmaceutical services outside the locality</w:t>
      </w:r>
    </w:p>
    <w:p w14:paraId="7532356E" w14:textId="77777777" w:rsidR="00AA5968" w:rsidRPr="00AA5968" w:rsidRDefault="00AA5968" w:rsidP="00794C07">
      <w:pPr>
        <w:rPr>
          <w:rFonts w:eastAsia="Aptos" w:cs="Arial"/>
        </w:rPr>
      </w:pPr>
    </w:p>
    <w:p w14:paraId="2238B60C" w14:textId="77777777" w:rsidR="00AA5968" w:rsidRPr="00AA5968" w:rsidRDefault="00AA5968" w:rsidP="00794C07">
      <w:pPr>
        <w:rPr>
          <w:rFonts w:eastAsia="Aptos" w:cs="Arial"/>
        </w:rPr>
      </w:pPr>
      <w:r w:rsidRPr="00AA5968">
        <w:rPr>
          <w:rFonts w:eastAsia="Aptos" w:cs="Arial"/>
        </w:rPr>
        <w:t>Some residents may choose to access contractors outside both the locality and the health board’s area in order to access services:</w:t>
      </w:r>
    </w:p>
    <w:p w14:paraId="74ACB236" w14:textId="77777777" w:rsidR="00AA5968" w:rsidRPr="00AA5968" w:rsidRDefault="00AA5968" w:rsidP="00794C07">
      <w:pPr>
        <w:rPr>
          <w:rFonts w:eastAsia="Aptos" w:cs="Arial"/>
        </w:rPr>
      </w:pPr>
    </w:p>
    <w:p w14:paraId="203DC93D" w14:textId="77777777" w:rsidR="00AA5968" w:rsidRPr="00AA5968" w:rsidRDefault="00AA5968" w:rsidP="00B76905">
      <w:pPr>
        <w:numPr>
          <w:ilvl w:val="0"/>
          <w:numId w:val="176"/>
        </w:numPr>
        <w:contextualSpacing/>
        <w:rPr>
          <w:rFonts w:eastAsia="Aptos" w:cs="Arial"/>
        </w:rPr>
      </w:pPr>
      <w:r w:rsidRPr="00AA5968">
        <w:rPr>
          <w:rFonts w:eastAsia="Aptos" w:cs="Arial"/>
        </w:rPr>
        <w:t>Offered by dispensing appliance contractors</w:t>
      </w:r>
    </w:p>
    <w:p w14:paraId="7D5DFA4E" w14:textId="77777777" w:rsidR="00AA5968" w:rsidRPr="00AA5968" w:rsidRDefault="00AA5968" w:rsidP="00B76905">
      <w:pPr>
        <w:numPr>
          <w:ilvl w:val="0"/>
          <w:numId w:val="176"/>
        </w:numPr>
        <w:contextualSpacing/>
        <w:rPr>
          <w:rFonts w:eastAsia="Aptos" w:cs="Arial"/>
        </w:rPr>
      </w:pPr>
      <w:r w:rsidRPr="00AA5968">
        <w:rPr>
          <w:rFonts w:eastAsia="Aptos" w:cs="Arial"/>
        </w:rPr>
        <w:t>Which are located near to where they work, shop or visit for leisure or other purposes</w:t>
      </w:r>
    </w:p>
    <w:p w14:paraId="195877AD" w14:textId="77777777" w:rsidR="00AA5968" w:rsidRPr="00AA5968" w:rsidRDefault="00AA5968" w:rsidP="00794C07">
      <w:pPr>
        <w:shd w:val="clear" w:color="auto" w:fill="FFFFFF"/>
        <w:rPr>
          <w:rFonts w:eastAsia="Times New Roman" w:cs="Arial"/>
          <w:kern w:val="0"/>
          <w:lang w:eastAsia="en-GB"/>
          <w14:ligatures w14:val="none"/>
        </w:rPr>
      </w:pPr>
    </w:p>
    <w:p w14:paraId="71F3ECB4" w14:textId="77777777" w:rsidR="00AA5968" w:rsidRPr="00AA5968" w:rsidRDefault="00AA5968" w:rsidP="00794C07">
      <w:pPr>
        <w:shd w:val="clear" w:color="auto" w:fill="FFFFFF"/>
        <w:rPr>
          <w:rFonts w:eastAsia="Times New Roman" w:cs="Arial"/>
          <w:kern w:val="0"/>
          <w:lang w:eastAsia="en-GB"/>
          <w14:ligatures w14:val="none"/>
        </w:rPr>
      </w:pPr>
      <w:r w:rsidRPr="00AA5968">
        <w:rPr>
          <w:rFonts w:eastAsia="Times New Roman" w:cs="Arial"/>
          <w:kern w:val="0"/>
          <w:lang w:eastAsia="en-GB"/>
          <w14:ligatures w14:val="none"/>
        </w:rPr>
        <w:t>Whilst the majority of prescriptions written by the GP practices in 2024/25 were dispensed by the pharmacies in the locality (95.1%), 3.4% were dispensed outside the locality.</w:t>
      </w:r>
    </w:p>
    <w:p w14:paraId="35CCB2D2" w14:textId="77777777" w:rsidR="00AA5968" w:rsidRPr="00AA5968" w:rsidRDefault="00AA5968" w:rsidP="00794C07">
      <w:pPr>
        <w:shd w:val="clear" w:color="auto" w:fill="FFFFFF"/>
        <w:rPr>
          <w:rFonts w:eastAsia="Times New Roman" w:cs="Arial"/>
          <w:kern w:val="0"/>
          <w:lang w:eastAsia="en-GB"/>
          <w14:ligatures w14:val="none"/>
        </w:rPr>
      </w:pPr>
    </w:p>
    <w:p w14:paraId="08F4FED4" w14:textId="77777777" w:rsidR="00AA5968" w:rsidRPr="00AA5968" w:rsidRDefault="00AA5968" w:rsidP="00B76905">
      <w:pPr>
        <w:numPr>
          <w:ilvl w:val="0"/>
          <w:numId w:val="152"/>
        </w:numPr>
        <w:textAlignment w:val="baseline"/>
        <w:rPr>
          <w:rFonts w:eastAsia="Times New Roman" w:cs="Arial"/>
          <w:kern w:val="0"/>
          <w:lang w:eastAsia="en-GB"/>
          <w14:ligatures w14:val="none"/>
        </w:rPr>
      </w:pPr>
      <w:r w:rsidRPr="00AA5968">
        <w:rPr>
          <w:rFonts w:eastAsia="Times New Roman" w:cs="Arial"/>
          <w:kern w:val="0"/>
          <w:lang w:eastAsia="en-GB"/>
          <w14:ligatures w14:val="none"/>
        </w:rPr>
        <w:t>1.2% by pharmacies in Hywel Dda University Health Board</w:t>
      </w:r>
    </w:p>
    <w:p w14:paraId="39E0CB01" w14:textId="77777777" w:rsidR="00AA5968" w:rsidRPr="00AA5968" w:rsidRDefault="00AA5968" w:rsidP="00B76905">
      <w:pPr>
        <w:numPr>
          <w:ilvl w:val="0"/>
          <w:numId w:val="152"/>
        </w:numPr>
        <w:textAlignment w:val="baseline"/>
        <w:rPr>
          <w:rFonts w:eastAsia="Times New Roman" w:cs="Arial"/>
          <w:kern w:val="0"/>
          <w:lang w:eastAsia="en-GB"/>
          <w14:ligatures w14:val="none"/>
        </w:rPr>
      </w:pPr>
      <w:r w:rsidRPr="00AA5968">
        <w:rPr>
          <w:rFonts w:eastAsia="Times New Roman" w:cs="Arial"/>
          <w:kern w:val="0"/>
          <w:lang w:eastAsia="en-GB"/>
          <w14:ligatures w14:val="none"/>
        </w:rPr>
        <w:t xml:space="preserve">0.8% by pharmacies in Bay Health locality </w:t>
      </w:r>
    </w:p>
    <w:p w14:paraId="7FD8C3D8" w14:textId="77777777" w:rsidR="00AA5968" w:rsidRPr="00AA5968" w:rsidRDefault="00AA5968" w:rsidP="00B76905">
      <w:pPr>
        <w:numPr>
          <w:ilvl w:val="0"/>
          <w:numId w:val="152"/>
        </w:numPr>
        <w:textAlignment w:val="baseline"/>
        <w:rPr>
          <w:rFonts w:eastAsia="Times New Roman" w:cs="Arial"/>
          <w:kern w:val="0"/>
          <w:lang w:eastAsia="en-GB"/>
          <w14:ligatures w14:val="none"/>
        </w:rPr>
      </w:pPr>
      <w:r w:rsidRPr="00AA5968">
        <w:rPr>
          <w:rFonts w:eastAsia="Times New Roman" w:cs="Arial"/>
          <w:kern w:val="0"/>
          <w:lang w:eastAsia="en-GB"/>
          <w14:ligatures w14:val="none"/>
        </w:rPr>
        <w:t xml:space="preserve">0.7% by pharmacies in Penderi locality </w:t>
      </w:r>
    </w:p>
    <w:p w14:paraId="39DE378C" w14:textId="77777777" w:rsidR="00AA5968" w:rsidRPr="00AA5968" w:rsidRDefault="00AA5968" w:rsidP="00B76905">
      <w:pPr>
        <w:numPr>
          <w:ilvl w:val="0"/>
          <w:numId w:val="152"/>
        </w:numPr>
        <w:textAlignment w:val="baseline"/>
        <w:rPr>
          <w:rFonts w:eastAsia="Times New Roman" w:cs="Arial"/>
          <w:kern w:val="0"/>
          <w:lang w:eastAsia="en-GB"/>
          <w14:ligatures w14:val="none"/>
        </w:rPr>
      </w:pPr>
      <w:r w:rsidRPr="00AA5968">
        <w:rPr>
          <w:rFonts w:eastAsia="Times New Roman" w:cs="Arial"/>
          <w:kern w:val="0"/>
          <w:lang w:eastAsia="en-GB"/>
          <w14:ligatures w14:val="none"/>
        </w:rPr>
        <w:lastRenderedPageBreak/>
        <w:t xml:space="preserve">0.4% by pharmacies in England </w:t>
      </w:r>
    </w:p>
    <w:p w14:paraId="1D05B5ED" w14:textId="77777777" w:rsidR="00AA5968" w:rsidRPr="00AA5968" w:rsidRDefault="00AA5968" w:rsidP="00B76905">
      <w:pPr>
        <w:numPr>
          <w:ilvl w:val="0"/>
          <w:numId w:val="152"/>
        </w:numPr>
        <w:textAlignment w:val="baseline"/>
        <w:rPr>
          <w:rFonts w:eastAsia="Times New Roman" w:cs="Arial"/>
          <w:kern w:val="0"/>
          <w:lang w:eastAsia="en-GB"/>
          <w14:ligatures w14:val="none"/>
        </w:rPr>
      </w:pPr>
      <w:r w:rsidRPr="00AA5968">
        <w:rPr>
          <w:rFonts w:eastAsia="Times New Roman" w:cs="Arial"/>
          <w:kern w:val="0"/>
          <w:lang w:eastAsia="en-GB"/>
          <w14:ligatures w14:val="none"/>
        </w:rPr>
        <w:t>0.3% by pharmacies in City Health locality</w:t>
      </w:r>
    </w:p>
    <w:p w14:paraId="7F21042F" w14:textId="77777777" w:rsidR="00AA5968" w:rsidRPr="00AA5968" w:rsidRDefault="00AA5968" w:rsidP="00794C07">
      <w:pPr>
        <w:shd w:val="clear" w:color="auto" w:fill="FFFFFF"/>
        <w:rPr>
          <w:rFonts w:eastAsia="Times New Roman" w:cs="Arial"/>
          <w:kern w:val="0"/>
          <w:lang w:eastAsia="en-GB"/>
          <w14:ligatures w14:val="none"/>
        </w:rPr>
      </w:pPr>
    </w:p>
    <w:p w14:paraId="30AA7D08" w14:textId="77777777" w:rsidR="00AA5968" w:rsidRPr="00AA5968" w:rsidRDefault="00AA5968" w:rsidP="00794C07">
      <w:pPr>
        <w:shd w:val="clear" w:color="auto" w:fill="FFFFFF"/>
        <w:rPr>
          <w:rFonts w:eastAsia="Times New Roman" w:cs="Arial"/>
          <w:kern w:val="0"/>
          <w:lang w:eastAsia="en-GB"/>
          <w14:ligatures w14:val="none"/>
        </w:rPr>
      </w:pPr>
      <w:r w:rsidRPr="00AA5968">
        <w:rPr>
          <w:rFonts w:eastAsia="Times New Roman" w:cs="Arial"/>
          <w:kern w:val="0"/>
          <w:lang w:eastAsia="en-GB"/>
          <w14:ligatures w14:val="none"/>
        </w:rPr>
        <w:t>In the first nine months of 2025/26 the majority of prescriptions written by the GP practices were dispensed by the pharmacies in the locality (95.4%), with 3.9% dispensed outside the locality.</w:t>
      </w:r>
    </w:p>
    <w:p w14:paraId="178B5C6C" w14:textId="77777777" w:rsidR="00AA5968" w:rsidRPr="00AA5968" w:rsidRDefault="00AA5968" w:rsidP="00794C07">
      <w:pPr>
        <w:shd w:val="clear" w:color="auto" w:fill="FFFFFF"/>
        <w:rPr>
          <w:rFonts w:eastAsia="Times New Roman" w:cs="Arial"/>
          <w:kern w:val="0"/>
          <w:lang w:eastAsia="en-GB"/>
          <w14:ligatures w14:val="none"/>
        </w:rPr>
      </w:pPr>
    </w:p>
    <w:p w14:paraId="58655DC5" w14:textId="77777777" w:rsidR="00AA5968" w:rsidRPr="00AA5968" w:rsidRDefault="00AA5968" w:rsidP="00B76905">
      <w:pPr>
        <w:numPr>
          <w:ilvl w:val="0"/>
          <w:numId w:val="152"/>
        </w:numPr>
        <w:textAlignment w:val="baseline"/>
        <w:rPr>
          <w:rFonts w:eastAsia="Times New Roman" w:cs="Arial"/>
          <w:kern w:val="0"/>
          <w:lang w:eastAsia="en-GB"/>
          <w14:ligatures w14:val="none"/>
        </w:rPr>
      </w:pPr>
      <w:r w:rsidRPr="00AA5968">
        <w:rPr>
          <w:rFonts w:eastAsia="Times New Roman" w:cs="Arial"/>
          <w:kern w:val="0"/>
          <w:lang w:eastAsia="en-GB"/>
          <w14:ligatures w14:val="none"/>
        </w:rPr>
        <w:t>1.4% by pharmacies in Hywel Dda University Health Board</w:t>
      </w:r>
    </w:p>
    <w:p w14:paraId="43CB33CB" w14:textId="77777777" w:rsidR="00AA5968" w:rsidRPr="00AA5968" w:rsidRDefault="00AA5968" w:rsidP="00B76905">
      <w:pPr>
        <w:numPr>
          <w:ilvl w:val="0"/>
          <w:numId w:val="152"/>
        </w:numPr>
        <w:textAlignment w:val="baseline"/>
        <w:rPr>
          <w:rFonts w:eastAsia="Times New Roman" w:cs="Arial"/>
          <w:kern w:val="0"/>
          <w:lang w:eastAsia="en-GB"/>
          <w14:ligatures w14:val="none"/>
        </w:rPr>
      </w:pPr>
      <w:r w:rsidRPr="00AA5968">
        <w:rPr>
          <w:rFonts w:eastAsia="Times New Roman" w:cs="Arial"/>
          <w:kern w:val="0"/>
          <w:lang w:eastAsia="en-GB"/>
          <w14:ligatures w14:val="none"/>
        </w:rPr>
        <w:t xml:space="preserve">0.9% by pharmacies in Bay Health locality </w:t>
      </w:r>
    </w:p>
    <w:p w14:paraId="658EDBCB" w14:textId="77777777" w:rsidR="00AA5968" w:rsidRPr="00AA5968" w:rsidRDefault="00AA5968" w:rsidP="00B76905">
      <w:pPr>
        <w:numPr>
          <w:ilvl w:val="0"/>
          <w:numId w:val="152"/>
        </w:numPr>
        <w:textAlignment w:val="baseline"/>
        <w:rPr>
          <w:rFonts w:eastAsia="Times New Roman" w:cs="Arial"/>
          <w:kern w:val="0"/>
          <w:lang w:eastAsia="en-GB"/>
          <w14:ligatures w14:val="none"/>
        </w:rPr>
      </w:pPr>
      <w:r w:rsidRPr="00AA5968">
        <w:rPr>
          <w:rFonts w:eastAsia="Times New Roman" w:cs="Arial"/>
          <w:kern w:val="0"/>
          <w:lang w:eastAsia="en-GB"/>
          <w14:ligatures w14:val="none"/>
        </w:rPr>
        <w:t xml:space="preserve">0.7% by pharmacies in Penderi locality </w:t>
      </w:r>
    </w:p>
    <w:p w14:paraId="3492EDE9" w14:textId="77777777" w:rsidR="00AA5968" w:rsidRPr="00AA5968" w:rsidRDefault="00AA5968" w:rsidP="00B76905">
      <w:pPr>
        <w:numPr>
          <w:ilvl w:val="0"/>
          <w:numId w:val="152"/>
        </w:numPr>
        <w:contextualSpacing/>
        <w:textAlignment w:val="baseline"/>
        <w:rPr>
          <w:rFonts w:eastAsia="Aptos" w:cs="Arial"/>
        </w:rPr>
      </w:pPr>
      <w:r w:rsidRPr="00AA5968">
        <w:rPr>
          <w:rFonts w:eastAsia="Times New Roman" w:cs="Arial"/>
        </w:rPr>
        <w:t xml:space="preserve">0.5% by contractors in England </w:t>
      </w:r>
    </w:p>
    <w:p w14:paraId="03BDE475" w14:textId="77777777" w:rsidR="00AA5968" w:rsidRPr="00AA5968" w:rsidRDefault="00AA5968" w:rsidP="00B76905">
      <w:pPr>
        <w:numPr>
          <w:ilvl w:val="0"/>
          <w:numId w:val="152"/>
        </w:numPr>
        <w:contextualSpacing/>
        <w:textAlignment w:val="baseline"/>
        <w:rPr>
          <w:rFonts w:eastAsia="Aptos" w:cs="Arial"/>
        </w:rPr>
      </w:pPr>
      <w:r w:rsidRPr="00AA5968">
        <w:rPr>
          <w:rFonts w:eastAsia="Times New Roman" w:cs="Arial"/>
        </w:rPr>
        <w:t>0.3% by pharmacies in City Health locality</w:t>
      </w:r>
    </w:p>
    <w:p w14:paraId="26F203B1" w14:textId="77777777" w:rsidR="00AA5968" w:rsidRPr="00AA5968" w:rsidRDefault="00AA5968" w:rsidP="00794C07">
      <w:pPr>
        <w:shd w:val="clear" w:color="auto" w:fill="FFFFFF"/>
        <w:rPr>
          <w:rFonts w:eastAsia="Times New Roman" w:cs="Arial"/>
          <w:kern w:val="0"/>
          <w:lang w:eastAsia="en-GB"/>
          <w14:ligatures w14:val="none"/>
        </w:rPr>
      </w:pPr>
    </w:p>
    <w:p w14:paraId="2D847711" w14:textId="77777777" w:rsidR="00AA5968" w:rsidRPr="00AA5968" w:rsidRDefault="00AA5968" w:rsidP="00794C07">
      <w:pPr>
        <w:shd w:val="clear" w:color="auto" w:fill="FFFFFF"/>
        <w:rPr>
          <w:rFonts w:eastAsia="Times New Roman" w:cs="Arial"/>
          <w:kern w:val="0"/>
          <w:lang w:eastAsia="en-GB"/>
          <w14:ligatures w14:val="none"/>
        </w:rPr>
      </w:pPr>
      <w:r w:rsidRPr="00AA5968">
        <w:rPr>
          <w:rFonts w:eastAsia="Times New Roman" w:cs="Arial"/>
          <w:kern w:val="0"/>
          <w:lang w:eastAsia="en-GB"/>
          <w14:ligatures w14:val="none"/>
        </w:rPr>
        <w:t>In addition, residents may have accessed one or more pharmaceutical services provided by another pharmacy outside of both the locality and the health board’s area; however, it is not possible to quantify this activity from the recorded data.</w:t>
      </w:r>
    </w:p>
    <w:p w14:paraId="4DD891E1" w14:textId="77777777" w:rsidR="00AA5968" w:rsidRPr="00AA5968" w:rsidRDefault="00AA5968" w:rsidP="00794C07">
      <w:pPr>
        <w:rPr>
          <w:rFonts w:eastAsia="Aptos" w:cs="Arial"/>
          <w:b/>
          <w:bCs/>
        </w:rPr>
      </w:pPr>
    </w:p>
    <w:p w14:paraId="08614241" w14:textId="77777777" w:rsidR="00AA5968" w:rsidRPr="00AA5968" w:rsidRDefault="00AA5968" w:rsidP="00794C07">
      <w:pPr>
        <w:rPr>
          <w:rFonts w:eastAsia="Aptos" w:cs="Arial"/>
          <w:b/>
          <w:bCs/>
          <w:sz w:val="26"/>
          <w:szCs w:val="26"/>
        </w:rPr>
      </w:pPr>
      <w:r w:rsidRPr="00AA5968">
        <w:rPr>
          <w:rFonts w:eastAsia="Aptos" w:cs="Arial"/>
          <w:b/>
          <w:bCs/>
          <w:sz w:val="26"/>
          <w:szCs w:val="26"/>
        </w:rPr>
        <w:t>11.5 Other NHS services</w:t>
      </w:r>
    </w:p>
    <w:p w14:paraId="16375F1A" w14:textId="77777777" w:rsidR="00AA5968" w:rsidRPr="00AA5968" w:rsidRDefault="00AA5968" w:rsidP="00794C07">
      <w:pPr>
        <w:rPr>
          <w:rFonts w:eastAsia="Aptos" w:cs="Arial"/>
        </w:rPr>
      </w:pPr>
    </w:p>
    <w:p w14:paraId="654837B8" w14:textId="77777777" w:rsidR="00AA5968" w:rsidRPr="00AA5968" w:rsidRDefault="00AA5968" w:rsidP="00794C07">
      <w:pPr>
        <w:rPr>
          <w:rFonts w:eastAsia="Aptos" w:cs="Arial"/>
        </w:rPr>
      </w:pPr>
      <w:r w:rsidRPr="00AA5968">
        <w:rPr>
          <w:rFonts w:eastAsia="Aptos" w:cs="Arial"/>
        </w:rPr>
        <w:t>Details of the NHS services which affect the need for pharmaceutical services can be found in chapter six.</w:t>
      </w:r>
    </w:p>
    <w:p w14:paraId="1E8E6E6E" w14:textId="77777777" w:rsidR="00AA5968" w:rsidRPr="00AA5968" w:rsidRDefault="00AA5968" w:rsidP="00794C07">
      <w:pPr>
        <w:rPr>
          <w:rFonts w:eastAsia="Aptos" w:cs="Arial"/>
        </w:rPr>
      </w:pPr>
    </w:p>
    <w:p w14:paraId="592F2A9B" w14:textId="77777777" w:rsidR="00AA5968" w:rsidRPr="00AA5968" w:rsidRDefault="00AA5968" w:rsidP="00794C07">
      <w:pPr>
        <w:rPr>
          <w:rFonts w:eastAsia="Aptos" w:cs="Arial"/>
          <w:b/>
          <w:bCs/>
          <w:sz w:val="26"/>
          <w:szCs w:val="26"/>
        </w:rPr>
      </w:pPr>
      <w:r w:rsidRPr="00AA5968">
        <w:rPr>
          <w:rFonts w:eastAsia="Aptos" w:cs="Arial"/>
          <w:b/>
          <w:bCs/>
          <w:sz w:val="26"/>
          <w:szCs w:val="26"/>
        </w:rPr>
        <w:t>11.6 Choice with regard to obtaining pharmaceutical services</w:t>
      </w:r>
    </w:p>
    <w:p w14:paraId="01826271" w14:textId="77777777" w:rsidR="00AA5968" w:rsidRPr="00AA5968" w:rsidRDefault="00AA5968" w:rsidP="00794C07">
      <w:pPr>
        <w:rPr>
          <w:rFonts w:eastAsia="Aptos" w:cs="Arial"/>
        </w:rPr>
      </w:pPr>
    </w:p>
    <w:p w14:paraId="02072C45" w14:textId="77777777" w:rsidR="00AA5968" w:rsidRPr="00AA5968" w:rsidRDefault="00AA5968" w:rsidP="00794C07">
      <w:pPr>
        <w:rPr>
          <w:rFonts w:eastAsia="Times New Roman" w:cs="Arial"/>
          <w:kern w:val="0"/>
          <w:lang w:eastAsia="en-GB"/>
          <w14:ligatures w14:val="none"/>
        </w:rPr>
      </w:pPr>
      <w:r w:rsidRPr="00AA5968">
        <w:rPr>
          <w:rFonts w:eastAsia="Aptos" w:cs="Arial"/>
        </w:rPr>
        <w:t xml:space="preserve">As can be seen from sections 11.3 and 11.4, those living within the locality and registered with one of the GP practices generally choose to access one of the pharmacies in the locality in order to have their prescriptions dispensed. </w:t>
      </w:r>
      <w:r w:rsidRPr="00AA5968">
        <w:rPr>
          <w:rFonts w:eastAsia="Times New Roman" w:cs="Arial"/>
          <w:kern w:val="0"/>
          <w:lang w:eastAsia="en-GB"/>
          <w14:ligatures w14:val="none"/>
        </w:rPr>
        <w:t>Those that look outside the locality usually do so to access a neighbouring pharmacy within the health board’s area. A minority choose to have their prescription dispensed by a pharmacy or an appliance contractor outside of the health board’s area.</w:t>
      </w:r>
    </w:p>
    <w:p w14:paraId="683A14C7" w14:textId="77777777" w:rsidR="00AA5968" w:rsidRPr="00AA5968" w:rsidRDefault="00AA5968" w:rsidP="00794C07">
      <w:pPr>
        <w:rPr>
          <w:rFonts w:eastAsia="Aptos" w:cs="Arial"/>
        </w:rPr>
      </w:pPr>
    </w:p>
    <w:p w14:paraId="173C0719" w14:textId="77777777" w:rsidR="00AA5968" w:rsidRPr="00AA5968" w:rsidRDefault="00AA5968" w:rsidP="00794C07">
      <w:pPr>
        <w:rPr>
          <w:rFonts w:eastAsia="Times New Roman" w:cs="Arial"/>
          <w:kern w:val="0"/>
          <w:lang w:val="en-US" w:eastAsia="en-GB"/>
          <w14:ligatures w14:val="none"/>
        </w:rPr>
      </w:pPr>
      <w:r w:rsidRPr="00AA5968">
        <w:rPr>
          <w:rFonts w:eastAsia="Times New Roman" w:cs="Arial"/>
          <w:kern w:val="0"/>
          <w:lang w:val="en-US" w:eastAsia="en-GB"/>
          <w14:ligatures w14:val="none"/>
        </w:rPr>
        <w:t xml:space="preserve">A total of 208 contractors that were trading in Wales during 2024/25 dispensed items written by one of the GP practices in the locality, of which 122 were outside of the health board’s area. 5,996 prescription items were dispensed in England. </w:t>
      </w:r>
    </w:p>
    <w:p w14:paraId="74E90B6B" w14:textId="77777777" w:rsidR="00AA5968" w:rsidRPr="00AA5968" w:rsidRDefault="00AA5968" w:rsidP="00794C07">
      <w:pPr>
        <w:rPr>
          <w:rFonts w:eastAsia="Times New Roman" w:cs="Arial"/>
          <w:kern w:val="0"/>
          <w:lang w:val="en-US" w:eastAsia="en-GB"/>
          <w14:ligatures w14:val="none"/>
        </w:rPr>
      </w:pPr>
    </w:p>
    <w:p w14:paraId="2B67F0B3" w14:textId="77777777" w:rsidR="00AA5968" w:rsidRPr="00AA5968" w:rsidRDefault="00AA5968" w:rsidP="00794C07">
      <w:pPr>
        <w:rPr>
          <w:rFonts w:eastAsia="Times New Roman" w:cs="Arial"/>
          <w:kern w:val="0"/>
          <w:lang w:val="en-US" w:eastAsia="en-GB"/>
          <w14:ligatures w14:val="none"/>
        </w:rPr>
      </w:pPr>
      <w:r w:rsidRPr="00AA5968">
        <w:rPr>
          <w:rFonts w:eastAsia="Times New Roman" w:cs="Arial"/>
          <w:kern w:val="0"/>
          <w:lang w:val="en-US" w:eastAsia="en-GB"/>
          <w14:ligatures w14:val="none"/>
        </w:rPr>
        <w:t xml:space="preserve">A total of 188 contractors that were trading in Wales during 2025/26 (up to December 2025), dispensed items written by one of the GP practices in the locality, of which 110 were outside of the health board’s area. 4,836 prescription items were dispensed in England. </w:t>
      </w:r>
    </w:p>
    <w:p w14:paraId="4D89BB00" w14:textId="77777777" w:rsidR="00AA5968" w:rsidRPr="00AA5968" w:rsidRDefault="00AA5968" w:rsidP="00794C07">
      <w:pPr>
        <w:rPr>
          <w:rFonts w:eastAsia="Aptos" w:cs="Arial"/>
        </w:rPr>
      </w:pPr>
    </w:p>
    <w:p w14:paraId="37D7BCC7" w14:textId="77777777" w:rsidR="00AA5968" w:rsidRPr="00AA5968" w:rsidRDefault="00AA5968" w:rsidP="00794C07">
      <w:pPr>
        <w:rPr>
          <w:rFonts w:eastAsia="Aptos" w:cs="Arial"/>
          <w:b/>
          <w:bCs/>
          <w:sz w:val="26"/>
          <w:szCs w:val="26"/>
        </w:rPr>
      </w:pPr>
      <w:r w:rsidRPr="00AA5968">
        <w:rPr>
          <w:rFonts w:eastAsia="Aptos" w:cs="Arial"/>
          <w:b/>
          <w:bCs/>
          <w:sz w:val="26"/>
          <w:szCs w:val="26"/>
        </w:rPr>
        <w:t>11.7 Housing developments</w:t>
      </w:r>
    </w:p>
    <w:p w14:paraId="6A71E699" w14:textId="77777777" w:rsidR="00AA5968" w:rsidRPr="00AA5968" w:rsidRDefault="00AA5968" w:rsidP="00794C07">
      <w:pPr>
        <w:rPr>
          <w:rFonts w:eastAsia="Aptos" w:cs="Arial"/>
        </w:rPr>
      </w:pPr>
    </w:p>
    <w:p w14:paraId="2EA86049" w14:textId="77777777" w:rsidR="00AA5968" w:rsidRPr="00AA5968" w:rsidRDefault="00AA5968" w:rsidP="00794C07">
      <w:pPr>
        <w:rPr>
          <w:rFonts w:eastAsia="Aptos" w:cs="Arial"/>
        </w:rPr>
      </w:pPr>
      <w:r w:rsidRPr="00AA5968">
        <w:rPr>
          <w:rFonts w:eastAsia="Aptos" w:cs="Arial"/>
        </w:rPr>
        <w:t>Work is underway in preparing a new local development plan for Swansea which will cover the period 2023 to 2038. The following strategic regeneration and placemaking areas are expected to be included in the plan period and the estimated capacity for new housing provision is set out below although this is subject to further detailed assessment so may change as the plan is finalised.</w:t>
      </w:r>
    </w:p>
    <w:p w14:paraId="0C82AF28" w14:textId="77777777" w:rsidR="00AA5968" w:rsidRPr="00AA5968" w:rsidRDefault="00AA5968" w:rsidP="00794C07">
      <w:pPr>
        <w:rPr>
          <w:rFonts w:eastAsia="Aptos" w:cs="Arial"/>
        </w:rPr>
      </w:pPr>
    </w:p>
    <w:p w14:paraId="0C8654D2" w14:textId="77777777" w:rsidR="00AA5968" w:rsidRPr="00AA5968" w:rsidRDefault="00AA5968" w:rsidP="00B76905">
      <w:pPr>
        <w:numPr>
          <w:ilvl w:val="0"/>
          <w:numId w:val="153"/>
        </w:numPr>
        <w:contextualSpacing/>
        <w:rPr>
          <w:rFonts w:eastAsia="Aptos" w:cs="Arial"/>
        </w:rPr>
      </w:pPr>
      <w:r w:rsidRPr="00AA5968">
        <w:rPr>
          <w:rFonts w:eastAsia="Aptos" w:cs="Arial"/>
        </w:rPr>
        <w:lastRenderedPageBreak/>
        <w:t>Pontarddulais – 654 dwellings. Assuming an average occupancy rate of 2.5 this equates to 1,635 people.</w:t>
      </w:r>
    </w:p>
    <w:p w14:paraId="1870B41D" w14:textId="77777777" w:rsidR="00AA5968" w:rsidRPr="00AA5968" w:rsidRDefault="00AA5968" w:rsidP="00B76905">
      <w:pPr>
        <w:numPr>
          <w:ilvl w:val="0"/>
          <w:numId w:val="153"/>
        </w:numPr>
        <w:contextualSpacing/>
        <w:rPr>
          <w:rFonts w:eastAsia="Aptos" w:cs="Arial"/>
        </w:rPr>
      </w:pPr>
      <w:r w:rsidRPr="00AA5968">
        <w:rPr>
          <w:rFonts w:eastAsia="Aptos" w:cs="Arial"/>
        </w:rPr>
        <w:t xml:space="preserve">Garden Village/Gorseinon – 705 dwellings. Assuming an average occupancy rate of 2.5 this equates to 1,763 people. </w:t>
      </w:r>
    </w:p>
    <w:p w14:paraId="36BA7C60" w14:textId="77777777" w:rsidR="00AA5968" w:rsidRPr="00AA5968" w:rsidRDefault="00AA5968" w:rsidP="00B76905">
      <w:pPr>
        <w:numPr>
          <w:ilvl w:val="0"/>
          <w:numId w:val="153"/>
        </w:numPr>
        <w:contextualSpacing/>
        <w:rPr>
          <w:rFonts w:eastAsia="Aptos" w:cs="Arial"/>
        </w:rPr>
      </w:pPr>
      <w:r w:rsidRPr="00AA5968">
        <w:rPr>
          <w:rFonts w:eastAsia="Aptos" w:cs="Arial"/>
        </w:rPr>
        <w:t>Penllergaer - 850 dwellings. Assuming an average occupancy rate of 2.5 this equates to 2,125 people. It is to be noted that this site also falls within Penderi and Cwmtawe localities.</w:t>
      </w:r>
    </w:p>
    <w:p w14:paraId="2B423F6D" w14:textId="77777777" w:rsidR="00AA5968" w:rsidRPr="00AA5968" w:rsidRDefault="00AA5968" w:rsidP="00794C07">
      <w:pPr>
        <w:rPr>
          <w:rFonts w:eastAsia="Aptos" w:cs="Arial"/>
        </w:rPr>
      </w:pPr>
    </w:p>
    <w:p w14:paraId="2787F631" w14:textId="77777777" w:rsidR="00AA5968" w:rsidRPr="00AA5968" w:rsidRDefault="00AA5968" w:rsidP="00794C07">
      <w:pPr>
        <w:rPr>
          <w:rFonts w:eastAsia="Aptos" w:cs="Arial"/>
          <w:b/>
          <w:bCs/>
          <w:sz w:val="26"/>
          <w:szCs w:val="26"/>
        </w:rPr>
      </w:pPr>
      <w:r w:rsidRPr="00AA5968">
        <w:rPr>
          <w:rFonts w:eastAsia="Aptos" w:cs="Arial"/>
          <w:b/>
          <w:bCs/>
          <w:sz w:val="26"/>
          <w:szCs w:val="26"/>
        </w:rPr>
        <w:t>11.8 Gaps in provision</w:t>
      </w:r>
    </w:p>
    <w:p w14:paraId="25FC751E" w14:textId="77777777" w:rsidR="00AA5968" w:rsidRPr="00AA5968" w:rsidRDefault="00AA5968" w:rsidP="00794C07">
      <w:pPr>
        <w:rPr>
          <w:rFonts w:eastAsia="Aptos" w:cs="Arial"/>
        </w:rPr>
      </w:pPr>
    </w:p>
    <w:p w14:paraId="6125C608" w14:textId="77777777" w:rsidR="00AA5968" w:rsidRPr="00AA5968" w:rsidRDefault="00AA5968" w:rsidP="00794C07">
      <w:pPr>
        <w:rPr>
          <w:rFonts w:eastAsia="Aptos" w:cs="Arial"/>
        </w:rPr>
      </w:pPr>
      <w:r w:rsidRPr="00AA5968">
        <w:rPr>
          <w:rFonts w:eastAsia="Aptos" w:cs="Arial"/>
        </w:rPr>
        <w:t>When considering if there are any gaps in the provision of pharmaceutical services the health board has noted that eight</w:t>
      </w:r>
      <w:r w:rsidRPr="00AA5968">
        <w:rPr>
          <w:rFonts w:eastAsia="Times New Roman" w:cs="Arial"/>
          <w:kern w:val="0"/>
          <w:lang w:eastAsia="en-GB"/>
          <w14:ligatures w14:val="none"/>
        </w:rPr>
        <w:t xml:space="preserve"> of the pharmacies have sufficient capacity within their premises and staffing levels to manage an increase in demand, and one doesn’t but could make adjustments.</w:t>
      </w:r>
    </w:p>
    <w:p w14:paraId="012AFB59" w14:textId="77777777" w:rsidR="00AA5968" w:rsidRPr="00AA5968" w:rsidRDefault="00AA5968" w:rsidP="00794C07">
      <w:pPr>
        <w:rPr>
          <w:rFonts w:eastAsia="Aptos" w:cs="Arial"/>
        </w:rPr>
      </w:pPr>
    </w:p>
    <w:p w14:paraId="68F94206" w14:textId="77777777" w:rsidR="00AA5968" w:rsidRPr="00AA5968" w:rsidRDefault="00AA5968" w:rsidP="00794C07">
      <w:pPr>
        <w:rPr>
          <w:rFonts w:eastAsia="Aptos" w:cs="Arial"/>
          <w:b/>
          <w:bCs/>
        </w:rPr>
      </w:pPr>
      <w:r w:rsidRPr="00AA5968">
        <w:rPr>
          <w:rFonts w:eastAsia="Aptos" w:cs="Arial"/>
          <w:b/>
          <w:bCs/>
        </w:rPr>
        <w:t xml:space="preserve">11.8.1 Essential services </w:t>
      </w:r>
    </w:p>
    <w:p w14:paraId="3D66BEF7" w14:textId="77777777" w:rsidR="00AA5968" w:rsidRPr="00AA5968" w:rsidRDefault="00AA5968" w:rsidP="00794C07">
      <w:pPr>
        <w:rPr>
          <w:rFonts w:eastAsia="Aptos" w:cs="Arial"/>
        </w:rPr>
      </w:pPr>
    </w:p>
    <w:p w14:paraId="29B8E66B" w14:textId="77777777" w:rsidR="00AA5968" w:rsidRPr="00AA5968" w:rsidRDefault="00AA5968" w:rsidP="00794C07">
      <w:pPr>
        <w:textAlignment w:val="baseline"/>
        <w:rPr>
          <w:rFonts w:eastAsia="Times New Roman" w:cs="Arial"/>
          <w:kern w:val="0"/>
          <w:lang w:eastAsia="en-GB"/>
          <w14:ligatures w14:val="none"/>
        </w:rPr>
      </w:pPr>
      <w:r w:rsidRPr="00AA5968">
        <w:rPr>
          <w:rFonts w:eastAsia="Times New Roman" w:cs="Arial"/>
          <w:kern w:val="0"/>
          <w:lang w:eastAsia="en-GB"/>
          <w14:ligatures w14:val="none"/>
        </w:rPr>
        <w:t>The health board has noted: </w:t>
      </w:r>
    </w:p>
    <w:p w14:paraId="356C64CC" w14:textId="77777777" w:rsidR="00AA5968" w:rsidRPr="00AA5968" w:rsidRDefault="00AA5968" w:rsidP="00794C07">
      <w:pPr>
        <w:textAlignment w:val="baseline"/>
        <w:rPr>
          <w:rFonts w:eastAsia="Times New Roman" w:cs="Arial"/>
          <w:kern w:val="0"/>
          <w:lang w:eastAsia="en-GB"/>
          <w14:ligatures w14:val="none"/>
        </w:rPr>
      </w:pPr>
      <w:r w:rsidRPr="00AA5968">
        <w:rPr>
          <w:rFonts w:eastAsia="Times New Roman" w:cs="Arial"/>
          <w:kern w:val="0"/>
          <w:lang w:eastAsia="en-GB"/>
          <w14:ligatures w14:val="none"/>
        </w:rPr>
        <w:t> </w:t>
      </w:r>
    </w:p>
    <w:p w14:paraId="1A63BC5B" w14:textId="77777777" w:rsidR="00AA5968" w:rsidRPr="00AA5968" w:rsidRDefault="00AA5968" w:rsidP="00B76905">
      <w:pPr>
        <w:numPr>
          <w:ilvl w:val="0"/>
          <w:numId w:val="155"/>
        </w:numPr>
        <w:contextualSpacing/>
        <w:rPr>
          <w:rFonts w:eastAsia="Times New Roman" w:cs="Arial"/>
          <w:kern w:val="0"/>
          <w:lang w:eastAsia="en-GB"/>
          <w14:ligatures w14:val="none"/>
        </w:rPr>
      </w:pPr>
      <w:r w:rsidRPr="00AA5968">
        <w:rPr>
          <w:rFonts w:eastAsia="Times New Roman" w:cs="Arial"/>
          <w:kern w:val="0"/>
          <w:lang w:eastAsia="en-GB"/>
          <w14:ligatures w14:val="none"/>
        </w:rPr>
        <w:t>The location of pharmacies across the locality</w:t>
      </w:r>
      <w:r w:rsidRPr="00AA5968">
        <w:rPr>
          <w:rFonts w:eastAsia="Aptos" w:cs="Arial"/>
        </w:rPr>
        <w:t xml:space="preserve"> and the fact residents are able to access a pharmacy by car within 20 minutes and for many the travel time will be shorter</w:t>
      </w:r>
      <w:r w:rsidRPr="00AA5968">
        <w:rPr>
          <w:rFonts w:eastAsia="Times New Roman" w:cs="Arial"/>
          <w:kern w:val="0"/>
          <w:lang w:eastAsia="en-GB"/>
          <w14:ligatures w14:val="none"/>
        </w:rPr>
        <w:t xml:space="preserve">. Whilst noting that not all households have access to a car throughout the day, the nature of the locality means that walking to a pharmacy will be a realistic option for many residents and regular public transport services are available for those who are unable to undertake the whole journey on foot. </w:t>
      </w:r>
    </w:p>
    <w:p w14:paraId="7F3DA527" w14:textId="77777777" w:rsidR="00AA5968" w:rsidRPr="00AA5968" w:rsidRDefault="00AA5968" w:rsidP="00B76905">
      <w:pPr>
        <w:numPr>
          <w:ilvl w:val="0"/>
          <w:numId w:val="155"/>
        </w:numPr>
        <w:textAlignment w:val="baseline"/>
        <w:rPr>
          <w:rFonts w:eastAsia="Times New Roman" w:cs="Arial"/>
          <w:kern w:val="0"/>
          <w:lang w:eastAsia="en-GB"/>
          <w14:ligatures w14:val="none"/>
        </w:rPr>
      </w:pPr>
      <w:r w:rsidRPr="00AA5968">
        <w:rPr>
          <w:rFonts w:eastAsia="Times New Roman" w:cs="Arial"/>
          <w:kern w:val="0"/>
          <w:lang w:eastAsia="en-GB"/>
          <w14:ligatures w14:val="none"/>
        </w:rPr>
        <w:t>The scale of the known housing developments.</w:t>
      </w:r>
    </w:p>
    <w:p w14:paraId="7AF5CEE9" w14:textId="77777777" w:rsidR="00AA5968" w:rsidRPr="00AA5968" w:rsidRDefault="00AA5968" w:rsidP="00B76905">
      <w:pPr>
        <w:numPr>
          <w:ilvl w:val="0"/>
          <w:numId w:val="155"/>
        </w:numPr>
        <w:textAlignment w:val="baseline"/>
        <w:rPr>
          <w:rFonts w:eastAsia="Times New Roman" w:cs="Arial"/>
          <w:kern w:val="0"/>
          <w:lang w:eastAsia="en-GB"/>
          <w14:ligatures w14:val="none"/>
        </w:rPr>
      </w:pPr>
      <w:r w:rsidRPr="00AA5968">
        <w:rPr>
          <w:rFonts w:eastAsia="Times New Roman" w:cs="Arial"/>
          <w:kern w:val="0"/>
          <w:lang w:eastAsia="en-GB"/>
          <w14:ligatures w14:val="none"/>
        </w:rPr>
        <w:t>The opening hours of the pharmacies.</w:t>
      </w:r>
    </w:p>
    <w:p w14:paraId="430FC9B0" w14:textId="77777777" w:rsidR="00AA5968" w:rsidRPr="00AA5968" w:rsidRDefault="00AA5968" w:rsidP="00794C07">
      <w:pPr>
        <w:textAlignment w:val="baseline"/>
        <w:rPr>
          <w:rFonts w:eastAsia="Times New Roman" w:cs="Arial"/>
          <w:kern w:val="0"/>
          <w:lang w:eastAsia="en-GB"/>
          <w14:ligatures w14:val="none"/>
        </w:rPr>
      </w:pPr>
    </w:p>
    <w:p w14:paraId="4FB94751" w14:textId="77777777" w:rsidR="00AA5968" w:rsidRPr="00AA5968" w:rsidRDefault="00AA5968" w:rsidP="00794C07">
      <w:pPr>
        <w:contextualSpacing/>
        <w:rPr>
          <w:rFonts w:eastAsia="Times New Roman" w:cs="Arial"/>
          <w:kern w:val="0"/>
          <w:lang w:eastAsia="en-GB"/>
          <w14:ligatures w14:val="none"/>
        </w:rPr>
      </w:pPr>
      <w:r w:rsidRPr="00AA5968">
        <w:rPr>
          <w:rFonts w:eastAsia="Times New Roman" w:cs="Arial"/>
          <w:kern w:val="0"/>
          <w:lang w:eastAsia="en-GB"/>
          <w14:ligatures w14:val="none"/>
        </w:rPr>
        <w:t>The health board has not identified any current gaps in the provision of the essential services.</w:t>
      </w:r>
    </w:p>
    <w:p w14:paraId="11F1DB3A" w14:textId="77777777" w:rsidR="00AA5968" w:rsidRPr="00AA5968" w:rsidRDefault="00AA5968" w:rsidP="00794C07">
      <w:pPr>
        <w:contextualSpacing/>
        <w:rPr>
          <w:rFonts w:eastAsia="Times New Roman" w:cs="Arial"/>
          <w:kern w:val="0"/>
          <w:lang w:eastAsia="en-GB"/>
          <w14:ligatures w14:val="none"/>
        </w:rPr>
      </w:pPr>
    </w:p>
    <w:p w14:paraId="0673E9A9" w14:textId="77777777" w:rsidR="00AA5968" w:rsidRPr="00AA5968" w:rsidRDefault="00AA5968" w:rsidP="00794C07">
      <w:pPr>
        <w:contextualSpacing/>
        <w:rPr>
          <w:rFonts w:eastAsia="Times New Roman" w:cs="Arial"/>
          <w:kern w:val="0"/>
          <w:lang w:eastAsia="en-GB"/>
          <w14:ligatures w14:val="none"/>
        </w:rPr>
      </w:pPr>
      <w:r w:rsidRPr="00AA5968">
        <w:rPr>
          <w:rFonts w:eastAsia="Times New Roman" w:cs="Arial"/>
          <w:kern w:val="0"/>
          <w:lang w:eastAsia="en-GB"/>
          <w14:ligatures w14:val="none"/>
        </w:rPr>
        <w:t>The health board has considered the known housing developments that will deliver housing in the locality during the lifetime of this document. It is satisfied that the need for essential services by those moving into the new housing will be met by the existing pharmacies.</w:t>
      </w:r>
    </w:p>
    <w:p w14:paraId="43E127F2" w14:textId="77777777" w:rsidR="00741989" w:rsidRPr="00AA5968" w:rsidRDefault="00741989" w:rsidP="00794C07">
      <w:pPr>
        <w:contextualSpacing/>
        <w:rPr>
          <w:rFonts w:eastAsia="Times New Roman" w:cs="Arial"/>
          <w:kern w:val="0"/>
          <w:lang w:eastAsia="en-GB"/>
          <w14:ligatures w14:val="none"/>
        </w:rPr>
      </w:pPr>
    </w:p>
    <w:p w14:paraId="25C10292" w14:textId="77777777" w:rsidR="00AA5968" w:rsidRPr="00AA5968" w:rsidRDefault="00AA5968" w:rsidP="00794C07">
      <w:pPr>
        <w:contextualSpacing/>
        <w:rPr>
          <w:rFonts w:eastAsia="Times New Roman" w:cs="Arial"/>
          <w:b/>
          <w:bCs/>
          <w:kern w:val="0"/>
          <w:lang w:eastAsia="en-GB"/>
          <w14:ligatures w14:val="none"/>
        </w:rPr>
      </w:pPr>
      <w:r w:rsidRPr="00AA5968">
        <w:rPr>
          <w:rFonts w:eastAsia="Times New Roman" w:cs="Arial"/>
          <w:b/>
          <w:bCs/>
          <w:kern w:val="0"/>
          <w:lang w:eastAsia="en-GB"/>
          <w14:ligatures w14:val="none"/>
        </w:rPr>
        <w:t>11.8.2 National community pharmacy and appliance contractor services</w:t>
      </w:r>
    </w:p>
    <w:p w14:paraId="788C6B49" w14:textId="77777777" w:rsidR="00AA5968" w:rsidRPr="00AA5968" w:rsidRDefault="00AA5968" w:rsidP="00794C07">
      <w:pPr>
        <w:contextualSpacing/>
        <w:rPr>
          <w:rFonts w:eastAsia="Times New Roman" w:cs="Arial"/>
          <w:kern w:val="0"/>
          <w:lang w:eastAsia="en-GB"/>
          <w14:ligatures w14:val="none"/>
        </w:rPr>
      </w:pPr>
    </w:p>
    <w:p w14:paraId="3DFCBDF7"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11.8.2.1 Appliance use review service</w:t>
      </w:r>
    </w:p>
    <w:p w14:paraId="24107CAE" w14:textId="77777777" w:rsidR="00AA5968" w:rsidRPr="00AA5968" w:rsidRDefault="00AA5968" w:rsidP="00794C07">
      <w:pPr>
        <w:rPr>
          <w:rFonts w:eastAsia="Times New Roman" w:cs="Arial"/>
          <w:b/>
          <w:bCs/>
          <w:kern w:val="0"/>
          <w:lang w:eastAsia="en-GB"/>
          <w14:ligatures w14:val="none"/>
        </w:rPr>
      </w:pPr>
    </w:p>
    <w:p w14:paraId="278BF1C9"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 xml:space="preserve">The health board has noted none of the pharmacies have signed up to provide this service. However, there are four dispensing appliance contractors in Cardiff and Vale University Health Board’s area which dispensed 0.1% of the items prescribed by GPs in the locality in 2024/25 and 2025/26. One of these contractors provides this service. In addition, of the items dispensed in England in 2024/25, 92.5% were dispensed by dispensing appliance contractors, and 90.9% in the first nine months of 2025/26. </w:t>
      </w:r>
    </w:p>
    <w:p w14:paraId="3EC765F1" w14:textId="77777777" w:rsidR="00AA5968" w:rsidRPr="00AA5968" w:rsidRDefault="00AA5968" w:rsidP="00794C07">
      <w:pPr>
        <w:rPr>
          <w:rFonts w:eastAsia="Times New Roman" w:cs="Arial"/>
          <w:kern w:val="0"/>
          <w:lang w:eastAsia="en-GB"/>
          <w14:ligatures w14:val="none"/>
        </w:rPr>
      </w:pPr>
    </w:p>
    <w:p w14:paraId="029E91B1"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lastRenderedPageBreak/>
        <w:t>Individuals requiring the appliance use review service are likely to access this service from the contractor that dispenses their prescriptions for appliances or may access it from other healthcare providers such as stoma nurses.</w:t>
      </w:r>
    </w:p>
    <w:p w14:paraId="1847DD30" w14:textId="77777777" w:rsidR="00AA5968" w:rsidRPr="00AA5968" w:rsidRDefault="00AA5968" w:rsidP="00794C07">
      <w:pPr>
        <w:rPr>
          <w:rFonts w:eastAsia="Times New Roman" w:cs="Arial"/>
          <w:kern w:val="0"/>
          <w:lang w:eastAsia="en-GB"/>
          <w14:ligatures w14:val="none"/>
        </w:rPr>
      </w:pPr>
    </w:p>
    <w:p w14:paraId="17FD4286"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Based on the above, the health board has not identified any current or future needs for this service within the locality.</w:t>
      </w:r>
    </w:p>
    <w:p w14:paraId="69EDCF1E" w14:textId="77777777" w:rsidR="00AA5968" w:rsidRPr="00AA5968" w:rsidRDefault="00AA5968" w:rsidP="00794C07">
      <w:pPr>
        <w:rPr>
          <w:rFonts w:eastAsia="Times New Roman" w:cs="Arial"/>
          <w:b/>
          <w:bCs/>
          <w:kern w:val="0"/>
          <w:lang w:eastAsia="en-GB"/>
          <w14:ligatures w14:val="none"/>
        </w:rPr>
      </w:pPr>
    </w:p>
    <w:p w14:paraId="632F93D4"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11.8.2.2 Clinical community pharmacy service</w:t>
      </w:r>
    </w:p>
    <w:p w14:paraId="3347155E" w14:textId="77777777" w:rsidR="00AA5968" w:rsidRPr="00AA5968" w:rsidRDefault="00AA5968" w:rsidP="00794C07">
      <w:pPr>
        <w:rPr>
          <w:rFonts w:eastAsia="Times New Roman" w:cs="Arial"/>
          <w:kern w:val="0"/>
          <w:lang w:eastAsia="en-GB"/>
          <w14:ligatures w14:val="none"/>
        </w:rPr>
      </w:pPr>
    </w:p>
    <w:p w14:paraId="490B7976"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The health board has noted that all the pharmacies have signed up and provide this service. As a result, the health board has not identified any current or future needs for this service within the locality.</w:t>
      </w:r>
    </w:p>
    <w:p w14:paraId="583F7430" w14:textId="77777777" w:rsidR="00AA5968" w:rsidRPr="00AA5968" w:rsidRDefault="00AA5968" w:rsidP="00794C07">
      <w:pPr>
        <w:ind w:left="720"/>
        <w:contextualSpacing/>
        <w:rPr>
          <w:rFonts w:eastAsia="Times New Roman" w:cs="Arial"/>
          <w:kern w:val="0"/>
          <w:lang w:eastAsia="en-GB"/>
          <w14:ligatures w14:val="none"/>
        </w:rPr>
      </w:pPr>
    </w:p>
    <w:p w14:paraId="15594ADA"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 xml:space="preserve">11.8.2.3 Discharge medicines review service </w:t>
      </w:r>
    </w:p>
    <w:p w14:paraId="1D9958E0" w14:textId="77777777" w:rsidR="00AA5968" w:rsidRPr="00AA5968" w:rsidRDefault="00AA5968" w:rsidP="00794C07">
      <w:pPr>
        <w:rPr>
          <w:rFonts w:eastAsia="Times New Roman" w:cs="Arial"/>
          <w:b/>
          <w:bCs/>
          <w:kern w:val="0"/>
          <w:lang w:eastAsia="en-GB"/>
          <w14:ligatures w14:val="none"/>
        </w:rPr>
      </w:pPr>
    </w:p>
    <w:p w14:paraId="1EF34E63"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The health board has noted that all the pharmacies have signed up to provide this service, and all provide it. As a result, the health board has not identified any current or future needs for this service within the locality.</w:t>
      </w:r>
    </w:p>
    <w:p w14:paraId="7712EA9A" w14:textId="77777777" w:rsidR="00AA5968" w:rsidRPr="00AA5968" w:rsidRDefault="00AA5968" w:rsidP="00794C07">
      <w:pPr>
        <w:ind w:left="360"/>
        <w:rPr>
          <w:rFonts w:eastAsia="Times New Roman" w:cs="Arial"/>
          <w:kern w:val="0"/>
          <w:lang w:eastAsia="en-GB"/>
          <w14:ligatures w14:val="none"/>
        </w:rPr>
      </w:pPr>
    </w:p>
    <w:p w14:paraId="2BBF1074"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11.8.2.4 Influenza vaccination service</w:t>
      </w:r>
    </w:p>
    <w:p w14:paraId="5BE70B61" w14:textId="77777777" w:rsidR="00AA5968" w:rsidRPr="00AA5968" w:rsidRDefault="00AA5968" w:rsidP="00794C07">
      <w:pPr>
        <w:rPr>
          <w:rFonts w:eastAsia="Times New Roman" w:cs="Arial"/>
          <w:kern w:val="0"/>
          <w:lang w:eastAsia="en-GB"/>
          <w14:ligatures w14:val="none"/>
        </w:rPr>
      </w:pPr>
    </w:p>
    <w:p w14:paraId="49AC6EE4"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The health board has noted that all the pharmacies have signed up to provide this service, and all provide it. As a result, the health board has not identified any current or future needs for this service within the locality.</w:t>
      </w:r>
    </w:p>
    <w:p w14:paraId="7726F4D2" w14:textId="77777777" w:rsidR="00AA5968" w:rsidRPr="00AA5968" w:rsidRDefault="00AA5968" w:rsidP="00794C07">
      <w:pPr>
        <w:ind w:left="360"/>
        <w:rPr>
          <w:rFonts w:eastAsia="Times New Roman" w:cs="Arial"/>
          <w:kern w:val="0"/>
          <w:lang w:eastAsia="en-GB"/>
          <w14:ligatures w14:val="none"/>
        </w:rPr>
      </w:pPr>
    </w:p>
    <w:p w14:paraId="2C8B0DE2"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11.8.2.5 Lateral flow test supply service</w:t>
      </w:r>
    </w:p>
    <w:p w14:paraId="6DA058A9" w14:textId="77777777" w:rsidR="00AA5968" w:rsidRPr="00AA5968" w:rsidRDefault="00AA5968" w:rsidP="00794C07">
      <w:pPr>
        <w:rPr>
          <w:rFonts w:eastAsia="Times New Roman" w:cs="Arial"/>
          <w:kern w:val="0"/>
          <w:lang w:eastAsia="en-GB"/>
          <w14:ligatures w14:val="none"/>
        </w:rPr>
      </w:pPr>
    </w:p>
    <w:p w14:paraId="3B764920"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The health board has noted eight of the pharmacies have signed up to this service and provide it. It has also noted that this service is only available to specified patient groups. If the pharmacy that doesn’t provide the service identified a need for it, the health board would commission the service from that pharmacy. As a result, the health board has not identified any current or future needs for this service within the locality.</w:t>
      </w:r>
    </w:p>
    <w:p w14:paraId="43E022AC" w14:textId="77777777" w:rsidR="00AA5968" w:rsidRPr="00AA5968" w:rsidRDefault="00AA5968" w:rsidP="00794C07">
      <w:pPr>
        <w:ind w:left="360"/>
        <w:rPr>
          <w:rFonts w:eastAsia="Times New Roman" w:cs="Arial"/>
          <w:kern w:val="0"/>
          <w:lang w:eastAsia="en-GB"/>
          <w14:ligatures w14:val="none"/>
        </w:rPr>
      </w:pPr>
    </w:p>
    <w:p w14:paraId="089EF65B"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11.8.2.6 Pharmacist independent prescribing service</w:t>
      </w:r>
    </w:p>
    <w:p w14:paraId="555DBAAD" w14:textId="77777777" w:rsidR="00AA5968" w:rsidRPr="00AA5968" w:rsidRDefault="00AA5968" w:rsidP="00794C07">
      <w:pPr>
        <w:rPr>
          <w:rFonts w:eastAsia="Times New Roman" w:cs="Arial"/>
          <w:kern w:val="0"/>
          <w:lang w:eastAsia="en-GB"/>
          <w14:ligatures w14:val="none"/>
        </w:rPr>
      </w:pPr>
    </w:p>
    <w:p w14:paraId="07CF72D7"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The health board has noted five of the pharmacies have signed up to this service and provide it. In addition, another is due to start providing it.</w:t>
      </w:r>
    </w:p>
    <w:p w14:paraId="3C755C7A" w14:textId="77777777" w:rsidR="00AA5968" w:rsidRPr="00AA5968" w:rsidRDefault="00AA5968" w:rsidP="00794C07">
      <w:pPr>
        <w:rPr>
          <w:rFonts w:eastAsia="Times New Roman" w:cs="Arial"/>
          <w:kern w:val="0"/>
          <w:lang w:eastAsia="en-GB"/>
          <w14:ligatures w14:val="none"/>
        </w:rPr>
      </w:pPr>
    </w:p>
    <w:p w14:paraId="7D697AE6"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Welsh Government’s ambition is for each pharmacy to have an independent prescriber by 2030. The health board has noted that from 2026 it is anticipated that all newly qualified pharmacists will also qualify as independent prescribers on completion of their undergraduate programme.</w:t>
      </w:r>
    </w:p>
    <w:p w14:paraId="529CCDCD" w14:textId="77777777" w:rsidR="00AA5968" w:rsidRPr="00AA5968" w:rsidRDefault="00AA5968" w:rsidP="00794C07">
      <w:pPr>
        <w:rPr>
          <w:rFonts w:eastAsia="Times New Roman" w:cs="Arial"/>
          <w:kern w:val="0"/>
          <w:lang w:eastAsia="en-GB"/>
          <w14:ligatures w14:val="none"/>
        </w:rPr>
      </w:pPr>
    </w:p>
    <w:p w14:paraId="6490223D"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Noting the above, the health board is of the opinion that the remaining pharmacies will sign up to provide this service during the lifetime of this pharmaceutical needs assessment. As a result, the health board has not identified any current or future needs for this service within the locality.</w:t>
      </w:r>
    </w:p>
    <w:p w14:paraId="7420368B" w14:textId="77777777" w:rsidR="001C494D" w:rsidRDefault="001C494D" w:rsidP="001C494D">
      <w:pPr>
        <w:rPr>
          <w:rFonts w:eastAsia="Times New Roman" w:cs="Arial"/>
          <w:kern w:val="0"/>
          <w:lang w:eastAsia="en-GB"/>
          <w14:ligatures w14:val="none"/>
        </w:rPr>
      </w:pPr>
    </w:p>
    <w:p w14:paraId="66168D60" w14:textId="77777777" w:rsidR="001C494D" w:rsidRPr="00AA5968" w:rsidRDefault="001C494D" w:rsidP="001C494D">
      <w:pPr>
        <w:rPr>
          <w:rFonts w:eastAsia="Times New Roman" w:cs="Arial"/>
          <w:kern w:val="0"/>
          <w:lang w:eastAsia="en-GB"/>
          <w14:ligatures w14:val="none"/>
        </w:rPr>
      </w:pPr>
    </w:p>
    <w:p w14:paraId="7422113A"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lastRenderedPageBreak/>
        <w:t xml:space="preserve">11.8.2.7 Stoma appliance customisation service </w:t>
      </w:r>
    </w:p>
    <w:p w14:paraId="59FBD235" w14:textId="77777777" w:rsidR="00AA5968" w:rsidRPr="00AA5968" w:rsidRDefault="00AA5968" w:rsidP="00794C07">
      <w:pPr>
        <w:rPr>
          <w:rFonts w:eastAsia="Times New Roman" w:cs="Arial"/>
          <w:kern w:val="0"/>
          <w:lang w:eastAsia="en-GB"/>
          <w14:ligatures w14:val="none"/>
        </w:rPr>
      </w:pPr>
    </w:p>
    <w:p w14:paraId="2CBC2A13"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 xml:space="preserve">The health board has noted none of the pharmacies have signed up to provide this service and neither have the four dispensing appliance contractors Cardiff and Vale University Health Board’s area. </w:t>
      </w:r>
    </w:p>
    <w:p w14:paraId="49A6E72E" w14:textId="77777777" w:rsidR="00AA5968" w:rsidRPr="00AA5968" w:rsidRDefault="00AA5968" w:rsidP="00794C07">
      <w:pPr>
        <w:rPr>
          <w:rFonts w:eastAsia="Times New Roman" w:cs="Arial"/>
          <w:kern w:val="0"/>
          <w:lang w:eastAsia="en-GB"/>
          <w14:ligatures w14:val="none"/>
        </w:rPr>
      </w:pPr>
    </w:p>
    <w:p w14:paraId="22FFA61B"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However, of the items dispensed in England in 2024/25, 92.5% were dispensed by dispensing appliance contractors, and 90.9% in the first nine months of 2025/26.</w:t>
      </w:r>
    </w:p>
    <w:p w14:paraId="44941DD8" w14:textId="77777777" w:rsidR="00AA5968" w:rsidRPr="00AA5968" w:rsidRDefault="00AA5968" w:rsidP="00794C07">
      <w:pPr>
        <w:rPr>
          <w:rFonts w:eastAsia="Times New Roman" w:cs="Arial"/>
          <w:kern w:val="0"/>
          <w:lang w:eastAsia="en-GB"/>
          <w14:ligatures w14:val="none"/>
        </w:rPr>
      </w:pPr>
    </w:p>
    <w:p w14:paraId="0149BE9D"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It is therefore anticipated that these contractors will be customising stoma appliances as required before dispatching or delivering them to patients. Based on this, the health board has not identified any current or future needs for this service within the locality.</w:t>
      </w:r>
    </w:p>
    <w:p w14:paraId="05224A08" w14:textId="77777777" w:rsidR="00AA5968" w:rsidRPr="00AA5968" w:rsidRDefault="00AA5968" w:rsidP="00794C07">
      <w:pPr>
        <w:rPr>
          <w:rFonts w:eastAsia="Times New Roman" w:cs="Arial"/>
          <w:b/>
          <w:bCs/>
          <w:kern w:val="0"/>
          <w:lang w:eastAsia="en-GB"/>
          <w14:ligatures w14:val="none"/>
        </w:rPr>
      </w:pPr>
    </w:p>
    <w:p w14:paraId="0F7EC2D7"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11.8.3 Additional clinical services</w:t>
      </w:r>
    </w:p>
    <w:p w14:paraId="0D057E58" w14:textId="77777777" w:rsidR="00AA5968" w:rsidRPr="00AA5968" w:rsidRDefault="00AA5968" w:rsidP="00794C07">
      <w:pPr>
        <w:rPr>
          <w:rFonts w:eastAsia="Aptos" w:cs="Arial"/>
          <w:shd w:val="clear" w:color="auto" w:fill="FFFFFF"/>
        </w:rPr>
      </w:pPr>
    </w:p>
    <w:p w14:paraId="26CCAE13"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11.8.3.1 Blood borne virus screening service</w:t>
      </w:r>
    </w:p>
    <w:p w14:paraId="153ECC1A" w14:textId="77777777" w:rsidR="00AA5968" w:rsidRPr="00AA5968" w:rsidRDefault="00AA5968" w:rsidP="00794C07">
      <w:pPr>
        <w:rPr>
          <w:rFonts w:eastAsia="Times New Roman" w:cs="Arial"/>
          <w:kern w:val="0"/>
          <w:lang w:eastAsia="en-GB"/>
          <w14:ligatures w14:val="none"/>
        </w:rPr>
      </w:pPr>
    </w:p>
    <w:p w14:paraId="2528CC27"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 xml:space="preserve">The health board has noted one of the pharmacies has signed up to provide this service. </w:t>
      </w:r>
    </w:p>
    <w:p w14:paraId="292CAB51" w14:textId="77777777" w:rsidR="00AA5968" w:rsidRPr="00AA5968" w:rsidRDefault="00AA5968" w:rsidP="00794C07">
      <w:pPr>
        <w:rPr>
          <w:rFonts w:eastAsia="Times New Roman" w:cs="Arial"/>
          <w:kern w:val="0"/>
          <w:lang w:eastAsia="en-GB"/>
          <w14:ligatures w14:val="none"/>
        </w:rPr>
      </w:pPr>
    </w:p>
    <w:p w14:paraId="31B51047" w14:textId="77777777" w:rsidR="00AA5968" w:rsidRPr="00AA5968" w:rsidRDefault="00AA5968" w:rsidP="00794C07">
      <w:pPr>
        <w:contextualSpacing/>
        <w:rPr>
          <w:rFonts w:eastAsia="Times New Roman" w:cs="Arial"/>
          <w:kern w:val="0"/>
          <w:lang w:eastAsia="en-GB"/>
          <w14:ligatures w14:val="none"/>
        </w:rPr>
      </w:pPr>
      <w:r w:rsidRPr="00AA5968">
        <w:rPr>
          <w:rFonts w:eastAsia="Times New Roman" w:cs="Arial"/>
          <w:kern w:val="0"/>
          <w:lang w:eastAsia="en-GB"/>
          <w14:ligatures w14:val="none"/>
        </w:rPr>
        <w:t xml:space="preserve">However, blood borne virus screening services are available through several other providers in the health board’s area, such as sexual health clinics, GP practices, ordering online home test and post screening kits via Sexual Health Wales or collecting screening kits from community venues across Swansea Bay. Several pharmacies across Swansea Bay hold a stock of the test and post screening kits, ensuring convenient access for those who may prefer a more discreet or flexible option. </w:t>
      </w:r>
    </w:p>
    <w:p w14:paraId="0A3E4312" w14:textId="77777777" w:rsidR="00AA5968" w:rsidRPr="00AA5968" w:rsidRDefault="00AA5968" w:rsidP="00794C07">
      <w:pPr>
        <w:contextualSpacing/>
        <w:rPr>
          <w:rFonts w:eastAsia="Times New Roman" w:cs="Arial"/>
          <w:kern w:val="0"/>
          <w:lang w:eastAsia="en-GB"/>
          <w14:ligatures w14:val="none"/>
        </w:rPr>
      </w:pPr>
    </w:p>
    <w:p w14:paraId="119FC3C3" w14:textId="77777777" w:rsidR="00AA5968" w:rsidRPr="00AA5968" w:rsidRDefault="00AA5968" w:rsidP="00794C07">
      <w:pPr>
        <w:contextualSpacing/>
        <w:rPr>
          <w:rFonts w:eastAsia="Times New Roman" w:cs="Arial"/>
          <w:kern w:val="0"/>
          <w:lang w:eastAsia="en-GB"/>
          <w14:ligatures w14:val="none"/>
        </w:rPr>
      </w:pPr>
      <w:r w:rsidRPr="00AA5968">
        <w:rPr>
          <w:rFonts w:eastAsia="Times New Roman" w:cs="Arial"/>
          <w:kern w:val="0"/>
          <w:lang w:eastAsia="en-GB"/>
          <w14:ligatures w14:val="none"/>
        </w:rPr>
        <w:t>Based on the above, the health board has not identified any current or future needs for this service within the locality.</w:t>
      </w:r>
    </w:p>
    <w:p w14:paraId="3925C87D" w14:textId="77777777" w:rsidR="00AA5968" w:rsidRPr="00AA5968" w:rsidRDefault="00AA5968" w:rsidP="00794C07">
      <w:pPr>
        <w:rPr>
          <w:rFonts w:eastAsia="Times New Roman" w:cs="Arial"/>
          <w:kern w:val="0"/>
          <w:lang w:eastAsia="en-GB"/>
          <w14:ligatures w14:val="none"/>
        </w:rPr>
      </w:pPr>
    </w:p>
    <w:p w14:paraId="7989232C"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11.8.3.2 Care home support service - Level 1 medicines management support visits</w:t>
      </w:r>
    </w:p>
    <w:p w14:paraId="1D173EEE" w14:textId="77777777" w:rsidR="00AA5968" w:rsidRPr="00AA5968" w:rsidRDefault="00AA5968" w:rsidP="00794C07">
      <w:pPr>
        <w:rPr>
          <w:rFonts w:eastAsia="Times New Roman" w:cs="Arial"/>
          <w:kern w:val="0"/>
          <w:lang w:eastAsia="en-GB"/>
          <w14:ligatures w14:val="none"/>
        </w:rPr>
      </w:pPr>
    </w:p>
    <w:p w14:paraId="1FD5F253"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The health board has noted three of the pharmacies have signed up to provide this service and provide it. If approached by a pharmacy wishing to provide the service for the care homes it serves as it has identified there is a need for the service, the health board would commission the service from that pharmacy.</w:t>
      </w:r>
    </w:p>
    <w:p w14:paraId="6DBE2707" w14:textId="77777777" w:rsidR="00AA5968" w:rsidRPr="00AA5968" w:rsidRDefault="00AA5968" w:rsidP="00794C07">
      <w:pPr>
        <w:rPr>
          <w:rFonts w:eastAsia="Times New Roman" w:cs="Arial"/>
          <w:kern w:val="0"/>
          <w:lang w:eastAsia="en-GB"/>
          <w14:ligatures w14:val="none"/>
        </w:rPr>
      </w:pPr>
    </w:p>
    <w:p w14:paraId="32EC1F52" w14:textId="77777777" w:rsidR="00AA5968" w:rsidRPr="00AA5968" w:rsidRDefault="00AA5968" w:rsidP="00794C07">
      <w:pPr>
        <w:contextualSpacing/>
        <w:rPr>
          <w:rFonts w:eastAsia="Times New Roman" w:cs="Arial"/>
          <w:kern w:val="0"/>
          <w:lang w:eastAsia="en-GB"/>
          <w14:ligatures w14:val="none"/>
        </w:rPr>
      </w:pPr>
      <w:r w:rsidRPr="00AA5968">
        <w:rPr>
          <w:rFonts w:eastAsia="Times New Roman" w:cs="Arial"/>
          <w:kern w:val="0"/>
          <w:lang w:eastAsia="en-GB"/>
          <w14:ligatures w14:val="none"/>
        </w:rPr>
        <w:t>Based on the above, the health board has not identified any current or future needs for this service within the locality.</w:t>
      </w:r>
    </w:p>
    <w:p w14:paraId="277A564C" w14:textId="77777777" w:rsidR="00AA5968" w:rsidRPr="00AA5968" w:rsidRDefault="00AA5968" w:rsidP="00794C07">
      <w:pPr>
        <w:rPr>
          <w:rFonts w:eastAsia="Times New Roman" w:cs="Arial"/>
          <w:kern w:val="0"/>
          <w:lang w:eastAsia="en-GB"/>
          <w14:ligatures w14:val="none"/>
        </w:rPr>
      </w:pPr>
    </w:p>
    <w:p w14:paraId="1B4D5C5B"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11.8.3.3 Inhaler review service</w:t>
      </w:r>
    </w:p>
    <w:p w14:paraId="01DCD220" w14:textId="77777777" w:rsidR="00AA5968" w:rsidRPr="00AA5968" w:rsidRDefault="00AA5968" w:rsidP="00794C07">
      <w:pPr>
        <w:rPr>
          <w:rFonts w:eastAsia="Times New Roman" w:cs="Arial"/>
          <w:b/>
          <w:bCs/>
          <w:kern w:val="0"/>
          <w:lang w:eastAsia="en-GB"/>
          <w14:ligatures w14:val="none"/>
        </w:rPr>
      </w:pPr>
    </w:p>
    <w:p w14:paraId="0F75B88B"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The health board has noted six of the pharmacies have signed up to provide this service and pharmacies provide it. It has also noted that GP practices will provide the service which reduces demand for the service to be provided by pharmacies. If a pharmacy identified that the service is required by its users, the health board would commission the service from that pharmacy.</w:t>
      </w:r>
    </w:p>
    <w:p w14:paraId="323578B4" w14:textId="77777777" w:rsidR="00AA5968" w:rsidRPr="00AA5968" w:rsidRDefault="00AA5968" w:rsidP="00794C07">
      <w:pPr>
        <w:rPr>
          <w:rFonts w:eastAsia="Times New Roman" w:cs="Arial"/>
          <w:kern w:val="0"/>
          <w:lang w:eastAsia="en-GB"/>
          <w14:ligatures w14:val="none"/>
        </w:rPr>
      </w:pPr>
    </w:p>
    <w:p w14:paraId="48645174"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Based on the above, the health board has not identified any current or future needs for this service within the locality.</w:t>
      </w:r>
    </w:p>
    <w:p w14:paraId="4B95B498" w14:textId="77777777" w:rsidR="00AA5968" w:rsidRPr="00AA5968" w:rsidRDefault="00AA5968" w:rsidP="00794C07">
      <w:pPr>
        <w:rPr>
          <w:rFonts w:eastAsia="Times New Roman" w:cs="Arial"/>
          <w:b/>
          <w:bCs/>
          <w:kern w:val="0"/>
          <w:lang w:eastAsia="en-GB"/>
          <w14:ligatures w14:val="none"/>
        </w:rPr>
      </w:pPr>
    </w:p>
    <w:p w14:paraId="493E02CF"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11.8.3.4 Just in case service (palliative care packs)</w:t>
      </w:r>
    </w:p>
    <w:p w14:paraId="6AFEA600" w14:textId="77777777" w:rsidR="00AA5968" w:rsidRPr="00AA5968" w:rsidRDefault="00AA5968" w:rsidP="00794C07">
      <w:pPr>
        <w:rPr>
          <w:rFonts w:eastAsia="Times New Roman" w:cs="Arial"/>
          <w:kern w:val="0"/>
          <w:lang w:eastAsia="en-GB"/>
          <w14:ligatures w14:val="none"/>
        </w:rPr>
      </w:pPr>
    </w:p>
    <w:p w14:paraId="46332FEE"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 xml:space="preserve">The health board has noted eight of the pharmacies have signed up to provide this service, and one pharmacy provides it. </w:t>
      </w:r>
    </w:p>
    <w:p w14:paraId="34C2A6E3" w14:textId="77777777" w:rsidR="00AA5968" w:rsidRPr="00AA5968" w:rsidRDefault="00AA5968" w:rsidP="00794C07">
      <w:pPr>
        <w:ind w:left="360"/>
        <w:rPr>
          <w:rFonts w:eastAsia="Times New Roman" w:cs="Arial"/>
          <w:kern w:val="0"/>
          <w:lang w:eastAsia="en-GB"/>
          <w14:ligatures w14:val="none"/>
        </w:rPr>
      </w:pPr>
    </w:p>
    <w:p w14:paraId="2A891BBF" w14:textId="77777777" w:rsidR="00AA5968" w:rsidRPr="00AA5968" w:rsidRDefault="00AA5968" w:rsidP="00794C07">
      <w:pPr>
        <w:contextualSpacing/>
        <w:rPr>
          <w:rFonts w:eastAsia="Times New Roman" w:cs="Arial"/>
          <w:kern w:val="0"/>
          <w:lang w:eastAsia="en-GB"/>
          <w14:ligatures w14:val="none"/>
        </w:rPr>
      </w:pPr>
      <w:r w:rsidRPr="00AA5968">
        <w:rPr>
          <w:rFonts w:eastAsia="Times New Roman" w:cs="Arial"/>
          <w:kern w:val="0"/>
          <w:lang w:eastAsia="en-GB"/>
          <w14:ligatures w14:val="none"/>
        </w:rPr>
        <w:t>Services are available within the locality through several other providers in the wider health board area, such as through the health board’s palliative care team.</w:t>
      </w:r>
    </w:p>
    <w:p w14:paraId="68FA3A96" w14:textId="77777777" w:rsidR="00AA5968" w:rsidRPr="00AA5968" w:rsidRDefault="00AA5968" w:rsidP="00794C07">
      <w:pPr>
        <w:contextualSpacing/>
        <w:rPr>
          <w:rFonts w:eastAsia="Times New Roman" w:cs="Arial"/>
          <w:kern w:val="0"/>
          <w:lang w:eastAsia="en-GB"/>
          <w14:ligatures w14:val="none"/>
        </w:rPr>
      </w:pPr>
    </w:p>
    <w:p w14:paraId="62A68247"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Based on the above, the health board has not identified any current or future needs for this service within the locality.</w:t>
      </w:r>
    </w:p>
    <w:p w14:paraId="28E0CC50" w14:textId="77777777" w:rsidR="00AA5968" w:rsidRPr="00AA5968" w:rsidRDefault="00AA5968" w:rsidP="00794C07">
      <w:pPr>
        <w:ind w:left="360"/>
        <w:rPr>
          <w:rFonts w:eastAsia="Times New Roman" w:cs="Arial"/>
          <w:kern w:val="0"/>
          <w:lang w:eastAsia="en-GB"/>
          <w14:ligatures w14:val="none"/>
        </w:rPr>
      </w:pPr>
    </w:p>
    <w:p w14:paraId="530AEFD4"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 xml:space="preserve">11.8.3.5 Medicines administration record service </w:t>
      </w:r>
    </w:p>
    <w:p w14:paraId="659F7EE4" w14:textId="77777777" w:rsidR="00AA5968" w:rsidRPr="00AA5968" w:rsidRDefault="00AA5968" w:rsidP="00794C07">
      <w:pPr>
        <w:rPr>
          <w:rFonts w:eastAsia="Times New Roman" w:cs="Arial"/>
          <w:kern w:val="0"/>
          <w:lang w:eastAsia="en-GB"/>
          <w14:ligatures w14:val="none"/>
        </w:rPr>
      </w:pPr>
    </w:p>
    <w:p w14:paraId="32D3D9BB"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The health board has noted that all the pharmacies have signed up to provide this service, and nine pharmacies provide it. The health board has therefore not identified any current or future needs for this service within the locality.</w:t>
      </w:r>
    </w:p>
    <w:p w14:paraId="045499CD" w14:textId="77777777" w:rsidR="00AA5968" w:rsidRPr="00AA5968" w:rsidRDefault="00AA5968" w:rsidP="00794C07">
      <w:pPr>
        <w:rPr>
          <w:rFonts w:eastAsia="Times New Roman" w:cs="Arial"/>
          <w:b/>
          <w:bCs/>
          <w:kern w:val="0"/>
          <w:lang w:eastAsia="en-GB"/>
          <w14:ligatures w14:val="none"/>
        </w:rPr>
      </w:pPr>
    </w:p>
    <w:p w14:paraId="3C9D1029"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11.8.3.6 Needle and syringe programmes</w:t>
      </w:r>
    </w:p>
    <w:p w14:paraId="7081C1B2" w14:textId="77777777" w:rsidR="00AA5968" w:rsidRPr="00AA5968" w:rsidRDefault="00AA5968" w:rsidP="00794C07">
      <w:pPr>
        <w:rPr>
          <w:rFonts w:eastAsia="Times New Roman" w:cs="Arial"/>
          <w:kern w:val="0"/>
          <w:lang w:eastAsia="en-GB"/>
          <w14:ligatures w14:val="none"/>
        </w:rPr>
      </w:pPr>
    </w:p>
    <w:p w14:paraId="3CF0AA79"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 xml:space="preserve">The health board has noted four of the pharmacies have signed up to provide this service, and three pharmacies provide it. </w:t>
      </w:r>
    </w:p>
    <w:p w14:paraId="77C8B181" w14:textId="77777777" w:rsidR="00AA5968" w:rsidRPr="00AA5968" w:rsidRDefault="00AA5968" w:rsidP="00794C07">
      <w:pPr>
        <w:rPr>
          <w:rFonts w:eastAsia="Times New Roman" w:cs="Arial"/>
          <w:kern w:val="0"/>
          <w:lang w:eastAsia="en-GB"/>
          <w14:ligatures w14:val="none"/>
        </w:rPr>
      </w:pPr>
    </w:p>
    <w:p w14:paraId="694EA1FD"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The health board has noted that this service is also provided by other providers and that demand for it has decreased across the full range of providers, reflecting changes in service user behaviour. No complaints have been received by the health board regarding discarded needles and syringes in public spaces. If a pharmacy wished to subsequently provide the service due to an increase in demand the health board would commission the pharmacy accordingly.</w:t>
      </w:r>
    </w:p>
    <w:p w14:paraId="08A95821" w14:textId="77777777" w:rsidR="00AA5968" w:rsidRPr="00AA5968" w:rsidRDefault="00AA5968" w:rsidP="00794C07">
      <w:pPr>
        <w:rPr>
          <w:rFonts w:eastAsia="Times New Roman" w:cs="Arial"/>
          <w:kern w:val="0"/>
          <w:lang w:eastAsia="en-GB"/>
          <w14:ligatures w14:val="none"/>
        </w:rPr>
      </w:pPr>
    </w:p>
    <w:p w14:paraId="63A6AF12"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Based on the above, the health board has not identified any current or future needs for this service within the locality.</w:t>
      </w:r>
    </w:p>
    <w:p w14:paraId="32C16025" w14:textId="77777777" w:rsidR="00741989" w:rsidRPr="00AA5968" w:rsidRDefault="00741989" w:rsidP="00794C07">
      <w:pPr>
        <w:ind w:left="720"/>
        <w:contextualSpacing/>
        <w:rPr>
          <w:rFonts w:eastAsia="Times New Roman" w:cs="Arial"/>
          <w:kern w:val="0"/>
          <w:lang w:eastAsia="en-GB"/>
          <w14:ligatures w14:val="none"/>
        </w:rPr>
      </w:pPr>
    </w:p>
    <w:p w14:paraId="1F533E9E"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11.8.3.7 Help me quit @ pharmacy (level 2 smoking cessation) service</w:t>
      </w:r>
    </w:p>
    <w:p w14:paraId="5795E693" w14:textId="77777777" w:rsidR="00AA5968" w:rsidRPr="00AA5968" w:rsidRDefault="00AA5968" w:rsidP="00794C07">
      <w:pPr>
        <w:rPr>
          <w:rFonts w:eastAsia="Times New Roman" w:cs="Arial"/>
          <w:kern w:val="0"/>
          <w:lang w:eastAsia="en-GB"/>
          <w14:ligatures w14:val="none"/>
        </w:rPr>
      </w:pPr>
    </w:p>
    <w:p w14:paraId="2CBB7191"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The health board has noted that all the pharmacies have signed up to provide this service and provide it. The health board has therefore not identified any current or future needs for this service within the locality.</w:t>
      </w:r>
    </w:p>
    <w:p w14:paraId="2E008B30" w14:textId="77777777" w:rsidR="00AA5968" w:rsidRPr="00AA5968" w:rsidRDefault="00AA5968" w:rsidP="00794C07">
      <w:pPr>
        <w:ind w:left="360"/>
        <w:rPr>
          <w:rFonts w:eastAsia="Times New Roman" w:cs="Arial"/>
          <w:kern w:val="0"/>
          <w:lang w:eastAsia="en-GB"/>
          <w14:ligatures w14:val="none"/>
        </w:rPr>
      </w:pPr>
    </w:p>
    <w:p w14:paraId="65E87D29"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11.8.3.8 Help me quit @ pharmacy (level 3 smoking cessation) service</w:t>
      </w:r>
    </w:p>
    <w:p w14:paraId="23168E19" w14:textId="77777777" w:rsidR="00AA5968" w:rsidRPr="00AA5968" w:rsidRDefault="00AA5968" w:rsidP="00794C07">
      <w:pPr>
        <w:rPr>
          <w:rFonts w:eastAsia="Times New Roman" w:cs="Arial"/>
          <w:kern w:val="0"/>
          <w:lang w:eastAsia="en-GB"/>
          <w14:ligatures w14:val="none"/>
        </w:rPr>
      </w:pPr>
    </w:p>
    <w:p w14:paraId="335626C1"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 xml:space="preserve">The health board has noted that all the pharmacies have signed up to provide this service, and eight provide it. </w:t>
      </w:r>
    </w:p>
    <w:p w14:paraId="0B199382" w14:textId="77777777" w:rsidR="00AA5968" w:rsidRPr="00AA5968" w:rsidRDefault="00AA5968" w:rsidP="00794C07">
      <w:pPr>
        <w:rPr>
          <w:rFonts w:eastAsia="Times New Roman" w:cs="Arial"/>
          <w:kern w:val="0"/>
          <w:lang w:eastAsia="en-GB"/>
          <w14:ligatures w14:val="none"/>
        </w:rPr>
      </w:pPr>
    </w:p>
    <w:p w14:paraId="6F3C8A16"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 xml:space="preserve">The health board has noted that service user behaviour and needs are changing, with more people using vapes instead of smoking tobacco. The service is not appropriate for those who wish to stop vaping. The service is also not appropriate for </w:t>
      </w:r>
      <w:r w:rsidRPr="00AA5968">
        <w:rPr>
          <w:rFonts w:eastAsia="Times New Roman" w:cs="Arial"/>
          <w:kern w:val="0"/>
          <w:lang w:eastAsia="en-GB"/>
          <w14:ligatures w14:val="none"/>
        </w:rPr>
        <w:lastRenderedPageBreak/>
        <w:t>those who are heavy smokers and who have smoked for a number of years as the drugs they require to stop smoking are not available under this service.</w:t>
      </w:r>
    </w:p>
    <w:p w14:paraId="008A601D" w14:textId="77777777" w:rsidR="00AA5968" w:rsidRPr="00AA5968" w:rsidRDefault="00AA5968" w:rsidP="00794C07">
      <w:pPr>
        <w:rPr>
          <w:rFonts w:eastAsia="Times New Roman" w:cs="Arial"/>
          <w:kern w:val="0"/>
          <w:lang w:eastAsia="en-GB"/>
          <w14:ligatures w14:val="none"/>
        </w:rPr>
      </w:pPr>
    </w:p>
    <w:p w14:paraId="5795DE39"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Based on the above, the health board has not identified any current or future needs for this service within the locality.</w:t>
      </w:r>
    </w:p>
    <w:p w14:paraId="2B7B188F" w14:textId="77777777" w:rsidR="00AA5968" w:rsidRPr="00AA5968" w:rsidRDefault="00AA5968" w:rsidP="00794C07">
      <w:pPr>
        <w:ind w:left="360"/>
        <w:rPr>
          <w:rFonts w:eastAsia="Times New Roman" w:cs="Arial"/>
          <w:kern w:val="0"/>
          <w:lang w:eastAsia="en-GB"/>
          <w14:ligatures w14:val="none"/>
        </w:rPr>
      </w:pPr>
    </w:p>
    <w:p w14:paraId="2C6A01D0"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11.8.3.9 Supervised administration of medicines service</w:t>
      </w:r>
    </w:p>
    <w:p w14:paraId="79D4568F" w14:textId="77777777" w:rsidR="00AA5968" w:rsidRPr="00AA5968" w:rsidRDefault="00AA5968" w:rsidP="00794C07">
      <w:pPr>
        <w:rPr>
          <w:rFonts w:eastAsia="Times New Roman" w:cs="Arial"/>
          <w:kern w:val="0"/>
          <w:lang w:eastAsia="en-GB"/>
          <w14:ligatures w14:val="none"/>
        </w:rPr>
      </w:pPr>
    </w:p>
    <w:p w14:paraId="6209AF86"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The health board has noted seven of the pharmacies have signed up to provide this service and provide it. The health board is satisfied that there is a good spread of pharmacies across the locality who do, or could, provide the service if required.</w:t>
      </w:r>
    </w:p>
    <w:p w14:paraId="289F8006" w14:textId="77777777" w:rsidR="00AA5968" w:rsidRPr="00AA5968" w:rsidRDefault="00AA5968" w:rsidP="00794C07">
      <w:pPr>
        <w:rPr>
          <w:rFonts w:eastAsia="Times New Roman" w:cs="Arial"/>
          <w:kern w:val="0"/>
          <w:lang w:eastAsia="en-GB"/>
          <w14:ligatures w14:val="none"/>
        </w:rPr>
      </w:pPr>
    </w:p>
    <w:p w14:paraId="09FF1F94"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The health board has therefore not identified any current or future needs for this service within the locality.</w:t>
      </w:r>
    </w:p>
    <w:p w14:paraId="1B6B297D" w14:textId="77777777" w:rsidR="00AA5968" w:rsidRPr="00AA5968" w:rsidRDefault="00AA5968" w:rsidP="00794C07">
      <w:pPr>
        <w:rPr>
          <w:rFonts w:eastAsia="Times New Roman" w:cs="Arial"/>
          <w:kern w:val="0"/>
          <w:lang w:eastAsia="en-GB"/>
          <w14:ligatures w14:val="none"/>
        </w:rPr>
      </w:pPr>
    </w:p>
    <w:p w14:paraId="79236724" w14:textId="77777777" w:rsidR="00AA5968" w:rsidRPr="00AA5968" w:rsidRDefault="00AA5968" w:rsidP="00794C07">
      <w:pPr>
        <w:rPr>
          <w:rFonts w:eastAsia="Times New Roman" w:cs="Arial"/>
          <w:b/>
          <w:bCs/>
          <w:kern w:val="0"/>
          <w:lang w:eastAsia="en-GB"/>
          <w14:ligatures w14:val="none"/>
        </w:rPr>
      </w:pPr>
      <w:r w:rsidRPr="00AA5968">
        <w:rPr>
          <w:rFonts w:eastAsia="Times New Roman" w:cs="Arial"/>
          <w:b/>
          <w:bCs/>
          <w:kern w:val="0"/>
          <w:lang w:eastAsia="en-GB"/>
          <w14:ligatures w14:val="none"/>
        </w:rPr>
        <w:t xml:space="preserve">11.8.3.10 Urgent medicines service </w:t>
      </w:r>
    </w:p>
    <w:p w14:paraId="5E38BBE6" w14:textId="77777777" w:rsidR="00AA5968" w:rsidRPr="00AA5968" w:rsidRDefault="00AA5968" w:rsidP="00794C07">
      <w:pPr>
        <w:rPr>
          <w:rFonts w:eastAsia="Times New Roman" w:cs="Arial"/>
          <w:kern w:val="0"/>
          <w:lang w:eastAsia="en-GB"/>
          <w14:ligatures w14:val="none"/>
        </w:rPr>
      </w:pPr>
    </w:p>
    <w:p w14:paraId="418D4F14"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The health board has noted three of the pharmacies have signed up to provide this service. Due to the nature of the service, it is commissioned to ensure a good geographical spread of pharmacies providing it across the health board’s geography. The health board continues to monitor provision of the service and would commission more pharmacies to provide if required.</w:t>
      </w:r>
    </w:p>
    <w:p w14:paraId="651F9B03" w14:textId="77777777" w:rsidR="00AA5968" w:rsidRPr="00AA5968" w:rsidRDefault="00AA5968" w:rsidP="00794C07">
      <w:pPr>
        <w:rPr>
          <w:rFonts w:eastAsia="Times New Roman" w:cs="Arial"/>
          <w:kern w:val="0"/>
          <w:lang w:eastAsia="en-GB"/>
          <w14:ligatures w14:val="none"/>
        </w:rPr>
      </w:pPr>
    </w:p>
    <w:p w14:paraId="088ABFC0" w14:textId="77777777" w:rsidR="00AA5968" w:rsidRPr="00AA5968" w:rsidRDefault="00AA5968" w:rsidP="00794C07">
      <w:pPr>
        <w:rPr>
          <w:rFonts w:eastAsia="Times New Roman" w:cs="Arial"/>
          <w:kern w:val="0"/>
          <w:lang w:eastAsia="en-GB"/>
          <w14:ligatures w14:val="none"/>
        </w:rPr>
      </w:pPr>
      <w:r w:rsidRPr="00AA5968">
        <w:rPr>
          <w:rFonts w:eastAsia="Times New Roman" w:cs="Arial"/>
          <w:kern w:val="0"/>
          <w:lang w:eastAsia="en-GB"/>
          <w14:ligatures w14:val="none"/>
        </w:rPr>
        <w:t>The health board has therefore not identified any current or future needs for this service within the locality.</w:t>
      </w:r>
    </w:p>
    <w:p w14:paraId="4DEACD51" w14:textId="77777777" w:rsidR="00AA5968" w:rsidRPr="00AA5968" w:rsidRDefault="00AA5968" w:rsidP="00794C07">
      <w:pPr>
        <w:rPr>
          <w:rFonts w:eastAsia="Times New Roman" w:cs="Arial"/>
          <w:kern w:val="0"/>
          <w:lang w:eastAsia="en-GB"/>
          <w14:ligatures w14:val="none"/>
        </w:rPr>
      </w:pPr>
    </w:p>
    <w:p w14:paraId="6B807AC4" w14:textId="0232E95A" w:rsidR="00741989" w:rsidRPr="00D0306F" w:rsidRDefault="00741989">
      <w:pPr>
        <w:spacing w:after="160" w:line="278" w:lineRule="auto"/>
        <w:rPr>
          <w:rFonts w:cs="Arial"/>
        </w:rPr>
      </w:pPr>
      <w:r w:rsidRPr="00D0306F">
        <w:rPr>
          <w:rFonts w:cs="Arial"/>
        </w:rPr>
        <w:br w:type="page"/>
      </w:r>
    </w:p>
    <w:p w14:paraId="6C4B9FBD" w14:textId="6FB7D5E4" w:rsidR="003A1CEC" w:rsidRPr="00D0306F" w:rsidRDefault="003A1CEC" w:rsidP="003A1CEC">
      <w:pPr>
        <w:pStyle w:val="Heading1"/>
        <w:rPr>
          <w:rFonts w:eastAsia="Aptos"/>
          <w:sz w:val="28"/>
          <w:szCs w:val="28"/>
        </w:rPr>
      </w:pPr>
      <w:bookmarkStart w:id="38" w:name="_Toc235185383"/>
      <w:r w:rsidRPr="00D0306F">
        <w:rPr>
          <w:rFonts w:eastAsia="Aptos"/>
          <w:sz w:val="28"/>
          <w:szCs w:val="28"/>
        </w:rPr>
        <w:lastRenderedPageBreak/>
        <w:t>12 Penderi locality</w:t>
      </w:r>
      <w:bookmarkEnd w:id="38"/>
    </w:p>
    <w:p w14:paraId="22AAFB56" w14:textId="77777777" w:rsidR="00122285" w:rsidRPr="00122285" w:rsidRDefault="00122285" w:rsidP="00122285">
      <w:pPr>
        <w:rPr>
          <w:rFonts w:eastAsia="Aptos" w:cs="Arial"/>
        </w:rPr>
      </w:pPr>
    </w:p>
    <w:p w14:paraId="1478C80B" w14:textId="77777777" w:rsidR="00122285" w:rsidRPr="00122285" w:rsidRDefault="00122285" w:rsidP="00122285">
      <w:pPr>
        <w:rPr>
          <w:rFonts w:eastAsia="Aptos" w:cs="Arial"/>
          <w:b/>
          <w:bCs/>
          <w:sz w:val="26"/>
          <w:szCs w:val="26"/>
        </w:rPr>
      </w:pPr>
      <w:r w:rsidRPr="00122285">
        <w:rPr>
          <w:rFonts w:eastAsia="Aptos" w:cs="Arial"/>
          <w:b/>
          <w:bCs/>
          <w:sz w:val="26"/>
          <w:szCs w:val="26"/>
        </w:rPr>
        <w:t>12.1 Key facts</w:t>
      </w:r>
    </w:p>
    <w:p w14:paraId="789F1181" w14:textId="77777777" w:rsidR="00122285" w:rsidRPr="00122285" w:rsidRDefault="00122285" w:rsidP="00122285">
      <w:pPr>
        <w:rPr>
          <w:rFonts w:eastAsia="Aptos" w:cs="Arial"/>
        </w:rPr>
      </w:pPr>
    </w:p>
    <w:p w14:paraId="096F74F5" w14:textId="78DB4EFA" w:rsidR="00122285" w:rsidRPr="00122285" w:rsidRDefault="00122285" w:rsidP="00B76905">
      <w:pPr>
        <w:numPr>
          <w:ilvl w:val="0"/>
          <w:numId w:val="177"/>
        </w:numPr>
        <w:contextualSpacing/>
        <w:rPr>
          <w:rFonts w:eastAsia="Aptos" w:cs="Arial"/>
        </w:rPr>
      </w:pPr>
      <w:r w:rsidRPr="00122285">
        <w:rPr>
          <w:rFonts w:eastAsia="Aptos" w:cs="Arial"/>
        </w:rPr>
        <w:t>The locality geographically covers the wards: Castle (part), Cockett (part), Cwmbwrla, Mynyddbach (part), and Penderry.</w:t>
      </w:r>
      <w:r w:rsidR="00B752FC">
        <w:rPr>
          <w:rFonts w:eastAsia="Aptos" w:cs="Arial"/>
        </w:rPr>
        <w:t xml:space="preserve"> </w:t>
      </w:r>
    </w:p>
    <w:p w14:paraId="13E68E7C" w14:textId="77777777" w:rsidR="00122285" w:rsidRPr="00122285" w:rsidRDefault="00122285" w:rsidP="00B76905">
      <w:pPr>
        <w:numPr>
          <w:ilvl w:val="0"/>
          <w:numId w:val="177"/>
        </w:numPr>
        <w:contextualSpacing/>
        <w:rPr>
          <w:rFonts w:eastAsia="Aptos" w:cs="Arial"/>
        </w:rPr>
      </w:pPr>
      <w:r w:rsidRPr="00122285">
        <w:rPr>
          <w:rFonts w:eastAsia="Aptos" w:cs="Arial"/>
        </w:rPr>
        <w:t>The Penderi locality serves a registered population of 37,719</w:t>
      </w:r>
      <w:r w:rsidRPr="00122285">
        <w:rPr>
          <w:rFonts w:eastAsia="Aptos" w:cs="Arial"/>
          <w:vertAlign w:val="superscript"/>
        </w:rPr>
        <w:footnoteReference w:id="290"/>
      </w:r>
      <w:r w:rsidRPr="00122285">
        <w:rPr>
          <w:rFonts w:eastAsia="Aptos" w:cs="Arial"/>
        </w:rPr>
        <w:t xml:space="preserve"> (January 2026) and is the second smallest locality by registered population in Swansea Bay University Health Board and is the smallest of the five localities in Swansea.</w:t>
      </w:r>
    </w:p>
    <w:p w14:paraId="0EF4D65C" w14:textId="77777777" w:rsidR="00122285" w:rsidRPr="00122285" w:rsidRDefault="00122285" w:rsidP="00B76905">
      <w:pPr>
        <w:numPr>
          <w:ilvl w:val="0"/>
          <w:numId w:val="177"/>
        </w:numPr>
        <w:contextualSpacing/>
        <w:rPr>
          <w:rFonts w:eastAsia="Aptos" w:cs="Arial"/>
        </w:rPr>
      </w:pPr>
      <w:r w:rsidRPr="00122285">
        <w:rPr>
          <w:rFonts w:eastAsia="Aptos" w:cs="Arial"/>
        </w:rPr>
        <w:t>The locality has a registered population of 6,911 aged 65 years and over (18.3%) which is lower than the Welsh average of 21.9%.</w:t>
      </w:r>
    </w:p>
    <w:p w14:paraId="61D03A72" w14:textId="77777777" w:rsidR="00122285" w:rsidRPr="00122285" w:rsidRDefault="00122285" w:rsidP="00B76905">
      <w:pPr>
        <w:numPr>
          <w:ilvl w:val="0"/>
          <w:numId w:val="177"/>
        </w:numPr>
        <w:contextualSpacing/>
        <w:rPr>
          <w:rFonts w:eastAsia="Aptos" w:cs="Arial"/>
        </w:rPr>
      </w:pPr>
      <w:r w:rsidRPr="00122285">
        <w:rPr>
          <w:rFonts w:eastAsia="Aptos" w:cs="Arial"/>
        </w:rPr>
        <w:t>The number of Welsh speakers in Swansea remained at 11.2% in 2021. Approximately 350 fewer Welsh-speaking residents aged over three years compared with 2011 Census. The number of non-Welsh speaking residents increased by 1,100</w:t>
      </w:r>
      <w:r w:rsidRPr="00122285">
        <w:rPr>
          <w:rFonts w:eastAsia="Aptos" w:cs="Arial"/>
          <w:vertAlign w:val="superscript"/>
        </w:rPr>
        <w:footnoteReference w:id="291"/>
      </w:r>
      <w:r w:rsidRPr="00122285">
        <w:rPr>
          <w:rFonts w:eastAsia="Aptos" w:cs="Arial"/>
        </w:rPr>
        <w:t>.</w:t>
      </w:r>
    </w:p>
    <w:p w14:paraId="0C5F1C02" w14:textId="77777777" w:rsidR="00122285" w:rsidRPr="00122285" w:rsidRDefault="00122285" w:rsidP="00B76905">
      <w:pPr>
        <w:numPr>
          <w:ilvl w:val="0"/>
          <w:numId w:val="177"/>
        </w:numPr>
        <w:contextualSpacing/>
        <w:rPr>
          <w:rFonts w:eastAsia="Aptos" w:cs="Arial"/>
        </w:rPr>
      </w:pPr>
      <w:r w:rsidRPr="00122285">
        <w:rPr>
          <w:rFonts w:eastAsia="Aptos" w:cs="Arial"/>
        </w:rPr>
        <w:t>Swansea local authority population is projected to increase by 6.1% by the year 2032.</w:t>
      </w:r>
      <w:r w:rsidRPr="00122285">
        <w:rPr>
          <w:rFonts w:eastAsia="Aptos" w:cs="Arial"/>
          <w:vertAlign w:val="superscript"/>
        </w:rPr>
        <w:footnoteReference w:id="292"/>
      </w:r>
      <w:r w:rsidRPr="00122285">
        <w:rPr>
          <w:rFonts w:eastAsia="Aptos" w:cs="Arial"/>
        </w:rPr>
        <w:t xml:space="preserve"> </w:t>
      </w:r>
    </w:p>
    <w:p w14:paraId="37C21E1E" w14:textId="77777777" w:rsidR="00122285" w:rsidRPr="00122285" w:rsidRDefault="00122285" w:rsidP="00B76905">
      <w:pPr>
        <w:numPr>
          <w:ilvl w:val="0"/>
          <w:numId w:val="177"/>
        </w:numPr>
        <w:contextualSpacing/>
        <w:rPr>
          <w:rFonts w:eastAsia="Aptos" w:cs="Arial"/>
        </w:rPr>
      </w:pPr>
      <w:r w:rsidRPr="00122285">
        <w:rPr>
          <w:rFonts w:eastAsia="Aptos" w:cs="Arial"/>
        </w:rPr>
        <w:t>There are 240 lower layer super output areas in the health board, 150 lower layer super output areas fall within Swansea local authority, and 20 (around 13%) are in the 10% most deprived in Wales</w:t>
      </w:r>
      <w:r w:rsidRPr="00122285">
        <w:rPr>
          <w:rFonts w:eastAsia="Aptos" w:cs="Arial"/>
          <w:vertAlign w:val="superscript"/>
        </w:rPr>
        <w:footnoteReference w:id="293"/>
      </w:r>
      <w:r w:rsidRPr="00122285">
        <w:rPr>
          <w:rFonts w:eastAsia="Aptos" w:cs="Arial"/>
        </w:rPr>
        <w:t>.</w:t>
      </w:r>
    </w:p>
    <w:p w14:paraId="2D0A30E1" w14:textId="77777777" w:rsidR="00122285" w:rsidRPr="00122285" w:rsidRDefault="00122285" w:rsidP="00B76905">
      <w:pPr>
        <w:numPr>
          <w:ilvl w:val="0"/>
          <w:numId w:val="177"/>
        </w:numPr>
        <w:contextualSpacing/>
        <w:rPr>
          <w:rFonts w:eastAsia="Aptos" w:cs="Arial"/>
        </w:rPr>
      </w:pPr>
      <w:r w:rsidRPr="00122285">
        <w:rPr>
          <w:rFonts w:eastAsia="Aptos" w:cs="Arial"/>
        </w:rPr>
        <w:t xml:space="preserve">Of the 20% most deprived lower layer super output areas in Wales, 34 are within Swansea, with ten found within the locality. </w:t>
      </w:r>
    </w:p>
    <w:p w14:paraId="7B01E241" w14:textId="77777777" w:rsidR="00122285" w:rsidRPr="00122285" w:rsidRDefault="00122285" w:rsidP="00B76905">
      <w:pPr>
        <w:numPr>
          <w:ilvl w:val="0"/>
          <w:numId w:val="177"/>
        </w:numPr>
        <w:contextualSpacing/>
        <w:rPr>
          <w:rFonts w:eastAsia="Aptos" w:cs="Arial"/>
        </w:rPr>
      </w:pPr>
      <w:r w:rsidRPr="00122285">
        <w:rPr>
          <w:rFonts w:eastAsia="Aptos" w:cs="Arial"/>
        </w:rPr>
        <w:t xml:space="preserve">Consisting of 23 lower layer super output areas, this area includes the urban areas to the north-west of the city and is adjacent to four of the other five areas. It has the smallest land area of the Swansea localities. Penderi is the most deprived locality in Swansea. </w:t>
      </w:r>
    </w:p>
    <w:p w14:paraId="1251D280" w14:textId="77777777" w:rsidR="00122285" w:rsidRPr="00122285" w:rsidRDefault="00122285" w:rsidP="00B76905">
      <w:pPr>
        <w:numPr>
          <w:ilvl w:val="0"/>
          <w:numId w:val="156"/>
        </w:numPr>
        <w:contextualSpacing/>
        <w:rPr>
          <w:rFonts w:eastAsia="Aptos" w:cs="Arial"/>
        </w:rPr>
      </w:pPr>
      <w:r w:rsidRPr="00122285">
        <w:rPr>
          <w:rFonts w:eastAsia="Aptos" w:cs="Arial"/>
        </w:rPr>
        <w:t>The locality is served by:</w:t>
      </w:r>
    </w:p>
    <w:p w14:paraId="680527C7" w14:textId="77777777" w:rsidR="00122285" w:rsidRPr="00122285" w:rsidRDefault="00122285" w:rsidP="00B76905">
      <w:pPr>
        <w:numPr>
          <w:ilvl w:val="1"/>
          <w:numId w:val="156"/>
        </w:numPr>
        <w:contextualSpacing/>
        <w:rPr>
          <w:rFonts w:eastAsia="Aptos" w:cs="Arial"/>
        </w:rPr>
      </w:pPr>
      <w:r w:rsidRPr="00122285">
        <w:rPr>
          <w:rFonts w:eastAsia="Aptos" w:cs="Arial"/>
        </w:rPr>
        <w:t>nine community pharmacies operated by seven contractors</w:t>
      </w:r>
    </w:p>
    <w:p w14:paraId="28D3EEBC" w14:textId="77777777" w:rsidR="00122285" w:rsidRPr="00122285" w:rsidRDefault="00122285" w:rsidP="00B76905">
      <w:pPr>
        <w:numPr>
          <w:ilvl w:val="1"/>
          <w:numId w:val="156"/>
        </w:numPr>
        <w:contextualSpacing/>
        <w:rPr>
          <w:rFonts w:eastAsia="Aptos" w:cs="Arial"/>
        </w:rPr>
      </w:pPr>
      <w:r w:rsidRPr="00122285">
        <w:rPr>
          <w:rFonts w:eastAsia="Aptos" w:cs="Arial"/>
        </w:rPr>
        <w:t xml:space="preserve">four dental practices that offer NHS treatment </w:t>
      </w:r>
    </w:p>
    <w:p w14:paraId="657A7C49" w14:textId="77777777" w:rsidR="00122285" w:rsidRPr="00122285" w:rsidRDefault="00122285" w:rsidP="00B76905">
      <w:pPr>
        <w:numPr>
          <w:ilvl w:val="1"/>
          <w:numId w:val="156"/>
        </w:numPr>
        <w:contextualSpacing/>
        <w:rPr>
          <w:rFonts w:eastAsia="Aptos" w:cs="Arial"/>
        </w:rPr>
      </w:pPr>
      <w:r w:rsidRPr="00122285">
        <w:rPr>
          <w:rFonts w:eastAsia="Aptos" w:cs="Arial"/>
        </w:rPr>
        <w:t xml:space="preserve">three optical practices </w:t>
      </w:r>
    </w:p>
    <w:p w14:paraId="26FEDC21" w14:textId="77777777" w:rsidR="00122285" w:rsidRPr="00122285" w:rsidRDefault="00122285" w:rsidP="00B76905">
      <w:pPr>
        <w:numPr>
          <w:ilvl w:val="1"/>
          <w:numId w:val="156"/>
        </w:numPr>
        <w:contextualSpacing/>
        <w:rPr>
          <w:rFonts w:eastAsia="Aptos" w:cs="Arial"/>
        </w:rPr>
      </w:pPr>
      <w:r w:rsidRPr="00122285">
        <w:rPr>
          <w:rFonts w:eastAsia="Aptos" w:cs="Arial"/>
        </w:rPr>
        <w:t xml:space="preserve">five GP practices </w:t>
      </w:r>
    </w:p>
    <w:p w14:paraId="1A4FAF23" w14:textId="77777777" w:rsidR="00122285" w:rsidRPr="00122285" w:rsidRDefault="00122285" w:rsidP="00B76905">
      <w:pPr>
        <w:numPr>
          <w:ilvl w:val="0"/>
          <w:numId w:val="177"/>
        </w:numPr>
        <w:contextualSpacing/>
        <w:rPr>
          <w:rFonts w:eastAsia="Times New Roman" w:cs="Arial"/>
          <w:b/>
          <w:bCs/>
          <w:kern w:val="0"/>
          <w:lang w:eastAsia="en-GB"/>
          <w14:ligatures w14:val="none"/>
        </w:rPr>
      </w:pPr>
      <w:r w:rsidRPr="00122285">
        <w:rPr>
          <w:rFonts w:eastAsia="Aptos" w:cs="Arial"/>
        </w:rPr>
        <w:t>There are 15 care home services within the locality of which three provide services to adults with nursing, and 12 to adults without nursing.</w:t>
      </w:r>
    </w:p>
    <w:p w14:paraId="7DFEA0B0" w14:textId="77777777" w:rsidR="00122285" w:rsidRPr="00122285" w:rsidRDefault="00122285" w:rsidP="00122285">
      <w:pPr>
        <w:rPr>
          <w:rFonts w:eastAsia="Times New Roman" w:cs="Arial"/>
          <w:b/>
          <w:bCs/>
          <w:kern w:val="0"/>
          <w:lang w:eastAsia="en-GB"/>
          <w14:ligatures w14:val="none"/>
        </w:rPr>
      </w:pPr>
    </w:p>
    <w:p w14:paraId="2C676B03" w14:textId="77777777" w:rsidR="00122285" w:rsidRPr="00122285" w:rsidRDefault="00122285" w:rsidP="00122285">
      <w:pPr>
        <w:rPr>
          <w:rFonts w:eastAsia="Times New Roman" w:cs="Arial"/>
          <w:b/>
          <w:bCs/>
          <w:kern w:val="0"/>
          <w:sz w:val="26"/>
          <w:szCs w:val="26"/>
          <w:lang w:eastAsia="en-GB"/>
          <w14:ligatures w14:val="none"/>
        </w:rPr>
      </w:pPr>
      <w:r w:rsidRPr="00122285">
        <w:rPr>
          <w:rFonts w:eastAsia="Times New Roman" w:cs="Arial"/>
          <w:b/>
          <w:bCs/>
          <w:kern w:val="0"/>
          <w:sz w:val="26"/>
          <w:szCs w:val="26"/>
          <w:lang w:eastAsia="en-GB"/>
          <w14:ligatures w14:val="none"/>
        </w:rPr>
        <w:t xml:space="preserve">12.2 Key population features </w:t>
      </w:r>
    </w:p>
    <w:p w14:paraId="16811B4C" w14:textId="77777777" w:rsidR="00122285" w:rsidRPr="00122285" w:rsidRDefault="00122285" w:rsidP="00122285">
      <w:pPr>
        <w:rPr>
          <w:rFonts w:eastAsia="Times New Roman" w:cs="Arial"/>
          <w:kern w:val="0"/>
          <w:lang w:eastAsia="en-GB"/>
          <w14:ligatures w14:val="none"/>
        </w:rPr>
      </w:pPr>
    </w:p>
    <w:p w14:paraId="7200F7D7"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12.2.1 Population projections 2022 to 2032</w:t>
      </w:r>
    </w:p>
    <w:p w14:paraId="2A30ED04" w14:textId="77777777" w:rsidR="00122285" w:rsidRPr="00122285" w:rsidRDefault="00122285" w:rsidP="00122285">
      <w:pPr>
        <w:rPr>
          <w:rFonts w:eastAsia="Times New Roman" w:cs="Arial"/>
          <w:b/>
          <w:bCs/>
          <w:kern w:val="0"/>
          <w:lang w:eastAsia="en-GB"/>
          <w14:ligatures w14:val="none"/>
        </w:rPr>
      </w:pPr>
    </w:p>
    <w:p w14:paraId="32017A4F"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The population of Swansea is projected to increase by up to 6.1% between 2022 and 2032, an increase of 14,894 people. </w:t>
      </w:r>
    </w:p>
    <w:p w14:paraId="7DBE09F4" w14:textId="77777777" w:rsidR="00122285" w:rsidRPr="00122285" w:rsidRDefault="00122285" w:rsidP="00122285">
      <w:pPr>
        <w:rPr>
          <w:rFonts w:eastAsia="Times New Roman" w:cs="Arial"/>
          <w:kern w:val="0"/>
          <w:lang w:eastAsia="en-GB"/>
          <w14:ligatures w14:val="none"/>
        </w:rPr>
      </w:pPr>
    </w:p>
    <w:p w14:paraId="7E90CCFF"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lastRenderedPageBreak/>
        <w:t>It is projected by 2032</w:t>
      </w:r>
      <w:r w:rsidRPr="00122285">
        <w:rPr>
          <w:rFonts w:eastAsia="Times New Roman" w:cs="Arial"/>
          <w:kern w:val="0"/>
          <w:vertAlign w:val="superscript"/>
          <w:lang w:eastAsia="en-GB"/>
          <w14:ligatures w14:val="none"/>
        </w:rPr>
        <w:footnoteReference w:id="294"/>
      </w:r>
      <w:r w:rsidRPr="00122285">
        <w:rPr>
          <w:rFonts w:eastAsia="Times New Roman" w:cs="Arial"/>
          <w:kern w:val="0"/>
          <w:lang w:eastAsia="en-GB"/>
          <w14:ligatures w14:val="none"/>
        </w:rPr>
        <w:t xml:space="preserve"> that Swansea local authority will see:</w:t>
      </w:r>
    </w:p>
    <w:p w14:paraId="1415607B" w14:textId="77777777" w:rsidR="00122285" w:rsidRPr="00122285" w:rsidRDefault="00122285" w:rsidP="00122285">
      <w:pPr>
        <w:rPr>
          <w:rFonts w:eastAsia="Times New Roman" w:cs="Arial"/>
          <w:kern w:val="0"/>
          <w:lang w:eastAsia="en-GB"/>
          <w14:ligatures w14:val="none"/>
        </w:rPr>
      </w:pPr>
    </w:p>
    <w:p w14:paraId="1322FC51" w14:textId="77777777" w:rsidR="00122285" w:rsidRPr="00122285" w:rsidRDefault="00122285" w:rsidP="00B76905">
      <w:pPr>
        <w:numPr>
          <w:ilvl w:val="0"/>
          <w:numId w:val="141"/>
        </w:numPr>
        <w:ind w:left="714" w:hanging="357"/>
        <w:contextualSpacing/>
        <w:rPr>
          <w:rFonts w:eastAsia="Times New Roman" w:cs="Arial"/>
          <w:kern w:val="0"/>
          <w:lang w:eastAsia="en-GB"/>
          <w14:ligatures w14:val="none"/>
        </w:rPr>
      </w:pPr>
      <w:r w:rsidRPr="00122285">
        <w:rPr>
          <w:rFonts w:eastAsia="Times New Roman" w:cs="Arial"/>
          <w:kern w:val="0"/>
          <w:lang w:eastAsia="en-GB"/>
          <w14:ligatures w14:val="none"/>
        </w:rPr>
        <w:t>a decrease in the number of people aged 0 to 15 years,</w:t>
      </w:r>
    </w:p>
    <w:p w14:paraId="40367AA7" w14:textId="77777777" w:rsidR="00122285" w:rsidRPr="00122285" w:rsidRDefault="00122285" w:rsidP="00B76905">
      <w:pPr>
        <w:numPr>
          <w:ilvl w:val="0"/>
          <w:numId w:val="141"/>
        </w:numPr>
        <w:ind w:left="714" w:hanging="357"/>
        <w:contextualSpacing/>
        <w:rPr>
          <w:rFonts w:eastAsia="Times New Roman" w:cs="Arial"/>
          <w:kern w:val="0"/>
          <w:lang w:eastAsia="en-GB"/>
          <w14:ligatures w14:val="none"/>
        </w:rPr>
      </w:pPr>
      <w:r w:rsidRPr="00122285">
        <w:rPr>
          <w:rFonts w:eastAsia="Times New Roman" w:cs="Arial"/>
          <w:kern w:val="0"/>
          <w:lang w:eastAsia="en-GB"/>
          <w14:ligatures w14:val="none"/>
        </w:rPr>
        <w:t>an increase in the working age population 16 to 64 years (one of eight local authorities that will see the largest increases),</w:t>
      </w:r>
    </w:p>
    <w:p w14:paraId="050C4099" w14:textId="77777777" w:rsidR="00122285" w:rsidRPr="00122285" w:rsidRDefault="00122285" w:rsidP="00B76905">
      <w:pPr>
        <w:numPr>
          <w:ilvl w:val="0"/>
          <w:numId w:val="141"/>
        </w:numPr>
        <w:ind w:left="714" w:hanging="357"/>
        <w:contextualSpacing/>
        <w:rPr>
          <w:rFonts w:eastAsia="Times New Roman" w:cs="Arial"/>
          <w:kern w:val="0"/>
          <w:lang w:eastAsia="en-GB"/>
          <w14:ligatures w14:val="none"/>
        </w:rPr>
      </w:pPr>
      <w:r w:rsidRPr="00122285">
        <w:rPr>
          <w:rFonts w:eastAsia="Times New Roman" w:cs="Arial"/>
          <w:kern w:val="0"/>
          <w:lang w:eastAsia="en-GB"/>
          <w14:ligatures w14:val="none"/>
        </w:rPr>
        <w:t>an increase in the population aged 65 years, and</w:t>
      </w:r>
    </w:p>
    <w:p w14:paraId="4216DE96" w14:textId="77777777" w:rsidR="00122285" w:rsidRPr="00122285" w:rsidRDefault="00122285" w:rsidP="00B76905">
      <w:pPr>
        <w:numPr>
          <w:ilvl w:val="0"/>
          <w:numId w:val="141"/>
        </w:numPr>
        <w:ind w:left="714" w:hanging="357"/>
        <w:contextualSpacing/>
        <w:rPr>
          <w:rFonts w:eastAsia="Times New Roman" w:cs="Arial"/>
          <w:kern w:val="0"/>
          <w:lang w:eastAsia="en-GB"/>
          <w14:ligatures w14:val="none"/>
        </w:rPr>
      </w:pPr>
      <w:r w:rsidRPr="00122285">
        <w:rPr>
          <w:rFonts w:eastAsia="Times New Roman" w:cs="Arial"/>
          <w:kern w:val="0"/>
          <w:lang w:eastAsia="en-GB"/>
          <w14:ligatures w14:val="none"/>
        </w:rPr>
        <w:t>an increase in the population aged 75 years and over.</w:t>
      </w:r>
    </w:p>
    <w:p w14:paraId="0265F265" w14:textId="77777777" w:rsidR="00122285" w:rsidRPr="00122285" w:rsidRDefault="00122285" w:rsidP="00122285">
      <w:pPr>
        <w:rPr>
          <w:rFonts w:eastAsia="Times New Roman" w:cs="Arial"/>
          <w:kern w:val="0"/>
          <w:lang w:eastAsia="en-GB"/>
          <w14:ligatures w14:val="none"/>
        </w:rPr>
      </w:pPr>
    </w:p>
    <w:p w14:paraId="1C10AE43"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The population is projected to continue to age in the local authority, over this period.</w:t>
      </w:r>
    </w:p>
    <w:p w14:paraId="46FA0234" w14:textId="77777777" w:rsidR="00122285" w:rsidRPr="00122285" w:rsidRDefault="00122285" w:rsidP="00122285">
      <w:pPr>
        <w:rPr>
          <w:rFonts w:eastAsia="Times New Roman" w:cs="Arial"/>
          <w:kern w:val="0"/>
          <w:lang w:eastAsia="en-GB"/>
          <w14:ligatures w14:val="none"/>
        </w:rPr>
      </w:pPr>
    </w:p>
    <w:p w14:paraId="003368C6"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 xml:space="preserve">12.2.2 Total life expectancy, healthy life expectancy and the ‘inequality gap’ (2020 to 2022) </w:t>
      </w:r>
    </w:p>
    <w:p w14:paraId="4F472C46" w14:textId="77777777" w:rsidR="00122285" w:rsidRPr="00122285" w:rsidRDefault="00122285" w:rsidP="00122285">
      <w:pPr>
        <w:rPr>
          <w:rFonts w:eastAsia="Times New Roman" w:cs="Arial"/>
          <w:b/>
          <w:bCs/>
          <w:kern w:val="0"/>
          <w:lang w:eastAsia="en-GB"/>
          <w14:ligatures w14:val="none"/>
        </w:rPr>
      </w:pPr>
    </w:p>
    <w:p w14:paraId="787A6A0C" w14:textId="77777777" w:rsidR="00122285" w:rsidRPr="00122285" w:rsidRDefault="00122285" w:rsidP="00B76905">
      <w:pPr>
        <w:numPr>
          <w:ilvl w:val="0"/>
          <w:numId w:val="157"/>
        </w:numPr>
        <w:contextualSpacing/>
        <w:rPr>
          <w:rFonts w:eastAsia="Calibri" w:cs="Arial"/>
          <w:kern w:val="0"/>
          <w:shd w:val="clear" w:color="auto" w:fill="FFFFFF"/>
          <w14:ligatures w14:val="none"/>
        </w:rPr>
      </w:pPr>
      <w:r w:rsidRPr="00122285">
        <w:rPr>
          <w:rFonts w:eastAsia="Calibri" w:cs="Arial"/>
          <w:kern w:val="0"/>
          <w:shd w:val="clear" w:color="auto" w:fill="FFFFFF"/>
          <w14:ligatures w14:val="none"/>
        </w:rPr>
        <w:t xml:space="preserve">Swansea local authority has a lower total life expectancy at birth for females and for males when compared to the average for Wales (table 12.1). </w:t>
      </w:r>
    </w:p>
    <w:p w14:paraId="0B4336D0" w14:textId="77777777" w:rsidR="00122285" w:rsidRPr="00122285" w:rsidRDefault="00122285" w:rsidP="00B76905">
      <w:pPr>
        <w:numPr>
          <w:ilvl w:val="0"/>
          <w:numId w:val="158"/>
        </w:numPr>
        <w:ind w:left="357"/>
        <w:contextualSpacing/>
        <w:rPr>
          <w:rFonts w:eastAsia="Calibri" w:cs="Arial"/>
          <w:kern w:val="0"/>
          <w14:ligatures w14:val="none"/>
        </w:rPr>
      </w:pPr>
      <w:r w:rsidRPr="00122285">
        <w:rPr>
          <w:rFonts w:eastAsia="Calibri" w:cs="Arial"/>
          <w:bCs/>
          <w:kern w:val="0"/>
          <w14:ligatures w14:val="none"/>
        </w:rPr>
        <w:t>Healthy life expectancy</w:t>
      </w:r>
      <w:r w:rsidRPr="00122285">
        <w:rPr>
          <w:rFonts w:eastAsia="Calibri" w:cs="Arial"/>
          <w:bCs/>
          <w:kern w:val="0"/>
          <w:vertAlign w:val="superscript"/>
          <w14:ligatures w14:val="none"/>
        </w:rPr>
        <w:footnoteReference w:id="295"/>
      </w:r>
      <w:r w:rsidRPr="00122285">
        <w:rPr>
          <w:rFonts w:eastAsia="Calibri" w:cs="Arial"/>
          <w:bCs/>
          <w:kern w:val="0"/>
          <w14:ligatures w14:val="none"/>
        </w:rPr>
        <w:t xml:space="preserve">, defined as </w:t>
      </w:r>
      <w:r w:rsidRPr="00122285">
        <w:rPr>
          <w:rFonts w:eastAsia="Calibri" w:cs="Arial"/>
          <w:kern w:val="0"/>
          <w14:ligatures w14:val="none"/>
        </w:rPr>
        <w:t>the number of years a person can expect to live in good health, is measured at local authority level. In Swansea, healthy life expectancy stands at 59.9 years for males and 59.6 years for females. Comparatively, the Wales average is slightly higher at 60.8 years for males and 60.2 years for females. This indicates that both males and females in Swansea enjoy fewer years of good health than the average across Wales.</w:t>
      </w:r>
    </w:p>
    <w:p w14:paraId="2C9A8522" w14:textId="77777777" w:rsidR="00122285" w:rsidRPr="00122285" w:rsidRDefault="00122285" w:rsidP="00B76905">
      <w:pPr>
        <w:numPr>
          <w:ilvl w:val="0"/>
          <w:numId w:val="158"/>
        </w:numPr>
        <w:ind w:left="357"/>
        <w:contextualSpacing/>
        <w:rPr>
          <w:rFonts w:eastAsia="Calibri" w:cs="Arial"/>
          <w:kern w:val="0"/>
          <w14:ligatures w14:val="none"/>
        </w:rPr>
      </w:pPr>
      <w:r w:rsidRPr="00122285">
        <w:rPr>
          <w:rFonts w:eastAsia="Calibri" w:cs="Arial"/>
          <w:kern w:val="0"/>
          <w14:ligatures w14:val="none"/>
        </w:rPr>
        <w:t>The differences in healthy life expectancy that exist across an area between the most and least deprived areas is referred to as the ‘inequality gap’. The inequality gap for healthy life expectancy in Swansea is 10.9 years for males and 7.9 years for females</w:t>
      </w:r>
      <w:r w:rsidRPr="00122285">
        <w:rPr>
          <w:rFonts w:eastAsia="Calibri" w:cs="Arial"/>
          <w:kern w:val="0"/>
          <w:vertAlign w:val="superscript"/>
          <w14:ligatures w14:val="none"/>
        </w:rPr>
        <w:footnoteReference w:id="296"/>
      </w:r>
      <w:r w:rsidRPr="00122285">
        <w:rPr>
          <w:rFonts w:eastAsia="Calibri" w:cs="Arial"/>
          <w:kern w:val="0"/>
          <w14:ligatures w14:val="none"/>
        </w:rPr>
        <w:t xml:space="preserve">. </w:t>
      </w:r>
    </w:p>
    <w:p w14:paraId="3EF22C56" w14:textId="77777777" w:rsidR="00122285" w:rsidRPr="00122285" w:rsidRDefault="00122285" w:rsidP="00122285">
      <w:pPr>
        <w:rPr>
          <w:rFonts w:eastAsia="Times New Roman" w:cs="Arial"/>
          <w:kern w:val="0"/>
          <w:lang w:eastAsia="en-GB"/>
          <w14:ligatures w14:val="none"/>
        </w:rPr>
      </w:pPr>
    </w:p>
    <w:p w14:paraId="6B9BC7EA"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Table 12.1: Total life expectancy at birth for females and males, 2020 to 2022</w:t>
      </w:r>
      <w:r w:rsidRPr="00122285">
        <w:rPr>
          <w:rFonts w:eastAsia="Times New Roman" w:cs="Arial"/>
          <w:b/>
          <w:bCs/>
          <w:kern w:val="0"/>
          <w:vertAlign w:val="superscript"/>
          <w:lang w:eastAsia="en-GB"/>
          <w14:ligatures w14:val="none"/>
        </w:rPr>
        <w:footnoteReference w:id="297"/>
      </w:r>
    </w:p>
    <w:p w14:paraId="525152B2" w14:textId="77777777" w:rsidR="00122285" w:rsidRPr="00122285" w:rsidRDefault="00122285" w:rsidP="00122285">
      <w:pPr>
        <w:rPr>
          <w:rFonts w:eastAsia="Times New Roman" w:cs="Arial"/>
          <w:b/>
          <w:bCs/>
          <w:kern w:val="0"/>
          <w:lang w:eastAsia="en-GB"/>
          <w14:ligatures w14:val="none"/>
        </w:rPr>
      </w:pPr>
    </w:p>
    <w:tbl>
      <w:tblPr>
        <w:tblStyle w:val="TableGrid"/>
        <w:tblW w:w="0" w:type="auto"/>
        <w:tblInd w:w="0" w:type="dxa"/>
        <w:tblLook w:val="04A0" w:firstRow="1" w:lastRow="0" w:firstColumn="1" w:lastColumn="0" w:noHBand="0" w:noVBand="1"/>
      </w:tblPr>
      <w:tblGrid>
        <w:gridCol w:w="3005"/>
        <w:gridCol w:w="3005"/>
        <w:gridCol w:w="3006"/>
      </w:tblGrid>
      <w:tr w:rsidR="00122285" w:rsidRPr="00D0306F" w14:paraId="78CF78EB" w14:textId="77777777" w:rsidTr="00122285">
        <w:tc>
          <w:tcPr>
            <w:tcW w:w="3005" w:type="dxa"/>
            <w:tcBorders>
              <w:top w:val="single" w:sz="4" w:space="0" w:color="auto"/>
              <w:left w:val="single" w:sz="4" w:space="0" w:color="auto"/>
              <w:bottom w:val="single" w:sz="4" w:space="0" w:color="auto"/>
              <w:right w:val="single" w:sz="4" w:space="0" w:color="auto"/>
            </w:tcBorders>
            <w:shd w:val="clear" w:color="auto" w:fill="153D63"/>
            <w:hideMark/>
          </w:tcPr>
          <w:p w14:paraId="14DE45B7" w14:textId="77777777" w:rsidR="00122285" w:rsidRPr="00122285" w:rsidRDefault="00122285" w:rsidP="00122285">
            <w:pPr>
              <w:rPr>
                <w:rFonts w:cs="Arial"/>
                <w:b/>
                <w:bCs/>
              </w:rPr>
            </w:pPr>
            <w:r w:rsidRPr="00122285">
              <w:rPr>
                <w:rFonts w:cs="Arial"/>
                <w:b/>
                <w:bCs/>
              </w:rPr>
              <w:t>Area</w:t>
            </w:r>
          </w:p>
        </w:tc>
        <w:tc>
          <w:tcPr>
            <w:tcW w:w="3005" w:type="dxa"/>
            <w:tcBorders>
              <w:top w:val="single" w:sz="4" w:space="0" w:color="auto"/>
              <w:left w:val="single" w:sz="4" w:space="0" w:color="auto"/>
              <w:bottom w:val="single" w:sz="4" w:space="0" w:color="auto"/>
              <w:right w:val="single" w:sz="4" w:space="0" w:color="auto"/>
            </w:tcBorders>
            <w:shd w:val="clear" w:color="auto" w:fill="153D63"/>
            <w:hideMark/>
          </w:tcPr>
          <w:p w14:paraId="2E254929" w14:textId="77777777" w:rsidR="00122285" w:rsidRPr="00122285" w:rsidRDefault="00122285" w:rsidP="00122285">
            <w:pPr>
              <w:jc w:val="center"/>
              <w:rPr>
                <w:rFonts w:cs="Arial"/>
                <w:b/>
                <w:bCs/>
              </w:rPr>
            </w:pPr>
            <w:r w:rsidRPr="00122285">
              <w:rPr>
                <w:rFonts w:cs="Arial"/>
                <w:b/>
                <w:bCs/>
              </w:rPr>
              <w:t>Female at birth (years)</w:t>
            </w:r>
          </w:p>
        </w:tc>
        <w:tc>
          <w:tcPr>
            <w:tcW w:w="3006" w:type="dxa"/>
            <w:tcBorders>
              <w:top w:val="single" w:sz="4" w:space="0" w:color="auto"/>
              <w:left w:val="single" w:sz="4" w:space="0" w:color="auto"/>
              <w:bottom w:val="single" w:sz="4" w:space="0" w:color="auto"/>
              <w:right w:val="single" w:sz="4" w:space="0" w:color="auto"/>
            </w:tcBorders>
            <w:shd w:val="clear" w:color="auto" w:fill="153D63"/>
            <w:hideMark/>
          </w:tcPr>
          <w:p w14:paraId="67746EE7" w14:textId="77777777" w:rsidR="00122285" w:rsidRPr="00122285" w:rsidRDefault="00122285" w:rsidP="00122285">
            <w:pPr>
              <w:jc w:val="center"/>
              <w:rPr>
                <w:rFonts w:cs="Arial"/>
                <w:b/>
                <w:bCs/>
              </w:rPr>
            </w:pPr>
            <w:r w:rsidRPr="00122285">
              <w:rPr>
                <w:rFonts w:cs="Arial"/>
                <w:b/>
                <w:bCs/>
              </w:rPr>
              <w:t>Male at birth (years)</w:t>
            </w:r>
          </w:p>
        </w:tc>
      </w:tr>
      <w:tr w:rsidR="00122285" w:rsidRPr="00122285" w14:paraId="49F9BBF4" w14:textId="77777777" w:rsidTr="00122285">
        <w:tc>
          <w:tcPr>
            <w:tcW w:w="3005" w:type="dxa"/>
            <w:tcBorders>
              <w:top w:val="single" w:sz="4" w:space="0" w:color="auto"/>
              <w:left w:val="single" w:sz="4" w:space="0" w:color="auto"/>
              <w:bottom w:val="single" w:sz="4" w:space="0" w:color="auto"/>
              <w:right w:val="single" w:sz="4" w:space="0" w:color="auto"/>
            </w:tcBorders>
            <w:hideMark/>
          </w:tcPr>
          <w:p w14:paraId="4A5EC9E1" w14:textId="77777777" w:rsidR="00122285" w:rsidRPr="00122285" w:rsidRDefault="00122285" w:rsidP="00122285">
            <w:pPr>
              <w:rPr>
                <w:rFonts w:cs="Arial"/>
              </w:rPr>
            </w:pPr>
            <w:r w:rsidRPr="00122285">
              <w:rPr>
                <w:rFonts w:cs="Arial"/>
              </w:rPr>
              <w:t>Swansea</w:t>
            </w:r>
          </w:p>
        </w:tc>
        <w:tc>
          <w:tcPr>
            <w:tcW w:w="3005" w:type="dxa"/>
            <w:tcBorders>
              <w:top w:val="single" w:sz="4" w:space="0" w:color="auto"/>
              <w:left w:val="single" w:sz="4" w:space="0" w:color="auto"/>
              <w:bottom w:val="single" w:sz="4" w:space="0" w:color="auto"/>
              <w:right w:val="single" w:sz="4" w:space="0" w:color="auto"/>
            </w:tcBorders>
            <w:hideMark/>
          </w:tcPr>
          <w:p w14:paraId="317395FB" w14:textId="77777777" w:rsidR="00122285" w:rsidRPr="00122285" w:rsidRDefault="00122285" w:rsidP="00122285">
            <w:pPr>
              <w:jc w:val="center"/>
              <w:rPr>
                <w:rFonts w:cs="Arial"/>
              </w:rPr>
            </w:pPr>
            <w:r w:rsidRPr="00122285">
              <w:rPr>
                <w:rFonts w:cs="Arial"/>
              </w:rPr>
              <w:t>81.5</w:t>
            </w:r>
          </w:p>
        </w:tc>
        <w:tc>
          <w:tcPr>
            <w:tcW w:w="3006" w:type="dxa"/>
            <w:tcBorders>
              <w:top w:val="single" w:sz="4" w:space="0" w:color="auto"/>
              <w:left w:val="single" w:sz="4" w:space="0" w:color="auto"/>
              <w:bottom w:val="single" w:sz="4" w:space="0" w:color="auto"/>
              <w:right w:val="single" w:sz="4" w:space="0" w:color="auto"/>
            </w:tcBorders>
            <w:hideMark/>
          </w:tcPr>
          <w:p w14:paraId="3A4D7E79" w14:textId="77777777" w:rsidR="00122285" w:rsidRPr="00122285" w:rsidRDefault="00122285" w:rsidP="00122285">
            <w:pPr>
              <w:jc w:val="center"/>
              <w:rPr>
                <w:rFonts w:cs="Arial"/>
              </w:rPr>
            </w:pPr>
            <w:r w:rsidRPr="00122285">
              <w:rPr>
                <w:rFonts w:cs="Arial"/>
              </w:rPr>
              <w:t>76.9</w:t>
            </w:r>
          </w:p>
        </w:tc>
      </w:tr>
      <w:tr w:rsidR="00122285" w:rsidRPr="00D0306F" w14:paraId="3CB2FB77" w14:textId="77777777" w:rsidTr="00122285">
        <w:tc>
          <w:tcPr>
            <w:tcW w:w="3005" w:type="dxa"/>
            <w:tcBorders>
              <w:top w:val="single" w:sz="4" w:space="0" w:color="auto"/>
              <w:left w:val="single" w:sz="4" w:space="0" w:color="auto"/>
              <w:bottom w:val="single" w:sz="4" w:space="0" w:color="auto"/>
              <w:right w:val="single" w:sz="4" w:space="0" w:color="auto"/>
            </w:tcBorders>
            <w:hideMark/>
          </w:tcPr>
          <w:p w14:paraId="0CAC4ADF" w14:textId="77777777" w:rsidR="00122285" w:rsidRPr="00122285" w:rsidRDefault="00122285" w:rsidP="00122285">
            <w:pPr>
              <w:rPr>
                <w:rFonts w:cs="Arial"/>
              </w:rPr>
            </w:pPr>
            <w:r w:rsidRPr="00122285">
              <w:rPr>
                <w:rFonts w:cs="Arial"/>
              </w:rPr>
              <w:t>Wales</w:t>
            </w:r>
          </w:p>
        </w:tc>
        <w:tc>
          <w:tcPr>
            <w:tcW w:w="3005" w:type="dxa"/>
            <w:tcBorders>
              <w:top w:val="single" w:sz="4" w:space="0" w:color="auto"/>
              <w:left w:val="single" w:sz="4" w:space="0" w:color="auto"/>
              <w:bottom w:val="single" w:sz="4" w:space="0" w:color="auto"/>
              <w:right w:val="single" w:sz="4" w:space="0" w:color="auto"/>
            </w:tcBorders>
            <w:shd w:val="clear" w:color="auto" w:fill="FFFFFF"/>
            <w:hideMark/>
          </w:tcPr>
          <w:p w14:paraId="48C10E93" w14:textId="77777777" w:rsidR="00122285" w:rsidRPr="00122285" w:rsidRDefault="00122285" w:rsidP="00122285">
            <w:pPr>
              <w:jc w:val="center"/>
              <w:rPr>
                <w:rFonts w:cs="Arial"/>
              </w:rPr>
            </w:pPr>
            <w:r w:rsidRPr="00122285">
              <w:rPr>
                <w:rFonts w:cs="Arial"/>
              </w:rPr>
              <w:t>81.8</w:t>
            </w:r>
          </w:p>
        </w:tc>
        <w:tc>
          <w:tcPr>
            <w:tcW w:w="3006" w:type="dxa"/>
            <w:tcBorders>
              <w:top w:val="single" w:sz="4" w:space="0" w:color="auto"/>
              <w:left w:val="single" w:sz="4" w:space="0" w:color="auto"/>
              <w:bottom w:val="single" w:sz="4" w:space="0" w:color="auto"/>
              <w:right w:val="single" w:sz="4" w:space="0" w:color="auto"/>
            </w:tcBorders>
            <w:shd w:val="clear" w:color="auto" w:fill="FFFFFF"/>
            <w:hideMark/>
          </w:tcPr>
          <w:p w14:paraId="3158F4C5" w14:textId="77777777" w:rsidR="00122285" w:rsidRPr="00122285" w:rsidRDefault="00122285" w:rsidP="00122285">
            <w:pPr>
              <w:jc w:val="center"/>
              <w:rPr>
                <w:rFonts w:cs="Arial"/>
              </w:rPr>
            </w:pPr>
            <w:r w:rsidRPr="00122285">
              <w:rPr>
                <w:rFonts w:cs="Arial"/>
              </w:rPr>
              <w:t>77.9</w:t>
            </w:r>
          </w:p>
        </w:tc>
      </w:tr>
    </w:tbl>
    <w:p w14:paraId="3965CC2A" w14:textId="77777777" w:rsidR="00122285" w:rsidRPr="00122285" w:rsidRDefault="00122285" w:rsidP="00122285">
      <w:pPr>
        <w:contextualSpacing/>
        <w:rPr>
          <w:rFonts w:eastAsia="Aptos" w:cs="Arial"/>
        </w:rPr>
      </w:pPr>
    </w:p>
    <w:p w14:paraId="1156291F" w14:textId="77777777" w:rsidR="00122285" w:rsidRPr="00122285" w:rsidRDefault="00122285" w:rsidP="00122285">
      <w:pPr>
        <w:contextualSpacing/>
        <w:rPr>
          <w:rFonts w:eastAsia="Aptos" w:cs="Arial"/>
          <w:kern w:val="0"/>
          <w14:ligatures w14:val="none"/>
        </w:rPr>
      </w:pPr>
      <w:r w:rsidRPr="00122285">
        <w:rPr>
          <w:rFonts w:eastAsia="Aptos" w:cs="Arial"/>
        </w:rPr>
        <w:t>Disclaimer: Whilst the data presented in healthy life expectancy show figures for 2024, data from the years 2020 to 2022 have been used to ensure consistency and comparability across all years.</w:t>
      </w:r>
    </w:p>
    <w:p w14:paraId="31745724" w14:textId="77777777" w:rsidR="00122285" w:rsidRPr="00122285" w:rsidRDefault="00122285" w:rsidP="00122285">
      <w:pPr>
        <w:rPr>
          <w:rFonts w:eastAsia="Times New Roman" w:cs="Arial"/>
          <w:b/>
          <w:bCs/>
          <w:kern w:val="0"/>
          <w:lang w:eastAsia="en-GB"/>
          <w14:ligatures w14:val="none"/>
        </w:rPr>
      </w:pPr>
    </w:p>
    <w:p w14:paraId="573FC17D"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12.2.3 Deprivation</w:t>
      </w:r>
    </w:p>
    <w:p w14:paraId="43EEC834" w14:textId="77777777" w:rsidR="00122285" w:rsidRPr="00122285" w:rsidRDefault="00122285" w:rsidP="00122285">
      <w:pPr>
        <w:rPr>
          <w:rFonts w:eastAsia="Times New Roman" w:cs="Arial"/>
          <w:b/>
          <w:bCs/>
          <w:kern w:val="0"/>
          <w:lang w:eastAsia="en-GB"/>
          <w14:ligatures w14:val="none"/>
        </w:rPr>
      </w:pPr>
    </w:p>
    <w:p w14:paraId="3A834D08" w14:textId="77777777" w:rsidR="00122285" w:rsidRPr="00122285" w:rsidRDefault="00122285" w:rsidP="00122285">
      <w:pPr>
        <w:contextualSpacing/>
        <w:rPr>
          <w:rFonts w:eastAsia="Aptos" w:cs="Arial"/>
          <w:lang w:eastAsia="en-GB"/>
        </w:rPr>
      </w:pPr>
      <w:r w:rsidRPr="00122285">
        <w:rPr>
          <w:rFonts w:eastAsia="Aptos" w:cs="Arial"/>
        </w:rPr>
        <w:t xml:space="preserve">The link between deprivation and poor health is well documented. Of the five localities in Swansea, Penderi has the highest proportion of people living in the most deprived areas in Wales (49.7%), compared with Bay (8.3%), Llwchwr (8.4%), Cwmtawe (22.0%) and City (47.1%), and the health board as a whole (27.9%). </w:t>
      </w:r>
      <w:r w:rsidRPr="00122285">
        <w:rPr>
          <w:rFonts w:eastAsia="Times New Roman" w:cs="Arial"/>
          <w:kern w:val="0"/>
          <w:lang w:eastAsia="en-GB"/>
          <w14:ligatures w14:val="none"/>
        </w:rPr>
        <w:lastRenderedPageBreak/>
        <w:t>There are, however, also small areas of “deep-rooted” deprivation</w:t>
      </w:r>
      <w:r w:rsidRPr="00122285">
        <w:rPr>
          <w:rFonts w:eastAsia="Times New Roman" w:cs="Arial"/>
          <w:kern w:val="0"/>
          <w:vertAlign w:val="superscript"/>
          <w:lang w:eastAsia="en-GB"/>
          <w14:ligatures w14:val="none"/>
        </w:rPr>
        <w:footnoteReference w:id="298"/>
      </w:r>
      <w:r w:rsidRPr="00122285">
        <w:rPr>
          <w:rFonts w:eastAsia="Times New Roman" w:cs="Arial"/>
          <w:kern w:val="0"/>
          <w:lang w:eastAsia="en-GB"/>
          <w14:ligatures w14:val="none"/>
        </w:rPr>
        <w:t xml:space="preserve"> that have remained within the top 50 most deprived areas, roughly equal to the top 2.6% of small areas in Wales for the last six publications (2005, 2008, 2011, 2014, 2019 and 2025) of Welsh Index of Multiple deprivation ranks. Where areas of deprivation exist, the population is likely to be experiencing the poorest health.</w:t>
      </w:r>
    </w:p>
    <w:p w14:paraId="5A2EF316" w14:textId="77777777" w:rsidR="00122285" w:rsidRPr="00122285" w:rsidRDefault="00122285" w:rsidP="00122285">
      <w:pPr>
        <w:rPr>
          <w:rFonts w:eastAsia="Times New Roman" w:cs="Arial"/>
          <w:b/>
          <w:bCs/>
          <w:kern w:val="0"/>
          <w:lang w:eastAsia="en-GB"/>
          <w14:ligatures w14:val="none"/>
        </w:rPr>
      </w:pPr>
    </w:p>
    <w:p w14:paraId="56308242"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The table below shows the estimated percentage of people living in the most deprived 20% areas in the locality, compared with the health board.</w:t>
      </w:r>
    </w:p>
    <w:p w14:paraId="1E021411" w14:textId="77777777" w:rsidR="00122285" w:rsidRPr="00122285" w:rsidRDefault="00122285" w:rsidP="00122285">
      <w:pPr>
        <w:rPr>
          <w:rFonts w:eastAsia="Times New Roman" w:cs="Arial"/>
          <w:kern w:val="0"/>
          <w:lang w:eastAsia="en-GB"/>
          <w14:ligatures w14:val="none"/>
        </w:rPr>
      </w:pPr>
    </w:p>
    <w:p w14:paraId="50C88DD7"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Table 12.2: Estimated percentage of people living in the most deprived 20% of areas in the locality and the health board (2025)</w:t>
      </w:r>
      <w:r w:rsidRPr="00122285">
        <w:rPr>
          <w:rFonts w:eastAsia="Times New Roman" w:cs="Arial"/>
          <w:b/>
          <w:bCs/>
          <w:kern w:val="0"/>
          <w:vertAlign w:val="superscript"/>
          <w:lang w:eastAsia="en-GB"/>
          <w14:ligatures w14:val="none"/>
        </w:rPr>
        <w:footnoteReference w:id="299"/>
      </w:r>
    </w:p>
    <w:p w14:paraId="38F65DC1" w14:textId="77777777" w:rsidR="00122285" w:rsidRPr="00122285" w:rsidRDefault="00122285" w:rsidP="00122285">
      <w:pPr>
        <w:rPr>
          <w:rFonts w:eastAsia="Times New Roman" w:cs="Arial"/>
          <w:b/>
          <w:bCs/>
          <w:kern w:val="0"/>
          <w:lang w:eastAsia="en-GB"/>
          <w14:ligatures w14:val="none"/>
        </w:rPr>
      </w:pPr>
    </w:p>
    <w:tbl>
      <w:tblPr>
        <w:tblStyle w:val="TableGrid"/>
        <w:tblW w:w="0" w:type="auto"/>
        <w:tblInd w:w="0" w:type="dxa"/>
        <w:tblLook w:val="04A0" w:firstRow="1" w:lastRow="0" w:firstColumn="1" w:lastColumn="0" w:noHBand="0" w:noVBand="1"/>
      </w:tblPr>
      <w:tblGrid>
        <w:gridCol w:w="5382"/>
        <w:gridCol w:w="3634"/>
      </w:tblGrid>
      <w:tr w:rsidR="00122285" w:rsidRPr="00D0306F" w14:paraId="36D26539" w14:textId="77777777" w:rsidTr="00122285">
        <w:tc>
          <w:tcPr>
            <w:tcW w:w="5382" w:type="dxa"/>
            <w:tcBorders>
              <w:top w:val="single" w:sz="4" w:space="0" w:color="auto"/>
              <w:left w:val="single" w:sz="4" w:space="0" w:color="auto"/>
              <w:bottom w:val="single" w:sz="4" w:space="0" w:color="auto"/>
              <w:right w:val="single" w:sz="4" w:space="0" w:color="auto"/>
            </w:tcBorders>
            <w:shd w:val="clear" w:color="auto" w:fill="153D63"/>
            <w:hideMark/>
          </w:tcPr>
          <w:p w14:paraId="5E777720" w14:textId="77777777" w:rsidR="00122285" w:rsidRPr="00122285" w:rsidRDefault="00122285" w:rsidP="00122285">
            <w:pPr>
              <w:rPr>
                <w:rFonts w:cs="Arial"/>
                <w:b/>
                <w:bCs/>
              </w:rPr>
            </w:pPr>
            <w:r w:rsidRPr="00122285">
              <w:rPr>
                <w:rFonts w:cs="Arial"/>
                <w:b/>
                <w:bCs/>
              </w:rPr>
              <w:t>Area</w:t>
            </w:r>
          </w:p>
        </w:tc>
        <w:tc>
          <w:tcPr>
            <w:tcW w:w="3634" w:type="dxa"/>
            <w:tcBorders>
              <w:top w:val="single" w:sz="4" w:space="0" w:color="auto"/>
              <w:left w:val="single" w:sz="4" w:space="0" w:color="auto"/>
              <w:bottom w:val="single" w:sz="4" w:space="0" w:color="auto"/>
              <w:right w:val="single" w:sz="4" w:space="0" w:color="auto"/>
            </w:tcBorders>
            <w:shd w:val="clear" w:color="auto" w:fill="153D63"/>
            <w:hideMark/>
          </w:tcPr>
          <w:p w14:paraId="2821E171" w14:textId="77777777" w:rsidR="00122285" w:rsidRPr="00122285" w:rsidRDefault="00122285" w:rsidP="00122285">
            <w:pPr>
              <w:jc w:val="center"/>
              <w:rPr>
                <w:rFonts w:cs="Arial"/>
                <w:b/>
                <w:bCs/>
              </w:rPr>
            </w:pPr>
            <w:r w:rsidRPr="00122285">
              <w:rPr>
                <w:rFonts w:cs="Arial"/>
                <w:b/>
                <w:bCs/>
              </w:rPr>
              <w:t>Percentage</w:t>
            </w:r>
          </w:p>
        </w:tc>
      </w:tr>
      <w:tr w:rsidR="00122285" w:rsidRPr="00122285" w14:paraId="4DD760A6" w14:textId="77777777" w:rsidTr="00122285">
        <w:tc>
          <w:tcPr>
            <w:tcW w:w="5382" w:type="dxa"/>
            <w:tcBorders>
              <w:top w:val="single" w:sz="4" w:space="0" w:color="auto"/>
              <w:left w:val="single" w:sz="4" w:space="0" w:color="auto"/>
              <w:bottom w:val="single" w:sz="4" w:space="0" w:color="auto"/>
              <w:right w:val="single" w:sz="4" w:space="0" w:color="auto"/>
            </w:tcBorders>
            <w:hideMark/>
          </w:tcPr>
          <w:p w14:paraId="408205E3" w14:textId="77777777" w:rsidR="00122285" w:rsidRPr="00122285" w:rsidRDefault="00122285" w:rsidP="00122285">
            <w:pPr>
              <w:rPr>
                <w:rFonts w:cs="Arial"/>
              </w:rPr>
            </w:pPr>
            <w:r w:rsidRPr="00122285">
              <w:rPr>
                <w:rFonts w:cs="Arial"/>
              </w:rPr>
              <w:t>Penderi locality</w:t>
            </w:r>
          </w:p>
        </w:tc>
        <w:tc>
          <w:tcPr>
            <w:tcW w:w="3634" w:type="dxa"/>
            <w:tcBorders>
              <w:top w:val="single" w:sz="4" w:space="0" w:color="auto"/>
              <w:left w:val="single" w:sz="4" w:space="0" w:color="auto"/>
              <w:bottom w:val="single" w:sz="4" w:space="0" w:color="auto"/>
              <w:right w:val="single" w:sz="4" w:space="0" w:color="auto"/>
            </w:tcBorders>
            <w:hideMark/>
          </w:tcPr>
          <w:p w14:paraId="5728A88F" w14:textId="77777777" w:rsidR="00122285" w:rsidRPr="00122285" w:rsidRDefault="00122285" w:rsidP="00122285">
            <w:pPr>
              <w:jc w:val="center"/>
              <w:rPr>
                <w:rFonts w:cs="Arial"/>
              </w:rPr>
            </w:pPr>
            <w:r w:rsidRPr="00122285">
              <w:rPr>
                <w:rFonts w:cs="Arial"/>
              </w:rPr>
              <w:t>49.7%</w:t>
            </w:r>
          </w:p>
        </w:tc>
      </w:tr>
      <w:tr w:rsidR="00122285" w:rsidRPr="00122285" w14:paraId="3348182B" w14:textId="77777777" w:rsidTr="00122285">
        <w:tc>
          <w:tcPr>
            <w:tcW w:w="5382" w:type="dxa"/>
            <w:tcBorders>
              <w:top w:val="single" w:sz="4" w:space="0" w:color="auto"/>
              <w:left w:val="single" w:sz="4" w:space="0" w:color="auto"/>
              <w:bottom w:val="single" w:sz="4" w:space="0" w:color="auto"/>
              <w:right w:val="single" w:sz="4" w:space="0" w:color="auto"/>
            </w:tcBorders>
            <w:hideMark/>
          </w:tcPr>
          <w:p w14:paraId="5AA38CF4" w14:textId="77777777" w:rsidR="00122285" w:rsidRPr="00122285" w:rsidRDefault="00122285" w:rsidP="00122285">
            <w:pPr>
              <w:rPr>
                <w:rFonts w:cs="Arial"/>
              </w:rPr>
            </w:pPr>
            <w:r w:rsidRPr="00122285">
              <w:rPr>
                <w:rFonts w:cs="Arial"/>
              </w:rPr>
              <w:t>Swansea Bay University Health Board</w:t>
            </w:r>
          </w:p>
        </w:tc>
        <w:tc>
          <w:tcPr>
            <w:tcW w:w="3634" w:type="dxa"/>
            <w:tcBorders>
              <w:top w:val="single" w:sz="4" w:space="0" w:color="auto"/>
              <w:left w:val="single" w:sz="4" w:space="0" w:color="auto"/>
              <w:bottom w:val="single" w:sz="4" w:space="0" w:color="auto"/>
              <w:right w:val="single" w:sz="4" w:space="0" w:color="auto"/>
            </w:tcBorders>
            <w:hideMark/>
          </w:tcPr>
          <w:p w14:paraId="4F6365E0" w14:textId="77777777" w:rsidR="00122285" w:rsidRPr="00122285" w:rsidRDefault="00122285" w:rsidP="00122285">
            <w:pPr>
              <w:jc w:val="center"/>
              <w:rPr>
                <w:rFonts w:cs="Arial"/>
              </w:rPr>
            </w:pPr>
            <w:r w:rsidRPr="00122285">
              <w:rPr>
                <w:rFonts w:cs="Arial"/>
              </w:rPr>
              <w:t>27.9%</w:t>
            </w:r>
          </w:p>
        </w:tc>
      </w:tr>
    </w:tbl>
    <w:p w14:paraId="6FD402A2" w14:textId="77777777" w:rsidR="00122285" w:rsidRPr="00122285" w:rsidRDefault="00122285" w:rsidP="00122285">
      <w:pPr>
        <w:rPr>
          <w:rFonts w:eastAsia="Times New Roman" w:cs="Arial"/>
          <w:kern w:val="0"/>
          <w:lang w:eastAsia="en-GB"/>
          <w14:ligatures w14:val="none"/>
        </w:rPr>
      </w:pPr>
    </w:p>
    <w:p w14:paraId="3375F8F6"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 xml:space="preserve">12.2.4 Health profile </w:t>
      </w:r>
    </w:p>
    <w:p w14:paraId="4FDCD5CD" w14:textId="77777777" w:rsidR="00122285" w:rsidRPr="00122285" w:rsidRDefault="00122285" w:rsidP="00122285">
      <w:pPr>
        <w:rPr>
          <w:rFonts w:eastAsia="Times New Roman" w:cs="Arial"/>
          <w:b/>
          <w:bCs/>
          <w:kern w:val="0"/>
          <w:lang w:eastAsia="en-GB"/>
          <w14:ligatures w14:val="none"/>
        </w:rPr>
      </w:pPr>
    </w:p>
    <w:p w14:paraId="6602EA8B" w14:textId="77777777" w:rsidR="00122285" w:rsidRPr="00122285" w:rsidRDefault="00122285" w:rsidP="00122285">
      <w:pPr>
        <w:contextualSpacing/>
        <w:rPr>
          <w:rFonts w:eastAsia="Aptos" w:cs="Arial"/>
          <w:lang w:eastAsia="en-GB"/>
        </w:rPr>
      </w:pPr>
      <w:r w:rsidRPr="00122285">
        <w:rPr>
          <w:rFonts w:eastAsia="Aptos" w:cs="Arial"/>
        </w:rPr>
        <w:t>The table below shows that the locality has lower estimated prevalence of chronic conditions than both the health board and Wales averages in asthma (0.2% and to 0.3% lower respectively). However, it has higher rates than both the health board and Wales in coronary heart disease (0.2% and 0.1% higher respectively), chronic obstructive pulmonary disease (0.7% higher), diabetes (0.9% and 0.6% higher respectively), heart failure (0.3% and 0.5% higher respectively) and stroke and transient ischaemic attack (0.2% higher).</w:t>
      </w:r>
    </w:p>
    <w:p w14:paraId="18ECC4DE" w14:textId="77777777" w:rsidR="00122285" w:rsidRPr="00122285" w:rsidRDefault="00122285" w:rsidP="00122285">
      <w:pPr>
        <w:keepNext/>
        <w:rPr>
          <w:rFonts w:eastAsia="Times New Roman" w:cs="Arial"/>
          <w:bCs/>
          <w:kern w:val="0"/>
          <w14:ligatures w14:val="none"/>
        </w:rPr>
      </w:pPr>
    </w:p>
    <w:p w14:paraId="4E49417A" w14:textId="77777777" w:rsidR="00122285" w:rsidRPr="00122285" w:rsidRDefault="00122285" w:rsidP="00122285">
      <w:pPr>
        <w:keepNext/>
        <w:rPr>
          <w:rFonts w:eastAsia="Times New Roman" w:cs="Arial"/>
          <w:b/>
          <w:bCs/>
          <w:kern w:val="0"/>
          <w14:ligatures w14:val="none"/>
        </w:rPr>
      </w:pPr>
      <w:r w:rsidRPr="00122285">
        <w:rPr>
          <w:rFonts w:eastAsia="Times New Roman" w:cs="Arial"/>
          <w:b/>
          <w:bCs/>
          <w:kern w:val="0"/>
          <w14:ligatures w14:val="none"/>
        </w:rPr>
        <w:t>Table 12.3: Estimated percentage prevalence of chronic condition based on people on GP practice registers by locality, health board and Wales, 2025</w:t>
      </w:r>
      <w:r w:rsidRPr="00122285">
        <w:rPr>
          <w:rFonts w:eastAsia="Times New Roman" w:cs="Arial"/>
          <w:b/>
          <w:bCs/>
          <w:kern w:val="0"/>
          <w:vertAlign w:val="superscript"/>
          <w14:ligatures w14:val="none"/>
        </w:rPr>
        <w:footnoteReference w:id="300"/>
      </w:r>
    </w:p>
    <w:p w14:paraId="6B61D470" w14:textId="77777777" w:rsidR="00122285" w:rsidRPr="00122285" w:rsidRDefault="00122285" w:rsidP="00122285">
      <w:pPr>
        <w:keepNext/>
        <w:rPr>
          <w:rFonts w:eastAsia="Times New Roman" w:cs="Arial"/>
          <w:b/>
          <w:kern w:val="0"/>
          <w14:ligatures w14:val="none"/>
        </w:rPr>
      </w:pPr>
    </w:p>
    <w:tbl>
      <w:tblPr>
        <w:tblStyle w:val="TableGrid"/>
        <w:tblW w:w="9214" w:type="dxa"/>
        <w:tblInd w:w="-5" w:type="dxa"/>
        <w:tblLook w:val="04A0" w:firstRow="1" w:lastRow="0" w:firstColumn="1" w:lastColumn="0" w:noHBand="0" w:noVBand="1"/>
      </w:tblPr>
      <w:tblGrid>
        <w:gridCol w:w="1364"/>
        <w:gridCol w:w="1135"/>
        <w:gridCol w:w="1284"/>
        <w:gridCol w:w="1510"/>
        <w:gridCol w:w="1231"/>
        <w:gridCol w:w="1007"/>
        <w:gridCol w:w="1683"/>
      </w:tblGrid>
      <w:tr w:rsidR="00122285" w:rsidRPr="00D0306F" w14:paraId="41730BED" w14:textId="77777777" w:rsidTr="00122285">
        <w:tc>
          <w:tcPr>
            <w:tcW w:w="1364" w:type="dxa"/>
            <w:tcBorders>
              <w:top w:val="single" w:sz="4" w:space="0" w:color="auto"/>
              <w:left w:val="single" w:sz="4" w:space="0" w:color="auto"/>
              <w:bottom w:val="single" w:sz="4" w:space="0" w:color="auto"/>
              <w:right w:val="single" w:sz="4" w:space="0" w:color="auto"/>
            </w:tcBorders>
            <w:shd w:val="clear" w:color="auto" w:fill="153D63"/>
            <w:hideMark/>
          </w:tcPr>
          <w:p w14:paraId="231FB4D7" w14:textId="77777777" w:rsidR="00122285" w:rsidRPr="00122285" w:rsidRDefault="00122285" w:rsidP="00122285">
            <w:pPr>
              <w:keepNext/>
              <w:rPr>
                <w:rFonts w:cs="Arial"/>
                <w:b/>
              </w:rPr>
            </w:pPr>
            <w:r w:rsidRPr="00122285">
              <w:rPr>
                <w:rFonts w:cs="Arial"/>
                <w:b/>
                <w:bCs/>
              </w:rPr>
              <w:t>Area</w:t>
            </w:r>
          </w:p>
        </w:tc>
        <w:tc>
          <w:tcPr>
            <w:tcW w:w="1135" w:type="dxa"/>
            <w:tcBorders>
              <w:top w:val="single" w:sz="4" w:space="0" w:color="auto"/>
              <w:left w:val="single" w:sz="4" w:space="0" w:color="auto"/>
              <w:bottom w:val="single" w:sz="4" w:space="0" w:color="auto"/>
              <w:right w:val="single" w:sz="4" w:space="0" w:color="auto"/>
            </w:tcBorders>
            <w:shd w:val="clear" w:color="auto" w:fill="153D63"/>
            <w:hideMark/>
          </w:tcPr>
          <w:p w14:paraId="1269622B" w14:textId="77777777" w:rsidR="00122285" w:rsidRPr="00122285" w:rsidRDefault="00122285" w:rsidP="00122285">
            <w:pPr>
              <w:keepNext/>
              <w:rPr>
                <w:rFonts w:cs="Arial"/>
                <w:b/>
              </w:rPr>
            </w:pPr>
            <w:r w:rsidRPr="00122285">
              <w:rPr>
                <w:rFonts w:cs="Arial"/>
                <w:b/>
                <w:bCs/>
              </w:rPr>
              <w:t>Asthma</w:t>
            </w:r>
          </w:p>
        </w:tc>
        <w:tc>
          <w:tcPr>
            <w:tcW w:w="1284" w:type="dxa"/>
            <w:tcBorders>
              <w:top w:val="single" w:sz="4" w:space="0" w:color="auto"/>
              <w:left w:val="single" w:sz="4" w:space="0" w:color="auto"/>
              <w:bottom w:val="single" w:sz="4" w:space="0" w:color="auto"/>
              <w:right w:val="single" w:sz="4" w:space="0" w:color="auto"/>
            </w:tcBorders>
            <w:shd w:val="clear" w:color="auto" w:fill="153D63"/>
            <w:hideMark/>
          </w:tcPr>
          <w:p w14:paraId="6FE7B8BA" w14:textId="77777777" w:rsidR="00122285" w:rsidRPr="00122285" w:rsidRDefault="00122285" w:rsidP="00122285">
            <w:pPr>
              <w:keepNext/>
              <w:rPr>
                <w:rFonts w:cs="Arial"/>
                <w:b/>
              </w:rPr>
            </w:pPr>
            <w:r w:rsidRPr="00122285">
              <w:rPr>
                <w:rFonts w:cs="Arial"/>
                <w:b/>
                <w:bCs/>
              </w:rPr>
              <w:t>Coronary heart disease</w:t>
            </w:r>
          </w:p>
        </w:tc>
        <w:tc>
          <w:tcPr>
            <w:tcW w:w="1510" w:type="dxa"/>
            <w:tcBorders>
              <w:top w:val="single" w:sz="4" w:space="0" w:color="auto"/>
              <w:left w:val="single" w:sz="4" w:space="0" w:color="auto"/>
              <w:bottom w:val="single" w:sz="4" w:space="0" w:color="auto"/>
              <w:right w:val="single" w:sz="4" w:space="0" w:color="auto"/>
            </w:tcBorders>
            <w:shd w:val="clear" w:color="auto" w:fill="153D63"/>
            <w:hideMark/>
          </w:tcPr>
          <w:p w14:paraId="27A69EC0" w14:textId="77777777" w:rsidR="00122285" w:rsidRPr="00122285" w:rsidRDefault="00122285" w:rsidP="00122285">
            <w:pPr>
              <w:keepNext/>
              <w:rPr>
                <w:rFonts w:cs="Arial"/>
                <w:b/>
              </w:rPr>
            </w:pPr>
            <w:r w:rsidRPr="00122285">
              <w:rPr>
                <w:rFonts w:cs="Arial"/>
                <w:b/>
                <w:bCs/>
              </w:rPr>
              <w:t>Chronic obstructive pulmonary disease</w:t>
            </w:r>
          </w:p>
        </w:tc>
        <w:tc>
          <w:tcPr>
            <w:tcW w:w="1231" w:type="dxa"/>
            <w:tcBorders>
              <w:top w:val="single" w:sz="4" w:space="0" w:color="auto"/>
              <w:left w:val="single" w:sz="4" w:space="0" w:color="auto"/>
              <w:bottom w:val="single" w:sz="4" w:space="0" w:color="auto"/>
              <w:right w:val="single" w:sz="4" w:space="0" w:color="auto"/>
            </w:tcBorders>
            <w:shd w:val="clear" w:color="auto" w:fill="153D63"/>
            <w:hideMark/>
          </w:tcPr>
          <w:p w14:paraId="3E24E3DF" w14:textId="77777777" w:rsidR="00122285" w:rsidRPr="00122285" w:rsidRDefault="00122285" w:rsidP="00122285">
            <w:pPr>
              <w:keepNext/>
              <w:rPr>
                <w:rFonts w:cs="Arial"/>
                <w:b/>
              </w:rPr>
            </w:pPr>
            <w:r w:rsidRPr="00122285">
              <w:rPr>
                <w:rFonts w:cs="Arial"/>
                <w:b/>
                <w:bCs/>
              </w:rPr>
              <w:t>Diabetes</w:t>
            </w:r>
          </w:p>
        </w:tc>
        <w:tc>
          <w:tcPr>
            <w:tcW w:w="1007" w:type="dxa"/>
            <w:tcBorders>
              <w:top w:val="single" w:sz="4" w:space="0" w:color="auto"/>
              <w:left w:val="single" w:sz="4" w:space="0" w:color="auto"/>
              <w:bottom w:val="single" w:sz="4" w:space="0" w:color="auto"/>
              <w:right w:val="single" w:sz="4" w:space="0" w:color="auto"/>
            </w:tcBorders>
            <w:shd w:val="clear" w:color="auto" w:fill="153D63"/>
            <w:hideMark/>
          </w:tcPr>
          <w:p w14:paraId="2846BDBA" w14:textId="77777777" w:rsidR="00122285" w:rsidRPr="00122285" w:rsidRDefault="00122285" w:rsidP="00122285">
            <w:pPr>
              <w:keepNext/>
              <w:rPr>
                <w:rFonts w:cs="Arial"/>
                <w:b/>
              </w:rPr>
            </w:pPr>
            <w:r w:rsidRPr="00122285">
              <w:rPr>
                <w:rFonts w:cs="Arial"/>
                <w:b/>
                <w:bCs/>
              </w:rPr>
              <w:t>Heart failure</w:t>
            </w:r>
          </w:p>
        </w:tc>
        <w:tc>
          <w:tcPr>
            <w:tcW w:w="1683" w:type="dxa"/>
            <w:tcBorders>
              <w:top w:val="single" w:sz="4" w:space="0" w:color="auto"/>
              <w:left w:val="single" w:sz="4" w:space="0" w:color="auto"/>
              <w:bottom w:val="single" w:sz="4" w:space="0" w:color="auto"/>
              <w:right w:val="single" w:sz="4" w:space="0" w:color="auto"/>
            </w:tcBorders>
            <w:shd w:val="clear" w:color="auto" w:fill="153D63"/>
          </w:tcPr>
          <w:p w14:paraId="5C94544E" w14:textId="1D25C78A" w:rsidR="00122285" w:rsidRPr="00122285" w:rsidRDefault="00122285" w:rsidP="00122285">
            <w:pPr>
              <w:keepNext/>
              <w:rPr>
                <w:rFonts w:cs="Arial"/>
                <w:b/>
              </w:rPr>
            </w:pPr>
            <w:r w:rsidRPr="00122285">
              <w:rPr>
                <w:rFonts w:cs="Arial"/>
                <w:b/>
                <w:bCs/>
              </w:rPr>
              <w:t>Stroke and transient ischaemic attacks</w:t>
            </w:r>
          </w:p>
        </w:tc>
      </w:tr>
      <w:tr w:rsidR="00122285" w:rsidRPr="00122285" w14:paraId="7984FBB2" w14:textId="77777777" w:rsidTr="00122285">
        <w:tc>
          <w:tcPr>
            <w:tcW w:w="1364" w:type="dxa"/>
            <w:tcBorders>
              <w:top w:val="single" w:sz="4" w:space="0" w:color="auto"/>
              <w:left w:val="single" w:sz="4" w:space="0" w:color="auto"/>
              <w:bottom w:val="single" w:sz="4" w:space="0" w:color="auto"/>
              <w:right w:val="single" w:sz="4" w:space="0" w:color="auto"/>
            </w:tcBorders>
            <w:hideMark/>
          </w:tcPr>
          <w:p w14:paraId="759D69E5" w14:textId="77777777" w:rsidR="00122285" w:rsidRPr="00122285" w:rsidRDefault="00122285" w:rsidP="00122285">
            <w:pPr>
              <w:keepNext/>
              <w:rPr>
                <w:rFonts w:cs="Arial"/>
              </w:rPr>
            </w:pPr>
            <w:r w:rsidRPr="00122285">
              <w:rPr>
                <w:rFonts w:cs="Arial"/>
              </w:rPr>
              <w:t>Penderi locality</w:t>
            </w:r>
          </w:p>
        </w:tc>
        <w:tc>
          <w:tcPr>
            <w:tcW w:w="1135" w:type="dxa"/>
            <w:tcBorders>
              <w:top w:val="single" w:sz="4" w:space="0" w:color="auto"/>
              <w:left w:val="single" w:sz="4" w:space="0" w:color="auto"/>
              <w:bottom w:val="single" w:sz="4" w:space="0" w:color="auto"/>
              <w:right w:val="single" w:sz="4" w:space="0" w:color="auto"/>
            </w:tcBorders>
            <w:hideMark/>
          </w:tcPr>
          <w:p w14:paraId="32F47E7D" w14:textId="77777777" w:rsidR="00122285" w:rsidRPr="00122285" w:rsidRDefault="00122285" w:rsidP="00122285">
            <w:pPr>
              <w:keepNext/>
              <w:rPr>
                <w:rFonts w:cs="Arial"/>
                <w:bCs/>
              </w:rPr>
            </w:pPr>
            <w:r w:rsidRPr="00122285">
              <w:rPr>
                <w:rFonts w:cs="Arial"/>
                <w:bCs/>
              </w:rPr>
              <w:t>6.8%</w:t>
            </w:r>
          </w:p>
        </w:tc>
        <w:tc>
          <w:tcPr>
            <w:tcW w:w="1284" w:type="dxa"/>
            <w:tcBorders>
              <w:top w:val="single" w:sz="4" w:space="0" w:color="auto"/>
              <w:left w:val="single" w:sz="4" w:space="0" w:color="auto"/>
              <w:bottom w:val="single" w:sz="4" w:space="0" w:color="auto"/>
              <w:right w:val="single" w:sz="4" w:space="0" w:color="auto"/>
            </w:tcBorders>
            <w:hideMark/>
          </w:tcPr>
          <w:p w14:paraId="68A54478" w14:textId="77777777" w:rsidR="00122285" w:rsidRPr="00122285" w:rsidRDefault="00122285" w:rsidP="00122285">
            <w:pPr>
              <w:keepNext/>
              <w:rPr>
                <w:rFonts w:cs="Arial"/>
                <w:bCs/>
              </w:rPr>
            </w:pPr>
            <w:r w:rsidRPr="00122285">
              <w:rPr>
                <w:rFonts w:cs="Arial"/>
                <w:bCs/>
              </w:rPr>
              <w:t>3.5%</w:t>
            </w:r>
          </w:p>
        </w:tc>
        <w:tc>
          <w:tcPr>
            <w:tcW w:w="1510" w:type="dxa"/>
            <w:tcBorders>
              <w:top w:val="single" w:sz="4" w:space="0" w:color="auto"/>
              <w:left w:val="single" w:sz="4" w:space="0" w:color="auto"/>
              <w:bottom w:val="single" w:sz="4" w:space="0" w:color="auto"/>
              <w:right w:val="single" w:sz="4" w:space="0" w:color="auto"/>
            </w:tcBorders>
            <w:hideMark/>
          </w:tcPr>
          <w:p w14:paraId="27409F3D" w14:textId="77777777" w:rsidR="00122285" w:rsidRPr="00122285" w:rsidRDefault="00122285" w:rsidP="00122285">
            <w:pPr>
              <w:keepNext/>
              <w:rPr>
                <w:rFonts w:cs="Arial"/>
                <w:bCs/>
              </w:rPr>
            </w:pPr>
            <w:r w:rsidRPr="00122285">
              <w:rPr>
                <w:rFonts w:cs="Arial"/>
                <w:bCs/>
              </w:rPr>
              <w:t>3.0%</w:t>
            </w:r>
          </w:p>
        </w:tc>
        <w:tc>
          <w:tcPr>
            <w:tcW w:w="1231" w:type="dxa"/>
            <w:tcBorders>
              <w:top w:val="single" w:sz="4" w:space="0" w:color="auto"/>
              <w:left w:val="single" w:sz="4" w:space="0" w:color="auto"/>
              <w:bottom w:val="single" w:sz="4" w:space="0" w:color="auto"/>
              <w:right w:val="single" w:sz="4" w:space="0" w:color="auto"/>
            </w:tcBorders>
            <w:hideMark/>
          </w:tcPr>
          <w:p w14:paraId="7529B35C" w14:textId="77777777" w:rsidR="00122285" w:rsidRPr="00122285" w:rsidRDefault="00122285" w:rsidP="00122285">
            <w:pPr>
              <w:keepNext/>
              <w:rPr>
                <w:rFonts w:cs="Arial"/>
                <w:bCs/>
              </w:rPr>
            </w:pPr>
            <w:r w:rsidRPr="00122285">
              <w:rPr>
                <w:rFonts w:cs="Arial"/>
                <w:bCs/>
              </w:rPr>
              <w:t>9.0%</w:t>
            </w:r>
          </w:p>
        </w:tc>
        <w:tc>
          <w:tcPr>
            <w:tcW w:w="1007" w:type="dxa"/>
            <w:tcBorders>
              <w:top w:val="single" w:sz="4" w:space="0" w:color="auto"/>
              <w:left w:val="single" w:sz="4" w:space="0" w:color="auto"/>
              <w:bottom w:val="single" w:sz="4" w:space="0" w:color="auto"/>
              <w:right w:val="single" w:sz="4" w:space="0" w:color="auto"/>
            </w:tcBorders>
            <w:hideMark/>
          </w:tcPr>
          <w:p w14:paraId="5BD2C635" w14:textId="77777777" w:rsidR="00122285" w:rsidRPr="00122285" w:rsidRDefault="00122285" w:rsidP="00122285">
            <w:pPr>
              <w:keepNext/>
              <w:rPr>
                <w:rFonts w:cs="Arial"/>
                <w:bCs/>
              </w:rPr>
            </w:pPr>
            <w:r w:rsidRPr="00122285">
              <w:rPr>
                <w:rFonts w:cs="Arial"/>
                <w:bCs/>
              </w:rPr>
              <w:t>1.9%</w:t>
            </w:r>
          </w:p>
        </w:tc>
        <w:tc>
          <w:tcPr>
            <w:tcW w:w="1683" w:type="dxa"/>
            <w:tcBorders>
              <w:top w:val="single" w:sz="4" w:space="0" w:color="auto"/>
              <w:left w:val="single" w:sz="4" w:space="0" w:color="auto"/>
              <w:bottom w:val="single" w:sz="4" w:space="0" w:color="auto"/>
              <w:right w:val="single" w:sz="4" w:space="0" w:color="auto"/>
            </w:tcBorders>
            <w:hideMark/>
          </w:tcPr>
          <w:p w14:paraId="400ACDC6" w14:textId="77777777" w:rsidR="00122285" w:rsidRPr="00122285" w:rsidRDefault="00122285" w:rsidP="00122285">
            <w:pPr>
              <w:keepNext/>
              <w:rPr>
                <w:rFonts w:cs="Arial"/>
                <w:bCs/>
              </w:rPr>
            </w:pPr>
            <w:r w:rsidRPr="00122285">
              <w:rPr>
                <w:rFonts w:cs="Arial"/>
                <w:bCs/>
              </w:rPr>
              <w:t>2.4%</w:t>
            </w:r>
          </w:p>
        </w:tc>
      </w:tr>
      <w:tr w:rsidR="00122285" w:rsidRPr="00122285" w14:paraId="5BBC6BAB" w14:textId="77777777" w:rsidTr="00122285">
        <w:tc>
          <w:tcPr>
            <w:tcW w:w="1364" w:type="dxa"/>
            <w:tcBorders>
              <w:top w:val="single" w:sz="4" w:space="0" w:color="auto"/>
              <w:left w:val="single" w:sz="4" w:space="0" w:color="auto"/>
              <w:bottom w:val="single" w:sz="4" w:space="0" w:color="auto"/>
              <w:right w:val="single" w:sz="4" w:space="0" w:color="auto"/>
            </w:tcBorders>
            <w:hideMark/>
          </w:tcPr>
          <w:p w14:paraId="7DB8C28A" w14:textId="77777777" w:rsidR="00122285" w:rsidRPr="00122285" w:rsidRDefault="00122285" w:rsidP="00122285">
            <w:pPr>
              <w:keepNext/>
              <w:rPr>
                <w:rFonts w:cs="Arial"/>
              </w:rPr>
            </w:pPr>
            <w:r w:rsidRPr="00122285">
              <w:rPr>
                <w:rFonts w:cs="Arial"/>
              </w:rPr>
              <w:t xml:space="preserve">Swansea Bay University Health Board </w:t>
            </w:r>
          </w:p>
        </w:tc>
        <w:tc>
          <w:tcPr>
            <w:tcW w:w="1135" w:type="dxa"/>
            <w:tcBorders>
              <w:top w:val="single" w:sz="4" w:space="0" w:color="auto"/>
              <w:left w:val="single" w:sz="4" w:space="0" w:color="auto"/>
              <w:bottom w:val="single" w:sz="4" w:space="0" w:color="auto"/>
              <w:right w:val="single" w:sz="4" w:space="0" w:color="auto"/>
            </w:tcBorders>
            <w:hideMark/>
          </w:tcPr>
          <w:p w14:paraId="340C111C" w14:textId="77777777" w:rsidR="00122285" w:rsidRPr="00122285" w:rsidRDefault="00122285" w:rsidP="00122285">
            <w:pPr>
              <w:keepNext/>
              <w:rPr>
                <w:rFonts w:cs="Arial"/>
              </w:rPr>
            </w:pPr>
            <w:r w:rsidRPr="00122285">
              <w:rPr>
                <w:rFonts w:cs="Arial"/>
              </w:rPr>
              <w:t>7.0%</w:t>
            </w:r>
          </w:p>
        </w:tc>
        <w:tc>
          <w:tcPr>
            <w:tcW w:w="1284" w:type="dxa"/>
            <w:tcBorders>
              <w:top w:val="single" w:sz="4" w:space="0" w:color="auto"/>
              <w:left w:val="single" w:sz="4" w:space="0" w:color="auto"/>
              <w:bottom w:val="single" w:sz="4" w:space="0" w:color="auto"/>
              <w:right w:val="single" w:sz="4" w:space="0" w:color="auto"/>
            </w:tcBorders>
            <w:hideMark/>
          </w:tcPr>
          <w:p w14:paraId="4DF92514" w14:textId="77777777" w:rsidR="00122285" w:rsidRPr="00122285" w:rsidRDefault="00122285" w:rsidP="00122285">
            <w:pPr>
              <w:keepNext/>
              <w:rPr>
                <w:rFonts w:cs="Arial"/>
              </w:rPr>
            </w:pPr>
            <w:r w:rsidRPr="00122285">
              <w:rPr>
                <w:rFonts w:cs="Arial"/>
              </w:rPr>
              <w:t>3.3%</w:t>
            </w:r>
          </w:p>
        </w:tc>
        <w:tc>
          <w:tcPr>
            <w:tcW w:w="1510" w:type="dxa"/>
            <w:tcBorders>
              <w:top w:val="single" w:sz="4" w:space="0" w:color="auto"/>
              <w:left w:val="single" w:sz="4" w:space="0" w:color="auto"/>
              <w:bottom w:val="single" w:sz="4" w:space="0" w:color="auto"/>
              <w:right w:val="single" w:sz="4" w:space="0" w:color="auto"/>
            </w:tcBorders>
            <w:hideMark/>
          </w:tcPr>
          <w:p w14:paraId="6A105C29" w14:textId="77777777" w:rsidR="00122285" w:rsidRPr="00122285" w:rsidRDefault="00122285" w:rsidP="00122285">
            <w:pPr>
              <w:keepNext/>
              <w:rPr>
                <w:rFonts w:cs="Arial"/>
              </w:rPr>
            </w:pPr>
            <w:r w:rsidRPr="00122285">
              <w:rPr>
                <w:rFonts w:cs="Arial"/>
              </w:rPr>
              <w:t>2.3%</w:t>
            </w:r>
          </w:p>
        </w:tc>
        <w:tc>
          <w:tcPr>
            <w:tcW w:w="1231" w:type="dxa"/>
            <w:tcBorders>
              <w:top w:val="single" w:sz="4" w:space="0" w:color="auto"/>
              <w:left w:val="single" w:sz="4" w:space="0" w:color="auto"/>
              <w:bottom w:val="single" w:sz="4" w:space="0" w:color="auto"/>
              <w:right w:val="single" w:sz="4" w:space="0" w:color="auto"/>
            </w:tcBorders>
            <w:hideMark/>
          </w:tcPr>
          <w:p w14:paraId="10AC8051" w14:textId="77777777" w:rsidR="00122285" w:rsidRPr="00122285" w:rsidRDefault="00122285" w:rsidP="00122285">
            <w:pPr>
              <w:keepNext/>
              <w:rPr>
                <w:rFonts w:cs="Arial"/>
              </w:rPr>
            </w:pPr>
            <w:r w:rsidRPr="00122285">
              <w:rPr>
                <w:rFonts w:cs="Arial"/>
              </w:rPr>
              <w:t>8.1%</w:t>
            </w:r>
          </w:p>
        </w:tc>
        <w:tc>
          <w:tcPr>
            <w:tcW w:w="1007" w:type="dxa"/>
            <w:tcBorders>
              <w:top w:val="single" w:sz="4" w:space="0" w:color="auto"/>
              <w:left w:val="single" w:sz="4" w:space="0" w:color="auto"/>
              <w:bottom w:val="single" w:sz="4" w:space="0" w:color="auto"/>
              <w:right w:val="single" w:sz="4" w:space="0" w:color="auto"/>
            </w:tcBorders>
            <w:hideMark/>
          </w:tcPr>
          <w:p w14:paraId="44C35AB9" w14:textId="77777777" w:rsidR="00122285" w:rsidRPr="00122285" w:rsidRDefault="00122285" w:rsidP="00122285">
            <w:pPr>
              <w:keepNext/>
              <w:rPr>
                <w:rFonts w:cs="Arial"/>
              </w:rPr>
            </w:pPr>
            <w:r w:rsidRPr="00122285">
              <w:rPr>
                <w:rFonts w:cs="Arial"/>
              </w:rPr>
              <w:t>1.6%</w:t>
            </w:r>
          </w:p>
        </w:tc>
        <w:tc>
          <w:tcPr>
            <w:tcW w:w="1683" w:type="dxa"/>
            <w:tcBorders>
              <w:top w:val="single" w:sz="4" w:space="0" w:color="auto"/>
              <w:left w:val="single" w:sz="4" w:space="0" w:color="auto"/>
              <w:bottom w:val="single" w:sz="4" w:space="0" w:color="auto"/>
              <w:right w:val="single" w:sz="4" w:space="0" w:color="auto"/>
            </w:tcBorders>
            <w:hideMark/>
          </w:tcPr>
          <w:p w14:paraId="157C46FF" w14:textId="77777777" w:rsidR="00122285" w:rsidRPr="00122285" w:rsidRDefault="00122285" w:rsidP="00122285">
            <w:pPr>
              <w:keepNext/>
              <w:rPr>
                <w:rFonts w:cs="Arial"/>
              </w:rPr>
            </w:pPr>
            <w:r w:rsidRPr="00122285">
              <w:rPr>
                <w:rFonts w:cs="Arial"/>
              </w:rPr>
              <w:t>2.2%</w:t>
            </w:r>
          </w:p>
        </w:tc>
      </w:tr>
      <w:tr w:rsidR="00122285" w:rsidRPr="00122285" w14:paraId="05A1EFE6" w14:textId="77777777" w:rsidTr="00122285">
        <w:tc>
          <w:tcPr>
            <w:tcW w:w="1364" w:type="dxa"/>
            <w:tcBorders>
              <w:top w:val="single" w:sz="4" w:space="0" w:color="auto"/>
              <w:left w:val="single" w:sz="4" w:space="0" w:color="auto"/>
              <w:bottom w:val="single" w:sz="4" w:space="0" w:color="auto"/>
              <w:right w:val="single" w:sz="4" w:space="0" w:color="auto"/>
            </w:tcBorders>
            <w:hideMark/>
          </w:tcPr>
          <w:p w14:paraId="667B6073" w14:textId="77777777" w:rsidR="00122285" w:rsidRPr="00122285" w:rsidRDefault="00122285" w:rsidP="00122285">
            <w:pPr>
              <w:keepNext/>
              <w:rPr>
                <w:rFonts w:cs="Arial"/>
              </w:rPr>
            </w:pPr>
            <w:r w:rsidRPr="00122285">
              <w:rPr>
                <w:rFonts w:cs="Arial"/>
              </w:rPr>
              <w:t>Wales</w:t>
            </w:r>
          </w:p>
        </w:tc>
        <w:tc>
          <w:tcPr>
            <w:tcW w:w="1135" w:type="dxa"/>
            <w:tcBorders>
              <w:top w:val="single" w:sz="4" w:space="0" w:color="auto"/>
              <w:left w:val="single" w:sz="4" w:space="0" w:color="auto"/>
              <w:bottom w:val="single" w:sz="4" w:space="0" w:color="auto"/>
              <w:right w:val="single" w:sz="4" w:space="0" w:color="auto"/>
            </w:tcBorders>
            <w:hideMark/>
          </w:tcPr>
          <w:p w14:paraId="26301A1C" w14:textId="77777777" w:rsidR="00122285" w:rsidRPr="00122285" w:rsidRDefault="00122285" w:rsidP="00122285">
            <w:pPr>
              <w:keepNext/>
              <w:rPr>
                <w:rFonts w:cs="Arial"/>
              </w:rPr>
            </w:pPr>
            <w:r w:rsidRPr="00122285">
              <w:rPr>
                <w:rFonts w:cs="Arial"/>
              </w:rPr>
              <w:t>7.1%</w:t>
            </w:r>
          </w:p>
        </w:tc>
        <w:tc>
          <w:tcPr>
            <w:tcW w:w="1284" w:type="dxa"/>
            <w:tcBorders>
              <w:top w:val="single" w:sz="4" w:space="0" w:color="auto"/>
              <w:left w:val="single" w:sz="4" w:space="0" w:color="auto"/>
              <w:bottom w:val="single" w:sz="4" w:space="0" w:color="auto"/>
              <w:right w:val="single" w:sz="4" w:space="0" w:color="auto"/>
            </w:tcBorders>
            <w:hideMark/>
          </w:tcPr>
          <w:p w14:paraId="1E666117" w14:textId="77777777" w:rsidR="00122285" w:rsidRPr="00122285" w:rsidRDefault="00122285" w:rsidP="00122285">
            <w:pPr>
              <w:keepNext/>
              <w:rPr>
                <w:rFonts w:cs="Arial"/>
              </w:rPr>
            </w:pPr>
            <w:r w:rsidRPr="00122285">
              <w:rPr>
                <w:rFonts w:cs="Arial"/>
              </w:rPr>
              <w:t>3.4%</w:t>
            </w:r>
          </w:p>
        </w:tc>
        <w:tc>
          <w:tcPr>
            <w:tcW w:w="1510" w:type="dxa"/>
            <w:tcBorders>
              <w:top w:val="single" w:sz="4" w:space="0" w:color="auto"/>
              <w:left w:val="single" w:sz="4" w:space="0" w:color="auto"/>
              <w:bottom w:val="single" w:sz="4" w:space="0" w:color="auto"/>
              <w:right w:val="single" w:sz="4" w:space="0" w:color="auto"/>
            </w:tcBorders>
            <w:hideMark/>
          </w:tcPr>
          <w:p w14:paraId="58A77CAE" w14:textId="77777777" w:rsidR="00122285" w:rsidRPr="00122285" w:rsidRDefault="00122285" w:rsidP="00122285">
            <w:pPr>
              <w:keepNext/>
              <w:rPr>
                <w:rFonts w:cs="Arial"/>
              </w:rPr>
            </w:pPr>
            <w:r w:rsidRPr="00122285">
              <w:rPr>
                <w:rFonts w:cs="Arial"/>
              </w:rPr>
              <w:t>2.3%</w:t>
            </w:r>
          </w:p>
        </w:tc>
        <w:tc>
          <w:tcPr>
            <w:tcW w:w="1231" w:type="dxa"/>
            <w:tcBorders>
              <w:top w:val="single" w:sz="4" w:space="0" w:color="auto"/>
              <w:left w:val="single" w:sz="4" w:space="0" w:color="auto"/>
              <w:bottom w:val="single" w:sz="4" w:space="0" w:color="auto"/>
              <w:right w:val="single" w:sz="4" w:space="0" w:color="auto"/>
            </w:tcBorders>
            <w:hideMark/>
          </w:tcPr>
          <w:p w14:paraId="2C670A6F" w14:textId="77777777" w:rsidR="00122285" w:rsidRPr="00122285" w:rsidRDefault="00122285" w:rsidP="00122285">
            <w:pPr>
              <w:keepNext/>
              <w:rPr>
                <w:rFonts w:cs="Arial"/>
              </w:rPr>
            </w:pPr>
            <w:r w:rsidRPr="00122285">
              <w:rPr>
                <w:rFonts w:cs="Arial"/>
              </w:rPr>
              <w:t>8.4%</w:t>
            </w:r>
          </w:p>
        </w:tc>
        <w:tc>
          <w:tcPr>
            <w:tcW w:w="1007" w:type="dxa"/>
            <w:tcBorders>
              <w:top w:val="single" w:sz="4" w:space="0" w:color="auto"/>
              <w:left w:val="single" w:sz="4" w:space="0" w:color="auto"/>
              <w:bottom w:val="single" w:sz="4" w:space="0" w:color="auto"/>
              <w:right w:val="single" w:sz="4" w:space="0" w:color="auto"/>
            </w:tcBorders>
            <w:hideMark/>
          </w:tcPr>
          <w:p w14:paraId="08081B65" w14:textId="77777777" w:rsidR="00122285" w:rsidRPr="00122285" w:rsidRDefault="00122285" w:rsidP="00122285">
            <w:pPr>
              <w:keepNext/>
              <w:rPr>
                <w:rFonts w:cs="Arial"/>
              </w:rPr>
            </w:pPr>
            <w:r w:rsidRPr="00122285">
              <w:rPr>
                <w:rFonts w:cs="Arial"/>
              </w:rPr>
              <w:t>1.4%</w:t>
            </w:r>
          </w:p>
        </w:tc>
        <w:tc>
          <w:tcPr>
            <w:tcW w:w="1683" w:type="dxa"/>
            <w:tcBorders>
              <w:top w:val="single" w:sz="4" w:space="0" w:color="auto"/>
              <w:left w:val="single" w:sz="4" w:space="0" w:color="auto"/>
              <w:bottom w:val="single" w:sz="4" w:space="0" w:color="auto"/>
              <w:right w:val="single" w:sz="4" w:space="0" w:color="auto"/>
            </w:tcBorders>
            <w:hideMark/>
          </w:tcPr>
          <w:p w14:paraId="3A0FA7B7" w14:textId="77777777" w:rsidR="00122285" w:rsidRPr="00122285" w:rsidRDefault="00122285" w:rsidP="00122285">
            <w:pPr>
              <w:keepNext/>
              <w:rPr>
                <w:rFonts w:cs="Arial"/>
              </w:rPr>
            </w:pPr>
            <w:r w:rsidRPr="00122285">
              <w:rPr>
                <w:rFonts w:cs="Arial"/>
              </w:rPr>
              <w:t>2.2%</w:t>
            </w:r>
          </w:p>
        </w:tc>
      </w:tr>
    </w:tbl>
    <w:p w14:paraId="307D0AEB" w14:textId="77777777" w:rsidR="00122285" w:rsidRPr="00122285" w:rsidRDefault="00122285" w:rsidP="00122285">
      <w:pPr>
        <w:rPr>
          <w:rFonts w:eastAsia="Times New Roman" w:cs="Arial"/>
          <w:kern w:val="0"/>
          <w:lang w:eastAsia="en-GB"/>
          <w14:ligatures w14:val="none"/>
        </w:rPr>
      </w:pPr>
    </w:p>
    <w:p w14:paraId="4818B455"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The table below compares the percentage of people registered with a mental health condition and dementia in the locality with the health board and Wales averages. It shows the rates in mental health align with the health board but is higher than the </w:t>
      </w:r>
      <w:r w:rsidRPr="00122285">
        <w:rPr>
          <w:rFonts w:eastAsia="Times New Roman" w:cs="Arial"/>
          <w:kern w:val="0"/>
          <w:lang w:eastAsia="en-GB"/>
          <w14:ligatures w14:val="none"/>
        </w:rPr>
        <w:lastRenderedPageBreak/>
        <w:t>Wales average (0.2% higher). Dementia is lower than both the health board and Wales average (0.1% lower).</w:t>
      </w:r>
    </w:p>
    <w:p w14:paraId="76CB0E59" w14:textId="77777777" w:rsidR="00122285" w:rsidRPr="00122285" w:rsidRDefault="00122285" w:rsidP="00122285">
      <w:pPr>
        <w:rPr>
          <w:rFonts w:eastAsia="Times New Roman" w:cs="Arial"/>
          <w:b/>
          <w:bCs/>
          <w:kern w:val="0"/>
          <w:lang w:eastAsia="en-GB"/>
          <w14:ligatures w14:val="none"/>
        </w:rPr>
      </w:pPr>
    </w:p>
    <w:p w14:paraId="66F254A1"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Table 12.4: Percentage of people registered as having a mental health condition, and dementia by locality, health board and Wales, 2025</w:t>
      </w:r>
      <w:r w:rsidRPr="00122285">
        <w:rPr>
          <w:rFonts w:eastAsia="Times New Roman" w:cs="Arial"/>
          <w:b/>
          <w:bCs/>
          <w:kern w:val="0"/>
          <w:vertAlign w:val="superscript"/>
          <w:lang w:eastAsia="en-GB"/>
          <w14:ligatures w14:val="none"/>
        </w:rPr>
        <w:footnoteReference w:id="301"/>
      </w:r>
    </w:p>
    <w:p w14:paraId="79A59EB1" w14:textId="77777777" w:rsidR="00122285" w:rsidRPr="00122285" w:rsidRDefault="00122285" w:rsidP="00122285">
      <w:pPr>
        <w:rPr>
          <w:rFonts w:eastAsia="Times New Roman" w:cs="Arial"/>
          <w:kern w:val="0"/>
          <w:lang w:eastAsia="en-GB"/>
          <w14:ligatures w14:val="none"/>
        </w:rPr>
      </w:pPr>
    </w:p>
    <w:tbl>
      <w:tblPr>
        <w:tblStyle w:val="TableGrid"/>
        <w:tblW w:w="8642" w:type="dxa"/>
        <w:tblInd w:w="0" w:type="dxa"/>
        <w:tblLook w:val="04A0" w:firstRow="1" w:lastRow="0" w:firstColumn="1" w:lastColumn="0" w:noHBand="0" w:noVBand="1"/>
      </w:tblPr>
      <w:tblGrid>
        <w:gridCol w:w="4390"/>
        <w:gridCol w:w="2126"/>
        <w:gridCol w:w="2126"/>
      </w:tblGrid>
      <w:tr w:rsidR="00122285" w:rsidRPr="00D0306F" w14:paraId="66BC8077" w14:textId="77777777" w:rsidTr="00122285">
        <w:tc>
          <w:tcPr>
            <w:tcW w:w="4390" w:type="dxa"/>
            <w:tcBorders>
              <w:top w:val="single" w:sz="4" w:space="0" w:color="auto"/>
              <w:left w:val="single" w:sz="4" w:space="0" w:color="auto"/>
              <w:bottom w:val="single" w:sz="4" w:space="0" w:color="auto"/>
              <w:right w:val="single" w:sz="4" w:space="0" w:color="auto"/>
            </w:tcBorders>
            <w:shd w:val="clear" w:color="auto" w:fill="153D63"/>
            <w:hideMark/>
          </w:tcPr>
          <w:p w14:paraId="61C5F651" w14:textId="77777777" w:rsidR="00122285" w:rsidRPr="00122285" w:rsidRDefault="00122285" w:rsidP="00122285">
            <w:pPr>
              <w:rPr>
                <w:rFonts w:cs="Arial"/>
              </w:rPr>
            </w:pPr>
            <w:r w:rsidRPr="00122285">
              <w:rPr>
                <w:rFonts w:cs="Arial"/>
                <w:b/>
                <w:bCs/>
              </w:rPr>
              <w:t>Area</w:t>
            </w:r>
          </w:p>
        </w:tc>
        <w:tc>
          <w:tcPr>
            <w:tcW w:w="2126" w:type="dxa"/>
            <w:tcBorders>
              <w:top w:val="single" w:sz="4" w:space="0" w:color="auto"/>
              <w:left w:val="single" w:sz="4" w:space="0" w:color="auto"/>
              <w:bottom w:val="single" w:sz="4" w:space="0" w:color="auto"/>
              <w:right w:val="single" w:sz="4" w:space="0" w:color="auto"/>
            </w:tcBorders>
            <w:shd w:val="clear" w:color="auto" w:fill="153D63"/>
            <w:hideMark/>
          </w:tcPr>
          <w:p w14:paraId="028771BF" w14:textId="77777777" w:rsidR="00122285" w:rsidRPr="00122285" w:rsidRDefault="00122285" w:rsidP="00D7495C">
            <w:pPr>
              <w:jc w:val="center"/>
              <w:rPr>
                <w:rFonts w:cs="Arial"/>
              </w:rPr>
            </w:pPr>
            <w:r w:rsidRPr="00122285">
              <w:rPr>
                <w:rFonts w:cs="Arial"/>
                <w:b/>
                <w:bCs/>
              </w:rPr>
              <w:t>Mental health</w:t>
            </w:r>
          </w:p>
        </w:tc>
        <w:tc>
          <w:tcPr>
            <w:tcW w:w="2126" w:type="dxa"/>
            <w:tcBorders>
              <w:top w:val="single" w:sz="4" w:space="0" w:color="auto"/>
              <w:left w:val="single" w:sz="4" w:space="0" w:color="auto"/>
              <w:bottom w:val="single" w:sz="4" w:space="0" w:color="auto"/>
              <w:right w:val="single" w:sz="4" w:space="0" w:color="auto"/>
            </w:tcBorders>
            <w:shd w:val="clear" w:color="auto" w:fill="153D63"/>
            <w:hideMark/>
          </w:tcPr>
          <w:p w14:paraId="21236A94" w14:textId="77777777" w:rsidR="00122285" w:rsidRPr="00122285" w:rsidRDefault="00122285" w:rsidP="00D7495C">
            <w:pPr>
              <w:jc w:val="center"/>
              <w:rPr>
                <w:rFonts w:cs="Arial"/>
              </w:rPr>
            </w:pPr>
            <w:r w:rsidRPr="00122285">
              <w:rPr>
                <w:rFonts w:cs="Arial"/>
                <w:b/>
                <w:bCs/>
              </w:rPr>
              <w:t>Dementia</w:t>
            </w:r>
          </w:p>
        </w:tc>
      </w:tr>
      <w:tr w:rsidR="00122285" w:rsidRPr="00122285" w14:paraId="305B8E79" w14:textId="77777777" w:rsidTr="00122285">
        <w:tc>
          <w:tcPr>
            <w:tcW w:w="4390" w:type="dxa"/>
            <w:tcBorders>
              <w:top w:val="single" w:sz="4" w:space="0" w:color="auto"/>
              <w:left w:val="single" w:sz="4" w:space="0" w:color="auto"/>
              <w:bottom w:val="single" w:sz="4" w:space="0" w:color="auto"/>
              <w:right w:val="single" w:sz="4" w:space="0" w:color="auto"/>
            </w:tcBorders>
            <w:hideMark/>
          </w:tcPr>
          <w:p w14:paraId="689937C2" w14:textId="77777777" w:rsidR="00122285" w:rsidRPr="00122285" w:rsidRDefault="00122285" w:rsidP="00122285">
            <w:pPr>
              <w:rPr>
                <w:rFonts w:cs="Arial"/>
              </w:rPr>
            </w:pPr>
            <w:r w:rsidRPr="00122285">
              <w:rPr>
                <w:rFonts w:cs="Arial"/>
              </w:rPr>
              <w:t>Penderi locality</w:t>
            </w:r>
          </w:p>
        </w:tc>
        <w:tc>
          <w:tcPr>
            <w:tcW w:w="2126" w:type="dxa"/>
            <w:tcBorders>
              <w:top w:val="single" w:sz="4" w:space="0" w:color="auto"/>
              <w:left w:val="single" w:sz="4" w:space="0" w:color="auto"/>
              <w:bottom w:val="single" w:sz="4" w:space="0" w:color="auto"/>
              <w:right w:val="single" w:sz="4" w:space="0" w:color="auto"/>
            </w:tcBorders>
            <w:hideMark/>
          </w:tcPr>
          <w:p w14:paraId="58FD0835" w14:textId="77777777" w:rsidR="00122285" w:rsidRPr="00122285" w:rsidRDefault="00122285" w:rsidP="00D7495C">
            <w:pPr>
              <w:jc w:val="center"/>
              <w:rPr>
                <w:rFonts w:cs="Arial"/>
              </w:rPr>
            </w:pPr>
            <w:r w:rsidRPr="00122285">
              <w:rPr>
                <w:rFonts w:cs="Arial"/>
              </w:rPr>
              <w:t>1.3%</w:t>
            </w:r>
          </w:p>
        </w:tc>
        <w:tc>
          <w:tcPr>
            <w:tcW w:w="2126" w:type="dxa"/>
            <w:tcBorders>
              <w:top w:val="single" w:sz="4" w:space="0" w:color="auto"/>
              <w:left w:val="single" w:sz="4" w:space="0" w:color="auto"/>
              <w:bottom w:val="single" w:sz="4" w:space="0" w:color="auto"/>
              <w:right w:val="single" w:sz="4" w:space="0" w:color="auto"/>
            </w:tcBorders>
            <w:hideMark/>
          </w:tcPr>
          <w:p w14:paraId="7E30C752" w14:textId="77777777" w:rsidR="00122285" w:rsidRPr="00122285" w:rsidRDefault="00122285" w:rsidP="00D7495C">
            <w:pPr>
              <w:jc w:val="center"/>
              <w:rPr>
                <w:rFonts w:cs="Arial"/>
              </w:rPr>
            </w:pPr>
            <w:r w:rsidRPr="00122285">
              <w:rPr>
                <w:rFonts w:cs="Arial"/>
              </w:rPr>
              <w:t>0.7%</w:t>
            </w:r>
          </w:p>
        </w:tc>
      </w:tr>
      <w:tr w:rsidR="00122285" w:rsidRPr="00122285" w14:paraId="2221F2F7" w14:textId="77777777" w:rsidTr="00122285">
        <w:tc>
          <w:tcPr>
            <w:tcW w:w="4390" w:type="dxa"/>
            <w:tcBorders>
              <w:top w:val="single" w:sz="4" w:space="0" w:color="auto"/>
              <w:left w:val="single" w:sz="4" w:space="0" w:color="auto"/>
              <w:bottom w:val="single" w:sz="4" w:space="0" w:color="auto"/>
              <w:right w:val="single" w:sz="4" w:space="0" w:color="auto"/>
            </w:tcBorders>
            <w:hideMark/>
          </w:tcPr>
          <w:p w14:paraId="43759132" w14:textId="77777777" w:rsidR="00122285" w:rsidRPr="00122285" w:rsidRDefault="00122285" w:rsidP="00122285">
            <w:pPr>
              <w:rPr>
                <w:rFonts w:cs="Arial"/>
              </w:rPr>
            </w:pPr>
            <w:r w:rsidRPr="00122285">
              <w:rPr>
                <w:rFonts w:cs="Arial"/>
              </w:rPr>
              <w:t>Swansea Bay University Health Board</w:t>
            </w:r>
          </w:p>
        </w:tc>
        <w:tc>
          <w:tcPr>
            <w:tcW w:w="2126" w:type="dxa"/>
            <w:tcBorders>
              <w:top w:val="single" w:sz="4" w:space="0" w:color="auto"/>
              <w:left w:val="single" w:sz="4" w:space="0" w:color="auto"/>
              <w:bottom w:val="single" w:sz="4" w:space="0" w:color="auto"/>
              <w:right w:val="single" w:sz="4" w:space="0" w:color="auto"/>
            </w:tcBorders>
            <w:hideMark/>
          </w:tcPr>
          <w:p w14:paraId="105011D2" w14:textId="77777777" w:rsidR="00122285" w:rsidRPr="00122285" w:rsidRDefault="00122285" w:rsidP="00D7495C">
            <w:pPr>
              <w:jc w:val="center"/>
              <w:rPr>
                <w:rFonts w:cs="Arial"/>
              </w:rPr>
            </w:pPr>
            <w:r w:rsidRPr="00122285">
              <w:rPr>
                <w:rFonts w:cs="Arial"/>
              </w:rPr>
              <w:t>1.3%</w:t>
            </w:r>
          </w:p>
        </w:tc>
        <w:tc>
          <w:tcPr>
            <w:tcW w:w="2126" w:type="dxa"/>
            <w:tcBorders>
              <w:top w:val="single" w:sz="4" w:space="0" w:color="auto"/>
              <w:left w:val="single" w:sz="4" w:space="0" w:color="auto"/>
              <w:bottom w:val="single" w:sz="4" w:space="0" w:color="auto"/>
              <w:right w:val="single" w:sz="4" w:space="0" w:color="auto"/>
            </w:tcBorders>
            <w:hideMark/>
          </w:tcPr>
          <w:p w14:paraId="6AC852EB" w14:textId="77777777" w:rsidR="00122285" w:rsidRPr="00122285" w:rsidRDefault="00122285" w:rsidP="00D7495C">
            <w:pPr>
              <w:jc w:val="center"/>
              <w:rPr>
                <w:rFonts w:cs="Arial"/>
              </w:rPr>
            </w:pPr>
            <w:r w:rsidRPr="00122285">
              <w:rPr>
                <w:rFonts w:cs="Arial"/>
              </w:rPr>
              <w:t>0.8%</w:t>
            </w:r>
          </w:p>
        </w:tc>
      </w:tr>
      <w:tr w:rsidR="00122285" w:rsidRPr="00122285" w14:paraId="6415AFC1" w14:textId="77777777" w:rsidTr="00122285">
        <w:tc>
          <w:tcPr>
            <w:tcW w:w="4390" w:type="dxa"/>
            <w:tcBorders>
              <w:top w:val="single" w:sz="4" w:space="0" w:color="auto"/>
              <w:left w:val="single" w:sz="4" w:space="0" w:color="auto"/>
              <w:bottom w:val="single" w:sz="4" w:space="0" w:color="auto"/>
              <w:right w:val="single" w:sz="4" w:space="0" w:color="auto"/>
            </w:tcBorders>
            <w:hideMark/>
          </w:tcPr>
          <w:p w14:paraId="0B72AF4C" w14:textId="77777777" w:rsidR="00122285" w:rsidRPr="00122285" w:rsidRDefault="00122285" w:rsidP="00122285">
            <w:pPr>
              <w:rPr>
                <w:rFonts w:cs="Arial"/>
              </w:rPr>
            </w:pPr>
            <w:r w:rsidRPr="00122285">
              <w:rPr>
                <w:rFonts w:cs="Arial"/>
              </w:rPr>
              <w:t>Wales</w:t>
            </w:r>
          </w:p>
        </w:tc>
        <w:tc>
          <w:tcPr>
            <w:tcW w:w="2126" w:type="dxa"/>
            <w:tcBorders>
              <w:top w:val="single" w:sz="4" w:space="0" w:color="auto"/>
              <w:left w:val="single" w:sz="4" w:space="0" w:color="auto"/>
              <w:bottom w:val="single" w:sz="4" w:space="0" w:color="auto"/>
              <w:right w:val="single" w:sz="4" w:space="0" w:color="auto"/>
            </w:tcBorders>
            <w:hideMark/>
          </w:tcPr>
          <w:p w14:paraId="49BBA79D" w14:textId="77777777" w:rsidR="00122285" w:rsidRPr="00122285" w:rsidRDefault="00122285" w:rsidP="00D7495C">
            <w:pPr>
              <w:jc w:val="center"/>
              <w:rPr>
                <w:rFonts w:cs="Arial"/>
              </w:rPr>
            </w:pPr>
            <w:r w:rsidRPr="00122285">
              <w:rPr>
                <w:rFonts w:cs="Arial"/>
              </w:rPr>
              <w:t>1.1%</w:t>
            </w:r>
          </w:p>
        </w:tc>
        <w:tc>
          <w:tcPr>
            <w:tcW w:w="2126" w:type="dxa"/>
            <w:tcBorders>
              <w:top w:val="single" w:sz="4" w:space="0" w:color="auto"/>
              <w:left w:val="single" w:sz="4" w:space="0" w:color="auto"/>
              <w:bottom w:val="single" w:sz="4" w:space="0" w:color="auto"/>
              <w:right w:val="single" w:sz="4" w:space="0" w:color="auto"/>
            </w:tcBorders>
            <w:hideMark/>
          </w:tcPr>
          <w:p w14:paraId="3F1A03EF" w14:textId="77777777" w:rsidR="00122285" w:rsidRPr="00122285" w:rsidRDefault="00122285" w:rsidP="00D7495C">
            <w:pPr>
              <w:jc w:val="center"/>
              <w:rPr>
                <w:rFonts w:cs="Arial"/>
              </w:rPr>
            </w:pPr>
            <w:r w:rsidRPr="00122285">
              <w:rPr>
                <w:rFonts w:cs="Arial"/>
              </w:rPr>
              <w:t>0.8%</w:t>
            </w:r>
          </w:p>
        </w:tc>
      </w:tr>
    </w:tbl>
    <w:p w14:paraId="2F046757" w14:textId="77777777" w:rsidR="00122285" w:rsidRPr="00122285" w:rsidRDefault="00122285" w:rsidP="00122285">
      <w:pPr>
        <w:keepNext/>
        <w:rPr>
          <w:rFonts w:eastAsia="Times New Roman" w:cs="Arial"/>
          <w:bCs/>
          <w:kern w:val="0"/>
          <w14:ligatures w14:val="none"/>
        </w:rPr>
      </w:pPr>
    </w:p>
    <w:p w14:paraId="56FD417B" w14:textId="77777777" w:rsidR="00122285" w:rsidRPr="00122285" w:rsidRDefault="00122285" w:rsidP="00122285">
      <w:pPr>
        <w:keepLines/>
        <w:rPr>
          <w:rFonts w:eastAsia="Times New Roman" w:cs="Arial"/>
          <w:bCs/>
          <w:kern w:val="0"/>
          <w14:ligatures w14:val="none"/>
        </w:rPr>
      </w:pPr>
      <w:r w:rsidRPr="00122285">
        <w:rPr>
          <w:rFonts w:eastAsia="Times New Roman" w:cs="Arial"/>
          <w:bCs/>
          <w:kern w:val="0"/>
          <w14:ligatures w14:val="none"/>
        </w:rPr>
        <w:t>The table below shows that the locality is lower in atrial fibrillation than the health board and Wales average (0.2% and 0.3% lower respectively). Hypertension is higher than the health board average (1.1% higher), but lower than the Wales average (0.3% lower).</w:t>
      </w:r>
    </w:p>
    <w:p w14:paraId="4CC5F375" w14:textId="77777777" w:rsidR="00122285" w:rsidRPr="00122285" w:rsidRDefault="00122285" w:rsidP="00122285">
      <w:pPr>
        <w:keepNext/>
        <w:rPr>
          <w:rFonts w:eastAsia="Times New Roman" w:cs="Arial"/>
          <w:b/>
          <w:kern w:val="0"/>
          <w14:ligatures w14:val="none"/>
        </w:rPr>
      </w:pPr>
    </w:p>
    <w:p w14:paraId="6119BF4C" w14:textId="77777777" w:rsidR="00122285" w:rsidRPr="00122285" w:rsidRDefault="00122285" w:rsidP="00122285">
      <w:pPr>
        <w:keepNext/>
        <w:rPr>
          <w:rFonts w:eastAsia="Times New Roman" w:cs="Arial"/>
          <w:b/>
          <w:bCs/>
          <w:kern w:val="0"/>
          <w14:ligatures w14:val="none"/>
        </w:rPr>
      </w:pPr>
      <w:r w:rsidRPr="00122285">
        <w:rPr>
          <w:rFonts w:eastAsia="Times New Roman" w:cs="Arial"/>
          <w:b/>
          <w:bCs/>
          <w:kern w:val="0"/>
          <w14:ligatures w14:val="none"/>
        </w:rPr>
        <w:t>Table 12.5: Estimated percentage prevalence of hypertension and atrial fibrillation based on people on GP practice registers by locality, health board and Wales, 2025</w:t>
      </w:r>
      <w:r w:rsidRPr="00122285">
        <w:rPr>
          <w:rFonts w:eastAsia="Times New Roman" w:cs="Arial"/>
          <w:b/>
          <w:bCs/>
          <w:kern w:val="0"/>
          <w:vertAlign w:val="superscript"/>
          <w14:ligatures w14:val="none"/>
        </w:rPr>
        <w:footnoteReference w:id="302"/>
      </w:r>
    </w:p>
    <w:p w14:paraId="33CCA0C0" w14:textId="77777777" w:rsidR="00122285" w:rsidRPr="00122285" w:rsidRDefault="00122285" w:rsidP="00122285">
      <w:pPr>
        <w:keepNext/>
        <w:rPr>
          <w:rFonts w:eastAsia="Times New Roman" w:cs="Arial"/>
          <w:b/>
          <w:kern w:val="0"/>
          <w14:ligatures w14:val="none"/>
        </w:rPr>
      </w:pPr>
    </w:p>
    <w:tbl>
      <w:tblPr>
        <w:tblStyle w:val="TableGrid"/>
        <w:tblW w:w="8449" w:type="dxa"/>
        <w:tblInd w:w="0" w:type="dxa"/>
        <w:tblLook w:val="04A0" w:firstRow="1" w:lastRow="0" w:firstColumn="1" w:lastColumn="0" w:noHBand="0" w:noVBand="1"/>
      </w:tblPr>
      <w:tblGrid>
        <w:gridCol w:w="4390"/>
        <w:gridCol w:w="2126"/>
        <w:gridCol w:w="1933"/>
      </w:tblGrid>
      <w:tr w:rsidR="00122285" w:rsidRPr="00D0306F" w14:paraId="6954EF0F" w14:textId="77777777" w:rsidTr="00122285">
        <w:tc>
          <w:tcPr>
            <w:tcW w:w="4390" w:type="dxa"/>
            <w:tcBorders>
              <w:top w:val="single" w:sz="4" w:space="0" w:color="auto"/>
              <w:left w:val="single" w:sz="4" w:space="0" w:color="auto"/>
              <w:bottom w:val="single" w:sz="4" w:space="0" w:color="auto"/>
              <w:right w:val="single" w:sz="4" w:space="0" w:color="auto"/>
            </w:tcBorders>
            <w:shd w:val="clear" w:color="auto" w:fill="153D63"/>
            <w:hideMark/>
          </w:tcPr>
          <w:p w14:paraId="4C3FACEE" w14:textId="77777777" w:rsidR="00122285" w:rsidRPr="00122285" w:rsidRDefault="00122285" w:rsidP="00122285">
            <w:pPr>
              <w:keepNext/>
              <w:rPr>
                <w:rFonts w:cs="Arial"/>
                <w:b/>
              </w:rPr>
            </w:pPr>
            <w:r w:rsidRPr="00122285">
              <w:rPr>
                <w:rFonts w:cs="Arial"/>
                <w:b/>
              </w:rPr>
              <w:t>Area</w:t>
            </w:r>
          </w:p>
        </w:tc>
        <w:tc>
          <w:tcPr>
            <w:tcW w:w="2126" w:type="dxa"/>
            <w:tcBorders>
              <w:top w:val="single" w:sz="4" w:space="0" w:color="auto"/>
              <w:left w:val="single" w:sz="4" w:space="0" w:color="auto"/>
              <w:bottom w:val="single" w:sz="4" w:space="0" w:color="auto"/>
              <w:right w:val="single" w:sz="4" w:space="0" w:color="auto"/>
            </w:tcBorders>
            <w:shd w:val="clear" w:color="auto" w:fill="153D63"/>
            <w:hideMark/>
          </w:tcPr>
          <w:p w14:paraId="41DA15BB" w14:textId="77777777" w:rsidR="00122285" w:rsidRPr="00122285" w:rsidRDefault="00122285" w:rsidP="00D7495C">
            <w:pPr>
              <w:keepNext/>
              <w:jc w:val="center"/>
              <w:rPr>
                <w:rFonts w:cs="Arial"/>
                <w:b/>
              </w:rPr>
            </w:pPr>
            <w:r w:rsidRPr="00122285">
              <w:rPr>
                <w:rFonts w:cs="Arial"/>
                <w:b/>
              </w:rPr>
              <w:t>Atrial fibrillation</w:t>
            </w:r>
          </w:p>
        </w:tc>
        <w:tc>
          <w:tcPr>
            <w:tcW w:w="1933" w:type="dxa"/>
            <w:tcBorders>
              <w:top w:val="single" w:sz="4" w:space="0" w:color="auto"/>
              <w:left w:val="single" w:sz="4" w:space="0" w:color="auto"/>
              <w:bottom w:val="single" w:sz="4" w:space="0" w:color="auto"/>
              <w:right w:val="single" w:sz="4" w:space="0" w:color="auto"/>
            </w:tcBorders>
            <w:shd w:val="clear" w:color="auto" w:fill="153D63"/>
            <w:hideMark/>
          </w:tcPr>
          <w:p w14:paraId="668076A8" w14:textId="77777777" w:rsidR="00122285" w:rsidRPr="00122285" w:rsidRDefault="00122285" w:rsidP="00D7495C">
            <w:pPr>
              <w:keepNext/>
              <w:jc w:val="center"/>
              <w:rPr>
                <w:rFonts w:cs="Arial"/>
                <w:b/>
              </w:rPr>
            </w:pPr>
            <w:r w:rsidRPr="00122285">
              <w:rPr>
                <w:rFonts w:cs="Arial"/>
                <w:b/>
              </w:rPr>
              <w:t>Hypertension</w:t>
            </w:r>
          </w:p>
        </w:tc>
      </w:tr>
      <w:tr w:rsidR="00122285" w:rsidRPr="00122285" w14:paraId="3F8E2BD0" w14:textId="77777777" w:rsidTr="00122285">
        <w:tc>
          <w:tcPr>
            <w:tcW w:w="4390" w:type="dxa"/>
            <w:tcBorders>
              <w:top w:val="single" w:sz="4" w:space="0" w:color="auto"/>
              <w:left w:val="single" w:sz="4" w:space="0" w:color="auto"/>
              <w:bottom w:val="single" w:sz="4" w:space="0" w:color="auto"/>
              <w:right w:val="single" w:sz="4" w:space="0" w:color="auto"/>
            </w:tcBorders>
            <w:hideMark/>
          </w:tcPr>
          <w:p w14:paraId="7A63FF18" w14:textId="77777777" w:rsidR="00122285" w:rsidRPr="00122285" w:rsidRDefault="00122285" w:rsidP="00122285">
            <w:pPr>
              <w:keepNext/>
              <w:rPr>
                <w:rFonts w:cs="Arial"/>
                <w:bCs/>
              </w:rPr>
            </w:pPr>
            <w:r w:rsidRPr="00122285">
              <w:rPr>
                <w:rFonts w:cs="Arial"/>
                <w:bCs/>
              </w:rPr>
              <w:t>Penderi locality</w:t>
            </w:r>
          </w:p>
        </w:tc>
        <w:tc>
          <w:tcPr>
            <w:tcW w:w="2126" w:type="dxa"/>
            <w:tcBorders>
              <w:top w:val="single" w:sz="4" w:space="0" w:color="auto"/>
              <w:left w:val="single" w:sz="4" w:space="0" w:color="auto"/>
              <w:bottom w:val="single" w:sz="4" w:space="0" w:color="auto"/>
              <w:right w:val="single" w:sz="4" w:space="0" w:color="auto"/>
            </w:tcBorders>
            <w:hideMark/>
          </w:tcPr>
          <w:p w14:paraId="693E2417" w14:textId="77777777" w:rsidR="00122285" w:rsidRPr="00122285" w:rsidRDefault="00122285" w:rsidP="00D7495C">
            <w:pPr>
              <w:keepNext/>
              <w:jc w:val="center"/>
              <w:rPr>
                <w:rFonts w:cs="Arial"/>
                <w:bCs/>
              </w:rPr>
            </w:pPr>
            <w:r w:rsidRPr="00122285">
              <w:rPr>
                <w:rFonts w:cs="Arial"/>
                <w:bCs/>
              </w:rPr>
              <w:t>2.4%</w:t>
            </w:r>
          </w:p>
        </w:tc>
        <w:tc>
          <w:tcPr>
            <w:tcW w:w="1933" w:type="dxa"/>
            <w:tcBorders>
              <w:top w:val="single" w:sz="4" w:space="0" w:color="auto"/>
              <w:left w:val="single" w:sz="4" w:space="0" w:color="auto"/>
              <w:bottom w:val="single" w:sz="4" w:space="0" w:color="auto"/>
              <w:right w:val="single" w:sz="4" w:space="0" w:color="auto"/>
            </w:tcBorders>
            <w:hideMark/>
          </w:tcPr>
          <w:p w14:paraId="0FFB879C" w14:textId="77777777" w:rsidR="00122285" w:rsidRPr="00122285" w:rsidRDefault="00122285" w:rsidP="00D7495C">
            <w:pPr>
              <w:keepNext/>
              <w:jc w:val="center"/>
              <w:rPr>
                <w:rFonts w:cs="Arial"/>
                <w:bCs/>
              </w:rPr>
            </w:pPr>
            <w:r w:rsidRPr="00122285">
              <w:rPr>
                <w:rFonts w:cs="Arial"/>
                <w:bCs/>
              </w:rPr>
              <w:t>16%</w:t>
            </w:r>
          </w:p>
        </w:tc>
      </w:tr>
      <w:tr w:rsidR="00122285" w:rsidRPr="00122285" w14:paraId="19D23429" w14:textId="77777777" w:rsidTr="00122285">
        <w:tc>
          <w:tcPr>
            <w:tcW w:w="4390" w:type="dxa"/>
            <w:tcBorders>
              <w:top w:val="single" w:sz="4" w:space="0" w:color="auto"/>
              <w:left w:val="single" w:sz="4" w:space="0" w:color="auto"/>
              <w:bottom w:val="single" w:sz="4" w:space="0" w:color="auto"/>
              <w:right w:val="single" w:sz="4" w:space="0" w:color="auto"/>
            </w:tcBorders>
            <w:hideMark/>
          </w:tcPr>
          <w:p w14:paraId="4C33909F" w14:textId="77777777" w:rsidR="00122285" w:rsidRPr="00122285" w:rsidRDefault="00122285" w:rsidP="00122285">
            <w:pPr>
              <w:keepNext/>
              <w:rPr>
                <w:rFonts w:cs="Arial"/>
                <w:b/>
              </w:rPr>
            </w:pPr>
            <w:r w:rsidRPr="00122285">
              <w:rPr>
                <w:rFonts w:cs="Arial"/>
              </w:rPr>
              <w:t>Swansea Bay University Health Board</w:t>
            </w:r>
          </w:p>
        </w:tc>
        <w:tc>
          <w:tcPr>
            <w:tcW w:w="2126" w:type="dxa"/>
            <w:tcBorders>
              <w:top w:val="single" w:sz="4" w:space="0" w:color="auto"/>
              <w:left w:val="single" w:sz="4" w:space="0" w:color="auto"/>
              <w:bottom w:val="single" w:sz="4" w:space="0" w:color="auto"/>
              <w:right w:val="single" w:sz="4" w:space="0" w:color="auto"/>
            </w:tcBorders>
            <w:hideMark/>
          </w:tcPr>
          <w:p w14:paraId="713FF73B" w14:textId="77777777" w:rsidR="00122285" w:rsidRPr="00122285" w:rsidRDefault="00122285" w:rsidP="00D7495C">
            <w:pPr>
              <w:keepNext/>
              <w:jc w:val="center"/>
              <w:rPr>
                <w:rFonts w:cs="Arial"/>
                <w:bCs/>
              </w:rPr>
            </w:pPr>
            <w:r w:rsidRPr="00122285">
              <w:rPr>
                <w:rFonts w:cs="Arial"/>
                <w:bCs/>
              </w:rPr>
              <w:t>2.6%</w:t>
            </w:r>
          </w:p>
        </w:tc>
        <w:tc>
          <w:tcPr>
            <w:tcW w:w="1933" w:type="dxa"/>
            <w:tcBorders>
              <w:top w:val="single" w:sz="4" w:space="0" w:color="auto"/>
              <w:left w:val="single" w:sz="4" w:space="0" w:color="auto"/>
              <w:bottom w:val="single" w:sz="4" w:space="0" w:color="auto"/>
              <w:right w:val="single" w:sz="4" w:space="0" w:color="auto"/>
            </w:tcBorders>
            <w:hideMark/>
          </w:tcPr>
          <w:p w14:paraId="3DFC799C" w14:textId="77777777" w:rsidR="00122285" w:rsidRPr="00122285" w:rsidRDefault="00122285" w:rsidP="00D7495C">
            <w:pPr>
              <w:keepNext/>
              <w:jc w:val="center"/>
              <w:rPr>
                <w:rFonts w:cs="Arial"/>
                <w:bCs/>
              </w:rPr>
            </w:pPr>
            <w:r w:rsidRPr="00122285">
              <w:rPr>
                <w:rFonts w:cs="Arial"/>
                <w:bCs/>
              </w:rPr>
              <w:t>14.9%</w:t>
            </w:r>
          </w:p>
        </w:tc>
      </w:tr>
      <w:tr w:rsidR="00122285" w:rsidRPr="00122285" w14:paraId="5ADEF6AC" w14:textId="77777777" w:rsidTr="00122285">
        <w:tc>
          <w:tcPr>
            <w:tcW w:w="4390" w:type="dxa"/>
            <w:tcBorders>
              <w:top w:val="single" w:sz="4" w:space="0" w:color="auto"/>
              <w:left w:val="single" w:sz="4" w:space="0" w:color="auto"/>
              <w:bottom w:val="single" w:sz="4" w:space="0" w:color="auto"/>
              <w:right w:val="single" w:sz="4" w:space="0" w:color="auto"/>
            </w:tcBorders>
            <w:hideMark/>
          </w:tcPr>
          <w:p w14:paraId="3027BE3F" w14:textId="77777777" w:rsidR="00122285" w:rsidRPr="00122285" w:rsidRDefault="00122285" w:rsidP="00122285">
            <w:pPr>
              <w:keepNext/>
              <w:rPr>
                <w:rFonts w:cs="Arial"/>
              </w:rPr>
            </w:pPr>
            <w:r w:rsidRPr="00122285">
              <w:rPr>
                <w:rFonts w:cs="Arial"/>
              </w:rPr>
              <w:t>Wales</w:t>
            </w:r>
          </w:p>
        </w:tc>
        <w:tc>
          <w:tcPr>
            <w:tcW w:w="2126" w:type="dxa"/>
            <w:tcBorders>
              <w:top w:val="single" w:sz="4" w:space="0" w:color="auto"/>
              <w:left w:val="single" w:sz="4" w:space="0" w:color="auto"/>
              <w:bottom w:val="single" w:sz="4" w:space="0" w:color="auto"/>
              <w:right w:val="single" w:sz="4" w:space="0" w:color="auto"/>
            </w:tcBorders>
            <w:hideMark/>
          </w:tcPr>
          <w:p w14:paraId="7FBA36F2" w14:textId="77777777" w:rsidR="00122285" w:rsidRPr="00122285" w:rsidRDefault="00122285" w:rsidP="00D7495C">
            <w:pPr>
              <w:keepNext/>
              <w:jc w:val="center"/>
              <w:rPr>
                <w:rFonts w:cs="Arial"/>
              </w:rPr>
            </w:pPr>
            <w:r w:rsidRPr="00122285">
              <w:rPr>
                <w:rFonts w:cs="Arial"/>
              </w:rPr>
              <w:t>2.7%</w:t>
            </w:r>
          </w:p>
        </w:tc>
        <w:tc>
          <w:tcPr>
            <w:tcW w:w="1933" w:type="dxa"/>
            <w:tcBorders>
              <w:top w:val="single" w:sz="4" w:space="0" w:color="auto"/>
              <w:left w:val="single" w:sz="4" w:space="0" w:color="auto"/>
              <w:bottom w:val="single" w:sz="4" w:space="0" w:color="auto"/>
              <w:right w:val="single" w:sz="4" w:space="0" w:color="auto"/>
            </w:tcBorders>
            <w:hideMark/>
          </w:tcPr>
          <w:p w14:paraId="25DAEDBB" w14:textId="77777777" w:rsidR="00122285" w:rsidRPr="00122285" w:rsidRDefault="00122285" w:rsidP="00D7495C">
            <w:pPr>
              <w:keepNext/>
              <w:jc w:val="center"/>
              <w:rPr>
                <w:rFonts w:cs="Arial"/>
              </w:rPr>
            </w:pPr>
            <w:r w:rsidRPr="00122285">
              <w:rPr>
                <w:rFonts w:cs="Arial"/>
              </w:rPr>
              <w:t>16.3%</w:t>
            </w:r>
          </w:p>
        </w:tc>
      </w:tr>
    </w:tbl>
    <w:p w14:paraId="36AA1939" w14:textId="77777777" w:rsidR="00122285" w:rsidRPr="00122285" w:rsidRDefault="00122285" w:rsidP="00122285">
      <w:pPr>
        <w:rPr>
          <w:rFonts w:eastAsia="Times New Roman" w:cs="Arial"/>
          <w:kern w:val="0"/>
          <w:lang w:eastAsia="en-GB"/>
          <w14:ligatures w14:val="none"/>
        </w:rPr>
      </w:pPr>
    </w:p>
    <w:p w14:paraId="36967966" w14:textId="77777777" w:rsidR="00122285" w:rsidRPr="00122285" w:rsidRDefault="00122285" w:rsidP="00122285">
      <w:pPr>
        <w:contextualSpacing/>
        <w:rPr>
          <w:rFonts w:eastAsia="Aptos" w:cs="Arial"/>
          <w:kern w:val="0"/>
          <w14:ligatures w14:val="none"/>
        </w:rPr>
      </w:pPr>
      <w:r w:rsidRPr="00122285">
        <w:rPr>
          <w:rFonts w:eastAsia="Aptos" w:cs="Arial"/>
        </w:rPr>
        <w:t>The table below presents the percentage of adults aged 16 years and over, in Swansea who have self-reported engaging in six key lifestyle behaviours, as recorded by the National Survey for Wales</w:t>
      </w:r>
      <w:r w:rsidRPr="00122285">
        <w:rPr>
          <w:rFonts w:eastAsia="Aptos" w:cs="Arial"/>
          <w:vertAlign w:val="superscript"/>
        </w:rPr>
        <w:footnoteReference w:id="303"/>
      </w:r>
      <w:r w:rsidRPr="00122285">
        <w:rPr>
          <w:rFonts w:eastAsia="Aptos" w:cs="Arial"/>
        </w:rPr>
        <w:t xml:space="preserve"> between 2021 and 2023. This information offers valuable insight into the common habits and lifestyle choices among the adult population in the area.</w:t>
      </w:r>
    </w:p>
    <w:p w14:paraId="45BC01CA" w14:textId="77777777" w:rsidR="00122285" w:rsidRPr="00D0306F" w:rsidRDefault="00122285" w:rsidP="00122285">
      <w:pPr>
        <w:contextualSpacing/>
        <w:rPr>
          <w:rFonts w:eastAsia="Aptos" w:cs="Arial"/>
        </w:rPr>
      </w:pPr>
    </w:p>
    <w:p w14:paraId="1ECEEE39" w14:textId="77777777" w:rsidR="00D7495C" w:rsidRPr="00D0306F" w:rsidRDefault="00D7495C" w:rsidP="00122285">
      <w:pPr>
        <w:contextualSpacing/>
        <w:rPr>
          <w:rFonts w:eastAsia="Aptos" w:cs="Arial"/>
        </w:rPr>
      </w:pPr>
    </w:p>
    <w:p w14:paraId="261F07D8" w14:textId="77777777" w:rsidR="00D7495C" w:rsidRPr="00D0306F" w:rsidRDefault="00D7495C" w:rsidP="00122285">
      <w:pPr>
        <w:contextualSpacing/>
        <w:rPr>
          <w:rFonts w:eastAsia="Aptos" w:cs="Arial"/>
        </w:rPr>
      </w:pPr>
    </w:p>
    <w:p w14:paraId="3EC551BC" w14:textId="77777777" w:rsidR="00D7495C" w:rsidRPr="00D0306F" w:rsidRDefault="00D7495C" w:rsidP="00122285">
      <w:pPr>
        <w:contextualSpacing/>
        <w:rPr>
          <w:rFonts w:eastAsia="Aptos" w:cs="Arial"/>
        </w:rPr>
      </w:pPr>
    </w:p>
    <w:p w14:paraId="75FB4759" w14:textId="77777777" w:rsidR="00D7495C" w:rsidRPr="00D0306F" w:rsidRDefault="00D7495C" w:rsidP="00122285">
      <w:pPr>
        <w:contextualSpacing/>
        <w:rPr>
          <w:rFonts w:eastAsia="Aptos" w:cs="Arial"/>
        </w:rPr>
      </w:pPr>
    </w:p>
    <w:p w14:paraId="7943AC80" w14:textId="77777777" w:rsidR="00D7495C" w:rsidRPr="00122285" w:rsidRDefault="00D7495C" w:rsidP="00122285">
      <w:pPr>
        <w:contextualSpacing/>
        <w:rPr>
          <w:rFonts w:eastAsia="Aptos" w:cs="Arial"/>
        </w:rPr>
      </w:pPr>
    </w:p>
    <w:p w14:paraId="589D8403" w14:textId="77777777" w:rsidR="00122285" w:rsidRPr="00122285" w:rsidRDefault="00122285" w:rsidP="00122285">
      <w:pPr>
        <w:keepNext/>
        <w:rPr>
          <w:rFonts w:eastAsia="Times New Roman" w:cs="Arial"/>
          <w:b/>
          <w:bCs/>
          <w:kern w:val="0"/>
          <w14:ligatures w14:val="none"/>
        </w:rPr>
      </w:pPr>
      <w:r w:rsidRPr="00122285">
        <w:rPr>
          <w:rFonts w:eastAsia="Times New Roman" w:cs="Arial"/>
          <w:b/>
          <w:bCs/>
          <w:kern w:val="0"/>
          <w14:ligatures w14:val="none"/>
        </w:rPr>
        <w:lastRenderedPageBreak/>
        <w:t>Table 12.6: Percentage of adults (aged 16 years and over) reporting lifestyle behaviours by local authority and Wales, 2021 to 2023</w:t>
      </w:r>
    </w:p>
    <w:p w14:paraId="2DDE5AEE" w14:textId="77777777" w:rsidR="00122285" w:rsidRDefault="00122285" w:rsidP="00122285">
      <w:pPr>
        <w:keepNext/>
        <w:rPr>
          <w:rFonts w:eastAsia="Times New Roman" w:cs="Arial"/>
          <w:b/>
          <w:kern w:val="0"/>
          <w14:ligatures w14:val="none"/>
        </w:rPr>
      </w:pPr>
    </w:p>
    <w:tbl>
      <w:tblPr>
        <w:tblStyle w:val="TableGrid6"/>
        <w:tblW w:w="9988" w:type="dxa"/>
        <w:tblInd w:w="-431" w:type="dxa"/>
        <w:tblLook w:val="04A0" w:firstRow="1" w:lastRow="0" w:firstColumn="1" w:lastColumn="0" w:noHBand="0" w:noVBand="1"/>
      </w:tblPr>
      <w:tblGrid>
        <w:gridCol w:w="1204"/>
        <w:gridCol w:w="1551"/>
        <w:gridCol w:w="1430"/>
        <w:gridCol w:w="1190"/>
        <w:gridCol w:w="1523"/>
        <w:gridCol w:w="950"/>
        <w:gridCol w:w="1190"/>
        <w:gridCol w:w="950"/>
      </w:tblGrid>
      <w:tr w:rsidR="007B106A" w:rsidRPr="00D0306F" w14:paraId="5E9E33AC" w14:textId="77777777" w:rsidTr="00910AD7">
        <w:trPr>
          <w:trHeight w:val="1807"/>
        </w:trPr>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1A153DA7" w14:textId="77777777" w:rsidR="007B106A" w:rsidRPr="00037037" w:rsidRDefault="007B106A" w:rsidP="00426D39">
            <w:pPr>
              <w:keepNext/>
              <w:rPr>
                <w:rFonts w:eastAsia="Arial" w:cs="Arial"/>
                <w:b/>
                <w:bCs/>
                <w:sz w:val="24"/>
              </w:rPr>
            </w:pPr>
            <w:r w:rsidRPr="00037037">
              <w:rPr>
                <w:rFonts w:eastAsia="Arial" w:cs="Arial"/>
                <w:b/>
                <w:bCs/>
                <w:sz w:val="24"/>
              </w:rPr>
              <w:t>Area</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3BEAE2EB" w14:textId="77777777" w:rsidR="007B106A" w:rsidRPr="00037037" w:rsidRDefault="007B106A" w:rsidP="00426D39">
            <w:pPr>
              <w:keepNext/>
              <w:rPr>
                <w:rFonts w:eastAsia="Arial" w:cs="Arial"/>
                <w:b/>
                <w:bCs/>
                <w:sz w:val="24"/>
              </w:rPr>
            </w:pPr>
            <w:r w:rsidRPr="00037037">
              <w:rPr>
                <w:rFonts w:eastAsia="Arial" w:cs="Arial"/>
                <w:b/>
                <w:bCs/>
                <w:sz w:val="24"/>
              </w:rPr>
              <w:t>Population 16 years and over</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3D103480" w14:textId="77777777" w:rsidR="007B106A" w:rsidRPr="00037037" w:rsidRDefault="007B106A" w:rsidP="00426D39">
            <w:pPr>
              <w:keepNext/>
              <w:rPr>
                <w:rFonts w:eastAsia="Arial" w:cs="Arial"/>
                <w:b/>
                <w:bCs/>
                <w:sz w:val="24"/>
              </w:rPr>
            </w:pPr>
            <w:r w:rsidRPr="00037037">
              <w:rPr>
                <w:rFonts w:eastAsia="Arial" w:cs="Arial"/>
                <w:b/>
                <w:bCs/>
                <w:sz w:val="24"/>
              </w:rPr>
              <w:t>Smoking (including e-cigarettes)</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31BAF841" w14:textId="77777777" w:rsidR="007B106A" w:rsidRPr="00037037" w:rsidRDefault="007B106A" w:rsidP="00426D39">
            <w:pPr>
              <w:keepNext/>
              <w:rPr>
                <w:rFonts w:eastAsia="Arial" w:cs="Arial"/>
                <w:b/>
                <w:bCs/>
                <w:sz w:val="24"/>
              </w:rPr>
            </w:pPr>
            <w:r w:rsidRPr="00037037">
              <w:rPr>
                <w:rFonts w:eastAsia="Arial" w:cs="Arial"/>
                <w:b/>
                <w:bCs/>
                <w:sz w:val="24"/>
              </w:rPr>
              <w:t>Drinking more than 14 units per week</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6CD2A2B6" w14:textId="77777777" w:rsidR="007B106A" w:rsidRPr="00037037" w:rsidRDefault="007B106A" w:rsidP="00426D39">
            <w:pPr>
              <w:keepNext/>
              <w:rPr>
                <w:rFonts w:eastAsia="Arial" w:cs="Arial"/>
                <w:b/>
                <w:bCs/>
                <w:sz w:val="24"/>
              </w:rPr>
            </w:pPr>
            <w:r w:rsidRPr="00037037">
              <w:rPr>
                <w:rFonts w:eastAsia="Arial" w:cs="Arial"/>
                <w:b/>
                <w:bCs/>
                <w:sz w:val="24"/>
              </w:rPr>
              <w:t>Overweight with a body mass index of 25+</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67B91CCC" w14:textId="77777777" w:rsidR="007B106A" w:rsidRPr="00037037" w:rsidRDefault="007B106A" w:rsidP="00426D39">
            <w:pPr>
              <w:keepNext/>
              <w:rPr>
                <w:rFonts w:eastAsia="Arial" w:cs="Arial"/>
                <w:b/>
                <w:bCs/>
                <w:sz w:val="24"/>
              </w:rPr>
            </w:pPr>
            <w:r w:rsidRPr="00037037">
              <w:rPr>
                <w:rFonts w:eastAsia="Arial" w:cs="Arial"/>
                <w:b/>
                <w:bCs/>
                <w:sz w:val="24"/>
              </w:rPr>
              <w:t>Obese with a body mass index of 30+</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4392A18A" w14:textId="77777777" w:rsidR="007B106A" w:rsidRPr="00037037" w:rsidRDefault="007B106A" w:rsidP="00426D39">
            <w:pPr>
              <w:keepNext/>
              <w:rPr>
                <w:rFonts w:eastAsia="Arial" w:cs="Arial"/>
                <w:b/>
                <w:bCs/>
                <w:sz w:val="24"/>
              </w:rPr>
            </w:pPr>
            <w:r w:rsidRPr="00037037">
              <w:rPr>
                <w:rFonts w:eastAsia="Arial" w:cs="Arial"/>
                <w:b/>
                <w:bCs/>
                <w:sz w:val="24"/>
              </w:rPr>
              <w:t>Physical activity for 150 minutes per week</w:t>
            </w:r>
          </w:p>
        </w:tc>
        <w:tc>
          <w:tcPr>
            <w:tcW w:w="950" w:type="dxa"/>
            <w:tcBorders>
              <w:top w:val="single" w:sz="4" w:space="0" w:color="auto"/>
              <w:left w:val="single" w:sz="4" w:space="0" w:color="auto"/>
              <w:bottom w:val="single" w:sz="4" w:space="0" w:color="auto"/>
              <w:right w:val="single" w:sz="4" w:space="0" w:color="auto"/>
            </w:tcBorders>
            <w:shd w:val="clear" w:color="auto" w:fill="153D63"/>
            <w:hideMark/>
          </w:tcPr>
          <w:p w14:paraId="6B4C0665" w14:textId="77777777" w:rsidR="007B106A" w:rsidRPr="00037037" w:rsidRDefault="007B106A" w:rsidP="00426D39">
            <w:pPr>
              <w:keepNext/>
              <w:rPr>
                <w:rFonts w:eastAsia="Arial" w:cs="Arial"/>
                <w:b/>
                <w:bCs/>
                <w:sz w:val="24"/>
              </w:rPr>
            </w:pPr>
            <w:r w:rsidRPr="00037037">
              <w:rPr>
                <w:rFonts w:eastAsia="Arial" w:cs="Arial"/>
                <w:b/>
                <w:bCs/>
                <w:sz w:val="24"/>
              </w:rPr>
              <w:t>Eating five a day</w:t>
            </w:r>
          </w:p>
        </w:tc>
      </w:tr>
      <w:tr w:rsidR="007B106A" w:rsidRPr="00037037" w14:paraId="7B8E30E0" w14:textId="77777777" w:rsidTr="00910AD7">
        <w:trPr>
          <w:trHeight w:val="316"/>
        </w:trPr>
        <w:tc>
          <w:tcPr>
            <w:tcW w:w="0" w:type="auto"/>
            <w:tcBorders>
              <w:top w:val="single" w:sz="4" w:space="0" w:color="auto"/>
              <w:left w:val="single" w:sz="4" w:space="0" w:color="auto"/>
              <w:bottom w:val="single" w:sz="4" w:space="0" w:color="auto"/>
              <w:right w:val="single" w:sz="4" w:space="0" w:color="auto"/>
            </w:tcBorders>
            <w:hideMark/>
          </w:tcPr>
          <w:p w14:paraId="7631255F" w14:textId="77777777" w:rsidR="007B106A" w:rsidRPr="00037037" w:rsidRDefault="007B106A" w:rsidP="00426D39">
            <w:pPr>
              <w:keepNext/>
              <w:rPr>
                <w:rFonts w:cs="Arial"/>
                <w:bCs/>
                <w:sz w:val="24"/>
              </w:rPr>
            </w:pPr>
            <w:r w:rsidRPr="00037037">
              <w:rPr>
                <w:rFonts w:eastAsia="Arial" w:cs="Arial"/>
                <w:sz w:val="24"/>
              </w:rPr>
              <w:t>Swansea local authority</w:t>
            </w:r>
          </w:p>
        </w:tc>
        <w:tc>
          <w:tcPr>
            <w:tcW w:w="0" w:type="auto"/>
            <w:tcBorders>
              <w:top w:val="single" w:sz="4" w:space="0" w:color="auto"/>
              <w:left w:val="single" w:sz="4" w:space="0" w:color="auto"/>
              <w:bottom w:val="single" w:sz="4" w:space="0" w:color="auto"/>
              <w:right w:val="single" w:sz="4" w:space="0" w:color="auto"/>
            </w:tcBorders>
            <w:hideMark/>
          </w:tcPr>
          <w:p w14:paraId="5673B030" w14:textId="77777777" w:rsidR="007B106A" w:rsidRPr="00037037" w:rsidRDefault="007B106A" w:rsidP="00426D39">
            <w:pPr>
              <w:keepNext/>
              <w:rPr>
                <w:rFonts w:eastAsia="Arial" w:cs="Arial"/>
                <w:sz w:val="24"/>
              </w:rPr>
            </w:pPr>
            <w:r w:rsidRPr="00037037">
              <w:rPr>
                <w:rFonts w:eastAsia="Arial" w:cs="Arial"/>
                <w:sz w:val="24"/>
              </w:rPr>
              <w:t>209,302</w:t>
            </w:r>
            <w:r w:rsidRPr="00037037">
              <w:rPr>
                <w:rFonts w:eastAsia="Arial" w:cs="Arial"/>
                <w:sz w:val="24"/>
                <w:vertAlign w:val="superscript"/>
              </w:rPr>
              <w:footnoteReference w:id="304"/>
            </w:r>
          </w:p>
        </w:tc>
        <w:tc>
          <w:tcPr>
            <w:tcW w:w="0" w:type="auto"/>
            <w:tcBorders>
              <w:top w:val="single" w:sz="4" w:space="0" w:color="auto"/>
              <w:left w:val="single" w:sz="4" w:space="0" w:color="auto"/>
              <w:bottom w:val="single" w:sz="4" w:space="0" w:color="auto"/>
              <w:right w:val="single" w:sz="4" w:space="0" w:color="auto"/>
            </w:tcBorders>
            <w:hideMark/>
          </w:tcPr>
          <w:p w14:paraId="2F3AF2E3" w14:textId="77777777" w:rsidR="007B106A" w:rsidRPr="00037037" w:rsidRDefault="007B106A" w:rsidP="00426D39">
            <w:pPr>
              <w:keepNext/>
              <w:rPr>
                <w:rFonts w:eastAsia="Arial" w:cs="Arial"/>
                <w:sz w:val="24"/>
              </w:rPr>
            </w:pPr>
            <w:r w:rsidRPr="00037037">
              <w:rPr>
                <w:rFonts w:eastAsia="Arial" w:cs="Arial"/>
                <w:sz w:val="24"/>
              </w:rPr>
              <w:t>20%</w:t>
            </w:r>
          </w:p>
        </w:tc>
        <w:tc>
          <w:tcPr>
            <w:tcW w:w="0" w:type="auto"/>
            <w:tcBorders>
              <w:top w:val="single" w:sz="4" w:space="0" w:color="auto"/>
              <w:left w:val="single" w:sz="4" w:space="0" w:color="auto"/>
              <w:bottom w:val="single" w:sz="4" w:space="0" w:color="auto"/>
              <w:right w:val="single" w:sz="4" w:space="0" w:color="auto"/>
            </w:tcBorders>
            <w:hideMark/>
          </w:tcPr>
          <w:p w14:paraId="0384B2F4" w14:textId="77777777" w:rsidR="007B106A" w:rsidRPr="00037037" w:rsidRDefault="007B106A" w:rsidP="00426D39">
            <w:pPr>
              <w:keepNext/>
              <w:rPr>
                <w:rFonts w:eastAsia="Arial" w:cs="Arial"/>
                <w:sz w:val="24"/>
              </w:rPr>
            </w:pPr>
            <w:r w:rsidRPr="00037037">
              <w:rPr>
                <w:rFonts w:eastAsia="Arial" w:cs="Arial"/>
                <w:sz w:val="24"/>
              </w:rPr>
              <w:t>16%</w:t>
            </w:r>
          </w:p>
        </w:tc>
        <w:tc>
          <w:tcPr>
            <w:tcW w:w="0" w:type="auto"/>
            <w:tcBorders>
              <w:top w:val="single" w:sz="4" w:space="0" w:color="auto"/>
              <w:left w:val="single" w:sz="4" w:space="0" w:color="auto"/>
              <w:bottom w:val="single" w:sz="4" w:space="0" w:color="auto"/>
              <w:right w:val="single" w:sz="4" w:space="0" w:color="auto"/>
            </w:tcBorders>
            <w:hideMark/>
          </w:tcPr>
          <w:p w14:paraId="14D1EEDE" w14:textId="77777777" w:rsidR="007B106A" w:rsidRPr="00037037" w:rsidRDefault="007B106A" w:rsidP="00426D39">
            <w:pPr>
              <w:keepNext/>
              <w:rPr>
                <w:rFonts w:eastAsia="Arial" w:cs="Arial"/>
                <w:sz w:val="24"/>
              </w:rPr>
            </w:pPr>
            <w:r w:rsidRPr="00037037">
              <w:rPr>
                <w:rFonts w:eastAsia="Arial" w:cs="Arial"/>
                <w:sz w:val="24"/>
              </w:rPr>
              <w:t>61%</w:t>
            </w:r>
          </w:p>
        </w:tc>
        <w:tc>
          <w:tcPr>
            <w:tcW w:w="0" w:type="auto"/>
            <w:tcBorders>
              <w:top w:val="single" w:sz="4" w:space="0" w:color="auto"/>
              <w:left w:val="single" w:sz="4" w:space="0" w:color="auto"/>
              <w:bottom w:val="single" w:sz="4" w:space="0" w:color="auto"/>
              <w:right w:val="single" w:sz="4" w:space="0" w:color="auto"/>
            </w:tcBorders>
            <w:hideMark/>
          </w:tcPr>
          <w:p w14:paraId="54C58547" w14:textId="77777777" w:rsidR="007B106A" w:rsidRPr="00037037" w:rsidRDefault="007B106A" w:rsidP="00426D39">
            <w:pPr>
              <w:keepNext/>
              <w:rPr>
                <w:rFonts w:eastAsia="Arial" w:cs="Arial"/>
                <w:sz w:val="24"/>
              </w:rPr>
            </w:pPr>
            <w:r w:rsidRPr="00037037">
              <w:rPr>
                <w:rFonts w:eastAsia="Arial" w:cs="Arial"/>
                <w:sz w:val="24"/>
              </w:rPr>
              <w:t>24%</w:t>
            </w:r>
          </w:p>
        </w:tc>
        <w:tc>
          <w:tcPr>
            <w:tcW w:w="0" w:type="auto"/>
            <w:tcBorders>
              <w:top w:val="single" w:sz="4" w:space="0" w:color="auto"/>
              <w:left w:val="single" w:sz="4" w:space="0" w:color="auto"/>
              <w:bottom w:val="single" w:sz="4" w:space="0" w:color="auto"/>
              <w:right w:val="single" w:sz="4" w:space="0" w:color="auto"/>
            </w:tcBorders>
            <w:hideMark/>
          </w:tcPr>
          <w:p w14:paraId="3896CB56" w14:textId="77777777" w:rsidR="007B106A" w:rsidRPr="00037037" w:rsidRDefault="007B106A" w:rsidP="00426D39">
            <w:pPr>
              <w:keepNext/>
              <w:rPr>
                <w:rFonts w:eastAsia="Arial" w:cs="Arial"/>
                <w:sz w:val="24"/>
              </w:rPr>
            </w:pPr>
            <w:r w:rsidRPr="00037037">
              <w:rPr>
                <w:rFonts w:eastAsia="Arial" w:cs="Arial"/>
                <w:sz w:val="24"/>
              </w:rPr>
              <w:t>59%</w:t>
            </w:r>
          </w:p>
        </w:tc>
        <w:tc>
          <w:tcPr>
            <w:tcW w:w="950" w:type="dxa"/>
            <w:tcBorders>
              <w:top w:val="single" w:sz="4" w:space="0" w:color="auto"/>
              <w:left w:val="single" w:sz="4" w:space="0" w:color="auto"/>
              <w:bottom w:val="single" w:sz="4" w:space="0" w:color="auto"/>
              <w:right w:val="single" w:sz="4" w:space="0" w:color="auto"/>
            </w:tcBorders>
            <w:hideMark/>
          </w:tcPr>
          <w:p w14:paraId="0C037438" w14:textId="77777777" w:rsidR="007B106A" w:rsidRPr="00037037" w:rsidRDefault="007B106A" w:rsidP="00426D39">
            <w:pPr>
              <w:keepNext/>
              <w:rPr>
                <w:rFonts w:eastAsia="Arial" w:cs="Arial"/>
                <w:sz w:val="24"/>
              </w:rPr>
            </w:pPr>
            <w:r w:rsidRPr="00037037">
              <w:rPr>
                <w:rFonts w:eastAsia="Arial" w:cs="Arial"/>
                <w:sz w:val="24"/>
              </w:rPr>
              <w:t>34%</w:t>
            </w:r>
          </w:p>
        </w:tc>
      </w:tr>
      <w:tr w:rsidR="007B106A" w:rsidRPr="00037037" w14:paraId="34419CCE" w14:textId="77777777" w:rsidTr="00910AD7">
        <w:trPr>
          <w:trHeight w:val="328"/>
        </w:trPr>
        <w:tc>
          <w:tcPr>
            <w:tcW w:w="0" w:type="auto"/>
            <w:tcBorders>
              <w:top w:val="single" w:sz="4" w:space="0" w:color="auto"/>
              <w:left w:val="single" w:sz="4" w:space="0" w:color="auto"/>
              <w:bottom w:val="single" w:sz="4" w:space="0" w:color="auto"/>
              <w:right w:val="single" w:sz="4" w:space="0" w:color="auto"/>
            </w:tcBorders>
            <w:hideMark/>
          </w:tcPr>
          <w:p w14:paraId="18F60BD8" w14:textId="77777777" w:rsidR="007B106A" w:rsidRPr="00037037" w:rsidRDefault="007B106A" w:rsidP="00426D39">
            <w:pPr>
              <w:keepNext/>
              <w:rPr>
                <w:rFonts w:eastAsia="Arial" w:cs="Arial"/>
                <w:sz w:val="24"/>
              </w:rPr>
            </w:pPr>
            <w:r w:rsidRPr="00037037">
              <w:rPr>
                <w:rFonts w:eastAsia="Arial" w:cs="Arial"/>
                <w:sz w:val="24"/>
              </w:rPr>
              <w:t>Wales</w:t>
            </w:r>
          </w:p>
        </w:tc>
        <w:tc>
          <w:tcPr>
            <w:tcW w:w="0" w:type="auto"/>
            <w:tcBorders>
              <w:top w:val="single" w:sz="4" w:space="0" w:color="auto"/>
              <w:left w:val="single" w:sz="4" w:space="0" w:color="auto"/>
              <w:bottom w:val="single" w:sz="4" w:space="0" w:color="auto"/>
              <w:right w:val="single" w:sz="4" w:space="0" w:color="auto"/>
            </w:tcBorders>
            <w:hideMark/>
          </w:tcPr>
          <w:p w14:paraId="32312AB9" w14:textId="77777777" w:rsidR="007B106A" w:rsidRPr="00037037" w:rsidRDefault="007B106A" w:rsidP="00426D39">
            <w:pPr>
              <w:keepNext/>
              <w:rPr>
                <w:rFonts w:eastAsia="Arial" w:cs="Arial"/>
                <w:sz w:val="24"/>
              </w:rPr>
            </w:pPr>
            <w:r w:rsidRPr="00037037">
              <w:rPr>
                <w:rFonts w:eastAsia="Arial" w:cs="Arial"/>
                <w:sz w:val="24"/>
              </w:rPr>
              <w:t>2,641,000</w:t>
            </w:r>
            <w:r w:rsidRPr="00037037">
              <w:rPr>
                <w:rFonts w:eastAsia="Arial" w:cs="Arial"/>
                <w:sz w:val="24"/>
                <w:vertAlign w:val="superscript"/>
              </w:rPr>
              <w:footnoteReference w:id="305"/>
            </w:r>
          </w:p>
        </w:tc>
        <w:tc>
          <w:tcPr>
            <w:tcW w:w="0" w:type="auto"/>
            <w:tcBorders>
              <w:top w:val="single" w:sz="4" w:space="0" w:color="auto"/>
              <w:left w:val="single" w:sz="4" w:space="0" w:color="auto"/>
              <w:bottom w:val="single" w:sz="4" w:space="0" w:color="auto"/>
              <w:right w:val="single" w:sz="4" w:space="0" w:color="auto"/>
            </w:tcBorders>
            <w:hideMark/>
          </w:tcPr>
          <w:p w14:paraId="2340B91A" w14:textId="77777777" w:rsidR="007B106A" w:rsidRPr="00037037" w:rsidRDefault="007B106A" w:rsidP="00426D39">
            <w:pPr>
              <w:keepNext/>
              <w:rPr>
                <w:rFonts w:eastAsia="Arial" w:cs="Arial"/>
                <w:sz w:val="24"/>
              </w:rPr>
            </w:pPr>
            <w:r w:rsidRPr="00037037">
              <w:rPr>
                <w:rFonts w:eastAsia="Arial" w:cs="Arial"/>
                <w:sz w:val="24"/>
              </w:rPr>
              <w:t>20%</w:t>
            </w:r>
          </w:p>
        </w:tc>
        <w:tc>
          <w:tcPr>
            <w:tcW w:w="0" w:type="auto"/>
            <w:tcBorders>
              <w:top w:val="single" w:sz="4" w:space="0" w:color="auto"/>
              <w:left w:val="single" w:sz="4" w:space="0" w:color="auto"/>
              <w:bottom w:val="single" w:sz="4" w:space="0" w:color="auto"/>
              <w:right w:val="single" w:sz="4" w:space="0" w:color="auto"/>
            </w:tcBorders>
            <w:hideMark/>
          </w:tcPr>
          <w:p w14:paraId="0509CF46" w14:textId="77777777" w:rsidR="007B106A" w:rsidRPr="00037037" w:rsidRDefault="007B106A" w:rsidP="00426D39">
            <w:pPr>
              <w:keepNext/>
              <w:rPr>
                <w:rFonts w:eastAsia="Arial" w:cs="Arial"/>
                <w:sz w:val="24"/>
              </w:rPr>
            </w:pPr>
            <w:r w:rsidRPr="00037037">
              <w:rPr>
                <w:rFonts w:eastAsia="Arial" w:cs="Arial"/>
                <w:sz w:val="24"/>
              </w:rPr>
              <w:t>16%</w:t>
            </w:r>
          </w:p>
        </w:tc>
        <w:tc>
          <w:tcPr>
            <w:tcW w:w="0" w:type="auto"/>
            <w:tcBorders>
              <w:top w:val="single" w:sz="4" w:space="0" w:color="auto"/>
              <w:left w:val="single" w:sz="4" w:space="0" w:color="auto"/>
              <w:bottom w:val="single" w:sz="4" w:space="0" w:color="auto"/>
              <w:right w:val="single" w:sz="4" w:space="0" w:color="auto"/>
            </w:tcBorders>
            <w:hideMark/>
          </w:tcPr>
          <w:p w14:paraId="64616614" w14:textId="77777777" w:rsidR="007B106A" w:rsidRPr="00037037" w:rsidRDefault="007B106A" w:rsidP="00426D39">
            <w:pPr>
              <w:keepNext/>
              <w:rPr>
                <w:rFonts w:eastAsia="Arial" w:cs="Arial"/>
                <w:sz w:val="24"/>
              </w:rPr>
            </w:pPr>
            <w:r w:rsidRPr="00037037">
              <w:rPr>
                <w:rFonts w:eastAsia="Arial" w:cs="Arial"/>
                <w:sz w:val="24"/>
              </w:rPr>
              <w:t>62%</w:t>
            </w:r>
          </w:p>
        </w:tc>
        <w:tc>
          <w:tcPr>
            <w:tcW w:w="0" w:type="auto"/>
            <w:tcBorders>
              <w:top w:val="single" w:sz="4" w:space="0" w:color="auto"/>
              <w:left w:val="single" w:sz="4" w:space="0" w:color="auto"/>
              <w:bottom w:val="single" w:sz="4" w:space="0" w:color="auto"/>
              <w:right w:val="single" w:sz="4" w:space="0" w:color="auto"/>
            </w:tcBorders>
            <w:hideMark/>
          </w:tcPr>
          <w:p w14:paraId="0795E935" w14:textId="77777777" w:rsidR="007B106A" w:rsidRPr="00037037" w:rsidRDefault="007B106A" w:rsidP="00426D39">
            <w:pPr>
              <w:keepNext/>
              <w:rPr>
                <w:rFonts w:eastAsia="Arial" w:cs="Arial"/>
                <w:sz w:val="24"/>
              </w:rPr>
            </w:pPr>
            <w:r w:rsidRPr="00037037">
              <w:rPr>
                <w:rFonts w:eastAsia="Arial" w:cs="Arial"/>
                <w:sz w:val="24"/>
              </w:rPr>
              <w:t>25%</w:t>
            </w:r>
          </w:p>
        </w:tc>
        <w:tc>
          <w:tcPr>
            <w:tcW w:w="0" w:type="auto"/>
            <w:tcBorders>
              <w:top w:val="single" w:sz="4" w:space="0" w:color="auto"/>
              <w:left w:val="single" w:sz="4" w:space="0" w:color="auto"/>
              <w:bottom w:val="single" w:sz="4" w:space="0" w:color="auto"/>
              <w:right w:val="single" w:sz="4" w:space="0" w:color="auto"/>
            </w:tcBorders>
            <w:hideMark/>
          </w:tcPr>
          <w:p w14:paraId="1D2044DD" w14:textId="77777777" w:rsidR="007B106A" w:rsidRPr="00037037" w:rsidRDefault="007B106A" w:rsidP="00426D39">
            <w:pPr>
              <w:keepNext/>
              <w:rPr>
                <w:rFonts w:eastAsia="Arial" w:cs="Arial"/>
                <w:sz w:val="24"/>
              </w:rPr>
            </w:pPr>
            <w:r w:rsidRPr="00037037">
              <w:rPr>
                <w:rFonts w:eastAsia="Arial" w:cs="Arial"/>
                <w:sz w:val="24"/>
              </w:rPr>
              <w:t>56%</w:t>
            </w:r>
          </w:p>
        </w:tc>
        <w:tc>
          <w:tcPr>
            <w:tcW w:w="950" w:type="dxa"/>
            <w:tcBorders>
              <w:top w:val="single" w:sz="4" w:space="0" w:color="auto"/>
              <w:left w:val="single" w:sz="4" w:space="0" w:color="auto"/>
              <w:bottom w:val="single" w:sz="4" w:space="0" w:color="auto"/>
              <w:right w:val="single" w:sz="4" w:space="0" w:color="auto"/>
            </w:tcBorders>
          </w:tcPr>
          <w:p w14:paraId="79FE8502" w14:textId="77777777" w:rsidR="007B106A" w:rsidRPr="00037037" w:rsidRDefault="007B106A" w:rsidP="00426D39">
            <w:pPr>
              <w:keepNext/>
              <w:rPr>
                <w:rFonts w:eastAsia="Arial" w:cs="Arial"/>
                <w:sz w:val="24"/>
              </w:rPr>
            </w:pPr>
            <w:r w:rsidRPr="00037037">
              <w:rPr>
                <w:rFonts w:eastAsia="Arial" w:cs="Arial"/>
                <w:sz w:val="24"/>
              </w:rPr>
              <w:t>29%</w:t>
            </w:r>
          </w:p>
        </w:tc>
      </w:tr>
    </w:tbl>
    <w:p w14:paraId="382813A3" w14:textId="77777777" w:rsidR="007B106A" w:rsidRDefault="007B106A" w:rsidP="00122285">
      <w:pPr>
        <w:keepNext/>
        <w:rPr>
          <w:rFonts w:eastAsia="Times New Roman" w:cs="Arial"/>
          <w:b/>
          <w:kern w:val="0"/>
          <w14:ligatures w14:val="none"/>
        </w:rPr>
      </w:pPr>
    </w:p>
    <w:p w14:paraId="7130A037" w14:textId="77777777" w:rsidR="00122285" w:rsidRPr="00122285" w:rsidRDefault="00122285" w:rsidP="00122285">
      <w:pPr>
        <w:contextualSpacing/>
        <w:rPr>
          <w:rFonts w:eastAsia="Aptos" w:cs="Arial"/>
          <w:lang w:eastAsia="en-GB"/>
        </w:rPr>
      </w:pPr>
      <w:r w:rsidRPr="00122285">
        <w:rPr>
          <w:rFonts w:eastAsia="Aptos" w:cs="Arial"/>
        </w:rPr>
        <w:t>Overall, the adult lifestyle behaviours in Swansea are broadly in line with the Wales average for smoking, drinking above recommended limits, and maintaining a healthy weight. However, Swansea performs better than the Wales average for physical activity and in eating five portions of fruit and vegetables a day.</w:t>
      </w:r>
    </w:p>
    <w:p w14:paraId="717F5710" w14:textId="77777777" w:rsidR="00122285" w:rsidRPr="00122285" w:rsidRDefault="00122285" w:rsidP="00122285">
      <w:pPr>
        <w:contextualSpacing/>
        <w:rPr>
          <w:rFonts w:eastAsia="Aptos" w:cs="Arial"/>
        </w:rPr>
      </w:pPr>
    </w:p>
    <w:p w14:paraId="3D3BEF08" w14:textId="77777777" w:rsidR="00122285" w:rsidRPr="00122285" w:rsidRDefault="00122285" w:rsidP="00122285">
      <w:pPr>
        <w:rPr>
          <w:rFonts w:eastAsia="Aptos" w:cs="Arial"/>
          <w:b/>
          <w:bCs/>
          <w:sz w:val="26"/>
          <w:szCs w:val="26"/>
        </w:rPr>
      </w:pPr>
      <w:r w:rsidRPr="00122285">
        <w:rPr>
          <w:rFonts w:eastAsia="Aptos" w:cs="Arial"/>
          <w:b/>
          <w:bCs/>
          <w:sz w:val="26"/>
          <w:szCs w:val="26"/>
        </w:rPr>
        <w:t>12.3 Current provision of pharmaceutical services within the locality</w:t>
      </w:r>
    </w:p>
    <w:p w14:paraId="3F4DE73D" w14:textId="77777777" w:rsidR="00122285" w:rsidRPr="00122285" w:rsidRDefault="00122285" w:rsidP="00122285">
      <w:pPr>
        <w:rPr>
          <w:rFonts w:eastAsia="Aptos" w:cs="Arial"/>
        </w:rPr>
      </w:pPr>
    </w:p>
    <w:p w14:paraId="2AACE721" w14:textId="77777777" w:rsidR="00122285" w:rsidRPr="00122285" w:rsidRDefault="00122285" w:rsidP="00122285">
      <w:pPr>
        <w:rPr>
          <w:rFonts w:eastAsia="Aptos" w:cs="Arial"/>
        </w:rPr>
      </w:pPr>
      <w:r w:rsidRPr="00122285">
        <w:rPr>
          <w:rFonts w:eastAsia="Aptos" w:cs="Arial"/>
        </w:rPr>
        <w:t>There are nine pharmacies in the locality operated by seven different contractors.</w:t>
      </w:r>
    </w:p>
    <w:p w14:paraId="462B99E8" w14:textId="77777777" w:rsidR="00122285" w:rsidRPr="00122285" w:rsidRDefault="00122285" w:rsidP="00122285">
      <w:pPr>
        <w:rPr>
          <w:rFonts w:eastAsia="Aptos" w:cs="Arial"/>
        </w:rPr>
      </w:pPr>
    </w:p>
    <w:p w14:paraId="11BC269C" w14:textId="77777777" w:rsidR="00122285" w:rsidRPr="00122285" w:rsidRDefault="00122285" w:rsidP="00122285">
      <w:pPr>
        <w:rPr>
          <w:rFonts w:eastAsia="Aptos" w:cs="Arial"/>
        </w:rPr>
      </w:pPr>
      <w:r w:rsidRPr="00122285">
        <w:rPr>
          <w:rFonts w:eastAsia="Aptos" w:cs="Arial"/>
        </w:rPr>
        <w:t>The availability of pharmacy services within the locality per 10,000 registered population is 2.4, which is higher than the health board average of 2.3.</w:t>
      </w:r>
    </w:p>
    <w:p w14:paraId="7A21F387" w14:textId="77777777" w:rsidR="00122285" w:rsidRPr="00122285" w:rsidRDefault="00122285" w:rsidP="00122285">
      <w:pPr>
        <w:rPr>
          <w:rFonts w:eastAsia="Aptos" w:cs="Arial"/>
        </w:rPr>
      </w:pPr>
    </w:p>
    <w:p w14:paraId="03887F7A"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In 2024/25, 85.6% of items on prescriptions written by the GP practices in the locality were dispensed by one of the pharmacies within the locality.</w:t>
      </w:r>
    </w:p>
    <w:p w14:paraId="268F217F" w14:textId="77777777" w:rsidR="00122285" w:rsidRPr="00122285" w:rsidRDefault="00122285" w:rsidP="00122285">
      <w:pPr>
        <w:rPr>
          <w:rFonts w:eastAsia="Times New Roman" w:cs="Arial"/>
          <w:kern w:val="0"/>
          <w:lang w:eastAsia="en-GB"/>
          <w14:ligatures w14:val="none"/>
        </w:rPr>
      </w:pPr>
    </w:p>
    <w:p w14:paraId="5C04C520"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In 2025/26, 86.6% of items on prescriptions written by the GP practices in the locality were dispensed by one of the pharmacies within the locality.</w:t>
      </w:r>
    </w:p>
    <w:p w14:paraId="3E0B3B1C" w14:textId="77777777" w:rsidR="00122285" w:rsidRPr="00122285" w:rsidRDefault="00122285" w:rsidP="00122285">
      <w:pPr>
        <w:rPr>
          <w:rFonts w:eastAsia="Times New Roman" w:cs="Arial"/>
          <w:kern w:val="0"/>
          <w:lang w:eastAsia="en-GB"/>
          <w14:ligatures w14:val="none"/>
        </w:rPr>
      </w:pPr>
    </w:p>
    <w:p w14:paraId="4FE77CE2" w14:textId="77777777" w:rsidR="00122285" w:rsidRPr="00122285" w:rsidRDefault="00122285" w:rsidP="00122285">
      <w:pPr>
        <w:rPr>
          <w:rFonts w:eastAsia="Aptos" w:cs="Arial"/>
        </w:rPr>
      </w:pPr>
      <w:r w:rsidRPr="00122285">
        <w:rPr>
          <w:rFonts w:eastAsia="Aptos" w:cs="Arial"/>
        </w:rPr>
        <w:t>The map below shows the pharmaceutical provision in the area. It should be noted that where premises are close to each other the symbols will overlap.</w:t>
      </w:r>
    </w:p>
    <w:p w14:paraId="7EAED086" w14:textId="77777777" w:rsidR="00122285" w:rsidRDefault="00122285" w:rsidP="00122285">
      <w:pPr>
        <w:rPr>
          <w:rFonts w:eastAsia="Times New Roman" w:cs="Arial"/>
          <w:kern w:val="0"/>
          <w:lang w:eastAsia="en-GB"/>
          <w14:ligatures w14:val="none"/>
        </w:rPr>
      </w:pPr>
    </w:p>
    <w:p w14:paraId="5CA01F40" w14:textId="77777777" w:rsidR="00432193" w:rsidRDefault="00432193" w:rsidP="00122285">
      <w:pPr>
        <w:rPr>
          <w:rFonts w:eastAsia="Times New Roman" w:cs="Arial"/>
          <w:kern w:val="0"/>
          <w:lang w:eastAsia="en-GB"/>
          <w14:ligatures w14:val="none"/>
        </w:rPr>
      </w:pPr>
    </w:p>
    <w:p w14:paraId="5A369567" w14:textId="77777777" w:rsidR="00432193" w:rsidRDefault="00432193" w:rsidP="00122285">
      <w:pPr>
        <w:rPr>
          <w:rFonts w:eastAsia="Times New Roman" w:cs="Arial"/>
          <w:kern w:val="0"/>
          <w:lang w:eastAsia="en-GB"/>
          <w14:ligatures w14:val="none"/>
        </w:rPr>
      </w:pPr>
    </w:p>
    <w:p w14:paraId="760BD53F" w14:textId="77777777" w:rsidR="00432193" w:rsidRDefault="00432193" w:rsidP="00122285">
      <w:pPr>
        <w:rPr>
          <w:rFonts w:eastAsia="Times New Roman" w:cs="Arial"/>
          <w:kern w:val="0"/>
          <w:lang w:eastAsia="en-GB"/>
          <w14:ligatures w14:val="none"/>
        </w:rPr>
      </w:pPr>
    </w:p>
    <w:p w14:paraId="1A2A34E7" w14:textId="77777777" w:rsidR="00432193" w:rsidRDefault="00432193" w:rsidP="00122285">
      <w:pPr>
        <w:rPr>
          <w:rFonts w:eastAsia="Times New Roman" w:cs="Arial"/>
          <w:kern w:val="0"/>
          <w:lang w:eastAsia="en-GB"/>
          <w14:ligatures w14:val="none"/>
        </w:rPr>
      </w:pPr>
    </w:p>
    <w:p w14:paraId="13019BB4" w14:textId="77777777" w:rsidR="00910AD7" w:rsidRDefault="00910AD7" w:rsidP="00122285">
      <w:pPr>
        <w:rPr>
          <w:rFonts w:eastAsia="Times New Roman" w:cs="Arial"/>
          <w:kern w:val="0"/>
          <w:lang w:eastAsia="en-GB"/>
          <w14:ligatures w14:val="none"/>
        </w:rPr>
      </w:pPr>
    </w:p>
    <w:p w14:paraId="0320BB1D" w14:textId="77777777" w:rsidR="00432193" w:rsidRDefault="00432193" w:rsidP="00122285">
      <w:pPr>
        <w:rPr>
          <w:rFonts w:eastAsia="Times New Roman" w:cs="Arial"/>
          <w:kern w:val="0"/>
          <w:lang w:eastAsia="en-GB"/>
          <w14:ligatures w14:val="none"/>
        </w:rPr>
      </w:pPr>
    </w:p>
    <w:p w14:paraId="1CD3C7BD" w14:textId="77777777" w:rsidR="00432193" w:rsidRDefault="00432193" w:rsidP="00122285">
      <w:pPr>
        <w:rPr>
          <w:rFonts w:eastAsia="Times New Roman" w:cs="Arial"/>
          <w:kern w:val="0"/>
          <w:lang w:eastAsia="en-GB"/>
          <w14:ligatures w14:val="none"/>
        </w:rPr>
      </w:pPr>
    </w:p>
    <w:p w14:paraId="087F15D1" w14:textId="77777777" w:rsidR="00432193" w:rsidRDefault="00432193" w:rsidP="00122285">
      <w:pPr>
        <w:rPr>
          <w:rFonts w:eastAsia="Times New Roman" w:cs="Arial"/>
          <w:kern w:val="0"/>
          <w:lang w:eastAsia="en-GB"/>
          <w14:ligatures w14:val="none"/>
        </w:rPr>
      </w:pPr>
    </w:p>
    <w:p w14:paraId="2CCD0755" w14:textId="77777777" w:rsidR="00432193" w:rsidRDefault="00432193" w:rsidP="00122285">
      <w:pPr>
        <w:rPr>
          <w:rFonts w:eastAsia="Times New Roman" w:cs="Arial"/>
          <w:kern w:val="0"/>
          <w:lang w:eastAsia="en-GB"/>
          <w14:ligatures w14:val="none"/>
        </w:rPr>
      </w:pPr>
    </w:p>
    <w:p w14:paraId="013CBFC8" w14:textId="77777777" w:rsidR="00432193" w:rsidRPr="00122285" w:rsidRDefault="00432193" w:rsidP="00122285">
      <w:pPr>
        <w:rPr>
          <w:rFonts w:eastAsia="Times New Roman" w:cs="Arial"/>
          <w:kern w:val="0"/>
          <w:lang w:eastAsia="en-GB"/>
          <w14:ligatures w14:val="none"/>
        </w:rPr>
      </w:pPr>
    </w:p>
    <w:p w14:paraId="1382B080" w14:textId="77777777" w:rsidR="00122285" w:rsidRPr="00122285" w:rsidRDefault="00122285" w:rsidP="00122285">
      <w:pPr>
        <w:rPr>
          <w:rFonts w:eastAsia="Aptos" w:cs="Arial"/>
          <w:b/>
          <w:bCs/>
        </w:rPr>
      </w:pPr>
      <w:r w:rsidRPr="00122285">
        <w:rPr>
          <w:rFonts w:eastAsia="Aptos" w:cs="Arial"/>
          <w:b/>
          <w:bCs/>
        </w:rPr>
        <w:lastRenderedPageBreak/>
        <w:t>Map 12.1: Locations of the pharmacy premises within the locality</w:t>
      </w:r>
    </w:p>
    <w:p w14:paraId="17B9CFE1" w14:textId="77777777" w:rsidR="00122285" w:rsidRPr="00122285" w:rsidRDefault="00122285" w:rsidP="00122285">
      <w:pPr>
        <w:rPr>
          <w:rFonts w:eastAsia="Aptos" w:cs="Arial"/>
        </w:rPr>
      </w:pPr>
    </w:p>
    <w:p w14:paraId="2292673A" w14:textId="57A4E932" w:rsidR="00122285" w:rsidRPr="00122285" w:rsidRDefault="00432193" w:rsidP="00122285">
      <w:pPr>
        <w:rPr>
          <w:rFonts w:eastAsia="Aptos" w:cs="Arial"/>
        </w:rPr>
      </w:pPr>
      <w:r w:rsidRPr="00432193">
        <w:rPr>
          <w:rFonts w:eastAsia="Aptos" w:cs="Arial"/>
          <w:noProof/>
        </w:rPr>
        <w:drawing>
          <wp:inline distT="0" distB="0" distL="0" distR="0" wp14:anchorId="6C92FE80" wp14:editId="1DB598AA">
            <wp:extent cx="5731510" cy="3320415"/>
            <wp:effectExtent l="0" t="0" r="2540" b="0"/>
            <wp:docPr id="1841693223" name="Picture 1" descr="Map of western and central Swansea showing the locations of nine pharmacies marked with numbered orange pins. A legend in the lower-left corner lists: Tesco Instore Pharmacy Fforestfach (1), Well Pharmacy Caereithin (2), Well Pharmacy Gendros (3), Penlan Pharmacy (4), Well Pharmacy Manselton (5), Knights Pharmacy Cwmfelin (6), Treboeth Pharmacy (7), Lewis Chemist (8), and Boots The Chemist Morfa (9). The pharmacies are distributed across the Fforest-fach, Gendros, Penlan, Manselton, Treboeth, and Morfa areas. Two pharmacies are located close together in the Caereithin and Gendros area, while others are spread across neighbouring communities. The numbered pins correspond to the pharmacy list and illustrate their locations relative to local districts and main roa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693223" name="Picture 1" descr="Map of western and central Swansea showing the locations of nine pharmacies marked with numbered orange pins. A legend in the lower-left corner lists: Tesco Instore Pharmacy Fforestfach (1), Well Pharmacy Caereithin (2), Well Pharmacy Gendros (3), Penlan Pharmacy (4), Well Pharmacy Manselton (5), Knights Pharmacy Cwmfelin (6), Treboeth Pharmacy (7), Lewis Chemist (8), and Boots The Chemist Morfa (9). The pharmacies are distributed across the Fforest-fach, Gendros, Penlan, Manselton, Treboeth, and Morfa areas. Two pharmacies are located close together in the Caereithin and Gendros area, while others are spread across neighbouring communities. The numbered pins correspond to the pharmacy list and illustrate their locations relative to local districts and main roads."/>
                    <pic:cNvPicPr/>
                  </pic:nvPicPr>
                  <pic:blipFill>
                    <a:blip r:embed="rId60"/>
                    <a:stretch>
                      <a:fillRect/>
                    </a:stretch>
                  </pic:blipFill>
                  <pic:spPr>
                    <a:xfrm>
                      <a:off x="0" y="0"/>
                      <a:ext cx="5731510" cy="3320415"/>
                    </a:xfrm>
                    <a:prstGeom prst="rect">
                      <a:avLst/>
                    </a:prstGeom>
                  </pic:spPr>
                </pic:pic>
              </a:graphicData>
            </a:graphic>
          </wp:inline>
        </w:drawing>
      </w:r>
    </w:p>
    <w:p w14:paraId="2A67CD8C" w14:textId="77777777" w:rsidR="00432193" w:rsidRDefault="00432193" w:rsidP="00122285">
      <w:pPr>
        <w:rPr>
          <w:rFonts w:eastAsia="Times New Roman" w:cs="Arial"/>
          <w:kern w:val="0"/>
          <w:lang w:eastAsia="en-GB"/>
          <w14:ligatures w14:val="none"/>
        </w:rPr>
      </w:pPr>
    </w:p>
    <w:p w14:paraId="658EDFCE" w14:textId="6A67C7C5" w:rsidR="00122285" w:rsidRPr="00122285" w:rsidRDefault="00122285" w:rsidP="00122285">
      <w:pPr>
        <w:rPr>
          <w:rFonts w:eastAsia="Aptos" w:cs="Arial"/>
        </w:rPr>
      </w:pPr>
      <w:r w:rsidRPr="00122285">
        <w:rPr>
          <w:rFonts w:eastAsia="Times New Roman" w:cs="Arial"/>
          <w:kern w:val="0"/>
          <w:lang w:eastAsia="en-GB"/>
          <w14:ligatures w14:val="none"/>
        </w:rPr>
        <w:t>The health board has noted the pharmaceutical needs assessment published on 1 October 2021 concluded that the pharmacies in this locality were located in areas of greater population density. In addition, all residents were abl</w:t>
      </w:r>
      <w:r w:rsidRPr="00122285">
        <w:rPr>
          <w:rFonts w:eastAsia="Aptos" w:cs="Arial"/>
        </w:rPr>
        <w:t>e to access a pharmacy within 20 minutes by car. Those areas that were not within a 20-minute drive of a pharmacy did not have a resident population. Noting the locations of the pharmacies have not changed, the health board is satisfied this conclusion remains valid; residents are still able to access a pharmacy by car within 20 minutes and for many the travel time will be shorter.</w:t>
      </w:r>
    </w:p>
    <w:p w14:paraId="352CC378" w14:textId="77777777" w:rsidR="00122285" w:rsidRPr="00122285" w:rsidRDefault="00122285" w:rsidP="00122285">
      <w:pPr>
        <w:rPr>
          <w:rFonts w:eastAsia="Aptos" w:cs="Arial"/>
        </w:rPr>
      </w:pPr>
    </w:p>
    <w:p w14:paraId="1153A013" w14:textId="77777777" w:rsidR="00122285" w:rsidRPr="00122285" w:rsidRDefault="00122285" w:rsidP="00122285">
      <w:pPr>
        <w:rPr>
          <w:rFonts w:eastAsia="Aptos" w:cs="Arial"/>
        </w:rPr>
      </w:pPr>
      <w:r w:rsidRPr="00122285">
        <w:rPr>
          <w:rFonts w:eastAsia="Aptos" w:cs="Arial"/>
        </w:rPr>
        <w:t>Looking at the opening hours of the pharmacies:</w:t>
      </w:r>
    </w:p>
    <w:p w14:paraId="5030A556" w14:textId="77777777" w:rsidR="00122285" w:rsidRPr="00122285" w:rsidRDefault="00122285" w:rsidP="00122285">
      <w:pPr>
        <w:rPr>
          <w:rFonts w:eastAsia="Aptos" w:cs="Arial"/>
        </w:rPr>
      </w:pPr>
    </w:p>
    <w:p w14:paraId="7543A310" w14:textId="77777777" w:rsidR="00122285" w:rsidRPr="00122285" w:rsidRDefault="00122285" w:rsidP="00B76905">
      <w:pPr>
        <w:numPr>
          <w:ilvl w:val="0"/>
          <w:numId w:val="178"/>
        </w:numPr>
        <w:contextualSpacing/>
        <w:rPr>
          <w:rFonts w:eastAsia="Aptos" w:cs="Arial"/>
        </w:rPr>
      </w:pPr>
      <w:r w:rsidRPr="00122285">
        <w:rPr>
          <w:rFonts w:eastAsia="Aptos" w:cs="Arial"/>
        </w:rPr>
        <w:t>Two pharmacies are open seven days a week</w:t>
      </w:r>
    </w:p>
    <w:p w14:paraId="3ED3A050" w14:textId="77777777" w:rsidR="00122285" w:rsidRPr="00122285" w:rsidRDefault="00122285" w:rsidP="00B76905">
      <w:pPr>
        <w:numPr>
          <w:ilvl w:val="0"/>
          <w:numId w:val="178"/>
        </w:numPr>
        <w:contextualSpacing/>
        <w:rPr>
          <w:rFonts w:eastAsia="Aptos" w:cs="Arial"/>
        </w:rPr>
      </w:pPr>
      <w:r w:rsidRPr="00122285">
        <w:rPr>
          <w:rFonts w:eastAsia="Aptos" w:cs="Arial"/>
        </w:rPr>
        <w:t>Seven pharmacies are open Monday to Friday only</w:t>
      </w:r>
    </w:p>
    <w:p w14:paraId="57B9EE82" w14:textId="77777777" w:rsidR="00122285" w:rsidRPr="00122285" w:rsidRDefault="00122285" w:rsidP="00122285">
      <w:pPr>
        <w:rPr>
          <w:rFonts w:eastAsia="Times New Roman" w:cs="Arial"/>
          <w:kern w:val="0"/>
          <w:lang w:eastAsia="en-GB"/>
          <w14:ligatures w14:val="none"/>
        </w:rPr>
      </w:pPr>
    </w:p>
    <w:p w14:paraId="12FFDC14" w14:textId="77777777" w:rsidR="00122285" w:rsidRPr="00122285" w:rsidRDefault="00122285" w:rsidP="00122285">
      <w:pPr>
        <w:rPr>
          <w:rFonts w:eastAsia="Aptos" w:cs="Arial"/>
        </w:rPr>
      </w:pPr>
      <w:r w:rsidRPr="00122285">
        <w:rPr>
          <w:rFonts w:eastAsia="Times New Roman" w:cs="Arial"/>
          <w:kern w:val="0"/>
          <w:lang w:eastAsia="en-GB"/>
          <w14:ligatures w14:val="none"/>
        </w:rPr>
        <w:t xml:space="preserve">Within the locality when looking at the total pharmacy opening hours, the range of opening and closing hours are shown in the table below. </w:t>
      </w:r>
      <w:r w:rsidRPr="00122285">
        <w:rPr>
          <w:rFonts w:eastAsia="Aptos" w:cs="Arial"/>
        </w:rPr>
        <w:t>For the purposes of the pharmaceutical needs assessment, normal working hours have been defined as Monday to Friday 9.00am to 5.30pm.</w:t>
      </w:r>
    </w:p>
    <w:p w14:paraId="7CAA9F7D" w14:textId="77777777" w:rsidR="00122285" w:rsidRPr="00122285" w:rsidRDefault="00122285" w:rsidP="00122285">
      <w:pPr>
        <w:ind w:left="720"/>
        <w:contextualSpacing/>
        <w:rPr>
          <w:rFonts w:eastAsia="Times New Roman" w:cs="Arial"/>
          <w:kern w:val="0"/>
          <w:lang w:eastAsia="en-GB"/>
          <w14:ligatures w14:val="none"/>
        </w:rPr>
      </w:pPr>
    </w:p>
    <w:p w14:paraId="38B56F67"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 xml:space="preserve">Table 12.7: Pharmacy opening and closing hours </w:t>
      </w:r>
    </w:p>
    <w:p w14:paraId="237F98F6" w14:textId="77777777" w:rsidR="00122285" w:rsidRPr="00122285" w:rsidRDefault="00122285" w:rsidP="00122285">
      <w:pPr>
        <w:ind w:left="720"/>
        <w:contextualSpacing/>
        <w:rPr>
          <w:rFonts w:eastAsia="Times New Roman" w:cs="Arial"/>
          <w:kern w:val="0"/>
          <w:lang w:eastAsia="en-GB"/>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3463"/>
        <w:gridCol w:w="3006"/>
      </w:tblGrid>
      <w:tr w:rsidR="00122285" w:rsidRPr="00D0306F" w14:paraId="28FF4A38" w14:textId="77777777" w:rsidTr="00122285">
        <w:tc>
          <w:tcPr>
            <w:tcW w:w="2547" w:type="dxa"/>
            <w:tcBorders>
              <w:top w:val="single" w:sz="4" w:space="0" w:color="auto"/>
              <w:left w:val="single" w:sz="4" w:space="0" w:color="auto"/>
              <w:bottom w:val="single" w:sz="4" w:space="0" w:color="auto"/>
              <w:right w:val="single" w:sz="4" w:space="0" w:color="auto"/>
            </w:tcBorders>
            <w:shd w:val="clear" w:color="auto" w:fill="153D63"/>
            <w:hideMark/>
          </w:tcPr>
          <w:p w14:paraId="711BE756"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Days</w:t>
            </w:r>
          </w:p>
        </w:tc>
        <w:tc>
          <w:tcPr>
            <w:tcW w:w="3463" w:type="dxa"/>
            <w:tcBorders>
              <w:top w:val="single" w:sz="4" w:space="0" w:color="auto"/>
              <w:left w:val="single" w:sz="4" w:space="0" w:color="auto"/>
              <w:bottom w:val="single" w:sz="4" w:space="0" w:color="auto"/>
              <w:right w:val="single" w:sz="4" w:space="0" w:color="auto"/>
            </w:tcBorders>
            <w:shd w:val="clear" w:color="auto" w:fill="153D63"/>
            <w:hideMark/>
          </w:tcPr>
          <w:p w14:paraId="5686C381"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Opening hours range</w:t>
            </w:r>
          </w:p>
        </w:tc>
        <w:tc>
          <w:tcPr>
            <w:tcW w:w="3006" w:type="dxa"/>
            <w:tcBorders>
              <w:top w:val="single" w:sz="4" w:space="0" w:color="auto"/>
              <w:left w:val="single" w:sz="4" w:space="0" w:color="auto"/>
              <w:bottom w:val="single" w:sz="4" w:space="0" w:color="auto"/>
              <w:right w:val="single" w:sz="4" w:space="0" w:color="auto"/>
            </w:tcBorders>
            <w:shd w:val="clear" w:color="auto" w:fill="153D63"/>
            <w:hideMark/>
          </w:tcPr>
          <w:p w14:paraId="0B07100C"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Closing hours range</w:t>
            </w:r>
          </w:p>
        </w:tc>
      </w:tr>
      <w:tr w:rsidR="00122285" w:rsidRPr="00122285" w14:paraId="56847DCF" w14:textId="77777777" w:rsidTr="00122285">
        <w:tc>
          <w:tcPr>
            <w:tcW w:w="2547" w:type="dxa"/>
            <w:tcBorders>
              <w:top w:val="single" w:sz="4" w:space="0" w:color="auto"/>
              <w:left w:val="single" w:sz="4" w:space="0" w:color="auto"/>
              <w:bottom w:val="single" w:sz="4" w:space="0" w:color="auto"/>
              <w:right w:val="single" w:sz="4" w:space="0" w:color="auto"/>
            </w:tcBorders>
            <w:hideMark/>
          </w:tcPr>
          <w:p w14:paraId="64CF001D"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Monday to Friday</w:t>
            </w:r>
          </w:p>
        </w:tc>
        <w:tc>
          <w:tcPr>
            <w:tcW w:w="3463" w:type="dxa"/>
            <w:tcBorders>
              <w:top w:val="single" w:sz="4" w:space="0" w:color="auto"/>
              <w:left w:val="single" w:sz="4" w:space="0" w:color="auto"/>
              <w:bottom w:val="single" w:sz="4" w:space="0" w:color="auto"/>
              <w:right w:val="single" w:sz="4" w:space="0" w:color="auto"/>
            </w:tcBorders>
            <w:hideMark/>
          </w:tcPr>
          <w:p w14:paraId="74443418"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8.00am to 9.30am</w:t>
            </w:r>
          </w:p>
        </w:tc>
        <w:tc>
          <w:tcPr>
            <w:tcW w:w="3006" w:type="dxa"/>
            <w:tcBorders>
              <w:top w:val="single" w:sz="4" w:space="0" w:color="auto"/>
              <w:left w:val="single" w:sz="4" w:space="0" w:color="auto"/>
              <w:bottom w:val="single" w:sz="4" w:space="0" w:color="auto"/>
              <w:right w:val="single" w:sz="4" w:space="0" w:color="auto"/>
            </w:tcBorders>
            <w:hideMark/>
          </w:tcPr>
          <w:p w14:paraId="778F7B92"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5.30pm to 9.00pm</w:t>
            </w:r>
          </w:p>
        </w:tc>
      </w:tr>
      <w:tr w:rsidR="00122285" w:rsidRPr="00122285" w14:paraId="34145ED2" w14:textId="77777777" w:rsidTr="00122285">
        <w:tc>
          <w:tcPr>
            <w:tcW w:w="2547" w:type="dxa"/>
            <w:tcBorders>
              <w:top w:val="single" w:sz="4" w:space="0" w:color="auto"/>
              <w:left w:val="single" w:sz="4" w:space="0" w:color="auto"/>
              <w:bottom w:val="single" w:sz="4" w:space="0" w:color="auto"/>
              <w:right w:val="single" w:sz="4" w:space="0" w:color="auto"/>
            </w:tcBorders>
            <w:hideMark/>
          </w:tcPr>
          <w:p w14:paraId="33DB4C16"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Saturday</w:t>
            </w:r>
          </w:p>
        </w:tc>
        <w:tc>
          <w:tcPr>
            <w:tcW w:w="3463" w:type="dxa"/>
            <w:tcBorders>
              <w:top w:val="single" w:sz="4" w:space="0" w:color="auto"/>
              <w:left w:val="single" w:sz="4" w:space="0" w:color="auto"/>
              <w:bottom w:val="single" w:sz="4" w:space="0" w:color="auto"/>
              <w:right w:val="single" w:sz="4" w:space="0" w:color="auto"/>
            </w:tcBorders>
            <w:hideMark/>
          </w:tcPr>
          <w:p w14:paraId="7F02B251"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9.00am to 9.30am</w:t>
            </w:r>
          </w:p>
        </w:tc>
        <w:tc>
          <w:tcPr>
            <w:tcW w:w="3006" w:type="dxa"/>
            <w:tcBorders>
              <w:top w:val="single" w:sz="4" w:space="0" w:color="auto"/>
              <w:left w:val="single" w:sz="4" w:space="0" w:color="auto"/>
              <w:bottom w:val="single" w:sz="4" w:space="0" w:color="auto"/>
              <w:right w:val="single" w:sz="4" w:space="0" w:color="auto"/>
            </w:tcBorders>
            <w:hideMark/>
          </w:tcPr>
          <w:p w14:paraId="257FD4D3"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8.00pm to 9.00pm</w:t>
            </w:r>
          </w:p>
        </w:tc>
      </w:tr>
      <w:tr w:rsidR="00122285" w:rsidRPr="00122285" w14:paraId="41177D71" w14:textId="77777777" w:rsidTr="00122285">
        <w:tc>
          <w:tcPr>
            <w:tcW w:w="2547" w:type="dxa"/>
            <w:tcBorders>
              <w:top w:val="single" w:sz="4" w:space="0" w:color="auto"/>
              <w:left w:val="single" w:sz="4" w:space="0" w:color="auto"/>
              <w:bottom w:val="single" w:sz="4" w:space="0" w:color="auto"/>
              <w:right w:val="single" w:sz="4" w:space="0" w:color="auto"/>
            </w:tcBorders>
            <w:hideMark/>
          </w:tcPr>
          <w:p w14:paraId="0C8672A9"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Sunday</w:t>
            </w:r>
          </w:p>
        </w:tc>
        <w:tc>
          <w:tcPr>
            <w:tcW w:w="3463" w:type="dxa"/>
            <w:tcBorders>
              <w:top w:val="single" w:sz="4" w:space="0" w:color="auto"/>
              <w:left w:val="single" w:sz="4" w:space="0" w:color="auto"/>
              <w:bottom w:val="single" w:sz="4" w:space="0" w:color="auto"/>
              <w:right w:val="single" w:sz="4" w:space="0" w:color="auto"/>
            </w:tcBorders>
            <w:hideMark/>
          </w:tcPr>
          <w:p w14:paraId="1CE9851A"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10.00am to 11.00am</w:t>
            </w:r>
          </w:p>
        </w:tc>
        <w:tc>
          <w:tcPr>
            <w:tcW w:w="3006" w:type="dxa"/>
            <w:tcBorders>
              <w:top w:val="single" w:sz="4" w:space="0" w:color="auto"/>
              <w:left w:val="single" w:sz="4" w:space="0" w:color="auto"/>
              <w:bottom w:val="single" w:sz="4" w:space="0" w:color="auto"/>
              <w:right w:val="single" w:sz="4" w:space="0" w:color="auto"/>
            </w:tcBorders>
            <w:hideMark/>
          </w:tcPr>
          <w:p w14:paraId="45A409C4"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4.00pm to 5.00pm</w:t>
            </w:r>
          </w:p>
        </w:tc>
      </w:tr>
    </w:tbl>
    <w:p w14:paraId="3D343EB4" w14:textId="77777777" w:rsidR="00122285" w:rsidRPr="00122285" w:rsidRDefault="00122285" w:rsidP="00122285">
      <w:pPr>
        <w:rPr>
          <w:rFonts w:eastAsia="Aptos" w:cs="Arial"/>
        </w:rPr>
      </w:pPr>
    </w:p>
    <w:p w14:paraId="18565363" w14:textId="77777777" w:rsidR="00122285" w:rsidRPr="00122285" w:rsidRDefault="00122285" w:rsidP="00B76905">
      <w:pPr>
        <w:numPr>
          <w:ilvl w:val="0"/>
          <w:numId w:val="179"/>
        </w:numPr>
        <w:contextualSpacing/>
        <w:rPr>
          <w:rFonts w:eastAsia="Aptos" w:cs="Arial"/>
        </w:rPr>
      </w:pPr>
      <w:r w:rsidRPr="00122285">
        <w:rPr>
          <w:rFonts w:eastAsia="Aptos" w:cs="Arial"/>
        </w:rPr>
        <w:t>One pharmacy opens at 8.00am Monday to Friday</w:t>
      </w:r>
    </w:p>
    <w:p w14:paraId="42C9C831" w14:textId="77777777" w:rsidR="00122285" w:rsidRPr="00122285" w:rsidRDefault="00122285" w:rsidP="00B76905">
      <w:pPr>
        <w:numPr>
          <w:ilvl w:val="0"/>
          <w:numId w:val="179"/>
        </w:numPr>
        <w:contextualSpacing/>
        <w:rPr>
          <w:rFonts w:eastAsia="Aptos" w:cs="Arial"/>
        </w:rPr>
      </w:pPr>
      <w:r w:rsidRPr="00122285">
        <w:rPr>
          <w:rFonts w:eastAsia="Aptos" w:cs="Arial"/>
        </w:rPr>
        <w:t xml:space="preserve">Two pharmacies open at 8.30am Monday to Friday </w:t>
      </w:r>
    </w:p>
    <w:p w14:paraId="5211E7BA" w14:textId="77777777" w:rsidR="00122285" w:rsidRPr="00122285" w:rsidRDefault="00122285" w:rsidP="00B76905">
      <w:pPr>
        <w:numPr>
          <w:ilvl w:val="0"/>
          <w:numId w:val="179"/>
        </w:numPr>
        <w:contextualSpacing/>
        <w:rPr>
          <w:rFonts w:eastAsia="Aptos" w:cs="Arial"/>
        </w:rPr>
      </w:pPr>
      <w:r w:rsidRPr="00122285">
        <w:rPr>
          <w:rFonts w:eastAsia="Aptos" w:cs="Arial"/>
        </w:rPr>
        <w:lastRenderedPageBreak/>
        <w:t>Between six and seven pharmacies close at 5.30pm Monday to Friday – some pharmacies may close earlier on certain days</w:t>
      </w:r>
    </w:p>
    <w:p w14:paraId="13F3A1F1" w14:textId="77777777" w:rsidR="00122285" w:rsidRPr="00122285" w:rsidRDefault="00122285" w:rsidP="00B76905">
      <w:pPr>
        <w:numPr>
          <w:ilvl w:val="0"/>
          <w:numId w:val="179"/>
        </w:numPr>
        <w:contextualSpacing/>
        <w:rPr>
          <w:rFonts w:eastAsia="Aptos" w:cs="Arial"/>
        </w:rPr>
      </w:pPr>
      <w:r w:rsidRPr="00122285">
        <w:rPr>
          <w:rFonts w:eastAsia="Aptos" w:cs="Arial"/>
        </w:rPr>
        <w:t>One pharmacy closes at 5.30pm on a Thursday</w:t>
      </w:r>
    </w:p>
    <w:p w14:paraId="04984617" w14:textId="77777777" w:rsidR="00122285" w:rsidRPr="00122285" w:rsidRDefault="00122285" w:rsidP="00B76905">
      <w:pPr>
        <w:numPr>
          <w:ilvl w:val="0"/>
          <w:numId w:val="179"/>
        </w:numPr>
        <w:contextualSpacing/>
        <w:rPr>
          <w:rFonts w:eastAsia="Aptos" w:cs="Arial"/>
        </w:rPr>
      </w:pPr>
      <w:r w:rsidRPr="00122285">
        <w:rPr>
          <w:rFonts w:eastAsia="Aptos" w:cs="Arial"/>
        </w:rPr>
        <w:t>One pharmacy closes at 8.00pm Monday to Saturday</w:t>
      </w:r>
    </w:p>
    <w:p w14:paraId="60C581EC" w14:textId="77777777" w:rsidR="00122285" w:rsidRPr="00122285" w:rsidRDefault="00122285" w:rsidP="00B76905">
      <w:pPr>
        <w:numPr>
          <w:ilvl w:val="0"/>
          <w:numId w:val="179"/>
        </w:numPr>
        <w:contextualSpacing/>
        <w:rPr>
          <w:rFonts w:eastAsia="Aptos" w:cs="Arial"/>
        </w:rPr>
      </w:pPr>
      <w:r w:rsidRPr="00122285">
        <w:rPr>
          <w:rFonts w:eastAsia="Aptos" w:cs="Arial"/>
        </w:rPr>
        <w:t>One pharmacy closes at 10.30pm Monday to Saturday</w:t>
      </w:r>
    </w:p>
    <w:p w14:paraId="141622F6" w14:textId="77777777" w:rsidR="00122285" w:rsidRPr="00122285" w:rsidRDefault="00122285" w:rsidP="00B76905">
      <w:pPr>
        <w:numPr>
          <w:ilvl w:val="0"/>
          <w:numId w:val="179"/>
        </w:numPr>
        <w:contextualSpacing/>
        <w:rPr>
          <w:rFonts w:eastAsia="Aptos" w:cs="Arial"/>
        </w:rPr>
      </w:pPr>
      <w:r w:rsidRPr="00122285">
        <w:rPr>
          <w:rFonts w:eastAsia="Aptos" w:cs="Arial"/>
        </w:rPr>
        <w:t>Two pharmacies are open on a Sunday</w:t>
      </w:r>
    </w:p>
    <w:p w14:paraId="3048043F" w14:textId="77777777" w:rsidR="00122285" w:rsidRPr="00122285" w:rsidRDefault="00122285" w:rsidP="00122285">
      <w:pPr>
        <w:rPr>
          <w:rFonts w:eastAsia="Times New Roman" w:cs="Arial"/>
          <w:kern w:val="0"/>
          <w:lang w:eastAsia="en-GB"/>
          <w14:ligatures w14:val="none"/>
        </w:rPr>
      </w:pPr>
    </w:p>
    <w:p w14:paraId="55D7A64C"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Some pharmacies across the health board’s area are commissioned to open at certain times of the day, on top of their usual core and supplementary opening hours. For this locality one pharmacy (location: Swansea) is commissioned to be open Monday to Saturday evenings between 9.00pm and 10.30pm.</w:t>
      </w:r>
    </w:p>
    <w:p w14:paraId="4D13A167" w14:textId="77777777" w:rsidR="00122285" w:rsidRPr="00122285" w:rsidRDefault="00122285" w:rsidP="00122285">
      <w:pPr>
        <w:rPr>
          <w:rFonts w:eastAsia="Aptos" w:cs="Arial"/>
        </w:rPr>
      </w:pPr>
    </w:p>
    <w:p w14:paraId="0523C690" w14:textId="77777777" w:rsidR="00122285" w:rsidRPr="00122285" w:rsidRDefault="00122285" w:rsidP="00122285">
      <w:pPr>
        <w:rPr>
          <w:rFonts w:eastAsia="Aptos" w:cs="Arial"/>
        </w:rPr>
      </w:pPr>
      <w:r w:rsidRPr="00122285">
        <w:rPr>
          <w:rFonts w:eastAsia="Aptos" w:cs="Arial"/>
        </w:rPr>
        <w:t>Full details of pharmacy opening times can be found in Appendix L.</w:t>
      </w:r>
    </w:p>
    <w:p w14:paraId="48852322" w14:textId="77777777" w:rsidR="00122285" w:rsidRPr="00122285" w:rsidRDefault="00122285" w:rsidP="00122285">
      <w:pPr>
        <w:rPr>
          <w:rFonts w:eastAsia="Aptos" w:cs="Arial"/>
        </w:rPr>
      </w:pPr>
    </w:p>
    <w:p w14:paraId="36A19842" w14:textId="77777777" w:rsidR="00122285" w:rsidRPr="00122285" w:rsidRDefault="00122285" w:rsidP="00122285">
      <w:pPr>
        <w:contextualSpacing/>
        <w:rPr>
          <w:rFonts w:eastAsia="Times New Roman" w:cs="Arial"/>
          <w:kern w:val="0"/>
          <w:lang w:eastAsia="en-GB"/>
          <w14:ligatures w14:val="none"/>
        </w:rPr>
      </w:pPr>
      <w:r w:rsidRPr="00122285">
        <w:rPr>
          <w:rFonts w:eastAsia="Times New Roman" w:cs="Arial"/>
          <w:kern w:val="0"/>
          <w:lang w:eastAsia="en-GB"/>
          <w14:ligatures w14:val="none"/>
        </w:rPr>
        <w:t>The following information was taken from responses to the contractor questionnaire to which eight of the pharmacies responded.</w:t>
      </w:r>
    </w:p>
    <w:p w14:paraId="705AEBB3" w14:textId="77777777" w:rsidR="00122285" w:rsidRPr="00122285" w:rsidRDefault="00122285" w:rsidP="00122285">
      <w:pPr>
        <w:textAlignment w:val="baseline"/>
        <w:rPr>
          <w:rFonts w:eastAsia="Times New Roman" w:cs="Arial"/>
          <w:kern w:val="0"/>
          <w:lang w:eastAsia="en-GB"/>
          <w14:ligatures w14:val="none"/>
        </w:rPr>
      </w:pPr>
    </w:p>
    <w:p w14:paraId="6B11160E" w14:textId="77777777" w:rsidR="00122285" w:rsidRPr="00122285" w:rsidRDefault="00122285" w:rsidP="00122285">
      <w:pPr>
        <w:textAlignment w:val="baseline"/>
        <w:rPr>
          <w:rFonts w:eastAsia="Times New Roman" w:cs="Arial"/>
          <w:kern w:val="0"/>
          <w:lang w:eastAsia="en-GB"/>
          <w14:ligatures w14:val="none"/>
        </w:rPr>
      </w:pPr>
      <w:r w:rsidRPr="00122285">
        <w:rPr>
          <w:rFonts w:eastAsia="Times New Roman" w:cs="Arial"/>
          <w:kern w:val="0"/>
          <w:lang w:eastAsia="en-GB"/>
          <w14:ligatures w14:val="none"/>
        </w:rPr>
        <w:t>The eight pharmacies are accessible by wheelchair and have a consultation area that is accessible by wheelchair. All the consultation areas are: </w:t>
      </w:r>
    </w:p>
    <w:p w14:paraId="098803CF" w14:textId="77777777" w:rsidR="00122285" w:rsidRPr="00122285" w:rsidRDefault="00122285" w:rsidP="00122285">
      <w:pPr>
        <w:textAlignment w:val="baseline"/>
        <w:rPr>
          <w:rFonts w:eastAsia="Times New Roman" w:cs="Arial"/>
          <w:kern w:val="0"/>
          <w:lang w:eastAsia="en-GB"/>
          <w14:ligatures w14:val="none"/>
        </w:rPr>
      </w:pPr>
      <w:r w:rsidRPr="00122285">
        <w:rPr>
          <w:rFonts w:eastAsia="Times New Roman" w:cs="Arial"/>
          <w:kern w:val="0"/>
          <w:lang w:eastAsia="en-GB"/>
          <w14:ligatures w14:val="none"/>
        </w:rPr>
        <w:t> </w:t>
      </w:r>
    </w:p>
    <w:p w14:paraId="4206E541" w14:textId="77777777" w:rsidR="00122285" w:rsidRPr="00122285" w:rsidRDefault="00122285" w:rsidP="00B76905">
      <w:pPr>
        <w:numPr>
          <w:ilvl w:val="0"/>
          <w:numId w:val="146"/>
        </w:numPr>
        <w:textAlignment w:val="baseline"/>
        <w:rPr>
          <w:rFonts w:eastAsia="Times New Roman" w:cs="Arial"/>
          <w:kern w:val="0"/>
          <w:lang w:eastAsia="en-GB"/>
          <w14:ligatures w14:val="none"/>
        </w:rPr>
      </w:pPr>
      <w:r w:rsidRPr="00122285">
        <w:rPr>
          <w:rFonts w:eastAsia="Times New Roman" w:cs="Arial"/>
          <w:kern w:val="0"/>
          <w:lang w:eastAsia="en-GB"/>
          <w14:ligatures w14:val="none"/>
        </w:rPr>
        <w:t>closed rooms, </w:t>
      </w:r>
    </w:p>
    <w:p w14:paraId="1D95CC47" w14:textId="77777777" w:rsidR="00122285" w:rsidRPr="00122285" w:rsidRDefault="00122285" w:rsidP="00B76905">
      <w:pPr>
        <w:numPr>
          <w:ilvl w:val="0"/>
          <w:numId w:val="146"/>
        </w:numPr>
        <w:textAlignment w:val="baseline"/>
        <w:rPr>
          <w:rFonts w:eastAsia="Times New Roman" w:cs="Arial"/>
          <w:kern w:val="0"/>
          <w:lang w:eastAsia="en-GB"/>
          <w14:ligatures w14:val="none"/>
        </w:rPr>
      </w:pPr>
      <w:r w:rsidRPr="00122285">
        <w:rPr>
          <w:rFonts w:eastAsia="Times New Roman" w:cs="Arial"/>
          <w:kern w:val="0"/>
          <w:lang w:eastAsia="en-GB"/>
          <w14:ligatures w14:val="none"/>
        </w:rPr>
        <w:t xml:space="preserve">a designated area where the patient and pharmacist can sit down together and talk at normal volumes without being overheard, and </w:t>
      </w:r>
    </w:p>
    <w:p w14:paraId="16CA7538" w14:textId="77777777" w:rsidR="00122285" w:rsidRPr="00122285" w:rsidRDefault="00122285" w:rsidP="00B76905">
      <w:pPr>
        <w:numPr>
          <w:ilvl w:val="0"/>
          <w:numId w:val="146"/>
        </w:numPr>
        <w:textAlignment w:val="baseline"/>
        <w:rPr>
          <w:rFonts w:eastAsia="Times New Roman" w:cs="Arial"/>
          <w:kern w:val="0"/>
          <w:lang w:eastAsia="en-GB"/>
          <w14:ligatures w14:val="none"/>
        </w:rPr>
      </w:pPr>
      <w:r w:rsidRPr="00122285">
        <w:rPr>
          <w:rFonts w:eastAsia="Times New Roman" w:cs="Arial"/>
          <w:kern w:val="0"/>
          <w:lang w:eastAsia="en-GB"/>
          <w14:ligatures w14:val="none"/>
        </w:rPr>
        <w:t>clearly designated as an area for confidential consultations distinct from the general public areas of the pharmacy. </w:t>
      </w:r>
    </w:p>
    <w:p w14:paraId="6FFFAC60" w14:textId="77777777" w:rsidR="00122285" w:rsidRPr="00122285" w:rsidRDefault="00122285" w:rsidP="00122285">
      <w:pPr>
        <w:textAlignment w:val="baseline"/>
        <w:rPr>
          <w:rFonts w:eastAsia="Times New Roman" w:cs="Arial"/>
          <w:kern w:val="0"/>
          <w:lang w:eastAsia="en-GB"/>
          <w14:ligatures w14:val="none"/>
        </w:rPr>
      </w:pPr>
    </w:p>
    <w:p w14:paraId="3E84C035" w14:textId="77777777" w:rsidR="00122285" w:rsidRPr="00122285" w:rsidRDefault="00122285" w:rsidP="00122285">
      <w:pPr>
        <w:textAlignment w:val="baseline"/>
        <w:rPr>
          <w:rFonts w:eastAsia="Times New Roman" w:cs="Arial"/>
          <w:kern w:val="0"/>
          <w:lang w:eastAsia="en-GB"/>
          <w14:ligatures w14:val="none"/>
        </w:rPr>
      </w:pPr>
      <w:r w:rsidRPr="00122285">
        <w:rPr>
          <w:rFonts w:eastAsia="Times New Roman" w:cs="Arial"/>
          <w:kern w:val="0"/>
          <w:lang w:eastAsia="en-GB"/>
          <w14:ligatures w14:val="none"/>
        </w:rPr>
        <w:t>Four pharmacies confirmed they have Welsh speakers in their staff. Five pharmacies confirmed other languages are spoken.</w:t>
      </w:r>
    </w:p>
    <w:p w14:paraId="05CE894C" w14:textId="77777777" w:rsidR="00122285" w:rsidRPr="00122285" w:rsidRDefault="00122285" w:rsidP="00122285">
      <w:pPr>
        <w:textAlignment w:val="baseline"/>
        <w:rPr>
          <w:rFonts w:eastAsia="Times New Roman" w:cs="Arial"/>
          <w:kern w:val="0"/>
          <w:lang w:eastAsia="en-GB"/>
          <w14:ligatures w14:val="none"/>
        </w:rPr>
      </w:pPr>
    </w:p>
    <w:p w14:paraId="5F75EC7E" w14:textId="77777777" w:rsidR="00122285" w:rsidRPr="00122285" w:rsidRDefault="00122285" w:rsidP="00B76905">
      <w:pPr>
        <w:numPr>
          <w:ilvl w:val="0"/>
          <w:numId w:val="180"/>
        </w:numPr>
        <w:textAlignment w:val="baseline"/>
        <w:rPr>
          <w:rFonts w:eastAsia="Times New Roman" w:cs="Arial"/>
          <w:kern w:val="0"/>
          <w:lang w:eastAsia="en-GB"/>
          <w14:ligatures w14:val="none"/>
        </w:rPr>
      </w:pPr>
      <w:r w:rsidRPr="00122285">
        <w:rPr>
          <w:rFonts w:eastAsia="Times New Roman" w:cs="Arial"/>
          <w:kern w:val="0"/>
          <w:lang w:eastAsia="en-GB"/>
          <w14:ligatures w14:val="none"/>
        </w:rPr>
        <w:t>Portuguese – two pharmacies</w:t>
      </w:r>
    </w:p>
    <w:p w14:paraId="49FE8D57" w14:textId="77777777" w:rsidR="00122285" w:rsidRPr="00122285" w:rsidRDefault="00122285" w:rsidP="00B76905">
      <w:pPr>
        <w:numPr>
          <w:ilvl w:val="0"/>
          <w:numId w:val="180"/>
        </w:numPr>
        <w:textAlignment w:val="baseline"/>
        <w:rPr>
          <w:rFonts w:eastAsia="Times New Roman" w:cs="Arial"/>
          <w:kern w:val="0"/>
          <w:lang w:eastAsia="en-GB"/>
          <w14:ligatures w14:val="none"/>
        </w:rPr>
      </w:pPr>
      <w:r w:rsidRPr="00122285">
        <w:rPr>
          <w:rFonts w:eastAsia="Times New Roman" w:cs="Arial"/>
          <w:kern w:val="0"/>
          <w:lang w:eastAsia="en-GB"/>
          <w14:ligatures w14:val="none"/>
        </w:rPr>
        <w:t>Arabic</w:t>
      </w:r>
    </w:p>
    <w:p w14:paraId="45812E34" w14:textId="77777777" w:rsidR="00122285" w:rsidRPr="00122285" w:rsidRDefault="00122285" w:rsidP="00B76905">
      <w:pPr>
        <w:numPr>
          <w:ilvl w:val="0"/>
          <w:numId w:val="180"/>
        </w:numPr>
        <w:textAlignment w:val="baseline"/>
        <w:rPr>
          <w:rFonts w:eastAsia="Times New Roman" w:cs="Arial"/>
          <w:kern w:val="0"/>
          <w:lang w:eastAsia="en-GB"/>
          <w14:ligatures w14:val="none"/>
        </w:rPr>
      </w:pPr>
      <w:r w:rsidRPr="00122285">
        <w:rPr>
          <w:rFonts w:eastAsia="Times New Roman" w:cs="Arial"/>
          <w:kern w:val="0"/>
          <w:lang w:eastAsia="en-GB"/>
          <w14:ligatures w14:val="none"/>
        </w:rPr>
        <w:t>Czech</w:t>
      </w:r>
    </w:p>
    <w:p w14:paraId="07D65470" w14:textId="77777777" w:rsidR="00122285" w:rsidRPr="00122285" w:rsidRDefault="00122285" w:rsidP="00B76905">
      <w:pPr>
        <w:numPr>
          <w:ilvl w:val="0"/>
          <w:numId w:val="180"/>
        </w:numPr>
        <w:textAlignment w:val="baseline"/>
        <w:rPr>
          <w:rFonts w:eastAsia="Times New Roman" w:cs="Arial"/>
          <w:kern w:val="0"/>
          <w:lang w:eastAsia="en-GB"/>
          <w14:ligatures w14:val="none"/>
        </w:rPr>
      </w:pPr>
      <w:r w:rsidRPr="00122285">
        <w:rPr>
          <w:rFonts w:eastAsia="Times New Roman" w:cs="Arial"/>
          <w:kern w:val="0"/>
          <w:lang w:eastAsia="en-GB"/>
          <w14:ligatures w14:val="none"/>
        </w:rPr>
        <w:t>Hindi</w:t>
      </w:r>
    </w:p>
    <w:p w14:paraId="44721478" w14:textId="77777777" w:rsidR="00122285" w:rsidRPr="00122285" w:rsidRDefault="00122285" w:rsidP="00B76905">
      <w:pPr>
        <w:numPr>
          <w:ilvl w:val="0"/>
          <w:numId w:val="180"/>
        </w:numPr>
        <w:textAlignment w:val="baseline"/>
        <w:rPr>
          <w:rFonts w:eastAsia="Times New Roman" w:cs="Arial"/>
          <w:kern w:val="0"/>
          <w:lang w:eastAsia="en-GB"/>
          <w14:ligatures w14:val="none"/>
        </w:rPr>
      </w:pPr>
      <w:r w:rsidRPr="00122285">
        <w:rPr>
          <w:rFonts w:eastAsia="Times New Roman" w:cs="Arial"/>
          <w:kern w:val="0"/>
          <w:lang w:eastAsia="en-GB"/>
          <w14:ligatures w14:val="none"/>
        </w:rPr>
        <w:t>Punjabi</w:t>
      </w:r>
    </w:p>
    <w:p w14:paraId="678819E1" w14:textId="77777777" w:rsidR="00122285" w:rsidRPr="00122285" w:rsidRDefault="00122285" w:rsidP="00B76905">
      <w:pPr>
        <w:numPr>
          <w:ilvl w:val="0"/>
          <w:numId w:val="180"/>
        </w:numPr>
        <w:textAlignment w:val="baseline"/>
        <w:rPr>
          <w:rFonts w:eastAsia="Times New Roman" w:cs="Arial"/>
          <w:kern w:val="0"/>
          <w:lang w:eastAsia="en-GB"/>
          <w14:ligatures w14:val="none"/>
        </w:rPr>
      </w:pPr>
      <w:r w:rsidRPr="00122285">
        <w:rPr>
          <w:rFonts w:eastAsia="Times New Roman" w:cs="Arial"/>
          <w:kern w:val="0"/>
          <w:lang w:eastAsia="en-GB"/>
          <w14:ligatures w14:val="none"/>
        </w:rPr>
        <w:t>Urdu</w:t>
      </w:r>
    </w:p>
    <w:p w14:paraId="6B55C838" w14:textId="77777777" w:rsidR="00122285" w:rsidRPr="00122285" w:rsidRDefault="00122285" w:rsidP="00122285">
      <w:pPr>
        <w:textAlignment w:val="baseline"/>
        <w:rPr>
          <w:rFonts w:eastAsia="Times New Roman" w:cs="Arial"/>
          <w:kern w:val="0"/>
          <w:lang w:eastAsia="en-GB"/>
          <w14:ligatures w14:val="none"/>
        </w:rPr>
      </w:pPr>
    </w:p>
    <w:p w14:paraId="54EEF35F" w14:textId="77777777" w:rsidR="00122285" w:rsidRPr="00122285" w:rsidRDefault="00122285" w:rsidP="00122285">
      <w:pPr>
        <w:textAlignment w:val="baseline"/>
        <w:rPr>
          <w:rFonts w:eastAsia="Times New Roman" w:cs="Arial"/>
          <w:kern w:val="0"/>
          <w:lang w:eastAsia="en-GB"/>
          <w14:ligatures w14:val="none"/>
        </w:rPr>
      </w:pPr>
      <w:r w:rsidRPr="00122285">
        <w:rPr>
          <w:rFonts w:eastAsia="Times New Roman" w:cs="Arial"/>
          <w:kern w:val="0"/>
          <w:lang w:eastAsia="en-GB"/>
          <w14:ligatures w14:val="none"/>
        </w:rPr>
        <w:t>The eight pharmacies dispense prescriptions for all types of appliances.</w:t>
      </w:r>
    </w:p>
    <w:p w14:paraId="6DFB540F" w14:textId="77777777" w:rsidR="00122285" w:rsidRPr="00122285" w:rsidRDefault="00122285" w:rsidP="00122285">
      <w:pPr>
        <w:textAlignment w:val="baseline"/>
        <w:rPr>
          <w:rFonts w:eastAsia="Times New Roman" w:cs="Arial"/>
          <w:kern w:val="0"/>
          <w:lang w:eastAsia="en-GB"/>
          <w14:ligatures w14:val="none"/>
        </w:rPr>
      </w:pPr>
      <w:r w:rsidRPr="00122285">
        <w:rPr>
          <w:rFonts w:eastAsia="Times New Roman" w:cs="Arial"/>
          <w:kern w:val="0"/>
          <w:lang w:eastAsia="en-GB"/>
          <w14:ligatures w14:val="none"/>
        </w:rPr>
        <w:t xml:space="preserve"> </w:t>
      </w:r>
    </w:p>
    <w:p w14:paraId="5DD4A767" w14:textId="77777777" w:rsidR="00122285" w:rsidRPr="00122285" w:rsidRDefault="00122285" w:rsidP="00122285">
      <w:pPr>
        <w:textAlignment w:val="baseline"/>
        <w:rPr>
          <w:rFonts w:eastAsia="Times New Roman" w:cs="Arial"/>
          <w:kern w:val="0"/>
          <w:lang w:eastAsia="en-GB"/>
          <w14:ligatures w14:val="none"/>
        </w:rPr>
      </w:pPr>
      <w:r w:rsidRPr="00122285">
        <w:rPr>
          <w:rFonts w:eastAsia="Times New Roman" w:cs="Arial"/>
          <w:kern w:val="0"/>
          <w:lang w:eastAsia="en-GB"/>
          <w14:ligatures w14:val="none"/>
        </w:rPr>
        <w:t>Although non-commissioned services:</w:t>
      </w:r>
    </w:p>
    <w:p w14:paraId="4227003F" w14:textId="77777777" w:rsidR="00122285" w:rsidRPr="00122285" w:rsidRDefault="00122285" w:rsidP="00122285">
      <w:pPr>
        <w:textAlignment w:val="baseline"/>
        <w:rPr>
          <w:rFonts w:eastAsia="Times New Roman" w:cs="Arial"/>
          <w:kern w:val="0"/>
          <w:lang w:eastAsia="en-GB"/>
          <w14:ligatures w14:val="none"/>
        </w:rPr>
      </w:pPr>
    </w:p>
    <w:p w14:paraId="6D4144F4" w14:textId="77777777" w:rsidR="00122285" w:rsidRPr="00122285" w:rsidRDefault="00122285" w:rsidP="00B76905">
      <w:pPr>
        <w:numPr>
          <w:ilvl w:val="0"/>
          <w:numId w:val="147"/>
        </w:numPr>
        <w:textAlignment w:val="baseline"/>
        <w:rPr>
          <w:rFonts w:eastAsia="Times New Roman" w:cs="Arial"/>
          <w:kern w:val="0"/>
          <w:lang w:eastAsia="en-GB"/>
          <w14:ligatures w14:val="none"/>
        </w:rPr>
      </w:pPr>
      <w:r w:rsidRPr="00122285">
        <w:rPr>
          <w:rFonts w:eastAsia="Times New Roman" w:cs="Arial"/>
          <w:kern w:val="0"/>
          <w:lang w:eastAsia="en-GB"/>
          <w14:ligatures w14:val="none"/>
        </w:rPr>
        <w:t>all eight pharmacies collect prescriptions from GP practices, and</w:t>
      </w:r>
    </w:p>
    <w:p w14:paraId="7BFF3D32" w14:textId="77777777" w:rsidR="00122285" w:rsidRPr="00122285" w:rsidRDefault="00122285" w:rsidP="00B76905">
      <w:pPr>
        <w:numPr>
          <w:ilvl w:val="0"/>
          <w:numId w:val="147"/>
        </w:numPr>
        <w:textAlignment w:val="baseline"/>
        <w:rPr>
          <w:rFonts w:eastAsia="Times New Roman" w:cs="Arial"/>
          <w:kern w:val="0"/>
          <w:lang w:eastAsia="en-GB"/>
          <w14:ligatures w14:val="none"/>
        </w:rPr>
      </w:pPr>
      <w:r w:rsidRPr="00122285">
        <w:rPr>
          <w:rFonts w:eastAsia="Times New Roman" w:cs="Arial"/>
          <w:kern w:val="0"/>
          <w:lang w:eastAsia="en-GB"/>
          <w14:ligatures w14:val="none"/>
        </w:rPr>
        <w:t>seven provide a free of charge delivery service on request and one provides it for a fee. Two pharmacies stated that they are reviewing whether they will continue to provide this service for free.</w:t>
      </w:r>
    </w:p>
    <w:p w14:paraId="09DBB169" w14:textId="77777777" w:rsidR="00122285" w:rsidRPr="00122285" w:rsidRDefault="00122285" w:rsidP="00122285">
      <w:pPr>
        <w:rPr>
          <w:rFonts w:eastAsia="Times New Roman" w:cs="Arial"/>
          <w:kern w:val="0"/>
          <w:lang w:eastAsia="en-GB"/>
          <w14:ligatures w14:val="none"/>
        </w:rPr>
      </w:pPr>
    </w:p>
    <w:p w14:paraId="4C31C191"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Seven of the pharmacies have sufficient capacity within their premises to manage an increase in demand, and one doesn’t but could make adjustments.</w:t>
      </w:r>
    </w:p>
    <w:p w14:paraId="2BDBA8E6" w14:textId="77777777" w:rsidR="00122285" w:rsidRPr="00122285" w:rsidRDefault="00122285" w:rsidP="00122285">
      <w:pPr>
        <w:rPr>
          <w:rFonts w:eastAsia="Times New Roman" w:cs="Arial"/>
          <w:kern w:val="0"/>
          <w:lang w:eastAsia="en-GB"/>
          <w14:ligatures w14:val="none"/>
        </w:rPr>
      </w:pPr>
    </w:p>
    <w:p w14:paraId="24EB5580"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lastRenderedPageBreak/>
        <w:t>Five pharmacies have sufficient capacity within their staffing levels to manage an increase in demand, and two don’t but could make adjustments. One pharmacy didn’t answer this question.</w:t>
      </w:r>
    </w:p>
    <w:p w14:paraId="733BD016" w14:textId="77777777" w:rsidR="00122285" w:rsidRPr="00122285" w:rsidRDefault="00122285" w:rsidP="00122285">
      <w:pPr>
        <w:rPr>
          <w:rFonts w:eastAsia="Times New Roman" w:cs="Arial"/>
          <w:kern w:val="0"/>
          <w:lang w:eastAsia="en-GB"/>
          <w14:ligatures w14:val="none"/>
        </w:rPr>
      </w:pPr>
    </w:p>
    <w:p w14:paraId="58AACBDC"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Four pharmacies have plans to develop or expand their premises or service provision.</w:t>
      </w:r>
    </w:p>
    <w:p w14:paraId="2B5B981B" w14:textId="77777777" w:rsidR="00122285" w:rsidRPr="00122285" w:rsidRDefault="00122285" w:rsidP="00122285">
      <w:pPr>
        <w:rPr>
          <w:rFonts w:eastAsia="Times New Roman" w:cs="Arial"/>
          <w:kern w:val="0"/>
          <w:lang w:eastAsia="en-GB"/>
          <w14:ligatures w14:val="none"/>
        </w:rPr>
      </w:pPr>
    </w:p>
    <w:p w14:paraId="73E70DD6" w14:textId="77777777" w:rsidR="00122285" w:rsidRPr="00122285" w:rsidRDefault="00122285" w:rsidP="00B76905">
      <w:pPr>
        <w:numPr>
          <w:ilvl w:val="0"/>
          <w:numId w:val="148"/>
        </w:numPr>
        <w:contextualSpacing/>
        <w:rPr>
          <w:rFonts w:eastAsia="Times New Roman" w:cs="Arial"/>
          <w:kern w:val="0"/>
          <w:lang w:eastAsia="en-GB"/>
          <w14:ligatures w14:val="none"/>
        </w:rPr>
      </w:pPr>
      <w:r w:rsidRPr="00122285">
        <w:rPr>
          <w:rFonts w:eastAsia="Times New Roman" w:cs="Arial"/>
          <w:kern w:val="0"/>
          <w:lang w:eastAsia="en-GB"/>
          <w14:ligatures w14:val="none"/>
        </w:rPr>
        <w:t>One pharmacy would like to develop the back room with the use of technology and more staff to be able to dispense more items. Also, freeing up the current dispensing area for more consultation rooms.</w:t>
      </w:r>
    </w:p>
    <w:p w14:paraId="020AB645" w14:textId="77777777" w:rsidR="00122285" w:rsidRPr="00122285" w:rsidRDefault="00122285" w:rsidP="00B76905">
      <w:pPr>
        <w:numPr>
          <w:ilvl w:val="0"/>
          <w:numId w:val="148"/>
        </w:numPr>
        <w:contextualSpacing/>
        <w:rPr>
          <w:rFonts w:eastAsia="Times New Roman" w:cs="Arial"/>
          <w:kern w:val="0"/>
          <w:lang w:eastAsia="en-GB"/>
          <w14:ligatures w14:val="none"/>
        </w:rPr>
      </w:pPr>
      <w:r w:rsidRPr="00122285">
        <w:rPr>
          <w:rFonts w:eastAsia="Times New Roman" w:cs="Arial"/>
          <w:kern w:val="0"/>
          <w:lang w:eastAsia="en-GB"/>
          <w14:ligatures w14:val="none"/>
        </w:rPr>
        <w:t>One pharmacy plans to relaunch the pharmacist independent prescribing service following the appointment of a new pharmacy. To support this, it will be raising customer awareness of the service.</w:t>
      </w:r>
    </w:p>
    <w:p w14:paraId="6FFF1B5A" w14:textId="77777777" w:rsidR="00122285" w:rsidRPr="00122285" w:rsidRDefault="00122285" w:rsidP="00B76905">
      <w:pPr>
        <w:numPr>
          <w:ilvl w:val="0"/>
          <w:numId w:val="148"/>
        </w:numPr>
        <w:contextualSpacing/>
        <w:rPr>
          <w:rFonts w:eastAsia="Times New Roman" w:cs="Arial"/>
          <w:kern w:val="0"/>
          <w:lang w:eastAsia="en-GB"/>
          <w14:ligatures w14:val="none"/>
        </w:rPr>
      </w:pPr>
      <w:r w:rsidRPr="00122285">
        <w:rPr>
          <w:rFonts w:eastAsia="Times New Roman" w:cs="Arial"/>
          <w:kern w:val="0"/>
          <w:lang w:eastAsia="en-GB"/>
          <w14:ligatures w14:val="none"/>
        </w:rPr>
        <w:t>Another pharmacy has a pharmacist completing the independent prescribing training.</w:t>
      </w:r>
    </w:p>
    <w:p w14:paraId="28C944EF" w14:textId="77777777" w:rsidR="00122285" w:rsidRPr="00122285" w:rsidRDefault="00122285" w:rsidP="00B76905">
      <w:pPr>
        <w:numPr>
          <w:ilvl w:val="0"/>
          <w:numId w:val="148"/>
        </w:numPr>
        <w:contextualSpacing/>
        <w:rPr>
          <w:rFonts w:eastAsia="Times New Roman" w:cs="Arial"/>
          <w:kern w:val="0"/>
          <w:lang w:eastAsia="en-GB"/>
          <w14:ligatures w14:val="none"/>
        </w:rPr>
      </w:pPr>
      <w:r w:rsidRPr="00122285">
        <w:rPr>
          <w:rFonts w:eastAsia="Times New Roman" w:cs="Arial"/>
          <w:kern w:val="0"/>
          <w:lang w:eastAsia="en-GB"/>
          <w14:ligatures w14:val="none"/>
        </w:rPr>
        <w:t>One plans to offer a private travel service.</w:t>
      </w:r>
    </w:p>
    <w:p w14:paraId="4C664B55"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 </w:t>
      </w:r>
    </w:p>
    <w:p w14:paraId="0B64D2CD"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One pharmacy would like to offer an out of hours satellite clinic as it is located in area of high out of hours service usage.</w:t>
      </w:r>
    </w:p>
    <w:p w14:paraId="35F7AA8F" w14:textId="77777777" w:rsidR="00122285" w:rsidRPr="00122285" w:rsidRDefault="00122285" w:rsidP="00122285">
      <w:pPr>
        <w:rPr>
          <w:rFonts w:eastAsia="Aptos" w:cs="Arial"/>
        </w:rPr>
      </w:pPr>
    </w:p>
    <w:p w14:paraId="7957109B" w14:textId="77777777" w:rsidR="00122285" w:rsidRPr="00122285" w:rsidRDefault="00122285" w:rsidP="00122285">
      <w:pPr>
        <w:contextualSpacing/>
        <w:rPr>
          <w:rFonts w:eastAsia="Times New Roman" w:cs="Arial"/>
          <w:b/>
          <w:bCs/>
          <w:kern w:val="0"/>
          <w:lang w:eastAsia="en-GB"/>
          <w14:ligatures w14:val="none"/>
        </w:rPr>
      </w:pPr>
      <w:r w:rsidRPr="00122285">
        <w:rPr>
          <w:rFonts w:eastAsia="Times New Roman" w:cs="Arial"/>
          <w:b/>
          <w:bCs/>
          <w:kern w:val="0"/>
          <w:lang w:eastAsia="en-GB"/>
          <w14:ligatures w14:val="none"/>
        </w:rPr>
        <w:t>12.3.1 National community pharmacy and appliance contractor services</w:t>
      </w:r>
    </w:p>
    <w:p w14:paraId="1C24F04A" w14:textId="77777777" w:rsidR="00122285" w:rsidRPr="00122285" w:rsidRDefault="00122285" w:rsidP="00122285">
      <w:pPr>
        <w:rPr>
          <w:rFonts w:eastAsia="Times New Roman" w:cs="Arial"/>
          <w:kern w:val="0"/>
          <w:lang w:eastAsia="en-GB"/>
          <w14:ligatures w14:val="none"/>
        </w:rPr>
      </w:pPr>
    </w:p>
    <w:p w14:paraId="5023029A"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12.3.1.1 Appliance use review service</w:t>
      </w:r>
    </w:p>
    <w:p w14:paraId="6A279EDE" w14:textId="77777777" w:rsidR="00122285" w:rsidRPr="00122285" w:rsidRDefault="00122285" w:rsidP="00122285">
      <w:pPr>
        <w:rPr>
          <w:rFonts w:eastAsia="Times New Roman" w:cs="Arial"/>
          <w:b/>
          <w:bCs/>
          <w:kern w:val="0"/>
          <w:lang w:eastAsia="en-GB"/>
          <w14:ligatures w14:val="none"/>
        </w:rPr>
      </w:pPr>
    </w:p>
    <w:p w14:paraId="0D068B16"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None of the pharmacies provide this service</w:t>
      </w:r>
    </w:p>
    <w:p w14:paraId="46AFB647" w14:textId="77777777" w:rsidR="00D7495C" w:rsidRPr="00122285" w:rsidRDefault="00D7495C" w:rsidP="00122285">
      <w:pPr>
        <w:rPr>
          <w:rFonts w:eastAsia="Times New Roman" w:cs="Arial"/>
          <w:kern w:val="0"/>
          <w:lang w:eastAsia="en-GB"/>
          <w14:ligatures w14:val="none"/>
        </w:rPr>
      </w:pPr>
    </w:p>
    <w:p w14:paraId="123A4266"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12.3.1.2 Clinical community pharmacy service</w:t>
      </w:r>
    </w:p>
    <w:p w14:paraId="60120BE2" w14:textId="77777777" w:rsidR="00122285" w:rsidRPr="00122285" w:rsidRDefault="00122285" w:rsidP="00122285">
      <w:pPr>
        <w:rPr>
          <w:rFonts w:eastAsia="Times New Roman" w:cs="Arial"/>
          <w:kern w:val="0"/>
          <w:lang w:eastAsia="en-GB"/>
          <w14:ligatures w14:val="none"/>
        </w:rPr>
      </w:pPr>
    </w:p>
    <w:p w14:paraId="2F5ECC39"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All the pharmacies have signed up and provide this service.</w:t>
      </w:r>
    </w:p>
    <w:p w14:paraId="62CD687E" w14:textId="77777777" w:rsidR="00122285" w:rsidRPr="00122285" w:rsidRDefault="00122285" w:rsidP="00122285">
      <w:pPr>
        <w:rPr>
          <w:rFonts w:eastAsia="Times New Roman" w:cs="Arial"/>
          <w:kern w:val="0"/>
          <w:lang w:eastAsia="en-GB"/>
          <w14:ligatures w14:val="none"/>
        </w:rPr>
      </w:pPr>
    </w:p>
    <w:p w14:paraId="7D2E960B" w14:textId="77777777" w:rsidR="00122285" w:rsidRPr="00122285" w:rsidRDefault="00122285" w:rsidP="00122285">
      <w:pPr>
        <w:contextualSpacing/>
        <w:rPr>
          <w:rFonts w:eastAsia="Times New Roman" w:cs="Arial"/>
          <w:kern w:val="0"/>
          <w:lang w:eastAsia="en-GB"/>
          <w14:ligatures w14:val="none"/>
        </w:rPr>
      </w:pPr>
      <w:r w:rsidRPr="00122285">
        <w:rPr>
          <w:rFonts w:eastAsia="Times New Roman" w:cs="Arial"/>
          <w:kern w:val="0"/>
          <w:lang w:eastAsia="en-GB"/>
          <w14:ligatures w14:val="none"/>
        </w:rPr>
        <w:t>In 2024/25 the pharmacies provided:</w:t>
      </w:r>
    </w:p>
    <w:p w14:paraId="7F3F0FE4" w14:textId="77777777" w:rsidR="00122285" w:rsidRPr="00122285" w:rsidRDefault="00122285" w:rsidP="00122285">
      <w:pPr>
        <w:contextualSpacing/>
        <w:rPr>
          <w:rFonts w:eastAsia="Times New Roman" w:cs="Arial"/>
          <w:kern w:val="0"/>
          <w:lang w:eastAsia="en-GB"/>
          <w14:ligatures w14:val="none"/>
        </w:rPr>
      </w:pPr>
    </w:p>
    <w:p w14:paraId="31518D3F" w14:textId="77777777" w:rsidR="00122285" w:rsidRPr="00122285" w:rsidRDefault="00122285" w:rsidP="00B76905">
      <w:pPr>
        <w:numPr>
          <w:ilvl w:val="0"/>
          <w:numId w:val="149"/>
        </w:numPr>
        <w:contextualSpacing/>
        <w:rPr>
          <w:rFonts w:eastAsia="Times New Roman" w:cs="Arial"/>
          <w:kern w:val="0"/>
          <w:lang w:eastAsia="en-GB"/>
          <w14:ligatures w14:val="none"/>
        </w:rPr>
      </w:pPr>
      <w:r w:rsidRPr="00122285">
        <w:rPr>
          <w:rFonts w:eastAsia="Times New Roman" w:cs="Arial"/>
          <w:kern w:val="0"/>
          <w:lang w:eastAsia="en-GB"/>
          <w14:ligatures w14:val="none"/>
        </w:rPr>
        <w:t>7,675 consultations for common ailment consultations (range at pharmacy level 365 to 1,544)</w:t>
      </w:r>
    </w:p>
    <w:p w14:paraId="20A487A0" w14:textId="77777777" w:rsidR="00122285" w:rsidRPr="00122285" w:rsidRDefault="00122285" w:rsidP="00B76905">
      <w:pPr>
        <w:numPr>
          <w:ilvl w:val="0"/>
          <w:numId w:val="149"/>
        </w:numPr>
        <w:contextualSpacing/>
        <w:rPr>
          <w:rFonts w:eastAsia="Times New Roman" w:cs="Arial"/>
          <w:kern w:val="0"/>
          <w:lang w:eastAsia="en-GB"/>
          <w14:ligatures w14:val="none"/>
        </w:rPr>
      </w:pPr>
      <w:r w:rsidRPr="00122285">
        <w:rPr>
          <w:rFonts w:eastAsia="Times New Roman" w:cs="Arial"/>
          <w:kern w:val="0"/>
          <w:lang w:eastAsia="en-GB"/>
          <w14:ligatures w14:val="none"/>
        </w:rPr>
        <w:t>1,142 consultations for sore throat test and treat consultations (range at pharmacy level 49 to 471)</w:t>
      </w:r>
    </w:p>
    <w:p w14:paraId="62F3C184" w14:textId="77777777" w:rsidR="00122285" w:rsidRPr="00122285" w:rsidRDefault="00122285" w:rsidP="00B76905">
      <w:pPr>
        <w:numPr>
          <w:ilvl w:val="0"/>
          <w:numId w:val="149"/>
        </w:numPr>
        <w:contextualSpacing/>
        <w:rPr>
          <w:rFonts w:eastAsia="Times New Roman" w:cs="Arial"/>
          <w:kern w:val="0"/>
          <w:lang w:eastAsia="en-GB"/>
          <w14:ligatures w14:val="none"/>
        </w:rPr>
      </w:pPr>
      <w:r w:rsidRPr="00122285">
        <w:rPr>
          <w:rFonts w:eastAsia="Times New Roman" w:cs="Arial"/>
          <w:kern w:val="0"/>
          <w:lang w:eastAsia="en-GB"/>
          <w14:ligatures w14:val="none"/>
        </w:rPr>
        <w:t>1,031 consultations for emergency contraception consultations (range at pharmacy level 24 to 529)</w:t>
      </w:r>
    </w:p>
    <w:p w14:paraId="3C53CE3A" w14:textId="77777777" w:rsidR="00122285" w:rsidRPr="00122285" w:rsidRDefault="00122285" w:rsidP="00B76905">
      <w:pPr>
        <w:numPr>
          <w:ilvl w:val="0"/>
          <w:numId w:val="149"/>
        </w:numPr>
        <w:contextualSpacing/>
        <w:rPr>
          <w:rFonts w:eastAsia="Times New Roman" w:cs="Arial"/>
          <w:kern w:val="0"/>
          <w:lang w:eastAsia="en-GB"/>
          <w14:ligatures w14:val="none"/>
        </w:rPr>
      </w:pPr>
      <w:r w:rsidRPr="00122285">
        <w:rPr>
          <w:rFonts w:eastAsia="Times New Roman" w:cs="Arial"/>
          <w:kern w:val="0"/>
          <w:lang w:eastAsia="en-GB"/>
          <w14:ligatures w14:val="none"/>
        </w:rPr>
        <w:t>1,902 emergency medicines supplies (range at pharmacy level six to 549)</w:t>
      </w:r>
    </w:p>
    <w:p w14:paraId="761B68C6" w14:textId="77777777" w:rsidR="00122285" w:rsidRPr="00122285" w:rsidRDefault="00122285" w:rsidP="00122285">
      <w:pPr>
        <w:contextualSpacing/>
        <w:rPr>
          <w:rFonts w:eastAsia="Times New Roman" w:cs="Arial"/>
          <w:kern w:val="0"/>
          <w:lang w:eastAsia="en-GB"/>
          <w14:ligatures w14:val="none"/>
        </w:rPr>
      </w:pPr>
    </w:p>
    <w:p w14:paraId="148F6EBD" w14:textId="77777777" w:rsidR="00122285" w:rsidRPr="00122285" w:rsidRDefault="00122285" w:rsidP="00122285">
      <w:pPr>
        <w:contextualSpacing/>
        <w:rPr>
          <w:rFonts w:eastAsia="Times New Roman" w:cs="Arial"/>
          <w:kern w:val="0"/>
          <w:lang w:eastAsia="en-GB"/>
          <w14:ligatures w14:val="none"/>
        </w:rPr>
      </w:pPr>
      <w:r w:rsidRPr="00122285">
        <w:rPr>
          <w:rFonts w:eastAsia="Times New Roman" w:cs="Arial"/>
          <w:kern w:val="0"/>
          <w:lang w:eastAsia="en-GB"/>
          <w14:ligatures w14:val="none"/>
        </w:rPr>
        <w:t>In the first six months of 2025/26 the pharmacies provided:</w:t>
      </w:r>
    </w:p>
    <w:p w14:paraId="5D981769" w14:textId="77777777" w:rsidR="00122285" w:rsidRPr="00122285" w:rsidRDefault="00122285" w:rsidP="00122285">
      <w:pPr>
        <w:contextualSpacing/>
        <w:rPr>
          <w:rFonts w:eastAsia="Times New Roman" w:cs="Arial"/>
          <w:kern w:val="0"/>
          <w:lang w:eastAsia="en-GB"/>
          <w14:ligatures w14:val="none"/>
        </w:rPr>
      </w:pPr>
    </w:p>
    <w:p w14:paraId="2EC6ED50" w14:textId="77777777" w:rsidR="00122285" w:rsidRPr="00122285" w:rsidRDefault="00122285" w:rsidP="00B76905">
      <w:pPr>
        <w:numPr>
          <w:ilvl w:val="0"/>
          <w:numId w:val="149"/>
        </w:numPr>
        <w:contextualSpacing/>
        <w:rPr>
          <w:rFonts w:eastAsia="Times New Roman" w:cs="Arial"/>
          <w:kern w:val="0"/>
          <w:lang w:eastAsia="en-GB"/>
          <w14:ligatures w14:val="none"/>
        </w:rPr>
      </w:pPr>
      <w:r w:rsidRPr="00122285">
        <w:rPr>
          <w:rFonts w:eastAsia="Times New Roman" w:cs="Arial"/>
          <w:kern w:val="0"/>
          <w:lang w:eastAsia="en-GB"/>
          <w14:ligatures w14:val="none"/>
        </w:rPr>
        <w:t>4,042 consultations for common ailment consultations (range at pharmacy level 180 to 675)</w:t>
      </w:r>
    </w:p>
    <w:p w14:paraId="208AEB8F" w14:textId="77777777" w:rsidR="00122285" w:rsidRPr="00122285" w:rsidRDefault="00122285" w:rsidP="00B76905">
      <w:pPr>
        <w:numPr>
          <w:ilvl w:val="0"/>
          <w:numId w:val="149"/>
        </w:numPr>
        <w:contextualSpacing/>
        <w:rPr>
          <w:rFonts w:eastAsia="Times New Roman" w:cs="Arial"/>
          <w:kern w:val="0"/>
          <w:lang w:eastAsia="en-GB"/>
          <w14:ligatures w14:val="none"/>
        </w:rPr>
      </w:pPr>
      <w:r w:rsidRPr="00122285">
        <w:rPr>
          <w:rFonts w:eastAsia="Times New Roman" w:cs="Arial"/>
          <w:kern w:val="0"/>
          <w:lang w:eastAsia="en-GB"/>
          <w14:ligatures w14:val="none"/>
        </w:rPr>
        <w:t>480 consultations for sore throat test and treat consultations (range at pharmacy level 18 to 116)</w:t>
      </w:r>
    </w:p>
    <w:p w14:paraId="0C7B8A18" w14:textId="77777777" w:rsidR="00122285" w:rsidRPr="00122285" w:rsidRDefault="00122285" w:rsidP="00B76905">
      <w:pPr>
        <w:numPr>
          <w:ilvl w:val="0"/>
          <w:numId w:val="149"/>
        </w:numPr>
        <w:contextualSpacing/>
        <w:rPr>
          <w:rFonts w:eastAsia="Times New Roman" w:cs="Arial"/>
          <w:kern w:val="0"/>
          <w:lang w:eastAsia="en-GB"/>
          <w14:ligatures w14:val="none"/>
        </w:rPr>
      </w:pPr>
      <w:r w:rsidRPr="00122285">
        <w:rPr>
          <w:rFonts w:eastAsia="Times New Roman" w:cs="Arial"/>
          <w:kern w:val="0"/>
          <w:lang w:eastAsia="en-GB"/>
          <w14:ligatures w14:val="none"/>
        </w:rPr>
        <w:t>503 consultations for emergency contraception consultations (range at pharmacy level ten to 249)</w:t>
      </w:r>
    </w:p>
    <w:p w14:paraId="7A6D7695" w14:textId="77777777" w:rsidR="00122285" w:rsidRPr="00122285" w:rsidRDefault="00122285" w:rsidP="00B76905">
      <w:pPr>
        <w:numPr>
          <w:ilvl w:val="0"/>
          <w:numId w:val="149"/>
        </w:numPr>
        <w:contextualSpacing/>
        <w:rPr>
          <w:rFonts w:eastAsia="Times New Roman" w:cs="Arial"/>
          <w:kern w:val="0"/>
          <w:lang w:eastAsia="en-GB"/>
          <w14:ligatures w14:val="none"/>
        </w:rPr>
      </w:pPr>
      <w:r w:rsidRPr="00122285">
        <w:rPr>
          <w:rFonts w:eastAsia="Times New Roman" w:cs="Arial"/>
          <w:kern w:val="0"/>
          <w:lang w:eastAsia="en-GB"/>
          <w14:ligatures w14:val="none"/>
        </w:rPr>
        <w:t>710 emergency medicines supplies (range at pharmacy level five to 232)</w:t>
      </w:r>
    </w:p>
    <w:p w14:paraId="546B375A" w14:textId="77777777" w:rsidR="00122285" w:rsidRPr="00122285" w:rsidRDefault="00122285" w:rsidP="00122285">
      <w:pPr>
        <w:rPr>
          <w:rFonts w:eastAsia="Times New Roman" w:cs="Arial"/>
          <w:kern w:val="0"/>
          <w:lang w:eastAsia="en-GB"/>
          <w14:ligatures w14:val="none"/>
        </w:rPr>
      </w:pPr>
    </w:p>
    <w:p w14:paraId="30375009"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 xml:space="preserve">12.3.1.3 Discharge medicines review service </w:t>
      </w:r>
    </w:p>
    <w:p w14:paraId="55064907" w14:textId="77777777" w:rsidR="00122285" w:rsidRPr="00122285" w:rsidRDefault="00122285" w:rsidP="00122285">
      <w:pPr>
        <w:rPr>
          <w:rFonts w:eastAsia="Times New Roman" w:cs="Arial"/>
          <w:kern w:val="0"/>
          <w:lang w:eastAsia="en-GB"/>
          <w14:ligatures w14:val="none"/>
        </w:rPr>
      </w:pPr>
    </w:p>
    <w:p w14:paraId="6D2C70A0"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All the pharmacies have signed up to provide this service. </w:t>
      </w:r>
    </w:p>
    <w:p w14:paraId="5CE99738" w14:textId="77777777" w:rsidR="00122285" w:rsidRPr="00122285" w:rsidRDefault="00122285" w:rsidP="00122285">
      <w:pPr>
        <w:rPr>
          <w:rFonts w:eastAsia="Times New Roman" w:cs="Arial"/>
          <w:kern w:val="0"/>
          <w:lang w:eastAsia="en-GB"/>
          <w14:ligatures w14:val="none"/>
        </w:rPr>
      </w:pPr>
    </w:p>
    <w:p w14:paraId="085B2B2B"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Seven pharmacies provided this service in 2024/25, providing a total of 265 reviews (range at pharmacy level three to 142). Seven pharmacies provided this service in the first ten months of 2025/26, providing a total of 228 reviews (range at pharmacy level six to 129) </w:t>
      </w:r>
    </w:p>
    <w:p w14:paraId="2C93D2B6" w14:textId="77777777" w:rsidR="00122285" w:rsidRPr="00122285" w:rsidRDefault="00122285" w:rsidP="00122285">
      <w:pPr>
        <w:ind w:left="720"/>
        <w:contextualSpacing/>
        <w:rPr>
          <w:rFonts w:eastAsia="Times New Roman" w:cs="Arial"/>
          <w:kern w:val="0"/>
          <w:lang w:eastAsia="en-GB"/>
          <w14:ligatures w14:val="none"/>
        </w:rPr>
      </w:pPr>
    </w:p>
    <w:p w14:paraId="3E074B89"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12.3.1.4 Influenza vaccination service</w:t>
      </w:r>
    </w:p>
    <w:p w14:paraId="38E9A22F" w14:textId="77777777" w:rsidR="00122285" w:rsidRPr="00122285" w:rsidRDefault="00122285" w:rsidP="00122285">
      <w:pPr>
        <w:rPr>
          <w:rFonts w:eastAsia="Times New Roman" w:cs="Arial"/>
          <w:kern w:val="0"/>
          <w:lang w:eastAsia="en-GB"/>
          <w14:ligatures w14:val="none"/>
        </w:rPr>
      </w:pPr>
    </w:p>
    <w:p w14:paraId="75FFAFA0"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All the pharmacies have signed up to provide this service. </w:t>
      </w:r>
    </w:p>
    <w:p w14:paraId="6D01830F" w14:textId="77777777" w:rsidR="00122285" w:rsidRPr="00122285" w:rsidRDefault="00122285" w:rsidP="00122285">
      <w:pPr>
        <w:rPr>
          <w:rFonts w:eastAsia="Times New Roman" w:cs="Arial"/>
          <w:b/>
          <w:bCs/>
          <w:kern w:val="0"/>
          <w:lang w:eastAsia="en-GB"/>
          <w14:ligatures w14:val="none"/>
        </w:rPr>
      </w:pPr>
    </w:p>
    <w:p w14:paraId="6E0DD30D"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Eight pharmacies provided this service in 2024/25, providing a total of 1,659 vaccinations (range at pharmacy level 30 to 823). All pharmacies provided this service in 2025/26, providing a total of 519 vaccinations (range at pharmacy level eight to 229). </w:t>
      </w:r>
    </w:p>
    <w:p w14:paraId="23669CA0" w14:textId="77777777" w:rsidR="00122285" w:rsidRPr="00122285" w:rsidRDefault="00122285" w:rsidP="00122285">
      <w:pPr>
        <w:rPr>
          <w:rFonts w:eastAsia="Times New Roman" w:cs="Arial"/>
          <w:b/>
          <w:bCs/>
          <w:kern w:val="0"/>
          <w:lang w:eastAsia="en-GB"/>
          <w14:ligatures w14:val="none"/>
        </w:rPr>
      </w:pPr>
    </w:p>
    <w:p w14:paraId="32936631"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12.3.1.5 Lateral flow test supply service</w:t>
      </w:r>
    </w:p>
    <w:p w14:paraId="5BC424E4" w14:textId="77777777" w:rsidR="00122285" w:rsidRPr="00122285" w:rsidRDefault="00122285" w:rsidP="00122285">
      <w:pPr>
        <w:rPr>
          <w:rFonts w:eastAsia="Times New Roman" w:cs="Arial"/>
          <w:kern w:val="0"/>
          <w:lang w:eastAsia="en-GB"/>
          <w14:ligatures w14:val="none"/>
        </w:rPr>
      </w:pPr>
    </w:p>
    <w:p w14:paraId="0EC8166C"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Eight of the pharmacies have signed up to provide this service. </w:t>
      </w:r>
    </w:p>
    <w:p w14:paraId="2D10EDAD" w14:textId="77777777" w:rsidR="00122285" w:rsidRPr="00122285" w:rsidRDefault="00122285" w:rsidP="00122285">
      <w:pPr>
        <w:rPr>
          <w:rFonts w:eastAsia="Times New Roman" w:cs="Arial"/>
          <w:kern w:val="0"/>
          <w:lang w:eastAsia="en-GB"/>
          <w14:ligatures w14:val="none"/>
        </w:rPr>
      </w:pPr>
    </w:p>
    <w:p w14:paraId="7D7AC16A"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Five pharmacies provided this service in 2024/25, supplying 47 kits (range at pharmacy level six to 19). Four pharmacies provided this service in the first seven months of 2025/26, providing six kits (range at pharmacy level one to three). </w:t>
      </w:r>
    </w:p>
    <w:p w14:paraId="695AE8DB" w14:textId="77777777" w:rsidR="00122285" w:rsidRPr="00122285" w:rsidRDefault="00122285" w:rsidP="00122285">
      <w:pPr>
        <w:ind w:left="720"/>
        <w:contextualSpacing/>
        <w:rPr>
          <w:rFonts w:eastAsia="Times New Roman" w:cs="Arial"/>
          <w:kern w:val="0"/>
          <w:lang w:eastAsia="en-GB"/>
          <w14:ligatures w14:val="none"/>
        </w:rPr>
      </w:pPr>
    </w:p>
    <w:p w14:paraId="5FA40262"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12.3.1.6 Pharmacist independent prescribing service</w:t>
      </w:r>
    </w:p>
    <w:p w14:paraId="31FC47DD" w14:textId="77777777" w:rsidR="00122285" w:rsidRPr="00122285" w:rsidRDefault="00122285" w:rsidP="00122285">
      <w:pPr>
        <w:rPr>
          <w:rFonts w:eastAsia="Times New Roman" w:cs="Arial"/>
          <w:kern w:val="0"/>
          <w:lang w:eastAsia="en-GB"/>
          <w14:ligatures w14:val="none"/>
        </w:rPr>
      </w:pPr>
    </w:p>
    <w:p w14:paraId="365DB018"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Five of the pharmacies have signed up to provide this service. </w:t>
      </w:r>
    </w:p>
    <w:p w14:paraId="43395525" w14:textId="77777777" w:rsidR="00122285" w:rsidRPr="00122285" w:rsidRDefault="00122285" w:rsidP="00122285">
      <w:pPr>
        <w:rPr>
          <w:rFonts w:eastAsia="Times New Roman" w:cs="Arial"/>
          <w:kern w:val="0"/>
          <w:lang w:eastAsia="en-GB"/>
          <w14:ligatures w14:val="none"/>
        </w:rPr>
      </w:pPr>
    </w:p>
    <w:p w14:paraId="098450C6"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Four pharmacies provided this service in 2024/25, providing a total of 1,028 consultations (pharmacy range 165 to 386). Four pharmacies provided this service in the first six months of 2025/26, providing a total of 626 consultations, (range at pharmacy level 107 to 215). </w:t>
      </w:r>
    </w:p>
    <w:p w14:paraId="341B77B9" w14:textId="77777777" w:rsidR="00122285" w:rsidRPr="00122285" w:rsidRDefault="00122285" w:rsidP="00122285">
      <w:pPr>
        <w:rPr>
          <w:rFonts w:eastAsia="Times New Roman" w:cs="Arial"/>
          <w:kern w:val="0"/>
          <w:lang w:eastAsia="en-GB"/>
          <w14:ligatures w14:val="none"/>
        </w:rPr>
      </w:pPr>
    </w:p>
    <w:p w14:paraId="1CCCCC1A"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12.3.1.7 Stoma customisation service</w:t>
      </w:r>
    </w:p>
    <w:p w14:paraId="77BEB764" w14:textId="77777777" w:rsidR="00122285" w:rsidRPr="00122285" w:rsidRDefault="00122285" w:rsidP="00122285">
      <w:pPr>
        <w:rPr>
          <w:rFonts w:eastAsia="Times New Roman" w:cs="Arial"/>
          <w:kern w:val="0"/>
          <w:lang w:eastAsia="en-GB"/>
          <w14:ligatures w14:val="none"/>
        </w:rPr>
      </w:pPr>
    </w:p>
    <w:p w14:paraId="6A8E6F23"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None of the pharmacies provide this service. </w:t>
      </w:r>
    </w:p>
    <w:p w14:paraId="754A7CA2" w14:textId="77777777" w:rsidR="00122285" w:rsidRPr="00122285" w:rsidRDefault="00122285" w:rsidP="00122285">
      <w:pPr>
        <w:rPr>
          <w:rFonts w:eastAsia="Times New Roman" w:cs="Arial"/>
          <w:kern w:val="0"/>
          <w:lang w:eastAsia="en-GB"/>
          <w14:ligatures w14:val="none"/>
        </w:rPr>
      </w:pPr>
    </w:p>
    <w:p w14:paraId="459C5AC5"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12.3.2 Additional clinical services</w:t>
      </w:r>
    </w:p>
    <w:p w14:paraId="1A532497" w14:textId="77777777" w:rsidR="00122285" w:rsidRPr="00122285" w:rsidRDefault="00122285" w:rsidP="00122285">
      <w:pPr>
        <w:rPr>
          <w:rFonts w:eastAsia="Times New Roman" w:cs="Arial"/>
          <w:kern w:val="0"/>
          <w:lang w:eastAsia="en-GB"/>
          <w14:ligatures w14:val="none"/>
        </w:rPr>
      </w:pPr>
    </w:p>
    <w:p w14:paraId="02AF735A"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12.3.2.1 Blood borne virus screening service</w:t>
      </w:r>
    </w:p>
    <w:p w14:paraId="1FE8E38B" w14:textId="77777777" w:rsidR="00122285" w:rsidRPr="00122285" w:rsidRDefault="00122285" w:rsidP="00122285">
      <w:pPr>
        <w:rPr>
          <w:rFonts w:eastAsia="Times New Roman" w:cs="Arial"/>
          <w:kern w:val="0"/>
          <w:lang w:eastAsia="en-GB"/>
          <w14:ligatures w14:val="none"/>
        </w:rPr>
      </w:pPr>
    </w:p>
    <w:p w14:paraId="446E068B"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Two of the pharmacies have signed up to provide this service. </w:t>
      </w:r>
    </w:p>
    <w:p w14:paraId="4BFDD212" w14:textId="77777777" w:rsidR="00122285" w:rsidRPr="00122285" w:rsidRDefault="00122285" w:rsidP="00122285">
      <w:pPr>
        <w:rPr>
          <w:rFonts w:eastAsia="Times New Roman" w:cs="Arial"/>
          <w:kern w:val="0"/>
          <w:lang w:eastAsia="en-GB"/>
          <w14:ligatures w14:val="none"/>
        </w:rPr>
      </w:pPr>
    </w:p>
    <w:p w14:paraId="6370D2A1"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12.3.2.2 Care home support service - Level 1 medicines management support visits</w:t>
      </w:r>
    </w:p>
    <w:p w14:paraId="7A4D5F60" w14:textId="77777777" w:rsidR="00122285" w:rsidRPr="00122285" w:rsidRDefault="00122285" w:rsidP="00122285">
      <w:pPr>
        <w:rPr>
          <w:rFonts w:eastAsia="Times New Roman" w:cs="Arial"/>
          <w:kern w:val="0"/>
          <w:lang w:eastAsia="en-GB"/>
          <w14:ligatures w14:val="none"/>
        </w:rPr>
      </w:pPr>
    </w:p>
    <w:p w14:paraId="0550CD81"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One of the pharmacies has signed up to provide this service. </w:t>
      </w:r>
    </w:p>
    <w:p w14:paraId="07E8896F" w14:textId="77777777" w:rsidR="00122285" w:rsidRPr="00122285" w:rsidRDefault="00122285" w:rsidP="00122285">
      <w:pPr>
        <w:rPr>
          <w:rFonts w:eastAsia="Times New Roman" w:cs="Arial"/>
          <w:kern w:val="0"/>
          <w:lang w:eastAsia="en-GB"/>
          <w14:ligatures w14:val="none"/>
        </w:rPr>
      </w:pPr>
    </w:p>
    <w:p w14:paraId="7EED2A4E"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One pharmacy provided the service in 2024/25, providing a total of one visit. No pharmacy provided this service in the first ten months of 2025/26. </w:t>
      </w:r>
    </w:p>
    <w:p w14:paraId="6B7D015F" w14:textId="77777777" w:rsidR="00122285" w:rsidRPr="00122285" w:rsidRDefault="00122285" w:rsidP="00122285">
      <w:pPr>
        <w:contextualSpacing/>
        <w:rPr>
          <w:rFonts w:eastAsia="Times New Roman" w:cs="Arial"/>
          <w:b/>
          <w:bCs/>
          <w:kern w:val="0"/>
          <w:lang w:eastAsia="en-GB"/>
          <w14:ligatures w14:val="none"/>
        </w:rPr>
      </w:pPr>
    </w:p>
    <w:p w14:paraId="35AA9046" w14:textId="77777777" w:rsidR="00122285" w:rsidRPr="00122285" w:rsidRDefault="00122285" w:rsidP="00122285">
      <w:pPr>
        <w:shd w:val="clear" w:color="auto" w:fill="FFFFFF"/>
        <w:rPr>
          <w:rFonts w:eastAsia="Times New Roman" w:cs="Arial"/>
          <w:b/>
          <w:bCs/>
          <w:kern w:val="0"/>
          <w:lang w:eastAsia="en-GB"/>
          <w14:ligatures w14:val="none"/>
        </w:rPr>
      </w:pPr>
      <w:r w:rsidRPr="00122285">
        <w:rPr>
          <w:rFonts w:eastAsia="Times New Roman" w:cs="Arial"/>
          <w:b/>
          <w:bCs/>
          <w:kern w:val="0"/>
          <w:lang w:eastAsia="en-GB"/>
          <w14:ligatures w14:val="none"/>
        </w:rPr>
        <w:t xml:space="preserve">12.3.2.3 Access to inhaler review service </w:t>
      </w:r>
    </w:p>
    <w:p w14:paraId="6B6DA385" w14:textId="77777777" w:rsidR="00122285" w:rsidRPr="00122285" w:rsidRDefault="00122285" w:rsidP="00122285">
      <w:pPr>
        <w:shd w:val="clear" w:color="auto" w:fill="FFFFFF"/>
        <w:rPr>
          <w:rFonts w:eastAsia="Times New Roman" w:cs="Arial"/>
          <w:b/>
          <w:bCs/>
          <w:kern w:val="0"/>
          <w:lang w:eastAsia="en-GB"/>
          <w14:ligatures w14:val="none"/>
        </w:rPr>
      </w:pPr>
    </w:p>
    <w:p w14:paraId="68271A34" w14:textId="77777777" w:rsidR="00122285" w:rsidRPr="00122285" w:rsidRDefault="00122285" w:rsidP="00122285">
      <w:pPr>
        <w:shd w:val="clear" w:color="auto" w:fill="FFFFFF"/>
        <w:rPr>
          <w:rFonts w:eastAsia="Times New Roman" w:cs="Arial"/>
          <w:kern w:val="0"/>
          <w:lang w:eastAsia="en-GB"/>
          <w14:ligatures w14:val="none"/>
        </w:rPr>
      </w:pPr>
      <w:r w:rsidRPr="00122285">
        <w:rPr>
          <w:rFonts w:eastAsia="Times New Roman" w:cs="Arial"/>
          <w:kern w:val="0"/>
          <w:lang w:eastAsia="en-GB"/>
          <w14:ligatures w14:val="none"/>
        </w:rPr>
        <w:t>Five of the pharmacies have signed up to provide this service.</w:t>
      </w:r>
    </w:p>
    <w:p w14:paraId="3F252484" w14:textId="77777777" w:rsidR="00122285" w:rsidRPr="00122285" w:rsidRDefault="00122285" w:rsidP="00122285">
      <w:pPr>
        <w:rPr>
          <w:rFonts w:eastAsia="Times New Roman" w:cs="Arial"/>
          <w:b/>
          <w:bCs/>
          <w:kern w:val="0"/>
          <w:lang w:eastAsia="en-GB"/>
          <w14:ligatures w14:val="none"/>
        </w:rPr>
      </w:pPr>
    </w:p>
    <w:p w14:paraId="0EF6BDD0" w14:textId="77777777" w:rsidR="00122285" w:rsidRPr="00122285" w:rsidRDefault="00122285" w:rsidP="00122285">
      <w:pPr>
        <w:shd w:val="clear" w:color="auto" w:fill="FFFFFF"/>
        <w:rPr>
          <w:rFonts w:eastAsia="Times New Roman" w:cs="Arial"/>
          <w:kern w:val="0"/>
          <w:lang w:eastAsia="en-GB"/>
          <w14:ligatures w14:val="none"/>
        </w:rPr>
      </w:pPr>
      <w:r w:rsidRPr="00122285">
        <w:rPr>
          <w:rFonts w:eastAsia="Times New Roman" w:cs="Arial"/>
          <w:kern w:val="0"/>
          <w:lang w:eastAsia="en-GB"/>
          <w14:ligatures w14:val="none"/>
        </w:rPr>
        <w:t>Five pharmacies provided this service in 2024/25, providing a total of 150 reviews (range at pharmacy level two to 84). Five pharmacies provided this service between April 2025 and February 2026, providing a total of 103 reviews (range at pharmacy level one to 41).</w:t>
      </w:r>
    </w:p>
    <w:p w14:paraId="2ADC9095" w14:textId="77777777" w:rsidR="00122285" w:rsidRPr="00122285" w:rsidRDefault="00122285" w:rsidP="00122285">
      <w:pPr>
        <w:rPr>
          <w:rFonts w:eastAsia="Times New Roman" w:cs="Arial"/>
          <w:b/>
          <w:bCs/>
          <w:kern w:val="0"/>
          <w:lang w:eastAsia="en-GB"/>
          <w14:ligatures w14:val="none"/>
        </w:rPr>
      </w:pPr>
    </w:p>
    <w:p w14:paraId="6AA36A8F"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12.3.2.4 Just in case service (palliative care packs)</w:t>
      </w:r>
    </w:p>
    <w:p w14:paraId="1A3BE643" w14:textId="77777777" w:rsidR="00122285" w:rsidRPr="00122285" w:rsidRDefault="00122285" w:rsidP="00122285">
      <w:pPr>
        <w:rPr>
          <w:rFonts w:eastAsia="Times New Roman" w:cs="Arial"/>
          <w:kern w:val="0"/>
          <w:lang w:eastAsia="en-GB"/>
          <w14:ligatures w14:val="none"/>
        </w:rPr>
      </w:pPr>
    </w:p>
    <w:p w14:paraId="06FD6AEA"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Seven of the pharmacies have signed up to provide this service.</w:t>
      </w:r>
    </w:p>
    <w:p w14:paraId="42FB4CED" w14:textId="77777777" w:rsidR="00122285" w:rsidRPr="00122285" w:rsidRDefault="00122285" w:rsidP="00122285">
      <w:pPr>
        <w:rPr>
          <w:rFonts w:eastAsia="Times New Roman" w:cs="Arial"/>
          <w:kern w:val="0"/>
          <w:lang w:eastAsia="en-GB"/>
          <w14:ligatures w14:val="none"/>
        </w:rPr>
      </w:pPr>
    </w:p>
    <w:p w14:paraId="3DC30999"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One pharmacy provided this service in 2024/25, supplying a total of one pack. Two pharmacies provided this service in the first ten months of 2025/26, supplying a total of five packs (range at pharmacy level one to four). </w:t>
      </w:r>
    </w:p>
    <w:p w14:paraId="7E5402D4"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 </w:t>
      </w:r>
    </w:p>
    <w:p w14:paraId="77FD6D75"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 xml:space="preserve">12.3.2.5 Medicines administration record service </w:t>
      </w:r>
    </w:p>
    <w:p w14:paraId="505D17D1" w14:textId="77777777" w:rsidR="00122285" w:rsidRPr="00122285" w:rsidRDefault="00122285" w:rsidP="00122285">
      <w:pPr>
        <w:rPr>
          <w:rFonts w:eastAsia="Times New Roman" w:cs="Arial"/>
          <w:kern w:val="0"/>
          <w:lang w:eastAsia="en-GB"/>
          <w14:ligatures w14:val="none"/>
        </w:rPr>
      </w:pPr>
    </w:p>
    <w:p w14:paraId="1E677F93"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Seven of the pharmacies have signed up to provide this service.</w:t>
      </w:r>
    </w:p>
    <w:p w14:paraId="0395EB4B" w14:textId="77777777" w:rsidR="00122285" w:rsidRPr="00122285" w:rsidRDefault="00122285" w:rsidP="00122285">
      <w:pPr>
        <w:contextualSpacing/>
        <w:rPr>
          <w:rFonts w:eastAsia="Times New Roman" w:cs="Arial"/>
          <w:kern w:val="0"/>
          <w:lang w:eastAsia="en-GB"/>
          <w14:ligatures w14:val="none"/>
        </w:rPr>
      </w:pPr>
    </w:p>
    <w:p w14:paraId="29705B43" w14:textId="77777777" w:rsidR="00122285" w:rsidRPr="00122285" w:rsidRDefault="00122285" w:rsidP="00122285">
      <w:pPr>
        <w:contextualSpacing/>
        <w:rPr>
          <w:rFonts w:eastAsia="Times New Roman" w:cs="Arial"/>
          <w:kern w:val="0"/>
          <w:lang w:eastAsia="en-GB"/>
          <w14:ligatures w14:val="none"/>
        </w:rPr>
      </w:pPr>
      <w:r w:rsidRPr="00122285">
        <w:rPr>
          <w:rFonts w:eastAsia="Times New Roman" w:cs="Arial"/>
          <w:kern w:val="0"/>
          <w:lang w:eastAsia="en-GB"/>
          <w14:ligatures w14:val="none"/>
        </w:rPr>
        <w:t>Five pharmacies provided the service in 2024/25, providing charts to 133 patients (range at pharmacy level four to 50). Seven pharmacies provided the service in the first ten months of 2025/26, providing charts to 679 patients (range at pharmacy level 24 to 186)</w:t>
      </w:r>
    </w:p>
    <w:p w14:paraId="5669E9F6" w14:textId="77777777" w:rsidR="00122285" w:rsidRPr="00122285" w:rsidRDefault="00122285" w:rsidP="00122285">
      <w:pPr>
        <w:ind w:left="720"/>
        <w:contextualSpacing/>
        <w:rPr>
          <w:rFonts w:eastAsia="Times New Roman" w:cs="Arial"/>
          <w:kern w:val="0"/>
          <w:lang w:eastAsia="en-GB"/>
          <w14:ligatures w14:val="none"/>
        </w:rPr>
      </w:pPr>
    </w:p>
    <w:p w14:paraId="38416D4A"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12.3.2.6 Needle and syringe programmes</w:t>
      </w:r>
    </w:p>
    <w:p w14:paraId="410A9171" w14:textId="77777777" w:rsidR="00122285" w:rsidRPr="00122285" w:rsidRDefault="00122285" w:rsidP="00122285">
      <w:pPr>
        <w:rPr>
          <w:rFonts w:eastAsia="Times New Roman" w:cs="Arial"/>
          <w:kern w:val="0"/>
          <w:lang w:eastAsia="en-GB"/>
          <w14:ligatures w14:val="none"/>
        </w:rPr>
      </w:pPr>
    </w:p>
    <w:p w14:paraId="4D7A628F"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One of the pharmacies has signed up to provide this service.</w:t>
      </w:r>
    </w:p>
    <w:p w14:paraId="6B23DEDD" w14:textId="77777777" w:rsidR="00122285" w:rsidRPr="00122285" w:rsidRDefault="00122285" w:rsidP="00122285">
      <w:pPr>
        <w:rPr>
          <w:rFonts w:eastAsia="Times New Roman" w:cs="Arial"/>
          <w:kern w:val="0"/>
          <w:lang w:eastAsia="en-GB"/>
          <w14:ligatures w14:val="none"/>
        </w:rPr>
      </w:pPr>
    </w:p>
    <w:p w14:paraId="5A29B919"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One pharmacy provided the service in 2024/25, providing a total of 905 provisions and in the first ten months of 2025/26 providing a total of 810 provisions. </w:t>
      </w:r>
    </w:p>
    <w:p w14:paraId="0DAED4D1" w14:textId="77777777" w:rsidR="00122285" w:rsidRPr="00122285" w:rsidRDefault="00122285" w:rsidP="00122285">
      <w:pPr>
        <w:rPr>
          <w:rFonts w:eastAsia="Times New Roman" w:cs="Arial"/>
          <w:kern w:val="0"/>
          <w:lang w:eastAsia="en-GB"/>
          <w14:ligatures w14:val="none"/>
        </w:rPr>
      </w:pPr>
    </w:p>
    <w:p w14:paraId="07271C83"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12.3.2.7 Help me quit @ pharmacy (level 2 smoking cessation) service</w:t>
      </w:r>
    </w:p>
    <w:p w14:paraId="027D851E" w14:textId="77777777" w:rsidR="00122285" w:rsidRPr="00122285" w:rsidRDefault="00122285" w:rsidP="00122285">
      <w:pPr>
        <w:rPr>
          <w:rFonts w:eastAsia="Times New Roman" w:cs="Arial"/>
          <w:kern w:val="0"/>
          <w:lang w:eastAsia="en-GB"/>
          <w14:ligatures w14:val="none"/>
        </w:rPr>
      </w:pPr>
    </w:p>
    <w:p w14:paraId="246873DE"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Seven of the pharmacies have signed up to provide this service.</w:t>
      </w:r>
    </w:p>
    <w:p w14:paraId="5631C652" w14:textId="77777777" w:rsidR="00122285" w:rsidRPr="00122285" w:rsidRDefault="00122285" w:rsidP="00122285">
      <w:pPr>
        <w:rPr>
          <w:rFonts w:eastAsia="Times New Roman" w:cs="Arial"/>
          <w:kern w:val="0"/>
          <w:lang w:eastAsia="en-GB"/>
          <w14:ligatures w14:val="none"/>
        </w:rPr>
      </w:pPr>
    </w:p>
    <w:p w14:paraId="4E920AE2"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Five pharmacies provided the service in 2024/25, supporting 255 people (range at pharmacy level 17 to 120). Five pharmacies provided this service in the first ten months of 2025/26, supporting 274 people (range at pharmacy level 12 to 131).</w:t>
      </w:r>
    </w:p>
    <w:p w14:paraId="53B86ACC" w14:textId="77777777" w:rsidR="00122285" w:rsidRPr="00122285" w:rsidRDefault="00122285" w:rsidP="00122285">
      <w:pPr>
        <w:rPr>
          <w:rFonts w:eastAsia="Times New Roman" w:cs="Arial"/>
          <w:kern w:val="0"/>
          <w:lang w:eastAsia="en-GB"/>
          <w14:ligatures w14:val="none"/>
        </w:rPr>
      </w:pPr>
    </w:p>
    <w:p w14:paraId="64E6071F"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12.3.2.8 Help me quit @ pharmacy (level 3 smoking cessation) service</w:t>
      </w:r>
    </w:p>
    <w:p w14:paraId="67AC297E" w14:textId="77777777" w:rsidR="00122285" w:rsidRPr="00122285" w:rsidRDefault="00122285" w:rsidP="00122285">
      <w:pPr>
        <w:rPr>
          <w:rFonts w:eastAsia="Times New Roman" w:cs="Arial"/>
          <w:kern w:val="0"/>
          <w:lang w:eastAsia="en-GB"/>
          <w14:ligatures w14:val="none"/>
        </w:rPr>
      </w:pPr>
    </w:p>
    <w:p w14:paraId="52C0C2EE"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Three of the pharmacies have signed up to provide this service.</w:t>
      </w:r>
    </w:p>
    <w:p w14:paraId="4802FD7A" w14:textId="77777777" w:rsidR="00122285" w:rsidRPr="00122285" w:rsidRDefault="00122285" w:rsidP="00122285">
      <w:pPr>
        <w:rPr>
          <w:rFonts w:eastAsia="Times New Roman" w:cs="Arial"/>
          <w:kern w:val="0"/>
          <w:lang w:eastAsia="en-GB"/>
          <w14:ligatures w14:val="none"/>
        </w:rPr>
      </w:pPr>
    </w:p>
    <w:p w14:paraId="35C30311"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lastRenderedPageBreak/>
        <w:t xml:space="preserve">Two pharmacies provided the service in 2024/25, supporting 218 people (range at pharmacy level 16 to 49). Two pharmacies provided this service in the first ten months of 2025/26, supporting 296 people (range at pharmacy level of 88 to 208). </w:t>
      </w:r>
    </w:p>
    <w:p w14:paraId="15598389" w14:textId="77777777" w:rsidR="00122285" w:rsidRPr="00122285" w:rsidRDefault="00122285" w:rsidP="00122285">
      <w:pPr>
        <w:contextualSpacing/>
        <w:rPr>
          <w:rFonts w:eastAsia="Times New Roman" w:cs="Arial"/>
          <w:kern w:val="0"/>
          <w:lang w:eastAsia="en-GB"/>
          <w14:ligatures w14:val="none"/>
        </w:rPr>
      </w:pPr>
    </w:p>
    <w:p w14:paraId="2617E8E0"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 xml:space="preserve">12.3.2.9 Supervised administration of medicine </w:t>
      </w:r>
    </w:p>
    <w:p w14:paraId="7E4DA580" w14:textId="77777777" w:rsidR="00122285" w:rsidRPr="00122285" w:rsidRDefault="00122285" w:rsidP="00122285">
      <w:pPr>
        <w:rPr>
          <w:rFonts w:eastAsia="Times New Roman" w:cs="Arial"/>
          <w:kern w:val="0"/>
          <w:lang w:eastAsia="en-GB"/>
          <w14:ligatures w14:val="none"/>
        </w:rPr>
      </w:pPr>
    </w:p>
    <w:p w14:paraId="03D30E53"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All the pharmacies have signed up to provide this service.</w:t>
      </w:r>
    </w:p>
    <w:p w14:paraId="52D92C24" w14:textId="77777777" w:rsidR="00122285" w:rsidRPr="00122285" w:rsidRDefault="00122285" w:rsidP="00122285">
      <w:pPr>
        <w:rPr>
          <w:rFonts w:eastAsia="Times New Roman" w:cs="Arial"/>
          <w:kern w:val="0"/>
          <w:lang w:eastAsia="en-GB"/>
          <w14:ligatures w14:val="none"/>
        </w:rPr>
      </w:pPr>
    </w:p>
    <w:p w14:paraId="707F3E70"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All the pharmacies provided the service in 2024/25, supporting 667 people (range at pharmacy level two to 150). Eight pharmacies provided this service in the first ten months of 2025/26, supporting 473 people (range at pharmacy level 11 to 115).</w:t>
      </w:r>
    </w:p>
    <w:p w14:paraId="5C8B34F7" w14:textId="77777777" w:rsidR="00122285" w:rsidRPr="00122285" w:rsidRDefault="00122285" w:rsidP="00122285">
      <w:pPr>
        <w:rPr>
          <w:rFonts w:eastAsia="Times New Roman" w:cs="Arial"/>
          <w:kern w:val="0"/>
          <w:lang w:eastAsia="en-GB"/>
          <w14:ligatures w14:val="none"/>
        </w:rPr>
      </w:pPr>
    </w:p>
    <w:p w14:paraId="637BBF52"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 xml:space="preserve">12.3.2.10 Urgent medicines service </w:t>
      </w:r>
    </w:p>
    <w:p w14:paraId="1D679398" w14:textId="77777777" w:rsidR="00122285" w:rsidRPr="00122285" w:rsidRDefault="00122285" w:rsidP="00122285">
      <w:pPr>
        <w:rPr>
          <w:rFonts w:eastAsia="Times New Roman" w:cs="Arial"/>
          <w:kern w:val="0"/>
          <w:lang w:eastAsia="en-GB"/>
          <w14:ligatures w14:val="none"/>
        </w:rPr>
      </w:pPr>
    </w:p>
    <w:p w14:paraId="2995E9CA" w14:textId="77777777" w:rsidR="00122285" w:rsidRPr="00122285" w:rsidRDefault="00122285" w:rsidP="00122285">
      <w:pPr>
        <w:rPr>
          <w:rFonts w:eastAsia="Aptos" w:cs="Arial"/>
        </w:rPr>
      </w:pPr>
      <w:r w:rsidRPr="00122285">
        <w:rPr>
          <w:rFonts w:eastAsia="Times New Roman" w:cs="Arial"/>
          <w:kern w:val="0"/>
          <w:lang w:eastAsia="en-GB"/>
          <w14:ligatures w14:val="none"/>
        </w:rPr>
        <w:t>Three of the pharmacies have signed up to provide this service.</w:t>
      </w:r>
    </w:p>
    <w:p w14:paraId="7736AD5E" w14:textId="77777777" w:rsidR="00122285" w:rsidRPr="00122285" w:rsidRDefault="00122285" w:rsidP="00122285">
      <w:pPr>
        <w:rPr>
          <w:rFonts w:eastAsia="Aptos" w:cs="Arial"/>
        </w:rPr>
      </w:pPr>
    </w:p>
    <w:p w14:paraId="07A5D7D4" w14:textId="77777777" w:rsidR="00122285" w:rsidRPr="00122285" w:rsidRDefault="00122285" w:rsidP="00122285">
      <w:pPr>
        <w:rPr>
          <w:rFonts w:eastAsia="Aptos" w:cs="Arial"/>
          <w:b/>
          <w:bCs/>
          <w:sz w:val="26"/>
          <w:szCs w:val="26"/>
        </w:rPr>
      </w:pPr>
      <w:r w:rsidRPr="00122285">
        <w:rPr>
          <w:rFonts w:eastAsia="Aptos" w:cs="Arial"/>
          <w:b/>
          <w:bCs/>
          <w:sz w:val="26"/>
          <w:szCs w:val="26"/>
        </w:rPr>
        <w:t xml:space="preserve">12.4 Current provision of pharmaceutical services outside the locality </w:t>
      </w:r>
    </w:p>
    <w:p w14:paraId="00558A0E" w14:textId="77777777" w:rsidR="00122285" w:rsidRPr="00122285" w:rsidRDefault="00122285" w:rsidP="00122285">
      <w:pPr>
        <w:rPr>
          <w:rFonts w:eastAsia="Aptos" w:cs="Arial"/>
        </w:rPr>
      </w:pPr>
    </w:p>
    <w:p w14:paraId="6C9DEABD" w14:textId="77777777" w:rsidR="00122285" w:rsidRPr="00122285" w:rsidRDefault="00122285" w:rsidP="00122285">
      <w:pPr>
        <w:rPr>
          <w:rFonts w:eastAsia="Aptos" w:cs="Arial"/>
        </w:rPr>
      </w:pPr>
      <w:r w:rsidRPr="00122285">
        <w:rPr>
          <w:rFonts w:eastAsia="Aptos" w:cs="Arial"/>
        </w:rPr>
        <w:t>Some residents may choose to access contractors outside both the locality and the health board’s area in order to access services:</w:t>
      </w:r>
    </w:p>
    <w:p w14:paraId="01434296" w14:textId="77777777" w:rsidR="00122285" w:rsidRPr="00122285" w:rsidRDefault="00122285" w:rsidP="00122285">
      <w:pPr>
        <w:rPr>
          <w:rFonts w:eastAsia="Aptos" w:cs="Arial"/>
        </w:rPr>
      </w:pPr>
    </w:p>
    <w:p w14:paraId="0C5E21FA" w14:textId="77777777" w:rsidR="00122285" w:rsidRPr="00122285" w:rsidRDefault="00122285" w:rsidP="00B76905">
      <w:pPr>
        <w:numPr>
          <w:ilvl w:val="0"/>
          <w:numId w:val="181"/>
        </w:numPr>
        <w:contextualSpacing/>
        <w:rPr>
          <w:rFonts w:eastAsia="Aptos" w:cs="Arial"/>
        </w:rPr>
      </w:pPr>
      <w:r w:rsidRPr="00122285">
        <w:rPr>
          <w:rFonts w:eastAsia="Aptos" w:cs="Arial"/>
        </w:rPr>
        <w:t>Offered by dispensing appliance contractors</w:t>
      </w:r>
    </w:p>
    <w:p w14:paraId="124A311E" w14:textId="77777777" w:rsidR="00122285" w:rsidRPr="00122285" w:rsidRDefault="00122285" w:rsidP="00B76905">
      <w:pPr>
        <w:numPr>
          <w:ilvl w:val="0"/>
          <w:numId w:val="181"/>
        </w:numPr>
        <w:contextualSpacing/>
        <w:rPr>
          <w:rFonts w:eastAsia="Aptos" w:cs="Arial"/>
        </w:rPr>
      </w:pPr>
      <w:r w:rsidRPr="00122285">
        <w:rPr>
          <w:rFonts w:eastAsia="Aptos" w:cs="Arial"/>
        </w:rPr>
        <w:t>Which are located near to where they work, shop or visit for leisure or other purposes</w:t>
      </w:r>
    </w:p>
    <w:p w14:paraId="434AFAD7" w14:textId="77777777" w:rsidR="00122285" w:rsidRPr="00122285" w:rsidRDefault="00122285" w:rsidP="00122285">
      <w:pPr>
        <w:shd w:val="clear" w:color="auto" w:fill="FFFFFF"/>
        <w:rPr>
          <w:rFonts w:eastAsia="Times New Roman" w:cs="Arial"/>
          <w:kern w:val="0"/>
          <w:lang w:eastAsia="en-GB"/>
          <w14:ligatures w14:val="none"/>
        </w:rPr>
      </w:pPr>
    </w:p>
    <w:p w14:paraId="2E85EF5F" w14:textId="77777777" w:rsidR="00122285" w:rsidRPr="00122285" w:rsidRDefault="00122285" w:rsidP="00122285">
      <w:pPr>
        <w:shd w:val="clear" w:color="auto" w:fill="FFFFFF"/>
        <w:rPr>
          <w:rFonts w:eastAsia="Times New Roman" w:cs="Arial"/>
          <w:kern w:val="0"/>
          <w:lang w:eastAsia="en-GB"/>
          <w14:ligatures w14:val="none"/>
        </w:rPr>
      </w:pPr>
      <w:r w:rsidRPr="00122285">
        <w:rPr>
          <w:rFonts w:eastAsia="Times New Roman" w:cs="Arial"/>
          <w:kern w:val="0"/>
          <w:lang w:eastAsia="en-GB"/>
          <w14:ligatures w14:val="none"/>
        </w:rPr>
        <w:t>Whilst the majority of prescriptions written by the GP practices in 2024/25 were dispensed by the pharmacies in the locality (85.6%), around 13.3% were dispensed outside the locality.</w:t>
      </w:r>
    </w:p>
    <w:p w14:paraId="633CE8D3" w14:textId="77777777" w:rsidR="00122285" w:rsidRPr="00122285" w:rsidRDefault="00122285" w:rsidP="00122285">
      <w:pPr>
        <w:shd w:val="clear" w:color="auto" w:fill="FFFFFF"/>
        <w:rPr>
          <w:rFonts w:eastAsia="Times New Roman" w:cs="Arial"/>
          <w:kern w:val="0"/>
          <w:lang w:eastAsia="en-GB"/>
          <w14:ligatures w14:val="none"/>
        </w:rPr>
      </w:pPr>
    </w:p>
    <w:p w14:paraId="32BCD446" w14:textId="77777777" w:rsidR="00122285" w:rsidRPr="00122285" w:rsidRDefault="00122285" w:rsidP="00B76905">
      <w:pPr>
        <w:numPr>
          <w:ilvl w:val="0"/>
          <w:numId w:val="152"/>
        </w:numPr>
        <w:textAlignment w:val="baseline"/>
        <w:rPr>
          <w:rFonts w:eastAsia="Times New Roman" w:cs="Arial"/>
          <w:kern w:val="0"/>
          <w:lang w:eastAsia="en-GB"/>
          <w14:ligatures w14:val="none"/>
        </w:rPr>
      </w:pPr>
      <w:r w:rsidRPr="00122285">
        <w:rPr>
          <w:rFonts w:eastAsia="Times New Roman" w:cs="Arial"/>
          <w:kern w:val="0"/>
          <w:lang w:eastAsia="en-GB"/>
          <w14:ligatures w14:val="none"/>
        </w:rPr>
        <w:t>7.1% by pharmacies in City Health locality</w:t>
      </w:r>
    </w:p>
    <w:p w14:paraId="1128514E" w14:textId="77777777" w:rsidR="00122285" w:rsidRPr="00122285" w:rsidRDefault="00122285" w:rsidP="00B76905">
      <w:pPr>
        <w:numPr>
          <w:ilvl w:val="0"/>
          <w:numId w:val="152"/>
        </w:numPr>
        <w:textAlignment w:val="baseline"/>
        <w:rPr>
          <w:rFonts w:eastAsia="Times New Roman" w:cs="Arial"/>
          <w:kern w:val="0"/>
          <w:lang w:eastAsia="en-GB"/>
          <w14:ligatures w14:val="none"/>
        </w:rPr>
      </w:pPr>
      <w:r w:rsidRPr="00122285">
        <w:rPr>
          <w:rFonts w:eastAsia="Times New Roman" w:cs="Arial"/>
          <w:kern w:val="0"/>
          <w:lang w:eastAsia="en-GB"/>
          <w14:ligatures w14:val="none"/>
        </w:rPr>
        <w:t>3.2% by pharmacies in Cwmtawe locality</w:t>
      </w:r>
    </w:p>
    <w:p w14:paraId="52C3E8F0" w14:textId="77777777" w:rsidR="00122285" w:rsidRPr="00122285" w:rsidRDefault="00122285" w:rsidP="00B76905">
      <w:pPr>
        <w:numPr>
          <w:ilvl w:val="0"/>
          <w:numId w:val="152"/>
        </w:numPr>
        <w:textAlignment w:val="baseline"/>
        <w:rPr>
          <w:rFonts w:eastAsia="Times New Roman" w:cs="Arial"/>
          <w:kern w:val="0"/>
          <w:lang w:eastAsia="en-GB"/>
          <w14:ligatures w14:val="none"/>
        </w:rPr>
      </w:pPr>
      <w:r w:rsidRPr="00122285">
        <w:rPr>
          <w:rFonts w:eastAsia="Times New Roman" w:cs="Arial"/>
          <w:kern w:val="0"/>
          <w:lang w:eastAsia="en-GB"/>
          <w14:ligatures w14:val="none"/>
        </w:rPr>
        <w:t xml:space="preserve">1.2% by pharmacies in Bay Health locality </w:t>
      </w:r>
    </w:p>
    <w:p w14:paraId="40CC2397" w14:textId="77777777" w:rsidR="00122285" w:rsidRPr="00122285" w:rsidRDefault="00122285" w:rsidP="00B76905">
      <w:pPr>
        <w:numPr>
          <w:ilvl w:val="0"/>
          <w:numId w:val="152"/>
        </w:numPr>
        <w:textAlignment w:val="baseline"/>
        <w:rPr>
          <w:rFonts w:eastAsia="Times New Roman" w:cs="Arial"/>
          <w:kern w:val="0"/>
          <w:lang w:eastAsia="en-GB"/>
          <w14:ligatures w14:val="none"/>
        </w:rPr>
      </w:pPr>
      <w:r w:rsidRPr="00122285">
        <w:rPr>
          <w:rFonts w:eastAsia="Times New Roman" w:cs="Arial"/>
          <w:kern w:val="0"/>
          <w:lang w:eastAsia="en-GB"/>
          <w14:ligatures w14:val="none"/>
        </w:rPr>
        <w:t xml:space="preserve">1.0% by pharmacies in Llwchwr locality </w:t>
      </w:r>
    </w:p>
    <w:p w14:paraId="727E40FA" w14:textId="77777777" w:rsidR="00122285" w:rsidRPr="00122285" w:rsidRDefault="00122285" w:rsidP="00B76905">
      <w:pPr>
        <w:numPr>
          <w:ilvl w:val="0"/>
          <w:numId w:val="152"/>
        </w:numPr>
        <w:textAlignment w:val="baseline"/>
        <w:rPr>
          <w:rFonts w:eastAsia="Times New Roman" w:cs="Arial"/>
          <w:kern w:val="0"/>
          <w:lang w:eastAsia="en-GB"/>
          <w14:ligatures w14:val="none"/>
        </w:rPr>
      </w:pPr>
      <w:r w:rsidRPr="00122285">
        <w:rPr>
          <w:rFonts w:eastAsia="Times New Roman" w:cs="Arial"/>
          <w:kern w:val="0"/>
          <w:lang w:eastAsia="en-GB"/>
          <w14:ligatures w14:val="none"/>
        </w:rPr>
        <w:t xml:space="preserve">0.7% by contractors in England </w:t>
      </w:r>
    </w:p>
    <w:p w14:paraId="708FB0F3" w14:textId="77777777" w:rsidR="00122285" w:rsidRPr="00122285" w:rsidRDefault="00122285" w:rsidP="00B76905">
      <w:pPr>
        <w:numPr>
          <w:ilvl w:val="0"/>
          <w:numId w:val="152"/>
        </w:numPr>
        <w:textAlignment w:val="baseline"/>
        <w:rPr>
          <w:rFonts w:eastAsia="Times New Roman" w:cs="Arial"/>
          <w:kern w:val="0"/>
          <w:lang w:eastAsia="en-GB"/>
          <w14:ligatures w14:val="none"/>
        </w:rPr>
      </w:pPr>
      <w:r w:rsidRPr="00122285">
        <w:rPr>
          <w:rFonts w:eastAsia="Times New Roman" w:cs="Arial"/>
          <w:kern w:val="0"/>
          <w:lang w:eastAsia="en-GB"/>
          <w14:ligatures w14:val="none"/>
        </w:rPr>
        <w:t>0.1% by pharmacies in Hywel Dda University Health Board</w:t>
      </w:r>
    </w:p>
    <w:p w14:paraId="53845D7A" w14:textId="77777777" w:rsidR="00122285" w:rsidRPr="00122285" w:rsidRDefault="00122285" w:rsidP="00122285">
      <w:pPr>
        <w:ind w:left="774"/>
        <w:textAlignment w:val="baseline"/>
        <w:rPr>
          <w:rFonts w:eastAsia="Times New Roman" w:cs="Arial"/>
          <w:kern w:val="0"/>
          <w:lang w:eastAsia="en-GB"/>
          <w14:ligatures w14:val="none"/>
        </w:rPr>
      </w:pPr>
    </w:p>
    <w:p w14:paraId="1802ED43" w14:textId="77777777" w:rsidR="00122285" w:rsidRPr="00122285" w:rsidRDefault="00122285" w:rsidP="00122285">
      <w:pPr>
        <w:shd w:val="clear" w:color="auto" w:fill="FFFFFF"/>
        <w:rPr>
          <w:rFonts w:eastAsia="Times New Roman" w:cs="Arial"/>
          <w:kern w:val="0"/>
          <w:lang w:eastAsia="en-GB"/>
          <w14:ligatures w14:val="none"/>
        </w:rPr>
      </w:pPr>
      <w:r w:rsidRPr="00122285">
        <w:rPr>
          <w:rFonts w:eastAsia="Times New Roman" w:cs="Arial"/>
          <w:kern w:val="0"/>
          <w:lang w:eastAsia="en-GB"/>
          <w14:ligatures w14:val="none"/>
        </w:rPr>
        <w:t>In the first nine months of 2025/26 the majority of prescriptions written by the GP practices were dispensed by the pharmacies in the locality (86.6%), with 12.9% dispensed outside the locality.</w:t>
      </w:r>
    </w:p>
    <w:p w14:paraId="4354D1F2" w14:textId="77777777" w:rsidR="00122285" w:rsidRPr="00122285" w:rsidRDefault="00122285" w:rsidP="00122285">
      <w:pPr>
        <w:shd w:val="clear" w:color="auto" w:fill="FFFFFF"/>
        <w:rPr>
          <w:rFonts w:eastAsia="Times New Roman" w:cs="Arial"/>
          <w:kern w:val="0"/>
          <w:lang w:eastAsia="en-GB"/>
          <w14:ligatures w14:val="none"/>
        </w:rPr>
      </w:pPr>
    </w:p>
    <w:p w14:paraId="28070A01" w14:textId="77777777" w:rsidR="00122285" w:rsidRPr="00122285" w:rsidRDefault="00122285" w:rsidP="00B76905">
      <w:pPr>
        <w:numPr>
          <w:ilvl w:val="0"/>
          <w:numId w:val="152"/>
        </w:numPr>
        <w:textAlignment w:val="baseline"/>
        <w:rPr>
          <w:rFonts w:eastAsia="Times New Roman" w:cs="Arial"/>
          <w:kern w:val="0"/>
          <w:lang w:eastAsia="en-GB"/>
          <w14:ligatures w14:val="none"/>
        </w:rPr>
      </w:pPr>
      <w:r w:rsidRPr="00122285">
        <w:rPr>
          <w:rFonts w:eastAsia="Times New Roman" w:cs="Arial"/>
          <w:kern w:val="0"/>
          <w:lang w:eastAsia="en-GB"/>
          <w14:ligatures w14:val="none"/>
        </w:rPr>
        <w:t>7.1% by pharmacies in City Health locality</w:t>
      </w:r>
    </w:p>
    <w:p w14:paraId="3117A114" w14:textId="77777777" w:rsidR="00122285" w:rsidRPr="00122285" w:rsidRDefault="00122285" w:rsidP="00B76905">
      <w:pPr>
        <w:numPr>
          <w:ilvl w:val="0"/>
          <w:numId w:val="152"/>
        </w:numPr>
        <w:textAlignment w:val="baseline"/>
        <w:rPr>
          <w:rFonts w:eastAsia="Times New Roman" w:cs="Arial"/>
          <w:kern w:val="0"/>
          <w:lang w:eastAsia="en-GB"/>
          <w14:ligatures w14:val="none"/>
        </w:rPr>
      </w:pPr>
      <w:r w:rsidRPr="00122285">
        <w:rPr>
          <w:rFonts w:eastAsia="Times New Roman" w:cs="Arial"/>
          <w:kern w:val="0"/>
          <w:lang w:eastAsia="en-GB"/>
          <w14:ligatures w14:val="none"/>
        </w:rPr>
        <w:t>2.7% by pharmacies in Cwmtawe locality</w:t>
      </w:r>
    </w:p>
    <w:p w14:paraId="728B5880" w14:textId="77777777" w:rsidR="00122285" w:rsidRPr="00122285" w:rsidRDefault="00122285" w:rsidP="00B76905">
      <w:pPr>
        <w:numPr>
          <w:ilvl w:val="0"/>
          <w:numId w:val="152"/>
        </w:numPr>
        <w:textAlignment w:val="baseline"/>
        <w:rPr>
          <w:rFonts w:eastAsia="Times New Roman" w:cs="Arial"/>
          <w:kern w:val="0"/>
          <w:lang w:eastAsia="en-GB"/>
          <w14:ligatures w14:val="none"/>
        </w:rPr>
      </w:pPr>
      <w:r w:rsidRPr="00122285">
        <w:rPr>
          <w:rFonts w:eastAsia="Times New Roman" w:cs="Arial"/>
          <w:kern w:val="0"/>
          <w:lang w:eastAsia="en-GB"/>
          <w14:ligatures w14:val="none"/>
        </w:rPr>
        <w:t xml:space="preserve">1.1% by pharmacies in Bay Health locality </w:t>
      </w:r>
    </w:p>
    <w:p w14:paraId="66CF1757" w14:textId="77777777" w:rsidR="00122285" w:rsidRPr="00122285" w:rsidRDefault="00122285" w:rsidP="00B76905">
      <w:pPr>
        <w:numPr>
          <w:ilvl w:val="0"/>
          <w:numId w:val="152"/>
        </w:numPr>
        <w:textAlignment w:val="baseline"/>
        <w:rPr>
          <w:rFonts w:eastAsia="Times New Roman" w:cs="Arial"/>
          <w:kern w:val="0"/>
          <w:lang w:eastAsia="en-GB"/>
          <w14:ligatures w14:val="none"/>
        </w:rPr>
      </w:pPr>
      <w:r w:rsidRPr="00122285">
        <w:rPr>
          <w:rFonts w:eastAsia="Times New Roman" w:cs="Arial"/>
          <w:kern w:val="0"/>
          <w:lang w:eastAsia="en-GB"/>
          <w14:ligatures w14:val="none"/>
        </w:rPr>
        <w:t xml:space="preserve">1.0% by pharmacies in Llwchwr locality </w:t>
      </w:r>
    </w:p>
    <w:p w14:paraId="31BF53BA" w14:textId="77777777" w:rsidR="00122285" w:rsidRPr="00122285" w:rsidRDefault="00122285" w:rsidP="00B76905">
      <w:pPr>
        <w:numPr>
          <w:ilvl w:val="0"/>
          <w:numId w:val="152"/>
        </w:numPr>
        <w:textAlignment w:val="baseline"/>
        <w:rPr>
          <w:rFonts w:eastAsia="Times New Roman" w:cs="Arial"/>
          <w:kern w:val="0"/>
          <w:lang w:eastAsia="en-GB"/>
          <w14:ligatures w14:val="none"/>
        </w:rPr>
      </w:pPr>
      <w:r w:rsidRPr="00122285">
        <w:rPr>
          <w:rFonts w:eastAsia="Times New Roman" w:cs="Arial"/>
          <w:kern w:val="0"/>
          <w:lang w:eastAsia="en-GB"/>
          <w14:ligatures w14:val="none"/>
        </w:rPr>
        <w:t xml:space="preserve">0.7% by contractors in England </w:t>
      </w:r>
    </w:p>
    <w:p w14:paraId="13FBC85C" w14:textId="77777777" w:rsidR="00122285" w:rsidRPr="00122285" w:rsidRDefault="00122285" w:rsidP="00B76905">
      <w:pPr>
        <w:numPr>
          <w:ilvl w:val="0"/>
          <w:numId w:val="152"/>
        </w:numPr>
        <w:textAlignment w:val="baseline"/>
        <w:rPr>
          <w:rFonts w:eastAsia="Times New Roman" w:cs="Arial"/>
          <w:kern w:val="0"/>
          <w:lang w:eastAsia="en-GB"/>
          <w14:ligatures w14:val="none"/>
        </w:rPr>
      </w:pPr>
      <w:r w:rsidRPr="00122285">
        <w:rPr>
          <w:rFonts w:eastAsia="Times New Roman" w:cs="Arial"/>
          <w:kern w:val="0"/>
          <w:lang w:eastAsia="en-GB"/>
          <w14:ligatures w14:val="none"/>
        </w:rPr>
        <w:t>0.1% by pharmacies in Hywel Dda University Health Board</w:t>
      </w:r>
    </w:p>
    <w:p w14:paraId="3D423755" w14:textId="77777777" w:rsidR="00122285" w:rsidRPr="00122285" w:rsidRDefault="00122285" w:rsidP="00122285">
      <w:pPr>
        <w:textAlignment w:val="baseline"/>
        <w:rPr>
          <w:rFonts w:eastAsia="Times New Roman" w:cs="Arial"/>
          <w:kern w:val="0"/>
          <w:lang w:eastAsia="en-GB"/>
          <w14:ligatures w14:val="none"/>
        </w:rPr>
      </w:pPr>
    </w:p>
    <w:p w14:paraId="30517D6A" w14:textId="77777777" w:rsidR="00122285" w:rsidRPr="00122285" w:rsidRDefault="00122285" w:rsidP="00122285">
      <w:pPr>
        <w:shd w:val="clear" w:color="auto" w:fill="FFFFFF"/>
        <w:rPr>
          <w:rFonts w:eastAsia="Times New Roman" w:cs="Arial"/>
          <w:kern w:val="0"/>
          <w:lang w:eastAsia="en-GB"/>
          <w14:ligatures w14:val="none"/>
        </w:rPr>
      </w:pPr>
      <w:r w:rsidRPr="00122285">
        <w:rPr>
          <w:rFonts w:eastAsia="Times New Roman" w:cs="Arial"/>
          <w:kern w:val="0"/>
          <w:lang w:eastAsia="en-GB"/>
          <w14:ligatures w14:val="none"/>
        </w:rPr>
        <w:lastRenderedPageBreak/>
        <w:t>In addition, residents may have accessed one or more pharmaceutical services provided by another pharmacy outside of both the locality and the health board’s area; however, it is not possible to quantify this activity from the recorded data.</w:t>
      </w:r>
    </w:p>
    <w:p w14:paraId="41451490" w14:textId="77777777" w:rsidR="00122285" w:rsidRPr="00122285" w:rsidRDefault="00122285" w:rsidP="00122285">
      <w:pPr>
        <w:rPr>
          <w:rFonts w:eastAsia="Aptos" w:cs="Arial"/>
        </w:rPr>
      </w:pPr>
    </w:p>
    <w:p w14:paraId="1232B5FA" w14:textId="77777777" w:rsidR="00122285" w:rsidRPr="00122285" w:rsidRDefault="00122285" w:rsidP="00122285">
      <w:pPr>
        <w:rPr>
          <w:rFonts w:eastAsia="Aptos" w:cs="Arial"/>
          <w:b/>
          <w:bCs/>
          <w:sz w:val="26"/>
          <w:szCs w:val="26"/>
        </w:rPr>
      </w:pPr>
      <w:r w:rsidRPr="00122285">
        <w:rPr>
          <w:rFonts w:eastAsia="Aptos" w:cs="Arial"/>
          <w:b/>
          <w:bCs/>
          <w:sz w:val="26"/>
          <w:szCs w:val="26"/>
        </w:rPr>
        <w:t>12.5 Other NHS services</w:t>
      </w:r>
    </w:p>
    <w:p w14:paraId="3E7BED3F" w14:textId="77777777" w:rsidR="00122285" w:rsidRPr="00122285" w:rsidRDefault="00122285" w:rsidP="00122285">
      <w:pPr>
        <w:rPr>
          <w:rFonts w:eastAsia="Times New Roman" w:cs="Arial"/>
        </w:rPr>
      </w:pPr>
    </w:p>
    <w:p w14:paraId="334950EB" w14:textId="77777777" w:rsidR="00122285" w:rsidRPr="00122285" w:rsidRDefault="00122285" w:rsidP="00122285">
      <w:pPr>
        <w:rPr>
          <w:rFonts w:eastAsia="Times New Roman" w:cs="Arial"/>
        </w:rPr>
      </w:pPr>
      <w:r w:rsidRPr="00122285">
        <w:rPr>
          <w:rFonts w:eastAsia="Times New Roman" w:cs="Arial"/>
        </w:rPr>
        <w:t>Details of the NHS services which affect the need for pharmaceutical services can be found in chapter six.</w:t>
      </w:r>
    </w:p>
    <w:p w14:paraId="1EB228B5" w14:textId="77777777" w:rsidR="00122285" w:rsidRPr="00122285" w:rsidRDefault="00122285" w:rsidP="00122285">
      <w:pPr>
        <w:rPr>
          <w:rFonts w:eastAsia="Aptos" w:cs="Arial"/>
        </w:rPr>
      </w:pPr>
    </w:p>
    <w:p w14:paraId="33D0595C" w14:textId="77777777" w:rsidR="00122285" w:rsidRPr="00122285" w:rsidRDefault="00122285" w:rsidP="00122285">
      <w:pPr>
        <w:rPr>
          <w:rFonts w:eastAsia="Aptos" w:cs="Arial"/>
          <w:b/>
          <w:bCs/>
          <w:sz w:val="26"/>
          <w:szCs w:val="26"/>
        </w:rPr>
      </w:pPr>
      <w:r w:rsidRPr="00122285">
        <w:rPr>
          <w:rFonts w:eastAsia="Aptos" w:cs="Arial"/>
          <w:b/>
          <w:bCs/>
          <w:sz w:val="26"/>
          <w:szCs w:val="26"/>
        </w:rPr>
        <w:t>12.6 Choice with regard to obtaining pharmaceutical services</w:t>
      </w:r>
    </w:p>
    <w:p w14:paraId="5B00DB56" w14:textId="77777777" w:rsidR="00122285" w:rsidRPr="00122285" w:rsidRDefault="00122285" w:rsidP="00122285">
      <w:pPr>
        <w:rPr>
          <w:rFonts w:eastAsia="Aptos" w:cs="Arial"/>
        </w:rPr>
      </w:pPr>
    </w:p>
    <w:p w14:paraId="4AEB65EE" w14:textId="77777777" w:rsidR="00122285" w:rsidRPr="00122285" w:rsidRDefault="00122285" w:rsidP="00122285">
      <w:pPr>
        <w:rPr>
          <w:rFonts w:eastAsia="Times New Roman" w:cs="Arial"/>
          <w:kern w:val="0"/>
          <w:lang w:eastAsia="en-GB"/>
          <w14:ligatures w14:val="none"/>
        </w:rPr>
      </w:pPr>
      <w:r w:rsidRPr="00122285">
        <w:rPr>
          <w:rFonts w:eastAsia="Aptos" w:cs="Arial"/>
        </w:rPr>
        <w:t>As can be seen from sections 12.3 and 12.4, those living within the locality and registered with one of the GP practices generally choose to access one of the pharmacies in the locality in order to have their prescriptions dispensed.</w:t>
      </w:r>
      <w:r w:rsidRPr="00122285">
        <w:rPr>
          <w:rFonts w:eastAsia="Times New Roman" w:cs="Arial"/>
          <w:kern w:val="0"/>
          <w:lang w:eastAsia="en-GB"/>
          <w14:ligatures w14:val="none"/>
        </w:rPr>
        <w:t xml:space="preserve"> Those that look outside the locality usually do so to access a neighbouring pharmacy within the health board’s area. A minority choose to have their prescription dispensed by a pharmacy or an appliance contractor outside of the health board’s area. </w:t>
      </w:r>
    </w:p>
    <w:p w14:paraId="43B246AF" w14:textId="77777777" w:rsidR="00122285" w:rsidRPr="00122285" w:rsidRDefault="00122285" w:rsidP="00122285">
      <w:pPr>
        <w:rPr>
          <w:rFonts w:eastAsia="Times New Roman" w:cs="Arial"/>
          <w:kern w:val="0"/>
          <w:lang w:val="en-US" w:eastAsia="en-GB"/>
          <w14:ligatures w14:val="none"/>
        </w:rPr>
      </w:pPr>
    </w:p>
    <w:p w14:paraId="294E7EA5" w14:textId="77777777" w:rsidR="00122285" w:rsidRPr="00122285" w:rsidRDefault="00122285" w:rsidP="00122285">
      <w:pPr>
        <w:rPr>
          <w:rFonts w:eastAsia="Times New Roman" w:cs="Arial"/>
          <w:kern w:val="0"/>
          <w:lang w:val="en-US" w:eastAsia="en-GB"/>
          <w14:ligatures w14:val="none"/>
        </w:rPr>
      </w:pPr>
      <w:r w:rsidRPr="00122285">
        <w:rPr>
          <w:rFonts w:eastAsia="Times New Roman" w:cs="Arial"/>
          <w:kern w:val="0"/>
          <w:lang w:val="en-US" w:eastAsia="en-GB"/>
          <w14:ligatures w14:val="none"/>
        </w:rPr>
        <w:t xml:space="preserve">A total of 201 contractors that were trading in Wales during 2024 to 2025, dispensed items written by one of the GP practices in the locality, of which 113 were outside of the health board’s area. 6,872 prescription items were dispensed in England. </w:t>
      </w:r>
    </w:p>
    <w:p w14:paraId="435D35F7" w14:textId="77777777" w:rsidR="00122285" w:rsidRPr="00122285" w:rsidRDefault="00122285" w:rsidP="00122285">
      <w:pPr>
        <w:rPr>
          <w:rFonts w:eastAsia="Times New Roman" w:cs="Arial"/>
          <w:kern w:val="0"/>
          <w:lang w:val="en-US" w:eastAsia="en-GB"/>
          <w14:ligatures w14:val="none"/>
        </w:rPr>
      </w:pPr>
    </w:p>
    <w:p w14:paraId="69EC1D25" w14:textId="77777777" w:rsidR="00122285" w:rsidRPr="00122285" w:rsidRDefault="00122285" w:rsidP="00122285">
      <w:pPr>
        <w:rPr>
          <w:rFonts w:eastAsia="Times New Roman" w:cs="Arial"/>
          <w:kern w:val="0"/>
          <w:lang w:val="en-US" w:eastAsia="en-GB"/>
          <w14:ligatures w14:val="none"/>
        </w:rPr>
      </w:pPr>
      <w:r w:rsidRPr="00122285">
        <w:rPr>
          <w:rFonts w:eastAsia="Times New Roman" w:cs="Arial"/>
          <w:kern w:val="0"/>
          <w:lang w:val="en-US" w:eastAsia="en-GB"/>
          <w14:ligatures w14:val="none"/>
        </w:rPr>
        <w:t xml:space="preserve">A total of 187 contractors that were trading in Wales during 2025/26 (up to December 2025), dispensed items written by one of the GP practices in the locality, of which 100 were outside of the health board’s area. 5,553 prescription items were dispensed in England. </w:t>
      </w:r>
    </w:p>
    <w:p w14:paraId="397054DB" w14:textId="77777777" w:rsidR="00D7495C" w:rsidRPr="00122285" w:rsidRDefault="00D7495C" w:rsidP="00122285">
      <w:pPr>
        <w:rPr>
          <w:rFonts w:eastAsia="Times New Roman" w:cs="Arial"/>
          <w:kern w:val="0"/>
          <w:lang w:val="en-US" w:eastAsia="en-GB"/>
          <w14:ligatures w14:val="none"/>
        </w:rPr>
      </w:pPr>
    </w:p>
    <w:p w14:paraId="4C7E7B95" w14:textId="77777777" w:rsidR="00122285" w:rsidRPr="00122285" w:rsidRDefault="00122285" w:rsidP="00122285">
      <w:pPr>
        <w:rPr>
          <w:rFonts w:eastAsia="Aptos" w:cs="Arial"/>
          <w:b/>
          <w:bCs/>
          <w:sz w:val="26"/>
          <w:szCs w:val="26"/>
        </w:rPr>
      </w:pPr>
      <w:r w:rsidRPr="00122285">
        <w:rPr>
          <w:rFonts w:eastAsia="Aptos" w:cs="Arial"/>
          <w:b/>
          <w:bCs/>
          <w:sz w:val="26"/>
          <w:szCs w:val="26"/>
        </w:rPr>
        <w:t>12.7 Housing developments</w:t>
      </w:r>
    </w:p>
    <w:p w14:paraId="2B57F09A" w14:textId="77777777" w:rsidR="00122285" w:rsidRPr="00122285" w:rsidRDefault="00122285" w:rsidP="00122285">
      <w:pPr>
        <w:contextualSpacing/>
        <w:rPr>
          <w:rFonts w:eastAsia="Aptos" w:cs="Arial"/>
        </w:rPr>
      </w:pPr>
    </w:p>
    <w:p w14:paraId="67B605E1" w14:textId="77777777" w:rsidR="00122285" w:rsidRPr="00122285" w:rsidRDefault="00122285" w:rsidP="00122285">
      <w:pPr>
        <w:rPr>
          <w:rFonts w:eastAsia="Aptos" w:cs="Arial"/>
        </w:rPr>
      </w:pPr>
      <w:r w:rsidRPr="00122285">
        <w:rPr>
          <w:rFonts w:eastAsia="Aptos" w:cs="Arial"/>
        </w:rPr>
        <w:t>Work is underway in preparing a new local development plan for Swansea which will cover the period 2023 to 2038. The following strategic regeneration and placemaking areas are expected to be included in the plan period and the estimated capacity for new housing provision is set out below although this is subject to further detailed assessment so may change as the plan is finalised.</w:t>
      </w:r>
    </w:p>
    <w:p w14:paraId="4D0C82F2" w14:textId="77777777" w:rsidR="00122285" w:rsidRPr="00122285" w:rsidRDefault="00122285" w:rsidP="00122285">
      <w:pPr>
        <w:rPr>
          <w:rFonts w:eastAsia="Aptos" w:cs="Arial"/>
        </w:rPr>
      </w:pPr>
    </w:p>
    <w:p w14:paraId="74086191" w14:textId="77777777" w:rsidR="00122285" w:rsidRPr="00122285" w:rsidRDefault="00122285" w:rsidP="00B76905">
      <w:pPr>
        <w:numPr>
          <w:ilvl w:val="0"/>
          <w:numId w:val="153"/>
        </w:numPr>
        <w:contextualSpacing/>
        <w:rPr>
          <w:rFonts w:eastAsia="Aptos" w:cs="Arial"/>
        </w:rPr>
      </w:pPr>
      <w:r w:rsidRPr="00122285">
        <w:rPr>
          <w:rFonts w:eastAsia="Aptos" w:cs="Arial"/>
        </w:rPr>
        <w:t>Waunarlwydd/Fforestfach – 500 dwellings. Assuming an average occupancy rate of 2.5 this equates to 1,250 people. It is to be noted that this site also falls within Bay locality.</w:t>
      </w:r>
    </w:p>
    <w:p w14:paraId="0093E7D9" w14:textId="77777777" w:rsidR="00122285" w:rsidRPr="00122285" w:rsidRDefault="00122285" w:rsidP="00B76905">
      <w:pPr>
        <w:numPr>
          <w:ilvl w:val="0"/>
          <w:numId w:val="153"/>
        </w:numPr>
        <w:contextualSpacing/>
        <w:rPr>
          <w:rFonts w:eastAsia="Aptos" w:cs="Arial"/>
        </w:rPr>
      </w:pPr>
      <w:r w:rsidRPr="00122285">
        <w:rPr>
          <w:rFonts w:eastAsia="Aptos" w:cs="Arial"/>
        </w:rPr>
        <w:t>Tawe riverside corridor and Hafod Morfa copper works - 200 dwellings. Assuming an average occupancy rate of 2.5 this equates to 500 people. It is to be noted that this site also falls within City locality.</w:t>
      </w:r>
    </w:p>
    <w:p w14:paraId="45322029" w14:textId="77777777" w:rsidR="00122285" w:rsidRPr="00122285" w:rsidRDefault="00122285" w:rsidP="00B76905">
      <w:pPr>
        <w:numPr>
          <w:ilvl w:val="0"/>
          <w:numId w:val="153"/>
        </w:numPr>
        <w:contextualSpacing/>
        <w:rPr>
          <w:rFonts w:eastAsia="Aptos" w:cs="Arial"/>
        </w:rPr>
      </w:pPr>
      <w:r w:rsidRPr="00122285">
        <w:rPr>
          <w:rFonts w:eastAsia="Aptos" w:cs="Arial"/>
        </w:rPr>
        <w:t>Penllergaer - 850 dwellings. Assuming an average occupancy rate of 2.5 this equates to 2,125 people. It is to be noted that this site also falls within Llwchwr and Cwmtawe localities.</w:t>
      </w:r>
    </w:p>
    <w:p w14:paraId="2F08A4CE" w14:textId="77777777" w:rsidR="00122285" w:rsidRPr="00122285" w:rsidRDefault="00122285" w:rsidP="00B76905">
      <w:pPr>
        <w:numPr>
          <w:ilvl w:val="0"/>
          <w:numId w:val="153"/>
        </w:numPr>
        <w:contextualSpacing/>
        <w:rPr>
          <w:rFonts w:eastAsia="Aptos" w:cs="Arial"/>
        </w:rPr>
      </w:pPr>
      <w:r w:rsidRPr="00122285">
        <w:rPr>
          <w:rFonts w:eastAsia="Aptos" w:cs="Arial"/>
        </w:rPr>
        <w:t>Llangyfelach/Penderry – 1,950 dwellings. Assuming an average occupancy rate of 2.5 this equates to 4,875 people. It is to be noted that this site also falls within Cwmtawe locality.</w:t>
      </w:r>
    </w:p>
    <w:p w14:paraId="79A744F4" w14:textId="77777777" w:rsidR="00122285" w:rsidRDefault="00122285" w:rsidP="00122285">
      <w:pPr>
        <w:widowControl w:val="0"/>
        <w:autoSpaceDE w:val="0"/>
        <w:autoSpaceDN w:val="0"/>
        <w:rPr>
          <w:rFonts w:eastAsia="Aptos" w:cs="Arial"/>
        </w:rPr>
      </w:pPr>
    </w:p>
    <w:p w14:paraId="00FC14F3" w14:textId="77777777" w:rsidR="00432193" w:rsidRDefault="00432193" w:rsidP="00122285">
      <w:pPr>
        <w:widowControl w:val="0"/>
        <w:autoSpaceDE w:val="0"/>
        <w:autoSpaceDN w:val="0"/>
        <w:rPr>
          <w:rFonts w:eastAsia="Aptos" w:cs="Arial"/>
        </w:rPr>
      </w:pPr>
    </w:p>
    <w:p w14:paraId="1526E1F5" w14:textId="77777777" w:rsidR="00432193" w:rsidRPr="00122285" w:rsidRDefault="00432193" w:rsidP="00122285">
      <w:pPr>
        <w:widowControl w:val="0"/>
        <w:autoSpaceDE w:val="0"/>
        <w:autoSpaceDN w:val="0"/>
        <w:rPr>
          <w:rFonts w:eastAsia="Aptos" w:cs="Arial"/>
        </w:rPr>
      </w:pPr>
    </w:p>
    <w:p w14:paraId="210D47D8" w14:textId="77777777" w:rsidR="00122285" w:rsidRPr="00122285" w:rsidRDefault="00122285" w:rsidP="00122285">
      <w:pPr>
        <w:rPr>
          <w:rFonts w:eastAsia="Aptos" w:cs="Arial"/>
          <w:b/>
          <w:bCs/>
          <w:sz w:val="26"/>
          <w:szCs w:val="26"/>
        </w:rPr>
      </w:pPr>
      <w:r w:rsidRPr="00122285">
        <w:rPr>
          <w:rFonts w:eastAsia="Aptos" w:cs="Arial"/>
          <w:b/>
          <w:bCs/>
          <w:sz w:val="26"/>
          <w:szCs w:val="26"/>
        </w:rPr>
        <w:lastRenderedPageBreak/>
        <w:t>12.8 Gaps in provision</w:t>
      </w:r>
    </w:p>
    <w:p w14:paraId="1589DF0C" w14:textId="77777777" w:rsidR="00122285" w:rsidRPr="00122285" w:rsidRDefault="00122285" w:rsidP="00122285">
      <w:pPr>
        <w:rPr>
          <w:rFonts w:eastAsia="Times New Roman" w:cs="Arial"/>
          <w:bCs/>
          <w:kern w:val="0"/>
          <w:lang w:val="en-US" w:eastAsia="en-GB"/>
          <w14:ligatures w14:val="none"/>
        </w:rPr>
      </w:pPr>
    </w:p>
    <w:p w14:paraId="653E7DF6" w14:textId="77777777" w:rsidR="00122285" w:rsidRPr="00122285" w:rsidRDefault="00122285" w:rsidP="00122285">
      <w:pPr>
        <w:rPr>
          <w:rFonts w:eastAsia="Aptos" w:cs="Arial"/>
        </w:rPr>
      </w:pPr>
      <w:r w:rsidRPr="00122285">
        <w:rPr>
          <w:rFonts w:eastAsia="Aptos" w:cs="Arial"/>
        </w:rPr>
        <w:t>When considering if there are any gaps in the provision of pharmaceutical services the health board has noted that of the pharmacies in the locality:</w:t>
      </w:r>
    </w:p>
    <w:p w14:paraId="297345D2" w14:textId="77777777" w:rsidR="00122285" w:rsidRPr="00122285" w:rsidRDefault="00122285" w:rsidP="00122285">
      <w:pPr>
        <w:rPr>
          <w:rFonts w:eastAsia="Times New Roman" w:cs="Arial"/>
          <w:kern w:val="0"/>
          <w:lang w:eastAsia="en-GB"/>
          <w14:ligatures w14:val="none"/>
        </w:rPr>
      </w:pPr>
    </w:p>
    <w:p w14:paraId="464A6201" w14:textId="77777777" w:rsidR="00122285" w:rsidRPr="00122285" w:rsidRDefault="00122285" w:rsidP="00B76905">
      <w:pPr>
        <w:numPr>
          <w:ilvl w:val="0"/>
          <w:numId w:val="182"/>
        </w:numPr>
        <w:contextualSpacing/>
        <w:rPr>
          <w:rFonts w:eastAsia="Times New Roman" w:cs="Arial"/>
          <w:kern w:val="0"/>
          <w:lang w:eastAsia="en-GB"/>
          <w14:ligatures w14:val="none"/>
        </w:rPr>
      </w:pPr>
      <w:r w:rsidRPr="00122285">
        <w:rPr>
          <w:rFonts w:eastAsia="Times New Roman" w:cs="Arial"/>
          <w:kern w:val="0"/>
          <w:lang w:eastAsia="en-GB"/>
          <w14:ligatures w14:val="none"/>
        </w:rPr>
        <w:t>Seven of the pharmacies have sufficient capacity within their premises to manage an increase in demand, and one doesn’t but could make adjustments.</w:t>
      </w:r>
    </w:p>
    <w:p w14:paraId="2E9E9C9A" w14:textId="77777777" w:rsidR="00122285" w:rsidRPr="00122285" w:rsidRDefault="00122285" w:rsidP="00122285">
      <w:pPr>
        <w:rPr>
          <w:rFonts w:eastAsia="Times New Roman" w:cs="Arial"/>
          <w:kern w:val="0"/>
          <w:lang w:eastAsia="en-GB"/>
          <w14:ligatures w14:val="none"/>
        </w:rPr>
      </w:pPr>
    </w:p>
    <w:p w14:paraId="15EA8A6D" w14:textId="77777777" w:rsidR="00122285" w:rsidRPr="00122285" w:rsidRDefault="00122285" w:rsidP="00B76905">
      <w:pPr>
        <w:numPr>
          <w:ilvl w:val="0"/>
          <w:numId w:val="182"/>
        </w:numPr>
        <w:contextualSpacing/>
        <w:rPr>
          <w:rFonts w:eastAsia="Times New Roman" w:cs="Arial"/>
          <w:kern w:val="0"/>
          <w:lang w:eastAsia="en-GB"/>
          <w14:ligatures w14:val="none"/>
        </w:rPr>
      </w:pPr>
      <w:r w:rsidRPr="00122285">
        <w:rPr>
          <w:rFonts w:eastAsia="Times New Roman" w:cs="Arial"/>
          <w:kern w:val="0"/>
          <w:lang w:eastAsia="en-GB"/>
          <w14:ligatures w14:val="none"/>
        </w:rPr>
        <w:t>Five pharmacies have sufficient capacity within their staffing levels to manage an increase in demand, and two don’t but could make adjustments. One pharmacy didn’t answer this question.</w:t>
      </w:r>
    </w:p>
    <w:p w14:paraId="61CD4034" w14:textId="77777777" w:rsidR="00122285" w:rsidRPr="00122285" w:rsidRDefault="00122285" w:rsidP="00122285">
      <w:pPr>
        <w:rPr>
          <w:rFonts w:eastAsia="Times New Roman" w:cs="Arial"/>
          <w:bCs/>
          <w:kern w:val="0"/>
          <w:lang w:val="en-US" w:eastAsia="en-GB"/>
          <w14:ligatures w14:val="none"/>
        </w:rPr>
      </w:pPr>
    </w:p>
    <w:p w14:paraId="1A24E51B" w14:textId="77777777" w:rsidR="00122285" w:rsidRPr="00122285" w:rsidRDefault="00122285" w:rsidP="00122285">
      <w:pPr>
        <w:rPr>
          <w:rFonts w:eastAsia="Times New Roman" w:cs="Arial"/>
          <w:b/>
          <w:kern w:val="0"/>
          <w:lang w:val="en-US" w:eastAsia="en-GB"/>
          <w14:ligatures w14:val="none"/>
        </w:rPr>
      </w:pPr>
      <w:r w:rsidRPr="00122285">
        <w:rPr>
          <w:rFonts w:eastAsia="Times New Roman" w:cs="Arial"/>
          <w:b/>
          <w:kern w:val="0"/>
          <w:lang w:val="en-US" w:eastAsia="en-GB"/>
          <w14:ligatures w14:val="none"/>
        </w:rPr>
        <w:t>12.8.1 Essential services</w:t>
      </w:r>
    </w:p>
    <w:p w14:paraId="14760AF6" w14:textId="77777777" w:rsidR="00122285" w:rsidRPr="00122285" w:rsidRDefault="00122285" w:rsidP="00122285">
      <w:pPr>
        <w:rPr>
          <w:rFonts w:eastAsia="Times New Roman" w:cs="Arial"/>
          <w:b/>
          <w:kern w:val="0"/>
          <w:lang w:val="en-US" w:eastAsia="en-GB"/>
          <w14:ligatures w14:val="none"/>
        </w:rPr>
      </w:pPr>
    </w:p>
    <w:p w14:paraId="0F8F4428" w14:textId="77777777" w:rsidR="00122285" w:rsidRPr="00122285" w:rsidRDefault="00122285" w:rsidP="00122285">
      <w:pPr>
        <w:textAlignment w:val="baseline"/>
        <w:rPr>
          <w:rFonts w:eastAsia="Times New Roman" w:cs="Arial"/>
          <w:kern w:val="0"/>
          <w:lang w:eastAsia="en-GB"/>
          <w14:ligatures w14:val="none"/>
        </w:rPr>
      </w:pPr>
      <w:r w:rsidRPr="00122285">
        <w:rPr>
          <w:rFonts w:eastAsia="Times New Roman" w:cs="Arial"/>
          <w:kern w:val="0"/>
          <w:lang w:eastAsia="en-GB"/>
          <w14:ligatures w14:val="none"/>
        </w:rPr>
        <w:t>The health board has noted: </w:t>
      </w:r>
    </w:p>
    <w:p w14:paraId="06365C45" w14:textId="77777777" w:rsidR="00122285" w:rsidRPr="00122285" w:rsidRDefault="00122285" w:rsidP="00122285">
      <w:pPr>
        <w:textAlignment w:val="baseline"/>
        <w:rPr>
          <w:rFonts w:eastAsia="Times New Roman" w:cs="Arial"/>
          <w:kern w:val="0"/>
          <w:lang w:eastAsia="en-GB"/>
          <w14:ligatures w14:val="none"/>
        </w:rPr>
      </w:pPr>
      <w:r w:rsidRPr="00122285">
        <w:rPr>
          <w:rFonts w:eastAsia="Times New Roman" w:cs="Arial"/>
          <w:kern w:val="0"/>
          <w:lang w:eastAsia="en-GB"/>
          <w14:ligatures w14:val="none"/>
        </w:rPr>
        <w:t> </w:t>
      </w:r>
    </w:p>
    <w:p w14:paraId="6E7E7D35" w14:textId="77777777" w:rsidR="00122285" w:rsidRPr="00122285" w:rsidRDefault="00122285" w:rsidP="00B76905">
      <w:pPr>
        <w:numPr>
          <w:ilvl w:val="0"/>
          <w:numId w:val="155"/>
        </w:numPr>
        <w:contextualSpacing/>
        <w:rPr>
          <w:rFonts w:eastAsia="Times New Roman" w:cs="Arial"/>
          <w:kern w:val="0"/>
          <w:lang w:eastAsia="en-GB"/>
          <w14:ligatures w14:val="none"/>
        </w:rPr>
      </w:pPr>
      <w:r w:rsidRPr="00122285">
        <w:rPr>
          <w:rFonts w:eastAsia="Times New Roman" w:cs="Arial"/>
          <w:kern w:val="0"/>
          <w:lang w:eastAsia="en-GB"/>
          <w14:ligatures w14:val="none"/>
        </w:rPr>
        <w:t xml:space="preserve">The location of pharmacies across the locality and the fact residents are able to access a pharmacy by car within 20 minutes and for many the travel time will be shorter. Whilst noting that not all households have access to a car throughout the day, the nature of the locality means that walking to a pharmacy will be a realistic option for many residents and regular public transport services are available for those who are unable to undertake the whole journey on foot. </w:t>
      </w:r>
    </w:p>
    <w:p w14:paraId="059658A9" w14:textId="77777777" w:rsidR="00122285" w:rsidRPr="00122285" w:rsidRDefault="00122285" w:rsidP="00B76905">
      <w:pPr>
        <w:numPr>
          <w:ilvl w:val="0"/>
          <w:numId w:val="155"/>
        </w:numPr>
        <w:textAlignment w:val="baseline"/>
        <w:rPr>
          <w:rFonts w:eastAsia="Times New Roman" w:cs="Arial"/>
          <w:kern w:val="0"/>
          <w:lang w:eastAsia="en-GB"/>
          <w14:ligatures w14:val="none"/>
        </w:rPr>
      </w:pPr>
      <w:r w:rsidRPr="00122285">
        <w:rPr>
          <w:rFonts w:eastAsia="Times New Roman" w:cs="Arial"/>
          <w:kern w:val="0"/>
          <w:lang w:eastAsia="en-GB"/>
          <w14:ligatures w14:val="none"/>
        </w:rPr>
        <w:t>The scale of the known housing developments.</w:t>
      </w:r>
    </w:p>
    <w:p w14:paraId="73D40F5A" w14:textId="77777777" w:rsidR="00122285" w:rsidRPr="00122285" w:rsidRDefault="00122285" w:rsidP="00B76905">
      <w:pPr>
        <w:numPr>
          <w:ilvl w:val="0"/>
          <w:numId w:val="155"/>
        </w:numPr>
        <w:textAlignment w:val="baseline"/>
        <w:rPr>
          <w:rFonts w:eastAsia="Times New Roman" w:cs="Arial"/>
          <w:kern w:val="0"/>
          <w:lang w:eastAsia="en-GB"/>
          <w14:ligatures w14:val="none"/>
        </w:rPr>
      </w:pPr>
      <w:r w:rsidRPr="00122285">
        <w:rPr>
          <w:rFonts w:eastAsia="Times New Roman" w:cs="Arial"/>
          <w:kern w:val="0"/>
          <w:lang w:eastAsia="en-GB"/>
          <w14:ligatures w14:val="none"/>
        </w:rPr>
        <w:t>The opening hours of the pharmacies.</w:t>
      </w:r>
    </w:p>
    <w:p w14:paraId="295DE63C" w14:textId="77777777" w:rsidR="00122285" w:rsidRPr="00122285" w:rsidRDefault="00122285" w:rsidP="00122285">
      <w:pPr>
        <w:rPr>
          <w:rFonts w:eastAsia="Aptos" w:cs="Arial"/>
        </w:rPr>
      </w:pPr>
    </w:p>
    <w:p w14:paraId="12564D10" w14:textId="77777777" w:rsidR="00122285" w:rsidRPr="00122285" w:rsidRDefault="00122285" w:rsidP="00122285">
      <w:pPr>
        <w:contextualSpacing/>
        <w:rPr>
          <w:rFonts w:eastAsia="Times New Roman" w:cs="Arial"/>
          <w:kern w:val="0"/>
          <w:lang w:eastAsia="en-GB"/>
          <w14:ligatures w14:val="none"/>
        </w:rPr>
      </w:pPr>
      <w:r w:rsidRPr="00122285">
        <w:rPr>
          <w:rFonts w:eastAsia="Times New Roman" w:cs="Arial"/>
          <w:kern w:val="0"/>
          <w:lang w:eastAsia="en-GB"/>
          <w14:ligatures w14:val="none"/>
        </w:rPr>
        <w:t>The health board has not identified any current gaps in the provision of the essential services.</w:t>
      </w:r>
    </w:p>
    <w:p w14:paraId="13D71A4F" w14:textId="77777777" w:rsidR="00122285" w:rsidRPr="00122285" w:rsidRDefault="00122285" w:rsidP="00122285">
      <w:pPr>
        <w:rPr>
          <w:rFonts w:eastAsia="Aptos" w:cs="Arial"/>
        </w:rPr>
      </w:pPr>
    </w:p>
    <w:p w14:paraId="3E1904B8" w14:textId="77777777" w:rsidR="00122285" w:rsidRPr="00122285" w:rsidRDefault="00122285" w:rsidP="00122285">
      <w:pPr>
        <w:contextualSpacing/>
        <w:rPr>
          <w:rFonts w:eastAsia="Times New Roman" w:cs="Arial"/>
          <w:kern w:val="0"/>
          <w:lang w:eastAsia="en-GB"/>
          <w14:ligatures w14:val="none"/>
        </w:rPr>
      </w:pPr>
      <w:r w:rsidRPr="00122285">
        <w:rPr>
          <w:rFonts w:eastAsia="Times New Roman" w:cs="Arial"/>
          <w:kern w:val="0"/>
          <w:lang w:eastAsia="en-GB"/>
          <w14:ligatures w14:val="none"/>
        </w:rPr>
        <w:t>The health board has considered the known housing developments that will deliver housing in the locality during the lifetime of this document. It is satisfied that the need for essential services by those moving into the new housing will be met by the existing pharmacies.</w:t>
      </w:r>
    </w:p>
    <w:p w14:paraId="60D6CD46" w14:textId="77777777" w:rsidR="00122285" w:rsidRPr="00122285" w:rsidRDefault="00122285" w:rsidP="00122285">
      <w:pPr>
        <w:rPr>
          <w:rFonts w:eastAsia="Aptos" w:cs="Arial"/>
        </w:rPr>
      </w:pPr>
    </w:p>
    <w:p w14:paraId="2B8DECBE" w14:textId="77777777" w:rsidR="00122285" w:rsidRPr="00122285" w:rsidRDefault="00122285" w:rsidP="00122285">
      <w:pPr>
        <w:contextualSpacing/>
        <w:rPr>
          <w:rFonts w:eastAsia="Times New Roman" w:cs="Arial"/>
          <w:b/>
          <w:bCs/>
          <w:kern w:val="0"/>
          <w:lang w:eastAsia="en-GB"/>
          <w14:ligatures w14:val="none"/>
        </w:rPr>
      </w:pPr>
      <w:r w:rsidRPr="00122285">
        <w:rPr>
          <w:rFonts w:eastAsia="Times New Roman" w:cs="Arial"/>
          <w:b/>
          <w:bCs/>
          <w:kern w:val="0"/>
          <w:lang w:eastAsia="en-GB"/>
          <w14:ligatures w14:val="none"/>
        </w:rPr>
        <w:t>12.8.2 National community pharmacy and appliance contractor services</w:t>
      </w:r>
    </w:p>
    <w:p w14:paraId="7EC00797" w14:textId="77777777" w:rsidR="00122285" w:rsidRPr="00122285" w:rsidRDefault="00122285" w:rsidP="00122285">
      <w:pPr>
        <w:contextualSpacing/>
        <w:rPr>
          <w:rFonts w:eastAsia="Times New Roman" w:cs="Arial"/>
          <w:kern w:val="0"/>
          <w:lang w:eastAsia="en-GB"/>
          <w14:ligatures w14:val="none"/>
        </w:rPr>
      </w:pPr>
    </w:p>
    <w:p w14:paraId="27F03281"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12.8.2.1 Appliance use review service</w:t>
      </w:r>
    </w:p>
    <w:p w14:paraId="44CE4213" w14:textId="77777777" w:rsidR="00122285" w:rsidRPr="00122285" w:rsidRDefault="00122285" w:rsidP="00122285">
      <w:pPr>
        <w:rPr>
          <w:rFonts w:eastAsia="Times New Roman" w:cs="Arial"/>
          <w:b/>
          <w:bCs/>
          <w:kern w:val="0"/>
          <w:lang w:eastAsia="en-GB"/>
          <w14:ligatures w14:val="none"/>
        </w:rPr>
      </w:pPr>
    </w:p>
    <w:p w14:paraId="37C9AA1F"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The health board has noted none of the pharmacies have signed up to provide this service. However, of the items dispensed in England in 2024/25, 53.9% were dispensed by dispensing appliance contractors and 52.7% in the first nine months of 2025/26. </w:t>
      </w:r>
    </w:p>
    <w:p w14:paraId="4E902B39" w14:textId="77777777" w:rsidR="00122285" w:rsidRPr="00122285" w:rsidRDefault="00122285" w:rsidP="00122285">
      <w:pPr>
        <w:rPr>
          <w:rFonts w:eastAsia="Times New Roman" w:cs="Arial"/>
          <w:kern w:val="0"/>
          <w:lang w:eastAsia="en-GB"/>
          <w14:ligatures w14:val="none"/>
        </w:rPr>
      </w:pPr>
    </w:p>
    <w:p w14:paraId="0BD6F9E2"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Individuals requiring the appliance use review service are likely to access this service from the contractor that dispenses their prescriptions for appliances or may access it from other healthcare providers such as stoma nurses.</w:t>
      </w:r>
    </w:p>
    <w:p w14:paraId="513D1437" w14:textId="77777777" w:rsidR="00122285" w:rsidRPr="00122285" w:rsidRDefault="00122285" w:rsidP="00122285">
      <w:pPr>
        <w:rPr>
          <w:rFonts w:eastAsia="Times New Roman" w:cs="Arial"/>
          <w:kern w:val="0"/>
          <w:lang w:eastAsia="en-GB"/>
          <w14:ligatures w14:val="none"/>
        </w:rPr>
      </w:pPr>
    </w:p>
    <w:p w14:paraId="2F3D55E7"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Based on the above, the health board has not identified any current or future needs for this service within the locality.</w:t>
      </w:r>
    </w:p>
    <w:p w14:paraId="5F15432D" w14:textId="77777777" w:rsidR="00122285" w:rsidRPr="00122285" w:rsidRDefault="00122285" w:rsidP="00122285">
      <w:pPr>
        <w:rPr>
          <w:rFonts w:eastAsia="Times New Roman" w:cs="Arial"/>
          <w:b/>
          <w:bCs/>
          <w:kern w:val="0"/>
          <w:lang w:eastAsia="en-GB"/>
          <w14:ligatures w14:val="none"/>
        </w:rPr>
      </w:pPr>
    </w:p>
    <w:p w14:paraId="4DBF0165"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12.8.2.2 Clinical community pharmacy service</w:t>
      </w:r>
    </w:p>
    <w:p w14:paraId="33A556AF" w14:textId="77777777" w:rsidR="00122285" w:rsidRPr="00122285" w:rsidRDefault="00122285" w:rsidP="00122285">
      <w:pPr>
        <w:rPr>
          <w:rFonts w:eastAsia="Times New Roman" w:cs="Arial"/>
          <w:kern w:val="0"/>
          <w:lang w:eastAsia="en-GB"/>
          <w14:ligatures w14:val="none"/>
        </w:rPr>
      </w:pPr>
    </w:p>
    <w:p w14:paraId="68FB4CFE"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The health board has noted all the pharmacies have signed up and provide this service. As a result, the health board has not identified any current or future needs for this service within the locality.</w:t>
      </w:r>
    </w:p>
    <w:p w14:paraId="0BC588D0" w14:textId="77777777" w:rsidR="00122285" w:rsidRPr="00122285" w:rsidRDefault="00122285" w:rsidP="00122285">
      <w:pPr>
        <w:rPr>
          <w:rFonts w:eastAsia="Times New Roman" w:cs="Arial"/>
          <w:kern w:val="0"/>
          <w:lang w:eastAsia="en-GB"/>
          <w14:ligatures w14:val="none"/>
        </w:rPr>
      </w:pPr>
    </w:p>
    <w:p w14:paraId="341E538D"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 xml:space="preserve">12.8.2.3 Discharge medicines review service </w:t>
      </w:r>
    </w:p>
    <w:p w14:paraId="0A7826B6" w14:textId="77777777" w:rsidR="00122285" w:rsidRPr="00122285" w:rsidRDefault="00122285" w:rsidP="00122285">
      <w:pPr>
        <w:rPr>
          <w:rFonts w:eastAsia="Times New Roman" w:cs="Arial"/>
          <w:b/>
          <w:bCs/>
          <w:kern w:val="0"/>
          <w:lang w:eastAsia="en-GB"/>
          <w14:ligatures w14:val="none"/>
        </w:rPr>
      </w:pPr>
    </w:p>
    <w:p w14:paraId="3E71C977"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The health board has noted all the pharmacies have signed up to provide this service, and seven pharmacies provide it. As a result, the health board has not identified any current or future needs for this service within the locality.</w:t>
      </w:r>
    </w:p>
    <w:p w14:paraId="2E4AC0A9" w14:textId="77777777" w:rsidR="00122285" w:rsidRPr="00122285" w:rsidRDefault="00122285" w:rsidP="00122285">
      <w:pPr>
        <w:ind w:left="360"/>
        <w:rPr>
          <w:rFonts w:eastAsia="Times New Roman" w:cs="Arial"/>
          <w:kern w:val="0"/>
          <w:lang w:eastAsia="en-GB"/>
          <w14:ligatures w14:val="none"/>
        </w:rPr>
      </w:pPr>
    </w:p>
    <w:p w14:paraId="04CDD27D"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12.8.2.4 Influenza vaccination service</w:t>
      </w:r>
    </w:p>
    <w:p w14:paraId="6710B6A3" w14:textId="77777777" w:rsidR="00122285" w:rsidRPr="00122285" w:rsidRDefault="00122285" w:rsidP="00122285">
      <w:pPr>
        <w:rPr>
          <w:rFonts w:eastAsia="Times New Roman" w:cs="Arial"/>
          <w:kern w:val="0"/>
          <w:lang w:eastAsia="en-GB"/>
          <w14:ligatures w14:val="none"/>
        </w:rPr>
      </w:pPr>
    </w:p>
    <w:p w14:paraId="073B7205"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The health board noted all the pharmacies have signed up to provide this service, and all pharmacies provide it. As a result, the health board has not identified any current or future needs for this service within the locality.</w:t>
      </w:r>
    </w:p>
    <w:p w14:paraId="0E91E563" w14:textId="77777777" w:rsidR="00122285" w:rsidRPr="00122285" w:rsidRDefault="00122285" w:rsidP="00122285">
      <w:pPr>
        <w:ind w:left="360"/>
        <w:rPr>
          <w:rFonts w:eastAsia="Times New Roman" w:cs="Arial"/>
          <w:kern w:val="0"/>
          <w:lang w:eastAsia="en-GB"/>
          <w14:ligatures w14:val="none"/>
        </w:rPr>
      </w:pPr>
    </w:p>
    <w:p w14:paraId="0E19C9F4"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12.8.2.5 Lateral flow test supply service</w:t>
      </w:r>
    </w:p>
    <w:p w14:paraId="0E6557F5" w14:textId="77777777" w:rsidR="00122285" w:rsidRPr="00122285" w:rsidRDefault="00122285" w:rsidP="00122285">
      <w:pPr>
        <w:rPr>
          <w:rFonts w:eastAsia="Times New Roman" w:cs="Arial"/>
          <w:kern w:val="0"/>
          <w:lang w:eastAsia="en-GB"/>
          <w14:ligatures w14:val="none"/>
        </w:rPr>
      </w:pPr>
    </w:p>
    <w:p w14:paraId="60EBFBF6"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The health board has noted eight of the pharmacies have signed up to provide this service, and five pharmacies provide it. It has also noted that this service is only available to specified patient groups. If one of the pharmacies that doesn’t provide the service identified a need for it, the health board would commission the service from that pharmacy. As a result, the health board has not identified any current or future needs for this service within the locality.</w:t>
      </w:r>
    </w:p>
    <w:p w14:paraId="582E01C7" w14:textId="77777777" w:rsidR="00122285" w:rsidRPr="00122285" w:rsidRDefault="00122285" w:rsidP="00122285">
      <w:pPr>
        <w:ind w:left="360"/>
        <w:rPr>
          <w:rFonts w:eastAsia="Times New Roman" w:cs="Arial"/>
          <w:kern w:val="0"/>
          <w:lang w:eastAsia="en-GB"/>
          <w14:ligatures w14:val="none"/>
        </w:rPr>
      </w:pPr>
    </w:p>
    <w:p w14:paraId="78072155"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12.8.2.6 Pharmacist independent prescribing service</w:t>
      </w:r>
    </w:p>
    <w:p w14:paraId="4496A540" w14:textId="77777777" w:rsidR="00122285" w:rsidRPr="00122285" w:rsidRDefault="00122285" w:rsidP="00122285">
      <w:pPr>
        <w:rPr>
          <w:rFonts w:eastAsia="Times New Roman" w:cs="Arial"/>
          <w:kern w:val="0"/>
          <w:lang w:eastAsia="en-GB"/>
          <w14:ligatures w14:val="none"/>
        </w:rPr>
      </w:pPr>
    </w:p>
    <w:p w14:paraId="624E6D54"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The health board has noted five of the pharmacies have signed up to provide the service, and four pharmacies provide it, and that two more pharmacies intend to start providing it.</w:t>
      </w:r>
    </w:p>
    <w:p w14:paraId="75C50AA0" w14:textId="77777777" w:rsidR="00122285" w:rsidRPr="00122285" w:rsidRDefault="00122285" w:rsidP="00122285">
      <w:pPr>
        <w:rPr>
          <w:rFonts w:eastAsia="Times New Roman" w:cs="Arial"/>
          <w:kern w:val="0"/>
          <w:lang w:eastAsia="en-GB"/>
          <w14:ligatures w14:val="none"/>
        </w:rPr>
      </w:pPr>
    </w:p>
    <w:p w14:paraId="23359789"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Welsh Government’s ambition is for each pharmacy to have an independent prescriber by 2030. The health board has noted that from 2026 it is anticipated that all newly qualified pharmacists will also qualify as independent prescribers on completion of their undergraduate programme.</w:t>
      </w:r>
    </w:p>
    <w:p w14:paraId="5A031C8A" w14:textId="77777777" w:rsidR="00122285" w:rsidRPr="00122285" w:rsidRDefault="00122285" w:rsidP="00122285">
      <w:pPr>
        <w:rPr>
          <w:rFonts w:eastAsia="Times New Roman" w:cs="Arial"/>
          <w:kern w:val="0"/>
          <w:lang w:eastAsia="en-GB"/>
          <w14:ligatures w14:val="none"/>
        </w:rPr>
      </w:pPr>
    </w:p>
    <w:p w14:paraId="446AB5B2"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Noting the above, the health board is of the opinion that the remaining pharmacies will sign up to provide this service during the lifetime of this pharmaceutical needs assessment. As a result, the health board has not identified any current or future needs for this service within the locality.</w:t>
      </w:r>
    </w:p>
    <w:p w14:paraId="4CC94627" w14:textId="77777777" w:rsidR="00122285" w:rsidRPr="00122285" w:rsidRDefault="00122285" w:rsidP="00122285">
      <w:pPr>
        <w:rPr>
          <w:rFonts w:eastAsia="Times New Roman" w:cs="Arial"/>
          <w:kern w:val="0"/>
          <w:lang w:eastAsia="en-GB"/>
          <w14:ligatures w14:val="none"/>
        </w:rPr>
      </w:pPr>
    </w:p>
    <w:p w14:paraId="609533DC"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 xml:space="preserve">12.8.2.7 Stoma appliance customisation service </w:t>
      </w:r>
    </w:p>
    <w:p w14:paraId="56F37C20" w14:textId="77777777" w:rsidR="00122285" w:rsidRPr="00122285" w:rsidRDefault="00122285" w:rsidP="00122285">
      <w:pPr>
        <w:rPr>
          <w:rFonts w:eastAsia="Times New Roman" w:cs="Arial"/>
          <w:kern w:val="0"/>
          <w:lang w:eastAsia="en-GB"/>
          <w14:ligatures w14:val="none"/>
        </w:rPr>
      </w:pPr>
    </w:p>
    <w:p w14:paraId="55EDC578"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The health board has noted none of the pharmacies have signed up to provide this service and neither have the four dispensing appliance contractors Cardiff and Vale University Health Board’s area. However, of the items dispensed in England in </w:t>
      </w:r>
      <w:r w:rsidRPr="00122285">
        <w:rPr>
          <w:rFonts w:eastAsia="Times New Roman" w:cs="Arial"/>
          <w:kern w:val="0"/>
          <w:lang w:eastAsia="en-GB"/>
          <w14:ligatures w14:val="none"/>
        </w:rPr>
        <w:lastRenderedPageBreak/>
        <w:t xml:space="preserve">2024/25, 53.9% were dispensed by dispensing appliance contractors and 52.7% in the first nine months of 2025/26. </w:t>
      </w:r>
    </w:p>
    <w:p w14:paraId="1DBD7160" w14:textId="77777777" w:rsidR="00122285" w:rsidRPr="00122285" w:rsidRDefault="00122285" w:rsidP="00122285">
      <w:pPr>
        <w:rPr>
          <w:rFonts w:eastAsia="Times New Roman" w:cs="Arial"/>
          <w:kern w:val="0"/>
          <w:lang w:eastAsia="en-GB"/>
          <w14:ligatures w14:val="none"/>
        </w:rPr>
      </w:pPr>
    </w:p>
    <w:p w14:paraId="07B32F1E"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It is therefore anticipated that these contractors will be customising stoma appliances as required before dispatching or delivering them to patients. Based on this, the health board has not identified any current or future needs for this service within the locality.</w:t>
      </w:r>
    </w:p>
    <w:p w14:paraId="00235111" w14:textId="77777777" w:rsidR="00122285" w:rsidRPr="00122285" w:rsidRDefault="00122285" w:rsidP="00122285">
      <w:pPr>
        <w:rPr>
          <w:rFonts w:eastAsia="Times New Roman" w:cs="Arial"/>
          <w:b/>
          <w:bCs/>
          <w:kern w:val="0"/>
          <w:lang w:eastAsia="en-GB"/>
          <w14:ligatures w14:val="none"/>
        </w:rPr>
      </w:pPr>
    </w:p>
    <w:p w14:paraId="65E9B15F"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12.8.3 Additional clinical services</w:t>
      </w:r>
    </w:p>
    <w:p w14:paraId="51466C31" w14:textId="77777777" w:rsidR="00122285" w:rsidRPr="00122285" w:rsidRDefault="00122285" w:rsidP="00122285">
      <w:pPr>
        <w:rPr>
          <w:rFonts w:eastAsia="Aptos" w:cs="Arial"/>
          <w:shd w:val="clear" w:color="auto" w:fill="FFFFFF"/>
        </w:rPr>
      </w:pPr>
    </w:p>
    <w:p w14:paraId="15B1847F"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12.8.3.1 Blood borne virus screening service</w:t>
      </w:r>
    </w:p>
    <w:p w14:paraId="5634B6CE" w14:textId="77777777" w:rsidR="00122285" w:rsidRPr="00122285" w:rsidRDefault="00122285" w:rsidP="00122285">
      <w:pPr>
        <w:rPr>
          <w:rFonts w:eastAsia="Times New Roman" w:cs="Arial"/>
          <w:kern w:val="0"/>
          <w:lang w:eastAsia="en-GB"/>
          <w14:ligatures w14:val="none"/>
        </w:rPr>
      </w:pPr>
    </w:p>
    <w:p w14:paraId="3F55DF4B"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The health board has noted two of the pharmacies have signed up to provide this service. </w:t>
      </w:r>
    </w:p>
    <w:p w14:paraId="5C640DA5" w14:textId="77777777" w:rsidR="00122285" w:rsidRPr="00122285" w:rsidRDefault="00122285" w:rsidP="00122285">
      <w:pPr>
        <w:rPr>
          <w:rFonts w:eastAsia="Times New Roman" w:cs="Arial"/>
          <w:kern w:val="0"/>
          <w:lang w:eastAsia="en-GB"/>
          <w14:ligatures w14:val="none"/>
        </w:rPr>
      </w:pPr>
    </w:p>
    <w:p w14:paraId="056C6523" w14:textId="42039FAC" w:rsidR="00122285" w:rsidRPr="00122285" w:rsidRDefault="00122285" w:rsidP="00122285">
      <w:pPr>
        <w:contextualSpacing/>
        <w:rPr>
          <w:rFonts w:eastAsia="Times New Roman" w:cs="Arial"/>
          <w:kern w:val="0"/>
          <w:lang w:eastAsia="en-GB"/>
          <w14:ligatures w14:val="none"/>
        </w:rPr>
      </w:pPr>
      <w:r w:rsidRPr="00122285">
        <w:rPr>
          <w:rFonts w:eastAsia="Times New Roman" w:cs="Arial"/>
          <w:kern w:val="0"/>
          <w:lang w:eastAsia="en-GB"/>
          <w14:ligatures w14:val="none"/>
        </w:rPr>
        <w:t xml:space="preserve">However, blood borne virus screening services are available through several other providers in the health board’s area, such as sexual health clinics, GP practices, ordering online home test and post screening kits via Sexual Health Wales or collecting screening kits from community venues across Swansea Bay. Several pharmacies across Swansea Bay hold a stock of the test and post screening kits, ensuring convenient access for those who may prefer a more discreet or flexible option. </w:t>
      </w:r>
    </w:p>
    <w:p w14:paraId="2A709C4C" w14:textId="77777777" w:rsidR="00122285" w:rsidRPr="00122285" w:rsidRDefault="00122285" w:rsidP="00122285">
      <w:pPr>
        <w:rPr>
          <w:rFonts w:eastAsia="Times New Roman" w:cs="Arial"/>
          <w:kern w:val="0"/>
          <w:lang w:eastAsia="en-GB"/>
          <w14:ligatures w14:val="none"/>
        </w:rPr>
      </w:pPr>
    </w:p>
    <w:p w14:paraId="3D28EC5F" w14:textId="77777777" w:rsidR="00122285" w:rsidRPr="00122285" w:rsidRDefault="00122285" w:rsidP="00122285">
      <w:pPr>
        <w:contextualSpacing/>
        <w:rPr>
          <w:rFonts w:eastAsia="Times New Roman" w:cs="Arial"/>
          <w:kern w:val="0"/>
          <w:lang w:eastAsia="en-GB"/>
          <w14:ligatures w14:val="none"/>
        </w:rPr>
      </w:pPr>
      <w:r w:rsidRPr="00122285">
        <w:rPr>
          <w:rFonts w:eastAsia="Times New Roman" w:cs="Arial"/>
          <w:kern w:val="0"/>
          <w:lang w:eastAsia="en-GB"/>
          <w14:ligatures w14:val="none"/>
        </w:rPr>
        <w:t>Based on the above, the health board has not identified any current or future needs for this service within the locality.</w:t>
      </w:r>
    </w:p>
    <w:p w14:paraId="54560D42" w14:textId="77777777" w:rsidR="00A521C5" w:rsidRPr="00122285" w:rsidRDefault="00A521C5" w:rsidP="00122285">
      <w:pPr>
        <w:rPr>
          <w:rFonts w:eastAsia="Times New Roman" w:cs="Arial"/>
          <w:kern w:val="0"/>
          <w:lang w:eastAsia="en-GB"/>
          <w14:ligatures w14:val="none"/>
        </w:rPr>
      </w:pPr>
    </w:p>
    <w:p w14:paraId="47D4E0E7"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12.8.3.2 Care home support service - Level 1 medicines management support visits</w:t>
      </w:r>
    </w:p>
    <w:p w14:paraId="4CC4DAC1" w14:textId="77777777" w:rsidR="00122285" w:rsidRPr="00122285" w:rsidRDefault="00122285" w:rsidP="00122285">
      <w:pPr>
        <w:rPr>
          <w:rFonts w:eastAsia="Times New Roman" w:cs="Arial"/>
          <w:kern w:val="0"/>
          <w:lang w:eastAsia="en-GB"/>
          <w14:ligatures w14:val="none"/>
        </w:rPr>
      </w:pPr>
    </w:p>
    <w:p w14:paraId="3708F9FA"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The health board has noted one of the pharmacies has signed up to provide this service and provides it. If approached by a pharmacy wishing to provide the service for the care homes it serves as it has identified there is a need for the service, the health board would commission the service from that pharmacy.</w:t>
      </w:r>
    </w:p>
    <w:p w14:paraId="6E6AB9D1" w14:textId="77777777" w:rsidR="00122285" w:rsidRPr="00122285" w:rsidRDefault="00122285" w:rsidP="00122285">
      <w:pPr>
        <w:rPr>
          <w:rFonts w:eastAsia="Times New Roman" w:cs="Arial"/>
          <w:kern w:val="0"/>
          <w:lang w:eastAsia="en-GB"/>
          <w14:ligatures w14:val="none"/>
        </w:rPr>
      </w:pPr>
    </w:p>
    <w:p w14:paraId="0F678A81" w14:textId="77777777" w:rsidR="00122285" w:rsidRPr="00122285" w:rsidRDefault="00122285" w:rsidP="00122285">
      <w:pPr>
        <w:contextualSpacing/>
        <w:rPr>
          <w:rFonts w:eastAsia="Times New Roman" w:cs="Arial"/>
          <w:kern w:val="0"/>
          <w:lang w:eastAsia="en-GB"/>
          <w14:ligatures w14:val="none"/>
        </w:rPr>
      </w:pPr>
      <w:r w:rsidRPr="00122285">
        <w:rPr>
          <w:rFonts w:eastAsia="Times New Roman" w:cs="Arial"/>
          <w:kern w:val="0"/>
          <w:lang w:eastAsia="en-GB"/>
          <w14:ligatures w14:val="none"/>
        </w:rPr>
        <w:t>Based on the above, the health board has not identified any current or future needs for this service within the locality.</w:t>
      </w:r>
    </w:p>
    <w:p w14:paraId="123928D8" w14:textId="77777777" w:rsidR="00122285" w:rsidRPr="00122285" w:rsidRDefault="00122285" w:rsidP="00122285">
      <w:pPr>
        <w:rPr>
          <w:rFonts w:eastAsia="Times New Roman" w:cs="Arial"/>
          <w:kern w:val="0"/>
          <w:lang w:eastAsia="en-GB"/>
          <w14:ligatures w14:val="none"/>
        </w:rPr>
      </w:pPr>
    </w:p>
    <w:p w14:paraId="35E09FDD"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12.8.3.3 Inhaler review service</w:t>
      </w:r>
    </w:p>
    <w:p w14:paraId="0561C060" w14:textId="77777777" w:rsidR="00122285" w:rsidRPr="00122285" w:rsidRDefault="00122285" w:rsidP="00122285">
      <w:pPr>
        <w:rPr>
          <w:rFonts w:eastAsia="Times New Roman" w:cs="Arial"/>
          <w:b/>
          <w:bCs/>
          <w:kern w:val="0"/>
          <w:lang w:eastAsia="en-GB"/>
          <w14:ligatures w14:val="none"/>
        </w:rPr>
      </w:pPr>
    </w:p>
    <w:p w14:paraId="121DC33F"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The health board has noted five of the pharmacies have signed up to provide this service and five provide it. It has also noted that GP practices will provide the service which reduces demand for the service to be provided by pharmacies. If a pharmacy identified that the service is required by its users, the health board would commission the service from that pharmacy.</w:t>
      </w:r>
    </w:p>
    <w:p w14:paraId="1AD80D59" w14:textId="77777777" w:rsidR="00122285" w:rsidRPr="00122285" w:rsidRDefault="00122285" w:rsidP="00122285">
      <w:pPr>
        <w:rPr>
          <w:rFonts w:eastAsia="Times New Roman" w:cs="Arial"/>
          <w:kern w:val="0"/>
          <w:lang w:eastAsia="en-GB"/>
          <w14:ligatures w14:val="none"/>
        </w:rPr>
      </w:pPr>
    </w:p>
    <w:p w14:paraId="6D84D16B"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Based on the above, the health board has not identified any current or future needs for this service within the locality.</w:t>
      </w:r>
    </w:p>
    <w:p w14:paraId="1B62D7A8" w14:textId="77777777" w:rsidR="00122285" w:rsidRDefault="00122285" w:rsidP="00122285">
      <w:pPr>
        <w:rPr>
          <w:rFonts w:eastAsia="Times New Roman" w:cs="Arial"/>
          <w:b/>
          <w:bCs/>
          <w:kern w:val="0"/>
          <w:lang w:eastAsia="en-GB"/>
          <w14:ligatures w14:val="none"/>
        </w:rPr>
      </w:pPr>
    </w:p>
    <w:p w14:paraId="68084DBD" w14:textId="77777777" w:rsidR="00432193" w:rsidRDefault="00432193" w:rsidP="00122285">
      <w:pPr>
        <w:rPr>
          <w:rFonts w:eastAsia="Times New Roman" w:cs="Arial"/>
          <w:b/>
          <w:bCs/>
          <w:kern w:val="0"/>
          <w:lang w:eastAsia="en-GB"/>
          <w14:ligatures w14:val="none"/>
        </w:rPr>
      </w:pPr>
    </w:p>
    <w:p w14:paraId="5AEE6F28" w14:textId="77777777" w:rsidR="00432193" w:rsidRPr="00122285" w:rsidRDefault="00432193" w:rsidP="00122285">
      <w:pPr>
        <w:rPr>
          <w:rFonts w:eastAsia="Times New Roman" w:cs="Arial"/>
          <w:b/>
          <w:bCs/>
          <w:kern w:val="0"/>
          <w:lang w:eastAsia="en-GB"/>
          <w14:ligatures w14:val="none"/>
        </w:rPr>
      </w:pPr>
    </w:p>
    <w:p w14:paraId="39F7FD28"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lastRenderedPageBreak/>
        <w:t>12.8.3.4 Just in case service (palliative care packs)</w:t>
      </w:r>
    </w:p>
    <w:p w14:paraId="79B7B90D" w14:textId="77777777" w:rsidR="00122285" w:rsidRPr="00122285" w:rsidRDefault="00122285" w:rsidP="00122285">
      <w:pPr>
        <w:rPr>
          <w:rFonts w:eastAsia="Times New Roman" w:cs="Arial"/>
          <w:kern w:val="0"/>
          <w:lang w:eastAsia="en-GB"/>
          <w14:ligatures w14:val="none"/>
        </w:rPr>
      </w:pPr>
    </w:p>
    <w:p w14:paraId="1843198B"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The health board has noted seven of the pharmacies have signed up to provide this service, and three pharmacies provide it. </w:t>
      </w:r>
    </w:p>
    <w:p w14:paraId="613799AC" w14:textId="77777777" w:rsidR="00122285" w:rsidRPr="00122285" w:rsidRDefault="00122285" w:rsidP="00122285">
      <w:pPr>
        <w:ind w:left="360"/>
        <w:rPr>
          <w:rFonts w:eastAsia="Times New Roman" w:cs="Arial"/>
          <w:kern w:val="0"/>
          <w:lang w:eastAsia="en-GB"/>
          <w14:ligatures w14:val="none"/>
        </w:rPr>
      </w:pPr>
    </w:p>
    <w:p w14:paraId="2D0F53D2" w14:textId="77777777" w:rsidR="00122285" w:rsidRPr="00122285" w:rsidRDefault="00122285" w:rsidP="00122285">
      <w:pPr>
        <w:contextualSpacing/>
        <w:rPr>
          <w:rFonts w:eastAsia="Times New Roman" w:cs="Arial"/>
          <w:kern w:val="0"/>
          <w:lang w:eastAsia="en-GB"/>
          <w14:ligatures w14:val="none"/>
        </w:rPr>
      </w:pPr>
      <w:r w:rsidRPr="00122285">
        <w:rPr>
          <w:rFonts w:eastAsia="Times New Roman" w:cs="Arial"/>
          <w:kern w:val="0"/>
          <w:lang w:eastAsia="en-GB"/>
          <w14:ligatures w14:val="none"/>
        </w:rPr>
        <w:t>Services are available within the locality through several other providers in the health board’s area, such as through the health board’s palliative care team.</w:t>
      </w:r>
    </w:p>
    <w:p w14:paraId="400F6E30" w14:textId="77777777" w:rsidR="00122285" w:rsidRPr="00122285" w:rsidRDefault="00122285" w:rsidP="00122285">
      <w:pPr>
        <w:contextualSpacing/>
        <w:rPr>
          <w:rFonts w:eastAsia="Times New Roman" w:cs="Arial"/>
          <w:kern w:val="0"/>
          <w:lang w:eastAsia="en-GB"/>
          <w14:ligatures w14:val="none"/>
        </w:rPr>
      </w:pPr>
    </w:p>
    <w:p w14:paraId="2B030B8B"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Based on the above, the health board has not identified any current or future needs for this service within the locality.</w:t>
      </w:r>
    </w:p>
    <w:p w14:paraId="2EDEA0C0" w14:textId="77777777" w:rsidR="00122285" w:rsidRPr="00122285" w:rsidRDefault="00122285" w:rsidP="00122285">
      <w:pPr>
        <w:ind w:left="360"/>
        <w:rPr>
          <w:rFonts w:eastAsia="Times New Roman" w:cs="Arial"/>
          <w:kern w:val="0"/>
          <w:lang w:eastAsia="en-GB"/>
          <w14:ligatures w14:val="none"/>
        </w:rPr>
      </w:pPr>
    </w:p>
    <w:p w14:paraId="2DC9A3A4"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 xml:space="preserve">12.8.3.5 Medicines administration record service </w:t>
      </w:r>
    </w:p>
    <w:p w14:paraId="2B97A5C4" w14:textId="77777777" w:rsidR="00122285" w:rsidRPr="00122285" w:rsidRDefault="00122285" w:rsidP="00122285">
      <w:pPr>
        <w:rPr>
          <w:rFonts w:eastAsia="Times New Roman" w:cs="Arial"/>
          <w:kern w:val="0"/>
          <w:lang w:eastAsia="en-GB"/>
          <w14:ligatures w14:val="none"/>
        </w:rPr>
      </w:pPr>
    </w:p>
    <w:p w14:paraId="73BF2C36"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The health board has noted seven of the pharmacies have signed up to provide this service and provide it. If approached by a pharmacy wishing to provide the service for the care homes it serves as it has identified there is a need for the service, the health board would commission the service from that pharmacy.</w:t>
      </w:r>
    </w:p>
    <w:p w14:paraId="081015EC" w14:textId="77777777" w:rsidR="00122285" w:rsidRPr="00122285" w:rsidRDefault="00122285" w:rsidP="00122285">
      <w:pPr>
        <w:rPr>
          <w:rFonts w:eastAsia="Times New Roman" w:cs="Arial"/>
          <w:kern w:val="0"/>
          <w:lang w:eastAsia="en-GB"/>
          <w14:ligatures w14:val="none"/>
        </w:rPr>
      </w:pPr>
    </w:p>
    <w:p w14:paraId="6C25AD6A"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Based on the above, the health board has not identified any current or future needs for this service within the locality.</w:t>
      </w:r>
    </w:p>
    <w:p w14:paraId="7C7A9B90" w14:textId="77777777" w:rsidR="00122285" w:rsidRPr="00122285" w:rsidRDefault="00122285" w:rsidP="00122285">
      <w:pPr>
        <w:rPr>
          <w:rFonts w:eastAsia="Times New Roman" w:cs="Arial"/>
          <w:b/>
          <w:bCs/>
          <w:kern w:val="0"/>
          <w:lang w:eastAsia="en-GB"/>
          <w14:ligatures w14:val="none"/>
        </w:rPr>
      </w:pPr>
    </w:p>
    <w:p w14:paraId="06AEDE6C"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12.8.3.6 Needle and syringe programmes</w:t>
      </w:r>
    </w:p>
    <w:p w14:paraId="7D97997E" w14:textId="77777777" w:rsidR="00122285" w:rsidRPr="00122285" w:rsidRDefault="00122285" w:rsidP="00122285">
      <w:pPr>
        <w:rPr>
          <w:rFonts w:eastAsia="Times New Roman" w:cs="Arial"/>
          <w:kern w:val="0"/>
          <w:lang w:eastAsia="en-GB"/>
          <w14:ligatures w14:val="none"/>
        </w:rPr>
      </w:pPr>
    </w:p>
    <w:p w14:paraId="3BE862D2"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The health board has noted one of the pharmacies has signed up to provide this service and provides it. </w:t>
      </w:r>
    </w:p>
    <w:p w14:paraId="5D23E96E" w14:textId="77777777" w:rsidR="00122285" w:rsidRPr="00122285" w:rsidRDefault="00122285" w:rsidP="00122285">
      <w:pPr>
        <w:rPr>
          <w:rFonts w:eastAsia="Times New Roman" w:cs="Arial"/>
          <w:kern w:val="0"/>
          <w:lang w:eastAsia="en-GB"/>
          <w14:ligatures w14:val="none"/>
        </w:rPr>
      </w:pPr>
    </w:p>
    <w:p w14:paraId="45BF0451"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The health board has noted that this service is also provided by other providers and that demand for it has decreased across the full range of providers, reflecting changes in service user behaviour. No complaints have been received by the health board regarding discarded needles and syringes in public spaces. If a pharmacy wished to subsequently provide the service due to an increase in demand the health board would commission the pharmacy accordingly.</w:t>
      </w:r>
    </w:p>
    <w:p w14:paraId="4C156BB8" w14:textId="77777777" w:rsidR="00122285" w:rsidRPr="00122285" w:rsidRDefault="00122285" w:rsidP="00122285">
      <w:pPr>
        <w:rPr>
          <w:rFonts w:eastAsia="Times New Roman" w:cs="Arial"/>
          <w:kern w:val="0"/>
          <w:lang w:eastAsia="en-GB"/>
          <w14:ligatures w14:val="none"/>
        </w:rPr>
      </w:pPr>
    </w:p>
    <w:p w14:paraId="6CD258F1"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Based on the above, the health board has not identified any current or future needs for this service within the locality.</w:t>
      </w:r>
    </w:p>
    <w:p w14:paraId="5CAB135B" w14:textId="77777777" w:rsidR="00122285" w:rsidRPr="00122285" w:rsidRDefault="00122285" w:rsidP="00122285">
      <w:pPr>
        <w:ind w:left="720"/>
        <w:contextualSpacing/>
        <w:rPr>
          <w:rFonts w:eastAsia="Times New Roman" w:cs="Arial"/>
          <w:kern w:val="0"/>
          <w:lang w:eastAsia="en-GB"/>
          <w14:ligatures w14:val="none"/>
        </w:rPr>
      </w:pPr>
    </w:p>
    <w:p w14:paraId="2A126300"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12.8.3.7 Help me quit @ pharmacy (level 2 smoking cessation) service</w:t>
      </w:r>
    </w:p>
    <w:p w14:paraId="1E6CC1C8" w14:textId="77777777" w:rsidR="00122285" w:rsidRPr="00122285" w:rsidRDefault="00122285" w:rsidP="00122285">
      <w:pPr>
        <w:rPr>
          <w:rFonts w:eastAsia="Times New Roman" w:cs="Arial"/>
          <w:kern w:val="0"/>
          <w:lang w:eastAsia="en-GB"/>
          <w14:ligatures w14:val="none"/>
        </w:rPr>
      </w:pPr>
    </w:p>
    <w:p w14:paraId="4D52D3C5"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The health board has noted seven of the pharmacies have signed up to provide this service, and five pharmacies provide it. </w:t>
      </w:r>
    </w:p>
    <w:p w14:paraId="7D931CA8" w14:textId="77777777" w:rsidR="00122285" w:rsidRPr="00122285" w:rsidRDefault="00122285" w:rsidP="00122285">
      <w:pPr>
        <w:rPr>
          <w:rFonts w:eastAsia="Times New Roman" w:cs="Arial"/>
          <w:kern w:val="0"/>
          <w:lang w:eastAsia="en-GB"/>
          <w14:ligatures w14:val="none"/>
        </w:rPr>
      </w:pPr>
    </w:p>
    <w:p w14:paraId="0FBF4F0C"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 xml:space="preserve">The health board has noted that there are other providers of the service in the locality. </w:t>
      </w:r>
    </w:p>
    <w:p w14:paraId="39483622" w14:textId="77777777" w:rsidR="00122285" w:rsidRPr="00122285" w:rsidRDefault="00122285" w:rsidP="00122285">
      <w:pPr>
        <w:rPr>
          <w:rFonts w:eastAsia="Times New Roman" w:cs="Arial"/>
          <w:kern w:val="0"/>
          <w:lang w:eastAsia="en-GB"/>
          <w14:ligatures w14:val="none"/>
        </w:rPr>
      </w:pPr>
    </w:p>
    <w:p w14:paraId="225187BA"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The health board has therefore not identified any current or future needs for this service within the locality.</w:t>
      </w:r>
    </w:p>
    <w:p w14:paraId="2CD0A817" w14:textId="77777777" w:rsidR="00122285" w:rsidRPr="00122285" w:rsidRDefault="00122285" w:rsidP="00122285">
      <w:pPr>
        <w:ind w:left="360"/>
        <w:rPr>
          <w:rFonts w:eastAsia="Times New Roman" w:cs="Arial"/>
          <w:kern w:val="0"/>
          <w:lang w:eastAsia="en-GB"/>
          <w14:ligatures w14:val="none"/>
        </w:rPr>
      </w:pPr>
    </w:p>
    <w:p w14:paraId="5BCD32B3"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12.8.3.8 Help me quit @ pharmacy (level 3 smoking cessation) service</w:t>
      </w:r>
    </w:p>
    <w:p w14:paraId="55B743D1" w14:textId="77777777" w:rsidR="00432193" w:rsidRDefault="00432193" w:rsidP="00122285">
      <w:pPr>
        <w:rPr>
          <w:rFonts w:eastAsia="Times New Roman" w:cs="Arial"/>
          <w:kern w:val="0"/>
          <w:lang w:eastAsia="en-GB"/>
          <w14:ligatures w14:val="none"/>
        </w:rPr>
      </w:pPr>
    </w:p>
    <w:p w14:paraId="7F675C6D" w14:textId="77E3AF0C" w:rsidR="00432193"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The health board has noted three of the pharmacies have signed up to provide this</w:t>
      </w:r>
      <w:r w:rsidR="00AC7421">
        <w:rPr>
          <w:rFonts w:eastAsia="Times New Roman" w:cs="Arial"/>
          <w:kern w:val="0"/>
          <w:lang w:eastAsia="en-GB"/>
          <w14:ligatures w14:val="none"/>
        </w:rPr>
        <w:t xml:space="preserve"> </w:t>
      </w:r>
    </w:p>
    <w:p w14:paraId="3F8FAD01" w14:textId="2E2426C9"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lastRenderedPageBreak/>
        <w:t xml:space="preserve">service, and two pharmacies provide it. </w:t>
      </w:r>
    </w:p>
    <w:p w14:paraId="05ECE5F2" w14:textId="77777777" w:rsidR="00122285" w:rsidRPr="00122285" w:rsidRDefault="00122285" w:rsidP="00122285">
      <w:pPr>
        <w:rPr>
          <w:rFonts w:eastAsia="Times New Roman" w:cs="Arial"/>
          <w:kern w:val="0"/>
          <w:lang w:eastAsia="en-GB"/>
          <w14:ligatures w14:val="none"/>
        </w:rPr>
      </w:pPr>
    </w:p>
    <w:p w14:paraId="6C3E1B93"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The health board has noted that service user behaviour and needs are changing, with more people using vapes instead of smoking tobacco. The service is not appropriate for those who wish to stop vaping. The service is also not appropriate for those who are heavy smokers and who have smoked for a number of years as the drugs they require to stop smoking are not available under this service.</w:t>
      </w:r>
    </w:p>
    <w:p w14:paraId="25B4CC1E" w14:textId="77777777" w:rsidR="00122285" w:rsidRPr="00122285" w:rsidRDefault="00122285" w:rsidP="00122285">
      <w:pPr>
        <w:rPr>
          <w:rFonts w:eastAsia="Times New Roman" w:cs="Arial"/>
          <w:kern w:val="0"/>
          <w:lang w:eastAsia="en-GB"/>
          <w14:ligatures w14:val="none"/>
        </w:rPr>
      </w:pPr>
    </w:p>
    <w:p w14:paraId="24075C2A"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Based on the above, the health board has not identified any current or future needs for this service within the locality.</w:t>
      </w:r>
    </w:p>
    <w:p w14:paraId="496772C0" w14:textId="77777777" w:rsidR="00122285" w:rsidRPr="00122285" w:rsidRDefault="00122285" w:rsidP="00122285">
      <w:pPr>
        <w:ind w:left="360"/>
        <w:rPr>
          <w:rFonts w:eastAsia="Times New Roman" w:cs="Arial"/>
          <w:kern w:val="0"/>
          <w:lang w:eastAsia="en-GB"/>
          <w14:ligatures w14:val="none"/>
        </w:rPr>
      </w:pPr>
    </w:p>
    <w:p w14:paraId="20AA1222"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12.8.3.9 Supervised administration of medicines service</w:t>
      </w:r>
    </w:p>
    <w:p w14:paraId="378668C9" w14:textId="77777777" w:rsidR="00122285" w:rsidRPr="00122285" w:rsidRDefault="00122285" w:rsidP="00122285">
      <w:pPr>
        <w:rPr>
          <w:rFonts w:eastAsia="Times New Roman" w:cs="Arial"/>
          <w:kern w:val="0"/>
          <w:lang w:eastAsia="en-GB"/>
          <w14:ligatures w14:val="none"/>
        </w:rPr>
      </w:pPr>
    </w:p>
    <w:p w14:paraId="3A6EB6F8"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The health board has noted all the pharmacies have signed up to provide this service and provide it.</w:t>
      </w:r>
    </w:p>
    <w:p w14:paraId="446E1AAA" w14:textId="77777777" w:rsidR="00122285" w:rsidRPr="00122285" w:rsidRDefault="00122285" w:rsidP="00122285">
      <w:pPr>
        <w:rPr>
          <w:rFonts w:eastAsia="Times New Roman" w:cs="Arial"/>
          <w:kern w:val="0"/>
          <w:lang w:eastAsia="en-GB"/>
          <w14:ligatures w14:val="none"/>
        </w:rPr>
      </w:pPr>
    </w:p>
    <w:p w14:paraId="4F01CC0A"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The health board has therefore not identified any current or future needs for this service within the locality.</w:t>
      </w:r>
    </w:p>
    <w:p w14:paraId="12FD8523" w14:textId="77777777" w:rsidR="00122285" w:rsidRPr="00122285" w:rsidRDefault="00122285" w:rsidP="00122285">
      <w:pPr>
        <w:rPr>
          <w:rFonts w:eastAsia="Times New Roman" w:cs="Arial"/>
          <w:kern w:val="0"/>
          <w:lang w:eastAsia="en-GB"/>
          <w14:ligatures w14:val="none"/>
        </w:rPr>
      </w:pPr>
    </w:p>
    <w:p w14:paraId="22E9399A" w14:textId="77777777" w:rsidR="00122285" w:rsidRPr="00122285" w:rsidRDefault="00122285" w:rsidP="00122285">
      <w:pPr>
        <w:rPr>
          <w:rFonts w:eastAsia="Times New Roman" w:cs="Arial"/>
          <w:b/>
          <w:bCs/>
          <w:kern w:val="0"/>
          <w:lang w:eastAsia="en-GB"/>
          <w14:ligatures w14:val="none"/>
        </w:rPr>
      </w:pPr>
      <w:r w:rsidRPr="00122285">
        <w:rPr>
          <w:rFonts w:eastAsia="Times New Roman" w:cs="Arial"/>
          <w:b/>
          <w:bCs/>
          <w:kern w:val="0"/>
          <w:lang w:eastAsia="en-GB"/>
          <w14:ligatures w14:val="none"/>
        </w:rPr>
        <w:t xml:space="preserve">12.8.3.10 Urgent medicines service </w:t>
      </w:r>
    </w:p>
    <w:p w14:paraId="68539106" w14:textId="77777777" w:rsidR="00122285" w:rsidRPr="00122285" w:rsidRDefault="00122285" w:rsidP="00122285">
      <w:pPr>
        <w:rPr>
          <w:rFonts w:eastAsia="Times New Roman" w:cs="Arial"/>
          <w:kern w:val="0"/>
          <w:lang w:eastAsia="en-GB"/>
          <w14:ligatures w14:val="none"/>
        </w:rPr>
      </w:pPr>
    </w:p>
    <w:p w14:paraId="68EF8957"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The health board has noted three of the pharmacies have signed up to provide this service. Due to the nature of the service, it is commissioned to ensure a good geographical spread of pharmacies providing it across the health board’s geography. The health board continues to monitor provision of the service and would commission more pharmacies to provide if required.</w:t>
      </w:r>
    </w:p>
    <w:p w14:paraId="4874B99A" w14:textId="77777777" w:rsidR="00122285" w:rsidRPr="00122285" w:rsidRDefault="00122285" w:rsidP="00122285">
      <w:pPr>
        <w:rPr>
          <w:rFonts w:eastAsia="Times New Roman" w:cs="Arial"/>
          <w:kern w:val="0"/>
          <w:lang w:eastAsia="en-GB"/>
          <w14:ligatures w14:val="none"/>
        </w:rPr>
      </w:pPr>
    </w:p>
    <w:p w14:paraId="41013178" w14:textId="77777777" w:rsidR="00122285" w:rsidRPr="00122285" w:rsidRDefault="00122285" w:rsidP="00122285">
      <w:pPr>
        <w:rPr>
          <w:rFonts w:eastAsia="Times New Roman" w:cs="Arial"/>
          <w:kern w:val="0"/>
          <w:lang w:eastAsia="en-GB"/>
          <w14:ligatures w14:val="none"/>
        </w:rPr>
      </w:pPr>
      <w:r w:rsidRPr="00122285">
        <w:rPr>
          <w:rFonts w:eastAsia="Times New Roman" w:cs="Arial"/>
          <w:kern w:val="0"/>
          <w:lang w:eastAsia="en-GB"/>
          <w14:ligatures w14:val="none"/>
        </w:rPr>
        <w:t>The health board has therefore not identified any current or future needs for this service within the locality.</w:t>
      </w:r>
    </w:p>
    <w:p w14:paraId="65D3B157" w14:textId="77777777" w:rsidR="00122285" w:rsidRPr="00122285" w:rsidRDefault="00122285" w:rsidP="00122285">
      <w:pPr>
        <w:rPr>
          <w:rFonts w:eastAsia="Times New Roman" w:cs="Arial"/>
          <w:kern w:val="0"/>
          <w:lang w:eastAsia="en-GB"/>
          <w14:ligatures w14:val="none"/>
        </w:rPr>
      </w:pPr>
    </w:p>
    <w:p w14:paraId="05475444" w14:textId="04477552" w:rsidR="00A521C5" w:rsidRPr="00D0306F" w:rsidRDefault="00A521C5">
      <w:pPr>
        <w:spacing w:after="160" w:line="278" w:lineRule="auto"/>
        <w:rPr>
          <w:rFonts w:eastAsia="Aptos" w:cs="Arial"/>
        </w:rPr>
      </w:pPr>
      <w:r w:rsidRPr="00D0306F">
        <w:rPr>
          <w:rFonts w:eastAsia="Aptos" w:cs="Arial"/>
        </w:rPr>
        <w:br w:type="page"/>
      </w:r>
    </w:p>
    <w:p w14:paraId="04F6A088" w14:textId="7B6E27C5" w:rsidR="001D6631" w:rsidRPr="00D0306F" w:rsidRDefault="001D6631" w:rsidP="001D6631">
      <w:pPr>
        <w:pStyle w:val="Heading1"/>
        <w:rPr>
          <w:rFonts w:eastAsia="Aptos"/>
          <w:sz w:val="28"/>
          <w:szCs w:val="28"/>
        </w:rPr>
      </w:pPr>
      <w:bookmarkStart w:id="39" w:name="_Toc235185384"/>
      <w:r w:rsidRPr="00D0306F">
        <w:rPr>
          <w:rFonts w:eastAsia="Aptos"/>
          <w:sz w:val="28"/>
          <w:szCs w:val="28"/>
        </w:rPr>
        <w:lastRenderedPageBreak/>
        <w:t>13 Afan locality</w:t>
      </w:r>
      <w:bookmarkEnd w:id="39"/>
    </w:p>
    <w:p w14:paraId="02DB0B97" w14:textId="77777777" w:rsidR="00BB14FD" w:rsidRPr="00BB14FD" w:rsidRDefault="00BB14FD" w:rsidP="00BD4BBA">
      <w:pPr>
        <w:rPr>
          <w:rFonts w:eastAsia="Aptos" w:cs="Arial"/>
          <w:b/>
          <w:bCs/>
        </w:rPr>
      </w:pPr>
    </w:p>
    <w:p w14:paraId="285862FE" w14:textId="77777777" w:rsidR="00BB14FD" w:rsidRPr="00BB14FD" w:rsidRDefault="00BB14FD" w:rsidP="00BD4BBA">
      <w:pPr>
        <w:rPr>
          <w:rFonts w:eastAsia="Aptos" w:cs="Arial"/>
          <w:b/>
          <w:bCs/>
        </w:rPr>
      </w:pPr>
      <w:r w:rsidRPr="00BB14FD">
        <w:rPr>
          <w:rFonts w:eastAsia="Aptos" w:cs="Arial"/>
          <w:b/>
          <w:bCs/>
        </w:rPr>
        <w:t>13.1 Key facts</w:t>
      </w:r>
    </w:p>
    <w:p w14:paraId="61DA7A86" w14:textId="77777777" w:rsidR="00BB14FD" w:rsidRPr="00BB14FD" w:rsidRDefault="00BB14FD" w:rsidP="00BD4BBA">
      <w:pPr>
        <w:rPr>
          <w:rFonts w:eastAsia="Aptos" w:cs="Arial"/>
        </w:rPr>
      </w:pPr>
    </w:p>
    <w:p w14:paraId="159B45C4" w14:textId="77777777" w:rsidR="00BB14FD" w:rsidRPr="00BB14FD" w:rsidRDefault="00BB14FD" w:rsidP="00B76905">
      <w:pPr>
        <w:numPr>
          <w:ilvl w:val="0"/>
          <w:numId w:val="183"/>
        </w:numPr>
        <w:contextualSpacing/>
        <w:rPr>
          <w:rFonts w:eastAsia="Aptos" w:cs="Arial"/>
        </w:rPr>
      </w:pPr>
      <w:r w:rsidRPr="00BB14FD">
        <w:rPr>
          <w:rFonts w:eastAsia="Aptos" w:cs="Arial"/>
        </w:rPr>
        <w:t>The Afan locality serves a registered population of 37,935</w:t>
      </w:r>
      <w:r w:rsidRPr="00BB14FD">
        <w:rPr>
          <w:rFonts w:eastAsia="Aptos" w:cs="Arial"/>
          <w:vertAlign w:val="superscript"/>
        </w:rPr>
        <w:footnoteReference w:id="306"/>
      </w:r>
      <w:r w:rsidRPr="00BB14FD">
        <w:rPr>
          <w:rFonts w:eastAsia="Aptos" w:cs="Arial"/>
        </w:rPr>
        <w:t xml:space="preserve"> (January 2026) and is the third smallest locality by registered population in the health board and the second smallest of the three localities in Neath Port Talbot. </w:t>
      </w:r>
    </w:p>
    <w:p w14:paraId="00D036F1" w14:textId="77777777" w:rsidR="00BB14FD" w:rsidRPr="00BB14FD" w:rsidRDefault="00BB14FD" w:rsidP="00B76905">
      <w:pPr>
        <w:numPr>
          <w:ilvl w:val="0"/>
          <w:numId w:val="183"/>
        </w:numPr>
        <w:contextualSpacing/>
        <w:rPr>
          <w:rFonts w:eastAsia="Aptos" w:cs="Arial"/>
        </w:rPr>
      </w:pPr>
      <w:r w:rsidRPr="00BB14FD">
        <w:rPr>
          <w:rFonts w:eastAsia="Aptos" w:cs="Arial"/>
        </w:rPr>
        <w:t xml:space="preserve">Approximately 22.1% of the locality’s registered population (8,397) are aged 65 years and over, above the Wales average of 21.9%. </w:t>
      </w:r>
    </w:p>
    <w:p w14:paraId="4ED85AA5" w14:textId="77777777" w:rsidR="00BB14FD" w:rsidRPr="00BB14FD" w:rsidRDefault="00BB14FD" w:rsidP="00B76905">
      <w:pPr>
        <w:numPr>
          <w:ilvl w:val="0"/>
          <w:numId w:val="183"/>
        </w:numPr>
        <w:contextualSpacing/>
        <w:rPr>
          <w:rFonts w:eastAsia="Aptos" w:cs="Arial"/>
        </w:rPr>
      </w:pPr>
      <w:r w:rsidRPr="00BB14FD">
        <w:rPr>
          <w:rFonts w:eastAsia="Aptos" w:cs="Arial"/>
        </w:rPr>
        <w:t>The number of Welsh speakers in Neath Port Talbot decreased from 15.3% in the 2011 to 13.5% in 2021, with approximately 2,000 fewer Welsh-speaking residents aged over three years compared with 2011 Census. The number of non-Welsh speaking residents increased by 5,100</w:t>
      </w:r>
      <w:r w:rsidRPr="00BB14FD">
        <w:rPr>
          <w:rFonts w:eastAsia="Aptos" w:cs="Arial"/>
          <w:vertAlign w:val="superscript"/>
        </w:rPr>
        <w:footnoteReference w:id="307"/>
      </w:r>
      <w:r w:rsidRPr="00BB14FD">
        <w:rPr>
          <w:rFonts w:eastAsia="Aptos" w:cs="Arial"/>
        </w:rPr>
        <w:t xml:space="preserve">. </w:t>
      </w:r>
    </w:p>
    <w:p w14:paraId="5D1A5464" w14:textId="77777777" w:rsidR="00BB14FD" w:rsidRPr="00BB14FD" w:rsidRDefault="00BB14FD" w:rsidP="00B76905">
      <w:pPr>
        <w:numPr>
          <w:ilvl w:val="0"/>
          <w:numId w:val="183"/>
        </w:numPr>
        <w:contextualSpacing/>
        <w:rPr>
          <w:rFonts w:eastAsia="Aptos" w:cs="Arial"/>
        </w:rPr>
      </w:pPr>
      <w:r w:rsidRPr="00BB14FD">
        <w:rPr>
          <w:rFonts w:eastAsia="Aptos" w:cs="Arial"/>
        </w:rPr>
        <w:t>Neath Port Talbot local authority population is projected to increase by 3.1% by the year 2032</w:t>
      </w:r>
      <w:r w:rsidRPr="00BB14FD">
        <w:rPr>
          <w:rFonts w:eastAsia="Aptos" w:cs="Arial"/>
          <w:vertAlign w:val="superscript"/>
        </w:rPr>
        <w:footnoteReference w:id="308"/>
      </w:r>
      <w:r w:rsidRPr="00BB14FD">
        <w:rPr>
          <w:rFonts w:eastAsia="Aptos" w:cs="Arial"/>
        </w:rPr>
        <w:t xml:space="preserve">. </w:t>
      </w:r>
    </w:p>
    <w:p w14:paraId="56246D93" w14:textId="77777777" w:rsidR="00BB14FD" w:rsidRPr="00BB14FD" w:rsidRDefault="00BB14FD" w:rsidP="00B76905">
      <w:pPr>
        <w:numPr>
          <w:ilvl w:val="0"/>
          <w:numId w:val="183"/>
        </w:numPr>
        <w:contextualSpacing/>
        <w:rPr>
          <w:rFonts w:eastAsia="Aptos" w:cs="Arial"/>
        </w:rPr>
      </w:pPr>
      <w:r w:rsidRPr="00BB14FD">
        <w:rPr>
          <w:rFonts w:eastAsia="Aptos" w:cs="Arial"/>
        </w:rPr>
        <w:t>There are 240 lower layer super output areas in the health board’s area; 90 lower layer super output areas fall within Neath Port Talbot local authority, and 15 (17%) are in the 10% most deprived in Wales</w:t>
      </w:r>
      <w:r w:rsidRPr="00BB14FD">
        <w:rPr>
          <w:rFonts w:eastAsia="Aptos" w:cs="Arial"/>
          <w:vertAlign w:val="superscript"/>
        </w:rPr>
        <w:footnoteReference w:id="309"/>
      </w:r>
      <w:r w:rsidRPr="00BB14FD">
        <w:rPr>
          <w:rFonts w:eastAsia="Aptos" w:cs="Arial"/>
        </w:rPr>
        <w:t xml:space="preserve">. Of the 20% most deprived lower layer super output areas in Wales, 14 are within Neath Port Talbot, with 12 found within the locality. </w:t>
      </w:r>
    </w:p>
    <w:p w14:paraId="4E8C73CC" w14:textId="77777777" w:rsidR="00BB14FD" w:rsidRPr="00BB14FD" w:rsidRDefault="00BB14FD" w:rsidP="00B76905">
      <w:pPr>
        <w:numPr>
          <w:ilvl w:val="0"/>
          <w:numId w:val="183"/>
        </w:numPr>
        <w:contextualSpacing/>
        <w:rPr>
          <w:rFonts w:eastAsia="Aptos" w:cs="Arial"/>
        </w:rPr>
      </w:pPr>
      <w:r w:rsidRPr="00BB14FD">
        <w:rPr>
          <w:rFonts w:eastAsia="Aptos" w:cs="Arial"/>
        </w:rPr>
        <w:t>This area consists of 33 lower layer super output areas; 5.8% of the population live in a lower layer, super output area that is classified as rural</w:t>
      </w:r>
    </w:p>
    <w:p w14:paraId="7D433950" w14:textId="77777777" w:rsidR="00BB14FD" w:rsidRPr="00BB14FD" w:rsidRDefault="00BB14FD" w:rsidP="00B76905">
      <w:pPr>
        <w:numPr>
          <w:ilvl w:val="0"/>
          <w:numId w:val="183"/>
        </w:numPr>
        <w:contextualSpacing/>
        <w:rPr>
          <w:rFonts w:eastAsia="Aptos" w:cs="Arial"/>
        </w:rPr>
      </w:pPr>
      <w:r w:rsidRPr="00BB14FD">
        <w:rPr>
          <w:rFonts w:eastAsia="Aptos" w:cs="Arial"/>
        </w:rPr>
        <w:t>The locality is served by:</w:t>
      </w:r>
    </w:p>
    <w:p w14:paraId="16FABAF6" w14:textId="77777777" w:rsidR="00BB14FD" w:rsidRPr="00BB14FD" w:rsidRDefault="00BB14FD" w:rsidP="00B76905">
      <w:pPr>
        <w:numPr>
          <w:ilvl w:val="1"/>
          <w:numId w:val="183"/>
        </w:numPr>
        <w:contextualSpacing/>
        <w:rPr>
          <w:rFonts w:eastAsia="Aptos" w:cs="Arial"/>
        </w:rPr>
      </w:pPr>
      <w:r w:rsidRPr="00BB14FD">
        <w:rPr>
          <w:rFonts w:eastAsia="Aptos" w:cs="Arial"/>
        </w:rPr>
        <w:t>13 pharmacies operated by eight different contractors</w:t>
      </w:r>
    </w:p>
    <w:p w14:paraId="2BE31D73" w14:textId="77777777" w:rsidR="00BB14FD" w:rsidRPr="00BB14FD" w:rsidRDefault="00BB14FD" w:rsidP="00B76905">
      <w:pPr>
        <w:numPr>
          <w:ilvl w:val="1"/>
          <w:numId w:val="184"/>
        </w:numPr>
        <w:contextualSpacing/>
        <w:rPr>
          <w:rFonts w:eastAsia="Aptos" w:cs="Arial"/>
        </w:rPr>
      </w:pPr>
      <w:r w:rsidRPr="00BB14FD">
        <w:rPr>
          <w:rFonts w:eastAsia="Aptos" w:cs="Arial"/>
        </w:rPr>
        <w:t>six dental practices that offer NHS treatment</w:t>
      </w:r>
    </w:p>
    <w:p w14:paraId="42ED9374" w14:textId="77777777" w:rsidR="00BB14FD" w:rsidRPr="00BB14FD" w:rsidRDefault="00BB14FD" w:rsidP="00B76905">
      <w:pPr>
        <w:numPr>
          <w:ilvl w:val="1"/>
          <w:numId w:val="184"/>
        </w:numPr>
        <w:contextualSpacing/>
        <w:rPr>
          <w:rFonts w:eastAsia="Aptos" w:cs="Arial"/>
        </w:rPr>
      </w:pPr>
      <w:r w:rsidRPr="00BB14FD">
        <w:rPr>
          <w:rFonts w:eastAsia="Aptos" w:cs="Arial"/>
        </w:rPr>
        <w:t>three optical practices</w:t>
      </w:r>
    </w:p>
    <w:p w14:paraId="2F3E9857" w14:textId="77777777" w:rsidR="00BB14FD" w:rsidRPr="00BB14FD" w:rsidRDefault="00BB14FD" w:rsidP="00B76905">
      <w:pPr>
        <w:numPr>
          <w:ilvl w:val="1"/>
          <w:numId w:val="183"/>
        </w:numPr>
        <w:contextualSpacing/>
        <w:rPr>
          <w:rFonts w:eastAsia="Aptos" w:cs="Arial"/>
        </w:rPr>
      </w:pPr>
      <w:r w:rsidRPr="00BB14FD">
        <w:rPr>
          <w:rFonts w:eastAsia="Aptos" w:cs="Arial"/>
        </w:rPr>
        <w:t>five GP practices, one of which dispenses from one of its premises. In addition, another practice whose main surgery is in another locality also provides services from premises in this locality.</w:t>
      </w:r>
    </w:p>
    <w:p w14:paraId="0F671B39" w14:textId="77777777" w:rsidR="00BB14FD" w:rsidRPr="00BB14FD" w:rsidRDefault="00BB14FD" w:rsidP="00B76905">
      <w:pPr>
        <w:numPr>
          <w:ilvl w:val="0"/>
          <w:numId w:val="183"/>
        </w:numPr>
        <w:contextualSpacing/>
        <w:rPr>
          <w:rFonts w:eastAsia="Aptos" w:cs="Arial"/>
        </w:rPr>
      </w:pPr>
      <w:r w:rsidRPr="00BB14FD">
        <w:rPr>
          <w:rFonts w:eastAsia="Aptos" w:cs="Arial"/>
        </w:rPr>
        <w:t>There are 14 care home services within the locality of which five provide services to adults with nursing, and nine to adults without nursing.</w:t>
      </w:r>
    </w:p>
    <w:p w14:paraId="018C167A" w14:textId="77777777" w:rsidR="00BB14FD" w:rsidRPr="00BB14FD" w:rsidRDefault="00BB14FD" w:rsidP="00B76905">
      <w:pPr>
        <w:numPr>
          <w:ilvl w:val="0"/>
          <w:numId w:val="183"/>
        </w:numPr>
        <w:contextualSpacing/>
        <w:rPr>
          <w:rFonts w:eastAsia="Aptos" w:cs="Arial"/>
        </w:rPr>
      </w:pPr>
      <w:r w:rsidRPr="00BB14FD">
        <w:rPr>
          <w:rFonts w:eastAsia="Aptos" w:cs="Arial"/>
        </w:rPr>
        <w:t>There is one hospital within the locality - Neath Port Talbot Hospital, located at Baglan Way, Port Talbot SA12 7BX.</w:t>
      </w:r>
    </w:p>
    <w:p w14:paraId="764705B5" w14:textId="77777777" w:rsidR="00BB14FD" w:rsidRPr="00BB14FD" w:rsidRDefault="00BB14FD" w:rsidP="00BD4BBA">
      <w:pPr>
        <w:ind w:left="720"/>
        <w:contextualSpacing/>
        <w:rPr>
          <w:rFonts w:eastAsia="Aptos" w:cs="Arial"/>
        </w:rPr>
      </w:pPr>
    </w:p>
    <w:p w14:paraId="1DB2E439" w14:textId="77777777" w:rsidR="00BB14FD" w:rsidRPr="00BB14FD" w:rsidRDefault="00BB14FD" w:rsidP="00BD4BBA">
      <w:pPr>
        <w:rPr>
          <w:rFonts w:eastAsia="Times New Roman" w:cs="Arial"/>
          <w:b/>
          <w:bCs/>
          <w:kern w:val="0"/>
          <w:sz w:val="26"/>
          <w:szCs w:val="26"/>
          <w:lang w:eastAsia="en-GB"/>
          <w14:ligatures w14:val="none"/>
        </w:rPr>
      </w:pPr>
      <w:r w:rsidRPr="00BB14FD">
        <w:rPr>
          <w:rFonts w:eastAsia="Times New Roman" w:cs="Arial"/>
          <w:b/>
          <w:bCs/>
          <w:kern w:val="0"/>
          <w:sz w:val="26"/>
          <w:szCs w:val="26"/>
          <w:lang w:eastAsia="en-GB"/>
          <w14:ligatures w14:val="none"/>
        </w:rPr>
        <w:t xml:space="preserve">13.2 Key population features </w:t>
      </w:r>
    </w:p>
    <w:p w14:paraId="72EA1A46" w14:textId="77777777" w:rsidR="00BB14FD" w:rsidRPr="00BB14FD" w:rsidRDefault="00BB14FD" w:rsidP="00BD4BBA">
      <w:pPr>
        <w:rPr>
          <w:rFonts w:eastAsia="Times New Roman" w:cs="Arial"/>
          <w:b/>
          <w:bCs/>
          <w:kern w:val="0"/>
          <w:lang w:eastAsia="en-GB"/>
          <w14:ligatures w14:val="none"/>
        </w:rPr>
      </w:pPr>
    </w:p>
    <w:p w14:paraId="19FED8C8"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13.2.1 Population projections 2022 to 2032</w:t>
      </w:r>
    </w:p>
    <w:p w14:paraId="60CF331E" w14:textId="77777777" w:rsidR="00BB14FD" w:rsidRPr="00BB14FD" w:rsidRDefault="00BB14FD" w:rsidP="00BD4BBA">
      <w:pPr>
        <w:rPr>
          <w:rFonts w:eastAsia="Times New Roman" w:cs="Arial"/>
          <w:b/>
          <w:bCs/>
          <w:kern w:val="0"/>
          <w:lang w:eastAsia="en-GB"/>
          <w14:ligatures w14:val="none"/>
        </w:rPr>
      </w:pPr>
    </w:p>
    <w:p w14:paraId="07E8E429"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The population of Neath Port Talbot is projected to increase by up to 3.1% between 2022 and 2032, an increase of 4,344. It is projected by 2032</w:t>
      </w:r>
      <w:r w:rsidRPr="00BB14FD">
        <w:rPr>
          <w:rFonts w:eastAsia="Times New Roman" w:cs="Arial"/>
          <w:kern w:val="0"/>
          <w:vertAlign w:val="superscript"/>
          <w:lang w:eastAsia="en-GB"/>
          <w14:ligatures w14:val="none"/>
        </w:rPr>
        <w:footnoteReference w:id="310"/>
      </w:r>
      <w:r w:rsidRPr="00BB14FD">
        <w:rPr>
          <w:rFonts w:eastAsia="Times New Roman" w:cs="Arial"/>
          <w:kern w:val="0"/>
          <w:lang w:eastAsia="en-GB"/>
          <w14:ligatures w14:val="none"/>
        </w:rPr>
        <w:t>, Neath Port Talbot local authority will see:</w:t>
      </w:r>
    </w:p>
    <w:p w14:paraId="0C85BFB5" w14:textId="77777777" w:rsidR="00BB14FD" w:rsidRPr="00BB14FD" w:rsidRDefault="00BB14FD" w:rsidP="00BD4BBA">
      <w:pPr>
        <w:rPr>
          <w:rFonts w:eastAsia="Times New Roman" w:cs="Arial"/>
          <w:kern w:val="0"/>
          <w:lang w:eastAsia="en-GB"/>
          <w14:ligatures w14:val="none"/>
        </w:rPr>
      </w:pPr>
    </w:p>
    <w:p w14:paraId="021828D2" w14:textId="77777777" w:rsidR="00BB14FD" w:rsidRPr="00BB14FD" w:rsidRDefault="00BB14FD" w:rsidP="00B76905">
      <w:pPr>
        <w:numPr>
          <w:ilvl w:val="0"/>
          <w:numId w:val="141"/>
        </w:numPr>
        <w:contextualSpacing/>
        <w:rPr>
          <w:rFonts w:eastAsia="Times New Roman" w:cs="Arial"/>
          <w:kern w:val="0"/>
          <w:lang w:eastAsia="en-GB"/>
          <w14:ligatures w14:val="none"/>
        </w:rPr>
      </w:pPr>
      <w:r w:rsidRPr="00BB14FD">
        <w:rPr>
          <w:rFonts w:eastAsia="Times New Roman" w:cs="Arial"/>
          <w:kern w:val="0"/>
          <w:lang w:eastAsia="en-GB"/>
          <w14:ligatures w14:val="none"/>
        </w:rPr>
        <w:lastRenderedPageBreak/>
        <w:t>a decrease in the number of people aged 0 to 15 years,</w:t>
      </w:r>
    </w:p>
    <w:p w14:paraId="73E2BE40" w14:textId="77777777" w:rsidR="00BB14FD" w:rsidRPr="00BB14FD" w:rsidRDefault="00BB14FD" w:rsidP="00B76905">
      <w:pPr>
        <w:numPr>
          <w:ilvl w:val="0"/>
          <w:numId w:val="141"/>
        </w:numPr>
        <w:contextualSpacing/>
        <w:rPr>
          <w:rFonts w:eastAsia="Times New Roman" w:cs="Arial"/>
          <w:kern w:val="0"/>
          <w:lang w:eastAsia="en-GB"/>
          <w14:ligatures w14:val="none"/>
        </w:rPr>
      </w:pPr>
      <w:r w:rsidRPr="00BB14FD">
        <w:rPr>
          <w:rFonts w:eastAsia="Times New Roman" w:cs="Arial"/>
          <w:kern w:val="0"/>
          <w:lang w:eastAsia="en-GB"/>
          <w14:ligatures w14:val="none"/>
        </w:rPr>
        <w:t>an increase in the population aged 65 years, and</w:t>
      </w:r>
    </w:p>
    <w:p w14:paraId="5CA9A5C5" w14:textId="77777777" w:rsidR="00BB14FD" w:rsidRPr="00BB14FD" w:rsidRDefault="00BB14FD" w:rsidP="00B76905">
      <w:pPr>
        <w:numPr>
          <w:ilvl w:val="0"/>
          <w:numId w:val="141"/>
        </w:numPr>
        <w:contextualSpacing/>
        <w:rPr>
          <w:rFonts w:eastAsia="Times New Roman" w:cs="Arial"/>
          <w:kern w:val="0"/>
          <w:lang w:eastAsia="en-GB"/>
          <w14:ligatures w14:val="none"/>
        </w:rPr>
      </w:pPr>
      <w:r w:rsidRPr="00BB14FD">
        <w:rPr>
          <w:rFonts w:eastAsia="Times New Roman" w:cs="Arial"/>
          <w:kern w:val="0"/>
          <w:lang w:eastAsia="en-GB"/>
          <w14:ligatures w14:val="none"/>
        </w:rPr>
        <w:t>an increase in the population aged 75 years and over.</w:t>
      </w:r>
    </w:p>
    <w:p w14:paraId="73496588" w14:textId="77777777" w:rsidR="00BB14FD" w:rsidRPr="00BB14FD" w:rsidRDefault="00BB14FD" w:rsidP="00BD4BBA">
      <w:pPr>
        <w:rPr>
          <w:rFonts w:eastAsia="Times New Roman" w:cs="Arial"/>
          <w:kern w:val="0"/>
          <w:lang w:eastAsia="en-GB"/>
          <w14:ligatures w14:val="none"/>
        </w:rPr>
      </w:pPr>
    </w:p>
    <w:p w14:paraId="61C912FB"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The population is projected to continue to age in the local authority, over this period.</w:t>
      </w:r>
    </w:p>
    <w:p w14:paraId="79EA1BB2" w14:textId="77777777" w:rsidR="00BB14FD" w:rsidRPr="00BB14FD" w:rsidRDefault="00BB14FD" w:rsidP="00BD4BBA">
      <w:pPr>
        <w:rPr>
          <w:rFonts w:eastAsia="Times New Roman" w:cs="Arial"/>
          <w:kern w:val="0"/>
          <w:lang w:eastAsia="en-GB"/>
          <w14:ligatures w14:val="none"/>
        </w:rPr>
      </w:pPr>
    </w:p>
    <w:p w14:paraId="253566D0"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 xml:space="preserve">13.2.2 Total life expectancy, healthy life expectancy and the ‘inequality gap’ (2020 to 2022) </w:t>
      </w:r>
    </w:p>
    <w:p w14:paraId="0CB609D0" w14:textId="77777777" w:rsidR="00BB14FD" w:rsidRPr="00BB14FD" w:rsidRDefault="00BB14FD" w:rsidP="00BD4BBA">
      <w:pPr>
        <w:rPr>
          <w:rFonts w:eastAsia="Times New Roman" w:cs="Arial"/>
          <w:b/>
          <w:bCs/>
          <w:kern w:val="0"/>
          <w:lang w:eastAsia="en-GB"/>
          <w14:ligatures w14:val="none"/>
        </w:rPr>
      </w:pPr>
    </w:p>
    <w:p w14:paraId="3EA338A5" w14:textId="77777777" w:rsidR="00BB14FD" w:rsidRPr="00BB14FD" w:rsidRDefault="00BB14FD" w:rsidP="00B76905">
      <w:pPr>
        <w:numPr>
          <w:ilvl w:val="0"/>
          <w:numId w:val="157"/>
        </w:numPr>
        <w:contextualSpacing/>
        <w:rPr>
          <w:rFonts w:eastAsia="Calibri" w:cs="Arial"/>
          <w:kern w:val="0"/>
          <w:shd w:val="clear" w:color="auto" w:fill="FFFFFF"/>
          <w14:ligatures w14:val="none"/>
        </w:rPr>
      </w:pPr>
      <w:r w:rsidRPr="00BB14FD">
        <w:rPr>
          <w:rFonts w:eastAsia="Calibri" w:cs="Arial"/>
          <w:kern w:val="0"/>
          <w:shd w:val="clear" w:color="auto" w:fill="FFFFFF"/>
          <w14:ligatures w14:val="none"/>
        </w:rPr>
        <w:t xml:space="preserve">Neath Port Talbot local authority has a lower total life expectancy at birth for females and for males when compared to the average for Wales (table 13.1). </w:t>
      </w:r>
    </w:p>
    <w:p w14:paraId="16C0E1BE" w14:textId="77777777" w:rsidR="00BB14FD" w:rsidRPr="00BB14FD" w:rsidRDefault="00BB14FD" w:rsidP="00B76905">
      <w:pPr>
        <w:numPr>
          <w:ilvl w:val="0"/>
          <w:numId w:val="158"/>
        </w:numPr>
        <w:ind w:left="357"/>
        <w:contextualSpacing/>
        <w:rPr>
          <w:rFonts w:eastAsia="Calibri" w:cs="Arial"/>
          <w:kern w:val="0"/>
          <w14:ligatures w14:val="none"/>
        </w:rPr>
      </w:pPr>
      <w:r w:rsidRPr="00BB14FD">
        <w:rPr>
          <w:rFonts w:eastAsia="Calibri" w:cs="Arial"/>
          <w:bCs/>
          <w:kern w:val="0"/>
          <w14:ligatures w14:val="none"/>
        </w:rPr>
        <w:t>Healthy life expectancy</w:t>
      </w:r>
      <w:r w:rsidRPr="00BB14FD">
        <w:rPr>
          <w:rFonts w:eastAsia="Calibri" w:cs="Arial"/>
          <w:bCs/>
          <w:kern w:val="0"/>
          <w:vertAlign w:val="superscript"/>
          <w14:ligatures w14:val="none"/>
        </w:rPr>
        <w:footnoteReference w:id="311"/>
      </w:r>
      <w:r w:rsidRPr="00BB14FD">
        <w:rPr>
          <w:rFonts w:eastAsia="Calibri" w:cs="Arial"/>
          <w:bCs/>
          <w:kern w:val="0"/>
          <w14:ligatures w14:val="none"/>
        </w:rPr>
        <w:t xml:space="preserve">, defined as </w:t>
      </w:r>
      <w:r w:rsidRPr="00BB14FD">
        <w:rPr>
          <w:rFonts w:eastAsia="Calibri" w:cs="Arial"/>
          <w:kern w:val="0"/>
          <w14:ligatures w14:val="none"/>
        </w:rPr>
        <w:t>the number of years a person can expect to live in good health, is measured at local authority level. In Neath Port Talbot, healthy life expectancy stands at 59.1 years for males and 58.5 years for females. Comparatively, the Wales average is slightly higher at 60.8 years for males and 60.2 years for females. This indicates that both males and females in Neath Port Talbot enjoy fewer years of good health than the average across Wales.</w:t>
      </w:r>
    </w:p>
    <w:p w14:paraId="00A0FAA9" w14:textId="77777777" w:rsidR="00BB14FD" w:rsidRPr="00BB14FD" w:rsidRDefault="00BB14FD" w:rsidP="00B76905">
      <w:pPr>
        <w:numPr>
          <w:ilvl w:val="0"/>
          <w:numId w:val="158"/>
        </w:numPr>
        <w:ind w:left="357"/>
        <w:contextualSpacing/>
        <w:rPr>
          <w:rFonts w:eastAsia="Calibri" w:cs="Arial"/>
          <w:kern w:val="0"/>
          <w14:ligatures w14:val="none"/>
        </w:rPr>
      </w:pPr>
      <w:r w:rsidRPr="00BB14FD">
        <w:rPr>
          <w:rFonts w:eastAsia="Calibri" w:cs="Arial"/>
          <w:kern w:val="0"/>
          <w14:ligatures w14:val="none"/>
        </w:rPr>
        <w:t>The differences in healthy life expectancy that exist across an area between the most and least deprived areas is referred to as the ‘inequality gap’. The inequality gap for healthy life expectancy in Neath Port Talbot is 9.1 years for males and 6.3 years for females</w:t>
      </w:r>
      <w:r w:rsidRPr="00BB14FD">
        <w:rPr>
          <w:rFonts w:eastAsia="Calibri" w:cs="Arial"/>
          <w:kern w:val="0"/>
          <w:vertAlign w:val="superscript"/>
          <w14:ligatures w14:val="none"/>
        </w:rPr>
        <w:footnoteReference w:id="312"/>
      </w:r>
      <w:r w:rsidRPr="00BB14FD">
        <w:rPr>
          <w:rFonts w:eastAsia="Calibri" w:cs="Arial"/>
          <w:kern w:val="0"/>
          <w14:ligatures w14:val="none"/>
        </w:rPr>
        <w:t xml:space="preserve">. </w:t>
      </w:r>
    </w:p>
    <w:p w14:paraId="3ABCE78F" w14:textId="77777777" w:rsidR="00BB14FD" w:rsidRPr="00BB14FD" w:rsidRDefault="00BB14FD" w:rsidP="00BD4BBA">
      <w:pPr>
        <w:rPr>
          <w:rFonts w:eastAsia="Times New Roman" w:cs="Arial"/>
          <w:kern w:val="0"/>
          <w:lang w:eastAsia="en-GB"/>
          <w14:ligatures w14:val="none"/>
        </w:rPr>
      </w:pPr>
    </w:p>
    <w:p w14:paraId="7C0C1B55"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Table 13.1: Total life expectancy at birth for females and males, 2020 to 2022</w:t>
      </w:r>
      <w:r w:rsidRPr="00BB14FD">
        <w:rPr>
          <w:rFonts w:eastAsia="Times New Roman" w:cs="Arial"/>
          <w:b/>
          <w:bCs/>
          <w:kern w:val="0"/>
          <w:vertAlign w:val="superscript"/>
          <w:lang w:eastAsia="en-GB"/>
          <w14:ligatures w14:val="none"/>
        </w:rPr>
        <w:footnoteReference w:id="313"/>
      </w:r>
    </w:p>
    <w:p w14:paraId="778194FF" w14:textId="77777777" w:rsidR="00BB14FD" w:rsidRPr="00BB14FD" w:rsidRDefault="00BB14FD" w:rsidP="00BD4BBA">
      <w:pPr>
        <w:rPr>
          <w:rFonts w:eastAsia="Times New Roman" w:cs="Arial"/>
          <w:b/>
          <w:bCs/>
          <w:kern w:val="0"/>
          <w:lang w:eastAsia="en-GB"/>
          <w14:ligatures w14:val="none"/>
        </w:rPr>
      </w:pPr>
    </w:p>
    <w:tbl>
      <w:tblPr>
        <w:tblStyle w:val="TableGrid"/>
        <w:tblW w:w="0" w:type="auto"/>
        <w:tblInd w:w="0" w:type="dxa"/>
        <w:tblLook w:val="04A0" w:firstRow="1" w:lastRow="0" w:firstColumn="1" w:lastColumn="0" w:noHBand="0" w:noVBand="1"/>
      </w:tblPr>
      <w:tblGrid>
        <w:gridCol w:w="3005"/>
        <w:gridCol w:w="3005"/>
        <w:gridCol w:w="3006"/>
      </w:tblGrid>
      <w:tr w:rsidR="00BB14FD" w:rsidRPr="00D0306F" w14:paraId="5F374633" w14:textId="77777777" w:rsidTr="00BB14FD">
        <w:tc>
          <w:tcPr>
            <w:tcW w:w="3005" w:type="dxa"/>
            <w:tcBorders>
              <w:top w:val="single" w:sz="4" w:space="0" w:color="auto"/>
              <w:left w:val="single" w:sz="4" w:space="0" w:color="auto"/>
              <w:bottom w:val="single" w:sz="4" w:space="0" w:color="auto"/>
              <w:right w:val="single" w:sz="4" w:space="0" w:color="auto"/>
            </w:tcBorders>
            <w:shd w:val="clear" w:color="auto" w:fill="153D63"/>
            <w:hideMark/>
          </w:tcPr>
          <w:p w14:paraId="413DE410" w14:textId="77777777" w:rsidR="00BB14FD" w:rsidRPr="00BB14FD" w:rsidRDefault="00BB14FD" w:rsidP="00BD4BBA">
            <w:pPr>
              <w:rPr>
                <w:rFonts w:cs="Arial"/>
                <w:b/>
                <w:bCs/>
              </w:rPr>
            </w:pPr>
            <w:r w:rsidRPr="00BB14FD">
              <w:rPr>
                <w:rFonts w:cs="Arial"/>
                <w:b/>
                <w:bCs/>
              </w:rPr>
              <w:t>Area</w:t>
            </w:r>
          </w:p>
        </w:tc>
        <w:tc>
          <w:tcPr>
            <w:tcW w:w="3005" w:type="dxa"/>
            <w:tcBorders>
              <w:top w:val="single" w:sz="4" w:space="0" w:color="auto"/>
              <w:left w:val="single" w:sz="4" w:space="0" w:color="auto"/>
              <w:bottom w:val="single" w:sz="4" w:space="0" w:color="auto"/>
              <w:right w:val="single" w:sz="4" w:space="0" w:color="auto"/>
            </w:tcBorders>
            <w:shd w:val="clear" w:color="auto" w:fill="153D63"/>
            <w:hideMark/>
          </w:tcPr>
          <w:p w14:paraId="7E63032A" w14:textId="77777777" w:rsidR="00BB14FD" w:rsidRPr="00BB14FD" w:rsidRDefault="00BB14FD" w:rsidP="00BD4BBA">
            <w:pPr>
              <w:jc w:val="center"/>
              <w:rPr>
                <w:rFonts w:cs="Arial"/>
                <w:b/>
                <w:bCs/>
              </w:rPr>
            </w:pPr>
            <w:r w:rsidRPr="00BB14FD">
              <w:rPr>
                <w:rFonts w:cs="Arial"/>
                <w:b/>
                <w:bCs/>
              </w:rPr>
              <w:t>Female at birth (years)</w:t>
            </w:r>
          </w:p>
        </w:tc>
        <w:tc>
          <w:tcPr>
            <w:tcW w:w="3006" w:type="dxa"/>
            <w:tcBorders>
              <w:top w:val="single" w:sz="4" w:space="0" w:color="auto"/>
              <w:left w:val="single" w:sz="4" w:space="0" w:color="auto"/>
              <w:bottom w:val="single" w:sz="4" w:space="0" w:color="auto"/>
              <w:right w:val="single" w:sz="4" w:space="0" w:color="auto"/>
            </w:tcBorders>
            <w:shd w:val="clear" w:color="auto" w:fill="153D63"/>
            <w:hideMark/>
          </w:tcPr>
          <w:p w14:paraId="377D5BCB" w14:textId="77777777" w:rsidR="00BB14FD" w:rsidRPr="00BB14FD" w:rsidRDefault="00BB14FD" w:rsidP="00BD4BBA">
            <w:pPr>
              <w:jc w:val="center"/>
              <w:rPr>
                <w:rFonts w:cs="Arial"/>
                <w:b/>
                <w:bCs/>
              </w:rPr>
            </w:pPr>
            <w:r w:rsidRPr="00BB14FD">
              <w:rPr>
                <w:rFonts w:cs="Arial"/>
                <w:b/>
                <w:bCs/>
              </w:rPr>
              <w:t>Male at birth (years)</w:t>
            </w:r>
          </w:p>
        </w:tc>
      </w:tr>
      <w:tr w:rsidR="00BB14FD" w:rsidRPr="00BB14FD" w14:paraId="14A73051" w14:textId="77777777" w:rsidTr="00BB14FD">
        <w:tc>
          <w:tcPr>
            <w:tcW w:w="3005" w:type="dxa"/>
            <w:tcBorders>
              <w:top w:val="single" w:sz="4" w:space="0" w:color="auto"/>
              <w:left w:val="single" w:sz="4" w:space="0" w:color="auto"/>
              <w:bottom w:val="single" w:sz="4" w:space="0" w:color="auto"/>
              <w:right w:val="single" w:sz="4" w:space="0" w:color="auto"/>
            </w:tcBorders>
            <w:vAlign w:val="center"/>
            <w:hideMark/>
          </w:tcPr>
          <w:p w14:paraId="668CE8FE" w14:textId="77777777" w:rsidR="00BB14FD" w:rsidRPr="00BB14FD" w:rsidRDefault="00BB14FD" w:rsidP="00BD4BBA">
            <w:pPr>
              <w:rPr>
                <w:rFonts w:cs="Arial"/>
              </w:rPr>
            </w:pPr>
            <w:r w:rsidRPr="00BB14FD">
              <w:rPr>
                <w:rFonts w:cs="Arial"/>
              </w:rPr>
              <w:t>Neath Port Talbot</w:t>
            </w:r>
          </w:p>
        </w:tc>
        <w:tc>
          <w:tcPr>
            <w:tcW w:w="3005" w:type="dxa"/>
            <w:tcBorders>
              <w:top w:val="single" w:sz="4" w:space="0" w:color="auto"/>
              <w:left w:val="single" w:sz="4" w:space="0" w:color="auto"/>
              <w:bottom w:val="single" w:sz="4" w:space="0" w:color="auto"/>
              <w:right w:val="single" w:sz="4" w:space="0" w:color="auto"/>
            </w:tcBorders>
            <w:hideMark/>
          </w:tcPr>
          <w:p w14:paraId="46D349A4" w14:textId="77777777" w:rsidR="00BB14FD" w:rsidRPr="00BB14FD" w:rsidRDefault="00BB14FD" w:rsidP="00BD4BBA">
            <w:pPr>
              <w:jc w:val="center"/>
              <w:rPr>
                <w:rFonts w:cs="Arial"/>
              </w:rPr>
            </w:pPr>
            <w:r w:rsidRPr="00BB14FD">
              <w:rPr>
                <w:rFonts w:cs="Arial"/>
              </w:rPr>
              <w:t>80.5</w:t>
            </w:r>
          </w:p>
        </w:tc>
        <w:tc>
          <w:tcPr>
            <w:tcW w:w="3006" w:type="dxa"/>
            <w:tcBorders>
              <w:top w:val="single" w:sz="4" w:space="0" w:color="auto"/>
              <w:left w:val="single" w:sz="4" w:space="0" w:color="auto"/>
              <w:bottom w:val="single" w:sz="4" w:space="0" w:color="auto"/>
              <w:right w:val="single" w:sz="4" w:space="0" w:color="auto"/>
            </w:tcBorders>
            <w:hideMark/>
          </w:tcPr>
          <w:p w14:paraId="32BCEB9A" w14:textId="77777777" w:rsidR="00BB14FD" w:rsidRPr="00BB14FD" w:rsidRDefault="00BB14FD" w:rsidP="00BD4BBA">
            <w:pPr>
              <w:jc w:val="center"/>
              <w:rPr>
                <w:rFonts w:cs="Arial"/>
              </w:rPr>
            </w:pPr>
            <w:r w:rsidRPr="00BB14FD">
              <w:rPr>
                <w:rFonts w:cs="Arial"/>
              </w:rPr>
              <w:t>76.7</w:t>
            </w:r>
          </w:p>
        </w:tc>
      </w:tr>
      <w:tr w:rsidR="00BB14FD" w:rsidRPr="00D0306F" w14:paraId="4BB20D73" w14:textId="77777777" w:rsidTr="00BB14FD">
        <w:trPr>
          <w:trHeight w:val="70"/>
        </w:trPr>
        <w:tc>
          <w:tcPr>
            <w:tcW w:w="3005" w:type="dxa"/>
            <w:tcBorders>
              <w:top w:val="single" w:sz="4" w:space="0" w:color="auto"/>
              <w:left w:val="single" w:sz="4" w:space="0" w:color="auto"/>
              <w:bottom w:val="single" w:sz="4" w:space="0" w:color="auto"/>
              <w:right w:val="single" w:sz="4" w:space="0" w:color="auto"/>
            </w:tcBorders>
            <w:vAlign w:val="center"/>
            <w:hideMark/>
          </w:tcPr>
          <w:p w14:paraId="6CF53DD5" w14:textId="77777777" w:rsidR="00BB14FD" w:rsidRPr="00BB14FD" w:rsidRDefault="00BB14FD" w:rsidP="00BD4BBA">
            <w:pPr>
              <w:rPr>
                <w:rFonts w:cs="Arial"/>
              </w:rPr>
            </w:pPr>
            <w:r w:rsidRPr="00BB14FD">
              <w:rPr>
                <w:rFonts w:cs="Arial"/>
              </w:rPr>
              <w:t>Wales</w:t>
            </w:r>
          </w:p>
        </w:tc>
        <w:tc>
          <w:tcPr>
            <w:tcW w:w="3005" w:type="dxa"/>
            <w:tcBorders>
              <w:top w:val="single" w:sz="4" w:space="0" w:color="auto"/>
              <w:left w:val="single" w:sz="4" w:space="0" w:color="auto"/>
              <w:bottom w:val="single" w:sz="4" w:space="0" w:color="auto"/>
              <w:right w:val="single" w:sz="4" w:space="0" w:color="auto"/>
            </w:tcBorders>
            <w:shd w:val="clear" w:color="auto" w:fill="FFFFFF"/>
            <w:hideMark/>
          </w:tcPr>
          <w:p w14:paraId="17520D3E" w14:textId="77777777" w:rsidR="00BB14FD" w:rsidRPr="00BB14FD" w:rsidRDefault="00BB14FD" w:rsidP="00BD4BBA">
            <w:pPr>
              <w:jc w:val="center"/>
              <w:rPr>
                <w:rFonts w:cs="Arial"/>
              </w:rPr>
            </w:pPr>
            <w:r w:rsidRPr="00BB14FD">
              <w:rPr>
                <w:rFonts w:cs="Arial"/>
              </w:rPr>
              <w:t>81.8</w:t>
            </w:r>
          </w:p>
        </w:tc>
        <w:tc>
          <w:tcPr>
            <w:tcW w:w="3006" w:type="dxa"/>
            <w:tcBorders>
              <w:top w:val="single" w:sz="4" w:space="0" w:color="auto"/>
              <w:left w:val="single" w:sz="4" w:space="0" w:color="auto"/>
              <w:bottom w:val="single" w:sz="4" w:space="0" w:color="auto"/>
              <w:right w:val="single" w:sz="4" w:space="0" w:color="auto"/>
            </w:tcBorders>
            <w:shd w:val="clear" w:color="auto" w:fill="FFFFFF"/>
            <w:hideMark/>
          </w:tcPr>
          <w:p w14:paraId="41D2B68D" w14:textId="77777777" w:rsidR="00BB14FD" w:rsidRPr="00BB14FD" w:rsidRDefault="00BB14FD" w:rsidP="00BD4BBA">
            <w:pPr>
              <w:jc w:val="center"/>
              <w:rPr>
                <w:rFonts w:cs="Arial"/>
              </w:rPr>
            </w:pPr>
            <w:r w:rsidRPr="00BB14FD">
              <w:rPr>
                <w:rFonts w:cs="Arial"/>
              </w:rPr>
              <w:t>77.9</w:t>
            </w:r>
          </w:p>
        </w:tc>
      </w:tr>
    </w:tbl>
    <w:p w14:paraId="08BAC089" w14:textId="77777777" w:rsidR="00BB14FD" w:rsidRPr="00BB14FD" w:rsidRDefault="00BB14FD" w:rsidP="00BD4BBA">
      <w:pPr>
        <w:contextualSpacing/>
        <w:rPr>
          <w:rFonts w:eastAsia="Aptos" w:cs="Arial"/>
        </w:rPr>
      </w:pPr>
    </w:p>
    <w:p w14:paraId="7F78ED61" w14:textId="77777777" w:rsidR="00BB14FD" w:rsidRPr="00BB14FD" w:rsidRDefault="00BB14FD" w:rsidP="00BD4BBA">
      <w:pPr>
        <w:contextualSpacing/>
        <w:rPr>
          <w:rFonts w:eastAsia="Aptos" w:cs="Arial"/>
          <w:kern w:val="0"/>
          <w14:ligatures w14:val="none"/>
        </w:rPr>
      </w:pPr>
      <w:r w:rsidRPr="00BB14FD">
        <w:rPr>
          <w:rFonts w:eastAsia="Aptos" w:cs="Arial"/>
        </w:rPr>
        <w:t>Disclaimer: Whilst the data presented in healthy life expectancy show figures for 2024, data from the years 2020 to 2022 have been used to ensure consistency and comparability across all years.</w:t>
      </w:r>
    </w:p>
    <w:p w14:paraId="5D37A97B" w14:textId="77777777" w:rsidR="00BB14FD" w:rsidRPr="00BB14FD" w:rsidRDefault="00BB14FD" w:rsidP="00BD4BBA">
      <w:pPr>
        <w:rPr>
          <w:rFonts w:eastAsia="Aptos" w:cs="Arial"/>
        </w:rPr>
      </w:pPr>
    </w:p>
    <w:p w14:paraId="3B6DCEA4"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13.2.3 Deprivation</w:t>
      </w:r>
    </w:p>
    <w:p w14:paraId="7E9D4630" w14:textId="77777777" w:rsidR="00BB14FD" w:rsidRPr="00BB14FD" w:rsidRDefault="00BB14FD" w:rsidP="00BD4BBA">
      <w:pPr>
        <w:rPr>
          <w:rFonts w:eastAsia="Times New Roman" w:cs="Arial"/>
          <w:b/>
          <w:bCs/>
          <w:kern w:val="0"/>
          <w:lang w:eastAsia="en-GB"/>
          <w14:ligatures w14:val="none"/>
        </w:rPr>
      </w:pPr>
    </w:p>
    <w:p w14:paraId="729A8CC1"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The link between deprivation and poor health is well documented. Of the three localities in Neath Port Talbot, Afan has the highest proportion of people living in the most deprived areas in Wales (52.4%), compared with Neath (36.4%), Upper Valleys (5.6%), and Swansea Bay as a whole (27.9%). There are, however, small areas of “deep-rooted” deprivation</w:t>
      </w:r>
      <w:r w:rsidRPr="00BB14FD">
        <w:rPr>
          <w:rFonts w:eastAsia="Times New Roman" w:cs="Arial"/>
          <w:kern w:val="0"/>
          <w:vertAlign w:val="superscript"/>
          <w:lang w:eastAsia="en-GB"/>
          <w14:ligatures w14:val="none"/>
        </w:rPr>
        <w:footnoteReference w:id="314"/>
      </w:r>
      <w:r w:rsidRPr="00BB14FD">
        <w:rPr>
          <w:rFonts w:eastAsia="Times New Roman" w:cs="Arial"/>
          <w:kern w:val="0"/>
          <w:lang w:eastAsia="en-GB"/>
          <w14:ligatures w14:val="none"/>
        </w:rPr>
        <w:t xml:space="preserve"> that have remained within the top 50 most deprived areas, roughly equal to the top 2.6% of small areas in Wales for the last six publications of the Welsh Index of Multiple Deprivation ranks. Where areas of deprivation exist, the population is likely to be experiencing the poorest health.</w:t>
      </w:r>
    </w:p>
    <w:p w14:paraId="2E16C8EB" w14:textId="77777777" w:rsidR="00BB14FD" w:rsidRPr="00BB14FD" w:rsidRDefault="00BB14FD" w:rsidP="00BD4BBA">
      <w:pPr>
        <w:rPr>
          <w:rFonts w:eastAsia="Times New Roman" w:cs="Arial"/>
          <w:b/>
          <w:bCs/>
          <w:kern w:val="0"/>
          <w:lang w:eastAsia="en-GB"/>
          <w14:ligatures w14:val="none"/>
        </w:rPr>
      </w:pPr>
    </w:p>
    <w:p w14:paraId="3B269C23"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The table below shows the estimated percentage of people living in the most deprived 20% areas in the locality, compared with the health board.</w:t>
      </w:r>
    </w:p>
    <w:p w14:paraId="5340D077" w14:textId="77777777" w:rsidR="00BB14FD" w:rsidRPr="00BB14FD" w:rsidRDefault="00BB14FD" w:rsidP="00BD4BBA">
      <w:pPr>
        <w:rPr>
          <w:rFonts w:eastAsia="Times New Roman" w:cs="Arial"/>
          <w:kern w:val="0"/>
          <w:lang w:eastAsia="en-GB"/>
          <w14:ligatures w14:val="none"/>
        </w:rPr>
      </w:pPr>
    </w:p>
    <w:p w14:paraId="788A58B1"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Table 13.2: Estimated percentage of people living in the most deprived 20% of areas in the locality and the health board (2025)</w:t>
      </w:r>
      <w:r w:rsidRPr="00BB14FD">
        <w:rPr>
          <w:rFonts w:eastAsia="Times New Roman" w:cs="Arial"/>
          <w:b/>
          <w:bCs/>
          <w:kern w:val="0"/>
          <w:vertAlign w:val="superscript"/>
          <w:lang w:eastAsia="en-GB"/>
          <w14:ligatures w14:val="none"/>
        </w:rPr>
        <w:footnoteReference w:id="315"/>
      </w:r>
    </w:p>
    <w:p w14:paraId="6E797AFB" w14:textId="77777777" w:rsidR="00BB14FD" w:rsidRPr="00BB14FD" w:rsidRDefault="00BB14FD" w:rsidP="00BD4BBA">
      <w:pPr>
        <w:rPr>
          <w:rFonts w:eastAsia="Times New Roman" w:cs="Arial"/>
          <w:b/>
          <w:bCs/>
          <w:kern w:val="0"/>
          <w:lang w:eastAsia="en-GB"/>
          <w14:ligatures w14:val="none"/>
        </w:rPr>
      </w:pPr>
    </w:p>
    <w:tbl>
      <w:tblPr>
        <w:tblStyle w:val="TableGrid"/>
        <w:tblW w:w="0" w:type="auto"/>
        <w:tblInd w:w="0" w:type="dxa"/>
        <w:tblLook w:val="04A0" w:firstRow="1" w:lastRow="0" w:firstColumn="1" w:lastColumn="0" w:noHBand="0" w:noVBand="1"/>
      </w:tblPr>
      <w:tblGrid>
        <w:gridCol w:w="5382"/>
        <w:gridCol w:w="3634"/>
      </w:tblGrid>
      <w:tr w:rsidR="00BD4BBA" w:rsidRPr="00D0306F" w14:paraId="1EB4A276" w14:textId="77777777" w:rsidTr="00BB14FD">
        <w:tc>
          <w:tcPr>
            <w:tcW w:w="5382" w:type="dxa"/>
            <w:tcBorders>
              <w:top w:val="single" w:sz="4" w:space="0" w:color="auto"/>
              <w:left w:val="single" w:sz="4" w:space="0" w:color="auto"/>
              <w:bottom w:val="single" w:sz="4" w:space="0" w:color="auto"/>
              <w:right w:val="single" w:sz="4" w:space="0" w:color="auto"/>
            </w:tcBorders>
            <w:shd w:val="clear" w:color="auto" w:fill="153D63"/>
            <w:hideMark/>
          </w:tcPr>
          <w:p w14:paraId="456FD29D" w14:textId="77777777" w:rsidR="00BB14FD" w:rsidRPr="00BB14FD" w:rsidRDefault="00BB14FD" w:rsidP="00BD4BBA">
            <w:pPr>
              <w:rPr>
                <w:rFonts w:cs="Arial"/>
                <w:b/>
                <w:bCs/>
              </w:rPr>
            </w:pPr>
            <w:r w:rsidRPr="00BB14FD">
              <w:rPr>
                <w:rFonts w:cs="Arial"/>
                <w:b/>
                <w:bCs/>
              </w:rPr>
              <w:t>Area</w:t>
            </w:r>
          </w:p>
        </w:tc>
        <w:tc>
          <w:tcPr>
            <w:tcW w:w="3634" w:type="dxa"/>
            <w:tcBorders>
              <w:top w:val="single" w:sz="4" w:space="0" w:color="auto"/>
              <w:left w:val="single" w:sz="4" w:space="0" w:color="auto"/>
              <w:bottom w:val="single" w:sz="4" w:space="0" w:color="auto"/>
              <w:right w:val="single" w:sz="4" w:space="0" w:color="auto"/>
            </w:tcBorders>
            <w:shd w:val="clear" w:color="auto" w:fill="153D63"/>
            <w:hideMark/>
          </w:tcPr>
          <w:p w14:paraId="6DEFAC5F" w14:textId="77777777" w:rsidR="00BB14FD" w:rsidRPr="00BB14FD" w:rsidRDefault="00BB14FD" w:rsidP="00BD4BBA">
            <w:pPr>
              <w:jc w:val="center"/>
              <w:rPr>
                <w:rFonts w:cs="Arial"/>
                <w:b/>
                <w:bCs/>
              </w:rPr>
            </w:pPr>
            <w:r w:rsidRPr="00BB14FD">
              <w:rPr>
                <w:rFonts w:cs="Arial"/>
                <w:b/>
                <w:bCs/>
              </w:rPr>
              <w:t>Percentage</w:t>
            </w:r>
          </w:p>
        </w:tc>
      </w:tr>
      <w:tr w:rsidR="00BB14FD" w:rsidRPr="00BB14FD" w14:paraId="7BDC96BB" w14:textId="77777777" w:rsidTr="00BB14FD">
        <w:tc>
          <w:tcPr>
            <w:tcW w:w="5382" w:type="dxa"/>
            <w:tcBorders>
              <w:top w:val="single" w:sz="4" w:space="0" w:color="auto"/>
              <w:left w:val="single" w:sz="4" w:space="0" w:color="auto"/>
              <w:bottom w:val="single" w:sz="4" w:space="0" w:color="auto"/>
              <w:right w:val="single" w:sz="4" w:space="0" w:color="auto"/>
            </w:tcBorders>
            <w:hideMark/>
          </w:tcPr>
          <w:p w14:paraId="12C95CB7" w14:textId="77777777" w:rsidR="00BB14FD" w:rsidRPr="00BB14FD" w:rsidRDefault="00BB14FD" w:rsidP="00BD4BBA">
            <w:pPr>
              <w:rPr>
                <w:rFonts w:cs="Arial"/>
              </w:rPr>
            </w:pPr>
            <w:r w:rsidRPr="00BB14FD">
              <w:rPr>
                <w:rFonts w:cs="Arial"/>
              </w:rPr>
              <w:t>Afan locality</w:t>
            </w:r>
          </w:p>
        </w:tc>
        <w:tc>
          <w:tcPr>
            <w:tcW w:w="3634" w:type="dxa"/>
            <w:tcBorders>
              <w:top w:val="single" w:sz="4" w:space="0" w:color="auto"/>
              <w:left w:val="single" w:sz="4" w:space="0" w:color="auto"/>
              <w:bottom w:val="single" w:sz="4" w:space="0" w:color="auto"/>
              <w:right w:val="single" w:sz="4" w:space="0" w:color="auto"/>
            </w:tcBorders>
            <w:vAlign w:val="center"/>
            <w:hideMark/>
          </w:tcPr>
          <w:p w14:paraId="51F695C5" w14:textId="77777777" w:rsidR="00BB14FD" w:rsidRPr="00BB14FD" w:rsidRDefault="00BB14FD" w:rsidP="00BD4BBA">
            <w:pPr>
              <w:jc w:val="center"/>
              <w:rPr>
                <w:rFonts w:cs="Arial"/>
              </w:rPr>
            </w:pPr>
            <w:r w:rsidRPr="00BB14FD">
              <w:rPr>
                <w:rFonts w:cs="Arial"/>
              </w:rPr>
              <w:t>52.4%</w:t>
            </w:r>
          </w:p>
        </w:tc>
      </w:tr>
      <w:tr w:rsidR="00BB14FD" w:rsidRPr="00BB14FD" w14:paraId="125A5A0F" w14:textId="77777777" w:rsidTr="00BB14FD">
        <w:tc>
          <w:tcPr>
            <w:tcW w:w="5382" w:type="dxa"/>
            <w:tcBorders>
              <w:top w:val="single" w:sz="4" w:space="0" w:color="auto"/>
              <w:left w:val="single" w:sz="4" w:space="0" w:color="auto"/>
              <w:bottom w:val="single" w:sz="4" w:space="0" w:color="auto"/>
              <w:right w:val="single" w:sz="4" w:space="0" w:color="auto"/>
            </w:tcBorders>
            <w:hideMark/>
          </w:tcPr>
          <w:p w14:paraId="588F80EA" w14:textId="77777777" w:rsidR="00BB14FD" w:rsidRPr="00BB14FD" w:rsidRDefault="00BB14FD" w:rsidP="00BD4BBA">
            <w:pPr>
              <w:rPr>
                <w:rFonts w:cs="Arial"/>
              </w:rPr>
            </w:pPr>
            <w:r w:rsidRPr="00BB14FD">
              <w:rPr>
                <w:rFonts w:cs="Arial"/>
              </w:rPr>
              <w:t>Swansea Bay University Health Board</w:t>
            </w:r>
          </w:p>
        </w:tc>
        <w:tc>
          <w:tcPr>
            <w:tcW w:w="3634" w:type="dxa"/>
            <w:tcBorders>
              <w:top w:val="single" w:sz="4" w:space="0" w:color="auto"/>
              <w:left w:val="single" w:sz="4" w:space="0" w:color="auto"/>
              <w:bottom w:val="single" w:sz="4" w:space="0" w:color="auto"/>
              <w:right w:val="single" w:sz="4" w:space="0" w:color="auto"/>
            </w:tcBorders>
            <w:vAlign w:val="center"/>
            <w:hideMark/>
          </w:tcPr>
          <w:p w14:paraId="145169F3" w14:textId="77777777" w:rsidR="00BB14FD" w:rsidRPr="00BB14FD" w:rsidRDefault="00BB14FD" w:rsidP="00BD4BBA">
            <w:pPr>
              <w:jc w:val="center"/>
              <w:rPr>
                <w:rFonts w:cs="Arial"/>
              </w:rPr>
            </w:pPr>
            <w:r w:rsidRPr="00BB14FD">
              <w:rPr>
                <w:rFonts w:cs="Arial"/>
              </w:rPr>
              <w:t>27.9%</w:t>
            </w:r>
          </w:p>
        </w:tc>
      </w:tr>
    </w:tbl>
    <w:p w14:paraId="2F3DAF91" w14:textId="77777777" w:rsidR="00BB14FD" w:rsidRPr="00BB14FD" w:rsidRDefault="00BB14FD" w:rsidP="00BD4BBA">
      <w:pPr>
        <w:rPr>
          <w:rFonts w:eastAsia="Times New Roman" w:cs="Arial"/>
          <w:kern w:val="0"/>
          <w:lang w:eastAsia="en-GB"/>
          <w14:ligatures w14:val="none"/>
        </w:rPr>
      </w:pPr>
    </w:p>
    <w:p w14:paraId="6C851767"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 xml:space="preserve">13.2.4 Health profile </w:t>
      </w:r>
    </w:p>
    <w:p w14:paraId="48DFC06E" w14:textId="77777777" w:rsidR="00BB14FD" w:rsidRPr="00BB14FD" w:rsidRDefault="00BB14FD" w:rsidP="00BD4BBA">
      <w:pPr>
        <w:rPr>
          <w:rFonts w:eastAsia="Aptos" w:cs="Arial"/>
        </w:rPr>
      </w:pPr>
    </w:p>
    <w:p w14:paraId="4AE61919" w14:textId="77777777" w:rsidR="00BB14FD" w:rsidRPr="00BB14FD" w:rsidRDefault="00BB14FD" w:rsidP="00BD4BBA">
      <w:pPr>
        <w:contextualSpacing/>
        <w:rPr>
          <w:rFonts w:eastAsia="Aptos" w:cs="Arial"/>
        </w:rPr>
      </w:pPr>
      <w:r w:rsidRPr="00BB14FD">
        <w:rPr>
          <w:rFonts w:eastAsia="Aptos" w:cs="Arial"/>
        </w:rPr>
        <w:t>The table below shows the locality has a higher estimated prevalence of chronic conditions than the health board and Wales averages in asthma (0.4% and 0.3% higher respectively), coronary heart disease (0.4% and 0.3% higher respectively), chronic obstructive pulmonary disease (0.4% higher), diabetes (1.3% and 1.0% higher respectively) and heart failure (0.3% and 0.5% higher respectively). Stroke and transient ischaemic attack align to both the health board and Wales average.</w:t>
      </w:r>
    </w:p>
    <w:p w14:paraId="785DA573" w14:textId="77777777" w:rsidR="00BB14FD" w:rsidRPr="00BB14FD" w:rsidRDefault="00BB14FD" w:rsidP="00BD4BBA">
      <w:pPr>
        <w:rPr>
          <w:rFonts w:eastAsia="Aptos" w:cs="Arial"/>
        </w:rPr>
      </w:pPr>
    </w:p>
    <w:p w14:paraId="3BA13705" w14:textId="77777777" w:rsidR="00BB14FD" w:rsidRPr="00BB14FD" w:rsidRDefault="00BB14FD" w:rsidP="00BD4BBA">
      <w:pPr>
        <w:keepNext/>
        <w:rPr>
          <w:rFonts w:eastAsia="Times New Roman" w:cs="Arial"/>
          <w:b/>
          <w:bCs/>
          <w:kern w:val="0"/>
          <w14:ligatures w14:val="none"/>
        </w:rPr>
      </w:pPr>
      <w:r w:rsidRPr="00BB14FD">
        <w:rPr>
          <w:rFonts w:eastAsia="Times New Roman" w:cs="Arial"/>
          <w:b/>
          <w:bCs/>
          <w:kern w:val="0"/>
          <w14:ligatures w14:val="none"/>
        </w:rPr>
        <w:t>Table 13.3: Estimated percentage prevalence of chronic condition based on people on GP practice registers by locality, health board and Wales, 2025</w:t>
      </w:r>
      <w:r w:rsidRPr="00BB14FD">
        <w:rPr>
          <w:rFonts w:eastAsia="Times New Roman" w:cs="Arial"/>
          <w:b/>
          <w:bCs/>
          <w:kern w:val="0"/>
          <w:vertAlign w:val="superscript"/>
          <w14:ligatures w14:val="none"/>
        </w:rPr>
        <w:footnoteReference w:id="316"/>
      </w:r>
    </w:p>
    <w:p w14:paraId="32C8999A" w14:textId="77777777" w:rsidR="00BB14FD" w:rsidRPr="00BB14FD" w:rsidRDefault="00BB14FD" w:rsidP="00BD4BBA">
      <w:pPr>
        <w:keepNext/>
        <w:rPr>
          <w:rFonts w:eastAsia="Times New Roman" w:cs="Arial"/>
          <w:b/>
          <w:kern w:val="0"/>
          <w14:ligatures w14:val="none"/>
        </w:rPr>
      </w:pPr>
    </w:p>
    <w:tbl>
      <w:tblPr>
        <w:tblStyle w:val="TableGrid"/>
        <w:tblW w:w="9180" w:type="dxa"/>
        <w:tblInd w:w="-113" w:type="dxa"/>
        <w:tblLook w:val="04A0" w:firstRow="1" w:lastRow="0" w:firstColumn="1" w:lastColumn="0" w:noHBand="0" w:noVBand="1"/>
      </w:tblPr>
      <w:tblGrid>
        <w:gridCol w:w="1472"/>
        <w:gridCol w:w="1135"/>
        <w:gridCol w:w="1284"/>
        <w:gridCol w:w="1510"/>
        <w:gridCol w:w="1231"/>
        <w:gridCol w:w="1007"/>
        <w:gridCol w:w="1541"/>
      </w:tblGrid>
      <w:tr w:rsidR="00BB14FD" w:rsidRPr="00D0306F" w14:paraId="69F940E3" w14:textId="77777777" w:rsidTr="00BD4BBA">
        <w:tc>
          <w:tcPr>
            <w:tcW w:w="1472" w:type="dxa"/>
            <w:tcBorders>
              <w:top w:val="single" w:sz="4" w:space="0" w:color="auto"/>
              <w:left w:val="single" w:sz="4" w:space="0" w:color="auto"/>
              <w:bottom w:val="single" w:sz="4" w:space="0" w:color="auto"/>
              <w:right w:val="single" w:sz="4" w:space="0" w:color="auto"/>
            </w:tcBorders>
            <w:shd w:val="clear" w:color="auto" w:fill="153D63"/>
            <w:hideMark/>
          </w:tcPr>
          <w:p w14:paraId="54B97A2B" w14:textId="77777777" w:rsidR="00BB14FD" w:rsidRPr="00BB14FD" w:rsidRDefault="00BB14FD" w:rsidP="00BD4BBA">
            <w:pPr>
              <w:keepNext/>
              <w:rPr>
                <w:rFonts w:cs="Arial"/>
                <w:b/>
              </w:rPr>
            </w:pPr>
            <w:r w:rsidRPr="00BB14FD">
              <w:rPr>
                <w:rFonts w:cs="Arial"/>
                <w:b/>
                <w:bCs/>
              </w:rPr>
              <w:t>Area</w:t>
            </w:r>
          </w:p>
        </w:tc>
        <w:tc>
          <w:tcPr>
            <w:tcW w:w="1135" w:type="dxa"/>
            <w:tcBorders>
              <w:top w:val="single" w:sz="4" w:space="0" w:color="auto"/>
              <w:left w:val="single" w:sz="4" w:space="0" w:color="auto"/>
              <w:bottom w:val="single" w:sz="4" w:space="0" w:color="auto"/>
              <w:right w:val="single" w:sz="4" w:space="0" w:color="auto"/>
            </w:tcBorders>
            <w:shd w:val="clear" w:color="auto" w:fill="153D63"/>
            <w:hideMark/>
          </w:tcPr>
          <w:p w14:paraId="6A909990" w14:textId="77777777" w:rsidR="00BB14FD" w:rsidRPr="00BB14FD" w:rsidRDefault="00BB14FD" w:rsidP="00BD4BBA">
            <w:pPr>
              <w:keepNext/>
              <w:rPr>
                <w:rFonts w:cs="Arial"/>
                <w:b/>
              </w:rPr>
            </w:pPr>
            <w:r w:rsidRPr="00BB14FD">
              <w:rPr>
                <w:rFonts w:cs="Arial"/>
                <w:b/>
                <w:bCs/>
              </w:rPr>
              <w:t>Asthma</w:t>
            </w:r>
          </w:p>
        </w:tc>
        <w:tc>
          <w:tcPr>
            <w:tcW w:w="1284" w:type="dxa"/>
            <w:tcBorders>
              <w:top w:val="single" w:sz="4" w:space="0" w:color="auto"/>
              <w:left w:val="single" w:sz="4" w:space="0" w:color="auto"/>
              <w:bottom w:val="single" w:sz="4" w:space="0" w:color="auto"/>
              <w:right w:val="single" w:sz="4" w:space="0" w:color="auto"/>
            </w:tcBorders>
            <w:shd w:val="clear" w:color="auto" w:fill="153D63"/>
            <w:hideMark/>
          </w:tcPr>
          <w:p w14:paraId="48601044" w14:textId="77777777" w:rsidR="00BB14FD" w:rsidRPr="00BB14FD" w:rsidRDefault="00BB14FD" w:rsidP="00BD4BBA">
            <w:pPr>
              <w:keepNext/>
              <w:rPr>
                <w:rFonts w:cs="Arial"/>
                <w:b/>
              </w:rPr>
            </w:pPr>
            <w:r w:rsidRPr="00BB14FD">
              <w:rPr>
                <w:rFonts w:cs="Arial"/>
                <w:b/>
                <w:bCs/>
              </w:rPr>
              <w:t>Coronary heart disease</w:t>
            </w:r>
          </w:p>
        </w:tc>
        <w:tc>
          <w:tcPr>
            <w:tcW w:w="1510" w:type="dxa"/>
            <w:tcBorders>
              <w:top w:val="single" w:sz="4" w:space="0" w:color="auto"/>
              <w:left w:val="single" w:sz="4" w:space="0" w:color="auto"/>
              <w:bottom w:val="single" w:sz="4" w:space="0" w:color="auto"/>
              <w:right w:val="single" w:sz="4" w:space="0" w:color="auto"/>
            </w:tcBorders>
            <w:shd w:val="clear" w:color="auto" w:fill="153D63"/>
            <w:hideMark/>
          </w:tcPr>
          <w:p w14:paraId="285CCA36" w14:textId="77777777" w:rsidR="00BB14FD" w:rsidRPr="00BB14FD" w:rsidRDefault="00BB14FD" w:rsidP="00BD4BBA">
            <w:pPr>
              <w:keepNext/>
              <w:rPr>
                <w:rFonts w:cs="Arial"/>
                <w:b/>
              </w:rPr>
            </w:pPr>
            <w:r w:rsidRPr="00BB14FD">
              <w:rPr>
                <w:rFonts w:cs="Arial"/>
                <w:b/>
                <w:bCs/>
              </w:rPr>
              <w:t>Chronic obstructive pulmonary disease</w:t>
            </w:r>
          </w:p>
        </w:tc>
        <w:tc>
          <w:tcPr>
            <w:tcW w:w="1231" w:type="dxa"/>
            <w:tcBorders>
              <w:top w:val="single" w:sz="4" w:space="0" w:color="auto"/>
              <w:left w:val="single" w:sz="4" w:space="0" w:color="auto"/>
              <w:bottom w:val="single" w:sz="4" w:space="0" w:color="auto"/>
              <w:right w:val="single" w:sz="4" w:space="0" w:color="auto"/>
            </w:tcBorders>
            <w:shd w:val="clear" w:color="auto" w:fill="153D63"/>
            <w:hideMark/>
          </w:tcPr>
          <w:p w14:paraId="0AC6345D" w14:textId="77777777" w:rsidR="00BB14FD" w:rsidRPr="00BB14FD" w:rsidRDefault="00BB14FD" w:rsidP="00BD4BBA">
            <w:pPr>
              <w:keepNext/>
              <w:rPr>
                <w:rFonts w:cs="Arial"/>
                <w:b/>
              </w:rPr>
            </w:pPr>
            <w:r w:rsidRPr="00BB14FD">
              <w:rPr>
                <w:rFonts w:cs="Arial"/>
                <w:b/>
                <w:bCs/>
              </w:rPr>
              <w:t>Diabetes</w:t>
            </w:r>
          </w:p>
        </w:tc>
        <w:tc>
          <w:tcPr>
            <w:tcW w:w="1007" w:type="dxa"/>
            <w:tcBorders>
              <w:top w:val="single" w:sz="4" w:space="0" w:color="auto"/>
              <w:left w:val="single" w:sz="4" w:space="0" w:color="auto"/>
              <w:bottom w:val="single" w:sz="4" w:space="0" w:color="auto"/>
              <w:right w:val="single" w:sz="4" w:space="0" w:color="auto"/>
            </w:tcBorders>
            <w:shd w:val="clear" w:color="auto" w:fill="153D63"/>
            <w:hideMark/>
          </w:tcPr>
          <w:p w14:paraId="70D396D8" w14:textId="77777777" w:rsidR="00BB14FD" w:rsidRPr="00BB14FD" w:rsidRDefault="00BB14FD" w:rsidP="00BD4BBA">
            <w:pPr>
              <w:keepNext/>
              <w:rPr>
                <w:rFonts w:cs="Arial"/>
                <w:b/>
              </w:rPr>
            </w:pPr>
            <w:r w:rsidRPr="00BB14FD">
              <w:rPr>
                <w:rFonts w:cs="Arial"/>
                <w:b/>
                <w:bCs/>
              </w:rPr>
              <w:t>Heart failure</w:t>
            </w:r>
          </w:p>
        </w:tc>
        <w:tc>
          <w:tcPr>
            <w:tcW w:w="1541" w:type="dxa"/>
            <w:tcBorders>
              <w:top w:val="single" w:sz="4" w:space="0" w:color="auto"/>
              <w:left w:val="single" w:sz="4" w:space="0" w:color="auto"/>
              <w:bottom w:val="single" w:sz="4" w:space="0" w:color="auto"/>
              <w:right w:val="single" w:sz="4" w:space="0" w:color="auto"/>
            </w:tcBorders>
            <w:shd w:val="clear" w:color="auto" w:fill="153D63"/>
            <w:hideMark/>
          </w:tcPr>
          <w:p w14:paraId="004ECC1E" w14:textId="77777777" w:rsidR="00BB14FD" w:rsidRPr="00BB14FD" w:rsidRDefault="00BB14FD" w:rsidP="00BD4BBA">
            <w:pPr>
              <w:keepNext/>
              <w:rPr>
                <w:rFonts w:cs="Arial"/>
                <w:b/>
              </w:rPr>
            </w:pPr>
            <w:r w:rsidRPr="00BB14FD">
              <w:rPr>
                <w:rFonts w:cs="Arial"/>
                <w:b/>
                <w:bCs/>
              </w:rPr>
              <w:t>Stroke and transient ischaemic attacks</w:t>
            </w:r>
          </w:p>
        </w:tc>
      </w:tr>
      <w:tr w:rsidR="00BB14FD" w:rsidRPr="00BB14FD" w14:paraId="6D2752F0" w14:textId="77777777" w:rsidTr="00BD4BBA">
        <w:tc>
          <w:tcPr>
            <w:tcW w:w="1472" w:type="dxa"/>
            <w:tcBorders>
              <w:top w:val="single" w:sz="4" w:space="0" w:color="auto"/>
              <w:left w:val="single" w:sz="4" w:space="0" w:color="auto"/>
              <w:bottom w:val="single" w:sz="4" w:space="0" w:color="auto"/>
              <w:right w:val="single" w:sz="4" w:space="0" w:color="auto"/>
            </w:tcBorders>
            <w:vAlign w:val="center"/>
            <w:hideMark/>
          </w:tcPr>
          <w:p w14:paraId="1A3B21D4" w14:textId="77777777" w:rsidR="00BB14FD" w:rsidRPr="00BB14FD" w:rsidRDefault="00BB14FD" w:rsidP="00BD4BBA">
            <w:pPr>
              <w:keepNext/>
              <w:rPr>
                <w:rFonts w:cs="Arial"/>
              </w:rPr>
            </w:pPr>
            <w:r w:rsidRPr="00BB14FD">
              <w:rPr>
                <w:rFonts w:cs="Arial"/>
              </w:rPr>
              <w:t>Afan locality</w:t>
            </w:r>
          </w:p>
        </w:tc>
        <w:tc>
          <w:tcPr>
            <w:tcW w:w="1135" w:type="dxa"/>
            <w:tcBorders>
              <w:top w:val="single" w:sz="4" w:space="0" w:color="auto"/>
              <w:left w:val="single" w:sz="4" w:space="0" w:color="auto"/>
              <w:bottom w:val="single" w:sz="4" w:space="0" w:color="auto"/>
              <w:right w:val="single" w:sz="4" w:space="0" w:color="auto"/>
            </w:tcBorders>
            <w:vAlign w:val="center"/>
            <w:hideMark/>
          </w:tcPr>
          <w:p w14:paraId="698D9050" w14:textId="77777777" w:rsidR="00BB14FD" w:rsidRPr="00BB14FD" w:rsidRDefault="00BB14FD" w:rsidP="00BD4BBA">
            <w:pPr>
              <w:keepNext/>
              <w:rPr>
                <w:rFonts w:cs="Arial"/>
                <w:bCs/>
              </w:rPr>
            </w:pPr>
            <w:r w:rsidRPr="00BB14FD">
              <w:rPr>
                <w:rFonts w:cs="Arial"/>
                <w:bCs/>
              </w:rPr>
              <w:t>7.4%</w:t>
            </w:r>
          </w:p>
        </w:tc>
        <w:tc>
          <w:tcPr>
            <w:tcW w:w="1284" w:type="dxa"/>
            <w:tcBorders>
              <w:top w:val="single" w:sz="4" w:space="0" w:color="auto"/>
              <w:left w:val="single" w:sz="4" w:space="0" w:color="auto"/>
              <w:bottom w:val="single" w:sz="4" w:space="0" w:color="auto"/>
              <w:right w:val="single" w:sz="4" w:space="0" w:color="auto"/>
            </w:tcBorders>
            <w:vAlign w:val="center"/>
            <w:hideMark/>
          </w:tcPr>
          <w:p w14:paraId="76E64625" w14:textId="77777777" w:rsidR="00BB14FD" w:rsidRPr="00BB14FD" w:rsidRDefault="00BB14FD" w:rsidP="00BD4BBA">
            <w:pPr>
              <w:keepNext/>
              <w:rPr>
                <w:rFonts w:cs="Arial"/>
                <w:bCs/>
              </w:rPr>
            </w:pPr>
            <w:r w:rsidRPr="00BB14FD">
              <w:rPr>
                <w:rFonts w:cs="Arial"/>
                <w:bCs/>
              </w:rPr>
              <w:t>3.7%</w:t>
            </w:r>
          </w:p>
        </w:tc>
        <w:tc>
          <w:tcPr>
            <w:tcW w:w="1510" w:type="dxa"/>
            <w:tcBorders>
              <w:top w:val="single" w:sz="4" w:space="0" w:color="auto"/>
              <w:left w:val="single" w:sz="4" w:space="0" w:color="auto"/>
              <w:bottom w:val="single" w:sz="4" w:space="0" w:color="auto"/>
              <w:right w:val="single" w:sz="4" w:space="0" w:color="auto"/>
            </w:tcBorders>
            <w:vAlign w:val="center"/>
            <w:hideMark/>
          </w:tcPr>
          <w:p w14:paraId="7B1DE7A8" w14:textId="77777777" w:rsidR="00BB14FD" w:rsidRPr="00BB14FD" w:rsidRDefault="00BB14FD" w:rsidP="00BD4BBA">
            <w:pPr>
              <w:keepNext/>
              <w:rPr>
                <w:rFonts w:cs="Arial"/>
                <w:bCs/>
              </w:rPr>
            </w:pPr>
            <w:r w:rsidRPr="00BB14FD">
              <w:rPr>
                <w:rFonts w:cs="Arial"/>
                <w:bCs/>
              </w:rPr>
              <w:t>2.7%</w:t>
            </w:r>
          </w:p>
        </w:tc>
        <w:tc>
          <w:tcPr>
            <w:tcW w:w="1231" w:type="dxa"/>
            <w:tcBorders>
              <w:top w:val="single" w:sz="4" w:space="0" w:color="auto"/>
              <w:left w:val="single" w:sz="4" w:space="0" w:color="auto"/>
              <w:bottom w:val="single" w:sz="4" w:space="0" w:color="auto"/>
              <w:right w:val="single" w:sz="4" w:space="0" w:color="auto"/>
            </w:tcBorders>
            <w:vAlign w:val="center"/>
            <w:hideMark/>
          </w:tcPr>
          <w:p w14:paraId="454D1FBA" w14:textId="77777777" w:rsidR="00BB14FD" w:rsidRPr="00BB14FD" w:rsidRDefault="00BB14FD" w:rsidP="00BD4BBA">
            <w:pPr>
              <w:keepNext/>
              <w:rPr>
                <w:rFonts w:cs="Arial"/>
                <w:bCs/>
              </w:rPr>
            </w:pPr>
            <w:r w:rsidRPr="00BB14FD">
              <w:rPr>
                <w:rFonts w:cs="Arial"/>
                <w:bCs/>
              </w:rPr>
              <w:t>9.4%</w:t>
            </w:r>
          </w:p>
        </w:tc>
        <w:tc>
          <w:tcPr>
            <w:tcW w:w="1007" w:type="dxa"/>
            <w:tcBorders>
              <w:top w:val="single" w:sz="4" w:space="0" w:color="auto"/>
              <w:left w:val="single" w:sz="4" w:space="0" w:color="auto"/>
              <w:bottom w:val="single" w:sz="4" w:space="0" w:color="auto"/>
              <w:right w:val="single" w:sz="4" w:space="0" w:color="auto"/>
            </w:tcBorders>
            <w:vAlign w:val="center"/>
            <w:hideMark/>
          </w:tcPr>
          <w:p w14:paraId="3AC6FA9D" w14:textId="77777777" w:rsidR="00BB14FD" w:rsidRPr="00BB14FD" w:rsidRDefault="00BB14FD" w:rsidP="00BD4BBA">
            <w:pPr>
              <w:keepNext/>
              <w:rPr>
                <w:rFonts w:cs="Arial"/>
                <w:bCs/>
              </w:rPr>
            </w:pPr>
            <w:r w:rsidRPr="00BB14FD">
              <w:rPr>
                <w:rFonts w:cs="Arial"/>
                <w:bCs/>
              </w:rPr>
              <w:t>1.9%</w:t>
            </w:r>
          </w:p>
        </w:tc>
        <w:tc>
          <w:tcPr>
            <w:tcW w:w="1541" w:type="dxa"/>
            <w:tcBorders>
              <w:top w:val="single" w:sz="4" w:space="0" w:color="auto"/>
              <w:left w:val="single" w:sz="4" w:space="0" w:color="auto"/>
              <w:bottom w:val="single" w:sz="4" w:space="0" w:color="auto"/>
              <w:right w:val="single" w:sz="4" w:space="0" w:color="auto"/>
            </w:tcBorders>
            <w:vAlign w:val="center"/>
            <w:hideMark/>
          </w:tcPr>
          <w:p w14:paraId="7E891CEB" w14:textId="77777777" w:rsidR="00BB14FD" w:rsidRPr="00BB14FD" w:rsidRDefault="00BB14FD" w:rsidP="00BD4BBA">
            <w:pPr>
              <w:keepNext/>
              <w:rPr>
                <w:rFonts w:cs="Arial"/>
                <w:bCs/>
              </w:rPr>
            </w:pPr>
            <w:r w:rsidRPr="00BB14FD">
              <w:rPr>
                <w:rFonts w:cs="Arial"/>
                <w:bCs/>
              </w:rPr>
              <w:t>2.2%</w:t>
            </w:r>
          </w:p>
        </w:tc>
      </w:tr>
      <w:tr w:rsidR="00BB14FD" w:rsidRPr="00BB14FD" w14:paraId="608491D5" w14:textId="77777777" w:rsidTr="00BD4BBA">
        <w:tc>
          <w:tcPr>
            <w:tcW w:w="1472" w:type="dxa"/>
            <w:tcBorders>
              <w:top w:val="single" w:sz="4" w:space="0" w:color="auto"/>
              <w:left w:val="single" w:sz="4" w:space="0" w:color="auto"/>
              <w:bottom w:val="single" w:sz="4" w:space="0" w:color="auto"/>
              <w:right w:val="single" w:sz="4" w:space="0" w:color="auto"/>
            </w:tcBorders>
            <w:vAlign w:val="center"/>
            <w:hideMark/>
          </w:tcPr>
          <w:p w14:paraId="18A5ACDD" w14:textId="77777777" w:rsidR="00BB14FD" w:rsidRPr="00BB14FD" w:rsidRDefault="00BB14FD" w:rsidP="00BD4BBA">
            <w:pPr>
              <w:keepNext/>
              <w:rPr>
                <w:rFonts w:cs="Arial"/>
              </w:rPr>
            </w:pPr>
            <w:r w:rsidRPr="00BB14FD">
              <w:rPr>
                <w:rFonts w:cs="Arial"/>
              </w:rPr>
              <w:t xml:space="preserve">Swansea Bay University Health Board </w:t>
            </w:r>
          </w:p>
        </w:tc>
        <w:tc>
          <w:tcPr>
            <w:tcW w:w="1135" w:type="dxa"/>
            <w:tcBorders>
              <w:top w:val="single" w:sz="4" w:space="0" w:color="auto"/>
              <w:left w:val="single" w:sz="4" w:space="0" w:color="auto"/>
              <w:bottom w:val="single" w:sz="4" w:space="0" w:color="auto"/>
              <w:right w:val="single" w:sz="4" w:space="0" w:color="auto"/>
            </w:tcBorders>
            <w:vAlign w:val="center"/>
            <w:hideMark/>
          </w:tcPr>
          <w:p w14:paraId="26E54E83" w14:textId="77777777" w:rsidR="00BB14FD" w:rsidRPr="00BB14FD" w:rsidRDefault="00BB14FD" w:rsidP="00BD4BBA">
            <w:pPr>
              <w:keepNext/>
              <w:rPr>
                <w:rFonts w:cs="Arial"/>
              </w:rPr>
            </w:pPr>
            <w:r w:rsidRPr="00BB14FD">
              <w:rPr>
                <w:rFonts w:cs="Arial"/>
              </w:rPr>
              <w:t>7.0%</w:t>
            </w:r>
          </w:p>
        </w:tc>
        <w:tc>
          <w:tcPr>
            <w:tcW w:w="1284" w:type="dxa"/>
            <w:tcBorders>
              <w:top w:val="single" w:sz="4" w:space="0" w:color="auto"/>
              <w:left w:val="single" w:sz="4" w:space="0" w:color="auto"/>
              <w:bottom w:val="single" w:sz="4" w:space="0" w:color="auto"/>
              <w:right w:val="single" w:sz="4" w:space="0" w:color="auto"/>
            </w:tcBorders>
            <w:vAlign w:val="center"/>
            <w:hideMark/>
          </w:tcPr>
          <w:p w14:paraId="4601C238" w14:textId="77777777" w:rsidR="00BB14FD" w:rsidRPr="00BB14FD" w:rsidRDefault="00BB14FD" w:rsidP="00BD4BBA">
            <w:pPr>
              <w:keepNext/>
              <w:rPr>
                <w:rFonts w:cs="Arial"/>
              </w:rPr>
            </w:pPr>
            <w:r w:rsidRPr="00BB14FD">
              <w:rPr>
                <w:rFonts w:cs="Arial"/>
              </w:rPr>
              <w:t>3.3%</w:t>
            </w:r>
          </w:p>
        </w:tc>
        <w:tc>
          <w:tcPr>
            <w:tcW w:w="1510" w:type="dxa"/>
            <w:tcBorders>
              <w:top w:val="single" w:sz="4" w:space="0" w:color="auto"/>
              <w:left w:val="single" w:sz="4" w:space="0" w:color="auto"/>
              <w:bottom w:val="single" w:sz="4" w:space="0" w:color="auto"/>
              <w:right w:val="single" w:sz="4" w:space="0" w:color="auto"/>
            </w:tcBorders>
            <w:vAlign w:val="center"/>
            <w:hideMark/>
          </w:tcPr>
          <w:p w14:paraId="4C84B4E3" w14:textId="77777777" w:rsidR="00BB14FD" w:rsidRPr="00BB14FD" w:rsidRDefault="00BB14FD" w:rsidP="00BD4BBA">
            <w:pPr>
              <w:keepNext/>
              <w:rPr>
                <w:rFonts w:cs="Arial"/>
              </w:rPr>
            </w:pPr>
            <w:r w:rsidRPr="00BB14FD">
              <w:rPr>
                <w:rFonts w:cs="Arial"/>
              </w:rPr>
              <w:t>2.3%</w:t>
            </w:r>
          </w:p>
        </w:tc>
        <w:tc>
          <w:tcPr>
            <w:tcW w:w="1231" w:type="dxa"/>
            <w:tcBorders>
              <w:top w:val="single" w:sz="4" w:space="0" w:color="auto"/>
              <w:left w:val="single" w:sz="4" w:space="0" w:color="auto"/>
              <w:bottom w:val="single" w:sz="4" w:space="0" w:color="auto"/>
              <w:right w:val="single" w:sz="4" w:space="0" w:color="auto"/>
            </w:tcBorders>
            <w:vAlign w:val="center"/>
            <w:hideMark/>
          </w:tcPr>
          <w:p w14:paraId="1A1C3A70" w14:textId="77777777" w:rsidR="00BB14FD" w:rsidRPr="00BB14FD" w:rsidRDefault="00BB14FD" w:rsidP="00BD4BBA">
            <w:pPr>
              <w:keepNext/>
              <w:rPr>
                <w:rFonts w:cs="Arial"/>
              </w:rPr>
            </w:pPr>
            <w:r w:rsidRPr="00BB14FD">
              <w:rPr>
                <w:rFonts w:cs="Arial"/>
              </w:rPr>
              <w:t>8.1%</w:t>
            </w:r>
          </w:p>
        </w:tc>
        <w:tc>
          <w:tcPr>
            <w:tcW w:w="1007" w:type="dxa"/>
            <w:tcBorders>
              <w:top w:val="single" w:sz="4" w:space="0" w:color="auto"/>
              <w:left w:val="single" w:sz="4" w:space="0" w:color="auto"/>
              <w:bottom w:val="single" w:sz="4" w:space="0" w:color="auto"/>
              <w:right w:val="single" w:sz="4" w:space="0" w:color="auto"/>
            </w:tcBorders>
            <w:vAlign w:val="center"/>
            <w:hideMark/>
          </w:tcPr>
          <w:p w14:paraId="47FAA996" w14:textId="77777777" w:rsidR="00BB14FD" w:rsidRPr="00BB14FD" w:rsidRDefault="00BB14FD" w:rsidP="00BD4BBA">
            <w:pPr>
              <w:keepNext/>
              <w:rPr>
                <w:rFonts w:cs="Arial"/>
              </w:rPr>
            </w:pPr>
            <w:r w:rsidRPr="00BB14FD">
              <w:rPr>
                <w:rFonts w:cs="Arial"/>
              </w:rPr>
              <w:t>1.6%</w:t>
            </w:r>
          </w:p>
        </w:tc>
        <w:tc>
          <w:tcPr>
            <w:tcW w:w="1541" w:type="dxa"/>
            <w:tcBorders>
              <w:top w:val="single" w:sz="4" w:space="0" w:color="auto"/>
              <w:left w:val="single" w:sz="4" w:space="0" w:color="auto"/>
              <w:bottom w:val="single" w:sz="4" w:space="0" w:color="auto"/>
              <w:right w:val="single" w:sz="4" w:space="0" w:color="auto"/>
            </w:tcBorders>
            <w:vAlign w:val="center"/>
            <w:hideMark/>
          </w:tcPr>
          <w:p w14:paraId="7648C398" w14:textId="77777777" w:rsidR="00BB14FD" w:rsidRPr="00BB14FD" w:rsidRDefault="00BB14FD" w:rsidP="00BD4BBA">
            <w:pPr>
              <w:keepNext/>
              <w:rPr>
                <w:rFonts w:cs="Arial"/>
              </w:rPr>
            </w:pPr>
            <w:r w:rsidRPr="00BB14FD">
              <w:rPr>
                <w:rFonts w:cs="Arial"/>
              </w:rPr>
              <w:t>2.2%</w:t>
            </w:r>
          </w:p>
        </w:tc>
      </w:tr>
      <w:tr w:rsidR="00BB14FD" w:rsidRPr="00BB14FD" w14:paraId="03633C9B" w14:textId="77777777" w:rsidTr="00BD4BBA">
        <w:tc>
          <w:tcPr>
            <w:tcW w:w="1472" w:type="dxa"/>
            <w:tcBorders>
              <w:top w:val="single" w:sz="4" w:space="0" w:color="auto"/>
              <w:left w:val="single" w:sz="4" w:space="0" w:color="auto"/>
              <w:bottom w:val="single" w:sz="4" w:space="0" w:color="auto"/>
              <w:right w:val="single" w:sz="4" w:space="0" w:color="auto"/>
            </w:tcBorders>
            <w:vAlign w:val="center"/>
            <w:hideMark/>
          </w:tcPr>
          <w:p w14:paraId="58DB7CB5" w14:textId="77777777" w:rsidR="00BB14FD" w:rsidRPr="00BB14FD" w:rsidRDefault="00BB14FD" w:rsidP="00BD4BBA">
            <w:pPr>
              <w:keepNext/>
              <w:rPr>
                <w:rFonts w:cs="Arial"/>
              </w:rPr>
            </w:pPr>
            <w:r w:rsidRPr="00BB14FD">
              <w:rPr>
                <w:rFonts w:cs="Arial"/>
              </w:rPr>
              <w:t>Wales</w:t>
            </w:r>
          </w:p>
        </w:tc>
        <w:tc>
          <w:tcPr>
            <w:tcW w:w="1135" w:type="dxa"/>
            <w:tcBorders>
              <w:top w:val="single" w:sz="4" w:space="0" w:color="auto"/>
              <w:left w:val="single" w:sz="4" w:space="0" w:color="auto"/>
              <w:bottom w:val="single" w:sz="4" w:space="0" w:color="auto"/>
              <w:right w:val="single" w:sz="4" w:space="0" w:color="auto"/>
            </w:tcBorders>
            <w:vAlign w:val="center"/>
            <w:hideMark/>
          </w:tcPr>
          <w:p w14:paraId="774C0DE8" w14:textId="77777777" w:rsidR="00BB14FD" w:rsidRPr="00BB14FD" w:rsidRDefault="00BB14FD" w:rsidP="00BD4BBA">
            <w:pPr>
              <w:keepNext/>
              <w:rPr>
                <w:rFonts w:cs="Arial"/>
              </w:rPr>
            </w:pPr>
            <w:r w:rsidRPr="00BB14FD">
              <w:rPr>
                <w:rFonts w:cs="Arial"/>
              </w:rPr>
              <w:t>7.1%</w:t>
            </w:r>
          </w:p>
        </w:tc>
        <w:tc>
          <w:tcPr>
            <w:tcW w:w="1284" w:type="dxa"/>
            <w:tcBorders>
              <w:top w:val="single" w:sz="4" w:space="0" w:color="auto"/>
              <w:left w:val="single" w:sz="4" w:space="0" w:color="auto"/>
              <w:bottom w:val="single" w:sz="4" w:space="0" w:color="auto"/>
              <w:right w:val="single" w:sz="4" w:space="0" w:color="auto"/>
            </w:tcBorders>
            <w:vAlign w:val="center"/>
            <w:hideMark/>
          </w:tcPr>
          <w:p w14:paraId="3BBE7B89" w14:textId="77777777" w:rsidR="00BB14FD" w:rsidRPr="00BB14FD" w:rsidRDefault="00BB14FD" w:rsidP="00BD4BBA">
            <w:pPr>
              <w:keepNext/>
              <w:rPr>
                <w:rFonts w:cs="Arial"/>
              </w:rPr>
            </w:pPr>
            <w:r w:rsidRPr="00BB14FD">
              <w:rPr>
                <w:rFonts w:cs="Arial"/>
              </w:rPr>
              <w:t>3.4%</w:t>
            </w:r>
          </w:p>
        </w:tc>
        <w:tc>
          <w:tcPr>
            <w:tcW w:w="1510" w:type="dxa"/>
            <w:tcBorders>
              <w:top w:val="single" w:sz="4" w:space="0" w:color="auto"/>
              <w:left w:val="single" w:sz="4" w:space="0" w:color="auto"/>
              <w:bottom w:val="single" w:sz="4" w:space="0" w:color="auto"/>
              <w:right w:val="single" w:sz="4" w:space="0" w:color="auto"/>
            </w:tcBorders>
            <w:vAlign w:val="center"/>
            <w:hideMark/>
          </w:tcPr>
          <w:p w14:paraId="15961329" w14:textId="77777777" w:rsidR="00BB14FD" w:rsidRPr="00BB14FD" w:rsidRDefault="00BB14FD" w:rsidP="00BD4BBA">
            <w:pPr>
              <w:keepNext/>
              <w:rPr>
                <w:rFonts w:cs="Arial"/>
              </w:rPr>
            </w:pPr>
            <w:r w:rsidRPr="00BB14FD">
              <w:rPr>
                <w:rFonts w:cs="Arial"/>
              </w:rPr>
              <w:t>2.3%</w:t>
            </w:r>
          </w:p>
        </w:tc>
        <w:tc>
          <w:tcPr>
            <w:tcW w:w="1231" w:type="dxa"/>
            <w:tcBorders>
              <w:top w:val="single" w:sz="4" w:space="0" w:color="auto"/>
              <w:left w:val="single" w:sz="4" w:space="0" w:color="auto"/>
              <w:bottom w:val="single" w:sz="4" w:space="0" w:color="auto"/>
              <w:right w:val="single" w:sz="4" w:space="0" w:color="auto"/>
            </w:tcBorders>
            <w:vAlign w:val="center"/>
            <w:hideMark/>
          </w:tcPr>
          <w:p w14:paraId="3969BDF3" w14:textId="77777777" w:rsidR="00BB14FD" w:rsidRPr="00BB14FD" w:rsidRDefault="00BB14FD" w:rsidP="00BD4BBA">
            <w:pPr>
              <w:keepNext/>
              <w:rPr>
                <w:rFonts w:cs="Arial"/>
              </w:rPr>
            </w:pPr>
            <w:r w:rsidRPr="00BB14FD">
              <w:rPr>
                <w:rFonts w:cs="Arial"/>
              </w:rPr>
              <w:t>8.4%</w:t>
            </w:r>
          </w:p>
        </w:tc>
        <w:tc>
          <w:tcPr>
            <w:tcW w:w="1007" w:type="dxa"/>
            <w:tcBorders>
              <w:top w:val="single" w:sz="4" w:space="0" w:color="auto"/>
              <w:left w:val="single" w:sz="4" w:space="0" w:color="auto"/>
              <w:bottom w:val="single" w:sz="4" w:space="0" w:color="auto"/>
              <w:right w:val="single" w:sz="4" w:space="0" w:color="auto"/>
            </w:tcBorders>
            <w:vAlign w:val="center"/>
            <w:hideMark/>
          </w:tcPr>
          <w:p w14:paraId="28A8D3A4" w14:textId="77777777" w:rsidR="00BB14FD" w:rsidRPr="00BB14FD" w:rsidRDefault="00BB14FD" w:rsidP="00BD4BBA">
            <w:pPr>
              <w:keepNext/>
              <w:rPr>
                <w:rFonts w:cs="Arial"/>
              </w:rPr>
            </w:pPr>
            <w:r w:rsidRPr="00BB14FD">
              <w:rPr>
                <w:rFonts w:cs="Arial"/>
              </w:rPr>
              <w:t>1.4%</w:t>
            </w:r>
          </w:p>
        </w:tc>
        <w:tc>
          <w:tcPr>
            <w:tcW w:w="1541" w:type="dxa"/>
            <w:tcBorders>
              <w:top w:val="single" w:sz="4" w:space="0" w:color="auto"/>
              <w:left w:val="single" w:sz="4" w:space="0" w:color="auto"/>
              <w:bottom w:val="single" w:sz="4" w:space="0" w:color="auto"/>
              <w:right w:val="single" w:sz="4" w:space="0" w:color="auto"/>
            </w:tcBorders>
            <w:vAlign w:val="center"/>
            <w:hideMark/>
          </w:tcPr>
          <w:p w14:paraId="6FCC158A" w14:textId="77777777" w:rsidR="00BB14FD" w:rsidRPr="00BB14FD" w:rsidRDefault="00BB14FD" w:rsidP="00BD4BBA">
            <w:pPr>
              <w:keepNext/>
              <w:rPr>
                <w:rFonts w:cs="Arial"/>
              </w:rPr>
            </w:pPr>
            <w:r w:rsidRPr="00BB14FD">
              <w:rPr>
                <w:rFonts w:cs="Arial"/>
              </w:rPr>
              <w:t>2.2%</w:t>
            </w:r>
          </w:p>
        </w:tc>
      </w:tr>
    </w:tbl>
    <w:p w14:paraId="1118C853" w14:textId="77777777" w:rsidR="00BB14FD" w:rsidRPr="00BB14FD" w:rsidRDefault="00BB14FD" w:rsidP="00BD4BBA">
      <w:pPr>
        <w:rPr>
          <w:rFonts w:eastAsia="Times New Roman" w:cs="Arial"/>
          <w:kern w:val="0"/>
          <w:lang w:eastAsia="en-GB"/>
          <w14:ligatures w14:val="none"/>
        </w:rPr>
      </w:pPr>
    </w:p>
    <w:p w14:paraId="7EC9CC99"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The table below compares the percentage of people registered with a mental health condition and dementia in the locality with the health board and Wales averages. It shows the rates in Afan are higher than the health board and Wales average in mental health (0.3% and 0.5% higher respectively) and dementia (0.2% higher).</w:t>
      </w:r>
    </w:p>
    <w:p w14:paraId="1EBB0F7B" w14:textId="77777777" w:rsidR="00BB14FD" w:rsidRPr="00D0306F" w:rsidRDefault="00BB14FD" w:rsidP="00BD4BBA">
      <w:pPr>
        <w:rPr>
          <w:rFonts w:eastAsia="Times New Roman" w:cs="Arial"/>
          <w:b/>
          <w:bCs/>
          <w:kern w:val="0"/>
          <w:lang w:eastAsia="en-GB"/>
          <w14:ligatures w14:val="none"/>
        </w:rPr>
      </w:pPr>
    </w:p>
    <w:p w14:paraId="2AFC42F9" w14:textId="77777777" w:rsidR="00BD4BBA" w:rsidRPr="00D0306F" w:rsidRDefault="00BD4BBA" w:rsidP="00BD4BBA">
      <w:pPr>
        <w:rPr>
          <w:rFonts w:eastAsia="Times New Roman" w:cs="Arial"/>
          <w:b/>
          <w:bCs/>
          <w:kern w:val="0"/>
          <w:lang w:eastAsia="en-GB"/>
          <w14:ligatures w14:val="none"/>
        </w:rPr>
      </w:pPr>
    </w:p>
    <w:p w14:paraId="28D3263C" w14:textId="77777777" w:rsidR="00BD4BBA" w:rsidRPr="00D0306F" w:rsidRDefault="00BD4BBA" w:rsidP="00BD4BBA">
      <w:pPr>
        <w:rPr>
          <w:rFonts w:eastAsia="Times New Roman" w:cs="Arial"/>
          <w:b/>
          <w:bCs/>
          <w:kern w:val="0"/>
          <w:lang w:eastAsia="en-GB"/>
          <w14:ligatures w14:val="none"/>
        </w:rPr>
      </w:pPr>
    </w:p>
    <w:p w14:paraId="7911E430" w14:textId="77777777" w:rsidR="00BD4BBA" w:rsidRPr="00D0306F" w:rsidRDefault="00BD4BBA" w:rsidP="00BD4BBA">
      <w:pPr>
        <w:rPr>
          <w:rFonts w:eastAsia="Times New Roman" w:cs="Arial"/>
          <w:b/>
          <w:bCs/>
          <w:kern w:val="0"/>
          <w:lang w:eastAsia="en-GB"/>
          <w14:ligatures w14:val="none"/>
        </w:rPr>
      </w:pPr>
    </w:p>
    <w:p w14:paraId="50499FF3" w14:textId="77777777" w:rsidR="00BD4BBA" w:rsidRPr="00BB14FD" w:rsidRDefault="00BD4BBA" w:rsidP="00BD4BBA">
      <w:pPr>
        <w:rPr>
          <w:rFonts w:eastAsia="Times New Roman" w:cs="Arial"/>
          <w:b/>
          <w:bCs/>
          <w:kern w:val="0"/>
          <w:lang w:eastAsia="en-GB"/>
          <w14:ligatures w14:val="none"/>
        </w:rPr>
      </w:pPr>
    </w:p>
    <w:p w14:paraId="094DABF1"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lastRenderedPageBreak/>
        <w:t>Table 13.4: Percentage of people registered as having a mental health condition, and dementia by locality, health board and Wales, 2025</w:t>
      </w:r>
      <w:r w:rsidRPr="00BB14FD">
        <w:rPr>
          <w:rFonts w:eastAsia="Times New Roman" w:cs="Arial"/>
          <w:b/>
          <w:bCs/>
          <w:kern w:val="0"/>
          <w:vertAlign w:val="superscript"/>
          <w:lang w:eastAsia="en-GB"/>
          <w14:ligatures w14:val="none"/>
        </w:rPr>
        <w:footnoteReference w:id="317"/>
      </w:r>
    </w:p>
    <w:p w14:paraId="03C9F041" w14:textId="77777777" w:rsidR="00BB14FD" w:rsidRPr="00BB14FD" w:rsidRDefault="00BB14FD" w:rsidP="00BD4BBA">
      <w:pPr>
        <w:rPr>
          <w:rFonts w:eastAsia="Times New Roman" w:cs="Arial"/>
          <w:kern w:val="0"/>
          <w:lang w:eastAsia="en-GB"/>
          <w14:ligatures w14:val="none"/>
        </w:rPr>
      </w:pPr>
    </w:p>
    <w:tbl>
      <w:tblPr>
        <w:tblStyle w:val="TableGrid"/>
        <w:tblW w:w="8359" w:type="dxa"/>
        <w:tblInd w:w="0" w:type="dxa"/>
        <w:tblLook w:val="04A0" w:firstRow="1" w:lastRow="0" w:firstColumn="1" w:lastColumn="0" w:noHBand="0" w:noVBand="1"/>
      </w:tblPr>
      <w:tblGrid>
        <w:gridCol w:w="4390"/>
        <w:gridCol w:w="1984"/>
        <w:gridCol w:w="1985"/>
      </w:tblGrid>
      <w:tr w:rsidR="00BB14FD" w:rsidRPr="00D0306F" w14:paraId="38069B85" w14:textId="77777777" w:rsidTr="00BB14FD">
        <w:tc>
          <w:tcPr>
            <w:tcW w:w="4390" w:type="dxa"/>
            <w:tcBorders>
              <w:top w:val="single" w:sz="4" w:space="0" w:color="auto"/>
              <w:left w:val="single" w:sz="4" w:space="0" w:color="auto"/>
              <w:bottom w:val="single" w:sz="4" w:space="0" w:color="auto"/>
              <w:right w:val="single" w:sz="4" w:space="0" w:color="auto"/>
            </w:tcBorders>
            <w:shd w:val="clear" w:color="auto" w:fill="153D63"/>
            <w:hideMark/>
          </w:tcPr>
          <w:p w14:paraId="7512ADD3" w14:textId="77777777" w:rsidR="00BB14FD" w:rsidRPr="00BB14FD" w:rsidRDefault="00BB14FD" w:rsidP="00BD4BBA">
            <w:pPr>
              <w:rPr>
                <w:rFonts w:cs="Arial"/>
              </w:rPr>
            </w:pPr>
            <w:r w:rsidRPr="00BB14FD">
              <w:rPr>
                <w:rFonts w:cs="Arial"/>
                <w:b/>
                <w:bCs/>
              </w:rPr>
              <w:t>Area</w:t>
            </w:r>
          </w:p>
        </w:tc>
        <w:tc>
          <w:tcPr>
            <w:tcW w:w="1984" w:type="dxa"/>
            <w:tcBorders>
              <w:top w:val="single" w:sz="4" w:space="0" w:color="auto"/>
              <w:left w:val="single" w:sz="4" w:space="0" w:color="auto"/>
              <w:bottom w:val="single" w:sz="4" w:space="0" w:color="auto"/>
              <w:right w:val="single" w:sz="4" w:space="0" w:color="auto"/>
            </w:tcBorders>
            <w:shd w:val="clear" w:color="auto" w:fill="153D63"/>
            <w:hideMark/>
          </w:tcPr>
          <w:p w14:paraId="68A36B0A" w14:textId="77777777" w:rsidR="00BB14FD" w:rsidRPr="00BB14FD" w:rsidRDefault="00BB14FD" w:rsidP="00BD4BBA">
            <w:pPr>
              <w:jc w:val="center"/>
              <w:rPr>
                <w:rFonts w:cs="Arial"/>
              </w:rPr>
            </w:pPr>
            <w:r w:rsidRPr="00BB14FD">
              <w:rPr>
                <w:rFonts w:cs="Arial"/>
                <w:b/>
                <w:bCs/>
              </w:rPr>
              <w:t>Mental health</w:t>
            </w:r>
          </w:p>
        </w:tc>
        <w:tc>
          <w:tcPr>
            <w:tcW w:w="1985" w:type="dxa"/>
            <w:tcBorders>
              <w:top w:val="single" w:sz="4" w:space="0" w:color="auto"/>
              <w:left w:val="single" w:sz="4" w:space="0" w:color="auto"/>
              <w:bottom w:val="single" w:sz="4" w:space="0" w:color="auto"/>
              <w:right w:val="single" w:sz="4" w:space="0" w:color="auto"/>
            </w:tcBorders>
            <w:shd w:val="clear" w:color="auto" w:fill="153D63"/>
            <w:hideMark/>
          </w:tcPr>
          <w:p w14:paraId="604E5458" w14:textId="77777777" w:rsidR="00BB14FD" w:rsidRPr="00BB14FD" w:rsidRDefault="00BB14FD" w:rsidP="00BD4BBA">
            <w:pPr>
              <w:jc w:val="center"/>
              <w:rPr>
                <w:rFonts w:cs="Arial"/>
              </w:rPr>
            </w:pPr>
            <w:r w:rsidRPr="00BB14FD">
              <w:rPr>
                <w:rFonts w:cs="Arial"/>
                <w:b/>
                <w:bCs/>
              </w:rPr>
              <w:t>Dementia</w:t>
            </w:r>
          </w:p>
        </w:tc>
      </w:tr>
      <w:tr w:rsidR="00BB14FD" w:rsidRPr="00BB14FD" w14:paraId="47165238" w14:textId="77777777" w:rsidTr="00BB14FD">
        <w:tc>
          <w:tcPr>
            <w:tcW w:w="4390" w:type="dxa"/>
            <w:tcBorders>
              <w:top w:val="single" w:sz="4" w:space="0" w:color="auto"/>
              <w:left w:val="single" w:sz="4" w:space="0" w:color="auto"/>
              <w:bottom w:val="single" w:sz="4" w:space="0" w:color="auto"/>
              <w:right w:val="single" w:sz="4" w:space="0" w:color="auto"/>
            </w:tcBorders>
            <w:hideMark/>
          </w:tcPr>
          <w:p w14:paraId="70891834" w14:textId="77777777" w:rsidR="00BB14FD" w:rsidRPr="00BB14FD" w:rsidRDefault="00BB14FD" w:rsidP="00BD4BBA">
            <w:pPr>
              <w:rPr>
                <w:rFonts w:cs="Arial"/>
              </w:rPr>
            </w:pPr>
            <w:r w:rsidRPr="00BB14FD">
              <w:rPr>
                <w:rFonts w:cs="Arial"/>
              </w:rPr>
              <w:t>Afan locality</w:t>
            </w:r>
          </w:p>
        </w:tc>
        <w:tc>
          <w:tcPr>
            <w:tcW w:w="1984" w:type="dxa"/>
            <w:tcBorders>
              <w:top w:val="single" w:sz="4" w:space="0" w:color="auto"/>
              <w:left w:val="single" w:sz="4" w:space="0" w:color="auto"/>
              <w:bottom w:val="single" w:sz="4" w:space="0" w:color="auto"/>
              <w:right w:val="single" w:sz="4" w:space="0" w:color="auto"/>
            </w:tcBorders>
            <w:hideMark/>
          </w:tcPr>
          <w:p w14:paraId="56726964" w14:textId="77777777" w:rsidR="00BB14FD" w:rsidRPr="00BB14FD" w:rsidRDefault="00BB14FD" w:rsidP="00BD4BBA">
            <w:pPr>
              <w:jc w:val="center"/>
              <w:rPr>
                <w:rFonts w:cs="Arial"/>
              </w:rPr>
            </w:pPr>
            <w:r w:rsidRPr="00BB14FD">
              <w:rPr>
                <w:rFonts w:cs="Arial"/>
              </w:rPr>
              <w:t>1.6%</w:t>
            </w:r>
          </w:p>
        </w:tc>
        <w:tc>
          <w:tcPr>
            <w:tcW w:w="1985" w:type="dxa"/>
            <w:tcBorders>
              <w:top w:val="single" w:sz="4" w:space="0" w:color="auto"/>
              <w:left w:val="single" w:sz="4" w:space="0" w:color="auto"/>
              <w:bottom w:val="single" w:sz="4" w:space="0" w:color="auto"/>
              <w:right w:val="single" w:sz="4" w:space="0" w:color="auto"/>
            </w:tcBorders>
            <w:hideMark/>
          </w:tcPr>
          <w:p w14:paraId="7E420DBF" w14:textId="77777777" w:rsidR="00BB14FD" w:rsidRPr="00BB14FD" w:rsidRDefault="00BB14FD" w:rsidP="00BD4BBA">
            <w:pPr>
              <w:jc w:val="center"/>
              <w:rPr>
                <w:rFonts w:cs="Arial"/>
              </w:rPr>
            </w:pPr>
            <w:r w:rsidRPr="00BB14FD">
              <w:rPr>
                <w:rFonts w:cs="Arial"/>
              </w:rPr>
              <w:t>1.0%</w:t>
            </w:r>
          </w:p>
        </w:tc>
      </w:tr>
      <w:tr w:rsidR="00BB14FD" w:rsidRPr="00BB14FD" w14:paraId="00C88105" w14:textId="77777777" w:rsidTr="00BB14FD">
        <w:tc>
          <w:tcPr>
            <w:tcW w:w="4390" w:type="dxa"/>
            <w:tcBorders>
              <w:top w:val="single" w:sz="4" w:space="0" w:color="auto"/>
              <w:left w:val="single" w:sz="4" w:space="0" w:color="auto"/>
              <w:bottom w:val="single" w:sz="4" w:space="0" w:color="auto"/>
              <w:right w:val="single" w:sz="4" w:space="0" w:color="auto"/>
            </w:tcBorders>
            <w:hideMark/>
          </w:tcPr>
          <w:p w14:paraId="3E5D15AC" w14:textId="77777777" w:rsidR="00BB14FD" w:rsidRPr="00BB14FD" w:rsidRDefault="00BB14FD" w:rsidP="00BD4BBA">
            <w:pPr>
              <w:rPr>
                <w:rFonts w:cs="Arial"/>
              </w:rPr>
            </w:pPr>
            <w:r w:rsidRPr="00BB14FD">
              <w:rPr>
                <w:rFonts w:cs="Arial"/>
              </w:rPr>
              <w:t>Swansea Bay University Health Board</w:t>
            </w:r>
          </w:p>
        </w:tc>
        <w:tc>
          <w:tcPr>
            <w:tcW w:w="1984" w:type="dxa"/>
            <w:tcBorders>
              <w:top w:val="single" w:sz="4" w:space="0" w:color="auto"/>
              <w:left w:val="single" w:sz="4" w:space="0" w:color="auto"/>
              <w:bottom w:val="single" w:sz="4" w:space="0" w:color="auto"/>
              <w:right w:val="single" w:sz="4" w:space="0" w:color="auto"/>
            </w:tcBorders>
            <w:hideMark/>
          </w:tcPr>
          <w:p w14:paraId="14152D78" w14:textId="77777777" w:rsidR="00BB14FD" w:rsidRPr="00BB14FD" w:rsidRDefault="00BB14FD" w:rsidP="00BD4BBA">
            <w:pPr>
              <w:jc w:val="center"/>
              <w:rPr>
                <w:rFonts w:cs="Arial"/>
              </w:rPr>
            </w:pPr>
            <w:r w:rsidRPr="00BB14FD">
              <w:rPr>
                <w:rFonts w:cs="Arial"/>
              </w:rPr>
              <w:t>1.3%</w:t>
            </w:r>
          </w:p>
        </w:tc>
        <w:tc>
          <w:tcPr>
            <w:tcW w:w="1985" w:type="dxa"/>
            <w:tcBorders>
              <w:top w:val="single" w:sz="4" w:space="0" w:color="auto"/>
              <w:left w:val="single" w:sz="4" w:space="0" w:color="auto"/>
              <w:bottom w:val="single" w:sz="4" w:space="0" w:color="auto"/>
              <w:right w:val="single" w:sz="4" w:space="0" w:color="auto"/>
            </w:tcBorders>
            <w:hideMark/>
          </w:tcPr>
          <w:p w14:paraId="0B7E2119" w14:textId="77777777" w:rsidR="00BB14FD" w:rsidRPr="00BB14FD" w:rsidRDefault="00BB14FD" w:rsidP="00BD4BBA">
            <w:pPr>
              <w:jc w:val="center"/>
              <w:rPr>
                <w:rFonts w:cs="Arial"/>
              </w:rPr>
            </w:pPr>
            <w:r w:rsidRPr="00BB14FD">
              <w:rPr>
                <w:rFonts w:cs="Arial"/>
              </w:rPr>
              <w:t>0.8%</w:t>
            </w:r>
          </w:p>
        </w:tc>
      </w:tr>
      <w:tr w:rsidR="00BB14FD" w:rsidRPr="00BB14FD" w14:paraId="14572C9C" w14:textId="77777777" w:rsidTr="00BB14FD">
        <w:tc>
          <w:tcPr>
            <w:tcW w:w="4390" w:type="dxa"/>
            <w:tcBorders>
              <w:top w:val="single" w:sz="4" w:space="0" w:color="auto"/>
              <w:left w:val="single" w:sz="4" w:space="0" w:color="auto"/>
              <w:bottom w:val="single" w:sz="4" w:space="0" w:color="auto"/>
              <w:right w:val="single" w:sz="4" w:space="0" w:color="auto"/>
            </w:tcBorders>
            <w:hideMark/>
          </w:tcPr>
          <w:p w14:paraId="270A547D" w14:textId="77777777" w:rsidR="00BB14FD" w:rsidRPr="00BB14FD" w:rsidRDefault="00BB14FD" w:rsidP="00BD4BBA">
            <w:pPr>
              <w:rPr>
                <w:rFonts w:cs="Arial"/>
              </w:rPr>
            </w:pPr>
            <w:r w:rsidRPr="00BB14FD">
              <w:rPr>
                <w:rFonts w:cs="Arial"/>
              </w:rPr>
              <w:t>Wales</w:t>
            </w:r>
          </w:p>
        </w:tc>
        <w:tc>
          <w:tcPr>
            <w:tcW w:w="1984" w:type="dxa"/>
            <w:tcBorders>
              <w:top w:val="single" w:sz="4" w:space="0" w:color="auto"/>
              <w:left w:val="single" w:sz="4" w:space="0" w:color="auto"/>
              <w:bottom w:val="single" w:sz="4" w:space="0" w:color="auto"/>
              <w:right w:val="single" w:sz="4" w:space="0" w:color="auto"/>
            </w:tcBorders>
            <w:hideMark/>
          </w:tcPr>
          <w:p w14:paraId="525817AD" w14:textId="77777777" w:rsidR="00BB14FD" w:rsidRPr="00BB14FD" w:rsidRDefault="00BB14FD" w:rsidP="00BD4BBA">
            <w:pPr>
              <w:jc w:val="center"/>
              <w:rPr>
                <w:rFonts w:cs="Arial"/>
              </w:rPr>
            </w:pPr>
            <w:r w:rsidRPr="00BB14FD">
              <w:rPr>
                <w:rFonts w:cs="Arial"/>
              </w:rPr>
              <w:t>1.1%</w:t>
            </w:r>
          </w:p>
        </w:tc>
        <w:tc>
          <w:tcPr>
            <w:tcW w:w="1985" w:type="dxa"/>
            <w:tcBorders>
              <w:top w:val="single" w:sz="4" w:space="0" w:color="auto"/>
              <w:left w:val="single" w:sz="4" w:space="0" w:color="auto"/>
              <w:bottom w:val="single" w:sz="4" w:space="0" w:color="auto"/>
              <w:right w:val="single" w:sz="4" w:space="0" w:color="auto"/>
            </w:tcBorders>
            <w:hideMark/>
          </w:tcPr>
          <w:p w14:paraId="18912C24" w14:textId="77777777" w:rsidR="00BB14FD" w:rsidRPr="00BB14FD" w:rsidRDefault="00BB14FD" w:rsidP="00BD4BBA">
            <w:pPr>
              <w:jc w:val="center"/>
              <w:rPr>
                <w:rFonts w:cs="Arial"/>
              </w:rPr>
            </w:pPr>
            <w:r w:rsidRPr="00BB14FD">
              <w:rPr>
                <w:rFonts w:cs="Arial"/>
              </w:rPr>
              <w:t>0.8%</w:t>
            </w:r>
          </w:p>
        </w:tc>
      </w:tr>
    </w:tbl>
    <w:p w14:paraId="6F5713BE" w14:textId="77777777" w:rsidR="00BB14FD" w:rsidRPr="00BB14FD" w:rsidRDefault="00BB14FD" w:rsidP="00BD4BBA">
      <w:pPr>
        <w:keepNext/>
        <w:rPr>
          <w:rFonts w:eastAsia="Times New Roman" w:cs="Arial"/>
          <w:bCs/>
          <w:kern w:val="0"/>
          <w14:ligatures w14:val="none"/>
        </w:rPr>
      </w:pPr>
    </w:p>
    <w:p w14:paraId="7A9D4D44" w14:textId="77777777" w:rsidR="00BB14FD" w:rsidRPr="00BB14FD" w:rsidRDefault="00BB14FD" w:rsidP="00BD4BBA">
      <w:pPr>
        <w:keepLines/>
        <w:rPr>
          <w:rFonts w:eastAsia="Times New Roman" w:cs="Arial"/>
          <w:bCs/>
          <w:kern w:val="0"/>
          <w14:ligatures w14:val="none"/>
        </w:rPr>
      </w:pPr>
      <w:r w:rsidRPr="00BB14FD">
        <w:rPr>
          <w:rFonts w:eastAsia="Times New Roman" w:cs="Arial"/>
          <w:bCs/>
          <w:kern w:val="0"/>
          <w14:ligatures w14:val="none"/>
        </w:rPr>
        <w:t>The table below shows that the locality is above the health board and Wales averages in atrial fibrillation (0.3% and 0.2% higher respectively) and hypertension (2.3% and 0.9% higher respectively).</w:t>
      </w:r>
    </w:p>
    <w:p w14:paraId="7FAA239C" w14:textId="77777777" w:rsidR="00BB14FD" w:rsidRPr="00BB14FD" w:rsidRDefault="00BB14FD" w:rsidP="00BD4BBA">
      <w:pPr>
        <w:keepNext/>
        <w:rPr>
          <w:rFonts w:eastAsia="Times New Roman" w:cs="Arial"/>
          <w:b/>
          <w:kern w:val="0"/>
          <w14:ligatures w14:val="none"/>
        </w:rPr>
      </w:pPr>
    </w:p>
    <w:p w14:paraId="3D2505E4" w14:textId="77777777" w:rsidR="00BB14FD" w:rsidRPr="00BB14FD" w:rsidRDefault="00BB14FD" w:rsidP="00BD4BBA">
      <w:pPr>
        <w:keepNext/>
        <w:rPr>
          <w:rFonts w:eastAsia="Times New Roman" w:cs="Arial"/>
          <w:b/>
          <w:bCs/>
          <w:kern w:val="0"/>
          <w14:ligatures w14:val="none"/>
        </w:rPr>
      </w:pPr>
      <w:r w:rsidRPr="00BB14FD">
        <w:rPr>
          <w:rFonts w:eastAsia="Times New Roman" w:cs="Arial"/>
          <w:b/>
          <w:bCs/>
          <w:kern w:val="0"/>
          <w14:ligatures w14:val="none"/>
        </w:rPr>
        <w:t>Table 13.5: Estimated percentage prevalence of hypertension and atrial fibrillation based on people on GP practice registers by locality, health board and Wales, 2025</w:t>
      </w:r>
      <w:r w:rsidRPr="00BB14FD">
        <w:rPr>
          <w:rFonts w:eastAsia="Times New Roman" w:cs="Arial"/>
          <w:b/>
          <w:bCs/>
          <w:kern w:val="0"/>
          <w:vertAlign w:val="superscript"/>
          <w14:ligatures w14:val="none"/>
        </w:rPr>
        <w:footnoteReference w:id="318"/>
      </w:r>
    </w:p>
    <w:p w14:paraId="505FDD29" w14:textId="77777777" w:rsidR="00BB14FD" w:rsidRPr="00BB14FD" w:rsidRDefault="00BB14FD" w:rsidP="00BD4BBA">
      <w:pPr>
        <w:keepNext/>
        <w:rPr>
          <w:rFonts w:eastAsia="Times New Roman" w:cs="Arial"/>
          <w:b/>
          <w:kern w:val="0"/>
          <w14:ligatures w14:val="none"/>
        </w:rPr>
      </w:pPr>
    </w:p>
    <w:tbl>
      <w:tblPr>
        <w:tblStyle w:val="TableGrid"/>
        <w:tblW w:w="8449" w:type="dxa"/>
        <w:tblInd w:w="0" w:type="dxa"/>
        <w:tblLook w:val="04A0" w:firstRow="1" w:lastRow="0" w:firstColumn="1" w:lastColumn="0" w:noHBand="0" w:noVBand="1"/>
      </w:tblPr>
      <w:tblGrid>
        <w:gridCol w:w="4390"/>
        <w:gridCol w:w="2126"/>
        <w:gridCol w:w="1933"/>
      </w:tblGrid>
      <w:tr w:rsidR="00BB14FD" w:rsidRPr="00D0306F" w14:paraId="773DAD33" w14:textId="77777777" w:rsidTr="00BB14FD">
        <w:tc>
          <w:tcPr>
            <w:tcW w:w="4390" w:type="dxa"/>
            <w:tcBorders>
              <w:top w:val="single" w:sz="4" w:space="0" w:color="auto"/>
              <w:left w:val="single" w:sz="4" w:space="0" w:color="auto"/>
              <w:bottom w:val="single" w:sz="4" w:space="0" w:color="auto"/>
              <w:right w:val="single" w:sz="4" w:space="0" w:color="auto"/>
            </w:tcBorders>
            <w:shd w:val="clear" w:color="auto" w:fill="153D63"/>
            <w:hideMark/>
          </w:tcPr>
          <w:p w14:paraId="08B445DD" w14:textId="77777777" w:rsidR="00BB14FD" w:rsidRPr="00BB14FD" w:rsidRDefault="00BB14FD" w:rsidP="00BD4BBA">
            <w:pPr>
              <w:keepNext/>
              <w:rPr>
                <w:rFonts w:cs="Arial"/>
                <w:b/>
              </w:rPr>
            </w:pPr>
            <w:r w:rsidRPr="00BB14FD">
              <w:rPr>
                <w:rFonts w:cs="Arial"/>
                <w:b/>
              </w:rPr>
              <w:t>Area</w:t>
            </w:r>
          </w:p>
        </w:tc>
        <w:tc>
          <w:tcPr>
            <w:tcW w:w="2126" w:type="dxa"/>
            <w:tcBorders>
              <w:top w:val="single" w:sz="4" w:space="0" w:color="auto"/>
              <w:left w:val="single" w:sz="4" w:space="0" w:color="auto"/>
              <w:bottom w:val="single" w:sz="4" w:space="0" w:color="auto"/>
              <w:right w:val="single" w:sz="4" w:space="0" w:color="auto"/>
            </w:tcBorders>
            <w:shd w:val="clear" w:color="auto" w:fill="153D63"/>
            <w:hideMark/>
          </w:tcPr>
          <w:p w14:paraId="06E8EC35" w14:textId="77777777" w:rsidR="00BB14FD" w:rsidRPr="00BB14FD" w:rsidRDefault="00BB14FD" w:rsidP="00BD4BBA">
            <w:pPr>
              <w:keepNext/>
              <w:jc w:val="center"/>
              <w:rPr>
                <w:rFonts w:cs="Arial"/>
                <w:b/>
              </w:rPr>
            </w:pPr>
            <w:r w:rsidRPr="00BB14FD">
              <w:rPr>
                <w:rFonts w:cs="Arial"/>
                <w:b/>
              </w:rPr>
              <w:t>Atrial fibrillation</w:t>
            </w:r>
          </w:p>
        </w:tc>
        <w:tc>
          <w:tcPr>
            <w:tcW w:w="1933" w:type="dxa"/>
            <w:tcBorders>
              <w:top w:val="single" w:sz="4" w:space="0" w:color="auto"/>
              <w:left w:val="single" w:sz="4" w:space="0" w:color="auto"/>
              <w:bottom w:val="single" w:sz="4" w:space="0" w:color="auto"/>
              <w:right w:val="single" w:sz="4" w:space="0" w:color="auto"/>
            </w:tcBorders>
            <w:shd w:val="clear" w:color="auto" w:fill="153D63"/>
            <w:hideMark/>
          </w:tcPr>
          <w:p w14:paraId="30BA5438" w14:textId="77777777" w:rsidR="00BB14FD" w:rsidRPr="00BB14FD" w:rsidRDefault="00BB14FD" w:rsidP="00BD4BBA">
            <w:pPr>
              <w:keepNext/>
              <w:jc w:val="center"/>
              <w:rPr>
                <w:rFonts w:cs="Arial"/>
                <w:b/>
              </w:rPr>
            </w:pPr>
            <w:r w:rsidRPr="00BB14FD">
              <w:rPr>
                <w:rFonts w:cs="Arial"/>
                <w:b/>
              </w:rPr>
              <w:t>Hypertension</w:t>
            </w:r>
          </w:p>
        </w:tc>
      </w:tr>
      <w:tr w:rsidR="00BB14FD" w:rsidRPr="00BB14FD" w14:paraId="34E20488" w14:textId="77777777" w:rsidTr="00BB14FD">
        <w:tc>
          <w:tcPr>
            <w:tcW w:w="4390" w:type="dxa"/>
            <w:tcBorders>
              <w:top w:val="single" w:sz="4" w:space="0" w:color="auto"/>
              <w:left w:val="single" w:sz="4" w:space="0" w:color="auto"/>
              <w:bottom w:val="single" w:sz="4" w:space="0" w:color="auto"/>
              <w:right w:val="single" w:sz="4" w:space="0" w:color="auto"/>
            </w:tcBorders>
            <w:hideMark/>
          </w:tcPr>
          <w:p w14:paraId="142A7AF6" w14:textId="77777777" w:rsidR="00BB14FD" w:rsidRPr="00BB14FD" w:rsidRDefault="00BB14FD" w:rsidP="00BD4BBA">
            <w:pPr>
              <w:keepNext/>
              <w:rPr>
                <w:rFonts w:cs="Arial"/>
                <w:bCs/>
              </w:rPr>
            </w:pPr>
            <w:r w:rsidRPr="00BB14FD">
              <w:rPr>
                <w:rFonts w:cs="Arial"/>
                <w:bCs/>
              </w:rPr>
              <w:t>Afan locality</w:t>
            </w:r>
          </w:p>
        </w:tc>
        <w:tc>
          <w:tcPr>
            <w:tcW w:w="2126" w:type="dxa"/>
            <w:tcBorders>
              <w:top w:val="single" w:sz="4" w:space="0" w:color="auto"/>
              <w:left w:val="single" w:sz="4" w:space="0" w:color="auto"/>
              <w:bottom w:val="single" w:sz="4" w:space="0" w:color="auto"/>
              <w:right w:val="single" w:sz="4" w:space="0" w:color="auto"/>
            </w:tcBorders>
            <w:hideMark/>
          </w:tcPr>
          <w:p w14:paraId="3CBBE58A" w14:textId="77777777" w:rsidR="00BB14FD" w:rsidRPr="00BB14FD" w:rsidRDefault="00BB14FD" w:rsidP="00BD4BBA">
            <w:pPr>
              <w:keepNext/>
              <w:jc w:val="center"/>
              <w:rPr>
                <w:rFonts w:cs="Arial"/>
                <w:bCs/>
              </w:rPr>
            </w:pPr>
            <w:r w:rsidRPr="00BB14FD">
              <w:rPr>
                <w:rFonts w:cs="Arial"/>
                <w:bCs/>
              </w:rPr>
              <w:t>2.9%</w:t>
            </w:r>
          </w:p>
        </w:tc>
        <w:tc>
          <w:tcPr>
            <w:tcW w:w="1933" w:type="dxa"/>
            <w:tcBorders>
              <w:top w:val="single" w:sz="4" w:space="0" w:color="auto"/>
              <w:left w:val="single" w:sz="4" w:space="0" w:color="auto"/>
              <w:bottom w:val="single" w:sz="4" w:space="0" w:color="auto"/>
              <w:right w:val="single" w:sz="4" w:space="0" w:color="auto"/>
            </w:tcBorders>
            <w:hideMark/>
          </w:tcPr>
          <w:p w14:paraId="0F61C57D" w14:textId="77777777" w:rsidR="00BB14FD" w:rsidRPr="00BB14FD" w:rsidRDefault="00BB14FD" w:rsidP="00BD4BBA">
            <w:pPr>
              <w:keepNext/>
              <w:jc w:val="center"/>
              <w:rPr>
                <w:rFonts w:cs="Arial"/>
                <w:bCs/>
              </w:rPr>
            </w:pPr>
            <w:r w:rsidRPr="00BB14FD">
              <w:rPr>
                <w:rFonts w:cs="Arial"/>
                <w:bCs/>
              </w:rPr>
              <w:t>17.2%</w:t>
            </w:r>
          </w:p>
        </w:tc>
      </w:tr>
      <w:tr w:rsidR="00BB14FD" w:rsidRPr="00BB14FD" w14:paraId="0B9EB4E7" w14:textId="77777777" w:rsidTr="00BB14FD">
        <w:tc>
          <w:tcPr>
            <w:tcW w:w="4390" w:type="dxa"/>
            <w:tcBorders>
              <w:top w:val="single" w:sz="4" w:space="0" w:color="auto"/>
              <w:left w:val="single" w:sz="4" w:space="0" w:color="auto"/>
              <w:bottom w:val="single" w:sz="4" w:space="0" w:color="auto"/>
              <w:right w:val="single" w:sz="4" w:space="0" w:color="auto"/>
            </w:tcBorders>
            <w:hideMark/>
          </w:tcPr>
          <w:p w14:paraId="5DD4B11E" w14:textId="77777777" w:rsidR="00BB14FD" w:rsidRPr="00BB14FD" w:rsidRDefault="00BB14FD" w:rsidP="00BD4BBA">
            <w:pPr>
              <w:keepNext/>
              <w:rPr>
                <w:rFonts w:cs="Arial"/>
                <w:b/>
              </w:rPr>
            </w:pPr>
            <w:r w:rsidRPr="00BB14FD">
              <w:rPr>
                <w:rFonts w:cs="Arial"/>
              </w:rPr>
              <w:t>Swansea Bay University Health Board</w:t>
            </w:r>
          </w:p>
        </w:tc>
        <w:tc>
          <w:tcPr>
            <w:tcW w:w="2126" w:type="dxa"/>
            <w:tcBorders>
              <w:top w:val="single" w:sz="4" w:space="0" w:color="auto"/>
              <w:left w:val="single" w:sz="4" w:space="0" w:color="auto"/>
              <w:bottom w:val="single" w:sz="4" w:space="0" w:color="auto"/>
              <w:right w:val="single" w:sz="4" w:space="0" w:color="auto"/>
            </w:tcBorders>
            <w:hideMark/>
          </w:tcPr>
          <w:p w14:paraId="439BB253" w14:textId="77777777" w:rsidR="00BB14FD" w:rsidRPr="00BB14FD" w:rsidRDefault="00BB14FD" w:rsidP="00BD4BBA">
            <w:pPr>
              <w:keepNext/>
              <w:jc w:val="center"/>
              <w:rPr>
                <w:rFonts w:cs="Arial"/>
                <w:bCs/>
              </w:rPr>
            </w:pPr>
            <w:r w:rsidRPr="00BB14FD">
              <w:rPr>
                <w:rFonts w:cs="Arial"/>
                <w:bCs/>
              </w:rPr>
              <w:t>2.6%</w:t>
            </w:r>
          </w:p>
        </w:tc>
        <w:tc>
          <w:tcPr>
            <w:tcW w:w="1933" w:type="dxa"/>
            <w:tcBorders>
              <w:top w:val="single" w:sz="4" w:space="0" w:color="auto"/>
              <w:left w:val="single" w:sz="4" w:space="0" w:color="auto"/>
              <w:bottom w:val="single" w:sz="4" w:space="0" w:color="auto"/>
              <w:right w:val="single" w:sz="4" w:space="0" w:color="auto"/>
            </w:tcBorders>
            <w:hideMark/>
          </w:tcPr>
          <w:p w14:paraId="4714FF9B" w14:textId="77777777" w:rsidR="00BB14FD" w:rsidRPr="00BB14FD" w:rsidRDefault="00BB14FD" w:rsidP="00BD4BBA">
            <w:pPr>
              <w:keepNext/>
              <w:jc w:val="center"/>
              <w:rPr>
                <w:rFonts w:cs="Arial"/>
                <w:bCs/>
              </w:rPr>
            </w:pPr>
            <w:r w:rsidRPr="00BB14FD">
              <w:rPr>
                <w:rFonts w:cs="Arial"/>
                <w:bCs/>
              </w:rPr>
              <w:t>14.9%</w:t>
            </w:r>
          </w:p>
        </w:tc>
      </w:tr>
      <w:tr w:rsidR="00BB14FD" w:rsidRPr="00BB14FD" w14:paraId="397EE1A7" w14:textId="77777777" w:rsidTr="00BB14FD">
        <w:tc>
          <w:tcPr>
            <w:tcW w:w="4390" w:type="dxa"/>
            <w:tcBorders>
              <w:top w:val="single" w:sz="4" w:space="0" w:color="auto"/>
              <w:left w:val="single" w:sz="4" w:space="0" w:color="auto"/>
              <w:bottom w:val="single" w:sz="4" w:space="0" w:color="auto"/>
              <w:right w:val="single" w:sz="4" w:space="0" w:color="auto"/>
            </w:tcBorders>
            <w:hideMark/>
          </w:tcPr>
          <w:p w14:paraId="628EC25B" w14:textId="77777777" w:rsidR="00BB14FD" w:rsidRPr="00BB14FD" w:rsidRDefault="00BB14FD" w:rsidP="00BD4BBA">
            <w:pPr>
              <w:keepNext/>
              <w:rPr>
                <w:rFonts w:cs="Arial"/>
              </w:rPr>
            </w:pPr>
            <w:r w:rsidRPr="00BB14FD">
              <w:rPr>
                <w:rFonts w:cs="Arial"/>
              </w:rPr>
              <w:t>Wales</w:t>
            </w:r>
          </w:p>
        </w:tc>
        <w:tc>
          <w:tcPr>
            <w:tcW w:w="2126" w:type="dxa"/>
            <w:tcBorders>
              <w:top w:val="single" w:sz="4" w:space="0" w:color="auto"/>
              <w:left w:val="single" w:sz="4" w:space="0" w:color="auto"/>
              <w:bottom w:val="single" w:sz="4" w:space="0" w:color="auto"/>
              <w:right w:val="single" w:sz="4" w:space="0" w:color="auto"/>
            </w:tcBorders>
            <w:hideMark/>
          </w:tcPr>
          <w:p w14:paraId="19C2FEFE" w14:textId="77777777" w:rsidR="00BB14FD" w:rsidRPr="00BB14FD" w:rsidRDefault="00BB14FD" w:rsidP="00BD4BBA">
            <w:pPr>
              <w:keepNext/>
              <w:jc w:val="center"/>
              <w:rPr>
                <w:rFonts w:cs="Arial"/>
              </w:rPr>
            </w:pPr>
            <w:r w:rsidRPr="00BB14FD">
              <w:rPr>
                <w:rFonts w:cs="Arial"/>
              </w:rPr>
              <w:t>2.7%</w:t>
            </w:r>
          </w:p>
        </w:tc>
        <w:tc>
          <w:tcPr>
            <w:tcW w:w="1933" w:type="dxa"/>
            <w:tcBorders>
              <w:top w:val="single" w:sz="4" w:space="0" w:color="auto"/>
              <w:left w:val="single" w:sz="4" w:space="0" w:color="auto"/>
              <w:bottom w:val="single" w:sz="4" w:space="0" w:color="auto"/>
              <w:right w:val="single" w:sz="4" w:space="0" w:color="auto"/>
            </w:tcBorders>
            <w:hideMark/>
          </w:tcPr>
          <w:p w14:paraId="68BD1942" w14:textId="77777777" w:rsidR="00BB14FD" w:rsidRPr="00BB14FD" w:rsidRDefault="00BB14FD" w:rsidP="00BD4BBA">
            <w:pPr>
              <w:keepNext/>
              <w:jc w:val="center"/>
              <w:rPr>
                <w:rFonts w:cs="Arial"/>
              </w:rPr>
            </w:pPr>
            <w:r w:rsidRPr="00BB14FD">
              <w:rPr>
                <w:rFonts w:cs="Arial"/>
              </w:rPr>
              <w:t>16.3%</w:t>
            </w:r>
          </w:p>
        </w:tc>
      </w:tr>
    </w:tbl>
    <w:p w14:paraId="53A393FD" w14:textId="77777777" w:rsidR="00BB14FD" w:rsidRPr="00BB14FD" w:rsidRDefault="00BB14FD" w:rsidP="00BD4BBA">
      <w:pPr>
        <w:rPr>
          <w:rFonts w:eastAsia="Times New Roman" w:cs="Arial"/>
          <w:kern w:val="0"/>
          <w:lang w:eastAsia="en-GB"/>
          <w14:ligatures w14:val="none"/>
        </w:rPr>
      </w:pPr>
    </w:p>
    <w:p w14:paraId="45714653" w14:textId="77777777" w:rsidR="00BB14FD" w:rsidRPr="00BB14FD" w:rsidRDefault="00BB14FD" w:rsidP="00BD4BBA">
      <w:pPr>
        <w:contextualSpacing/>
        <w:rPr>
          <w:rFonts w:eastAsia="Aptos" w:cs="Arial"/>
          <w:kern w:val="0"/>
          <w14:ligatures w14:val="none"/>
        </w:rPr>
      </w:pPr>
      <w:r w:rsidRPr="00BB14FD">
        <w:rPr>
          <w:rFonts w:eastAsia="Aptos" w:cs="Arial"/>
        </w:rPr>
        <w:t>The table below presents the percentage of adults aged 16 years and over, in Neath Port Talbot who have self-reported engaging in six key lifestyle behaviours, as recorded by the National Survey for Wales</w:t>
      </w:r>
      <w:r w:rsidRPr="00BB14FD">
        <w:rPr>
          <w:rFonts w:eastAsia="Aptos" w:cs="Arial"/>
          <w:vertAlign w:val="superscript"/>
        </w:rPr>
        <w:footnoteReference w:id="319"/>
      </w:r>
      <w:r w:rsidRPr="00BB14FD">
        <w:rPr>
          <w:rFonts w:eastAsia="Aptos" w:cs="Arial"/>
        </w:rPr>
        <w:t xml:space="preserve"> between 2021 and 2023. This information offers valuable insight into the common habits and lifestyle choices among the adult population in the area.</w:t>
      </w:r>
    </w:p>
    <w:p w14:paraId="25A3A9D5" w14:textId="77777777" w:rsidR="00BB14FD" w:rsidRPr="00D0306F" w:rsidRDefault="00BB14FD" w:rsidP="00BD4BBA">
      <w:pPr>
        <w:rPr>
          <w:rFonts w:eastAsia="Times New Roman" w:cs="Arial"/>
          <w:kern w:val="0"/>
          <w:lang w:eastAsia="en-GB"/>
          <w14:ligatures w14:val="none"/>
        </w:rPr>
      </w:pPr>
    </w:p>
    <w:p w14:paraId="0393C8EA" w14:textId="77777777" w:rsidR="00BD4BBA" w:rsidRPr="00D0306F" w:rsidRDefault="00BD4BBA" w:rsidP="00BD4BBA">
      <w:pPr>
        <w:rPr>
          <w:rFonts w:eastAsia="Times New Roman" w:cs="Arial"/>
          <w:kern w:val="0"/>
          <w:lang w:eastAsia="en-GB"/>
          <w14:ligatures w14:val="none"/>
        </w:rPr>
      </w:pPr>
    </w:p>
    <w:p w14:paraId="3678003C" w14:textId="77777777" w:rsidR="00BD4BBA" w:rsidRPr="00D0306F" w:rsidRDefault="00BD4BBA" w:rsidP="00BD4BBA">
      <w:pPr>
        <w:rPr>
          <w:rFonts w:eastAsia="Times New Roman" w:cs="Arial"/>
          <w:kern w:val="0"/>
          <w:lang w:eastAsia="en-GB"/>
          <w14:ligatures w14:val="none"/>
        </w:rPr>
      </w:pPr>
    </w:p>
    <w:p w14:paraId="0D500D37" w14:textId="77777777" w:rsidR="00BD4BBA" w:rsidRPr="00D0306F" w:rsidRDefault="00BD4BBA" w:rsidP="00BD4BBA">
      <w:pPr>
        <w:rPr>
          <w:rFonts w:eastAsia="Times New Roman" w:cs="Arial"/>
          <w:kern w:val="0"/>
          <w:lang w:eastAsia="en-GB"/>
          <w14:ligatures w14:val="none"/>
        </w:rPr>
      </w:pPr>
    </w:p>
    <w:p w14:paraId="50997DA7" w14:textId="77777777" w:rsidR="00BD4BBA" w:rsidRPr="00D0306F" w:rsidRDefault="00BD4BBA" w:rsidP="00BD4BBA">
      <w:pPr>
        <w:rPr>
          <w:rFonts w:eastAsia="Times New Roman" w:cs="Arial"/>
          <w:kern w:val="0"/>
          <w:lang w:eastAsia="en-GB"/>
          <w14:ligatures w14:val="none"/>
        </w:rPr>
      </w:pPr>
    </w:p>
    <w:p w14:paraId="7797E7BC" w14:textId="77777777" w:rsidR="00BD4BBA" w:rsidRPr="00D0306F" w:rsidRDefault="00BD4BBA" w:rsidP="00BD4BBA">
      <w:pPr>
        <w:rPr>
          <w:rFonts w:eastAsia="Times New Roman" w:cs="Arial"/>
          <w:kern w:val="0"/>
          <w:lang w:eastAsia="en-GB"/>
          <w14:ligatures w14:val="none"/>
        </w:rPr>
      </w:pPr>
    </w:p>
    <w:p w14:paraId="7A3E5D50" w14:textId="77777777" w:rsidR="00BD4BBA" w:rsidRPr="00D0306F" w:rsidRDefault="00BD4BBA" w:rsidP="00BD4BBA">
      <w:pPr>
        <w:rPr>
          <w:rFonts w:eastAsia="Times New Roman" w:cs="Arial"/>
          <w:kern w:val="0"/>
          <w:lang w:eastAsia="en-GB"/>
          <w14:ligatures w14:val="none"/>
        </w:rPr>
      </w:pPr>
    </w:p>
    <w:p w14:paraId="10B517E6" w14:textId="77777777" w:rsidR="00BD4BBA" w:rsidRPr="00D0306F" w:rsidRDefault="00BD4BBA" w:rsidP="00BD4BBA">
      <w:pPr>
        <w:rPr>
          <w:rFonts w:eastAsia="Times New Roman" w:cs="Arial"/>
          <w:kern w:val="0"/>
          <w:lang w:eastAsia="en-GB"/>
          <w14:ligatures w14:val="none"/>
        </w:rPr>
      </w:pPr>
    </w:p>
    <w:p w14:paraId="77773326" w14:textId="77777777" w:rsidR="00BD4BBA" w:rsidRPr="00D0306F" w:rsidRDefault="00BD4BBA" w:rsidP="00BD4BBA">
      <w:pPr>
        <w:rPr>
          <w:rFonts w:eastAsia="Times New Roman" w:cs="Arial"/>
          <w:kern w:val="0"/>
          <w:lang w:eastAsia="en-GB"/>
          <w14:ligatures w14:val="none"/>
        </w:rPr>
      </w:pPr>
    </w:p>
    <w:p w14:paraId="10D83B08" w14:textId="77777777" w:rsidR="00BD4BBA" w:rsidRPr="00BB14FD" w:rsidRDefault="00BD4BBA" w:rsidP="00BD4BBA">
      <w:pPr>
        <w:rPr>
          <w:rFonts w:eastAsia="Times New Roman" w:cs="Arial"/>
          <w:kern w:val="0"/>
          <w:lang w:eastAsia="en-GB"/>
          <w14:ligatures w14:val="none"/>
        </w:rPr>
      </w:pPr>
    </w:p>
    <w:p w14:paraId="12B71564" w14:textId="77777777" w:rsidR="00BB14FD" w:rsidRPr="00BB14FD" w:rsidRDefault="00BB14FD" w:rsidP="00BD4BBA">
      <w:pPr>
        <w:keepNext/>
        <w:rPr>
          <w:rFonts w:eastAsia="Times New Roman" w:cs="Arial"/>
          <w:b/>
          <w:bCs/>
          <w:kern w:val="0"/>
          <w14:ligatures w14:val="none"/>
        </w:rPr>
      </w:pPr>
      <w:r w:rsidRPr="00BB14FD">
        <w:rPr>
          <w:rFonts w:eastAsia="Times New Roman" w:cs="Arial"/>
          <w:b/>
          <w:bCs/>
          <w:kern w:val="0"/>
          <w14:ligatures w14:val="none"/>
        </w:rPr>
        <w:lastRenderedPageBreak/>
        <w:t>Table 13.6: Percentage of adults (aged 16 years and over) reporting lifestyle behaviours by local authority and Wales, 2021 to 2023</w:t>
      </w:r>
    </w:p>
    <w:p w14:paraId="14BC5BF9" w14:textId="77777777" w:rsidR="00BB14FD" w:rsidRDefault="00BB14FD" w:rsidP="00BD4BBA">
      <w:pPr>
        <w:keepNext/>
        <w:rPr>
          <w:rFonts w:eastAsia="Times New Roman" w:cs="Arial"/>
          <w:b/>
          <w:kern w:val="0"/>
          <w14:ligatures w14:val="none"/>
        </w:rPr>
      </w:pPr>
    </w:p>
    <w:tbl>
      <w:tblPr>
        <w:tblStyle w:val="TableGrid6"/>
        <w:tblW w:w="9988" w:type="dxa"/>
        <w:tblInd w:w="-431" w:type="dxa"/>
        <w:tblLook w:val="04A0" w:firstRow="1" w:lastRow="0" w:firstColumn="1" w:lastColumn="0" w:noHBand="0" w:noVBand="1"/>
      </w:tblPr>
      <w:tblGrid>
        <w:gridCol w:w="1146"/>
        <w:gridCol w:w="1557"/>
        <w:gridCol w:w="1438"/>
        <w:gridCol w:w="1200"/>
        <w:gridCol w:w="1534"/>
        <w:gridCol w:w="961"/>
        <w:gridCol w:w="1202"/>
        <w:gridCol w:w="950"/>
      </w:tblGrid>
      <w:tr w:rsidR="000114F0" w:rsidRPr="00D0306F" w14:paraId="0CE413E7" w14:textId="77777777" w:rsidTr="000114F0">
        <w:trPr>
          <w:trHeight w:val="1807"/>
        </w:trPr>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4ADE0C4B" w14:textId="77777777" w:rsidR="000114F0" w:rsidRPr="00037037" w:rsidRDefault="000114F0" w:rsidP="00426D39">
            <w:pPr>
              <w:keepNext/>
              <w:rPr>
                <w:rFonts w:eastAsia="Arial" w:cs="Arial"/>
                <w:b/>
                <w:bCs/>
                <w:sz w:val="24"/>
              </w:rPr>
            </w:pPr>
            <w:r w:rsidRPr="00037037">
              <w:rPr>
                <w:rFonts w:eastAsia="Arial" w:cs="Arial"/>
                <w:b/>
                <w:bCs/>
                <w:sz w:val="24"/>
              </w:rPr>
              <w:t>Area</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438A6A9E" w14:textId="77777777" w:rsidR="000114F0" w:rsidRPr="00037037" w:rsidRDefault="000114F0" w:rsidP="00426D39">
            <w:pPr>
              <w:keepNext/>
              <w:rPr>
                <w:rFonts w:eastAsia="Arial" w:cs="Arial"/>
                <w:b/>
                <w:bCs/>
                <w:sz w:val="24"/>
              </w:rPr>
            </w:pPr>
            <w:r w:rsidRPr="00037037">
              <w:rPr>
                <w:rFonts w:eastAsia="Arial" w:cs="Arial"/>
                <w:b/>
                <w:bCs/>
                <w:sz w:val="24"/>
              </w:rPr>
              <w:t>Population 16 years and over</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30291347" w14:textId="77777777" w:rsidR="000114F0" w:rsidRPr="00037037" w:rsidRDefault="000114F0" w:rsidP="00426D39">
            <w:pPr>
              <w:keepNext/>
              <w:rPr>
                <w:rFonts w:eastAsia="Arial" w:cs="Arial"/>
                <w:b/>
                <w:bCs/>
                <w:sz w:val="24"/>
              </w:rPr>
            </w:pPr>
            <w:r w:rsidRPr="00037037">
              <w:rPr>
                <w:rFonts w:eastAsia="Arial" w:cs="Arial"/>
                <w:b/>
                <w:bCs/>
                <w:sz w:val="24"/>
              </w:rPr>
              <w:t>Smoking (including e-cigarettes)</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32D56981" w14:textId="77777777" w:rsidR="000114F0" w:rsidRPr="00037037" w:rsidRDefault="000114F0" w:rsidP="00426D39">
            <w:pPr>
              <w:keepNext/>
              <w:rPr>
                <w:rFonts w:eastAsia="Arial" w:cs="Arial"/>
                <w:b/>
                <w:bCs/>
                <w:sz w:val="24"/>
              </w:rPr>
            </w:pPr>
            <w:r w:rsidRPr="00037037">
              <w:rPr>
                <w:rFonts w:eastAsia="Arial" w:cs="Arial"/>
                <w:b/>
                <w:bCs/>
                <w:sz w:val="24"/>
              </w:rPr>
              <w:t>Drinking more than 14 units per week</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403D441E" w14:textId="77777777" w:rsidR="000114F0" w:rsidRPr="00037037" w:rsidRDefault="000114F0" w:rsidP="00426D39">
            <w:pPr>
              <w:keepNext/>
              <w:rPr>
                <w:rFonts w:eastAsia="Arial" w:cs="Arial"/>
                <w:b/>
                <w:bCs/>
                <w:sz w:val="24"/>
              </w:rPr>
            </w:pPr>
            <w:r w:rsidRPr="00037037">
              <w:rPr>
                <w:rFonts w:eastAsia="Arial" w:cs="Arial"/>
                <w:b/>
                <w:bCs/>
                <w:sz w:val="24"/>
              </w:rPr>
              <w:t>Overweight with a body mass index of 25+</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096B0CF7" w14:textId="77777777" w:rsidR="000114F0" w:rsidRPr="00037037" w:rsidRDefault="000114F0" w:rsidP="00426D39">
            <w:pPr>
              <w:keepNext/>
              <w:rPr>
                <w:rFonts w:eastAsia="Arial" w:cs="Arial"/>
                <w:b/>
                <w:bCs/>
                <w:sz w:val="24"/>
              </w:rPr>
            </w:pPr>
            <w:r w:rsidRPr="00037037">
              <w:rPr>
                <w:rFonts w:eastAsia="Arial" w:cs="Arial"/>
                <w:b/>
                <w:bCs/>
                <w:sz w:val="24"/>
              </w:rPr>
              <w:t>Obese with a body mass index of 30+</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6ADD1FF1" w14:textId="77777777" w:rsidR="000114F0" w:rsidRPr="00037037" w:rsidRDefault="000114F0" w:rsidP="00426D39">
            <w:pPr>
              <w:keepNext/>
              <w:rPr>
                <w:rFonts w:eastAsia="Arial" w:cs="Arial"/>
                <w:b/>
                <w:bCs/>
                <w:sz w:val="24"/>
              </w:rPr>
            </w:pPr>
            <w:r w:rsidRPr="00037037">
              <w:rPr>
                <w:rFonts w:eastAsia="Arial" w:cs="Arial"/>
                <w:b/>
                <w:bCs/>
                <w:sz w:val="24"/>
              </w:rPr>
              <w:t>Physical activity for 150 minutes per week</w:t>
            </w:r>
          </w:p>
        </w:tc>
        <w:tc>
          <w:tcPr>
            <w:tcW w:w="950" w:type="dxa"/>
            <w:tcBorders>
              <w:top w:val="single" w:sz="4" w:space="0" w:color="auto"/>
              <w:left w:val="single" w:sz="4" w:space="0" w:color="auto"/>
              <w:bottom w:val="single" w:sz="4" w:space="0" w:color="auto"/>
              <w:right w:val="single" w:sz="4" w:space="0" w:color="auto"/>
            </w:tcBorders>
            <w:shd w:val="clear" w:color="auto" w:fill="153D63"/>
            <w:hideMark/>
          </w:tcPr>
          <w:p w14:paraId="401F53F1" w14:textId="77777777" w:rsidR="000114F0" w:rsidRPr="00037037" w:rsidRDefault="000114F0" w:rsidP="00426D39">
            <w:pPr>
              <w:keepNext/>
              <w:rPr>
                <w:rFonts w:eastAsia="Arial" w:cs="Arial"/>
                <w:b/>
                <w:bCs/>
                <w:sz w:val="24"/>
              </w:rPr>
            </w:pPr>
            <w:r w:rsidRPr="00037037">
              <w:rPr>
                <w:rFonts w:eastAsia="Arial" w:cs="Arial"/>
                <w:b/>
                <w:bCs/>
                <w:sz w:val="24"/>
              </w:rPr>
              <w:t>Eating five a day</w:t>
            </w:r>
          </w:p>
        </w:tc>
      </w:tr>
      <w:tr w:rsidR="000114F0" w:rsidRPr="00037037" w14:paraId="2CA4B906" w14:textId="77777777" w:rsidTr="000114F0">
        <w:trPr>
          <w:trHeight w:val="316"/>
        </w:trPr>
        <w:tc>
          <w:tcPr>
            <w:tcW w:w="0" w:type="auto"/>
            <w:tcBorders>
              <w:top w:val="single" w:sz="4" w:space="0" w:color="auto"/>
              <w:left w:val="single" w:sz="4" w:space="0" w:color="auto"/>
              <w:bottom w:val="single" w:sz="4" w:space="0" w:color="auto"/>
              <w:right w:val="single" w:sz="4" w:space="0" w:color="auto"/>
            </w:tcBorders>
            <w:hideMark/>
          </w:tcPr>
          <w:p w14:paraId="24DC461C" w14:textId="6BC02435" w:rsidR="000114F0" w:rsidRPr="000114F0" w:rsidRDefault="000114F0" w:rsidP="000114F0">
            <w:pPr>
              <w:keepNext/>
              <w:rPr>
                <w:rFonts w:cs="Arial"/>
                <w:bCs/>
                <w:sz w:val="24"/>
              </w:rPr>
            </w:pPr>
            <w:r w:rsidRPr="000114F0">
              <w:rPr>
                <w:rFonts w:cs="Arial"/>
                <w:bCs/>
                <w:sz w:val="24"/>
              </w:rPr>
              <w:t>Neath Port Talbot local authority</w:t>
            </w:r>
          </w:p>
        </w:tc>
        <w:tc>
          <w:tcPr>
            <w:tcW w:w="0" w:type="auto"/>
            <w:tcBorders>
              <w:top w:val="single" w:sz="4" w:space="0" w:color="auto"/>
              <w:left w:val="single" w:sz="4" w:space="0" w:color="auto"/>
              <w:bottom w:val="single" w:sz="4" w:space="0" w:color="auto"/>
              <w:right w:val="single" w:sz="4" w:space="0" w:color="auto"/>
            </w:tcBorders>
            <w:hideMark/>
          </w:tcPr>
          <w:p w14:paraId="317A54B3" w14:textId="5AB4507F" w:rsidR="000114F0" w:rsidRPr="000114F0" w:rsidRDefault="000114F0" w:rsidP="000114F0">
            <w:pPr>
              <w:keepNext/>
              <w:rPr>
                <w:rFonts w:eastAsia="Arial" w:cs="Arial"/>
                <w:sz w:val="24"/>
              </w:rPr>
            </w:pPr>
            <w:r w:rsidRPr="000114F0">
              <w:rPr>
                <w:rFonts w:cs="Arial"/>
                <w:bCs/>
                <w:sz w:val="24"/>
              </w:rPr>
              <w:t>118,891</w:t>
            </w:r>
            <w:r w:rsidRPr="000114F0">
              <w:rPr>
                <w:rFonts w:cs="Arial"/>
                <w:bCs/>
                <w:sz w:val="24"/>
                <w:vertAlign w:val="superscript"/>
              </w:rPr>
              <w:footnoteReference w:id="320"/>
            </w:r>
          </w:p>
        </w:tc>
        <w:tc>
          <w:tcPr>
            <w:tcW w:w="0" w:type="auto"/>
            <w:tcBorders>
              <w:top w:val="single" w:sz="4" w:space="0" w:color="auto"/>
              <w:left w:val="single" w:sz="4" w:space="0" w:color="auto"/>
              <w:bottom w:val="single" w:sz="4" w:space="0" w:color="auto"/>
              <w:right w:val="single" w:sz="4" w:space="0" w:color="auto"/>
            </w:tcBorders>
            <w:hideMark/>
          </w:tcPr>
          <w:p w14:paraId="3D10172B" w14:textId="6C5EDC26" w:rsidR="000114F0" w:rsidRPr="000114F0" w:rsidRDefault="000114F0" w:rsidP="000114F0">
            <w:pPr>
              <w:keepNext/>
              <w:rPr>
                <w:rFonts w:eastAsia="Arial" w:cs="Arial"/>
                <w:sz w:val="24"/>
              </w:rPr>
            </w:pPr>
            <w:r w:rsidRPr="000114F0">
              <w:rPr>
                <w:rFonts w:cs="Arial"/>
                <w:bCs/>
                <w:sz w:val="24"/>
              </w:rPr>
              <w:t>27%</w:t>
            </w:r>
          </w:p>
        </w:tc>
        <w:tc>
          <w:tcPr>
            <w:tcW w:w="0" w:type="auto"/>
            <w:tcBorders>
              <w:top w:val="single" w:sz="4" w:space="0" w:color="auto"/>
              <w:left w:val="single" w:sz="4" w:space="0" w:color="auto"/>
              <w:bottom w:val="single" w:sz="4" w:space="0" w:color="auto"/>
              <w:right w:val="single" w:sz="4" w:space="0" w:color="auto"/>
            </w:tcBorders>
            <w:hideMark/>
          </w:tcPr>
          <w:p w14:paraId="2D5592AE" w14:textId="75C3B72B" w:rsidR="000114F0" w:rsidRPr="000114F0" w:rsidRDefault="000114F0" w:rsidP="000114F0">
            <w:pPr>
              <w:keepNext/>
              <w:rPr>
                <w:rFonts w:eastAsia="Arial" w:cs="Arial"/>
                <w:sz w:val="24"/>
              </w:rPr>
            </w:pPr>
            <w:r w:rsidRPr="000114F0">
              <w:rPr>
                <w:rFonts w:cs="Arial"/>
                <w:bCs/>
                <w:sz w:val="24"/>
              </w:rPr>
              <w:t>12%</w:t>
            </w:r>
          </w:p>
        </w:tc>
        <w:tc>
          <w:tcPr>
            <w:tcW w:w="0" w:type="auto"/>
            <w:tcBorders>
              <w:top w:val="single" w:sz="4" w:space="0" w:color="auto"/>
              <w:left w:val="single" w:sz="4" w:space="0" w:color="auto"/>
              <w:bottom w:val="single" w:sz="4" w:space="0" w:color="auto"/>
              <w:right w:val="single" w:sz="4" w:space="0" w:color="auto"/>
            </w:tcBorders>
            <w:hideMark/>
          </w:tcPr>
          <w:p w14:paraId="46E8F0AE" w14:textId="4DA37C32" w:rsidR="000114F0" w:rsidRPr="000114F0" w:rsidRDefault="000114F0" w:rsidP="000114F0">
            <w:pPr>
              <w:keepNext/>
              <w:rPr>
                <w:rFonts w:eastAsia="Arial" w:cs="Arial"/>
                <w:sz w:val="24"/>
              </w:rPr>
            </w:pPr>
            <w:r w:rsidRPr="000114F0">
              <w:rPr>
                <w:rFonts w:cs="Arial"/>
                <w:bCs/>
                <w:sz w:val="24"/>
              </w:rPr>
              <w:t>66%</w:t>
            </w:r>
          </w:p>
        </w:tc>
        <w:tc>
          <w:tcPr>
            <w:tcW w:w="0" w:type="auto"/>
            <w:tcBorders>
              <w:top w:val="single" w:sz="4" w:space="0" w:color="auto"/>
              <w:left w:val="single" w:sz="4" w:space="0" w:color="auto"/>
              <w:bottom w:val="single" w:sz="4" w:space="0" w:color="auto"/>
              <w:right w:val="single" w:sz="4" w:space="0" w:color="auto"/>
            </w:tcBorders>
            <w:hideMark/>
          </w:tcPr>
          <w:p w14:paraId="71662A62" w14:textId="225DCC8E" w:rsidR="000114F0" w:rsidRPr="000114F0" w:rsidRDefault="000114F0" w:rsidP="000114F0">
            <w:pPr>
              <w:keepNext/>
              <w:rPr>
                <w:rFonts w:eastAsia="Arial" w:cs="Arial"/>
                <w:sz w:val="24"/>
              </w:rPr>
            </w:pPr>
            <w:r w:rsidRPr="000114F0">
              <w:rPr>
                <w:rFonts w:cs="Arial"/>
                <w:bCs/>
                <w:sz w:val="24"/>
              </w:rPr>
              <w:t>29%</w:t>
            </w:r>
          </w:p>
        </w:tc>
        <w:tc>
          <w:tcPr>
            <w:tcW w:w="0" w:type="auto"/>
            <w:tcBorders>
              <w:top w:val="single" w:sz="4" w:space="0" w:color="auto"/>
              <w:left w:val="single" w:sz="4" w:space="0" w:color="auto"/>
              <w:bottom w:val="single" w:sz="4" w:space="0" w:color="auto"/>
              <w:right w:val="single" w:sz="4" w:space="0" w:color="auto"/>
            </w:tcBorders>
            <w:hideMark/>
          </w:tcPr>
          <w:p w14:paraId="7774F65F" w14:textId="7351B6CE" w:rsidR="000114F0" w:rsidRPr="000114F0" w:rsidRDefault="000114F0" w:rsidP="000114F0">
            <w:pPr>
              <w:keepNext/>
              <w:rPr>
                <w:rFonts w:eastAsia="Arial" w:cs="Arial"/>
                <w:sz w:val="24"/>
              </w:rPr>
            </w:pPr>
            <w:r w:rsidRPr="000114F0">
              <w:rPr>
                <w:rFonts w:cs="Arial"/>
                <w:bCs/>
                <w:sz w:val="24"/>
              </w:rPr>
              <w:t>53%</w:t>
            </w:r>
          </w:p>
        </w:tc>
        <w:tc>
          <w:tcPr>
            <w:tcW w:w="950" w:type="dxa"/>
            <w:tcBorders>
              <w:top w:val="single" w:sz="4" w:space="0" w:color="auto"/>
              <w:left w:val="single" w:sz="4" w:space="0" w:color="auto"/>
              <w:bottom w:val="single" w:sz="4" w:space="0" w:color="auto"/>
              <w:right w:val="single" w:sz="4" w:space="0" w:color="auto"/>
            </w:tcBorders>
            <w:hideMark/>
          </w:tcPr>
          <w:p w14:paraId="5D1C959E" w14:textId="259E3A62" w:rsidR="000114F0" w:rsidRPr="000114F0" w:rsidRDefault="000114F0" w:rsidP="000114F0">
            <w:pPr>
              <w:keepNext/>
              <w:rPr>
                <w:rFonts w:eastAsia="Arial" w:cs="Arial"/>
                <w:sz w:val="24"/>
              </w:rPr>
            </w:pPr>
            <w:r w:rsidRPr="000114F0">
              <w:rPr>
                <w:rFonts w:cs="Arial"/>
                <w:bCs/>
                <w:sz w:val="24"/>
              </w:rPr>
              <w:t>22%</w:t>
            </w:r>
          </w:p>
        </w:tc>
      </w:tr>
      <w:tr w:rsidR="000114F0" w:rsidRPr="00037037" w14:paraId="22B33D5C" w14:textId="77777777" w:rsidTr="000114F0">
        <w:trPr>
          <w:trHeight w:val="328"/>
        </w:trPr>
        <w:tc>
          <w:tcPr>
            <w:tcW w:w="0" w:type="auto"/>
            <w:tcBorders>
              <w:top w:val="single" w:sz="4" w:space="0" w:color="auto"/>
              <w:left w:val="single" w:sz="4" w:space="0" w:color="auto"/>
              <w:bottom w:val="single" w:sz="4" w:space="0" w:color="auto"/>
              <w:right w:val="single" w:sz="4" w:space="0" w:color="auto"/>
            </w:tcBorders>
            <w:hideMark/>
          </w:tcPr>
          <w:p w14:paraId="465AE0DD" w14:textId="25BC66B0" w:rsidR="000114F0" w:rsidRPr="000114F0" w:rsidRDefault="000114F0" w:rsidP="000114F0">
            <w:pPr>
              <w:keepNext/>
              <w:rPr>
                <w:rFonts w:eastAsia="Arial" w:cs="Arial"/>
                <w:sz w:val="24"/>
              </w:rPr>
            </w:pPr>
            <w:r w:rsidRPr="000114F0">
              <w:rPr>
                <w:rFonts w:cs="Arial"/>
                <w:bCs/>
                <w:sz w:val="24"/>
              </w:rPr>
              <w:t>Wales</w:t>
            </w:r>
          </w:p>
        </w:tc>
        <w:tc>
          <w:tcPr>
            <w:tcW w:w="0" w:type="auto"/>
            <w:tcBorders>
              <w:top w:val="single" w:sz="4" w:space="0" w:color="auto"/>
              <w:left w:val="single" w:sz="4" w:space="0" w:color="auto"/>
              <w:bottom w:val="single" w:sz="4" w:space="0" w:color="auto"/>
              <w:right w:val="single" w:sz="4" w:space="0" w:color="auto"/>
            </w:tcBorders>
            <w:hideMark/>
          </w:tcPr>
          <w:p w14:paraId="27715547" w14:textId="1B0C66A2" w:rsidR="000114F0" w:rsidRPr="000114F0" w:rsidRDefault="000114F0" w:rsidP="000114F0">
            <w:pPr>
              <w:keepNext/>
              <w:rPr>
                <w:rFonts w:eastAsia="Arial" w:cs="Arial"/>
                <w:sz w:val="24"/>
              </w:rPr>
            </w:pPr>
            <w:r w:rsidRPr="000114F0">
              <w:rPr>
                <w:rFonts w:cs="Arial"/>
                <w:bCs/>
                <w:sz w:val="24"/>
              </w:rPr>
              <w:t>2,641,000</w:t>
            </w:r>
            <w:r w:rsidRPr="000114F0">
              <w:rPr>
                <w:rFonts w:cs="Arial"/>
                <w:bCs/>
                <w:sz w:val="24"/>
                <w:vertAlign w:val="superscript"/>
              </w:rPr>
              <w:footnoteReference w:id="321"/>
            </w:r>
          </w:p>
        </w:tc>
        <w:tc>
          <w:tcPr>
            <w:tcW w:w="0" w:type="auto"/>
            <w:tcBorders>
              <w:top w:val="single" w:sz="4" w:space="0" w:color="auto"/>
              <w:left w:val="single" w:sz="4" w:space="0" w:color="auto"/>
              <w:bottom w:val="single" w:sz="4" w:space="0" w:color="auto"/>
              <w:right w:val="single" w:sz="4" w:space="0" w:color="auto"/>
            </w:tcBorders>
            <w:hideMark/>
          </w:tcPr>
          <w:p w14:paraId="41E15A36" w14:textId="0A155E6B" w:rsidR="000114F0" w:rsidRPr="000114F0" w:rsidRDefault="000114F0" w:rsidP="000114F0">
            <w:pPr>
              <w:keepNext/>
              <w:rPr>
                <w:rFonts w:eastAsia="Arial" w:cs="Arial"/>
                <w:sz w:val="24"/>
              </w:rPr>
            </w:pPr>
            <w:r w:rsidRPr="000114F0">
              <w:rPr>
                <w:rFonts w:cs="Arial"/>
                <w:bCs/>
                <w:sz w:val="24"/>
              </w:rPr>
              <w:t>20%</w:t>
            </w:r>
          </w:p>
        </w:tc>
        <w:tc>
          <w:tcPr>
            <w:tcW w:w="0" w:type="auto"/>
            <w:tcBorders>
              <w:top w:val="single" w:sz="4" w:space="0" w:color="auto"/>
              <w:left w:val="single" w:sz="4" w:space="0" w:color="auto"/>
              <w:bottom w:val="single" w:sz="4" w:space="0" w:color="auto"/>
              <w:right w:val="single" w:sz="4" w:space="0" w:color="auto"/>
            </w:tcBorders>
            <w:hideMark/>
          </w:tcPr>
          <w:p w14:paraId="7D4EA626" w14:textId="0ACA8B94" w:rsidR="000114F0" w:rsidRPr="000114F0" w:rsidRDefault="000114F0" w:rsidP="000114F0">
            <w:pPr>
              <w:keepNext/>
              <w:rPr>
                <w:rFonts w:eastAsia="Arial" w:cs="Arial"/>
                <w:sz w:val="24"/>
              </w:rPr>
            </w:pPr>
            <w:r w:rsidRPr="000114F0">
              <w:rPr>
                <w:rFonts w:cs="Arial"/>
                <w:bCs/>
                <w:sz w:val="24"/>
              </w:rPr>
              <w:t>16%</w:t>
            </w:r>
          </w:p>
        </w:tc>
        <w:tc>
          <w:tcPr>
            <w:tcW w:w="0" w:type="auto"/>
            <w:tcBorders>
              <w:top w:val="single" w:sz="4" w:space="0" w:color="auto"/>
              <w:left w:val="single" w:sz="4" w:space="0" w:color="auto"/>
              <w:bottom w:val="single" w:sz="4" w:space="0" w:color="auto"/>
              <w:right w:val="single" w:sz="4" w:space="0" w:color="auto"/>
            </w:tcBorders>
            <w:hideMark/>
          </w:tcPr>
          <w:p w14:paraId="4D490C85" w14:textId="5A720055" w:rsidR="000114F0" w:rsidRPr="000114F0" w:rsidRDefault="000114F0" w:rsidP="000114F0">
            <w:pPr>
              <w:keepNext/>
              <w:rPr>
                <w:rFonts w:eastAsia="Arial" w:cs="Arial"/>
                <w:sz w:val="24"/>
              </w:rPr>
            </w:pPr>
            <w:r w:rsidRPr="000114F0">
              <w:rPr>
                <w:rFonts w:cs="Arial"/>
                <w:bCs/>
                <w:sz w:val="24"/>
              </w:rPr>
              <w:t>62%</w:t>
            </w:r>
          </w:p>
        </w:tc>
        <w:tc>
          <w:tcPr>
            <w:tcW w:w="0" w:type="auto"/>
            <w:tcBorders>
              <w:top w:val="single" w:sz="4" w:space="0" w:color="auto"/>
              <w:left w:val="single" w:sz="4" w:space="0" w:color="auto"/>
              <w:bottom w:val="single" w:sz="4" w:space="0" w:color="auto"/>
              <w:right w:val="single" w:sz="4" w:space="0" w:color="auto"/>
            </w:tcBorders>
            <w:hideMark/>
          </w:tcPr>
          <w:p w14:paraId="067228F4" w14:textId="6FAC8652" w:rsidR="000114F0" w:rsidRPr="000114F0" w:rsidRDefault="000114F0" w:rsidP="000114F0">
            <w:pPr>
              <w:keepNext/>
              <w:rPr>
                <w:rFonts w:eastAsia="Arial" w:cs="Arial"/>
                <w:sz w:val="24"/>
              </w:rPr>
            </w:pPr>
            <w:r w:rsidRPr="000114F0">
              <w:rPr>
                <w:rFonts w:cs="Arial"/>
                <w:bCs/>
                <w:sz w:val="24"/>
              </w:rPr>
              <w:t>25%</w:t>
            </w:r>
          </w:p>
        </w:tc>
        <w:tc>
          <w:tcPr>
            <w:tcW w:w="0" w:type="auto"/>
            <w:tcBorders>
              <w:top w:val="single" w:sz="4" w:space="0" w:color="auto"/>
              <w:left w:val="single" w:sz="4" w:space="0" w:color="auto"/>
              <w:bottom w:val="single" w:sz="4" w:space="0" w:color="auto"/>
              <w:right w:val="single" w:sz="4" w:space="0" w:color="auto"/>
            </w:tcBorders>
            <w:hideMark/>
          </w:tcPr>
          <w:p w14:paraId="6499DBED" w14:textId="39233979" w:rsidR="000114F0" w:rsidRPr="000114F0" w:rsidRDefault="000114F0" w:rsidP="000114F0">
            <w:pPr>
              <w:keepNext/>
              <w:rPr>
                <w:rFonts w:eastAsia="Arial" w:cs="Arial"/>
                <w:sz w:val="24"/>
              </w:rPr>
            </w:pPr>
            <w:r w:rsidRPr="000114F0">
              <w:rPr>
                <w:rFonts w:cs="Arial"/>
                <w:bCs/>
                <w:sz w:val="24"/>
              </w:rPr>
              <w:t>56%</w:t>
            </w:r>
          </w:p>
        </w:tc>
        <w:tc>
          <w:tcPr>
            <w:tcW w:w="950" w:type="dxa"/>
            <w:tcBorders>
              <w:top w:val="single" w:sz="4" w:space="0" w:color="auto"/>
              <w:left w:val="single" w:sz="4" w:space="0" w:color="auto"/>
              <w:bottom w:val="single" w:sz="4" w:space="0" w:color="auto"/>
              <w:right w:val="single" w:sz="4" w:space="0" w:color="auto"/>
            </w:tcBorders>
          </w:tcPr>
          <w:p w14:paraId="7D96F147" w14:textId="724900D7" w:rsidR="000114F0" w:rsidRPr="000114F0" w:rsidRDefault="000114F0" w:rsidP="000114F0">
            <w:pPr>
              <w:keepNext/>
              <w:rPr>
                <w:rFonts w:eastAsia="Arial" w:cs="Arial"/>
                <w:sz w:val="24"/>
              </w:rPr>
            </w:pPr>
            <w:r w:rsidRPr="000114F0">
              <w:rPr>
                <w:rFonts w:cs="Arial"/>
                <w:bCs/>
                <w:sz w:val="24"/>
              </w:rPr>
              <w:t>29%</w:t>
            </w:r>
          </w:p>
        </w:tc>
      </w:tr>
    </w:tbl>
    <w:p w14:paraId="0A186761" w14:textId="77777777" w:rsidR="000114F0" w:rsidRDefault="000114F0" w:rsidP="00BD4BBA">
      <w:pPr>
        <w:keepNext/>
        <w:rPr>
          <w:rFonts w:eastAsia="Times New Roman" w:cs="Arial"/>
          <w:b/>
          <w:kern w:val="0"/>
          <w14:ligatures w14:val="none"/>
        </w:rPr>
      </w:pPr>
    </w:p>
    <w:p w14:paraId="0EF93566" w14:textId="77777777" w:rsidR="00BB14FD" w:rsidRPr="00BB14FD" w:rsidRDefault="00BB14FD" w:rsidP="00BD4BBA">
      <w:pPr>
        <w:contextualSpacing/>
        <w:rPr>
          <w:rFonts w:eastAsia="Aptos" w:cs="Arial"/>
        </w:rPr>
      </w:pPr>
      <w:r w:rsidRPr="00BB14FD">
        <w:rPr>
          <w:rFonts w:eastAsia="Aptos" w:cs="Arial"/>
        </w:rPr>
        <w:t>Overall, Neath Port Talbot shows lower levels of excessive drinking than the Wales average (0.4% lower), but continues to face challenges with smoking, weight management, physical activity and consuming fruit and vegetable (eating five fruit and vegetables) daily compared with the Wales averages.</w:t>
      </w:r>
    </w:p>
    <w:p w14:paraId="098247F3" w14:textId="77777777" w:rsidR="00BB14FD" w:rsidRPr="00BB14FD" w:rsidRDefault="00BB14FD" w:rsidP="00BD4BBA">
      <w:pPr>
        <w:contextualSpacing/>
        <w:rPr>
          <w:rFonts w:eastAsia="Aptos" w:cs="Arial"/>
        </w:rPr>
      </w:pPr>
    </w:p>
    <w:p w14:paraId="660EEA1A" w14:textId="77777777" w:rsidR="00BB14FD" w:rsidRPr="00BB14FD" w:rsidRDefault="00BB14FD" w:rsidP="00BD4BBA">
      <w:pPr>
        <w:rPr>
          <w:rFonts w:eastAsia="Aptos" w:cs="Arial"/>
          <w:b/>
          <w:bCs/>
          <w:sz w:val="26"/>
          <w:szCs w:val="26"/>
        </w:rPr>
      </w:pPr>
      <w:r w:rsidRPr="00BB14FD">
        <w:rPr>
          <w:rFonts w:eastAsia="Aptos" w:cs="Arial"/>
          <w:b/>
          <w:bCs/>
          <w:sz w:val="26"/>
          <w:szCs w:val="26"/>
        </w:rPr>
        <w:t>13.3 Current provision of pharmaceutical services within the locality</w:t>
      </w:r>
    </w:p>
    <w:p w14:paraId="6537C375" w14:textId="77777777" w:rsidR="00BB14FD" w:rsidRPr="00BB14FD" w:rsidRDefault="00BB14FD" w:rsidP="00BD4BBA">
      <w:pPr>
        <w:rPr>
          <w:rFonts w:eastAsia="Aptos" w:cs="Arial"/>
        </w:rPr>
      </w:pPr>
    </w:p>
    <w:p w14:paraId="27523B71" w14:textId="77777777" w:rsidR="00BB14FD" w:rsidRPr="00BB14FD" w:rsidRDefault="00BB14FD" w:rsidP="00BD4BBA">
      <w:pPr>
        <w:rPr>
          <w:rFonts w:eastAsia="Aptos" w:cs="Arial"/>
        </w:rPr>
      </w:pPr>
      <w:r w:rsidRPr="00BB14FD">
        <w:rPr>
          <w:rFonts w:eastAsia="Aptos" w:cs="Arial"/>
        </w:rPr>
        <w:t>There are 13 pharmacies in the locality operated by eight different contractors. Of the five GP practices, one dispenses from a single premises site. The level of dispensing is 29.0% of the practice’s registered population.</w:t>
      </w:r>
    </w:p>
    <w:p w14:paraId="18BF3306" w14:textId="77777777" w:rsidR="00BB14FD" w:rsidRPr="00BB14FD" w:rsidRDefault="00BB14FD" w:rsidP="00BD4BBA">
      <w:pPr>
        <w:rPr>
          <w:rFonts w:eastAsia="Aptos" w:cs="Arial"/>
        </w:rPr>
      </w:pPr>
    </w:p>
    <w:p w14:paraId="7A151FE7" w14:textId="77777777" w:rsidR="00BB14FD" w:rsidRPr="00BB14FD" w:rsidRDefault="00BB14FD" w:rsidP="00BD4BBA">
      <w:pPr>
        <w:rPr>
          <w:rFonts w:eastAsia="Aptos" w:cs="Arial"/>
        </w:rPr>
      </w:pPr>
      <w:r w:rsidRPr="00BB14FD">
        <w:rPr>
          <w:rFonts w:eastAsia="Aptos" w:cs="Arial"/>
        </w:rPr>
        <w:t>There is also a GP dispensing practice that operates a branch surgery located within the boundaries of the health board; the GP practice itself belongs to Cwm Taf Morgannwg University Health Board. This arrangement means that patients attending the branch surgery are within the health board’s area, while the practice remains under the governance of Cwm Taf Morgannwg University Health Board.</w:t>
      </w:r>
    </w:p>
    <w:p w14:paraId="1775E000" w14:textId="77777777" w:rsidR="00BB14FD" w:rsidRPr="00BB14FD" w:rsidRDefault="00BB14FD" w:rsidP="00BD4BBA">
      <w:pPr>
        <w:rPr>
          <w:rFonts w:eastAsia="Aptos" w:cs="Arial"/>
        </w:rPr>
      </w:pPr>
    </w:p>
    <w:p w14:paraId="201F15E0" w14:textId="77777777" w:rsidR="00BB14FD" w:rsidRPr="00BB14FD" w:rsidRDefault="00BB14FD" w:rsidP="00BD4BBA">
      <w:pPr>
        <w:rPr>
          <w:rFonts w:eastAsia="Aptos" w:cs="Arial"/>
        </w:rPr>
      </w:pPr>
      <w:r w:rsidRPr="00BB14FD">
        <w:rPr>
          <w:rFonts w:eastAsia="Aptos" w:cs="Arial"/>
        </w:rPr>
        <w:t xml:space="preserve">The availability of pharmaceutical services within the locality per 10,000 registered population is 3.4, higher than the health board average of 2.3. </w:t>
      </w:r>
    </w:p>
    <w:p w14:paraId="6396FCDA" w14:textId="77777777" w:rsidR="00BB14FD" w:rsidRPr="00BB14FD" w:rsidRDefault="00BB14FD" w:rsidP="00BD4BBA">
      <w:pPr>
        <w:rPr>
          <w:rFonts w:eastAsia="Aptos" w:cs="Arial"/>
        </w:rPr>
      </w:pPr>
    </w:p>
    <w:p w14:paraId="326F262A"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In 2024/25, 91.5% of items on prescriptions written by the GP practices in the locality were dispensed by one of the pharmacies within the locality, and 2.3% were dispensed by the dispensing practice. It is not possible to identify the level of dispensing for residents of the locality who are registered with the Cwm Taf Morgannwg University Health Board.</w:t>
      </w:r>
    </w:p>
    <w:p w14:paraId="6D17F378"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 xml:space="preserve"> </w:t>
      </w:r>
    </w:p>
    <w:p w14:paraId="4AE4371B"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 xml:space="preserve">In 2025/26, 93.1% of items on prescriptions written by the GP practices in the locality were dispensed by one of the pharmacies within the locality, and 2.6% were dispensed by the dispensing practice. It is not possible to identify the level of </w:t>
      </w:r>
      <w:r w:rsidRPr="00BB14FD">
        <w:rPr>
          <w:rFonts w:eastAsia="Times New Roman" w:cs="Arial"/>
          <w:kern w:val="0"/>
          <w:lang w:eastAsia="en-GB"/>
          <w14:ligatures w14:val="none"/>
        </w:rPr>
        <w:lastRenderedPageBreak/>
        <w:t>dispensing for residents of the locality who are registered with the Cwm Taf Morgannwg University Health Board.</w:t>
      </w:r>
    </w:p>
    <w:p w14:paraId="3022F208" w14:textId="77777777" w:rsidR="00BB14FD" w:rsidRPr="00BB14FD" w:rsidRDefault="00BB14FD" w:rsidP="00BD4BBA">
      <w:pPr>
        <w:rPr>
          <w:rFonts w:eastAsia="Aptos" w:cs="Arial"/>
        </w:rPr>
      </w:pPr>
    </w:p>
    <w:p w14:paraId="47ABF3F9" w14:textId="396E3DCA" w:rsidR="00BB14FD" w:rsidRPr="00BB14FD" w:rsidRDefault="00BB14FD" w:rsidP="00BD4BBA">
      <w:pPr>
        <w:rPr>
          <w:rFonts w:eastAsia="Aptos" w:cs="Arial"/>
        </w:rPr>
      </w:pPr>
      <w:r w:rsidRPr="00BB14FD">
        <w:rPr>
          <w:rFonts w:eastAsia="Aptos" w:cs="Arial"/>
        </w:rPr>
        <w:t xml:space="preserve">The map below shows the pharmaceutical provision within the area. </w:t>
      </w:r>
      <w:r w:rsidR="0006470A">
        <w:t xml:space="preserve">The dispensing practice premises are represented by black symbols. </w:t>
      </w:r>
      <w:r w:rsidRPr="00BB14FD">
        <w:rPr>
          <w:rFonts w:eastAsia="Aptos" w:cs="Arial"/>
        </w:rPr>
        <w:t>It should be noted that where premises are close to each other the symbols will overlap.</w:t>
      </w:r>
    </w:p>
    <w:p w14:paraId="2ABB73D8" w14:textId="77777777" w:rsidR="00BB14FD" w:rsidRPr="00BB14FD" w:rsidRDefault="00BB14FD" w:rsidP="00BD4BBA">
      <w:pPr>
        <w:rPr>
          <w:rFonts w:eastAsia="Aptos" w:cs="Arial"/>
        </w:rPr>
      </w:pPr>
    </w:p>
    <w:p w14:paraId="7457FDE2" w14:textId="77777777" w:rsidR="00BB14FD" w:rsidRPr="00BB14FD" w:rsidRDefault="00BB14FD" w:rsidP="00BD4BBA">
      <w:pPr>
        <w:rPr>
          <w:rFonts w:eastAsia="Aptos" w:cs="Arial"/>
          <w:b/>
          <w:bCs/>
        </w:rPr>
      </w:pPr>
      <w:r w:rsidRPr="00BB14FD">
        <w:rPr>
          <w:rFonts w:eastAsia="Aptos" w:cs="Arial"/>
          <w:b/>
          <w:bCs/>
        </w:rPr>
        <w:t>Map 13.1: Location of the pharmacy and dispensing doctor premises within the locality</w:t>
      </w:r>
    </w:p>
    <w:p w14:paraId="6EB3ADD3" w14:textId="77777777" w:rsidR="00BB14FD" w:rsidRPr="00BB14FD" w:rsidRDefault="00BB14FD" w:rsidP="00BD4BBA">
      <w:pPr>
        <w:rPr>
          <w:rFonts w:eastAsia="Aptos" w:cs="Arial"/>
        </w:rPr>
      </w:pPr>
    </w:p>
    <w:p w14:paraId="3ED0DC3D" w14:textId="4405075D" w:rsidR="00BB14FD" w:rsidRPr="00BB14FD" w:rsidRDefault="00AC7421" w:rsidP="00BD4BBA">
      <w:pPr>
        <w:rPr>
          <w:rFonts w:eastAsia="Aptos" w:cs="Arial"/>
        </w:rPr>
      </w:pPr>
      <w:r w:rsidRPr="00AC7421">
        <w:rPr>
          <w:rFonts w:eastAsia="Aptos" w:cs="Arial"/>
          <w:noProof/>
        </w:rPr>
        <w:drawing>
          <wp:inline distT="0" distB="0" distL="0" distR="0" wp14:anchorId="0FF856F3" wp14:editId="0E6E225D">
            <wp:extent cx="5731510" cy="3943985"/>
            <wp:effectExtent l="0" t="0" r="2540" b="0"/>
            <wp:docPr id="461283219" name="Picture 1" descr="Map of the Port Talbot, Aberavon, Afan Valley, Cymmer, and Blaengwynfi areas showing the locations of 13 pharmacies and two dispensing practices. Green numbered pins indicate pharmacies, while black numbered pins indicate dispensing practices. The legend lists: Baglan Pharmacy (1), Sandfields Pharmacy (2), Allied Pharmacy Port Talbot Centre (3), AD Richards Pharmacy (4), Allied Pharmacy Morriston Road (5), Well Pharmacy Aberavon (6), Allied Pharmacy Marsh Street (7), Boots The Chemist Aberavon (8), Well Pharmacy Station Road (9), Knights William and Wheeler Pharmacy (10), Knights Taibach Pharmacy (11), MW Phillips Chemist Cymmer (12), and MW Phillips Chemist Blaengwynfi (13). Black pin 1 marks Afan Valley Group Practice (Dispensing Practice) in Glyncorrwg, and black pin 2 marks Bryn Surgery (Dispensing Practice) in Bryn. Most pharmacies are clustered around Port Talbot, Aberavon, Sandfields, and Taibach near the coast, with additional locations in the upper Afan Valley at Cymmer and Blaengwynfi. Numbered arrows identify closely grouped pharmacies in central Port Talbot and Aberavon, while the numbered pins correspond to the locations listed in the leg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283219" name="Picture 1" descr="Map of the Port Talbot, Aberavon, Afan Valley, Cymmer, and Blaengwynfi areas showing the locations of 13 pharmacies and two dispensing practices. Green numbered pins indicate pharmacies, while black numbered pins indicate dispensing practices. The legend lists: Baglan Pharmacy (1), Sandfields Pharmacy (2), Allied Pharmacy Port Talbot Centre (3), AD Richards Pharmacy (4), Allied Pharmacy Morriston Road (5), Well Pharmacy Aberavon (6), Allied Pharmacy Marsh Street (7), Boots The Chemist Aberavon (8), Well Pharmacy Station Road (9), Knights William and Wheeler Pharmacy (10), Knights Taibach Pharmacy (11), MW Phillips Chemist Cymmer (12), and MW Phillips Chemist Blaengwynfi (13). Black pin 1 marks Afan Valley Group Practice (Dispensing Practice) in Glyncorrwg, and black pin 2 marks Bryn Surgery (Dispensing Practice) in Bryn. Most pharmacies are clustered around Port Talbot, Aberavon, Sandfields, and Taibach near the coast, with additional locations in the upper Afan Valley at Cymmer and Blaengwynfi. Numbered arrows identify closely grouped pharmacies in central Port Talbot and Aberavon, while the numbered pins correspond to the locations listed in the legend."/>
                    <pic:cNvPicPr/>
                  </pic:nvPicPr>
                  <pic:blipFill>
                    <a:blip r:embed="rId61"/>
                    <a:stretch>
                      <a:fillRect/>
                    </a:stretch>
                  </pic:blipFill>
                  <pic:spPr>
                    <a:xfrm>
                      <a:off x="0" y="0"/>
                      <a:ext cx="5731510" cy="3943985"/>
                    </a:xfrm>
                    <a:prstGeom prst="rect">
                      <a:avLst/>
                    </a:prstGeom>
                  </pic:spPr>
                </pic:pic>
              </a:graphicData>
            </a:graphic>
          </wp:inline>
        </w:drawing>
      </w:r>
    </w:p>
    <w:p w14:paraId="3F7ED0C8" w14:textId="77777777" w:rsidR="00AC7421" w:rsidRDefault="00AC7421" w:rsidP="00BD4BBA">
      <w:pPr>
        <w:rPr>
          <w:rFonts w:eastAsia="Aptos" w:cs="Arial"/>
        </w:rPr>
      </w:pPr>
    </w:p>
    <w:p w14:paraId="6D9DD504" w14:textId="52526F25" w:rsidR="00BB14FD" w:rsidRPr="00BB14FD" w:rsidRDefault="00BB14FD" w:rsidP="00BD4BBA">
      <w:pPr>
        <w:rPr>
          <w:rFonts w:eastAsia="Aptos" w:cs="Arial"/>
        </w:rPr>
      </w:pPr>
      <w:r w:rsidRPr="00BB14FD">
        <w:rPr>
          <w:rFonts w:eastAsia="Aptos" w:cs="Arial"/>
        </w:rPr>
        <w:t>The health board has noted the pharmaceutical needs assessment published on 1 October 2021 concluded that the pharmacies in this locality were mainly located in areas of greater population density. In addition, all residents were able to access a pharmacy within 20 minutes by car. Those areas that were not within a 20-minute drive of a pharmacy did not have a resident population. Noting the locations of the pharmacies have not changed, the health board is satisfied this conclusion remains valid; residents are still able to access a pharmacy by car within 20 minutes.</w:t>
      </w:r>
    </w:p>
    <w:p w14:paraId="5B01F7E2" w14:textId="77777777" w:rsidR="00BB14FD" w:rsidRPr="00BB14FD" w:rsidRDefault="00BB14FD" w:rsidP="00BD4BBA">
      <w:pPr>
        <w:rPr>
          <w:rFonts w:eastAsia="Aptos" w:cs="Arial"/>
        </w:rPr>
      </w:pPr>
    </w:p>
    <w:p w14:paraId="758F75A3" w14:textId="77777777" w:rsidR="00BB14FD" w:rsidRPr="00BB14FD" w:rsidRDefault="00BB14FD" w:rsidP="00BD4BBA">
      <w:pPr>
        <w:rPr>
          <w:rFonts w:eastAsia="Aptos" w:cs="Arial"/>
        </w:rPr>
      </w:pPr>
      <w:r w:rsidRPr="00BB14FD">
        <w:rPr>
          <w:rFonts w:eastAsia="Aptos" w:cs="Arial"/>
        </w:rPr>
        <w:t xml:space="preserve">Looking at the opening hours for the pharmacies: </w:t>
      </w:r>
    </w:p>
    <w:p w14:paraId="1BA0D492" w14:textId="77777777" w:rsidR="00BB14FD" w:rsidRPr="00BB14FD" w:rsidRDefault="00BB14FD" w:rsidP="00BD4BBA">
      <w:pPr>
        <w:rPr>
          <w:rFonts w:eastAsia="Aptos" w:cs="Arial"/>
        </w:rPr>
      </w:pPr>
    </w:p>
    <w:p w14:paraId="04079D50" w14:textId="77777777" w:rsidR="00BB14FD" w:rsidRPr="00BB14FD" w:rsidRDefault="00BB14FD" w:rsidP="00B76905">
      <w:pPr>
        <w:numPr>
          <w:ilvl w:val="0"/>
          <w:numId w:val="185"/>
        </w:numPr>
        <w:contextualSpacing/>
        <w:rPr>
          <w:rFonts w:eastAsia="Aptos" w:cs="Arial"/>
        </w:rPr>
      </w:pPr>
      <w:r w:rsidRPr="00BB14FD">
        <w:rPr>
          <w:rFonts w:eastAsia="Aptos" w:cs="Arial"/>
        </w:rPr>
        <w:t>One pharmacy is open seven days a week,</w:t>
      </w:r>
    </w:p>
    <w:p w14:paraId="332AC959" w14:textId="77777777" w:rsidR="00BB14FD" w:rsidRPr="00BB14FD" w:rsidRDefault="00BB14FD" w:rsidP="00B76905">
      <w:pPr>
        <w:numPr>
          <w:ilvl w:val="0"/>
          <w:numId w:val="185"/>
        </w:numPr>
        <w:contextualSpacing/>
        <w:rPr>
          <w:rFonts w:eastAsia="Aptos" w:cs="Arial"/>
        </w:rPr>
      </w:pPr>
      <w:r w:rsidRPr="00BB14FD">
        <w:rPr>
          <w:rFonts w:eastAsia="Aptos" w:cs="Arial"/>
        </w:rPr>
        <w:t>One pharmacy is open Monday to Saturday,</w:t>
      </w:r>
    </w:p>
    <w:p w14:paraId="0B7B3985" w14:textId="77777777" w:rsidR="00BB14FD" w:rsidRPr="00BB14FD" w:rsidRDefault="00BB14FD" w:rsidP="00B76905">
      <w:pPr>
        <w:numPr>
          <w:ilvl w:val="0"/>
          <w:numId w:val="185"/>
        </w:numPr>
        <w:contextualSpacing/>
        <w:rPr>
          <w:rFonts w:eastAsia="Aptos" w:cs="Arial"/>
        </w:rPr>
      </w:pPr>
      <w:r w:rsidRPr="00BB14FD">
        <w:rPr>
          <w:rFonts w:eastAsia="Aptos" w:cs="Arial"/>
        </w:rPr>
        <w:t>Five pharmacies open Monday to Friday and Saturday morning, and</w:t>
      </w:r>
    </w:p>
    <w:p w14:paraId="115A6329" w14:textId="77777777" w:rsidR="00BB14FD" w:rsidRPr="00BB14FD" w:rsidRDefault="00BB14FD" w:rsidP="00B76905">
      <w:pPr>
        <w:numPr>
          <w:ilvl w:val="0"/>
          <w:numId w:val="185"/>
        </w:numPr>
        <w:contextualSpacing/>
        <w:rPr>
          <w:rFonts w:eastAsia="Aptos" w:cs="Arial"/>
        </w:rPr>
      </w:pPr>
      <w:r w:rsidRPr="00BB14FD">
        <w:rPr>
          <w:rFonts w:eastAsia="Aptos" w:cs="Arial"/>
        </w:rPr>
        <w:t>Six pharmacies open Monday to Friday only.</w:t>
      </w:r>
    </w:p>
    <w:p w14:paraId="539AC614" w14:textId="77777777" w:rsidR="00BB14FD" w:rsidRPr="00BB14FD" w:rsidRDefault="00BB14FD" w:rsidP="00BD4BBA">
      <w:pPr>
        <w:rPr>
          <w:rFonts w:eastAsia="Times New Roman" w:cs="Arial"/>
          <w:kern w:val="0"/>
          <w:lang w:eastAsia="en-GB"/>
          <w14:ligatures w14:val="none"/>
        </w:rPr>
      </w:pPr>
    </w:p>
    <w:p w14:paraId="73ADD138" w14:textId="77777777" w:rsidR="00BB14FD" w:rsidRPr="00BB14FD" w:rsidRDefault="00BB14FD" w:rsidP="00BD4BBA">
      <w:pPr>
        <w:rPr>
          <w:rFonts w:eastAsia="Aptos" w:cs="Arial"/>
        </w:rPr>
      </w:pPr>
      <w:r w:rsidRPr="00BB14FD">
        <w:rPr>
          <w:rFonts w:eastAsia="Times New Roman" w:cs="Arial"/>
          <w:kern w:val="0"/>
          <w:lang w:eastAsia="en-GB"/>
          <w14:ligatures w14:val="none"/>
        </w:rPr>
        <w:lastRenderedPageBreak/>
        <w:t xml:space="preserve">Within the locality when looking at the total pharmacy opening hours, the range of opening and closing hours are shown in the table below. </w:t>
      </w:r>
      <w:r w:rsidRPr="00BB14FD">
        <w:rPr>
          <w:rFonts w:eastAsia="Aptos" w:cs="Arial"/>
        </w:rPr>
        <w:t>For the purposes of the pharmaceutical needs assessment, normal working hours have been defined as Monday to Friday 9.00am to 5.30pm.</w:t>
      </w:r>
    </w:p>
    <w:p w14:paraId="6E403705" w14:textId="77777777" w:rsidR="00BB14FD" w:rsidRPr="00BB14FD" w:rsidRDefault="00BB14FD" w:rsidP="00BD4BBA">
      <w:pPr>
        <w:rPr>
          <w:rFonts w:eastAsia="Aptos" w:cs="Arial"/>
        </w:rPr>
      </w:pPr>
    </w:p>
    <w:p w14:paraId="308BA764"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 xml:space="preserve">Table 13.7: Pharmacy opening and closing hours </w:t>
      </w:r>
    </w:p>
    <w:p w14:paraId="78A16272" w14:textId="77777777" w:rsidR="00BB14FD" w:rsidRPr="00BB14FD" w:rsidRDefault="00BB14FD" w:rsidP="00BD4BBA">
      <w:pPr>
        <w:rPr>
          <w:rFonts w:eastAsia="Times New Roman" w:cs="Arial"/>
          <w:kern w:val="0"/>
          <w:lang w:eastAsia="en-GB"/>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3463"/>
        <w:gridCol w:w="3006"/>
      </w:tblGrid>
      <w:tr w:rsidR="00BB14FD" w:rsidRPr="00D0306F" w14:paraId="3C6E2284" w14:textId="77777777" w:rsidTr="00BB14FD">
        <w:tc>
          <w:tcPr>
            <w:tcW w:w="2547" w:type="dxa"/>
            <w:tcBorders>
              <w:top w:val="single" w:sz="4" w:space="0" w:color="auto"/>
              <w:left w:val="single" w:sz="4" w:space="0" w:color="auto"/>
              <w:bottom w:val="single" w:sz="4" w:space="0" w:color="auto"/>
              <w:right w:val="single" w:sz="4" w:space="0" w:color="auto"/>
            </w:tcBorders>
            <w:shd w:val="clear" w:color="auto" w:fill="153D63"/>
            <w:hideMark/>
          </w:tcPr>
          <w:p w14:paraId="624A9551"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Days</w:t>
            </w:r>
          </w:p>
        </w:tc>
        <w:tc>
          <w:tcPr>
            <w:tcW w:w="3463" w:type="dxa"/>
            <w:tcBorders>
              <w:top w:val="single" w:sz="4" w:space="0" w:color="auto"/>
              <w:left w:val="single" w:sz="4" w:space="0" w:color="auto"/>
              <w:bottom w:val="single" w:sz="4" w:space="0" w:color="auto"/>
              <w:right w:val="single" w:sz="4" w:space="0" w:color="auto"/>
            </w:tcBorders>
            <w:shd w:val="clear" w:color="auto" w:fill="153D63"/>
            <w:hideMark/>
          </w:tcPr>
          <w:p w14:paraId="624F1F76"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Opening hours range</w:t>
            </w:r>
          </w:p>
        </w:tc>
        <w:tc>
          <w:tcPr>
            <w:tcW w:w="3006" w:type="dxa"/>
            <w:tcBorders>
              <w:top w:val="single" w:sz="4" w:space="0" w:color="auto"/>
              <w:left w:val="single" w:sz="4" w:space="0" w:color="auto"/>
              <w:bottom w:val="single" w:sz="4" w:space="0" w:color="auto"/>
              <w:right w:val="single" w:sz="4" w:space="0" w:color="auto"/>
            </w:tcBorders>
            <w:shd w:val="clear" w:color="auto" w:fill="153D63"/>
            <w:hideMark/>
          </w:tcPr>
          <w:p w14:paraId="1076E64F"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Closing hours range</w:t>
            </w:r>
          </w:p>
        </w:tc>
      </w:tr>
      <w:tr w:rsidR="00BB14FD" w:rsidRPr="00BB14FD" w14:paraId="28C43F82" w14:textId="77777777" w:rsidTr="00BB14FD">
        <w:tc>
          <w:tcPr>
            <w:tcW w:w="2547" w:type="dxa"/>
            <w:tcBorders>
              <w:top w:val="single" w:sz="4" w:space="0" w:color="auto"/>
              <w:left w:val="single" w:sz="4" w:space="0" w:color="auto"/>
              <w:bottom w:val="single" w:sz="4" w:space="0" w:color="auto"/>
              <w:right w:val="single" w:sz="4" w:space="0" w:color="auto"/>
            </w:tcBorders>
            <w:hideMark/>
          </w:tcPr>
          <w:p w14:paraId="682EF62C"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Monday, Tuesday, Wednesday and Friday</w:t>
            </w:r>
          </w:p>
        </w:tc>
        <w:tc>
          <w:tcPr>
            <w:tcW w:w="3463" w:type="dxa"/>
            <w:tcBorders>
              <w:top w:val="single" w:sz="4" w:space="0" w:color="auto"/>
              <w:left w:val="single" w:sz="4" w:space="0" w:color="auto"/>
              <w:bottom w:val="single" w:sz="4" w:space="0" w:color="auto"/>
              <w:right w:val="single" w:sz="4" w:space="0" w:color="auto"/>
            </w:tcBorders>
            <w:hideMark/>
          </w:tcPr>
          <w:p w14:paraId="6CA6D61D"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8.30am to 09.00am</w:t>
            </w:r>
          </w:p>
        </w:tc>
        <w:tc>
          <w:tcPr>
            <w:tcW w:w="3006" w:type="dxa"/>
            <w:tcBorders>
              <w:top w:val="single" w:sz="4" w:space="0" w:color="auto"/>
              <w:left w:val="single" w:sz="4" w:space="0" w:color="auto"/>
              <w:bottom w:val="single" w:sz="4" w:space="0" w:color="auto"/>
              <w:right w:val="single" w:sz="4" w:space="0" w:color="auto"/>
            </w:tcBorders>
            <w:hideMark/>
          </w:tcPr>
          <w:p w14:paraId="57711876"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5.00pm to 7.00pm</w:t>
            </w:r>
          </w:p>
        </w:tc>
      </w:tr>
      <w:tr w:rsidR="00BB14FD" w:rsidRPr="00BB14FD" w14:paraId="5DA87F90" w14:textId="77777777" w:rsidTr="00BB14FD">
        <w:tc>
          <w:tcPr>
            <w:tcW w:w="2547" w:type="dxa"/>
            <w:tcBorders>
              <w:top w:val="single" w:sz="4" w:space="0" w:color="auto"/>
              <w:left w:val="single" w:sz="4" w:space="0" w:color="auto"/>
              <w:bottom w:val="single" w:sz="4" w:space="0" w:color="auto"/>
              <w:right w:val="single" w:sz="4" w:space="0" w:color="auto"/>
            </w:tcBorders>
            <w:hideMark/>
          </w:tcPr>
          <w:p w14:paraId="0BC53380"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Thursday</w:t>
            </w:r>
          </w:p>
        </w:tc>
        <w:tc>
          <w:tcPr>
            <w:tcW w:w="3463" w:type="dxa"/>
            <w:tcBorders>
              <w:top w:val="single" w:sz="4" w:space="0" w:color="auto"/>
              <w:left w:val="single" w:sz="4" w:space="0" w:color="auto"/>
              <w:bottom w:val="single" w:sz="4" w:space="0" w:color="auto"/>
              <w:right w:val="single" w:sz="4" w:space="0" w:color="auto"/>
            </w:tcBorders>
            <w:hideMark/>
          </w:tcPr>
          <w:p w14:paraId="27555DBD"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8.30am to 9.00am</w:t>
            </w:r>
          </w:p>
        </w:tc>
        <w:tc>
          <w:tcPr>
            <w:tcW w:w="3006" w:type="dxa"/>
            <w:tcBorders>
              <w:top w:val="single" w:sz="4" w:space="0" w:color="auto"/>
              <w:left w:val="single" w:sz="4" w:space="0" w:color="auto"/>
              <w:bottom w:val="single" w:sz="4" w:space="0" w:color="auto"/>
              <w:right w:val="single" w:sz="4" w:space="0" w:color="auto"/>
            </w:tcBorders>
            <w:hideMark/>
          </w:tcPr>
          <w:p w14:paraId="10F9E3E5"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4.00pm to 7.00pm</w:t>
            </w:r>
          </w:p>
        </w:tc>
      </w:tr>
      <w:tr w:rsidR="00BB14FD" w:rsidRPr="00BB14FD" w14:paraId="0C2ED17F" w14:textId="77777777" w:rsidTr="00BB14FD">
        <w:tc>
          <w:tcPr>
            <w:tcW w:w="2547" w:type="dxa"/>
            <w:tcBorders>
              <w:top w:val="single" w:sz="4" w:space="0" w:color="auto"/>
              <w:left w:val="single" w:sz="4" w:space="0" w:color="auto"/>
              <w:bottom w:val="single" w:sz="4" w:space="0" w:color="auto"/>
              <w:right w:val="single" w:sz="4" w:space="0" w:color="auto"/>
            </w:tcBorders>
            <w:hideMark/>
          </w:tcPr>
          <w:p w14:paraId="24329A12"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Saturday</w:t>
            </w:r>
          </w:p>
        </w:tc>
        <w:tc>
          <w:tcPr>
            <w:tcW w:w="3463" w:type="dxa"/>
            <w:tcBorders>
              <w:top w:val="single" w:sz="4" w:space="0" w:color="auto"/>
              <w:left w:val="single" w:sz="4" w:space="0" w:color="auto"/>
              <w:bottom w:val="single" w:sz="4" w:space="0" w:color="auto"/>
              <w:right w:val="single" w:sz="4" w:space="0" w:color="auto"/>
            </w:tcBorders>
            <w:hideMark/>
          </w:tcPr>
          <w:p w14:paraId="444D6773"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09.00am to 09.30am</w:t>
            </w:r>
          </w:p>
        </w:tc>
        <w:tc>
          <w:tcPr>
            <w:tcW w:w="3006" w:type="dxa"/>
            <w:tcBorders>
              <w:top w:val="single" w:sz="4" w:space="0" w:color="auto"/>
              <w:left w:val="single" w:sz="4" w:space="0" w:color="auto"/>
              <w:bottom w:val="single" w:sz="4" w:space="0" w:color="auto"/>
              <w:right w:val="single" w:sz="4" w:space="0" w:color="auto"/>
            </w:tcBorders>
            <w:hideMark/>
          </w:tcPr>
          <w:p w14:paraId="6886887B"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11.30am to 5.30pm</w:t>
            </w:r>
          </w:p>
        </w:tc>
      </w:tr>
    </w:tbl>
    <w:p w14:paraId="7B279D72" w14:textId="77777777" w:rsidR="00BB14FD" w:rsidRPr="00BB14FD" w:rsidRDefault="00BB14FD" w:rsidP="00BD4BBA">
      <w:pPr>
        <w:rPr>
          <w:rFonts w:eastAsia="Times New Roman" w:cs="Arial"/>
          <w:kern w:val="0"/>
          <w:lang w:eastAsia="en-GB"/>
          <w14:ligatures w14:val="none"/>
        </w:rPr>
      </w:pPr>
    </w:p>
    <w:p w14:paraId="39D013FA" w14:textId="77777777" w:rsidR="00BB14FD" w:rsidRPr="00BB14FD" w:rsidRDefault="00BB14FD" w:rsidP="00B76905">
      <w:pPr>
        <w:numPr>
          <w:ilvl w:val="0"/>
          <w:numId w:val="186"/>
        </w:numPr>
        <w:contextualSpacing/>
        <w:rPr>
          <w:rFonts w:eastAsia="Times New Roman" w:cs="Arial"/>
          <w:kern w:val="0"/>
          <w:lang w:eastAsia="en-GB"/>
          <w14:ligatures w14:val="none"/>
        </w:rPr>
      </w:pPr>
      <w:r w:rsidRPr="00BB14FD">
        <w:rPr>
          <w:rFonts w:eastAsia="Times New Roman" w:cs="Arial"/>
          <w:kern w:val="0"/>
          <w:lang w:eastAsia="en-GB"/>
          <w14:ligatures w14:val="none"/>
        </w:rPr>
        <w:t>One pharmacy opens at 8.30am Monday to Friday</w:t>
      </w:r>
    </w:p>
    <w:p w14:paraId="7E9B3782" w14:textId="77777777" w:rsidR="00BB14FD" w:rsidRPr="00BB14FD" w:rsidRDefault="00BB14FD" w:rsidP="00B76905">
      <w:pPr>
        <w:numPr>
          <w:ilvl w:val="0"/>
          <w:numId w:val="186"/>
        </w:numPr>
        <w:contextualSpacing/>
        <w:rPr>
          <w:rFonts w:eastAsia="Times New Roman" w:cs="Arial"/>
          <w:kern w:val="0"/>
          <w:lang w:eastAsia="en-GB"/>
          <w14:ligatures w14:val="none"/>
        </w:rPr>
      </w:pPr>
      <w:r w:rsidRPr="00BB14FD">
        <w:rPr>
          <w:rFonts w:eastAsia="Times New Roman" w:cs="Arial"/>
          <w:kern w:val="0"/>
          <w:lang w:eastAsia="en-GB"/>
          <w14:ligatures w14:val="none"/>
        </w:rPr>
        <w:t>One pharmacy closes at 5.00pm Monday, Wednesday and Thursday</w:t>
      </w:r>
    </w:p>
    <w:p w14:paraId="23AD6054" w14:textId="77777777" w:rsidR="00BB14FD" w:rsidRPr="00BB14FD" w:rsidRDefault="00BB14FD" w:rsidP="00B76905">
      <w:pPr>
        <w:numPr>
          <w:ilvl w:val="0"/>
          <w:numId w:val="186"/>
        </w:numPr>
        <w:contextualSpacing/>
        <w:rPr>
          <w:rFonts w:eastAsia="Times New Roman" w:cs="Arial"/>
          <w:kern w:val="0"/>
          <w:lang w:eastAsia="en-GB"/>
          <w14:ligatures w14:val="none"/>
        </w:rPr>
      </w:pPr>
      <w:r w:rsidRPr="00BB14FD">
        <w:rPr>
          <w:rFonts w:eastAsia="Times New Roman" w:cs="Arial"/>
          <w:kern w:val="0"/>
          <w:lang w:eastAsia="en-GB"/>
          <w14:ligatures w14:val="none"/>
        </w:rPr>
        <w:t>Two pharmacies close at 5.00pm Tuesday and Friday</w:t>
      </w:r>
    </w:p>
    <w:p w14:paraId="4D5531C9" w14:textId="77777777" w:rsidR="00BB14FD" w:rsidRPr="00BB14FD" w:rsidRDefault="00BB14FD" w:rsidP="00B76905">
      <w:pPr>
        <w:numPr>
          <w:ilvl w:val="0"/>
          <w:numId w:val="186"/>
        </w:numPr>
        <w:contextualSpacing/>
        <w:rPr>
          <w:rFonts w:eastAsia="Times New Roman" w:cs="Arial"/>
          <w:kern w:val="0"/>
          <w:lang w:eastAsia="en-GB"/>
          <w14:ligatures w14:val="none"/>
        </w:rPr>
      </w:pPr>
      <w:r w:rsidRPr="00BB14FD">
        <w:rPr>
          <w:rFonts w:eastAsia="Times New Roman" w:cs="Arial"/>
          <w:kern w:val="0"/>
          <w:lang w:eastAsia="en-GB"/>
          <w14:ligatures w14:val="none"/>
        </w:rPr>
        <w:t>Four pharmacies close at 5.30pm Monday, Tuesday, Thursday and Friday</w:t>
      </w:r>
    </w:p>
    <w:p w14:paraId="5863B97F" w14:textId="77777777" w:rsidR="00BB14FD" w:rsidRPr="00BB14FD" w:rsidRDefault="00BB14FD" w:rsidP="00B76905">
      <w:pPr>
        <w:numPr>
          <w:ilvl w:val="0"/>
          <w:numId w:val="186"/>
        </w:numPr>
        <w:contextualSpacing/>
        <w:rPr>
          <w:rFonts w:eastAsia="Times New Roman" w:cs="Arial"/>
          <w:kern w:val="0"/>
          <w:lang w:eastAsia="en-GB"/>
          <w14:ligatures w14:val="none"/>
        </w:rPr>
      </w:pPr>
      <w:r w:rsidRPr="00BB14FD">
        <w:rPr>
          <w:rFonts w:eastAsia="Times New Roman" w:cs="Arial"/>
          <w:kern w:val="0"/>
          <w:lang w:eastAsia="en-GB"/>
          <w14:ligatures w14:val="none"/>
        </w:rPr>
        <w:t>Five pharmacies close at 5.30pm on a Wednesday</w:t>
      </w:r>
    </w:p>
    <w:p w14:paraId="04D00FF0" w14:textId="77777777" w:rsidR="00BB14FD" w:rsidRPr="00BB14FD" w:rsidRDefault="00BB14FD" w:rsidP="00B76905">
      <w:pPr>
        <w:numPr>
          <w:ilvl w:val="0"/>
          <w:numId w:val="186"/>
        </w:numPr>
        <w:contextualSpacing/>
        <w:rPr>
          <w:rFonts w:eastAsia="Times New Roman" w:cs="Arial"/>
          <w:kern w:val="0"/>
          <w:lang w:eastAsia="en-GB"/>
          <w14:ligatures w14:val="none"/>
        </w:rPr>
      </w:pPr>
      <w:r w:rsidRPr="00BB14FD">
        <w:rPr>
          <w:rFonts w:eastAsia="Times New Roman" w:cs="Arial"/>
          <w:kern w:val="0"/>
          <w:lang w:eastAsia="en-GB"/>
          <w14:ligatures w14:val="none"/>
        </w:rPr>
        <w:t xml:space="preserve">Seven pharmacies close at 6.00pm Monday and Thursday </w:t>
      </w:r>
    </w:p>
    <w:p w14:paraId="3D0012A6" w14:textId="77777777" w:rsidR="00BB14FD" w:rsidRPr="00BB14FD" w:rsidRDefault="00BB14FD" w:rsidP="00B76905">
      <w:pPr>
        <w:numPr>
          <w:ilvl w:val="0"/>
          <w:numId w:val="186"/>
        </w:numPr>
        <w:contextualSpacing/>
        <w:rPr>
          <w:rFonts w:eastAsia="Times New Roman" w:cs="Arial"/>
          <w:kern w:val="0"/>
          <w:lang w:eastAsia="en-GB"/>
          <w14:ligatures w14:val="none"/>
        </w:rPr>
      </w:pPr>
      <w:r w:rsidRPr="00BB14FD">
        <w:rPr>
          <w:rFonts w:eastAsia="Times New Roman" w:cs="Arial"/>
          <w:kern w:val="0"/>
          <w:lang w:eastAsia="en-GB"/>
          <w14:ligatures w14:val="none"/>
        </w:rPr>
        <w:t>Six pharmacies close at 6.00pm Tuesday, Wednesday and Friday</w:t>
      </w:r>
    </w:p>
    <w:p w14:paraId="46D84771" w14:textId="77777777" w:rsidR="00BB14FD" w:rsidRPr="00BB14FD" w:rsidRDefault="00BB14FD" w:rsidP="00B76905">
      <w:pPr>
        <w:numPr>
          <w:ilvl w:val="0"/>
          <w:numId w:val="186"/>
        </w:numPr>
        <w:contextualSpacing/>
        <w:rPr>
          <w:rFonts w:eastAsia="Times New Roman" w:cs="Arial"/>
          <w:kern w:val="0"/>
          <w:lang w:eastAsia="en-GB"/>
          <w14:ligatures w14:val="none"/>
        </w:rPr>
      </w:pPr>
      <w:r w:rsidRPr="00BB14FD">
        <w:rPr>
          <w:rFonts w:eastAsia="Times New Roman" w:cs="Arial"/>
          <w:kern w:val="0"/>
          <w:lang w:eastAsia="en-GB"/>
          <w14:ligatures w14:val="none"/>
        </w:rPr>
        <w:t>One pharmacy closes at 7.00pm Monday to Friday</w:t>
      </w:r>
    </w:p>
    <w:p w14:paraId="72398B6C" w14:textId="77777777" w:rsidR="00BB14FD" w:rsidRPr="00BB14FD" w:rsidRDefault="00BB14FD" w:rsidP="00B76905">
      <w:pPr>
        <w:numPr>
          <w:ilvl w:val="0"/>
          <w:numId w:val="186"/>
        </w:numPr>
        <w:contextualSpacing/>
        <w:rPr>
          <w:rFonts w:eastAsia="Times New Roman" w:cs="Arial"/>
          <w:kern w:val="0"/>
          <w:lang w:eastAsia="en-GB"/>
          <w14:ligatures w14:val="none"/>
        </w:rPr>
      </w:pPr>
      <w:r w:rsidRPr="00BB14FD">
        <w:rPr>
          <w:rFonts w:eastAsia="Times New Roman" w:cs="Arial"/>
          <w:kern w:val="0"/>
          <w:lang w:eastAsia="en-GB"/>
          <w14:ligatures w14:val="none"/>
        </w:rPr>
        <w:t xml:space="preserve">One pharmacy closes at 5.00pm on a Saturday </w:t>
      </w:r>
    </w:p>
    <w:p w14:paraId="24A6921E" w14:textId="77777777" w:rsidR="00BB14FD" w:rsidRPr="00BB14FD" w:rsidRDefault="00BB14FD" w:rsidP="00B76905">
      <w:pPr>
        <w:numPr>
          <w:ilvl w:val="0"/>
          <w:numId w:val="186"/>
        </w:numPr>
        <w:contextualSpacing/>
        <w:rPr>
          <w:rFonts w:eastAsia="Times New Roman" w:cs="Arial"/>
          <w:kern w:val="0"/>
          <w:lang w:eastAsia="en-GB"/>
          <w14:ligatures w14:val="none"/>
        </w:rPr>
      </w:pPr>
      <w:r w:rsidRPr="00BB14FD">
        <w:rPr>
          <w:rFonts w:eastAsia="Times New Roman" w:cs="Arial"/>
          <w:kern w:val="0"/>
          <w:lang w:eastAsia="en-GB"/>
          <w14:ligatures w14:val="none"/>
        </w:rPr>
        <w:t xml:space="preserve">One pharmacy closes at 5.30pm on a Saturday </w:t>
      </w:r>
    </w:p>
    <w:p w14:paraId="25404152" w14:textId="77777777" w:rsidR="00BB14FD" w:rsidRPr="00BB14FD" w:rsidRDefault="00BB14FD" w:rsidP="00BD4BBA">
      <w:pPr>
        <w:rPr>
          <w:rFonts w:eastAsia="Times New Roman" w:cs="Arial"/>
          <w:kern w:val="0"/>
          <w:lang w:eastAsia="en-GB"/>
          <w14:ligatures w14:val="none"/>
        </w:rPr>
      </w:pPr>
    </w:p>
    <w:p w14:paraId="2D16B803"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Some pharmacies across the health board’s area are commissioned to open at certain times of the day, on top of their usual core and supplementary opening hours. For this locality one pharmacy (location: Port Talbot) is commissioned to be open on a Sunday between 11.00am and 2.00pm and 5.00pm to 10.00pm.</w:t>
      </w:r>
    </w:p>
    <w:p w14:paraId="5B9E2108" w14:textId="77777777" w:rsidR="00BB14FD" w:rsidRPr="00BB14FD" w:rsidRDefault="00BB14FD" w:rsidP="00BD4BBA">
      <w:pPr>
        <w:rPr>
          <w:rFonts w:eastAsia="Times New Roman" w:cs="Arial"/>
          <w:kern w:val="0"/>
          <w:lang w:eastAsia="en-GB"/>
          <w14:ligatures w14:val="none"/>
        </w:rPr>
      </w:pPr>
    </w:p>
    <w:p w14:paraId="5C6616DB" w14:textId="77777777" w:rsidR="00BB14FD" w:rsidRPr="00BB14FD" w:rsidRDefault="00BB14FD" w:rsidP="00BD4BBA">
      <w:pPr>
        <w:rPr>
          <w:rFonts w:eastAsia="Aptos" w:cs="Arial"/>
        </w:rPr>
      </w:pPr>
      <w:r w:rsidRPr="00BB14FD">
        <w:rPr>
          <w:rFonts w:eastAsia="Aptos" w:cs="Arial"/>
        </w:rPr>
        <w:t>Full details of pharmacy opening times can be found in Appendix L.</w:t>
      </w:r>
    </w:p>
    <w:p w14:paraId="5387BF6D" w14:textId="77777777" w:rsidR="00BB14FD" w:rsidRPr="00BB14FD" w:rsidRDefault="00BB14FD" w:rsidP="00BD4BBA">
      <w:pPr>
        <w:rPr>
          <w:rFonts w:eastAsia="Aptos" w:cs="Arial"/>
        </w:rPr>
      </w:pPr>
    </w:p>
    <w:p w14:paraId="19C799B5" w14:textId="77777777" w:rsidR="00BB14FD" w:rsidRPr="00BB14FD" w:rsidRDefault="00BB14FD" w:rsidP="00BD4BBA">
      <w:pPr>
        <w:contextualSpacing/>
        <w:rPr>
          <w:rFonts w:eastAsia="Times New Roman" w:cs="Arial"/>
          <w:kern w:val="0"/>
          <w:lang w:eastAsia="en-GB"/>
          <w14:ligatures w14:val="none"/>
        </w:rPr>
      </w:pPr>
      <w:r w:rsidRPr="00BB14FD">
        <w:rPr>
          <w:rFonts w:eastAsia="Times New Roman" w:cs="Arial"/>
          <w:kern w:val="0"/>
          <w:lang w:eastAsia="en-GB"/>
          <w14:ligatures w14:val="none"/>
        </w:rPr>
        <w:t>The following information was taken from responses to the pharmacy contractor questionnaire to which 11 pharmacies responded.</w:t>
      </w:r>
    </w:p>
    <w:p w14:paraId="196077D1" w14:textId="77777777" w:rsidR="00BB14FD" w:rsidRPr="00BB14FD" w:rsidRDefault="00BB14FD" w:rsidP="00BD4BBA">
      <w:pPr>
        <w:contextualSpacing/>
        <w:rPr>
          <w:rFonts w:eastAsia="Times New Roman" w:cs="Arial"/>
          <w:kern w:val="0"/>
          <w:lang w:eastAsia="en-GB"/>
          <w14:ligatures w14:val="none"/>
        </w:rPr>
      </w:pPr>
    </w:p>
    <w:p w14:paraId="24E15635" w14:textId="77777777" w:rsidR="00BB14FD" w:rsidRPr="00BB14FD" w:rsidRDefault="00BB14FD" w:rsidP="00BD4BBA">
      <w:pPr>
        <w:textAlignment w:val="baseline"/>
        <w:rPr>
          <w:rFonts w:eastAsia="Times New Roman" w:cs="Arial"/>
          <w:kern w:val="0"/>
          <w:lang w:eastAsia="en-GB"/>
          <w14:ligatures w14:val="none"/>
        </w:rPr>
      </w:pPr>
      <w:r w:rsidRPr="00BB14FD">
        <w:rPr>
          <w:rFonts w:eastAsia="Times New Roman" w:cs="Arial"/>
          <w:kern w:val="0"/>
          <w:lang w:eastAsia="en-GB"/>
          <w14:ligatures w14:val="none"/>
        </w:rPr>
        <w:t>Nine of the pharmacies are accessible by wheelchair and eight have a consultation area that is accessible by wheelchair. All the consultation areas are: </w:t>
      </w:r>
    </w:p>
    <w:p w14:paraId="73B4FB74" w14:textId="77777777" w:rsidR="00BB14FD" w:rsidRPr="00BB14FD" w:rsidRDefault="00BB14FD" w:rsidP="00BD4BBA">
      <w:pPr>
        <w:textAlignment w:val="baseline"/>
        <w:rPr>
          <w:rFonts w:eastAsia="Times New Roman" w:cs="Arial"/>
          <w:kern w:val="0"/>
          <w:lang w:eastAsia="en-GB"/>
          <w14:ligatures w14:val="none"/>
        </w:rPr>
      </w:pPr>
      <w:r w:rsidRPr="00BB14FD">
        <w:rPr>
          <w:rFonts w:eastAsia="Times New Roman" w:cs="Arial"/>
          <w:kern w:val="0"/>
          <w:lang w:eastAsia="en-GB"/>
          <w14:ligatures w14:val="none"/>
        </w:rPr>
        <w:t> </w:t>
      </w:r>
    </w:p>
    <w:p w14:paraId="011F86EF" w14:textId="77777777" w:rsidR="00BB14FD" w:rsidRPr="00BB14FD" w:rsidRDefault="00BB14FD" w:rsidP="00B76905">
      <w:pPr>
        <w:numPr>
          <w:ilvl w:val="0"/>
          <w:numId w:val="146"/>
        </w:numPr>
        <w:textAlignment w:val="baseline"/>
        <w:rPr>
          <w:rFonts w:eastAsia="Times New Roman" w:cs="Arial"/>
          <w:kern w:val="0"/>
          <w:lang w:eastAsia="en-GB"/>
          <w14:ligatures w14:val="none"/>
        </w:rPr>
      </w:pPr>
      <w:r w:rsidRPr="00BB14FD">
        <w:rPr>
          <w:rFonts w:eastAsia="Times New Roman" w:cs="Arial"/>
          <w:kern w:val="0"/>
          <w:lang w:eastAsia="en-GB"/>
          <w14:ligatures w14:val="none"/>
        </w:rPr>
        <w:t>closed rooms, </w:t>
      </w:r>
    </w:p>
    <w:p w14:paraId="3188209E" w14:textId="77777777" w:rsidR="00BB14FD" w:rsidRPr="00BB14FD" w:rsidRDefault="00BB14FD" w:rsidP="00B76905">
      <w:pPr>
        <w:numPr>
          <w:ilvl w:val="0"/>
          <w:numId w:val="146"/>
        </w:numPr>
        <w:textAlignment w:val="baseline"/>
        <w:rPr>
          <w:rFonts w:eastAsia="Times New Roman" w:cs="Arial"/>
          <w:kern w:val="0"/>
          <w:lang w:eastAsia="en-GB"/>
          <w14:ligatures w14:val="none"/>
        </w:rPr>
      </w:pPr>
      <w:r w:rsidRPr="00BB14FD">
        <w:rPr>
          <w:rFonts w:eastAsia="Times New Roman" w:cs="Arial"/>
          <w:kern w:val="0"/>
          <w:lang w:eastAsia="en-GB"/>
          <w14:ligatures w14:val="none"/>
        </w:rPr>
        <w:t xml:space="preserve">a designated area where the patient and pharmacist can sit down together and talk at normal volumes without being overheard, and </w:t>
      </w:r>
    </w:p>
    <w:p w14:paraId="4E58242B" w14:textId="77777777" w:rsidR="00BB14FD" w:rsidRPr="00BB14FD" w:rsidRDefault="00BB14FD" w:rsidP="00B76905">
      <w:pPr>
        <w:numPr>
          <w:ilvl w:val="0"/>
          <w:numId w:val="146"/>
        </w:numPr>
        <w:textAlignment w:val="baseline"/>
        <w:rPr>
          <w:rFonts w:eastAsia="Times New Roman" w:cs="Arial"/>
          <w:kern w:val="0"/>
          <w:lang w:eastAsia="en-GB"/>
          <w14:ligatures w14:val="none"/>
        </w:rPr>
      </w:pPr>
      <w:r w:rsidRPr="00BB14FD">
        <w:rPr>
          <w:rFonts w:eastAsia="Times New Roman" w:cs="Arial"/>
          <w:kern w:val="0"/>
          <w:lang w:eastAsia="en-GB"/>
          <w14:ligatures w14:val="none"/>
        </w:rPr>
        <w:t>clearly designated as an area for confidential consultations distinct from the general public areas of the pharmacy. </w:t>
      </w:r>
    </w:p>
    <w:p w14:paraId="267051A3" w14:textId="77777777" w:rsidR="00BB14FD" w:rsidRPr="00BB14FD" w:rsidRDefault="00BB14FD" w:rsidP="00BD4BBA">
      <w:pPr>
        <w:textAlignment w:val="baseline"/>
        <w:rPr>
          <w:rFonts w:eastAsia="Times New Roman" w:cs="Arial"/>
          <w:kern w:val="0"/>
          <w:lang w:eastAsia="en-GB"/>
          <w14:ligatures w14:val="none"/>
        </w:rPr>
      </w:pPr>
    </w:p>
    <w:p w14:paraId="3DF8AB70" w14:textId="77777777" w:rsidR="00BB14FD" w:rsidRPr="00BB14FD" w:rsidRDefault="00BB14FD" w:rsidP="00BD4BBA">
      <w:pPr>
        <w:textAlignment w:val="baseline"/>
        <w:rPr>
          <w:rFonts w:ascii="Times New Roman" w:eastAsia="Times New Roman" w:hAnsi="Times New Roman" w:cs="Times New Roman"/>
          <w:kern w:val="0"/>
          <w:lang w:eastAsia="en-GB"/>
          <w14:ligatures w14:val="none"/>
        </w:rPr>
      </w:pPr>
      <w:r w:rsidRPr="00BB14FD">
        <w:rPr>
          <w:rFonts w:eastAsia="Times New Roman" w:cs="Arial"/>
          <w:kern w:val="0"/>
          <w:lang w:eastAsia="en-GB"/>
          <w14:ligatures w14:val="none"/>
        </w:rPr>
        <w:t>Four pharmacies confirmed they have Welsh speakers in their staff. Three pharmacies said they have staff that speak other languages.</w:t>
      </w:r>
    </w:p>
    <w:p w14:paraId="07D5BDA2" w14:textId="77777777" w:rsidR="00BB14FD" w:rsidRPr="00BB14FD" w:rsidRDefault="00BB14FD" w:rsidP="00BD4BBA">
      <w:pPr>
        <w:textAlignment w:val="baseline"/>
        <w:rPr>
          <w:rFonts w:eastAsia="Times New Roman" w:cs="Arial"/>
          <w:kern w:val="0"/>
          <w:lang w:eastAsia="en-GB"/>
          <w14:ligatures w14:val="none"/>
        </w:rPr>
      </w:pPr>
    </w:p>
    <w:p w14:paraId="2DD8B071" w14:textId="77777777" w:rsidR="00BB14FD" w:rsidRPr="00BB14FD" w:rsidRDefault="00BB14FD" w:rsidP="00B76905">
      <w:pPr>
        <w:numPr>
          <w:ilvl w:val="0"/>
          <w:numId w:val="187"/>
        </w:numPr>
        <w:textAlignment w:val="baseline"/>
        <w:rPr>
          <w:rFonts w:eastAsia="Times New Roman" w:cs="Arial"/>
          <w:kern w:val="0"/>
          <w:lang w:eastAsia="en-GB"/>
          <w14:ligatures w14:val="none"/>
        </w:rPr>
      </w:pPr>
      <w:r w:rsidRPr="00BB14FD">
        <w:rPr>
          <w:rFonts w:eastAsia="Times New Roman" w:cs="Arial"/>
          <w:kern w:val="0"/>
          <w:lang w:eastAsia="en-GB"/>
          <w14:ligatures w14:val="none"/>
        </w:rPr>
        <w:t>Urdu (two pharmacies)</w:t>
      </w:r>
    </w:p>
    <w:p w14:paraId="6CF5A88E" w14:textId="77777777" w:rsidR="00BB14FD" w:rsidRPr="00BB14FD" w:rsidRDefault="00BB14FD" w:rsidP="00B76905">
      <w:pPr>
        <w:numPr>
          <w:ilvl w:val="0"/>
          <w:numId w:val="187"/>
        </w:numPr>
        <w:textAlignment w:val="baseline"/>
        <w:rPr>
          <w:rFonts w:eastAsia="Times New Roman" w:cs="Arial"/>
          <w:kern w:val="0"/>
          <w:lang w:eastAsia="en-GB"/>
          <w14:ligatures w14:val="none"/>
        </w:rPr>
      </w:pPr>
      <w:r w:rsidRPr="00BB14FD">
        <w:rPr>
          <w:rFonts w:eastAsia="Times New Roman" w:cs="Arial"/>
          <w:kern w:val="0"/>
          <w:lang w:eastAsia="en-GB"/>
          <w14:ligatures w14:val="none"/>
        </w:rPr>
        <w:t>Hindi</w:t>
      </w:r>
    </w:p>
    <w:p w14:paraId="275030B2" w14:textId="77777777" w:rsidR="00BB14FD" w:rsidRPr="00BB14FD" w:rsidRDefault="00BB14FD" w:rsidP="00B76905">
      <w:pPr>
        <w:numPr>
          <w:ilvl w:val="0"/>
          <w:numId w:val="187"/>
        </w:numPr>
        <w:textAlignment w:val="baseline"/>
        <w:rPr>
          <w:rFonts w:eastAsia="Times New Roman" w:cs="Arial"/>
          <w:kern w:val="0"/>
          <w:lang w:eastAsia="en-GB"/>
          <w14:ligatures w14:val="none"/>
        </w:rPr>
      </w:pPr>
      <w:r w:rsidRPr="00BB14FD">
        <w:rPr>
          <w:rFonts w:eastAsia="Times New Roman" w:cs="Arial"/>
          <w:kern w:val="0"/>
          <w:lang w:eastAsia="en-GB"/>
          <w14:ligatures w14:val="none"/>
        </w:rPr>
        <w:lastRenderedPageBreak/>
        <w:t>Kurdish</w:t>
      </w:r>
    </w:p>
    <w:p w14:paraId="4A68DFB9" w14:textId="77777777" w:rsidR="00BB14FD" w:rsidRPr="00BB14FD" w:rsidRDefault="00BB14FD" w:rsidP="00B76905">
      <w:pPr>
        <w:numPr>
          <w:ilvl w:val="0"/>
          <w:numId w:val="187"/>
        </w:numPr>
        <w:textAlignment w:val="baseline"/>
        <w:rPr>
          <w:rFonts w:eastAsia="Times New Roman" w:cs="Arial"/>
          <w:kern w:val="0"/>
          <w:lang w:eastAsia="en-GB"/>
          <w14:ligatures w14:val="none"/>
        </w:rPr>
      </w:pPr>
      <w:r w:rsidRPr="00BB14FD">
        <w:rPr>
          <w:rFonts w:eastAsia="Times New Roman" w:cs="Arial"/>
          <w:kern w:val="0"/>
          <w:lang w:eastAsia="en-GB"/>
          <w14:ligatures w14:val="none"/>
        </w:rPr>
        <w:t>Punjabi</w:t>
      </w:r>
    </w:p>
    <w:p w14:paraId="345BABDA" w14:textId="77777777" w:rsidR="00BB14FD" w:rsidRPr="00BB14FD" w:rsidRDefault="00BB14FD" w:rsidP="00B76905">
      <w:pPr>
        <w:numPr>
          <w:ilvl w:val="0"/>
          <w:numId w:val="187"/>
        </w:numPr>
        <w:textAlignment w:val="baseline"/>
        <w:rPr>
          <w:rFonts w:eastAsia="Times New Roman" w:cs="Arial"/>
          <w:kern w:val="0"/>
          <w:lang w:eastAsia="en-GB"/>
          <w14:ligatures w14:val="none"/>
        </w:rPr>
      </w:pPr>
      <w:r w:rsidRPr="00BB14FD">
        <w:rPr>
          <w:rFonts w:eastAsia="Times New Roman" w:cs="Arial"/>
          <w:kern w:val="0"/>
          <w:lang w:eastAsia="en-GB"/>
          <w14:ligatures w14:val="none"/>
        </w:rPr>
        <w:t>Spanish</w:t>
      </w:r>
    </w:p>
    <w:p w14:paraId="3BDC9666" w14:textId="77777777" w:rsidR="00BB14FD" w:rsidRPr="00BB14FD" w:rsidRDefault="00BB14FD" w:rsidP="00BD4BBA">
      <w:pPr>
        <w:textAlignment w:val="baseline"/>
        <w:rPr>
          <w:rFonts w:ascii="Times New Roman" w:eastAsia="Times New Roman" w:hAnsi="Times New Roman" w:cs="Times New Roman"/>
          <w:kern w:val="0"/>
          <w:lang w:eastAsia="en-GB"/>
          <w14:ligatures w14:val="none"/>
        </w:rPr>
      </w:pPr>
    </w:p>
    <w:p w14:paraId="1882967B" w14:textId="77777777" w:rsidR="00BB14FD" w:rsidRPr="00BB14FD" w:rsidRDefault="00BB14FD" w:rsidP="00BD4BBA">
      <w:pPr>
        <w:textAlignment w:val="baseline"/>
        <w:rPr>
          <w:rFonts w:ascii="Times New Roman" w:eastAsia="Times New Roman" w:hAnsi="Times New Roman" w:cs="Times New Roman"/>
          <w:kern w:val="0"/>
          <w:lang w:eastAsia="en-GB"/>
          <w14:ligatures w14:val="none"/>
        </w:rPr>
      </w:pPr>
      <w:r w:rsidRPr="00BB14FD">
        <w:rPr>
          <w:rFonts w:eastAsia="Times New Roman" w:cs="Arial"/>
          <w:kern w:val="0"/>
          <w:lang w:eastAsia="en-GB"/>
          <w14:ligatures w14:val="none"/>
        </w:rPr>
        <w:t>Eight of the pharmacies dispense prescriptions for all types of appliances, and three do not dispense appliances.</w:t>
      </w:r>
    </w:p>
    <w:p w14:paraId="64D3B4D6" w14:textId="77777777" w:rsidR="00BB14FD" w:rsidRPr="00BB14FD" w:rsidRDefault="00BB14FD" w:rsidP="00BD4BBA">
      <w:pPr>
        <w:textAlignment w:val="baseline"/>
        <w:rPr>
          <w:rFonts w:eastAsia="Times New Roman" w:cs="Arial"/>
          <w:kern w:val="0"/>
          <w:lang w:eastAsia="en-GB"/>
          <w14:ligatures w14:val="none"/>
        </w:rPr>
      </w:pPr>
    </w:p>
    <w:p w14:paraId="28CD72E0" w14:textId="77777777" w:rsidR="00BB14FD" w:rsidRPr="00BB14FD" w:rsidRDefault="00BB14FD" w:rsidP="00BD4BBA">
      <w:pPr>
        <w:textAlignment w:val="baseline"/>
        <w:rPr>
          <w:rFonts w:eastAsia="Times New Roman" w:cs="Arial"/>
          <w:kern w:val="0"/>
          <w:lang w:eastAsia="en-GB"/>
          <w14:ligatures w14:val="none"/>
        </w:rPr>
      </w:pPr>
      <w:r w:rsidRPr="00BB14FD">
        <w:rPr>
          <w:rFonts w:eastAsia="Times New Roman" w:cs="Arial"/>
          <w:kern w:val="0"/>
          <w:lang w:eastAsia="en-GB"/>
          <w14:ligatures w14:val="none"/>
        </w:rPr>
        <w:t>Although non-commissioned services:</w:t>
      </w:r>
    </w:p>
    <w:p w14:paraId="6CBCBBE3" w14:textId="77777777" w:rsidR="00BB14FD" w:rsidRPr="00BB14FD" w:rsidRDefault="00BB14FD" w:rsidP="00BD4BBA">
      <w:pPr>
        <w:textAlignment w:val="baseline"/>
        <w:rPr>
          <w:rFonts w:eastAsia="Times New Roman" w:cs="Arial"/>
          <w:kern w:val="0"/>
          <w:lang w:eastAsia="en-GB"/>
          <w14:ligatures w14:val="none"/>
        </w:rPr>
      </w:pPr>
    </w:p>
    <w:p w14:paraId="1F80DC5E" w14:textId="77777777" w:rsidR="00BB14FD" w:rsidRPr="00BB14FD" w:rsidRDefault="00BB14FD" w:rsidP="00B76905">
      <w:pPr>
        <w:numPr>
          <w:ilvl w:val="0"/>
          <w:numId w:val="147"/>
        </w:numPr>
        <w:textAlignment w:val="baseline"/>
        <w:rPr>
          <w:rFonts w:ascii="Times New Roman" w:eastAsia="Times New Roman" w:hAnsi="Times New Roman" w:cs="Times New Roman"/>
          <w:kern w:val="0"/>
          <w:lang w:eastAsia="en-GB"/>
          <w14:ligatures w14:val="none"/>
        </w:rPr>
      </w:pPr>
      <w:r w:rsidRPr="00BB14FD">
        <w:rPr>
          <w:rFonts w:eastAsia="Times New Roman" w:cs="Arial"/>
          <w:kern w:val="0"/>
          <w:lang w:eastAsia="en-GB"/>
          <w14:ligatures w14:val="none"/>
        </w:rPr>
        <w:t>eight pharmacies collect prescriptions from GP practices</w:t>
      </w:r>
    </w:p>
    <w:p w14:paraId="2D92C104" w14:textId="77777777" w:rsidR="00BB14FD" w:rsidRPr="00BB14FD" w:rsidRDefault="00BB14FD" w:rsidP="00B76905">
      <w:pPr>
        <w:numPr>
          <w:ilvl w:val="0"/>
          <w:numId w:val="147"/>
        </w:numPr>
        <w:textAlignment w:val="baseline"/>
        <w:rPr>
          <w:rFonts w:ascii="Times New Roman" w:eastAsia="Times New Roman" w:hAnsi="Times New Roman" w:cs="Times New Roman"/>
          <w:kern w:val="0"/>
          <w:lang w:eastAsia="en-GB"/>
          <w14:ligatures w14:val="none"/>
        </w:rPr>
      </w:pPr>
      <w:r w:rsidRPr="00BB14FD">
        <w:rPr>
          <w:rFonts w:eastAsia="Times New Roman" w:cs="Arial"/>
          <w:kern w:val="0"/>
          <w:lang w:eastAsia="en-GB"/>
          <w14:ligatures w14:val="none"/>
        </w:rPr>
        <w:t>ten provide a free of charge delivery service on request, three to specific patient groups and two to specific areas,</w:t>
      </w:r>
    </w:p>
    <w:p w14:paraId="72037923" w14:textId="77777777" w:rsidR="00BB14FD" w:rsidRPr="00BB14FD" w:rsidRDefault="00BB14FD" w:rsidP="00B76905">
      <w:pPr>
        <w:numPr>
          <w:ilvl w:val="0"/>
          <w:numId w:val="147"/>
        </w:numPr>
        <w:textAlignment w:val="baseline"/>
        <w:rPr>
          <w:rFonts w:eastAsia="Times New Roman" w:cs="Arial"/>
          <w:kern w:val="0"/>
          <w:lang w:eastAsia="en-GB"/>
          <w14:ligatures w14:val="none"/>
        </w:rPr>
      </w:pPr>
      <w:r w:rsidRPr="00BB14FD">
        <w:rPr>
          <w:rFonts w:eastAsia="Times New Roman" w:cs="Arial"/>
          <w:kern w:val="0"/>
          <w:lang w:eastAsia="en-GB"/>
          <w14:ligatures w14:val="none"/>
        </w:rPr>
        <w:t>two provide a delivery service for a fee, and</w:t>
      </w:r>
    </w:p>
    <w:p w14:paraId="0A4B26E2" w14:textId="77777777" w:rsidR="00BB14FD" w:rsidRPr="00BB14FD" w:rsidRDefault="00BB14FD" w:rsidP="00B76905">
      <w:pPr>
        <w:numPr>
          <w:ilvl w:val="0"/>
          <w:numId w:val="147"/>
        </w:numPr>
        <w:textAlignment w:val="baseline"/>
        <w:rPr>
          <w:rFonts w:ascii="Times New Roman" w:eastAsia="Times New Roman" w:hAnsi="Times New Roman" w:cs="Times New Roman"/>
          <w:kern w:val="0"/>
          <w:lang w:eastAsia="en-GB"/>
          <w14:ligatures w14:val="none"/>
        </w:rPr>
      </w:pPr>
      <w:r w:rsidRPr="00BB14FD">
        <w:rPr>
          <w:rFonts w:eastAsia="Times New Roman" w:cs="Arial"/>
          <w:kern w:val="0"/>
          <w:lang w:eastAsia="en-GB"/>
          <w14:ligatures w14:val="none"/>
        </w:rPr>
        <w:t>one has an automated collection point at its premises.</w:t>
      </w:r>
    </w:p>
    <w:p w14:paraId="001F66A0" w14:textId="77777777" w:rsidR="00BB14FD" w:rsidRPr="00BB14FD" w:rsidRDefault="00BB14FD" w:rsidP="00BD4BBA">
      <w:pPr>
        <w:textAlignment w:val="baseline"/>
        <w:rPr>
          <w:rFonts w:eastAsia="Times New Roman" w:cs="Arial"/>
          <w:kern w:val="0"/>
          <w:lang w:eastAsia="en-GB"/>
          <w14:ligatures w14:val="none"/>
        </w:rPr>
      </w:pPr>
    </w:p>
    <w:p w14:paraId="4FB0B648" w14:textId="77777777" w:rsidR="00BB14FD" w:rsidRPr="00BB14FD" w:rsidRDefault="00BB14FD" w:rsidP="00BD4BBA">
      <w:pPr>
        <w:rPr>
          <w:rFonts w:eastAsia="Aptos" w:cs="Arial"/>
        </w:rPr>
      </w:pPr>
      <w:r w:rsidRPr="00BB14FD">
        <w:rPr>
          <w:rFonts w:eastAsia="Aptos" w:cs="Arial"/>
        </w:rPr>
        <w:t>One pharmacy is of the opinion that there is a need for a blood pressure checking additional clinical service, and another for an independent prescribing service.</w:t>
      </w:r>
    </w:p>
    <w:p w14:paraId="494DBDCD" w14:textId="77777777" w:rsidR="00BB14FD" w:rsidRPr="00BB14FD" w:rsidRDefault="00BB14FD" w:rsidP="00BD4BBA">
      <w:pPr>
        <w:rPr>
          <w:rFonts w:eastAsia="Aptos" w:cs="Arial"/>
        </w:rPr>
      </w:pPr>
    </w:p>
    <w:p w14:paraId="46773AF0" w14:textId="77777777" w:rsidR="00BB14FD" w:rsidRPr="00BB14FD" w:rsidRDefault="00BB14FD" w:rsidP="00BD4BBA">
      <w:pPr>
        <w:rPr>
          <w:rFonts w:eastAsia="Aptos" w:cs="Arial"/>
        </w:rPr>
      </w:pPr>
      <w:r w:rsidRPr="00BB14FD">
        <w:rPr>
          <w:rFonts w:eastAsia="Aptos" w:cs="Arial"/>
        </w:rPr>
        <w:t>In relation to new services that are not currently available:</w:t>
      </w:r>
    </w:p>
    <w:p w14:paraId="671CDE61" w14:textId="77777777" w:rsidR="00BB14FD" w:rsidRPr="00BB14FD" w:rsidRDefault="00BB14FD" w:rsidP="00BD4BBA">
      <w:pPr>
        <w:rPr>
          <w:rFonts w:eastAsia="Aptos" w:cs="Arial"/>
        </w:rPr>
      </w:pPr>
    </w:p>
    <w:p w14:paraId="598C1D3B" w14:textId="77777777" w:rsidR="00BB14FD" w:rsidRPr="00BB14FD" w:rsidRDefault="00BB14FD" w:rsidP="00B76905">
      <w:pPr>
        <w:numPr>
          <w:ilvl w:val="0"/>
          <w:numId w:val="188"/>
        </w:numPr>
        <w:contextualSpacing/>
        <w:rPr>
          <w:rFonts w:eastAsia="Aptos" w:cs="Arial"/>
        </w:rPr>
      </w:pPr>
      <w:r w:rsidRPr="00BB14FD">
        <w:rPr>
          <w:rFonts w:eastAsia="Aptos" w:cs="Arial"/>
        </w:rPr>
        <w:t>one pharmacy said that ear wax removal is often requested,</w:t>
      </w:r>
    </w:p>
    <w:p w14:paraId="6F4A5325" w14:textId="77777777" w:rsidR="00BB14FD" w:rsidRPr="00BB14FD" w:rsidRDefault="00BB14FD" w:rsidP="00B76905">
      <w:pPr>
        <w:numPr>
          <w:ilvl w:val="0"/>
          <w:numId w:val="188"/>
        </w:numPr>
        <w:contextualSpacing/>
        <w:rPr>
          <w:rFonts w:eastAsia="Aptos" w:cs="Arial"/>
        </w:rPr>
      </w:pPr>
      <w:r w:rsidRPr="00BB14FD">
        <w:rPr>
          <w:rFonts w:eastAsia="Aptos" w:cs="Arial"/>
        </w:rPr>
        <w:t>Another said that there is a need for a hypertension service, more vaccination services, a weight management service, and a prescription delivery service for specific patient groups.</w:t>
      </w:r>
    </w:p>
    <w:p w14:paraId="1164B62B" w14:textId="77777777" w:rsidR="00BB14FD" w:rsidRPr="00BB14FD" w:rsidRDefault="00BB14FD" w:rsidP="00BD4BBA">
      <w:pPr>
        <w:rPr>
          <w:rFonts w:eastAsia="Aptos" w:cs="Arial"/>
        </w:rPr>
      </w:pPr>
    </w:p>
    <w:p w14:paraId="5FAD4FAF"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All 11 pharmacies have sufficient capacity within their premises to manage an increase in demand. Ten pharmacies have sufficient capacity within their staffing levels to manage an increase in demand, and one didn’t answer this question.</w:t>
      </w:r>
    </w:p>
    <w:p w14:paraId="16D6D208" w14:textId="77777777" w:rsidR="00BB14FD" w:rsidRPr="00BB14FD" w:rsidRDefault="00BB14FD" w:rsidP="00BD4BBA">
      <w:pPr>
        <w:rPr>
          <w:rFonts w:eastAsia="Times New Roman" w:cs="Arial"/>
          <w:kern w:val="0"/>
          <w:lang w:eastAsia="en-GB"/>
          <w14:ligatures w14:val="none"/>
        </w:rPr>
      </w:pPr>
    </w:p>
    <w:p w14:paraId="4A442E22"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Seven pharmacies have plans to develop or expand their premises or service provision.</w:t>
      </w:r>
    </w:p>
    <w:p w14:paraId="34AAB527" w14:textId="77777777" w:rsidR="00BB14FD" w:rsidRPr="00BB14FD" w:rsidRDefault="00BB14FD" w:rsidP="00BD4BBA">
      <w:pPr>
        <w:rPr>
          <w:rFonts w:eastAsia="Times New Roman" w:cs="Arial"/>
          <w:kern w:val="0"/>
          <w:lang w:eastAsia="en-GB"/>
          <w14:ligatures w14:val="none"/>
        </w:rPr>
      </w:pPr>
    </w:p>
    <w:p w14:paraId="13F47B1A" w14:textId="77777777" w:rsidR="00BB14FD" w:rsidRPr="00BB14FD" w:rsidRDefault="00BB14FD" w:rsidP="00B76905">
      <w:pPr>
        <w:numPr>
          <w:ilvl w:val="0"/>
          <w:numId w:val="148"/>
        </w:numPr>
        <w:contextualSpacing/>
        <w:rPr>
          <w:rFonts w:eastAsia="Times New Roman" w:cs="Arial"/>
          <w:kern w:val="0"/>
          <w:lang w:eastAsia="en-GB"/>
          <w14:ligatures w14:val="none"/>
        </w:rPr>
      </w:pPr>
      <w:r w:rsidRPr="00BB14FD">
        <w:rPr>
          <w:rFonts w:eastAsia="Times New Roman" w:cs="Arial"/>
          <w:kern w:val="0"/>
          <w:lang w:eastAsia="en-GB"/>
          <w14:ligatures w14:val="none"/>
        </w:rPr>
        <w:t>One plans to increase the number of consultation rooms, update technology, train additional technicians, and provide a wider range of services.</w:t>
      </w:r>
    </w:p>
    <w:p w14:paraId="2523576F" w14:textId="77777777" w:rsidR="00BB14FD" w:rsidRPr="00BB14FD" w:rsidRDefault="00BB14FD" w:rsidP="00B76905">
      <w:pPr>
        <w:numPr>
          <w:ilvl w:val="0"/>
          <w:numId w:val="148"/>
        </w:numPr>
        <w:contextualSpacing/>
        <w:rPr>
          <w:rFonts w:eastAsia="Times New Roman" w:cs="Arial"/>
          <w:kern w:val="0"/>
          <w:lang w:eastAsia="en-GB"/>
          <w14:ligatures w14:val="none"/>
        </w:rPr>
      </w:pPr>
      <w:r w:rsidRPr="00BB14FD">
        <w:rPr>
          <w:rFonts w:eastAsia="Times New Roman" w:cs="Arial"/>
          <w:kern w:val="0"/>
          <w:lang w:eastAsia="en-GB"/>
          <w14:ligatures w14:val="none"/>
        </w:rPr>
        <w:t>Two pharmacies have pharmacists training to be independent prescribers.</w:t>
      </w:r>
    </w:p>
    <w:p w14:paraId="57DDFFA2" w14:textId="77777777" w:rsidR="00BB14FD" w:rsidRPr="00BB14FD" w:rsidRDefault="00BB14FD" w:rsidP="00B76905">
      <w:pPr>
        <w:numPr>
          <w:ilvl w:val="0"/>
          <w:numId w:val="148"/>
        </w:numPr>
        <w:contextualSpacing/>
        <w:rPr>
          <w:rFonts w:eastAsia="Times New Roman" w:cs="Arial"/>
          <w:kern w:val="0"/>
          <w:lang w:eastAsia="en-GB"/>
          <w14:ligatures w14:val="none"/>
        </w:rPr>
      </w:pPr>
      <w:r w:rsidRPr="00BB14FD">
        <w:rPr>
          <w:rFonts w:eastAsia="Times New Roman" w:cs="Arial"/>
          <w:kern w:val="0"/>
          <w:lang w:eastAsia="en-GB"/>
          <w14:ligatures w14:val="none"/>
        </w:rPr>
        <w:t>One pharmacy is considering providing the pharmacist independent prescribing service.</w:t>
      </w:r>
    </w:p>
    <w:p w14:paraId="7AA4E089" w14:textId="77777777" w:rsidR="00BB14FD" w:rsidRPr="00BB14FD" w:rsidRDefault="00BB14FD" w:rsidP="00B76905">
      <w:pPr>
        <w:numPr>
          <w:ilvl w:val="0"/>
          <w:numId w:val="148"/>
        </w:numPr>
        <w:contextualSpacing/>
        <w:rPr>
          <w:rFonts w:eastAsia="Times New Roman" w:cs="Arial"/>
          <w:kern w:val="0"/>
          <w:lang w:eastAsia="en-GB"/>
          <w14:ligatures w14:val="none"/>
        </w:rPr>
      </w:pPr>
      <w:r w:rsidRPr="00BB14FD">
        <w:rPr>
          <w:rFonts w:eastAsia="Times New Roman" w:cs="Arial"/>
          <w:kern w:val="0"/>
          <w:lang w:eastAsia="en-GB"/>
          <w14:ligatures w14:val="none"/>
        </w:rPr>
        <w:t>One pharmacy will continue to raise awareness of the services it provides to patients and is planning to install a new patient medication record system to free up pharmacist time.</w:t>
      </w:r>
    </w:p>
    <w:p w14:paraId="2246DD2F" w14:textId="77777777" w:rsidR="00BB14FD" w:rsidRPr="00BB14FD" w:rsidRDefault="00BB14FD" w:rsidP="00B76905">
      <w:pPr>
        <w:numPr>
          <w:ilvl w:val="0"/>
          <w:numId w:val="148"/>
        </w:numPr>
        <w:contextualSpacing/>
        <w:rPr>
          <w:rFonts w:eastAsia="Times New Roman" w:cs="Arial"/>
          <w:kern w:val="0"/>
          <w:lang w:eastAsia="en-GB"/>
          <w14:ligatures w14:val="none"/>
        </w:rPr>
      </w:pPr>
      <w:r w:rsidRPr="00BB14FD">
        <w:rPr>
          <w:rFonts w:eastAsia="Times New Roman" w:cs="Arial"/>
          <w:kern w:val="0"/>
          <w:lang w:eastAsia="en-GB"/>
          <w14:ligatures w14:val="none"/>
        </w:rPr>
        <w:t>One pharmacy has developed its systems, operational set-up, and staff skillset over the last year and has the right level of technicians to provide more services.</w:t>
      </w:r>
    </w:p>
    <w:p w14:paraId="13A01FD4" w14:textId="77777777" w:rsidR="00BB14FD" w:rsidRPr="00BB14FD" w:rsidRDefault="00BB14FD" w:rsidP="00B76905">
      <w:pPr>
        <w:numPr>
          <w:ilvl w:val="0"/>
          <w:numId w:val="148"/>
        </w:numPr>
        <w:contextualSpacing/>
        <w:rPr>
          <w:rFonts w:eastAsia="Times New Roman" w:cs="Arial"/>
          <w:kern w:val="0"/>
          <w:lang w:eastAsia="en-GB"/>
          <w14:ligatures w14:val="none"/>
        </w:rPr>
      </w:pPr>
      <w:r w:rsidRPr="00BB14FD">
        <w:rPr>
          <w:rFonts w:eastAsia="Times New Roman" w:cs="Arial"/>
          <w:kern w:val="0"/>
          <w:lang w:eastAsia="en-GB"/>
          <w14:ligatures w14:val="none"/>
        </w:rPr>
        <w:t>One pharmacy is introducing more private services – ear wax removal, travel vaccinations, and weight management.</w:t>
      </w:r>
    </w:p>
    <w:p w14:paraId="00F1D3FF" w14:textId="77777777" w:rsidR="00BB14FD" w:rsidRPr="00BB14FD" w:rsidRDefault="00BB14FD" w:rsidP="00BD4BBA">
      <w:pPr>
        <w:rPr>
          <w:rFonts w:eastAsia="Aptos" w:cs="Arial"/>
        </w:rPr>
      </w:pPr>
    </w:p>
    <w:p w14:paraId="585E9828" w14:textId="77777777" w:rsidR="00BB14FD" w:rsidRPr="00BB14FD" w:rsidRDefault="00BB14FD" w:rsidP="00BD4BBA">
      <w:pPr>
        <w:rPr>
          <w:rFonts w:eastAsia="Aptos" w:cs="Arial"/>
        </w:rPr>
      </w:pPr>
      <w:r w:rsidRPr="00BB14FD">
        <w:rPr>
          <w:rFonts w:eastAsia="Aptos" w:cs="Arial"/>
        </w:rPr>
        <w:t>One of the two dispensing practices responded to the dispensing doctor questionnaire and the following information is taken from that response.</w:t>
      </w:r>
    </w:p>
    <w:p w14:paraId="40000B0D" w14:textId="77777777" w:rsidR="00BB14FD" w:rsidRPr="00BB14FD" w:rsidRDefault="00BB14FD" w:rsidP="00BD4BBA">
      <w:pPr>
        <w:rPr>
          <w:rFonts w:eastAsia="Aptos" w:cs="Arial"/>
        </w:rPr>
      </w:pPr>
    </w:p>
    <w:p w14:paraId="5CB4D2D4" w14:textId="77777777" w:rsidR="00BB14FD" w:rsidRPr="00BB14FD" w:rsidRDefault="00BB14FD" w:rsidP="00B76905">
      <w:pPr>
        <w:numPr>
          <w:ilvl w:val="0"/>
          <w:numId w:val="150"/>
        </w:numPr>
        <w:contextualSpacing/>
        <w:rPr>
          <w:rFonts w:eastAsia="Aptos" w:cs="Arial"/>
        </w:rPr>
      </w:pPr>
      <w:r w:rsidRPr="00BB14FD">
        <w:rPr>
          <w:rFonts w:eastAsia="Aptos" w:cs="Arial"/>
        </w:rPr>
        <w:lastRenderedPageBreak/>
        <w:t>The dispensary is open 8.00am to 2.00pm Monday to Thursday, and 8.00 to 11.00am and 3.30pm to 6.30pm on Fridays.</w:t>
      </w:r>
    </w:p>
    <w:p w14:paraId="2008F871" w14:textId="77777777" w:rsidR="00BB14FD" w:rsidRPr="00BB14FD" w:rsidRDefault="00BB14FD" w:rsidP="00B76905">
      <w:pPr>
        <w:numPr>
          <w:ilvl w:val="0"/>
          <w:numId w:val="150"/>
        </w:numPr>
        <w:contextualSpacing/>
        <w:rPr>
          <w:rFonts w:eastAsia="Aptos" w:cs="Arial"/>
        </w:rPr>
      </w:pPr>
      <w:r w:rsidRPr="00BB14FD">
        <w:rPr>
          <w:rFonts w:eastAsia="Aptos" w:cs="Arial"/>
        </w:rPr>
        <w:t>The practice dispenses prescriptions for dressings only.</w:t>
      </w:r>
    </w:p>
    <w:p w14:paraId="132FD055" w14:textId="77777777" w:rsidR="00BB14FD" w:rsidRPr="00BB14FD" w:rsidRDefault="00BB14FD" w:rsidP="00B76905">
      <w:pPr>
        <w:numPr>
          <w:ilvl w:val="0"/>
          <w:numId w:val="150"/>
        </w:numPr>
        <w:contextualSpacing/>
        <w:rPr>
          <w:rFonts w:eastAsia="Aptos" w:cs="Arial"/>
        </w:rPr>
      </w:pPr>
      <w:r w:rsidRPr="00BB14FD">
        <w:rPr>
          <w:rFonts w:eastAsia="Aptos" w:cs="Arial"/>
        </w:rPr>
        <w:t>The practice provides a delivery service to housebound patients.</w:t>
      </w:r>
    </w:p>
    <w:p w14:paraId="2C581915" w14:textId="77777777" w:rsidR="00BB14FD" w:rsidRPr="00BB14FD" w:rsidRDefault="00BB14FD" w:rsidP="00B76905">
      <w:pPr>
        <w:numPr>
          <w:ilvl w:val="0"/>
          <w:numId w:val="150"/>
        </w:numPr>
        <w:contextualSpacing/>
        <w:rPr>
          <w:rFonts w:eastAsia="Aptos" w:cs="Arial"/>
        </w:rPr>
      </w:pPr>
      <w:r w:rsidRPr="00BB14FD">
        <w:rPr>
          <w:rFonts w:eastAsia="Aptos" w:cs="Arial"/>
        </w:rPr>
        <w:t>There are no Welsh speakers, and no languages other than English are spoken by staff,</w:t>
      </w:r>
    </w:p>
    <w:p w14:paraId="4AC70A0D" w14:textId="77777777" w:rsidR="00BB14FD" w:rsidRPr="00BB14FD" w:rsidRDefault="00BB14FD" w:rsidP="00B76905">
      <w:pPr>
        <w:numPr>
          <w:ilvl w:val="0"/>
          <w:numId w:val="150"/>
        </w:numPr>
        <w:contextualSpacing/>
        <w:rPr>
          <w:rFonts w:eastAsia="Aptos" w:cs="Arial"/>
        </w:rPr>
      </w:pPr>
      <w:r w:rsidRPr="00BB14FD">
        <w:rPr>
          <w:rFonts w:eastAsia="Aptos" w:cs="Arial"/>
        </w:rPr>
        <w:t>The practice has sufficient capacity within both its premises and staffing levels to manage an increase in the demand for the dispensing service.</w:t>
      </w:r>
    </w:p>
    <w:p w14:paraId="50D9833E" w14:textId="77777777" w:rsidR="00BB14FD" w:rsidRPr="00BB14FD" w:rsidRDefault="00BB14FD" w:rsidP="00B76905">
      <w:pPr>
        <w:numPr>
          <w:ilvl w:val="0"/>
          <w:numId w:val="150"/>
        </w:numPr>
        <w:contextualSpacing/>
        <w:rPr>
          <w:rFonts w:eastAsia="Aptos" w:cs="Arial"/>
        </w:rPr>
      </w:pPr>
      <w:r w:rsidRPr="00BB14FD">
        <w:rPr>
          <w:rFonts w:eastAsia="Aptos" w:cs="Arial"/>
        </w:rPr>
        <w:t>The practice has no plans to expand its premises, or its dispensary opening hours.</w:t>
      </w:r>
    </w:p>
    <w:p w14:paraId="438CB84A" w14:textId="77777777" w:rsidR="00BB14FD" w:rsidRPr="00BB14FD" w:rsidRDefault="00BB14FD" w:rsidP="00B76905">
      <w:pPr>
        <w:numPr>
          <w:ilvl w:val="0"/>
          <w:numId w:val="150"/>
        </w:numPr>
        <w:contextualSpacing/>
        <w:rPr>
          <w:rFonts w:eastAsia="Aptos" w:cs="Arial"/>
        </w:rPr>
      </w:pPr>
      <w:r w:rsidRPr="00BB14FD">
        <w:rPr>
          <w:rFonts w:eastAsia="Aptos" w:cs="Arial"/>
        </w:rPr>
        <w:t>As part of the dispensing service, the practice provides medication administration record charts, dosette boxes and a weekly collection service.</w:t>
      </w:r>
    </w:p>
    <w:p w14:paraId="0886D5C3" w14:textId="77777777" w:rsidR="00BB14FD" w:rsidRPr="00BB14FD" w:rsidRDefault="00BB14FD" w:rsidP="00BD4BBA">
      <w:pPr>
        <w:rPr>
          <w:rFonts w:eastAsia="Aptos" w:cs="Arial"/>
        </w:rPr>
      </w:pPr>
    </w:p>
    <w:p w14:paraId="37C35C61" w14:textId="77777777" w:rsidR="00BB14FD" w:rsidRPr="00BB14FD" w:rsidRDefault="00BB14FD" w:rsidP="00BD4BBA">
      <w:pPr>
        <w:rPr>
          <w:rFonts w:eastAsia="Aptos" w:cs="Arial"/>
        </w:rPr>
      </w:pPr>
      <w:r w:rsidRPr="00BB14FD">
        <w:rPr>
          <w:rFonts w:eastAsia="Aptos" w:cs="Arial"/>
        </w:rPr>
        <w:t>The opening hours of the other dispensary, as provided by Cwm Taf Morgannwg University Health Board, are 9.00am to 2.00pm Monday to Wednesday and Friday, and 12.00pm to 5.00pm on Thursdays.</w:t>
      </w:r>
    </w:p>
    <w:p w14:paraId="00858BFF" w14:textId="77777777" w:rsidR="00BD4BBA" w:rsidRPr="00BB14FD" w:rsidRDefault="00BD4BBA" w:rsidP="00BD4BBA">
      <w:pPr>
        <w:rPr>
          <w:rFonts w:eastAsia="Aptos" w:cs="Arial"/>
        </w:rPr>
      </w:pPr>
    </w:p>
    <w:p w14:paraId="27F9327F" w14:textId="77777777" w:rsidR="00BB14FD" w:rsidRPr="00BB14FD" w:rsidRDefault="00BB14FD" w:rsidP="00BD4BBA">
      <w:pPr>
        <w:contextualSpacing/>
        <w:rPr>
          <w:rFonts w:eastAsia="Times New Roman" w:cs="Arial"/>
          <w:b/>
          <w:bCs/>
          <w:kern w:val="0"/>
          <w:lang w:eastAsia="en-GB"/>
          <w14:ligatures w14:val="none"/>
        </w:rPr>
      </w:pPr>
      <w:r w:rsidRPr="00BB14FD">
        <w:rPr>
          <w:rFonts w:eastAsia="Times New Roman" w:cs="Arial"/>
          <w:b/>
          <w:bCs/>
          <w:kern w:val="0"/>
          <w:lang w:eastAsia="en-GB"/>
          <w14:ligatures w14:val="none"/>
        </w:rPr>
        <w:t>13.3.1 National community pharmacy and appliance contractor services</w:t>
      </w:r>
    </w:p>
    <w:p w14:paraId="1E12FEF1" w14:textId="77777777" w:rsidR="00BB14FD" w:rsidRPr="00BB14FD" w:rsidRDefault="00BB14FD" w:rsidP="00BD4BBA">
      <w:pPr>
        <w:rPr>
          <w:rFonts w:eastAsia="Times New Roman" w:cs="Arial"/>
          <w:kern w:val="0"/>
          <w:lang w:eastAsia="en-GB"/>
          <w14:ligatures w14:val="none"/>
        </w:rPr>
      </w:pPr>
    </w:p>
    <w:p w14:paraId="59CB1DFE"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13.3.1.1 Appliance use review service</w:t>
      </w:r>
    </w:p>
    <w:p w14:paraId="604A8D30" w14:textId="77777777" w:rsidR="00BB14FD" w:rsidRPr="00BB14FD" w:rsidRDefault="00BB14FD" w:rsidP="00BD4BBA">
      <w:pPr>
        <w:rPr>
          <w:rFonts w:eastAsia="Times New Roman" w:cs="Arial"/>
          <w:b/>
          <w:bCs/>
          <w:kern w:val="0"/>
          <w:lang w:eastAsia="en-GB"/>
          <w14:ligatures w14:val="none"/>
        </w:rPr>
      </w:pPr>
    </w:p>
    <w:p w14:paraId="27174434"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None of the pharmacies provide this service.</w:t>
      </w:r>
    </w:p>
    <w:p w14:paraId="42A04998" w14:textId="77777777" w:rsidR="00BB14FD" w:rsidRPr="00BB14FD" w:rsidRDefault="00BB14FD" w:rsidP="00BD4BBA">
      <w:pPr>
        <w:rPr>
          <w:rFonts w:eastAsia="Times New Roman" w:cs="Arial"/>
          <w:kern w:val="0"/>
          <w:lang w:eastAsia="en-GB"/>
          <w14:ligatures w14:val="none"/>
        </w:rPr>
      </w:pPr>
    </w:p>
    <w:p w14:paraId="1A3429BB"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13.3.1.2 Clinical community pharmacy service</w:t>
      </w:r>
    </w:p>
    <w:p w14:paraId="5E31B8C8" w14:textId="77777777" w:rsidR="00BB14FD" w:rsidRPr="00BB14FD" w:rsidRDefault="00BB14FD" w:rsidP="00BD4BBA">
      <w:pPr>
        <w:rPr>
          <w:rFonts w:eastAsia="Times New Roman" w:cs="Arial"/>
          <w:kern w:val="0"/>
          <w:lang w:eastAsia="en-GB"/>
          <w14:ligatures w14:val="none"/>
        </w:rPr>
      </w:pPr>
    </w:p>
    <w:p w14:paraId="348AC64B"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All the pharmacies have signed up and provide this service.</w:t>
      </w:r>
    </w:p>
    <w:p w14:paraId="4AE60BD4" w14:textId="77777777" w:rsidR="00BB14FD" w:rsidRPr="00BB14FD" w:rsidRDefault="00BB14FD" w:rsidP="00BD4BBA">
      <w:pPr>
        <w:rPr>
          <w:rFonts w:eastAsia="Times New Roman" w:cs="Arial"/>
          <w:kern w:val="0"/>
          <w:lang w:eastAsia="en-GB"/>
          <w14:ligatures w14:val="none"/>
        </w:rPr>
      </w:pPr>
    </w:p>
    <w:p w14:paraId="7660A306" w14:textId="77777777" w:rsidR="00BB14FD" w:rsidRPr="00BB14FD" w:rsidRDefault="00BB14FD" w:rsidP="00BD4BBA">
      <w:pPr>
        <w:contextualSpacing/>
        <w:rPr>
          <w:rFonts w:eastAsia="Times New Roman" w:cs="Arial"/>
          <w:kern w:val="0"/>
          <w:lang w:eastAsia="en-GB"/>
          <w14:ligatures w14:val="none"/>
        </w:rPr>
      </w:pPr>
      <w:r w:rsidRPr="00BB14FD">
        <w:rPr>
          <w:rFonts w:eastAsia="Times New Roman" w:cs="Arial"/>
          <w:kern w:val="0"/>
          <w:lang w:eastAsia="en-GB"/>
          <w14:ligatures w14:val="none"/>
        </w:rPr>
        <w:t>In 2024/25 the pharmacies provided:</w:t>
      </w:r>
    </w:p>
    <w:p w14:paraId="745B034E" w14:textId="77777777" w:rsidR="00BB14FD" w:rsidRPr="00BB14FD" w:rsidRDefault="00BB14FD" w:rsidP="00BD4BBA">
      <w:pPr>
        <w:contextualSpacing/>
        <w:rPr>
          <w:rFonts w:eastAsia="Times New Roman" w:cs="Arial"/>
          <w:kern w:val="0"/>
          <w:lang w:eastAsia="en-GB"/>
          <w14:ligatures w14:val="none"/>
        </w:rPr>
      </w:pPr>
    </w:p>
    <w:p w14:paraId="629AB75A" w14:textId="77777777" w:rsidR="00BB14FD" w:rsidRPr="00BB14FD" w:rsidRDefault="00BB14FD" w:rsidP="00B76905">
      <w:pPr>
        <w:numPr>
          <w:ilvl w:val="0"/>
          <w:numId w:val="149"/>
        </w:numPr>
        <w:contextualSpacing/>
        <w:rPr>
          <w:rFonts w:eastAsia="Times New Roman" w:cs="Arial"/>
          <w:kern w:val="0"/>
          <w:lang w:eastAsia="en-GB"/>
          <w14:ligatures w14:val="none"/>
        </w:rPr>
      </w:pPr>
      <w:r w:rsidRPr="00BB14FD">
        <w:rPr>
          <w:rFonts w:eastAsia="Times New Roman" w:cs="Arial"/>
          <w:kern w:val="0"/>
          <w:lang w:eastAsia="en-GB"/>
          <w14:ligatures w14:val="none"/>
        </w:rPr>
        <w:t>11,793 consultations for common ailment consultations (range at pharmacy level 136 to 5,203)</w:t>
      </w:r>
    </w:p>
    <w:p w14:paraId="6478E6D0" w14:textId="77777777" w:rsidR="00BB14FD" w:rsidRPr="00BB14FD" w:rsidRDefault="00BB14FD" w:rsidP="00B76905">
      <w:pPr>
        <w:numPr>
          <w:ilvl w:val="0"/>
          <w:numId w:val="149"/>
        </w:numPr>
        <w:contextualSpacing/>
        <w:rPr>
          <w:rFonts w:eastAsia="Times New Roman" w:cs="Arial"/>
          <w:kern w:val="0"/>
          <w:lang w:eastAsia="en-GB"/>
          <w14:ligatures w14:val="none"/>
        </w:rPr>
      </w:pPr>
      <w:r w:rsidRPr="00BB14FD">
        <w:rPr>
          <w:rFonts w:eastAsia="Times New Roman" w:cs="Arial"/>
          <w:kern w:val="0"/>
          <w:lang w:eastAsia="en-GB"/>
          <w14:ligatures w14:val="none"/>
        </w:rPr>
        <w:t>1,356 consultations for sore throat test and treat consultations (range at pharmacy level four to 818)</w:t>
      </w:r>
    </w:p>
    <w:p w14:paraId="0D3BA1B7" w14:textId="77777777" w:rsidR="00BB14FD" w:rsidRPr="00BB14FD" w:rsidRDefault="00BB14FD" w:rsidP="00B76905">
      <w:pPr>
        <w:numPr>
          <w:ilvl w:val="0"/>
          <w:numId w:val="149"/>
        </w:numPr>
        <w:contextualSpacing/>
        <w:rPr>
          <w:rFonts w:eastAsia="Times New Roman" w:cs="Arial"/>
          <w:kern w:val="0"/>
          <w:lang w:eastAsia="en-GB"/>
          <w14:ligatures w14:val="none"/>
        </w:rPr>
      </w:pPr>
      <w:r w:rsidRPr="00BB14FD">
        <w:rPr>
          <w:rFonts w:eastAsia="Times New Roman" w:cs="Arial"/>
          <w:kern w:val="0"/>
          <w:lang w:eastAsia="en-GB"/>
          <w14:ligatures w14:val="none"/>
        </w:rPr>
        <w:t>558 consultations for emergency contraception consultations (range at pharmacy level seven to 179)</w:t>
      </w:r>
    </w:p>
    <w:p w14:paraId="43B7AF63" w14:textId="77777777" w:rsidR="00BB14FD" w:rsidRPr="00BB14FD" w:rsidRDefault="00BB14FD" w:rsidP="00B76905">
      <w:pPr>
        <w:numPr>
          <w:ilvl w:val="0"/>
          <w:numId w:val="149"/>
        </w:numPr>
        <w:contextualSpacing/>
        <w:rPr>
          <w:rFonts w:eastAsia="Times New Roman" w:cs="Arial"/>
          <w:kern w:val="0"/>
          <w:lang w:eastAsia="en-GB"/>
          <w14:ligatures w14:val="none"/>
        </w:rPr>
      </w:pPr>
      <w:r w:rsidRPr="00BB14FD">
        <w:rPr>
          <w:rFonts w:eastAsia="Times New Roman" w:cs="Arial"/>
          <w:kern w:val="0"/>
          <w:lang w:eastAsia="en-GB"/>
          <w14:ligatures w14:val="none"/>
        </w:rPr>
        <w:t>2,035 emergency medicines supplies (range at pharmacy level seven to 746)</w:t>
      </w:r>
    </w:p>
    <w:p w14:paraId="78D054DC" w14:textId="77777777" w:rsidR="00BB14FD" w:rsidRPr="00BB14FD" w:rsidRDefault="00BB14FD" w:rsidP="00BD4BBA">
      <w:pPr>
        <w:contextualSpacing/>
        <w:rPr>
          <w:rFonts w:eastAsia="Times New Roman" w:cs="Arial"/>
          <w:kern w:val="0"/>
          <w:lang w:eastAsia="en-GB"/>
          <w14:ligatures w14:val="none"/>
        </w:rPr>
      </w:pPr>
    </w:p>
    <w:p w14:paraId="6B546B57" w14:textId="77777777" w:rsidR="00BB14FD" w:rsidRPr="00BB14FD" w:rsidRDefault="00BB14FD" w:rsidP="00BD4BBA">
      <w:pPr>
        <w:contextualSpacing/>
        <w:rPr>
          <w:rFonts w:eastAsia="Times New Roman" w:cs="Arial"/>
          <w:kern w:val="0"/>
          <w:lang w:eastAsia="en-GB"/>
          <w14:ligatures w14:val="none"/>
        </w:rPr>
      </w:pPr>
      <w:r w:rsidRPr="00BB14FD">
        <w:rPr>
          <w:rFonts w:eastAsia="Times New Roman" w:cs="Arial"/>
          <w:kern w:val="0"/>
          <w:lang w:eastAsia="en-GB"/>
          <w14:ligatures w14:val="none"/>
        </w:rPr>
        <w:t>In the first six months of 2025/26 the pharmacies provided:</w:t>
      </w:r>
    </w:p>
    <w:p w14:paraId="20A6C658" w14:textId="77777777" w:rsidR="00BB14FD" w:rsidRPr="00BB14FD" w:rsidRDefault="00BB14FD" w:rsidP="00BD4BBA">
      <w:pPr>
        <w:contextualSpacing/>
        <w:rPr>
          <w:rFonts w:eastAsia="Times New Roman" w:cs="Arial"/>
          <w:kern w:val="0"/>
          <w:lang w:eastAsia="en-GB"/>
          <w14:ligatures w14:val="none"/>
        </w:rPr>
      </w:pPr>
    </w:p>
    <w:p w14:paraId="3913DA70" w14:textId="77777777" w:rsidR="00BB14FD" w:rsidRPr="00BB14FD" w:rsidRDefault="00BB14FD" w:rsidP="00B76905">
      <w:pPr>
        <w:numPr>
          <w:ilvl w:val="0"/>
          <w:numId w:val="149"/>
        </w:numPr>
        <w:contextualSpacing/>
        <w:rPr>
          <w:rFonts w:eastAsia="Times New Roman" w:cs="Arial"/>
          <w:kern w:val="0"/>
          <w:lang w:eastAsia="en-GB"/>
          <w14:ligatures w14:val="none"/>
        </w:rPr>
      </w:pPr>
      <w:r w:rsidRPr="00BB14FD">
        <w:rPr>
          <w:rFonts w:eastAsia="Times New Roman" w:cs="Arial"/>
          <w:kern w:val="0"/>
          <w:lang w:eastAsia="en-GB"/>
          <w14:ligatures w14:val="none"/>
        </w:rPr>
        <w:t>7,058 consultations for common ailment consultations (range at pharmacy level 38 to 2,950)</w:t>
      </w:r>
    </w:p>
    <w:p w14:paraId="49AFC491" w14:textId="77777777" w:rsidR="00BB14FD" w:rsidRPr="00BB14FD" w:rsidRDefault="00BB14FD" w:rsidP="00B76905">
      <w:pPr>
        <w:numPr>
          <w:ilvl w:val="0"/>
          <w:numId w:val="149"/>
        </w:numPr>
        <w:contextualSpacing/>
        <w:rPr>
          <w:rFonts w:eastAsia="Times New Roman" w:cs="Arial"/>
          <w:kern w:val="0"/>
          <w:lang w:eastAsia="en-GB"/>
          <w14:ligatures w14:val="none"/>
        </w:rPr>
      </w:pPr>
      <w:r w:rsidRPr="00BB14FD">
        <w:rPr>
          <w:rFonts w:eastAsia="Times New Roman" w:cs="Arial"/>
          <w:kern w:val="0"/>
          <w:lang w:eastAsia="en-GB"/>
          <w14:ligatures w14:val="none"/>
        </w:rPr>
        <w:t>679 consultations for sore throat test and treat consultations (range at pharmacy level one to 401)</w:t>
      </w:r>
    </w:p>
    <w:p w14:paraId="7714CC42" w14:textId="77777777" w:rsidR="00BB14FD" w:rsidRPr="00BB14FD" w:rsidRDefault="00BB14FD" w:rsidP="00B76905">
      <w:pPr>
        <w:numPr>
          <w:ilvl w:val="0"/>
          <w:numId w:val="149"/>
        </w:numPr>
        <w:contextualSpacing/>
        <w:rPr>
          <w:rFonts w:eastAsia="Times New Roman" w:cs="Arial"/>
          <w:kern w:val="0"/>
          <w:lang w:eastAsia="en-GB"/>
          <w14:ligatures w14:val="none"/>
        </w:rPr>
      </w:pPr>
      <w:r w:rsidRPr="00BB14FD">
        <w:rPr>
          <w:rFonts w:eastAsia="Times New Roman" w:cs="Arial"/>
          <w:kern w:val="0"/>
          <w:lang w:eastAsia="en-GB"/>
          <w14:ligatures w14:val="none"/>
        </w:rPr>
        <w:t>265 consultations for emergency contraception consultations (range at pharmacy level five to 94)</w:t>
      </w:r>
    </w:p>
    <w:p w14:paraId="73ECFB28" w14:textId="77777777" w:rsidR="00BB14FD" w:rsidRPr="00BB14FD" w:rsidRDefault="00BB14FD" w:rsidP="00B76905">
      <w:pPr>
        <w:numPr>
          <w:ilvl w:val="0"/>
          <w:numId w:val="149"/>
        </w:numPr>
        <w:contextualSpacing/>
        <w:rPr>
          <w:rFonts w:eastAsia="Times New Roman" w:cs="Arial"/>
          <w:kern w:val="0"/>
          <w:lang w:eastAsia="en-GB"/>
          <w14:ligatures w14:val="none"/>
        </w:rPr>
      </w:pPr>
      <w:r w:rsidRPr="00BB14FD">
        <w:rPr>
          <w:rFonts w:eastAsia="Times New Roman" w:cs="Arial"/>
          <w:kern w:val="0"/>
          <w:lang w:eastAsia="en-GB"/>
          <w14:ligatures w14:val="none"/>
        </w:rPr>
        <w:t>929 emergency medicines supplies (range at pharmacy level one to 344)</w:t>
      </w:r>
    </w:p>
    <w:p w14:paraId="656C1F0C" w14:textId="77777777" w:rsidR="00BB14FD" w:rsidRDefault="00BB14FD" w:rsidP="00BD4BBA">
      <w:pPr>
        <w:rPr>
          <w:rFonts w:eastAsia="Times New Roman" w:cs="Arial"/>
          <w:kern w:val="0"/>
          <w:lang w:eastAsia="en-GB"/>
          <w14:ligatures w14:val="none"/>
        </w:rPr>
      </w:pPr>
    </w:p>
    <w:p w14:paraId="466DE250" w14:textId="77777777" w:rsidR="0006470A" w:rsidRDefault="0006470A" w:rsidP="00BD4BBA">
      <w:pPr>
        <w:rPr>
          <w:rFonts w:eastAsia="Times New Roman" w:cs="Arial"/>
          <w:kern w:val="0"/>
          <w:lang w:eastAsia="en-GB"/>
          <w14:ligatures w14:val="none"/>
        </w:rPr>
      </w:pPr>
    </w:p>
    <w:p w14:paraId="2C4AA8E7" w14:textId="77777777" w:rsidR="0006470A" w:rsidRPr="00BB14FD" w:rsidRDefault="0006470A" w:rsidP="00BD4BBA">
      <w:pPr>
        <w:rPr>
          <w:rFonts w:eastAsia="Times New Roman" w:cs="Arial"/>
          <w:kern w:val="0"/>
          <w:lang w:eastAsia="en-GB"/>
          <w14:ligatures w14:val="none"/>
        </w:rPr>
      </w:pPr>
    </w:p>
    <w:p w14:paraId="7FEFF063"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lastRenderedPageBreak/>
        <w:t xml:space="preserve">13.3.1.3 Discharge medicines review service </w:t>
      </w:r>
    </w:p>
    <w:p w14:paraId="32E60EC9" w14:textId="77777777" w:rsidR="00BB14FD" w:rsidRPr="00BB14FD" w:rsidRDefault="00BB14FD" w:rsidP="00BD4BBA">
      <w:pPr>
        <w:rPr>
          <w:rFonts w:eastAsia="Times New Roman" w:cs="Arial"/>
          <w:b/>
          <w:bCs/>
          <w:kern w:val="0"/>
          <w:lang w:eastAsia="en-GB"/>
          <w14:ligatures w14:val="none"/>
        </w:rPr>
      </w:pPr>
    </w:p>
    <w:p w14:paraId="3ED20292"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 xml:space="preserve">12 of the pharmacies have signed up to provide this service. </w:t>
      </w:r>
    </w:p>
    <w:p w14:paraId="19B974CE" w14:textId="77777777" w:rsidR="00BB14FD" w:rsidRPr="00BB14FD" w:rsidRDefault="00BB14FD" w:rsidP="00BD4BBA">
      <w:pPr>
        <w:rPr>
          <w:rFonts w:eastAsia="Times New Roman" w:cs="Arial"/>
          <w:kern w:val="0"/>
          <w:lang w:eastAsia="en-GB"/>
          <w14:ligatures w14:val="none"/>
        </w:rPr>
      </w:pPr>
    </w:p>
    <w:p w14:paraId="7AC2CD89"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 xml:space="preserve">10 pharmacies provided this service in 2024/25, providing a total of 377 reviews (range at pharmacy level four to 147). 11 pharmacies provided this service in the first ten months of 2025/26, providing a total of 401 reviews, (range at pharmacy level three to 79) </w:t>
      </w:r>
    </w:p>
    <w:p w14:paraId="1E5404A5" w14:textId="77777777" w:rsidR="00BB14FD" w:rsidRPr="00BB14FD" w:rsidRDefault="00BB14FD" w:rsidP="00BD4BBA">
      <w:pPr>
        <w:rPr>
          <w:rFonts w:eastAsia="Times New Roman" w:cs="Arial"/>
          <w:kern w:val="0"/>
          <w:lang w:eastAsia="en-GB"/>
          <w14:ligatures w14:val="none"/>
        </w:rPr>
      </w:pPr>
    </w:p>
    <w:p w14:paraId="1842FBCB"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13.3.1.4 Influenza vaccination service</w:t>
      </w:r>
    </w:p>
    <w:p w14:paraId="5CC26A05" w14:textId="77777777" w:rsidR="00BB14FD" w:rsidRPr="00BB14FD" w:rsidRDefault="00BB14FD" w:rsidP="00BD4BBA">
      <w:pPr>
        <w:rPr>
          <w:rFonts w:eastAsia="Times New Roman" w:cs="Arial"/>
          <w:kern w:val="0"/>
          <w:lang w:eastAsia="en-GB"/>
          <w14:ligatures w14:val="none"/>
        </w:rPr>
      </w:pPr>
    </w:p>
    <w:p w14:paraId="296A2267"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All the pharmacies have signed up to provide this service.</w:t>
      </w:r>
    </w:p>
    <w:p w14:paraId="67B68210" w14:textId="77777777" w:rsidR="00BB14FD" w:rsidRPr="00BB14FD" w:rsidRDefault="00BB14FD" w:rsidP="00BD4BBA">
      <w:pPr>
        <w:rPr>
          <w:rFonts w:eastAsia="Times New Roman" w:cs="Arial"/>
          <w:kern w:val="0"/>
          <w:lang w:eastAsia="en-GB"/>
          <w14:ligatures w14:val="none"/>
        </w:rPr>
      </w:pPr>
    </w:p>
    <w:p w14:paraId="5FA885F0"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 xml:space="preserve">All pharmacies provided this service in 2024/25, providing a total of 3,220 vaccinations (range at pharmacy level 14 to 945). All pharmacies provided this service in 2025/26, providing a total of 1,137 vaccinations (range at pharmacy level two to 264). </w:t>
      </w:r>
    </w:p>
    <w:p w14:paraId="6A384A43" w14:textId="77777777" w:rsidR="00D95877" w:rsidRPr="00BB14FD" w:rsidRDefault="00D95877" w:rsidP="00BD4BBA">
      <w:pPr>
        <w:rPr>
          <w:rFonts w:eastAsia="Times New Roman" w:cs="Arial"/>
          <w:b/>
          <w:bCs/>
          <w:kern w:val="0"/>
          <w:lang w:eastAsia="en-GB"/>
          <w14:ligatures w14:val="none"/>
        </w:rPr>
      </w:pPr>
    </w:p>
    <w:p w14:paraId="7EA1320F"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13.3.1.5 Lateral flow test supply service</w:t>
      </w:r>
    </w:p>
    <w:p w14:paraId="090A751F" w14:textId="77777777" w:rsidR="00BB14FD" w:rsidRPr="00BB14FD" w:rsidRDefault="00BB14FD" w:rsidP="00BD4BBA">
      <w:pPr>
        <w:rPr>
          <w:rFonts w:eastAsia="Times New Roman" w:cs="Arial"/>
          <w:kern w:val="0"/>
          <w:lang w:eastAsia="en-GB"/>
          <w14:ligatures w14:val="none"/>
        </w:rPr>
      </w:pPr>
    </w:p>
    <w:p w14:paraId="713BC98D"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All the pharmacies have signed up to provide this service.</w:t>
      </w:r>
    </w:p>
    <w:p w14:paraId="1DB01545" w14:textId="77777777" w:rsidR="00BB14FD" w:rsidRPr="00BB14FD" w:rsidRDefault="00BB14FD" w:rsidP="00BD4BBA">
      <w:pPr>
        <w:rPr>
          <w:rFonts w:eastAsia="Times New Roman" w:cs="Arial"/>
          <w:kern w:val="0"/>
          <w:lang w:eastAsia="en-GB"/>
          <w14:ligatures w14:val="none"/>
        </w:rPr>
      </w:pPr>
    </w:p>
    <w:p w14:paraId="072CB30A"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Six pharmacies provided this service in 2024/25, supplying 105 kits (range at pharmacy level one to 59). Five pharmacies provided this service in the first seven months of 2025/26, providing 36 kits (range at pharmacy level one to 21).</w:t>
      </w:r>
    </w:p>
    <w:p w14:paraId="58DD383C" w14:textId="77777777" w:rsidR="00BB14FD" w:rsidRPr="00BB14FD" w:rsidRDefault="00BB14FD" w:rsidP="00BD4BBA">
      <w:pPr>
        <w:ind w:left="720"/>
        <w:contextualSpacing/>
        <w:rPr>
          <w:rFonts w:eastAsia="Times New Roman" w:cs="Arial"/>
          <w:kern w:val="0"/>
          <w:lang w:eastAsia="en-GB"/>
          <w14:ligatures w14:val="none"/>
        </w:rPr>
      </w:pPr>
    </w:p>
    <w:p w14:paraId="39C33914"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13.3.1.6 Pharmacist independent prescribing service</w:t>
      </w:r>
    </w:p>
    <w:p w14:paraId="11718198" w14:textId="77777777" w:rsidR="00BB14FD" w:rsidRPr="00BB14FD" w:rsidRDefault="00BB14FD" w:rsidP="00BD4BBA">
      <w:pPr>
        <w:rPr>
          <w:rFonts w:eastAsia="Times New Roman" w:cs="Arial"/>
          <w:kern w:val="0"/>
          <w:lang w:eastAsia="en-GB"/>
          <w14:ligatures w14:val="none"/>
        </w:rPr>
      </w:pPr>
    </w:p>
    <w:p w14:paraId="4A856914"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Five of the pharmacies have signed up to provide this service.</w:t>
      </w:r>
    </w:p>
    <w:p w14:paraId="7B1CFB54" w14:textId="77777777" w:rsidR="00BB14FD" w:rsidRPr="00BB14FD" w:rsidRDefault="00BB14FD" w:rsidP="00BD4BBA">
      <w:pPr>
        <w:rPr>
          <w:rFonts w:eastAsia="Times New Roman" w:cs="Arial"/>
          <w:kern w:val="0"/>
          <w:lang w:eastAsia="en-GB"/>
          <w14:ligatures w14:val="none"/>
        </w:rPr>
      </w:pPr>
    </w:p>
    <w:p w14:paraId="21E2C845"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 xml:space="preserve">Three pharmacies provided this service in 2024/25, providing a total of 4,604 consultations (pharmacy range 37 to 2,830). Four pharmacies provided this service in the first six months of 2025/26, providing a total of 3,266 consultations, (range at pharmacy level seven to 2,077). </w:t>
      </w:r>
    </w:p>
    <w:p w14:paraId="1429B132" w14:textId="77777777" w:rsidR="00BB14FD" w:rsidRPr="00BB14FD" w:rsidRDefault="00BB14FD" w:rsidP="00BD4BBA">
      <w:pPr>
        <w:rPr>
          <w:rFonts w:eastAsia="Times New Roman" w:cs="Arial"/>
          <w:kern w:val="0"/>
          <w:lang w:eastAsia="en-GB"/>
          <w14:ligatures w14:val="none"/>
        </w:rPr>
      </w:pPr>
    </w:p>
    <w:p w14:paraId="1E7F9280"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13.3.1.7 Stoma customisation service</w:t>
      </w:r>
    </w:p>
    <w:p w14:paraId="1F23E8FB" w14:textId="77777777" w:rsidR="00BB14FD" w:rsidRPr="00BB14FD" w:rsidRDefault="00BB14FD" w:rsidP="00BD4BBA">
      <w:pPr>
        <w:rPr>
          <w:rFonts w:eastAsia="Times New Roman" w:cs="Arial"/>
          <w:kern w:val="0"/>
          <w:lang w:eastAsia="en-GB"/>
          <w14:ligatures w14:val="none"/>
        </w:rPr>
      </w:pPr>
    </w:p>
    <w:p w14:paraId="3FADACAA"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 xml:space="preserve">None of the pharmacies provide this service </w:t>
      </w:r>
    </w:p>
    <w:p w14:paraId="04C5DA8A" w14:textId="77777777" w:rsidR="00BB14FD" w:rsidRPr="00BB14FD" w:rsidRDefault="00BB14FD" w:rsidP="00BD4BBA">
      <w:pPr>
        <w:rPr>
          <w:rFonts w:eastAsia="Times New Roman" w:cs="Arial"/>
          <w:kern w:val="0"/>
          <w:lang w:eastAsia="en-GB"/>
          <w14:ligatures w14:val="none"/>
        </w:rPr>
      </w:pPr>
    </w:p>
    <w:p w14:paraId="355D9F60"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13.3.2 Additional clinical services</w:t>
      </w:r>
    </w:p>
    <w:p w14:paraId="63B7E50A" w14:textId="77777777" w:rsidR="00BB14FD" w:rsidRPr="00BB14FD" w:rsidRDefault="00BB14FD" w:rsidP="00BD4BBA">
      <w:pPr>
        <w:rPr>
          <w:rFonts w:eastAsia="Times New Roman" w:cs="Arial"/>
          <w:kern w:val="0"/>
          <w:lang w:eastAsia="en-GB"/>
          <w14:ligatures w14:val="none"/>
        </w:rPr>
      </w:pPr>
    </w:p>
    <w:p w14:paraId="20DA8F32"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13.3.2.1 Blood borne virus screening service</w:t>
      </w:r>
    </w:p>
    <w:p w14:paraId="7BB42D7A" w14:textId="77777777" w:rsidR="00BB14FD" w:rsidRPr="00BB14FD" w:rsidRDefault="00BB14FD" w:rsidP="00BD4BBA">
      <w:pPr>
        <w:rPr>
          <w:rFonts w:eastAsia="Times New Roman" w:cs="Arial"/>
          <w:kern w:val="0"/>
          <w:lang w:eastAsia="en-GB"/>
          <w14:ligatures w14:val="none"/>
        </w:rPr>
      </w:pPr>
    </w:p>
    <w:p w14:paraId="4A41A9FD"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 xml:space="preserve">Three of the pharmacies have signed up to provide this service. </w:t>
      </w:r>
    </w:p>
    <w:p w14:paraId="542334BD" w14:textId="77777777" w:rsidR="00BB14FD" w:rsidRPr="00BB14FD" w:rsidRDefault="00BB14FD" w:rsidP="00BD4BBA">
      <w:pPr>
        <w:rPr>
          <w:rFonts w:eastAsia="Times New Roman" w:cs="Arial"/>
          <w:kern w:val="0"/>
          <w:lang w:eastAsia="en-GB"/>
          <w14:ligatures w14:val="none"/>
        </w:rPr>
      </w:pPr>
    </w:p>
    <w:p w14:paraId="65AB0ABA"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13.3.2.2 Care home support service - Level 1 medicines management support visits</w:t>
      </w:r>
    </w:p>
    <w:p w14:paraId="6DC77A21" w14:textId="77777777" w:rsidR="00BB14FD" w:rsidRPr="00BB14FD" w:rsidRDefault="00BB14FD" w:rsidP="00BD4BBA">
      <w:pPr>
        <w:rPr>
          <w:rFonts w:eastAsia="Times New Roman" w:cs="Arial"/>
          <w:kern w:val="0"/>
          <w:lang w:eastAsia="en-GB"/>
          <w14:ligatures w14:val="none"/>
        </w:rPr>
      </w:pPr>
    </w:p>
    <w:p w14:paraId="18A527CC"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 xml:space="preserve">None of the pharmacies provide this service. </w:t>
      </w:r>
    </w:p>
    <w:p w14:paraId="12F46E7D" w14:textId="77777777" w:rsidR="00BB14FD" w:rsidRPr="00BB14FD" w:rsidRDefault="00BB14FD" w:rsidP="00BD4BBA">
      <w:pPr>
        <w:ind w:left="720"/>
        <w:contextualSpacing/>
        <w:rPr>
          <w:rFonts w:eastAsia="Times New Roman" w:cs="Arial"/>
          <w:b/>
          <w:bCs/>
          <w:kern w:val="0"/>
          <w:lang w:eastAsia="en-GB"/>
          <w14:ligatures w14:val="none"/>
        </w:rPr>
      </w:pPr>
    </w:p>
    <w:p w14:paraId="463F7FC9" w14:textId="77777777" w:rsidR="00BB14FD" w:rsidRPr="00BB14FD" w:rsidRDefault="00BB14FD" w:rsidP="00BD4BBA">
      <w:pPr>
        <w:shd w:val="clear" w:color="auto" w:fill="FFFFFF"/>
        <w:rPr>
          <w:rFonts w:eastAsia="Times New Roman" w:cs="Arial"/>
          <w:b/>
          <w:bCs/>
          <w:kern w:val="0"/>
          <w:lang w:eastAsia="en-GB"/>
          <w14:ligatures w14:val="none"/>
        </w:rPr>
      </w:pPr>
      <w:r w:rsidRPr="00BB14FD">
        <w:rPr>
          <w:rFonts w:eastAsia="Times New Roman" w:cs="Arial"/>
          <w:b/>
          <w:bCs/>
          <w:kern w:val="0"/>
          <w:lang w:eastAsia="en-GB"/>
          <w14:ligatures w14:val="none"/>
        </w:rPr>
        <w:lastRenderedPageBreak/>
        <w:t xml:space="preserve">13.3.2.3 Access to inhaler review service </w:t>
      </w:r>
    </w:p>
    <w:p w14:paraId="0D161BB6" w14:textId="77777777" w:rsidR="00BB14FD" w:rsidRPr="00BB14FD" w:rsidRDefault="00BB14FD" w:rsidP="00BD4BBA">
      <w:pPr>
        <w:rPr>
          <w:rFonts w:eastAsia="Times New Roman" w:cs="Arial"/>
          <w:kern w:val="0"/>
          <w:lang w:eastAsia="en-GB"/>
          <w14:ligatures w14:val="none"/>
        </w:rPr>
      </w:pPr>
    </w:p>
    <w:p w14:paraId="2431D8DB"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Six of the pharmacies have signed up to provide this service.</w:t>
      </w:r>
    </w:p>
    <w:p w14:paraId="275904D4" w14:textId="77777777" w:rsidR="00BB14FD" w:rsidRPr="00BB14FD" w:rsidRDefault="00BB14FD" w:rsidP="00BD4BBA">
      <w:pPr>
        <w:shd w:val="clear" w:color="auto" w:fill="FFFFFF"/>
        <w:rPr>
          <w:rFonts w:eastAsia="Times New Roman" w:cs="Arial"/>
          <w:kern w:val="0"/>
          <w:lang w:eastAsia="en-GB"/>
          <w14:ligatures w14:val="none"/>
        </w:rPr>
      </w:pPr>
    </w:p>
    <w:p w14:paraId="1D1B067E" w14:textId="77777777" w:rsidR="00BB14FD" w:rsidRPr="00BB14FD" w:rsidRDefault="00BB14FD" w:rsidP="00BD4BBA">
      <w:pPr>
        <w:shd w:val="clear" w:color="auto" w:fill="FFFFFF"/>
        <w:rPr>
          <w:rFonts w:eastAsia="Times New Roman" w:cs="Arial"/>
          <w:kern w:val="0"/>
          <w:lang w:eastAsia="en-GB"/>
          <w14:ligatures w14:val="none"/>
        </w:rPr>
      </w:pPr>
      <w:r w:rsidRPr="00BB14FD">
        <w:rPr>
          <w:rFonts w:eastAsia="Times New Roman" w:cs="Arial"/>
          <w:kern w:val="0"/>
          <w:lang w:eastAsia="en-GB"/>
          <w14:ligatures w14:val="none"/>
        </w:rPr>
        <w:t>Two pharmacies provided this service in 2024/25, providing a total of 126 reviews (range at pharmacy level 26 to 100). Four pharmacies provided this service between April 2025 and February 2026, providing a total of 52 reviews (range at pharmacy level one to 19).</w:t>
      </w:r>
    </w:p>
    <w:p w14:paraId="30D4E292" w14:textId="77777777" w:rsidR="00BB14FD" w:rsidRPr="00BB14FD" w:rsidRDefault="00BB14FD" w:rsidP="00BD4BBA">
      <w:pPr>
        <w:rPr>
          <w:rFonts w:eastAsia="Times New Roman" w:cs="Arial"/>
          <w:kern w:val="0"/>
          <w:lang w:eastAsia="en-GB"/>
          <w14:ligatures w14:val="none"/>
        </w:rPr>
      </w:pPr>
    </w:p>
    <w:p w14:paraId="7204C9DC"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13.3.2.4 Just in case service (palliative care packs)</w:t>
      </w:r>
    </w:p>
    <w:p w14:paraId="3CC1006C" w14:textId="77777777" w:rsidR="00BB14FD" w:rsidRPr="00BB14FD" w:rsidRDefault="00BB14FD" w:rsidP="00BD4BBA">
      <w:pPr>
        <w:rPr>
          <w:rFonts w:eastAsia="Times New Roman" w:cs="Arial"/>
          <w:kern w:val="0"/>
          <w:lang w:eastAsia="en-GB"/>
          <w14:ligatures w14:val="none"/>
        </w:rPr>
      </w:pPr>
    </w:p>
    <w:p w14:paraId="533A00AE"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Three of the pharmacies have signed up to provide this service.</w:t>
      </w:r>
    </w:p>
    <w:p w14:paraId="7338FE0E" w14:textId="77777777" w:rsidR="00BB14FD" w:rsidRPr="00BB14FD" w:rsidRDefault="00BB14FD" w:rsidP="00BD4BBA">
      <w:pPr>
        <w:rPr>
          <w:rFonts w:eastAsia="Times New Roman" w:cs="Arial"/>
          <w:kern w:val="0"/>
          <w:lang w:eastAsia="en-GB"/>
          <w14:ligatures w14:val="none"/>
        </w:rPr>
      </w:pPr>
    </w:p>
    <w:p w14:paraId="6C776009"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One pharmacy provided this service in 2024/25, supplying a total of one pack. No pharmacy provided this service in the first ten months of 2025/26.</w:t>
      </w:r>
    </w:p>
    <w:p w14:paraId="7E11BCB9" w14:textId="2E171AFD" w:rsidR="00D95877" w:rsidRPr="00BB14FD" w:rsidRDefault="00D95877" w:rsidP="00D95877">
      <w:pPr>
        <w:contextualSpacing/>
        <w:rPr>
          <w:rFonts w:eastAsia="Times New Roman" w:cs="Arial"/>
          <w:kern w:val="0"/>
          <w:lang w:eastAsia="en-GB"/>
          <w14:ligatures w14:val="none"/>
        </w:rPr>
      </w:pPr>
    </w:p>
    <w:p w14:paraId="79E102D3"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 xml:space="preserve">13.3.2.5 Medicines administration record service </w:t>
      </w:r>
    </w:p>
    <w:p w14:paraId="483653D6" w14:textId="77777777" w:rsidR="00BB14FD" w:rsidRPr="00BB14FD" w:rsidRDefault="00BB14FD" w:rsidP="00BD4BBA">
      <w:pPr>
        <w:rPr>
          <w:rFonts w:eastAsia="Times New Roman" w:cs="Arial"/>
          <w:kern w:val="0"/>
          <w:lang w:eastAsia="en-GB"/>
          <w14:ligatures w14:val="none"/>
        </w:rPr>
      </w:pPr>
    </w:p>
    <w:p w14:paraId="673B03E5"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11 of the pharmacies have signed up to provide this service.</w:t>
      </w:r>
    </w:p>
    <w:p w14:paraId="5E114926" w14:textId="77777777" w:rsidR="00BB14FD" w:rsidRPr="00BB14FD" w:rsidRDefault="00BB14FD" w:rsidP="00BD4BBA">
      <w:pPr>
        <w:rPr>
          <w:rFonts w:eastAsia="Times New Roman" w:cs="Arial"/>
          <w:kern w:val="0"/>
          <w:lang w:eastAsia="en-GB"/>
          <w14:ligatures w14:val="none"/>
        </w:rPr>
      </w:pPr>
    </w:p>
    <w:p w14:paraId="5830124A" w14:textId="77777777" w:rsidR="00BB14FD" w:rsidRPr="00BB14FD" w:rsidRDefault="00BB14FD" w:rsidP="00BD4BBA">
      <w:pPr>
        <w:contextualSpacing/>
        <w:rPr>
          <w:rFonts w:eastAsia="Times New Roman" w:cs="Arial"/>
          <w:kern w:val="0"/>
          <w:lang w:eastAsia="en-GB"/>
          <w14:ligatures w14:val="none"/>
        </w:rPr>
      </w:pPr>
      <w:r w:rsidRPr="00BB14FD">
        <w:rPr>
          <w:rFonts w:eastAsia="Times New Roman" w:cs="Arial"/>
          <w:kern w:val="0"/>
          <w:lang w:eastAsia="en-GB"/>
          <w14:ligatures w14:val="none"/>
        </w:rPr>
        <w:t>Nine pharmacies provided the service in 2024/25, providing charts to 259 patients (range at pharmacy level seven to 50). 11 pharmacies provided the service in the first ten months of 2025/26, providing charts to 1,124 patients (range at pharmacy level four to 211)</w:t>
      </w:r>
    </w:p>
    <w:p w14:paraId="473A98C5" w14:textId="77777777" w:rsidR="00BB14FD" w:rsidRPr="00BB14FD" w:rsidRDefault="00BB14FD" w:rsidP="00BD4BBA">
      <w:pPr>
        <w:ind w:left="720"/>
        <w:contextualSpacing/>
        <w:rPr>
          <w:rFonts w:eastAsia="Times New Roman" w:cs="Arial"/>
          <w:kern w:val="0"/>
          <w:lang w:eastAsia="en-GB"/>
          <w14:ligatures w14:val="none"/>
        </w:rPr>
      </w:pPr>
    </w:p>
    <w:p w14:paraId="2E038905"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13.3.2.6 Needle and syringe programmes</w:t>
      </w:r>
    </w:p>
    <w:p w14:paraId="58AC5B48" w14:textId="77777777" w:rsidR="00BB14FD" w:rsidRPr="00BB14FD" w:rsidRDefault="00BB14FD" w:rsidP="00BD4BBA">
      <w:pPr>
        <w:rPr>
          <w:rFonts w:eastAsia="Times New Roman" w:cs="Arial"/>
          <w:kern w:val="0"/>
          <w:lang w:eastAsia="en-GB"/>
          <w14:ligatures w14:val="none"/>
        </w:rPr>
      </w:pPr>
    </w:p>
    <w:p w14:paraId="6736CA85"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Three of the pharmacies have signed up to provide this service.</w:t>
      </w:r>
    </w:p>
    <w:p w14:paraId="3C0449B3" w14:textId="77777777" w:rsidR="00BB14FD" w:rsidRPr="00BB14FD" w:rsidRDefault="00BB14FD" w:rsidP="00BD4BBA">
      <w:pPr>
        <w:rPr>
          <w:rFonts w:eastAsia="Times New Roman" w:cs="Arial"/>
          <w:kern w:val="0"/>
          <w:lang w:eastAsia="en-GB"/>
          <w14:ligatures w14:val="none"/>
        </w:rPr>
      </w:pPr>
    </w:p>
    <w:p w14:paraId="0B8C3BC3"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 xml:space="preserve">No pharmacy provided the service in 2024/25. One pharmacy provided the first ten months of 2025/26 a total of one provision. </w:t>
      </w:r>
    </w:p>
    <w:p w14:paraId="1DDD5240" w14:textId="77777777" w:rsidR="00BB14FD" w:rsidRPr="00BB14FD" w:rsidRDefault="00BB14FD" w:rsidP="00BD4BBA">
      <w:pPr>
        <w:rPr>
          <w:rFonts w:eastAsia="Times New Roman" w:cs="Arial"/>
          <w:kern w:val="0"/>
          <w:lang w:eastAsia="en-GB"/>
          <w14:ligatures w14:val="none"/>
        </w:rPr>
      </w:pPr>
    </w:p>
    <w:p w14:paraId="4EA933BF"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13.3.2.7 Help me quit @ pharmacy (level 2 smoking cessation) service</w:t>
      </w:r>
    </w:p>
    <w:p w14:paraId="4C32FFB3" w14:textId="77777777" w:rsidR="00BB14FD" w:rsidRPr="00BB14FD" w:rsidRDefault="00BB14FD" w:rsidP="00BD4BBA">
      <w:pPr>
        <w:rPr>
          <w:rFonts w:eastAsia="Times New Roman" w:cs="Arial"/>
          <w:kern w:val="0"/>
          <w:lang w:eastAsia="en-GB"/>
          <w14:ligatures w14:val="none"/>
        </w:rPr>
      </w:pPr>
    </w:p>
    <w:p w14:paraId="5B8863A5"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11 of the pharmacies have signed up to provide this service.</w:t>
      </w:r>
    </w:p>
    <w:p w14:paraId="1A63A72E" w14:textId="77777777" w:rsidR="00BB14FD" w:rsidRPr="00BB14FD" w:rsidRDefault="00BB14FD" w:rsidP="00BD4BBA">
      <w:pPr>
        <w:rPr>
          <w:rFonts w:eastAsia="Times New Roman" w:cs="Arial"/>
          <w:kern w:val="0"/>
          <w:lang w:eastAsia="en-GB"/>
          <w14:ligatures w14:val="none"/>
        </w:rPr>
      </w:pPr>
    </w:p>
    <w:p w14:paraId="7C115B4F"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Nine pharmacies provided the service in 2024/25, supporting 586 people (range at pharmacy level four to 193). Eight pharmacies provided this service in the first ten months of 2025/26, supporting 232 people (range at pharmacy level three to 97).</w:t>
      </w:r>
    </w:p>
    <w:p w14:paraId="40E8F077" w14:textId="77777777" w:rsidR="00BB14FD" w:rsidRPr="00BB14FD" w:rsidRDefault="00BB14FD" w:rsidP="00BD4BBA">
      <w:pPr>
        <w:rPr>
          <w:rFonts w:eastAsia="Times New Roman" w:cs="Arial"/>
          <w:kern w:val="0"/>
          <w:lang w:eastAsia="en-GB"/>
          <w14:ligatures w14:val="none"/>
        </w:rPr>
      </w:pPr>
    </w:p>
    <w:p w14:paraId="435DEE5B"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13.3.2.8 Help me quit @ pharmacy (level 3 smoking cessation) service</w:t>
      </w:r>
    </w:p>
    <w:p w14:paraId="058DECD5" w14:textId="77777777" w:rsidR="00BB14FD" w:rsidRPr="00BB14FD" w:rsidRDefault="00BB14FD" w:rsidP="00BD4BBA">
      <w:pPr>
        <w:rPr>
          <w:rFonts w:eastAsia="Times New Roman" w:cs="Arial"/>
          <w:kern w:val="0"/>
          <w:lang w:eastAsia="en-GB"/>
          <w14:ligatures w14:val="none"/>
        </w:rPr>
      </w:pPr>
    </w:p>
    <w:p w14:paraId="30C35DB4"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Eight of the pharmacies have signed up to provide this service.</w:t>
      </w:r>
    </w:p>
    <w:p w14:paraId="51EE9051" w14:textId="77777777" w:rsidR="00BB14FD" w:rsidRPr="00BB14FD" w:rsidRDefault="00BB14FD" w:rsidP="00BD4BBA">
      <w:pPr>
        <w:rPr>
          <w:rFonts w:eastAsia="Times New Roman" w:cs="Arial"/>
          <w:kern w:val="0"/>
          <w:lang w:eastAsia="en-GB"/>
          <w14:ligatures w14:val="none"/>
        </w:rPr>
      </w:pPr>
    </w:p>
    <w:p w14:paraId="482349AB"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Six pharmacies provided the service in 2024/25, supporting 729 people (range at pharmacy level 16 to 315). Six pharmacies provided this service in the first ten months of 2025/26, supporting 524 people (range at pharmacy level 20 to 173).</w:t>
      </w:r>
    </w:p>
    <w:p w14:paraId="6E55182F" w14:textId="77777777" w:rsidR="0006470A" w:rsidRDefault="0006470A" w:rsidP="0006470A">
      <w:pPr>
        <w:contextualSpacing/>
        <w:rPr>
          <w:rFonts w:eastAsia="Times New Roman" w:cs="Arial"/>
          <w:kern w:val="0"/>
          <w:lang w:eastAsia="en-GB"/>
          <w14:ligatures w14:val="none"/>
        </w:rPr>
      </w:pPr>
    </w:p>
    <w:p w14:paraId="3453D37F" w14:textId="77777777" w:rsidR="0006470A" w:rsidRDefault="0006470A" w:rsidP="0006470A">
      <w:pPr>
        <w:contextualSpacing/>
        <w:rPr>
          <w:rFonts w:eastAsia="Times New Roman" w:cs="Arial"/>
          <w:kern w:val="0"/>
          <w:lang w:eastAsia="en-GB"/>
          <w14:ligatures w14:val="none"/>
        </w:rPr>
      </w:pPr>
    </w:p>
    <w:p w14:paraId="144C4CF2" w14:textId="77777777" w:rsidR="0006470A" w:rsidRPr="00BB14FD" w:rsidRDefault="0006470A" w:rsidP="0006470A">
      <w:pPr>
        <w:contextualSpacing/>
        <w:rPr>
          <w:rFonts w:eastAsia="Times New Roman" w:cs="Arial"/>
          <w:kern w:val="0"/>
          <w:lang w:eastAsia="en-GB"/>
          <w14:ligatures w14:val="none"/>
        </w:rPr>
      </w:pPr>
    </w:p>
    <w:p w14:paraId="561F9083"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lastRenderedPageBreak/>
        <w:t xml:space="preserve">13.3.2.9 Supervised administration of medicines </w:t>
      </w:r>
    </w:p>
    <w:p w14:paraId="13F7D433" w14:textId="77777777" w:rsidR="00BB14FD" w:rsidRPr="00BB14FD" w:rsidRDefault="00BB14FD" w:rsidP="00BD4BBA">
      <w:pPr>
        <w:rPr>
          <w:rFonts w:eastAsia="Times New Roman" w:cs="Arial"/>
          <w:kern w:val="0"/>
          <w:lang w:eastAsia="en-GB"/>
          <w14:ligatures w14:val="none"/>
        </w:rPr>
      </w:pPr>
    </w:p>
    <w:p w14:paraId="25945D81"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11 of the pharmacies have signed up to provide this service.</w:t>
      </w:r>
    </w:p>
    <w:p w14:paraId="47D3E173" w14:textId="77777777" w:rsidR="00BB14FD" w:rsidRPr="00BB14FD" w:rsidRDefault="00BB14FD" w:rsidP="00BD4BBA">
      <w:pPr>
        <w:rPr>
          <w:rFonts w:eastAsia="Times New Roman" w:cs="Arial"/>
          <w:kern w:val="0"/>
          <w:lang w:eastAsia="en-GB"/>
          <w14:ligatures w14:val="none"/>
        </w:rPr>
      </w:pPr>
    </w:p>
    <w:p w14:paraId="267CCC79" w14:textId="77777777" w:rsidR="00BB14FD" w:rsidRPr="00BB14FD" w:rsidRDefault="00BB14FD" w:rsidP="00BD4BBA">
      <w:pPr>
        <w:rPr>
          <w:rFonts w:eastAsia="Aptos" w:cs="Arial"/>
        </w:rPr>
      </w:pPr>
      <w:r w:rsidRPr="00BB14FD">
        <w:rPr>
          <w:rFonts w:eastAsia="Aptos" w:cs="Arial"/>
        </w:rPr>
        <w:t xml:space="preserve">In 2024/25, ten pharmacies provided this service to 404 clients (range at pharmacy level eight to 108), supervising a total of 5,378 doses (range at pharmacy level 31 to 1,472). In the first ten months of 2025/26, nine pharmacies provided this service to 227 clients (range at pharmacy level three to 68), supervising a total of 2,814 doses (range at pharmacy level 83 to 544). </w:t>
      </w:r>
    </w:p>
    <w:p w14:paraId="1CBD13AD" w14:textId="77777777" w:rsidR="00BB14FD" w:rsidRPr="00BB14FD" w:rsidRDefault="00BB14FD" w:rsidP="00BD4BBA">
      <w:pPr>
        <w:rPr>
          <w:rFonts w:eastAsia="Times New Roman" w:cs="Arial"/>
          <w:kern w:val="0"/>
          <w:lang w:eastAsia="en-GB"/>
          <w14:ligatures w14:val="none"/>
        </w:rPr>
      </w:pPr>
    </w:p>
    <w:p w14:paraId="1CA8A5E6"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 xml:space="preserve">13.3.2.10 Urgent medicines service </w:t>
      </w:r>
    </w:p>
    <w:p w14:paraId="0CF11810" w14:textId="77777777" w:rsidR="00BB14FD" w:rsidRPr="00BB14FD" w:rsidRDefault="00BB14FD" w:rsidP="00BD4BBA">
      <w:pPr>
        <w:rPr>
          <w:rFonts w:eastAsia="Times New Roman" w:cs="Arial"/>
          <w:kern w:val="0"/>
          <w:lang w:eastAsia="en-GB"/>
          <w14:ligatures w14:val="none"/>
        </w:rPr>
      </w:pPr>
    </w:p>
    <w:p w14:paraId="1834D76F"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Three of the pharmacies have signed up to provide this service.</w:t>
      </w:r>
    </w:p>
    <w:p w14:paraId="3E398AF3" w14:textId="77777777" w:rsidR="00BB14FD" w:rsidRPr="00BB14FD" w:rsidRDefault="00BB14FD" w:rsidP="00BD4BBA">
      <w:pPr>
        <w:widowControl w:val="0"/>
        <w:autoSpaceDE w:val="0"/>
        <w:autoSpaceDN w:val="0"/>
        <w:rPr>
          <w:rFonts w:eastAsia="Arial" w:cs="Arial"/>
          <w:kern w:val="0"/>
          <w:lang w:val="en-US"/>
          <w14:ligatures w14:val="none"/>
        </w:rPr>
      </w:pPr>
    </w:p>
    <w:p w14:paraId="40946D03" w14:textId="77777777" w:rsidR="00BB14FD" w:rsidRPr="00BB14FD" w:rsidRDefault="00BB14FD" w:rsidP="00BD4BBA">
      <w:pPr>
        <w:rPr>
          <w:rFonts w:eastAsia="Aptos" w:cs="Arial"/>
          <w:b/>
          <w:bCs/>
          <w:sz w:val="26"/>
          <w:szCs w:val="26"/>
        </w:rPr>
      </w:pPr>
      <w:r w:rsidRPr="00BB14FD">
        <w:rPr>
          <w:rFonts w:eastAsia="Aptos" w:cs="Arial"/>
          <w:b/>
          <w:bCs/>
          <w:sz w:val="26"/>
          <w:szCs w:val="26"/>
        </w:rPr>
        <w:t xml:space="preserve">13.4 Current provision of pharmaceutical services outside the locality </w:t>
      </w:r>
    </w:p>
    <w:p w14:paraId="1926D2AD" w14:textId="77777777" w:rsidR="00BB14FD" w:rsidRPr="00BB14FD" w:rsidRDefault="00BB14FD" w:rsidP="00BD4BBA">
      <w:pPr>
        <w:rPr>
          <w:rFonts w:eastAsia="Aptos" w:cs="Arial"/>
        </w:rPr>
      </w:pPr>
    </w:p>
    <w:p w14:paraId="016CEE60" w14:textId="77777777" w:rsidR="00BB14FD" w:rsidRPr="00BB14FD" w:rsidRDefault="00BB14FD" w:rsidP="00BD4BBA">
      <w:pPr>
        <w:rPr>
          <w:rFonts w:eastAsia="Aptos" w:cs="Arial"/>
        </w:rPr>
      </w:pPr>
      <w:r w:rsidRPr="00BB14FD">
        <w:rPr>
          <w:rFonts w:eastAsia="Aptos" w:cs="Arial"/>
        </w:rPr>
        <w:t>Some residents may choose to access contractors outside both the locality and the health board’s area in order to access services:</w:t>
      </w:r>
    </w:p>
    <w:p w14:paraId="4B017CD7" w14:textId="77777777" w:rsidR="00BB14FD" w:rsidRPr="00BB14FD" w:rsidRDefault="00BB14FD" w:rsidP="00BD4BBA">
      <w:pPr>
        <w:rPr>
          <w:rFonts w:eastAsia="Aptos" w:cs="Arial"/>
        </w:rPr>
      </w:pPr>
    </w:p>
    <w:p w14:paraId="131F2524" w14:textId="77777777" w:rsidR="00BB14FD" w:rsidRPr="00BB14FD" w:rsidRDefault="00BB14FD" w:rsidP="00B76905">
      <w:pPr>
        <w:numPr>
          <w:ilvl w:val="0"/>
          <w:numId w:val="189"/>
        </w:numPr>
        <w:contextualSpacing/>
        <w:rPr>
          <w:rFonts w:eastAsia="Aptos" w:cs="Arial"/>
        </w:rPr>
      </w:pPr>
      <w:r w:rsidRPr="00BB14FD">
        <w:rPr>
          <w:rFonts w:eastAsia="Aptos" w:cs="Arial"/>
        </w:rPr>
        <w:t>Offered by dispensing appliance contractors</w:t>
      </w:r>
    </w:p>
    <w:p w14:paraId="2CE09DA3" w14:textId="77777777" w:rsidR="00BB14FD" w:rsidRPr="00BB14FD" w:rsidRDefault="00BB14FD" w:rsidP="00B76905">
      <w:pPr>
        <w:numPr>
          <w:ilvl w:val="0"/>
          <w:numId w:val="189"/>
        </w:numPr>
        <w:contextualSpacing/>
        <w:rPr>
          <w:rFonts w:eastAsia="Aptos" w:cs="Arial"/>
        </w:rPr>
      </w:pPr>
      <w:r w:rsidRPr="00BB14FD">
        <w:rPr>
          <w:rFonts w:eastAsia="Aptos" w:cs="Arial"/>
        </w:rPr>
        <w:t>Which are located near to where they work, shop or visit for leisure or other purposes</w:t>
      </w:r>
    </w:p>
    <w:p w14:paraId="400C3B99" w14:textId="77777777" w:rsidR="00BB14FD" w:rsidRPr="00BB14FD" w:rsidRDefault="00BB14FD" w:rsidP="00BD4BBA">
      <w:pPr>
        <w:shd w:val="clear" w:color="auto" w:fill="FFFFFF"/>
        <w:rPr>
          <w:rFonts w:eastAsia="Times New Roman" w:cs="Arial"/>
          <w:kern w:val="0"/>
          <w:lang w:eastAsia="en-GB"/>
          <w14:ligatures w14:val="none"/>
        </w:rPr>
      </w:pPr>
    </w:p>
    <w:p w14:paraId="30573E11" w14:textId="77777777" w:rsidR="00BB14FD" w:rsidRPr="00BB14FD" w:rsidRDefault="00BB14FD" w:rsidP="00BD4BBA">
      <w:pPr>
        <w:shd w:val="clear" w:color="auto" w:fill="FFFFFF"/>
        <w:rPr>
          <w:rFonts w:eastAsia="Times New Roman" w:cs="Arial"/>
          <w:kern w:val="0"/>
          <w:lang w:eastAsia="en-GB"/>
          <w14:ligatures w14:val="none"/>
        </w:rPr>
      </w:pPr>
      <w:r w:rsidRPr="00BB14FD">
        <w:rPr>
          <w:rFonts w:eastAsia="Times New Roman" w:cs="Arial"/>
          <w:kern w:val="0"/>
          <w:lang w:eastAsia="en-GB"/>
          <w14:ligatures w14:val="none"/>
        </w:rPr>
        <w:t>Whilst the majority of prescriptions written by the GP practices in 2024/25 were dispensed by the pharmacies in the locality (91.5%), 5.6% were dispensed outside the locality.</w:t>
      </w:r>
    </w:p>
    <w:p w14:paraId="1DF4D1B8" w14:textId="77777777" w:rsidR="00BB14FD" w:rsidRPr="00BB14FD" w:rsidRDefault="00BB14FD" w:rsidP="00BD4BBA">
      <w:pPr>
        <w:shd w:val="clear" w:color="auto" w:fill="FFFFFF"/>
        <w:rPr>
          <w:rFonts w:eastAsia="Times New Roman" w:cs="Arial"/>
          <w:kern w:val="0"/>
          <w:lang w:eastAsia="en-GB"/>
          <w14:ligatures w14:val="none"/>
        </w:rPr>
      </w:pPr>
    </w:p>
    <w:p w14:paraId="541E3484" w14:textId="77777777" w:rsidR="00BB14FD" w:rsidRPr="00BB14FD" w:rsidRDefault="00BB14FD" w:rsidP="00B76905">
      <w:pPr>
        <w:numPr>
          <w:ilvl w:val="0"/>
          <w:numId w:val="152"/>
        </w:numPr>
        <w:textAlignment w:val="baseline"/>
        <w:rPr>
          <w:rFonts w:ascii="Times New Roman" w:eastAsia="Times New Roman" w:hAnsi="Times New Roman" w:cs="Times New Roman"/>
          <w:kern w:val="0"/>
          <w:lang w:eastAsia="en-GB"/>
          <w14:ligatures w14:val="none"/>
        </w:rPr>
      </w:pPr>
      <w:r w:rsidRPr="00BB14FD">
        <w:rPr>
          <w:rFonts w:eastAsia="Times New Roman" w:cs="Arial"/>
          <w:kern w:val="0"/>
          <w:lang w:eastAsia="en-GB"/>
          <w14:ligatures w14:val="none"/>
        </w:rPr>
        <w:t>3.0% by pharmacies in Cwm Taf Morgannwg University Health Board</w:t>
      </w:r>
    </w:p>
    <w:p w14:paraId="25D1A065" w14:textId="77777777" w:rsidR="00BB14FD" w:rsidRPr="00BB14FD" w:rsidRDefault="00BB14FD" w:rsidP="00B76905">
      <w:pPr>
        <w:numPr>
          <w:ilvl w:val="0"/>
          <w:numId w:val="152"/>
        </w:numPr>
        <w:textAlignment w:val="baseline"/>
        <w:rPr>
          <w:rFonts w:eastAsia="Times New Roman" w:cs="Arial"/>
          <w:kern w:val="0"/>
          <w:lang w:eastAsia="en-GB"/>
          <w14:ligatures w14:val="none"/>
        </w:rPr>
      </w:pPr>
      <w:r w:rsidRPr="00BB14FD">
        <w:rPr>
          <w:rFonts w:eastAsia="Times New Roman" w:cs="Arial"/>
          <w:kern w:val="0"/>
          <w:lang w:eastAsia="en-GB"/>
          <w14:ligatures w14:val="none"/>
        </w:rPr>
        <w:t>1.4% by pharmacies in City Health locality</w:t>
      </w:r>
    </w:p>
    <w:p w14:paraId="76030081" w14:textId="77777777" w:rsidR="00BB14FD" w:rsidRPr="00BB14FD" w:rsidRDefault="00BB14FD" w:rsidP="00B76905">
      <w:pPr>
        <w:numPr>
          <w:ilvl w:val="0"/>
          <w:numId w:val="152"/>
        </w:numPr>
        <w:textAlignment w:val="baseline"/>
        <w:rPr>
          <w:rFonts w:ascii="Times New Roman" w:eastAsia="Times New Roman" w:hAnsi="Times New Roman" w:cs="Times New Roman"/>
          <w:kern w:val="0"/>
          <w:lang w:eastAsia="en-GB"/>
          <w14:ligatures w14:val="none"/>
        </w:rPr>
      </w:pPr>
      <w:r w:rsidRPr="00BB14FD">
        <w:rPr>
          <w:rFonts w:eastAsia="Times New Roman" w:cs="Arial"/>
          <w:kern w:val="0"/>
          <w:lang w:eastAsia="en-GB"/>
          <w14:ligatures w14:val="none"/>
        </w:rPr>
        <w:t>0.5% by pharmacies in Neath locality</w:t>
      </w:r>
    </w:p>
    <w:p w14:paraId="6C374F72" w14:textId="77777777" w:rsidR="00BB14FD" w:rsidRPr="00BB14FD" w:rsidRDefault="00BB14FD" w:rsidP="00B76905">
      <w:pPr>
        <w:numPr>
          <w:ilvl w:val="0"/>
          <w:numId w:val="152"/>
        </w:numPr>
        <w:textAlignment w:val="baseline"/>
        <w:rPr>
          <w:rFonts w:eastAsia="Times New Roman" w:cs="Arial"/>
          <w:kern w:val="0"/>
          <w:lang w:eastAsia="en-GB"/>
          <w14:ligatures w14:val="none"/>
        </w:rPr>
      </w:pPr>
      <w:r w:rsidRPr="00BB14FD">
        <w:rPr>
          <w:rFonts w:eastAsia="Times New Roman" w:cs="Arial"/>
          <w:kern w:val="0"/>
          <w:lang w:eastAsia="en-GB"/>
          <w14:ligatures w14:val="none"/>
        </w:rPr>
        <w:t xml:space="preserve">0.3% by contractors in England </w:t>
      </w:r>
    </w:p>
    <w:p w14:paraId="20EFA88D" w14:textId="77777777" w:rsidR="00BB14FD" w:rsidRPr="00BB14FD" w:rsidRDefault="00BB14FD" w:rsidP="00B76905">
      <w:pPr>
        <w:numPr>
          <w:ilvl w:val="0"/>
          <w:numId w:val="152"/>
        </w:numPr>
        <w:textAlignment w:val="baseline"/>
        <w:rPr>
          <w:rFonts w:eastAsia="Times New Roman" w:cs="Arial"/>
          <w:kern w:val="0"/>
          <w:lang w:eastAsia="en-GB"/>
          <w14:ligatures w14:val="none"/>
        </w:rPr>
      </w:pPr>
      <w:r w:rsidRPr="00BB14FD">
        <w:rPr>
          <w:rFonts w:eastAsia="Times New Roman" w:cs="Arial"/>
          <w:kern w:val="0"/>
          <w:lang w:eastAsia="en-GB"/>
          <w14:ligatures w14:val="none"/>
        </w:rPr>
        <w:t>0.1% by pharmacies in Upper Valleys locality</w:t>
      </w:r>
    </w:p>
    <w:p w14:paraId="2521DE80" w14:textId="77777777" w:rsidR="00BB14FD" w:rsidRPr="00BB14FD" w:rsidRDefault="00BB14FD" w:rsidP="00B76905">
      <w:pPr>
        <w:numPr>
          <w:ilvl w:val="0"/>
          <w:numId w:val="152"/>
        </w:numPr>
        <w:textAlignment w:val="baseline"/>
        <w:rPr>
          <w:rFonts w:eastAsia="Times New Roman" w:cs="Arial"/>
          <w:kern w:val="0"/>
          <w:lang w:eastAsia="en-GB"/>
          <w14:ligatures w14:val="none"/>
        </w:rPr>
      </w:pPr>
      <w:r w:rsidRPr="00BB14FD">
        <w:rPr>
          <w:rFonts w:eastAsia="Times New Roman" w:cs="Arial"/>
          <w:kern w:val="0"/>
          <w:lang w:eastAsia="en-GB"/>
          <w14:ligatures w14:val="none"/>
        </w:rPr>
        <w:t>0.1% by pharmacies in Cardiff and Vale University Health Board</w:t>
      </w:r>
    </w:p>
    <w:p w14:paraId="1F618D99" w14:textId="77777777" w:rsidR="00BB14FD" w:rsidRPr="00BB14FD" w:rsidRDefault="00BB14FD" w:rsidP="00BD4BBA">
      <w:pPr>
        <w:textAlignment w:val="baseline"/>
        <w:rPr>
          <w:rFonts w:ascii="Times New Roman" w:eastAsia="Times New Roman" w:hAnsi="Times New Roman" w:cs="Times New Roman"/>
          <w:kern w:val="0"/>
          <w:lang w:eastAsia="en-GB"/>
          <w14:ligatures w14:val="none"/>
        </w:rPr>
      </w:pPr>
    </w:p>
    <w:p w14:paraId="7C81E9CA" w14:textId="77777777" w:rsidR="00BB14FD" w:rsidRPr="00BB14FD" w:rsidRDefault="00BB14FD" w:rsidP="00BD4BBA">
      <w:pPr>
        <w:shd w:val="clear" w:color="auto" w:fill="FFFFFF"/>
        <w:rPr>
          <w:rFonts w:eastAsia="Times New Roman" w:cs="Arial"/>
          <w:kern w:val="0"/>
          <w:lang w:eastAsia="en-GB"/>
          <w14:ligatures w14:val="none"/>
        </w:rPr>
      </w:pPr>
      <w:r w:rsidRPr="00BB14FD">
        <w:rPr>
          <w:rFonts w:eastAsia="Times New Roman" w:cs="Arial"/>
          <w:kern w:val="0"/>
          <w:lang w:eastAsia="en-GB"/>
          <w14:ligatures w14:val="none"/>
        </w:rPr>
        <w:t>In the first nine months of 2025/26 the majority of prescriptions written by the GP practices were dispensed by the pharmacies in the locality (93.1%), with 3.9% dispensed outside the locality.</w:t>
      </w:r>
    </w:p>
    <w:p w14:paraId="1EF2E7F7" w14:textId="77777777" w:rsidR="00BB14FD" w:rsidRPr="00BB14FD" w:rsidRDefault="00BB14FD" w:rsidP="00BD4BBA">
      <w:pPr>
        <w:shd w:val="clear" w:color="auto" w:fill="FFFFFF"/>
        <w:rPr>
          <w:rFonts w:eastAsia="Times New Roman" w:cs="Arial"/>
          <w:kern w:val="0"/>
          <w:lang w:eastAsia="en-GB"/>
          <w14:ligatures w14:val="none"/>
        </w:rPr>
      </w:pPr>
    </w:p>
    <w:p w14:paraId="67B9B2B0" w14:textId="77777777" w:rsidR="00BB14FD" w:rsidRPr="00BB14FD" w:rsidRDefault="00BB14FD" w:rsidP="00B76905">
      <w:pPr>
        <w:numPr>
          <w:ilvl w:val="0"/>
          <w:numId w:val="152"/>
        </w:numPr>
        <w:textAlignment w:val="baseline"/>
        <w:rPr>
          <w:rFonts w:eastAsia="Times New Roman" w:cs="Arial"/>
          <w:kern w:val="0"/>
          <w:lang w:eastAsia="en-GB"/>
          <w14:ligatures w14:val="none"/>
        </w:rPr>
      </w:pPr>
      <w:r w:rsidRPr="00BB14FD">
        <w:rPr>
          <w:rFonts w:eastAsia="Times New Roman" w:cs="Arial"/>
          <w:kern w:val="0"/>
          <w:lang w:eastAsia="en-GB"/>
          <w14:ligatures w14:val="none"/>
        </w:rPr>
        <w:t>1.6% by pharmacies in City Health locality</w:t>
      </w:r>
    </w:p>
    <w:p w14:paraId="5A090079" w14:textId="77777777" w:rsidR="00BB14FD" w:rsidRPr="00BB14FD" w:rsidRDefault="00BB14FD" w:rsidP="00B76905">
      <w:pPr>
        <w:numPr>
          <w:ilvl w:val="0"/>
          <w:numId w:val="152"/>
        </w:numPr>
        <w:textAlignment w:val="baseline"/>
        <w:rPr>
          <w:rFonts w:eastAsia="Times New Roman" w:cs="Arial"/>
          <w:kern w:val="0"/>
          <w:lang w:eastAsia="en-GB"/>
          <w14:ligatures w14:val="none"/>
        </w:rPr>
      </w:pPr>
      <w:r w:rsidRPr="00BB14FD">
        <w:rPr>
          <w:rFonts w:eastAsia="Times New Roman" w:cs="Arial"/>
          <w:kern w:val="0"/>
          <w:lang w:eastAsia="en-GB"/>
          <w14:ligatures w14:val="none"/>
        </w:rPr>
        <w:t>1.4% by pharmacies in Cwm Taf Morgannwg University Health Board</w:t>
      </w:r>
    </w:p>
    <w:p w14:paraId="2664096F" w14:textId="77777777" w:rsidR="00BB14FD" w:rsidRPr="00BB14FD" w:rsidRDefault="00BB14FD" w:rsidP="00B76905">
      <w:pPr>
        <w:numPr>
          <w:ilvl w:val="0"/>
          <w:numId w:val="152"/>
        </w:numPr>
        <w:textAlignment w:val="baseline"/>
        <w:rPr>
          <w:rFonts w:eastAsia="Times New Roman" w:cs="Arial"/>
          <w:kern w:val="0"/>
          <w:lang w:eastAsia="en-GB"/>
          <w14:ligatures w14:val="none"/>
        </w:rPr>
      </w:pPr>
      <w:r w:rsidRPr="00BB14FD">
        <w:rPr>
          <w:rFonts w:eastAsia="Times New Roman" w:cs="Arial"/>
          <w:kern w:val="0"/>
          <w:lang w:eastAsia="en-GB"/>
          <w14:ligatures w14:val="none"/>
        </w:rPr>
        <w:t>0.3% by pharmacies in Neath locality</w:t>
      </w:r>
    </w:p>
    <w:p w14:paraId="66CABB3E" w14:textId="77777777" w:rsidR="00BB14FD" w:rsidRPr="00BB14FD" w:rsidRDefault="00BB14FD" w:rsidP="00B76905">
      <w:pPr>
        <w:numPr>
          <w:ilvl w:val="0"/>
          <w:numId w:val="152"/>
        </w:numPr>
        <w:textAlignment w:val="baseline"/>
        <w:rPr>
          <w:rFonts w:eastAsia="Times New Roman" w:cs="Arial"/>
          <w:kern w:val="0"/>
          <w:lang w:eastAsia="en-GB"/>
          <w14:ligatures w14:val="none"/>
        </w:rPr>
      </w:pPr>
      <w:r w:rsidRPr="00BB14FD">
        <w:rPr>
          <w:rFonts w:eastAsia="Times New Roman" w:cs="Arial"/>
          <w:kern w:val="0"/>
          <w:lang w:eastAsia="en-GB"/>
          <w14:ligatures w14:val="none"/>
        </w:rPr>
        <w:t xml:space="preserve">0.3% by contractors in England </w:t>
      </w:r>
    </w:p>
    <w:p w14:paraId="0A7E2426" w14:textId="77777777" w:rsidR="00BB14FD" w:rsidRPr="00BB14FD" w:rsidRDefault="00BB14FD" w:rsidP="00B76905">
      <w:pPr>
        <w:numPr>
          <w:ilvl w:val="0"/>
          <w:numId w:val="152"/>
        </w:numPr>
        <w:textAlignment w:val="baseline"/>
        <w:rPr>
          <w:rFonts w:eastAsia="Times New Roman" w:cs="Arial"/>
          <w:kern w:val="0"/>
          <w:lang w:eastAsia="en-GB"/>
          <w14:ligatures w14:val="none"/>
        </w:rPr>
      </w:pPr>
      <w:r w:rsidRPr="00BB14FD">
        <w:rPr>
          <w:rFonts w:eastAsia="Times New Roman" w:cs="Arial"/>
          <w:kern w:val="0"/>
          <w:lang w:eastAsia="en-GB"/>
          <w14:ligatures w14:val="none"/>
        </w:rPr>
        <w:t>0.1% by pharmacies in Aneurin Bevan University Health Board</w:t>
      </w:r>
    </w:p>
    <w:p w14:paraId="243D8B7D" w14:textId="77777777" w:rsidR="00BB14FD" w:rsidRPr="00BB14FD" w:rsidRDefault="00BB14FD" w:rsidP="00B76905">
      <w:pPr>
        <w:numPr>
          <w:ilvl w:val="0"/>
          <w:numId w:val="152"/>
        </w:numPr>
        <w:textAlignment w:val="baseline"/>
        <w:rPr>
          <w:rFonts w:eastAsia="Times New Roman" w:cs="Arial"/>
          <w:kern w:val="0"/>
          <w:lang w:eastAsia="en-GB"/>
          <w14:ligatures w14:val="none"/>
        </w:rPr>
      </w:pPr>
      <w:r w:rsidRPr="00BB14FD">
        <w:rPr>
          <w:rFonts w:eastAsia="Times New Roman" w:cs="Arial"/>
          <w:kern w:val="0"/>
          <w:lang w:eastAsia="en-GB"/>
          <w14:ligatures w14:val="none"/>
        </w:rPr>
        <w:t>0.1% by pharmacies in Cardiff and Vale University Health Board</w:t>
      </w:r>
    </w:p>
    <w:p w14:paraId="681D1166" w14:textId="77777777" w:rsidR="00BB14FD" w:rsidRPr="00BB14FD" w:rsidRDefault="00BB14FD" w:rsidP="00BD4BBA">
      <w:pPr>
        <w:rPr>
          <w:rFonts w:eastAsia="Aptos" w:cs="Arial"/>
        </w:rPr>
      </w:pPr>
    </w:p>
    <w:p w14:paraId="3E3171D6" w14:textId="77777777" w:rsidR="00BB14FD" w:rsidRPr="00BB14FD" w:rsidRDefault="00BB14FD" w:rsidP="00BD4BBA">
      <w:pPr>
        <w:shd w:val="clear" w:color="auto" w:fill="FFFFFF"/>
        <w:rPr>
          <w:rFonts w:eastAsia="Times New Roman" w:cs="Arial"/>
          <w:kern w:val="0"/>
          <w:lang w:eastAsia="en-GB"/>
          <w14:ligatures w14:val="none"/>
        </w:rPr>
      </w:pPr>
      <w:r w:rsidRPr="00BB14FD">
        <w:rPr>
          <w:rFonts w:eastAsia="Times New Roman" w:cs="Arial"/>
          <w:kern w:val="0"/>
          <w:lang w:eastAsia="en-GB"/>
          <w14:ligatures w14:val="none"/>
        </w:rPr>
        <w:t>In addition, residents may have accessed one or more pharmaceutical services provided by another pharmacy outside of both the locality and the health board’s area; however, it is not possible to quantify this activity from the recorded data.</w:t>
      </w:r>
    </w:p>
    <w:p w14:paraId="09E8FB48" w14:textId="77777777" w:rsidR="00BB14FD" w:rsidRPr="00BB14FD" w:rsidRDefault="00BB14FD" w:rsidP="00BD4BBA">
      <w:pPr>
        <w:rPr>
          <w:rFonts w:eastAsia="Aptos" w:cs="Arial"/>
        </w:rPr>
      </w:pPr>
    </w:p>
    <w:p w14:paraId="49FCB925" w14:textId="77777777" w:rsidR="00BB14FD" w:rsidRPr="00BB14FD" w:rsidRDefault="00BB14FD" w:rsidP="00BD4BBA">
      <w:pPr>
        <w:rPr>
          <w:rFonts w:eastAsia="Aptos" w:cs="Arial"/>
          <w:b/>
          <w:bCs/>
          <w:sz w:val="26"/>
          <w:szCs w:val="26"/>
        </w:rPr>
      </w:pPr>
      <w:r w:rsidRPr="00BB14FD">
        <w:rPr>
          <w:rFonts w:eastAsia="Aptos" w:cs="Arial"/>
          <w:b/>
          <w:bCs/>
          <w:sz w:val="26"/>
          <w:szCs w:val="26"/>
        </w:rPr>
        <w:lastRenderedPageBreak/>
        <w:t>13.5 Other NHS services</w:t>
      </w:r>
    </w:p>
    <w:p w14:paraId="7F579EEC" w14:textId="77777777" w:rsidR="00BB14FD" w:rsidRPr="00BB14FD" w:rsidRDefault="00BB14FD" w:rsidP="00BD4BBA">
      <w:pPr>
        <w:rPr>
          <w:rFonts w:eastAsia="Aptos" w:cs="Arial"/>
        </w:rPr>
      </w:pPr>
    </w:p>
    <w:p w14:paraId="5F78C5CF" w14:textId="77777777" w:rsidR="00BB14FD" w:rsidRPr="00BB14FD" w:rsidRDefault="00BB14FD" w:rsidP="00BD4BBA">
      <w:pPr>
        <w:rPr>
          <w:rFonts w:eastAsia="Aptos" w:cs="Arial"/>
        </w:rPr>
      </w:pPr>
      <w:r w:rsidRPr="00BB14FD">
        <w:rPr>
          <w:rFonts w:eastAsia="Aptos" w:cs="Arial"/>
        </w:rPr>
        <w:t>Details of the NHS services which affect the need for pharmaceutical services can be found in chapter six.</w:t>
      </w:r>
    </w:p>
    <w:p w14:paraId="37497CA1" w14:textId="77777777" w:rsidR="00BB14FD" w:rsidRPr="00BB14FD" w:rsidRDefault="00BB14FD" w:rsidP="00BD4BBA">
      <w:pPr>
        <w:rPr>
          <w:rFonts w:eastAsia="Aptos" w:cs="Arial"/>
        </w:rPr>
      </w:pPr>
    </w:p>
    <w:p w14:paraId="193EEB95" w14:textId="77777777" w:rsidR="00BB14FD" w:rsidRPr="00BB14FD" w:rsidRDefault="00BB14FD" w:rsidP="00BD4BBA">
      <w:pPr>
        <w:rPr>
          <w:rFonts w:eastAsia="Aptos" w:cs="Arial"/>
          <w:b/>
          <w:bCs/>
          <w:sz w:val="26"/>
          <w:szCs w:val="26"/>
        </w:rPr>
      </w:pPr>
      <w:r w:rsidRPr="00BB14FD">
        <w:rPr>
          <w:rFonts w:eastAsia="Aptos" w:cs="Arial"/>
          <w:b/>
          <w:bCs/>
          <w:sz w:val="26"/>
          <w:szCs w:val="26"/>
        </w:rPr>
        <w:t>13.6 Choice with regard to obtaining pharmaceutical services</w:t>
      </w:r>
    </w:p>
    <w:p w14:paraId="1DE0645C" w14:textId="77777777" w:rsidR="00BB14FD" w:rsidRPr="00BB14FD" w:rsidRDefault="00BB14FD" w:rsidP="00BD4BBA">
      <w:pPr>
        <w:rPr>
          <w:rFonts w:eastAsia="Aptos" w:cs="Arial"/>
        </w:rPr>
      </w:pPr>
    </w:p>
    <w:p w14:paraId="4476DDDC" w14:textId="77777777" w:rsidR="00BB14FD" w:rsidRPr="00BB14FD" w:rsidRDefault="00BB14FD" w:rsidP="00BD4BBA">
      <w:pPr>
        <w:rPr>
          <w:rFonts w:eastAsia="Times New Roman" w:cs="Arial"/>
          <w:kern w:val="0"/>
          <w:lang w:eastAsia="en-GB"/>
          <w14:ligatures w14:val="none"/>
        </w:rPr>
      </w:pPr>
      <w:r w:rsidRPr="00BB14FD">
        <w:rPr>
          <w:rFonts w:eastAsia="Aptos" w:cs="Arial"/>
        </w:rPr>
        <w:t>As can be seen from sections 13.3 and 13.4, those living within the locality and registered with one of the GP practices generally choose to access one of the pharmacies in the locality in order to have their prescriptions dispensed.</w:t>
      </w:r>
      <w:r w:rsidRPr="00BB14FD">
        <w:rPr>
          <w:rFonts w:eastAsia="Times New Roman" w:cs="Arial"/>
          <w:kern w:val="0"/>
          <w:lang w:eastAsia="en-GB"/>
          <w14:ligatures w14:val="none"/>
        </w:rPr>
        <w:t xml:space="preserve"> Those that look outside the locality usually do so to access a neighbouring pharmacy within the health board’s area. A minority choose to have their prescription dispensed by a pharmacy or an appliance contractor outside of the health board’s area. </w:t>
      </w:r>
    </w:p>
    <w:p w14:paraId="1F2A22DB" w14:textId="77777777" w:rsidR="00BB14FD" w:rsidRPr="00BB14FD" w:rsidRDefault="00BB14FD" w:rsidP="00BD4BBA">
      <w:pPr>
        <w:rPr>
          <w:rFonts w:eastAsia="Times New Roman" w:cs="Arial"/>
          <w:kern w:val="0"/>
          <w:lang w:val="en-US" w:eastAsia="en-GB"/>
          <w14:ligatures w14:val="none"/>
        </w:rPr>
      </w:pPr>
    </w:p>
    <w:p w14:paraId="2E87EE8C" w14:textId="77777777" w:rsidR="00BB14FD" w:rsidRPr="00BB14FD" w:rsidRDefault="00BB14FD" w:rsidP="00BD4BBA">
      <w:pPr>
        <w:rPr>
          <w:rFonts w:eastAsia="Times New Roman" w:cs="Arial"/>
          <w:kern w:val="0"/>
          <w:lang w:val="en-US" w:eastAsia="en-GB"/>
          <w14:ligatures w14:val="none"/>
        </w:rPr>
      </w:pPr>
      <w:r w:rsidRPr="00BB14FD">
        <w:rPr>
          <w:rFonts w:eastAsia="Times New Roman" w:cs="Arial"/>
          <w:kern w:val="0"/>
          <w:lang w:val="en-US" w:eastAsia="en-GB"/>
          <w14:ligatures w14:val="none"/>
        </w:rPr>
        <w:t xml:space="preserve">A total of 205 contractors that were trading in Wales during 2024/25 dispensed items written by one of the GP practices in the locality, of which 160 were outside of the health board’s area. 4,453 prescription items were dispensed in England. </w:t>
      </w:r>
    </w:p>
    <w:p w14:paraId="2FD7332C" w14:textId="77777777" w:rsidR="00BB14FD" w:rsidRPr="00BB14FD" w:rsidRDefault="00BB14FD" w:rsidP="00BD4BBA">
      <w:pPr>
        <w:rPr>
          <w:rFonts w:eastAsia="Times New Roman" w:cs="Arial"/>
          <w:kern w:val="0"/>
          <w:lang w:val="en-US" w:eastAsia="en-GB"/>
          <w14:ligatures w14:val="none"/>
        </w:rPr>
      </w:pPr>
    </w:p>
    <w:p w14:paraId="6DD2EF4E" w14:textId="77777777" w:rsidR="00BB14FD" w:rsidRPr="00BB14FD" w:rsidRDefault="00BB14FD" w:rsidP="00BD4BBA">
      <w:pPr>
        <w:rPr>
          <w:rFonts w:eastAsia="Times New Roman" w:cs="Arial"/>
          <w:kern w:val="0"/>
          <w:lang w:val="en-US" w:eastAsia="en-GB"/>
          <w14:ligatures w14:val="none"/>
        </w:rPr>
      </w:pPr>
      <w:r w:rsidRPr="00BB14FD">
        <w:rPr>
          <w:rFonts w:eastAsia="Times New Roman" w:cs="Arial"/>
          <w:kern w:val="0"/>
          <w:lang w:val="en-US" w:eastAsia="en-GB"/>
          <w14:ligatures w14:val="none"/>
        </w:rPr>
        <w:t>A total of 208 contractors that were trading in Wales during 2025/26 (up to December 2025), dispensed items written by one of the GP practices in the locality, of which 132 were outside of the health board’s area. 3,043 prescription items were dispensed in England.</w:t>
      </w:r>
    </w:p>
    <w:p w14:paraId="503378BF" w14:textId="77777777" w:rsidR="00BB14FD" w:rsidRPr="00BB14FD" w:rsidRDefault="00BB14FD" w:rsidP="00BD4BBA">
      <w:pPr>
        <w:rPr>
          <w:rFonts w:eastAsia="Times New Roman" w:cs="Arial"/>
          <w:kern w:val="0"/>
          <w:lang w:val="en-US" w:eastAsia="en-GB"/>
          <w14:ligatures w14:val="none"/>
        </w:rPr>
      </w:pPr>
      <w:r w:rsidRPr="00BB14FD">
        <w:rPr>
          <w:rFonts w:eastAsia="Times New Roman" w:cs="Arial"/>
          <w:kern w:val="0"/>
          <w:lang w:val="en-US" w:eastAsia="en-GB"/>
          <w14:ligatures w14:val="none"/>
        </w:rPr>
        <w:t xml:space="preserve"> </w:t>
      </w:r>
    </w:p>
    <w:p w14:paraId="61AC2980" w14:textId="77777777" w:rsidR="00BB14FD" w:rsidRPr="00BB14FD" w:rsidRDefault="00BB14FD" w:rsidP="00BD4BBA">
      <w:pPr>
        <w:rPr>
          <w:rFonts w:eastAsia="Aptos" w:cs="Arial"/>
          <w:b/>
          <w:bCs/>
          <w:sz w:val="26"/>
          <w:szCs w:val="26"/>
        </w:rPr>
      </w:pPr>
      <w:r w:rsidRPr="00BB14FD">
        <w:rPr>
          <w:rFonts w:eastAsia="Aptos" w:cs="Arial"/>
          <w:b/>
          <w:bCs/>
          <w:sz w:val="26"/>
          <w:szCs w:val="26"/>
        </w:rPr>
        <w:t>13.7 Housing developments</w:t>
      </w:r>
    </w:p>
    <w:p w14:paraId="24C105D8" w14:textId="77777777" w:rsidR="00BB14FD" w:rsidRPr="00BB14FD" w:rsidRDefault="00BB14FD" w:rsidP="00BD4BBA">
      <w:pPr>
        <w:rPr>
          <w:rFonts w:eastAsia="Aptos" w:cs="Arial"/>
        </w:rPr>
      </w:pPr>
    </w:p>
    <w:p w14:paraId="1C09E9FE" w14:textId="77777777" w:rsidR="00BB14FD" w:rsidRPr="00BB14FD" w:rsidRDefault="00BB14FD" w:rsidP="00BD4BBA">
      <w:pPr>
        <w:rPr>
          <w:rFonts w:eastAsia="Aptos" w:cs="Arial"/>
        </w:rPr>
      </w:pPr>
      <w:r w:rsidRPr="00BB14FD">
        <w:rPr>
          <w:rFonts w:eastAsia="Aptos" w:cs="Arial"/>
        </w:rPr>
        <w:t>Work is underway in preparing a new local development plan for Neath Port Talbot which will cover the period 2023 to 2038. The following strategic regeneration and placemaking areas are expected to be included in the plan period and the estimated capacity for new housing provision is set out in the table below although this is subject to further detailed assessment so may change as the plan is finalised.</w:t>
      </w:r>
    </w:p>
    <w:p w14:paraId="6838731C" w14:textId="77777777" w:rsidR="006037B5" w:rsidRPr="00BB14FD" w:rsidRDefault="006037B5" w:rsidP="00BD4BBA">
      <w:pPr>
        <w:rPr>
          <w:rFonts w:eastAsia="Aptos" w:cs="Arial"/>
        </w:rPr>
      </w:pPr>
    </w:p>
    <w:p w14:paraId="308D489B" w14:textId="77777777" w:rsidR="00BB14FD" w:rsidRPr="00BB14FD" w:rsidRDefault="00BB14FD" w:rsidP="00BD4BBA">
      <w:pPr>
        <w:rPr>
          <w:rFonts w:eastAsia="Aptos" w:cs="Arial"/>
          <w:b/>
          <w:bCs/>
        </w:rPr>
      </w:pPr>
      <w:r w:rsidRPr="00BB14FD">
        <w:rPr>
          <w:rFonts w:eastAsia="Aptos" w:cs="Arial"/>
          <w:b/>
          <w:bCs/>
        </w:rPr>
        <w:t>Table 13.8: Potential housing developments 2023 to 2038 in the locality</w:t>
      </w:r>
    </w:p>
    <w:p w14:paraId="37272D63" w14:textId="77777777" w:rsidR="00BB14FD" w:rsidRPr="00BB14FD" w:rsidRDefault="00BB14FD" w:rsidP="00BD4BBA">
      <w:pPr>
        <w:rPr>
          <w:rFonts w:eastAsia="Aptos" w:cs="Arial"/>
        </w:rPr>
      </w:pPr>
    </w:p>
    <w:tbl>
      <w:tblPr>
        <w:tblW w:w="9067" w:type="dxa"/>
        <w:tblLook w:val="04A0" w:firstRow="1" w:lastRow="0" w:firstColumn="1" w:lastColumn="0" w:noHBand="0" w:noVBand="1"/>
      </w:tblPr>
      <w:tblGrid>
        <w:gridCol w:w="4390"/>
        <w:gridCol w:w="1609"/>
        <w:gridCol w:w="1651"/>
        <w:gridCol w:w="1417"/>
      </w:tblGrid>
      <w:tr w:rsidR="0006470A" w:rsidRPr="0006470A" w14:paraId="0DFD0F9E" w14:textId="77777777" w:rsidTr="0006470A">
        <w:trPr>
          <w:trHeight w:val="1245"/>
        </w:trPr>
        <w:tc>
          <w:tcPr>
            <w:tcW w:w="4390" w:type="dxa"/>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hideMark/>
          </w:tcPr>
          <w:p w14:paraId="750508F3" w14:textId="77777777" w:rsidR="00BB14FD" w:rsidRPr="0006470A" w:rsidRDefault="00BB14FD" w:rsidP="006037B5">
            <w:pPr>
              <w:rPr>
                <w:rFonts w:eastAsia="Times New Roman" w:cs="Arial"/>
                <w:b/>
                <w:bCs/>
                <w:color w:val="FFFFFF" w:themeColor="background1"/>
                <w:kern w:val="0"/>
                <w:lang w:eastAsia="en-GB"/>
                <w14:ligatures w14:val="none"/>
              </w:rPr>
            </w:pPr>
            <w:bookmarkStart w:id="40" w:name="_Hlk233902530"/>
            <w:r w:rsidRPr="0006470A">
              <w:rPr>
                <w:rFonts w:eastAsia="Times New Roman" w:cs="Arial"/>
                <w:b/>
                <w:bCs/>
                <w:color w:val="FFFFFF" w:themeColor="background1"/>
                <w:kern w:val="0"/>
                <w:lang w:eastAsia="en-GB"/>
                <w14:ligatures w14:val="none"/>
              </w:rPr>
              <w:t>Site name</w:t>
            </w:r>
          </w:p>
        </w:tc>
        <w:tc>
          <w:tcPr>
            <w:tcW w:w="1609" w:type="dxa"/>
            <w:tcBorders>
              <w:top w:val="single" w:sz="4" w:space="0" w:color="auto"/>
              <w:left w:val="nil"/>
              <w:bottom w:val="single" w:sz="4" w:space="0" w:color="auto"/>
              <w:right w:val="single" w:sz="4" w:space="0" w:color="auto"/>
            </w:tcBorders>
            <w:shd w:val="clear" w:color="auto" w:fill="153D63" w:themeFill="text2" w:themeFillTint="E6"/>
            <w:vAlign w:val="center"/>
            <w:hideMark/>
          </w:tcPr>
          <w:p w14:paraId="5D35583F" w14:textId="77777777" w:rsidR="00BB14FD" w:rsidRPr="0006470A" w:rsidRDefault="00BB14FD" w:rsidP="00BD4BBA">
            <w:pPr>
              <w:jc w:val="center"/>
              <w:rPr>
                <w:rFonts w:eastAsia="Times New Roman" w:cs="Arial"/>
                <w:b/>
                <w:bCs/>
                <w:color w:val="FFFFFF" w:themeColor="background1"/>
                <w:kern w:val="0"/>
                <w:lang w:eastAsia="en-GB"/>
                <w14:ligatures w14:val="none"/>
              </w:rPr>
            </w:pPr>
            <w:r w:rsidRPr="0006470A">
              <w:rPr>
                <w:rFonts w:eastAsia="Times New Roman" w:cs="Arial"/>
                <w:b/>
                <w:bCs/>
                <w:color w:val="FFFFFF" w:themeColor="background1"/>
                <w:kern w:val="0"/>
                <w:lang w:eastAsia="en-GB"/>
                <w14:ligatures w14:val="none"/>
              </w:rPr>
              <w:t>Cluster</w:t>
            </w:r>
          </w:p>
        </w:tc>
        <w:tc>
          <w:tcPr>
            <w:tcW w:w="1651" w:type="dxa"/>
            <w:tcBorders>
              <w:top w:val="single" w:sz="4" w:space="0" w:color="auto"/>
              <w:left w:val="nil"/>
              <w:bottom w:val="single" w:sz="4" w:space="0" w:color="auto"/>
              <w:right w:val="single" w:sz="4" w:space="0" w:color="auto"/>
            </w:tcBorders>
            <w:shd w:val="clear" w:color="auto" w:fill="153D63" w:themeFill="text2" w:themeFillTint="E6"/>
            <w:vAlign w:val="center"/>
            <w:hideMark/>
          </w:tcPr>
          <w:p w14:paraId="62876065" w14:textId="77777777" w:rsidR="00BB14FD" w:rsidRPr="0006470A" w:rsidRDefault="00BB14FD" w:rsidP="00BD4BBA">
            <w:pPr>
              <w:jc w:val="center"/>
              <w:rPr>
                <w:rFonts w:eastAsia="Times New Roman" w:cs="Arial"/>
                <w:b/>
                <w:bCs/>
                <w:color w:val="FFFFFF" w:themeColor="background1"/>
                <w:kern w:val="0"/>
                <w:lang w:eastAsia="en-GB"/>
                <w14:ligatures w14:val="none"/>
              </w:rPr>
            </w:pPr>
            <w:r w:rsidRPr="0006470A">
              <w:rPr>
                <w:rFonts w:eastAsia="Times New Roman" w:cs="Arial"/>
                <w:b/>
                <w:bCs/>
                <w:color w:val="FFFFFF" w:themeColor="background1"/>
                <w:kern w:val="0"/>
                <w:lang w:eastAsia="en-GB"/>
                <w14:ligatures w14:val="none"/>
              </w:rPr>
              <w:t>Total number of units in plan period</w:t>
            </w:r>
          </w:p>
        </w:tc>
        <w:tc>
          <w:tcPr>
            <w:tcW w:w="1417" w:type="dxa"/>
            <w:tcBorders>
              <w:top w:val="single" w:sz="4" w:space="0" w:color="auto"/>
              <w:left w:val="nil"/>
              <w:bottom w:val="single" w:sz="4" w:space="0" w:color="auto"/>
              <w:right w:val="single" w:sz="4" w:space="0" w:color="auto"/>
            </w:tcBorders>
            <w:shd w:val="clear" w:color="auto" w:fill="153D63" w:themeFill="text2" w:themeFillTint="E6"/>
            <w:vAlign w:val="center"/>
            <w:hideMark/>
          </w:tcPr>
          <w:p w14:paraId="7E89F807" w14:textId="77777777" w:rsidR="00BB14FD" w:rsidRPr="0006470A" w:rsidRDefault="00BB14FD" w:rsidP="00BD4BBA">
            <w:pPr>
              <w:jc w:val="center"/>
              <w:rPr>
                <w:rFonts w:eastAsia="Times New Roman" w:cs="Arial"/>
                <w:b/>
                <w:bCs/>
                <w:color w:val="FFFFFF" w:themeColor="background1"/>
                <w:kern w:val="0"/>
                <w:lang w:eastAsia="en-GB"/>
                <w14:ligatures w14:val="none"/>
              </w:rPr>
            </w:pPr>
            <w:r w:rsidRPr="0006470A">
              <w:rPr>
                <w:rFonts w:eastAsia="Times New Roman" w:cs="Arial"/>
                <w:b/>
                <w:bCs/>
                <w:color w:val="FFFFFF" w:themeColor="background1"/>
                <w:kern w:val="0"/>
                <w:lang w:eastAsia="en-GB"/>
                <w14:ligatures w14:val="none"/>
              </w:rPr>
              <w:t>Maximum number of people</w:t>
            </w:r>
          </w:p>
        </w:tc>
      </w:tr>
      <w:bookmarkEnd w:id="40"/>
      <w:tr w:rsidR="00BB14FD" w:rsidRPr="00BB14FD" w14:paraId="76806194" w14:textId="77777777" w:rsidTr="00BB14FD">
        <w:trPr>
          <w:trHeight w:val="300"/>
        </w:trPr>
        <w:tc>
          <w:tcPr>
            <w:tcW w:w="4390" w:type="dxa"/>
            <w:tcBorders>
              <w:top w:val="nil"/>
              <w:left w:val="single" w:sz="4" w:space="0" w:color="auto"/>
              <w:bottom w:val="single" w:sz="4" w:space="0" w:color="auto"/>
              <w:right w:val="single" w:sz="4" w:space="0" w:color="auto"/>
            </w:tcBorders>
            <w:vAlign w:val="center"/>
            <w:hideMark/>
          </w:tcPr>
          <w:p w14:paraId="404CE99B" w14:textId="77777777" w:rsidR="00BB14FD" w:rsidRPr="00BB14FD" w:rsidRDefault="00BB14FD" w:rsidP="00BD4BBA">
            <w:pP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Blaenbaglan</w:t>
            </w:r>
          </w:p>
        </w:tc>
        <w:tc>
          <w:tcPr>
            <w:tcW w:w="1609" w:type="dxa"/>
            <w:tcBorders>
              <w:top w:val="nil"/>
              <w:left w:val="nil"/>
              <w:bottom w:val="single" w:sz="4" w:space="0" w:color="auto"/>
              <w:right w:val="single" w:sz="4" w:space="0" w:color="auto"/>
            </w:tcBorders>
            <w:vAlign w:val="center"/>
            <w:hideMark/>
          </w:tcPr>
          <w:p w14:paraId="61AAA48A" w14:textId="77777777" w:rsidR="00BB14FD" w:rsidRPr="00BB14FD" w:rsidRDefault="00BB14FD" w:rsidP="00BD4BBA">
            <w:pP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Neath, Afan</w:t>
            </w:r>
          </w:p>
        </w:tc>
        <w:tc>
          <w:tcPr>
            <w:tcW w:w="1651" w:type="dxa"/>
            <w:tcBorders>
              <w:top w:val="nil"/>
              <w:left w:val="nil"/>
              <w:bottom w:val="single" w:sz="4" w:space="0" w:color="auto"/>
              <w:right w:val="single" w:sz="4" w:space="0" w:color="auto"/>
            </w:tcBorders>
            <w:vAlign w:val="center"/>
            <w:hideMark/>
          </w:tcPr>
          <w:p w14:paraId="6A773C0A" w14:textId="77777777" w:rsidR="00BB14FD" w:rsidRPr="00BB14FD" w:rsidRDefault="00BB14FD" w:rsidP="00BD4BBA">
            <w:pPr>
              <w:jc w:val="center"/>
              <w:rPr>
                <w:rFonts w:eastAsia="Times New Roman" w:cs="Arial"/>
                <w:kern w:val="0"/>
                <w:lang w:eastAsia="en-GB"/>
                <w14:ligatures w14:val="none"/>
              </w:rPr>
            </w:pPr>
            <w:r w:rsidRPr="00BB14FD">
              <w:rPr>
                <w:rFonts w:eastAsia="Times New Roman" w:cs="Arial"/>
                <w:kern w:val="0"/>
                <w:lang w:eastAsia="en-GB"/>
                <w14:ligatures w14:val="none"/>
              </w:rPr>
              <w:t>141</w:t>
            </w:r>
          </w:p>
        </w:tc>
        <w:tc>
          <w:tcPr>
            <w:tcW w:w="1417" w:type="dxa"/>
            <w:tcBorders>
              <w:top w:val="nil"/>
              <w:left w:val="nil"/>
              <w:bottom w:val="single" w:sz="4" w:space="0" w:color="auto"/>
              <w:right w:val="single" w:sz="4" w:space="0" w:color="auto"/>
            </w:tcBorders>
            <w:vAlign w:val="center"/>
            <w:hideMark/>
          </w:tcPr>
          <w:p w14:paraId="7B4739C6" w14:textId="77777777" w:rsidR="00BB14FD" w:rsidRPr="00BB14FD" w:rsidRDefault="00BB14FD" w:rsidP="00BD4BBA">
            <w:pPr>
              <w:jc w:val="cente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361</w:t>
            </w:r>
          </w:p>
        </w:tc>
      </w:tr>
      <w:tr w:rsidR="00BB14FD" w:rsidRPr="00BB14FD" w14:paraId="3CF9927E" w14:textId="77777777" w:rsidTr="00BB14FD">
        <w:trPr>
          <w:trHeight w:val="300"/>
        </w:trPr>
        <w:tc>
          <w:tcPr>
            <w:tcW w:w="4390" w:type="dxa"/>
            <w:tcBorders>
              <w:top w:val="nil"/>
              <w:left w:val="single" w:sz="4" w:space="0" w:color="auto"/>
              <w:bottom w:val="single" w:sz="4" w:space="0" w:color="auto"/>
              <w:right w:val="single" w:sz="4" w:space="0" w:color="auto"/>
            </w:tcBorders>
            <w:vAlign w:val="center"/>
            <w:hideMark/>
          </w:tcPr>
          <w:p w14:paraId="362C6653" w14:textId="77777777" w:rsidR="00BB14FD" w:rsidRPr="00BB14FD" w:rsidRDefault="00BB14FD" w:rsidP="00BD4BBA">
            <w:pP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Blaenbaglan remainder</w:t>
            </w:r>
          </w:p>
        </w:tc>
        <w:tc>
          <w:tcPr>
            <w:tcW w:w="1609" w:type="dxa"/>
            <w:tcBorders>
              <w:top w:val="nil"/>
              <w:left w:val="nil"/>
              <w:bottom w:val="single" w:sz="4" w:space="0" w:color="auto"/>
              <w:right w:val="single" w:sz="4" w:space="0" w:color="auto"/>
            </w:tcBorders>
            <w:vAlign w:val="center"/>
            <w:hideMark/>
          </w:tcPr>
          <w:p w14:paraId="605E45DB" w14:textId="77777777" w:rsidR="00BB14FD" w:rsidRPr="00BB14FD" w:rsidRDefault="00BB14FD" w:rsidP="00BD4BBA">
            <w:pP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Neath, Afan</w:t>
            </w:r>
          </w:p>
        </w:tc>
        <w:tc>
          <w:tcPr>
            <w:tcW w:w="1651" w:type="dxa"/>
            <w:tcBorders>
              <w:top w:val="nil"/>
              <w:left w:val="nil"/>
              <w:bottom w:val="single" w:sz="4" w:space="0" w:color="auto"/>
              <w:right w:val="single" w:sz="4" w:space="0" w:color="auto"/>
            </w:tcBorders>
            <w:vAlign w:val="center"/>
            <w:hideMark/>
          </w:tcPr>
          <w:p w14:paraId="1BAADC3F" w14:textId="77777777" w:rsidR="00BB14FD" w:rsidRPr="00BB14FD" w:rsidRDefault="00BB14FD" w:rsidP="00BD4BBA">
            <w:pPr>
              <w:jc w:val="center"/>
              <w:rPr>
                <w:rFonts w:eastAsia="Times New Roman" w:cs="Arial"/>
                <w:kern w:val="0"/>
                <w:lang w:eastAsia="en-GB"/>
                <w14:ligatures w14:val="none"/>
              </w:rPr>
            </w:pPr>
            <w:r w:rsidRPr="00BB14FD">
              <w:rPr>
                <w:rFonts w:eastAsia="Times New Roman" w:cs="Arial"/>
                <w:kern w:val="0"/>
                <w:lang w:eastAsia="en-GB"/>
                <w14:ligatures w14:val="none"/>
              </w:rPr>
              <w:t>200</w:t>
            </w:r>
          </w:p>
        </w:tc>
        <w:tc>
          <w:tcPr>
            <w:tcW w:w="1417" w:type="dxa"/>
            <w:tcBorders>
              <w:top w:val="nil"/>
              <w:left w:val="nil"/>
              <w:bottom w:val="single" w:sz="4" w:space="0" w:color="auto"/>
              <w:right w:val="single" w:sz="4" w:space="0" w:color="auto"/>
            </w:tcBorders>
            <w:vAlign w:val="center"/>
            <w:hideMark/>
          </w:tcPr>
          <w:p w14:paraId="04D00FC4" w14:textId="77777777" w:rsidR="00BB14FD" w:rsidRPr="00BB14FD" w:rsidRDefault="00BB14FD" w:rsidP="00BD4BBA">
            <w:pPr>
              <w:jc w:val="cente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515</w:t>
            </w:r>
          </w:p>
        </w:tc>
      </w:tr>
      <w:tr w:rsidR="00BB14FD" w:rsidRPr="00BB14FD" w14:paraId="751B3017" w14:textId="77777777" w:rsidTr="00BB14FD">
        <w:trPr>
          <w:trHeight w:val="900"/>
        </w:trPr>
        <w:tc>
          <w:tcPr>
            <w:tcW w:w="4390" w:type="dxa"/>
            <w:tcBorders>
              <w:top w:val="nil"/>
              <w:left w:val="single" w:sz="4" w:space="0" w:color="auto"/>
              <w:bottom w:val="single" w:sz="4" w:space="0" w:color="auto"/>
              <w:right w:val="single" w:sz="4" w:space="0" w:color="auto"/>
            </w:tcBorders>
            <w:vAlign w:val="center"/>
            <w:hideMark/>
          </w:tcPr>
          <w:p w14:paraId="4D75BFC4" w14:textId="77777777" w:rsidR="00BB14FD" w:rsidRPr="00BB14FD" w:rsidRDefault="00BB14FD" w:rsidP="00BD4BBA">
            <w:pP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Land adjacent to the Willows Option A/B, &amp; Land adjacent to B4282, Bryn) Bryn</w:t>
            </w:r>
          </w:p>
        </w:tc>
        <w:tc>
          <w:tcPr>
            <w:tcW w:w="1609" w:type="dxa"/>
            <w:tcBorders>
              <w:top w:val="nil"/>
              <w:left w:val="nil"/>
              <w:bottom w:val="single" w:sz="4" w:space="0" w:color="auto"/>
              <w:right w:val="single" w:sz="4" w:space="0" w:color="auto"/>
            </w:tcBorders>
            <w:vAlign w:val="center"/>
            <w:hideMark/>
          </w:tcPr>
          <w:p w14:paraId="394AB3CC" w14:textId="77777777" w:rsidR="00BB14FD" w:rsidRPr="00BB14FD" w:rsidRDefault="00BB14FD" w:rsidP="00BD4BBA">
            <w:pP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Afan</w:t>
            </w:r>
          </w:p>
        </w:tc>
        <w:tc>
          <w:tcPr>
            <w:tcW w:w="1651" w:type="dxa"/>
            <w:tcBorders>
              <w:top w:val="nil"/>
              <w:left w:val="nil"/>
              <w:bottom w:val="single" w:sz="4" w:space="0" w:color="auto"/>
              <w:right w:val="single" w:sz="4" w:space="0" w:color="auto"/>
            </w:tcBorders>
            <w:vAlign w:val="center"/>
            <w:hideMark/>
          </w:tcPr>
          <w:p w14:paraId="01E05AAD" w14:textId="77777777" w:rsidR="00BB14FD" w:rsidRPr="00BB14FD" w:rsidRDefault="00BB14FD" w:rsidP="00BD4BBA">
            <w:pPr>
              <w:jc w:val="center"/>
              <w:rPr>
                <w:rFonts w:eastAsia="Times New Roman" w:cs="Arial"/>
                <w:kern w:val="0"/>
                <w:lang w:eastAsia="en-GB"/>
                <w14:ligatures w14:val="none"/>
              </w:rPr>
            </w:pPr>
            <w:r w:rsidRPr="00BB14FD">
              <w:rPr>
                <w:rFonts w:eastAsia="Times New Roman" w:cs="Arial"/>
                <w:kern w:val="0"/>
                <w:lang w:eastAsia="en-GB"/>
                <w14:ligatures w14:val="none"/>
              </w:rPr>
              <w:t>30</w:t>
            </w:r>
          </w:p>
        </w:tc>
        <w:tc>
          <w:tcPr>
            <w:tcW w:w="1417" w:type="dxa"/>
            <w:tcBorders>
              <w:top w:val="nil"/>
              <w:left w:val="nil"/>
              <w:bottom w:val="single" w:sz="4" w:space="0" w:color="auto"/>
              <w:right w:val="single" w:sz="4" w:space="0" w:color="auto"/>
            </w:tcBorders>
            <w:vAlign w:val="center"/>
            <w:hideMark/>
          </w:tcPr>
          <w:p w14:paraId="17034FDB" w14:textId="77777777" w:rsidR="00BB14FD" w:rsidRPr="00BB14FD" w:rsidRDefault="00BB14FD" w:rsidP="00BD4BBA">
            <w:pPr>
              <w:jc w:val="cente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83</w:t>
            </w:r>
          </w:p>
        </w:tc>
      </w:tr>
      <w:tr w:rsidR="00BB14FD" w:rsidRPr="00BB14FD" w14:paraId="1FAA53BE" w14:textId="77777777" w:rsidTr="00BB14FD">
        <w:trPr>
          <w:trHeight w:val="300"/>
        </w:trPr>
        <w:tc>
          <w:tcPr>
            <w:tcW w:w="4390" w:type="dxa"/>
            <w:tcBorders>
              <w:top w:val="nil"/>
              <w:left w:val="single" w:sz="4" w:space="0" w:color="auto"/>
              <w:bottom w:val="single" w:sz="4" w:space="0" w:color="auto"/>
              <w:right w:val="single" w:sz="4" w:space="0" w:color="auto"/>
            </w:tcBorders>
            <w:vAlign w:val="center"/>
            <w:hideMark/>
          </w:tcPr>
          <w:p w14:paraId="2F10E7A7" w14:textId="77777777" w:rsidR="00BB14FD" w:rsidRPr="00BB14FD" w:rsidRDefault="00BB14FD" w:rsidP="00BD4BBA">
            <w:pP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Land off Heol y Bwlch</w:t>
            </w:r>
          </w:p>
        </w:tc>
        <w:tc>
          <w:tcPr>
            <w:tcW w:w="1609" w:type="dxa"/>
            <w:tcBorders>
              <w:top w:val="nil"/>
              <w:left w:val="nil"/>
              <w:bottom w:val="single" w:sz="4" w:space="0" w:color="auto"/>
              <w:right w:val="single" w:sz="4" w:space="0" w:color="auto"/>
            </w:tcBorders>
            <w:vAlign w:val="center"/>
            <w:hideMark/>
          </w:tcPr>
          <w:p w14:paraId="3693D0E7" w14:textId="77777777" w:rsidR="00BB14FD" w:rsidRPr="00BB14FD" w:rsidRDefault="00BB14FD" w:rsidP="00BD4BBA">
            <w:pP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Afan</w:t>
            </w:r>
          </w:p>
        </w:tc>
        <w:tc>
          <w:tcPr>
            <w:tcW w:w="1651" w:type="dxa"/>
            <w:tcBorders>
              <w:top w:val="nil"/>
              <w:left w:val="nil"/>
              <w:bottom w:val="single" w:sz="4" w:space="0" w:color="auto"/>
              <w:right w:val="single" w:sz="4" w:space="0" w:color="auto"/>
            </w:tcBorders>
            <w:vAlign w:val="center"/>
            <w:hideMark/>
          </w:tcPr>
          <w:p w14:paraId="5FC20296" w14:textId="77777777" w:rsidR="00BB14FD" w:rsidRPr="00BB14FD" w:rsidRDefault="00BB14FD" w:rsidP="00BD4BBA">
            <w:pPr>
              <w:jc w:val="center"/>
              <w:rPr>
                <w:rFonts w:eastAsia="Times New Roman" w:cs="Arial"/>
                <w:kern w:val="0"/>
                <w:lang w:eastAsia="en-GB"/>
                <w14:ligatures w14:val="none"/>
              </w:rPr>
            </w:pPr>
            <w:r w:rsidRPr="00BB14FD">
              <w:rPr>
                <w:rFonts w:eastAsia="Times New Roman" w:cs="Arial"/>
                <w:kern w:val="0"/>
                <w:lang w:eastAsia="en-GB"/>
                <w14:ligatures w14:val="none"/>
              </w:rPr>
              <w:t>62</w:t>
            </w:r>
          </w:p>
        </w:tc>
        <w:tc>
          <w:tcPr>
            <w:tcW w:w="1417" w:type="dxa"/>
            <w:tcBorders>
              <w:top w:val="nil"/>
              <w:left w:val="nil"/>
              <w:bottom w:val="single" w:sz="4" w:space="0" w:color="auto"/>
              <w:right w:val="single" w:sz="4" w:space="0" w:color="auto"/>
            </w:tcBorders>
            <w:vAlign w:val="center"/>
            <w:hideMark/>
          </w:tcPr>
          <w:p w14:paraId="30EA1813" w14:textId="77777777" w:rsidR="00BB14FD" w:rsidRPr="00BB14FD" w:rsidRDefault="00BB14FD" w:rsidP="00BD4BBA">
            <w:pPr>
              <w:jc w:val="cente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165</w:t>
            </w:r>
          </w:p>
        </w:tc>
      </w:tr>
      <w:tr w:rsidR="00BB14FD" w:rsidRPr="00BB14FD" w14:paraId="4D0612A0" w14:textId="77777777" w:rsidTr="00BB14FD">
        <w:trPr>
          <w:trHeight w:val="600"/>
        </w:trPr>
        <w:tc>
          <w:tcPr>
            <w:tcW w:w="4390" w:type="dxa"/>
            <w:tcBorders>
              <w:top w:val="nil"/>
              <w:left w:val="single" w:sz="4" w:space="0" w:color="auto"/>
              <w:bottom w:val="single" w:sz="4" w:space="0" w:color="auto"/>
              <w:right w:val="single" w:sz="4" w:space="0" w:color="auto"/>
            </w:tcBorders>
            <w:vAlign w:val="center"/>
            <w:hideMark/>
          </w:tcPr>
          <w:p w14:paraId="645B5465" w14:textId="77777777" w:rsidR="00BB14FD" w:rsidRPr="00BB14FD" w:rsidRDefault="00BB14FD" w:rsidP="00BD4BBA">
            <w:pP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Land North of Former Bryn Primary School Option A and B</w:t>
            </w:r>
          </w:p>
        </w:tc>
        <w:tc>
          <w:tcPr>
            <w:tcW w:w="1609" w:type="dxa"/>
            <w:tcBorders>
              <w:top w:val="nil"/>
              <w:left w:val="nil"/>
              <w:bottom w:val="single" w:sz="4" w:space="0" w:color="auto"/>
              <w:right w:val="single" w:sz="4" w:space="0" w:color="auto"/>
            </w:tcBorders>
            <w:vAlign w:val="center"/>
            <w:hideMark/>
          </w:tcPr>
          <w:p w14:paraId="1EC1A59F" w14:textId="77777777" w:rsidR="00BB14FD" w:rsidRPr="00BB14FD" w:rsidRDefault="00BB14FD" w:rsidP="00BD4BBA">
            <w:pP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Afan</w:t>
            </w:r>
          </w:p>
        </w:tc>
        <w:tc>
          <w:tcPr>
            <w:tcW w:w="1651" w:type="dxa"/>
            <w:tcBorders>
              <w:top w:val="nil"/>
              <w:left w:val="nil"/>
              <w:bottom w:val="single" w:sz="4" w:space="0" w:color="auto"/>
              <w:right w:val="single" w:sz="4" w:space="0" w:color="auto"/>
            </w:tcBorders>
            <w:vAlign w:val="center"/>
            <w:hideMark/>
          </w:tcPr>
          <w:p w14:paraId="05FB9311" w14:textId="77777777" w:rsidR="00BB14FD" w:rsidRPr="00BB14FD" w:rsidRDefault="00BB14FD" w:rsidP="00BD4BBA">
            <w:pPr>
              <w:jc w:val="center"/>
              <w:rPr>
                <w:rFonts w:eastAsia="Times New Roman" w:cs="Arial"/>
                <w:kern w:val="0"/>
                <w:lang w:eastAsia="en-GB"/>
                <w14:ligatures w14:val="none"/>
              </w:rPr>
            </w:pPr>
            <w:r w:rsidRPr="00BB14FD">
              <w:rPr>
                <w:rFonts w:eastAsia="Times New Roman" w:cs="Arial"/>
                <w:kern w:val="0"/>
                <w:lang w:eastAsia="en-GB"/>
                <w14:ligatures w14:val="none"/>
              </w:rPr>
              <w:t>30</w:t>
            </w:r>
          </w:p>
        </w:tc>
        <w:tc>
          <w:tcPr>
            <w:tcW w:w="1417" w:type="dxa"/>
            <w:tcBorders>
              <w:top w:val="nil"/>
              <w:left w:val="nil"/>
              <w:bottom w:val="single" w:sz="4" w:space="0" w:color="auto"/>
              <w:right w:val="single" w:sz="4" w:space="0" w:color="auto"/>
            </w:tcBorders>
            <w:vAlign w:val="center"/>
            <w:hideMark/>
          </w:tcPr>
          <w:p w14:paraId="1F459F89" w14:textId="77777777" w:rsidR="00BB14FD" w:rsidRPr="00BB14FD" w:rsidRDefault="00BB14FD" w:rsidP="00BD4BBA">
            <w:pPr>
              <w:jc w:val="cente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80</w:t>
            </w:r>
          </w:p>
        </w:tc>
      </w:tr>
      <w:tr w:rsidR="00BB14FD" w:rsidRPr="00BB14FD" w14:paraId="3B5E19C6" w14:textId="77777777" w:rsidTr="00BB14FD">
        <w:trPr>
          <w:trHeight w:val="300"/>
        </w:trPr>
        <w:tc>
          <w:tcPr>
            <w:tcW w:w="4390" w:type="dxa"/>
            <w:tcBorders>
              <w:top w:val="nil"/>
              <w:left w:val="single" w:sz="4" w:space="0" w:color="auto"/>
              <w:bottom w:val="single" w:sz="4" w:space="0" w:color="auto"/>
              <w:right w:val="single" w:sz="4" w:space="0" w:color="auto"/>
            </w:tcBorders>
            <w:vAlign w:val="center"/>
            <w:hideMark/>
          </w:tcPr>
          <w:p w14:paraId="7D056561" w14:textId="77777777" w:rsidR="00BB14FD" w:rsidRPr="00BB14FD" w:rsidRDefault="00BB14FD" w:rsidP="00BD4BBA">
            <w:pP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 xml:space="preserve">Abbotts Close </w:t>
            </w:r>
          </w:p>
        </w:tc>
        <w:tc>
          <w:tcPr>
            <w:tcW w:w="1609" w:type="dxa"/>
            <w:tcBorders>
              <w:top w:val="nil"/>
              <w:left w:val="nil"/>
              <w:bottom w:val="single" w:sz="4" w:space="0" w:color="auto"/>
              <w:right w:val="single" w:sz="4" w:space="0" w:color="auto"/>
            </w:tcBorders>
            <w:vAlign w:val="center"/>
            <w:hideMark/>
          </w:tcPr>
          <w:p w14:paraId="530F3199" w14:textId="77777777" w:rsidR="00BB14FD" w:rsidRPr="00BB14FD" w:rsidRDefault="00BB14FD" w:rsidP="00BD4BBA">
            <w:pP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Afan</w:t>
            </w:r>
          </w:p>
        </w:tc>
        <w:tc>
          <w:tcPr>
            <w:tcW w:w="1651" w:type="dxa"/>
            <w:tcBorders>
              <w:top w:val="nil"/>
              <w:left w:val="nil"/>
              <w:bottom w:val="single" w:sz="4" w:space="0" w:color="auto"/>
              <w:right w:val="single" w:sz="4" w:space="0" w:color="auto"/>
            </w:tcBorders>
            <w:vAlign w:val="center"/>
            <w:hideMark/>
          </w:tcPr>
          <w:p w14:paraId="08EEA210" w14:textId="77777777" w:rsidR="00BB14FD" w:rsidRPr="00BB14FD" w:rsidRDefault="00BB14FD" w:rsidP="00BD4BBA">
            <w:pPr>
              <w:jc w:val="center"/>
              <w:rPr>
                <w:rFonts w:eastAsia="Times New Roman" w:cs="Arial"/>
                <w:kern w:val="0"/>
                <w:lang w:eastAsia="en-GB"/>
                <w14:ligatures w14:val="none"/>
              </w:rPr>
            </w:pPr>
            <w:r w:rsidRPr="00BB14FD">
              <w:rPr>
                <w:rFonts w:eastAsia="Times New Roman" w:cs="Arial"/>
                <w:kern w:val="0"/>
                <w:lang w:eastAsia="en-GB"/>
                <w14:ligatures w14:val="none"/>
              </w:rPr>
              <w:t>30</w:t>
            </w:r>
          </w:p>
        </w:tc>
        <w:tc>
          <w:tcPr>
            <w:tcW w:w="1417" w:type="dxa"/>
            <w:tcBorders>
              <w:top w:val="nil"/>
              <w:left w:val="nil"/>
              <w:bottom w:val="single" w:sz="4" w:space="0" w:color="auto"/>
              <w:right w:val="single" w:sz="4" w:space="0" w:color="auto"/>
            </w:tcBorders>
            <w:vAlign w:val="center"/>
            <w:hideMark/>
          </w:tcPr>
          <w:p w14:paraId="45CBED5E" w14:textId="77777777" w:rsidR="00BB14FD" w:rsidRPr="00BB14FD" w:rsidRDefault="00BB14FD" w:rsidP="00BD4BBA">
            <w:pPr>
              <w:jc w:val="cente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80</w:t>
            </w:r>
          </w:p>
        </w:tc>
      </w:tr>
      <w:tr w:rsidR="00BB14FD" w:rsidRPr="00BB14FD" w14:paraId="1474B547" w14:textId="77777777" w:rsidTr="00BB14FD">
        <w:trPr>
          <w:trHeight w:val="300"/>
        </w:trPr>
        <w:tc>
          <w:tcPr>
            <w:tcW w:w="4390" w:type="dxa"/>
            <w:tcBorders>
              <w:top w:val="nil"/>
              <w:left w:val="single" w:sz="4" w:space="0" w:color="auto"/>
              <w:bottom w:val="single" w:sz="4" w:space="0" w:color="auto"/>
              <w:right w:val="single" w:sz="4" w:space="0" w:color="auto"/>
            </w:tcBorders>
            <w:vAlign w:val="center"/>
            <w:hideMark/>
          </w:tcPr>
          <w:p w14:paraId="240F869D" w14:textId="77777777" w:rsidR="00BB14FD" w:rsidRPr="00BB14FD" w:rsidRDefault="00BB14FD" w:rsidP="00BD4BBA">
            <w:pP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Land at Forest Lodge Lane</w:t>
            </w:r>
          </w:p>
        </w:tc>
        <w:tc>
          <w:tcPr>
            <w:tcW w:w="1609" w:type="dxa"/>
            <w:tcBorders>
              <w:top w:val="nil"/>
              <w:left w:val="nil"/>
              <w:bottom w:val="single" w:sz="4" w:space="0" w:color="auto"/>
              <w:right w:val="single" w:sz="4" w:space="0" w:color="auto"/>
            </w:tcBorders>
            <w:vAlign w:val="center"/>
            <w:hideMark/>
          </w:tcPr>
          <w:p w14:paraId="02AC0C08" w14:textId="77777777" w:rsidR="00BB14FD" w:rsidRPr="00BB14FD" w:rsidRDefault="00BB14FD" w:rsidP="00BD4BBA">
            <w:pP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Afan</w:t>
            </w:r>
          </w:p>
        </w:tc>
        <w:tc>
          <w:tcPr>
            <w:tcW w:w="1651" w:type="dxa"/>
            <w:tcBorders>
              <w:top w:val="nil"/>
              <w:left w:val="nil"/>
              <w:bottom w:val="single" w:sz="4" w:space="0" w:color="auto"/>
              <w:right w:val="single" w:sz="4" w:space="0" w:color="auto"/>
            </w:tcBorders>
            <w:vAlign w:val="center"/>
            <w:hideMark/>
          </w:tcPr>
          <w:p w14:paraId="1D563DF7" w14:textId="77777777" w:rsidR="00BB14FD" w:rsidRPr="00BB14FD" w:rsidRDefault="00BB14FD" w:rsidP="00BD4BBA">
            <w:pPr>
              <w:jc w:val="center"/>
              <w:rPr>
                <w:rFonts w:eastAsia="Times New Roman" w:cs="Arial"/>
                <w:kern w:val="0"/>
                <w:lang w:eastAsia="en-GB"/>
                <w14:ligatures w14:val="none"/>
              </w:rPr>
            </w:pPr>
            <w:r w:rsidRPr="00BB14FD">
              <w:rPr>
                <w:rFonts w:eastAsia="Times New Roman" w:cs="Arial"/>
                <w:kern w:val="0"/>
                <w:lang w:eastAsia="en-GB"/>
                <w14:ligatures w14:val="none"/>
              </w:rPr>
              <w:t>12</w:t>
            </w:r>
          </w:p>
        </w:tc>
        <w:tc>
          <w:tcPr>
            <w:tcW w:w="1417" w:type="dxa"/>
            <w:tcBorders>
              <w:top w:val="nil"/>
              <w:left w:val="nil"/>
              <w:bottom w:val="single" w:sz="4" w:space="0" w:color="auto"/>
              <w:right w:val="single" w:sz="4" w:space="0" w:color="auto"/>
            </w:tcBorders>
            <w:vAlign w:val="center"/>
            <w:hideMark/>
          </w:tcPr>
          <w:p w14:paraId="1093E2E9" w14:textId="77777777" w:rsidR="00BB14FD" w:rsidRPr="00BB14FD" w:rsidRDefault="00BB14FD" w:rsidP="00BD4BBA">
            <w:pPr>
              <w:jc w:val="cente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34</w:t>
            </w:r>
          </w:p>
        </w:tc>
      </w:tr>
      <w:tr w:rsidR="00BB14FD" w:rsidRPr="00BB14FD" w14:paraId="49853F42" w14:textId="77777777" w:rsidTr="00BB14FD">
        <w:trPr>
          <w:trHeight w:val="300"/>
        </w:trPr>
        <w:tc>
          <w:tcPr>
            <w:tcW w:w="4390" w:type="dxa"/>
            <w:tcBorders>
              <w:top w:val="nil"/>
              <w:left w:val="single" w:sz="4" w:space="0" w:color="auto"/>
              <w:bottom w:val="single" w:sz="4" w:space="0" w:color="auto"/>
              <w:right w:val="single" w:sz="4" w:space="0" w:color="auto"/>
            </w:tcBorders>
            <w:vAlign w:val="center"/>
            <w:hideMark/>
          </w:tcPr>
          <w:p w14:paraId="5C5B13D9" w14:textId="77777777" w:rsidR="00BB14FD" w:rsidRPr="00BB14FD" w:rsidRDefault="00BB14FD" w:rsidP="00BD4BBA">
            <w:pP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Land R/O Goytre Road</w:t>
            </w:r>
          </w:p>
        </w:tc>
        <w:tc>
          <w:tcPr>
            <w:tcW w:w="1609" w:type="dxa"/>
            <w:tcBorders>
              <w:top w:val="nil"/>
              <w:left w:val="nil"/>
              <w:bottom w:val="single" w:sz="4" w:space="0" w:color="auto"/>
              <w:right w:val="single" w:sz="4" w:space="0" w:color="auto"/>
            </w:tcBorders>
            <w:vAlign w:val="center"/>
            <w:hideMark/>
          </w:tcPr>
          <w:p w14:paraId="2D15485F" w14:textId="77777777" w:rsidR="00BB14FD" w:rsidRPr="00BB14FD" w:rsidRDefault="00BB14FD" w:rsidP="00BD4BBA">
            <w:pP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Afan</w:t>
            </w:r>
          </w:p>
        </w:tc>
        <w:tc>
          <w:tcPr>
            <w:tcW w:w="1651" w:type="dxa"/>
            <w:tcBorders>
              <w:top w:val="nil"/>
              <w:left w:val="nil"/>
              <w:bottom w:val="single" w:sz="4" w:space="0" w:color="auto"/>
              <w:right w:val="single" w:sz="4" w:space="0" w:color="auto"/>
            </w:tcBorders>
            <w:vAlign w:val="center"/>
            <w:hideMark/>
          </w:tcPr>
          <w:p w14:paraId="24862481" w14:textId="77777777" w:rsidR="00BB14FD" w:rsidRPr="00BB14FD" w:rsidRDefault="00BB14FD" w:rsidP="00BD4BBA">
            <w:pPr>
              <w:jc w:val="center"/>
              <w:rPr>
                <w:rFonts w:eastAsia="Times New Roman" w:cs="Arial"/>
                <w:kern w:val="0"/>
                <w:lang w:eastAsia="en-GB"/>
                <w14:ligatures w14:val="none"/>
              </w:rPr>
            </w:pPr>
            <w:r w:rsidRPr="00BB14FD">
              <w:rPr>
                <w:rFonts w:eastAsia="Times New Roman" w:cs="Arial"/>
                <w:kern w:val="0"/>
                <w:lang w:eastAsia="en-GB"/>
                <w14:ligatures w14:val="none"/>
              </w:rPr>
              <w:t>25</w:t>
            </w:r>
          </w:p>
        </w:tc>
        <w:tc>
          <w:tcPr>
            <w:tcW w:w="1417" w:type="dxa"/>
            <w:tcBorders>
              <w:top w:val="nil"/>
              <w:left w:val="nil"/>
              <w:bottom w:val="single" w:sz="4" w:space="0" w:color="auto"/>
              <w:right w:val="single" w:sz="4" w:space="0" w:color="auto"/>
            </w:tcBorders>
            <w:vAlign w:val="center"/>
            <w:hideMark/>
          </w:tcPr>
          <w:p w14:paraId="493320FC" w14:textId="77777777" w:rsidR="00BB14FD" w:rsidRPr="00BB14FD" w:rsidRDefault="00BB14FD" w:rsidP="00BD4BBA">
            <w:pPr>
              <w:jc w:val="cente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72</w:t>
            </w:r>
          </w:p>
        </w:tc>
      </w:tr>
      <w:tr w:rsidR="006037B5" w:rsidRPr="0006470A" w14:paraId="0F4B6E67" w14:textId="77777777" w:rsidTr="00DD4E3C">
        <w:trPr>
          <w:trHeight w:val="1245"/>
        </w:trPr>
        <w:tc>
          <w:tcPr>
            <w:tcW w:w="4390" w:type="dxa"/>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hideMark/>
          </w:tcPr>
          <w:p w14:paraId="6CECED4A" w14:textId="77777777" w:rsidR="006037B5" w:rsidRPr="0006470A" w:rsidRDefault="006037B5" w:rsidP="00DD4E3C">
            <w:pPr>
              <w:rPr>
                <w:rFonts w:eastAsia="Times New Roman" w:cs="Arial"/>
                <w:b/>
                <w:bCs/>
                <w:color w:val="FFFFFF" w:themeColor="background1"/>
                <w:kern w:val="0"/>
                <w:lang w:eastAsia="en-GB"/>
                <w14:ligatures w14:val="none"/>
              </w:rPr>
            </w:pPr>
            <w:r w:rsidRPr="0006470A">
              <w:rPr>
                <w:rFonts w:eastAsia="Times New Roman" w:cs="Arial"/>
                <w:b/>
                <w:bCs/>
                <w:color w:val="FFFFFF" w:themeColor="background1"/>
                <w:kern w:val="0"/>
                <w:lang w:eastAsia="en-GB"/>
                <w14:ligatures w14:val="none"/>
              </w:rPr>
              <w:lastRenderedPageBreak/>
              <w:t>Site name</w:t>
            </w:r>
          </w:p>
        </w:tc>
        <w:tc>
          <w:tcPr>
            <w:tcW w:w="1609" w:type="dxa"/>
            <w:tcBorders>
              <w:top w:val="single" w:sz="4" w:space="0" w:color="auto"/>
              <w:left w:val="nil"/>
              <w:bottom w:val="single" w:sz="4" w:space="0" w:color="auto"/>
              <w:right w:val="single" w:sz="4" w:space="0" w:color="auto"/>
            </w:tcBorders>
            <w:shd w:val="clear" w:color="auto" w:fill="153D63" w:themeFill="text2" w:themeFillTint="E6"/>
            <w:vAlign w:val="center"/>
            <w:hideMark/>
          </w:tcPr>
          <w:p w14:paraId="58582764" w14:textId="77777777" w:rsidR="006037B5" w:rsidRPr="0006470A" w:rsidRDefault="006037B5" w:rsidP="00DD4E3C">
            <w:pPr>
              <w:jc w:val="center"/>
              <w:rPr>
                <w:rFonts w:eastAsia="Times New Roman" w:cs="Arial"/>
                <w:b/>
                <w:bCs/>
                <w:color w:val="FFFFFF" w:themeColor="background1"/>
                <w:kern w:val="0"/>
                <w:lang w:eastAsia="en-GB"/>
                <w14:ligatures w14:val="none"/>
              </w:rPr>
            </w:pPr>
            <w:r w:rsidRPr="0006470A">
              <w:rPr>
                <w:rFonts w:eastAsia="Times New Roman" w:cs="Arial"/>
                <w:b/>
                <w:bCs/>
                <w:color w:val="FFFFFF" w:themeColor="background1"/>
                <w:kern w:val="0"/>
                <w:lang w:eastAsia="en-GB"/>
                <w14:ligatures w14:val="none"/>
              </w:rPr>
              <w:t>Cluster</w:t>
            </w:r>
          </w:p>
        </w:tc>
        <w:tc>
          <w:tcPr>
            <w:tcW w:w="1651" w:type="dxa"/>
            <w:tcBorders>
              <w:top w:val="single" w:sz="4" w:space="0" w:color="auto"/>
              <w:left w:val="nil"/>
              <w:bottom w:val="single" w:sz="4" w:space="0" w:color="auto"/>
              <w:right w:val="single" w:sz="4" w:space="0" w:color="auto"/>
            </w:tcBorders>
            <w:shd w:val="clear" w:color="auto" w:fill="153D63" w:themeFill="text2" w:themeFillTint="E6"/>
            <w:vAlign w:val="center"/>
            <w:hideMark/>
          </w:tcPr>
          <w:p w14:paraId="48EC1CBE" w14:textId="77777777" w:rsidR="006037B5" w:rsidRPr="0006470A" w:rsidRDefault="006037B5" w:rsidP="00DD4E3C">
            <w:pPr>
              <w:jc w:val="center"/>
              <w:rPr>
                <w:rFonts w:eastAsia="Times New Roman" w:cs="Arial"/>
                <w:b/>
                <w:bCs/>
                <w:color w:val="FFFFFF" w:themeColor="background1"/>
                <w:kern w:val="0"/>
                <w:lang w:eastAsia="en-GB"/>
                <w14:ligatures w14:val="none"/>
              </w:rPr>
            </w:pPr>
            <w:r w:rsidRPr="0006470A">
              <w:rPr>
                <w:rFonts w:eastAsia="Times New Roman" w:cs="Arial"/>
                <w:b/>
                <w:bCs/>
                <w:color w:val="FFFFFF" w:themeColor="background1"/>
                <w:kern w:val="0"/>
                <w:lang w:eastAsia="en-GB"/>
                <w14:ligatures w14:val="none"/>
              </w:rPr>
              <w:t>Total number of units in plan period</w:t>
            </w:r>
          </w:p>
        </w:tc>
        <w:tc>
          <w:tcPr>
            <w:tcW w:w="1417" w:type="dxa"/>
            <w:tcBorders>
              <w:top w:val="single" w:sz="4" w:space="0" w:color="auto"/>
              <w:left w:val="nil"/>
              <w:bottom w:val="single" w:sz="4" w:space="0" w:color="auto"/>
              <w:right w:val="single" w:sz="4" w:space="0" w:color="auto"/>
            </w:tcBorders>
            <w:shd w:val="clear" w:color="auto" w:fill="153D63" w:themeFill="text2" w:themeFillTint="E6"/>
            <w:vAlign w:val="center"/>
            <w:hideMark/>
          </w:tcPr>
          <w:p w14:paraId="251770B4" w14:textId="77777777" w:rsidR="006037B5" w:rsidRPr="0006470A" w:rsidRDefault="006037B5" w:rsidP="00DD4E3C">
            <w:pPr>
              <w:jc w:val="center"/>
              <w:rPr>
                <w:rFonts w:eastAsia="Times New Roman" w:cs="Arial"/>
                <w:b/>
                <w:bCs/>
                <w:color w:val="FFFFFF" w:themeColor="background1"/>
                <w:kern w:val="0"/>
                <w:lang w:eastAsia="en-GB"/>
                <w14:ligatures w14:val="none"/>
              </w:rPr>
            </w:pPr>
            <w:r w:rsidRPr="0006470A">
              <w:rPr>
                <w:rFonts w:eastAsia="Times New Roman" w:cs="Arial"/>
                <w:b/>
                <w:bCs/>
                <w:color w:val="FFFFFF" w:themeColor="background1"/>
                <w:kern w:val="0"/>
                <w:lang w:eastAsia="en-GB"/>
                <w14:ligatures w14:val="none"/>
              </w:rPr>
              <w:t>Maximum number of people</w:t>
            </w:r>
          </w:p>
        </w:tc>
      </w:tr>
      <w:tr w:rsidR="00BB14FD" w:rsidRPr="00BB14FD" w14:paraId="3513E644" w14:textId="77777777" w:rsidTr="00BB14FD">
        <w:trPr>
          <w:trHeight w:val="600"/>
        </w:trPr>
        <w:tc>
          <w:tcPr>
            <w:tcW w:w="4390" w:type="dxa"/>
            <w:tcBorders>
              <w:top w:val="nil"/>
              <w:left w:val="single" w:sz="4" w:space="0" w:color="auto"/>
              <w:bottom w:val="single" w:sz="4" w:space="0" w:color="auto"/>
              <w:right w:val="single" w:sz="4" w:space="0" w:color="auto"/>
            </w:tcBorders>
            <w:vAlign w:val="center"/>
            <w:hideMark/>
          </w:tcPr>
          <w:p w14:paraId="17D8AD68" w14:textId="77777777" w:rsidR="00BB14FD" w:rsidRPr="00BB14FD" w:rsidRDefault="00BB14FD" w:rsidP="00BD4BBA">
            <w:pP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Land adjacent to Menai Avenue (Croeserw)</w:t>
            </w:r>
          </w:p>
        </w:tc>
        <w:tc>
          <w:tcPr>
            <w:tcW w:w="1609" w:type="dxa"/>
            <w:tcBorders>
              <w:top w:val="nil"/>
              <w:left w:val="nil"/>
              <w:bottom w:val="single" w:sz="4" w:space="0" w:color="auto"/>
              <w:right w:val="single" w:sz="4" w:space="0" w:color="auto"/>
            </w:tcBorders>
            <w:vAlign w:val="center"/>
            <w:hideMark/>
          </w:tcPr>
          <w:p w14:paraId="6E812DDE" w14:textId="77777777" w:rsidR="00BB14FD" w:rsidRPr="00BB14FD" w:rsidRDefault="00BB14FD" w:rsidP="00BD4BBA">
            <w:pP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Afan</w:t>
            </w:r>
          </w:p>
        </w:tc>
        <w:tc>
          <w:tcPr>
            <w:tcW w:w="1651" w:type="dxa"/>
            <w:tcBorders>
              <w:top w:val="nil"/>
              <w:left w:val="nil"/>
              <w:bottom w:val="single" w:sz="4" w:space="0" w:color="auto"/>
              <w:right w:val="single" w:sz="4" w:space="0" w:color="auto"/>
            </w:tcBorders>
            <w:vAlign w:val="center"/>
            <w:hideMark/>
          </w:tcPr>
          <w:p w14:paraId="6CC99B9A" w14:textId="77777777" w:rsidR="00BB14FD" w:rsidRPr="00BB14FD" w:rsidRDefault="00BB14FD" w:rsidP="00BD4BBA">
            <w:pPr>
              <w:jc w:val="center"/>
              <w:rPr>
                <w:rFonts w:eastAsia="Times New Roman" w:cs="Arial"/>
                <w:kern w:val="0"/>
                <w:lang w:eastAsia="en-GB"/>
                <w14:ligatures w14:val="none"/>
              </w:rPr>
            </w:pPr>
            <w:r w:rsidRPr="00BB14FD">
              <w:rPr>
                <w:rFonts w:eastAsia="Times New Roman" w:cs="Arial"/>
                <w:kern w:val="0"/>
                <w:lang w:eastAsia="en-GB"/>
                <w14:ligatures w14:val="none"/>
              </w:rPr>
              <w:t>10</w:t>
            </w:r>
          </w:p>
        </w:tc>
        <w:tc>
          <w:tcPr>
            <w:tcW w:w="1417" w:type="dxa"/>
            <w:tcBorders>
              <w:top w:val="nil"/>
              <w:left w:val="nil"/>
              <w:bottom w:val="single" w:sz="4" w:space="0" w:color="auto"/>
              <w:right w:val="single" w:sz="4" w:space="0" w:color="auto"/>
            </w:tcBorders>
            <w:vAlign w:val="center"/>
            <w:hideMark/>
          </w:tcPr>
          <w:p w14:paraId="0D6349D3" w14:textId="77777777" w:rsidR="00BB14FD" w:rsidRPr="00BB14FD" w:rsidRDefault="00BB14FD" w:rsidP="00BD4BBA">
            <w:pPr>
              <w:jc w:val="cente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29</w:t>
            </w:r>
          </w:p>
        </w:tc>
      </w:tr>
      <w:tr w:rsidR="00BB14FD" w:rsidRPr="00BB14FD" w14:paraId="4CD525A8" w14:textId="77777777" w:rsidTr="00BB14FD">
        <w:trPr>
          <w:trHeight w:val="600"/>
        </w:trPr>
        <w:tc>
          <w:tcPr>
            <w:tcW w:w="4390" w:type="dxa"/>
            <w:tcBorders>
              <w:top w:val="nil"/>
              <w:left w:val="single" w:sz="4" w:space="0" w:color="auto"/>
              <w:bottom w:val="single" w:sz="4" w:space="0" w:color="auto"/>
              <w:right w:val="single" w:sz="4" w:space="0" w:color="auto"/>
            </w:tcBorders>
            <w:vAlign w:val="center"/>
            <w:hideMark/>
          </w:tcPr>
          <w:p w14:paraId="57758489" w14:textId="77777777" w:rsidR="00BB14FD" w:rsidRPr="00BB14FD" w:rsidRDefault="00BB14FD" w:rsidP="00BD4BBA">
            <w:pP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Former Cymmer Comprehensive School</w:t>
            </w:r>
          </w:p>
        </w:tc>
        <w:tc>
          <w:tcPr>
            <w:tcW w:w="1609" w:type="dxa"/>
            <w:tcBorders>
              <w:top w:val="nil"/>
              <w:left w:val="nil"/>
              <w:bottom w:val="single" w:sz="4" w:space="0" w:color="auto"/>
              <w:right w:val="single" w:sz="4" w:space="0" w:color="auto"/>
            </w:tcBorders>
            <w:vAlign w:val="center"/>
            <w:hideMark/>
          </w:tcPr>
          <w:p w14:paraId="526A60B2" w14:textId="77777777" w:rsidR="00BB14FD" w:rsidRPr="00BB14FD" w:rsidRDefault="00BB14FD" w:rsidP="00BD4BBA">
            <w:pP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Afan</w:t>
            </w:r>
          </w:p>
        </w:tc>
        <w:tc>
          <w:tcPr>
            <w:tcW w:w="1651" w:type="dxa"/>
            <w:tcBorders>
              <w:top w:val="nil"/>
              <w:left w:val="nil"/>
              <w:bottom w:val="single" w:sz="4" w:space="0" w:color="auto"/>
              <w:right w:val="single" w:sz="4" w:space="0" w:color="auto"/>
            </w:tcBorders>
            <w:vAlign w:val="center"/>
            <w:hideMark/>
          </w:tcPr>
          <w:p w14:paraId="560C8034" w14:textId="77777777" w:rsidR="00BB14FD" w:rsidRPr="00BB14FD" w:rsidRDefault="00BB14FD" w:rsidP="00BD4BBA">
            <w:pPr>
              <w:jc w:val="center"/>
              <w:rPr>
                <w:rFonts w:eastAsia="Times New Roman" w:cs="Arial"/>
                <w:kern w:val="0"/>
                <w:lang w:eastAsia="en-GB"/>
                <w14:ligatures w14:val="none"/>
              </w:rPr>
            </w:pPr>
            <w:r w:rsidRPr="00BB14FD">
              <w:rPr>
                <w:rFonts w:eastAsia="Times New Roman" w:cs="Arial"/>
                <w:kern w:val="0"/>
                <w:lang w:eastAsia="en-GB"/>
                <w14:ligatures w14:val="none"/>
              </w:rPr>
              <w:t>25</w:t>
            </w:r>
          </w:p>
        </w:tc>
        <w:tc>
          <w:tcPr>
            <w:tcW w:w="1417" w:type="dxa"/>
            <w:tcBorders>
              <w:top w:val="nil"/>
              <w:left w:val="nil"/>
              <w:bottom w:val="single" w:sz="4" w:space="0" w:color="auto"/>
              <w:right w:val="single" w:sz="4" w:space="0" w:color="auto"/>
            </w:tcBorders>
            <w:vAlign w:val="center"/>
            <w:hideMark/>
          </w:tcPr>
          <w:p w14:paraId="389F282D" w14:textId="77777777" w:rsidR="00BB14FD" w:rsidRPr="00BB14FD" w:rsidRDefault="00BB14FD" w:rsidP="00BD4BBA">
            <w:pPr>
              <w:jc w:val="cente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71</w:t>
            </w:r>
          </w:p>
        </w:tc>
      </w:tr>
      <w:tr w:rsidR="00BB14FD" w:rsidRPr="00BB14FD" w14:paraId="3817159D" w14:textId="77777777" w:rsidTr="00BB14FD">
        <w:trPr>
          <w:trHeight w:val="1200"/>
        </w:trPr>
        <w:tc>
          <w:tcPr>
            <w:tcW w:w="4390" w:type="dxa"/>
            <w:tcBorders>
              <w:top w:val="nil"/>
              <w:left w:val="single" w:sz="4" w:space="0" w:color="auto"/>
              <w:bottom w:val="single" w:sz="4" w:space="0" w:color="auto"/>
              <w:right w:val="single" w:sz="4" w:space="0" w:color="auto"/>
            </w:tcBorders>
            <w:vAlign w:val="center"/>
            <w:hideMark/>
          </w:tcPr>
          <w:p w14:paraId="281279AC" w14:textId="77777777" w:rsidR="00BB14FD" w:rsidRPr="00BB14FD" w:rsidRDefault="00BB14FD" w:rsidP="00BD4BBA">
            <w:pP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Coed Hirwaun</w:t>
            </w:r>
          </w:p>
        </w:tc>
        <w:tc>
          <w:tcPr>
            <w:tcW w:w="1609" w:type="dxa"/>
            <w:tcBorders>
              <w:top w:val="nil"/>
              <w:left w:val="nil"/>
              <w:bottom w:val="single" w:sz="4" w:space="0" w:color="auto"/>
              <w:right w:val="single" w:sz="4" w:space="0" w:color="auto"/>
            </w:tcBorders>
            <w:vAlign w:val="center"/>
            <w:hideMark/>
          </w:tcPr>
          <w:p w14:paraId="67D27494" w14:textId="77777777" w:rsidR="00BB14FD" w:rsidRPr="00BB14FD" w:rsidRDefault="00BB14FD" w:rsidP="00BD4BBA">
            <w:pP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Afan, Feeds to Cwm Brombil and Porthcawl</w:t>
            </w:r>
          </w:p>
        </w:tc>
        <w:tc>
          <w:tcPr>
            <w:tcW w:w="1651" w:type="dxa"/>
            <w:tcBorders>
              <w:top w:val="nil"/>
              <w:left w:val="nil"/>
              <w:bottom w:val="single" w:sz="4" w:space="0" w:color="auto"/>
              <w:right w:val="single" w:sz="4" w:space="0" w:color="auto"/>
            </w:tcBorders>
            <w:vAlign w:val="center"/>
            <w:hideMark/>
          </w:tcPr>
          <w:p w14:paraId="0FCF3B58" w14:textId="77777777" w:rsidR="00BB14FD" w:rsidRPr="00BB14FD" w:rsidRDefault="00BB14FD" w:rsidP="00BD4BBA">
            <w:pPr>
              <w:jc w:val="center"/>
              <w:rPr>
                <w:rFonts w:eastAsia="Times New Roman" w:cs="Arial"/>
                <w:kern w:val="0"/>
                <w:lang w:eastAsia="en-GB"/>
                <w14:ligatures w14:val="none"/>
              </w:rPr>
            </w:pPr>
            <w:r w:rsidRPr="00BB14FD">
              <w:rPr>
                <w:rFonts w:eastAsia="Times New Roman" w:cs="Arial"/>
                <w:kern w:val="0"/>
                <w:lang w:eastAsia="en-GB"/>
                <w14:ligatures w14:val="none"/>
              </w:rPr>
              <w:t>600</w:t>
            </w:r>
          </w:p>
        </w:tc>
        <w:tc>
          <w:tcPr>
            <w:tcW w:w="1417" w:type="dxa"/>
            <w:tcBorders>
              <w:top w:val="nil"/>
              <w:left w:val="nil"/>
              <w:bottom w:val="single" w:sz="4" w:space="0" w:color="auto"/>
              <w:right w:val="single" w:sz="4" w:space="0" w:color="auto"/>
            </w:tcBorders>
            <w:vAlign w:val="center"/>
            <w:hideMark/>
          </w:tcPr>
          <w:p w14:paraId="1C244FD3" w14:textId="77777777" w:rsidR="00BB14FD" w:rsidRPr="00BB14FD" w:rsidRDefault="00BB14FD" w:rsidP="00BD4BBA">
            <w:pPr>
              <w:jc w:val="center"/>
              <w:rPr>
                <w:rFonts w:eastAsia="Times New Roman" w:cs="Arial"/>
                <w:color w:val="000000"/>
                <w:kern w:val="0"/>
                <w:lang w:eastAsia="en-GB"/>
                <w14:ligatures w14:val="none"/>
              </w:rPr>
            </w:pPr>
            <w:r w:rsidRPr="00BB14FD">
              <w:rPr>
                <w:rFonts w:eastAsia="Times New Roman" w:cs="Arial"/>
                <w:color w:val="000000"/>
                <w:kern w:val="0"/>
                <w:lang w:eastAsia="en-GB"/>
                <w14:ligatures w14:val="none"/>
              </w:rPr>
              <w:t>1547</w:t>
            </w:r>
          </w:p>
        </w:tc>
      </w:tr>
    </w:tbl>
    <w:p w14:paraId="68A4F835" w14:textId="77777777" w:rsidR="00BB14FD" w:rsidRPr="00BB14FD" w:rsidRDefault="00BB14FD" w:rsidP="00BD4BBA">
      <w:pPr>
        <w:rPr>
          <w:rFonts w:eastAsia="Aptos" w:cs="Arial"/>
        </w:rPr>
      </w:pPr>
    </w:p>
    <w:p w14:paraId="1BD2F0BB" w14:textId="77777777" w:rsidR="00BB14FD" w:rsidRPr="00BB14FD" w:rsidRDefault="00BB14FD" w:rsidP="00BD4BBA">
      <w:pPr>
        <w:rPr>
          <w:rFonts w:eastAsia="Aptos" w:cs="Arial"/>
          <w:b/>
          <w:bCs/>
          <w:sz w:val="26"/>
          <w:szCs w:val="26"/>
        </w:rPr>
      </w:pPr>
      <w:r w:rsidRPr="00BB14FD">
        <w:rPr>
          <w:rFonts w:eastAsia="Aptos" w:cs="Arial"/>
          <w:b/>
          <w:bCs/>
          <w:sz w:val="26"/>
          <w:szCs w:val="26"/>
        </w:rPr>
        <w:t>13.8 Gaps in provision</w:t>
      </w:r>
    </w:p>
    <w:p w14:paraId="066A09DB" w14:textId="77777777" w:rsidR="00BB14FD" w:rsidRPr="00BB14FD" w:rsidRDefault="00BB14FD" w:rsidP="00BD4BBA">
      <w:pPr>
        <w:rPr>
          <w:rFonts w:eastAsia="Times New Roman" w:cs="Arial"/>
          <w:b/>
          <w:kern w:val="0"/>
          <w:lang w:val="en-US" w:eastAsia="en-GB"/>
          <w14:ligatures w14:val="none"/>
        </w:rPr>
      </w:pPr>
    </w:p>
    <w:p w14:paraId="2D08DAD2" w14:textId="77777777" w:rsidR="00BB14FD" w:rsidRPr="00BB14FD" w:rsidRDefault="00BB14FD" w:rsidP="00BD4BBA">
      <w:pPr>
        <w:rPr>
          <w:rFonts w:eastAsia="Aptos" w:cs="Arial"/>
        </w:rPr>
      </w:pPr>
      <w:r w:rsidRPr="00BB14FD">
        <w:rPr>
          <w:rFonts w:eastAsia="Aptos" w:cs="Arial"/>
        </w:rPr>
        <w:t>When considering if there are any gaps in the provision of pharmaceutical services the health board has noted that of the pharmacies in the locality:</w:t>
      </w:r>
    </w:p>
    <w:p w14:paraId="47BF6FF9" w14:textId="77777777" w:rsidR="00BB14FD" w:rsidRPr="00BB14FD" w:rsidRDefault="00BB14FD" w:rsidP="00BD4BBA">
      <w:pPr>
        <w:rPr>
          <w:rFonts w:eastAsia="Aptos" w:cs="Arial"/>
        </w:rPr>
      </w:pPr>
    </w:p>
    <w:p w14:paraId="16377A74" w14:textId="77777777" w:rsidR="00BB14FD" w:rsidRPr="00BB14FD" w:rsidRDefault="00BB14FD" w:rsidP="00B76905">
      <w:pPr>
        <w:numPr>
          <w:ilvl w:val="0"/>
          <w:numId w:val="190"/>
        </w:numPr>
        <w:contextualSpacing/>
        <w:rPr>
          <w:rFonts w:eastAsia="Times New Roman" w:cs="Arial"/>
          <w:kern w:val="0"/>
          <w:lang w:eastAsia="en-GB"/>
          <w14:ligatures w14:val="none"/>
        </w:rPr>
      </w:pPr>
      <w:r w:rsidRPr="00BB14FD">
        <w:rPr>
          <w:rFonts w:eastAsia="Times New Roman" w:cs="Arial"/>
          <w:kern w:val="0"/>
          <w:lang w:eastAsia="en-GB"/>
          <w14:ligatures w14:val="none"/>
        </w:rPr>
        <w:t xml:space="preserve">11 pharmacies have sufficient capacity within their premises to manage an increase in demand. </w:t>
      </w:r>
    </w:p>
    <w:p w14:paraId="69616332" w14:textId="77777777" w:rsidR="00BB14FD" w:rsidRPr="00BB14FD" w:rsidRDefault="00BB14FD" w:rsidP="00B76905">
      <w:pPr>
        <w:numPr>
          <w:ilvl w:val="0"/>
          <w:numId w:val="190"/>
        </w:numPr>
        <w:contextualSpacing/>
        <w:rPr>
          <w:rFonts w:eastAsia="Aptos" w:cs="Arial"/>
        </w:rPr>
      </w:pPr>
      <w:r w:rsidRPr="00BB14FD">
        <w:rPr>
          <w:rFonts w:eastAsia="Times New Roman" w:cs="Arial"/>
          <w:kern w:val="0"/>
          <w:lang w:eastAsia="en-GB"/>
          <w14:ligatures w14:val="none"/>
        </w:rPr>
        <w:t>Ten pharmacies have sufficient capacity within their staffing levels to manage an increase in demand, and one didn’t answer this question.</w:t>
      </w:r>
    </w:p>
    <w:p w14:paraId="582751B3" w14:textId="77777777" w:rsidR="00BB14FD" w:rsidRPr="00BB14FD" w:rsidRDefault="00BB14FD" w:rsidP="00BD4BBA">
      <w:pPr>
        <w:rPr>
          <w:rFonts w:eastAsia="Times New Roman" w:cs="Arial"/>
          <w:b/>
          <w:kern w:val="0"/>
          <w:lang w:val="en-US" w:eastAsia="en-GB"/>
          <w14:ligatures w14:val="none"/>
        </w:rPr>
      </w:pPr>
    </w:p>
    <w:p w14:paraId="77762660" w14:textId="77777777" w:rsidR="00BB14FD" w:rsidRPr="00BB14FD" w:rsidRDefault="00BB14FD" w:rsidP="00BD4BBA">
      <w:pPr>
        <w:rPr>
          <w:rFonts w:eastAsia="Times New Roman" w:cs="Arial"/>
          <w:b/>
          <w:kern w:val="0"/>
          <w:lang w:val="en-US" w:eastAsia="en-GB"/>
          <w14:ligatures w14:val="none"/>
        </w:rPr>
      </w:pPr>
      <w:r w:rsidRPr="00BB14FD">
        <w:rPr>
          <w:rFonts w:eastAsia="Times New Roman" w:cs="Arial"/>
          <w:b/>
          <w:kern w:val="0"/>
          <w:lang w:val="en-US" w:eastAsia="en-GB"/>
          <w14:ligatures w14:val="none"/>
        </w:rPr>
        <w:t>13.8.1 Essential services</w:t>
      </w:r>
    </w:p>
    <w:p w14:paraId="0AAB35BA" w14:textId="77777777" w:rsidR="00BB14FD" w:rsidRPr="00BB14FD" w:rsidRDefault="00BB14FD" w:rsidP="00BD4BBA">
      <w:pPr>
        <w:rPr>
          <w:rFonts w:eastAsia="Times New Roman" w:cs="Arial"/>
          <w:b/>
          <w:kern w:val="0"/>
          <w:lang w:val="en-US" w:eastAsia="en-GB"/>
          <w14:ligatures w14:val="none"/>
        </w:rPr>
      </w:pPr>
    </w:p>
    <w:p w14:paraId="6538D5FE" w14:textId="77777777" w:rsidR="00BB14FD" w:rsidRPr="00BB14FD" w:rsidRDefault="00BB14FD" w:rsidP="00BD4BBA">
      <w:pPr>
        <w:textAlignment w:val="baseline"/>
        <w:rPr>
          <w:rFonts w:eastAsia="Times New Roman" w:cs="Arial"/>
          <w:kern w:val="0"/>
          <w:lang w:eastAsia="en-GB"/>
          <w14:ligatures w14:val="none"/>
        </w:rPr>
      </w:pPr>
      <w:r w:rsidRPr="00BB14FD">
        <w:rPr>
          <w:rFonts w:eastAsia="Times New Roman" w:cs="Arial"/>
          <w:kern w:val="0"/>
          <w:lang w:eastAsia="en-GB"/>
          <w14:ligatures w14:val="none"/>
        </w:rPr>
        <w:t>The health board has noted: </w:t>
      </w:r>
    </w:p>
    <w:p w14:paraId="50765EAB" w14:textId="77777777" w:rsidR="00BB14FD" w:rsidRPr="00BB14FD" w:rsidRDefault="00BB14FD" w:rsidP="00BD4BBA">
      <w:pPr>
        <w:textAlignment w:val="baseline"/>
        <w:rPr>
          <w:rFonts w:eastAsia="Times New Roman" w:cs="Arial"/>
          <w:kern w:val="0"/>
          <w:lang w:eastAsia="en-GB"/>
          <w14:ligatures w14:val="none"/>
        </w:rPr>
      </w:pPr>
      <w:r w:rsidRPr="00BB14FD">
        <w:rPr>
          <w:rFonts w:eastAsia="Times New Roman" w:cs="Arial"/>
          <w:kern w:val="0"/>
          <w:lang w:eastAsia="en-GB"/>
          <w14:ligatures w14:val="none"/>
        </w:rPr>
        <w:t> </w:t>
      </w:r>
    </w:p>
    <w:p w14:paraId="681AA773" w14:textId="77777777" w:rsidR="00BB14FD" w:rsidRPr="00BB14FD" w:rsidRDefault="00BB14FD" w:rsidP="00B76905">
      <w:pPr>
        <w:numPr>
          <w:ilvl w:val="0"/>
          <w:numId w:val="155"/>
        </w:numPr>
        <w:contextualSpacing/>
        <w:rPr>
          <w:rFonts w:eastAsia="Times New Roman" w:cs="Arial"/>
          <w:kern w:val="0"/>
          <w:lang w:eastAsia="en-GB"/>
          <w14:ligatures w14:val="none"/>
        </w:rPr>
      </w:pPr>
      <w:r w:rsidRPr="00BB14FD">
        <w:rPr>
          <w:rFonts w:eastAsia="Times New Roman" w:cs="Arial"/>
          <w:kern w:val="0"/>
          <w:lang w:eastAsia="en-GB"/>
          <w14:ligatures w14:val="none"/>
        </w:rPr>
        <w:t xml:space="preserve">The location of pharmacies across the locality and the fact all residents of the locality are able to access a pharmacy within 20 minutes by car. Whilst noting that not all households have access to a car throughout the day, the nature of the locality means that walking to a pharmacy will be a realistic option for many residents and regular public transport services are available for those who are unable to undertake the whole journey on foot. </w:t>
      </w:r>
    </w:p>
    <w:p w14:paraId="6196E51B" w14:textId="77777777" w:rsidR="00BB14FD" w:rsidRPr="00BB14FD" w:rsidRDefault="00BB14FD" w:rsidP="00B76905">
      <w:pPr>
        <w:numPr>
          <w:ilvl w:val="0"/>
          <w:numId w:val="155"/>
        </w:numPr>
        <w:textAlignment w:val="baseline"/>
        <w:rPr>
          <w:rFonts w:ascii="Times New Roman" w:eastAsia="Times New Roman" w:hAnsi="Times New Roman" w:cs="Times New Roman"/>
          <w:kern w:val="0"/>
          <w:lang w:eastAsia="en-GB"/>
          <w14:ligatures w14:val="none"/>
        </w:rPr>
      </w:pPr>
      <w:r w:rsidRPr="00BB14FD">
        <w:rPr>
          <w:rFonts w:eastAsia="Times New Roman" w:cs="Arial"/>
          <w:kern w:val="0"/>
          <w:lang w:eastAsia="en-GB"/>
          <w14:ligatures w14:val="none"/>
        </w:rPr>
        <w:t>There is one known housing developments in Harbourside, Port Talbot due within the lifetime of this document which will deliver up to 385 dwellings with a minimum on 198 dwellings being built in the locality for 495 residents (2.5 per household) in 2025/26.</w:t>
      </w:r>
    </w:p>
    <w:p w14:paraId="74E02016" w14:textId="77777777" w:rsidR="00BB14FD" w:rsidRPr="00BB14FD" w:rsidRDefault="00BB14FD" w:rsidP="00B76905">
      <w:pPr>
        <w:numPr>
          <w:ilvl w:val="0"/>
          <w:numId w:val="155"/>
        </w:numPr>
        <w:textAlignment w:val="baseline"/>
        <w:rPr>
          <w:rFonts w:eastAsia="Times New Roman" w:cs="Arial"/>
          <w:kern w:val="0"/>
          <w:lang w:eastAsia="en-GB"/>
          <w14:ligatures w14:val="none"/>
        </w:rPr>
      </w:pPr>
      <w:r w:rsidRPr="00BB14FD">
        <w:rPr>
          <w:rFonts w:eastAsia="Times New Roman" w:cs="Arial"/>
          <w:kern w:val="0"/>
          <w:lang w:eastAsia="en-GB"/>
          <w14:ligatures w14:val="none"/>
        </w:rPr>
        <w:t>The scale of the potential housing developments.</w:t>
      </w:r>
    </w:p>
    <w:p w14:paraId="553BDFAE" w14:textId="77777777" w:rsidR="00BB14FD" w:rsidRPr="00BB14FD" w:rsidRDefault="00BB14FD" w:rsidP="00B76905">
      <w:pPr>
        <w:numPr>
          <w:ilvl w:val="0"/>
          <w:numId w:val="155"/>
        </w:numPr>
        <w:textAlignment w:val="baseline"/>
        <w:rPr>
          <w:rFonts w:eastAsia="Times New Roman" w:cs="Arial"/>
          <w:kern w:val="0"/>
          <w:lang w:eastAsia="en-GB"/>
          <w14:ligatures w14:val="none"/>
        </w:rPr>
      </w:pPr>
      <w:r w:rsidRPr="00BB14FD">
        <w:rPr>
          <w:rFonts w:eastAsia="Times New Roman" w:cs="Arial"/>
          <w:kern w:val="0"/>
          <w:lang w:eastAsia="en-GB"/>
          <w14:ligatures w14:val="none"/>
        </w:rPr>
        <w:t>The opening hours of the pharmacies.</w:t>
      </w:r>
    </w:p>
    <w:p w14:paraId="7501016E" w14:textId="77777777" w:rsidR="00BB14FD" w:rsidRPr="00BB14FD" w:rsidRDefault="00BB14FD" w:rsidP="00BD4BBA">
      <w:pPr>
        <w:contextualSpacing/>
        <w:rPr>
          <w:rFonts w:ascii="Aptos" w:eastAsia="Times New Roman" w:hAnsi="Aptos" w:cs="Times New Roman"/>
          <w:b/>
          <w:bCs/>
          <w:kern w:val="0"/>
          <w:lang w:eastAsia="en-GB"/>
          <w14:ligatures w14:val="none"/>
        </w:rPr>
      </w:pPr>
    </w:p>
    <w:p w14:paraId="42A0D664" w14:textId="77777777" w:rsidR="00BB14FD" w:rsidRPr="00BB14FD" w:rsidRDefault="00BB14FD" w:rsidP="00BD4BBA">
      <w:pPr>
        <w:contextualSpacing/>
        <w:rPr>
          <w:rFonts w:eastAsia="Times New Roman" w:cs="Arial"/>
          <w:kern w:val="0"/>
          <w:lang w:eastAsia="en-GB"/>
          <w14:ligatures w14:val="none"/>
        </w:rPr>
      </w:pPr>
      <w:r w:rsidRPr="00BB14FD">
        <w:rPr>
          <w:rFonts w:eastAsia="Times New Roman" w:cs="Arial"/>
          <w:kern w:val="0"/>
          <w:lang w:eastAsia="en-GB"/>
          <w14:ligatures w14:val="none"/>
        </w:rPr>
        <w:t>The health board has not identified any current gaps in the provision of the essential services.</w:t>
      </w:r>
    </w:p>
    <w:p w14:paraId="2F4D96DE" w14:textId="77777777" w:rsidR="00BB14FD" w:rsidRPr="00BB14FD" w:rsidRDefault="00BB14FD" w:rsidP="00BD4BBA">
      <w:pPr>
        <w:contextualSpacing/>
        <w:rPr>
          <w:rFonts w:eastAsia="Times New Roman" w:cs="Arial"/>
          <w:kern w:val="0"/>
          <w:lang w:eastAsia="en-GB"/>
          <w14:ligatures w14:val="none"/>
        </w:rPr>
      </w:pPr>
    </w:p>
    <w:p w14:paraId="4EA182A3" w14:textId="77777777" w:rsidR="00BB14FD" w:rsidRPr="00BB14FD" w:rsidRDefault="00BB14FD" w:rsidP="00BD4BBA">
      <w:pPr>
        <w:contextualSpacing/>
        <w:rPr>
          <w:rFonts w:eastAsia="Times New Roman" w:cs="Arial"/>
          <w:kern w:val="0"/>
          <w:lang w:eastAsia="en-GB"/>
          <w14:ligatures w14:val="none"/>
        </w:rPr>
      </w:pPr>
      <w:r w:rsidRPr="00BB14FD">
        <w:rPr>
          <w:rFonts w:eastAsia="Times New Roman" w:cs="Arial"/>
          <w:kern w:val="0"/>
          <w:lang w:eastAsia="en-GB"/>
          <w14:ligatures w14:val="none"/>
        </w:rPr>
        <w:t>The health board has considered the known housing developments that will deliver housing in the locality during the lifetime of this document. It is satisfied that the need for essential services by those moving into the new housing will be met by the existing pharmacies.</w:t>
      </w:r>
    </w:p>
    <w:p w14:paraId="251D85B4" w14:textId="77777777" w:rsidR="00BB14FD" w:rsidRPr="00BB14FD" w:rsidRDefault="00BB14FD" w:rsidP="00BD4BBA">
      <w:pPr>
        <w:contextualSpacing/>
        <w:rPr>
          <w:rFonts w:eastAsia="Times New Roman" w:cs="Arial"/>
          <w:kern w:val="0"/>
          <w:lang w:eastAsia="en-GB"/>
          <w14:ligatures w14:val="none"/>
        </w:rPr>
      </w:pPr>
    </w:p>
    <w:p w14:paraId="789EFFBD" w14:textId="77777777" w:rsidR="00BB14FD" w:rsidRPr="00BB14FD" w:rsidRDefault="00BB14FD" w:rsidP="00BD4BBA">
      <w:pPr>
        <w:contextualSpacing/>
        <w:rPr>
          <w:rFonts w:eastAsia="Times New Roman" w:cs="Arial"/>
          <w:b/>
          <w:bCs/>
          <w:kern w:val="0"/>
          <w:lang w:eastAsia="en-GB"/>
          <w14:ligatures w14:val="none"/>
        </w:rPr>
      </w:pPr>
      <w:r w:rsidRPr="00BB14FD">
        <w:rPr>
          <w:rFonts w:eastAsia="Times New Roman" w:cs="Arial"/>
          <w:b/>
          <w:bCs/>
          <w:kern w:val="0"/>
          <w:lang w:eastAsia="en-GB"/>
          <w14:ligatures w14:val="none"/>
        </w:rPr>
        <w:lastRenderedPageBreak/>
        <w:t>13.8.2 National community pharmacy and appliance contractor services</w:t>
      </w:r>
    </w:p>
    <w:p w14:paraId="06C5DC17" w14:textId="77777777" w:rsidR="00BB14FD" w:rsidRPr="00BB14FD" w:rsidRDefault="00BB14FD" w:rsidP="00BD4BBA">
      <w:pPr>
        <w:contextualSpacing/>
        <w:rPr>
          <w:rFonts w:eastAsia="Times New Roman" w:cs="Arial"/>
          <w:kern w:val="0"/>
          <w:lang w:eastAsia="en-GB"/>
          <w14:ligatures w14:val="none"/>
        </w:rPr>
      </w:pPr>
    </w:p>
    <w:p w14:paraId="6F991D84"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13.8.2.1 Appliance use review service</w:t>
      </w:r>
    </w:p>
    <w:p w14:paraId="600E55E0" w14:textId="77777777" w:rsidR="00BB14FD" w:rsidRPr="00BB14FD" w:rsidRDefault="00BB14FD" w:rsidP="00BD4BBA">
      <w:pPr>
        <w:rPr>
          <w:rFonts w:eastAsia="Times New Roman" w:cs="Arial"/>
          <w:b/>
          <w:bCs/>
          <w:kern w:val="0"/>
          <w:lang w:eastAsia="en-GB"/>
          <w14:ligatures w14:val="none"/>
        </w:rPr>
      </w:pPr>
    </w:p>
    <w:p w14:paraId="21015535"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 xml:space="preserve">The health board has noted none of the pharmacies have signed up to provide this service. There are four dispensing appliance contractors in Cardiff and Vale University Health Board’s area which dispensed 0.1% of the items prescribed by GP practices in this locality in 2024/25. One of these contractors provides this service. </w:t>
      </w:r>
    </w:p>
    <w:p w14:paraId="4B2E9C22" w14:textId="77777777" w:rsidR="00BB14FD" w:rsidRPr="00BB14FD" w:rsidRDefault="00BB14FD" w:rsidP="00BD4BBA">
      <w:pPr>
        <w:rPr>
          <w:rFonts w:eastAsia="Times New Roman" w:cs="Arial"/>
          <w:kern w:val="0"/>
          <w:lang w:eastAsia="en-GB"/>
          <w14:ligatures w14:val="none"/>
        </w:rPr>
      </w:pPr>
    </w:p>
    <w:p w14:paraId="5628A1F0"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In addition, of the items dispensed in England in 2024/25, 84.3% were dispensed by dispensing appliance contractors and 86.6% in the first nine months of 2025/26.</w:t>
      </w:r>
    </w:p>
    <w:p w14:paraId="6FD94901" w14:textId="77777777" w:rsidR="00BB14FD" w:rsidRPr="00BB14FD" w:rsidRDefault="00BB14FD" w:rsidP="00BD4BBA">
      <w:pPr>
        <w:rPr>
          <w:rFonts w:eastAsia="Times New Roman" w:cs="Arial"/>
          <w:kern w:val="0"/>
          <w:lang w:eastAsia="en-GB"/>
          <w14:ligatures w14:val="none"/>
        </w:rPr>
      </w:pPr>
    </w:p>
    <w:p w14:paraId="7DD29CE0"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Individuals requiring the appliance use review service are likely to access this service from the contractor that dispenses their prescriptions for appliances or may access it from other healthcare providers such as stoma nurses.</w:t>
      </w:r>
    </w:p>
    <w:p w14:paraId="13D944C6" w14:textId="77777777" w:rsidR="00BB14FD" w:rsidRPr="00BB14FD" w:rsidRDefault="00BB14FD" w:rsidP="00BD4BBA">
      <w:pPr>
        <w:rPr>
          <w:rFonts w:eastAsia="Times New Roman" w:cs="Arial"/>
          <w:kern w:val="0"/>
          <w:lang w:eastAsia="en-GB"/>
          <w14:ligatures w14:val="none"/>
        </w:rPr>
      </w:pPr>
    </w:p>
    <w:p w14:paraId="11301C1A"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Based on the above, the health board has not identified any current or future needs for this service within the locality.</w:t>
      </w:r>
    </w:p>
    <w:p w14:paraId="34C48442" w14:textId="77777777" w:rsidR="00D95877" w:rsidRPr="00BB14FD" w:rsidRDefault="00D95877" w:rsidP="00BD4BBA">
      <w:pPr>
        <w:rPr>
          <w:rFonts w:eastAsia="Times New Roman" w:cs="Arial"/>
          <w:b/>
          <w:bCs/>
          <w:kern w:val="0"/>
          <w:lang w:eastAsia="en-GB"/>
          <w14:ligatures w14:val="none"/>
        </w:rPr>
      </w:pPr>
    </w:p>
    <w:p w14:paraId="4D678CD9"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13.8.2.2 Clinical community pharmacy service</w:t>
      </w:r>
    </w:p>
    <w:p w14:paraId="1893343B" w14:textId="77777777" w:rsidR="00BB14FD" w:rsidRPr="00BB14FD" w:rsidRDefault="00BB14FD" w:rsidP="00BD4BBA">
      <w:pPr>
        <w:rPr>
          <w:rFonts w:eastAsia="Times New Roman" w:cs="Arial"/>
          <w:kern w:val="0"/>
          <w:lang w:eastAsia="en-GB"/>
          <w14:ligatures w14:val="none"/>
        </w:rPr>
      </w:pPr>
    </w:p>
    <w:p w14:paraId="62477547"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The health board has noted all the pharmacies have signed up and provide this service.</w:t>
      </w:r>
      <w:r w:rsidRPr="00BB14FD">
        <w:rPr>
          <w:rFonts w:eastAsia="Aptos" w:cs="Arial"/>
        </w:rPr>
        <w:t xml:space="preserve"> </w:t>
      </w:r>
      <w:r w:rsidRPr="00BB14FD">
        <w:rPr>
          <w:rFonts w:eastAsia="Times New Roman" w:cs="Arial"/>
          <w:kern w:val="0"/>
          <w:lang w:eastAsia="en-GB"/>
          <w14:ligatures w14:val="none"/>
        </w:rPr>
        <w:t>As a result, the health board has not identified any current or future needs for this service within the locality.</w:t>
      </w:r>
    </w:p>
    <w:p w14:paraId="6A6B0752" w14:textId="77777777" w:rsidR="00BB14FD" w:rsidRPr="00BB14FD" w:rsidRDefault="00BB14FD" w:rsidP="00BD4BBA">
      <w:pPr>
        <w:contextualSpacing/>
        <w:rPr>
          <w:rFonts w:eastAsia="Times New Roman" w:cs="Arial"/>
          <w:kern w:val="0"/>
          <w:lang w:eastAsia="en-GB"/>
          <w14:ligatures w14:val="none"/>
        </w:rPr>
      </w:pPr>
    </w:p>
    <w:p w14:paraId="2704CF86"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 xml:space="preserve">13.8.2.3 Discharge medicines review service </w:t>
      </w:r>
    </w:p>
    <w:p w14:paraId="7E9A0F62" w14:textId="77777777" w:rsidR="00BB14FD" w:rsidRPr="00BB14FD" w:rsidRDefault="00BB14FD" w:rsidP="00BD4BBA">
      <w:pPr>
        <w:rPr>
          <w:rFonts w:eastAsia="Times New Roman" w:cs="Arial"/>
          <w:b/>
          <w:bCs/>
          <w:kern w:val="0"/>
          <w:lang w:eastAsia="en-GB"/>
          <w14:ligatures w14:val="none"/>
        </w:rPr>
      </w:pPr>
    </w:p>
    <w:p w14:paraId="774D1C48"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The health board has noted 12 of the pharmacies have signed up to provide this service, and 11 pharmacies provide it. The health board has not identified any current or future needs for this service within the locality.</w:t>
      </w:r>
    </w:p>
    <w:p w14:paraId="6442F5C2" w14:textId="77777777" w:rsidR="00BB14FD" w:rsidRPr="00BB14FD" w:rsidRDefault="00BB14FD" w:rsidP="00BD4BBA">
      <w:pPr>
        <w:ind w:left="360"/>
        <w:rPr>
          <w:rFonts w:eastAsia="Times New Roman" w:cs="Arial"/>
          <w:kern w:val="0"/>
          <w:lang w:eastAsia="en-GB"/>
          <w14:ligatures w14:val="none"/>
        </w:rPr>
      </w:pPr>
    </w:p>
    <w:p w14:paraId="77DAFA33"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13.8.2.4 Influenza vaccination service</w:t>
      </w:r>
    </w:p>
    <w:p w14:paraId="26BD77DB" w14:textId="77777777" w:rsidR="00BB14FD" w:rsidRPr="00BB14FD" w:rsidRDefault="00BB14FD" w:rsidP="00BD4BBA">
      <w:pPr>
        <w:rPr>
          <w:rFonts w:eastAsia="Times New Roman" w:cs="Arial"/>
          <w:kern w:val="0"/>
          <w:lang w:eastAsia="en-GB"/>
          <w14:ligatures w14:val="none"/>
        </w:rPr>
      </w:pPr>
    </w:p>
    <w:p w14:paraId="4DABD3D1"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The health board has noted all the pharmacies have signed up to provide this service and provide it. As a result, the health board has not identified any current or future needs for this service within the locality.</w:t>
      </w:r>
    </w:p>
    <w:p w14:paraId="53E9C8CC" w14:textId="77777777" w:rsidR="00BB14FD" w:rsidRPr="00BB14FD" w:rsidRDefault="00BB14FD" w:rsidP="00BD4BBA">
      <w:pPr>
        <w:ind w:left="360"/>
        <w:rPr>
          <w:rFonts w:eastAsia="Times New Roman" w:cs="Arial"/>
          <w:kern w:val="0"/>
          <w:lang w:eastAsia="en-GB"/>
          <w14:ligatures w14:val="none"/>
        </w:rPr>
      </w:pPr>
    </w:p>
    <w:p w14:paraId="4AC92C13"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13.8.2.5 Lateral flow test supply service</w:t>
      </w:r>
    </w:p>
    <w:p w14:paraId="22ACB94F" w14:textId="77777777" w:rsidR="00BB14FD" w:rsidRPr="00BB14FD" w:rsidRDefault="00BB14FD" w:rsidP="00BD4BBA">
      <w:pPr>
        <w:rPr>
          <w:rFonts w:eastAsia="Times New Roman" w:cs="Arial"/>
          <w:kern w:val="0"/>
          <w:lang w:eastAsia="en-GB"/>
          <w14:ligatures w14:val="none"/>
        </w:rPr>
      </w:pPr>
    </w:p>
    <w:p w14:paraId="574DCE76"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The health board has noted all the pharmacies have signed up to provide this service, and seven pharmacies provide it. It has also noted that this service is only available to specified patient groups. If one of the pharmacies that doesn’t provide the service identified a need for it, the health board would commission the service from that pharmacy. As a result, the health board has not identified any current or future needs for this service within the locality.</w:t>
      </w:r>
    </w:p>
    <w:p w14:paraId="5EF658A3" w14:textId="77777777" w:rsidR="00BB14FD" w:rsidRPr="00BB14FD" w:rsidRDefault="00BB14FD" w:rsidP="00BD4BBA">
      <w:pPr>
        <w:ind w:left="360"/>
        <w:rPr>
          <w:rFonts w:eastAsia="Times New Roman" w:cs="Arial"/>
          <w:kern w:val="0"/>
          <w:lang w:eastAsia="en-GB"/>
          <w14:ligatures w14:val="none"/>
        </w:rPr>
      </w:pPr>
    </w:p>
    <w:p w14:paraId="2BB341E7"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13.8.2.6 Pharmacist independent prescribing service</w:t>
      </w:r>
    </w:p>
    <w:p w14:paraId="16F408D9" w14:textId="77777777" w:rsidR="00BB14FD" w:rsidRDefault="00BB14FD" w:rsidP="00BD4BBA">
      <w:pPr>
        <w:rPr>
          <w:rFonts w:eastAsia="Times New Roman" w:cs="Arial"/>
          <w:kern w:val="0"/>
          <w:lang w:eastAsia="en-GB"/>
          <w14:ligatures w14:val="none"/>
        </w:rPr>
      </w:pPr>
    </w:p>
    <w:p w14:paraId="301B5CA5" w14:textId="77777777" w:rsidR="006037B5"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 xml:space="preserve">The health board has noted five of the pharmacies have signed up to provide this </w:t>
      </w:r>
    </w:p>
    <w:p w14:paraId="2B041CB6" w14:textId="7B6D6DD4"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lastRenderedPageBreak/>
        <w:t xml:space="preserve">service, and four pharmacies provide it, that two more are due to start providing it, and one is considering providing it. </w:t>
      </w:r>
    </w:p>
    <w:p w14:paraId="57CE4E94" w14:textId="77777777" w:rsidR="00BB14FD" w:rsidRPr="00BB14FD" w:rsidRDefault="00BB14FD" w:rsidP="00BD4BBA">
      <w:pPr>
        <w:rPr>
          <w:rFonts w:eastAsia="Times New Roman" w:cs="Arial"/>
          <w:kern w:val="0"/>
          <w:lang w:eastAsia="en-GB"/>
          <w14:ligatures w14:val="none"/>
        </w:rPr>
      </w:pPr>
    </w:p>
    <w:p w14:paraId="20A96327"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Welsh Government’s ambition is for each pharmacy to have an independent prescriber by 2030. The health board has noted that from 2026 it is anticipated that all newly qualified pharmacists will also qualify as independent prescribers on completion of their undergraduate programme.</w:t>
      </w:r>
    </w:p>
    <w:p w14:paraId="1D4D8B6A" w14:textId="77777777" w:rsidR="00BB14FD" w:rsidRPr="00BB14FD" w:rsidRDefault="00BB14FD" w:rsidP="00BD4BBA">
      <w:pPr>
        <w:rPr>
          <w:rFonts w:eastAsia="Times New Roman" w:cs="Arial"/>
          <w:kern w:val="0"/>
          <w:lang w:eastAsia="en-GB"/>
          <w14:ligatures w14:val="none"/>
        </w:rPr>
      </w:pPr>
    </w:p>
    <w:p w14:paraId="42EA167B"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Noting the above, the health board is of the opinion that the remaining pharmacies will sign up to provide this service during the lifetime of this pharmaceutical needs assessment. As a result, the health board has not identified any current or future needs for this service within the locality.</w:t>
      </w:r>
    </w:p>
    <w:p w14:paraId="296D56A2" w14:textId="77777777" w:rsidR="00BB14FD" w:rsidRPr="00BB14FD" w:rsidRDefault="00BB14FD" w:rsidP="00BD4BBA">
      <w:pPr>
        <w:rPr>
          <w:rFonts w:eastAsia="Times New Roman" w:cs="Arial"/>
          <w:kern w:val="0"/>
          <w:lang w:eastAsia="en-GB"/>
          <w14:ligatures w14:val="none"/>
        </w:rPr>
      </w:pPr>
    </w:p>
    <w:p w14:paraId="62A1588B"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 xml:space="preserve">13.8.2.7 Stoma appliance customisation service </w:t>
      </w:r>
    </w:p>
    <w:p w14:paraId="62CEC893" w14:textId="77777777" w:rsidR="00BB14FD" w:rsidRPr="00BB14FD" w:rsidRDefault="00BB14FD" w:rsidP="00BD4BBA">
      <w:pPr>
        <w:rPr>
          <w:rFonts w:eastAsia="Times New Roman" w:cs="Arial"/>
          <w:kern w:val="0"/>
          <w:lang w:eastAsia="en-GB"/>
          <w14:ligatures w14:val="none"/>
        </w:rPr>
      </w:pPr>
    </w:p>
    <w:p w14:paraId="31F1A7D0"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 xml:space="preserve">The health board has noted none of the pharmacies have signed up to provide this service and neither have the dispensing appliance contractors Cardiff and Vale University Health Board’s area. </w:t>
      </w:r>
    </w:p>
    <w:p w14:paraId="1EBFAC6F" w14:textId="77777777" w:rsidR="00BB14FD" w:rsidRPr="00BB14FD" w:rsidRDefault="00BB14FD" w:rsidP="00BD4BBA">
      <w:pPr>
        <w:rPr>
          <w:rFonts w:eastAsia="Times New Roman" w:cs="Arial"/>
          <w:kern w:val="0"/>
          <w:lang w:eastAsia="en-GB"/>
          <w14:ligatures w14:val="none"/>
        </w:rPr>
      </w:pPr>
    </w:p>
    <w:p w14:paraId="3A46D7F2"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However, of the items dispensed in England in 2024/25, 84.3% were dispensed by dispensing appliance contractors and 86.6% in the first nine months of 2025/26.</w:t>
      </w:r>
    </w:p>
    <w:p w14:paraId="4AD72C8A" w14:textId="77777777" w:rsidR="00BB14FD" w:rsidRPr="00BB14FD" w:rsidRDefault="00BB14FD" w:rsidP="00BD4BBA">
      <w:pPr>
        <w:rPr>
          <w:rFonts w:eastAsia="Times New Roman" w:cs="Arial"/>
          <w:kern w:val="0"/>
          <w:lang w:eastAsia="en-GB"/>
          <w14:ligatures w14:val="none"/>
        </w:rPr>
      </w:pPr>
    </w:p>
    <w:p w14:paraId="3BD48ADE"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It is therefore anticipated that these contractors will be customising stoma appliances as required before dispatching or delivering them to patients. Based on this, the health board has not identified any current or future needs for this service within the locality.</w:t>
      </w:r>
    </w:p>
    <w:p w14:paraId="63E02D3B" w14:textId="77777777" w:rsidR="00BB14FD" w:rsidRPr="00BB14FD" w:rsidRDefault="00BB14FD" w:rsidP="00BD4BBA">
      <w:pPr>
        <w:rPr>
          <w:rFonts w:eastAsia="Times New Roman" w:cs="Arial"/>
          <w:kern w:val="0"/>
          <w:lang w:eastAsia="en-GB"/>
          <w14:ligatures w14:val="none"/>
        </w:rPr>
      </w:pPr>
    </w:p>
    <w:p w14:paraId="2A340E52"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13.8.3 Additional clinical services</w:t>
      </w:r>
    </w:p>
    <w:p w14:paraId="2A162A1F" w14:textId="77777777" w:rsidR="00BB14FD" w:rsidRPr="00BB14FD" w:rsidRDefault="00BB14FD" w:rsidP="00BD4BBA">
      <w:pPr>
        <w:rPr>
          <w:rFonts w:ascii="Aptos" w:eastAsia="Aptos" w:hAnsi="Aptos" w:cs="Times New Roman"/>
          <w:shd w:val="clear" w:color="auto" w:fill="FFFFFF"/>
        </w:rPr>
      </w:pPr>
    </w:p>
    <w:p w14:paraId="2F5AA1EF" w14:textId="77777777" w:rsidR="00BB14FD" w:rsidRPr="00BB14FD" w:rsidRDefault="00BB14FD" w:rsidP="00BD4BBA">
      <w:pPr>
        <w:rPr>
          <w:rFonts w:ascii="Aptos" w:eastAsia="Times New Roman" w:hAnsi="Aptos" w:cs="Times New Roman"/>
          <w:b/>
          <w:bCs/>
          <w:kern w:val="0"/>
          <w:lang w:eastAsia="en-GB"/>
          <w14:ligatures w14:val="none"/>
        </w:rPr>
      </w:pPr>
      <w:r w:rsidRPr="00BB14FD">
        <w:rPr>
          <w:rFonts w:eastAsia="Times New Roman" w:cs="Arial"/>
          <w:b/>
          <w:bCs/>
          <w:kern w:val="0"/>
          <w:lang w:eastAsia="en-GB"/>
          <w14:ligatures w14:val="none"/>
        </w:rPr>
        <w:t>13.8.3.1 Blood borne virus screening service</w:t>
      </w:r>
    </w:p>
    <w:p w14:paraId="430309EB" w14:textId="77777777" w:rsidR="00BB14FD" w:rsidRPr="00BB14FD" w:rsidRDefault="00BB14FD" w:rsidP="00BD4BBA">
      <w:pPr>
        <w:rPr>
          <w:rFonts w:eastAsia="Times New Roman" w:cs="Arial"/>
          <w:kern w:val="0"/>
          <w:lang w:eastAsia="en-GB"/>
          <w14:ligatures w14:val="none"/>
        </w:rPr>
      </w:pPr>
    </w:p>
    <w:p w14:paraId="66A049C5"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 xml:space="preserve">The health board has noted three of the pharmacies have signed up to provide this service. </w:t>
      </w:r>
    </w:p>
    <w:p w14:paraId="2E3AFCC2" w14:textId="77777777" w:rsidR="00BB14FD" w:rsidRPr="00BB14FD" w:rsidRDefault="00BB14FD" w:rsidP="00BD4BBA">
      <w:pPr>
        <w:contextualSpacing/>
        <w:rPr>
          <w:rFonts w:eastAsia="Times New Roman" w:cs="Arial"/>
          <w:kern w:val="0"/>
          <w:lang w:eastAsia="en-GB"/>
          <w14:ligatures w14:val="none"/>
        </w:rPr>
      </w:pPr>
    </w:p>
    <w:p w14:paraId="27FF716D" w14:textId="77777777" w:rsidR="00BB14FD" w:rsidRPr="00BB14FD" w:rsidRDefault="00BB14FD" w:rsidP="00BD4BBA">
      <w:pPr>
        <w:contextualSpacing/>
        <w:rPr>
          <w:rFonts w:eastAsia="Times New Roman" w:cs="Arial"/>
          <w:kern w:val="0"/>
          <w:lang w:eastAsia="en-GB"/>
          <w14:ligatures w14:val="none"/>
        </w:rPr>
      </w:pPr>
      <w:r w:rsidRPr="00BB14FD">
        <w:rPr>
          <w:rFonts w:eastAsia="Times New Roman" w:cs="Arial"/>
          <w:kern w:val="0"/>
          <w:lang w:eastAsia="en-GB"/>
          <w14:ligatures w14:val="none"/>
        </w:rPr>
        <w:t xml:space="preserve">However, blood borne virus screening services are available through several other providers in the health board’s area, such as sexual health clinics, GP practices, ordering online home test and post screening kits via Sexual Health Wales or collecting screening kits from community venues across Swansea Bay. Several pharmacies across Swansea Bay hold a stock of the test and post screening kits, ensuring convenient access for those who may prefer a more discreet or flexible option. </w:t>
      </w:r>
    </w:p>
    <w:p w14:paraId="0DAF1900" w14:textId="77777777" w:rsidR="00BB14FD" w:rsidRPr="00BB14FD" w:rsidRDefault="00BB14FD" w:rsidP="00BD4BBA">
      <w:pPr>
        <w:contextualSpacing/>
        <w:rPr>
          <w:rFonts w:eastAsia="Times New Roman" w:cs="Arial"/>
          <w:kern w:val="0"/>
          <w:lang w:eastAsia="en-GB"/>
          <w14:ligatures w14:val="none"/>
        </w:rPr>
      </w:pPr>
    </w:p>
    <w:p w14:paraId="115EC389" w14:textId="77777777" w:rsidR="00BB14FD" w:rsidRPr="00BB14FD" w:rsidRDefault="00BB14FD" w:rsidP="00BD4BBA">
      <w:pPr>
        <w:contextualSpacing/>
        <w:rPr>
          <w:rFonts w:eastAsia="Times New Roman" w:cs="Arial"/>
          <w:kern w:val="0"/>
          <w:lang w:eastAsia="en-GB"/>
          <w14:ligatures w14:val="none"/>
        </w:rPr>
      </w:pPr>
      <w:r w:rsidRPr="00BB14FD">
        <w:rPr>
          <w:rFonts w:eastAsia="Times New Roman" w:cs="Arial"/>
          <w:kern w:val="0"/>
          <w:lang w:eastAsia="en-GB"/>
          <w14:ligatures w14:val="none"/>
        </w:rPr>
        <w:t>Based on the above, the health board has not identified any current or future needs for this service within the locality.</w:t>
      </w:r>
    </w:p>
    <w:p w14:paraId="7B800A86" w14:textId="77777777" w:rsidR="00BB14FD" w:rsidRPr="00BB14FD" w:rsidRDefault="00BB14FD" w:rsidP="00BD4BBA">
      <w:pPr>
        <w:rPr>
          <w:rFonts w:eastAsia="Times New Roman" w:cs="Arial"/>
          <w:kern w:val="0"/>
          <w:lang w:eastAsia="en-GB"/>
          <w14:ligatures w14:val="none"/>
        </w:rPr>
      </w:pPr>
    </w:p>
    <w:p w14:paraId="7A20B9E0"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13.8.3.2 Care home support service - Level 1 medicines management support visits</w:t>
      </w:r>
    </w:p>
    <w:p w14:paraId="5487C8AD" w14:textId="77777777" w:rsidR="00BB14FD" w:rsidRPr="00BB14FD" w:rsidRDefault="00BB14FD" w:rsidP="00BD4BBA">
      <w:pPr>
        <w:rPr>
          <w:rFonts w:eastAsia="Times New Roman" w:cs="Arial"/>
          <w:kern w:val="0"/>
          <w:lang w:eastAsia="en-GB"/>
          <w14:ligatures w14:val="none"/>
        </w:rPr>
      </w:pPr>
    </w:p>
    <w:p w14:paraId="782A69E3"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 xml:space="preserve">The health board has noted none of the pharmacies have signed up to provide this service. If approached by a pharmacy wishing to provide the service for the care </w:t>
      </w:r>
      <w:r w:rsidRPr="00BB14FD">
        <w:rPr>
          <w:rFonts w:eastAsia="Times New Roman" w:cs="Arial"/>
          <w:kern w:val="0"/>
          <w:lang w:eastAsia="en-GB"/>
          <w14:ligatures w14:val="none"/>
        </w:rPr>
        <w:lastRenderedPageBreak/>
        <w:t>homes it serves as it has identified there is a need for the service, the health board would commission the service from that pharmacy.</w:t>
      </w:r>
    </w:p>
    <w:p w14:paraId="0E2D2FE4" w14:textId="77777777" w:rsidR="00BB14FD" w:rsidRPr="00BB14FD" w:rsidRDefault="00BB14FD" w:rsidP="00BD4BBA">
      <w:pPr>
        <w:rPr>
          <w:rFonts w:eastAsia="Times New Roman" w:cs="Arial"/>
          <w:kern w:val="0"/>
          <w:lang w:eastAsia="en-GB"/>
          <w14:ligatures w14:val="none"/>
        </w:rPr>
      </w:pPr>
    </w:p>
    <w:p w14:paraId="7692EC35" w14:textId="77777777" w:rsidR="00BB14FD" w:rsidRPr="00BB14FD" w:rsidRDefault="00BB14FD" w:rsidP="00BD4BBA">
      <w:pPr>
        <w:contextualSpacing/>
        <w:rPr>
          <w:rFonts w:eastAsia="Times New Roman" w:cs="Arial"/>
          <w:kern w:val="0"/>
          <w:lang w:eastAsia="en-GB"/>
          <w14:ligatures w14:val="none"/>
        </w:rPr>
      </w:pPr>
      <w:r w:rsidRPr="00BB14FD">
        <w:rPr>
          <w:rFonts w:eastAsia="Times New Roman" w:cs="Arial"/>
          <w:kern w:val="0"/>
          <w:lang w:eastAsia="en-GB"/>
          <w14:ligatures w14:val="none"/>
        </w:rPr>
        <w:t>Based on the above, the health board has not identified any current or future needs for this service within the locality.</w:t>
      </w:r>
    </w:p>
    <w:p w14:paraId="7D7C97CC" w14:textId="77777777" w:rsidR="00BB14FD" w:rsidRPr="00BB14FD" w:rsidRDefault="00BB14FD" w:rsidP="00BD4BBA">
      <w:pPr>
        <w:shd w:val="clear" w:color="auto" w:fill="FFFFFF"/>
        <w:rPr>
          <w:rFonts w:eastAsia="Times New Roman" w:cs="Arial"/>
          <w:b/>
          <w:bCs/>
          <w:kern w:val="0"/>
          <w:lang w:eastAsia="en-GB"/>
          <w14:ligatures w14:val="none"/>
        </w:rPr>
      </w:pPr>
    </w:p>
    <w:p w14:paraId="2FD878B4" w14:textId="77777777" w:rsidR="00BB14FD" w:rsidRPr="00BB14FD" w:rsidRDefault="00BB14FD" w:rsidP="00BD4BBA">
      <w:pPr>
        <w:shd w:val="clear" w:color="auto" w:fill="FFFFFF"/>
        <w:rPr>
          <w:rFonts w:eastAsia="Times New Roman" w:cs="Arial"/>
          <w:b/>
          <w:bCs/>
          <w:kern w:val="0"/>
          <w:lang w:eastAsia="en-GB"/>
          <w14:ligatures w14:val="none"/>
        </w:rPr>
      </w:pPr>
      <w:r w:rsidRPr="00BB14FD">
        <w:rPr>
          <w:rFonts w:eastAsia="Times New Roman" w:cs="Arial"/>
          <w:b/>
          <w:bCs/>
          <w:kern w:val="0"/>
          <w:lang w:eastAsia="en-GB"/>
          <w14:ligatures w14:val="none"/>
        </w:rPr>
        <w:t xml:space="preserve">13.8.3.3 Inhaler review service </w:t>
      </w:r>
    </w:p>
    <w:p w14:paraId="1E9B5427" w14:textId="77777777" w:rsidR="00BB14FD" w:rsidRPr="00BB14FD" w:rsidRDefault="00BB14FD" w:rsidP="00BD4BBA">
      <w:pPr>
        <w:rPr>
          <w:rFonts w:eastAsia="Times New Roman" w:cs="Arial"/>
          <w:kern w:val="0"/>
          <w:lang w:eastAsia="en-GB"/>
          <w14:ligatures w14:val="none"/>
        </w:rPr>
      </w:pPr>
    </w:p>
    <w:p w14:paraId="47F82FF0"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The health board has noted six of the pharmacies have signed up to provide this service and two pharmacies provide it. It has also noted that GP practices will provide the service which reduces demand for the service to be provided by pharmacies. If a pharmacy identified that the service is required by its users, the health board would commission the service from that pharmacy.</w:t>
      </w:r>
    </w:p>
    <w:p w14:paraId="1753E6E0" w14:textId="77777777" w:rsidR="00BB14FD" w:rsidRPr="00BB14FD" w:rsidRDefault="00BB14FD" w:rsidP="00BD4BBA">
      <w:pPr>
        <w:rPr>
          <w:rFonts w:eastAsia="Times New Roman" w:cs="Arial"/>
          <w:kern w:val="0"/>
          <w:lang w:eastAsia="en-GB"/>
          <w14:ligatures w14:val="none"/>
        </w:rPr>
      </w:pPr>
    </w:p>
    <w:p w14:paraId="08CCED4E"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Based on the above, the health board has not identified any current or future needs for this service within the locality.</w:t>
      </w:r>
    </w:p>
    <w:p w14:paraId="1D721E2C" w14:textId="77777777" w:rsidR="00B10C4F" w:rsidRPr="00BB14FD" w:rsidRDefault="00B10C4F" w:rsidP="00BD4BBA">
      <w:pPr>
        <w:rPr>
          <w:rFonts w:eastAsia="Times New Roman" w:cs="Arial"/>
          <w:b/>
          <w:bCs/>
          <w:kern w:val="0"/>
          <w:lang w:eastAsia="en-GB"/>
          <w14:ligatures w14:val="none"/>
        </w:rPr>
      </w:pPr>
    </w:p>
    <w:p w14:paraId="180F0F72"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13.8.3.4 Just in case service (palliative care packs)</w:t>
      </w:r>
    </w:p>
    <w:p w14:paraId="14D04170" w14:textId="77777777" w:rsidR="00BB14FD" w:rsidRPr="00BB14FD" w:rsidRDefault="00BB14FD" w:rsidP="00BD4BBA">
      <w:pPr>
        <w:rPr>
          <w:rFonts w:eastAsia="Times New Roman" w:cs="Arial"/>
          <w:kern w:val="0"/>
          <w:lang w:eastAsia="en-GB"/>
          <w14:ligatures w14:val="none"/>
        </w:rPr>
      </w:pPr>
    </w:p>
    <w:p w14:paraId="146B21EF"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 xml:space="preserve">The health board has noted three of the pharmacies have signed up to provide this service and one provides it. </w:t>
      </w:r>
    </w:p>
    <w:p w14:paraId="6D0182CC" w14:textId="77777777" w:rsidR="00BB14FD" w:rsidRPr="00BB14FD" w:rsidRDefault="00BB14FD" w:rsidP="00BD4BBA">
      <w:pPr>
        <w:ind w:left="360"/>
        <w:rPr>
          <w:rFonts w:eastAsia="Times New Roman" w:cs="Arial"/>
          <w:kern w:val="0"/>
          <w:lang w:eastAsia="en-GB"/>
          <w14:ligatures w14:val="none"/>
        </w:rPr>
      </w:pPr>
    </w:p>
    <w:p w14:paraId="6E03B60E" w14:textId="77777777" w:rsidR="00BB14FD" w:rsidRPr="00BB14FD" w:rsidRDefault="00BB14FD" w:rsidP="00BD4BBA">
      <w:pPr>
        <w:contextualSpacing/>
        <w:rPr>
          <w:rFonts w:eastAsia="Times New Roman" w:cs="Arial"/>
          <w:kern w:val="0"/>
          <w:lang w:eastAsia="en-GB"/>
          <w14:ligatures w14:val="none"/>
        </w:rPr>
      </w:pPr>
      <w:r w:rsidRPr="00BB14FD">
        <w:rPr>
          <w:rFonts w:eastAsia="Times New Roman" w:cs="Arial"/>
          <w:kern w:val="0"/>
          <w:lang w:eastAsia="en-GB"/>
          <w14:ligatures w14:val="none"/>
        </w:rPr>
        <w:t>Services are available within the locality through several other providers and in the health board’s area, such as through the health board’s palliative care team.</w:t>
      </w:r>
    </w:p>
    <w:p w14:paraId="1F6C314C" w14:textId="77777777" w:rsidR="00BB14FD" w:rsidRPr="00BB14FD" w:rsidRDefault="00BB14FD" w:rsidP="00BD4BBA">
      <w:pPr>
        <w:contextualSpacing/>
        <w:rPr>
          <w:rFonts w:eastAsia="Times New Roman" w:cs="Arial"/>
          <w:kern w:val="0"/>
          <w:lang w:eastAsia="en-GB"/>
          <w14:ligatures w14:val="none"/>
        </w:rPr>
      </w:pPr>
    </w:p>
    <w:p w14:paraId="14ABEDFB"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Based on the above, the health board has not identified any current or future needs for this service within the locality.</w:t>
      </w:r>
    </w:p>
    <w:p w14:paraId="22D56098" w14:textId="77777777" w:rsidR="00BB14FD" w:rsidRPr="00BB14FD" w:rsidRDefault="00BB14FD" w:rsidP="00BD4BBA">
      <w:pPr>
        <w:ind w:left="360"/>
        <w:rPr>
          <w:rFonts w:eastAsia="Times New Roman" w:cs="Arial"/>
          <w:kern w:val="0"/>
          <w:lang w:eastAsia="en-GB"/>
          <w14:ligatures w14:val="none"/>
        </w:rPr>
      </w:pPr>
    </w:p>
    <w:p w14:paraId="6EE779B6"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 xml:space="preserve">13.8.3.5 Medicines administration record service </w:t>
      </w:r>
    </w:p>
    <w:p w14:paraId="41353ACC" w14:textId="77777777" w:rsidR="00BB14FD" w:rsidRPr="00BB14FD" w:rsidRDefault="00BB14FD" w:rsidP="00BD4BBA">
      <w:pPr>
        <w:rPr>
          <w:rFonts w:eastAsia="Times New Roman" w:cs="Arial"/>
          <w:kern w:val="0"/>
          <w:lang w:eastAsia="en-GB"/>
          <w14:ligatures w14:val="none"/>
        </w:rPr>
      </w:pPr>
    </w:p>
    <w:p w14:paraId="321D6B5E"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The health board has noted 11 of the pharmacies have signed up to provide this service, 11 pharmacies provide it. The health board has therefore not identified any current or future needs for this service within the locality.</w:t>
      </w:r>
    </w:p>
    <w:p w14:paraId="2DACC506" w14:textId="77777777" w:rsidR="00BB14FD" w:rsidRPr="00BB14FD" w:rsidRDefault="00BB14FD" w:rsidP="00BD4BBA">
      <w:pPr>
        <w:rPr>
          <w:rFonts w:eastAsia="Times New Roman" w:cs="Arial"/>
          <w:b/>
          <w:bCs/>
          <w:kern w:val="0"/>
          <w:lang w:eastAsia="en-GB"/>
          <w14:ligatures w14:val="none"/>
        </w:rPr>
      </w:pPr>
    </w:p>
    <w:p w14:paraId="580F42C8"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13.8.3.6 Needle and syringe programmes</w:t>
      </w:r>
    </w:p>
    <w:p w14:paraId="5C81D70F" w14:textId="77777777" w:rsidR="00BB14FD" w:rsidRPr="00BB14FD" w:rsidRDefault="00BB14FD" w:rsidP="00BD4BBA">
      <w:pPr>
        <w:rPr>
          <w:rFonts w:eastAsia="Times New Roman" w:cs="Arial"/>
          <w:kern w:val="0"/>
          <w:lang w:eastAsia="en-GB"/>
          <w14:ligatures w14:val="none"/>
        </w:rPr>
      </w:pPr>
    </w:p>
    <w:p w14:paraId="7C244392"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 xml:space="preserve">The health board has noted three of the pharmacies have signed up to provide this service, and one pharmacy provides it. </w:t>
      </w:r>
    </w:p>
    <w:p w14:paraId="1641322D" w14:textId="77777777" w:rsidR="00BB14FD" w:rsidRPr="00BB14FD" w:rsidRDefault="00BB14FD" w:rsidP="00BD4BBA">
      <w:pPr>
        <w:rPr>
          <w:rFonts w:eastAsia="Times New Roman" w:cs="Arial"/>
          <w:kern w:val="0"/>
          <w:lang w:eastAsia="en-GB"/>
          <w14:ligatures w14:val="none"/>
        </w:rPr>
      </w:pPr>
    </w:p>
    <w:p w14:paraId="5E2E9ED2"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The health board has noted that this service is also provided by other providers and that demand for it has decreased across the full range of providers, reflecting changes in service user behaviour. No complaints have been received by the health board regarding discarded needles and syringes in public spaces. If a pharmacy wished to subsequently provide the service due to an increase in demand the health board would commission the pharmacy accordingly.</w:t>
      </w:r>
    </w:p>
    <w:p w14:paraId="3D8FBA27" w14:textId="77777777" w:rsidR="00BB14FD" w:rsidRPr="00BB14FD" w:rsidRDefault="00BB14FD" w:rsidP="00BD4BBA">
      <w:pPr>
        <w:rPr>
          <w:rFonts w:eastAsia="Times New Roman" w:cs="Arial"/>
          <w:kern w:val="0"/>
          <w:lang w:eastAsia="en-GB"/>
          <w14:ligatures w14:val="none"/>
        </w:rPr>
      </w:pPr>
    </w:p>
    <w:p w14:paraId="4DE5382B"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Based on the above, the health board has not identified any current or future needs for this service within the locality.</w:t>
      </w:r>
    </w:p>
    <w:p w14:paraId="6DA8A6D4" w14:textId="77777777" w:rsidR="00BB14FD" w:rsidRDefault="00BB14FD" w:rsidP="00BD4BBA">
      <w:pPr>
        <w:rPr>
          <w:rFonts w:eastAsia="Times New Roman" w:cs="Arial"/>
          <w:kern w:val="0"/>
          <w:lang w:eastAsia="en-GB"/>
          <w14:ligatures w14:val="none"/>
        </w:rPr>
      </w:pPr>
    </w:p>
    <w:p w14:paraId="263D7E49" w14:textId="77777777" w:rsidR="006037B5" w:rsidRPr="00BB14FD" w:rsidRDefault="006037B5" w:rsidP="00BD4BBA">
      <w:pPr>
        <w:rPr>
          <w:rFonts w:eastAsia="Times New Roman" w:cs="Arial"/>
          <w:kern w:val="0"/>
          <w:lang w:eastAsia="en-GB"/>
          <w14:ligatures w14:val="none"/>
        </w:rPr>
      </w:pPr>
    </w:p>
    <w:p w14:paraId="7A1511B7"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lastRenderedPageBreak/>
        <w:t>13.8.3.7 Help me quit @ pharmacy (level 2 smoking cessation) service</w:t>
      </w:r>
    </w:p>
    <w:p w14:paraId="15559FAE" w14:textId="77777777" w:rsidR="00BB14FD" w:rsidRPr="00BB14FD" w:rsidRDefault="00BB14FD" w:rsidP="00BD4BBA">
      <w:pPr>
        <w:rPr>
          <w:rFonts w:eastAsia="Times New Roman" w:cs="Arial"/>
          <w:kern w:val="0"/>
          <w:lang w:eastAsia="en-GB"/>
          <w14:ligatures w14:val="none"/>
        </w:rPr>
      </w:pPr>
    </w:p>
    <w:p w14:paraId="10DB95FA"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 xml:space="preserve">The health board has noted 11 of the pharmacies have signed up to provide this service, and nine pharmacies provide it. </w:t>
      </w:r>
    </w:p>
    <w:p w14:paraId="53156166" w14:textId="77777777" w:rsidR="00BB14FD" w:rsidRPr="00BB14FD" w:rsidRDefault="00BB14FD" w:rsidP="00BD4BBA">
      <w:pPr>
        <w:rPr>
          <w:rFonts w:eastAsia="Times New Roman" w:cs="Arial"/>
          <w:kern w:val="0"/>
          <w:lang w:eastAsia="en-GB"/>
          <w14:ligatures w14:val="none"/>
        </w:rPr>
      </w:pPr>
    </w:p>
    <w:p w14:paraId="76466E21"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The health board has therefore not identified any current or future needs for this service within the locality.</w:t>
      </w:r>
    </w:p>
    <w:p w14:paraId="06FBCD4C" w14:textId="77777777" w:rsidR="00BB14FD" w:rsidRPr="00BB14FD" w:rsidRDefault="00BB14FD" w:rsidP="00BD4BBA">
      <w:pPr>
        <w:rPr>
          <w:rFonts w:eastAsia="Times New Roman" w:cs="Arial"/>
          <w:kern w:val="0"/>
          <w:lang w:eastAsia="en-GB"/>
          <w14:ligatures w14:val="none"/>
        </w:rPr>
      </w:pPr>
    </w:p>
    <w:p w14:paraId="04FF7FE8"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13.8.3.8 Help me quit @ pharmacy (level 3 smoking cessation) service</w:t>
      </w:r>
    </w:p>
    <w:p w14:paraId="58DA8999" w14:textId="77777777" w:rsidR="00BB14FD" w:rsidRPr="00BB14FD" w:rsidRDefault="00BB14FD" w:rsidP="00BD4BBA">
      <w:pPr>
        <w:rPr>
          <w:rFonts w:eastAsia="Times New Roman" w:cs="Arial"/>
          <w:kern w:val="0"/>
          <w:lang w:eastAsia="en-GB"/>
          <w14:ligatures w14:val="none"/>
        </w:rPr>
      </w:pPr>
    </w:p>
    <w:p w14:paraId="52DD93C3"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 xml:space="preserve">The health board noted eight of the pharmacies have signed up to provide this service, and six pharmacies provide it. </w:t>
      </w:r>
    </w:p>
    <w:p w14:paraId="197A903C" w14:textId="77777777" w:rsidR="00BB14FD" w:rsidRPr="00BB14FD" w:rsidRDefault="00BB14FD" w:rsidP="00BD4BBA">
      <w:pPr>
        <w:rPr>
          <w:rFonts w:eastAsia="Times New Roman" w:cs="Arial"/>
          <w:kern w:val="0"/>
          <w:lang w:eastAsia="en-GB"/>
          <w14:ligatures w14:val="none"/>
        </w:rPr>
      </w:pPr>
    </w:p>
    <w:p w14:paraId="0DFC12F6"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The health board has noted that service user behaviour and needs are changing, with more people using vapes instead of smoking tobacco. The service is not appropriate for those who wish to stop vaping. The service is also not appropriate for those who are heavy smokers and who have smoked for a number of years as the drugs they require to stop smoking are not available under this service.</w:t>
      </w:r>
    </w:p>
    <w:p w14:paraId="1A700D95" w14:textId="77777777" w:rsidR="00BB14FD" w:rsidRPr="00BB14FD" w:rsidRDefault="00BB14FD" w:rsidP="00BD4BBA">
      <w:pPr>
        <w:rPr>
          <w:rFonts w:eastAsia="Times New Roman" w:cs="Arial"/>
          <w:kern w:val="0"/>
          <w:lang w:eastAsia="en-GB"/>
          <w14:ligatures w14:val="none"/>
        </w:rPr>
      </w:pPr>
    </w:p>
    <w:p w14:paraId="57C5D908"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Based on the above, the health board has not identified any current or future needs for this service within the locality.</w:t>
      </w:r>
    </w:p>
    <w:p w14:paraId="5C23E1D2" w14:textId="77777777" w:rsidR="00BB14FD" w:rsidRPr="00BB14FD" w:rsidRDefault="00BB14FD" w:rsidP="00BD4BBA">
      <w:pPr>
        <w:rPr>
          <w:rFonts w:eastAsia="Times New Roman" w:cs="Arial"/>
          <w:kern w:val="0"/>
          <w:lang w:eastAsia="en-GB"/>
          <w14:ligatures w14:val="none"/>
        </w:rPr>
      </w:pPr>
    </w:p>
    <w:p w14:paraId="679B0DED"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13.8.3.9 Supervised administration of medicines service</w:t>
      </w:r>
    </w:p>
    <w:p w14:paraId="427238BB" w14:textId="77777777" w:rsidR="00BB14FD" w:rsidRPr="00BB14FD" w:rsidRDefault="00BB14FD" w:rsidP="00BD4BBA">
      <w:pPr>
        <w:rPr>
          <w:rFonts w:eastAsia="Times New Roman" w:cs="Arial"/>
          <w:kern w:val="0"/>
          <w:lang w:eastAsia="en-GB"/>
          <w14:ligatures w14:val="none"/>
        </w:rPr>
      </w:pPr>
    </w:p>
    <w:p w14:paraId="32F72C89"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The health board has noted 11 of the pharmacies have signed up to provide this service, and ten pharmacies provide it. The health board is satisfied that there is a good spread of pharmacies across the locality who do, or could, provide the service if required.</w:t>
      </w:r>
    </w:p>
    <w:p w14:paraId="4F744C00" w14:textId="77777777" w:rsidR="00BB14FD" w:rsidRPr="00BB14FD" w:rsidRDefault="00BB14FD" w:rsidP="00BD4BBA">
      <w:pPr>
        <w:rPr>
          <w:rFonts w:eastAsia="Times New Roman" w:cs="Arial"/>
          <w:kern w:val="0"/>
          <w:lang w:eastAsia="en-GB"/>
          <w14:ligatures w14:val="none"/>
        </w:rPr>
      </w:pPr>
    </w:p>
    <w:p w14:paraId="3B9479BC"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The health board has therefore not identified any current or future needs for this service within the locality.</w:t>
      </w:r>
    </w:p>
    <w:p w14:paraId="4A0F040D" w14:textId="77777777" w:rsidR="00BB14FD" w:rsidRPr="00BB14FD" w:rsidRDefault="00BB14FD" w:rsidP="00BD4BBA">
      <w:pPr>
        <w:rPr>
          <w:rFonts w:eastAsia="Times New Roman" w:cs="Arial"/>
          <w:kern w:val="0"/>
          <w:lang w:eastAsia="en-GB"/>
          <w14:ligatures w14:val="none"/>
        </w:rPr>
      </w:pPr>
    </w:p>
    <w:p w14:paraId="3D1B4FFF" w14:textId="77777777" w:rsidR="00BB14FD" w:rsidRPr="00BB14FD" w:rsidRDefault="00BB14FD" w:rsidP="00BD4BBA">
      <w:pPr>
        <w:rPr>
          <w:rFonts w:eastAsia="Times New Roman" w:cs="Arial"/>
          <w:b/>
          <w:bCs/>
          <w:kern w:val="0"/>
          <w:lang w:eastAsia="en-GB"/>
          <w14:ligatures w14:val="none"/>
        </w:rPr>
      </w:pPr>
      <w:r w:rsidRPr="00BB14FD">
        <w:rPr>
          <w:rFonts w:eastAsia="Times New Roman" w:cs="Arial"/>
          <w:b/>
          <w:bCs/>
          <w:kern w:val="0"/>
          <w:lang w:eastAsia="en-GB"/>
          <w14:ligatures w14:val="none"/>
        </w:rPr>
        <w:t xml:space="preserve">13.8.3.10 Urgent medicines service </w:t>
      </w:r>
    </w:p>
    <w:p w14:paraId="5BD8CB58" w14:textId="77777777" w:rsidR="00BB14FD" w:rsidRPr="00BB14FD" w:rsidRDefault="00BB14FD" w:rsidP="00BD4BBA">
      <w:pPr>
        <w:rPr>
          <w:rFonts w:eastAsia="Times New Roman" w:cs="Arial"/>
          <w:kern w:val="0"/>
          <w:lang w:eastAsia="en-GB"/>
          <w14:ligatures w14:val="none"/>
        </w:rPr>
      </w:pPr>
    </w:p>
    <w:p w14:paraId="26FDC36A"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The health board has noted three of the pharmacies have signed up to provide this service. Due to the nature of the service, it is commissioned to ensure a good geographical spread of pharmacies providing it across the health board’s geography. The health board continues to monitor provision of the service and would commission more pharmacies to provide if required.</w:t>
      </w:r>
    </w:p>
    <w:p w14:paraId="703E882E" w14:textId="77777777" w:rsidR="00BB14FD" w:rsidRPr="00BB14FD" w:rsidRDefault="00BB14FD" w:rsidP="00BD4BBA">
      <w:pPr>
        <w:rPr>
          <w:rFonts w:eastAsia="Times New Roman" w:cs="Arial"/>
          <w:kern w:val="0"/>
          <w:lang w:eastAsia="en-GB"/>
          <w14:ligatures w14:val="none"/>
        </w:rPr>
      </w:pPr>
    </w:p>
    <w:p w14:paraId="29FB4246" w14:textId="77777777" w:rsidR="00BB14FD" w:rsidRPr="00BB14FD" w:rsidRDefault="00BB14FD" w:rsidP="00BD4BBA">
      <w:pPr>
        <w:rPr>
          <w:rFonts w:eastAsia="Times New Roman" w:cs="Arial"/>
          <w:kern w:val="0"/>
          <w:lang w:eastAsia="en-GB"/>
          <w14:ligatures w14:val="none"/>
        </w:rPr>
      </w:pPr>
      <w:r w:rsidRPr="00BB14FD">
        <w:rPr>
          <w:rFonts w:eastAsia="Times New Roman" w:cs="Arial"/>
          <w:kern w:val="0"/>
          <w:lang w:eastAsia="en-GB"/>
          <w14:ligatures w14:val="none"/>
        </w:rPr>
        <w:t>The health board has therefore not identified any current or future needs for this service within the locality.</w:t>
      </w:r>
    </w:p>
    <w:p w14:paraId="272A511F" w14:textId="77777777" w:rsidR="00BB14FD" w:rsidRPr="00BB14FD" w:rsidRDefault="00BB14FD" w:rsidP="00BD4BBA">
      <w:pPr>
        <w:textAlignment w:val="baseline"/>
        <w:rPr>
          <w:rFonts w:ascii="Times New Roman" w:eastAsia="Times New Roman" w:hAnsi="Times New Roman" w:cs="Times New Roman"/>
          <w:b/>
          <w:bCs/>
          <w:kern w:val="0"/>
          <w:lang w:eastAsia="en-GB"/>
          <w14:ligatures w14:val="none"/>
        </w:rPr>
      </w:pPr>
    </w:p>
    <w:p w14:paraId="1D76D600" w14:textId="77777777" w:rsidR="00BB14FD" w:rsidRPr="00BB14FD" w:rsidRDefault="00BB14FD" w:rsidP="00BD4BBA">
      <w:pPr>
        <w:textAlignment w:val="baseline"/>
        <w:rPr>
          <w:rFonts w:ascii="Times New Roman" w:eastAsia="Times New Roman" w:hAnsi="Times New Roman" w:cs="Times New Roman"/>
          <w:kern w:val="0"/>
          <w:lang w:eastAsia="en-GB"/>
          <w14:ligatures w14:val="none"/>
        </w:rPr>
      </w:pPr>
      <w:r w:rsidRPr="00BB14FD">
        <w:rPr>
          <w:rFonts w:eastAsia="Times New Roman" w:cs="Arial"/>
          <w:b/>
          <w:bCs/>
          <w:kern w:val="0"/>
          <w:lang w:eastAsia="en-GB"/>
          <w14:ligatures w14:val="none"/>
        </w:rPr>
        <w:t>13.8.3.11 GP dispensing service</w:t>
      </w:r>
      <w:r w:rsidRPr="00BB14FD">
        <w:rPr>
          <w:rFonts w:eastAsia="Times New Roman" w:cs="Arial"/>
          <w:kern w:val="0"/>
          <w:lang w:eastAsia="en-GB"/>
          <w14:ligatures w14:val="none"/>
        </w:rPr>
        <w:t> </w:t>
      </w:r>
    </w:p>
    <w:p w14:paraId="72FC7944" w14:textId="77777777" w:rsidR="00BB14FD" w:rsidRPr="00BB14FD" w:rsidRDefault="00BB14FD" w:rsidP="00BD4BBA">
      <w:pPr>
        <w:textAlignment w:val="baseline"/>
        <w:rPr>
          <w:rFonts w:eastAsia="Times New Roman" w:cs="Arial"/>
          <w:kern w:val="0"/>
          <w:lang w:eastAsia="en-GB"/>
          <w14:ligatures w14:val="none"/>
        </w:rPr>
      </w:pPr>
    </w:p>
    <w:p w14:paraId="5AC5198A" w14:textId="77777777" w:rsidR="00BB14FD" w:rsidRPr="00BB14FD" w:rsidRDefault="00BB14FD" w:rsidP="00BD4BBA">
      <w:pPr>
        <w:textAlignment w:val="baseline"/>
        <w:rPr>
          <w:rFonts w:eastAsia="Times New Roman" w:cs="Arial"/>
          <w:kern w:val="0"/>
          <w:lang w:eastAsia="en-GB"/>
          <w14:ligatures w14:val="none"/>
        </w:rPr>
      </w:pPr>
      <w:r w:rsidRPr="00BB14FD">
        <w:rPr>
          <w:rFonts w:eastAsia="Times New Roman" w:cs="Arial"/>
          <w:kern w:val="0"/>
          <w:lang w:eastAsia="en-GB"/>
          <w14:ligatures w14:val="none"/>
        </w:rPr>
        <w:t>The health board has noted that one of the practices dispenses to eligible patients from one of its premises and that a practice aligned to Cwm Taf Morgannwg University Health Board dispenses from premises in the locality.</w:t>
      </w:r>
    </w:p>
    <w:p w14:paraId="5671BC71" w14:textId="77777777" w:rsidR="00BB14FD" w:rsidRPr="00BB14FD" w:rsidRDefault="00BB14FD" w:rsidP="00BD4BBA">
      <w:pPr>
        <w:textAlignment w:val="baseline"/>
        <w:rPr>
          <w:rFonts w:eastAsia="Times New Roman" w:cs="Arial"/>
          <w:kern w:val="0"/>
          <w:lang w:eastAsia="en-GB"/>
          <w14:ligatures w14:val="none"/>
        </w:rPr>
      </w:pPr>
    </w:p>
    <w:p w14:paraId="645717CF" w14:textId="77777777" w:rsidR="00BB14FD" w:rsidRPr="00BB14FD" w:rsidRDefault="00BB14FD" w:rsidP="00BD4BBA">
      <w:pPr>
        <w:rPr>
          <w:rFonts w:eastAsia="Aptos" w:cs="Arial"/>
        </w:rPr>
      </w:pPr>
      <w:r w:rsidRPr="00BB14FD">
        <w:rPr>
          <w:rFonts w:eastAsia="Times New Roman" w:cs="Arial"/>
          <w:kern w:val="0"/>
          <w:lang w:eastAsia="en-GB"/>
          <w14:ligatures w14:val="none"/>
        </w:rPr>
        <w:lastRenderedPageBreak/>
        <w:t>The health board has not identified any current or future needs for this service within the locality.</w:t>
      </w:r>
    </w:p>
    <w:p w14:paraId="446C842F" w14:textId="77777777" w:rsidR="00122285" w:rsidRPr="00122285" w:rsidRDefault="00122285" w:rsidP="00BD4BBA">
      <w:pPr>
        <w:rPr>
          <w:rFonts w:eastAsia="Aptos" w:cs="Arial"/>
        </w:rPr>
      </w:pPr>
    </w:p>
    <w:p w14:paraId="762ED9F7" w14:textId="3DFC3475" w:rsidR="00B10C4F" w:rsidRPr="00D0306F" w:rsidRDefault="00B10C4F">
      <w:pPr>
        <w:spacing w:after="160" w:line="278" w:lineRule="auto"/>
        <w:rPr>
          <w:rFonts w:cs="Arial"/>
        </w:rPr>
      </w:pPr>
      <w:r w:rsidRPr="00D0306F">
        <w:rPr>
          <w:rFonts w:cs="Arial"/>
        </w:rPr>
        <w:br w:type="page"/>
      </w:r>
    </w:p>
    <w:p w14:paraId="56C0CF56" w14:textId="40F213D4" w:rsidR="000E3671" w:rsidRPr="00D0306F" w:rsidRDefault="000E3671" w:rsidP="000E3671">
      <w:pPr>
        <w:pStyle w:val="Heading1"/>
        <w:rPr>
          <w:rFonts w:eastAsia="Aptos"/>
          <w:sz w:val="28"/>
          <w:szCs w:val="28"/>
        </w:rPr>
      </w:pPr>
      <w:bookmarkStart w:id="41" w:name="_Toc235185385"/>
      <w:r w:rsidRPr="00D0306F">
        <w:rPr>
          <w:rFonts w:eastAsia="Aptos"/>
          <w:sz w:val="28"/>
          <w:szCs w:val="28"/>
        </w:rPr>
        <w:lastRenderedPageBreak/>
        <w:t>14 Neath locality</w:t>
      </w:r>
      <w:bookmarkEnd w:id="41"/>
    </w:p>
    <w:p w14:paraId="0A752FFB" w14:textId="77777777" w:rsidR="00487A56" w:rsidRPr="00487A56" w:rsidRDefault="00487A56" w:rsidP="00487A56">
      <w:pPr>
        <w:rPr>
          <w:rFonts w:eastAsia="Aptos" w:cs="Arial"/>
          <w:b/>
          <w:bCs/>
        </w:rPr>
      </w:pPr>
    </w:p>
    <w:p w14:paraId="4CBE6F46" w14:textId="77777777" w:rsidR="00487A56" w:rsidRPr="00487A56" w:rsidRDefault="00487A56" w:rsidP="00487A56">
      <w:pPr>
        <w:rPr>
          <w:rFonts w:eastAsia="Aptos" w:cs="Arial"/>
          <w:b/>
          <w:bCs/>
          <w:sz w:val="26"/>
          <w:szCs w:val="26"/>
        </w:rPr>
      </w:pPr>
      <w:r w:rsidRPr="00487A56">
        <w:rPr>
          <w:rFonts w:eastAsia="Aptos" w:cs="Arial"/>
          <w:b/>
          <w:bCs/>
          <w:sz w:val="26"/>
          <w:szCs w:val="26"/>
        </w:rPr>
        <w:t>14.1 Key facts</w:t>
      </w:r>
    </w:p>
    <w:p w14:paraId="40BFBF04" w14:textId="77777777" w:rsidR="00487A56" w:rsidRPr="00487A56" w:rsidRDefault="00487A56" w:rsidP="00B519BF">
      <w:pPr>
        <w:rPr>
          <w:rFonts w:eastAsia="Aptos" w:cs="Arial"/>
        </w:rPr>
      </w:pPr>
    </w:p>
    <w:p w14:paraId="170FCAE8" w14:textId="77777777" w:rsidR="00487A56" w:rsidRPr="00487A56" w:rsidRDefault="00487A56" w:rsidP="00B76905">
      <w:pPr>
        <w:numPr>
          <w:ilvl w:val="0"/>
          <w:numId w:val="191"/>
        </w:numPr>
        <w:contextualSpacing/>
        <w:rPr>
          <w:rFonts w:eastAsia="Aptos" w:cs="Arial"/>
        </w:rPr>
      </w:pPr>
      <w:r w:rsidRPr="00487A56">
        <w:rPr>
          <w:rFonts w:eastAsia="Aptos" w:cs="Arial"/>
        </w:rPr>
        <w:t>The Neath locality serves a registered population of 69,705</w:t>
      </w:r>
      <w:r w:rsidRPr="00487A56">
        <w:rPr>
          <w:rFonts w:eastAsia="Aptos" w:cs="Arial"/>
          <w:vertAlign w:val="superscript"/>
        </w:rPr>
        <w:footnoteReference w:id="322"/>
      </w:r>
      <w:r w:rsidRPr="00487A56">
        <w:rPr>
          <w:rFonts w:eastAsia="Aptos" w:cs="Arial"/>
        </w:rPr>
        <w:t xml:space="preserve"> (January 2026) and is the second largest locality by registered population in the health board and the largest of the three localities in Neath Port Talbot. </w:t>
      </w:r>
    </w:p>
    <w:p w14:paraId="53E7E093" w14:textId="77777777" w:rsidR="00487A56" w:rsidRPr="00487A56" w:rsidRDefault="00487A56" w:rsidP="00B76905">
      <w:pPr>
        <w:numPr>
          <w:ilvl w:val="0"/>
          <w:numId w:val="191"/>
        </w:numPr>
        <w:contextualSpacing/>
        <w:rPr>
          <w:rFonts w:eastAsia="Aptos" w:cs="Arial"/>
        </w:rPr>
      </w:pPr>
      <w:r w:rsidRPr="00487A56">
        <w:rPr>
          <w:rFonts w:eastAsia="Aptos" w:cs="Arial"/>
        </w:rPr>
        <w:t xml:space="preserve">Approximately 22.3% of the locality’s registered population (15,500) are aged 65 years and over, slightly higher than the Wales average (21.9%). </w:t>
      </w:r>
    </w:p>
    <w:p w14:paraId="019F4D62" w14:textId="77777777" w:rsidR="00487A56" w:rsidRPr="00487A56" w:rsidRDefault="00487A56" w:rsidP="00B76905">
      <w:pPr>
        <w:numPr>
          <w:ilvl w:val="0"/>
          <w:numId w:val="191"/>
        </w:numPr>
        <w:contextualSpacing/>
        <w:rPr>
          <w:rFonts w:eastAsia="Aptos" w:cs="Arial"/>
        </w:rPr>
      </w:pPr>
      <w:r w:rsidRPr="00487A56">
        <w:rPr>
          <w:rFonts w:eastAsia="Aptos" w:cs="Arial"/>
        </w:rPr>
        <w:t>The number of Welsh speakers in Neath Port Talbot decreased from 15.3% in the 2011 Census to 13.5% in 2021 with approximately, 2,000 fewer Welsh-speaking residents aged over three years compared with 2011 Census. The number of non-Welsh speaking residents increased by 5,100</w:t>
      </w:r>
      <w:r w:rsidRPr="00487A56">
        <w:rPr>
          <w:rFonts w:eastAsia="Aptos" w:cs="Arial"/>
          <w:vertAlign w:val="superscript"/>
        </w:rPr>
        <w:footnoteReference w:id="323"/>
      </w:r>
      <w:r w:rsidRPr="00487A56">
        <w:rPr>
          <w:rFonts w:eastAsia="Aptos" w:cs="Arial"/>
        </w:rPr>
        <w:t xml:space="preserve">. </w:t>
      </w:r>
    </w:p>
    <w:p w14:paraId="5768643E" w14:textId="77777777" w:rsidR="00487A56" w:rsidRPr="00487A56" w:rsidRDefault="00487A56" w:rsidP="00B76905">
      <w:pPr>
        <w:numPr>
          <w:ilvl w:val="0"/>
          <w:numId w:val="191"/>
        </w:numPr>
        <w:contextualSpacing/>
        <w:rPr>
          <w:rFonts w:eastAsia="Aptos" w:cs="Arial"/>
        </w:rPr>
      </w:pPr>
      <w:r w:rsidRPr="00487A56">
        <w:rPr>
          <w:rFonts w:eastAsia="Aptos" w:cs="Arial"/>
        </w:rPr>
        <w:t>Neath Port Talbot local authority population is projected to increase by 3.1% by the year 2032</w:t>
      </w:r>
      <w:r w:rsidRPr="00487A56">
        <w:rPr>
          <w:rFonts w:eastAsia="Aptos" w:cs="Arial"/>
          <w:vertAlign w:val="superscript"/>
        </w:rPr>
        <w:footnoteReference w:id="324"/>
      </w:r>
      <w:r w:rsidRPr="00487A56">
        <w:rPr>
          <w:rFonts w:eastAsia="Aptos" w:cs="Arial"/>
        </w:rPr>
        <w:t>.</w:t>
      </w:r>
    </w:p>
    <w:p w14:paraId="5ADA8ED7" w14:textId="77777777" w:rsidR="00487A56" w:rsidRPr="00487A56" w:rsidRDefault="00487A56" w:rsidP="00B76905">
      <w:pPr>
        <w:numPr>
          <w:ilvl w:val="0"/>
          <w:numId w:val="191"/>
        </w:numPr>
        <w:contextualSpacing/>
        <w:rPr>
          <w:rFonts w:eastAsia="Aptos" w:cs="Arial"/>
        </w:rPr>
      </w:pPr>
      <w:r w:rsidRPr="00487A56">
        <w:rPr>
          <w:rFonts w:eastAsia="Aptos" w:cs="Arial"/>
        </w:rPr>
        <w:t>There are 240 lower layer super output areas in the health board’s area; 90 lower layer super output areas fall within Neath Port Talbot local authority, and 15 (17%) are in the 10% most deprived in Wales.</w:t>
      </w:r>
    </w:p>
    <w:p w14:paraId="0DA6BE20" w14:textId="77777777" w:rsidR="00487A56" w:rsidRPr="00487A56" w:rsidRDefault="00487A56" w:rsidP="00B76905">
      <w:pPr>
        <w:numPr>
          <w:ilvl w:val="0"/>
          <w:numId w:val="191"/>
        </w:numPr>
        <w:contextualSpacing/>
        <w:rPr>
          <w:rFonts w:eastAsia="Aptos" w:cs="Arial"/>
        </w:rPr>
      </w:pPr>
      <w:r w:rsidRPr="00487A56">
        <w:rPr>
          <w:rFonts w:eastAsia="Aptos" w:cs="Arial"/>
        </w:rPr>
        <w:t xml:space="preserve">Of the 20% most deprived lower layer super output areas in Wales, 33 are within Neath Port Talbot, with 12 found within the locality. </w:t>
      </w:r>
    </w:p>
    <w:p w14:paraId="50D89A4E" w14:textId="77777777" w:rsidR="00487A56" w:rsidRPr="00487A56" w:rsidRDefault="00487A56" w:rsidP="00B76905">
      <w:pPr>
        <w:numPr>
          <w:ilvl w:val="0"/>
          <w:numId w:val="191"/>
        </w:numPr>
        <w:contextualSpacing/>
        <w:rPr>
          <w:rFonts w:eastAsia="Aptos" w:cs="Arial"/>
        </w:rPr>
      </w:pPr>
      <w:r w:rsidRPr="00487A56">
        <w:rPr>
          <w:rFonts w:eastAsia="Aptos" w:cs="Arial"/>
        </w:rPr>
        <w:t xml:space="preserve">The locality consists of 35 lower layer super output areas. 0.3% live in a lower layer super output area that is classified as rural. </w:t>
      </w:r>
    </w:p>
    <w:p w14:paraId="20A48385" w14:textId="77777777" w:rsidR="00487A56" w:rsidRPr="00487A56" w:rsidRDefault="00487A56" w:rsidP="00B76905">
      <w:pPr>
        <w:numPr>
          <w:ilvl w:val="0"/>
          <w:numId w:val="191"/>
        </w:numPr>
        <w:contextualSpacing/>
        <w:rPr>
          <w:rFonts w:eastAsia="Aptos" w:cs="Arial"/>
        </w:rPr>
      </w:pPr>
      <w:r w:rsidRPr="00487A56">
        <w:rPr>
          <w:rFonts w:eastAsia="Aptos" w:cs="Arial"/>
        </w:rPr>
        <w:t>The locality is served by:</w:t>
      </w:r>
    </w:p>
    <w:p w14:paraId="62564F58" w14:textId="77777777" w:rsidR="00487A56" w:rsidRPr="00487A56" w:rsidRDefault="00487A56" w:rsidP="00B76905">
      <w:pPr>
        <w:numPr>
          <w:ilvl w:val="1"/>
          <w:numId w:val="191"/>
        </w:numPr>
        <w:contextualSpacing/>
        <w:rPr>
          <w:rFonts w:eastAsia="Aptos" w:cs="Arial"/>
        </w:rPr>
      </w:pPr>
      <w:r w:rsidRPr="00487A56">
        <w:rPr>
          <w:rFonts w:eastAsia="Aptos" w:cs="Arial"/>
        </w:rPr>
        <w:t>ten pharmacies operated by six contractors.</w:t>
      </w:r>
    </w:p>
    <w:p w14:paraId="242ECE7E" w14:textId="77777777" w:rsidR="00487A56" w:rsidRPr="00487A56" w:rsidRDefault="00487A56" w:rsidP="00B76905">
      <w:pPr>
        <w:numPr>
          <w:ilvl w:val="1"/>
          <w:numId w:val="191"/>
        </w:numPr>
        <w:contextualSpacing/>
        <w:rPr>
          <w:rFonts w:eastAsia="Aptos" w:cs="Arial"/>
        </w:rPr>
      </w:pPr>
      <w:r w:rsidRPr="00487A56">
        <w:rPr>
          <w:rFonts w:eastAsia="Aptos" w:cs="Arial"/>
        </w:rPr>
        <w:t>five dental practices that offer NHS treatment.</w:t>
      </w:r>
    </w:p>
    <w:p w14:paraId="32B4845A" w14:textId="77777777" w:rsidR="00487A56" w:rsidRPr="00487A56" w:rsidRDefault="00487A56" w:rsidP="00B76905">
      <w:pPr>
        <w:numPr>
          <w:ilvl w:val="1"/>
          <w:numId w:val="191"/>
        </w:numPr>
        <w:contextualSpacing/>
        <w:rPr>
          <w:rFonts w:eastAsia="Aptos" w:cs="Arial"/>
        </w:rPr>
      </w:pPr>
      <w:r w:rsidRPr="00487A56">
        <w:rPr>
          <w:rFonts w:eastAsia="Aptos" w:cs="Arial"/>
        </w:rPr>
        <w:t xml:space="preserve">five optical practices. </w:t>
      </w:r>
    </w:p>
    <w:p w14:paraId="52463C99" w14:textId="77777777" w:rsidR="00487A56" w:rsidRPr="00487A56" w:rsidRDefault="00487A56" w:rsidP="00B76905">
      <w:pPr>
        <w:numPr>
          <w:ilvl w:val="1"/>
          <w:numId w:val="191"/>
        </w:numPr>
        <w:contextualSpacing/>
        <w:rPr>
          <w:rFonts w:eastAsia="Aptos" w:cs="Arial"/>
        </w:rPr>
      </w:pPr>
      <w:r w:rsidRPr="00487A56">
        <w:rPr>
          <w:rFonts w:eastAsia="Aptos" w:cs="Arial"/>
        </w:rPr>
        <w:t>seven GP practices. In addition, one practice whose main surgery is in Afan locality provides services from a branch surgery in this locality.</w:t>
      </w:r>
    </w:p>
    <w:p w14:paraId="6B8F937E" w14:textId="77777777" w:rsidR="00487A56" w:rsidRPr="00487A56" w:rsidRDefault="00487A56" w:rsidP="00B76905">
      <w:pPr>
        <w:numPr>
          <w:ilvl w:val="0"/>
          <w:numId w:val="192"/>
        </w:numPr>
        <w:contextualSpacing/>
        <w:rPr>
          <w:rFonts w:eastAsia="Aptos" w:cs="Arial"/>
        </w:rPr>
      </w:pPr>
      <w:r w:rsidRPr="00487A56">
        <w:rPr>
          <w:rFonts w:eastAsia="Aptos" w:cs="Arial"/>
        </w:rPr>
        <w:t>There are 24 care home services within the locality of which four provide services to adults with nursing, and 20 to adults without nursing.</w:t>
      </w:r>
    </w:p>
    <w:p w14:paraId="7E1A47C6" w14:textId="77777777" w:rsidR="00487A56" w:rsidRPr="00487A56" w:rsidRDefault="00487A56" w:rsidP="00B519BF">
      <w:pPr>
        <w:ind w:left="720"/>
        <w:contextualSpacing/>
        <w:rPr>
          <w:rFonts w:eastAsia="Aptos" w:cs="Arial"/>
        </w:rPr>
      </w:pPr>
    </w:p>
    <w:p w14:paraId="514072A3" w14:textId="77777777" w:rsidR="00487A56" w:rsidRPr="00487A56" w:rsidRDefault="00487A56" w:rsidP="00B519BF">
      <w:pPr>
        <w:rPr>
          <w:rFonts w:eastAsia="Times New Roman" w:cs="Arial"/>
          <w:b/>
          <w:bCs/>
          <w:kern w:val="0"/>
          <w:sz w:val="26"/>
          <w:szCs w:val="26"/>
          <w:lang w:eastAsia="en-GB"/>
          <w14:ligatures w14:val="none"/>
        </w:rPr>
      </w:pPr>
      <w:r w:rsidRPr="00487A56">
        <w:rPr>
          <w:rFonts w:eastAsia="Times New Roman" w:cs="Arial"/>
          <w:b/>
          <w:bCs/>
          <w:kern w:val="0"/>
          <w:sz w:val="26"/>
          <w:szCs w:val="26"/>
          <w:lang w:eastAsia="en-GB"/>
          <w14:ligatures w14:val="none"/>
        </w:rPr>
        <w:t xml:space="preserve">14.2 Key population features </w:t>
      </w:r>
    </w:p>
    <w:p w14:paraId="307AACDC" w14:textId="77777777" w:rsidR="00487A56" w:rsidRPr="00487A56" w:rsidRDefault="00487A56" w:rsidP="00B519BF">
      <w:pPr>
        <w:rPr>
          <w:rFonts w:eastAsia="Times New Roman" w:cs="Arial"/>
          <w:b/>
          <w:bCs/>
          <w:kern w:val="0"/>
          <w:lang w:eastAsia="en-GB"/>
          <w14:ligatures w14:val="none"/>
        </w:rPr>
      </w:pPr>
    </w:p>
    <w:p w14:paraId="6D463EFF"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14.2.1 Population projections 2022 to 2032</w:t>
      </w:r>
    </w:p>
    <w:p w14:paraId="3AEBBCFD" w14:textId="77777777" w:rsidR="00487A56" w:rsidRPr="00487A56" w:rsidRDefault="00487A56" w:rsidP="00B519BF">
      <w:pPr>
        <w:rPr>
          <w:rFonts w:eastAsia="Times New Roman" w:cs="Arial"/>
          <w:b/>
          <w:bCs/>
          <w:kern w:val="0"/>
          <w:lang w:eastAsia="en-GB"/>
          <w14:ligatures w14:val="none"/>
        </w:rPr>
      </w:pPr>
    </w:p>
    <w:p w14:paraId="00BE1599"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The population of Neath Port Talbot is projected to increase by up to 3.1% between 2022 and 2032, an increase of 4,344. It is projected that by 2032</w:t>
      </w:r>
      <w:r w:rsidRPr="00487A56">
        <w:rPr>
          <w:rFonts w:eastAsia="Times New Roman" w:cs="Arial"/>
          <w:kern w:val="0"/>
          <w:vertAlign w:val="superscript"/>
          <w:lang w:eastAsia="en-GB"/>
          <w14:ligatures w14:val="none"/>
        </w:rPr>
        <w:footnoteReference w:id="325"/>
      </w:r>
      <w:r w:rsidRPr="00487A56">
        <w:rPr>
          <w:rFonts w:eastAsia="Times New Roman" w:cs="Arial"/>
          <w:kern w:val="0"/>
          <w:lang w:eastAsia="en-GB"/>
          <w14:ligatures w14:val="none"/>
        </w:rPr>
        <w:t xml:space="preserve"> Neath Port Talbot local authority will see:</w:t>
      </w:r>
    </w:p>
    <w:p w14:paraId="174F4056" w14:textId="77777777" w:rsidR="00487A56" w:rsidRPr="00487A56" w:rsidRDefault="00487A56" w:rsidP="00B519BF">
      <w:pPr>
        <w:rPr>
          <w:rFonts w:eastAsia="Times New Roman" w:cs="Arial"/>
          <w:kern w:val="0"/>
          <w:lang w:eastAsia="en-GB"/>
          <w14:ligatures w14:val="none"/>
        </w:rPr>
      </w:pPr>
    </w:p>
    <w:p w14:paraId="5663EE18" w14:textId="77777777" w:rsidR="00487A56" w:rsidRPr="00487A56" w:rsidRDefault="00487A56" w:rsidP="00B76905">
      <w:pPr>
        <w:numPr>
          <w:ilvl w:val="0"/>
          <w:numId w:val="141"/>
        </w:numPr>
        <w:contextualSpacing/>
        <w:rPr>
          <w:rFonts w:eastAsia="Times New Roman" w:cs="Arial"/>
          <w:kern w:val="0"/>
          <w:lang w:eastAsia="en-GB"/>
          <w14:ligatures w14:val="none"/>
        </w:rPr>
      </w:pPr>
      <w:r w:rsidRPr="00487A56">
        <w:rPr>
          <w:rFonts w:eastAsia="Times New Roman" w:cs="Arial"/>
          <w:kern w:val="0"/>
          <w:lang w:eastAsia="en-GB"/>
          <w14:ligatures w14:val="none"/>
        </w:rPr>
        <w:t>a decrease in the number of people aged 0 to 15 years,</w:t>
      </w:r>
    </w:p>
    <w:p w14:paraId="52B205AB" w14:textId="77777777" w:rsidR="00487A56" w:rsidRPr="00487A56" w:rsidRDefault="00487A56" w:rsidP="00B76905">
      <w:pPr>
        <w:numPr>
          <w:ilvl w:val="0"/>
          <w:numId w:val="141"/>
        </w:numPr>
        <w:contextualSpacing/>
        <w:rPr>
          <w:rFonts w:eastAsia="Times New Roman" w:cs="Arial"/>
          <w:kern w:val="0"/>
          <w:lang w:eastAsia="en-GB"/>
          <w14:ligatures w14:val="none"/>
        </w:rPr>
      </w:pPr>
      <w:r w:rsidRPr="00487A56">
        <w:rPr>
          <w:rFonts w:eastAsia="Times New Roman" w:cs="Arial"/>
          <w:kern w:val="0"/>
          <w:lang w:eastAsia="en-GB"/>
          <w14:ligatures w14:val="none"/>
        </w:rPr>
        <w:t>an increase in the population aged 65 years, and</w:t>
      </w:r>
    </w:p>
    <w:p w14:paraId="12904558" w14:textId="77777777" w:rsidR="00487A56" w:rsidRPr="00487A56" w:rsidRDefault="00487A56" w:rsidP="00B76905">
      <w:pPr>
        <w:numPr>
          <w:ilvl w:val="0"/>
          <w:numId w:val="141"/>
        </w:numPr>
        <w:contextualSpacing/>
        <w:rPr>
          <w:rFonts w:eastAsia="Times New Roman" w:cs="Arial"/>
          <w:kern w:val="0"/>
          <w:lang w:eastAsia="en-GB"/>
          <w14:ligatures w14:val="none"/>
        </w:rPr>
      </w:pPr>
      <w:r w:rsidRPr="00487A56">
        <w:rPr>
          <w:rFonts w:eastAsia="Times New Roman" w:cs="Arial"/>
          <w:kern w:val="0"/>
          <w:lang w:eastAsia="en-GB"/>
          <w14:ligatures w14:val="none"/>
        </w:rPr>
        <w:t>an increase in the population aged 75 years and over.</w:t>
      </w:r>
    </w:p>
    <w:p w14:paraId="43C0FABD" w14:textId="77777777" w:rsidR="00487A56" w:rsidRPr="00487A56" w:rsidRDefault="00487A56" w:rsidP="00B519BF">
      <w:pPr>
        <w:ind w:left="720"/>
        <w:contextualSpacing/>
        <w:rPr>
          <w:rFonts w:eastAsia="Times New Roman" w:cs="Arial"/>
          <w:kern w:val="0"/>
          <w:lang w:eastAsia="en-GB"/>
          <w14:ligatures w14:val="none"/>
        </w:rPr>
      </w:pPr>
    </w:p>
    <w:p w14:paraId="5D600039"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The population is projected to continue to age in the local authority, over this period.</w:t>
      </w:r>
    </w:p>
    <w:p w14:paraId="46F56332" w14:textId="77777777" w:rsidR="00487A56" w:rsidRPr="00487A56" w:rsidRDefault="00487A56" w:rsidP="00B519BF">
      <w:pPr>
        <w:rPr>
          <w:rFonts w:eastAsia="Times New Roman" w:cs="Arial"/>
          <w:kern w:val="0"/>
          <w:lang w:eastAsia="en-GB"/>
          <w14:ligatures w14:val="none"/>
        </w:rPr>
      </w:pPr>
    </w:p>
    <w:p w14:paraId="4EEB62DC"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 xml:space="preserve">14.2.2 Total life expectancy, healthy life expectancy and the ‘inequality gap’ (2020 to 2022) </w:t>
      </w:r>
    </w:p>
    <w:p w14:paraId="373C68C4" w14:textId="77777777" w:rsidR="00487A56" w:rsidRPr="00487A56" w:rsidRDefault="00487A56" w:rsidP="00B519BF">
      <w:pPr>
        <w:rPr>
          <w:rFonts w:eastAsia="Times New Roman" w:cs="Arial"/>
          <w:b/>
          <w:bCs/>
          <w:kern w:val="0"/>
          <w:lang w:eastAsia="en-GB"/>
          <w14:ligatures w14:val="none"/>
        </w:rPr>
      </w:pPr>
    </w:p>
    <w:p w14:paraId="238BEEB0" w14:textId="77777777" w:rsidR="00487A56" w:rsidRPr="00487A56" w:rsidRDefault="00487A56" w:rsidP="00B76905">
      <w:pPr>
        <w:numPr>
          <w:ilvl w:val="0"/>
          <w:numId w:val="157"/>
        </w:numPr>
        <w:contextualSpacing/>
        <w:rPr>
          <w:rFonts w:eastAsia="Calibri" w:cs="Arial"/>
          <w:kern w:val="0"/>
          <w:shd w:val="clear" w:color="auto" w:fill="FFFFFF"/>
          <w14:ligatures w14:val="none"/>
        </w:rPr>
      </w:pPr>
      <w:r w:rsidRPr="00487A56">
        <w:rPr>
          <w:rFonts w:eastAsia="Calibri" w:cs="Arial"/>
          <w:kern w:val="0"/>
          <w:shd w:val="clear" w:color="auto" w:fill="FFFFFF"/>
          <w14:ligatures w14:val="none"/>
        </w:rPr>
        <w:t xml:space="preserve">Neath Port Talbot local authority has a lower total life expectancy at birth for females and for males when compared to the average for Wales (table 14.1). </w:t>
      </w:r>
    </w:p>
    <w:p w14:paraId="4A50945A" w14:textId="77777777" w:rsidR="00487A56" w:rsidRPr="00487A56" w:rsidRDefault="00487A56" w:rsidP="00B76905">
      <w:pPr>
        <w:numPr>
          <w:ilvl w:val="0"/>
          <w:numId w:val="158"/>
        </w:numPr>
        <w:ind w:left="357"/>
        <w:contextualSpacing/>
        <w:rPr>
          <w:rFonts w:eastAsia="Calibri" w:cs="Arial"/>
          <w:kern w:val="0"/>
          <w14:ligatures w14:val="none"/>
        </w:rPr>
      </w:pPr>
      <w:r w:rsidRPr="00487A56">
        <w:rPr>
          <w:rFonts w:eastAsia="Calibri" w:cs="Arial"/>
          <w:bCs/>
          <w:kern w:val="0"/>
          <w14:ligatures w14:val="none"/>
        </w:rPr>
        <w:t>Healthy life expectancy</w:t>
      </w:r>
      <w:r w:rsidRPr="00487A56">
        <w:rPr>
          <w:rFonts w:eastAsia="Calibri" w:cs="Arial"/>
          <w:bCs/>
          <w:kern w:val="0"/>
          <w:vertAlign w:val="superscript"/>
          <w14:ligatures w14:val="none"/>
        </w:rPr>
        <w:footnoteReference w:id="326"/>
      </w:r>
      <w:r w:rsidRPr="00487A56">
        <w:rPr>
          <w:rFonts w:eastAsia="Calibri" w:cs="Arial"/>
          <w:bCs/>
          <w:kern w:val="0"/>
          <w14:ligatures w14:val="none"/>
        </w:rPr>
        <w:t xml:space="preserve">, defined as </w:t>
      </w:r>
      <w:r w:rsidRPr="00487A56">
        <w:rPr>
          <w:rFonts w:eastAsia="Calibri" w:cs="Arial"/>
          <w:kern w:val="0"/>
          <w14:ligatures w14:val="none"/>
        </w:rPr>
        <w:t>the number of years a person can expect to live in good health, is measured at local authority level. In Neath Port Talbot, healthy life expectancy stands at 59.1 years for males and 58.5 years for females. Comparatively, the Wales average is slightly higher at 60.8 years for males and 60.2 years for females. This indicates that both males and females in Neath Port Talbot enjoy fewer years of good health than the average across Wales.</w:t>
      </w:r>
    </w:p>
    <w:p w14:paraId="1058264D" w14:textId="77777777" w:rsidR="00487A56" w:rsidRPr="00487A56" w:rsidRDefault="00487A56" w:rsidP="00B76905">
      <w:pPr>
        <w:numPr>
          <w:ilvl w:val="0"/>
          <w:numId w:val="158"/>
        </w:numPr>
        <w:ind w:left="357"/>
        <w:contextualSpacing/>
        <w:rPr>
          <w:rFonts w:eastAsia="Calibri" w:cs="Arial"/>
          <w:kern w:val="0"/>
          <w14:ligatures w14:val="none"/>
        </w:rPr>
      </w:pPr>
      <w:r w:rsidRPr="00487A56">
        <w:rPr>
          <w:rFonts w:eastAsia="Calibri" w:cs="Arial"/>
          <w:kern w:val="0"/>
          <w14:ligatures w14:val="none"/>
        </w:rPr>
        <w:t>The differences in healthy life expectancy that exist across an area between the most and least deprived areas is referred to as the ‘inequality gap’. The inequality gap for healthy life expectancy in Neath Port Talbot is 9.1 years for males and 6.3 years for females</w:t>
      </w:r>
      <w:r w:rsidRPr="00487A56">
        <w:rPr>
          <w:rFonts w:eastAsia="Calibri" w:cs="Arial"/>
          <w:kern w:val="0"/>
          <w:vertAlign w:val="superscript"/>
          <w14:ligatures w14:val="none"/>
        </w:rPr>
        <w:footnoteReference w:id="327"/>
      </w:r>
      <w:r w:rsidRPr="00487A56">
        <w:rPr>
          <w:rFonts w:eastAsia="Calibri" w:cs="Arial"/>
          <w:kern w:val="0"/>
          <w14:ligatures w14:val="none"/>
        </w:rPr>
        <w:t xml:space="preserve">. </w:t>
      </w:r>
    </w:p>
    <w:p w14:paraId="20C21724" w14:textId="77777777" w:rsidR="00487A56" w:rsidRPr="00487A56" w:rsidRDefault="00487A56" w:rsidP="00B519BF">
      <w:pPr>
        <w:rPr>
          <w:rFonts w:eastAsia="Times New Roman" w:cs="Arial"/>
          <w:kern w:val="0"/>
          <w:lang w:eastAsia="en-GB"/>
          <w14:ligatures w14:val="none"/>
        </w:rPr>
      </w:pPr>
    </w:p>
    <w:p w14:paraId="50FE7846"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Table 14.1: Total life expectancy at birth for females and males, 2020 to 2022</w:t>
      </w:r>
      <w:r w:rsidRPr="00487A56">
        <w:rPr>
          <w:rFonts w:eastAsia="Times New Roman" w:cs="Arial"/>
          <w:b/>
          <w:bCs/>
          <w:kern w:val="0"/>
          <w:vertAlign w:val="superscript"/>
          <w:lang w:eastAsia="en-GB"/>
          <w14:ligatures w14:val="none"/>
        </w:rPr>
        <w:footnoteReference w:id="328"/>
      </w:r>
    </w:p>
    <w:p w14:paraId="4D58F81C" w14:textId="77777777" w:rsidR="00487A56" w:rsidRPr="00487A56" w:rsidRDefault="00487A56" w:rsidP="00B519BF">
      <w:pPr>
        <w:rPr>
          <w:rFonts w:eastAsia="Times New Roman" w:cs="Arial"/>
          <w:b/>
          <w:bCs/>
          <w:kern w:val="0"/>
          <w:lang w:eastAsia="en-GB"/>
          <w14:ligatures w14:val="none"/>
        </w:rPr>
      </w:pPr>
    </w:p>
    <w:tbl>
      <w:tblPr>
        <w:tblStyle w:val="TableGrid"/>
        <w:tblW w:w="0" w:type="auto"/>
        <w:tblInd w:w="0" w:type="dxa"/>
        <w:tblLook w:val="04A0" w:firstRow="1" w:lastRow="0" w:firstColumn="1" w:lastColumn="0" w:noHBand="0" w:noVBand="1"/>
      </w:tblPr>
      <w:tblGrid>
        <w:gridCol w:w="3005"/>
        <w:gridCol w:w="3005"/>
        <w:gridCol w:w="3006"/>
      </w:tblGrid>
      <w:tr w:rsidR="00B519BF" w:rsidRPr="00D0306F" w14:paraId="1F77AEB9" w14:textId="77777777" w:rsidTr="00487A56">
        <w:tc>
          <w:tcPr>
            <w:tcW w:w="3005" w:type="dxa"/>
            <w:tcBorders>
              <w:top w:val="single" w:sz="4" w:space="0" w:color="auto"/>
              <w:left w:val="single" w:sz="4" w:space="0" w:color="auto"/>
              <w:bottom w:val="single" w:sz="4" w:space="0" w:color="auto"/>
              <w:right w:val="single" w:sz="4" w:space="0" w:color="auto"/>
            </w:tcBorders>
            <w:shd w:val="clear" w:color="auto" w:fill="153D63"/>
            <w:hideMark/>
          </w:tcPr>
          <w:p w14:paraId="69332C7A" w14:textId="77777777" w:rsidR="00487A56" w:rsidRPr="00487A56" w:rsidRDefault="00487A56" w:rsidP="00B519BF">
            <w:pPr>
              <w:rPr>
                <w:rFonts w:cs="Arial"/>
                <w:b/>
                <w:bCs/>
              </w:rPr>
            </w:pPr>
            <w:r w:rsidRPr="00487A56">
              <w:rPr>
                <w:rFonts w:cs="Arial"/>
                <w:b/>
                <w:bCs/>
              </w:rPr>
              <w:t>Area</w:t>
            </w:r>
          </w:p>
        </w:tc>
        <w:tc>
          <w:tcPr>
            <w:tcW w:w="3005" w:type="dxa"/>
            <w:tcBorders>
              <w:top w:val="single" w:sz="4" w:space="0" w:color="auto"/>
              <w:left w:val="single" w:sz="4" w:space="0" w:color="auto"/>
              <w:bottom w:val="single" w:sz="4" w:space="0" w:color="auto"/>
              <w:right w:val="single" w:sz="4" w:space="0" w:color="auto"/>
            </w:tcBorders>
            <w:shd w:val="clear" w:color="auto" w:fill="153D63"/>
            <w:hideMark/>
          </w:tcPr>
          <w:p w14:paraId="6B3E2A25" w14:textId="77777777" w:rsidR="00487A56" w:rsidRPr="00487A56" w:rsidRDefault="00487A56" w:rsidP="00B519BF">
            <w:pPr>
              <w:rPr>
                <w:rFonts w:cs="Arial"/>
                <w:b/>
                <w:bCs/>
              </w:rPr>
            </w:pPr>
            <w:r w:rsidRPr="00487A56">
              <w:rPr>
                <w:rFonts w:cs="Arial"/>
                <w:b/>
                <w:bCs/>
              </w:rPr>
              <w:t>Female at birth (years)</w:t>
            </w:r>
          </w:p>
        </w:tc>
        <w:tc>
          <w:tcPr>
            <w:tcW w:w="3006" w:type="dxa"/>
            <w:tcBorders>
              <w:top w:val="single" w:sz="4" w:space="0" w:color="auto"/>
              <w:left w:val="single" w:sz="4" w:space="0" w:color="auto"/>
              <w:bottom w:val="single" w:sz="4" w:space="0" w:color="auto"/>
              <w:right w:val="single" w:sz="4" w:space="0" w:color="auto"/>
            </w:tcBorders>
            <w:shd w:val="clear" w:color="auto" w:fill="153D63"/>
            <w:hideMark/>
          </w:tcPr>
          <w:p w14:paraId="4AE3C7E0" w14:textId="77777777" w:rsidR="00487A56" w:rsidRPr="00487A56" w:rsidRDefault="00487A56" w:rsidP="00B519BF">
            <w:pPr>
              <w:rPr>
                <w:rFonts w:cs="Arial"/>
                <w:b/>
                <w:bCs/>
              </w:rPr>
            </w:pPr>
            <w:r w:rsidRPr="00487A56">
              <w:rPr>
                <w:rFonts w:cs="Arial"/>
                <w:b/>
                <w:bCs/>
              </w:rPr>
              <w:t>Male at birth (years)</w:t>
            </w:r>
          </w:p>
        </w:tc>
      </w:tr>
      <w:tr w:rsidR="00487A56" w:rsidRPr="00487A56" w14:paraId="6EEC11B3" w14:textId="77777777" w:rsidTr="00487A56">
        <w:tc>
          <w:tcPr>
            <w:tcW w:w="3005" w:type="dxa"/>
            <w:tcBorders>
              <w:top w:val="single" w:sz="4" w:space="0" w:color="auto"/>
              <w:left w:val="single" w:sz="4" w:space="0" w:color="auto"/>
              <w:bottom w:val="single" w:sz="4" w:space="0" w:color="auto"/>
              <w:right w:val="single" w:sz="4" w:space="0" w:color="auto"/>
            </w:tcBorders>
            <w:vAlign w:val="center"/>
            <w:hideMark/>
          </w:tcPr>
          <w:p w14:paraId="4D76BA96" w14:textId="77777777" w:rsidR="00487A56" w:rsidRPr="00487A56" w:rsidRDefault="00487A56" w:rsidP="00B519BF">
            <w:pPr>
              <w:rPr>
                <w:rFonts w:cs="Arial"/>
              </w:rPr>
            </w:pPr>
            <w:r w:rsidRPr="00487A56">
              <w:rPr>
                <w:rFonts w:cs="Arial"/>
              </w:rPr>
              <w:t>Neath Port Talbot</w:t>
            </w:r>
          </w:p>
        </w:tc>
        <w:tc>
          <w:tcPr>
            <w:tcW w:w="3005" w:type="dxa"/>
            <w:tcBorders>
              <w:top w:val="single" w:sz="4" w:space="0" w:color="auto"/>
              <w:left w:val="single" w:sz="4" w:space="0" w:color="auto"/>
              <w:bottom w:val="single" w:sz="4" w:space="0" w:color="auto"/>
              <w:right w:val="single" w:sz="4" w:space="0" w:color="auto"/>
            </w:tcBorders>
            <w:hideMark/>
          </w:tcPr>
          <w:p w14:paraId="5EE0DBFD" w14:textId="77777777" w:rsidR="00487A56" w:rsidRPr="00487A56" w:rsidRDefault="00487A56" w:rsidP="00B519BF">
            <w:pPr>
              <w:rPr>
                <w:rFonts w:cs="Arial"/>
              </w:rPr>
            </w:pPr>
            <w:r w:rsidRPr="00487A56">
              <w:rPr>
                <w:rFonts w:cs="Arial"/>
              </w:rPr>
              <w:t>80.5</w:t>
            </w:r>
          </w:p>
        </w:tc>
        <w:tc>
          <w:tcPr>
            <w:tcW w:w="3006" w:type="dxa"/>
            <w:tcBorders>
              <w:top w:val="single" w:sz="4" w:space="0" w:color="auto"/>
              <w:left w:val="single" w:sz="4" w:space="0" w:color="auto"/>
              <w:bottom w:val="single" w:sz="4" w:space="0" w:color="auto"/>
              <w:right w:val="single" w:sz="4" w:space="0" w:color="auto"/>
            </w:tcBorders>
            <w:hideMark/>
          </w:tcPr>
          <w:p w14:paraId="73646E65" w14:textId="77777777" w:rsidR="00487A56" w:rsidRPr="00487A56" w:rsidRDefault="00487A56" w:rsidP="00B519BF">
            <w:pPr>
              <w:rPr>
                <w:rFonts w:cs="Arial"/>
              </w:rPr>
            </w:pPr>
            <w:r w:rsidRPr="00487A56">
              <w:rPr>
                <w:rFonts w:cs="Arial"/>
              </w:rPr>
              <w:t>76.7</w:t>
            </w:r>
          </w:p>
        </w:tc>
      </w:tr>
      <w:tr w:rsidR="00B519BF" w:rsidRPr="00D0306F" w14:paraId="297D9B46" w14:textId="77777777" w:rsidTr="00487A56">
        <w:tc>
          <w:tcPr>
            <w:tcW w:w="3005" w:type="dxa"/>
            <w:tcBorders>
              <w:top w:val="single" w:sz="4" w:space="0" w:color="auto"/>
              <w:left w:val="single" w:sz="4" w:space="0" w:color="auto"/>
              <w:bottom w:val="single" w:sz="4" w:space="0" w:color="auto"/>
              <w:right w:val="single" w:sz="4" w:space="0" w:color="auto"/>
            </w:tcBorders>
            <w:vAlign w:val="center"/>
            <w:hideMark/>
          </w:tcPr>
          <w:p w14:paraId="716FE75A" w14:textId="77777777" w:rsidR="00487A56" w:rsidRPr="00487A56" w:rsidRDefault="00487A56" w:rsidP="00B519BF">
            <w:pPr>
              <w:rPr>
                <w:rFonts w:cs="Arial"/>
              </w:rPr>
            </w:pPr>
            <w:r w:rsidRPr="00487A56">
              <w:rPr>
                <w:rFonts w:cs="Arial"/>
              </w:rPr>
              <w:t>Wales</w:t>
            </w:r>
          </w:p>
        </w:tc>
        <w:tc>
          <w:tcPr>
            <w:tcW w:w="3005" w:type="dxa"/>
            <w:tcBorders>
              <w:top w:val="single" w:sz="4" w:space="0" w:color="auto"/>
              <w:left w:val="single" w:sz="4" w:space="0" w:color="auto"/>
              <w:bottom w:val="single" w:sz="4" w:space="0" w:color="auto"/>
              <w:right w:val="single" w:sz="4" w:space="0" w:color="auto"/>
            </w:tcBorders>
            <w:shd w:val="clear" w:color="auto" w:fill="FFFFFF"/>
            <w:hideMark/>
          </w:tcPr>
          <w:p w14:paraId="6D0B541D" w14:textId="77777777" w:rsidR="00487A56" w:rsidRPr="00487A56" w:rsidRDefault="00487A56" w:rsidP="00B519BF">
            <w:pPr>
              <w:rPr>
                <w:rFonts w:cs="Arial"/>
              </w:rPr>
            </w:pPr>
            <w:r w:rsidRPr="00487A56">
              <w:rPr>
                <w:rFonts w:cs="Arial"/>
              </w:rPr>
              <w:t>81.8</w:t>
            </w:r>
          </w:p>
        </w:tc>
        <w:tc>
          <w:tcPr>
            <w:tcW w:w="3006" w:type="dxa"/>
            <w:tcBorders>
              <w:top w:val="single" w:sz="4" w:space="0" w:color="auto"/>
              <w:left w:val="single" w:sz="4" w:space="0" w:color="auto"/>
              <w:bottom w:val="single" w:sz="4" w:space="0" w:color="auto"/>
              <w:right w:val="single" w:sz="4" w:space="0" w:color="auto"/>
            </w:tcBorders>
            <w:shd w:val="clear" w:color="auto" w:fill="FFFFFF"/>
            <w:hideMark/>
          </w:tcPr>
          <w:p w14:paraId="66A6D671" w14:textId="77777777" w:rsidR="00487A56" w:rsidRPr="00487A56" w:rsidRDefault="00487A56" w:rsidP="00B519BF">
            <w:pPr>
              <w:rPr>
                <w:rFonts w:cs="Arial"/>
              </w:rPr>
            </w:pPr>
            <w:r w:rsidRPr="00487A56">
              <w:rPr>
                <w:rFonts w:cs="Arial"/>
              </w:rPr>
              <w:t>77.9</w:t>
            </w:r>
          </w:p>
        </w:tc>
      </w:tr>
    </w:tbl>
    <w:p w14:paraId="52BA8753" w14:textId="77777777" w:rsidR="00487A56" w:rsidRPr="00487A56" w:rsidRDefault="00487A56" w:rsidP="00B519BF">
      <w:pPr>
        <w:contextualSpacing/>
        <w:rPr>
          <w:rFonts w:eastAsia="Aptos" w:cs="Arial"/>
        </w:rPr>
      </w:pPr>
    </w:p>
    <w:p w14:paraId="58E64C26" w14:textId="77777777" w:rsidR="00487A56" w:rsidRPr="00487A56" w:rsidRDefault="00487A56" w:rsidP="00B519BF">
      <w:pPr>
        <w:contextualSpacing/>
        <w:rPr>
          <w:rFonts w:eastAsia="Aptos" w:cs="Arial"/>
          <w:kern w:val="0"/>
          <w14:ligatures w14:val="none"/>
        </w:rPr>
      </w:pPr>
      <w:r w:rsidRPr="00487A56">
        <w:rPr>
          <w:rFonts w:eastAsia="Aptos" w:cs="Arial"/>
        </w:rPr>
        <w:t>Disclaimer: Whilst the data presented in healthy life expectancy show figures for 2024, data from the years 2020 to 2022 have been used to ensure consistency and comparability across all years.</w:t>
      </w:r>
    </w:p>
    <w:p w14:paraId="16043535" w14:textId="77777777" w:rsidR="00487A56" w:rsidRPr="00487A56" w:rsidRDefault="00487A56" w:rsidP="00B519BF">
      <w:pPr>
        <w:rPr>
          <w:rFonts w:eastAsia="Times New Roman" w:cs="Arial"/>
          <w:b/>
          <w:bCs/>
          <w:kern w:val="0"/>
          <w:lang w:eastAsia="en-GB"/>
          <w14:ligatures w14:val="none"/>
        </w:rPr>
      </w:pPr>
    </w:p>
    <w:p w14:paraId="3A79FF35"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14.2.3 Deprivation</w:t>
      </w:r>
    </w:p>
    <w:p w14:paraId="75405CA2" w14:textId="77777777" w:rsidR="00487A56" w:rsidRPr="00487A56" w:rsidRDefault="00487A56" w:rsidP="00B519BF">
      <w:pPr>
        <w:rPr>
          <w:rFonts w:eastAsia="Times New Roman" w:cs="Arial"/>
          <w:b/>
          <w:bCs/>
          <w:kern w:val="0"/>
          <w:lang w:eastAsia="en-GB"/>
          <w14:ligatures w14:val="none"/>
        </w:rPr>
      </w:pPr>
    </w:p>
    <w:p w14:paraId="412E9E86" w14:textId="77777777" w:rsidR="00487A56" w:rsidRPr="00487A56" w:rsidRDefault="00487A56" w:rsidP="00B519BF">
      <w:pPr>
        <w:contextualSpacing/>
        <w:rPr>
          <w:rFonts w:eastAsia="Aptos" w:cs="Arial"/>
          <w:lang w:eastAsia="en-GB"/>
        </w:rPr>
      </w:pPr>
      <w:r w:rsidRPr="00487A56">
        <w:rPr>
          <w:rFonts w:eastAsia="Aptos" w:cs="Arial"/>
        </w:rPr>
        <w:t>The link between deprivation and poor health is well documented. Of the three localities in Neath Port Talbot, Neath has a high proportion of people living in the most deprived areas in Wales (36.4%), compared with Afan (52.4%) and Upper Valleys (5.6%), and the health board as a whole (27.9%).</w:t>
      </w:r>
      <w:r w:rsidRPr="00487A56">
        <w:rPr>
          <w:rFonts w:eastAsia="Aptos" w:cs="Arial"/>
          <w:lang w:eastAsia="en-GB"/>
        </w:rPr>
        <w:t xml:space="preserve"> </w:t>
      </w:r>
      <w:r w:rsidRPr="00487A56">
        <w:rPr>
          <w:rFonts w:eastAsia="Times New Roman" w:cs="Arial"/>
          <w:kern w:val="0"/>
          <w:lang w:eastAsia="en-GB"/>
          <w14:ligatures w14:val="none"/>
        </w:rPr>
        <w:t>There are, however, small areas of “deep-rooted” deprivation</w:t>
      </w:r>
      <w:r w:rsidRPr="00487A56">
        <w:rPr>
          <w:rFonts w:eastAsia="Times New Roman" w:cs="Arial"/>
          <w:kern w:val="0"/>
          <w:vertAlign w:val="superscript"/>
          <w:lang w:eastAsia="en-GB"/>
          <w14:ligatures w14:val="none"/>
        </w:rPr>
        <w:footnoteReference w:id="329"/>
      </w:r>
      <w:r w:rsidRPr="00487A56">
        <w:rPr>
          <w:rFonts w:eastAsia="Times New Roman" w:cs="Arial"/>
          <w:kern w:val="0"/>
          <w:lang w:eastAsia="en-GB"/>
          <w14:ligatures w14:val="none"/>
        </w:rPr>
        <w:t xml:space="preserve"> that have remained within the top 50 most deprived areas, roughly equal to the top 2.6% of small areas in Wales for the last six publications of the Welsh Index of Multiple deprivation ranks. Where areas of deprivation exist, the population is likely to be experiencing the poorest health.</w:t>
      </w:r>
    </w:p>
    <w:p w14:paraId="34845545" w14:textId="77777777" w:rsidR="00487A56" w:rsidRPr="00487A56" w:rsidRDefault="00487A56" w:rsidP="00B519BF">
      <w:pPr>
        <w:rPr>
          <w:rFonts w:eastAsia="Times New Roman" w:cs="Arial"/>
          <w:b/>
          <w:bCs/>
          <w:kern w:val="0"/>
          <w:lang w:eastAsia="en-GB"/>
          <w14:ligatures w14:val="none"/>
        </w:rPr>
      </w:pPr>
    </w:p>
    <w:p w14:paraId="53C802B2"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The table below shows the estimated percentage of people living in the most deprived 20% areas in the locality, compared with the health board.</w:t>
      </w:r>
    </w:p>
    <w:p w14:paraId="3B1C3D35" w14:textId="77777777" w:rsidR="00487A56" w:rsidRPr="00487A56" w:rsidRDefault="00487A56" w:rsidP="00B519BF">
      <w:pPr>
        <w:rPr>
          <w:rFonts w:eastAsia="Times New Roman" w:cs="Arial"/>
          <w:kern w:val="0"/>
          <w:lang w:eastAsia="en-GB"/>
          <w14:ligatures w14:val="none"/>
        </w:rPr>
      </w:pPr>
    </w:p>
    <w:p w14:paraId="4564EC3A"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lastRenderedPageBreak/>
        <w:t>Table 14.2: Estimated percentage of people living in the most deprived 20% of areas in the locality and the health board (2025)</w:t>
      </w:r>
      <w:r w:rsidRPr="00487A56">
        <w:rPr>
          <w:rFonts w:eastAsia="Times New Roman" w:cs="Arial"/>
          <w:b/>
          <w:bCs/>
          <w:kern w:val="0"/>
          <w:vertAlign w:val="superscript"/>
          <w:lang w:eastAsia="en-GB"/>
          <w14:ligatures w14:val="none"/>
        </w:rPr>
        <w:footnoteReference w:id="330"/>
      </w:r>
    </w:p>
    <w:p w14:paraId="4BC73BF8" w14:textId="77777777" w:rsidR="00487A56" w:rsidRPr="00487A56" w:rsidRDefault="00487A56" w:rsidP="00B519BF">
      <w:pPr>
        <w:rPr>
          <w:rFonts w:eastAsia="Times New Roman" w:cs="Arial"/>
          <w:b/>
          <w:bCs/>
          <w:kern w:val="0"/>
          <w:lang w:eastAsia="en-GB"/>
          <w14:ligatures w14:val="none"/>
        </w:rPr>
      </w:pPr>
    </w:p>
    <w:tbl>
      <w:tblPr>
        <w:tblStyle w:val="TableGrid"/>
        <w:tblW w:w="0" w:type="auto"/>
        <w:tblInd w:w="0" w:type="dxa"/>
        <w:tblLook w:val="04A0" w:firstRow="1" w:lastRow="0" w:firstColumn="1" w:lastColumn="0" w:noHBand="0" w:noVBand="1"/>
      </w:tblPr>
      <w:tblGrid>
        <w:gridCol w:w="5382"/>
        <w:gridCol w:w="3634"/>
      </w:tblGrid>
      <w:tr w:rsidR="00B519BF" w:rsidRPr="00D0306F" w14:paraId="7CFCE88B" w14:textId="77777777" w:rsidTr="00487A56">
        <w:tc>
          <w:tcPr>
            <w:tcW w:w="5382" w:type="dxa"/>
            <w:tcBorders>
              <w:top w:val="single" w:sz="4" w:space="0" w:color="auto"/>
              <w:left w:val="single" w:sz="4" w:space="0" w:color="auto"/>
              <w:bottom w:val="single" w:sz="4" w:space="0" w:color="auto"/>
              <w:right w:val="single" w:sz="4" w:space="0" w:color="auto"/>
            </w:tcBorders>
            <w:shd w:val="clear" w:color="auto" w:fill="153D63"/>
            <w:hideMark/>
          </w:tcPr>
          <w:p w14:paraId="35547D33" w14:textId="77777777" w:rsidR="00487A56" w:rsidRPr="00487A56" w:rsidRDefault="00487A56" w:rsidP="00B519BF">
            <w:pPr>
              <w:rPr>
                <w:rFonts w:cs="Arial"/>
                <w:b/>
                <w:bCs/>
              </w:rPr>
            </w:pPr>
            <w:r w:rsidRPr="00487A56">
              <w:rPr>
                <w:rFonts w:cs="Arial"/>
                <w:b/>
                <w:bCs/>
              </w:rPr>
              <w:t>Area</w:t>
            </w:r>
          </w:p>
        </w:tc>
        <w:tc>
          <w:tcPr>
            <w:tcW w:w="3634" w:type="dxa"/>
            <w:tcBorders>
              <w:top w:val="single" w:sz="4" w:space="0" w:color="auto"/>
              <w:left w:val="single" w:sz="4" w:space="0" w:color="auto"/>
              <w:bottom w:val="single" w:sz="4" w:space="0" w:color="auto"/>
              <w:right w:val="single" w:sz="4" w:space="0" w:color="auto"/>
            </w:tcBorders>
            <w:shd w:val="clear" w:color="auto" w:fill="153D63"/>
            <w:hideMark/>
          </w:tcPr>
          <w:p w14:paraId="0553DAC8" w14:textId="77777777" w:rsidR="00487A56" w:rsidRPr="00487A56" w:rsidRDefault="00487A56" w:rsidP="00B519BF">
            <w:pPr>
              <w:jc w:val="center"/>
              <w:rPr>
                <w:rFonts w:cs="Arial"/>
                <w:b/>
                <w:bCs/>
              </w:rPr>
            </w:pPr>
            <w:r w:rsidRPr="00487A56">
              <w:rPr>
                <w:rFonts w:cs="Arial"/>
                <w:b/>
                <w:bCs/>
              </w:rPr>
              <w:t>Percentage</w:t>
            </w:r>
          </w:p>
        </w:tc>
      </w:tr>
      <w:tr w:rsidR="00487A56" w:rsidRPr="00487A56" w14:paraId="4D208E52" w14:textId="77777777" w:rsidTr="00487A56">
        <w:tc>
          <w:tcPr>
            <w:tcW w:w="5382" w:type="dxa"/>
            <w:tcBorders>
              <w:top w:val="single" w:sz="4" w:space="0" w:color="auto"/>
              <w:left w:val="single" w:sz="4" w:space="0" w:color="auto"/>
              <w:bottom w:val="single" w:sz="4" w:space="0" w:color="auto"/>
              <w:right w:val="single" w:sz="4" w:space="0" w:color="auto"/>
            </w:tcBorders>
            <w:hideMark/>
          </w:tcPr>
          <w:p w14:paraId="0D721E0D" w14:textId="77777777" w:rsidR="00487A56" w:rsidRPr="00487A56" w:rsidRDefault="00487A56" w:rsidP="00B519BF">
            <w:pPr>
              <w:rPr>
                <w:rFonts w:cs="Arial"/>
              </w:rPr>
            </w:pPr>
            <w:r w:rsidRPr="00487A56">
              <w:rPr>
                <w:rFonts w:cs="Arial"/>
              </w:rPr>
              <w:t>Neath locality</w:t>
            </w:r>
          </w:p>
        </w:tc>
        <w:tc>
          <w:tcPr>
            <w:tcW w:w="3634" w:type="dxa"/>
            <w:tcBorders>
              <w:top w:val="single" w:sz="4" w:space="0" w:color="auto"/>
              <w:left w:val="single" w:sz="4" w:space="0" w:color="auto"/>
              <w:bottom w:val="single" w:sz="4" w:space="0" w:color="auto"/>
              <w:right w:val="single" w:sz="4" w:space="0" w:color="auto"/>
            </w:tcBorders>
            <w:hideMark/>
          </w:tcPr>
          <w:p w14:paraId="6DF78E72" w14:textId="77777777" w:rsidR="00487A56" w:rsidRPr="00487A56" w:rsidRDefault="00487A56" w:rsidP="00B519BF">
            <w:pPr>
              <w:jc w:val="center"/>
              <w:rPr>
                <w:rFonts w:cs="Arial"/>
              </w:rPr>
            </w:pPr>
            <w:r w:rsidRPr="00487A56">
              <w:rPr>
                <w:rFonts w:cs="Arial"/>
              </w:rPr>
              <w:t>36.4%</w:t>
            </w:r>
          </w:p>
        </w:tc>
      </w:tr>
      <w:tr w:rsidR="00487A56" w:rsidRPr="00487A56" w14:paraId="2F8F868E" w14:textId="77777777" w:rsidTr="00487A56">
        <w:tc>
          <w:tcPr>
            <w:tcW w:w="5382" w:type="dxa"/>
            <w:tcBorders>
              <w:top w:val="single" w:sz="4" w:space="0" w:color="auto"/>
              <w:left w:val="single" w:sz="4" w:space="0" w:color="auto"/>
              <w:bottom w:val="single" w:sz="4" w:space="0" w:color="auto"/>
              <w:right w:val="single" w:sz="4" w:space="0" w:color="auto"/>
            </w:tcBorders>
            <w:hideMark/>
          </w:tcPr>
          <w:p w14:paraId="7500B0A2" w14:textId="77777777" w:rsidR="00487A56" w:rsidRPr="00487A56" w:rsidRDefault="00487A56" w:rsidP="00B519BF">
            <w:pPr>
              <w:rPr>
                <w:rFonts w:cs="Arial"/>
              </w:rPr>
            </w:pPr>
            <w:r w:rsidRPr="00487A56">
              <w:rPr>
                <w:rFonts w:cs="Arial"/>
              </w:rPr>
              <w:t>Swansea Bay University Health Board</w:t>
            </w:r>
          </w:p>
        </w:tc>
        <w:tc>
          <w:tcPr>
            <w:tcW w:w="3634" w:type="dxa"/>
            <w:tcBorders>
              <w:top w:val="single" w:sz="4" w:space="0" w:color="auto"/>
              <w:left w:val="single" w:sz="4" w:space="0" w:color="auto"/>
              <w:bottom w:val="single" w:sz="4" w:space="0" w:color="auto"/>
              <w:right w:val="single" w:sz="4" w:space="0" w:color="auto"/>
            </w:tcBorders>
            <w:hideMark/>
          </w:tcPr>
          <w:p w14:paraId="368536AE" w14:textId="77777777" w:rsidR="00487A56" w:rsidRPr="00487A56" w:rsidRDefault="00487A56" w:rsidP="00B519BF">
            <w:pPr>
              <w:jc w:val="center"/>
              <w:rPr>
                <w:rFonts w:cs="Arial"/>
              </w:rPr>
            </w:pPr>
            <w:r w:rsidRPr="00487A56">
              <w:rPr>
                <w:rFonts w:cs="Arial"/>
              </w:rPr>
              <w:t>27.9%</w:t>
            </w:r>
          </w:p>
        </w:tc>
      </w:tr>
    </w:tbl>
    <w:p w14:paraId="3029CB28" w14:textId="77777777" w:rsidR="00487A56" w:rsidRPr="00487A56" w:rsidRDefault="00487A56" w:rsidP="00B519BF">
      <w:pPr>
        <w:rPr>
          <w:rFonts w:eastAsia="Times New Roman" w:cs="Arial"/>
          <w:kern w:val="0"/>
          <w:lang w:eastAsia="en-GB"/>
          <w14:ligatures w14:val="none"/>
        </w:rPr>
      </w:pPr>
    </w:p>
    <w:p w14:paraId="4E6381A4"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14.2.4 Health profile</w:t>
      </w:r>
    </w:p>
    <w:p w14:paraId="5A714EB0" w14:textId="77777777" w:rsidR="00487A56" w:rsidRPr="00487A56" w:rsidRDefault="00487A56" w:rsidP="00B519BF">
      <w:pPr>
        <w:rPr>
          <w:rFonts w:eastAsia="Times New Roman" w:cs="Arial"/>
          <w:b/>
          <w:bCs/>
          <w:kern w:val="0"/>
          <w:lang w:eastAsia="en-GB"/>
          <w14:ligatures w14:val="none"/>
        </w:rPr>
      </w:pPr>
    </w:p>
    <w:p w14:paraId="47E4952C" w14:textId="77777777" w:rsidR="00487A56" w:rsidRPr="00487A56" w:rsidRDefault="00487A56" w:rsidP="00B519BF">
      <w:pPr>
        <w:keepLines/>
        <w:rPr>
          <w:rFonts w:eastAsia="Times New Roman" w:cs="Arial"/>
          <w:bCs/>
          <w:kern w:val="0"/>
          <w14:ligatures w14:val="none"/>
        </w:rPr>
      </w:pPr>
      <w:r w:rsidRPr="00487A56">
        <w:rPr>
          <w:rFonts w:eastAsia="Times New Roman" w:cs="Arial"/>
          <w:bCs/>
          <w:kern w:val="0"/>
          <w14:ligatures w14:val="none"/>
        </w:rPr>
        <w:t>The table below shows that the locality has a higher estimated prevalence of chronic conditions than both the health board and Wales averages in asthma (0.7% and 0.6% higher respectively), coronary heart disease (0.2% and 0.1% higher respectively), chronic obstructive pulmonary disease (0.3% higher), diabetes (0.7% and 0.4% higher respectively) and stroke and transient ischaemic attack (0.1% higher). Heart failure is lower than the health board average (0.1% lower) but higher than the Wales average (0.1% higher).</w:t>
      </w:r>
    </w:p>
    <w:p w14:paraId="273B8DA8" w14:textId="77777777" w:rsidR="00487A56" w:rsidRPr="00487A56" w:rsidRDefault="00487A56" w:rsidP="00B519BF">
      <w:pPr>
        <w:keepNext/>
        <w:rPr>
          <w:rFonts w:eastAsia="Times New Roman" w:cs="Arial"/>
          <w:bCs/>
          <w:kern w:val="0"/>
          <w14:ligatures w14:val="none"/>
        </w:rPr>
      </w:pPr>
    </w:p>
    <w:p w14:paraId="32B62340" w14:textId="77777777" w:rsidR="00487A56" w:rsidRPr="00487A56" w:rsidRDefault="00487A56" w:rsidP="00B519BF">
      <w:pPr>
        <w:keepNext/>
        <w:rPr>
          <w:rFonts w:eastAsia="Times New Roman" w:cs="Arial"/>
          <w:b/>
          <w:bCs/>
          <w:kern w:val="0"/>
          <w14:ligatures w14:val="none"/>
        </w:rPr>
      </w:pPr>
      <w:r w:rsidRPr="00487A56">
        <w:rPr>
          <w:rFonts w:eastAsia="Times New Roman" w:cs="Arial"/>
          <w:b/>
          <w:bCs/>
          <w:kern w:val="0"/>
          <w14:ligatures w14:val="none"/>
        </w:rPr>
        <w:t>Table 14.3: Estimated percentage prevalence of chronic condition based on people on GP practice registers by locality, health board and Wales, 2025</w:t>
      </w:r>
      <w:r w:rsidRPr="00487A56">
        <w:rPr>
          <w:rFonts w:eastAsia="Times New Roman" w:cs="Arial"/>
          <w:b/>
          <w:bCs/>
          <w:kern w:val="0"/>
          <w:vertAlign w:val="superscript"/>
          <w14:ligatures w14:val="none"/>
        </w:rPr>
        <w:footnoteReference w:id="331"/>
      </w:r>
    </w:p>
    <w:p w14:paraId="10731117" w14:textId="77777777" w:rsidR="00487A56" w:rsidRPr="00487A56" w:rsidRDefault="00487A56" w:rsidP="00B519BF">
      <w:pPr>
        <w:keepNext/>
        <w:rPr>
          <w:rFonts w:eastAsia="Times New Roman" w:cs="Arial"/>
          <w:b/>
          <w:kern w:val="0"/>
          <w14:ligatures w14:val="none"/>
        </w:rPr>
      </w:pPr>
    </w:p>
    <w:tbl>
      <w:tblPr>
        <w:tblStyle w:val="TableGrid"/>
        <w:tblW w:w="9322" w:type="dxa"/>
        <w:tblInd w:w="-113" w:type="dxa"/>
        <w:tblLook w:val="04A0" w:firstRow="1" w:lastRow="0" w:firstColumn="1" w:lastColumn="0" w:noHBand="0" w:noVBand="1"/>
      </w:tblPr>
      <w:tblGrid>
        <w:gridCol w:w="1472"/>
        <w:gridCol w:w="1135"/>
        <w:gridCol w:w="1284"/>
        <w:gridCol w:w="1510"/>
        <w:gridCol w:w="1231"/>
        <w:gridCol w:w="1007"/>
        <w:gridCol w:w="1683"/>
      </w:tblGrid>
      <w:tr w:rsidR="00B519BF" w:rsidRPr="00D0306F" w14:paraId="5B5A2DE3" w14:textId="77777777" w:rsidTr="00B519BF">
        <w:tc>
          <w:tcPr>
            <w:tcW w:w="1472" w:type="dxa"/>
            <w:tcBorders>
              <w:top w:val="single" w:sz="4" w:space="0" w:color="auto"/>
              <w:left w:val="single" w:sz="4" w:space="0" w:color="auto"/>
              <w:bottom w:val="single" w:sz="4" w:space="0" w:color="auto"/>
              <w:right w:val="single" w:sz="4" w:space="0" w:color="auto"/>
            </w:tcBorders>
            <w:shd w:val="clear" w:color="auto" w:fill="153D63"/>
            <w:hideMark/>
          </w:tcPr>
          <w:p w14:paraId="296353BB" w14:textId="77777777" w:rsidR="00487A56" w:rsidRPr="00487A56" w:rsidRDefault="00487A56" w:rsidP="00B519BF">
            <w:pPr>
              <w:keepNext/>
              <w:rPr>
                <w:rFonts w:cs="Arial"/>
                <w:b/>
              </w:rPr>
            </w:pPr>
            <w:r w:rsidRPr="00487A56">
              <w:rPr>
                <w:rFonts w:cs="Arial"/>
                <w:b/>
                <w:bCs/>
              </w:rPr>
              <w:t>Area</w:t>
            </w:r>
          </w:p>
        </w:tc>
        <w:tc>
          <w:tcPr>
            <w:tcW w:w="1135" w:type="dxa"/>
            <w:tcBorders>
              <w:top w:val="single" w:sz="4" w:space="0" w:color="auto"/>
              <w:left w:val="single" w:sz="4" w:space="0" w:color="auto"/>
              <w:bottom w:val="single" w:sz="4" w:space="0" w:color="auto"/>
              <w:right w:val="single" w:sz="4" w:space="0" w:color="auto"/>
            </w:tcBorders>
            <w:shd w:val="clear" w:color="auto" w:fill="153D63"/>
            <w:hideMark/>
          </w:tcPr>
          <w:p w14:paraId="6290057F" w14:textId="77777777" w:rsidR="00487A56" w:rsidRPr="00487A56" w:rsidRDefault="00487A56" w:rsidP="00B519BF">
            <w:pPr>
              <w:keepNext/>
              <w:rPr>
                <w:rFonts w:cs="Arial"/>
                <w:b/>
              </w:rPr>
            </w:pPr>
            <w:r w:rsidRPr="00487A56">
              <w:rPr>
                <w:rFonts w:cs="Arial"/>
                <w:b/>
                <w:bCs/>
              </w:rPr>
              <w:t>Asthma</w:t>
            </w:r>
          </w:p>
        </w:tc>
        <w:tc>
          <w:tcPr>
            <w:tcW w:w="1284" w:type="dxa"/>
            <w:tcBorders>
              <w:top w:val="single" w:sz="4" w:space="0" w:color="auto"/>
              <w:left w:val="single" w:sz="4" w:space="0" w:color="auto"/>
              <w:bottom w:val="single" w:sz="4" w:space="0" w:color="auto"/>
              <w:right w:val="single" w:sz="4" w:space="0" w:color="auto"/>
            </w:tcBorders>
            <w:shd w:val="clear" w:color="auto" w:fill="153D63"/>
            <w:hideMark/>
          </w:tcPr>
          <w:p w14:paraId="4A2FCDCD" w14:textId="77777777" w:rsidR="00487A56" w:rsidRPr="00487A56" w:rsidRDefault="00487A56" w:rsidP="00B519BF">
            <w:pPr>
              <w:keepNext/>
              <w:rPr>
                <w:rFonts w:cs="Arial"/>
                <w:b/>
              </w:rPr>
            </w:pPr>
            <w:r w:rsidRPr="00487A56">
              <w:rPr>
                <w:rFonts w:cs="Arial"/>
                <w:b/>
                <w:bCs/>
              </w:rPr>
              <w:t>Coronary heart disease</w:t>
            </w:r>
          </w:p>
        </w:tc>
        <w:tc>
          <w:tcPr>
            <w:tcW w:w="1510" w:type="dxa"/>
            <w:tcBorders>
              <w:top w:val="single" w:sz="4" w:space="0" w:color="auto"/>
              <w:left w:val="single" w:sz="4" w:space="0" w:color="auto"/>
              <w:bottom w:val="single" w:sz="4" w:space="0" w:color="auto"/>
              <w:right w:val="single" w:sz="4" w:space="0" w:color="auto"/>
            </w:tcBorders>
            <w:shd w:val="clear" w:color="auto" w:fill="153D63"/>
            <w:hideMark/>
          </w:tcPr>
          <w:p w14:paraId="26F70432" w14:textId="77777777" w:rsidR="00487A56" w:rsidRPr="00487A56" w:rsidRDefault="00487A56" w:rsidP="00B519BF">
            <w:pPr>
              <w:keepNext/>
              <w:rPr>
                <w:rFonts w:cs="Arial"/>
                <w:b/>
              </w:rPr>
            </w:pPr>
            <w:r w:rsidRPr="00487A56">
              <w:rPr>
                <w:rFonts w:cs="Arial"/>
                <w:b/>
                <w:bCs/>
              </w:rPr>
              <w:t>Chronic obstructive pulmonary disease</w:t>
            </w:r>
          </w:p>
        </w:tc>
        <w:tc>
          <w:tcPr>
            <w:tcW w:w="1231" w:type="dxa"/>
            <w:tcBorders>
              <w:top w:val="single" w:sz="4" w:space="0" w:color="auto"/>
              <w:left w:val="single" w:sz="4" w:space="0" w:color="auto"/>
              <w:bottom w:val="single" w:sz="4" w:space="0" w:color="auto"/>
              <w:right w:val="single" w:sz="4" w:space="0" w:color="auto"/>
            </w:tcBorders>
            <w:shd w:val="clear" w:color="auto" w:fill="153D63"/>
            <w:hideMark/>
          </w:tcPr>
          <w:p w14:paraId="6D68BA05" w14:textId="77777777" w:rsidR="00487A56" w:rsidRPr="00487A56" w:rsidRDefault="00487A56" w:rsidP="00B519BF">
            <w:pPr>
              <w:keepNext/>
              <w:rPr>
                <w:rFonts w:cs="Arial"/>
                <w:b/>
              </w:rPr>
            </w:pPr>
            <w:r w:rsidRPr="00487A56">
              <w:rPr>
                <w:rFonts w:cs="Arial"/>
                <w:b/>
                <w:bCs/>
              </w:rPr>
              <w:t>Diabetes</w:t>
            </w:r>
          </w:p>
        </w:tc>
        <w:tc>
          <w:tcPr>
            <w:tcW w:w="1007" w:type="dxa"/>
            <w:tcBorders>
              <w:top w:val="single" w:sz="4" w:space="0" w:color="auto"/>
              <w:left w:val="single" w:sz="4" w:space="0" w:color="auto"/>
              <w:bottom w:val="single" w:sz="4" w:space="0" w:color="auto"/>
              <w:right w:val="single" w:sz="4" w:space="0" w:color="auto"/>
            </w:tcBorders>
            <w:shd w:val="clear" w:color="auto" w:fill="153D63"/>
            <w:hideMark/>
          </w:tcPr>
          <w:p w14:paraId="65B53312" w14:textId="77777777" w:rsidR="00487A56" w:rsidRPr="00487A56" w:rsidRDefault="00487A56" w:rsidP="00B519BF">
            <w:pPr>
              <w:keepNext/>
              <w:rPr>
                <w:rFonts w:cs="Arial"/>
                <w:b/>
              </w:rPr>
            </w:pPr>
            <w:r w:rsidRPr="00487A56">
              <w:rPr>
                <w:rFonts w:cs="Arial"/>
                <w:b/>
                <w:bCs/>
              </w:rPr>
              <w:t>Heart failure</w:t>
            </w:r>
          </w:p>
        </w:tc>
        <w:tc>
          <w:tcPr>
            <w:tcW w:w="1683" w:type="dxa"/>
            <w:tcBorders>
              <w:top w:val="single" w:sz="4" w:space="0" w:color="auto"/>
              <w:left w:val="single" w:sz="4" w:space="0" w:color="auto"/>
              <w:bottom w:val="single" w:sz="4" w:space="0" w:color="auto"/>
              <w:right w:val="single" w:sz="4" w:space="0" w:color="auto"/>
            </w:tcBorders>
            <w:shd w:val="clear" w:color="auto" w:fill="153D63"/>
          </w:tcPr>
          <w:p w14:paraId="71E78EB2" w14:textId="1609C96D" w:rsidR="00487A56" w:rsidRPr="00487A56" w:rsidRDefault="00487A56" w:rsidP="00B519BF">
            <w:pPr>
              <w:keepNext/>
              <w:rPr>
                <w:rFonts w:cs="Arial"/>
                <w:b/>
              </w:rPr>
            </w:pPr>
            <w:r w:rsidRPr="00487A56">
              <w:rPr>
                <w:rFonts w:cs="Arial"/>
                <w:b/>
                <w:bCs/>
              </w:rPr>
              <w:t>Stroke and transient ischaemic attacks</w:t>
            </w:r>
          </w:p>
        </w:tc>
      </w:tr>
      <w:tr w:rsidR="00487A56" w:rsidRPr="00487A56" w14:paraId="50DC7792" w14:textId="77777777" w:rsidTr="00B519BF">
        <w:tc>
          <w:tcPr>
            <w:tcW w:w="1472" w:type="dxa"/>
            <w:tcBorders>
              <w:top w:val="single" w:sz="4" w:space="0" w:color="auto"/>
              <w:left w:val="single" w:sz="4" w:space="0" w:color="auto"/>
              <w:bottom w:val="single" w:sz="4" w:space="0" w:color="auto"/>
              <w:right w:val="single" w:sz="4" w:space="0" w:color="auto"/>
            </w:tcBorders>
            <w:hideMark/>
          </w:tcPr>
          <w:p w14:paraId="2D9F349C" w14:textId="77777777" w:rsidR="00487A56" w:rsidRPr="00487A56" w:rsidRDefault="00487A56" w:rsidP="00B519BF">
            <w:pPr>
              <w:keepNext/>
              <w:rPr>
                <w:rFonts w:cs="Arial"/>
              </w:rPr>
            </w:pPr>
            <w:r w:rsidRPr="00487A56">
              <w:rPr>
                <w:rFonts w:cs="Arial"/>
              </w:rPr>
              <w:t>Neath locality</w:t>
            </w:r>
          </w:p>
        </w:tc>
        <w:tc>
          <w:tcPr>
            <w:tcW w:w="1135" w:type="dxa"/>
            <w:tcBorders>
              <w:top w:val="single" w:sz="4" w:space="0" w:color="auto"/>
              <w:left w:val="single" w:sz="4" w:space="0" w:color="auto"/>
              <w:bottom w:val="single" w:sz="4" w:space="0" w:color="auto"/>
              <w:right w:val="single" w:sz="4" w:space="0" w:color="auto"/>
            </w:tcBorders>
            <w:hideMark/>
          </w:tcPr>
          <w:p w14:paraId="4FB201AA" w14:textId="77777777" w:rsidR="00487A56" w:rsidRPr="00487A56" w:rsidRDefault="00487A56" w:rsidP="00B519BF">
            <w:pPr>
              <w:keepNext/>
              <w:jc w:val="center"/>
              <w:rPr>
                <w:rFonts w:cs="Arial"/>
                <w:bCs/>
              </w:rPr>
            </w:pPr>
            <w:r w:rsidRPr="00487A56">
              <w:rPr>
                <w:rFonts w:cs="Arial"/>
                <w:bCs/>
              </w:rPr>
              <w:t>7.7%</w:t>
            </w:r>
          </w:p>
        </w:tc>
        <w:tc>
          <w:tcPr>
            <w:tcW w:w="1284" w:type="dxa"/>
            <w:tcBorders>
              <w:top w:val="single" w:sz="4" w:space="0" w:color="auto"/>
              <w:left w:val="single" w:sz="4" w:space="0" w:color="auto"/>
              <w:bottom w:val="single" w:sz="4" w:space="0" w:color="auto"/>
              <w:right w:val="single" w:sz="4" w:space="0" w:color="auto"/>
            </w:tcBorders>
            <w:hideMark/>
          </w:tcPr>
          <w:p w14:paraId="7AF6AB0D" w14:textId="77777777" w:rsidR="00487A56" w:rsidRPr="00487A56" w:rsidRDefault="00487A56" w:rsidP="00B519BF">
            <w:pPr>
              <w:keepNext/>
              <w:jc w:val="center"/>
              <w:rPr>
                <w:rFonts w:cs="Arial"/>
                <w:bCs/>
              </w:rPr>
            </w:pPr>
            <w:r w:rsidRPr="00487A56">
              <w:rPr>
                <w:rFonts w:cs="Arial"/>
                <w:bCs/>
              </w:rPr>
              <w:t>3.5%</w:t>
            </w:r>
          </w:p>
        </w:tc>
        <w:tc>
          <w:tcPr>
            <w:tcW w:w="1510" w:type="dxa"/>
            <w:tcBorders>
              <w:top w:val="single" w:sz="4" w:space="0" w:color="auto"/>
              <w:left w:val="single" w:sz="4" w:space="0" w:color="auto"/>
              <w:bottom w:val="single" w:sz="4" w:space="0" w:color="auto"/>
              <w:right w:val="single" w:sz="4" w:space="0" w:color="auto"/>
            </w:tcBorders>
            <w:hideMark/>
          </w:tcPr>
          <w:p w14:paraId="640CF8D2" w14:textId="77777777" w:rsidR="00487A56" w:rsidRPr="00487A56" w:rsidRDefault="00487A56" w:rsidP="00B519BF">
            <w:pPr>
              <w:keepNext/>
              <w:jc w:val="center"/>
              <w:rPr>
                <w:rFonts w:cs="Arial"/>
                <w:bCs/>
              </w:rPr>
            </w:pPr>
            <w:r w:rsidRPr="00487A56">
              <w:rPr>
                <w:rFonts w:cs="Arial"/>
                <w:bCs/>
              </w:rPr>
              <w:t>2.6%</w:t>
            </w:r>
          </w:p>
        </w:tc>
        <w:tc>
          <w:tcPr>
            <w:tcW w:w="1231" w:type="dxa"/>
            <w:tcBorders>
              <w:top w:val="single" w:sz="4" w:space="0" w:color="auto"/>
              <w:left w:val="single" w:sz="4" w:space="0" w:color="auto"/>
              <w:bottom w:val="single" w:sz="4" w:space="0" w:color="auto"/>
              <w:right w:val="single" w:sz="4" w:space="0" w:color="auto"/>
            </w:tcBorders>
            <w:hideMark/>
          </w:tcPr>
          <w:p w14:paraId="60B28E18" w14:textId="77777777" w:rsidR="00487A56" w:rsidRPr="00487A56" w:rsidRDefault="00487A56" w:rsidP="00B519BF">
            <w:pPr>
              <w:keepNext/>
              <w:jc w:val="center"/>
              <w:rPr>
                <w:rFonts w:cs="Arial"/>
                <w:bCs/>
              </w:rPr>
            </w:pPr>
            <w:r w:rsidRPr="00487A56">
              <w:rPr>
                <w:rFonts w:cs="Arial"/>
                <w:bCs/>
              </w:rPr>
              <w:t>8.8%</w:t>
            </w:r>
          </w:p>
        </w:tc>
        <w:tc>
          <w:tcPr>
            <w:tcW w:w="1007" w:type="dxa"/>
            <w:tcBorders>
              <w:top w:val="single" w:sz="4" w:space="0" w:color="auto"/>
              <w:left w:val="single" w:sz="4" w:space="0" w:color="auto"/>
              <w:bottom w:val="single" w:sz="4" w:space="0" w:color="auto"/>
              <w:right w:val="single" w:sz="4" w:space="0" w:color="auto"/>
            </w:tcBorders>
            <w:hideMark/>
          </w:tcPr>
          <w:p w14:paraId="3D020796" w14:textId="77777777" w:rsidR="00487A56" w:rsidRPr="00487A56" w:rsidRDefault="00487A56" w:rsidP="00B519BF">
            <w:pPr>
              <w:keepNext/>
              <w:jc w:val="center"/>
              <w:rPr>
                <w:rFonts w:cs="Arial"/>
                <w:bCs/>
              </w:rPr>
            </w:pPr>
            <w:r w:rsidRPr="00487A56">
              <w:rPr>
                <w:rFonts w:cs="Arial"/>
                <w:bCs/>
              </w:rPr>
              <w:t>1.5%</w:t>
            </w:r>
          </w:p>
        </w:tc>
        <w:tc>
          <w:tcPr>
            <w:tcW w:w="1683" w:type="dxa"/>
            <w:tcBorders>
              <w:top w:val="single" w:sz="4" w:space="0" w:color="auto"/>
              <w:left w:val="single" w:sz="4" w:space="0" w:color="auto"/>
              <w:bottom w:val="single" w:sz="4" w:space="0" w:color="auto"/>
              <w:right w:val="single" w:sz="4" w:space="0" w:color="auto"/>
            </w:tcBorders>
            <w:hideMark/>
          </w:tcPr>
          <w:p w14:paraId="11E9C94E" w14:textId="77777777" w:rsidR="00487A56" w:rsidRPr="00487A56" w:rsidRDefault="00487A56" w:rsidP="00B519BF">
            <w:pPr>
              <w:keepNext/>
              <w:jc w:val="center"/>
              <w:rPr>
                <w:rFonts w:cs="Arial"/>
                <w:bCs/>
              </w:rPr>
            </w:pPr>
            <w:r w:rsidRPr="00487A56">
              <w:rPr>
                <w:rFonts w:cs="Arial"/>
                <w:bCs/>
              </w:rPr>
              <w:t>2.3%</w:t>
            </w:r>
          </w:p>
        </w:tc>
      </w:tr>
      <w:tr w:rsidR="00487A56" w:rsidRPr="00487A56" w14:paraId="0F2B6F4E" w14:textId="77777777" w:rsidTr="00B519BF">
        <w:tc>
          <w:tcPr>
            <w:tcW w:w="1472" w:type="dxa"/>
            <w:tcBorders>
              <w:top w:val="single" w:sz="4" w:space="0" w:color="auto"/>
              <w:left w:val="single" w:sz="4" w:space="0" w:color="auto"/>
              <w:bottom w:val="single" w:sz="4" w:space="0" w:color="auto"/>
              <w:right w:val="single" w:sz="4" w:space="0" w:color="auto"/>
            </w:tcBorders>
            <w:hideMark/>
          </w:tcPr>
          <w:p w14:paraId="34E40BC2" w14:textId="77777777" w:rsidR="00487A56" w:rsidRPr="00487A56" w:rsidRDefault="00487A56" w:rsidP="00B519BF">
            <w:pPr>
              <w:keepNext/>
              <w:rPr>
                <w:rFonts w:cs="Arial"/>
              </w:rPr>
            </w:pPr>
            <w:r w:rsidRPr="00487A56">
              <w:rPr>
                <w:rFonts w:cs="Arial"/>
              </w:rPr>
              <w:t xml:space="preserve">Swansea Bay University Health Board </w:t>
            </w:r>
          </w:p>
        </w:tc>
        <w:tc>
          <w:tcPr>
            <w:tcW w:w="1135" w:type="dxa"/>
            <w:tcBorders>
              <w:top w:val="single" w:sz="4" w:space="0" w:color="auto"/>
              <w:left w:val="single" w:sz="4" w:space="0" w:color="auto"/>
              <w:bottom w:val="single" w:sz="4" w:space="0" w:color="auto"/>
              <w:right w:val="single" w:sz="4" w:space="0" w:color="auto"/>
            </w:tcBorders>
            <w:hideMark/>
          </w:tcPr>
          <w:p w14:paraId="2BA3E4A6" w14:textId="77777777" w:rsidR="00487A56" w:rsidRPr="00487A56" w:rsidRDefault="00487A56" w:rsidP="00B519BF">
            <w:pPr>
              <w:keepNext/>
              <w:jc w:val="center"/>
              <w:rPr>
                <w:rFonts w:cs="Arial"/>
              </w:rPr>
            </w:pPr>
            <w:r w:rsidRPr="00487A56">
              <w:rPr>
                <w:rFonts w:cs="Arial"/>
              </w:rPr>
              <w:t>7.0%</w:t>
            </w:r>
          </w:p>
        </w:tc>
        <w:tc>
          <w:tcPr>
            <w:tcW w:w="1284" w:type="dxa"/>
            <w:tcBorders>
              <w:top w:val="single" w:sz="4" w:space="0" w:color="auto"/>
              <w:left w:val="single" w:sz="4" w:space="0" w:color="auto"/>
              <w:bottom w:val="single" w:sz="4" w:space="0" w:color="auto"/>
              <w:right w:val="single" w:sz="4" w:space="0" w:color="auto"/>
            </w:tcBorders>
            <w:hideMark/>
          </w:tcPr>
          <w:p w14:paraId="49877F9B" w14:textId="77777777" w:rsidR="00487A56" w:rsidRPr="00487A56" w:rsidRDefault="00487A56" w:rsidP="00B519BF">
            <w:pPr>
              <w:keepNext/>
              <w:jc w:val="center"/>
              <w:rPr>
                <w:rFonts w:cs="Arial"/>
              </w:rPr>
            </w:pPr>
            <w:r w:rsidRPr="00487A56">
              <w:rPr>
                <w:rFonts w:cs="Arial"/>
              </w:rPr>
              <w:t>3.3%</w:t>
            </w:r>
          </w:p>
        </w:tc>
        <w:tc>
          <w:tcPr>
            <w:tcW w:w="1510" w:type="dxa"/>
            <w:tcBorders>
              <w:top w:val="single" w:sz="4" w:space="0" w:color="auto"/>
              <w:left w:val="single" w:sz="4" w:space="0" w:color="auto"/>
              <w:bottom w:val="single" w:sz="4" w:space="0" w:color="auto"/>
              <w:right w:val="single" w:sz="4" w:space="0" w:color="auto"/>
            </w:tcBorders>
            <w:hideMark/>
          </w:tcPr>
          <w:p w14:paraId="6E374C33" w14:textId="77777777" w:rsidR="00487A56" w:rsidRPr="00487A56" w:rsidRDefault="00487A56" w:rsidP="00B519BF">
            <w:pPr>
              <w:keepNext/>
              <w:jc w:val="center"/>
              <w:rPr>
                <w:rFonts w:cs="Arial"/>
              </w:rPr>
            </w:pPr>
            <w:r w:rsidRPr="00487A56">
              <w:rPr>
                <w:rFonts w:cs="Arial"/>
              </w:rPr>
              <w:t>2.3%</w:t>
            </w:r>
          </w:p>
        </w:tc>
        <w:tc>
          <w:tcPr>
            <w:tcW w:w="1231" w:type="dxa"/>
            <w:tcBorders>
              <w:top w:val="single" w:sz="4" w:space="0" w:color="auto"/>
              <w:left w:val="single" w:sz="4" w:space="0" w:color="auto"/>
              <w:bottom w:val="single" w:sz="4" w:space="0" w:color="auto"/>
              <w:right w:val="single" w:sz="4" w:space="0" w:color="auto"/>
            </w:tcBorders>
            <w:hideMark/>
          </w:tcPr>
          <w:p w14:paraId="5A733A22" w14:textId="77777777" w:rsidR="00487A56" w:rsidRPr="00487A56" w:rsidRDefault="00487A56" w:rsidP="00B519BF">
            <w:pPr>
              <w:keepNext/>
              <w:jc w:val="center"/>
              <w:rPr>
                <w:rFonts w:cs="Arial"/>
              </w:rPr>
            </w:pPr>
            <w:r w:rsidRPr="00487A56">
              <w:rPr>
                <w:rFonts w:cs="Arial"/>
              </w:rPr>
              <w:t>8.1%</w:t>
            </w:r>
          </w:p>
        </w:tc>
        <w:tc>
          <w:tcPr>
            <w:tcW w:w="1007" w:type="dxa"/>
            <w:tcBorders>
              <w:top w:val="single" w:sz="4" w:space="0" w:color="auto"/>
              <w:left w:val="single" w:sz="4" w:space="0" w:color="auto"/>
              <w:bottom w:val="single" w:sz="4" w:space="0" w:color="auto"/>
              <w:right w:val="single" w:sz="4" w:space="0" w:color="auto"/>
            </w:tcBorders>
            <w:hideMark/>
          </w:tcPr>
          <w:p w14:paraId="118A2310" w14:textId="77777777" w:rsidR="00487A56" w:rsidRPr="00487A56" w:rsidRDefault="00487A56" w:rsidP="00B519BF">
            <w:pPr>
              <w:keepNext/>
              <w:jc w:val="center"/>
              <w:rPr>
                <w:rFonts w:cs="Arial"/>
              </w:rPr>
            </w:pPr>
            <w:r w:rsidRPr="00487A56">
              <w:rPr>
                <w:rFonts w:cs="Arial"/>
              </w:rPr>
              <w:t>1.6%</w:t>
            </w:r>
          </w:p>
        </w:tc>
        <w:tc>
          <w:tcPr>
            <w:tcW w:w="1683" w:type="dxa"/>
            <w:tcBorders>
              <w:top w:val="single" w:sz="4" w:space="0" w:color="auto"/>
              <w:left w:val="single" w:sz="4" w:space="0" w:color="auto"/>
              <w:bottom w:val="single" w:sz="4" w:space="0" w:color="auto"/>
              <w:right w:val="single" w:sz="4" w:space="0" w:color="auto"/>
            </w:tcBorders>
            <w:hideMark/>
          </w:tcPr>
          <w:p w14:paraId="7B6FE830" w14:textId="77777777" w:rsidR="00487A56" w:rsidRPr="00487A56" w:rsidRDefault="00487A56" w:rsidP="00B519BF">
            <w:pPr>
              <w:keepNext/>
              <w:jc w:val="center"/>
              <w:rPr>
                <w:rFonts w:cs="Arial"/>
              </w:rPr>
            </w:pPr>
            <w:r w:rsidRPr="00487A56">
              <w:rPr>
                <w:rFonts w:cs="Arial"/>
              </w:rPr>
              <w:t>2.2%</w:t>
            </w:r>
          </w:p>
        </w:tc>
      </w:tr>
      <w:tr w:rsidR="00487A56" w:rsidRPr="00487A56" w14:paraId="76047162" w14:textId="77777777" w:rsidTr="00B519BF">
        <w:tc>
          <w:tcPr>
            <w:tcW w:w="1472" w:type="dxa"/>
            <w:tcBorders>
              <w:top w:val="single" w:sz="4" w:space="0" w:color="auto"/>
              <w:left w:val="single" w:sz="4" w:space="0" w:color="auto"/>
              <w:bottom w:val="single" w:sz="4" w:space="0" w:color="auto"/>
              <w:right w:val="single" w:sz="4" w:space="0" w:color="auto"/>
            </w:tcBorders>
            <w:hideMark/>
          </w:tcPr>
          <w:p w14:paraId="1059AC2D" w14:textId="77777777" w:rsidR="00487A56" w:rsidRPr="00487A56" w:rsidRDefault="00487A56" w:rsidP="00B519BF">
            <w:pPr>
              <w:keepNext/>
              <w:rPr>
                <w:rFonts w:cs="Arial"/>
              </w:rPr>
            </w:pPr>
            <w:r w:rsidRPr="00487A56">
              <w:rPr>
                <w:rFonts w:cs="Arial"/>
              </w:rPr>
              <w:t>Wales</w:t>
            </w:r>
          </w:p>
        </w:tc>
        <w:tc>
          <w:tcPr>
            <w:tcW w:w="1135" w:type="dxa"/>
            <w:tcBorders>
              <w:top w:val="single" w:sz="4" w:space="0" w:color="auto"/>
              <w:left w:val="single" w:sz="4" w:space="0" w:color="auto"/>
              <w:bottom w:val="single" w:sz="4" w:space="0" w:color="auto"/>
              <w:right w:val="single" w:sz="4" w:space="0" w:color="auto"/>
            </w:tcBorders>
            <w:hideMark/>
          </w:tcPr>
          <w:p w14:paraId="5B2EED99" w14:textId="77777777" w:rsidR="00487A56" w:rsidRPr="00487A56" w:rsidRDefault="00487A56" w:rsidP="00B519BF">
            <w:pPr>
              <w:keepNext/>
              <w:jc w:val="center"/>
              <w:rPr>
                <w:rFonts w:cs="Arial"/>
              </w:rPr>
            </w:pPr>
            <w:r w:rsidRPr="00487A56">
              <w:rPr>
                <w:rFonts w:cs="Arial"/>
              </w:rPr>
              <w:t>7.1%</w:t>
            </w:r>
          </w:p>
        </w:tc>
        <w:tc>
          <w:tcPr>
            <w:tcW w:w="1284" w:type="dxa"/>
            <w:tcBorders>
              <w:top w:val="single" w:sz="4" w:space="0" w:color="auto"/>
              <w:left w:val="single" w:sz="4" w:space="0" w:color="auto"/>
              <w:bottom w:val="single" w:sz="4" w:space="0" w:color="auto"/>
              <w:right w:val="single" w:sz="4" w:space="0" w:color="auto"/>
            </w:tcBorders>
            <w:hideMark/>
          </w:tcPr>
          <w:p w14:paraId="325DE9B7" w14:textId="77777777" w:rsidR="00487A56" w:rsidRPr="00487A56" w:rsidRDefault="00487A56" w:rsidP="00B519BF">
            <w:pPr>
              <w:keepNext/>
              <w:jc w:val="center"/>
              <w:rPr>
                <w:rFonts w:cs="Arial"/>
              </w:rPr>
            </w:pPr>
            <w:r w:rsidRPr="00487A56">
              <w:rPr>
                <w:rFonts w:cs="Arial"/>
              </w:rPr>
              <w:t>3.4%</w:t>
            </w:r>
          </w:p>
        </w:tc>
        <w:tc>
          <w:tcPr>
            <w:tcW w:w="1510" w:type="dxa"/>
            <w:tcBorders>
              <w:top w:val="single" w:sz="4" w:space="0" w:color="auto"/>
              <w:left w:val="single" w:sz="4" w:space="0" w:color="auto"/>
              <w:bottom w:val="single" w:sz="4" w:space="0" w:color="auto"/>
              <w:right w:val="single" w:sz="4" w:space="0" w:color="auto"/>
            </w:tcBorders>
            <w:hideMark/>
          </w:tcPr>
          <w:p w14:paraId="57DBD0DE" w14:textId="77777777" w:rsidR="00487A56" w:rsidRPr="00487A56" w:rsidRDefault="00487A56" w:rsidP="00B519BF">
            <w:pPr>
              <w:keepNext/>
              <w:jc w:val="center"/>
              <w:rPr>
                <w:rFonts w:cs="Arial"/>
              </w:rPr>
            </w:pPr>
            <w:r w:rsidRPr="00487A56">
              <w:rPr>
                <w:rFonts w:cs="Arial"/>
              </w:rPr>
              <w:t>2.3%</w:t>
            </w:r>
          </w:p>
        </w:tc>
        <w:tc>
          <w:tcPr>
            <w:tcW w:w="1231" w:type="dxa"/>
            <w:tcBorders>
              <w:top w:val="single" w:sz="4" w:space="0" w:color="auto"/>
              <w:left w:val="single" w:sz="4" w:space="0" w:color="auto"/>
              <w:bottom w:val="single" w:sz="4" w:space="0" w:color="auto"/>
              <w:right w:val="single" w:sz="4" w:space="0" w:color="auto"/>
            </w:tcBorders>
            <w:hideMark/>
          </w:tcPr>
          <w:p w14:paraId="26E8C81D" w14:textId="77777777" w:rsidR="00487A56" w:rsidRPr="00487A56" w:rsidRDefault="00487A56" w:rsidP="00B519BF">
            <w:pPr>
              <w:keepNext/>
              <w:jc w:val="center"/>
              <w:rPr>
                <w:rFonts w:cs="Arial"/>
              </w:rPr>
            </w:pPr>
            <w:r w:rsidRPr="00487A56">
              <w:rPr>
                <w:rFonts w:cs="Arial"/>
              </w:rPr>
              <w:t>8.4%</w:t>
            </w:r>
          </w:p>
        </w:tc>
        <w:tc>
          <w:tcPr>
            <w:tcW w:w="1007" w:type="dxa"/>
            <w:tcBorders>
              <w:top w:val="single" w:sz="4" w:space="0" w:color="auto"/>
              <w:left w:val="single" w:sz="4" w:space="0" w:color="auto"/>
              <w:bottom w:val="single" w:sz="4" w:space="0" w:color="auto"/>
              <w:right w:val="single" w:sz="4" w:space="0" w:color="auto"/>
            </w:tcBorders>
            <w:hideMark/>
          </w:tcPr>
          <w:p w14:paraId="4B51D6DA" w14:textId="77777777" w:rsidR="00487A56" w:rsidRPr="00487A56" w:rsidRDefault="00487A56" w:rsidP="00B519BF">
            <w:pPr>
              <w:keepNext/>
              <w:jc w:val="center"/>
              <w:rPr>
                <w:rFonts w:cs="Arial"/>
              </w:rPr>
            </w:pPr>
            <w:r w:rsidRPr="00487A56">
              <w:rPr>
                <w:rFonts w:cs="Arial"/>
              </w:rPr>
              <w:t>1.4%</w:t>
            </w:r>
          </w:p>
        </w:tc>
        <w:tc>
          <w:tcPr>
            <w:tcW w:w="1683" w:type="dxa"/>
            <w:tcBorders>
              <w:top w:val="single" w:sz="4" w:space="0" w:color="auto"/>
              <w:left w:val="single" w:sz="4" w:space="0" w:color="auto"/>
              <w:bottom w:val="single" w:sz="4" w:space="0" w:color="auto"/>
              <w:right w:val="single" w:sz="4" w:space="0" w:color="auto"/>
            </w:tcBorders>
            <w:hideMark/>
          </w:tcPr>
          <w:p w14:paraId="1DAC4CA1" w14:textId="77777777" w:rsidR="00487A56" w:rsidRPr="00487A56" w:rsidRDefault="00487A56" w:rsidP="00B519BF">
            <w:pPr>
              <w:keepNext/>
              <w:jc w:val="center"/>
              <w:rPr>
                <w:rFonts w:cs="Arial"/>
              </w:rPr>
            </w:pPr>
            <w:r w:rsidRPr="00487A56">
              <w:rPr>
                <w:rFonts w:cs="Arial"/>
              </w:rPr>
              <w:t>2.2%</w:t>
            </w:r>
          </w:p>
        </w:tc>
      </w:tr>
    </w:tbl>
    <w:p w14:paraId="237EC5F2" w14:textId="77777777" w:rsidR="00487A56" w:rsidRPr="00487A56" w:rsidRDefault="00487A56" w:rsidP="00B519BF">
      <w:pPr>
        <w:rPr>
          <w:rFonts w:eastAsia="Times New Roman" w:cs="Arial"/>
          <w:kern w:val="0"/>
          <w:lang w:eastAsia="en-GB"/>
          <w14:ligatures w14:val="none"/>
        </w:rPr>
      </w:pPr>
    </w:p>
    <w:p w14:paraId="517CACCE"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The table below compares the percentage of people registered with a mental health condition and dementia in the locality with the health board and Wales averages. It shows the rates in mental health align with the health board average, but higher than the Wales average (0.2% higher). Dementia aligns with both the health board and Wales average.</w:t>
      </w:r>
    </w:p>
    <w:p w14:paraId="36FE3726" w14:textId="77777777" w:rsidR="00487A56" w:rsidRPr="00487A56" w:rsidRDefault="00487A56" w:rsidP="00B519BF">
      <w:pPr>
        <w:rPr>
          <w:rFonts w:eastAsia="Times New Roman" w:cs="Arial"/>
          <w:b/>
          <w:bCs/>
          <w:kern w:val="0"/>
          <w:lang w:eastAsia="en-GB"/>
          <w14:ligatures w14:val="none"/>
        </w:rPr>
      </w:pPr>
    </w:p>
    <w:p w14:paraId="51967E40"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Table 14.4: Percentage of people registered as having a mental health condition, and dementia by locality, health board and Wales, 2025</w:t>
      </w:r>
      <w:r w:rsidRPr="00487A56">
        <w:rPr>
          <w:rFonts w:eastAsia="Times New Roman" w:cs="Arial"/>
          <w:b/>
          <w:bCs/>
          <w:kern w:val="0"/>
          <w:vertAlign w:val="superscript"/>
          <w:lang w:eastAsia="en-GB"/>
          <w14:ligatures w14:val="none"/>
        </w:rPr>
        <w:footnoteReference w:id="332"/>
      </w:r>
    </w:p>
    <w:p w14:paraId="1576481A" w14:textId="77777777" w:rsidR="00487A56" w:rsidRPr="00487A56" w:rsidRDefault="00487A56" w:rsidP="00B519BF">
      <w:pPr>
        <w:rPr>
          <w:rFonts w:eastAsia="Times New Roman" w:cs="Arial"/>
          <w:kern w:val="0"/>
          <w:lang w:eastAsia="en-GB"/>
          <w14:ligatures w14:val="none"/>
        </w:rPr>
      </w:pPr>
    </w:p>
    <w:tbl>
      <w:tblPr>
        <w:tblStyle w:val="TableGrid"/>
        <w:tblW w:w="8359" w:type="dxa"/>
        <w:tblInd w:w="0" w:type="dxa"/>
        <w:tblLook w:val="04A0" w:firstRow="1" w:lastRow="0" w:firstColumn="1" w:lastColumn="0" w:noHBand="0" w:noVBand="1"/>
      </w:tblPr>
      <w:tblGrid>
        <w:gridCol w:w="4531"/>
        <w:gridCol w:w="1843"/>
        <w:gridCol w:w="1985"/>
      </w:tblGrid>
      <w:tr w:rsidR="00B519BF" w:rsidRPr="00D0306F" w14:paraId="2D00823D" w14:textId="77777777" w:rsidTr="00487A56">
        <w:tc>
          <w:tcPr>
            <w:tcW w:w="4531" w:type="dxa"/>
            <w:tcBorders>
              <w:top w:val="single" w:sz="4" w:space="0" w:color="auto"/>
              <w:left w:val="single" w:sz="4" w:space="0" w:color="auto"/>
              <w:bottom w:val="single" w:sz="4" w:space="0" w:color="auto"/>
              <w:right w:val="single" w:sz="4" w:space="0" w:color="auto"/>
            </w:tcBorders>
            <w:shd w:val="clear" w:color="auto" w:fill="153D63"/>
            <w:hideMark/>
          </w:tcPr>
          <w:p w14:paraId="75B8C1AB" w14:textId="77777777" w:rsidR="00487A56" w:rsidRPr="00487A56" w:rsidRDefault="00487A56" w:rsidP="00B519BF">
            <w:pPr>
              <w:rPr>
                <w:rFonts w:cs="Arial"/>
              </w:rPr>
            </w:pPr>
            <w:r w:rsidRPr="00487A56">
              <w:rPr>
                <w:rFonts w:cs="Arial"/>
                <w:b/>
                <w:bCs/>
              </w:rPr>
              <w:t>Area</w:t>
            </w:r>
          </w:p>
        </w:tc>
        <w:tc>
          <w:tcPr>
            <w:tcW w:w="1843" w:type="dxa"/>
            <w:tcBorders>
              <w:top w:val="single" w:sz="4" w:space="0" w:color="auto"/>
              <w:left w:val="single" w:sz="4" w:space="0" w:color="auto"/>
              <w:bottom w:val="single" w:sz="4" w:space="0" w:color="auto"/>
              <w:right w:val="single" w:sz="4" w:space="0" w:color="auto"/>
            </w:tcBorders>
            <w:shd w:val="clear" w:color="auto" w:fill="153D63"/>
            <w:hideMark/>
          </w:tcPr>
          <w:p w14:paraId="4BEAAE1D" w14:textId="77777777" w:rsidR="00487A56" w:rsidRPr="00487A56" w:rsidRDefault="00487A56" w:rsidP="00B519BF">
            <w:pPr>
              <w:jc w:val="center"/>
              <w:rPr>
                <w:rFonts w:cs="Arial"/>
              </w:rPr>
            </w:pPr>
            <w:r w:rsidRPr="00487A56">
              <w:rPr>
                <w:rFonts w:cs="Arial"/>
                <w:b/>
                <w:bCs/>
              </w:rPr>
              <w:t>Mental health</w:t>
            </w:r>
          </w:p>
        </w:tc>
        <w:tc>
          <w:tcPr>
            <w:tcW w:w="1985" w:type="dxa"/>
            <w:tcBorders>
              <w:top w:val="single" w:sz="4" w:space="0" w:color="auto"/>
              <w:left w:val="single" w:sz="4" w:space="0" w:color="auto"/>
              <w:bottom w:val="single" w:sz="4" w:space="0" w:color="auto"/>
              <w:right w:val="single" w:sz="4" w:space="0" w:color="auto"/>
            </w:tcBorders>
            <w:shd w:val="clear" w:color="auto" w:fill="153D63"/>
            <w:hideMark/>
          </w:tcPr>
          <w:p w14:paraId="05266515" w14:textId="77777777" w:rsidR="00487A56" w:rsidRPr="00487A56" w:rsidRDefault="00487A56" w:rsidP="00B519BF">
            <w:pPr>
              <w:jc w:val="center"/>
              <w:rPr>
                <w:rFonts w:cs="Arial"/>
              </w:rPr>
            </w:pPr>
            <w:r w:rsidRPr="00487A56">
              <w:rPr>
                <w:rFonts w:cs="Arial"/>
                <w:b/>
                <w:bCs/>
              </w:rPr>
              <w:t>Dementia</w:t>
            </w:r>
          </w:p>
        </w:tc>
      </w:tr>
      <w:tr w:rsidR="00487A56" w:rsidRPr="00487A56" w14:paraId="363D95FF" w14:textId="77777777" w:rsidTr="00487A56">
        <w:tc>
          <w:tcPr>
            <w:tcW w:w="4531" w:type="dxa"/>
            <w:tcBorders>
              <w:top w:val="single" w:sz="4" w:space="0" w:color="auto"/>
              <w:left w:val="single" w:sz="4" w:space="0" w:color="auto"/>
              <w:bottom w:val="single" w:sz="4" w:space="0" w:color="auto"/>
              <w:right w:val="single" w:sz="4" w:space="0" w:color="auto"/>
            </w:tcBorders>
            <w:hideMark/>
          </w:tcPr>
          <w:p w14:paraId="07912D10" w14:textId="77777777" w:rsidR="00487A56" w:rsidRPr="00487A56" w:rsidRDefault="00487A56" w:rsidP="00B519BF">
            <w:pPr>
              <w:rPr>
                <w:rFonts w:cs="Arial"/>
              </w:rPr>
            </w:pPr>
            <w:r w:rsidRPr="00487A56">
              <w:rPr>
                <w:rFonts w:cs="Arial"/>
              </w:rPr>
              <w:t>Neath locality</w:t>
            </w:r>
          </w:p>
        </w:tc>
        <w:tc>
          <w:tcPr>
            <w:tcW w:w="1843" w:type="dxa"/>
            <w:tcBorders>
              <w:top w:val="single" w:sz="4" w:space="0" w:color="auto"/>
              <w:left w:val="single" w:sz="4" w:space="0" w:color="auto"/>
              <w:bottom w:val="single" w:sz="4" w:space="0" w:color="auto"/>
              <w:right w:val="single" w:sz="4" w:space="0" w:color="auto"/>
            </w:tcBorders>
            <w:hideMark/>
          </w:tcPr>
          <w:p w14:paraId="677A7C8D" w14:textId="77777777" w:rsidR="00487A56" w:rsidRPr="00487A56" w:rsidRDefault="00487A56" w:rsidP="00B519BF">
            <w:pPr>
              <w:jc w:val="center"/>
              <w:rPr>
                <w:rFonts w:cs="Arial"/>
              </w:rPr>
            </w:pPr>
            <w:r w:rsidRPr="00487A56">
              <w:rPr>
                <w:rFonts w:cs="Arial"/>
              </w:rPr>
              <w:t>1.3%</w:t>
            </w:r>
          </w:p>
        </w:tc>
        <w:tc>
          <w:tcPr>
            <w:tcW w:w="1985" w:type="dxa"/>
            <w:tcBorders>
              <w:top w:val="single" w:sz="4" w:space="0" w:color="auto"/>
              <w:left w:val="single" w:sz="4" w:space="0" w:color="auto"/>
              <w:bottom w:val="single" w:sz="4" w:space="0" w:color="auto"/>
              <w:right w:val="single" w:sz="4" w:space="0" w:color="auto"/>
            </w:tcBorders>
            <w:hideMark/>
          </w:tcPr>
          <w:p w14:paraId="610920D6" w14:textId="77777777" w:rsidR="00487A56" w:rsidRPr="00487A56" w:rsidRDefault="00487A56" w:rsidP="00B519BF">
            <w:pPr>
              <w:jc w:val="center"/>
              <w:rPr>
                <w:rFonts w:cs="Arial"/>
              </w:rPr>
            </w:pPr>
            <w:r w:rsidRPr="00487A56">
              <w:rPr>
                <w:rFonts w:cs="Arial"/>
              </w:rPr>
              <w:t>0.8%</w:t>
            </w:r>
          </w:p>
        </w:tc>
      </w:tr>
      <w:tr w:rsidR="00487A56" w:rsidRPr="00487A56" w14:paraId="7A3126A1" w14:textId="77777777" w:rsidTr="00487A56">
        <w:tc>
          <w:tcPr>
            <w:tcW w:w="4531" w:type="dxa"/>
            <w:tcBorders>
              <w:top w:val="single" w:sz="4" w:space="0" w:color="auto"/>
              <w:left w:val="single" w:sz="4" w:space="0" w:color="auto"/>
              <w:bottom w:val="single" w:sz="4" w:space="0" w:color="auto"/>
              <w:right w:val="single" w:sz="4" w:space="0" w:color="auto"/>
            </w:tcBorders>
            <w:hideMark/>
          </w:tcPr>
          <w:p w14:paraId="73B032D2" w14:textId="77777777" w:rsidR="00487A56" w:rsidRPr="00487A56" w:rsidRDefault="00487A56" w:rsidP="00B519BF">
            <w:pPr>
              <w:rPr>
                <w:rFonts w:cs="Arial"/>
              </w:rPr>
            </w:pPr>
            <w:r w:rsidRPr="00487A56">
              <w:rPr>
                <w:rFonts w:cs="Arial"/>
              </w:rPr>
              <w:t>Swansea Bay University Health Board</w:t>
            </w:r>
          </w:p>
        </w:tc>
        <w:tc>
          <w:tcPr>
            <w:tcW w:w="1843" w:type="dxa"/>
            <w:tcBorders>
              <w:top w:val="single" w:sz="4" w:space="0" w:color="auto"/>
              <w:left w:val="single" w:sz="4" w:space="0" w:color="auto"/>
              <w:bottom w:val="single" w:sz="4" w:space="0" w:color="auto"/>
              <w:right w:val="single" w:sz="4" w:space="0" w:color="auto"/>
            </w:tcBorders>
            <w:hideMark/>
          </w:tcPr>
          <w:p w14:paraId="499AA4AA" w14:textId="77777777" w:rsidR="00487A56" w:rsidRPr="00487A56" w:rsidRDefault="00487A56" w:rsidP="00B519BF">
            <w:pPr>
              <w:jc w:val="center"/>
              <w:rPr>
                <w:rFonts w:cs="Arial"/>
              </w:rPr>
            </w:pPr>
            <w:r w:rsidRPr="00487A56">
              <w:rPr>
                <w:rFonts w:cs="Arial"/>
              </w:rPr>
              <w:t>1.3%</w:t>
            </w:r>
          </w:p>
        </w:tc>
        <w:tc>
          <w:tcPr>
            <w:tcW w:w="1985" w:type="dxa"/>
            <w:tcBorders>
              <w:top w:val="single" w:sz="4" w:space="0" w:color="auto"/>
              <w:left w:val="single" w:sz="4" w:space="0" w:color="auto"/>
              <w:bottom w:val="single" w:sz="4" w:space="0" w:color="auto"/>
              <w:right w:val="single" w:sz="4" w:space="0" w:color="auto"/>
            </w:tcBorders>
            <w:hideMark/>
          </w:tcPr>
          <w:p w14:paraId="4CABE9B2" w14:textId="77777777" w:rsidR="00487A56" w:rsidRPr="00487A56" w:rsidRDefault="00487A56" w:rsidP="00B519BF">
            <w:pPr>
              <w:jc w:val="center"/>
              <w:rPr>
                <w:rFonts w:cs="Arial"/>
              </w:rPr>
            </w:pPr>
            <w:r w:rsidRPr="00487A56">
              <w:rPr>
                <w:rFonts w:cs="Arial"/>
              </w:rPr>
              <w:t>0.8%</w:t>
            </w:r>
          </w:p>
        </w:tc>
      </w:tr>
      <w:tr w:rsidR="00487A56" w:rsidRPr="00487A56" w14:paraId="330974EC" w14:textId="77777777" w:rsidTr="00487A56">
        <w:tc>
          <w:tcPr>
            <w:tcW w:w="4531" w:type="dxa"/>
            <w:tcBorders>
              <w:top w:val="single" w:sz="4" w:space="0" w:color="auto"/>
              <w:left w:val="single" w:sz="4" w:space="0" w:color="auto"/>
              <w:bottom w:val="single" w:sz="4" w:space="0" w:color="auto"/>
              <w:right w:val="single" w:sz="4" w:space="0" w:color="auto"/>
            </w:tcBorders>
            <w:hideMark/>
          </w:tcPr>
          <w:p w14:paraId="4AA3EDF1" w14:textId="77777777" w:rsidR="00487A56" w:rsidRPr="00487A56" w:rsidRDefault="00487A56" w:rsidP="00B519BF">
            <w:pPr>
              <w:rPr>
                <w:rFonts w:cs="Arial"/>
              </w:rPr>
            </w:pPr>
            <w:r w:rsidRPr="00487A56">
              <w:rPr>
                <w:rFonts w:cs="Arial"/>
              </w:rPr>
              <w:t>Wales</w:t>
            </w:r>
          </w:p>
        </w:tc>
        <w:tc>
          <w:tcPr>
            <w:tcW w:w="1843" w:type="dxa"/>
            <w:tcBorders>
              <w:top w:val="single" w:sz="4" w:space="0" w:color="auto"/>
              <w:left w:val="single" w:sz="4" w:space="0" w:color="auto"/>
              <w:bottom w:val="single" w:sz="4" w:space="0" w:color="auto"/>
              <w:right w:val="single" w:sz="4" w:space="0" w:color="auto"/>
            </w:tcBorders>
            <w:hideMark/>
          </w:tcPr>
          <w:p w14:paraId="0DEC0F58" w14:textId="77777777" w:rsidR="00487A56" w:rsidRPr="00487A56" w:rsidRDefault="00487A56" w:rsidP="00B519BF">
            <w:pPr>
              <w:jc w:val="center"/>
              <w:rPr>
                <w:rFonts w:cs="Arial"/>
              </w:rPr>
            </w:pPr>
            <w:r w:rsidRPr="00487A56">
              <w:rPr>
                <w:rFonts w:cs="Arial"/>
              </w:rPr>
              <w:t>1.1%</w:t>
            </w:r>
          </w:p>
        </w:tc>
        <w:tc>
          <w:tcPr>
            <w:tcW w:w="1985" w:type="dxa"/>
            <w:tcBorders>
              <w:top w:val="single" w:sz="4" w:space="0" w:color="auto"/>
              <w:left w:val="single" w:sz="4" w:space="0" w:color="auto"/>
              <w:bottom w:val="single" w:sz="4" w:space="0" w:color="auto"/>
              <w:right w:val="single" w:sz="4" w:space="0" w:color="auto"/>
            </w:tcBorders>
            <w:hideMark/>
          </w:tcPr>
          <w:p w14:paraId="34155FD0" w14:textId="77777777" w:rsidR="00487A56" w:rsidRPr="00487A56" w:rsidRDefault="00487A56" w:rsidP="00B519BF">
            <w:pPr>
              <w:jc w:val="center"/>
              <w:rPr>
                <w:rFonts w:cs="Arial"/>
              </w:rPr>
            </w:pPr>
            <w:r w:rsidRPr="00487A56">
              <w:rPr>
                <w:rFonts w:cs="Arial"/>
              </w:rPr>
              <w:t>0.8%</w:t>
            </w:r>
          </w:p>
        </w:tc>
      </w:tr>
    </w:tbl>
    <w:p w14:paraId="0CD74AB8" w14:textId="77777777" w:rsidR="00487A56" w:rsidRPr="00487A56" w:rsidRDefault="00487A56" w:rsidP="00B519BF">
      <w:pPr>
        <w:keepNext/>
        <w:rPr>
          <w:rFonts w:eastAsia="Times New Roman" w:cs="Arial"/>
          <w:bCs/>
          <w:kern w:val="0"/>
          <w14:ligatures w14:val="none"/>
        </w:rPr>
      </w:pPr>
    </w:p>
    <w:p w14:paraId="3A5A252C" w14:textId="77777777" w:rsidR="00487A56" w:rsidRPr="00487A56" w:rsidRDefault="00487A56" w:rsidP="00B519BF">
      <w:pPr>
        <w:keepLines/>
        <w:rPr>
          <w:rFonts w:eastAsia="Times New Roman" w:cs="Arial"/>
          <w:bCs/>
          <w:kern w:val="0"/>
          <w14:ligatures w14:val="none"/>
        </w:rPr>
      </w:pPr>
      <w:r w:rsidRPr="00487A56">
        <w:rPr>
          <w:rFonts w:eastAsia="Times New Roman" w:cs="Arial"/>
          <w:bCs/>
          <w:kern w:val="0"/>
          <w14:ligatures w14:val="none"/>
        </w:rPr>
        <w:t>The table below shows that the locality is above the health board average in atrial fibrillation (0.1% higher) and aligns with the Wales average. Hypertension is higher than the health board average (0.3% higher) and lower than the Wales average (1.1% lower).</w:t>
      </w:r>
    </w:p>
    <w:p w14:paraId="2F50E8E5" w14:textId="77777777" w:rsidR="00487A56" w:rsidRPr="00487A56" w:rsidRDefault="00487A56" w:rsidP="00B519BF">
      <w:pPr>
        <w:keepNext/>
        <w:rPr>
          <w:rFonts w:eastAsia="Times New Roman" w:cs="Arial"/>
          <w:b/>
          <w:kern w:val="0"/>
          <w14:ligatures w14:val="none"/>
        </w:rPr>
      </w:pPr>
    </w:p>
    <w:p w14:paraId="4E035FD9" w14:textId="77777777" w:rsidR="00487A56" w:rsidRPr="00487A56" w:rsidRDefault="00487A56" w:rsidP="00B519BF">
      <w:pPr>
        <w:keepNext/>
        <w:rPr>
          <w:rFonts w:eastAsia="Times New Roman" w:cs="Arial"/>
          <w:b/>
          <w:bCs/>
          <w:kern w:val="0"/>
          <w14:ligatures w14:val="none"/>
        </w:rPr>
      </w:pPr>
      <w:r w:rsidRPr="00487A56">
        <w:rPr>
          <w:rFonts w:eastAsia="Times New Roman" w:cs="Arial"/>
          <w:b/>
          <w:bCs/>
          <w:kern w:val="0"/>
          <w14:ligatures w14:val="none"/>
        </w:rPr>
        <w:t>Table 14.5: Estimated percentage prevalence of hypertension and atrial fibrillation based on people on GP practice registers by locality, health board and Wales, 2025</w:t>
      </w:r>
      <w:r w:rsidRPr="00487A56">
        <w:rPr>
          <w:rFonts w:eastAsia="Times New Roman" w:cs="Arial"/>
          <w:b/>
          <w:bCs/>
          <w:kern w:val="0"/>
          <w:vertAlign w:val="superscript"/>
          <w14:ligatures w14:val="none"/>
        </w:rPr>
        <w:footnoteReference w:id="333"/>
      </w:r>
    </w:p>
    <w:p w14:paraId="7280ECAF" w14:textId="77777777" w:rsidR="00487A56" w:rsidRPr="00487A56" w:rsidRDefault="00487A56" w:rsidP="00B519BF">
      <w:pPr>
        <w:keepNext/>
        <w:rPr>
          <w:rFonts w:eastAsia="Times New Roman" w:cs="Arial"/>
          <w:b/>
          <w:kern w:val="0"/>
          <w14:ligatures w14:val="none"/>
        </w:rPr>
      </w:pPr>
    </w:p>
    <w:tbl>
      <w:tblPr>
        <w:tblStyle w:val="TableGrid"/>
        <w:tblW w:w="8591" w:type="dxa"/>
        <w:tblInd w:w="0" w:type="dxa"/>
        <w:tblLook w:val="04A0" w:firstRow="1" w:lastRow="0" w:firstColumn="1" w:lastColumn="0" w:noHBand="0" w:noVBand="1"/>
      </w:tblPr>
      <w:tblGrid>
        <w:gridCol w:w="4531"/>
        <w:gridCol w:w="2127"/>
        <w:gridCol w:w="1933"/>
      </w:tblGrid>
      <w:tr w:rsidR="00B519BF" w:rsidRPr="00D0306F" w14:paraId="5E7AD540" w14:textId="77777777" w:rsidTr="00487A56">
        <w:tc>
          <w:tcPr>
            <w:tcW w:w="4531" w:type="dxa"/>
            <w:tcBorders>
              <w:top w:val="single" w:sz="4" w:space="0" w:color="auto"/>
              <w:left w:val="single" w:sz="4" w:space="0" w:color="auto"/>
              <w:bottom w:val="single" w:sz="4" w:space="0" w:color="auto"/>
              <w:right w:val="single" w:sz="4" w:space="0" w:color="auto"/>
            </w:tcBorders>
            <w:shd w:val="clear" w:color="auto" w:fill="153D63"/>
            <w:hideMark/>
          </w:tcPr>
          <w:p w14:paraId="5704E225" w14:textId="77777777" w:rsidR="00487A56" w:rsidRPr="00487A56" w:rsidRDefault="00487A56" w:rsidP="00B519BF">
            <w:pPr>
              <w:keepNext/>
              <w:rPr>
                <w:rFonts w:cs="Arial"/>
                <w:b/>
              </w:rPr>
            </w:pPr>
            <w:r w:rsidRPr="00487A56">
              <w:rPr>
                <w:rFonts w:cs="Arial"/>
                <w:b/>
              </w:rPr>
              <w:t>Area</w:t>
            </w:r>
          </w:p>
        </w:tc>
        <w:tc>
          <w:tcPr>
            <w:tcW w:w="2127" w:type="dxa"/>
            <w:tcBorders>
              <w:top w:val="single" w:sz="4" w:space="0" w:color="auto"/>
              <w:left w:val="single" w:sz="4" w:space="0" w:color="auto"/>
              <w:bottom w:val="single" w:sz="4" w:space="0" w:color="auto"/>
              <w:right w:val="single" w:sz="4" w:space="0" w:color="auto"/>
            </w:tcBorders>
            <w:shd w:val="clear" w:color="auto" w:fill="153D63"/>
            <w:hideMark/>
          </w:tcPr>
          <w:p w14:paraId="716486EC" w14:textId="77777777" w:rsidR="00487A56" w:rsidRPr="00487A56" w:rsidRDefault="00487A56" w:rsidP="00B519BF">
            <w:pPr>
              <w:keepNext/>
              <w:jc w:val="center"/>
              <w:rPr>
                <w:rFonts w:cs="Arial"/>
                <w:b/>
              </w:rPr>
            </w:pPr>
            <w:r w:rsidRPr="00487A56">
              <w:rPr>
                <w:rFonts w:cs="Arial"/>
                <w:b/>
              </w:rPr>
              <w:t>Atrial fibrillation</w:t>
            </w:r>
          </w:p>
        </w:tc>
        <w:tc>
          <w:tcPr>
            <w:tcW w:w="1933" w:type="dxa"/>
            <w:tcBorders>
              <w:top w:val="single" w:sz="4" w:space="0" w:color="auto"/>
              <w:left w:val="single" w:sz="4" w:space="0" w:color="auto"/>
              <w:bottom w:val="single" w:sz="4" w:space="0" w:color="auto"/>
              <w:right w:val="single" w:sz="4" w:space="0" w:color="auto"/>
            </w:tcBorders>
            <w:shd w:val="clear" w:color="auto" w:fill="153D63"/>
            <w:hideMark/>
          </w:tcPr>
          <w:p w14:paraId="3898F1A3" w14:textId="77777777" w:rsidR="00487A56" w:rsidRPr="00487A56" w:rsidRDefault="00487A56" w:rsidP="00B519BF">
            <w:pPr>
              <w:keepNext/>
              <w:jc w:val="center"/>
              <w:rPr>
                <w:rFonts w:cs="Arial"/>
                <w:b/>
              </w:rPr>
            </w:pPr>
            <w:r w:rsidRPr="00487A56">
              <w:rPr>
                <w:rFonts w:cs="Arial"/>
                <w:b/>
              </w:rPr>
              <w:t>Hypertension</w:t>
            </w:r>
          </w:p>
        </w:tc>
      </w:tr>
      <w:tr w:rsidR="00487A56" w:rsidRPr="00487A56" w14:paraId="70BA8607" w14:textId="77777777" w:rsidTr="00487A56">
        <w:tc>
          <w:tcPr>
            <w:tcW w:w="4531" w:type="dxa"/>
            <w:tcBorders>
              <w:top w:val="single" w:sz="4" w:space="0" w:color="auto"/>
              <w:left w:val="single" w:sz="4" w:space="0" w:color="auto"/>
              <w:bottom w:val="single" w:sz="4" w:space="0" w:color="auto"/>
              <w:right w:val="single" w:sz="4" w:space="0" w:color="auto"/>
            </w:tcBorders>
            <w:hideMark/>
          </w:tcPr>
          <w:p w14:paraId="2953ECB1" w14:textId="77777777" w:rsidR="00487A56" w:rsidRPr="00487A56" w:rsidRDefault="00487A56" w:rsidP="00B519BF">
            <w:pPr>
              <w:keepNext/>
              <w:rPr>
                <w:rFonts w:cs="Arial"/>
                <w:bCs/>
              </w:rPr>
            </w:pPr>
            <w:r w:rsidRPr="00487A56">
              <w:rPr>
                <w:rFonts w:cs="Arial"/>
                <w:bCs/>
              </w:rPr>
              <w:t>Neath locality</w:t>
            </w:r>
          </w:p>
        </w:tc>
        <w:tc>
          <w:tcPr>
            <w:tcW w:w="2127" w:type="dxa"/>
            <w:tcBorders>
              <w:top w:val="single" w:sz="4" w:space="0" w:color="auto"/>
              <w:left w:val="single" w:sz="4" w:space="0" w:color="auto"/>
              <w:bottom w:val="single" w:sz="4" w:space="0" w:color="auto"/>
              <w:right w:val="single" w:sz="4" w:space="0" w:color="auto"/>
            </w:tcBorders>
            <w:hideMark/>
          </w:tcPr>
          <w:p w14:paraId="13AC001F" w14:textId="77777777" w:rsidR="00487A56" w:rsidRPr="00487A56" w:rsidRDefault="00487A56" w:rsidP="00B519BF">
            <w:pPr>
              <w:keepNext/>
              <w:jc w:val="center"/>
              <w:rPr>
                <w:rFonts w:cs="Arial"/>
                <w:bCs/>
              </w:rPr>
            </w:pPr>
            <w:r w:rsidRPr="00487A56">
              <w:rPr>
                <w:rFonts w:cs="Arial"/>
                <w:bCs/>
              </w:rPr>
              <w:t>2.7%</w:t>
            </w:r>
          </w:p>
        </w:tc>
        <w:tc>
          <w:tcPr>
            <w:tcW w:w="1933" w:type="dxa"/>
            <w:tcBorders>
              <w:top w:val="single" w:sz="4" w:space="0" w:color="auto"/>
              <w:left w:val="single" w:sz="4" w:space="0" w:color="auto"/>
              <w:bottom w:val="single" w:sz="4" w:space="0" w:color="auto"/>
              <w:right w:val="single" w:sz="4" w:space="0" w:color="auto"/>
            </w:tcBorders>
            <w:hideMark/>
          </w:tcPr>
          <w:p w14:paraId="488D531E" w14:textId="77777777" w:rsidR="00487A56" w:rsidRPr="00487A56" w:rsidRDefault="00487A56" w:rsidP="00B519BF">
            <w:pPr>
              <w:keepNext/>
              <w:jc w:val="center"/>
              <w:rPr>
                <w:rFonts w:cs="Arial"/>
                <w:bCs/>
              </w:rPr>
            </w:pPr>
            <w:r w:rsidRPr="00487A56">
              <w:rPr>
                <w:rFonts w:cs="Arial"/>
                <w:bCs/>
              </w:rPr>
              <w:t>15.2%</w:t>
            </w:r>
          </w:p>
        </w:tc>
      </w:tr>
      <w:tr w:rsidR="00487A56" w:rsidRPr="00487A56" w14:paraId="496F21C6" w14:textId="77777777" w:rsidTr="00487A56">
        <w:tc>
          <w:tcPr>
            <w:tcW w:w="4531" w:type="dxa"/>
            <w:tcBorders>
              <w:top w:val="single" w:sz="4" w:space="0" w:color="auto"/>
              <w:left w:val="single" w:sz="4" w:space="0" w:color="auto"/>
              <w:bottom w:val="single" w:sz="4" w:space="0" w:color="auto"/>
              <w:right w:val="single" w:sz="4" w:space="0" w:color="auto"/>
            </w:tcBorders>
            <w:hideMark/>
          </w:tcPr>
          <w:p w14:paraId="3EB4BC78" w14:textId="77777777" w:rsidR="00487A56" w:rsidRPr="00487A56" w:rsidRDefault="00487A56" w:rsidP="00B519BF">
            <w:pPr>
              <w:keepNext/>
              <w:rPr>
                <w:rFonts w:cs="Arial"/>
                <w:b/>
              </w:rPr>
            </w:pPr>
            <w:r w:rsidRPr="00487A56">
              <w:rPr>
                <w:rFonts w:cs="Arial"/>
              </w:rPr>
              <w:t>Swansea Bay University Health Board</w:t>
            </w:r>
          </w:p>
        </w:tc>
        <w:tc>
          <w:tcPr>
            <w:tcW w:w="2127" w:type="dxa"/>
            <w:tcBorders>
              <w:top w:val="single" w:sz="4" w:space="0" w:color="auto"/>
              <w:left w:val="single" w:sz="4" w:space="0" w:color="auto"/>
              <w:bottom w:val="single" w:sz="4" w:space="0" w:color="auto"/>
              <w:right w:val="single" w:sz="4" w:space="0" w:color="auto"/>
            </w:tcBorders>
            <w:hideMark/>
          </w:tcPr>
          <w:p w14:paraId="36AF203C" w14:textId="77777777" w:rsidR="00487A56" w:rsidRPr="00487A56" w:rsidRDefault="00487A56" w:rsidP="00B519BF">
            <w:pPr>
              <w:keepNext/>
              <w:jc w:val="center"/>
              <w:rPr>
                <w:rFonts w:cs="Arial"/>
                <w:bCs/>
              </w:rPr>
            </w:pPr>
            <w:r w:rsidRPr="00487A56">
              <w:rPr>
                <w:rFonts w:cs="Arial"/>
                <w:bCs/>
              </w:rPr>
              <w:t>2.6%</w:t>
            </w:r>
          </w:p>
        </w:tc>
        <w:tc>
          <w:tcPr>
            <w:tcW w:w="1933" w:type="dxa"/>
            <w:tcBorders>
              <w:top w:val="single" w:sz="4" w:space="0" w:color="auto"/>
              <w:left w:val="single" w:sz="4" w:space="0" w:color="auto"/>
              <w:bottom w:val="single" w:sz="4" w:space="0" w:color="auto"/>
              <w:right w:val="single" w:sz="4" w:space="0" w:color="auto"/>
            </w:tcBorders>
            <w:hideMark/>
          </w:tcPr>
          <w:p w14:paraId="77747310" w14:textId="77777777" w:rsidR="00487A56" w:rsidRPr="00487A56" w:rsidRDefault="00487A56" w:rsidP="00B519BF">
            <w:pPr>
              <w:keepNext/>
              <w:jc w:val="center"/>
              <w:rPr>
                <w:rFonts w:cs="Arial"/>
                <w:bCs/>
              </w:rPr>
            </w:pPr>
            <w:r w:rsidRPr="00487A56">
              <w:rPr>
                <w:rFonts w:cs="Arial"/>
                <w:bCs/>
              </w:rPr>
              <w:t>14.9%</w:t>
            </w:r>
          </w:p>
        </w:tc>
      </w:tr>
      <w:tr w:rsidR="00487A56" w:rsidRPr="00487A56" w14:paraId="72C2C9D0" w14:textId="77777777" w:rsidTr="00487A56">
        <w:tc>
          <w:tcPr>
            <w:tcW w:w="4531" w:type="dxa"/>
            <w:tcBorders>
              <w:top w:val="single" w:sz="4" w:space="0" w:color="auto"/>
              <w:left w:val="single" w:sz="4" w:space="0" w:color="auto"/>
              <w:bottom w:val="single" w:sz="4" w:space="0" w:color="auto"/>
              <w:right w:val="single" w:sz="4" w:space="0" w:color="auto"/>
            </w:tcBorders>
            <w:hideMark/>
          </w:tcPr>
          <w:p w14:paraId="476F9799" w14:textId="77777777" w:rsidR="00487A56" w:rsidRPr="00487A56" w:rsidRDefault="00487A56" w:rsidP="00B519BF">
            <w:pPr>
              <w:keepNext/>
              <w:rPr>
                <w:rFonts w:cs="Arial"/>
              </w:rPr>
            </w:pPr>
            <w:r w:rsidRPr="00487A56">
              <w:rPr>
                <w:rFonts w:cs="Arial"/>
              </w:rPr>
              <w:t>Wales</w:t>
            </w:r>
          </w:p>
        </w:tc>
        <w:tc>
          <w:tcPr>
            <w:tcW w:w="2127" w:type="dxa"/>
            <w:tcBorders>
              <w:top w:val="single" w:sz="4" w:space="0" w:color="auto"/>
              <w:left w:val="single" w:sz="4" w:space="0" w:color="auto"/>
              <w:bottom w:val="single" w:sz="4" w:space="0" w:color="auto"/>
              <w:right w:val="single" w:sz="4" w:space="0" w:color="auto"/>
            </w:tcBorders>
            <w:hideMark/>
          </w:tcPr>
          <w:p w14:paraId="1F17AD4A" w14:textId="77777777" w:rsidR="00487A56" w:rsidRPr="00487A56" w:rsidRDefault="00487A56" w:rsidP="00B519BF">
            <w:pPr>
              <w:keepNext/>
              <w:jc w:val="center"/>
              <w:rPr>
                <w:rFonts w:cs="Arial"/>
              </w:rPr>
            </w:pPr>
            <w:r w:rsidRPr="00487A56">
              <w:rPr>
                <w:rFonts w:cs="Arial"/>
              </w:rPr>
              <w:t>2.7%</w:t>
            </w:r>
          </w:p>
        </w:tc>
        <w:tc>
          <w:tcPr>
            <w:tcW w:w="1933" w:type="dxa"/>
            <w:tcBorders>
              <w:top w:val="single" w:sz="4" w:space="0" w:color="auto"/>
              <w:left w:val="single" w:sz="4" w:space="0" w:color="auto"/>
              <w:bottom w:val="single" w:sz="4" w:space="0" w:color="auto"/>
              <w:right w:val="single" w:sz="4" w:space="0" w:color="auto"/>
            </w:tcBorders>
            <w:hideMark/>
          </w:tcPr>
          <w:p w14:paraId="6A5FA827" w14:textId="77777777" w:rsidR="00487A56" w:rsidRPr="00487A56" w:rsidRDefault="00487A56" w:rsidP="00B519BF">
            <w:pPr>
              <w:keepNext/>
              <w:jc w:val="center"/>
              <w:rPr>
                <w:rFonts w:cs="Arial"/>
              </w:rPr>
            </w:pPr>
            <w:r w:rsidRPr="00487A56">
              <w:rPr>
                <w:rFonts w:cs="Arial"/>
              </w:rPr>
              <w:t>16.3%</w:t>
            </w:r>
          </w:p>
        </w:tc>
      </w:tr>
    </w:tbl>
    <w:p w14:paraId="35C5351D" w14:textId="77777777" w:rsidR="00487A56" w:rsidRPr="00487A56" w:rsidRDefault="00487A56" w:rsidP="00B519BF">
      <w:pPr>
        <w:rPr>
          <w:rFonts w:eastAsia="Times New Roman" w:cs="Arial"/>
          <w:kern w:val="0"/>
          <w:lang w:eastAsia="en-GB"/>
          <w14:ligatures w14:val="none"/>
        </w:rPr>
      </w:pPr>
    </w:p>
    <w:p w14:paraId="69935972" w14:textId="77777777" w:rsidR="00487A56" w:rsidRPr="00487A56" w:rsidRDefault="00487A56" w:rsidP="00B519BF">
      <w:pPr>
        <w:contextualSpacing/>
        <w:rPr>
          <w:rFonts w:eastAsia="Aptos" w:cs="Arial"/>
          <w:kern w:val="0"/>
          <w14:ligatures w14:val="none"/>
        </w:rPr>
      </w:pPr>
      <w:r w:rsidRPr="00487A56">
        <w:rPr>
          <w:rFonts w:eastAsia="Aptos" w:cs="Arial"/>
        </w:rPr>
        <w:t>The table below presents the percentage of adults aged 16 years and over, in Neath Port Talbot who have self-reported engaging in six key lifestyle behaviours, as recorded by the National Survey for Wales</w:t>
      </w:r>
      <w:r w:rsidRPr="00487A56">
        <w:rPr>
          <w:rFonts w:eastAsia="Aptos" w:cs="Arial"/>
          <w:vertAlign w:val="superscript"/>
        </w:rPr>
        <w:footnoteReference w:id="334"/>
      </w:r>
      <w:r w:rsidRPr="00487A56">
        <w:rPr>
          <w:rFonts w:eastAsia="Aptos" w:cs="Arial"/>
        </w:rPr>
        <w:t xml:space="preserve"> between 2021 and 2023. This information offers valuable insight into the common habits and lifestyle choices among the adult population in the area.</w:t>
      </w:r>
    </w:p>
    <w:p w14:paraId="54DB684B" w14:textId="77777777" w:rsidR="00487A56" w:rsidRPr="00487A56" w:rsidRDefault="00487A56" w:rsidP="00B519BF">
      <w:pPr>
        <w:contextualSpacing/>
        <w:rPr>
          <w:rFonts w:eastAsia="Aptos" w:cs="Arial"/>
        </w:rPr>
      </w:pPr>
    </w:p>
    <w:p w14:paraId="003CE515" w14:textId="77777777" w:rsidR="00487A56" w:rsidRPr="00487A56" w:rsidRDefault="00487A56" w:rsidP="00B519BF">
      <w:pPr>
        <w:keepNext/>
        <w:rPr>
          <w:rFonts w:eastAsia="Times New Roman" w:cs="Arial"/>
          <w:b/>
          <w:bCs/>
          <w:kern w:val="0"/>
          <w14:ligatures w14:val="none"/>
        </w:rPr>
      </w:pPr>
      <w:r w:rsidRPr="00487A56">
        <w:rPr>
          <w:rFonts w:eastAsia="Times New Roman" w:cs="Arial"/>
          <w:b/>
          <w:bCs/>
          <w:kern w:val="0"/>
          <w14:ligatures w14:val="none"/>
        </w:rPr>
        <w:t>Table 14.6: Percentage of adults (aged 16 years and over) reporting lifestyle behaviours by local authority and Wales, 2021 to 2023</w:t>
      </w:r>
    </w:p>
    <w:p w14:paraId="3B2D1652" w14:textId="77777777" w:rsidR="00487A56" w:rsidRDefault="00487A56" w:rsidP="00B519BF">
      <w:pPr>
        <w:keepNext/>
        <w:rPr>
          <w:rFonts w:eastAsia="Times New Roman" w:cs="Arial"/>
          <w:b/>
          <w:kern w:val="0"/>
          <w14:ligatures w14:val="none"/>
        </w:rPr>
      </w:pPr>
    </w:p>
    <w:tbl>
      <w:tblPr>
        <w:tblStyle w:val="TableGrid6"/>
        <w:tblW w:w="9988" w:type="dxa"/>
        <w:tblInd w:w="-431" w:type="dxa"/>
        <w:tblLook w:val="04A0" w:firstRow="1" w:lastRow="0" w:firstColumn="1" w:lastColumn="0" w:noHBand="0" w:noVBand="1"/>
      </w:tblPr>
      <w:tblGrid>
        <w:gridCol w:w="1146"/>
        <w:gridCol w:w="1557"/>
        <w:gridCol w:w="1438"/>
        <w:gridCol w:w="1200"/>
        <w:gridCol w:w="1534"/>
        <w:gridCol w:w="961"/>
        <w:gridCol w:w="1202"/>
        <w:gridCol w:w="950"/>
      </w:tblGrid>
      <w:tr w:rsidR="00282E39" w:rsidRPr="00D0306F" w14:paraId="06313B5A" w14:textId="77777777" w:rsidTr="00426D39">
        <w:trPr>
          <w:trHeight w:val="1807"/>
        </w:trPr>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3017E2AB" w14:textId="77777777" w:rsidR="00282E39" w:rsidRPr="00037037" w:rsidRDefault="00282E39" w:rsidP="00426D39">
            <w:pPr>
              <w:keepNext/>
              <w:rPr>
                <w:rFonts w:eastAsia="Arial" w:cs="Arial"/>
                <w:b/>
                <w:bCs/>
                <w:sz w:val="24"/>
              </w:rPr>
            </w:pPr>
            <w:r w:rsidRPr="00037037">
              <w:rPr>
                <w:rFonts w:eastAsia="Arial" w:cs="Arial"/>
                <w:b/>
                <w:bCs/>
                <w:sz w:val="24"/>
              </w:rPr>
              <w:t>Area</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1F5F88A6" w14:textId="77777777" w:rsidR="00282E39" w:rsidRPr="00037037" w:rsidRDefault="00282E39" w:rsidP="00426D39">
            <w:pPr>
              <w:keepNext/>
              <w:rPr>
                <w:rFonts w:eastAsia="Arial" w:cs="Arial"/>
                <w:b/>
                <w:bCs/>
                <w:sz w:val="24"/>
              </w:rPr>
            </w:pPr>
            <w:r w:rsidRPr="00037037">
              <w:rPr>
                <w:rFonts w:eastAsia="Arial" w:cs="Arial"/>
                <w:b/>
                <w:bCs/>
                <w:sz w:val="24"/>
              </w:rPr>
              <w:t>Population 16 years and over</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2F0A0992" w14:textId="77777777" w:rsidR="00282E39" w:rsidRPr="00037037" w:rsidRDefault="00282E39" w:rsidP="00426D39">
            <w:pPr>
              <w:keepNext/>
              <w:rPr>
                <w:rFonts w:eastAsia="Arial" w:cs="Arial"/>
                <w:b/>
                <w:bCs/>
                <w:sz w:val="24"/>
              </w:rPr>
            </w:pPr>
            <w:r w:rsidRPr="00037037">
              <w:rPr>
                <w:rFonts w:eastAsia="Arial" w:cs="Arial"/>
                <w:b/>
                <w:bCs/>
                <w:sz w:val="24"/>
              </w:rPr>
              <w:t>Smoking (including e-cigarettes)</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2F1DE189" w14:textId="77777777" w:rsidR="00282E39" w:rsidRPr="00037037" w:rsidRDefault="00282E39" w:rsidP="00426D39">
            <w:pPr>
              <w:keepNext/>
              <w:rPr>
                <w:rFonts w:eastAsia="Arial" w:cs="Arial"/>
                <w:b/>
                <w:bCs/>
                <w:sz w:val="24"/>
              </w:rPr>
            </w:pPr>
            <w:r w:rsidRPr="00037037">
              <w:rPr>
                <w:rFonts w:eastAsia="Arial" w:cs="Arial"/>
                <w:b/>
                <w:bCs/>
                <w:sz w:val="24"/>
              </w:rPr>
              <w:t>Drinking more than 14 units per week</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286200CA" w14:textId="77777777" w:rsidR="00282E39" w:rsidRPr="00037037" w:rsidRDefault="00282E39" w:rsidP="00426D39">
            <w:pPr>
              <w:keepNext/>
              <w:rPr>
                <w:rFonts w:eastAsia="Arial" w:cs="Arial"/>
                <w:b/>
                <w:bCs/>
                <w:sz w:val="24"/>
              </w:rPr>
            </w:pPr>
            <w:r w:rsidRPr="00037037">
              <w:rPr>
                <w:rFonts w:eastAsia="Arial" w:cs="Arial"/>
                <w:b/>
                <w:bCs/>
                <w:sz w:val="24"/>
              </w:rPr>
              <w:t>Overweight with a body mass index of 25+</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52C50BD1" w14:textId="77777777" w:rsidR="00282E39" w:rsidRPr="00037037" w:rsidRDefault="00282E39" w:rsidP="00426D39">
            <w:pPr>
              <w:keepNext/>
              <w:rPr>
                <w:rFonts w:eastAsia="Arial" w:cs="Arial"/>
                <w:b/>
                <w:bCs/>
                <w:sz w:val="24"/>
              </w:rPr>
            </w:pPr>
            <w:r w:rsidRPr="00037037">
              <w:rPr>
                <w:rFonts w:eastAsia="Arial" w:cs="Arial"/>
                <w:b/>
                <w:bCs/>
                <w:sz w:val="24"/>
              </w:rPr>
              <w:t>Obese with a body mass index of 30+</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6C6320DF" w14:textId="77777777" w:rsidR="00282E39" w:rsidRPr="00037037" w:rsidRDefault="00282E39" w:rsidP="00426D39">
            <w:pPr>
              <w:keepNext/>
              <w:rPr>
                <w:rFonts w:eastAsia="Arial" w:cs="Arial"/>
                <w:b/>
                <w:bCs/>
                <w:sz w:val="24"/>
              </w:rPr>
            </w:pPr>
            <w:r w:rsidRPr="00037037">
              <w:rPr>
                <w:rFonts w:eastAsia="Arial" w:cs="Arial"/>
                <w:b/>
                <w:bCs/>
                <w:sz w:val="24"/>
              </w:rPr>
              <w:t>Physical activity for 150 minutes per week</w:t>
            </w:r>
          </w:p>
        </w:tc>
        <w:tc>
          <w:tcPr>
            <w:tcW w:w="950" w:type="dxa"/>
            <w:tcBorders>
              <w:top w:val="single" w:sz="4" w:space="0" w:color="auto"/>
              <w:left w:val="single" w:sz="4" w:space="0" w:color="auto"/>
              <w:bottom w:val="single" w:sz="4" w:space="0" w:color="auto"/>
              <w:right w:val="single" w:sz="4" w:space="0" w:color="auto"/>
            </w:tcBorders>
            <w:shd w:val="clear" w:color="auto" w:fill="153D63"/>
            <w:hideMark/>
          </w:tcPr>
          <w:p w14:paraId="31F103F2" w14:textId="77777777" w:rsidR="00282E39" w:rsidRPr="00037037" w:rsidRDefault="00282E39" w:rsidP="00426D39">
            <w:pPr>
              <w:keepNext/>
              <w:rPr>
                <w:rFonts w:eastAsia="Arial" w:cs="Arial"/>
                <w:b/>
                <w:bCs/>
                <w:sz w:val="24"/>
              </w:rPr>
            </w:pPr>
            <w:r w:rsidRPr="00037037">
              <w:rPr>
                <w:rFonts w:eastAsia="Arial" w:cs="Arial"/>
                <w:b/>
                <w:bCs/>
                <w:sz w:val="24"/>
              </w:rPr>
              <w:t>Eating five a day</w:t>
            </w:r>
          </w:p>
        </w:tc>
      </w:tr>
      <w:tr w:rsidR="00282E39" w:rsidRPr="00037037" w14:paraId="7B5762A3" w14:textId="77777777" w:rsidTr="00426D39">
        <w:trPr>
          <w:trHeight w:val="316"/>
        </w:trPr>
        <w:tc>
          <w:tcPr>
            <w:tcW w:w="0" w:type="auto"/>
            <w:tcBorders>
              <w:top w:val="single" w:sz="4" w:space="0" w:color="auto"/>
              <w:left w:val="single" w:sz="4" w:space="0" w:color="auto"/>
              <w:bottom w:val="single" w:sz="4" w:space="0" w:color="auto"/>
              <w:right w:val="single" w:sz="4" w:space="0" w:color="auto"/>
            </w:tcBorders>
            <w:hideMark/>
          </w:tcPr>
          <w:p w14:paraId="29BE9668" w14:textId="77777777" w:rsidR="00282E39" w:rsidRPr="000114F0" w:rsidRDefault="00282E39" w:rsidP="00426D39">
            <w:pPr>
              <w:keepNext/>
              <w:rPr>
                <w:rFonts w:cs="Arial"/>
                <w:bCs/>
                <w:sz w:val="24"/>
              </w:rPr>
            </w:pPr>
            <w:r w:rsidRPr="000114F0">
              <w:rPr>
                <w:rFonts w:cs="Arial"/>
                <w:bCs/>
                <w:sz w:val="24"/>
              </w:rPr>
              <w:t>Neath Port Talbot local authority</w:t>
            </w:r>
          </w:p>
        </w:tc>
        <w:tc>
          <w:tcPr>
            <w:tcW w:w="0" w:type="auto"/>
            <w:tcBorders>
              <w:top w:val="single" w:sz="4" w:space="0" w:color="auto"/>
              <w:left w:val="single" w:sz="4" w:space="0" w:color="auto"/>
              <w:bottom w:val="single" w:sz="4" w:space="0" w:color="auto"/>
              <w:right w:val="single" w:sz="4" w:space="0" w:color="auto"/>
            </w:tcBorders>
            <w:hideMark/>
          </w:tcPr>
          <w:p w14:paraId="0F9CDBCA" w14:textId="77777777" w:rsidR="00282E39" w:rsidRPr="000114F0" w:rsidRDefault="00282E39" w:rsidP="00426D39">
            <w:pPr>
              <w:keepNext/>
              <w:rPr>
                <w:rFonts w:eastAsia="Arial" w:cs="Arial"/>
                <w:sz w:val="24"/>
              </w:rPr>
            </w:pPr>
            <w:r w:rsidRPr="000114F0">
              <w:rPr>
                <w:rFonts w:cs="Arial"/>
                <w:bCs/>
                <w:sz w:val="24"/>
              </w:rPr>
              <w:t>118,891</w:t>
            </w:r>
            <w:r w:rsidRPr="000114F0">
              <w:rPr>
                <w:rFonts w:cs="Arial"/>
                <w:bCs/>
                <w:sz w:val="24"/>
                <w:vertAlign w:val="superscript"/>
              </w:rPr>
              <w:footnoteReference w:id="335"/>
            </w:r>
          </w:p>
        </w:tc>
        <w:tc>
          <w:tcPr>
            <w:tcW w:w="0" w:type="auto"/>
            <w:tcBorders>
              <w:top w:val="single" w:sz="4" w:space="0" w:color="auto"/>
              <w:left w:val="single" w:sz="4" w:space="0" w:color="auto"/>
              <w:bottom w:val="single" w:sz="4" w:space="0" w:color="auto"/>
              <w:right w:val="single" w:sz="4" w:space="0" w:color="auto"/>
            </w:tcBorders>
            <w:hideMark/>
          </w:tcPr>
          <w:p w14:paraId="0FA89D37" w14:textId="77777777" w:rsidR="00282E39" w:rsidRPr="000114F0" w:rsidRDefault="00282E39" w:rsidP="00426D39">
            <w:pPr>
              <w:keepNext/>
              <w:rPr>
                <w:rFonts w:eastAsia="Arial" w:cs="Arial"/>
                <w:sz w:val="24"/>
              </w:rPr>
            </w:pPr>
            <w:r w:rsidRPr="000114F0">
              <w:rPr>
                <w:rFonts w:cs="Arial"/>
                <w:bCs/>
                <w:sz w:val="24"/>
              </w:rPr>
              <w:t>27%</w:t>
            </w:r>
          </w:p>
        </w:tc>
        <w:tc>
          <w:tcPr>
            <w:tcW w:w="0" w:type="auto"/>
            <w:tcBorders>
              <w:top w:val="single" w:sz="4" w:space="0" w:color="auto"/>
              <w:left w:val="single" w:sz="4" w:space="0" w:color="auto"/>
              <w:bottom w:val="single" w:sz="4" w:space="0" w:color="auto"/>
              <w:right w:val="single" w:sz="4" w:space="0" w:color="auto"/>
            </w:tcBorders>
            <w:hideMark/>
          </w:tcPr>
          <w:p w14:paraId="52A40FBC" w14:textId="77777777" w:rsidR="00282E39" w:rsidRPr="000114F0" w:rsidRDefault="00282E39" w:rsidP="00426D39">
            <w:pPr>
              <w:keepNext/>
              <w:rPr>
                <w:rFonts w:eastAsia="Arial" w:cs="Arial"/>
                <w:sz w:val="24"/>
              </w:rPr>
            </w:pPr>
            <w:r w:rsidRPr="000114F0">
              <w:rPr>
                <w:rFonts w:cs="Arial"/>
                <w:bCs/>
                <w:sz w:val="24"/>
              </w:rPr>
              <w:t>12%</w:t>
            </w:r>
          </w:p>
        </w:tc>
        <w:tc>
          <w:tcPr>
            <w:tcW w:w="0" w:type="auto"/>
            <w:tcBorders>
              <w:top w:val="single" w:sz="4" w:space="0" w:color="auto"/>
              <w:left w:val="single" w:sz="4" w:space="0" w:color="auto"/>
              <w:bottom w:val="single" w:sz="4" w:space="0" w:color="auto"/>
              <w:right w:val="single" w:sz="4" w:space="0" w:color="auto"/>
            </w:tcBorders>
            <w:hideMark/>
          </w:tcPr>
          <w:p w14:paraId="7AFC8772" w14:textId="77777777" w:rsidR="00282E39" w:rsidRPr="000114F0" w:rsidRDefault="00282E39" w:rsidP="00426D39">
            <w:pPr>
              <w:keepNext/>
              <w:rPr>
                <w:rFonts w:eastAsia="Arial" w:cs="Arial"/>
                <w:sz w:val="24"/>
              </w:rPr>
            </w:pPr>
            <w:r w:rsidRPr="000114F0">
              <w:rPr>
                <w:rFonts w:cs="Arial"/>
                <w:bCs/>
                <w:sz w:val="24"/>
              </w:rPr>
              <w:t>66%</w:t>
            </w:r>
          </w:p>
        </w:tc>
        <w:tc>
          <w:tcPr>
            <w:tcW w:w="0" w:type="auto"/>
            <w:tcBorders>
              <w:top w:val="single" w:sz="4" w:space="0" w:color="auto"/>
              <w:left w:val="single" w:sz="4" w:space="0" w:color="auto"/>
              <w:bottom w:val="single" w:sz="4" w:space="0" w:color="auto"/>
              <w:right w:val="single" w:sz="4" w:space="0" w:color="auto"/>
            </w:tcBorders>
            <w:hideMark/>
          </w:tcPr>
          <w:p w14:paraId="44E50CAF" w14:textId="77777777" w:rsidR="00282E39" w:rsidRPr="000114F0" w:rsidRDefault="00282E39" w:rsidP="00426D39">
            <w:pPr>
              <w:keepNext/>
              <w:rPr>
                <w:rFonts w:eastAsia="Arial" w:cs="Arial"/>
                <w:sz w:val="24"/>
              </w:rPr>
            </w:pPr>
            <w:r w:rsidRPr="000114F0">
              <w:rPr>
                <w:rFonts w:cs="Arial"/>
                <w:bCs/>
                <w:sz w:val="24"/>
              </w:rPr>
              <w:t>29%</w:t>
            </w:r>
          </w:p>
        </w:tc>
        <w:tc>
          <w:tcPr>
            <w:tcW w:w="0" w:type="auto"/>
            <w:tcBorders>
              <w:top w:val="single" w:sz="4" w:space="0" w:color="auto"/>
              <w:left w:val="single" w:sz="4" w:space="0" w:color="auto"/>
              <w:bottom w:val="single" w:sz="4" w:space="0" w:color="auto"/>
              <w:right w:val="single" w:sz="4" w:space="0" w:color="auto"/>
            </w:tcBorders>
            <w:hideMark/>
          </w:tcPr>
          <w:p w14:paraId="2224818C" w14:textId="77777777" w:rsidR="00282E39" w:rsidRPr="000114F0" w:rsidRDefault="00282E39" w:rsidP="00426D39">
            <w:pPr>
              <w:keepNext/>
              <w:rPr>
                <w:rFonts w:eastAsia="Arial" w:cs="Arial"/>
                <w:sz w:val="24"/>
              </w:rPr>
            </w:pPr>
            <w:r w:rsidRPr="000114F0">
              <w:rPr>
                <w:rFonts w:cs="Arial"/>
                <w:bCs/>
                <w:sz w:val="24"/>
              </w:rPr>
              <w:t>53%</w:t>
            </w:r>
          </w:p>
        </w:tc>
        <w:tc>
          <w:tcPr>
            <w:tcW w:w="950" w:type="dxa"/>
            <w:tcBorders>
              <w:top w:val="single" w:sz="4" w:space="0" w:color="auto"/>
              <w:left w:val="single" w:sz="4" w:space="0" w:color="auto"/>
              <w:bottom w:val="single" w:sz="4" w:space="0" w:color="auto"/>
              <w:right w:val="single" w:sz="4" w:space="0" w:color="auto"/>
            </w:tcBorders>
            <w:hideMark/>
          </w:tcPr>
          <w:p w14:paraId="6D8AA7E1" w14:textId="77777777" w:rsidR="00282E39" w:rsidRPr="000114F0" w:rsidRDefault="00282E39" w:rsidP="00426D39">
            <w:pPr>
              <w:keepNext/>
              <w:rPr>
                <w:rFonts w:eastAsia="Arial" w:cs="Arial"/>
                <w:sz w:val="24"/>
              </w:rPr>
            </w:pPr>
            <w:r w:rsidRPr="000114F0">
              <w:rPr>
                <w:rFonts w:cs="Arial"/>
                <w:bCs/>
                <w:sz w:val="24"/>
              </w:rPr>
              <w:t>22%</w:t>
            </w:r>
          </w:p>
        </w:tc>
      </w:tr>
      <w:tr w:rsidR="00282E39" w:rsidRPr="00037037" w14:paraId="4D6DA2FC" w14:textId="77777777" w:rsidTr="00426D39">
        <w:trPr>
          <w:trHeight w:val="328"/>
        </w:trPr>
        <w:tc>
          <w:tcPr>
            <w:tcW w:w="0" w:type="auto"/>
            <w:tcBorders>
              <w:top w:val="single" w:sz="4" w:space="0" w:color="auto"/>
              <w:left w:val="single" w:sz="4" w:space="0" w:color="auto"/>
              <w:bottom w:val="single" w:sz="4" w:space="0" w:color="auto"/>
              <w:right w:val="single" w:sz="4" w:space="0" w:color="auto"/>
            </w:tcBorders>
            <w:hideMark/>
          </w:tcPr>
          <w:p w14:paraId="627009D0" w14:textId="77777777" w:rsidR="00282E39" w:rsidRPr="000114F0" w:rsidRDefault="00282E39" w:rsidP="00426D39">
            <w:pPr>
              <w:keepNext/>
              <w:rPr>
                <w:rFonts w:eastAsia="Arial" w:cs="Arial"/>
                <w:sz w:val="24"/>
              </w:rPr>
            </w:pPr>
            <w:r w:rsidRPr="000114F0">
              <w:rPr>
                <w:rFonts w:cs="Arial"/>
                <w:bCs/>
                <w:sz w:val="24"/>
              </w:rPr>
              <w:t>Wales</w:t>
            </w:r>
          </w:p>
        </w:tc>
        <w:tc>
          <w:tcPr>
            <w:tcW w:w="0" w:type="auto"/>
            <w:tcBorders>
              <w:top w:val="single" w:sz="4" w:space="0" w:color="auto"/>
              <w:left w:val="single" w:sz="4" w:space="0" w:color="auto"/>
              <w:bottom w:val="single" w:sz="4" w:space="0" w:color="auto"/>
              <w:right w:val="single" w:sz="4" w:space="0" w:color="auto"/>
            </w:tcBorders>
            <w:hideMark/>
          </w:tcPr>
          <w:p w14:paraId="7F35617A" w14:textId="77777777" w:rsidR="00282E39" w:rsidRPr="000114F0" w:rsidRDefault="00282E39" w:rsidP="00426D39">
            <w:pPr>
              <w:keepNext/>
              <w:rPr>
                <w:rFonts w:eastAsia="Arial" w:cs="Arial"/>
                <w:sz w:val="24"/>
              </w:rPr>
            </w:pPr>
            <w:r w:rsidRPr="000114F0">
              <w:rPr>
                <w:rFonts w:cs="Arial"/>
                <w:bCs/>
                <w:sz w:val="24"/>
              </w:rPr>
              <w:t>2,641,000</w:t>
            </w:r>
            <w:r w:rsidRPr="000114F0">
              <w:rPr>
                <w:rFonts w:cs="Arial"/>
                <w:bCs/>
                <w:sz w:val="24"/>
                <w:vertAlign w:val="superscript"/>
              </w:rPr>
              <w:footnoteReference w:id="336"/>
            </w:r>
          </w:p>
        </w:tc>
        <w:tc>
          <w:tcPr>
            <w:tcW w:w="0" w:type="auto"/>
            <w:tcBorders>
              <w:top w:val="single" w:sz="4" w:space="0" w:color="auto"/>
              <w:left w:val="single" w:sz="4" w:space="0" w:color="auto"/>
              <w:bottom w:val="single" w:sz="4" w:space="0" w:color="auto"/>
              <w:right w:val="single" w:sz="4" w:space="0" w:color="auto"/>
            </w:tcBorders>
            <w:hideMark/>
          </w:tcPr>
          <w:p w14:paraId="3DE97B42" w14:textId="77777777" w:rsidR="00282E39" w:rsidRPr="000114F0" w:rsidRDefault="00282E39" w:rsidP="00426D39">
            <w:pPr>
              <w:keepNext/>
              <w:rPr>
                <w:rFonts w:eastAsia="Arial" w:cs="Arial"/>
                <w:sz w:val="24"/>
              </w:rPr>
            </w:pPr>
            <w:r w:rsidRPr="000114F0">
              <w:rPr>
                <w:rFonts w:cs="Arial"/>
                <w:bCs/>
                <w:sz w:val="24"/>
              </w:rPr>
              <w:t>20%</w:t>
            </w:r>
          </w:p>
        </w:tc>
        <w:tc>
          <w:tcPr>
            <w:tcW w:w="0" w:type="auto"/>
            <w:tcBorders>
              <w:top w:val="single" w:sz="4" w:space="0" w:color="auto"/>
              <w:left w:val="single" w:sz="4" w:space="0" w:color="auto"/>
              <w:bottom w:val="single" w:sz="4" w:space="0" w:color="auto"/>
              <w:right w:val="single" w:sz="4" w:space="0" w:color="auto"/>
            </w:tcBorders>
            <w:hideMark/>
          </w:tcPr>
          <w:p w14:paraId="412A6938" w14:textId="77777777" w:rsidR="00282E39" w:rsidRPr="000114F0" w:rsidRDefault="00282E39" w:rsidP="00426D39">
            <w:pPr>
              <w:keepNext/>
              <w:rPr>
                <w:rFonts w:eastAsia="Arial" w:cs="Arial"/>
                <w:sz w:val="24"/>
              </w:rPr>
            </w:pPr>
            <w:r w:rsidRPr="000114F0">
              <w:rPr>
                <w:rFonts w:cs="Arial"/>
                <w:bCs/>
                <w:sz w:val="24"/>
              </w:rPr>
              <w:t>16%</w:t>
            </w:r>
          </w:p>
        </w:tc>
        <w:tc>
          <w:tcPr>
            <w:tcW w:w="0" w:type="auto"/>
            <w:tcBorders>
              <w:top w:val="single" w:sz="4" w:space="0" w:color="auto"/>
              <w:left w:val="single" w:sz="4" w:space="0" w:color="auto"/>
              <w:bottom w:val="single" w:sz="4" w:space="0" w:color="auto"/>
              <w:right w:val="single" w:sz="4" w:space="0" w:color="auto"/>
            </w:tcBorders>
            <w:hideMark/>
          </w:tcPr>
          <w:p w14:paraId="131365CF" w14:textId="77777777" w:rsidR="00282E39" w:rsidRPr="000114F0" w:rsidRDefault="00282E39" w:rsidP="00426D39">
            <w:pPr>
              <w:keepNext/>
              <w:rPr>
                <w:rFonts w:eastAsia="Arial" w:cs="Arial"/>
                <w:sz w:val="24"/>
              </w:rPr>
            </w:pPr>
            <w:r w:rsidRPr="000114F0">
              <w:rPr>
                <w:rFonts w:cs="Arial"/>
                <w:bCs/>
                <w:sz w:val="24"/>
              </w:rPr>
              <w:t>62%</w:t>
            </w:r>
          </w:p>
        </w:tc>
        <w:tc>
          <w:tcPr>
            <w:tcW w:w="0" w:type="auto"/>
            <w:tcBorders>
              <w:top w:val="single" w:sz="4" w:space="0" w:color="auto"/>
              <w:left w:val="single" w:sz="4" w:space="0" w:color="auto"/>
              <w:bottom w:val="single" w:sz="4" w:space="0" w:color="auto"/>
              <w:right w:val="single" w:sz="4" w:space="0" w:color="auto"/>
            </w:tcBorders>
            <w:hideMark/>
          </w:tcPr>
          <w:p w14:paraId="6A356F38" w14:textId="77777777" w:rsidR="00282E39" w:rsidRPr="000114F0" w:rsidRDefault="00282E39" w:rsidP="00426D39">
            <w:pPr>
              <w:keepNext/>
              <w:rPr>
                <w:rFonts w:eastAsia="Arial" w:cs="Arial"/>
                <w:sz w:val="24"/>
              </w:rPr>
            </w:pPr>
            <w:r w:rsidRPr="000114F0">
              <w:rPr>
                <w:rFonts w:cs="Arial"/>
                <w:bCs/>
                <w:sz w:val="24"/>
              </w:rPr>
              <w:t>25%</w:t>
            </w:r>
          </w:p>
        </w:tc>
        <w:tc>
          <w:tcPr>
            <w:tcW w:w="0" w:type="auto"/>
            <w:tcBorders>
              <w:top w:val="single" w:sz="4" w:space="0" w:color="auto"/>
              <w:left w:val="single" w:sz="4" w:space="0" w:color="auto"/>
              <w:bottom w:val="single" w:sz="4" w:space="0" w:color="auto"/>
              <w:right w:val="single" w:sz="4" w:space="0" w:color="auto"/>
            </w:tcBorders>
            <w:hideMark/>
          </w:tcPr>
          <w:p w14:paraId="1EF899F4" w14:textId="77777777" w:rsidR="00282E39" w:rsidRPr="000114F0" w:rsidRDefault="00282E39" w:rsidP="00426D39">
            <w:pPr>
              <w:keepNext/>
              <w:rPr>
                <w:rFonts w:eastAsia="Arial" w:cs="Arial"/>
                <w:sz w:val="24"/>
              </w:rPr>
            </w:pPr>
            <w:r w:rsidRPr="000114F0">
              <w:rPr>
                <w:rFonts w:cs="Arial"/>
                <w:bCs/>
                <w:sz w:val="24"/>
              </w:rPr>
              <w:t>56%</w:t>
            </w:r>
          </w:p>
        </w:tc>
        <w:tc>
          <w:tcPr>
            <w:tcW w:w="950" w:type="dxa"/>
            <w:tcBorders>
              <w:top w:val="single" w:sz="4" w:space="0" w:color="auto"/>
              <w:left w:val="single" w:sz="4" w:space="0" w:color="auto"/>
              <w:bottom w:val="single" w:sz="4" w:space="0" w:color="auto"/>
              <w:right w:val="single" w:sz="4" w:space="0" w:color="auto"/>
            </w:tcBorders>
          </w:tcPr>
          <w:p w14:paraId="4236DA9D" w14:textId="77777777" w:rsidR="00282E39" w:rsidRPr="000114F0" w:rsidRDefault="00282E39" w:rsidP="00426D39">
            <w:pPr>
              <w:keepNext/>
              <w:rPr>
                <w:rFonts w:eastAsia="Arial" w:cs="Arial"/>
                <w:sz w:val="24"/>
              </w:rPr>
            </w:pPr>
            <w:r w:rsidRPr="000114F0">
              <w:rPr>
                <w:rFonts w:cs="Arial"/>
                <w:bCs/>
                <w:sz w:val="24"/>
              </w:rPr>
              <w:t>29%</w:t>
            </w:r>
          </w:p>
        </w:tc>
      </w:tr>
    </w:tbl>
    <w:p w14:paraId="69053E69" w14:textId="77777777" w:rsidR="00282E39" w:rsidRDefault="00282E39" w:rsidP="00B519BF">
      <w:pPr>
        <w:keepNext/>
        <w:rPr>
          <w:rFonts w:eastAsia="Times New Roman" w:cs="Arial"/>
          <w:b/>
          <w:kern w:val="0"/>
          <w14:ligatures w14:val="none"/>
        </w:rPr>
      </w:pPr>
    </w:p>
    <w:p w14:paraId="451E57CF" w14:textId="77777777" w:rsidR="00487A56" w:rsidRPr="00487A56" w:rsidRDefault="00487A56" w:rsidP="00B519BF">
      <w:pPr>
        <w:contextualSpacing/>
        <w:rPr>
          <w:rFonts w:eastAsia="Aptos" w:cs="Arial"/>
        </w:rPr>
      </w:pPr>
      <w:r w:rsidRPr="00487A56">
        <w:rPr>
          <w:rFonts w:eastAsia="Aptos" w:cs="Arial"/>
        </w:rPr>
        <w:t>Overall, Neath Port Talbot shows lower levels of excessive drinking than the Wales average (0.4% lower), but continues to face challenges with smoking, weight management, physical activity and consuming fruit and vegetables (eating five portions a day) daily compared with the Wales averages.</w:t>
      </w:r>
    </w:p>
    <w:p w14:paraId="381B8355" w14:textId="77777777" w:rsidR="00487A56" w:rsidRDefault="00487A56" w:rsidP="00B519BF">
      <w:pPr>
        <w:rPr>
          <w:rFonts w:eastAsia="Aptos" w:cs="Arial"/>
        </w:rPr>
      </w:pPr>
    </w:p>
    <w:p w14:paraId="4F329F7F" w14:textId="77777777" w:rsidR="00910AD7" w:rsidRPr="00487A56" w:rsidRDefault="00910AD7" w:rsidP="00B519BF">
      <w:pPr>
        <w:rPr>
          <w:rFonts w:eastAsia="Aptos" w:cs="Arial"/>
        </w:rPr>
      </w:pPr>
    </w:p>
    <w:p w14:paraId="128A1345" w14:textId="77777777" w:rsidR="00487A56" w:rsidRPr="00487A56" w:rsidRDefault="00487A56" w:rsidP="00B519BF">
      <w:pPr>
        <w:rPr>
          <w:rFonts w:eastAsia="Aptos" w:cs="Arial"/>
          <w:b/>
          <w:bCs/>
          <w:sz w:val="26"/>
          <w:szCs w:val="26"/>
        </w:rPr>
      </w:pPr>
      <w:r w:rsidRPr="00487A56">
        <w:rPr>
          <w:rFonts w:eastAsia="Aptos" w:cs="Arial"/>
          <w:b/>
          <w:bCs/>
          <w:sz w:val="26"/>
          <w:szCs w:val="26"/>
        </w:rPr>
        <w:lastRenderedPageBreak/>
        <w:t>14.3 Current provision of pharmaceutical services within the locality</w:t>
      </w:r>
    </w:p>
    <w:p w14:paraId="56120B2B" w14:textId="77777777" w:rsidR="00487A56" w:rsidRPr="00487A56" w:rsidRDefault="00487A56" w:rsidP="00B519BF">
      <w:pPr>
        <w:rPr>
          <w:rFonts w:eastAsia="Aptos" w:cs="Arial"/>
        </w:rPr>
      </w:pPr>
    </w:p>
    <w:p w14:paraId="0D4346F1" w14:textId="77777777" w:rsidR="00487A56" w:rsidRPr="00487A56" w:rsidRDefault="00487A56" w:rsidP="00B519BF">
      <w:pPr>
        <w:rPr>
          <w:rFonts w:eastAsia="Aptos" w:cs="Arial"/>
        </w:rPr>
      </w:pPr>
      <w:r w:rsidRPr="00487A56">
        <w:rPr>
          <w:rFonts w:eastAsia="Aptos" w:cs="Arial"/>
        </w:rPr>
        <w:t xml:space="preserve">There are ten pharmacies in the locality operated by six different contractors. </w:t>
      </w:r>
    </w:p>
    <w:p w14:paraId="6905489D" w14:textId="77777777" w:rsidR="00487A56" w:rsidRPr="00487A56" w:rsidRDefault="00487A56" w:rsidP="00B519BF">
      <w:pPr>
        <w:rPr>
          <w:rFonts w:eastAsia="Aptos" w:cs="Arial"/>
        </w:rPr>
      </w:pPr>
    </w:p>
    <w:p w14:paraId="0ABFB0AA" w14:textId="77777777" w:rsidR="00487A56" w:rsidRPr="00487A56" w:rsidRDefault="00487A56" w:rsidP="00B519BF">
      <w:pPr>
        <w:rPr>
          <w:rFonts w:eastAsia="Aptos" w:cs="Arial"/>
        </w:rPr>
      </w:pPr>
      <w:r w:rsidRPr="00487A56">
        <w:rPr>
          <w:rFonts w:eastAsia="Aptos" w:cs="Arial"/>
        </w:rPr>
        <w:t>The availability of pharmaceutical services within the locality per 10,000 registered population is 1.4, which is lower than the health board average of 2.3.</w:t>
      </w:r>
    </w:p>
    <w:p w14:paraId="76E9265F" w14:textId="77777777" w:rsidR="00487A56" w:rsidRPr="00487A56" w:rsidRDefault="00487A56" w:rsidP="00B519BF">
      <w:pPr>
        <w:rPr>
          <w:rFonts w:eastAsia="Aptos" w:cs="Arial"/>
        </w:rPr>
      </w:pPr>
    </w:p>
    <w:p w14:paraId="697208B0"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 xml:space="preserve">In 2024/25, 74.8% of items on prescriptions written by the GP practices in the locality were dispensed by one of the pharmacies within the locality. </w:t>
      </w:r>
    </w:p>
    <w:p w14:paraId="56C443A5" w14:textId="77777777" w:rsidR="00487A56" w:rsidRPr="00487A56" w:rsidRDefault="00487A56" w:rsidP="00B519BF">
      <w:pPr>
        <w:rPr>
          <w:rFonts w:eastAsia="Times New Roman" w:cs="Arial"/>
          <w:kern w:val="0"/>
          <w:lang w:eastAsia="en-GB"/>
          <w14:ligatures w14:val="none"/>
        </w:rPr>
      </w:pPr>
    </w:p>
    <w:p w14:paraId="4263E682"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 xml:space="preserve">In 2025/26, 68.6% of items on prescriptions written by the GP practices in the locality were dispensed by one of the pharmacies within the locality. </w:t>
      </w:r>
    </w:p>
    <w:p w14:paraId="0D8EF3B4" w14:textId="77777777" w:rsidR="00487A56" w:rsidRPr="00487A56" w:rsidRDefault="00487A56" w:rsidP="00B519BF">
      <w:pPr>
        <w:rPr>
          <w:rFonts w:eastAsia="Aptos" w:cs="Arial"/>
        </w:rPr>
      </w:pPr>
    </w:p>
    <w:p w14:paraId="4027F823" w14:textId="77777777" w:rsidR="00487A56" w:rsidRPr="00487A56" w:rsidRDefault="00487A56" w:rsidP="00B519BF">
      <w:pPr>
        <w:rPr>
          <w:rFonts w:eastAsia="Aptos" w:cs="Arial"/>
        </w:rPr>
      </w:pPr>
      <w:r w:rsidRPr="00487A56">
        <w:rPr>
          <w:rFonts w:eastAsia="Aptos" w:cs="Arial"/>
        </w:rPr>
        <w:t>The map below shows the pharmaceutical provision within the area. It should be noted that where premises are close to each other the symbols will overlap.</w:t>
      </w:r>
    </w:p>
    <w:p w14:paraId="586735F3" w14:textId="77777777" w:rsidR="00487A56" w:rsidRPr="00487A56" w:rsidRDefault="00487A56" w:rsidP="00B519BF">
      <w:pPr>
        <w:rPr>
          <w:rFonts w:eastAsia="Aptos" w:cs="Arial"/>
        </w:rPr>
      </w:pPr>
    </w:p>
    <w:p w14:paraId="0A8D7FF3" w14:textId="77777777" w:rsidR="00487A56" w:rsidRPr="00487A56" w:rsidRDefault="00487A56" w:rsidP="00B519BF">
      <w:pPr>
        <w:rPr>
          <w:rFonts w:eastAsia="Aptos" w:cs="Arial"/>
          <w:b/>
          <w:bCs/>
        </w:rPr>
      </w:pPr>
      <w:r w:rsidRPr="00487A56">
        <w:rPr>
          <w:rFonts w:eastAsia="Aptos" w:cs="Arial"/>
          <w:b/>
          <w:bCs/>
        </w:rPr>
        <w:t>Map 14.1: Location of the pharmacy within the locality</w:t>
      </w:r>
    </w:p>
    <w:p w14:paraId="71724A7E" w14:textId="77777777" w:rsidR="00487A56" w:rsidRPr="00487A56" w:rsidRDefault="00487A56" w:rsidP="00B519BF">
      <w:pPr>
        <w:rPr>
          <w:rFonts w:eastAsia="Aptos" w:cs="Arial"/>
        </w:rPr>
      </w:pPr>
    </w:p>
    <w:p w14:paraId="5718A732" w14:textId="2FD9218B" w:rsidR="00487A56" w:rsidRDefault="00F834C5" w:rsidP="00B519BF">
      <w:pPr>
        <w:rPr>
          <w:rFonts w:eastAsia="Aptos" w:cs="Arial"/>
        </w:rPr>
      </w:pPr>
      <w:r w:rsidRPr="00F834C5">
        <w:rPr>
          <w:rFonts w:eastAsia="Aptos" w:cs="Arial"/>
          <w:noProof/>
        </w:rPr>
        <w:drawing>
          <wp:inline distT="0" distB="0" distL="0" distR="0" wp14:anchorId="37E8ABEF" wp14:editId="2789E5C3">
            <wp:extent cx="5546939" cy="5381625"/>
            <wp:effectExtent l="0" t="0" r="0" b="0"/>
            <wp:docPr id="1582168192" name="Picture 1" descr="Map of the Neath, Skewen, Briton Ferry, and Baglan areas showing the locations of 10 pharmacies marked with numbered brown pins. A legend in the lower-left corner lists: Well Pharmacy Skewen (1), Knights Queens Road Pharmacy (2), Davies Chemist Quays (3), Davies Chemist Baglan (4), The Health Dispensary (5), Well Pharmacy Neath (6), Neath Pharmacy (7), Boots The Chemist Neath (8), Knights Castle Pharmacy (9), and Knights Dyfed Road Pharmacy (10). Two pharmacies are located in Skewen, while five pharmacies are clustered in Neath town centre. Additional pharmacies are located in Briton Ferry and Baglan to the south. Arrows identify individual pharmacies within the closely grouped Neath and Skewen clusters. The numbered pins correspond to the pharmacy list and show their distribution across the lower Neath Valley and surrounding commun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2168192" name="Picture 1" descr="Map of the Neath, Skewen, Briton Ferry, and Baglan areas showing the locations of 10 pharmacies marked with numbered brown pins. A legend in the lower-left corner lists: Well Pharmacy Skewen (1), Knights Queens Road Pharmacy (2), Davies Chemist Quays (3), Davies Chemist Baglan (4), The Health Dispensary (5), Well Pharmacy Neath (6), Neath Pharmacy (7), Boots The Chemist Neath (8), Knights Castle Pharmacy (9), and Knights Dyfed Road Pharmacy (10). Two pharmacies are located in Skewen, while five pharmacies are clustered in Neath town centre. Additional pharmacies are located in Briton Ferry and Baglan to the south. Arrows identify individual pharmacies within the closely grouped Neath and Skewen clusters. The numbered pins correspond to the pharmacy list and show their distribution across the lower Neath Valley and surrounding communities."/>
                    <pic:cNvPicPr/>
                  </pic:nvPicPr>
                  <pic:blipFill>
                    <a:blip r:embed="rId62"/>
                    <a:stretch>
                      <a:fillRect/>
                    </a:stretch>
                  </pic:blipFill>
                  <pic:spPr>
                    <a:xfrm>
                      <a:off x="0" y="0"/>
                      <a:ext cx="5548852" cy="5383481"/>
                    </a:xfrm>
                    <a:prstGeom prst="rect">
                      <a:avLst/>
                    </a:prstGeom>
                  </pic:spPr>
                </pic:pic>
              </a:graphicData>
            </a:graphic>
          </wp:inline>
        </w:drawing>
      </w:r>
    </w:p>
    <w:p w14:paraId="4473DA96" w14:textId="77777777" w:rsidR="00F834C5" w:rsidRDefault="00F834C5" w:rsidP="00B519BF">
      <w:pPr>
        <w:rPr>
          <w:rFonts w:eastAsia="Aptos" w:cs="Arial"/>
        </w:rPr>
      </w:pPr>
    </w:p>
    <w:p w14:paraId="67D301BA" w14:textId="77777777" w:rsidR="00487A56" w:rsidRPr="00487A56" w:rsidRDefault="00487A56" w:rsidP="00B519BF">
      <w:pPr>
        <w:rPr>
          <w:rFonts w:eastAsia="Aptos" w:cs="Arial"/>
        </w:rPr>
      </w:pPr>
      <w:r w:rsidRPr="00487A56">
        <w:rPr>
          <w:rFonts w:eastAsia="Aptos" w:cs="Arial"/>
        </w:rPr>
        <w:lastRenderedPageBreak/>
        <w:t>The health board has noted the pharmaceutical needs assessment published on 1 October 2021 concluded that the pharmacies in this locality were located in areas of greater population density. In addition, all residents were able to access a pharmacy within 20 minutes by car. The one area that was not within a 20-minute drive of a pharmacy did not have a resident population. Noting the locations of the pharmacies have not changed, the health board is satisfied this conclusion remains valid; residents are still able to access a pharmacy by car within 20 minutes and for many the travel time will be shorter.</w:t>
      </w:r>
    </w:p>
    <w:p w14:paraId="24F6313C" w14:textId="77777777" w:rsidR="00487A56" w:rsidRPr="00487A56" w:rsidRDefault="00487A56" w:rsidP="00B519BF">
      <w:pPr>
        <w:rPr>
          <w:rFonts w:eastAsia="Aptos" w:cs="Arial"/>
          <w:b/>
          <w:bCs/>
        </w:rPr>
      </w:pPr>
    </w:p>
    <w:p w14:paraId="13CB9D85" w14:textId="77777777" w:rsidR="00487A56" w:rsidRPr="00487A56" w:rsidRDefault="00487A56" w:rsidP="00B519BF">
      <w:pPr>
        <w:rPr>
          <w:rFonts w:eastAsia="Aptos" w:cs="Arial"/>
        </w:rPr>
      </w:pPr>
      <w:r w:rsidRPr="00487A56">
        <w:rPr>
          <w:rFonts w:eastAsia="Aptos" w:cs="Arial"/>
        </w:rPr>
        <w:t>Looking at the opening hours for the pharmacies:</w:t>
      </w:r>
    </w:p>
    <w:p w14:paraId="0566BF2D" w14:textId="77777777" w:rsidR="00487A56" w:rsidRPr="00487A56" w:rsidRDefault="00487A56" w:rsidP="00B519BF">
      <w:pPr>
        <w:rPr>
          <w:rFonts w:eastAsia="Aptos" w:cs="Arial"/>
        </w:rPr>
      </w:pPr>
    </w:p>
    <w:p w14:paraId="51C0DC3E" w14:textId="77777777" w:rsidR="00487A56" w:rsidRPr="00487A56" w:rsidRDefault="00487A56" w:rsidP="00B76905">
      <w:pPr>
        <w:numPr>
          <w:ilvl w:val="0"/>
          <w:numId w:val="191"/>
        </w:numPr>
        <w:contextualSpacing/>
        <w:rPr>
          <w:rFonts w:eastAsia="Aptos" w:cs="Arial"/>
        </w:rPr>
      </w:pPr>
      <w:r w:rsidRPr="00487A56">
        <w:rPr>
          <w:rFonts w:eastAsia="Aptos" w:cs="Arial"/>
        </w:rPr>
        <w:t>One pharmacy is open seven days a week,</w:t>
      </w:r>
    </w:p>
    <w:p w14:paraId="6ECE0785" w14:textId="77777777" w:rsidR="00487A56" w:rsidRPr="00487A56" w:rsidRDefault="00487A56" w:rsidP="00B76905">
      <w:pPr>
        <w:numPr>
          <w:ilvl w:val="0"/>
          <w:numId w:val="191"/>
        </w:numPr>
        <w:contextualSpacing/>
        <w:rPr>
          <w:rFonts w:eastAsia="Aptos" w:cs="Arial"/>
        </w:rPr>
      </w:pPr>
      <w:r w:rsidRPr="00487A56">
        <w:rPr>
          <w:rFonts w:eastAsia="Aptos" w:cs="Arial"/>
        </w:rPr>
        <w:t>Three pharmacies are open Monday to Friday and Saturday morning, and</w:t>
      </w:r>
    </w:p>
    <w:p w14:paraId="710360B7" w14:textId="77777777" w:rsidR="00487A56" w:rsidRPr="00487A56" w:rsidRDefault="00487A56" w:rsidP="00B76905">
      <w:pPr>
        <w:numPr>
          <w:ilvl w:val="0"/>
          <w:numId w:val="191"/>
        </w:numPr>
        <w:contextualSpacing/>
        <w:rPr>
          <w:rFonts w:eastAsia="Aptos" w:cs="Arial"/>
        </w:rPr>
      </w:pPr>
      <w:r w:rsidRPr="00487A56">
        <w:rPr>
          <w:rFonts w:eastAsia="Aptos" w:cs="Arial"/>
        </w:rPr>
        <w:t>Six pharmacies are open Monday to Friday only.</w:t>
      </w:r>
    </w:p>
    <w:p w14:paraId="29A23FCC" w14:textId="77777777" w:rsidR="00487A56" w:rsidRPr="00487A56" w:rsidRDefault="00487A56" w:rsidP="00B519BF">
      <w:pPr>
        <w:rPr>
          <w:rFonts w:eastAsia="Times New Roman" w:cs="Arial"/>
          <w:kern w:val="0"/>
          <w:lang w:eastAsia="en-GB"/>
          <w14:ligatures w14:val="none"/>
        </w:rPr>
      </w:pPr>
    </w:p>
    <w:p w14:paraId="50763D90" w14:textId="77777777" w:rsidR="00487A56" w:rsidRPr="00487A56" w:rsidRDefault="00487A56" w:rsidP="00B519BF">
      <w:pPr>
        <w:rPr>
          <w:rFonts w:eastAsia="Aptos" w:cs="Arial"/>
        </w:rPr>
      </w:pPr>
      <w:r w:rsidRPr="00487A56">
        <w:rPr>
          <w:rFonts w:eastAsia="Times New Roman" w:cs="Arial"/>
          <w:kern w:val="0"/>
          <w:lang w:eastAsia="en-GB"/>
          <w14:ligatures w14:val="none"/>
        </w:rPr>
        <w:t xml:space="preserve">Within the locality when looking at the total pharmacy opening hours, the range of opening and closing hours are shown in the table below. </w:t>
      </w:r>
      <w:r w:rsidRPr="00487A56">
        <w:rPr>
          <w:rFonts w:eastAsia="Aptos" w:cs="Arial"/>
        </w:rPr>
        <w:t>For the purposes of the pharmaceutical needs assessment, normal working hours have been defined as Monday to Friday 9.00am to 5.30pm.</w:t>
      </w:r>
    </w:p>
    <w:p w14:paraId="6324AFF3" w14:textId="77777777" w:rsidR="00487A56" w:rsidRPr="00487A56" w:rsidRDefault="00487A56" w:rsidP="00B519BF">
      <w:pPr>
        <w:rPr>
          <w:rFonts w:eastAsia="Aptos" w:cs="Arial"/>
        </w:rPr>
      </w:pPr>
    </w:p>
    <w:p w14:paraId="117EFA09"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 xml:space="preserve">Table 14.7: Pharmacy opening and closing hours </w:t>
      </w:r>
    </w:p>
    <w:p w14:paraId="4F4AEF4E" w14:textId="77777777" w:rsidR="00487A56" w:rsidRPr="00487A56" w:rsidRDefault="00487A56" w:rsidP="00B519BF">
      <w:pPr>
        <w:rPr>
          <w:rFonts w:eastAsia="Times New Roman" w:cs="Arial"/>
          <w:kern w:val="0"/>
          <w:lang w:eastAsia="en-GB"/>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3463"/>
        <w:gridCol w:w="3006"/>
      </w:tblGrid>
      <w:tr w:rsidR="00B519BF" w:rsidRPr="00D0306F" w14:paraId="544CEE41" w14:textId="77777777" w:rsidTr="00487A56">
        <w:tc>
          <w:tcPr>
            <w:tcW w:w="2547" w:type="dxa"/>
            <w:tcBorders>
              <w:top w:val="single" w:sz="4" w:space="0" w:color="auto"/>
              <w:left w:val="single" w:sz="4" w:space="0" w:color="auto"/>
              <w:bottom w:val="single" w:sz="4" w:space="0" w:color="auto"/>
              <w:right w:val="single" w:sz="4" w:space="0" w:color="auto"/>
            </w:tcBorders>
            <w:shd w:val="clear" w:color="auto" w:fill="153D63"/>
            <w:hideMark/>
          </w:tcPr>
          <w:p w14:paraId="08CB5A7B"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Days</w:t>
            </w:r>
          </w:p>
        </w:tc>
        <w:tc>
          <w:tcPr>
            <w:tcW w:w="3463" w:type="dxa"/>
            <w:tcBorders>
              <w:top w:val="single" w:sz="4" w:space="0" w:color="auto"/>
              <w:left w:val="single" w:sz="4" w:space="0" w:color="auto"/>
              <w:bottom w:val="single" w:sz="4" w:space="0" w:color="auto"/>
              <w:right w:val="single" w:sz="4" w:space="0" w:color="auto"/>
            </w:tcBorders>
            <w:shd w:val="clear" w:color="auto" w:fill="153D63"/>
            <w:hideMark/>
          </w:tcPr>
          <w:p w14:paraId="7C5ADDAC"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Opening hours range</w:t>
            </w:r>
          </w:p>
        </w:tc>
        <w:tc>
          <w:tcPr>
            <w:tcW w:w="3006" w:type="dxa"/>
            <w:tcBorders>
              <w:top w:val="single" w:sz="4" w:space="0" w:color="auto"/>
              <w:left w:val="single" w:sz="4" w:space="0" w:color="auto"/>
              <w:bottom w:val="single" w:sz="4" w:space="0" w:color="auto"/>
              <w:right w:val="single" w:sz="4" w:space="0" w:color="auto"/>
            </w:tcBorders>
            <w:shd w:val="clear" w:color="auto" w:fill="153D63"/>
            <w:hideMark/>
          </w:tcPr>
          <w:p w14:paraId="44F70A24"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Closing hours range</w:t>
            </w:r>
          </w:p>
        </w:tc>
      </w:tr>
      <w:tr w:rsidR="00487A56" w:rsidRPr="00487A56" w14:paraId="184C3B3D" w14:textId="77777777" w:rsidTr="00487A56">
        <w:tc>
          <w:tcPr>
            <w:tcW w:w="2547" w:type="dxa"/>
            <w:tcBorders>
              <w:top w:val="single" w:sz="4" w:space="0" w:color="auto"/>
              <w:left w:val="single" w:sz="4" w:space="0" w:color="auto"/>
              <w:bottom w:val="single" w:sz="4" w:space="0" w:color="auto"/>
              <w:right w:val="single" w:sz="4" w:space="0" w:color="auto"/>
            </w:tcBorders>
            <w:hideMark/>
          </w:tcPr>
          <w:p w14:paraId="265D1206"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Monday to Friday</w:t>
            </w:r>
          </w:p>
        </w:tc>
        <w:tc>
          <w:tcPr>
            <w:tcW w:w="3463" w:type="dxa"/>
            <w:tcBorders>
              <w:top w:val="single" w:sz="4" w:space="0" w:color="auto"/>
              <w:left w:val="single" w:sz="4" w:space="0" w:color="auto"/>
              <w:bottom w:val="single" w:sz="4" w:space="0" w:color="auto"/>
              <w:right w:val="single" w:sz="4" w:space="0" w:color="auto"/>
            </w:tcBorders>
            <w:hideMark/>
          </w:tcPr>
          <w:p w14:paraId="5B8944EC"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8.30am to 9.30am</w:t>
            </w:r>
          </w:p>
        </w:tc>
        <w:tc>
          <w:tcPr>
            <w:tcW w:w="3006" w:type="dxa"/>
            <w:tcBorders>
              <w:top w:val="single" w:sz="4" w:space="0" w:color="auto"/>
              <w:left w:val="single" w:sz="4" w:space="0" w:color="auto"/>
              <w:bottom w:val="single" w:sz="4" w:space="0" w:color="auto"/>
              <w:right w:val="single" w:sz="4" w:space="0" w:color="auto"/>
            </w:tcBorders>
            <w:hideMark/>
          </w:tcPr>
          <w:p w14:paraId="3C25FC48"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5.30pm to 6.00pm</w:t>
            </w:r>
          </w:p>
        </w:tc>
      </w:tr>
      <w:tr w:rsidR="00487A56" w:rsidRPr="00487A56" w14:paraId="6775483B" w14:textId="77777777" w:rsidTr="00487A56">
        <w:tc>
          <w:tcPr>
            <w:tcW w:w="2547" w:type="dxa"/>
            <w:tcBorders>
              <w:top w:val="single" w:sz="4" w:space="0" w:color="auto"/>
              <w:left w:val="single" w:sz="4" w:space="0" w:color="auto"/>
              <w:bottom w:val="single" w:sz="4" w:space="0" w:color="auto"/>
              <w:right w:val="single" w:sz="4" w:space="0" w:color="auto"/>
            </w:tcBorders>
            <w:hideMark/>
          </w:tcPr>
          <w:p w14:paraId="3F8947E9"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Saturday</w:t>
            </w:r>
          </w:p>
        </w:tc>
        <w:tc>
          <w:tcPr>
            <w:tcW w:w="3463" w:type="dxa"/>
            <w:tcBorders>
              <w:top w:val="single" w:sz="4" w:space="0" w:color="auto"/>
              <w:left w:val="single" w:sz="4" w:space="0" w:color="auto"/>
              <w:bottom w:val="single" w:sz="4" w:space="0" w:color="auto"/>
              <w:right w:val="single" w:sz="4" w:space="0" w:color="auto"/>
            </w:tcBorders>
            <w:hideMark/>
          </w:tcPr>
          <w:p w14:paraId="10988AB1"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9.00am to 9.30am</w:t>
            </w:r>
          </w:p>
        </w:tc>
        <w:tc>
          <w:tcPr>
            <w:tcW w:w="3006" w:type="dxa"/>
            <w:tcBorders>
              <w:top w:val="single" w:sz="4" w:space="0" w:color="auto"/>
              <w:left w:val="single" w:sz="4" w:space="0" w:color="auto"/>
              <w:bottom w:val="single" w:sz="4" w:space="0" w:color="auto"/>
              <w:right w:val="single" w:sz="4" w:space="0" w:color="auto"/>
            </w:tcBorders>
            <w:hideMark/>
          </w:tcPr>
          <w:p w14:paraId="470D61FF"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11.30am to 5.00pm</w:t>
            </w:r>
          </w:p>
        </w:tc>
      </w:tr>
      <w:tr w:rsidR="00487A56" w:rsidRPr="00487A56" w14:paraId="5589C178" w14:textId="77777777" w:rsidTr="00487A56">
        <w:tc>
          <w:tcPr>
            <w:tcW w:w="2547" w:type="dxa"/>
            <w:tcBorders>
              <w:top w:val="single" w:sz="4" w:space="0" w:color="auto"/>
              <w:left w:val="single" w:sz="4" w:space="0" w:color="auto"/>
              <w:bottom w:val="single" w:sz="4" w:space="0" w:color="auto"/>
              <w:right w:val="single" w:sz="4" w:space="0" w:color="auto"/>
            </w:tcBorders>
            <w:hideMark/>
          </w:tcPr>
          <w:p w14:paraId="1960DC0C"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Sunday</w:t>
            </w:r>
          </w:p>
        </w:tc>
        <w:tc>
          <w:tcPr>
            <w:tcW w:w="3463" w:type="dxa"/>
            <w:tcBorders>
              <w:top w:val="single" w:sz="4" w:space="0" w:color="auto"/>
              <w:left w:val="single" w:sz="4" w:space="0" w:color="auto"/>
              <w:bottom w:val="single" w:sz="4" w:space="0" w:color="auto"/>
              <w:right w:val="single" w:sz="4" w:space="0" w:color="auto"/>
            </w:tcBorders>
            <w:hideMark/>
          </w:tcPr>
          <w:p w14:paraId="33E67F51"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10.00am</w:t>
            </w:r>
          </w:p>
        </w:tc>
        <w:tc>
          <w:tcPr>
            <w:tcW w:w="3006" w:type="dxa"/>
            <w:tcBorders>
              <w:top w:val="single" w:sz="4" w:space="0" w:color="auto"/>
              <w:left w:val="single" w:sz="4" w:space="0" w:color="auto"/>
              <w:bottom w:val="single" w:sz="4" w:space="0" w:color="auto"/>
              <w:right w:val="single" w:sz="4" w:space="0" w:color="auto"/>
            </w:tcBorders>
            <w:hideMark/>
          </w:tcPr>
          <w:p w14:paraId="2CAF20CA"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4.00pm</w:t>
            </w:r>
          </w:p>
        </w:tc>
      </w:tr>
    </w:tbl>
    <w:p w14:paraId="20CFFB80" w14:textId="77777777" w:rsidR="00487A56" w:rsidRPr="00487A56" w:rsidRDefault="00487A56" w:rsidP="00B519BF">
      <w:pPr>
        <w:rPr>
          <w:rFonts w:eastAsia="Times New Roman" w:cs="Arial"/>
          <w:kern w:val="0"/>
          <w:lang w:eastAsia="en-GB"/>
          <w14:ligatures w14:val="none"/>
        </w:rPr>
      </w:pPr>
    </w:p>
    <w:p w14:paraId="65F02E58" w14:textId="77777777" w:rsidR="00487A56" w:rsidRPr="00487A56" w:rsidRDefault="00487A56" w:rsidP="00B76905">
      <w:pPr>
        <w:numPr>
          <w:ilvl w:val="0"/>
          <w:numId w:val="193"/>
        </w:numPr>
        <w:contextualSpacing/>
        <w:rPr>
          <w:rFonts w:eastAsia="Times New Roman" w:cs="Arial"/>
          <w:kern w:val="0"/>
          <w:lang w:eastAsia="en-GB"/>
          <w14:ligatures w14:val="none"/>
        </w:rPr>
      </w:pPr>
      <w:r w:rsidRPr="00487A56">
        <w:rPr>
          <w:rFonts w:eastAsia="Times New Roman" w:cs="Arial"/>
          <w:kern w:val="0"/>
          <w:lang w:eastAsia="en-GB"/>
          <w14:ligatures w14:val="none"/>
        </w:rPr>
        <w:t>Two pharmacies open at 8.30am Monday to Friday</w:t>
      </w:r>
    </w:p>
    <w:p w14:paraId="4A2EE5CC" w14:textId="77777777" w:rsidR="00487A56" w:rsidRPr="00487A56" w:rsidRDefault="00487A56" w:rsidP="00B76905">
      <w:pPr>
        <w:numPr>
          <w:ilvl w:val="0"/>
          <w:numId w:val="193"/>
        </w:numPr>
        <w:contextualSpacing/>
        <w:rPr>
          <w:rFonts w:eastAsia="Times New Roman" w:cs="Arial"/>
          <w:kern w:val="0"/>
          <w:lang w:eastAsia="en-GB"/>
          <w14:ligatures w14:val="none"/>
        </w:rPr>
      </w:pPr>
      <w:r w:rsidRPr="00487A56">
        <w:rPr>
          <w:rFonts w:eastAsia="Times New Roman" w:cs="Arial"/>
          <w:kern w:val="0"/>
          <w:lang w:eastAsia="en-GB"/>
          <w14:ligatures w14:val="none"/>
        </w:rPr>
        <w:t>Five pharmacies close at 5.30pm Monday to Friday</w:t>
      </w:r>
    </w:p>
    <w:p w14:paraId="0432984F" w14:textId="77777777" w:rsidR="00487A56" w:rsidRPr="00487A56" w:rsidRDefault="00487A56" w:rsidP="00B76905">
      <w:pPr>
        <w:numPr>
          <w:ilvl w:val="0"/>
          <w:numId w:val="193"/>
        </w:numPr>
        <w:contextualSpacing/>
        <w:rPr>
          <w:rFonts w:eastAsia="Times New Roman" w:cs="Arial"/>
          <w:kern w:val="0"/>
          <w:lang w:eastAsia="en-GB"/>
          <w14:ligatures w14:val="none"/>
        </w:rPr>
      </w:pPr>
      <w:r w:rsidRPr="00487A56">
        <w:rPr>
          <w:rFonts w:eastAsia="Times New Roman" w:cs="Arial"/>
          <w:kern w:val="0"/>
          <w:lang w:eastAsia="en-GB"/>
          <w14:ligatures w14:val="none"/>
        </w:rPr>
        <w:t>Five pharmacies close at 6.00pm Monday to Friday</w:t>
      </w:r>
    </w:p>
    <w:p w14:paraId="2409AFF8" w14:textId="77777777" w:rsidR="00487A56" w:rsidRPr="00487A56" w:rsidRDefault="00487A56" w:rsidP="00B76905">
      <w:pPr>
        <w:numPr>
          <w:ilvl w:val="0"/>
          <w:numId w:val="193"/>
        </w:numPr>
        <w:contextualSpacing/>
        <w:rPr>
          <w:rFonts w:eastAsia="Times New Roman" w:cs="Arial"/>
          <w:kern w:val="0"/>
          <w:lang w:eastAsia="en-GB"/>
          <w14:ligatures w14:val="none"/>
        </w:rPr>
      </w:pPr>
      <w:r w:rsidRPr="00487A56">
        <w:rPr>
          <w:rFonts w:eastAsia="Times New Roman" w:cs="Arial"/>
          <w:kern w:val="0"/>
          <w:lang w:eastAsia="en-GB"/>
          <w14:ligatures w14:val="none"/>
        </w:rPr>
        <w:t>Four pharmacies open on a Saturday:</w:t>
      </w:r>
    </w:p>
    <w:p w14:paraId="22B08973" w14:textId="77777777" w:rsidR="00487A56" w:rsidRPr="00487A56" w:rsidRDefault="00487A56" w:rsidP="00B76905">
      <w:pPr>
        <w:numPr>
          <w:ilvl w:val="1"/>
          <w:numId w:val="193"/>
        </w:numPr>
        <w:contextualSpacing/>
        <w:rPr>
          <w:rFonts w:eastAsia="Times New Roman" w:cs="Arial"/>
          <w:kern w:val="0"/>
          <w:lang w:eastAsia="en-GB"/>
          <w14:ligatures w14:val="none"/>
        </w:rPr>
      </w:pPr>
      <w:r w:rsidRPr="00487A56">
        <w:rPr>
          <w:rFonts w:eastAsia="Times New Roman" w:cs="Arial"/>
          <w:kern w:val="0"/>
          <w:lang w:eastAsia="en-GB"/>
          <w14:ligatures w14:val="none"/>
        </w:rPr>
        <w:t>One pharmacy closes at 11.30am</w:t>
      </w:r>
    </w:p>
    <w:p w14:paraId="6995B7C6" w14:textId="77777777" w:rsidR="00487A56" w:rsidRPr="00487A56" w:rsidRDefault="00487A56" w:rsidP="00B76905">
      <w:pPr>
        <w:numPr>
          <w:ilvl w:val="1"/>
          <w:numId w:val="193"/>
        </w:numPr>
        <w:contextualSpacing/>
        <w:rPr>
          <w:rFonts w:eastAsia="Times New Roman" w:cs="Arial"/>
          <w:kern w:val="0"/>
          <w:lang w:eastAsia="en-GB"/>
          <w14:ligatures w14:val="none"/>
        </w:rPr>
      </w:pPr>
      <w:r w:rsidRPr="00487A56">
        <w:rPr>
          <w:rFonts w:eastAsia="Times New Roman" w:cs="Arial"/>
          <w:kern w:val="0"/>
          <w:lang w:eastAsia="en-GB"/>
          <w14:ligatures w14:val="none"/>
        </w:rPr>
        <w:t>One pharmacy closes at 12.00pm</w:t>
      </w:r>
    </w:p>
    <w:p w14:paraId="2FB80D35" w14:textId="77777777" w:rsidR="00487A56" w:rsidRPr="00487A56" w:rsidRDefault="00487A56" w:rsidP="00B76905">
      <w:pPr>
        <w:numPr>
          <w:ilvl w:val="1"/>
          <w:numId w:val="193"/>
        </w:numPr>
        <w:contextualSpacing/>
        <w:rPr>
          <w:rFonts w:eastAsia="Times New Roman" w:cs="Arial"/>
          <w:kern w:val="0"/>
          <w:lang w:eastAsia="en-GB"/>
          <w14:ligatures w14:val="none"/>
        </w:rPr>
      </w:pPr>
      <w:r w:rsidRPr="00487A56">
        <w:rPr>
          <w:rFonts w:eastAsia="Times New Roman" w:cs="Arial"/>
          <w:kern w:val="0"/>
          <w:lang w:eastAsia="en-GB"/>
          <w14:ligatures w14:val="none"/>
        </w:rPr>
        <w:t>One pharmacy closes at 12.30pm</w:t>
      </w:r>
    </w:p>
    <w:p w14:paraId="42DF81C5" w14:textId="77777777" w:rsidR="00487A56" w:rsidRPr="00487A56" w:rsidRDefault="00487A56" w:rsidP="00B76905">
      <w:pPr>
        <w:numPr>
          <w:ilvl w:val="1"/>
          <w:numId w:val="193"/>
        </w:numPr>
        <w:contextualSpacing/>
        <w:rPr>
          <w:rFonts w:eastAsia="Times New Roman" w:cs="Arial"/>
          <w:kern w:val="0"/>
          <w:lang w:eastAsia="en-GB"/>
          <w14:ligatures w14:val="none"/>
        </w:rPr>
      </w:pPr>
      <w:r w:rsidRPr="00487A56">
        <w:rPr>
          <w:rFonts w:eastAsia="Times New Roman" w:cs="Arial"/>
          <w:kern w:val="0"/>
          <w:lang w:eastAsia="en-GB"/>
          <w14:ligatures w14:val="none"/>
        </w:rPr>
        <w:t>One pharmacy closes at 5.00pm</w:t>
      </w:r>
    </w:p>
    <w:p w14:paraId="13824267" w14:textId="77777777" w:rsidR="00487A56" w:rsidRPr="00487A56" w:rsidRDefault="00487A56" w:rsidP="00B76905">
      <w:pPr>
        <w:numPr>
          <w:ilvl w:val="0"/>
          <w:numId w:val="194"/>
        </w:numPr>
        <w:contextualSpacing/>
        <w:rPr>
          <w:rFonts w:eastAsia="Aptos" w:cs="Arial"/>
        </w:rPr>
      </w:pPr>
      <w:r w:rsidRPr="00487A56">
        <w:rPr>
          <w:rFonts w:eastAsia="Aptos" w:cs="Arial"/>
        </w:rPr>
        <w:t xml:space="preserve">One pharmacy is open on a Sunday </w:t>
      </w:r>
    </w:p>
    <w:p w14:paraId="073A291C" w14:textId="77777777" w:rsidR="00487A56" w:rsidRPr="00487A56" w:rsidRDefault="00487A56" w:rsidP="00B519BF">
      <w:pPr>
        <w:rPr>
          <w:rFonts w:eastAsia="Aptos" w:cs="Arial"/>
        </w:rPr>
      </w:pPr>
    </w:p>
    <w:p w14:paraId="5D47D9C8" w14:textId="77777777" w:rsidR="00487A56" w:rsidRPr="00487A56" w:rsidRDefault="00487A56" w:rsidP="00B519BF">
      <w:pPr>
        <w:rPr>
          <w:rFonts w:eastAsia="Aptos" w:cs="Arial"/>
        </w:rPr>
      </w:pPr>
      <w:r w:rsidRPr="00487A56">
        <w:rPr>
          <w:rFonts w:eastAsia="Aptos" w:cs="Arial"/>
        </w:rPr>
        <w:t>Full details of pharmacy opening times can be found in Appendix L.</w:t>
      </w:r>
    </w:p>
    <w:p w14:paraId="287AB9DB" w14:textId="77777777" w:rsidR="00487A56" w:rsidRPr="00487A56" w:rsidRDefault="00487A56" w:rsidP="00B519BF">
      <w:pPr>
        <w:rPr>
          <w:rFonts w:eastAsia="Aptos" w:cs="Arial"/>
        </w:rPr>
      </w:pPr>
    </w:p>
    <w:p w14:paraId="0738C521" w14:textId="77777777" w:rsidR="00487A56" w:rsidRPr="00487A56" w:rsidRDefault="00487A56" w:rsidP="00B519BF">
      <w:pPr>
        <w:contextualSpacing/>
        <w:rPr>
          <w:rFonts w:eastAsia="Times New Roman" w:cs="Arial"/>
          <w:kern w:val="0"/>
          <w:lang w:eastAsia="en-GB"/>
          <w14:ligatures w14:val="none"/>
        </w:rPr>
      </w:pPr>
      <w:r w:rsidRPr="00487A56">
        <w:rPr>
          <w:rFonts w:eastAsia="Times New Roman" w:cs="Arial"/>
          <w:kern w:val="0"/>
          <w:lang w:eastAsia="en-GB"/>
          <w14:ligatures w14:val="none"/>
        </w:rPr>
        <w:t>The following information was taken from responses to the pharmacy contractor questionnaire to which ten pharmacies responded.</w:t>
      </w:r>
    </w:p>
    <w:p w14:paraId="27EF29CE" w14:textId="77777777" w:rsidR="00487A56" w:rsidRPr="00487A56" w:rsidRDefault="00487A56" w:rsidP="00B519BF">
      <w:pPr>
        <w:contextualSpacing/>
        <w:rPr>
          <w:rFonts w:eastAsia="Times New Roman" w:cs="Arial"/>
          <w:kern w:val="0"/>
          <w:lang w:eastAsia="en-GB"/>
          <w14:ligatures w14:val="none"/>
        </w:rPr>
      </w:pPr>
    </w:p>
    <w:p w14:paraId="1D237AC3" w14:textId="77777777" w:rsidR="00487A56" w:rsidRPr="00487A56" w:rsidRDefault="00487A56" w:rsidP="00B519BF">
      <w:pPr>
        <w:textAlignment w:val="baseline"/>
        <w:rPr>
          <w:rFonts w:eastAsia="Times New Roman" w:cs="Arial"/>
          <w:kern w:val="0"/>
          <w:lang w:eastAsia="en-GB"/>
          <w14:ligatures w14:val="none"/>
        </w:rPr>
      </w:pPr>
      <w:r w:rsidRPr="00487A56">
        <w:rPr>
          <w:rFonts w:eastAsia="Times New Roman" w:cs="Arial"/>
          <w:kern w:val="0"/>
          <w:lang w:eastAsia="en-GB"/>
          <w14:ligatures w14:val="none"/>
        </w:rPr>
        <w:t>Nine pharmacies are accessible by wheelchair and seven have a consultation area that is accessible by wheelchair. There are steps to the entrance of one pharmacy and a request to make external adjustments to address them was refused by the council. All the consultation areas are: </w:t>
      </w:r>
    </w:p>
    <w:p w14:paraId="752943C8" w14:textId="77777777" w:rsidR="00487A56" w:rsidRPr="00487A56" w:rsidRDefault="00487A56" w:rsidP="00B519BF">
      <w:pPr>
        <w:textAlignment w:val="baseline"/>
        <w:rPr>
          <w:rFonts w:eastAsia="Times New Roman" w:cs="Arial"/>
          <w:kern w:val="0"/>
          <w:lang w:eastAsia="en-GB"/>
          <w14:ligatures w14:val="none"/>
        </w:rPr>
      </w:pPr>
      <w:r w:rsidRPr="00487A56">
        <w:rPr>
          <w:rFonts w:eastAsia="Times New Roman" w:cs="Arial"/>
          <w:kern w:val="0"/>
          <w:lang w:eastAsia="en-GB"/>
          <w14:ligatures w14:val="none"/>
        </w:rPr>
        <w:t> </w:t>
      </w:r>
    </w:p>
    <w:p w14:paraId="4B1A51A8" w14:textId="77777777" w:rsidR="00487A56" w:rsidRPr="00487A56" w:rsidRDefault="00487A56" w:rsidP="00B76905">
      <w:pPr>
        <w:numPr>
          <w:ilvl w:val="0"/>
          <w:numId w:val="146"/>
        </w:numPr>
        <w:textAlignment w:val="baseline"/>
        <w:rPr>
          <w:rFonts w:eastAsia="Times New Roman" w:cs="Arial"/>
          <w:kern w:val="0"/>
          <w:lang w:eastAsia="en-GB"/>
          <w14:ligatures w14:val="none"/>
        </w:rPr>
      </w:pPr>
      <w:r w:rsidRPr="00487A56">
        <w:rPr>
          <w:rFonts w:eastAsia="Times New Roman" w:cs="Arial"/>
          <w:kern w:val="0"/>
          <w:lang w:eastAsia="en-GB"/>
          <w14:ligatures w14:val="none"/>
        </w:rPr>
        <w:t>closed rooms, </w:t>
      </w:r>
    </w:p>
    <w:p w14:paraId="4BBB7990" w14:textId="77777777" w:rsidR="00487A56" w:rsidRPr="00487A56" w:rsidRDefault="00487A56" w:rsidP="00B76905">
      <w:pPr>
        <w:numPr>
          <w:ilvl w:val="0"/>
          <w:numId w:val="146"/>
        </w:numPr>
        <w:textAlignment w:val="baseline"/>
        <w:rPr>
          <w:rFonts w:eastAsia="Times New Roman" w:cs="Arial"/>
          <w:kern w:val="0"/>
          <w:lang w:eastAsia="en-GB"/>
          <w14:ligatures w14:val="none"/>
        </w:rPr>
      </w:pPr>
      <w:r w:rsidRPr="00487A56">
        <w:rPr>
          <w:rFonts w:eastAsia="Times New Roman" w:cs="Arial"/>
          <w:kern w:val="0"/>
          <w:lang w:eastAsia="en-GB"/>
          <w14:ligatures w14:val="none"/>
        </w:rPr>
        <w:lastRenderedPageBreak/>
        <w:t xml:space="preserve">a designated area where the patient and pharmacist can sit down together and talk at normal volumes without being overheard, and </w:t>
      </w:r>
    </w:p>
    <w:p w14:paraId="723379DA" w14:textId="77777777" w:rsidR="00487A56" w:rsidRPr="00487A56" w:rsidRDefault="00487A56" w:rsidP="00B76905">
      <w:pPr>
        <w:numPr>
          <w:ilvl w:val="0"/>
          <w:numId w:val="146"/>
        </w:numPr>
        <w:textAlignment w:val="baseline"/>
        <w:rPr>
          <w:rFonts w:eastAsia="Times New Roman" w:cs="Arial"/>
          <w:kern w:val="0"/>
          <w:lang w:eastAsia="en-GB"/>
          <w14:ligatures w14:val="none"/>
        </w:rPr>
      </w:pPr>
      <w:r w:rsidRPr="00487A56">
        <w:rPr>
          <w:rFonts w:eastAsia="Times New Roman" w:cs="Arial"/>
          <w:kern w:val="0"/>
          <w:lang w:eastAsia="en-GB"/>
          <w14:ligatures w14:val="none"/>
        </w:rPr>
        <w:t>clearly designated as an area for confidential consultations distinct from the general public areas of the pharmacy. </w:t>
      </w:r>
    </w:p>
    <w:p w14:paraId="3BD699A8" w14:textId="77777777" w:rsidR="00487A56" w:rsidRPr="00487A56" w:rsidRDefault="00487A56" w:rsidP="00B519BF">
      <w:pPr>
        <w:textAlignment w:val="baseline"/>
        <w:rPr>
          <w:rFonts w:eastAsia="Times New Roman" w:cs="Arial"/>
          <w:kern w:val="0"/>
          <w:lang w:eastAsia="en-GB"/>
          <w14:ligatures w14:val="none"/>
        </w:rPr>
      </w:pPr>
    </w:p>
    <w:p w14:paraId="32D18671" w14:textId="77777777" w:rsidR="00487A56" w:rsidRPr="00487A56" w:rsidRDefault="00487A56" w:rsidP="00B519BF">
      <w:pPr>
        <w:textAlignment w:val="baseline"/>
        <w:rPr>
          <w:rFonts w:eastAsia="Times New Roman" w:cs="Arial"/>
          <w:kern w:val="0"/>
          <w:lang w:eastAsia="en-GB"/>
          <w14:ligatures w14:val="none"/>
        </w:rPr>
      </w:pPr>
      <w:r w:rsidRPr="00487A56">
        <w:rPr>
          <w:rFonts w:eastAsia="Times New Roman" w:cs="Arial"/>
          <w:kern w:val="0"/>
          <w:lang w:eastAsia="en-GB"/>
          <w14:ligatures w14:val="none"/>
        </w:rPr>
        <w:t>One pharmacy confirmed it has Welsh speakers in among their staff. Four pharmacies confirmed they speak other languages.</w:t>
      </w:r>
    </w:p>
    <w:p w14:paraId="2B1F70AC" w14:textId="77777777" w:rsidR="00487A56" w:rsidRPr="00487A56" w:rsidRDefault="00487A56" w:rsidP="00B519BF">
      <w:pPr>
        <w:textAlignment w:val="baseline"/>
        <w:rPr>
          <w:rFonts w:eastAsia="Times New Roman" w:cs="Arial"/>
          <w:kern w:val="0"/>
          <w:lang w:eastAsia="en-GB"/>
          <w14:ligatures w14:val="none"/>
        </w:rPr>
      </w:pPr>
    </w:p>
    <w:p w14:paraId="7032453B" w14:textId="77777777" w:rsidR="00487A56" w:rsidRPr="00487A56" w:rsidRDefault="00487A56" w:rsidP="00B76905">
      <w:pPr>
        <w:numPr>
          <w:ilvl w:val="0"/>
          <w:numId w:val="195"/>
        </w:numPr>
        <w:textAlignment w:val="baseline"/>
        <w:rPr>
          <w:rFonts w:eastAsia="Times New Roman" w:cs="Arial"/>
          <w:kern w:val="0"/>
          <w:lang w:eastAsia="en-GB"/>
          <w14:ligatures w14:val="none"/>
        </w:rPr>
      </w:pPr>
      <w:r w:rsidRPr="00487A56">
        <w:rPr>
          <w:rFonts w:eastAsia="Times New Roman" w:cs="Arial"/>
          <w:kern w:val="0"/>
          <w:lang w:eastAsia="en-GB"/>
          <w14:ligatures w14:val="none"/>
        </w:rPr>
        <w:t>Romanian (two pharmacies)</w:t>
      </w:r>
    </w:p>
    <w:p w14:paraId="5396E4F7" w14:textId="77777777" w:rsidR="00487A56" w:rsidRPr="00487A56" w:rsidRDefault="00487A56" w:rsidP="00B76905">
      <w:pPr>
        <w:numPr>
          <w:ilvl w:val="0"/>
          <w:numId w:val="195"/>
        </w:numPr>
        <w:textAlignment w:val="baseline"/>
        <w:rPr>
          <w:rFonts w:eastAsia="Times New Roman" w:cs="Arial"/>
          <w:kern w:val="0"/>
          <w:lang w:eastAsia="en-GB"/>
          <w14:ligatures w14:val="none"/>
        </w:rPr>
      </w:pPr>
      <w:r w:rsidRPr="00487A56">
        <w:rPr>
          <w:rFonts w:eastAsia="Times New Roman" w:cs="Arial"/>
          <w:kern w:val="0"/>
          <w:lang w:eastAsia="en-GB"/>
          <w14:ligatures w14:val="none"/>
        </w:rPr>
        <w:t xml:space="preserve">Polish </w:t>
      </w:r>
    </w:p>
    <w:p w14:paraId="5EDAAD5F" w14:textId="77777777" w:rsidR="00487A56" w:rsidRPr="00487A56" w:rsidRDefault="00487A56" w:rsidP="00B76905">
      <w:pPr>
        <w:numPr>
          <w:ilvl w:val="0"/>
          <w:numId w:val="195"/>
        </w:numPr>
        <w:textAlignment w:val="baseline"/>
        <w:rPr>
          <w:rFonts w:eastAsia="Times New Roman" w:cs="Arial"/>
          <w:kern w:val="0"/>
          <w:lang w:eastAsia="en-GB"/>
          <w14:ligatures w14:val="none"/>
        </w:rPr>
      </w:pPr>
      <w:r w:rsidRPr="00487A56">
        <w:rPr>
          <w:rFonts w:eastAsia="Times New Roman" w:cs="Arial"/>
          <w:kern w:val="0"/>
          <w:lang w:eastAsia="en-GB"/>
          <w14:ligatures w14:val="none"/>
        </w:rPr>
        <w:t>Russian</w:t>
      </w:r>
    </w:p>
    <w:p w14:paraId="063A06F5" w14:textId="77777777" w:rsidR="00487A56" w:rsidRPr="00487A56" w:rsidRDefault="00487A56" w:rsidP="00B76905">
      <w:pPr>
        <w:numPr>
          <w:ilvl w:val="0"/>
          <w:numId w:val="195"/>
        </w:numPr>
        <w:textAlignment w:val="baseline"/>
        <w:rPr>
          <w:rFonts w:eastAsia="Times New Roman" w:cs="Arial"/>
          <w:kern w:val="0"/>
          <w:lang w:eastAsia="en-GB"/>
          <w14:ligatures w14:val="none"/>
        </w:rPr>
      </w:pPr>
      <w:r w:rsidRPr="00487A56">
        <w:rPr>
          <w:rFonts w:eastAsia="Times New Roman" w:cs="Arial"/>
          <w:kern w:val="0"/>
          <w:lang w:eastAsia="en-GB"/>
          <w14:ligatures w14:val="none"/>
        </w:rPr>
        <w:t>Spanish</w:t>
      </w:r>
    </w:p>
    <w:p w14:paraId="7B2998A0" w14:textId="77777777" w:rsidR="00487A56" w:rsidRPr="00487A56" w:rsidRDefault="00487A56" w:rsidP="00B76905">
      <w:pPr>
        <w:numPr>
          <w:ilvl w:val="0"/>
          <w:numId w:val="195"/>
        </w:numPr>
        <w:textAlignment w:val="baseline"/>
        <w:rPr>
          <w:rFonts w:eastAsia="Times New Roman" w:cs="Arial"/>
          <w:kern w:val="0"/>
          <w:lang w:eastAsia="en-GB"/>
          <w14:ligatures w14:val="none"/>
        </w:rPr>
      </w:pPr>
      <w:r w:rsidRPr="00487A56">
        <w:rPr>
          <w:rFonts w:eastAsia="Times New Roman" w:cs="Arial"/>
          <w:kern w:val="0"/>
          <w:lang w:eastAsia="en-GB"/>
          <w14:ligatures w14:val="none"/>
        </w:rPr>
        <w:t>Ukrainian</w:t>
      </w:r>
    </w:p>
    <w:p w14:paraId="05D1381A" w14:textId="77777777" w:rsidR="00487A56" w:rsidRPr="00487A56" w:rsidRDefault="00487A56" w:rsidP="00B519BF">
      <w:pPr>
        <w:textAlignment w:val="baseline"/>
        <w:rPr>
          <w:rFonts w:eastAsia="Times New Roman" w:cs="Arial"/>
          <w:kern w:val="0"/>
          <w:lang w:eastAsia="en-GB"/>
          <w14:ligatures w14:val="none"/>
        </w:rPr>
      </w:pPr>
    </w:p>
    <w:p w14:paraId="4661E83B" w14:textId="77777777" w:rsidR="00487A56" w:rsidRPr="00487A56" w:rsidRDefault="00487A56" w:rsidP="00B519BF">
      <w:pPr>
        <w:textAlignment w:val="baseline"/>
        <w:rPr>
          <w:rFonts w:eastAsia="Times New Roman" w:cs="Arial"/>
          <w:kern w:val="0"/>
          <w:lang w:eastAsia="en-GB"/>
          <w14:ligatures w14:val="none"/>
        </w:rPr>
      </w:pPr>
      <w:r w:rsidRPr="00487A56">
        <w:rPr>
          <w:rFonts w:eastAsia="Times New Roman" w:cs="Arial"/>
          <w:kern w:val="0"/>
          <w:lang w:eastAsia="en-GB"/>
          <w14:ligatures w14:val="none"/>
        </w:rPr>
        <w:t>Eight pharmacies confirmed they dispense prescriptions for all types of appliances, one doesn’t dispense incontinence appliances, and one just dispenses dressings.</w:t>
      </w:r>
    </w:p>
    <w:p w14:paraId="3516EE69" w14:textId="77777777" w:rsidR="00487A56" w:rsidRPr="00487A56" w:rsidRDefault="00487A56" w:rsidP="00B519BF">
      <w:pPr>
        <w:textAlignment w:val="baseline"/>
        <w:rPr>
          <w:rFonts w:eastAsia="Times New Roman" w:cs="Arial"/>
          <w:kern w:val="0"/>
          <w:lang w:eastAsia="en-GB"/>
          <w14:ligatures w14:val="none"/>
        </w:rPr>
      </w:pPr>
    </w:p>
    <w:p w14:paraId="4BC4F6DA" w14:textId="77777777" w:rsidR="00487A56" w:rsidRPr="00487A56" w:rsidRDefault="00487A56" w:rsidP="00B519BF">
      <w:pPr>
        <w:textAlignment w:val="baseline"/>
        <w:rPr>
          <w:rFonts w:eastAsia="Times New Roman" w:cs="Arial"/>
          <w:kern w:val="0"/>
          <w:lang w:eastAsia="en-GB"/>
          <w14:ligatures w14:val="none"/>
        </w:rPr>
      </w:pPr>
      <w:r w:rsidRPr="00487A56">
        <w:rPr>
          <w:rFonts w:eastAsia="Times New Roman" w:cs="Arial"/>
          <w:kern w:val="0"/>
          <w:lang w:eastAsia="en-GB"/>
          <w14:ligatures w14:val="none"/>
        </w:rPr>
        <w:t>Although non-commissioned services:</w:t>
      </w:r>
    </w:p>
    <w:p w14:paraId="5E3EF8B0" w14:textId="77777777" w:rsidR="00487A56" w:rsidRPr="00487A56" w:rsidRDefault="00487A56" w:rsidP="00B519BF">
      <w:pPr>
        <w:textAlignment w:val="baseline"/>
        <w:rPr>
          <w:rFonts w:eastAsia="Times New Roman" w:cs="Arial"/>
          <w:kern w:val="0"/>
          <w:lang w:eastAsia="en-GB"/>
          <w14:ligatures w14:val="none"/>
        </w:rPr>
      </w:pPr>
    </w:p>
    <w:p w14:paraId="30D75C91" w14:textId="77777777" w:rsidR="00487A56" w:rsidRPr="00487A56" w:rsidRDefault="00487A56" w:rsidP="00B76905">
      <w:pPr>
        <w:numPr>
          <w:ilvl w:val="0"/>
          <w:numId w:val="147"/>
        </w:numPr>
        <w:textAlignment w:val="baseline"/>
        <w:rPr>
          <w:rFonts w:eastAsia="Times New Roman" w:cs="Arial"/>
          <w:kern w:val="0"/>
          <w:lang w:eastAsia="en-GB"/>
          <w14:ligatures w14:val="none"/>
        </w:rPr>
      </w:pPr>
      <w:r w:rsidRPr="00487A56">
        <w:rPr>
          <w:rFonts w:eastAsia="Times New Roman" w:cs="Arial"/>
          <w:kern w:val="0"/>
          <w:lang w:eastAsia="en-GB"/>
          <w14:ligatures w14:val="none"/>
        </w:rPr>
        <w:t>all ten pharmacies collect prescriptions from GP practices</w:t>
      </w:r>
    </w:p>
    <w:p w14:paraId="5106FE57" w14:textId="77777777" w:rsidR="00487A56" w:rsidRPr="00487A56" w:rsidRDefault="00487A56" w:rsidP="00B76905">
      <w:pPr>
        <w:numPr>
          <w:ilvl w:val="0"/>
          <w:numId w:val="147"/>
        </w:numPr>
        <w:textAlignment w:val="baseline"/>
        <w:rPr>
          <w:rFonts w:eastAsia="Times New Roman" w:cs="Arial"/>
          <w:kern w:val="0"/>
          <w:lang w:eastAsia="en-GB"/>
          <w14:ligatures w14:val="none"/>
        </w:rPr>
      </w:pPr>
      <w:r w:rsidRPr="00487A56">
        <w:rPr>
          <w:rFonts w:eastAsia="Times New Roman" w:cs="Arial"/>
          <w:kern w:val="0"/>
          <w:lang w:eastAsia="en-GB"/>
          <w14:ligatures w14:val="none"/>
        </w:rPr>
        <w:t xml:space="preserve">all ten provide a free of charge delivery service on request, three to specific areas, </w:t>
      </w:r>
    </w:p>
    <w:p w14:paraId="14583D61" w14:textId="77777777" w:rsidR="00487A56" w:rsidRPr="00487A56" w:rsidRDefault="00487A56" w:rsidP="00B76905">
      <w:pPr>
        <w:numPr>
          <w:ilvl w:val="0"/>
          <w:numId w:val="147"/>
        </w:numPr>
        <w:textAlignment w:val="baseline"/>
        <w:rPr>
          <w:rFonts w:eastAsia="Times New Roman" w:cs="Arial"/>
          <w:kern w:val="0"/>
          <w:lang w:eastAsia="en-GB"/>
          <w14:ligatures w14:val="none"/>
        </w:rPr>
      </w:pPr>
      <w:r w:rsidRPr="00487A56">
        <w:rPr>
          <w:rFonts w:eastAsia="Times New Roman" w:cs="Arial"/>
          <w:kern w:val="0"/>
          <w:lang w:eastAsia="en-GB"/>
          <w14:ligatures w14:val="none"/>
        </w:rPr>
        <w:t>two provide a delivery service for a fee, and</w:t>
      </w:r>
    </w:p>
    <w:p w14:paraId="183769B0" w14:textId="77777777" w:rsidR="00487A56" w:rsidRPr="00487A56" w:rsidRDefault="00487A56" w:rsidP="00B76905">
      <w:pPr>
        <w:numPr>
          <w:ilvl w:val="0"/>
          <w:numId w:val="147"/>
        </w:numPr>
        <w:textAlignment w:val="baseline"/>
        <w:rPr>
          <w:rFonts w:eastAsia="Times New Roman" w:cs="Arial"/>
          <w:kern w:val="0"/>
          <w:lang w:eastAsia="en-GB"/>
          <w14:ligatures w14:val="none"/>
        </w:rPr>
      </w:pPr>
      <w:r w:rsidRPr="00487A56">
        <w:rPr>
          <w:rFonts w:eastAsia="Times New Roman" w:cs="Arial"/>
          <w:kern w:val="0"/>
          <w:lang w:eastAsia="en-GB"/>
          <w14:ligatures w14:val="none"/>
        </w:rPr>
        <w:t>two have an automated collection point at their premises.</w:t>
      </w:r>
    </w:p>
    <w:p w14:paraId="20DE484D" w14:textId="77777777" w:rsidR="00487A56" w:rsidRPr="00487A56" w:rsidRDefault="00487A56" w:rsidP="00B519BF">
      <w:pPr>
        <w:textAlignment w:val="baseline"/>
        <w:rPr>
          <w:rFonts w:eastAsia="Times New Roman" w:cs="Arial"/>
          <w:kern w:val="0"/>
          <w:lang w:eastAsia="en-GB"/>
          <w14:ligatures w14:val="none"/>
        </w:rPr>
      </w:pPr>
    </w:p>
    <w:p w14:paraId="0A8870C4" w14:textId="77777777" w:rsidR="00487A56" w:rsidRPr="00487A56" w:rsidRDefault="00487A56" w:rsidP="00B519BF">
      <w:pPr>
        <w:contextualSpacing/>
        <w:rPr>
          <w:rFonts w:eastAsia="Times New Roman" w:cs="Arial"/>
          <w:kern w:val="0"/>
          <w:lang w:eastAsia="en-GB"/>
          <w14:ligatures w14:val="none"/>
        </w:rPr>
      </w:pPr>
      <w:r w:rsidRPr="00487A56">
        <w:rPr>
          <w:rFonts w:eastAsia="Times New Roman" w:cs="Arial"/>
          <w:kern w:val="0"/>
          <w:lang w:eastAsia="en-GB"/>
          <w14:ligatures w14:val="none"/>
        </w:rPr>
        <w:t>One pharmacy thought a period delay additional clinical service may be required.</w:t>
      </w:r>
    </w:p>
    <w:p w14:paraId="2F5ACAEC" w14:textId="77777777" w:rsidR="00487A56" w:rsidRPr="00487A56" w:rsidRDefault="00487A56" w:rsidP="00B519BF">
      <w:pPr>
        <w:contextualSpacing/>
        <w:rPr>
          <w:rFonts w:eastAsia="Times New Roman" w:cs="Arial"/>
          <w:kern w:val="0"/>
          <w:lang w:eastAsia="en-GB"/>
          <w14:ligatures w14:val="none"/>
        </w:rPr>
      </w:pPr>
    </w:p>
    <w:p w14:paraId="492790A8" w14:textId="77777777" w:rsidR="00487A56" w:rsidRPr="00487A56" w:rsidRDefault="00487A56" w:rsidP="00B519BF">
      <w:pPr>
        <w:contextualSpacing/>
        <w:rPr>
          <w:rFonts w:eastAsia="Times New Roman" w:cs="Arial"/>
          <w:kern w:val="0"/>
          <w:lang w:eastAsia="en-GB"/>
          <w14:ligatures w14:val="none"/>
        </w:rPr>
      </w:pPr>
      <w:r w:rsidRPr="00487A56">
        <w:rPr>
          <w:rFonts w:eastAsia="Times New Roman" w:cs="Arial"/>
          <w:kern w:val="0"/>
          <w:lang w:eastAsia="en-GB"/>
          <w14:ligatures w14:val="none"/>
        </w:rPr>
        <w:t>In relation to new services that aren’t currently available, two pharmacies stated that a blood pressure checking/monitoring service is required, and one pharmacy said an ear wax removal service is required.</w:t>
      </w:r>
    </w:p>
    <w:p w14:paraId="0DE55D78" w14:textId="77777777" w:rsidR="00487A56" w:rsidRPr="00487A56" w:rsidRDefault="00487A56" w:rsidP="00B519BF">
      <w:pPr>
        <w:contextualSpacing/>
        <w:rPr>
          <w:rFonts w:eastAsia="Times New Roman" w:cs="Arial"/>
          <w:kern w:val="0"/>
          <w:lang w:eastAsia="en-GB"/>
          <w14:ligatures w14:val="none"/>
        </w:rPr>
      </w:pPr>
    </w:p>
    <w:p w14:paraId="333F6F4E" w14:textId="77777777" w:rsidR="00487A56" w:rsidRPr="00487A56" w:rsidRDefault="00487A56" w:rsidP="00B519BF">
      <w:pPr>
        <w:contextualSpacing/>
        <w:rPr>
          <w:rFonts w:eastAsia="Times New Roman" w:cs="Arial"/>
          <w:kern w:val="0"/>
          <w:lang w:eastAsia="en-GB"/>
          <w14:ligatures w14:val="none"/>
        </w:rPr>
      </w:pPr>
      <w:r w:rsidRPr="00487A56">
        <w:rPr>
          <w:rFonts w:eastAsia="Times New Roman" w:cs="Arial"/>
          <w:kern w:val="0"/>
          <w:lang w:eastAsia="en-GB"/>
          <w14:ligatures w14:val="none"/>
        </w:rPr>
        <w:t>All ten pharmacies have sufficient capacity within their premises to manage an increase in demand.</w:t>
      </w:r>
    </w:p>
    <w:p w14:paraId="239DCB58" w14:textId="77777777" w:rsidR="00487A56" w:rsidRPr="00487A56" w:rsidRDefault="00487A56" w:rsidP="00B519BF">
      <w:pPr>
        <w:contextualSpacing/>
        <w:rPr>
          <w:rFonts w:eastAsia="Times New Roman" w:cs="Arial"/>
          <w:kern w:val="0"/>
          <w:lang w:eastAsia="en-GB"/>
          <w14:ligatures w14:val="none"/>
        </w:rPr>
      </w:pPr>
    </w:p>
    <w:p w14:paraId="778EB7CC" w14:textId="77777777" w:rsidR="00487A56" w:rsidRPr="00487A56" w:rsidRDefault="00487A56" w:rsidP="00B519BF">
      <w:pPr>
        <w:contextualSpacing/>
        <w:rPr>
          <w:rFonts w:eastAsia="Times New Roman" w:cs="Arial"/>
          <w:kern w:val="0"/>
          <w:lang w:eastAsia="en-GB"/>
          <w14:ligatures w14:val="none"/>
        </w:rPr>
      </w:pPr>
      <w:r w:rsidRPr="00487A56">
        <w:rPr>
          <w:rFonts w:eastAsia="Times New Roman" w:cs="Arial"/>
          <w:kern w:val="0"/>
          <w:lang w:eastAsia="en-GB"/>
          <w14:ligatures w14:val="none"/>
        </w:rPr>
        <w:t>Seven pharmacies have sufficient capacity within their staffing levels to manage an increase in demand, and three don’t but could make adjustments.</w:t>
      </w:r>
    </w:p>
    <w:p w14:paraId="392DFC3B" w14:textId="77777777" w:rsidR="00487A56" w:rsidRPr="00487A56" w:rsidRDefault="00487A56" w:rsidP="00B519BF">
      <w:pPr>
        <w:contextualSpacing/>
        <w:rPr>
          <w:rFonts w:eastAsia="Times New Roman" w:cs="Arial"/>
          <w:kern w:val="0"/>
          <w:lang w:eastAsia="en-GB"/>
          <w14:ligatures w14:val="none"/>
        </w:rPr>
      </w:pPr>
    </w:p>
    <w:p w14:paraId="3432254C" w14:textId="77777777" w:rsidR="00487A56" w:rsidRPr="00487A56" w:rsidRDefault="00487A56" w:rsidP="00B519BF">
      <w:pPr>
        <w:contextualSpacing/>
        <w:rPr>
          <w:rFonts w:eastAsia="Times New Roman" w:cs="Arial"/>
          <w:kern w:val="0"/>
          <w:lang w:eastAsia="en-GB"/>
          <w14:ligatures w14:val="none"/>
        </w:rPr>
      </w:pPr>
      <w:r w:rsidRPr="00487A56">
        <w:rPr>
          <w:rFonts w:eastAsia="Times New Roman" w:cs="Arial"/>
          <w:kern w:val="0"/>
          <w:lang w:eastAsia="en-GB"/>
          <w14:ligatures w14:val="none"/>
        </w:rPr>
        <w:t>Four pharmacies have plans to develop or expand their premises or service provision.</w:t>
      </w:r>
    </w:p>
    <w:p w14:paraId="02CDA17D" w14:textId="77777777" w:rsidR="00487A56" w:rsidRPr="00487A56" w:rsidRDefault="00487A56" w:rsidP="00B519BF">
      <w:pPr>
        <w:contextualSpacing/>
        <w:rPr>
          <w:rFonts w:eastAsia="Times New Roman" w:cs="Arial"/>
          <w:kern w:val="0"/>
          <w:lang w:eastAsia="en-GB"/>
          <w14:ligatures w14:val="none"/>
        </w:rPr>
      </w:pPr>
    </w:p>
    <w:p w14:paraId="25B8F9D3" w14:textId="77777777" w:rsidR="00487A56" w:rsidRPr="00487A56" w:rsidRDefault="00487A56" w:rsidP="00B76905">
      <w:pPr>
        <w:numPr>
          <w:ilvl w:val="0"/>
          <w:numId w:val="148"/>
        </w:numPr>
        <w:contextualSpacing/>
        <w:rPr>
          <w:rFonts w:eastAsia="Times New Roman" w:cs="Arial"/>
          <w:kern w:val="0"/>
          <w:lang w:eastAsia="en-GB"/>
          <w14:ligatures w14:val="none"/>
        </w:rPr>
      </w:pPr>
      <w:r w:rsidRPr="00487A56">
        <w:rPr>
          <w:rFonts w:eastAsia="Times New Roman" w:cs="Arial"/>
          <w:kern w:val="0"/>
          <w:lang w:eastAsia="en-GB"/>
          <w14:ligatures w14:val="none"/>
        </w:rPr>
        <w:t>One has the capacity to deliver more services, but it depends on the affordability of them.</w:t>
      </w:r>
    </w:p>
    <w:p w14:paraId="4454DD16" w14:textId="77777777" w:rsidR="00487A56" w:rsidRPr="00487A56" w:rsidRDefault="00487A56" w:rsidP="00B76905">
      <w:pPr>
        <w:numPr>
          <w:ilvl w:val="0"/>
          <w:numId w:val="148"/>
        </w:numPr>
        <w:contextualSpacing/>
        <w:rPr>
          <w:rFonts w:eastAsia="Times New Roman" w:cs="Arial"/>
          <w:kern w:val="0"/>
          <w:lang w:eastAsia="en-GB"/>
          <w14:ligatures w14:val="none"/>
        </w:rPr>
      </w:pPr>
      <w:r w:rsidRPr="00487A56">
        <w:rPr>
          <w:rFonts w:eastAsia="Times New Roman" w:cs="Arial"/>
          <w:kern w:val="0"/>
          <w:lang w:eastAsia="en-GB"/>
          <w14:ligatures w14:val="none"/>
        </w:rPr>
        <w:t>One has recently introduced the pharmacist independent prescribing service and is looking to further develop service delivery.</w:t>
      </w:r>
    </w:p>
    <w:p w14:paraId="06B25FC6" w14:textId="77777777" w:rsidR="00487A56" w:rsidRPr="00487A56" w:rsidRDefault="00487A56" w:rsidP="00B76905">
      <w:pPr>
        <w:numPr>
          <w:ilvl w:val="0"/>
          <w:numId w:val="148"/>
        </w:numPr>
        <w:contextualSpacing/>
        <w:rPr>
          <w:rFonts w:eastAsia="Times New Roman" w:cs="Arial"/>
          <w:kern w:val="0"/>
          <w:lang w:eastAsia="en-GB"/>
          <w14:ligatures w14:val="none"/>
        </w:rPr>
      </w:pPr>
      <w:r w:rsidRPr="00487A56">
        <w:rPr>
          <w:rFonts w:eastAsia="Times New Roman" w:cs="Arial"/>
          <w:kern w:val="0"/>
          <w:lang w:eastAsia="en-GB"/>
          <w14:ligatures w14:val="none"/>
        </w:rPr>
        <w:t>One plans to install a second consultation room, depending on the national contract negotiations.</w:t>
      </w:r>
    </w:p>
    <w:p w14:paraId="0410ED0D" w14:textId="77777777" w:rsidR="00487A56" w:rsidRPr="00487A56" w:rsidRDefault="00487A56" w:rsidP="00B76905">
      <w:pPr>
        <w:numPr>
          <w:ilvl w:val="0"/>
          <w:numId w:val="148"/>
        </w:numPr>
        <w:contextualSpacing/>
        <w:rPr>
          <w:rFonts w:eastAsia="Times New Roman" w:cs="Arial"/>
          <w:kern w:val="0"/>
          <w:lang w:eastAsia="en-GB"/>
          <w14:ligatures w14:val="none"/>
        </w:rPr>
      </w:pPr>
      <w:r w:rsidRPr="00487A56">
        <w:rPr>
          <w:rFonts w:eastAsia="Times New Roman" w:cs="Arial"/>
          <w:kern w:val="0"/>
          <w:lang w:eastAsia="en-GB"/>
          <w14:ligatures w14:val="none"/>
        </w:rPr>
        <w:t>One pharmacy has started to provide the pharmacist independent prescribing service.</w:t>
      </w:r>
    </w:p>
    <w:p w14:paraId="1862AF17" w14:textId="77777777" w:rsidR="00487A56" w:rsidRPr="00487A56" w:rsidRDefault="00487A56" w:rsidP="00B519BF">
      <w:pPr>
        <w:contextualSpacing/>
        <w:rPr>
          <w:rFonts w:eastAsia="Times New Roman" w:cs="Arial"/>
          <w:kern w:val="0"/>
          <w:lang w:eastAsia="en-GB"/>
          <w14:ligatures w14:val="none"/>
        </w:rPr>
      </w:pPr>
    </w:p>
    <w:p w14:paraId="1CE3D502" w14:textId="77777777" w:rsidR="00487A56" w:rsidRPr="00487A56" w:rsidRDefault="00487A56" w:rsidP="00B519BF">
      <w:pPr>
        <w:contextualSpacing/>
        <w:rPr>
          <w:rFonts w:eastAsia="Times New Roman" w:cs="Arial"/>
          <w:kern w:val="0"/>
          <w:lang w:eastAsia="en-GB"/>
          <w14:ligatures w14:val="none"/>
        </w:rPr>
      </w:pPr>
      <w:r w:rsidRPr="00487A56">
        <w:rPr>
          <w:rFonts w:eastAsia="Times New Roman" w:cs="Arial"/>
          <w:kern w:val="0"/>
          <w:lang w:eastAsia="en-GB"/>
          <w14:ligatures w14:val="none"/>
        </w:rPr>
        <w:lastRenderedPageBreak/>
        <w:t>Two pharmacies said they are open to discussions about changes to their opening hours, depending on the national contract negotiations.</w:t>
      </w:r>
    </w:p>
    <w:p w14:paraId="6B6F646C" w14:textId="77777777" w:rsidR="00487A56" w:rsidRPr="00487A56" w:rsidRDefault="00487A56" w:rsidP="00B519BF">
      <w:pPr>
        <w:contextualSpacing/>
        <w:rPr>
          <w:rFonts w:eastAsia="Times New Roman" w:cs="Arial"/>
          <w:kern w:val="0"/>
          <w:lang w:eastAsia="en-GB"/>
          <w14:ligatures w14:val="none"/>
        </w:rPr>
      </w:pPr>
    </w:p>
    <w:p w14:paraId="2B6C7401" w14:textId="77777777" w:rsidR="00487A56" w:rsidRPr="00487A56" w:rsidRDefault="00487A56" w:rsidP="00B519BF">
      <w:pPr>
        <w:contextualSpacing/>
        <w:rPr>
          <w:rFonts w:eastAsia="Times New Roman" w:cs="Arial"/>
          <w:b/>
          <w:bCs/>
          <w:kern w:val="0"/>
          <w:lang w:eastAsia="en-GB"/>
          <w14:ligatures w14:val="none"/>
        </w:rPr>
      </w:pPr>
      <w:r w:rsidRPr="00487A56">
        <w:rPr>
          <w:rFonts w:eastAsia="Times New Roman" w:cs="Arial"/>
          <w:b/>
          <w:bCs/>
          <w:kern w:val="0"/>
          <w:lang w:eastAsia="en-GB"/>
          <w14:ligatures w14:val="none"/>
        </w:rPr>
        <w:t>14.3.1 National community pharmacy and appliance contractor services</w:t>
      </w:r>
    </w:p>
    <w:p w14:paraId="7AAB0C12" w14:textId="77777777" w:rsidR="00487A56" w:rsidRPr="00487A56" w:rsidRDefault="00487A56" w:rsidP="00B519BF">
      <w:pPr>
        <w:rPr>
          <w:rFonts w:eastAsia="Times New Roman" w:cs="Arial"/>
          <w:kern w:val="0"/>
          <w:lang w:eastAsia="en-GB"/>
          <w14:ligatures w14:val="none"/>
        </w:rPr>
      </w:pPr>
    </w:p>
    <w:p w14:paraId="0EFB1A35"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14.3.1.1 Appliance use review service</w:t>
      </w:r>
    </w:p>
    <w:p w14:paraId="52292CE8" w14:textId="77777777" w:rsidR="00487A56" w:rsidRPr="00487A56" w:rsidRDefault="00487A56" w:rsidP="00B519BF">
      <w:pPr>
        <w:rPr>
          <w:rFonts w:eastAsia="Times New Roman" w:cs="Arial"/>
          <w:b/>
          <w:bCs/>
          <w:kern w:val="0"/>
          <w:lang w:eastAsia="en-GB"/>
          <w14:ligatures w14:val="none"/>
        </w:rPr>
      </w:pPr>
    </w:p>
    <w:p w14:paraId="10ACAF54"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None of the pharmacies provide this service.</w:t>
      </w:r>
    </w:p>
    <w:p w14:paraId="4BCEE455" w14:textId="77777777" w:rsidR="00487A56" w:rsidRPr="00487A56" w:rsidRDefault="00487A56" w:rsidP="00B519BF">
      <w:pPr>
        <w:rPr>
          <w:rFonts w:eastAsia="Times New Roman" w:cs="Arial"/>
          <w:kern w:val="0"/>
          <w:lang w:eastAsia="en-GB"/>
          <w14:ligatures w14:val="none"/>
        </w:rPr>
      </w:pPr>
    </w:p>
    <w:p w14:paraId="5B1A8145"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14.3.1.2 Clinical community pharmacy service</w:t>
      </w:r>
    </w:p>
    <w:p w14:paraId="22DE1F97" w14:textId="77777777" w:rsidR="00487A56" w:rsidRPr="00487A56" w:rsidRDefault="00487A56" w:rsidP="00B519BF">
      <w:pPr>
        <w:rPr>
          <w:rFonts w:eastAsia="Times New Roman" w:cs="Arial"/>
          <w:kern w:val="0"/>
          <w:lang w:eastAsia="en-GB"/>
          <w14:ligatures w14:val="none"/>
        </w:rPr>
      </w:pPr>
    </w:p>
    <w:p w14:paraId="3E6EB06F"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All the pharmacies have signed up and provide this service:</w:t>
      </w:r>
    </w:p>
    <w:p w14:paraId="37735E3A" w14:textId="77777777" w:rsidR="00487A56" w:rsidRPr="00487A56" w:rsidRDefault="00487A56" w:rsidP="00B519BF">
      <w:pPr>
        <w:rPr>
          <w:rFonts w:eastAsia="Times New Roman" w:cs="Arial"/>
          <w:kern w:val="0"/>
          <w:lang w:eastAsia="en-GB"/>
          <w14:ligatures w14:val="none"/>
        </w:rPr>
      </w:pPr>
    </w:p>
    <w:p w14:paraId="5FF2B0FC" w14:textId="77777777" w:rsidR="00487A56" w:rsidRPr="00487A56" w:rsidRDefault="00487A56" w:rsidP="00B519BF">
      <w:pPr>
        <w:contextualSpacing/>
        <w:rPr>
          <w:rFonts w:eastAsia="Times New Roman" w:cs="Arial"/>
          <w:kern w:val="0"/>
          <w:lang w:eastAsia="en-GB"/>
          <w14:ligatures w14:val="none"/>
        </w:rPr>
      </w:pPr>
      <w:r w:rsidRPr="00487A56">
        <w:rPr>
          <w:rFonts w:eastAsia="Times New Roman" w:cs="Arial"/>
          <w:kern w:val="0"/>
          <w:lang w:eastAsia="en-GB"/>
          <w14:ligatures w14:val="none"/>
        </w:rPr>
        <w:t>In 2024/25 the pharmacies provided:</w:t>
      </w:r>
    </w:p>
    <w:p w14:paraId="7C7C8C2F" w14:textId="77777777" w:rsidR="00487A56" w:rsidRPr="00487A56" w:rsidRDefault="00487A56" w:rsidP="00B519BF">
      <w:pPr>
        <w:contextualSpacing/>
        <w:rPr>
          <w:rFonts w:eastAsia="Times New Roman" w:cs="Arial"/>
          <w:kern w:val="0"/>
          <w:lang w:eastAsia="en-GB"/>
          <w14:ligatures w14:val="none"/>
        </w:rPr>
      </w:pPr>
    </w:p>
    <w:p w14:paraId="511AE2B5" w14:textId="77777777" w:rsidR="00487A56" w:rsidRPr="00487A56" w:rsidRDefault="00487A56" w:rsidP="00B76905">
      <w:pPr>
        <w:numPr>
          <w:ilvl w:val="0"/>
          <w:numId w:val="149"/>
        </w:numPr>
        <w:contextualSpacing/>
        <w:rPr>
          <w:rFonts w:eastAsia="Times New Roman" w:cs="Arial"/>
          <w:kern w:val="0"/>
          <w:lang w:eastAsia="en-GB"/>
          <w14:ligatures w14:val="none"/>
        </w:rPr>
      </w:pPr>
      <w:r w:rsidRPr="00487A56">
        <w:rPr>
          <w:rFonts w:eastAsia="Times New Roman" w:cs="Arial"/>
          <w:kern w:val="0"/>
          <w:lang w:eastAsia="en-GB"/>
          <w14:ligatures w14:val="none"/>
        </w:rPr>
        <w:t>3,942 consultations for common ailment consultations (range at pharmacy level 35 to 1,181)</w:t>
      </w:r>
    </w:p>
    <w:p w14:paraId="0F780882" w14:textId="77777777" w:rsidR="00487A56" w:rsidRPr="00487A56" w:rsidRDefault="00487A56" w:rsidP="00B76905">
      <w:pPr>
        <w:numPr>
          <w:ilvl w:val="0"/>
          <w:numId w:val="149"/>
        </w:numPr>
        <w:contextualSpacing/>
        <w:rPr>
          <w:rFonts w:eastAsia="Times New Roman" w:cs="Arial"/>
          <w:kern w:val="0"/>
          <w:lang w:eastAsia="en-GB"/>
          <w14:ligatures w14:val="none"/>
        </w:rPr>
      </w:pPr>
      <w:r w:rsidRPr="00487A56">
        <w:rPr>
          <w:rFonts w:eastAsia="Times New Roman" w:cs="Arial"/>
          <w:kern w:val="0"/>
          <w:lang w:eastAsia="en-GB"/>
          <w14:ligatures w14:val="none"/>
        </w:rPr>
        <w:t>667 consultations for sore throat test and treat consultations (range at pharmacy level one to 233)</w:t>
      </w:r>
    </w:p>
    <w:p w14:paraId="0AEB1309" w14:textId="77777777" w:rsidR="00487A56" w:rsidRPr="00487A56" w:rsidRDefault="00487A56" w:rsidP="00B76905">
      <w:pPr>
        <w:numPr>
          <w:ilvl w:val="0"/>
          <w:numId w:val="149"/>
        </w:numPr>
        <w:contextualSpacing/>
        <w:rPr>
          <w:rFonts w:eastAsia="Times New Roman" w:cs="Arial"/>
          <w:kern w:val="0"/>
          <w:lang w:eastAsia="en-GB"/>
          <w14:ligatures w14:val="none"/>
        </w:rPr>
      </w:pPr>
      <w:r w:rsidRPr="00487A56">
        <w:rPr>
          <w:rFonts w:eastAsia="Times New Roman" w:cs="Arial"/>
          <w:kern w:val="0"/>
          <w:lang w:eastAsia="en-GB"/>
          <w14:ligatures w14:val="none"/>
        </w:rPr>
        <w:t>529 consultations for emergency contraception consultations (range at pharmacy level one to 296)</w:t>
      </w:r>
    </w:p>
    <w:p w14:paraId="7745EF65" w14:textId="77777777" w:rsidR="00487A56" w:rsidRPr="00487A56" w:rsidRDefault="00487A56" w:rsidP="00B76905">
      <w:pPr>
        <w:numPr>
          <w:ilvl w:val="0"/>
          <w:numId w:val="149"/>
        </w:numPr>
        <w:contextualSpacing/>
        <w:rPr>
          <w:rFonts w:eastAsia="Times New Roman" w:cs="Arial"/>
          <w:kern w:val="0"/>
          <w:lang w:eastAsia="en-GB"/>
          <w14:ligatures w14:val="none"/>
        </w:rPr>
      </w:pPr>
      <w:r w:rsidRPr="00487A56">
        <w:rPr>
          <w:rFonts w:eastAsia="Times New Roman" w:cs="Arial"/>
          <w:kern w:val="0"/>
          <w:lang w:eastAsia="en-GB"/>
          <w14:ligatures w14:val="none"/>
        </w:rPr>
        <w:t>428 emergency medicines supplies (range at pharmacy level one to 151)</w:t>
      </w:r>
    </w:p>
    <w:p w14:paraId="50FDFF8F" w14:textId="77777777" w:rsidR="00487A56" w:rsidRPr="00487A56" w:rsidRDefault="00487A56" w:rsidP="00B519BF">
      <w:pPr>
        <w:contextualSpacing/>
        <w:rPr>
          <w:rFonts w:eastAsia="Times New Roman" w:cs="Arial"/>
          <w:kern w:val="0"/>
          <w:lang w:eastAsia="en-GB"/>
          <w14:ligatures w14:val="none"/>
        </w:rPr>
      </w:pPr>
    </w:p>
    <w:p w14:paraId="3B41F32E" w14:textId="77777777" w:rsidR="00487A56" w:rsidRPr="00487A56" w:rsidRDefault="00487A56" w:rsidP="00B519BF">
      <w:pPr>
        <w:contextualSpacing/>
        <w:rPr>
          <w:rFonts w:eastAsia="Times New Roman" w:cs="Arial"/>
          <w:kern w:val="0"/>
          <w:lang w:eastAsia="en-GB"/>
          <w14:ligatures w14:val="none"/>
        </w:rPr>
      </w:pPr>
      <w:r w:rsidRPr="00487A56">
        <w:rPr>
          <w:rFonts w:eastAsia="Times New Roman" w:cs="Arial"/>
          <w:kern w:val="0"/>
          <w:lang w:eastAsia="en-GB"/>
          <w14:ligatures w14:val="none"/>
        </w:rPr>
        <w:t>In the first six months of 2025/26 the pharmacies provided:</w:t>
      </w:r>
    </w:p>
    <w:p w14:paraId="6C1B0A91" w14:textId="77777777" w:rsidR="00487A56" w:rsidRPr="00487A56" w:rsidRDefault="00487A56" w:rsidP="00B519BF">
      <w:pPr>
        <w:contextualSpacing/>
        <w:rPr>
          <w:rFonts w:eastAsia="Times New Roman" w:cs="Arial"/>
          <w:kern w:val="0"/>
          <w:lang w:eastAsia="en-GB"/>
          <w14:ligatures w14:val="none"/>
        </w:rPr>
      </w:pPr>
    </w:p>
    <w:p w14:paraId="64715B3A" w14:textId="77777777" w:rsidR="00487A56" w:rsidRPr="00487A56" w:rsidRDefault="00487A56" w:rsidP="00B76905">
      <w:pPr>
        <w:numPr>
          <w:ilvl w:val="0"/>
          <w:numId w:val="149"/>
        </w:numPr>
        <w:contextualSpacing/>
        <w:rPr>
          <w:rFonts w:eastAsia="Times New Roman" w:cs="Arial"/>
          <w:kern w:val="0"/>
          <w:lang w:eastAsia="en-GB"/>
          <w14:ligatures w14:val="none"/>
        </w:rPr>
      </w:pPr>
      <w:r w:rsidRPr="00487A56">
        <w:rPr>
          <w:rFonts w:eastAsia="Times New Roman" w:cs="Arial"/>
          <w:kern w:val="0"/>
          <w:lang w:eastAsia="en-GB"/>
          <w14:ligatures w14:val="none"/>
        </w:rPr>
        <w:t>2,392 consultations for common ailment consultations (range at pharmacy level 13 to 763)</w:t>
      </w:r>
    </w:p>
    <w:p w14:paraId="6BC5B854" w14:textId="77777777" w:rsidR="00487A56" w:rsidRPr="00487A56" w:rsidRDefault="00487A56" w:rsidP="00B76905">
      <w:pPr>
        <w:numPr>
          <w:ilvl w:val="0"/>
          <w:numId w:val="149"/>
        </w:numPr>
        <w:contextualSpacing/>
        <w:rPr>
          <w:rFonts w:eastAsia="Times New Roman" w:cs="Arial"/>
          <w:kern w:val="0"/>
          <w:lang w:eastAsia="en-GB"/>
          <w14:ligatures w14:val="none"/>
        </w:rPr>
      </w:pPr>
      <w:r w:rsidRPr="00487A56">
        <w:rPr>
          <w:rFonts w:eastAsia="Times New Roman" w:cs="Arial"/>
          <w:kern w:val="0"/>
          <w:lang w:eastAsia="en-GB"/>
          <w14:ligatures w14:val="none"/>
        </w:rPr>
        <w:t>254 consultations for sore throat test and treat consultations (range at pharmacy level four to 86)</w:t>
      </w:r>
    </w:p>
    <w:p w14:paraId="1B3D5CD0" w14:textId="77777777" w:rsidR="00487A56" w:rsidRPr="00487A56" w:rsidRDefault="00487A56" w:rsidP="00B76905">
      <w:pPr>
        <w:numPr>
          <w:ilvl w:val="0"/>
          <w:numId w:val="149"/>
        </w:numPr>
        <w:contextualSpacing/>
        <w:rPr>
          <w:rFonts w:eastAsia="Times New Roman" w:cs="Arial"/>
          <w:kern w:val="0"/>
          <w:lang w:eastAsia="en-GB"/>
          <w14:ligatures w14:val="none"/>
        </w:rPr>
      </w:pPr>
      <w:r w:rsidRPr="00487A56">
        <w:rPr>
          <w:rFonts w:eastAsia="Times New Roman" w:cs="Arial"/>
          <w:kern w:val="0"/>
          <w:lang w:eastAsia="en-GB"/>
          <w14:ligatures w14:val="none"/>
        </w:rPr>
        <w:t>248 consultations for emergency contraception consultations (range at pharmacy level three to 129)</w:t>
      </w:r>
    </w:p>
    <w:p w14:paraId="1C1E596D" w14:textId="77777777" w:rsidR="00487A56" w:rsidRPr="00487A56" w:rsidRDefault="00487A56" w:rsidP="00B76905">
      <w:pPr>
        <w:numPr>
          <w:ilvl w:val="0"/>
          <w:numId w:val="149"/>
        </w:numPr>
        <w:contextualSpacing/>
        <w:rPr>
          <w:rFonts w:eastAsia="Times New Roman" w:cs="Arial"/>
          <w:kern w:val="0"/>
          <w:lang w:eastAsia="en-GB"/>
          <w14:ligatures w14:val="none"/>
        </w:rPr>
      </w:pPr>
      <w:r w:rsidRPr="00487A56">
        <w:rPr>
          <w:rFonts w:eastAsia="Times New Roman" w:cs="Arial"/>
          <w:kern w:val="0"/>
          <w:lang w:eastAsia="en-GB"/>
          <w14:ligatures w14:val="none"/>
        </w:rPr>
        <w:t>151 emergency medicines supplies (range at pharmacy level four to 59)</w:t>
      </w:r>
    </w:p>
    <w:p w14:paraId="53597779" w14:textId="77777777" w:rsidR="00487A56" w:rsidRPr="00487A56" w:rsidRDefault="00487A56" w:rsidP="00B519BF">
      <w:pPr>
        <w:rPr>
          <w:rFonts w:eastAsia="Times New Roman" w:cs="Arial"/>
          <w:kern w:val="0"/>
          <w:lang w:eastAsia="en-GB"/>
          <w14:ligatures w14:val="none"/>
        </w:rPr>
      </w:pPr>
    </w:p>
    <w:p w14:paraId="2A4944BC"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 xml:space="preserve">14.3.1.3 Discharge medicines review service </w:t>
      </w:r>
    </w:p>
    <w:p w14:paraId="57DEA9BA" w14:textId="77777777" w:rsidR="00487A56" w:rsidRPr="00487A56" w:rsidRDefault="00487A56" w:rsidP="00B519BF">
      <w:pPr>
        <w:rPr>
          <w:rFonts w:eastAsia="Times New Roman" w:cs="Arial"/>
          <w:b/>
          <w:bCs/>
          <w:kern w:val="0"/>
          <w:lang w:eastAsia="en-GB"/>
          <w14:ligatures w14:val="none"/>
        </w:rPr>
      </w:pPr>
    </w:p>
    <w:p w14:paraId="14221EB6"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All pharmacies provided this service in 2024/25, providing a total of 352 reviews (range at pharmacy level one to 191). Seven pharmacies provided this service in the first ten months of 2025/26, providing a total of 270 reviews, (range at pharmacy level three to 191).</w:t>
      </w:r>
    </w:p>
    <w:p w14:paraId="7C00F34C" w14:textId="77777777" w:rsidR="00487A56" w:rsidRPr="00487A56" w:rsidRDefault="00487A56" w:rsidP="00B519BF">
      <w:pPr>
        <w:ind w:left="720"/>
        <w:contextualSpacing/>
        <w:rPr>
          <w:rFonts w:eastAsia="Times New Roman" w:cs="Arial"/>
          <w:kern w:val="0"/>
          <w:lang w:eastAsia="en-GB"/>
          <w14:ligatures w14:val="none"/>
        </w:rPr>
      </w:pPr>
    </w:p>
    <w:p w14:paraId="4B8299E1"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14.3.1.4 Influenza vaccination service</w:t>
      </w:r>
    </w:p>
    <w:p w14:paraId="6C561C89" w14:textId="77777777" w:rsidR="00487A56" w:rsidRPr="00487A56" w:rsidRDefault="00487A56" w:rsidP="00B519BF">
      <w:pPr>
        <w:rPr>
          <w:rFonts w:eastAsia="Times New Roman" w:cs="Arial"/>
          <w:kern w:val="0"/>
          <w:lang w:eastAsia="en-GB"/>
          <w14:ligatures w14:val="none"/>
        </w:rPr>
      </w:pPr>
    </w:p>
    <w:p w14:paraId="3E919EC4"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Nine of the pharmacies have signed up to provide this service.</w:t>
      </w:r>
    </w:p>
    <w:p w14:paraId="7384ADBA" w14:textId="77777777" w:rsidR="00487A56" w:rsidRPr="00487A56" w:rsidRDefault="00487A56" w:rsidP="00B519BF">
      <w:pPr>
        <w:rPr>
          <w:rFonts w:eastAsia="Times New Roman" w:cs="Arial"/>
          <w:kern w:val="0"/>
          <w:lang w:eastAsia="en-GB"/>
          <w14:ligatures w14:val="none"/>
        </w:rPr>
      </w:pPr>
    </w:p>
    <w:p w14:paraId="4409A152"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 xml:space="preserve">Seven pharmacies provided this service in 2024/25, providing a total of 598 vaccinations (range at pharmacy level one to 203). Seven pharmacies provided this service in 2025/26, providing a total of 240 vaccinations (range at pharmacy level nine to 69). </w:t>
      </w:r>
    </w:p>
    <w:p w14:paraId="407E9E3B" w14:textId="77777777" w:rsidR="00487A56" w:rsidRDefault="00487A56" w:rsidP="00B519BF">
      <w:pPr>
        <w:rPr>
          <w:rFonts w:eastAsia="Times New Roman" w:cs="Arial"/>
          <w:b/>
          <w:bCs/>
          <w:kern w:val="0"/>
          <w:lang w:eastAsia="en-GB"/>
          <w14:ligatures w14:val="none"/>
        </w:rPr>
      </w:pPr>
    </w:p>
    <w:p w14:paraId="1F6FBA53" w14:textId="77777777" w:rsidR="00F834C5" w:rsidRPr="00487A56" w:rsidRDefault="00F834C5" w:rsidP="00B519BF">
      <w:pPr>
        <w:rPr>
          <w:rFonts w:eastAsia="Times New Roman" w:cs="Arial"/>
          <w:b/>
          <w:bCs/>
          <w:kern w:val="0"/>
          <w:lang w:eastAsia="en-GB"/>
          <w14:ligatures w14:val="none"/>
        </w:rPr>
      </w:pPr>
    </w:p>
    <w:p w14:paraId="5489164C"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lastRenderedPageBreak/>
        <w:t>14.3.1.5 Lateral flow test supply service</w:t>
      </w:r>
    </w:p>
    <w:p w14:paraId="2A294BC9" w14:textId="77777777" w:rsidR="00487A56" w:rsidRPr="00487A56" w:rsidRDefault="00487A56" w:rsidP="00B519BF">
      <w:pPr>
        <w:rPr>
          <w:rFonts w:eastAsia="Times New Roman" w:cs="Arial"/>
          <w:kern w:val="0"/>
          <w:lang w:eastAsia="en-GB"/>
          <w14:ligatures w14:val="none"/>
        </w:rPr>
      </w:pPr>
    </w:p>
    <w:p w14:paraId="0D4D2042"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All the pharmacies have signed up to provide this service.</w:t>
      </w:r>
    </w:p>
    <w:p w14:paraId="62DB4D54" w14:textId="77777777" w:rsidR="00487A56" w:rsidRPr="00487A56" w:rsidRDefault="00487A56" w:rsidP="00B519BF">
      <w:pPr>
        <w:rPr>
          <w:rFonts w:eastAsia="Times New Roman" w:cs="Arial"/>
          <w:kern w:val="0"/>
          <w:lang w:eastAsia="en-GB"/>
          <w14:ligatures w14:val="none"/>
        </w:rPr>
      </w:pPr>
    </w:p>
    <w:p w14:paraId="1232890D"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Four pharmacies provided this service in 2024/25, supplying 33 kits (range at pharmacy level two to 16). Four pharmacies provided this service in the first seven months of 2025/26, providing 11 kits (range at pharmacy level two to four).</w:t>
      </w:r>
    </w:p>
    <w:p w14:paraId="37C08307" w14:textId="77777777" w:rsidR="00487A56" w:rsidRPr="00487A56" w:rsidRDefault="00487A56" w:rsidP="00B519BF">
      <w:pPr>
        <w:ind w:left="720"/>
        <w:contextualSpacing/>
        <w:rPr>
          <w:rFonts w:eastAsia="Times New Roman" w:cs="Arial"/>
          <w:kern w:val="0"/>
          <w:lang w:eastAsia="en-GB"/>
          <w14:ligatures w14:val="none"/>
        </w:rPr>
      </w:pPr>
    </w:p>
    <w:p w14:paraId="6F6F6C12"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14.3.1.6 Pharmacist independent prescribing service</w:t>
      </w:r>
    </w:p>
    <w:p w14:paraId="2091E826" w14:textId="77777777" w:rsidR="00487A56" w:rsidRPr="00487A56" w:rsidRDefault="00487A56" w:rsidP="00B519BF">
      <w:pPr>
        <w:rPr>
          <w:rFonts w:eastAsia="Times New Roman" w:cs="Arial"/>
          <w:kern w:val="0"/>
          <w:lang w:eastAsia="en-GB"/>
          <w14:ligatures w14:val="none"/>
        </w:rPr>
      </w:pPr>
    </w:p>
    <w:p w14:paraId="1883CC27"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Five of the pharmacies have signed up to provide this service.</w:t>
      </w:r>
    </w:p>
    <w:p w14:paraId="133BBF8D" w14:textId="77777777" w:rsidR="00487A56" w:rsidRPr="00487A56" w:rsidRDefault="00487A56" w:rsidP="00B519BF">
      <w:pPr>
        <w:rPr>
          <w:rFonts w:eastAsia="Times New Roman" w:cs="Arial"/>
          <w:kern w:val="0"/>
          <w:lang w:eastAsia="en-GB"/>
          <w14:ligatures w14:val="none"/>
        </w:rPr>
      </w:pPr>
    </w:p>
    <w:p w14:paraId="76302D5B"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 xml:space="preserve">Four pharmacies provided this service in 2024/25, providing a total of 735 consultations (pharmacy range 18 to 389). Four pharmacies provided this service in the first six months of 2025/26, providing a total of 548 consultations, (range at pharmacy level 40 to 190). </w:t>
      </w:r>
    </w:p>
    <w:p w14:paraId="3148F18C" w14:textId="77777777" w:rsidR="00487A56" w:rsidRPr="00487A56" w:rsidRDefault="00487A56" w:rsidP="00B519BF">
      <w:pPr>
        <w:rPr>
          <w:rFonts w:eastAsia="Times New Roman" w:cs="Arial"/>
          <w:kern w:val="0"/>
          <w:lang w:eastAsia="en-GB"/>
          <w14:ligatures w14:val="none"/>
        </w:rPr>
      </w:pPr>
    </w:p>
    <w:p w14:paraId="56675A81"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14.3.1.8 Stoma customisation service</w:t>
      </w:r>
    </w:p>
    <w:p w14:paraId="5607EE1D" w14:textId="77777777" w:rsidR="00487A56" w:rsidRPr="00487A56" w:rsidRDefault="00487A56" w:rsidP="00B519BF">
      <w:pPr>
        <w:rPr>
          <w:rFonts w:eastAsia="Times New Roman" w:cs="Arial"/>
          <w:kern w:val="0"/>
          <w:lang w:eastAsia="en-GB"/>
          <w14:ligatures w14:val="none"/>
        </w:rPr>
      </w:pPr>
    </w:p>
    <w:p w14:paraId="0946B3EB"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 xml:space="preserve">None of the pharmacies provide this service. </w:t>
      </w:r>
    </w:p>
    <w:p w14:paraId="7870E8A1" w14:textId="77777777" w:rsidR="00487A56" w:rsidRPr="00487A56" w:rsidRDefault="00487A56" w:rsidP="00B519BF">
      <w:pPr>
        <w:rPr>
          <w:rFonts w:eastAsia="Times New Roman" w:cs="Arial"/>
          <w:kern w:val="0"/>
          <w:lang w:eastAsia="en-GB"/>
          <w14:ligatures w14:val="none"/>
        </w:rPr>
      </w:pPr>
    </w:p>
    <w:p w14:paraId="1E99536A"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14.3.2 Additional clinical services</w:t>
      </w:r>
    </w:p>
    <w:p w14:paraId="7B21C4C6" w14:textId="77777777" w:rsidR="00487A56" w:rsidRPr="00487A56" w:rsidRDefault="00487A56" w:rsidP="00B519BF">
      <w:pPr>
        <w:rPr>
          <w:rFonts w:eastAsia="Times New Roman" w:cs="Arial"/>
          <w:kern w:val="0"/>
          <w:lang w:eastAsia="en-GB"/>
          <w14:ligatures w14:val="none"/>
        </w:rPr>
      </w:pPr>
    </w:p>
    <w:p w14:paraId="5986D3C5"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14.3.2.1 Blood borne virus screening service</w:t>
      </w:r>
    </w:p>
    <w:p w14:paraId="2476FF84" w14:textId="77777777" w:rsidR="00487A56" w:rsidRPr="00487A56" w:rsidRDefault="00487A56" w:rsidP="00B519BF">
      <w:pPr>
        <w:rPr>
          <w:rFonts w:eastAsia="Times New Roman" w:cs="Arial"/>
          <w:kern w:val="0"/>
          <w:lang w:eastAsia="en-GB"/>
          <w14:ligatures w14:val="none"/>
        </w:rPr>
      </w:pPr>
    </w:p>
    <w:p w14:paraId="0435215B"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 xml:space="preserve">None of the pharmacies provide this service. </w:t>
      </w:r>
    </w:p>
    <w:p w14:paraId="3D5E1082" w14:textId="77777777" w:rsidR="00B519BF" w:rsidRPr="00487A56" w:rsidRDefault="00B519BF" w:rsidP="00B519BF">
      <w:pPr>
        <w:rPr>
          <w:rFonts w:eastAsia="Times New Roman" w:cs="Arial"/>
          <w:kern w:val="0"/>
          <w:lang w:eastAsia="en-GB"/>
          <w14:ligatures w14:val="none"/>
        </w:rPr>
      </w:pPr>
    </w:p>
    <w:p w14:paraId="01CCC8FB"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14.3.2.2 Care home support service - Level 1 medicines management support visits</w:t>
      </w:r>
    </w:p>
    <w:p w14:paraId="2846FBA9" w14:textId="77777777" w:rsidR="00487A56" w:rsidRPr="00487A56" w:rsidRDefault="00487A56" w:rsidP="00B519BF">
      <w:pPr>
        <w:rPr>
          <w:rFonts w:eastAsia="Times New Roman" w:cs="Arial"/>
          <w:kern w:val="0"/>
          <w:lang w:eastAsia="en-GB"/>
          <w14:ligatures w14:val="none"/>
        </w:rPr>
      </w:pPr>
    </w:p>
    <w:p w14:paraId="463137E5"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 xml:space="preserve">None of the pharmacies provide this service. </w:t>
      </w:r>
    </w:p>
    <w:p w14:paraId="693A3131" w14:textId="77777777" w:rsidR="00487A56" w:rsidRPr="00487A56" w:rsidRDefault="00487A56" w:rsidP="00B519BF">
      <w:pPr>
        <w:ind w:left="720"/>
        <w:contextualSpacing/>
        <w:rPr>
          <w:rFonts w:eastAsia="Times New Roman" w:cs="Arial"/>
          <w:b/>
          <w:bCs/>
          <w:kern w:val="0"/>
          <w:lang w:eastAsia="en-GB"/>
          <w14:ligatures w14:val="none"/>
        </w:rPr>
      </w:pPr>
    </w:p>
    <w:p w14:paraId="787E1F4E" w14:textId="77777777" w:rsidR="00487A56" w:rsidRPr="00487A56" w:rsidRDefault="00487A56" w:rsidP="00B519BF">
      <w:pPr>
        <w:shd w:val="clear" w:color="auto" w:fill="FFFFFF"/>
        <w:rPr>
          <w:rFonts w:eastAsia="Times New Roman" w:cs="Arial"/>
          <w:b/>
          <w:bCs/>
          <w:kern w:val="0"/>
          <w:lang w:eastAsia="en-GB"/>
          <w14:ligatures w14:val="none"/>
        </w:rPr>
      </w:pPr>
      <w:r w:rsidRPr="00487A56">
        <w:rPr>
          <w:rFonts w:eastAsia="Times New Roman" w:cs="Arial"/>
          <w:b/>
          <w:bCs/>
          <w:kern w:val="0"/>
          <w:lang w:eastAsia="en-GB"/>
          <w14:ligatures w14:val="none"/>
        </w:rPr>
        <w:t xml:space="preserve">14.3.2.3 Access to inhaler review service </w:t>
      </w:r>
    </w:p>
    <w:p w14:paraId="1983F2DE" w14:textId="77777777" w:rsidR="00487A56" w:rsidRPr="00487A56" w:rsidRDefault="00487A56" w:rsidP="00B519BF">
      <w:pPr>
        <w:shd w:val="clear" w:color="auto" w:fill="FFFFFF"/>
        <w:rPr>
          <w:rFonts w:eastAsia="Times New Roman" w:cs="Arial"/>
          <w:b/>
          <w:bCs/>
          <w:kern w:val="0"/>
          <w:lang w:eastAsia="en-GB"/>
          <w14:ligatures w14:val="none"/>
        </w:rPr>
      </w:pPr>
    </w:p>
    <w:p w14:paraId="7608E81E" w14:textId="77777777" w:rsidR="00487A56" w:rsidRPr="00487A56" w:rsidRDefault="00487A56" w:rsidP="00B519BF">
      <w:pPr>
        <w:shd w:val="clear" w:color="auto" w:fill="FFFFFF"/>
        <w:rPr>
          <w:rFonts w:eastAsia="Times New Roman" w:cs="Arial"/>
          <w:kern w:val="0"/>
          <w:lang w:eastAsia="en-GB"/>
          <w14:ligatures w14:val="none"/>
        </w:rPr>
      </w:pPr>
      <w:r w:rsidRPr="00487A56">
        <w:rPr>
          <w:rFonts w:eastAsia="Times New Roman" w:cs="Arial"/>
          <w:kern w:val="0"/>
          <w:lang w:eastAsia="en-GB"/>
          <w14:ligatures w14:val="none"/>
        </w:rPr>
        <w:t>Two of the pharmacies have signed up to provide this service.</w:t>
      </w:r>
    </w:p>
    <w:p w14:paraId="4EBDACF3" w14:textId="77777777" w:rsidR="00487A56" w:rsidRPr="00487A56" w:rsidRDefault="00487A56" w:rsidP="00B519BF">
      <w:pPr>
        <w:shd w:val="clear" w:color="auto" w:fill="FFFFFF"/>
        <w:rPr>
          <w:rFonts w:eastAsia="Times New Roman" w:cs="Arial"/>
          <w:kern w:val="0"/>
          <w:lang w:eastAsia="en-GB"/>
          <w14:ligatures w14:val="none"/>
        </w:rPr>
      </w:pPr>
    </w:p>
    <w:p w14:paraId="5DA0CF66" w14:textId="77777777" w:rsidR="00487A56" w:rsidRPr="00487A56" w:rsidRDefault="00487A56" w:rsidP="00B519BF">
      <w:pPr>
        <w:shd w:val="clear" w:color="auto" w:fill="FFFFFF"/>
        <w:rPr>
          <w:rFonts w:eastAsia="Times New Roman" w:cs="Arial"/>
          <w:kern w:val="0"/>
          <w:lang w:eastAsia="en-GB"/>
          <w14:ligatures w14:val="none"/>
        </w:rPr>
      </w:pPr>
      <w:r w:rsidRPr="00487A56">
        <w:rPr>
          <w:rFonts w:eastAsia="Times New Roman" w:cs="Arial"/>
          <w:kern w:val="0"/>
          <w:lang w:eastAsia="en-GB"/>
          <w14:ligatures w14:val="none"/>
        </w:rPr>
        <w:t>Two pharmacies provided this service in 2024/25, providing a total of 146 reviews (range at pharmacy level 30 and 116). Two pharmacies provided this service between April 2025 and February 2026, providing a total of 120 reviews (range at pharmacy level 23 and 97).</w:t>
      </w:r>
    </w:p>
    <w:p w14:paraId="7D41762F" w14:textId="77777777" w:rsidR="00487A56" w:rsidRPr="00487A56" w:rsidRDefault="00487A56" w:rsidP="00B519BF">
      <w:pPr>
        <w:rPr>
          <w:rFonts w:eastAsia="Times New Roman" w:cs="Arial"/>
          <w:b/>
          <w:bCs/>
          <w:kern w:val="0"/>
          <w:lang w:eastAsia="en-GB"/>
          <w14:ligatures w14:val="none"/>
        </w:rPr>
      </w:pPr>
    </w:p>
    <w:p w14:paraId="535FEC1F"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14.3.2.4 Just in case service (palliative care packs)</w:t>
      </w:r>
    </w:p>
    <w:p w14:paraId="21F255A1" w14:textId="77777777" w:rsidR="00487A56" w:rsidRPr="00487A56" w:rsidRDefault="00487A56" w:rsidP="00B519BF">
      <w:pPr>
        <w:rPr>
          <w:rFonts w:eastAsia="Times New Roman" w:cs="Arial"/>
          <w:kern w:val="0"/>
          <w:lang w:eastAsia="en-GB"/>
          <w14:ligatures w14:val="none"/>
        </w:rPr>
      </w:pPr>
    </w:p>
    <w:p w14:paraId="68CBB855"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Four of the pharmacies have signed up to provide this service.</w:t>
      </w:r>
    </w:p>
    <w:p w14:paraId="6A6B9395" w14:textId="77777777" w:rsidR="00487A56" w:rsidRPr="00487A56" w:rsidRDefault="00487A56" w:rsidP="00B519BF">
      <w:pPr>
        <w:rPr>
          <w:rFonts w:eastAsia="Times New Roman" w:cs="Arial"/>
          <w:kern w:val="0"/>
          <w:lang w:eastAsia="en-GB"/>
          <w14:ligatures w14:val="none"/>
        </w:rPr>
      </w:pPr>
    </w:p>
    <w:p w14:paraId="3C099AE3"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 xml:space="preserve">No pharmacies provided this service in 2024/25, and no pharmacies provided this service in the first ten months of 2025/26. </w:t>
      </w:r>
    </w:p>
    <w:p w14:paraId="5787D58C" w14:textId="77777777" w:rsidR="00487A56" w:rsidRDefault="00487A56" w:rsidP="00B519BF">
      <w:pPr>
        <w:rPr>
          <w:rFonts w:eastAsia="Times New Roman" w:cs="Arial"/>
          <w:kern w:val="0"/>
          <w:lang w:eastAsia="en-GB"/>
          <w14:ligatures w14:val="none"/>
        </w:rPr>
      </w:pPr>
    </w:p>
    <w:p w14:paraId="75AF25B4" w14:textId="77777777" w:rsidR="00F834C5" w:rsidRDefault="00F834C5" w:rsidP="00B519BF">
      <w:pPr>
        <w:rPr>
          <w:rFonts w:eastAsia="Times New Roman" w:cs="Arial"/>
          <w:kern w:val="0"/>
          <w:lang w:eastAsia="en-GB"/>
          <w14:ligatures w14:val="none"/>
        </w:rPr>
      </w:pPr>
    </w:p>
    <w:p w14:paraId="334F6AC3" w14:textId="77777777" w:rsidR="00F834C5" w:rsidRPr="00487A56" w:rsidRDefault="00F834C5" w:rsidP="00B519BF">
      <w:pPr>
        <w:rPr>
          <w:rFonts w:eastAsia="Times New Roman" w:cs="Arial"/>
          <w:kern w:val="0"/>
          <w:lang w:eastAsia="en-GB"/>
          <w14:ligatures w14:val="none"/>
        </w:rPr>
      </w:pPr>
    </w:p>
    <w:p w14:paraId="111848F5"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lastRenderedPageBreak/>
        <w:t xml:space="preserve">14.3.2.5 Medicines administration record service </w:t>
      </w:r>
    </w:p>
    <w:p w14:paraId="6BB3A476" w14:textId="77777777" w:rsidR="00487A56" w:rsidRPr="00487A56" w:rsidRDefault="00487A56" w:rsidP="00B519BF">
      <w:pPr>
        <w:rPr>
          <w:rFonts w:eastAsia="Times New Roman" w:cs="Arial"/>
          <w:kern w:val="0"/>
          <w:lang w:eastAsia="en-GB"/>
          <w14:ligatures w14:val="none"/>
        </w:rPr>
      </w:pPr>
    </w:p>
    <w:p w14:paraId="65B92B51"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Nine of the pharmacies have signed up to provide this service.</w:t>
      </w:r>
    </w:p>
    <w:p w14:paraId="0BBFA45C" w14:textId="77777777" w:rsidR="00487A56" w:rsidRPr="00487A56" w:rsidRDefault="00487A56" w:rsidP="00B519BF">
      <w:pPr>
        <w:rPr>
          <w:rFonts w:eastAsia="Times New Roman" w:cs="Arial"/>
          <w:kern w:val="0"/>
          <w:lang w:eastAsia="en-GB"/>
          <w14:ligatures w14:val="none"/>
        </w:rPr>
      </w:pPr>
    </w:p>
    <w:p w14:paraId="52112068" w14:textId="77777777" w:rsidR="00487A56" w:rsidRPr="00487A56" w:rsidRDefault="00487A56" w:rsidP="00B519BF">
      <w:pPr>
        <w:contextualSpacing/>
        <w:rPr>
          <w:rFonts w:eastAsia="Times New Roman" w:cs="Arial"/>
          <w:kern w:val="0"/>
          <w:lang w:eastAsia="en-GB"/>
          <w14:ligatures w14:val="none"/>
        </w:rPr>
      </w:pPr>
      <w:r w:rsidRPr="00487A56">
        <w:rPr>
          <w:rFonts w:eastAsia="Times New Roman" w:cs="Arial"/>
          <w:kern w:val="0"/>
          <w:lang w:eastAsia="en-GB"/>
          <w14:ligatures w14:val="none"/>
        </w:rPr>
        <w:t>Five pharmacies provided the service in 2024/25, providing a total of 229 charts to patients (range at pharmacy level ten to 71). Seven pharmacies provided the service in the first ten months of 2025/26, providing a total of 1,094 chart to patients (range at pharmacy level 37 to 344)</w:t>
      </w:r>
    </w:p>
    <w:p w14:paraId="76151E74" w14:textId="77777777" w:rsidR="00487A56" w:rsidRPr="00487A56" w:rsidRDefault="00487A56" w:rsidP="00B519BF">
      <w:pPr>
        <w:ind w:left="720"/>
        <w:contextualSpacing/>
        <w:rPr>
          <w:rFonts w:eastAsia="Times New Roman" w:cs="Arial"/>
          <w:kern w:val="0"/>
          <w:lang w:eastAsia="en-GB"/>
          <w14:ligatures w14:val="none"/>
        </w:rPr>
      </w:pPr>
    </w:p>
    <w:p w14:paraId="233E3ED4"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14.3.2.6 Needle and syringe programmes</w:t>
      </w:r>
    </w:p>
    <w:p w14:paraId="25FD1A11" w14:textId="77777777" w:rsidR="00487A56" w:rsidRPr="00487A56" w:rsidRDefault="00487A56" w:rsidP="00B519BF">
      <w:pPr>
        <w:rPr>
          <w:rFonts w:eastAsia="Times New Roman" w:cs="Arial"/>
          <w:kern w:val="0"/>
          <w:lang w:eastAsia="en-GB"/>
          <w14:ligatures w14:val="none"/>
        </w:rPr>
      </w:pPr>
    </w:p>
    <w:p w14:paraId="79DDC9DA"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Four of the pharmacies have signed up to provide this service.</w:t>
      </w:r>
    </w:p>
    <w:p w14:paraId="4C959B91" w14:textId="77777777" w:rsidR="00487A56" w:rsidRPr="00487A56" w:rsidRDefault="00487A56" w:rsidP="00B519BF">
      <w:pPr>
        <w:rPr>
          <w:rFonts w:eastAsia="Times New Roman" w:cs="Arial"/>
          <w:kern w:val="0"/>
          <w:lang w:eastAsia="en-GB"/>
          <w14:ligatures w14:val="none"/>
        </w:rPr>
      </w:pPr>
    </w:p>
    <w:p w14:paraId="227DEEC2"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 xml:space="preserve">Four pharmacies provided the service in 2024/25, providing a total of 983 provisions (range at pharmacy level 11 to 671). Three pharmacies in the first ten months of 2025/26, provided a total of 752 provisions (range at pharmacy level 35 to 413). </w:t>
      </w:r>
    </w:p>
    <w:p w14:paraId="543D3D3A" w14:textId="77777777" w:rsidR="00487A56" w:rsidRPr="00487A56" w:rsidRDefault="00487A56" w:rsidP="00B519BF">
      <w:pPr>
        <w:rPr>
          <w:rFonts w:eastAsia="Times New Roman" w:cs="Arial"/>
          <w:kern w:val="0"/>
          <w:lang w:eastAsia="en-GB"/>
          <w14:ligatures w14:val="none"/>
        </w:rPr>
      </w:pPr>
    </w:p>
    <w:p w14:paraId="4C62AF1D"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14.3.2.7 Help me quit @ pharmacy (level 2 smoking cessation) service</w:t>
      </w:r>
    </w:p>
    <w:p w14:paraId="00E4CB99" w14:textId="77777777" w:rsidR="00487A56" w:rsidRPr="00487A56" w:rsidRDefault="00487A56" w:rsidP="00B519BF">
      <w:pPr>
        <w:rPr>
          <w:rFonts w:eastAsia="Times New Roman" w:cs="Arial"/>
          <w:kern w:val="0"/>
          <w:lang w:eastAsia="en-GB"/>
          <w14:ligatures w14:val="none"/>
        </w:rPr>
      </w:pPr>
    </w:p>
    <w:p w14:paraId="64635AD0"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All the pharmacies have signed up to provide this service.</w:t>
      </w:r>
    </w:p>
    <w:p w14:paraId="529FBA2D" w14:textId="77777777" w:rsidR="00487A56" w:rsidRPr="00487A56" w:rsidRDefault="00487A56" w:rsidP="00B519BF">
      <w:pPr>
        <w:rPr>
          <w:rFonts w:eastAsia="Times New Roman" w:cs="Arial"/>
          <w:kern w:val="0"/>
          <w:lang w:eastAsia="en-GB"/>
          <w14:ligatures w14:val="none"/>
        </w:rPr>
      </w:pPr>
    </w:p>
    <w:p w14:paraId="54B622C5"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All pharmacies provided the service in 2024/25, supporting 487 people (range at pharmacy level five to 125). Nine pharmacies provided this service in the first ten months of 2025/26, supporting 320 people (range at pharmacy level one to 71).</w:t>
      </w:r>
    </w:p>
    <w:p w14:paraId="6A60B1E9" w14:textId="77777777" w:rsidR="00487A56" w:rsidRPr="00487A56" w:rsidRDefault="00487A56" w:rsidP="00B519BF">
      <w:pPr>
        <w:rPr>
          <w:rFonts w:eastAsia="Times New Roman" w:cs="Arial"/>
          <w:kern w:val="0"/>
          <w:lang w:eastAsia="en-GB"/>
          <w14:ligatures w14:val="none"/>
        </w:rPr>
      </w:pPr>
    </w:p>
    <w:p w14:paraId="1A962963"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14.3.2.8 Help me quit @ pharmacy (level 3 smoking cessation) service</w:t>
      </w:r>
    </w:p>
    <w:p w14:paraId="0DBE8A78" w14:textId="77777777" w:rsidR="00487A56" w:rsidRPr="00487A56" w:rsidRDefault="00487A56" w:rsidP="00B519BF">
      <w:pPr>
        <w:rPr>
          <w:rFonts w:eastAsia="Times New Roman" w:cs="Arial"/>
          <w:kern w:val="0"/>
          <w:lang w:eastAsia="en-GB"/>
          <w14:ligatures w14:val="none"/>
        </w:rPr>
      </w:pPr>
    </w:p>
    <w:p w14:paraId="61D2C65A"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Nine of the pharmacies have signed up to provide the service.</w:t>
      </w:r>
    </w:p>
    <w:p w14:paraId="6E1063B4" w14:textId="77777777" w:rsidR="00487A56" w:rsidRPr="00487A56" w:rsidRDefault="00487A56" w:rsidP="00B519BF">
      <w:pPr>
        <w:rPr>
          <w:rFonts w:eastAsia="Times New Roman" w:cs="Arial"/>
          <w:kern w:val="0"/>
          <w:lang w:eastAsia="en-GB"/>
          <w14:ligatures w14:val="none"/>
        </w:rPr>
      </w:pPr>
    </w:p>
    <w:p w14:paraId="05CDD7A5"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Nine pharmacies provided the service in 2024/25, supporting 508 people (range at pharmacy level 13 to 142). Seven pharmacies provided this service in the first ten months of 2025/26, supporting 445 people (range at pharmacy level 12 to 145).</w:t>
      </w:r>
    </w:p>
    <w:p w14:paraId="44D6941B" w14:textId="77777777" w:rsidR="00487A56" w:rsidRPr="00487A56" w:rsidRDefault="00487A56" w:rsidP="00B519BF">
      <w:pPr>
        <w:rPr>
          <w:rFonts w:eastAsia="Times New Roman" w:cs="Arial"/>
          <w:kern w:val="0"/>
          <w:lang w:eastAsia="en-GB"/>
          <w14:ligatures w14:val="none"/>
        </w:rPr>
      </w:pPr>
    </w:p>
    <w:p w14:paraId="76FCAE5D"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 xml:space="preserve">14.3.2.9 Supervised administration of medicines </w:t>
      </w:r>
    </w:p>
    <w:p w14:paraId="56BA2ED4" w14:textId="77777777" w:rsidR="00487A56" w:rsidRPr="00487A56" w:rsidRDefault="00487A56" w:rsidP="00B519BF">
      <w:pPr>
        <w:rPr>
          <w:rFonts w:eastAsia="Times New Roman" w:cs="Arial"/>
          <w:kern w:val="0"/>
          <w:lang w:eastAsia="en-GB"/>
          <w14:ligatures w14:val="none"/>
        </w:rPr>
      </w:pPr>
    </w:p>
    <w:p w14:paraId="3FA35D66"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Eight of the pharmacies have signed up to provide this service.</w:t>
      </w:r>
    </w:p>
    <w:p w14:paraId="7942D87C" w14:textId="77777777" w:rsidR="00487A56" w:rsidRPr="00487A56" w:rsidRDefault="00487A56" w:rsidP="00B519BF">
      <w:pPr>
        <w:rPr>
          <w:rFonts w:eastAsia="Times New Roman" w:cs="Arial"/>
          <w:kern w:val="0"/>
          <w:lang w:eastAsia="en-GB"/>
          <w14:ligatures w14:val="none"/>
        </w:rPr>
      </w:pPr>
    </w:p>
    <w:p w14:paraId="1478035D" w14:textId="77777777" w:rsidR="00487A56" w:rsidRPr="00487A56" w:rsidRDefault="00487A56" w:rsidP="00B519BF">
      <w:pPr>
        <w:rPr>
          <w:rFonts w:eastAsia="Aptos" w:cs="Arial"/>
        </w:rPr>
      </w:pPr>
      <w:r w:rsidRPr="00487A56">
        <w:rPr>
          <w:rFonts w:eastAsia="Aptos" w:cs="Arial"/>
        </w:rPr>
        <w:t>In 2024/25, seven pharmacies provided this service to 465 clients (range at pharmacy level 13 to 117), supervising a total of 5,711 doses (range at pharmacy level 188 to 1,470). In the first ten months of 2025/26, six pharmacies provided this service to 362 clients (range at pharmacy level eight to 94), supervising a total of 4,412 doses (range at pharmacy level 88 to 1,434).</w:t>
      </w:r>
    </w:p>
    <w:p w14:paraId="5B25B311" w14:textId="77777777" w:rsidR="00487A56" w:rsidRPr="00487A56" w:rsidRDefault="00487A56" w:rsidP="00B519BF">
      <w:pPr>
        <w:rPr>
          <w:rFonts w:eastAsia="Times New Roman" w:cs="Arial"/>
          <w:kern w:val="0"/>
          <w:lang w:eastAsia="en-GB"/>
          <w14:ligatures w14:val="none"/>
        </w:rPr>
      </w:pPr>
    </w:p>
    <w:p w14:paraId="50537A6D"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 xml:space="preserve">14.3.2.10 Urgent medicines service </w:t>
      </w:r>
    </w:p>
    <w:p w14:paraId="2D8C8CFA" w14:textId="77777777" w:rsidR="00487A56" w:rsidRPr="00487A56" w:rsidRDefault="00487A56" w:rsidP="00B519BF">
      <w:pPr>
        <w:rPr>
          <w:rFonts w:eastAsia="Times New Roman" w:cs="Arial"/>
          <w:kern w:val="0"/>
          <w:lang w:eastAsia="en-GB"/>
          <w14:ligatures w14:val="none"/>
        </w:rPr>
      </w:pPr>
    </w:p>
    <w:p w14:paraId="04092372"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Three of the pharmacies have signed up to provide this service.</w:t>
      </w:r>
    </w:p>
    <w:p w14:paraId="50FF81FC" w14:textId="77777777" w:rsidR="00F834C5" w:rsidRPr="00487A56" w:rsidRDefault="00F834C5" w:rsidP="00B519BF">
      <w:pPr>
        <w:rPr>
          <w:rFonts w:eastAsia="Aptos" w:cs="Arial"/>
        </w:rPr>
      </w:pPr>
    </w:p>
    <w:p w14:paraId="6A438203" w14:textId="77777777" w:rsidR="00487A56" w:rsidRPr="00487A56" w:rsidRDefault="00487A56" w:rsidP="00B519BF">
      <w:pPr>
        <w:rPr>
          <w:rFonts w:eastAsia="Aptos" w:cs="Arial"/>
          <w:b/>
          <w:bCs/>
          <w:sz w:val="26"/>
          <w:szCs w:val="26"/>
        </w:rPr>
      </w:pPr>
      <w:r w:rsidRPr="00487A56">
        <w:rPr>
          <w:rFonts w:eastAsia="Aptos" w:cs="Arial"/>
          <w:b/>
          <w:bCs/>
          <w:sz w:val="26"/>
          <w:szCs w:val="26"/>
        </w:rPr>
        <w:t>14.4 Current provision of pharmaceutical services outside the locality</w:t>
      </w:r>
    </w:p>
    <w:p w14:paraId="3ADF9A1C" w14:textId="77777777" w:rsidR="00487A56" w:rsidRPr="00487A56" w:rsidRDefault="00487A56" w:rsidP="00B519BF">
      <w:pPr>
        <w:rPr>
          <w:rFonts w:eastAsia="Aptos" w:cs="Arial"/>
        </w:rPr>
      </w:pPr>
    </w:p>
    <w:p w14:paraId="1632F95B" w14:textId="4F05C522" w:rsidR="00F834C5" w:rsidRDefault="00487A56" w:rsidP="00B519BF">
      <w:pPr>
        <w:rPr>
          <w:rFonts w:eastAsia="Aptos" w:cs="Arial"/>
        </w:rPr>
      </w:pPr>
      <w:r w:rsidRPr="00487A56">
        <w:rPr>
          <w:rFonts w:eastAsia="Aptos" w:cs="Arial"/>
        </w:rPr>
        <w:t>Some residents may choose to access contractors outside both the locality and the</w:t>
      </w:r>
      <w:r w:rsidR="000537CC">
        <w:rPr>
          <w:rFonts w:eastAsia="Aptos" w:cs="Arial"/>
        </w:rPr>
        <w:t xml:space="preserve"> </w:t>
      </w:r>
    </w:p>
    <w:p w14:paraId="2F280907" w14:textId="184E3DDF" w:rsidR="00487A56" w:rsidRPr="00487A56" w:rsidRDefault="00487A56" w:rsidP="00B519BF">
      <w:pPr>
        <w:rPr>
          <w:rFonts w:eastAsia="Aptos" w:cs="Arial"/>
        </w:rPr>
      </w:pPr>
      <w:r w:rsidRPr="00487A56">
        <w:rPr>
          <w:rFonts w:eastAsia="Aptos" w:cs="Arial"/>
        </w:rPr>
        <w:lastRenderedPageBreak/>
        <w:t>health board’s area in order to access services:</w:t>
      </w:r>
    </w:p>
    <w:p w14:paraId="2DEF17C1" w14:textId="77777777" w:rsidR="00487A56" w:rsidRPr="00487A56" w:rsidRDefault="00487A56" w:rsidP="00B519BF">
      <w:pPr>
        <w:rPr>
          <w:rFonts w:eastAsia="Aptos" w:cs="Arial"/>
        </w:rPr>
      </w:pPr>
    </w:p>
    <w:p w14:paraId="486F0228" w14:textId="77777777" w:rsidR="00487A56" w:rsidRPr="00487A56" w:rsidRDefault="00487A56" w:rsidP="00B76905">
      <w:pPr>
        <w:numPr>
          <w:ilvl w:val="0"/>
          <w:numId w:val="196"/>
        </w:numPr>
        <w:contextualSpacing/>
        <w:rPr>
          <w:rFonts w:eastAsia="Aptos" w:cs="Arial"/>
        </w:rPr>
      </w:pPr>
      <w:r w:rsidRPr="00487A56">
        <w:rPr>
          <w:rFonts w:eastAsia="Aptos" w:cs="Arial"/>
        </w:rPr>
        <w:t>Offered by dispensing appliance contractors</w:t>
      </w:r>
    </w:p>
    <w:p w14:paraId="65B29777" w14:textId="77777777" w:rsidR="00487A56" w:rsidRPr="00487A56" w:rsidRDefault="00487A56" w:rsidP="00B76905">
      <w:pPr>
        <w:numPr>
          <w:ilvl w:val="0"/>
          <w:numId w:val="196"/>
        </w:numPr>
        <w:contextualSpacing/>
        <w:rPr>
          <w:rFonts w:eastAsia="Aptos" w:cs="Arial"/>
        </w:rPr>
      </w:pPr>
      <w:r w:rsidRPr="00487A56">
        <w:rPr>
          <w:rFonts w:eastAsia="Aptos" w:cs="Arial"/>
        </w:rPr>
        <w:t>Which are located near to where they work, shop or visit for leisure or other purposes</w:t>
      </w:r>
    </w:p>
    <w:p w14:paraId="0F698F65" w14:textId="77777777" w:rsidR="00487A56" w:rsidRPr="00487A56" w:rsidRDefault="00487A56" w:rsidP="00B519BF">
      <w:pPr>
        <w:shd w:val="clear" w:color="auto" w:fill="FFFFFF"/>
        <w:rPr>
          <w:rFonts w:eastAsia="Times New Roman" w:cs="Arial"/>
          <w:kern w:val="0"/>
          <w:lang w:eastAsia="en-GB"/>
          <w14:ligatures w14:val="none"/>
        </w:rPr>
      </w:pPr>
    </w:p>
    <w:p w14:paraId="5FAEBD07" w14:textId="77777777" w:rsidR="00487A56" w:rsidRPr="00487A56" w:rsidRDefault="00487A56" w:rsidP="00B519BF">
      <w:pPr>
        <w:shd w:val="clear" w:color="auto" w:fill="FFFFFF"/>
        <w:rPr>
          <w:rFonts w:eastAsia="Times New Roman" w:cs="Arial"/>
          <w:kern w:val="0"/>
          <w:lang w:eastAsia="en-GB"/>
          <w14:ligatures w14:val="none"/>
        </w:rPr>
      </w:pPr>
      <w:r w:rsidRPr="00487A56">
        <w:rPr>
          <w:rFonts w:eastAsia="Times New Roman" w:cs="Arial"/>
          <w:kern w:val="0"/>
          <w:lang w:eastAsia="en-GB"/>
          <w14:ligatures w14:val="none"/>
        </w:rPr>
        <w:t>Whilst the majority of prescriptions written by the GP practices in 2024/25 were dispensed by the pharmacies in the locality (74.8%), 24.1% were dispensed outside the locality.</w:t>
      </w:r>
    </w:p>
    <w:p w14:paraId="4D969D3E" w14:textId="77777777" w:rsidR="00487A56" w:rsidRPr="00487A56" w:rsidRDefault="00487A56" w:rsidP="00B519BF">
      <w:pPr>
        <w:shd w:val="clear" w:color="auto" w:fill="FFFFFF"/>
        <w:rPr>
          <w:rFonts w:eastAsia="Times New Roman" w:cs="Arial"/>
          <w:kern w:val="0"/>
          <w:lang w:eastAsia="en-GB"/>
          <w14:ligatures w14:val="none"/>
        </w:rPr>
      </w:pPr>
    </w:p>
    <w:p w14:paraId="261B3C5A" w14:textId="77777777" w:rsidR="00487A56" w:rsidRPr="00487A56" w:rsidRDefault="00487A56" w:rsidP="00B76905">
      <w:pPr>
        <w:numPr>
          <w:ilvl w:val="0"/>
          <w:numId w:val="152"/>
        </w:numPr>
        <w:shd w:val="clear" w:color="auto" w:fill="FFFFFF"/>
        <w:rPr>
          <w:rFonts w:eastAsia="Times New Roman" w:cs="Arial"/>
          <w:kern w:val="0"/>
          <w:lang w:eastAsia="en-GB"/>
          <w14:ligatures w14:val="none"/>
        </w:rPr>
      </w:pPr>
      <w:r w:rsidRPr="00487A56">
        <w:rPr>
          <w:rFonts w:eastAsia="Times New Roman" w:cs="Arial"/>
          <w:kern w:val="0"/>
          <w:lang w:eastAsia="en-GB"/>
          <w14:ligatures w14:val="none"/>
        </w:rPr>
        <w:t>17.1% by pharmacies in Afan locality</w:t>
      </w:r>
    </w:p>
    <w:p w14:paraId="7DE70097" w14:textId="77777777" w:rsidR="00487A56" w:rsidRPr="00487A56" w:rsidRDefault="00487A56" w:rsidP="00B76905">
      <w:pPr>
        <w:numPr>
          <w:ilvl w:val="0"/>
          <w:numId w:val="152"/>
        </w:numPr>
        <w:shd w:val="clear" w:color="auto" w:fill="FFFFFF"/>
        <w:rPr>
          <w:rFonts w:eastAsia="Times New Roman" w:cs="Arial"/>
          <w:kern w:val="0"/>
          <w:lang w:eastAsia="en-GB"/>
          <w14:ligatures w14:val="none"/>
        </w:rPr>
      </w:pPr>
      <w:r w:rsidRPr="00487A56">
        <w:rPr>
          <w:rFonts w:eastAsia="Times New Roman" w:cs="Arial"/>
          <w:kern w:val="0"/>
          <w:lang w:eastAsia="en-GB"/>
          <w14:ligatures w14:val="none"/>
        </w:rPr>
        <w:t>1.7% by pharmacies in Cwm Taf Morgannwg University Health Board</w:t>
      </w:r>
    </w:p>
    <w:p w14:paraId="220E8E07" w14:textId="77777777" w:rsidR="00487A56" w:rsidRPr="00487A56" w:rsidRDefault="00487A56" w:rsidP="00B76905">
      <w:pPr>
        <w:numPr>
          <w:ilvl w:val="0"/>
          <w:numId w:val="152"/>
        </w:numPr>
        <w:shd w:val="clear" w:color="auto" w:fill="FFFFFF"/>
        <w:rPr>
          <w:rFonts w:eastAsia="Times New Roman" w:cs="Arial"/>
          <w:kern w:val="0"/>
          <w:lang w:eastAsia="en-GB"/>
          <w14:ligatures w14:val="none"/>
        </w:rPr>
      </w:pPr>
      <w:r w:rsidRPr="00487A56">
        <w:rPr>
          <w:rFonts w:eastAsia="Times New Roman" w:cs="Arial"/>
          <w:kern w:val="0"/>
          <w:lang w:eastAsia="en-GB"/>
          <w14:ligatures w14:val="none"/>
        </w:rPr>
        <w:t>1.6% by pharmacies in Upper Valleys locality</w:t>
      </w:r>
    </w:p>
    <w:p w14:paraId="236B6F0C" w14:textId="77777777" w:rsidR="00487A56" w:rsidRPr="00487A56" w:rsidRDefault="00487A56" w:rsidP="00B76905">
      <w:pPr>
        <w:numPr>
          <w:ilvl w:val="0"/>
          <w:numId w:val="152"/>
        </w:numPr>
        <w:shd w:val="clear" w:color="auto" w:fill="FFFFFF"/>
        <w:rPr>
          <w:rFonts w:eastAsia="Times New Roman" w:cs="Arial"/>
          <w:kern w:val="0"/>
          <w:lang w:eastAsia="en-GB"/>
          <w14:ligatures w14:val="none"/>
        </w:rPr>
      </w:pPr>
      <w:r w:rsidRPr="00487A56">
        <w:rPr>
          <w:rFonts w:eastAsia="Times New Roman" w:cs="Arial"/>
          <w:kern w:val="0"/>
          <w:lang w:eastAsia="en-GB"/>
          <w14:ligatures w14:val="none"/>
        </w:rPr>
        <w:t>1.4% by pharmacies in City Health locality</w:t>
      </w:r>
    </w:p>
    <w:p w14:paraId="6B8FE44B" w14:textId="77777777" w:rsidR="00487A56" w:rsidRPr="00487A56" w:rsidRDefault="00487A56" w:rsidP="00B76905">
      <w:pPr>
        <w:numPr>
          <w:ilvl w:val="0"/>
          <w:numId w:val="152"/>
        </w:numPr>
        <w:shd w:val="clear" w:color="auto" w:fill="FFFFFF"/>
        <w:rPr>
          <w:rFonts w:eastAsia="Times New Roman" w:cs="Arial"/>
          <w:kern w:val="0"/>
          <w:lang w:eastAsia="en-GB"/>
          <w14:ligatures w14:val="none"/>
        </w:rPr>
      </w:pPr>
      <w:r w:rsidRPr="00487A56">
        <w:rPr>
          <w:rFonts w:eastAsia="Times New Roman" w:cs="Arial"/>
          <w:kern w:val="0"/>
          <w:lang w:eastAsia="en-GB"/>
          <w14:ligatures w14:val="none"/>
        </w:rPr>
        <w:t>1.0% by pharmacies in Cwmtawe locality</w:t>
      </w:r>
    </w:p>
    <w:p w14:paraId="0A35EF49" w14:textId="77777777" w:rsidR="00487A56" w:rsidRPr="00487A56" w:rsidRDefault="00487A56" w:rsidP="00B76905">
      <w:pPr>
        <w:numPr>
          <w:ilvl w:val="0"/>
          <w:numId w:val="152"/>
        </w:numPr>
        <w:shd w:val="clear" w:color="auto" w:fill="FFFFFF"/>
        <w:rPr>
          <w:rFonts w:eastAsia="Times New Roman" w:cs="Arial"/>
          <w:kern w:val="0"/>
          <w:lang w:eastAsia="en-GB"/>
          <w14:ligatures w14:val="none"/>
        </w:rPr>
      </w:pPr>
      <w:r w:rsidRPr="00487A56">
        <w:rPr>
          <w:rFonts w:eastAsia="Times New Roman" w:cs="Arial"/>
          <w:kern w:val="0"/>
          <w:lang w:eastAsia="en-GB"/>
          <w14:ligatures w14:val="none"/>
        </w:rPr>
        <w:t>0.7% by contractors in England</w:t>
      </w:r>
    </w:p>
    <w:p w14:paraId="5229757F" w14:textId="77777777" w:rsidR="00487A56" w:rsidRPr="00487A56" w:rsidRDefault="00487A56" w:rsidP="00B76905">
      <w:pPr>
        <w:numPr>
          <w:ilvl w:val="0"/>
          <w:numId w:val="152"/>
        </w:numPr>
        <w:shd w:val="clear" w:color="auto" w:fill="FFFFFF"/>
        <w:rPr>
          <w:rFonts w:eastAsia="Times New Roman" w:cs="Arial"/>
          <w:kern w:val="0"/>
          <w:lang w:eastAsia="en-GB"/>
          <w14:ligatures w14:val="none"/>
        </w:rPr>
      </w:pPr>
      <w:r w:rsidRPr="00487A56">
        <w:rPr>
          <w:rFonts w:eastAsia="Times New Roman" w:cs="Arial"/>
          <w:kern w:val="0"/>
          <w:lang w:eastAsia="en-GB"/>
          <w14:ligatures w14:val="none"/>
        </w:rPr>
        <w:t>0.4% by pharmacies in Penderi locality</w:t>
      </w:r>
    </w:p>
    <w:p w14:paraId="1B8D68E6" w14:textId="77777777" w:rsidR="00487A56" w:rsidRPr="00487A56" w:rsidRDefault="00487A56" w:rsidP="00B76905">
      <w:pPr>
        <w:numPr>
          <w:ilvl w:val="0"/>
          <w:numId w:val="152"/>
        </w:numPr>
        <w:shd w:val="clear" w:color="auto" w:fill="FFFFFF"/>
        <w:rPr>
          <w:rFonts w:eastAsia="Times New Roman" w:cs="Arial"/>
          <w:kern w:val="0"/>
          <w:lang w:eastAsia="en-GB"/>
          <w14:ligatures w14:val="none"/>
        </w:rPr>
      </w:pPr>
      <w:r w:rsidRPr="00487A56">
        <w:rPr>
          <w:rFonts w:eastAsia="Times New Roman" w:cs="Arial"/>
          <w:kern w:val="0"/>
          <w:lang w:eastAsia="en-GB"/>
          <w14:ligatures w14:val="none"/>
        </w:rPr>
        <w:t>0.1% by pharmacies in Cardiff and Vale University Health Board</w:t>
      </w:r>
    </w:p>
    <w:p w14:paraId="1AFDF847" w14:textId="77777777" w:rsidR="00487A56" w:rsidRPr="00487A56" w:rsidRDefault="00487A56" w:rsidP="00B76905">
      <w:pPr>
        <w:numPr>
          <w:ilvl w:val="0"/>
          <w:numId w:val="152"/>
        </w:numPr>
        <w:shd w:val="clear" w:color="auto" w:fill="FFFFFF"/>
        <w:rPr>
          <w:rFonts w:eastAsia="Times New Roman" w:cs="Arial"/>
          <w:kern w:val="0"/>
          <w:lang w:eastAsia="en-GB"/>
          <w14:ligatures w14:val="none"/>
        </w:rPr>
      </w:pPr>
      <w:r w:rsidRPr="00487A56">
        <w:rPr>
          <w:rFonts w:eastAsia="Times New Roman" w:cs="Arial"/>
          <w:kern w:val="0"/>
          <w:lang w:eastAsia="en-GB"/>
          <w14:ligatures w14:val="none"/>
        </w:rPr>
        <w:t xml:space="preserve">0.1% by pharmacies in Hywel Dda University Health Board </w:t>
      </w:r>
    </w:p>
    <w:p w14:paraId="1C2A8287" w14:textId="77777777" w:rsidR="00487A56" w:rsidRPr="00487A56" w:rsidRDefault="00487A56" w:rsidP="00B519BF">
      <w:pPr>
        <w:shd w:val="clear" w:color="auto" w:fill="FFFFFF"/>
        <w:rPr>
          <w:rFonts w:eastAsia="Times New Roman" w:cs="Arial"/>
          <w:kern w:val="0"/>
          <w:lang w:eastAsia="en-GB"/>
          <w14:ligatures w14:val="none"/>
        </w:rPr>
      </w:pPr>
    </w:p>
    <w:p w14:paraId="25DE3A81" w14:textId="77777777" w:rsidR="00487A56" w:rsidRPr="00487A56" w:rsidRDefault="00487A56" w:rsidP="00B519BF">
      <w:pPr>
        <w:shd w:val="clear" w:color="auto" w:fill="FFFFFF"/>
        <w:rPr>
          <w:rFonts w:eastAsia="Times New Roman" w:cs="Arial"/>
          <w:kern w:val="0"/>
          <w:lang w:eastAsia="en-GB"/>
          <w14:ligatures w14:val="none"/>
        </w:rPr>
      </w:pPr>
      <w:r w:rsidRPr="00487A56">
        <w:rPr>
          <w:rFonts w:eastAsia="Times New Roman" w:cs="Arial"/>
          <w:kern w:val="0"/>
          <w:lang w:eastAsia="en-GB"/>
          <w14:ligatures w14:val="none"/>
        </w:rPr>
        <w:t>In the first nine months of 2025/26 the majority of prescriptions written by the GP practices were dispensed by the pharmacies in the locality (68.6%), with 31.0% dispensed outside the locality.</w:t>
      </w:r>
    </w:p>
    <w:p w14:paraId="597728F3" w14:textId="77777777" w:rsidR="00487A56" w:rsidRPr="00487A56" w:rsidRDefault="00487A56" w:rsidP="00B519BF">
      <w:pPr>
        <w:shd w:val="clear" w:color="auto" w:fill="FFFFFF"/>
        <w:rPr>
          <w:rFonts w:eastAsia="Times New Roman" w:cs="Arial"/>
          <w:kern w:val="0"/>
          <w:lang w:eastAsia="en-GB"/>
          <w14:ligatures w14:val="none"/>
        </w:rPr>
      </w:pPr>
    </w:p>
    <w:p w14:paraId="4B6AD40F" w14:textId="77777777" w:rsidR="00487A56" w:rsidRPr="00487A56" w:rsidRDefault="00487A56" w:rsidP="00B76905">
      <w:pPr>
        <w:numPr>
          <w:ilvl w:val="0"/>
          <w:numId w:val="152"/>
        </w:numPr>
        <w:textAlignment w:val="baseline"/>
        <w:rPr>
          <w:rFonts w:eastAsia="Times New Roman" w:cs="Arial"/>
          <w:kern w:val="0"/>
          <w:lang w:eastAsia="en-GB"/>
          <w14:ligatures w14:val="none"/>
        </w:rPr>
      </w:pPr>
      <w:r w:rsidRPr="00487A56">
        <w:rPr>
          <w:rFonts w:eastAsia="Times New Roman" w:cs="Arial"/>
          <w:kern w:val="0"/>
          <w:lang w:eastAsia="en-GB"/>
          <w14:ligatures w14:val="none"/>
        </w:rPr>
        <w:t>22.3% by pharmacies in Afan locality</w:t>
      </w:r>
    </w:p>
    <w:p w14:paraId="5C561EDC" w14:textId="77777777" w:rsidR="00487A56" w:rsidRPr="00487A56" w:rsidRDefault="00487A56" w:rsidP="00B76905">
      <w:pPr>
        <w:numPr>
          <w:ilvl w:val="0"/>
          <w:numId w:val="152"/>
        </w:numPr>
        <w:textAlignment w:val="baseline"/>
        <w:rPr>
          <w:rFonts w:eastAsia="Times New Roman" w:cs="Arial"/>
          <w:kern w:val="0"/>
          <w:lang w:eastAsia="en-GB"/>
          <w14:ligatures w14:val="none"/>
        </w:rPr>
      </w:pPr>
      <w:r w:rsidRPr="00487A56">
        <w:rPr>
          <w:rFonts w:eastAsia="Times New Roman" w:cs="Arial"/>
          <w:kern w:val="0"/>
          <w:lang w:eastAsia="en-GB"/>
          <w14:ligatures w14:val="none"/>
        </w:rPr>
        <w:t>2.9% by pharmacies in Cwm Taf Morgannwg University Health Board</w:t>
      </w:r>
    </w:p>
    <w:p w14:paraId="6EEACED6" w14:textId="77777777" w:rsidR="00487A56" w:rsidRPr="00487A56" w:rsidRDefault="00487A56" w:rsidP="00B76905">
      <w:pPr>
        <w:numPr>
          <w:ilvl w:val="0"/>
          <w:numId w:val="152"/>
        </w:numPr>
        <w:textAlignment w:val="baseline"/>
        <w:rPr>
          <w:rFonts w:eastAsia="Times New Roman" w:cs="Arial"/>
          <w:kern w:val="0"/>
          <w:lang w:eastAsia="en-GB"/>
          <w14:ligatures w14:val="none"/>
        </w:rPr>
      </w:pPr>
      <w:r w:rsidRPr="00487A56">
        <w:rPr>
          <w:rFonts w:eastAsia="Times New Roman" w:cs="Arial"/>
          <w:kern w:val="0"/>
          <w:lang w:eastAsia="en-GB"/>
          <w14:ligatures w14:val="none"/>
        </w:rPr>
        <w:t>1.9% by pharmacies in the Upper Valleys locality</w:t>
      </w:r>
    </w:p>
    <w:p w14:paraId="410DDDAE" w14:textId="77777777" w:rsidR="00487A56" w:rsidRPr="00487A56" w:rsidRDefault="00487A56" w:rsidP="00B76905">
      <w:pPr>
        <w:numPr>
          <w:ilvl w:val="0"/>
          <w:numId w:val="152"/>
        </w:numPr>
        <w:textAlignment w:val="baseline"/>
        <w:rPr>
          <w:rFonts w:eastAsia="Times New Roman" w:cs="Arial"/>
          <w:kern w:val="0"/>
          <w:lang w:eastAsia="en-GB"/>
          <w14:ligatures w14:val="none"/>
        </w:rPr>
      </w:pPr>
      <w:r w:rsidRPr="00487A56">
        <w:rPr>
          <w:rFonts w:eastAsia="Times New Roman" w:cs="Arial"/>
          <w:kern w:val="0"/>
          <w:lang w:eastAsia="en-GB"/>
          <w14:ligatures w14:val="none"/>
        </w:rPr>
        <w:t>1.3% by pharmacies in City Health locality</w:t>
      </w:r>
    </w:p>
    <w:p w14:paraId="4BFE3274" w14:textId="77777777" w:rsidR="00487A56" w:rsidRPr="00487A56" w:rsidRDefault="00487A56" w:rsidP="00B76905">
      <w:pPr>
        <w:numPr>
          <w:ilvl w:val="0"/>
          <w:numId w:val="152"/>
        </w:numPr>
        <w:textAlignment w:val="baseline"/>
        <w:rPr>
          <w:rFonts w:eastAsia="Times New Roman" w:cs="Arial"/>
          <w:kern w:val="0"/>
          <w:lang w:eastAsia="en-GB"/>
          <w14:ligatures w14:val="none"/>
        </w:rPr>
      </w:pPr>
      <w:r w:rsidRPr="00487A56">
        <w:rPr>
          <w:rFonts w:eastAsia="Times New Roman" w:cs="Arial"/>
          <w:kern w:val="0"/>
          <w:lang w:eastAsia="en-GB"/>
          <w14:ligatures w14:val="none"/>
        </w:rPr>
        <w:t>1.1% by pharmacies in Cwmtawe locality</w:t>
      </w:r>
    </w:p>
    <w:p w14:paraId="71E26899" w14:textId="77777777" w:rsidR="00487A56" w:rsidRPr="00487A56" w:rsidRDefault="00487A56" w:rsidP="00B76905">
      <w:pPr>
        <w:numPr>
          <w:ilvl w:val="0"/>
          <w:numId w:val="152"/>
        </w:numPr>
        <w:textAlignment w:val="baseline"/>
        <w:rPr>
          <w:rFonts w:eastAsia="Times New Roman" w:cs="Arial"/>
          <w:kern w:val="0"/>
          <w:lang w:eastAsia="en-GB"/>
          <w14:ligatures w14:val="none"/>
        </w:rPr>
      </w:pPr>
      <w:r w:rsidRPr="00487A56">
        <w:rPr>
          <w:rFonts w:eastAsia="Times New Roman" w:cs="Arial"/>
          <w:kern w:val="0"/>
          <w:lang w:eastAsia="en-GB"/>
          <w14:ligatures w14:val="none"/>
        </w:rPr>
        <w:t xml:space="preserve">0.6% by contractors in England </w:t>
      </w:r>
    </w:p>
    <w:p w14:paraId="15D3BB55" w14:textId="77777777" w:rsidR="00487A56" w:rsidRPr="00487A56" w:rsidRDefault="00487A56" w:rsidP="00B76905">
      <w:pPr>
        <w:numPr>
          <w:ilvl w:val="0"/>
          <w:numId w:val="152"/>
        </w:numPr>
        <w:textAlignment w:val="baseline"/>
        <w:rPr>
          <w:rFonts w:eastAsia="Times New Roman" w:cs="Arial"/>
          <w:kern w:val="0"/>
          <w:lang w:eastAsia="en-GB"/>
          <w14:ligatures w14:val="none"/>
        </w:rPr>
      </w:pPr>
      <w:r w:rsidRPr="00487A56">
        <w:rPr>
          <w:rFonts w:eastAsia="Times New Roman" w:cs="Arial"/>
          <w:kern w:val="0"/>
          <w:lang w:eastAsia="en-GB"/>
          <w14:ligatures w14:val="none"/>
        </w:rPr>
        <w:t>0.5% by pharmacies in Penderi locality</w:t>
      </w:r>
    </w:p>
    <w:p w14:paraId="76C66831" w14:textId="77777777" w:rsidR="00487A56" w:rsidRPr="00487A56" w:rsidRDefault="00487A56" w:rsidP="00B76905">
      <w:pPr>
        <w:numPr>
          <w:ilvl w:val="0"/>
          <w:numId w:val="152"/>
        </w:numPr>
        <w:textAlignment w:val="baseline"/>
        <w:rPr>
          <w:rFonts w:eastAsia="Times New Roman" w:cs="Arial"/>
          <w:kern w:val="0"/>
          <w:lang w:eastAsia="en-GB"/>
          <w14:ligatures w14:val="none"/>
        </w:rPr>
      </w:pPr>
      <w:r w:rsidRPr="00487A56">
        <w:rPr>
          <w:rFonts w:eastAsia="Times New Roman" w:cs="Arial"/>
          <w:kern w:val="0"/>
          <w:lang w:eastAsia="en-GB"/>
          <w14:ligatures w14:val="none"/>
        </w:rPr>
        <w:t>0.1% by pharmacies in Cardiff and Vale University Health Board</w:t>
      </w:r>
    </w:p>
    <w:p w14:paraId="34982879" w14:textId="77777777" w:rsidR="00487A56" w:rsidRPr="00487A56" w:rsidRDefault="00487A56" w:rsidP="00B76905">
      <w:pPr>
        <w:numPr>
          <w:ilvl w:val="0"/>
          <w:numId w:val="152"/>
        </w:numPr>
        <w:textAlignment w:val="baseline"/>
        <w:rPr>
          <w:rFonts w:eastAsia="Times New Roman" w:cs="Arial"/>
          <w:kern w:val="0"/>
          <w:lang w:eastAsia="en-GB"/>
          <w14:ligatures w14:val="none"/>
        </w:rPr>
      </w:pPr>
      <w:r w:rsidRPr="00487A56">
        <w:rPr>
          <w:rFonts w:eastAsia="Times New Roman" w:cs="Arial"/>
          <w:kern w:val="0"/>
          <w:lang w:eastAsia="en-GB"/>
          <w14:ligatures w14:val="none"/>
        </w:rPr>
        <w:t>0.1% by pharmacies in Hywel Dda University Health Board</w:t>
      </w:r>
    </w:p>
    <w:p w14:paraId="4C55696C" w14:textId="77777777" w:rsidR="00487A56" w:rsidRPr="00487A56" w:rsidRDefault="00487A56" w:rsidP="00B519BF">
      <w:pPr>
        <w:shd w:val="clear" w:color="auto" w:fill="FFFFFF"/>
        <w:ind w:left="774"/>
        <w:rPr>
          <w:rFonts w:eastAsia="Times New Roman" w:cs="Arial"/>
          <w:kern w:val="0"/>
          <w:lang w:eastAsia="en-GB"/>
          <w14:ligatures w14:val="none"/>
        </w:rPr>
      </w:pPr>
    </w:p>
    <w:p w14:paraId="03BA284F" w14:textId="77777777" w:rsidR="00487A56" w:rsidRPr="00487A56" w:rsidRDefault="00487A56" w:rsidP="00B519BF">
      <w:pPr>
        <w:shd w:val="clear" w:color="auto" w:fill="FFFFFF"/>
        <w:rPr>
          <w:rFonts w:eastAsia="Times New Roman" w:cs="Arial"/>
          <w:kern w:val="0"/>
          <w:lang w:eastAsia="en-GB"/>
          <w14:ligatures w14:val="none"/>
        </w:rPr>
      </w:pPr>
      <w:r w:rsidRPr="00487A56">
        <w:rPr>
          <w:rFonts w:eastAsia="Times New Roman" w:cs="Arial"/>
          <w:kern w:val="0"/>
          <w:lang w:eastAsia="en-GB"/>
          <w14:ligatures w14:val="none"/>
        </w:rPr>
        <w:t>In addition, residents may have accessed one or more pharmaceutical services provided by another pharmacy outside of both the locality and the health board’s area; however, it is not possible to quantify this activity from the recorded data.</w:t>
      </w:r>
    </w:p>
    <w:p w14:paraId="17A90A89" w14:textId="77777777" w:rsidR="00487A56" w:rsidRPr="00487A56" w:rsidRDefault="00487A56" w:rsidP="00B519BF">
      <w:pPr>
        <w:rPr>
          <w:rFonts w:eastAsia="Aptos" w:cs="Arial"/>
        </w:rPr>
      </w:pPr>
    </w:p>
    <w:p w14:paraId="4B05E736" w14:textId="77777777" w:rsidR="00487A56" w:rsidRPr="00487A56" w:rsidRDefault="00487A56" w:rsidP="00B519BF">
      <w:pPr>
        <w:rPr>
          <w:rFonts w:eastAsia="Aptos" w:cs="Arial"/>
          <w:b/>
          <w:bCs/>
          <w:sz w:val="26"/>
          <w:szCs w:val="26"/>
        </w:rPr>
      </w:pPr>
      <w:r w:rsidRPr="00487A56">
        <w:rPr>
          <w:rFonts w:eastAsia="Aptos" w:cs="Arial"/>
          <w:b/>
          <w:bCs/>
          <w:sz w:val="26"/>
          <w:szCs w:val="26"/>
        </w:rPr>
        <w:t>14.5 Other NHS services</w:t>
      </w:r>
    </w:p>
    <w:p w14:paraId="3C83DA5C" w14:textId="77777777" w:rsidR="00487A56" w:rsidRPr="00487A56" w:rsidRDefault="00487A56" w:rsidP="00B519BF">
      <w:pPr>
        <w:textAlignment w:val="baseline"/>
        <w:rPr>
          <w:rFonts w:eastAsia="Times New Roman" w:cs="Arial"/>
          <w:kern w:val="0"/>
          <w:lang w:eastAsia="en-GB"/>
          <w14:ligatures w14:val="none"/>
        </w:rPr>
      </w:pPr>
    </w:p>
    <w:p w14:paraId="295CC9CC" w14:textId="77777777" w:rsidR="00487A56" w:rsidRPr="00487A56" w:rsidRDefault="00487A56" w:rsidP="00B519BF">
      <w:pPr>
        <w:textAlignment w:val="baseline"/>
        <w:rPr>
          <w:rFonts w:eastAsia="Times New Roman" w:cs="Arial"/>
          <w:kern w:val="0"/>
          <w:lang w:eastAsia="en-GB"/>
          <w14:ligatures w14:val="none"/>
        </w:rPr>
      </w:pPr>
      <w:r w:rsidRPr="00487A56">
        <w:rPr>
          <w:rFonts w:eastAsia="Times New Roman" w:cs="Arial"/>
          <w:kern w:val="0"/>
          <w:lang w:eastAsia="en-GB"/>
          <w14:ligatures w14:val="none"/>
        </w:rPr>
        <w:t>Details of the NHS services which affect the need for pharmaceutical services can be found in chapter six.</w:t>
      </w:r>
    </w:p>
    <w:p w14:paraId="67B670CC" w14:textId="77777777" w:rsidR="00487A56" w:rsidRPr="00487A56" w:rsidRDefault="00487A56" w:rsidP="00B519BF">
      <w:pPr>
        <w:rPr>
          <w:rFonts w:eastAsia="Aptos" w:cs="Arial"/>
        </w:rPr>
      </w:pPr>
    </w:p>
    <w:p w14:paraId="5D122C35" w14:textId="77777777" w:rsidR="00487A56" w:rsidRPr="00487A56" w:rsidRDefault="00487A56" w:rsidP="00B519BF">
      <w:pPr>
        <w:rPr>
          <w:rFonts w:eastAsia="Aptos" w:cs="Arial"/>
          <w:b/>
          <w:bCs/>
          <w:sz w:val="26"/>
          <w:szCs w:val="26"/>
        </w:rPr>
      </w:pPr>
      <w:r w:rsidRPr="00487A56">
        <w:rPr>
          <w:rFonts w:eastAsia="Aptos" w:cs="Arial"/>
          <w:b/>
          <w:bCs/>
          <w:sz w:val="26"/>
          <w:szCs w:val="26"/>
        </w:rPr>
        <w:t>14.6 Choice with regard to obtaining pharmaceutical services</w:t>
      </w:r>
    </w:p>
    <w:p w14:paraId="1D36CEE3" w14:textId="77777777" w:rsidR="00487A56" w:rsidRPr="00487A56" w:rsidRDefault="00487A56" w:rsidP="00B519BF">
      <w:pPr>
        <w:rPr>
          <w:rFonts w:eastAsia="Aptos" w:cs="Arial"/>
        </w:rPr>
      </w:pPr>
    </w:p>
    <w:p w14:paraId="5AABA7F0" w14:textId="77777777" w:rsidR="00487A56" w:rsidRPr="00487A56" w:rsidRDefault="00487A56" w:rsidP="00B519BF">
      <w:pPr>
        <w:rPr>
          <w:rFonts w:eastAsia="Times New Roman" w:cs="Arial"/>
          <w:kern w:val="0"/>
          <w:lang w:eastAsia="en-GB"/>
          <w14:ligatures w14:val="none"/>
        </w:rPr>
      </w:pPr>
      <w:r w:rsidRPr="00487A56">
        <w:rPr>
          <w:rFonts w:eastAsia="Aptos" w:cs="Arial"/>
        </w:rPr>
        <w:t xml:space="preserve">As can be seen from sections 14.3 and 14.4, those living within the locality and registered with one of the GP practices generally choose to access one of the pharmacies in the locality in order to have their prescriptions dispensed. </w:t>
      </w:r>
      <w:r w:rsidRPr="00487A56">
        <w:rPr>
          <w:rFonts w:eastAsia="Times New Roman" w:cs="Arial"/>
          <w:kern w:val="0"/>
          <w:lang w:eastAsia="en-GB"/>
          <w14:ligatures w14:val="none"/>
        </w:rPr>
        <w:t xml:space="preserve">Those that look outside the locality usually do so to access a neighbouring pharmacy within the </w:t>
      </w:r>
      <w:r w:rsidRPr="00487A56">
        <w:rPr>
          <w:rFonts w:eastAsia="Times New Roman" w:cs="Arial"/>
          <w:kern w:val="0"/>
          <w:lang w:eastAsia="en-GB"/>
          <w14:ligatures w14:val="none"/>
        </w:rPr>
        <w:lastRenderedPageBreak/>
        <w:t xml:space="preserve">health board’s area. A minority choose to have their prescription dispensed by a pharmacy or an appliance contractor outside of the health board’s area. </w:t>
      </w:r>
    </w:p>
    <w:p w14:paraId="06569B5A" w14:textId="77777777" w:rsidR="00487A56" w:rsidRPr="00487A56" w:rsidRDefault="00487A56" w:rsidP="00B519BF">
      <w:pPr>
        <w:rPr>
          <w:rFonts w:eastAsia="Times New Roman" w:cs="Arial"/>
          <w:kern w:val="0"/>
          <w:lang w:val="en-US" w:eastAsia="en-GB"/>
          <w14:ligatures w14:val="none"/>
        </w:rPr>
      </w:pPr>
    </w:p>
    <w:p w14:paraId="43927428" w14:textId="77777777" w:rsidR="00487A56" w:rsidRPr="00487A56" w:rsidRDefault="00487A56" w:rsidP="00B519BF">
      <w:pPr>
        <w:rPr>
          <w:rFonts w:eastAsia="Times New Roman" w:cs="Arial"/>
          <w:kern w:val="0"/>
          <w:lang w:val="en-US" w:eastAsia="en-GB"/>
          <w14:ligatures w14:val="none"/>
        </w:rPr>
      </w:pPr>
      <w:r w:rsidRPr="00487A56">
        <w:rPr>
          <w:rFonts w:eastAsia="Times New Roman" w:cs="Arial"/>
          <w:kern w:val="0"/>
          <w:lang w:val="en-US" w:eastAsia="en-GB"/>
          <w14:ligatures w14:val="none"/>
        </w:rPr>
        <w:t xml:space="preserve">A total of 231 contractors that were trading in Wales during 2024/25, dispensed items written by one of the GP practices in the locality, of which 208 were outside of the health board’s area. 13,347 prescription items were dispensed in England. </w:t>
      </w:r>
    </w:p>
    <w:p w14:paraId="647EFFAA" w14:textId="77777777" w:rsidR="00487A56" w:rsidRPr="00487A56" w:rsidRDefault="00487A56" w:rsidP="00B519BF">
      <w:pPr>
        <w:rPr>
          <w:rFonts w:eastAsia="Times New Roman" w:cs="Arial"/>
          <w:kern w:val="0"/>
          <w:lang w:val="en-US" w:eastAsia="en-GB"/>
          <w14:ligatures w14:val="none"/>
        </w:rPr>
      </w:pPr>
    </w:p>
    <w:p w14:paraId="7723147D" w14:textId="77777777" w:rsidR="00487A56" w:rsidRPr="00487A56" w:rsidRDefault="00487A56" w:rsidP="00B519BF">
      <w:pPr>
        <w:rPr>
          <w:rFonts w:eastAsia="Times New Roman" w:cs="Arial"/>
          <w:kern w:val="0"/>
          <w:lang w:val="en-US" w:eastAsia="en-GB"/>
          <w14:ligatures w14:val="none"/>
        </w:rPr>
      </w:pPr>
      <w:r w:rsidRPr="00487A56">
        <w:rPr>
          <w:rFonts w:eastAsia="Times New Roman" w:cs="Arial"/>
          <w:kern w:val="0"/>
          <w:lang w:val="en-US" w:eastAsia="en-GB"/>
          <w14:ligatures w14:val="none"/>
        </w:rPr>
        <w:t xml:space="preserve">A total of 288 contractors that were trading in Wales during 2025/26 (up to December 2025) dispensed items written by one of the GP practices in the locality, of which 193 were outside of the health board’s area. 8,275 prescription items were dispensed in England. </w:t>
      </w:r>
    </w:p>
    <w:p w14:paraId="17D609A8" w14:textId="77777777" w:rsidR="00487A56" w:rsidRPr="00487A56" w:rsidRDefault="00487A56" w:rsidP="00B519BF">
      <w:pPr>
        <w:rPr>
          <w:rFonts w:eastAsia="Times New Roman" w:cs="Arial"/>
          <w:kern w:val="0"/>
          <w:lang w:val="en-US" w:eastAsia="en-GB"/>
          <w14:ligatures w14:val="none"/>
        </w:rPr>
      </w:pPr>
    </w:p>
    <w:p w14:paraId="093D2A75" w14:textId="77777777" w:rsidR="00487A56" w:rsidRPr="00487A56" w:rsidRDefault="00487A56" w:rsidP="00B519BF">
      <w:pPr>
        <w:rPr>
          <w:rFonts w:eastAsia="Aptos" w:cs="Arial"/>
          <w:b/>
          <w:bCs/>
          <w:sz w:val="26"/>
          <w:szCs w:val="26"/>
        </w:rPr>
      </w:pPr>
      <w:r w:rsidRPr="00487A56">
        <w:rPr>
          <w:rFonts w:eastAsia="Aptos" w:cs="Arial"/>
          <w:b/>
          <w:bCs/>
          <w:sz w:val="26"/>
          <w:szCs w:val="26"/>
        </w:rPr>
        <w:t xml:space="preserve">14.7. Housing developments </w:t>
      </w:r>
    </w:p>
    <w:p w14:paraId="0A92755E" w14:textId="77777777" w:rsidR="00487A56" w:rsidRPr="00487A56" w:rsidRDefault="00487A56" w:rsidP="00B519BF">
      <w:pPr>
        <w:rPr>
          <w:rFonts w:eastAsia="Aptos" w:cs="Arial"/>
        </w:rPr>
      </w:pPr>
    </w:p>
    <w:p w14:paraId="2FAD46BB" w14:textId="77777777" w:rsidR="00487A56" w:rsidRPr="00487A56" w:rsidRDefault="00487A56" w:rsidP="00B519BF">
      <w:pPr>
        <w:rPr>
          <w:rFonts w:eastAsia="Aptos" w:cs="Arial"/>
        </w:rPr>
      </w:pPr>
      <w:r w:rsidRPr="00487A56">
        <w:rPr>
          <w:rFonts w:eastAsia="Aptos" w:cs="Arial"/>
        </w:rPr>
        <w:t>Work is underway in preparing a new local development plan for Neath Port Talbot which will cover the period 2023 to 2038. The following strategic regeneration and placemaking areas are expected to be included in the plan period and the estimated capacity for new housing provision is set out in the table below although this is subject to further detailed assessment so may change as the plan is finalised.</w:t>
      </w:r>
    </w:p>
    <w:p w14:paraId="53DB3351" w14:textId="77777777" w:rsidR="00EC39BA" w:rsidRPr="00487A56" w:rsidRDefault="00EC39BA" w:rsidP="00B519BF">
      <w:pPr>
        <w:rPr>
          <w:rFonts w:eastAsia="Aptos" w:cs="Arial"/>
        </w:rPr>
      </w:pPr>
    </w:p>
    <w:p w14:paraId="1C0EC230" w14:textId="77777777" w:rsidR="00487A56" w:rsidRPr="00487A56" w:rsidRDefault="00487A56" w:rsidP="00B519BF">
      <w:pPr>
        <w:rPr>
          <w:rFonts w:eastAsia="Aptos" w:cs="Arial"/>
          <w:b/>
          <w:bCs/>
        </w:rPr>
      </w:pPr>
      <w:r w:rsidRPr="00487A56">
        <w:rPr>
          <w:rFonts w:eastAsia="Aptos" w:cs="Arial"/>
          <w:b/>
          <w:bCs/>
        </w:rPr>
        <w:t>Table 14.8: Potential housing developments 2023 to 2038 in the locality</w:t>
      </w:r>
    </w:p>
    <w:p w14:paraId="7D3C662E" w14:textId="77777777" w:rsidR="00487A56" w:rsidRPr="00487A56" w:rsidRDefault="00487A56" w:rsidP="00B519BF">
      <w:pPr>
        <w:rPr>
          <w:rFonts w:eastAsia="Aptos" w:cs="Arial"/>
        </w:rPr>
      </w:pPr>
    </w:p>
    <w:tbl>
      <w:tblPr>
        <w:tblW w:w="8548" w:type="dxa"/>
        <w:tblLook w:val="04A0" w:firstRow="1" w:lastRow="0" w:firstColumn="1" w:lastColumn="0" w:noHBand="0" w:noVBand="1"/>
      </w:tblPr>
      <w:tblGrid>
        <w:gridCol w:w="3964"/>
        <w:gridCol w:w="1606"/>
        <w:gridCol w:w="1655"/>
        <w:gridCol w:w="1323"/>
      </w:tblGrid>
      <w:tr w:rsidR="00EC39BA" w:rsidRPr="00D0306F" w14:paraId="030B55C5" w14:textId="77777777" w:rsidTr="00EC39BA">
        <w:trPr>
          <w:trHeight w:val="1335"/>
        </w:trPr>
        <w:tc>
          <w:tcPr>
            <w:tcW w:w="3964" w:type="dxa"/>
            <w:tcBorders>
              <w:top w:val="single" w:sz="4" w:space="0" w:color="auto"/>
              <w:left w:val="single" w:sz="4" w:space="0" w:color="auto"/>
              <w:bottom w:val="single" w:sz="4" w:space="0" w:color="auto"/>
              <w:right w:val="single" w:sz="4" w:space="0" w:color="auto"/>
            </w:tcBorders>
            <w:shd w:val="clear" w:color="auto" w:fill="074F6A" w:themeFill="accent4" w:themeFillShade="80"/>
            <w:vAlign w:val="center"/>
            <w:hideMark/>
          </w:tcPr>
          <w:p w14:paraId="1128DC23" w14:textId="77777777" w:rsidR="00487A56" w:rsidRPr="00487A56" w:rsidRDefault="00487A56" w:rsidP="00B519BF">
            <w:pPr>
              <w:jc w:val="center"/>
              <w:rPr>
                <w:rFonts w:eastAsia="Times New Roman" w:cs="Arial"/>
                <w:b/>
                <w:bCs/>
                <w:color w:val="FFFFFF" w:themeColor="background1"/>
                <w:kern w:val="0"/>
                <w:lang w:eastAsia="en-GB"/>
                <w14:ligatures w14:val="none"/>
              </w:rPr>
            </w:pPr>
            <w:r w:rsidRPr="00487A56">
              <w:rPr>
                <w:rFonts w:eastAsia="Times New Roman" w:cs="Arial"/>
                <w:b/>
                <w:bCs/>
                <w:color w:val="FFFFFF" w:themeColor="background1"/>
                <w:kern w:val="0"/>
                <w:lang w:eastAsia="en-GB"/>
                <w14:ligatures w14:val="none"/>
              </w:rPr>
              <w:t>Site name</w:t>
            </w:r>
          </w:p>
        </w:tc>
        <w:tc>
          <w:tcPr>
            <w:tcW w:w="1606" w:type="dxa"/>
            <w:tcBorders>
              <w:top w:val="single" w:sz="4" w:space="0" w:color="auto"/>
              <w:left w:val="nil"/>
              <w:bottom w:val="single" w:sz="4" w:space="0" w:color="auto"/>
              <w:right w:val="single" w:sz="4" w:space="0" w:color="auto"/>
            </w:tcBorders>
            <w:shd w:val="clear" w:color="auto" w:fill="074F6A" w:themeFill="accent4" w:themeFillShade="80"/>
            <w:vAlign w:val="center"/>
            <w:hideMark/>
          </w:tcPr>
          <w:p w14:paraId="6791F411" w14:textId="77777777" w:rsidR="00487A56" w:rsidRPr="00487A56" w:rsidRDefault="00487A56" w:rsidP="00B519BF">
            <w:pPr>
              <w:jc w:val="center"/>
              <w:rPr>
                <w:rFonts w:eastAsia="Times New Roman" w:cs="Arial"/>
                <w:b/>
                <w:bCs/>
                <w:color w:val="FFFFFF" w:themeColor="background1"/>
                <w:kern w:val="0"/>
                <w:lang w:eastAsia="en-GB"/>
                <w14:ligatures w14:val="none"/>
              </w:rPr>
            </w:pPr>
            <w:r w:rsidRPr="00487A56">
              <w:rPr>
                <w:rFonts w:eastAsia="Times New Roman" w:cs="Arial"/>
                <w:b/>
                <w:bCs/>
                <w:color w:val="FFFFFF" w:themeColor="background1"/>
                <w:kern w:val="0"/>
                <w:lang w:eastAsia="en-GB"/>
                <w14:ligatures w14:val="none"/>
              </w:rPr>
              <w:t>Locality</w:t>
            </w:r>
          </w:p>
        </w:tc>
        <w:tc>
          <w:tcPr>
            <w:tcW w:w="1655" w:type="dxa"/>
            <w:tcBorders>
              <w:top w:val="single" w:sz="4" w:space="0" w:color="auto"/>
              <w:left w:val="nil"/>
              <w:bottom w:val="single" w:sz="4" w:space="0" w:color="auto"/>
              <w:right w:val="single" w:sz="4" w:space="0" w:color="auto"/>
            </w:tcBorders>
            <w:shd w:val="clear" w:color="auto" w:fill="074F6A" w:themeFill="accent4" w:themeFillShade="80"/>
            <w:vAlign w:val="center"/>
            <w:hideMark/>
          </w:tcPr>
          <w:p w14:paraId="654D29B5" w14:textId="77777777" w:rsidR="00487A56" w:rsidRPr="00487A56" w:rsidRDefault="00487A56" w:rsidP="00B519BF">
            <w:pPr>
              <w:jc w:val="center"/>
              <w:rPr>
                <w:rFonts w:eastAsia="Times New Roman" w:cs="Arial"/>
                <w:b/>
                <w:bCs/>
                <w:color w:val="FFFFFF" w:themeColor="background1"/>
                <w:kern w:val="0"/>
                <w:lang w:eastAsia="en-GB"/>
                <w14:ligatures w14:val="none"/>
              </w:rPr>
            </w:pPr>
            <w:r w:rsidRPr="00487A56">
              <w:rPr>
                <w:rFonts w:eastAsia="Times New Roman" w:cs="Arial"/>
                <w:b/>
                <w:bCs/>
                <w:color w:val="FFFFFF" w:themeColor="background1"/>
                <w:kern w:val="0"/>
                <w:lang w:eastAsia="en-GB"/>
                <w14:ligatures w14:val="none"/>
              </w:rPr>
              <w:t>Total number of units in plan period</w:t>
            </w:r>
          </w:p>
        </w:tc>
        <w:tc>
          <w:tcPr>
            <w:tcW w:w="1323" w:type="dxa"/>
            <w:tcBorders>
              <w:top w:val="single" w:sz="4" w:space="0" w:color="auto"/>
              <w:left w:val="nil"/>
              <w:bottom w:val="single" w:sz="4" w:space="0" w:color="auto"/>
              <w:right w:val="single" w:sz="4" w:space="0" w:color="auto"/>
            </w:tcBorders>
            <w:shd w:val="clear" w:color="auto" w:fill="074F6A" w:themeFill="accent4" w:themeFillShade="80"/>
            <w:vAlign w:val="center"/>
            <w:hideMark/>
          </w:tcPr>
          <w:p w14:paraId="5C45F66B" w14:textId="77777777" w:rsidR="00487A56" w:rsidRPr="00487A56" w:rsidRDefault="00487A56" w:rsidP="00B519BF">
            <w:pPr>
              <w:jc w:val="center"/>
              <w:rPr>
                <w:rFonts w:eastAsia="Times New Roman" w:cs="Arial"/>
                <w:b/>
                <w:bCs/>
                <w:color w:val="FFFFFF" w:themeColor="background1"/>
                <w:kern w:val="0"/>
                <w:lang w:eastAsia="en-GB"/>
                <w14:ligatures w14:val="none"/>
              </w:rPr>
            </w:pPr>
            <w:r w:rsidRPr="00487A56">
              <w:rPr>
                <w:rFonts w:eastAsia="Times New Roman" w:cs="Arial"/>
                <w:b/>
                <w:bCs/>
                <w:color w:val="FFFFFF" w:themeColor="background1"/>
                <w:kern w:val="0"/>
                <w:lang w:eastAsia="en-GB"/>
                <w14:ligatures w14:val="none"/>
              </w:rPr>
              <w:t>Maximum number of people</w:t>
            </w:r>
          </w:p>
        </w:tc>
      </w:tr>
      <w:tr w:rsidR="00487A56" w:rsidRPr="00487A56" w14:paraId="5AB0F2A4" w14:textId="77777777" w:rsidTr="00487A56">
        <w:trPr>
          <w:trHeight w:val="300"/>
        </w:trPr>
        <w:tc>
          <w:tcPr>
            <w:tcW w:w="3964" w:type="dxa"/>
            <w:tcBorders>
              <w:top w:val="nil"/>
              <w:left w:val="single" w:sz="4" w:space="0" w:color="auto"/>
              <w:bottom w:val="single" w:sz="4" w:space="0" w:color="auto"/>
              <w:right w:val="single" w:sz="4" w:space="0" w:color="auto"/>
            </w:tcBorders>
            <w:shd w:val="clear" w:color="auto" w:fill="E7E6E6"/>
            <w:vAlign w:val="center"/>
            <w:hideMark/>
          </w:tcPr>
          <w:p w14:paraId="64E61372" w14:textId="77777777" w:rsidR="00487A56" w:rsidRPr="00487A56" w:rsidRDefault="00487A56" w:rsidP="00B519BF">
            <w:pP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Lieros Parc, Bryncoch</w:t>
            </w:r>
          </w:p>
        </w:tc>
        <w:tc>
          <w:tcPr>
            <w:tcW w:w="1606" w:type="dxa"/>
            <w:tcBorders>
              <w:top w:val="nil"/>
              <w:left w:val="nil"/>
              <w:bottom w:val="single" w:sz="4" w:space="0" w:color="auto"/>
              <w:right w:val="single" w:sz="4" w:space="0" w:color="auto"/>
            </w:tcBorders>
            <w:vAlign w:val="center"/>
            <w:hideMark/>
          </w:tcPr>
          <w:p w14:paraId="6984F50C"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 xml:space="preserve">Neath </w:t>
            </w:r>
          </w:p>
        </w:tc>
        <w:tc>
          <w:tcPr>
            <w:tcW w:w="1655" w:type="dxa"/>
            <w:tcBorders>
              <w:top w:val="nil"/>
              <w:left w:val="nil"/>
              <w:bottom w:val="single" w:sz="4" w:space="0" w:color="auto"/>
              <w:right w:val="single" w:sz="4" w:space="0" w:color="auto"/>
            </w:tcBorders>
            <w:shd w:val="clear" w:color="auto" w:fill="FFFFFF"/>
            <w:vAlign w:val="center"/>
            <w:hideMark/>
          </w:tcPr>
          <w:p w14:paraId="2CB9CF23" w14:textId="77777777" w:rsidR="00487A56" w:rsidRPr="00487A56" w:rsidRDefault="00487A56" w:rsidP="00B519BF">
            <w:pPr>
              <w:jc w:val="center"/>
              <w:rPr>
                <w:rFonts w:eastAsia="Times New Roman" w:cs="Arial"/>
                <w:kern w:val="0"/>
                <w:lang w:eastAsia="en-GB"/>
                <w14:ligatures w14:val="none"/>
              </w:rPr>
            </w:pPr>
            <w:r w:rsidRPr="00487A56">
              <w:rPr>
                <w:rFonts w:eastAsia="Times New Roman" w:cs="Arial"/>
                <w:kern w:val="0"/>
                <w:lang w:eastAsia="en-GB"/>
                <w14:ligatures w14:val="none"/>
              </w:rPr>
              <w:t>258</w:t>
            </w:r>
          </w:p>
        </w:tc>
        <w:tc>
          <w:tcPr>
            <w:tcW w:w="1323" w:type="dxa"/>
            <w:tcBorders>
              <w:top w:val="nil"/>
              <w:left w:val="nil"/>
              <w:bottom w:val="single" w:sz="4" w:space="0" w:color="auto"/>
              <w:right w:val="single" w:sz="4" w:space="0" w:color="auto"/>
            </w:tcBorders>
            <w:vAlign w:val="center"/>
            <w:hideMark/>
          </w:tcPr>
          <w:p w14:paraId="6F4C3C44"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Unknown</w:t>
            </w:r>
          </w:p>
        </w:tc>
      </w:tr>
      <w:tr w:rsidR="00487A56" w:rsidRPr="00487A56" w14:paraId="692B3836" w14:textId="77777777" w:rsidTr="00487A56">
        <w:trPr>
          <w:trHeight w:val="300"/>
        </w:trPr>
        <w:tc>
          <w:tcPr>
            <w:tcW w:w="3964" w:type="dxa"/>
            <w:tcBorders>
              <w:top w:val="nil"/>
              <w:left w:val="single" w:sz="4" w:space="0" w:color="auto"/>
              <w:bottom w:val="single" w:sz="4" w:space="0" w:color="auto"/>
              <w:right w:val="single" w:sz="4" w:space="0" w:color="auto"/>
            </w:tcBorders>
            <w:vAlign w:val="center"/>
            <w:hideMark/>
          </w:tcPr>
          <w:p w14:paraId="515953D2" w14:textId="77777777" w:rsidR="00487A56" w:rsidRPr="00487A56" w:rsidRDefault="00487A56" w:rsidP="00B519BF">
            <w:pP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Land east of Heol y Glo (Tonna)</w:t>
            </w:r>
          </w:p>
        </w:tc>
        <w:tc>
          <w:tcPr>
            <w:tcW w:w="1606" w:type="dxa"/>
            <w:tcBorders>
              <w:top w:val="nil"/>
              <w:left w:val="nil"/>
              <w:bottom w:val="single" w:sz="4" w:space="0" w:color="auto"/>
              <w:right w:val="single" w:sz="4" w:space="0" w:color="auto"/>
            </w:tcBorders>
            <w:vAlign w:val="center"/>
            <w:hideMark/>
          </w:tcPr>
          <w:p w14:paraId="6AF17BC0"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 xml:space="preserve">Neath </w:t>
            </w:r>
          </w:p>
        </w:tc>
        <w:tc>
          <w:tcPr>
            <w:tcW w:w="1655" w:type="dxa"/>
            <w:tcBorders>
              <w:top w:val="nil"/>
              <w:left w:val="nil"/>
              <w:bottom w:val="single" w:sz="4" w:space="0" w:color="auto"/>
              <w:right w:val="single" w:sz="4" w:space="0" w:color="auto"/>
            </w:tcBorders>
            <w:vAlign w:val="center"/>
            <w:hideMark/>
          </w:tcPr>
          <w:p w14:paraId="4D255422" w14:textId="77777777" w:rsidR="00487A56" w:rsidRPr="00487A56" w:rsidRDefault="00487A56" w:rsidP="00B519BF">
            <w:pPr>
              <w:jc w:val="center"/>
              <w:rPr>
                <w:rFonts w:eastAsia="Times New Roman" w:cs="Arial"/>
                <w:kern w:val="0"/>
                <w:lang w:eastAsia="en-GB"/>
                <w14:ligatures w14:val="none"/>
              </w:rPr>
            </w:pPr>
            <w:r w:rsidRPr="00487A56">
              <w:rPr>
                <w:rFonts w:eastAsia="Times New Roman" w:cs="Arial"/>
                <w:kern w:val="0"/>
                <w:lang w:eastAsia="en-GB"/>
                <w14:ligatures w14:val="none"/>
              </w:rPr>
              <w:t>30</w:t>
            </w:r>
          </w:p>
        </w:tc>
        <w:tc>
          <w:tcPr>
            <w:tcW w:w="1323" w:type="dxa"/>
            <w:tcBorders>
              <w:top w:val="nil"/>
              <w:left w:val="nil"/>
              <w:bottom w:val="single" w:sz="4" w:space="0" w:color="auto"/>
              <w:right w:val="single" w:sz="4" w:space="0" w:color="auto"/>
            </w:tcBorders>
            <w:vAlign w:val="center"/>
            <w:hideMark/>
          </w:tcPr>
          <w:p w14:paraId="2C197F09"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84</w:t>
            </w:r>
          </w:p>
        </w:tc>
      </w:tr>
      <w:tr w:rsidR="00487A56" w:rsidRPr="00487A56" w14:paraId="595CF541" w14:textId="77777777" w:rsidTr="00487A56">
        <w:trPr>
          <w:trHeight w:val="300"/>
        </w:trPr>
        <w:tc>
          <w:tcPr>
            <w:tcW w:w="3964" w:type="dxa"/>
            <w:tcBorders>
              <w:top w:val="nil"/>
              <w:left w:val="single" w:sz="4" w:space="0" w:color="auto"/>
              <w:bottom w:val="single" w:sz="4" w:space="0" w:color="auto"/>
              <w:right w:val="single" w:sz="4" w:space="0" w:color="auto"/>
            </w:tcBorders>
            <w:vAlign w:val="center"/>
            <w:hideMark/>
          </w:tcPr>
          <w:p w14:paraId="3A185572" w14:textId="77777777" w:rsidR="00487A56" w:rsidRPr="00487A56" w:rsidRDefault="00487A56" w:rsidP="00B519BF">
            <w:pP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Elba Crescent</w:t>
            </w:r>
          </w:p>
        </w:tc>
        <w:tc>
          <w:tcPr>
            <w:tcW w:w="1606" w:type="dxa"/>
            <w:tcBorders>
              <w:top w:val="nil"/>
              <w:left w:val="nil"/>
              <w:bottom w:val="single" w:sz="4" w:space="0" w:color="auto"/>
              <w:right w:val="single" w:sz="4" w:space="0" w:color="auto"/>
            </w:tcBorders>
            <w:vAlign w:val="center"/>
            <w:hideMark/>
          </w:tcPr>
          <w:p w14:paraId="5292CA7C"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Neath</w:t>
            </w:r>
          </w:p>
        </w:tc>
        <w:tc>
          <w:tcPr>
            <w:tcW w:w="1655" w:type="dxa"/>
            <w:tcBorders>
              <w:top w:val="nil"/>
              <w:left w:val="nil"/>
              <w:bottom w:val="single" w:sz="4" w:space="0" w:color="auto"/>
              <w:right w:val="single" w:sz="4" w:space="0" w:color="auto"/>
            </w:tcBorders>
            <w:vAlign w:val="center"/>
            <w:hideMark/>
          </w:tcPr>
          <w:p w14:paraId="646EC93E" w14:textId="77777777" w:rsidR="00487A56" w:rsidRPr="00487A56" w:rsidRDefault="00487A56" w:rsidP="00B519BF">
            <w:pPr>
              <w:jc w:val="center"/>
              <w:rPr>
                <w:rFonts w:eastAsia="Times New Roman" w:cs="Arial"/>
                <w:kern w:val="0"/>
                <w:lang w:eastAsia="en-GB"/>
                <w14:ligatures w14:val="none"/>
              </w:rPr>
            </w:pPr>
            <w:r w:rsidRPr="00487A56">
              <w:rPr>
                <w:rFonts w:eastAsia="Times New Roman" w:cs="Arial"/>
                <w:kern w:val="0"/>
                <w:lang w:eastAsia="en-GB"/>
                <w14:ligatures w14:val="none"/>
              </w:rPr>
              <w:t>150</w:t>
            </w:r>
          </w:p>
        </w:tc>
        <w:tc>
          <w:tcPr>
            <w:tcW w:w="1323" w:type="dxa"/>
            <w:tcBorders>
              <w:top w:val="nil"/>
              <w:left w:val="nil"/>
              <w:bottom w:val="single" w:sz="4" w:space="0" w:color="auto"/>
              <w:right w:val="single" w:sz="4" w:space="0" w:color="auto"/>
            </w:tcBorders>
            <w:vAlign w:val="center"/>
            <w:hideMark/>
          </w:tcPr>
          <w:p w14:paraId="092B3355"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388</w:t>
            </w:r>
          </w:p>
        </w:tc>
      </w:tr>
      <w:tr w:rsidR="00487A56" w:rsidRPr="00487A56" w14:paraId="2DBE76F2" w14:textId="77777777" w:rsidTr="00487A56">
        <w:trPr>
          <w:trHeight w:val="300"/>
        </w:trPr>
        <w:tc>
          <w:tcPr>
            <w:tcW w:w="3964" w:type="dxa"/>
            <w:tcBorders>
              <w:top w:val="nil"/>
              <w:left w:val="single" w:sz="4" w:space="0" w:color="auto"/>
              <w:bottom w:val="single" w:sz="4" w:space="0" w:color="auto"/>
              <w:right w:val="single" w:sz="4" w:space="0" w:color="auto"/>
            </w:tcBorders>
            <w:vAlign w:val="center"/>
            <w:hideMark/>
          </w:tcPr>
          <w:p w14:paraId="5E39B35A" w14:textId="77777777" w:rsidR="00487A56" w:rsidRPr="00487A56" w:rsidRDefault="00487A56" w:rsidP="00B519BF">
            <w:pP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Blaenbaglan</w:t>
            </w:r>
          </w:p>
        </w:tc>
        <w:tc>
          <w:tcPr>
            <w:tcW w:w="1606" w:type="dxa"/>
            <w:tcBorders>
              <w:top w:val="nil"/>
              <w:left w:val="nil"/>
              <w:bottom w:val="single" w:sz="4" w:space="0" w:color="auto"/>
              <w:right w:val="single" w:sz="4" w:space="0" w:color="auto"/>
            </w:tcBorders>
            <w:vAlign w:val="center"/>
            <w:hideMark/>
          </w:tcPr>
          <w:p w14:paraId="66A25D62"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Neath, Afan</w:t>
            </w:r>
          </w:p>
        </w:tc>
        <w:tc>
          <w:tcPr>
            <w:tcW w:w="1655" w:type="dxa"/>
            <w:tcBorders>
              <w:top w:val="nil"/>
              <w:left w:val="nil"/>
              <w:bottom w:val="single" w:sz="4" w:space="0" w:color="auto"/>
              <w:right w:val="single" w:sz="4" w:space="0" w:color="auto"/>
            </w:tcBorders>
            <w:vAlign w:val="center"/>
            <w:hideMark/>
          </w:tcPr>
          <w:p w14:paraId="7DE562B2" w14:textId="77777777" w:rsidR="00487A56" w:rsidRPr="00487A56" w:rsidRDefault="00487A56" w:rsidP="00B519BF">
            <w:pPr>
              <w:jc w:val="center"/>
              <w:rPr>
                <w:rFonts w:eastAsia="Times New Roman" w:cs="Arial"/>
                <w:kern w:val="0"/>
                <w:lang w:eastAsia="en-GB"/>
                <w14:ligatures w14:val="none"/>
              </w:rPr>
            </w:pPr>
            <w:r w:rsidRPr="00487A56">
              <w:rPr>
                <w:rFonts w:eastAsia="Times New Roman" w:cs="Arial"/>
                <w:kern w:val="0"/>
                <w:lang w:eastAsia="en-GB"/>
                <w14:ligatures w14:val="none"/>
              </w:rPr>
              <w:t>141</w:t>
            </w:r>
          </w:p>
        </w:tc>
        <w:tc>
          <w:tcPr>
            <w:tcW w:w="1323" w:type="dxa"/>
            <w:tcBorders>
              <w:top w:val="nil"/>
              <w:left w:val="nil"/>
              <w:bottom w:val="single" w:sz="4" w:space="0" w:color="auto"/>
              <w:right w:val="single" w:sz="4" w:space="0" w:color="auto"/>
            </w:tcBorders>
            <w:vAlign w:val="center"/>
            <w:hideMark/>
          </w:tcPr>
          <w:p w14:paraId="64084EA8"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361</w:t>
            </w:r>
          </w:p>
        </w:tc>
      </w:tr>
      <w:tr w:rsidR="00487A56" w:rsidRPr="00487A56" w14:paraId="1AA710CA" w14:textId="77777777" w:rsidTr="00487A56">
        <w:trPr>
          <w:trHeight w:val="300"/>
        </w:trPr>
        <w:tc>
          <w:tcPr>
            <w:tcW w:w="3964" w:type="dxa"/>
            <w:tcBorders>
              <w:top w:val="nil"/>
              <w:left w:val="single" w:sz="4" w:space="0" w:color="auto"/>
              <w:bottom w:val="single" w:sz="4" w:space="0" w:color="auto"/>
              <w:right w:val="single" w:sz="4" w:space="0" w:color="auto"/>
            </w:tcBorders>
            <w:vAlign w:val="center"/>
            <w:hideMark/>
          </w:tcPr>
          <w:p w14:paraId="7EE5FBAD" w14:textId="77777777" w:rsidR="00487A56" w:rsidRPr="00487A56" w:rsidRDefault="00487A56" w:rsidP="00B519BF">
            <w:pP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Blaenbaglan remainder</w:t>
            </w:r>
          </w:p>
        </w:tc>
        <w:tc>
          <w:tcPr>
            <w:tcW w:w="1606" w:type="dxa"/>
            <w:tcBorders>
              <w:top w:val="nil"/>
              <w:left w:val="nil"/>
              <w:bottom w:val="single" w:sz="4" w:space="0" w:color="auto"/>
              <w:right w:val="single" w:sz="4" w:space="0" w:color="auto"/>
            </w:tcBorders>
            <w:vAlign w:val="center"/>
            <w:hideMark/>
          </w:tcPr>
          <w:p w14:paraId="57F50CEA"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Neath, Afan</w:t>
            </w:r>
          </w:p>
        </w:tc>
        <w:tc>
          <w:tcPr>
            <w:tcW w:w="1655" w:type="dxa"/>
            <w:tcBorders>
              <w:top w:val="nil"/>
              <w:left w:val="nil"/>
              <w:bottom w:val="single" w:sz="4" w:space="0" w:color="auto"/>
              <w:right w:val="single" w:sz="4" w:space="0" w:color="auto"/>
            </w:tcBorders>
            <w:vAlign w:val="center"/>
            <w:hideMark/>
          </w:tcPr>
          <w:p w14:paraId="6EFD4A97" w14:textId="77777777" w:rsidR="00487A56" w:rsidRPr="00487A56" w:rsidRDefault="00487A56" w:rsidP="00B519BF">
            <w:pPr>
              <w:jc w:val="center"/>
              <w:rPr>
                <w:rFonts w:eastAsia="Times New Roman" w:cs="Arial"/>
                <w:kern w:val="0"/>
                <w:lang w:eastAsia="en-GB"/>
                <w14:ligatures w14:val="none"/>
              </w:rPr>
            </w:pPr>
            <w:r w:rsidRPr="00487A56">
              <w:rPr>
                <w:rFonts w:eastAsia="Times New Roman" w:cs="Arial"/>
                <w:kern w:val="0"/>
                <w:lang w:eastAsia="en-GB"/>
                <w14:ligatures w14:val="none"/>
              </w:rPr>
              <w:t>200</w:t>
            </w:r>
          </w:p>
        </w:tc>
        <w:tc>
          <w:tcPr>
            <w:tcW w:w="1323" w:type="dxa"/>
            <w:tcBorders>
              <w:top w:val="nil"/>
              <w:left w:val="nil"/>
              <w:bottom w:val="single" w:sz="4" w:space="0" w:color="auto"/>
              <w:right w:val="single" w:sz="4" w:space="0" w:color="auto"/>
            </w:tcBorders>
            <w:vAlign w:val="center"/>
            <w:hideMark/>
          </w:tcPr>
          <w:p w14:paraId="06237E0B"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515</w:t>
            </w:r>
          </w:p>
        </w:tc>
      </w:tr>
      <w:tr w:rsidR="00487A56" w:rsidRPr="00487A56" w14:paraId="7423BA5C" w14:textId="77777777" w:rsidTr="00487A56">
        <w:trPr>
          <w:trHeight w:val="600"/>
        </w:trPr>
        <w:tc>
          <w:tcPr>
            <w:tcW w:w="3964" w:type="dxa"/>
            <w:tcBorders>
              <w:top w:val="nil"/>
              <w:left w:val="single" w:sz="4" w:space="0" w:color="auto"/>
              <w:bottom w:val="single" w:sz="4" w:space="0" w:color="auto"/>
              <w:right w:val="single" w:sz="4" w:space="0" w:color="auto"/>
            </w:tcBorders>
            <w:vAlign w:val="center"/>
            <w:hideMark/>
          </w:tcPr>
          <w:p w14:paraId="163BCFFB" w14:textId="77777777" w:rsidR="00487A56" w:rsidRPr="00487A56" w:rsidRDefault="00487A56" w:rsidP="00B519BF">
            <w:pP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Land at Giants Grave, Hillside Wood, Briton Ferry, Neath</w:t>
            </w:r>
          </w:p>
        </w:tc>
        <w:tc>
          <w:tcPr>
            <w:tcW w:w="1606" w:type="dxa"/>
            <w:tcBorders>
              <w:top w:val="nil"/>
              <w:left w:val="nil"/>
              <w:bottom w:val="single" w:sz="4" w:space="0" w:color="auto"/>
              <w:right w:val="single" w:sz="4" w:space="0" w:color="auto"/>
            </w:tcBorders>
            <w:vAlign w:val="center"/>
            <w:hideMark/>
          </w:tcPr>
          <w:p w14:paraId="0FA68550"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Neath</w:t>
            </w:r>
          </w:p>
        </w:tc>
        <w:tc>
          <w:tcPr>
            <w:tcW w:w="1655" w:type="dxa"/>
            <w:tcBorders>
              <w:top w:val="nil"/>
              <w:left w:val="nil"/>
              <w:bottom w:val="single" w:sz="4" w:space="0" w:color="auto"/>
              <w:right w:val="single" w:sz="4" w:space="0" w:color="auto"/>
            </w:tcBorders>
            <w:vAlign w:val="center"/>
            <w:hideMark/>
          </w:tcPr>
          <w:p w14:paraId="0254F93A" w14:textId="77777777" w:rsidR="00487A56" w:rsidRPr="00487A56" w:rsidRDefault="00487A56" w:rsidP="00B519BF">
            <w:pPr>
              <w:jc w:val="center"/>
              <w:rPr>
                <w:rFonts w:eastAsia="Times New Roman" w:cs="Arial"/>
                <w:kern w:val="0"/>
                <w:lang w:eastAsia="en-GB"/>
                <w14:ligatures w14:val="none"/>
              </w:rPr>
            </w:pPr>
            <w:r w:rsidRPr="00487A56">
              <w:rPr>
                <w:rFonts w:eastAsia="Times New Roman" w:cs="Arial"/>
                <w:kern w:val="0"/>
                <w:lang w:eastAsia="en-GB"/>
                <w14:ligatures w14:val="none"/>
              </w:rPr>
              <w:t>20</w:t>
            </w:r>
          </w:p>
        </w:tc>
        <w:tc>
          <w:tcPr>
            <w:tcW w:w="1323" w:type="dxa"/>
            <w:tcBorders>
              <w:top w:val="nil"/>
              <w:left w:val="nil"/>
              <w:bottom w:val="single" w:sz="4" w:space="0" w:color="auto"/>
              <w:right w:val="single" w:sz="4" w:space="0" w:color="auto"/>
            </w:tcBorders>
            <w:vAlign w:val="center"/>
            <w:hideMark/>
          </w:tcPr>
          <w:p w14:paraId="10E9CB2A"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55</w:t>
            </w:r>
          </w:p>
        </w:tc>
      </w:tr>
      <w:tr w:rsidR="00487A56" w:rsidRPr="00487A56" w14:paraId="0C792F8C" w14:textId="77777777" w:rsidTr="00487A56">
        <w:trPr>
          <w:trHeight w:val="600"/>
        </w:trPr>
        <w:tc>
          <w:tcPr>
            <w:tcW w:w="3964" w:type="dxa"/>
            <w:tcBorders>
              <w:top w:val="nil"/>
              <w:left w:val="single" w:sz="4" w:space="0" w:color="auto"/>
              <w:bottom w:val="single" w:sz="4" w:space="0" w:color="auto"/>
              <w:right w:val="single" w:sz="4" w:space="0" w:color="auto"/>
            </w:tcBorders>
            <w:vAlign w:val="center"/>
            <w:hideMark/>
          </w:tcPr>
          <w:p w14:paraId="19B163CB" w14:textId="77777777" w:rsidR="00487A56" w:rsidRPr="00487A56" w:rsidRDefault="00487A56" w:rsidP="00B519BF">
            <w:pP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Land adjoining Bryn Teg, Briton Ferry</w:t>
            </w:r>
          </w:p>
        </w:tc>
        <w:tc>
          <w:tcPr>
            <w:tcW w:w="1606" w:type="dxa"/>
            <w:tcBorders>
              <w:top w:val="nil"/>
              <w:left w:val="nil"/>
              <w:bottom w:val="single" w:sz="4" w:space="0" w:color="auto"/>
              <w:right w:val="single" w:sz="4" w:space="0" w:color="auto"/>
            </w:tcBorders>
            <w:vAlign w:val="center"/>
            <w:hideMark/>
          </w:tcPr>
          <w:p w14:paraId="454E2CB3"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Neath</w:t>
            </w:r>
          </w:p>
        </w:tc>
        <w:tc>
          <w:tcPr>
            <w:tcW w:w="1655" w:type="dxa"/>
            <w:tcBorders>
              <w:top w:val="nil"/>
              <w:left w:val="nil"/>
              <w:bottom w:val="single" w:sz="4" w:space="0" w:color="auto"/>
              <w:right w:val="single" w:sz="4" w:space="0" w:color="auto"/>
            </w:tcBorders>
            <w:vAlign w:val="center"/>
            <w:hideMark/>
          </w:tcPr>
          <w:p w14:paraId="6315B394" w14:textId="77777777" w:rsidR="00487A56" w:rsidRPr="00487A56" w:rsidRDefault="00487A56" w:rsidP="00B519BF">
            <w:pPr>
              <w:jc w:val="center"/>
              <w:rPr>
                <w:rFonts w:eastAsia="Times New Roman" w:cs="Arial"/>
                <w:kern w:val="0"/>
                <w:lang w:eastAsia="en-GB"/>
                <w14:ligatures w14:val="none"/>
              </w:rPr>
            </w:pPr>
            <w:r w:rsidRPr="00487A56">
              <w:rPr>
                <w:rFonts w:eastAsia="Times New Roman" w:cs="Arial"/>
                <w:kern w:val="0"/>
                <w:lang w:eastAsia="en-GB"/>
                <w14:ligatures w14:val="none"/>
              </w:rPr>
              <w:t>14</w:t>
            </w:r>
          </w:p>
        </w:tc>
        <w:tc>
          <w:tcPr>
            <w:tcW w:w="1323" w:type="dxa"/>
            <w:tcBorders>
              <w:top w:val="nil"/>
              <w:left w:val="nil"/>
              <w:bottom w:val="single" w:sz="4" w:space="0" w:color="auto"/>
              <w:right w:val="single" w:sz="4" w:space="0" w:color="auto"/>
            </w:tcBorders>
            <w:vAlign w:val="center"/>
            <w:hideMark/>
          </w:tcPr>
          <w:p w14:paraId="52972BD3"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40</w:t>
            </w:r>
          </w:p>
        </w:tc>
      </w:tr>
      <w:tr w:rsidR="00487A56" w:rsidRPr="00487A56" w14:paraId="149521A0" w14:textId="77777777" w:rsidTr="00487A56">
        <w:trPr>
          <w:trHeight w:val="300"/>
        </w:trPr>
        <w:tc>
          <w:tcPr>
            <w:tcW w:w="3964" w:type="dxa"/>
            <w:tcBorders>
              <w:top w:val="nil"/>
              <w:left w:val="single" w:sz="4" w:space="0" w:color="auto"/>
              <w:bottom w:val="single" w:sz="4" w:space="0" w:color="auto"/>
              <w:right w:val="single" w:sz="4" w:space="0" w:color="auto"/>
            </w:tcBorders>
            <w:vAlign w:val="center"/>
            <w:hideMark/>
          </w:tcPr>
          <w:p w14:paraId="2021C4EF" w14:textId="77777777" w:rsidR="00487A56" w:rsidRPr="00487A56" w:rsidRDefault="00487A56" w:rsidP="00B519BF">
            <w:pP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Crymlyn Parc</w:t>
            </w:r>
          </w:p>
        </w:tc>
        <w:tc>
          <w:tcPr>
            <w:tcW w:w="1606" w:type="dxa"/>
            <w:tcBorders>
              <w:top w:val="nil"/>
              <w:left w:val="nil"/>
              <w:bottom w:val="single" w:sz="4" w:space="0" w:color="auto"/>
              <w:right w:val="single" w:sz="4" w:space="0" w:color="auto"/>
            </w:tcBorders>
            <w:vAlign w:val="center"/>
            <w:hideMark/>
          </w:tcPr>
          <w:p w14:paraId="4A8CCBB5"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Neath</w:t>
            </w:r>
          </w:p>
        </w:tc>
        <w:tc>
          <w:tcPr>
            <w:tcW w:w="1655" w:type="dxa"/>
            <w:tcBorders>
              <w:top w:val="nil"/>
              <w:left w:val="nil"/>
              <w:bottom w:val="single" w:sz="4" w:space="0" w:color="auto"/>
              <w:right w:val="single" w:sz="4" w:space="0" w:color="auto"/>
            </w:tcBorders>
            <w:vAlign w:val="center"/>
            <w:hideMark/>
          </w:tcPr>
          <w:p w14:paraId="166FB227" w14:textId="77777777" w:rsidR="00487A56" w:rsidRPr="00487A56" w:rsidRDefault="00487A56" w:rsidP="00B519BF">
            <w:pPr>
              <w:jc w:val="center"/>
              <w:rPr>
                <w:rFonts w:eastAsia="Times New Roman" w:cs="Arial"/>
                <w:kern w:val="0"/>
                <w:lang w:eastAsia="en-GB"/>
                <w14:ligatures w14:val="none"/>
              </w:rPr>
            </w:pPr>
            <w:r w:rsidRPr="00487A56">
              <w:rPr>
                <w:rFonts w:eastAsia="Times New Roman" w:cs="Arial"/>
                <w:kern w:val="0"/>
                <w:lang w:eastAsia="en-GB"/>
                <w14:ligatures w14:val="none"/>
              </w:rPr>
              <w:t>150</w:t>
            </w:r>
          </w:p>
        </w:tc>
        <w:tc>
          <w:tcPr>
            <w:tcW w:w="1323" w:type="dxa"/>
            <w:tcBorders>
              <w:top w:val="nil"/>
              <w:left w:val="nil"/>
              <w:bottom w:val="single" w:sz="4" w:space="0" w:color="auto"/>
              <w:right w:val="single" w:sz="4" w:space="0" w:color="auto"/>
            </w:tcBorders>
            <w:vAlign w:val="center"/>
            <w:hideMark/>
          </w:tcPr>
          <w:p w14:paraId="56123C03"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388</w:t>
            </w:r>
          </w:p>
        </w:tc>
      </w:tr>
      <w:tr w:rsidR="00487A56" w:rsidRPr="00487A56" w14:paraId="17CD2291" w14:textId="77777777" w:rsidTr="00487A56">
        <w:trPr>
          <w:trHeight w:val="300"/>
        </w:trPr>
        <w:tc>
          <w:tcPr>
            <w:tcW w:w="3964" w:type="dxa"/>
            <w:tcBorders>
              <w:top w:val="nil"/>
              <w:left w:val="single" w:sz="4" w:space="0" w:color="auto"/>
              <w:bottom w:val="single" w:sz="4" w:space="0" w:color="auto"/>
              <w:right w:val="single" w:sz="4" w:space="0" w:color="auto"/>
            </w:tcBorders>
            <w:vAlign w:val="center"/>
            <w:hideMark/>
          </w:tcPr>
          <w:p w14:paraId="3837A522" w14:textId="77777777" w:rsidR="00487A56" w:rsidRPr="00487A56" w:rsidRDefault="00487A56" w:rsidP="00B519BF">
            <w:pP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Tudor Inn - Phase 2</w:t>
            </w:r>
          </w:p>
        </w:tc>
        <w:tc>
          <w:tcPr>
            <w:tcW w:w="1606" w:type="dxa"/>
            <w:tcBorders>
              <w:top w:val="nil"/>
              <w:left w:val="nil"/>
              <w:bottom w:val="single" w:sz="4" w:space="0" w:color="auto"/>
              <w:right w:val="single" w:sz="4" w:space="0" w:color="auto"/>
            </w:tcBorders>
            <w:vAlign w:val="center"/>
            <w:hideMark/>
          </w:tcPr>
          <w:p w14:paraId="49C6D10F"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 xml:space="preserve">Neath </w:t>
            </w:r>
          </w:p>
        </w:tc>
        <w:tc>
          <w:tcPr>
            <w:tcW w:w="1655" w:type="dxa"/>
            <w:tcBorders>
              <w:top w:val="nil"/>
              <w:left w:val="nil"/>
              <w:bottom w:val="single" w:sz="4" w:space="0" w:color="auto"/>
              <w:right w:val="single" w:sz="4" w:space="0" w:color="auto"/>
            </w:tcBorders>
            <w:vAlign w:val="center"/>
            <w:hideMark/>
          </w:tcPr>
          <w:p w14:paraId="6B4EFFC4" w14:textId="77777777" w:rsidR="00487A56" w:rsidRPr="00487A56" w:rsidRDefault="00487A56" w:rsidP="00B519BF">
            <w:pPr>
              <w:jc w:val="center"/>
              <w:rPr>
                <w:rFonts w:eastAsia="Times New Roman" w:cs="Arial"/>
                <w:kern w:val="0"/>
                <w:lang w:eastAsia="en-GB"/>
                <w14:ligatures w14:val="none"/>
              </w:rPr>
            </w:pPr>
            <w:r w:rsidRPr="00487A56">
              <w:rPr>
                <w:rFonts w:eastAsia="Times New Roman" w:cs="Arial"/>
                <w:kern w:val="0"/>
                <w:lang w:eastAsia="en-GB"/>
                <w14:ligatures w14:val="none"/>
              </w:rPr>
              <w:t>80</w:t>
            </w:r>
          </w:p>
        </w:tc>
        <w:tc>
          <w:tcPr>
            <w:tcW w:w="1323" w:type="dxa"/>
            <w:tcBorders>
              <w:top w:val="nil"/>
              <w:left w:val="nil"/>
              <w:bottom w:val="single" w:sz="4" w:space="0" w:color="auto"/>
              <w:right w:val="single" w:sz="4" w:space="0" w:color="auto"/>
            </w:tcBorders>
            <w:vAlign w:val="center"/>
            <w:hideMark/>
          </w:tcPr>
          <w:p w14:paraId="50B701CE"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212</w:t>
            </w:r>
          </w:p>
        </w:tc>
      </w:tr>
      <w:tr w:rsidR="00487A56" w:rsidRPr="00487A56" w14:paraId="4F6F0612" w14:textId="77777777" w:rsidTr="00487A56">
        <w:trPr>
          <w:trHeight w:val="300"/>
        </w:trPr>
        <w:tc>
          <w:tcPr>
            <w:tcW w:w="3964" w:type="dxa"/>
            <w:tcBorders>
              <w:top w:val="nil"/>
              <w:left w:val="single" w:sz="4" w:space="0" w:color="auto"/>
              <w:bottom w:val="single" w:sz="4" w:space="0" w:color="auto"/>
              <w:right w:val="single" w:sz="4" w:space="0" w:color="auto"/>
            </w:tcBorders>
            <w:vAlign w:val="center"/>
            <w:hideMark/>
          </w:tcPr>
          <w:p w14:paraId="33B3C947" w14:textId="77777777" w:rsidR="00487A56" w:rsidRPr="00487A56" w:rsidRDefault="00487A56" w:rsidP="00B519BF">
            <w:pP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Land at Pen y Bryn</w:t>
            </w:r>
          </w:p>
        </w:tc>
        <w:tc>
          <w:tcPr>
            <w:tcW w:w="1606" w:type="dxa"/>
            <w:tcBorders>
              <w:top w:val="nil"/>
              <w:left w:val="nil"/>
              <w:bottom w:val="single" w:sz="4" w:space="0" w:color="auto"/>
              <w:right w:val="single" w:sz="4" w:space="0" w:color="auto"/>
            </w:tcBorders>
            <w:vAlign w:val="center"/>
            <w:hideMark/>
          </w:tcPr>
          <w:p w14:paraId="133D6FE7"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 xml:space="preserve">Neath </w:t>
            </w:r>
          </w:p>
        </w:tc>
        <w:tc>
          <w:tcPr>
            <w:tcW w:w="1655" w:type="dxa"/>
            <w:tcBorders>
              <w:top w:val="nil"/>
              <w:left w:val="nil"/>
              <w:bottom w:val="single" w:sz="4" w:space="0" w:color="auto"/>
              <w:right w:val="single" w:sz="4" w:space="0" w:color="auto"/>
            </w:tcBorders>
            <w:vAlign w:val="center"/>
            <w:hideMark/>
          </w:tcPr>
          <w:p w14:paraId="36FAB2DB" w14:textId="77777777" w:rsidR="00487A56" w:rsidRPr="00487A56" w:rsidRDefault="00487A56" w:rsidP="00B519BF">
            <w:pPr>
              <w:jc w:val="center"/>
              <w:rPr>
                <w:rFonts w:eastAsia="Times New Roman" w:cs="Arial"/>
                <w:kern w:val="0"/>
                <w:lang w:eastAsia="en-GB"/>
                <w14:ligatures w14:val="none"/>
              </w:rPr>
            </w:pPr>
            <w:r w:rsidRPr="00487A56">
              <w:rPr>
                <w:rFonts w:eastAsia="Times New Roman" w:cs="Arial"/>
                <w:kern w:val="0"/>
                <w:lang w:eastAsia="en-GB"/>
                <w14:ligatures w14:val="none"/>
              </w:rPr>
              <w:t>10</w:t>
            </w:r>
          </w:p>
        </w:tc>
        <w:tc>
          <w:tcPr>
            <w:tcW w:w="1323" w:type="dxa"/>
            <w:tcBorders>
              <w:top w:val="nil"/>
              <w:left w:val="nil"/>
              <w:bottom w:val="single" w:sz="4" w:space="0" w:color="auto"/>
              <w:right w:val="single" w:sz="4" w:space="0" w:color="auto"/>
            </w:tcBorders>
            <w:vAlign w:val="center"/>
            <w:hideMark/>
          </w:tcPr>
          <w:p w14:paraId="4AAC4F67"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27</w:t>
            </w:r>
          </w:p>
        </w:tc>
      </w:tr>
      <w:tr w:rsidR="00487A56" w:rsidRPr="00487A56" w14:paraId="2B8C32DA" w14:textId="77777777" w:rsidTr="00487A56">
        <w:trPr>
          <w:trHeight w:val="300"/>
        </w:trPr>
        <w:tc>
          <w:tcPr>
            <w:tcW w:w="3964" w:type="dxa"/>
            <w:tcBorders>
              <w:top w:val="nil"/>
              <w:left w:val="single" w:sz="4" w:space="0" w:color="auto"/>
              <w:bottom w:val="single" w:sz="4" w:space="0" w:color="auto"/>
              <w:right w:val="single" w:sz="4" w:space="0" w:color="auto"/>
            </w:tcBorders>
            <w:vAlign w:val="center"/>
            <w:hideMark/>
          </w:tcPr>
          <w:p w14:paraId="7148D0B4" w14:textId="77777777" w:rsidR="00487A56" w:rsidRPr="00487A56" w:rsidRDefault="00487A56" w:rsidP="00B519BF">
            <w:pP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Main Road Cilfrew</w:t>
            </w:r>
          </w:p>
        </w:tc>
        <w:tc>
          <w:tcPr>
            <w:tcW w:w="1606" w:type="dxa"/>
            <w:tcBorders>
              <w:top w:val="nil"/>
              <w:left w:val="nil"/>
              <w:bottom w:val="single" w:sz="4" w:space="0" w:color="auto"/>
              <w:right w:val="single" w:sz="4" w:space="0" w:color="auto"/>
            </w:tcBorders>
            <w:vAlign w:val="center"/>
            <w:hideMark/>
          </w:tcPr>
          <w:p w14:paraId="117B8660"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 xml:space="preserve">Neath </w:t>
            </w:r>
          </w:p>
        </w:tc>
        <w:tc>
          <w:tcPr>
            <w:tcW w:w="1655" w:type="dxa"/>
            <w:tcBorders>
              <w:top w:val="nil"/>
              <w:left w:val="nil"/>
              <w:bottom w:val="single" w:sz="4" w:space="0" w:color="auto"/>
              <w:right w:val="single" w:sz="4" w:space="0" w:color="auto"/>
            </w:tcBorders>
            <w:vAlign w:val="center"/>
            <w:hideMark/>
          </w:tcPr>
          <w:p w14:paraId="4ADEC374" w14:textId="77777777" w:rsidR="00487A56" w:rsidRPr="00487A56" w:rsidRDefault="00487A56" w:rsidP="00B519BF">
            <w:pPr>
              <w:jc w:val="center"/>
              <w:rPr>
                <w:rFonts w:eastAsia="Times New Roman" w:cs="Arial"/>
                <w:kern w:val="0"/>
                <w:lang w:eastAsia="en-GB"/>
                <w14:ligatures w14:val="none"/>
              </w:rPr>
            </w:pPr>
            <w:r w:rsidRPr="00487A56">
              <w:rPr>
                <w:rFonts w:eastAsia="Times New Roman" w:cs="Arial"/>
                <w:kern w:val="0"/>
                <w:lang w:eastAsia="en-GB"/>
                <w14:ligatures w14:val="none"/>
              </w:rPr>
              <w:t>18</w:t>
            </w:r>
          </w:p>
        </w:tc>
        <w:tc>
          <w:tcPr>
            <w:tcW w:w="1323" w:type="dxa"/>
            <w:tcBorders>
              <w:top w:val="nil"/>
              <w:left w:val="nil"/>
              <w:bottom w:val="single" w:sz="4" w:space="0" w:color="auto"/>
              <w:right w:val="single" w:sz="4" w:space="0" w:color="auto"/>
            </w:tcBorders>
            <w:vAlign w:val="center"/>
            <w:hideMark/>
          </w:tcPr>
          <w:p w14:paraId="5EFD03EB"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52</w:t>
            </w:r>
          </w:p>
        </w:tc>
      </w:tr>
      <w:tr w:rsidR="00487A56" w:rsidRPr="00487A56" w14:paraId="4F11F3B6" w14:textId="77777777" w:rsidTr="00487A56">
        <w:trPr>
          <w:trHeight w:val="300"/>
        </w:trPr>
        <w:tc>
          <w:tcPr>
            <w:tcW w:w="3964" w:type="dxa"/>
            <w:tcBorders>
              <w:top w:val="nil"/>
              <w:left w:val="single" w:sz="4" w:space="0" w:color="auto"/>
              <w:bottom w:val="single" w:sz="4" w:space="0" w:color="auto"/>
              <w:right w:val="single" w:sz="4" w:space="0" w:color="auto"/>
            </w:tcBorders>
            <w:vAlign w:val="center"/>
            <w:hideMark/>
          </w:tcPr>
          <w:p w14:paraId="3C879EED" w14:textId="77777777" w:rsidR="00487A56" w:rsidRPr="00487A56" w:rsidRDefault="00487A56" w:rsidP="00B519BF">
            <w:pP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Fforest Farm, Aberdulais</w:t>
            </w:r>
          </w:p>
        </w:tc>
        <w:tc>
          <w:tcPr>
            <w:tcW w:w="1606" w:type="dxa"/>
            <w:tcBorders>
              <w:top w:val="nil"/>
              <w:left w:val="nil"/>
              <w:bottom w:val="single" w:sz="4" w:space="0" w:color="auto"/>
              <w:right w:val="single" w:sz="4" w:space="0" w:color="auto"/>
            </w:tcBorders>
            <w:vAlign w:val="center"/>
            <w:hideMark/>
          </w:tcPr>
          <w:p w14:paraId="39E8B9BF"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 xml:space="preserve">Neath </w:t>
            </w:r>
          </w:p>
        </w:tc>
        <w:tc>
          <w:tcPr>
            <w:tcW w:w="1655" w:type="dxa"/>
            <w:tcBorders>
              <w:top w:val="nil"/>
              <w:left w:val="nil"/>
              <w:bottom w:val="single" w:sz="4" w:space="0" w:color="auto"/>
              <w:right w:val="single" w:sz="4" w:space="0" w:color="auto"/>
            </w:tcBorders>
            <w:vAlign w:val="center"/>
            <w:hideMark/>
          </w:tcPr>
          <w:p w14:paraId="302AB173" w14:textId="77777777" w:rsidR="00487A56" w:rsidRPr="00487A56" w:rsidRDefault="00487A56" w:rsidP="00B519BF">
            <w:pPr>
              <w:jc w:val="center"/>
              <w:rPr>
                <w:rFonts w:eastAsia="Times New Roman" w:cs="Arial"/>
                <w:kern w:val="0"/>
                <w:lang w:eastAsia="en-GB"/>
                <w14:ligatures w14:val="none"/>
              </w:rPr>
            </w:pPr>
            <w:r w:rsidRPr="00487A56">
              <w:rPr>
                <w:rFonts w:eastAsia="Times New Roman" w:cs="Arial"/>
                <w:kern w:val="0"/>
                <w:lang w:eastAsia="en-GB"/>
                <w14:ligatures w14:val="none"/>
              </w:rPr>
              <w:t>300</w:t>
            </w:r>
          </w:p>
        </w:tc>
        <w:tc>
          <w:tcPr>
            <w:tcW w:w="1323" w:type="dxa"/>
            <w:tcBorders>
              <w:top w:val="nil"/>
              <w:left w:val="nil"/>
              <w:bottom w:val="single" w:sz="4" w:space="0" w:color="auto"/>
              <w:right w:val="single" w:sz="4" w:space="0" w:color="auto"/>
            </w:tcBorders>
            <w:vAlign w:val="center"/>
            <w:hideMark/>
          </w:tcPr>
          <w:p w14:paraId="70E6532E"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773</w:t>
            </w:r>
          </w:p>
        </w:tc>
      </w:tr>
      <w:tr w:rsidR="00487A56" w:rsidRPr="00487A56" w14:paraId="58633DA3" w14:textId="77777777" w:rsidTr="00487A56">
        <w:trPr>
          <w:trHeight w:val="300"/>
        </w:trPr>
        <w:tc>
          <w:tcPr>
            <w:tcW w:w="3964" w:type="dxa"/>
            <w:tcBorders>
              <w:top w:val="nil"/>
              <w:left w:val="single" w:sz="4" w:space="0" w:color="auto"/>
              <w:bottom w:val="single" w:sz="4" w:space="0" w:color="auto"/>
              <w:right w:val="single" w:sz="4" w:space="0" w:color="auto"/>
            </w:tcBorders>
            <w:vAlign w:val="center"/>
            <w:hideMark/>
          </w:tcPr>
          <w:p w14:paraId="7EBF6B73" w14:textId="77777777" w:rsidR="00487A56" w:rsidRPr="00487A56" w:rsidRDefault="00487A56" w:rsidP="00B519BF">
            <w:pP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Coed Darcy</w:t>
            </w:r>
          </w:p>
        </w:tc>
        <w:tc>
          <w:tcPr>
            <w:tcW w:w="1606" w:type="dxa"/>
            <w:tcBorders>
              <w:top w:val="nil"/>
              <w:left w:val="nil"/>
              <w:bottom w:val="single" w:sz="4" w:space="0" w:color="auto"/>
              <w:right w:val="single" w:sz="4" w:space="0" w:color="auto"/>
            </w:tcBorders>
            <w:vAlign w:val="center"/>
            <w:hideMark/>
          </w:tcPr>
          <w:p w14:paraId="108A0EEB"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Neath</w:t>
            </w:r>
          </w:p>
        </w:tc>
        <w:tc>
          <w:tcPr>
            <w:tcW w:w="1655" w:type="dxa"/>
            <w:tcBorders>
              <w:top w:val="nil"/>
              <w:left w:val="nil"/>
              <w:bottom w:val="single" w:sz="4" w:space="0" w:color="auto"/>
              <w:right w:val="single" w:sz="4" w:space="0" w:color="auto"/>
            </w:tcBorders>
            <w:vAlign w:val="center"/>
            <w:hideMark/>
          </w:tcPr>
          <w:p w14:paraId="1B6B15D4" w14:textId="77777777" w:rsidR="00487A56" w:rsidRPr="00487A56" w:rsidRDefault="00487A56" w:rsidP="00B519BF">
            <w:pPr>
              <w:jc w:val="center"/>
              <w:rPr>
                <w:rFonts w:eastAsia="Times New Roman" w:cs="Arial"/>
                <w:kern w:val="0"/>
                <w:lang w:eastAsia="en-GB"/>
                <w14:ligatures w14:val="none"/>
              </w:rPr>
            </w:pPr>
            <w:r w:rsidRPr="00487A56">
              <w:rPr>
                <w:rFonts w:eastAsia="Times New Roman" w:cs="Arial"/>
                <w:kern w:val="0"/>
                <w:lang w:eastAsia="en-GB"/>
                <w14:ligatures w14:val="none"/>
              </w:rPr>
              <w:t>300</w:t>
            </w:r>
          </w:p>
        </w:tc>
        <w:tc>
          <w:tcPr>
            <w:tcW w:w="1323" w:type="dxa"/>
            <w:tcBorders>
              <w:top w:val="nil"/>
              <w:left w:val="nil"/>
              <w:bottom w:val="single" w:sz="4" w:space="0" w:color="auto"/>
              <w:right w:val="single" w:sz="4" w:space="0" w:color="auto"/>
            </w:tcBorders>
            <w:vAlign w:val="center"/>
            <w:hideMark/>
          </w:tcPr>
          <w:p w14:paraId="7631324A" w14:textId="77777777" w:rsidR="00487A56" w:rsidRPr="00487A56" w:rsidRDefault="00487A56" w:rsidP="00B519BF">
            <w:pPr>
              <w:jc w:val="center"/>
              <w:rPr>
                <w:rFonts w:eastAsia="Times New Roman" w:cs="Arial"/>
                <w:color w:val="000000"/>
                <w:kern w:val="0"/>
                <w:lang w:eastAsia="en-GB"/>
                <w14:ligatures w14:val="none"/>
              </w:rPr>
            </w:pPr>
            <w:r w:rsidRPr="00487A56">
              <w:rPr>
                <w:rFonts w:eastAsia="Times New Roman" w:cs="Arial"/>
                <w:color w:val="000000"/>
                <w:kern w:val="0"/>
                <w:lang w:eastAsia="en-GB"/>
                <w14:ligatures w14:val="none"/>
              </w:rPr>
              <w:t>773</w:t>
            </w:r>
          </w:p>
        </w:tc>
      </w:tr>
    </w:tbl>
    <w:p w14:paraId="724080AF" w14:textId="77777777" w:rsidR="00487A56" w:rsidRPr="00487A56" w:rsidRDefault="00487A56" w:rsidP="00B519BF">
      <w:pPr>
        <w:rPr>
          <w:rFonts w:eastAsia="Aptos" w:cs="Arial"/>
        </w:rPr>
      </w:pPr>
    </w:p>
    <w:p w14:paraId="2F95BE0C" w14:textId="77777777" w:rsidR="00487A56" w:rsidRPr="00487A56" w:rsidRDefault="00487A56" w:rsidP="00B519BF">
      <w:pPr>
        <w:rPr>
          <w:rFonts w:eastAsia="Aptos" w:cs="Arial"/>
          <w:b/>
          <w:bCs/>
          <w:sz w:val="26"/>
          <w:szCs w:val="26"/>
        </w:rPr>
      </w:pPr>
      <w:r w:rsidRPr="00487A56">
        <w:rPr>
          <w:rFonts w:eastAsia="Aptos" w:cs="Arial"/>
          <w:b/>
          <w:bCs/>
          <w:sz w:val="26"/>
          <w:szCs w:val="26"/>
        </w:rPr>
        <w:t>14.8 Gaps in provision</w:t>
      </w:r>
    </w:p>
    <w:p w14:paraId="1EA8B198" w14:textId="77777777" w:rsidR="00487A56" w:rsidRPr="00487A56" w:rsidRDefault="00487A56" w:rsidP="00B519BF">
      <w:pPr>
        <w:rPr>
          <w:rFonts w:eastAsia="Aptos" w:cs="Arial"/>
          <w:b/>
          <w:bCs/>
        </w:rPr>
      </w:pPr>
    </w:p>
    <w:p w14:paraId="48B1E8E3" w14:textId="77777777" w:rsidR="00487A56" w:rsidRPr="00487A56" w:rsidRDefault="00487A56" w:rsidP="00B519BF">
      <w:pPr>
        <w:rPr>
          <w:rFonts w:eastAsia="Aptos" w:cs="Arial"/>
        </w:rPr>
      </w:pPr>
      <w:r w:rsidRPr="00487A56">
        <w:rPr>
          <w:rFonts w:eastAsia="Aptos" w:cs="Arial"/>
        </w:rPr>
        <w:t>When considering if there are any gaps in the provision of pharmaceutical services the health board has noted that of the pharmacies in the locality:</w:t>
      </w:r>
    </w:p>
    <w:p w14:paraId="6C40300B" w14:textId="77777777" w:rsidR="00487A56" w:rsidRPr="00487A56" w:rsidRDefault="00487A56" w:rsidP="00B519BF">
      <w:pPr>
        <w:rPr>
          <w:rFonts w:eastAsia="Aptos" w:cs="Arial"/>
          <w:b/>
          <w:bCs/>
        </w:rPr>
      </w:pPr>
    </w:p>
    <w:p w14:paraId="757FFF31" w14:textId="77777777" w:rsidR="00487A56" w:rsidRPr="00487A56" w:rsidRDefault="00487A56" w:rsidP="00B76905">
      <w:pPr>
        <w:numPr>
          <w:ilvl w:val="0"/>
          <w:numId w:val="197"/>
        </w:numPr>
        <w:contextualSpacing/>
        <w:rPr>
          <w:rFonts w:eastAsia="Times New Roman" w:cs="Arial"/>
          <w:kern w:val="0"/>
          <w:lang w:eastAsia="en-GB"/>
          <w14:ligatures w14:val="none"/>
        </w:rPr>
      </w:pPr>
      <w:r w:rsidRPr="00487A56">
        <w:rPr>
          <w:rFonts w:eastAsia="Times New Roman" w:cs="Arial"/>
          <w:kern w:val="0"/>
          <w:lang w:eastAsia="en-GB"/>
          <w14:ligatures w14:val="none"/>
        </w:rPr>
        <w:lastRenderedPageBreak/>
        <w:t>ten pharmacies have sufficient capacity within their premises to manage an increase in demand.</w:t>
      </w:r>
    </w:p>
    <w:p w14:paraId="4A6DFBE7" w14:textId="77777777" w:rsidR="00487A56" w:rsidRPr="00487A56" w:rsidRDefault="00487A56" w:rsidP="00B76905">
      <w:pPr>
        <w:numPr>
          <w:ilvl w:val="0"/>
          <w:numId w:val="197"/>
        </w:numPr>
        <w:contextualSpacing/>
        <w:rPr>
          <w:rFonts w:eastAsia="Times New Roman" w:cs="Arial"/>
          <w:kern w:val="0"/>
          <w:lang w:eastAsia="en-GB"/>
          <w14:ligatures w14:val="none"/>
        </w:rPr>
      </w:pPr>
      <w:r w:rsidRPr="00487A56">
        <w:rPr>
          <w:rFonts w:eastAsia="Times New Roman" w:cs="Arial"/>
          <w:kern w:val="0"/>
          <w:lang w:eastAsia="en-GB"/>
          <w14:ligatures w14:val="none"/>
        </w:rPr>
        <w:t>Seven pharmacies have sufficient capacity within their staffing levels to manage an increase in demand, and three don’t but could make adjustments.</w:t>
      </w:r>
    </w:p>
    <w:p w14:paraId="7865A58E" w14:textId="77777777" w:rsidR="00487A56" w:rsidRPr="00487A56" w:rsidRDefault="00487A56" w:rsidP="00B519BF">
      <w:pPr>
        <w:rPr>
          <w:rFonts w:eastAsia="Aptos" w:cs="Arial"/>
          <w:b/>
          <w:bCs/>
        </w:rPr>
      </w:pPr>
    </w:p>
    <w:p w14:paraId="6E8D3437" w14:textId="77777777" w:rsidR="00487A56" w:rsidRPr="00487A56" w:rsidRDefault="00487A56" w:rsidP="00B519BF">
      <w:pPr>
        <w:rPr>
          <w:rFonts w:eastAsia="Times New Roman" w:cs="Arial"/>
          <w:b/>
          <w:kern w:val="0"/>
          <w:lang w:val="en-US" w:eastAsia="en-GB"/>
          <w14:ligatures w14:val="none"/>
        </w:rPr>
      </w:pPr>
      <w:r w:rsidRPr="00487A56">
        <w:rPr>
          <w:rFonts w:eastAsia="Times New Roman" w:cs="Arial"/>
          <w:b/>
          <w:kern w:val="0"/>
          <w:lang w:val="en-US" w:eastAsia="en-GB"/>
          <w14:ligatures w14:val="none"/>
        </w:rPr>
        <w:t>14.8.1 Essential services</w:t>
      </w:r>
    </w:p>
    <w:p w14:paraId="3A191718" w14:textId="77777777" w:rsidR="00487A56" w:rsidRPr="00487A56" w:rsidRDefault="00487A56" w:rsidP="00B519BF">
      <w:pPr>
        <w:rPr>
          <w:rFonts w:eastAsia="Times New Roman" w:cs="Arial"/>
          <w:b/>
          <w:kern w:val="0"/>
          <w:lang w:val="en-US" w:eastAsia="en-GB"/>
          <w14:ligatures w14:val="none"/>
        </w:rPr>
      </w:pPr>
    </w:p>
    <w:p w14:paraId="6F97C9F5" w14:textId="77777777" w:rsidR="00487A56" w:rsidRPr="00487A56" w:rsidRDefault="00487A56" w:rsidP="00B519BF">
      <w:pPr>
        <w:textAlignment w:val="baseline"/>
        <w:rPr>
          <w:rFonts w:eastAsia="Times New Roman" w:cs="Arial"/>
          <w:kern w:val="0"/>
          <w:lang w:eastAsia="en-GB"/>
          <w14:ligatures w14:val="none"/>
        </w:rPr>
      </w:pPr>
      <w:r w:rsidRPr="00487A56">
        <w:rPr>
          <w:rFonts w:eastAsia="Times New Roman" w:cs="Arial"/>
          <w:kern w:val="0"/>
          <w:lang w:eastAsia="en-GB"/>
          <w14:ligatures w14:val="none"/>
        </w:rPr>
        <w:t>The health board has noted: </w:t>
      </w:r>
    </w:p>
    <w:p w14:paraId="2D2BBED5" w14:textId="77777777" w:rsidR="00487A56" w:rsidRPr="00487A56" w:rsidRDefault="00487A56" w:rsidP="00B519BF">
      <w:pPr>
        <w:textAlignment w:val="baseline"/>
        <w:rPr>
          <w:rFonts w:eastAsia="Times New Roman" w:cs="Arial"/>
          <w:kern w:val="0"/>
          <w:lang w:eastAsia="en-GB"/>
          <w14:ligatures w14:val="none"/>
        </w:rPr>
      </w:pPr>
      <w:r w:rsidRPr="00487A56">
        <w:rPr>
          <w:rFonts w:eastAsia="Times New Roman" w:cs="Arial"/>
          <w:kern w:val="0"/>
          <w:lang w:eastAsia="en-GB"/>
          <w14:ligatures w14:val="none"/>
        </w:rPr>
        <w:t> </w:t>
      </w:r>
    </w:p>
    <w:p w14:paraId="0244AA8E" w14:textId="77777777" w:rsidR="00487A56" w:rsidRPr="00487A56" w:rsidRDefault="00487A56" w:rsidP="00B76905">
      <w:pPr>
        <w:numPr>
          <w:ilvl w:val="0"/>
          <w:numId w:val="155"/>
        </w:numPr>
        <w:contextualSpacing/>
        <w:rPr>
          <w:rFonts w:eastAsia="Times New Roman" w:cs="Arial"/>
          <w:kern w:val="0"/>
          <w:lang w:eastAsia="en-GB"/>
          <w14:ligatures w14:val="none"/>
        </w:rPr>
      </w:pPr>
      <w:r w:rsidRPr="00487A56">
        <w:rPr>
          <w:rFonts w:eastAsia="Times New Roman" w:cs="Arial"/>
          <w:kern w:val="0"/>
          <w:lang w:eastAsia="en-GB"/>
          <w14:ligatures w14:val="none"/>
        </w:rPr>
        <w:t xml:space="preserve">The location of pharmacies across the locality and the fact all residents are able to access a pharmacy by car within 20 minutes and for many the travel time will be shorter. Whilst noting that not all households have access to a car throughout the day, the nature of the locality means that walking to a pharmacy will be a realistic option for many residents and regular public transport services are available for those who are unable to undertake the whole journey on foot. </w:t>
      </w:r>
    </w:p>
    <w:p w14:paraId="1F4FAD67" w14:textId="77777777" w:rsidR="00487A56" w:rsidRPr="00487A56" w:rsidRDefault="00487A56" w:rsidP="00B76905">
      <w:pPr>
        <w:numPr>
          <w:ilvl w:val="0"/>
          <w:numId w:val="155"/>
        </w:numPr>
        <w:textAlignment w:val="baseline"/>
        <w:rPr>
          <w:rFonts w:eastAsia="Times New Roman" w:cs="Arial"/>
          <w:kern w:val="0"/>
          <w:lang w:eastAsia="en-GB"/>
          <w14:ligatures w14:val="none"/>
        </w:rPr>
      </w:pPr>
      <w:r w:rsidRPr="00487A56">
        <w:rPr>
          <w:rFonts w:eastAsia="Times New Roman" w:cs="Arial"/>
          <w:kern w:val="0"/>
          <w:lang w:eastAsia="en-GB"/>
          <w14:ligatures w14:val="none"/>
        </w:rPr>
        <w:t>The scale of the potential housing developments.</w:t>
      </w:r>
    </w:p>
    <w:p w14:paraId="4EBC1B84" w14:textId="77777777" w:rsidR="00487A56" w:rsidRPr="00487A56" w:rsidRDefault="00487A56" w:rsidP="00B76905">
      <w:pPr>
        <w:numPr>
          <w:ilvl w:val="0"/>
          <w:numId w:val="155"/>
        </w:numPr>
        <w:textAlignment w:val="baseline"/>
        <w:rPr>
          <w:rFonts w:eastAsia="Times New Roman" w:cs="Arial"/>
          <w:kern w:val="0"/>
          <w:lang w:eastAsia="en-GB"/>
          <w14:ligatures w14:val="none"/>
        </w:rPr>
      </w:pPr>
      <w:r w:rsidRPr="00487A56">
        <w:rPr>
          <w:rFonts w:eastAsia="Times New Roman" w:cs="Arial"/>
          <w:kern w:val="0"/>
          <w:lang w:eastAsia="en-GB"/>
          <w14:ligatures w14:val="none"/>
        </w:rPr>
        <w:t>The opening hours of the pharmacies</w:t>
      </w:r>
    </w:p>
    <w:p w14:paraId="2178724B" w14:textId="77777777" w:rsidR="00487A56" w:rsidRPr="00487A56" w:rsidRDefault="00487A56" w:rsidP="00B519BF">
      <w:pPr>
        <w:textAlignment w:val="baseline"/>
        <w:rPr>
          <w:rFonts w:eastAsia="Times New Roman" w:cs="Arial"/>
          <w:kern w:val="0"/>
          <w:lang w:eastAsia="en-GB"/>
          <w14:ligatures w14:val="none"/>
        </w:rPr>
      </w:pPr>
    </w:p>
    <w:p w14:paraId="24C56AD5" w14:textId="77777777" w:rsidR="00487A56" w:rsidRPr="00D0306F" w:rsidRDefault="00487A56" w:rsidP="00B519BF">
      <w:pPr>
        <w:contextualSpacing/>
        <w:rPr>
          <w:rFonts w:eastAsia="Times New Roman" w:cs="Arial"/>
          <w:kern w:val="0"/>
          <w:lang w:eastAsia="en-GB"/>
          <w14:ligatures w14:val="none"/>
        </w:rPr>
      </w:pPr>
      <w:r w:rsidRPr="00487A56">
        <w:rPr>
          <w:rFonts w:eastAsia="Times New Roman" w:cs="Arial"/>
          <w:kern w:val="0"/>
          <w:lang w:eastAsia="en-GB"/>
          <w14:ligatures w14:val="none"/>
        </w:rPr>
        <w:t>The health board has not identified any current gaps in the provision of the essential services.</w:t>
      </w:r>
    </w:p>
    <w:p w14:paraId="6554EA04" w14:textId="77777777" w:rsidR="00EC39BA" w:rsidRPr="00487A56" w:rsidRDefault="00EC39BA" w:rsidP="00B519BF">
      <w:pPr>
        <w:contextualSpacing/>
        <w:rPr>
          <w:rFonts w:eastAsia="Times New Roman" w:cs="Arial"/>
          <w:kern w:val="0"/>
          <w:lang w:eastAsia="en-GB"/>
          <w14:ligatures w14:val="none"/>
        </w:rPr>
      </w:pPr>
    </w:p>
    <w:p w14:paraId="44A04113" w14:textId="77777777" w:rsidR="00487A56" w:rsidRPr="00D0306F" w:rsidRDefault="00487A56" w:rsidP="00B519BF">
      <w:pPr>
        <w:textAlignment w:val="baseline"/>
        <w:rPr>
          <w:rFonts w:eastAsia="Times New Roman" w:cs="Arial"/>
          <w:kern w:val="0"/>
          <w:lang w:eastAsia="en-GB"/>
          <w14:ligatures w14:val="none"/>
        </w:rPr>
      </w:pPr>
      <w:r w:rsidRPr="00487A56">
        <w:rPr>
          <w:rFonts w:eastAsia="Times New Roman" w:cs="Arial"/>
          <w:kern w:val="0"/>
          <w:lang w:eastAsia="en-GB"/>
          <w14:ligatures w14:val="none"/>
        </w:rPr>
        <w:t>The health board has considered the known housing developments that will deliver housing in the locality during the lifetime of this document. It is satisfied that the need for essential services by those moving into the new housing will be met by the existing pharmacies.</w:t>
      </w:r>
    </w:p>
    <w:p w14:paraId="454C667A" w14:textId="77777777" w:rsidR="00EC39BA" w:rsidRPr="00487A56" w:rsidRDefault="00EC39BA" w:rsidP="00B519BF">
      <w:pPr>
        <w:textAlignment w:val="baseline"/>
        <w:rPr>
          <w:rFonts w:eastAsia="Times New Roman" w:cs="Arial"/>
          <w:kern w:val="0"/>
          <w:lang w:eastAsia="en-GB"/>
          <w14:ligatures w14:val="none"/>
        </w:rPr>
      </w:pPr>
    </w:p>
    <w:p w14:paraId="52ED4B9F" w14:textId="77777777" w:rsidR="00487A56" w:rsidRPr="00487A56" w:rsidRDefault="00487A56" w:rsidP="00B519BF">
      <w:pPr>
        <w:contextualSpacing/>
        <w:rPr>
          <w:rFonts w:eastAsia="Times New Roman" w:cs="Arial"/>
          <w:b/>
          <w:bCs/>
          <w:kern w:val="0"/>
          <w:lang w:eastAsia="en-GB"/>
          <w14:ligatures w14:val="none"/>
        </w:rPr>
      </w:pPr>
      <w:r w:rsidRPr="00487A56">
        <w:rPr>
          <w:rFonts w:eastAsia="Times New Roman" w:cs="Arial"/>
          <w:b/>
          <w:bCs/>
          <w:kern w:val="0"/>
          <w:lang w:eastAsia="en-GB"/>
          <w14:ligatures w14:val="none"/>
        </w:rPr>
        <w:t>14.8.2 National community pharmacy and appliance contractor services</w:t>
      </w:r>
    </w:p>
    <w:p w14:paraId="747AE4CE" w14:textId="77777777" w:rsidR="00487A56" w:rsidRPr="00487A56" w:rsidRDefault="00487A56" w:rsidP="00B519BF">
      <w:pPr>
        <w:contextualSpacing/>
        <w:rPr>
          <w:rFonts w:eastAsia="Times New Roman" w:cs="Arial"/>
          <w:kern w:val="0"/>
          <w:lang w:eastAsia="en-GB"/>
          <w14:ligatures w14:val="none"/>
        </w:rPr>
      </w:pPr>
    </w:p>
    <w:p w14:paraId="29A8AF12"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14.8.2.1 Appliance use review service</w:t>
      </w:r>
    </w:p>
    <w:p w14:paraId="4750FF4F" w14:textId="77777777" w:rsidR="00487A56" w:rsidRPr="00487A56" w:rsidRDefault="00487A56" w:rsidP="00B519BF">
      <w:pPr>
        <w:rPr>
          <w:rFonts w:eastAsia="Times New Roman" w:cs="Arial"/>
          <w:b/>
          <w:bCs/>
          <w:kern w:val="0"/>
          <w:lang w:eastAsia="en-GB"/>
          <w14:ligatures w14:val="none"/>
        </w:rPr>
      </w:pPr>
    </w:p>
    <w:p w14:paraId="095F5544"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 xml:space="preserve">The health board has noted none of the pharmacies have signed up to provide the service. There are four dispensing appliance contractors in Cardiff and Vale University Health Board’s area which dispensed 0.1% of the items prescribed by GP practices in this locality in each of 2024/25 and 2025/26. One of these contractors provides this service. </w:t>
      </w:r>
    </w:p>
    <w:p w14:paraId="2956C3D5" w14:textId="77777777" w:rsidR="00487A56" w:rsidRPr="00487A56" w:rsidRDefault="00487A56" w:rsidP="00B519BF">
      <w:pPr>
        <w:rPr>
          <w:rFonts w:eastAsia="Times New Roman" w:cs="Arial"/>
          <w:kern w:val="0"/>
          <w:lang w:eastAsia="en-GB"/>
          <w14:ligatures w14:val="none"/>
        </w:rPr>
      </w:pPr>
    </w:p>
    <w:p w14:paraId="00A389B7"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In addition, of the items dispensed in England in 2024/25, 67.3% were dispensed by dispensing appliance contractors and 75.6% in in the first nine months of 2025/26.</w:t>
      </w:r>
    </w:p>
    <w:p w14:paraId="1CE6E1F6" w14:textId="77777777" w:rsidR="00487A56" w:rsidRPr="00487A56" w:rsidRDefault="00487A56" w:rsidP="00B519BF">
      <w:pPr>
        <w:rPr>
          <w:rFonts w:eastAsia="Times New Roman" w:cs="Arial"/>
          <w:kern w:val="0"/>
          <w:lang w:eastAsia="en-GB"/>
          <w14:ligatures w14:val="none"/>
        </w:rPr>
      </w:pPr>
    </w:p>
    <w:p w14:paraId="607761D9"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Individuals requiring the appliance use review service are likely to access this service from the contractor that dispenses their prescriptions for appliances or may access it from other healthcare providers such as stoma nurses.</w:t>
      </w:r>
    </w:p>
    <w:p w14:paraId="5EF1B21C" w14:textId="77777777" w:rsidR="00487A56" w:rsidRPr="00487A56" w:rsidRDefault="00487A56" w:rsidP="00B519BF">
      <w:pPr>
        <w:rPr>
          <w:rFonts w:eastAsia="Times New Roman" w:cs="Arial"/>
          <w:kern w:val="0"/>
          <w:lang w:eastAsia="en-GB"/>
          <w14:ligatures w14:val="none"/>
        </w:rPr>
      </w:pPr>
    </w:p>
    <w:p w14:paraId="794AD075"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Based on the above, the health board has not identified any current or future needs for this service within the locality.</w:t>
      </w:r>
    </w:p>
    <w:p w14:paraId="71B880CE" w14:textId="77777777" w:rsidR="000537CC" w:rsidRPr="00487A56" w:rsidRDefault="000537CC" w:rsidP="00B519BF">
      <w:pPr>
        <w:rPr>
          <w:rFonts w:eastAsia="Times New Roman" w:cs="Arial"/>
          <w:b/>
          <w:bCs/>
          <w:kern w:val="0"/>
          <w:lang w:eastAsia="en-GB"/>
          <w14:ligatures w14:val="none"/>
        </w:rPr>
      </w:pPr>
    </w:p>
    <w:p w14:paraId="2432AFB6"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14.8.2.2 Clinical community pharmacy service</w:t>
      </w:r>
    </w:p>
    <w:p w14:paraId="478B991B" w14:textId="77777777" w:rsidR="00487A56" w:rsidRPr="00487A56" w:rsidRDefault="00487A56" w:rsidP="00B519BF">
      <w:pPr>
        <w:rPr>
          <w:rFonts w:eastAsia="Times New Roman" w:cs="Arial"/>
          <w:kern w:val="0"/>
          <w:lang w:eastAsia="en-GB"/>
          <w14:ligatures w14:val="none"/>
        </w:rPr>
      </w:pPr>
    </w:p>
    <w:p w14:paraId="6F6451A6" w14:textId="0B4EAA6E" w:rsidR="000537CC"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The health board has noted all the pharmacies have signed up and provide this</w:t>
      </w:r>
      <w:r w:rsidR="000537CC">
        <w:rPr>
          <w:rFonts w:eastAsia="Times New Roman" w:cs="Arial"/>
          <w:kern w:val="0"/>
          <w:lang w:eastAsia="en-GB"/>
          <w14:ligatures w14:val="none"/>
        </w:rPr>
        <w:t xml:space="preserve"> </w:t>
      </w:r>
    </w:p>
    <w:p w14:paraId="517D7F4B" w14:textId="769D4AE2"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lastRenderedPageBreak/>
        <w:t>service. As a result, the health board has not identified any current or future needs for this service within the locality.</w:t>
      </w:r>
    </w:p>
    <w:p w14:paraId="56893BF5" w14:textId="77777777" w:rsidR="00487A56" w:rsidRPr="00487A56" w:rsidRDefault="00487A56" w:rsidP="00B519BF">
      <w:pPr>
        <w:contextualSpacing/>
        <w:rPr>
          <w:rFonts w:eastAsia="Times New Roman" w:cs="Arial"/>
          <w:kern w:val="0"/>
          <w:lang w:eastAsia="en-GB"/>
          <w14:ligatures w14:val="none"/>
        </w:rPr>
      </w:pPr>
    </w:p>
    <w:p w14:paraId="69CE0C6E"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 xml:space="preserve">14.8.2.3 Discharge medicines review service </w:t>
      </w:r>
    </w:p>
    <w:p w14:paraId="20BFBD6B" w14:textId="77777777" w:rsidR="00487A56" w:rsidRPr="00487A56" w:rsidRDefault="00487A56" w:rsidP="00B519BF">
      <w:pPr>
        <w:rPr>
          <w:rFonts w:eastAsia="Times New Roman" w:cs="Arial"/>
          <w:b/>
          <w:bCs/>
          <w:kern w:val="0"/>
          <w:lang w:eastAsia="en-GB"/>
          <w14:ligatures w14:val="none"/>
        </w:rPr>
      </w:pPr>
    </w:p>
    <w:p w14:paraId="76D26319"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The health board has noted all the pharmacies have signed up to provide this service and do so. As a result, the health board has not identified any current or future needs for this service within the locality.</w:t>
      </w:r>
    </w:p>
    <w:p w14:paraId="00309CE3" w14:textId="77777777" w:rsidR="00487A56" w:rsidRPr="00487A56" w:rsidRDefault="00487A56" w:rsidP="00B519BF">
      <w:pPr>
        <w:ind w:left="360"/>
        <w:rPr>
          <w:rFonts w:eastAsia="Times New Roman" w:cs="Arial"/>
          <w:kern w:val="0"/>
          <w:lang w:eastAsia="en-GB"/>
          <w14:ligatures w14:val="none"/>
        </w:rPr>
      </w:pPr>
    </w:p>
    <w:p w14:paraId="63FF6C08"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14.8.2.4 Influenza vaccination service</w:t>
      </w:r>
    </w:p>
    <w:p w14:paraId="58E05841" w14:textId="77777777" w:rsidR="00487A56" w:rsidRPr="00487A56" w:rsidRDefault="00487A56" w:rsidP="00B519BF">
      <w:pPr>
        <w:rPr>
          <w:rFonts w:eastAsia="Times New Roman" w:cs="Arial"/>
          <w:kern w:val="0"/>
          <w:lang w:eastAsia="en-GB"/>
          <w14:ligatures w14:val="none"/>
        </w:rPr>
      </w:pPr>
    </w:p>
    <w:p w14:paraId="31A6ACAD"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The health board has noted nine of the pharmacies have signed up to provide this service and do so. The health board has noted that GP practices also provide this service. As a result, the health board has not identified any current or future needs for this service within the locality.</w:t>
      </w:r>
    </w:p>
    <w:p w14:paraId="026E40F3" w14:textId="77777777" w:rsidR="00EC39BA" w:rsidRPr="00487A56" w:rsidRDefault="00EC39BA" w:rsidP="00EC39BA">
      <w:pPr>
        <w:rPr>
          <w:rFonts w:eastAsia="Times New Roman" w:cs="Arial"/>
          <w:kern w:val="0"/>
          <w:lang w:eastAsia="en-GB"/>
          <w14:ligatures w14:val="none"/>
        </w:rPr>
      </w:pPr>
    </w:p>
    <w:p w14:paraId="14552450"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14.8.2.5 Lateral flow test supply service</w:t>
      </w:r>
    </w:p>
    <w:p w14:paraId="215ED7F2" w14:textId="77777777" w:rsidR="00487A56" w:rsidRPr="00487A56" w:rsidRDefault="00487A56" w:rsidP="00B519BF">
      <w:pPr>
        <w:rPr>
          <w:rFonts w:eastAsia="Times New Roman" w:cs="Arial"/>
          <w:kern w:val="0"/>
          <w:lang w:eastAsia="en-GB"/>
          <w14:ligatures w14:val="none"/>
        </w:rPr>
      </w:pPr>
    </w:p>
    <w:p w14:paraId="4E8F324F"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The health board has noted all the pharmacies have signed up to provide this service, and five pharmacies provide it. As a result, the health board has not identified any current or future needs for this service within the locality.</w:t>
      </w:r>
    </w:p>
    <w:p w14:paraId="6689E0E8" w14:textId="77777777" w:rsidR="00487A56" w:rsidRPr="00487A56" w:rsidRDefault="00487A56" w:rsidP="00B519BF">
      <w:pPr>
        <w:ind w:left="360"/>
        <w:rPr>
          <w:rFonts w:eastAsia="Times New Roman" w:cs="Arial"/>
          <w:kern w:val="0"/>
          <w:lang w:eastAsia="en-GB"/>
          <w14:ligatures w14:val="none"/>
        </w:rPr>
      </w:pPr>
    </w:p>
    <w:p w14:paraId="528606D0"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14.8.2.6 Pharmacist independent prescribing service</w:t>
      </w:r>
    </w:p>
    <w:p w14:paraId="7AC02DEE" w14:textId="77777777" w:rsidR="00487A56" w:rsidRPr="00487A56" w:rsidRDefault="00487A56" w:rsidP="00B519BF">
      <w:pPr>
        <w:rPr>
          <w:rFonts w:eastAsia="Times New Roman" w:cs="Arial"/>
          <w:kern w:val="0"/>
          <w:lang w:eastAsia="en-GB"/>
          <w14:ligatures w14:val="none"/>
        </w:rPr>
      </w:pPr>
    </w:p>
    <w:p w14:paraId="39AEF188"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 xml:space="preserve">The health board has noted five of the pharmacies have signed up to provide this service, and five pharmacies provide it and that two more pharmacies will start to provide it. </w:t>
      </w:r>
    </w:p>
    <w:p w14:paraId="0774C1CE" w14:textId="77777777" w:rsidR="00487A56" w:rsidRPr="00487A56" w:rsidRDefault="00487A56" w:rsidP="00B519BF">
      <w:pPr>
        <w:rPr>
          <w:rFonts w:eastAsia="Times New Roman" w:cs="Arial"/>
          <w:kern w:val="0"/>
          <w:lang w:eastAsia="en-GB"/>
          <w14:ligatures w14:val="none"/>
        </w:rPr>
      </w:pPr>
    </w:p>
    <w:p w14:paraId="253BB5AF"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Welsh Government’s ambition is for each pharmacy to have an independent prescriber by 2030. The health board has noted that from 2026 it is anticipated that all newly qualified pharmacists will also qualify as independent prescribers on completion of their undergraduate programme.</w:t>
      </w:r>
    </w:p>
    <w:p w14:paraId="7EB5B6BD" w14:textId="77777777" w:rsidR="00487A56" w:rsidRPr="00487A56" w:rsidRDefault="00487A56" w:rsidP="00B519BF">
      <w:pPr>
        <w:rPr>
          <w:rFonts w:eastAsia="Times New Roman" w:cs="Arial"/>
          <w:kern w:val="0"/>
          <w:lang w:eastAsia="en-GB"/>
          <w14:ligatures w14:val="none"/>
        </w:rPr>
      </w:pPr>
    </w:p>
    <w:p w14:paraId="1C306B65"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Noting the above, the health board is of the opinion that the remaining pharmacies will sign up to provide this service during the lifetime of this pharmaceutical needs assessment. As a result, the health board has not identified any current or future needs for this service within the locality.</w:t>
      </w:r>
    </w:p>
    <w:p w14:paraId="0894C98D" w14:textId="77777777" w:rsidR="00487A56" w:rsidRPr="00487A56" w:rsidRDefault="00487A56" w:rsidP="00B519BF">
      <w:pPr>
        <w:rPr>
          <w:rFonts w:eastAsia="Times New Roman" w:cs="Arial"/>
          <w:kern w:val="0"/>
          <w:lang w:eastAsia="en-GB"/>
          <w14:ligatures w14:val="none"/>
        </w:rPr>
      </w:pPr>
    </w:p>
    <w:p w14:paraId="4F04E11E"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 xml:space="preserve">14.8.2.7 Stoma appliance customisation service </w:t>
      </w:r>
    </w:p>
    <w:p w14:paraId="093D0CE6" w14:textId="77777777" w:rsidR="00487A56" w:rsidRPr="00487A56" w:rsidRDefault="00487A56" w:rsidP="00B519BF">
      <w:pPr>
        <w:rPr>
          <w:rFonts w:eastAsia="Times New Roman" w:cs="Arial"/>
          <w:kern w:val="0"/>
          <w:lang w:eastAsia="en-GB"/>
          <w14:ligatures w14:val="none"/>
        </w:rPr>
      </w:pPr>
    </w:p>
    <w:p w14:paraId="06249499"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The health board has noted none of the pharmacies have signed up to provide this service and neither have the four dispensing appliance contractors Cardiff and Vale University Health Board’s area.</w:t>
      </w:r>
    </w:p>
    <w:p w14:paraId="4465582C" w14:textId="77777777" w:rsidR="00487A56" w:rsidRPr="00487A56" w:rsidRDefault="00487A56" w:rsidP="00B519BF">
      <w:pPr>
        <w:rPr>
          <w:rFonts w:eastAsia="Times New Roman" w:cs="Arial"/>
          <w:kern w:val="0"/>
          <w:lang w:eastAsia="en-GB"/>
          <w14:ligatures w14:val="none"/>
        </w:rPr>
      </w:pPr>
    </w:p>
    <w:p w14:paraId="7EF4585D"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However, of the items dispensed in England in 2024/25, 67.3% were dispensed by dispensing appliance contractors and 75.6% in in the first nine months of 2025/26.</w:t>
      </w:r>
    </w:p>
    <w:p w14:paraId="7EEED374" w14:textId="77777777" w:rsidR="00487A56" w:rsidRPr="00487A56" w:rsidRDefault="00487A56" w:rsidP="00B519BF">
      <w:pPr>
        <w:rPr>
          <w:rFonts w:eastAsia="Times New Roman" w:cs="Arial"/>
          <w:kern w:val="0"/>
          <w:lang w:eastAsia="en-GB"/>
          <w14:ligatures w14:val="none"/>
        </w:rPr>
      </w:pPr>
    </w:p>
    <w:p w14:paraId="2B330A18"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 xml:space="preserve">It is therefore anticipated that these contractors will be customising stoma appliances as required before dispatching or delivering them to patients. Based on this, the </w:t>
      </w:r>
      <w:r w:rsidRPr="00487A56">
        <w:rPr>
          <w:rFonts w:eastAsia="Times New Roman" w:cs="Arial"/>
          <w:kern w:val="0"/>
          <w:lang w:eastAsia="en-GB"/>
          <w14:ligatures w14:val="none"/>
        </w:rPr>
        <w:lastRenderedPageBreak/>
        <w:t>health board has not identified any current or future needs for this service within the locality.</w:t>
      </w:r>
    </w:p>
    <w:p w14:paraId="6017056C" w14:textId="77777777" w:rsidR="00487A56" w:rsidRPr="00487A56" w:rsidRDefault="00487A56" w:rsidP="00B519BF">
      <w:pPr>
        <w:rPr>
          <w:rFonts w:eastAsia="Times New Roman" w:cs="Arial"/>
          <w:kern w:val="0"/>
          <w:lang w:eastAsia="en-GB"/>
          <w14:ligatures w14:val="none"/>
        </w:rPr>
      </w:pPr>
    </w:p>
    <w:p w14:paraId="6E37DDBE"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14.8.3 Additional clinical services</w:t>
      </w:r>
    </w:p>
    <w:p w14:paraId="7042B63C" w14:textId="77777777" w:rsidR="00487A56" w:rsidRPr="00487A56" w:rsidRDefault="00487A56" w:rsidP="00B519BF">
      <w:pPr>
        <w:rPr>
          <w:rFonts w:eastAsia="Aptos" w:cs="Arial"/>
          <w:shd w:val="clear" w:color="auto" w:fill="FFFFFF"/>
        </w:rPr>
      </w:pPr>
    </w:p>
    <w:p w14:paraId="4A561182"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14.8.3.1 Blood borne virus screening service</w:t>
      </w:r>
    </w:p>
    <w:p w14:paraId="62EA8FDA" w14:textId="77777777" w:rsidR="00487A56" w:rsidRPr="00487A56" w:rsidRDefault="00487A56" w:rsidP="00B519BF">
      <w:pPr>
        <w:rPr>
          <w:rFonts w:eastAsia="Times New Roman" w:cs="Arial"/>
          <w:kern w:val="0"/>
          <w:lang w:eastAsia="en-GB"/>
          <w14:ligatures w14:val="none"/>
        </w:rPr>
      </w:pPr>
    </w:p>
    <w:p w14:paraId="5B9D800D"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 xml:space="preserve">The health board has noted none of the pharmacies have signed up to provide this service. </w:t>
      </w:r>
    </w:p>
    <w:p w14:paraId="4446551B" w14:textId="77777777" w:rsidR="00487A56" w:rsidRPr="00487A56" w:rsidRDefault="00487A56" w:rsidP="00B519BF">
      <w:pPr>
        <w:rPr>
          <w:rFonts w:eastAsia="Times New Roman" w:cs="Arial"/>
          <w:kern w:val="0"/>
          <w:lang w:eastAsia="en-GB"/>
          <w14:ligatures w14:val="none"/>
        </w:rPr>
      </w:pPr>
    </w:p>
    <w:p w14:paraId="593BB33D" w14:textId="77777777" w:rsidR="00487A56" w:rsidRPr="00487A56" w:rsidRDefault="00487A56" w:rsidP="00B519BF">
      <w:pPr>
        <w:contextualSpacing/>
        <w:rPr>
          <w:rFonts w:eastAsia="Times New Roman" w:cs="Arial"/>
          <w:kern w:val="0"/>
          <w:lang w:eastAsia="en-GB"/>
          <w14:ligatures w14:val="none"/>
        </w:rPr>
      </w:pPr>
      <w:r w:rsidRPr="00487A56">
        <w:rPr>
          <w:rFonts w:eastAsia="Times New Roman" w:cs="Arial"/>
          <w:kern w:val="0"/>
          <w:lang w:eastAsia="en-GB"/>
          <w14:ligatures w14:val="none"/>
        </w:rPr>
        <w:t xml:space="preserve">However, blood borne virus screening services are available through several other providers in the health board’s area, such as sexual health clinics, GP practices, ordering online home test and post screening kits via Sexual Health Wales or collecting screening kits from community venues across Swansea Bay. Several pharmacies across Swansea Bay hold a stock of the test and post screening kits, ensuring convenient access for those who may prefer a more discreet or flexible option. </w:t>
      </w:r>
    </w:p>
    <w:p w14:paraId="62582178" w14:textId="77777777" w:rsidR="00487A56" w:rsidRPr="00487A56" w:rsidRDefault="00487A56" w:rsidP="00B519BF">
      <w:pPr>
        <w:rPr>
          <w:rFonts w:eastAsia="Times New Roman" w:cs="Arial"/>
          <w:kern w:val="0"/>
          <w:lang w:eastAsia="en-GB"/>
          <w14:ligatures w14:val="none"/>
        </w:rPr>
      </w:pPr>
    </w:p>
    <w:p w14:paraId="6A08F187"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Based on the above, the health board has not identified any current or future needs for this service within the locality.</w:t>
      </w:r>
    </w:p>
    <w:p w14:paraId="7426A853" w14:textId="77777777" w:rsidR="00487A56" w:rsidRPr="00487A56" w:rsidRDefault="00487A56" w:rsidP="00B519BF">
      <w:pPr>
        <w:rPr>
          <w:rFonts w:eastAsia="Times New Roman" w:cs="Arial"/>
          <w:kern w:val="0"/>
          <w:lang w:eastAsia="en-GB"/>
          <w14:ligatures w14:val="none"/>
        </w:rPr>
      </w:pPr>
    </w:p>
    <w:p w14:paraId="0A1461A8"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14.8.3.2 Care home support service - Level 1 medicines management support visits</w:t>
      </w:r>
    </w:p>
    <w:p w14:paraId="4AF313EA" w14:textId="77777777" w:rsidR="00487A56" w:rsidRPr="00487A56" w:rsidRDefault="00487A56" w:rsidP="00B519BF">
      <w:pPr>
        <w:rPr>
          <w:rFonts w:eastAsia="Times New Roman" w:cs="Arial"/>
          <w:kern w:val="0"/>
          <w:lang w:eastAsia="en-GB"/>
          <w14:ligatures w14:val="none"/>
        </w:rPr>
      </w:pPr>
    </w:p>
    <w:p w14:paraId="6A4FE673"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The health board has noted none of the pharmacies have signed up to provide this service. If approached by a pharmacy wishing to provide the service for the care homes it serves as it has identified there is a need for the service, the health board would commission the service from that pharmacy.</w:t>
      </w:r>
    </w:p>
    <w:p w14:paraId="1648BFF1" w14:textId="77777777" w:rsidR="00487A56" w:rsidRPr="00487A56" w:rsidRDefault="00487A56" w:rsidP="00B519BF">
      <w:pPr>
        <w:rPr>
          <w:rFonts w:eastAsia="Times New Roman" w:cs="Arial"/>
          <w:kern w:val="0"/>
          <w:lang w:eastAsia="en-GB"/>
          <w14:ligatures w14:val="none"/>
        </w:rPr>
      </w:pPr>
    </w:p>
    <w:p w14:paraId="7FF8452E" w14:textId="77777777" w:rsidR="00487A56" w:rsidRPr="00487A56" w:rsidRDefault="00487A56" w:rsidP="00B519BF">
      <w:pPr>
        <w:contextualSpacing/>
        <w:rPr>
          <w:rFonts w:eastAsia="Times New Roman" w:cs="Arial"/>
          <w:kern w:val="0"/>
          <w:lang w:eastAsia="en-GB"/>
          <w14:ligatures w14:val="none"/>
        </w:rPr>
      </w:pPr>
      <w:r w:rsidRPr="00487A56">
        <w:rPr>
          <w:rFonts w:eastAsia="Times New Roman" w:cs="Arial"/>
          <w:kern w:val="0"/>
          <w:lang w:eastAsia="en-GB"/>
          <w14:ligatures w14:val="none"/>
        </w:rPr>
        <w:t>Based on the above, the health board has not identified any current or future needs for this service within the locality.</w:t>
      </w:r>
    </w:p>
    <w:p w14:paraId="72830499" w14:textId="77777777" w:rsidR="00487A56" w:rsidRPr="00487A56" w:rsidRDefault="00487A56" w:rsidP="00B519BF">
      <w:pPr>
        <w:rPr>
          <w:rFonts w:eastAsia="Times New Roman" w:cs="Arial"/>
          <w:kern w:val="0"/>
          <w:lang w:eastAsia="en-GB"/>
          <w14:ligatures w14:val="none"/>
        </w:rPr>
      </w:pPr>
    </w:p>
    <w:p w14:paraId="27544A69"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14.8.3.3 Inhaler review service</w:t>
      </w:r>
    </w:p>
    <w:p w14:paraId="67B7561D" w14:textId="77777777" w:rsidR="00487A56" w:rsidRPr="00487A56" w:rsidRDefault="00487A56" w:rsidP="00B519BF">
      <w:pPr>
        <w:rPr>
          <w:rFonts w:eastAsia="Times New Roman" w:cs="Arial"/>
          <w:b/>
          <w:bCs/>
          <w:kern w:val="0"/>
          <w:lang w:eastAsia="en-GB"/>
          <w14:ligatures w14:val="none"/>
        </w:rPr>
      </w:pPr>
    </w:p>
    <w:p w14:paraId="7F6F8AAC"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The health board has noted two of the pharmacies have signed up to provide this service and do so. It has also noted that GP practices will provide the service which reduces demand for the service to be provided by pharmacies. If a pharmacy identified that the service is required by its users, the health board would commission the service from that pharmacy.</w:t>
      </w:r>
    </w:p>
    <w:p w14:paraId="7527D727" w14:textId="77777777" w:rsidR="00487A56" w:rsidRPr="00487A56" w:rsidRDefault="00487A56" w:rsidP="00B519BF">
      <w:pPr>
        <w:rPr>
          <w:rFonts w:eastAsia="Times New Roman" w:cs="Arial"/>
          <w:kern w:val="0"/>
          <w:lang w:eastAsia="en-GB"/>
          <w14:ligatures w14:val="none"/>
        </w:rPr>
      </w:pPr>
    </w:p>
    <w:p w14:paraId="1475D7F3"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Based on the above, the health board has not identified any current or future needs for this service within the locality.</w:t>
      </w:r>
    </w:p>
    <w:p w14:paraId="07EA4498" w14:textId="77777777" w:rsidR="00487A56" w:rsidRPr="00487A56" w:rsidRDefault="00487A56" w:rsidP="00B519BF">
      <w:pPr>
        <w:rPr>
          <w:rFonts w:eastAsia="Times New Roman" w:cs="Arial"/>
          <w:b/>
          <w:bCs/>
          <w:kern w:val="0"/>
          <w:lang w:eastAsia="en-GB"/>
          <w14:ligatures w14:val="none"/>
        </w:rPr>
      </w:pPr>
    </w:p>
    <w:p w14:paraId="4156415A"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14.8.3.4 Just in case service (palliative care packs)</w:t>
      </w:r>
    </w:p>
    <w:p w14:paraId="2515F423" w14:textId="77777777" w:rsidR="00487A56" w:rsidRPr="00487A56" w:rsidRDefault="00487A56" w:rsidP="00B519BF">
      <w:pPr>
        <w:rPr>
          <w:rFonts w:eastAsia="Times New Roman" w:cs="Arial"/>
          <w:kern w:val="0"/>
          <w:lang w:eastAsia="en-GB"/>
          <w14:ligatures w14:val="none"/>
        </w:rPr>
      </w:pPr>
    </w:p>
    <w:p w14:paraId="56439F68"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 xml:space="preserve">The health board has noted four of the pharmacies have signed up to provide this service, however none have provided it. </w:t>
      </w:r>
    </w:p>
    <w:p w14:paraId="7B473790" w14:textId="77777777" w:rsidR="00487A56" w:rsidRPr="00487A56" w:rsidRDefault="00487A56" w:rsidP="00B519BF">
      <w:pPr>
        <w:ind w:left="360"/>
        <w:rPr>
          <w:rFonts w:eastAsia="Times New Roman" w:cs="Arial"/>
          <w:kern w:val="0"/>
          <w:lang w:eastAsia="en-GB"/>
          <w14:ligatures w14:val="none"/>
        </w:rPr>
      </w:pPr>
    </w:p>
    <w:p w14:paraId="762B86E5" w14:textId="77777777" w:rsidR="00487A56" w:rsidRPr="00487A56" w:rsidRDefault="00487A56" w:rsidP="00B519BF">
      <w:pPr>
        <w:contextualSpacing/>
        <w:rPr>
          <w:rFonts w:eastAsia="Times New Roman" w:cs="Arial"/>
          <w:kern w:val="0"/>
          <w:lang w:eastAsia="en-GB"/>
          <w14:ligatures w14:val="none"/>
        </w:rPr>
      </w:pPr>
      <w:r w:rsidRPr="00487A56">
        <w:rPr>
          <w:rFonts w:eastAsia="Times New Roman" w:cs="Arial"/>
          <w:kern w:val="0"/>
          <w:lang w:eastAsia="en-GB"/>
          <w14:ligatures w14:val="none"/>
        </w:rPr>
        <w:t>Services are available within the locality through several other providers in the health board’s area, such as through the health board’s palliative care team.</w:t>
      </w:r>
    </w:p>
    <w:p w14:paraId="7EE2FB7E" w14:textId="77777777" w:rsidR="00487A56" w:rsidRPr="00487A56" w:rsidRDefault="00487A56" w:rsidP="00B519BF">
      <w:pPr>
        <w:contextualSpacing/>
        <w:rPr>
          <w:rFonts w:eastAsia="Times New Roman" w:cs="Arial"/>
          <w:kern w:val="0"/>
          <w:lang w:eastAsia="en-GB"/>
          <w14:ligatures w14:val="none"/>
        </w:rPr>
      </w:pPr>
    </w:p>
    <w:p w14:paraId="64D71E29"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Based on the above, the health board has not identified any current or future needs for this service within the locality.</w:t>
      </w:r>
    </w:p>
    <w:p w14:paraId="2BAD01CF" w14:textId="77777777" w:rsidR="00487A56" w:rsidRPr="00487A56" w:rsidRDefault="00487A56" w:rsidP="00B519BF">
      <w:pPr>
        <w:ind w:left="360"/>
        <w:rPr>
          <w:rFonts w:eastAsia="Times New Roman" w:cs="Arial"/>
          <w:kern w:val="0"/>
          <w:lang w:eastAsia="en-GB"/>
          <w14:ligatures w14:val="none"/>
        </w:rPr>
      </w:pPr>
    </w:p>
    <w:p w14:paraId="272B1FCB"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 xml:space="preserve">14.8.3.5 Medicines administration record service </w:t>
      </w:r>
    </w:p>
    <w:p w14:paraId="3C6F6E10" w14:textId="77777777" w:rsidR="00487A56" w:rsidRPr="00487A56" w:rsidRDefault="00487A56" w:rsidP="00B519BF">
      <w:pPr>
        <w:rPr>
          <w:rFonts w:eastAsia="Times New Roman" w:cs="Arial"/>
          <w:kern w:val="0"/>
          <w:lang w:eastAsia="en-GB"/>
          <w14:ligatures w14:val="none"/>
        </w:rPr>
      </w:pPr>
    </w:p>
    <w:p w14:paraId="19DE21F3"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The health board has noted nine of the pharmacies have signed up to provide this service, and seven pharmacies provide it. The health board has not identified any current or future needs for this service within the locality.</w:t>
      </w:r>
    </w:p>
    <w:p w14:paraId="79C91B59" w14:textId="77777777" w:rsidR="00487A56" w:rsidRPr="00487A56" w:rsidRDefault="00487A56" w:rsidP="00B519BF">
      <w:pPr>
        <w:rPr>
          <w:rFonts w:eastAsia="Times New Roman" w:cs="Arial"/>
          <w:b/>
          <w:bCs/>
          <w:kern w:val="0"/>
          <w:lang w:eastAsia="en-GB"/>
          <w14:ligatures w14:val="none"/>
        </w:rPr>
      </w:pPr>
    </w:p>
    <w:p w14:paraId="332B2EC0"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14.8.3.6 Needle and syringe programmes</w:t>
      </w:r>
    </w:p>
    <w:p w14:paraId="1AAD5AB0" w14:textId="77777777" w:rsidR="00487A56" w:rsidRPr="00487A56" w:rsidRDefault="00487A56" w:rsidP="00B519BF">
      <w:pPr>
        <w:rPr>
          <w:rFonts w:eastAsia="Times New Roman" w:cs="Arial"/>
          <w:kern w:val="0"/>
          <w:lang w:eastAsia="en-GB"/>
          <w14:ligatures w14:val="none"/>
        </w:rPr>
      </w:pPr>
    </w:p>
    <w:p w14:paraId="077CCABD"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The health board has noted four of the pharmacies have signed up to provide this service, and four pharmacies provide it.</w:t>
      </w:r>
    </w:p>
    <w:p w14:paraId="597A5BFF" w14:textId="77777777" w:rsidR="00487A56" w:rsidRPr="00487A56" w:rsidRDefault="00487A56" w:rsidP="00B519BF">
      <w:pPr>
        <w:rPr>
          <w:rFonts w:eastAsia="Times New Roman" w:cs="Arial"/>
          <w:kern w:val="0"/>
          <w:lang w:eastAsia="en-GB"/>
          <w14:ligatures w14:val="none"/>
        </w:rPr>
      </w:pPr>
    </w:p>
    <w:p w14:paraId="46282D56"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The health board has noted that this service is also provided by other providers and that demand for it has decreased across the full range of providers, reflecting changes in service user behaviour. No complaints have been received by the health board regarding discarded needles and syringes in public spaces. If a pharmacy wished to subsequently provide the service due to an increase in demand the health board would commission the pharmacy accordingly.</w:t>
      </w:r>
    </w:p>
    <w:p w14:paraId="0E602512" w14:textId="77777777" w:rsidR="00487A56" w:rsidRPr="00487A56" w:rsidRDefault="00487A56" w:rsidP="00B519BF">
      <w:pPr>
        <w:rPr>
          <w:rFonts w:eastAsia="Times New Roman" w:cs="Arial"/>
          <w:kern w:val="0"/>
          <w:lang w:eastAsia="en-GB"/>
          <w14:ligatures w14:val="none"/>
        </w:rPr>
      </w:pPr>
    </w:p>
    <w:p w14:paraId="197ADB70"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Based on the above, the health board has not identified any current or future needs for this service within the locality.</w:t>
      </w:r>
    </w:p>
    <w:p w14:paraId="19411E7F" w14:textId="77777777" w:rsidR="00487A56" w:rsidRPr="00487A56" w:rsidRDefault="00487A56" w:rsidP="00B519BF">
      <w:pPr>
        <w:rPr>
          <w:rFonts w:eastAsia="Times New Roman" w:cs="Arial"/>
          <w:kern w:val="0"/>
          <w:lang w:eastAsia="en-GB"/>
          <w14:ligatures w14:val="none"/>
        </w:rPr>
      </w:pPr>
    </w:p>
    <w:p w14:paraId="723BBA90"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14.8.3.7 Help me quit @ pharmacy (level 2 smoking cessation) service</w:t>
      </w:r>
    </w:p>
    <w:p w14:paraId="78710AA3" w14:textId="77777777" w:rsidR="00487A56" w:rsidRPr="00487A56" w:rsidRDefault="00487A56" w:rsidP="00B519BF">
      <w:pPr>
        <w:rPr>
          <w:rFonts w:eastAsia="Times New Roman" w:cs="Arial"/>
          <w:kern w:val="0"/>
          <w:lang w:eastAsia="en-GB"/>
          <w14:ligatures w14:val="none"/>
        </w:rPr>
      </w:pPr>
    </w:p>
    <w:p w14:paraId="23B217D0"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The health board has noted all the pharmacies have signed up to provide this service and do so.</w:t>
      </w:r>
    </w:p>
    <w:p w14:paraId="02483F23" w14:textId="77777777" w:rsidR="00487A56" w:rsidRPr="00487A56" w:rsidRDefault="00487A56" w:rsidP="00B519BF">
      <w:pPr>
        <w:rPr>
          <w:rFonts w:eastAsia="Times New Roman" w:cs="Arial"/>
          <w:kern w:val="0"/>
          <w:lang w:eastAsia="en-GB"/>
          <w14:ligatures w14:val="none"/>
        </w:rPr>
      </w:pPr>
    </w:p>
    <w:p w14:paraId="28AADA83"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The health board has therefore not identified any current or future needs for this service within the locality.</w:t>
      </w:r>
    </w:p>
    <w:p w14:paraId="3D8DA14B" w14:textId="77777777" w:rsidR="00487A56" w:rsidRPr="00487A56" w:rsidRDefault="00487A56" w:rsidP="00B519BF">
      <w:pPr>
        <w:ind w:left="360"/>
        <w:rPr>
          <w:rFonts w:eastAsia="Times New Roman" w:cs="Arial"/>
          <w:kern w:val="0"/>
          <w:lang w:eastAsia="en-GB"/>
          <w14:ligatures w14:val="none"/>
        </w:rPr>
      </w:pPr>
    </w:p>
    <w:p w14:paraId="7D719295"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14.8.3.8 Help me quit @ pharmacy (level 3 smoking cessation) service</w:t>
      </w:r>
    </w:p>
    <w:p w14:paraId="09116441" w14:textId="77777777" w:rsidR="00487A56" w:rsidRPr="00487A56" w:rsidRDefault="00487A56" w:rsidP="00B519BF">
      <w:pPr>
        <w:rPr>
          <w:rFonts w:eastAsia="Times New Roman" w:cs="Arial"/>
          <w:kern w:val="0"/>
          <w:lang w:eastAsia="en-GB"/>
          <w14:ligatures w14:val="none"/>
        </w:rPr>
      </w:pPr>
    </w:p>
    <w:p w14:paraId="7B3FCA7B"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 xml:space="preserve">The health board has noted nine of the pharmacies have signed up and provide this service. </w:t>
      </w:r>
    </w:p>
    <w:p w14:paraId="5947CBB7" w14:textId="77777777" w:rsidR="00487A56" w:rsidRPr="00487A56" w:rsidRDefault="00487A56" w:rsidP="00B519BF">
      <w:pPr>
        <w:rPr>
          <w:rFonts w:eastAsia="Times New Roman" w:cs="Arial"/>
          <w:kern w:val="0"/>
          <w:lang w:eastAsia="en-GB"/>
          <w14:ligatures w14:val="none"/>
        </w:rPr>
      </w:pPr>
    </w:p>
    <w:p w14:paraId="325F0F36"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The health board has noted that service user behaviour and needs are changing, with more people using vapes instead of smoking tobacco. The service is not appropriate for those who wish to stop vaping. The service is also not appropriate for those who are heavy smokers and who have smoked for a number of years as the drugs they require to stop smoking are not available under this service.</w:t>
      </w:r>
    </w:p>
    <w:p w14:paraId="03D75B65" w14:textId="77777777" w:rsidR="00487A56" w:rsidRPr="00487A56" w:rsidRDefault="00487A56" w:rsidP="00B519BF">
      <w:pPr>
        <w:rPr>
          <w:rFonts w:eastAsia="Times New Roman" w:cs="Arial"/>
          <w:kern w:val="0"/>
          <w:lang w:eastAsia="en-GB"/>
          <w14:ligatures w14:val="none"/>
        </w:rPr>
      </w:pPr>
    </w:p>
    <w:p w14:paraId="77D9DDD2"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Based on the above, the health board has not identified any current or future needs for this service within the locality.</w:t>
      </w:r>
    </w:p>
    <w:p w14:paraId="7C1FC0F7" w14:textId="77777777" w:rsidR="00487A56" w:rsidRPr="00487A56" w:rsidRDefault="00487A56" w:rsidP="00B519BF">
      <w:pPr>
        <w:ind w:left="360"/>
        <w:rPr>
          <w:rFonts w:eastAsia="Times New Roman" w:cs="Arial"/>
          <w:kern w:val="0"/>
          <w:lang w:eastAsia="en-GB"/>
          <w14:ligatures w14:val="none"/>
        </w:rPr>
      </w:pPr>
    </w:p>
    <w:p w14:paraId="693AB159"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14.8.3.9 Supervised administration of medicines service</w:t>
      </w:r>
    </w:p>
    <w:p w14:paraId="0BB299A6" w14:textId="77777777" w:rsidR="00487A56" w:rsidRDefault="00487A56" w:rsidP="00B519BF">
      <w:pPr>
        <w:rPr>
          <w:rFonts w:eastAsia="Times New Roman" w:cs="Arial"/>
          <w:kern w:val="0"/>
          <w:lang w:eastAsia="en-GB"/>
          <w14:ligatures w14:val="none"/>
        </w:rPr>
      </w:pPr>
    </w:p>
    <w:p w14:paraId="0F2E1BF6" w14:textId="77777777" w:rsidR="00A14CF8"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 xml:space="preserve">The health board has noted eight of the pharmacies have signed up to provide this </w:t>
      </w:r>
    </w:p>
    <w:p w14:paraId="5DBD2183" w14:textId="3896E078"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lastRenderedPageBreak/>
        <w:t>service, and seven pharmacies provide it. The health board is satisfied that there is a good spread of pharmacies across the locality who do, or could, provide the service if required.</w:t>
      </w:r>
    </w:p>
    <w:p w14:paraId="3BBB7EE0" w14:textId="77777777" w:rsidR="00487A56" w:rsidRPr="00487A56" w:rsidRDefault="00487A56" w:rsidP="00B519BF">
      <w:pPr>
        <w:rPr>
          <w:rFonts w:eastAsia="Times New Roman" w:cs="Arial"/>
          <w:kern w:val="0"/>
          <w:lang w:eastAsia="en-GB"/>
          <w14:ligatures w14:val="none"/>
        </w:rPr>
      </w:pPr>
    </w:p>
    <w:p w14:paraId="22FF1A83"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The health board has therefore not identified any current or future needs for this service within the locality.</w:t>
      </w:r>
    </w:p>
    <w:p w14:paraId="2FA8E3D7" w14:textId="77777777" w:rsidR="00487A56" w:rsidRPr="00487A56" w:rsidRDefault="00487A56" w:rsidP="00B519BF">
      <w:pPr>
        <w:rPr>
          <w:rFonts w:eastAsia="Times New Roman" w:cs="Arial"/>
          <w:kern w:val="0"/>
          <w:lang w:eastAsia="en-GB"/>
          <w14:ligatures w14:val="none"/>
        </w:rPr>
      </w:pPr>
    </w:p>
    <w:p w14:paraId="7D39772F" w14:textId="77777777" w:rsidR="00487A56" w:rsidRPr="00487A56" w:rsidRDefault="00487A56" w:rsidP="00B519BF">
      <w:pPr>
        <w:rPr>
          <w:rFonts w:eastAsia="Times New Roman" w:cs="Arial"/>
          <w:b/>
          <w:bCs/>
          <w:kern w:val="0"/>
          <w:lang w:eastAsia="en-GB"/>
          <w14:ligatures w14:val="none"/>
        </w:rPr>
      </w:pPr>
      <w:r w:rsidRPr="00487A56">
        <w:rPr>
          <w:rFonts w:eastAsia="Times New Roman" w:cs="Arial"/>
          <w:b/>
          <w:bCs/>
          <w:kern w:val="0"/>
          <w:lang w:eastAsia="en-GB"/>
          <w14:ligatures w14:val="none"/>
        </w:rPr>
        <w:t xml:space="preserve">14.8.3.10 Urgent medicines service </w:t>
      </w:r>
    </w:p>
    <w:p w14:paraId="209E3C3D" w14:textId="77777777" w:rsidR="00487A56" w:rsidRPr="00487A56" w:rsidRDefault="00487A56" w:rsidP="00B519BF">
      <w:pPr>
        <w:rPr>
          <w:rFonts w:eastAsia="Times New Roman" w:cs="Arial"/>
          <w:kern w:val="0"/>
          <w:lang w:eastAsia="en-GB"/>
          <w14:ligatures w14:val="none"/>
        </w:rPr>
      </w:pPr>
    </w:p>
    <w:p w14:paraId="7179B4DE" w14:textId="77777777" w:rsidR="00487A56" w:rsidRPr="00487A56"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The health board has noted three of the pharmacies have signed up to provide this service. Due to the nature of the service, it is commissioned to ensure a good geographical spread of pharmacies providing it across the health board’s geography. The health board continues to monitor provision of the service and would commission more pharmacies to provide if required.</w:t>
      </w:r>
    </w:p>
    <w:p w14:paraId="651C9824" w14:textId="77777777" w:rsidR="00487A56" w:rsidRPr="00487A56" w:rsidRDefault="00487A56" w:rsidP="00B519BF">
      <w:pPr>
        <w:rPr>
          <w:rFonts w:eastAsia="Times New Roman" w:cs="Arial"/>
          <w:kern w:val="0"/>
          <w:lang w:eastAsia="en-GB"/>
          <w14:ligatures w14:val="none"/>
        </w:rPr>
      </w:pPr>
    </w:p>
    <w:p w14:paraId="0F75485F" w14:textId="2B2F1832" w:rsidR="00436A59" w:rsidRDefault="00487A56" w:rsidP="00B519BF">
      <w:pPr>
        <w:rPr>
          <w:rFonts w:eastAsia="Times New Roman" w:cs="Arial"/>
          <w:kern w:val="0"/>
          <w:lang w:eastAsia="en-GB"/>
          <w14:ligatures w14:val="none"/>
        </w:rPr>
      </w:pPr>
      <w:r w:rsidRPr="00487A56">
        <w:rPr>
          <w:rFonts w:eastAsia="Times New Roman" w:cs="Arial"/>
          <w:kern w:val="0"/>
          <w:lang w:eastAsia="en-GB"/>
          <w14:ligatures w14:val="none"/>
        </w:rPr>
        <w:t>The health board has therefore not identified any current or future needs for this service within the locality.</w:t>
      </w:r>
    </w:p>
    <w:p w14:paraId="71DBD133" w14:textId="18F579E8" w:rsidR="00A14CF8" w:rsidRDefault="00A14CF8">
      <w:pPr>
        <w:spacing w:after="160" w:line="278" w:lineRule="auto"/>
        <w:rPr>
          <w:rFonts w:eastAsia="Times New Roman" w:cs="Arial"/>
          <w:kern w:val="0"/>
          <w:lang w:eastAsia="en-GB"/>
          <w14:ligatures w14:val="none"/>
        </w:rPr>
      </w:pPr>
      <w:r>
        <w:rPr>
          <w:rFonts w:eastAsia="Times New Roman" w:cs="Arial"/>
          <w:kern w:val="0"/>
          <w:lang w:eastAsia="en-GB"/>
          <w14:ligatures w14:val="none"/>
        </w:rPr>
        <w:br w:type="page"/>
      </w:r>
    </w:p>
    <w:p w14:paraId="6D37F4ED" w14:textId="75EF316B" w:rsidR="006B0BCD" w:rsidRPr="00D0306F" w:rsidRDefault="006B0BCD" w:rsidP="006B0BCD">
      <w:pPr>
        <w:pStyle w:val="Heading1"/>
        <w:rPr>
          <w:rFonts w:eastAsia="Aptos"/>
          <w:sz w:val="28"/>
          <w:szCs w:val="28"/>
        </w:rPr>
      </w:pPr>
      <w:bookmarkStart w:id="42" w:name="_Toc235185386"/>
      <w:r w:rsidRPr="00D0306F">
        <w:rPr>
          <w:rFonts w:eastAsia="Aptos"/>
          <w:sz w:val="28"/>
          <w:szCs w:val="28"/>
        </w:rPr>
        <w:lastRenderedPageBreak/>
        <w:t>15 Upper Valleys locality</w:t>
      </w:r>
      <w:bookmarkEnd w:id="42"/>
    </w:p>
    <w:p w14:paraId="4C1FB33A" w14:textId="77777777" w:rsidR="00944076" w:rsidRPr="00944076" w:rsidRDefault="00944076" w:rsidP="009A3C7F">
      <w:pPr>
        <w:rPr>
          <w:rFonts w:eastAsia="Aptos" w:cs="Arial"/>
          <w:sz w:val="28"/>
          <w:szCs w:val="28"/>
        </w:rPr>
      </w:pPr>
    </w:p>
    <w:p w14:paraId="772B9C79" w14:textId="77777777" w:rsidR="00944076" w:rsidRPr="00944076" w:rsidRDefault="00944076" w:rsidP="009A3C7F">
      <w:pPr>
        <w:rPr>
          <w:rFonts w:eastAsia="Aptos" w:cs="Arial"/>
          <w:b/>
          <w:bCs/>
          <w:sz w:val="26"/>
          <w:szCs w:val="26"/>
        </w:rPr>
      </w:pPr>
      <w:r w:rsidRPr="00944076">
        <w:rPr>
          <w:rFonts w:eastAsia="Aptos" w:cs="Arial"/>
          <w:b/>
          <w:bCs/>
          <w:sz w:val="26"/>
          <w:szCs w:val="26"/>
        </w:rPr>
        <w:t>15.1 Key facts</w:t>
      </w:r>
    </w:p>
    <w:p w14:paraId="5F1EB714" w14:textId="77777777" w:rsidR="00944076" w:rsidRPr="00944076" w:rsidRDefault="00944076" w:rsidP="009A3C7F">
      <w:pPr>
        <w:rPr>
          <w:rFonts w:eastAsia="Aptos" w:cs="Arial"/>
        </w:rPr>
      </w:pPr>
    </w:p>
    <w:p w14:paraId="38627479" w14:textId="77777777" w:rsidR="00944076" w:rsidRPr="00944076" w:rsidRDefault="00944076" w:rsidP="00B76905">
      <w:pPr>
        <w:numPr>
          <w:ilvl w:val="0"/>
          <w:numId w:val="198"/>
        </w:numPr>
        <w:contextualSpacing/>
        <w:rPr>
          <w:rFonts w:eastAsia="Aptos" w:cs="Arial"/>
        </w:rPr>
      </w:pPr>
      <w:r w:rsidRPr="00944076">
        <w:rPr>
          <w:rFonts w:eastAsia="Aptos" w:cs="Arial"/>
        </w:rPr>
        <w:t>The Upper Valleys locality serves a registered population of 32,300</w:t>
      </w:r>
      <w:r w:rsidRPr="00944076">
        <w:rPr>
          <w:rFonts w:eastAsia="Aptos" w:cs="Arial"/>
          <w:vertAlign w:val="superscript"/>
        </w:rPr>
        <w:footnoteReference w:id="337"/>
      </w:r>
      <w:r w:rsidRPr="00944076">
        <w:rPr>
          <w:rFonts w:eastAsia="Aptos" w:cs="Arial"/>
        </w:rPr>
        <w:t xml:space="preserve"> (January 2026) and is the smallest locality by registered population in the health board and is the smallest of the three localities in Neath Port Talbot.</w:t>
      </w:r>
    </w:p>
    <w:p w14:paraId="341B299D" w14:textId="77777777" w:rsidR="00944076" w:rsidRPr="00944076" w:rsidRDefault="00944076" w:rsidP="00B76905">
      <w:pPr>
        <w:numPr>
          <w:ilvl w:val="0"/>
          <w:numId w:val="198"/>
        </w:numPr>
        <w:contextualSpacing/>
        <w:rPr>
          <w:rFonts w:eastAsia="Aptos" w:cs="Arial"/>
        </w:rPr>
      </w:pPr>
      <w:r w:rsidRPr="00944076">
        <w:rPr>
          <w:rFonts w:eastAsia="Aptos" w:cs="Arial"/>
        </w:rPr>
        <w:t xml:space="preserve">Approximately 23.6% of the locality’s registered population (7,636) are aged 65 years and over, higher than the Wales average of 21.9%. </w:t>
      </w:r>
    </w:p>
    <w:p w14:paraId="111835D8" w14:textId="77777777" w:rsidR="00944076" w:rsidRPr="00944076" w:rsidRDefault="00944076" w:rsidP="00B76905">
      <w:pPr>
        <w:numPr>
          <w:ilvl w:val="0"/>
          <w:numId w:val="198"/>
        </w:numPr>
        <w:contextualSpacing/>
        <w:rPr>
          <w:rFonts w:eastAsia="Aptos" w:cs="Arial"/>
        </w:rPr>
      </w:pPr>
      <w:r w:rsidRPr="00944076">
        <w:rPr>
          <w:rFonts w:eastAsia="Aptos" w:cs="Arial"/>
        </w:rPr>
        <w:t>The number of Welsh speakers in Neath Port Talbot decreased from 15.3% in the 2011 Census to 13.5% in 2021 with approximately 2,000 fewer Welsh-speaking residents aged over three years compared with 2011 Census. The number of non-Welsh speaking residents increased by 5,100</w:t>
      </w:r>
      <w:r w:rsidRPr="00944076">
        <w:rPr>
          <w:rFonts w:eastAsia="Aptos" w:cs="Arial"/>
          <w:vertAlign w:val="superscript"/>
        </w:rPr>
        <w:footnoteReference w:id="338"/>
      </w:r>
      <w:r w:rsidRPr="00944076">
        <w:rPr>
          <w:rFonts w:eastAsia="Aptos" w:cs="Arial"/>
        </w:rPr>
        <w:t xml:space="preserve">. </w:t>
      </w:r>
    </w:p>
    <w:p w14:paraId="68D64FB8" w14:textId="77777777" w:rsidR="00944076" w:rsidRPr="00944076" w:rsidRDefault="00944076" w:rsidP="00B76905">
      <w:pPr>
        <w:numPr>
          <w:ilvl w:val="0"/>
          <w:numId w:val="198"/>
        </w:numPr>
        <w:contextualSpacing/>
        <w:rPr>
          <w:rFonts w:eastAsia="Aptos" w:cs="Arial"/>
        </w:rPr>
      </w:pPr>
      <w:r w:rsidRPr="00944076">
        <w:rPr>
          <w:rFonts w:eastAsia="Aptos" w:cs="Arial"/>
        </w:rPr>
        <w:t>Neath Port Talbot local authority population is projected to increase by 3.1% by the year 2032</w:t>
      </w:r>
      <w:r w:rsidRPr="00944076">
        <w:rPr>
          <w:rFonts w:eastAsia="Aptos" w:cs="Arial"/>
          <w:vertAlign w:val="superscript"/>
        </w:rPr>
        <w:footnoteReference w:id="339"/>
      </w:r>
      <w:r w:rsidRPr="00944076">
        <w:rPr>
          <w:rFonts w:eastAsia="Aptos" w:cs="Arial"/>
        </w:rPr>
        <w:t xml:space="preserve">. </w:t>
      </w:r>
    </w:p>
    <w:p w14:paraId="00BD4527" w14:textId="77777777" w:rsidR="00944076" w:rsidRPr="00944076" w:rsidRDefault="00944076" w:rsidP="00B76905">
      <w:pPr>
        <w:numPr>
          <w:ilvl w:val="0"/>
          <w:numId w:val="198"/>
        </w:numPr>
        <w:contextualSpacing/>
        <w:rPr>
          <w:rFonts w:eastAsia="Aptos" w:cs="Arial"/>
        </w:rPr>
      </w:pPr>
      <w:r w:rsidRPr="00944076">
        <w:rPr>
          <w:rFonts w:eastAsia="Aptos" w:cs="Arial"/>
        </w:rPr>
        <w:t>There are 240 lower layer super output areas in the health board; 90 lower layer super output areas fall within Neath Port Talbot local authority, and 15 (17%) are in the 10% most deprived in Wales</w:t>
      </w:r>
      <w:r w:rsidRPr="00944076">
        <w:rPr>
          <w:rFonts w:eastAsia="Aptos" w:cs="Arial"/>
          <w:vertAlign w:val="superscript"/>
        </w:rPr>
        <w:footnoteReference w:id="340"/>
      </w:r>
      <w:r w:rsidRPr="00944076">
        <w:rPr>
          <w:rFonts w:eastAsia="Aptos" w:cs="Arial"/>
        </w:rPr>
        <w:t>.</w:t>
      </w:r>
    </w:p>
    <w:p w14:paraId="78128D94" w14:textId="77777777" w:rsidR="00944076" w:rsidRPr="00944076" w:rsidRDefault="00944076" w:rsidP="00B76905">
      <w:pPr>
        <w:numPr>
          <w:ilvl w:val="0"/>
          <w:numId w:val="198"/>
        </w:numPr>
        <w:contextualSpacing/>
        <w:rPr>
          <w:rFonts w:eastAsia="Aptos" w:cs="Arial"/>
        </w:rPr>
      </w:pPr>
      <w:r w:rsidRPr="00944076">
        <w:rPr>
          <w:rFonts w:eastAsia="Aptos" w:cs="Arial"/>
        </w:rPr>
        <w:t>Of the 20% most deprived lower layer super output areas in Wales, 33 are within Neath Port Talbot, with three found within the locality.</w:t>
      </w:r>
    </w:p>
    <w:p w14:paraId="7ACE719B" w14:textId="77777777" w:rsidR="00944076" w:rsidRPr="00944076" w:rsidRDefault="00944076" w:rsidP="00B76905">
      <w:pPr>
        <w:numPr>
          <w:ilvl w:val="0"/>
          <w:numId w:val="198"/>
        </w:numPr>
        <w:contextualSpacing/>
        <w:rPr>
          <w:rFonts w:eastAsia="Aptos" w:cs="Arial"/>
        </w:rPr>
      </w:pPr>
      <w:r w:rsidRPr="00944076">
        <w:rPr>
          <w:rFonts w:eastAsia="Aptos" w:cs="Arial"/>
        </w:rPr>
        <w:t xml:space="preserve">The locality consists of 17 lower layer super output areas. 11.8% of the locality population live in a lower layer super output area classified as rural. </w:t>
      </w:r>
    </w:p>
    <w:p w14:paraId="5CE94304" w14:textId="77777777" w:rsidR="00944076" w:rsidRPr="00944076" w:rsidRDefault="00944076" w:rsidP="00B76905">
      <w:pPr>
        <w:numPr>
          <w:ilvl w:val="0"/>
          <w:numId w:val="198"/>
        </w:numPr>
        <w:contextualSpacing/>
        <w:rPr>
          <w:rFonts w:eastAsia="Aptos" w:cs="Arial"/>
        </w:rPr>
      </w:pPr>
      <w:r w:rsidRPr="00944076">
        <w:rPr>
          <w:rFonts w:eastAsia="Aptos" w:cs="Arial"/>
        </w:rPr>
        <w:t>The locality is served by:</w:t>
      </w:r>
    </w:p>
    <w:p w14:paraId="7BBCC618" w14:textId="77777777" w:rsidR="00944076" w:rsidRPr="00944076" w:rsidRDefault="00944076" w:rsidP="00B76905">
      <w:pPr>
        <w:numPr>
          <w:ilvl w:val="1"/>
          <w:numId w:val="198"/>
        </w:numPr>
        <w:contextualSpacing/>
        <w:rPr>
          <w:rFonts w:eastAsia="Aptos" w:cs="Arial"/>
        </w:rPr>
      </w:pPr>
      <w:r w:rsidRPr="00944076">
        <w:rPr>
          <w:rFonts w:eastAsia="Aptos" w:cs="Arial"/>
        </w:rPr>
        <w:t>ten pharmacies operated by nine contractors</w:t>
      </w:r>
    </w:p>
    <w:p w14:paraId="1408782A" w14:textId="77777777" w:rsidR="00944076" w:rsidRPr="00944076" w:rsidRDefault="00944076" w:rsidP="00B76905">
      <w:pPr>
        <w:numPr>
          <w:ilvl w:val="1"/>
          <w:numId w:val="198"/>
        </w:numPr>
        <w:contextualSpacing/>
        <w:rPr>
          <w:rFonts w:eastAsia="Aptos" w:cs="Arial"/>
        </w:rPr>
      </w:pPr>
      <w:r w:rsidRPr="00944076">
        <w:rPr>
          <w:rFonts w:eastAsia="Aptos" w:cs="Arial"/>
        </w:rPr>
        <w:t xml:space="preserve">four dental practices that offer NHS treatment </w:t>
      </w:r>
    </w:p>
    <w:p w14:paraId="23F69709" w14:textId="77777777" w:rsidR="00944076" w:rsidRPr="00944076" w:rsidRDefault="00944076" w:rsidP="00B76905">
      <w:pPr>
        <w:numPr>
          <w:ilvl w:val="1"/>
          <w:numId w:val="198"/>
        </w:numPr>
        <w:contextualSpacing/>
        <w:rPr>
          <w:rFonts w:eastAsia="Aptos" w:cs="Arial"/>
        </w:rPr>
      </w:pPr>
      <w:r w:rsidRPr="00944076">
        <w:rPr>
          <w:rFonts w:eastAsia="Aptos" w:cs="Arial"/>
        </w:rPr>
        <w:t>two optical practices</w:t>
      </w:r>
    </w:p>
    <w:p w14:paraId="460CFB74" w14:textId="77777777" w:rsidR="00944076" w:rsidRPr="00944076" w:rsidRDefault="00944076" w:rsidP="00B76905">
      <w:pPr>
        <w:numPr>
          <w:ilvl w:val="1"/>
          <w:numId w:val="198"/>
        </w:numPr>
        <w:contextualSpacing/>
        <w:rPr>
          <w:rFonts w:eastAsia="Aptos" w:cs="Arial"/>
        </w:rPr>
      </w:pPr>
      <w:r w:rsidRPr="00944076">
        <w:rPr>
          <w:rFonts w:eastAsia="Aptos" w:cs="Arial"/>
        </w:rPr>
        <w:t>four GP practices, one of which operates three branch sites.</w:t>
      </w:r>
    </w:p>
    <w:p w14:paraId="7B175A0B" w14:textId="77777777" w:rsidR="00944076" w:rsidRPr="00944076" w:rsidRDefault="00944076" w:rsidP="00B76905">
      <w:pPr>
        <w:numPr>
          <w:ilvl w:val="0"/>
          <w:numId w:val="199"/>
        </w:numPr>
        <w:contextualSpacing/>
        <w:rPr>
          <w:rFonts w:eastAsia="Aptos" w:cs="Arial"/>
        </w:rPr>
      </w:pPr>
      <w:r w:rsidRPr="00944076">
        <w:rPr>
          <w:rFonts w:eastAsia="Aptos" w:cs="Arial"/>
        </w:rPr>
        <w:t>There are 17 care home services within the locality of which four provide services to adults with nursing, and 13 to adults without nursing.</w:t>
      </w:r>
    </w:p>
    <w:p w14:paraId="49E64E15" w14:textId="77777777" w:rsidR="00944076" w:rsidRPr="00944076" w:rsidRDefault="00944076" w:rsidP="009A3C7F">
      <w:pPr>
        <w:rPr>
          <w:rFonts w:eastAsia="Aptos" w:cs="Arial"/>
        </w:rPr>
      </w:pPr>
    </w:p>
    <w:p w14:paraId="234E5FA9" w14:textId="77777777" w:rsidR="00944076" w:rsidRPr="00944076" w:rsidRDefault="00944076" w:rsidP="009A3C7F">
      <w:pPr>
        <w:rPr>
          <w:rFonts w:eastAsia="Times New Roman" w:cs="Arial"/>
          <w:b/>
          <w:bCs/>
          <w:kern w:val="0"/>
          <w:sz w:val="26"/>
          <w:szCs w:val="26"/>
          <w:lang w:eastAsia="en-GB"/>
          <w14:ligatures w14:val="none"/>
        </w:rPr>
      </w:pPr>
      <w:r w:rsidRPr="00944076">
        <w:rPr>
          <w:rFonts w:eastAsia="Times New Roman" w:cs="Arial"/>
          <w:b/>
          <w:bCs/>
          <w:kern w:val="0"/>
          <w:sz w:val="26"/>
          <w:szCs w:val="26"/>
          <w:lang w:eastAsia="en-GB"/>
          <w14:ligatures w14:val="none"/>
        </w:rPr>
        <w:t xml:space="preserve">15.2 Key population features </w:t>
      </w:r>
    </w:p>
    <w:p w14:paraId="10B89CAE" w14:textId="77777777" w:rsidR="00944076" w:rsidRPr="00944076" w:rsidRDefault="00944076" w:rsidP="009A3C7F">
      <w:pPr>
        <w:rPr>
          <w:rFonts w:eastAsia="Times New Roman" w:cs="Arial"/>
          <w:kern w:val="0"/>
          <w:lang w:eastAsia="en-GB"/>
          <w14:ligatures w14:val="none"/>
        </w:rPr>
      </w:pPr>
    </w:p>
    <w:p w14:paraId="155F813A"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15.2.1 Population projections 2022 to 2032</w:t>
      </w:r>
    </w:p>
    <w:p w14:paraId="0BED4286" w14:textId="77777777" w:rsidR="00944076" w:rsidRPr="00944076" w:rsidRDefault="00944076" w:rsidP="009A3C7F">
      <w:pPr>
        <w:rPr>
          <w:rFonts w:eastAsia="Times New Roman" w:cs="Arial"/>
          <w:b/>
          <w:bCs/>
          <w:kern w:val="0"/>
          <w:lang w:eastAsia="en-GB"/>
          <w14:ligatures w14:val="none"/>
        </w:rPr>
      </w:pPr>
    </w:p>
    <w:p w14:paraId="281DC7DA"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The population of Neath Port Talbot is projected to increase by up to 3.1% between 2022 and 2032, an increase of 4,344. It is projected that by 2032</w:t>
      </w:r>
      <w:r w:rsidRPr="00944076">
        <w:rPr>
          <w:rFonts w:eastAsia="Times New Roman" w:cs="Arial"/>
          <w:kern w:val="0"/>
          <w:vertAlign w:val="superscript"/>
          <w:lang w:eastAsia="en-GB"/>
          <w14:ligatures w14:val="none"/>
        </w:rPr>
        <w:footnoteReference w:id="341"/>
      </w:r>
      <w:r w:rsidRPr="00944076">
        <w:rPr>
          <w:rFonts w:eastAsia="Times New Roman" w:cs="Arial"/>
          <w:kern w:val="0"/>
          <w:lang w:eastAsia="en-GB"/>
          <w14:ligatures w14:val="none"/>
        </w:rPr>
        <w:t>, Neath Port Talbot local authority will see:</w:t>
      </w:r>
    </w:p>
    <w:p w14:paraId="1988C061" w14:textId="77777777" w:rsidR="00944076" w:rsidRPr="00944076" w:rsidRDefault="00944076" w:rsidP="009A3C7F">
      <w:pPr>
        <w:rPr>
          <w:rFonts w:eastAsia="Times New Roman" w:cs="Arial"/>
          <w:kern w:val="0"/>
          <w:lang w:eastAsia="en-GB"/>
          <w14:ligatures w14:val="none"/>
        </w:rPr>
      </w:pPr>
    </w:p>
    <w:p w14:paraId="2E48F5F9" w14:textId="77777777" w:rsidR="00944076" w:rsidRPr="00944076" w:rsidRDefault="00944076" w:rsidP="00B76905">
      <w:pPr>
        <w:numPr>
          <w:ilvl w:val="0"/>
          <w:numId w:val="141"/>
        </w:numPr>
        <w:contextualSpacing/>
        <w:rPr>
          <w:rFonts w:eastAsia="Times New Roman" w:cs="Arial"/>
          <w:kern w:val="0"/>
          <w:lang w:eastAsia="en-GB"/>
          <w14:ligatures w14:val="none"/>
        </w:rPr>
      </w:pPr>
      <w:r w:rsidRPr="00944076">
        <w:rPr>
          <w:rFonts w:eastAsia="Times New Roman" w:cs="Arial"/>
          <w:kern w:val="0"/>
          <w:lang w:eastAsia="en-GB"/>
          <w14:ligatures w14:val="none"/>
        </w:rPr>
        <w:t>a decrease in the number of people aged 0 to 15 years,</w:t>
      </w:r>
    </w:p>
    <w:p w14:paraId="401115CB" w14:textId="77777777" w:rsidR="00944076" w:rsidRPr="00944076" w:rsidRDefault="00944076" w:rsidP="00B76905">
      <w:pPr>
        <w:numPr>
          <w:ilvl w:val="0"/>
          <w:numId w:val="141"/>
        </w:numPr>
        <w:contextualSpacing/>
        <w:rPr>
          <w:rFonts w:eastAsia="Times New Roman" w:cs="Arial"/>
          <w:kern w:val="0"/>
          <w:lang w:eastAsia="en-GB"/>
          <w14:ligatures w14:val="none"/>
        </w:rPr>
      </w:pPr>
      <w:r w:rsidRPr="00944076">
        <w:rPr>
          <w:rFonts w:eastAsia="Times New Roman" w:cs="Arial"/>
          <w:kern w:val="0"/>
          <w:lang w:eastAsia="en-GB"/>
          <w14:ligatures w14:val="none"/>
        </w:rPr>
        <w:t xml:space="preserve">an increase in the population aged 65 years, and </w:t>
      </w:r>
    </w:p>
    <w:p w14:paraId="6A7DD965" w14:textId="77777777" w:rsidR="00944076" w:rsidRPr="00944076" w:rsidRDefault="00944076" w:rsidP="00B76905">
      <w:pPr>
        <w:numPr>
          <w:ilvl w:val="0"/>
          <w:numId w:val="141"/>
        </w:numPr>
        <w:contextualSpacing/>
        <w:rPr>
          <w:rFonts w:eastAsia="Times New Roman" w:cs="Arial"/>
          <w:kern w:val="0"/>
          <w:lang w:eastAsia="en-GB"/>
          <w14:ligatures w14:val="none"/>
        </w:rPr>
      </w:pPr>
      <w:r w:rsidRPr="00944076">
        <w:rPr>
          <w:rFonts w:eastAsia="Times New Roman" w:cs="Arial"/>
          <w:kern w:val="0"/>
          <w:lang w:eastAsia="en-GB"/>
          <w14:ligatures w14:val="none"/>
        </w:rPr>
        <w:t>an increase in the population aged 75 years and over.</w:t>
      </w:r>
    </w:p>
    <w:p w14:paraId="7909F0EC" w14:textId="77777777" w:rsidR="00944076" w:rsidRPr="00944076" w:rsidRDefault="00944076" w:rsidP="009A3C7F">
      <w:pPr>
        <w:rPr>
          <w:rFonts w:eastAsia="Times New Roman" w:cs="Arial"/>
          <w:kern w:val="0"/>
          <w:lang w:eastAsia="en-GB"/>
          <w14:ligatures w14:val="none"/>
        </w:rPr>
      </w:pPr>
    </w:p>
    <w:p w14:paraId="0D6C89E5" w14:textId="20A4F65C"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lastRenderedPageBreak/>
        <w:t>The population is projected to continue to age in the local authority over this period.</w:t>
      </w:r>
    </w:p>
    <w:p w14:paraId="17F2C8EC" w14:textId="77777777" w:rsidR="00944076" w:rsidRPr="00944076" w:rsidRDefault="00944076" w:rsidP="009A3C7F">
      <w:pPr>
        <w:rPr>
          <w:rFonts w:eastAsia="Times New Roman" w:cs="Arial"/>
          <w:kern w:val="0"/>
          <w:lang w:eastAsia="en-GB"/>
          <w14:ligatures w14:val="none"/>
        </w:rPr>
      </w:pPr>
    </w:p>
    <w:p w14:paraId="5812B816"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 xml:space="preserve">15.2.2 Total life expectancy, healthy life expectancy and the ‘inequality gap’ (2020 to 2022) </w:t>
      </w:r>
    </w:p>
    <w:p w14:paraId="612D003A" w14:textId="77777777" w:rsidR="00944076" w:rsidRPr="00944076" w:rsidRDefault="00944076" w:rsidP="009A3C7F">
      <w:pPr>
        <w:rPr>
          <w:rFonts w:eastAsia="Times New Roman" w:cs="Arial"/>
          <w:b/>
          <w:bCs/>
          <w:kern w:val="0"/>
          <w:lang w:eastAsia="en-GB"/>
          <w14:ligatures w14:val="none"/>
        </w:rPr>
      </w:pPr>
    </w:p>
    <w:p w14:paraId="166EA1EA" w14:textId="77777777" w:rsidR="00944076" w:rsidRPr="00D0306F" w:rsidRDefault="00944076" w:rsidP="00B76905">
      <w:pPr>
        <w:pStyle w:val="ListParagraph"/>
        <w:numPr>
          <w:ilvl w:val="0"/>
          <w:numId w:val="205"/>
        </w:numPr>
        <w:rPr>
          <w:shd w:val="clear" w:color="auto" w:fill="FFFFFF"/>
        </w:rPr>
      </w:pPr>
      <w:r w:rsidRPr="00D0306F">
        <w:rPr>
          <w:shd w:val="clear" w:color="auto" w:fill="FFFFFF"/>
        </w:rPr>
        <w:t xml:space="preserve">Neath Port Talbot local authority has a lower total life expectancy at birth for females and for males when compared to the average for Wales (table 15.1). </w:t>
      </w:r>
    </w:p>
    <w:p w14:paraId="2D46569D" w14:textId="77777777" w:rsidR="00944076" w:rsidRPr="00D0306F" w:rsidRDefault="00944076" w:rsidP="00B76905">
      <w:pPr>
        <w:pStyle w:val="ListParagraph"/>
        <w:numPr>
          <w:ilvl w:val="0"/>
          <w:numId w:val="205"/>
        </w:numPr>
      </w:pPr>
      <w:r w:rsidRPr="00D0306F">
        <w:rPr>
          <w:bCs/>
        </w:rPr>
        <w:t>Healthy life expectancy</w:t>
      </w:r>
      <w:r w:rsidRPr="00D0306F">
        <w:rPr>
          <w:bCs/>
          <w:vertAlign w:val="superscript"/>
        </w:rPr>
        <w:footnoteReference w:id="342"/>
      </w:r>
      <w:r w:rsidRPr="00D0306F">
        <w:rPr>
          <w:bCs/>
        </w:rPr>
        <w:t xml:space="preserve">, defined as </w:t>
      </w:r>
      <w:r w:rsidRPr="00D0306F">
        <w:t>the number of years a person can expect to live in good health, is measured at local authority level. In Neath Port Talbot, healthy life expectancy stands at 59.1 years for males and 58.5 years for females. Comparatively, the Wales average is slightly higher at 60.8 years for males and 60.2 years for females. This indicates that both males and females in Neath Port Talbot enjoy fewer years of good health than the average across Wales.</w:t>
      </w:r>
    </w:p>
    <w:p w14:paraId="7E759F3F" w14:textId="77777777" w:rsidR="00944076" w:rsidRPr="00D0306F" w:rsidRDefault="00944076" w:rsidP="00B76905">
      <w:pPr>
        <w:pStyle w:val="ListParagraph"/>
        <w:numPr>
          <w:ilvl w:val="0"/>
          <w:numId w:val="205"/>
        </w:numPr>
      </w:pPr>
      <w:r w:rsidRPr="00D0306F">
        <w:t>The differences in healthy life expectancy that exist across an area between the most and least deprived areas is referred to as the ‘inequality gap’. The inequality gap for healthy life expectancy in Neath Port Talbot is 9.1 years for males and 6.3 years for females</w:t>
      </w:r>
      <w:r w:rsidRPr="00D0306F">
        <w:rPr>
          <w:vertAlign w:val="superscript"/>
        </w:rPr>
        <w:footnoteReference w:id="343"/>
      </w:r>
      <w:r w:rsidRPr="00D0306F">
        <w:t xml:space="preserve">. </w:t>
      </w:r>
    </w:p>
    <w:p w14:paraId="016B2868" w14:textId="77777777" w:rsidR="00944076" w:rsidRPr="00944076" w:rsidRDefault="00944076" w:rsidP="009A3C7F">
      <w:pPr>
        <w:rPr>
          <w:rFonts w:eastAsia="Times New Roman" w:cs="Arial"/>
          <w:kern w:val="0"/>
          <w:lang w:eastAsia="en-GB"/>
          <w14:ligatures w14:val="none"/>
        </w:rPr>
      </w:pPr>
    </w:p>
    <w:p w14:paraId="06F9BC48"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Table 15.1: Total life expectancy at birth for females and males, 2020 to 2022</w:t>
      </w:r>
      <w:r w:rsidRPr="00944076">
        <w:rPr>
          <w:rFonts w:eastAsia="Times New Roman" w:cs="Arial"/>
          <w:b/>
          <w:bCs/>
          <w:kern w:val="0"/>
          <w:vertAlign w:val="superscript"/>
          <w:lang w:eastAsia="en-GB"/>
          <w14:ligatures w14:val="none"/>
        </w:rPr>
        <w:footnoteReference w:id="344"/>
      </w:r>
    </w:p>
    <w:p w14:paraId="35B8C6DD" w14:textId="77777777" w:rsidR="00944076" w:rsidRPr="00944076" w:rsidRDefault="00944076" w:rsidP="009A3C7F">
      <w:pPr>
        <w:rPr>
          <w:rFonts w:eastAsia="Times New Roman" w:cs="Arial"/>
          <w:b/>
          <w:bCs/>
          <w:kern w:val="0"/>
          <w:lang w:eastAsia="en-GB"/>
          <w14:ligatures w14:val="none"/>
        </w:rPr>
      </w:pPr>
    </w:p>
    <w:tbl>
      <w:tblPr>
        <w:tblStyle w:val="TableGrid"/>
        <w:tblW w:w="0" w:type="auto"/>
        <w:tblInd w:w="0" w:type="dxa"/>
        <w:tblLook w:val="04A0" w:firstRow="1" w:lastRow="0" w:firstColumn="1" w:lastColumn="0" w:noHBand="0" w:noVBand="1"/>
      </w:tblPr>
      <w:tblGrid>
        <w:gridCol w:w="3005"/>
        <w:gridCol w:w="3005"/>
        <w:gridCol w:w="3006"/>
      </w:tblGrid>
      <w:tr w:rsidR="009A3C7F" w:rsidRPr="00D0306F" w14:paraId="06B74560" w14:textId="77777777" w:rsidTr="00944076">
        <w:tc>
          <w:tcPr>
            <w:tcW w:w="3005" w:type="dxa"/>
            <w:tcBorders>
              <w:top w:val="single" w:sz="4" w:space="0" w:color="auto"/>
              <w:left w:val="single" w:sz="4" w:space="0" w:color="auto"/>
              <w:bottom w:val="single" w:sz="4" w:space="0" w:color="auto"/>
              <w:right w:val="single" w:sz="4" w:space="0" w:color="auto"/>
            </w:tcBorders>
            <w:shd w:val="clear" w:color="auto" w:fill="153D63"/>
            <w:hideMark/>
          </w:tcPr>
          <w:p w14:paraId="0CB1CDD0" w14:textId="77777777" w:rsidR="00944076" w:rsidRPr="00944076" w:rsidRDefault="00944076" w:rsidP="009A3C7F">
            <w:pPr>
              <w:rPr>
                <w:rFonts w:cs="Arial"/>
                <w:b/>
                <w:bCs/>
              </w:rPr>
            </w:pPr>
            <w:r w:rsidRPr="00944076">
              <w:rPr>
                <w:rFonts w:cs="Arial"/>
                <w:b/>
                <w:bCs/>
              </w:rPr>
              <w:t>Area</w:t>
            </w:r>
          </w:p>
        </w:tc>
        <w:tc>
          <w:tcPr>
            <w:tcW w:w="3005" w:type="dxa"/>
            <w:tcBorders>
              <w:top w:val="single" w:sz="4" w:space="0" w:color="auto"/>
              <w:left w:val="single" w:sz="4" w:space="0" w:color="auto"/>
              <w:bottom w:val="single" w:sz="4" w:space="0" w:color="auto"/>
              <w:right w:val="single" w:sz="4" w:space="0" w:color="auto"/>
            </w:tcBorders>
            <w:shd w:val="clear" w:color="auto" w:fill="153D63"/>
            <w:hideMark/>
          </w:tcPr>
          <w:p w14:paraId="1C31654E" w14:textId="77777777" w:rsidR="00944076" w:rsidRPr="00944076" w:rsidRDefault="00944076" w:rsidP="009A3C7F">
            <w:pPr>
              <w:rPr>
                <w:rFonts w:cs="Arial"/>
                <w:b/>
                <w:bCs/>
              </w:rPr>
            </w:pPr>
            <w:r w:rsidRPr="00944076">
              <w:rPr>
                <w:rFonts w:cs="Arial"/>
                <w:b/>
                <w:bCs/>
              </w:rPr>
              <w:t>Female at birth (years)</w:t>
            </w:r>
          </w:p>
        </w:tc>
        <w:tc>
          <w:tcPr>
            <w:tcW w:w="3006" w:type="dxa"/>
            <w:tcBorders>
              <w:top w:val="single" w:sz="4" w:space="0" w:color="auto"/>
              <w:left w:val="single" w:sz="4" w:space="0" w:color="auto"/>
              <w:bottom w:val="single" w:sz="4" w:space="0" w:color="auto"/>
              <w:right w:val="single" w:sz="4" w:space="0" w:color="auto"/>
            </w:tcBorders>
            <w:shd w:val="clear" w:color="auto" w:fill="153D63"/>
            <w:hideMark/>
          </w:tcPr>
          <w:p w14:paraId="2E08126A" w14:textId="77777777" w:rsidR="00944076" w:rsidRPr="00944076" w:rsidRDefault="00944076" w:rsidP="009A3C7F">
            <w:pPr>
              <w:rPr>
                <w:rFonts w:cs="Arial"/>
                <w:b/>
                <w:bCs/>
              </w:rPr>
            </w:pPr>
            <w:r w:rsidRPr="00944076">
              <w:rPr>
                <w:rFonts w:cs="Arial"/>
                <w:b/>
                <w:bCs/>
              </w:rPr>
              <w:t>Male at birth (years)</w:t>
            </w:r>
          </w:p>
        </w:tc>
      </w:tr>
      <w:tr w:rsidR="00944076" w:rsidRPr="00944076" w14:paraId="52B79C8F" w14:textId="77777777" w:rsidTr="00944076">
        <w:tc>
          <w:tcPr>
            <w:tcW w:w="3005" w:type="dxa"/>
            <w:tcBorders>
              <w:top w:val="single" w:sz="4" w:space="0" w:color="auto"/>
              <w:left w:val="single" w:sz="4" w:space="0" w:color="auto"/>
              <w:bottom w:val="single" w:sz="4" w:space="0" w:color="auto"/>
              <w:right w:val="single" w:sz="4" w:space="0" w:color="auto"/>
            </w:tcBorders>
            <w:hideMark/>
          </w:tcPr>
          <w:p w14:paraId="3FED37AF" w14:textId="77777777" w:rsidR="00944076" w:rsidRPr="00944076" w:rsidRDefault="00944076" w:rsidP="009A3C7F">
            <w:pPr>
              <w:rPr>
                <w:rFonts w:cs="Arial"/>
              </w:rPr>
            </w:pPr>
            <w:r w:rsidRPr="00944076">
              <w:rPr>
                <w:rFonts w:cs="Arial"/>
              </w:rPr>
              <w:t>Neath Port Talbot</w:t>
            </w:r>
          </w:p>
        </w:tc>
        <w:tc>
          <w:tcPr>
            <w:tcW w:w="3005" w:type="dxa"/>
            <w:tcBorders>
              <w:top w:val="single" w:sz="4" w:space="0" w:color="auto"/>
              <w:left w:val="single" w:sz="4" w:space="0" w:color="auto"/>
              <w:bottom w:val="single" w:sz="4" w:space="0" w:color="auto"/>
              <w:right w:val="single" w:sz="4" w:space="0" w:color="auto"/>
            </w:tcBorders>
            <w:hideMark/>
          </w:tcPr>
          <w:p w14:paraId="0A7E1D2D" w14:textId="77777777" w:rsidR="00944076" w:rsidRPr="00944076" w:rsidRDefault="00944076" w:rsidP="009A3C7F">
            <w:pPr>
              <w:rPr>
                <w:rFonts w:cs="Arial"/>
              </w:rPr>
            </w:pPr>
            <w:r w:rsidRPr="00944076">
              <w:rPr>
                <w:rFonts w:cs="Arial"/>
              </w:rPr>
              <w:t>80.5</w:t>
            </w:r>
          </w:p>
        </w:tc>
        <w:tc>
          <w:tcPr>
            <w:tcW w:w="3006" w:type="dxa"/>
            <w:tcBorders>
              <w:top w:val="single" w:sz="4" w:space="0" w:color="auto"/>
              <w:left w:val="single" w:sz="4" w:space="0" w:color="auto"/>
              <w:bottom w:val="single" w:sz="4" w:space="0" w:color="auto"/>
              <w:right w:val="single" w:sz="4" w:space="0" w:color="auto"/>
            </w:tcBorders>
            <w:hideMark/>
          </w:tcPr>
          <w:p w14:paraId="233210B4" w14:textId="77777777" w:rsidR="00944076" w:rsidRPr="00944076" w:rsidRDefault="00944076" w:rsidP="009A3C7F">
            <w:pPr>
              <w:rPr>
                <w:rFonts w:cs="Arial"/>
              </w:rPr>
            </w:pPr>
            <w:r w:rsidRPr="00944076">
              <w:rPr>
                <w:rFonts w:cs="Arial"/>
              </w:rPr>
              <w:t>76.7</w:t>
            </w:r>
          </w:p>
        </w:tc>
      </w:tr>
      <w:tr w:rsidR="009A3C7F" w:rsidRPr="00D0306F" w14:paraId="49E26F1A" w14:textId="77777777" w:rsidTr="00944076">
        <w:tc>
          <w:tcPr>
            <w:tcW w:w="3005" w:type="dxa"/>
            <w:tcBorders>
              <w:top w:val="single" w:sz="4" w:space="0" w:color="auto"/>
              <w:left w:val="single" w:sz="4" w:space="0" w:color="auto"/>
              <w:bottom w:val="single" w:sz="4" w:space="0" w:color="auto"/>
              <w:right w:val="single" w:sz="4" w:space="0" w:color="auto"/>
            </w:tcBorders>
            <w:hideMark/>
          </w:tcPr>
          <w:p w14:paraId="68FE0B9D" w14:textId="77777777" w:rsidR="00944076" w:rsidRPr="00944076" w:rsidRDefault="00944076" w:rsidP="009A3C7F">
            <w:pPr>
              <w:rPr>
                <w:rFonts w:cs="Arial"/>
              </w:rPr>
            </w:pPr>
            <w:r w:rsidRPr="00944076">
              <w:rPr>
                <w:rFonts w:cs="Arial"/>
              </w:rPr>
              <w:t>Wales</w:t>
            </w:r>
          </w:p>
        </w:tc>
        <w:tc>
          <w:tcPr>
            <w:tcW w:w="3005" w:type="dxa"/>
            <w:tcBorders>
              <w:top w:val="single" w:sz="4" w:space="0" w:color="auto"/>
              <w:left w:val="single" w:sz="4" w:space="0" w:color="auto"/>
              <w:bottom w:val="single" w:sz="4" w:space="0" w:color="auto"/>
              <w:right w:val="single" w:sz="4" w:space="0" w:color="auto"/>
            </w:tcBorders>
            <w:shd w:val="clear" w:color="auto" w:fill="FFFFFF"/>
            <w:hideMark/>
          </w:tcPr>
          <w:p w14:paraId="751074ED" w14:textId="77777777" w:rsidR="00944076" w:rsidRPr="00944076" w:rsidRDefault="00944076" w:rsidP="009A3C7F">
            <w:pPr>
              <w:rPr>
                <w:rFonts w:cs="Arial"/>
              </w:rPr>
            </w:pPr>
            <w:r w:rsidRPr="00944076">
              <w:rPr>
                <w:rFonts w:cs="Arial"/>
              </w:rPr>
              <w:t>81.8</w:t>
            </w:r>
          </w:p>
        </w:tc>
        <w:tc>
          <w:tcPr>
            <w:tcW w:w="3006" w:type="dxa"/>
            <w:tcBorders>
              <w:top w:val="single" w:sz="4" w:space="0" w:color="auto"/>
              <w:left w:val="single" w:sz="4" w:space="0" w:color="auto"/>
              <w:bottom w:val="single" w:sz="4" w:space="0" w:color="auto"/>
              <w:right w:val="single" w:sz="4" w:space="0" w:color="auto"/>
            </w:tcBorders>
            <w:shd w:val="clear" w:color="auto" w:fill="FFFFFF"/>
            <w:hideMark/>
          </w:tcPr>
          <w:p w14:paraId="1362A1B6" w14:textId="77777777" w:rsidR="00944076" w:rsidRPr="00944076" w:rsidRDefault="00944076" w:rsidP="009A3C7F">
            <w:pPr>
              <w:rPr>
                <w:rFonts w:cs="Arial"/>
              </w:rPr>
            </w:pPr>
            <w:r w:rsidRPr="00944076">
              <w:rPr>
                <w:rFonts w:cs="Arial"/>
              </w:rPr>
              <w:t>77.9</w:t>
            </w:r>
          </w:p>
        </w:tc>
      </w:tr>
    </w:tbl>
    <w:p w14:paraId="0ECD03D4" w14:textId="77777777" w:rsidR="00944076" w:rsidRPr="00944076" w:rsidRDefault="00944076" w:rsidP="009A3C7F">
      <w:pPr>
        <w:contextualSpacing/>
        <w:rPr>
          <w:rFonts w:eastAsia="Aptos" w:cs="Arial"/>
        </w:rPr>
      </w:pPr>
    </w:p>
    <w:p w14:paraId="6A188526" w14:textId="77777777" w:rsidR="00944076" w:rsidRPr="00944076" w:rsidRDefault="00944076" w:rsidP="009A3C7F">
      <w:pPr>
        <w:contextualSpacing/>
        <w:rPr>
          <w:rFonts w:eastAsia="Aptos" w:cs="Arial"/>
          <w:kern w:val="0"/>
          <w14:ligatures w14:val="none"/>
        </w:rPr>
      </w:pPr>
      <w:r w:rsidRPr="00944076">
        <w:rPr>
          <w:rFonts w:eastAsia="Aptos" w:cs="Arial"/>
        </w:rPr>
        <w:t>Disclaimer: Whilst the data presented in healthy life expectancy show figures for 2024, data from the years 2020 to 2022 have been used to ensure consistency and comparability across all years.</w:t>
      </w:r>
    </w:p>
    <w:p w14:paraId="49B8F84B" w14:textId="77777777" w:rsidR="00944076" w:rsidRPr="00944076" w:rsidRDefault="00944076" w:rsidP="009A3C7F">
      <w:pPr>
        <w:rPr>
          <w:rFonts w:eastAsia="Times New Roman" w:cs="Arial"/>
          <w:b/>
          <w:bCs/>
          <w:kern w:val="0"/>
          <w:lang w:eastAsia="en-GB"/>
          <w14:ligatures w14:val="none"/>
        </w:rPr>
      </w:pPr>
    </w:p>
    <w:p w14:paraId="581A27E4"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15.2.3 Deprivation</w:t>
      </w:r>
    </w:p>
    <w:p w14:paraId="7E793D13" w14:textId="77777777" w:rsidR="00944076" w:rsidRPr="00944076" w:rsidRDefault="00944076" w:rsidP="009A3C7F">
      <w:pPr>
        <w:rPr>
          <w:rFonts w:eastAsia="Times New Roman" w:cs="Arial"/>
          <w:b/>
          <w:bCs/>
          <w:kern w:val="0"/>
          <w:lang w:eastAsia="en-GB"/>
          <w14:ligatures w14:val="none"/>
        </w:rPr>
      </w:pPr>
    </w:p>
    <w:p w14:paraId="0C290DA6" w14:textId="77777777" w:rsidR="00944076" w:rsidRPr="00944076" w:rsidRDefault="00944076" w:rsidP="009A3C7F">
      <w:pPr>
        <w:contextualSpacing/>
        <w:rPr>
          <w:rFonts w:eastAsia="Aptos" w:cs="Arial"/>
          <w:lang w:eastAsia="en-GB"/>
        </w:rPr>
      </w:pPr>
      <w:r w:rsidRPr="00944076">
        <w:rPr>
          <w:rFonts w:eastAsia="Aptos" w:cs="Arial"/>
        </w:rPr>
        <w:t>The link between deprivation and poor health is well documented. Of the three localities in Neath Port Talbot, Upper Valleys has the lowest proportion of people living in the most deprived areas in Wales (5.6%), compared to Afan (52.4%) and Neath (36.4%), and Swansea Bay as a whole (27.9%).</w:t>
      </w:r>
      <w:r w:rsidRPr="00944076">
        <w:rPr>
          <w:rFonts w:eastAsia="Aptos" w:cs="Arial"/>
          <w:lang w:eastAsia="en-GB"/>
        </w:rPr>
        <w:t xml:space="preserve"> </w:t>
      </w:r>
      <w:r w:rsidRPr="00944076">
        <w:rPr>
          <w:rFonts w:eastAsia="Times New Roman" w:cs="Arial"/>
          <w:kern w:val="0"/>
          <w:lang w:eastAsia="en-GB"/>
          <w14:ligatures w14:val="none"/>
        </w:rPr>
        <w:t>There are, however, small areas of “deep-rooted” deprivation</w:t>
      </w:r>
      <w:r w:rsidRPr="00944076">
        <w:rPr>
          <w:rFonts w:eastAsia="Times New Roman" w:cs="Arial"/>
          <w:kern w:val="0"/>
          <w:vertAlign w:val="superscript"/>
          <w:lang w:eastAsia="en-GB"/>
          <w14:ligatures w14:val="none"/>
        </w:rPr>
        <w:footnoteReference w:id="345"/>
      </w:r>
      <w:r w:rsidRPr="00944076">
        <w:rPr>
          <w:rFonts w:eastAsia="Times New Roman" w:cs="Arial"/>
          <w:kern w:val="0"/>
          <w:lang w:eastAsia="en-GB"/>
          <w14:ligatures w14:val="none"/>
        </w:rPr>
        <w:t xml:space="preserve"> that have remained within the top 50 most deprived areas, roughly equal to the top 2.6% of small areas in Wales for the last six publications of the Welsh Index of Multiple deprivation ranks. Where areas of deprivation exist, the population is likely to be experiencing the poorest health.</w:t>
      </w:r>
    </w:p>
    <w:p w14:paraId="1DFD43A4" w14:textId="77777777" w:rsidR="00944076" w:rsidRPr="00944076" w:rsidRDefault="00944076" w:rsidP="009A3C7F">
      <w:pPr>
        <w:rPr>
          <w:rFonts w:eastAsia="Times New Roman" w:cs="Arial"/>
          <w:b/>
          <w:bCs/>
          <w:kern w:val="0"/>
          <w:lang w:eastAsia="en-GB"/>
          <w14:ligatures w14:val="none"/>
        </w:rPr>
      </w:pPr>
    </w:p>
    <w:p w14:paraId="1818B61C"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The table below shows the estimated percentage of people living in the most deprived 20% areas in the locality, compared with the health board.</w:t>
      </w:r>
    </w:p>
    <w:p w14:paraId="070F073F" w14:textId="77777777" w:rsidR="00944076" w:rsidRPr="00944076" w:rsidRDefault="00944076" w:rsidP="009A3C7F">
      <w:pPr>
        <w:rPr>
          <w:rFonts w:eastAsia="Times New Roman" w:cs="Arial"/>
          <w:kern w:val="0"/>
          <w:lang w:eastAsia="en-GB"/>
          <w14:ligatures w14:val="none"/>
        </w:rPr>
      </w:pPr>
    </w:p>
    <w:p w14:paraId="6695C2C4"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shd w:val="clear" w:color="auto" w:fill="FFFFFF"/>
          <w:lang w:eastAsia="en-GB"/>
          <w14:ligatures w14:val="none"/>
        </w:rPr>
        <w:lastRenderedPageBreak/>
        <w:t>Table 15.2: Es</w:t>
      </w:r>
      <w:r w:rsidRPr="00944076">
        <w:rPr>
          <w:rFonts w:eastAsia="Times New Roman" w:cs="Arial"/>
          <w:b/>
          <w:bCs/>
          <w:kern w:val="0"/>
          <w:lang w:eastAsia="en-GB"/>
          <w14:ligatures w14:val="none"/>
        </w:rPr>
        <w:t>timated percentage of people living in the most deprived 20% of areas in the locality and the health board (2025)</w:t>
      </w:r>
      <w:r w:rsidRPr="00944076">
        <w:rPr>
          <w:rFonts w:eastAsia="Times New Roman" w:cs="Arial"/>
          <w:b/>
          <w:bCs/>
          <w:kern w:val="0"/>
          <w:vertAlign w:val="superscript"/>
          <w:lang w:eastAsia="en-GB"/>
          <w14:ligatures w14:val="none"/>
        </w:rPr>
        <w:footnoteReference w:id="346"/>
      </w:r>
    </w:p>
    <w:p w14:paraId="1A5DD2F7" w14:textId="77777777" w:rsidR="00944076" w:rsidRPr="00944076" w:rsidRDefault="00944076" w:rsidP="009A3C7F">
      <w:pPr>
        <w:rPr>
          <w:rFonts w:eastAsia="Times New Roman" w:cs="Arial"/>
          <w:b/>
          <w:bCs/>
          <w:kern w:val="0"/>
          <w:lang w:eastAsia="en-GB"/>
          <w14:ligatures w14:val="none"/>
        </w:rPr>
      </w:pPr>
    </w:p>
    <w:tbl>
      <w:tblPr>
        <w:tblStyle w:val="TableGrid"/>
        <w:tblW w:w="0" w:type="auto"/>
        <w:tblInd w:w="0" w:type="dxa"/>
        <w:tblLook w:val="04A0" w:firstRow="1" w:lastRow="0" w:firstColumn="1" w:lastColumn="0" w:noHBand="0" w:noVBand="1"/>
      </w:tblPr>
      <w:tblGrid>
        <w:gridCol w:w="5382"/>
        <w:gridCol w:w="3634"/>
      </w:tblGrid>
      <w:tr w:rsidR="009A3C7F" w:rsidRPr="00D0306F" w14:paraId="20F0C932" w14:textId="77777777" w:rsidTr="00944076">
        <w:tc>
          <w:tcPr>
            <w:tcW w:w="5382" w:type="dxa"/>
            <w:tcBorders>
              <w:top w:val="single" w:sz="4" w:space="0" w:color="auto"/>
              <w:left w:val="single" w:sz="4" w:space="0" w:color="auto"/>
              <w:bottom w:val="single" w:sz="4" w:space="0" w:color="auto"/>
              <w:right w:val="single" w:sz="4" w:space="0" w:color="auto"/>
            </w:tcBorders>
            <w:shd w:val="clear" w:color="auto" w:fill="153D63"/>
            <w:hideMark/>
          </w:tcPr>
          <w:p w14:paraId="1C730794" w14:textId="77777777" w:rsidR="00944076" w:rsidRPr="00944076" w:rsidRDefault="00944076" w:rsidP="009A3C7F">
            <w:pPr>
              <w:rPr>
                <w:rFonts w:cs="Arial"/>
                <w:b/>
                <w:bCs/>
              </w:rPr>
            </w:pPr>
            <w:r w:rsidRPr="00944076">
              <w:rPr>
                <w:rFonts w:cs="Arial"/>
                <w:b/>
                <w:bCs/>
              </w:rPr>
              <w:t>Area</w:t>
            </w:r>
          </w:p>
        </w:tc>
        <w:tc>
          <w:tcPr>
            <w:tcW w:w="3634" w:type="dxa"/>
            <w:tcBorders>
              <w:top w:val="single" w:sz="4" w:space="0" w:color="auto"/>
              <w:left w:val="single" w:sz="4" w:space="0" w:color="auto"/>
              <w:bottom w:val="single" w:sz="4" w:space="0" w:color="auto"/>
              <w:right w:val="single" w:sz="4" w:space="0" w:color="auto"/>
            </w:tcBorders>
            <w:shd w:val="clear" w:color="auto" w:fill="153D63"/>
            <w:hideMark/>
          </w:tcPr>
          <w:p w14:paraId="03F674F0" w14:textId="77777777" w:rsidR="00944076" w:rsidRPr="00944076" w:rsidRDefault="00944076" w:rsidP="009A3C7F">
            <w:pPr>
              <w:jc w:val="center"/>
              <w:rPr>
                <w:rFonts w:cs="Arial"/>
                <w:b/>
                <w:bCs/>
              </w:rPr>
            </w:pPr>
            <w:r w:rsidRPr="00944076">
              <w:rPr>
                <w:rFonts w:cs="Arial"/>
                <w:b/>
                <w:bCs/>
              </w:rPr>
              <w:t>Percentage</w:t>
            </w:r>
          </w:p>
        </w:tc>
      </w:tr>
      <w:tr w:rsidR="00944076" w:rsidRPr="00944076" w14:paraId="79B1361E" w14:textId="77777777" w:rsidTr="00944076">
        <w:tc>
          <w:tcPr>
            <w:tcW w:w="5382" w:type="dxa"/>
            <w:tcBorders>
              <w:top w:val="single" w:sz="4" w:space="0" w:color="auto"/>
              <w:left w:val="single" w:sz="4" w:space="0" w:color="auto"/>
              <w:bottom w:val="single" w:sz="4" w:space="0" w:color="auto"/>
              <w:right w:val="single" w:sz="4" w:space="0" w:color="auto"/>
            </w:tcBorders>
            <w:hideMark/>
          </w:tcPr>
          <w:p w14:paraId="50634ADF" w14:textId="77777777" w:rsidR="00944076" w:rsidRPr="00944076" w:rsidRDefault="00944076" w:rsidP="009A3C7F">
            <w:pPr>
              <w:rPr>
                <w:rFonts w:cs="Arial"/>
              </w:rPr>
            </w:pPr>
            <w:r w:rsidRPr="00944076">
              <w:rPr>
                <w:rFonts w:cs="Arial"/>
              </w:rPr>
              <w:t>Upper Valleys locality</w:t>
            </w:r>
          </w:p>
        </w:tc>
        <w:tc>
          <w:tcPr>
            <w:tcW w:w="3634" w:type="dxa"/>
            <w:tcBorders>
              <w:top w:val="single" w:sz="4" w:space="0" w:color="auto"/>
              <w:left w:val="single" w:sz="4" w:space="0" w:color="auto"/>
              <w:bottom w:val="single" w:sz="4" w:space="0" w:color="auto"/>
              <w:right w:val="single" w:sz="4" w:space="0" w:color="auto"/>
            </w:tcBorders>
            <w:hideMark/>
          </w:tcPr>
          <w:p w14:paraId="0C3C2056" w14:textId="77777777" w:rsidR="00944076" w:rsidRPr="00944076" w:rsidRDefault="00944076" w:rsidP="009A3C7F">
            <w:pPr>
              <w:jc w:val="center"/>
              <w:rPr>
                <w:rFonts w:cs="Arial"/>
              </w:rPr>
            </w:pPr>
            <w:r w:rsidRPr="00944076">
              <w:rPr>
                <w:rFonts w:cs="Arial"/>
              </w:rPr>
              <w:t>5.6%</w:t>
            </w:r>
          </w:p>
        </w:tc>
      </w:tr>
      <w:tr w:rsidR="00944076" w:rsidRPr="00944076" w14:paraId="48AE4B50" w14:textId="77777777" w:rsidTr="00944076">
        <w:tc>
          <w:tcPr>
            <w:tcW w:w="5382" w:type="dxa"/>
            <w:tcBorders>
              <w:top w:val="single" w:sz="4" w:space="0" w:color="auto"/>
              <w:left w:val="single" w:sz="4" w:space="0" w:color="auto"/>
              <w:bottom w:val="single" w:sz="4" w:space="0" w:color="auto"/>
              <w:right w:val="single" w:sz="4" w:space="0" w:color="auto"/>
            </w:tcBorders>
            <w:hideMark/>
          </w:tcPr>
          <w:p w14:paraId="1E76038D" w14:textId="77777777" w:rsidR="00944076" w:rsidRPr="00944076" w:rsidRDefault="00944076" w:rsidP="009A3C7F">
            <w:pPr>
              <w:rPr>
                <w:rFonts w:cs="Arial"/>
              </w:rPr>
            </w:pPr>
            <w:r w:rsidRPr="00944076">
              <w:rPr>
                <w:rFonts w:cs="Arial"/>
              </w:rPr>
              <w:t>Swansea Bay University Health Board</w:t>
            </w:r>
          </w:p>
        </w:tc>
        <w:tc>
          <w:tcPr>
            <w:tcW w:w="3634" w:type="dxa"/>
            <w:tcBorders>
              <w:top w:val="single" w:sz="4" w:space="0" w:color="auto"/>
              <w:left w:val="single" w:sz="4" w:space="0" w:color="auto"/>
              <w:bottom w:val="single" w:sz="4" w:space="0" w:color="auto"/>
              <w:right w:val="single" w:sz="4" w:space="0" w:color="auto"/>
            </w:tcBorders>
            <w:hideMark/>
          </w:tcPr>
          <w:p w14:paraId="30730C5E" w14:textId="77777777" w:rsidR="00944076" w:rsidRPr="00944076" w:rsidRDefault="00944076" w:rsidP="009A3C7F">
            <w:pPr>
              <w:jc w:val="center"/>
              <w:rPr>
                <w:rFonts w:cs="Arial"/>
              </w:rPr>
            </w:pPr>
            <w:r w:rsidRPr="00944076">
              <w:rPr>
                <w:rFonts w:cs="Arial"/>
              </w:rPr>
              <w:t>27.9%</w:t>
            </w:r>
          </w:p>
        </w:tc>
      </w:tr>
    </w:tbl>
    <w:p w14:paraId="618C1BBF" w14:textId="77777777" w:rsidR="00944076" w:rsidRPr="00944076" w:rsidRDefault="00944076" w:rsidP="009A3C7F">
      <w:pPr>
        <w:rPr>
          <w:rFonts w:eastAsia="Times New Roman" w:cs="Arial"/>
          <w:b/>
          <w:bCs/>
          <w:kern w:val="0"/>
          <w:lang w:eastAsia="en-GB"/>
          <w14:ligatures w14:val="none"/>
        </w:rPr>
      </w:pPr>
    </w:p>
    <w:p w14:paraId="57114680"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 xml:space="preserve">15.2.4 Health profile </w:t>
      </w:r>
    </w:p>
    <w:p w14:paraId="4CCA8DB7" w14:textId="77777777" w:rsidR="00944076" w:rsidRPr="00944076" w:rsidRDefault="00944076" w:rsidP="009A3C7F">
      <w:pPr>
        <w:rPr>
          <w:rFonts w:eastAsia="Times New Roman" w:cs="Arial"/>
          <w:b/>
          <w:bCs/>
          <w:kern w:val="0"/>
          <w:lang w:eastAsia="en-GB"/>
          <w14:ligatures w14:val="none"/>
        </w:rPr>
      </w:pPr>
    </w:p>
    <w:p w14:paraId="11AB90EE" w14:textId="77777777" w:rsidR="00944076" w:rsidRPr="00944076" w:rsidRDefault="00944076" w:rsidP="009A3C7F">
      <w:pPr>
        <w:rPr>
          <w:rFonts w:eastAsia="Aptos" w:cs="Arial"/>
        </w:rPr>
      </w:pPr>
      <w:r w:rsidRPr="00944076">
        <w:rPr>
          <w:rFonts w:eastAsia="Aptos" w:cs="Arial"/>
        </w:rPr>
        <w:t>The table below shows that the locality has higher estimated prevalence of chronic conditions than both the health board and Wales averages in coronary heart disease (0.6% and 0.5% higher respectively), chronic obstructive pulmonary disease (0.5% higher), diabetes (1.0% and 0.7% higher respectively), heart failure (0.3% and 0.5% higher respectively) and stroke and transient ischaemic attack (0.2% higher). Asthma is higher than the health board average (0.1% higher) but aligns with the Wales average.</w:t>
      </w:r>
    </w:p>
    <w:p w14:paraId="7DE3C011" w14:textId="77777777" w:rsidR="00944076" w:rsidRPr="00944076" w:rsidRDefault="00944076" w:rsidP="009A3C7F">
      <w:pPr>
        <w:keepNext/>
        <w:rPr>
          <w:rFonts w:eastAsia="Times New Roman" w:cs="Arial"/>
          <w:bCs/>
          <w:kern w:val="0"/>
          <w14:ligatures w14:val="none"/>
        </w:rPr>
      </w:pPr>
    </w:p>
    <w:p w14:paraId="254C4290" w14:textId="77777777" w:rsidR="00944076" w:rsidRPr="00944076" w:rsidRDefault="00944076" w:rsidP="009A3C7F">
      <w:pPr>
        <w:keepNext/>
        <w:rPr>
          <w:rFonts w:eastAsia="Times New Roman" w:cs="Arial"/>
          <w:b/>
          <w:bCs/>
          <w:kern w:val="0"/>
          <w14:ligatures w14:val="none"/>
        </w:rPr>
      </w:pPr>
      <w:r w:rsidRPr="00944076">
        <w:rPr>
          <w:rFonts w:eastAsia="Times New Roman" w:cs="Arial"/>
          <w:b/>
          <w:bCs/>
          <w:kern w:val="0"/>
          <w14:ligatures w14:val="none"/>
        </w:rPr>
        <w:t>Table 15.3: Estimated percentage prevalence of chronic condition based on people on GP practice registers by locality, health board and Wales, 2025</w:t>
      </w:r>
      <w:r w:rsidRPr="00944076">
        <w:rPr>
          <w:rFonts w:eastAsia="Times New Roman" w:cs="Arial"/>
          <w:b/>
          <w:bCs/>
          <w:kern w:val="0"/>
          <w:vertAlign w:val="superscript"/>
          <w14:ligatures w14:val="none"/>
        </w:rPr>
        <w:footnoteReference w:id="347"/>
      </w:r>
    </w:p>
    <w:p w14:paraId="79A267D9" w14:textId="77777777" w:rsidR="00944076" w:rsidRPr="00944076" w:rsidRDefault="00944076" w:rsidP="009A3C7F">
      <w:pPr>
        <w:keepNext/>
        <w:rPr>
          <w:rFonts w:eastAsia="Times New Roman" w:cs="Arial"/>
          <w:b/>
          <w:kern w:val="0"/>
          <w14:ligatures w14:val="none"/>
        </w:rPr>
      </w:pPr>
    </w:p>
    <w:tbl>
      <w:tblPr>
        <w:tblStyle w:val="TableGrid"/>
        <w:tblW w:w="9322" w:type="dxa"/>
        <w:tblInd w:w="-113" w:type="dxa"/>
        <w:tblLook w:val="04A0" w:firstRow="1" w:lastRow="0" w:firstColumn="1" w:lastColumn="0" w:noHBand="0" w:noVBand="1"/>
      </w:tblPr>
      <w:tblGrid>
        <w:gridCol w:w="1472"/>
        <w:gridCol w:w="1135"/>
        <w:gridCol w:w="1284"/>
        <w:gridCol w:w="1510"/>
        <w:gridCol w:w="1231"/>
        <w:gridCol w:w="1007"/>
        <w:gridCol w:w="1683"/>
      </w:tblGrid>
      <w:tr w:rsidR="009A3C7F" w:rsidRPr="00D0306F" w14:paraId="5DAC057A" w14:textId="77777777" w:rsidTr="000E169A">
        <w:tc>
          <w:tcPr>
            <w:tcW w:w="1472" w:type="dxa"/>
            <w:tcBorders>
              <w:top w:val="single" w:sz="4" w:space="0" w:color="auto"/>
              <w:left w:val="single" w:sz="4" w:space="0" w:color="auto"/>
              <w:bottom w:val="single" w:sz="4" w:space="0" w:color="auto"/>
              <w:right w:val="single" w:sz="4" w:space="0" w:color="auto"/>
            </w:tcBorders>
            <w:shd w:val="clear" w:color="auto" w:fill="153D63"/>
            <w:hideMark/>
          </w:tcPr>
          <w:p w14:paraId="6676F25B" w14:textId="77777777" w:rsidR="00944076" w:rsidRPr="00944076" w:rsidRDefault="00944076" w:rsidP="009A3C7F">
            <w:pPr>
              <w:keepNext/>
              <w:rPr>
                <w:rFonts w:cs="Arial"/>
                <w:b/>
              </w:rPr>
            </w:pPr>
            <w:r w:rsidRPr="00944076">
              <w:rPr>
                <w:rFonts w:cs="Arial"/>
                <w:b/>
                <w:bCs/>
              </w:rPr>
              <w:t>Area</w:t>
            </w:r>
          </w:p>
        </w:tc>
        <w:tc>
          <w:tcPr>
            <w:tcW w:w="1135" w:type="dxa"/>
            <w:tcBorders>
              <w:top w:val="single" w:sz="4" w:space="0" w:color="auto"/>
              <w:left w:val="single" w:sz="4" w:space="0" w:color="auto"/>
              <w:bottom w:val="single" w:sz="4" w:space="0" w:color="auto"/>
              <w:right w:val="single" w:sz="4" w:space="0" w:color="auto"/>
            </w:tcBorders>
            <w:shd w:val="clear" w:color="auto" w:fill="153D63"/>
            <w:hideMark/>
          </w:tcPr>
          <w:p w14:paraId="7C3C7714" w14:textId="77777777" w:rsidR="00944076" w:rsidRPr="00944076" w:rsidRDefault="00944076" w:rsidP="009A3C7F">
            <w:pPr>
              <w:keepNext/>
              <w:rPr>
                <w:rFonts w:cs="Arial"/>
                <w:b/>
              </w:rPr>
            </w:pPr>
            <w:r w:rsidRPr="00944076">
              <w:rPr>
                <w:rFonts w:cs="Arial"/>
                <w:b/>
                <w:bCs/>
              </w:rPr>
              <w:t>Asthma</w:t>
            </w:r>
          </w:p>
        </w:tc>
        <w:tc>
          <w:tcPr>
            <w:tcW w:w="1284" w:type="dxa"/>
            <w:tcBorders>
              <w:top w:val="single" w:sz="4" w:space="0" w:color="auto"/>
              <w:left w:val="single" w:sz="4" w:space="0" w:color="auto"/>
              <w:bottom w:val="single" w:sz="4" w:space="0" w:color="auto"/>
              <w:right w:val="single" w:sz="4" w:space="0" w:color="auto"/>
            </w:tcBorders>
            <w:shd w:val="clear" w:color="auto" w:fill="153D63"/>
            <w:hideMark/>
          </w:tcPr>
          <w:p w14:paraId="36B13B4B" w14:textId="77777777" w:rsidR="00944076" w:rsidRPr="00944076" w:rsidRDefault="00944076" w:rsidP="009A3C7F">
            <w:pPr>
              <w:keepNext/>
              <w:rPr>
                <w:rFonts w:cs="Arial"/>
                <w:b/>
              </w:rPr>
            </w:pPr>
            <w:r w:rsidRPr="00944076">
              <w:rPr>
                <w:rFonts w:cs="Arial"/>
                <w:b/>
                <w:bCs/>
              </w:rPr>
              <w:t>Coronary heart disease</w:t>
            </w:r>
          </w:p>
        </w:tc>
        <w:tc>
          <w:tcPr>
            <w:tcW w:w="1510" w:type="dxa"/>
            <w:tcBorders>
              <w:top w:val="single" w:sz="4" w:space="0" w:color="auto"/>
              <w:left w:val="single" w:sz="4" w:space="0" w:color="auto"/>
              <w:bottom w:val="single" w:sz="4" w:space="0" w:color="auto"/>
              <w:right w:val="single" w:sz="4" w:space="0" w:color="auto"/>
            </w:tcBorders>
            <w:shd w:val="clear" w:color="auto" w:fill="153D63"/>
            <w:hideMark/>
          </w:tcPr>
          <w:p w14:paraId="483C7DFE" w14:textId="77777777" w:rsidR="00944076" w:rsidRPr="00944076" w:rsidRDefault="00944076" w:rsidP="009A3C7F">
            <w:pPr>
              <w:keepNext/>
              <w:rPr>
                <w:rFonts w:cs="Arial"/>
                <w:b/>
              </w:rPr>
            </w:pPr>
            <w:r w:rsidRPr="00944076">
              <w:rPr>
                <w:rFonts w:cs="Arial"/>
                <w:b/>
                <w:bCs/>
              </w:rPr>
              <w:t>Chronic obstructive pulmonary disease</w:t>
            </w:r>
          </w:p>
        </w:tc>
        <w:tc>
          <w:tcPr>
            <w:tcW w:w="1231" w:type="dxa"/>
            <w:tcBorders>
              <w:top w:val="single" w:sz="4" w:space="0" w:color="auto"/>
              <w:left w:val="single" w:sz="4" w:space="0" w:color="auto"/>
              <w:bottom w:val="single" w:sz="4" w:space="0" w:color="auto"/>
              <w:right w:val="single" w:sz="4" w:space="0" w:color="auto"/>
            </w:tcBorders>
            <w:shd w:val="clear" w:color="auto" w:fill="153D63"/>
            <w:hideMark/>
          </w:tcPr>
          <w:p w14:paraId="53BA59A1" w14:textId="77777777" w:rsidR="00944076" w:rsidRPr="00944076" w:rsidRDefault="00944076" w:rsidP="009A3C7F">
            <w:pPr>
              <w:keepNext/>
              <w:rPr>
                <w:rFonts w:cs="Arial"/>
                <w:b/>
              </w:rPr>
            </w:pPr>
            <w:r w:rsidRPr="00944076">
              <w:rPr>
                <w:rFonts w:cs="Arial"/>
                <w:b/>
                <w:bCs/>
              </w:rPr>
              <w:t>Diabetes</w:t>
            </w:r>
          </w:p>
        </w:tc>
        <w:tc>
          <w:tcPr>
            <w:tcW w:w="1007" w:type="dxa"/>
            <w:tcBorders>
              <w:top w:val="single" w:sz="4" w:space="0" w:color="auto"/>
              <w:left w:val="single" w:sz="4" w:space="0" w:color="auto"/>
              <w:bottom w:val="single" w:sz="4" w:space="0" w:color="auto"/>
              <w:right w:val="single" w:sz="4" w:space="0" w:color="auto"/>
            </w:tcBorders>
            <w:shd w:val="clear" w:color="auto" w:fill="153D63"/>
            <w:hideMark/>
          </w:tcPr>
          <w:p w14:paraId="2F0D65F5" w14:textId="77777777" w:rsidR="00944076" w:rsidRPr="00944076" w:rsidRDefault="00944076" w:rsidP="009A3C7F">
            <w:pPr>
              <w:keepNext/>
              <w:rPr>
                <w:rFonts w:cs="Arial"/>
                <w:b/>
              </w:rPr>
            </w:pPr>
            <w:r w:rsidRPr="00944076">
              <w:rPr>
                <w:rFonts w:cs="Arial"/>
                <w:b/>
                <w:bCs/>
              </w:rPr>
              <w:t>Heart failure</w:t>
            </w:r>
          </w:p>
        </w:tc>
        <w:tc>
          <w:tcPr>
            <w:tcW w:w="1683" w:type="dxa"/>
            <w:tcBorders>
              <w:top w:val="single" w:sz="4" w:space="0" w:color="auto"/>
              <w:left w:val="single" w:sz="4" w:space="0" w:color="auto"/>
              <w:bottom w:val="single" w:sz="4" w:space="0" w:color="auto"/>
              <w:right w:val="single" w:sz="4" w:space="0" w:color="auto"/>
            </w:tcBorders>
            <w:shd w:val="clear" w:color="auto" w:fill="153D63"/>
          </w:tcPr>
          <w:p w14:paraId="0595C4D0" w14:textId="2469F1F0" w:rsidR="00944076" w:rsidRPr="00944076" w:rsidRDefault="00944076" w:rsidP="000E169A">
            <w:pPr>
              <w:keepNext/>
              <w:rPr>
                <w:rFonts w:cs="Arial"/>
                <w:b/>
              </w:rPr>
            </w:pPr>
            <w:r w:rsidRPr="00944076">
              <w:rPr>
                <w:rFonts w:cs="Arial"/>
                <w:b/>
                <w:bCs/>
              </w:rPr>
              <w:t>Stroke and transient ischaemic attacks</w:t>
            </w:r>
          </w:p>
        </w:tc>
      </w:tr>
      <w:tr w:rsidR="00944076" w:rsidRPr="00944076" w14:paraId="16FDBEC1" w14:textId="77777777" w:rsidTr="000E169A">
        <w:tc>
          <w:tcPr>
            <w:tcW w:w="1472" w:type="dxa"/>
            <w:tcBorders>
              <w:top w:val="single" w:sz="4" w:space="0" w:color="auto"/>
              <w:left w:val="single" w:sz="4" w:space="0" w:color="auto"/>
              <w:bottom w:val="single" w:sz="4" w:space="0" w:color="auto"/>
              <w:right w:val="single" w:sz="4" w:space="0" w:color="auto"/>
            </w:tcBorders>
            <w:vAlign w:val="center"/>
            <w:hideMark/>
          </w:tcPr>
          <w:p w14:paraId="2B5AEFB7" w14:textId="77777777" w:rsidR="00944076" w:rsidRPr="00944076" w:rsidRDefault="00944076" w:rsidP="009A3C7F">
            <w:pPr>
              <w:keepNext/>
              <w:rPr>
                <w:rFonts w:cs="Arial"/>
              </w:rPr>
            </w:pPr>
            <w:r w:rsidRPr="00944076">
              <w:rPr>
                <w:rFonts w:cs="Arial"/>
              </w:rPr>
              <w:t>Upper Valleys locality</w:t>
            </w:r>
          </w:p>
        </w:tc>
        <w:tc>
          <w:tcPr>
            <w:tcW w:w="1135" w:type="dxa"/>
            <w:tcBorders>
              <w:top w:val="single" w:sz="4" w:space="0" w:color="auto"/>
              <w:left w:val="single" w:sz="4" w:space="0" w:color="auto"/>
              <w:bottom w:val="single" w:sz="4" w:space="0" w:color="auto"/>
              <w:right w:val="single" w:sz="4" w:space="0" w:color="auto"/>
            </w:tcBorders>
            <w:vAlign w:val="center"/>
            <w:hideMark/>
          </w:tcPr>
          <w:p w14:paraId="5AAB0384" w14:textId="77777777" w:rsidR="00944076" w:rsidRPr="00944076" w:rsidRDefault="00944076" w:rsidP="009A3C7F">
            <w:pPr>
              <w:keepNext/>
              <w:rPr>
                <w:rFonts w:cs="Arial"/>
                <w:bCs/>
              </w:rPr>
            </w:pPr>
            <w:r w:rsidRPr="00944076">
              <w:rPr>
                <w:rFonts w:cs="Arial"/>
                <w:bCs/>
              </w:rPr>
              <w:t>7.1%</w:t>
            </w:r>
          </w:p>
        </w:tc>
        <w:tc>
          <w:tcPr>
            <w:tcW w:w="1284" w:type="dxa"/>
            <w:tcBorders>
              <w:top w:val="single" w:sz="4" w:space="0" w:color="auto"/>
              <w:left w:val="single" w:sz="4" w:space="0" w:color="auto"/>
              <w:bottom w:val="single" w:sz="4" w:space="0" w:color="auto"/>
              <w:right w:val="single" w:sz="4" w:space="0" w:color="auto"/>
            </w:tcBorders>
            <w:vAlign w:val="center"/>
            <w:hideMark/>
          </w:tcPr>
          <w:p w14:paraId="6DB2B618" w14:textId="77777777" w:rsidR="00944076" w:rsidRPr="00944076" w:rsidRDefault="00944076" w:rsidP="009A3C7F">
            <w:pPr>
              <w:keepNext/>
              <w:rPr>
                <w:rFonts w:cs="Arial"/>
                <w:bCs/>
              </w:rPr>
            </w:pPr>
            <w:r w:rsidRPr="00944076">
              <w:rPr>
                <w:rFonts w:cs="Arial"/>
                <w:bCs/>
              </w:rPr>
              <w:t>3.9%</w:t>
            </w:r>
          </w:p>
        </w:tc>
        <w:tc>
          <w:tcPr>
            <w:tcW w:w="1510" w:type="dxa"/>
            <w:tcBorders>
              <w:top w:val="single" w:sz="4" w:space="0" w:color="auto"/>
              <w:left w:val="single" w:sz="4" w:space="0" w:color="auto"/>
              <w:bottom w:val="single" w:sz="4" w:space="0" w:color="auto"/>
              <w:right w:val="single" w:sz="4" w:space="0" w:color="auto"/>
            </w:tcBorders>
            <w:vAlign w:val="center"/>
            <w:hideMark/>
          </w:tcPr>
          <w:p w14:paraId="7C009A12" w14:textId="77777777" w:rsidR="00944076" w:rsidRPr="00944076" w:rsidRDefault="00944076" w:rsidP="009A3C7F">
            <w:pPr>
              <w:keepNext/>
              <w:rPr>
                <w:rFonts w:cs="Arial"/>
                <w:bCs/>
              </w:rPr>
            </w:pPr>
            <w:r w:rsidRPr="00944076">
              <w:rPr>
                <w:rFonts w:cs="Arial"/>
                <w:bCs/>
              </w:rPr>
              <w:t>2.8%</w:t>
            </w:r>
          </w:p>
        </w:tc>
        <w:tc>
          <w:tcPr>
            <w:tcW w:w="1231" w:type="dxa"/>
            <w:tcBorders>
              <w:top w:val="single" w:sz="4" w:space="0" w:color="auto"/>
              <w:left w:val="single" w:sz="4" w:space="0" w:color="auto"/>
              <w:bottom w:val="single" w:sz="4" w:space="0" w:color="auto"/>
              <w:right w:val="single" w:sz="4" w:space="0" w:color="auto"/>
            </w:tcBorders>
            <w:vAlign w:val="center"/>
            <w:hideMark/>
          </w:tcPr>
          <w:p w14:paraId="3E239F59" w14:textId="77777777" w:rsidR="00944076" w:rsidRPr="00944076" w:rsidRDefault="00944076" w:rsidP="009A3C7F">
            <w:pPr>
              <w:keepNext/>
              <w:rPr>
                <w:rFonts w:cs="Arial"/>
                <w:bCs/>
              </w:rPr>
            </w:pPr>
            <w:r w:rsidRPr="00944076">
              <w:rPr>
                <w:rFonts w:cs="Arial"/>
                <w:bCs/>
              </w:rPr>
              <w:t>9.1%</w:t>
            </w:r>
          </w:p>
        </w:tc>
        <w:tc>
          <w:tcPr>
            <w:tcW w:w="1007" w:type="dxa"/>
            <w:tcBorders>
              <w:top w:val="single" w:sz="4" w:space="0" w:color="auto"/>
              <w:left w:val="single" w:sz="4" w:space="0" w:color="auto"/>
              <w:bottom w:val="single" w:sz="4" w:space="0" w:color="auto"/>
              <w:right w:val="single" w:sz="4" w:space="0" w:color="auto"/>
            </w:tcBorders>
            <w:vAlign w:val="center"/>
            <w:hideMark/>
          </w:tcPr>
          <w:p w14:paraId="77A4E814" w14:textId="77777777" w:rsidR="00944076" w:rsidRPr="00944076" w:rsidRDefault="00944076" w:rsidP="009A3C7F">
            <w:pPr>
              <w:keepNext/>
              <w:rPr>
                <w:rFonts w:cs="Arial"/>
                <w:bCs/>
              </w:rPr>
            </w:pPr>
            <w:r w:rsidRPr="00944076">
              <w:rPr>
                <w:rFonts w:cs="Arial"/>
                <w:bCs/>
              </w:rPr>
              <w:t>1.9%</w:t>
            </w:r>
          </w:p>
        </w:tc>
        <w:tc>
          <w:tcPr>
            <w:tcW w:w="1683" w:type="dxa"/>
            <w:tcBorders>
              <w:top w:val="single" w:sz="4" w:space="0" w:color="auto"/>
              <w:left w:val="single" w:sz="4" w:space="0" w:color="auto"/>
              <w:bottom w:val="single" w:sz="4" w:space="0" w:color="auto"/>
              <w:right w:val="single" w:sz="4" w:space="0" w:color="auto"/>
            </w:tcBorders>
            <w:vAlign w:val="center"/>
            <w:hideMark/>
          </w:tcPr>
          <w:p w14:paraId="0C6843CD" w14:textId="77777777" w:rsidR="00944076" w:rsidRPr="00944076" w:rsidRDefault="00944076" w:rsidP="009A3C7F">
            <w:pPr>
              <w:keepNext/>
              <w:rPr>
                <w:rFonts w:cs="Arial"/>
                <w:bCs/>
              </w:rPr>
            </w:pPr>
            <w:r w:rsidRPr="00944076">
              <w:rPr>
                <w:rFonts w:cs="Arial"/>
                <w:bCs/>
              </w:rPr>
              <w:t>2.4%</w:t>
            </w:r>
          </w:p>
        </w:tc>
      </w:tr>
      <w:tr w:rsidR="00944076" w:rsidRPr="00944076" w14:paraId="5F482292" w14:textId="77777777" w:rsidTr="000E169A">
        <w:tc>
          <w:tcPr>
            <w:tcW w:w="1472" w:type="dxa"/>
            <w:tcBorders>
              <w:top w:val="single" w:sz="4" w:space="0" w:color="auto"/>
              <w:left w:val="single" w:sz="4" w:space="0" w:color="auto"/>
              <w:bottom w:val="single" w:sz="4" w:space="0" w:color="auto"/>
              <w:right w:val="single" w:sz="4" w:space="0" w:color="auto"/>
            </w:tcBorders>
            <w:vAlign w:val="center"/>
            <w:hideMark/>
          </w:tcPr>
          <w:p w14:paraId="1F8BBD32" w14:textId="77777777" w:rsidR="00944076" w:rsidRPr="00944076" w:rsidRDefault="00944076" w:rsidP="009A3C7F">
            <w:pPr>
              <w:keepNext/>
              <w:rPr>
                <w:rFonts w:cs="Arial"/>
              </w:rPr>
            </w:pPr>
            <w:r w:rsidRPr="00944076">
              <w:rPr>
                <w:rFonts w:cs="Arial"/>
              </w:rPr>
              <w:t xml:space="preserve">Swansea Bay University Health Board </w:t>
            </w:r>
          </w:p>
        </w:tc>
        <w:tc>
          <w:tcPr>
            <w:tcW w:w="1135" w:type="dxa"/>
            <w:tcBorders>
              <w:top w:val="single" w:sz="4" w:space="0" w:color="auto"/>
              <w:left w:val="single" w:sz="4" w:space="0" w:color="auto"/>
              <w:bottom w:val="single" w:sz="4" w:space="0" w:color="auto"/>
              <w:right w:val="single" w:sz="4" w:space="0" w:color="auto"/>
            </w:tcBorders>
            <w:vAlign w:val="center"/>
            <w:hideMark/>
          </w:tcPr>
          <w:p w14:paraId="4EE5DACA" w14:textId="77777777" w:rsidR="00944076" w:rsidRPr="00944076" w:rsidRDefault="00944076" w:rsidP="009A3C7F">
            <w:pPr>
              <w:keepNext/>
              <w:rPr>
                <w:rFonts w:cs="Arial"/>
              </w:rPr>
            </w:pPr>
            <w:r w:rsidRPr="00944076">
              <w:rPr>
                <w:rFonts w:cs="Arial"/>
              </w:rPr>
              <w:t>7.0%</w:t>
            </w:r>
          </w:p>
        </w:tc>
        <w:tc>
          <w:tcPr>
            <w:tcW w:w="1284" w:type="dxa"/>
            <w:tcBorders>
              <w:top w:val="single" w:sz="4" w:space="0" w:color="auto"/>
              <w:left w:val="single" w:sz="4" w:space="0" w:color="auto"/>
              <w:bottom w:val="single" w:sz="4" w:space="0" w:color="auto"/>
              <w:right w:val="single" w:sz="4" w:space="0" w:color="auto"/>
            </w:tcBorders>
            <w:vAlign w:val="center"/>
            <w:hideMark/>
          </w:tcPr>
          <w:p w14:paraId="630756FD" w14:textId="77777777" w:rsidR="00944076" w:rsidRPr="00944076" w:rsidRDefault="00944076" w:rsidP="009A3C7F">
            <w:pPr>
              <w:keepNext/>
              <w:rPr>
                <w:rFonts w:cs="Arial"/>
              </w:rPr>
            </w:pPr>
            <w:r w:rsidRPr="00944076">
              <w:rPr>
                <w:rFonts w:cs="Arial"/>
              </w:rPr>
              <w:t>3.3%</w:t>
            </w:r>
          </w:p>
        </w:tc>
        <w:tc>
          <w:tcPr>
            <w:tcW w:w="1510" w:type="dxa"/>
            <w:tcBorders>
              <w:top w:val="single" w:sz="4" w:space="0" w:color="auto"/>
              <w:left w:val="single" w:sz="4" w:space="0" w:color="auto"/>
              <w:bottom w:val="single" w:sz="4" w:space="0" w:color="auto"/>
              <w:right w:val="single" w:sz="4" w:space="0" w:color="auto"/>
            </w:tcBorders>
            <w:vAlign w:val="center"/>
            <w:hideMark/>
          </w:tcPr>
          <w:p w14:paraId="2BA11F6C" w14:textId="77777777" w:rsidR="00944076" w:rsidRPr="00944076" w:rsidRDefault="00944076" w:rsidP="009A3C7F">
            <w:pPr>
              <w:keepNext/>
              <w:rPr>
                <w:rFonts w:cs="Arial"/>
              </w:rPr>
            </w:pPr>
            <w:r w:rsidRPr="00944076">
              <w:rPr>
                <w:rFonts w:cs="Arial"/>
              </w:rPr>
              <w:t>2.3%</w:t>
            </w:r>
          </w:p>
        </w:tc>
        <w:tc>
          <w:tcPr>
            <w:tcW w:w="1231" w:type="dxa"/>
            <w:tcBorders>
              <w:top w:val="single" w:sz="4" w:space="0" w:color="auto"/>
              <w:left w:val="single" w:sz="4" w:space="0" w:color="auto"/>
              <w:bottom w:val="single" w:sz="4" w:space="0" w:color="auto"/>
              <w:right w:val="single" w:sz="4" w:space="0" w:color="auto"/>
            </w:tcBorders>
            <w:vAlign w:val="center"/>
            <w:hideMark/>
          </w:tcPr>
          <w:p w14:paraId="5F3F4135" w14:textId="77777777" w:rsidR="00944076" w:rsidRPr="00944076" w:rsidRDefault="00944076" w:rsidP="009A3C7F">
            <w:pPr>
              <w:keepNext/>
              <w:rPr>
                <w:rFonts w:cs="Arial"/>
              </w:rPr>
            </w:pPr>
            <w:r w:rsidRPr="00944076">
              <w:rPr>
                <w:rFonts w:cs="Arial"/>
              </w:rPr>
              <w:t>8.1%</w:t>
            </w:r>
          </w:p>
        </w:tc>
        <w:tc>
          <w:tcPr>
            <w:tcW w:w="1007" w:type="dxa"/>
            <w:tcBorders>
              <w:top w:val="single" w:sz="4" w:space="0" w:color="auto"/>
              <w:left w:val="single" w:sz="4" w:space="0" w:color="auto"/>
              <w:bottom w:val="single" w:sz="4" w:space="0" w:color="auto"/>
              <w:right w:val="single" w:sz="4" w:space="0" w:color="auto"/>
            </w:tcBorders>
            <w:vAlign w:val="center"/>
            <w:hideMark/>
          </w:tcPr>
          <w:p w14:paraId="18B57954" w14:textId="77777777" w:rsidR="00944076" w:rsidRPr="00944076" w:rsidRDefault="00944076" w:rsidP="009A3C7F">
            <w:pPr>
              <w:keepNext/>
              <w:rPr>
                <w:rFonts w:cs="Arial"/>
              </w:rPr>
            </w:pPr>
            <w:r w:rsidRPr="00944076">
              <w:rPr>
                <w:rFonts w:cs="Arial"/>
              </w:rPr>
              <w:t>1.6%</w:t>
            </w:r>
          </w:p>
        </w:tc>
        <w:tc>
          <w:tcPr>
            <w:tcW w:w="1683" w:type="dxa"/>
            <w:tcBorders>
              <w:top w:val="single" w:sz="4" w:space="0" w:color="auto"/>
              <w:left w:val="single" w:sz="4" w:space="0" w:color="auto"/>
              <w:bottom w:val="single" w:sz="4" w:space="0" w:color="auto"/>
              <w:right w:val="single" w:sz="4" w:space="0" w:color="auto"/>
            </w:tcBorders>
            <w:vAlign w:val="center"/>
            <w:hideMark/>
          </w:tcPr>
          <w:p w14:paraId="04FC54A6" w14:textId="77777777" w:rsidR="00944076" w:rsidRPr="00944076" w:rsidRDefault="00944076" w:rsidP="009A3C7F">
            <w:pPr>
              <w:keepNext/>
              <w:rPr>
                <w:rFonts w:cs="Arial"/>
              </w:rPr>
            </w:pPr>
            <w:r w:rsidRPr="00944076">
              <w:rPr>
                <w:rFonts w:cs="Arial"/>
              </w:rPr>
              <w:t>2.2%</w:t>
            </w:r>
          </w:p>
        </w:tc>
      </w:tr>
      <w:tr w:rsidR="00944076" w:rsidRPr="00944076" w14:paraId="27A1FF00" w14:textId="77777777" w:rsidTr="000E169A">
        <w:tc>
          <w:tcPr>
            <w:tcW w:w="1472" w:type="dxa"/>
            <w:tcBorders>
              <w:top w:val="single" w:sz="4" w:space="0" w:color="auto"/>
              <w:left w:val="single" w:sz="4" w:space="0" w:color="auto"/>
              <w:bottom w:val="single" w:sz="4" w:space="0" w:color="auto"/>
              <w:right w:val="single" w:sz="4" w:space="0" w:color="auto"/>
            </w:tcBorders>
            <w:vAlign w:val="center"/>
            <w:hideMark/>
          </w:tcPr>
          <w:p w14:paraId="6D6312B4" w14:textId="77777777" w:rsidR="00944076" w:rsidRPr="00944076" w:rsidRDefault="00944076" w:rsidP="009A3C7F">
            <w:pPr>
              <w:keepNext/>
              <w:rPr>
                <w:rFonts w:cs="Arial"/>
              </w:rPr>
            </w:pPr>
            <w:r w:rsidRPr="00944076">
              <w:rPr>
                <w:rFonts w:cs="Arial"/>
              </w:rPr>
              <w:t>Wales</w:t>
            </w:r>
          </w:p>
        </w:tc>
        <w:tc>
          <w:tcPr>
            <w:tcW w:w="1135" w:type="dxa"/>
            <w:tcBorders>
              <w:top w:val="single" w:sz="4" w:space="0" w:color="auto"/>
              <w:left w:val="single" w:sz="4" w:space="0" w:color="auto"/>
              <w:bottom w:val="single" w:sz="4" w:space="0" w:color="auto"/>
              <w:right w:val="single" w:sz="4" w:space="0" w:color="auto"/>
            </w:tcBorders>
            <w:vAlign w:val="center"/>
            <w:hideMark/>
          </w:tcPr>
          <w:p w14:paraId="0CD1712A" w14:textId="77777777" w:rsidR="00944076" w:rsidRPr="00944076" w:rsidRDefault="00944076" w:rsidP="009A3C7F">
            <w:pPr>
              <w:keepNext/>
              <w:rPr>
                <w:rFonts w:cs="Arial"/>
              </w:rPr>
            </w:pPr>
            <w:r w:rsidRPr="00944076">
              <w:rPr>
                <w:rFonts w:cs="Arial"/>
              </w:rPr>
              <w:t>7.1%</w:t>
            </w:r>
          </w:p>
        </w:tc>
        <w:tc>
          <w:tcPr>
            <w:tcW w:w="1284" w:type="dxa"/>
            <w:tcBorders>
              <w:top w:val="single" w:sz="4" w:space="0" w:color="auto"/>
              <w:left w:val="single" w:sz="4" w:space="0" w:color="auto"/>
              <w:bottom w:val="single" w:sz="4" w:space="0" w:color="auto"/>
              <w:right w:val="single" w:sz="4" w:space="0" w:color="auto"/>
            </w:tcBorders>
            <w:vAlign w:val="center"/>
            <w:hideMark/>
          </w:tcPr>
          <w:p w14:paraId="59EF0FC7" w14:textId="77777777" w:rsidR="00944076" w:rsidRPr="00944076" w:rsidRDefault="00944076" w:rsidP="009A3C7F">
            <w:pPr>
              <w:keepNext/>
              <w:rPr>
                <w:rFonts w:cs="Arial"/>
              </w:rPr>
            </w:pPr>
            <w:r w:rsidRPr="00944076">
              <w:rPr>
                <w:rFonts w:cs="Arial"/>
              </w:rPr>
              <w:t>3.4%</w:t>
            </w:r>
          </w:p>
        </w:tc>
        <w:tc>
          <w:tcPr>
            <w:tcW w:w="1510" w:type="dxa"/>
            <w:tcBorders>
              <w:top w:val="single" w:sz="4" w:space="0" w:color="auto"/>
              <w:left w:val="single" w:sz="4" w:space="0" w:color="auto"/>
              <w:bottom w:val="single" w:sz="4" w:space="0" w:color="auto"/>
              <w:right w:val="single" w:sz="4" w:space="0" w:color="auto"/>
            </w:tcBorders>
            <w:vAlign w:val="center"/>
            <w:hideMark/>
          </w:tcPr>
          <w:p w14:paraId="433D35FC" w14:textId="77777777" w:rsidR="00944076" w:rsidRPr="00944076" w:rsidRDefault="00944076" w:rsidP="009A3C7F">
            <w:pPr>
              <w:keepNext/>
              <w:rPr>
                <w:rFonts w:cs="Arial"/>
              </w:rPr>
            </w:pPr>
            <w:r w:rsidRPr="00944076">
              <w:rPr>
                <w:rFonts w:cs="Arial"/>
              </w:rPr>
              <w:t>2.3%</w:t>
            </w:r>
          </w:p>
        </w:tc>
        <w:tc>
          <w:tcPr>
            <w:tcW w:w="1231" w:type="dxa"/>
            <w:tcBorders>
              <w:top w:val="single" w:sz="4" w:space="0" w:color="auto"/>
              <w:left w:val="single" w:sz="4" w:space="0" w:color="auto"/>
              <w:bottom w:val="single" w:sz="4" w:space="0" w:color="auto"/>
              <w:right w:val="single" w:sz="4" w:space="0" w:color="auto"/>
            </w:tcBorders>
            <w:vAlign w:val="center"/>
            <w:hideMark/>
          </w:tcPr>
          <w:p w14:paraId="1E4CE595" w14:textId="77777777" w:rsidR="00944076" w:rsidRPr="00944076" w:rsidRDefault="00944076" w:rsidP="009A3C7F">
            <w:pPr>
              <w:keepNext/>
              <w:rPr>
                <w:rFonts w:cs="Arial"/>
              </w:rPr>
            </w:pPr>
            <w:r w:rsidRPr="00944076">
              <w:rPr>
                <w:rFonts w:cs="Arial"/>
              </w:rPr>
              <w:t>8.4%</w:t>
            </w:r>
          </w:p>
        </w:tc>
        <w:tc>
          <w:tcPr>
            <w:tcW w:w="1007" w:type="dxa"/>
            <w:tcBorders>
              <w:top w:val="single" w:sz="4" w:space="0" w:color="auto"/>
              <w:left w:val="single" w:sz="4" w:space="0" w:color="auto"/>
              <w:bottom w:val="single" w:sz="4" w:space="0" w:color="auto"/>
              <w:right w:val="single" w:sz="4" w:space="0" w:color="auto"/>
            </w:tcBorders>
            <w:vAlign w:val="center"/>
            <w:hideMark/>
          </w:tcPr>
          <w:p w14:paraId="0710413A" w14:textId="77777777" w:rsidR="00944076" w:rsidRPr="00944076" w:rsidRDefault="00944076" w:rsidP="009A3C7F">
            <w:pPr>
              <w:keepNext/>
              <w:rPr>
                <w:rFonts w:cs="Arial"/>
              </w:rPr>
            </w:pPr>
            <w:r w:rsidRPr="00944076">
              <w:rPr>
                <w:rFonts w:cs="Arial"/>
              </w:rPr>
              <w:t>1.4%</w:t>
            </w:r>
          </w:p>
        </w:tc>
        <w:tc>
          <w:tcPr>
            <w:tcW w:w="1683" w:type="dxa"/>
            <w:tcBorders>
              <w:top w:val="single" w:sz="4" w:space="0" w:color="auto"/>
              <w:left w:val="single" w:sz="4" w:space="0" w:color="auto"/>
              <w:bottom w:val="single" w:sz="4" w:space="0" w:color="auto"/>
              <w:right w:val="single" w:sz="4" w:space="0" w:color="auto"/>
            </w:tcBorders>
            <w:vAlign w:val="center"/>
            <w:hideMark/>
          </w:tcPr>
          <w:p w14:paraId="15A2F51C" w14:textId="77777777" w:rsidR="00944076" w:rsidRPr="00944076" w:rsidRDefault="00944076" w:rsidP="009A3C7F">
            <w:pPr>
              <w:keepNext/>
              <w:rPr>
                <w:rFonts w:cs="Arial"/>
              </w:rPr>
            </w:pPr>
            <w:r w:rsidRPr="00944076">
              <w:rPr>
                <w:rFonts w:cs="Arial"/>
              </w:rPr>
              <w:t>2.2%</w:t>
            </w:r>
          </w:p>
        </w:tc>
      </w:tr>
    </w:tbl>
    <w:p w14:paraId="0CC075F3" w14:textId="77777777" w:rsidR="00944076" w:rsidRPr="00944076" w:rsidRDefault="00944076" w:rsidP="009A3C7F">
      <w:pPr>
        <w:rPr>
          <w:rFonts w:eastAsia="Times New Roman" w:cs="Arial"/>
          <w:kern w:val="0"/>
          <w:lang w:eastAsia="en-GB"/>
          <w14:ligatures w14:val="none"/>
        </w:rPr>
      </w:pPr>
    </w:p>
    <w:p w14:paraId="4E79A1AD"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The table below compares the percentage of people registered with a mental health condition and dementia in the locality with the health board and Wales averages. It shows the rates in mental health are lower than the health board average (0.1% lower), and higher than the Wales average (0.1% higher). Dementia aligns with both the health board and Wales average.</w:t>
      </w:r>
    </w:p>
    <w:p w14:paraId="2B3C3EBE" w14:textId="77777777" w:rsidR="00944076" w:rsidRPr="00D0306F" w:rsidRDefault="00944076" w:rsidP="009A3C7F">
      <w:pPr>
        <w:rPr>
          <w:rFonts w:eastAsia="Times New Roman" w:cs="Arial"/>
          <w:b/>
          <w:bCs/>
          <w:kern w:val="0"/>
          <w:lang w:eastAsia="en-GB"/>
          <w14:ligatures w14:val="none"/>
        </w:rPr>
      </w:pPr>
    </w:p>
    <w:p w14:paraId="4DC8297A" w14:textId="77777777" w:rsidR="004962D9" w:rsidRPr="00D0306F" w:rsidRDefault="004962D9" w:rsidP="009A3C7F">
      <w:pPr>
        <w:rPr>
          <w:rFonts w:eastAsia="Times New Roman" w:cs="Arial"/>
          <w:b/>
          <w:bCs/>
          <w:kern w:val="0"/>
          <w:lang w:eastAsia="en-GB"/>
          <w14:ligatures w14:val="none"/>
        </w:rPr>
      </w:pPr>
    </w:p>
    <w:p w14:paraId="027431BC" w14:textId="77777777" w:rsidR="004962D9" w:rsidRPr="00D0306F" w:rsidRDefault="004962D9" w:rsidP="009A3C7F">
      <w:pPr>
        <w:rPr>
          <w:rFonts w:eastAsia="Times New Roman" w:cs="Arial"/>
          <w:b/>
          <w:bCs/>
          <w:kern w:val="0"/>
          <w:lang w:eastAsia="en-GB"/>
          <w14:ligatures w14:val="none"/>
        </w:rPr>
      </w:pPr>
    </w:p>
    <w:p w14:paraId="50E93E0F" w14:textId="77777777" w:rsidR="004962D9" w:rsidRPr="00D0306F" w:rsidRDefault="004962D9" w:rsidP="009A3C7F">
      <w:pPr>
        <w:rPr>
          <w:rFonts w:eastAsia="Times New Roman" w:cs="Arial"/>
          <w:b/>
          <w:bCs/>
          <w:kern w:val="0"/>
          <w:lang w:eastAsia="en-GB"/>
          <w14:ligatures w14:val="none"/>
        </w:rPr>
      </w:pPr>
    </w:p>
    <w:p w14:paraId="27827EF5" w14:textId="77777777" w:rsidR="004962D9" w:rsidRPr="00D0306F" w:rsidRDefault="004962D9" w:rsidP="009A3C7F">
      <w:pPr>
        <w:rPr>
          <w:rFonts w:eastAsia="Times New Roman" w:cs="Arial"/>
          <w:b/>
          <w:bCs/>
          <w:kern w:val="0"/>
          <w:lang w:eastAsia="en-GB"/>
          <w14:ligatures w14:val="none"/>
        </w:rPr>
      </w:pPr>
    </w:p>
    <w:p w14:paraId="30DF29A2" w14:textId="77777777" w:rsidR="004962D9" w:rsidRPr="00944076" w:rsidRDefault="004962D9" w:rsidP="009A3C7F">
      <w:pPr>
        <w:rPr>
          <w:rFonts w:eastAsia="Times New Roman" w:cs="Arial"/>
          <w:b/>
          <w:bCs/>
          <w:kern w:val="0"/>
          <w:lang w:eastAsia="en-GB"/>
          <w14:ligatures w14:val="none"/>
        </w:rPr>
      </w:pPr>
    </w:p>
    <w:p w14:paraId="413FD125"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lastRenderedPageBreak/>
        <w:t>Table 15.4: Percentage of people registered as having a mental health condition, and dementia by locality, health board and Wales, 2025</w:t>
      </w:r>
      <w:r w:rsidRPr="00944076">
        <w:rPr>
          <w:rFonts w:eastAsia="Times New Roman" w:cs="Arial"/>
          <w:b/>
          <w:bCs/>
          <w:kern w:val="0"/>
          <w:vertAlign w:val="superscript"/>
          <w:lang w:eastAsia="en-GB"/>
          <w14:ligatures w14:val="none"/>
        </w:rPr>
        <w:footnoteReference w:id="348"/>
      </w:r>
    </w:p>
    <w:p w14:paraId="48475547" w14:textId="77777777" w:rsidR="00944076" w:rsidRPr="00944076" w:rsidRDefault="00944076" w:rsidP="009A3C7F">
      <w:pPr>
        <w:rPr>
          <w:rFonts w:eastAsia="Times New Roman" w:cs="Arial"/>
          <w:kern w:val="0"/>
          <w:lang w:eastAsia="en-GB"/>
          <w14:ligatures w14:val="none"/>
        </w:rPr>
      </w:pPr>
    </w:p>
    <w:tbl>
      <w:tblPr>
        <w:tblStyle w:val="TableGrid"/>
        <w:tblW w:w="8500" w:type="dxa"/>
        <w:tblInd w:w="0" w:type="dxa"/>
        <w:tblLook w:val="04A0" w:firstRow="1" w:lastRow="0" w:firstColumn="1" w:lastColumn="0" w:noHBand="0" w:noVBand="1"/>
      </w:tblPr>
      <w:tblGrid>
        <w:gridCol w:w="4390"/>
        <w:gridCol w:w="1842"/>
        <w:gridCol w:w="2268"/>
      </w:tblGrid>
      <w:tr w:rsidR="009A3C7F" w:rsidRPr="00D0306F" w14:paraId="0ACDFA1D" w14:textId="77777777" w:rsidTr="00944076">
        <w:tc>
          <w:tcPr>
            <w:tcW w:w="4390" w:type="dxa"/>
            <w:tcBorders>
              <w:top w:val="single" w:sz="4" w:space="0" w:color="auto"/>
              <w:left w:val="single" w:sz="4" w:space="0" w:color="auto"/>
              <w:bottom w:val="single" w:sz="4" w:space="0" w:color="auto"/>
              <w:right w:val="single" w:sz="4" w:space="0" w:color="auto"/>
            </w:tcBorders>
            <w:shd w:val="clear" w:color="auto" w:fill="153D63"/>
            <w:hideMark/>
          </w:tcPr>
          <w:p w14:paraId="739F60A7" w14:textId="77777777" w:rsidR="00944076" w:rsidRPr="00944076" w:rsidRDefault="00944076" w:rsidP="009A3C7F">
            <w:pPr>
              <w:rPr>
                <w:rFonts w:cs="Arial"/>
              </w:rPr>
            </w:pPr>
            <w:r w:rsidRPr="00944076">
              <w:rPr>
                <w:rFonts w:cs="Arial"/>
                <w:b/>
                <w:bCs/>
              </w:rPr>
              <w:t>Area</w:t>
            </w:r>
          </w:p>
        </w:tc>
        <w:tc>
          <w:tcPr>
            <w:tcW w:w="1842" w:type="dxa"/>
            <w:tcBorders>
              <w:top w:val="single" w:sz="4" w:space="0" w:color="auto"/>
              <w:left w:val="single" w:sz="4" w:space="0" w:color="auto"/>
              <w:bottom w:val="single" w:sz="4" w:space="0" w:color="auto"/>
              <w:right w:val="single" w:sz="4" w:space="0" w:color="auto"/>
            </w:tcBorders>
            <w:shd w:val="clear" w:color="auto" w:fill="153D63"/>
            <w:hideMark/>
          </w:tcPr>
          <w:p w14:paraId="444BDB08" w14:textId="77777777" w:rsidR="00944076" w:rsidRPr="00944076" w:rsidRDefault="00944076" w:rsidP="000E169A">
            <w:pPr>
              <w:jc w:val="center"/>
              <w:rPr>
                <w:rFonts w:cs="Arial"/>
              </w:rPr>
            </w:pPr>
            <w:r w:rsidRPr="00944076">
              <w:rPr>
                <w:rFonts w:cs="Arial"/>
                <w:b/>
                <w:bCs/>
              </w:rPr>
              <w:t>Mental health</w:t>
            </w:r>
          </w:p>
        </w:tc>
        <w:tc>
          <w:tcPr>
            <w:tcW w:w="2268" w:type="dxa"/>
            <w:tcBorders>
              <w:top w:val="single" w:sz="4" w:space="0" w:color="auto"/>
              <w:left w:val="single" w:sz="4" w:space="0" w:color="auto"/>
              <w:bottom w:val="single" w:sz="4" w:space="0" w:color="auto"/>
              <w:right w:val="single" w:sz="4" w:space="0" w:color="auto"/>
            </w:tcBorders>
            <w:shd w:val="clear" w:color="auto" w:fill="153D63"/>
            <w:hideMark/>
          </w:tcPr>
          <w:p w14:paraId="2D1E9F32" w14:textId="77777777" w:rsidR="00944076" w:rsidRPr="00944076" w:rsidRDefault="00944076" w:rsidP="000E169A">
            <w:pPr>
              <w:jc w:val="center"/>
              <w:rPr>
                <w:rFonts w:cs="Arial"/>
              </w:rPr>
            </w:pPr>
            <w:r w:rsidRPr="00944076">
              <w:rPr>
                <w:rFonts w:cs="Arial"/>
                <w:b/>
                <w:bCs/>
              </w:rPr>
              <w:t>Dementia</w:t>
            </w:r>
          </w:p>
        </w:tc>
      </w:tr>
      <w:tr w:rsidR="00944076" w:rsidRPr="00944076" w14:paraId="7A446E86" w14:textId="77777777" w:rsidTr="00944076">
        <w:tc>
          <w:tcPr>
            <w:tcW w:w="4390" w:type="dxa"/>
            <w:tcBorders>
              <w:top w:val="single" w:sz="4" w:space="0" w:color="auto"/>
              <w:left w:val="single" w:sz="4" w:space="0" w:color="auto"/>
              <w:bottom w:val="single" w:sz="4" w:space="0" w:color="auto"/>
              <w:right w:val="single" w:sz="4" w:space="0" w:color="auto"/>
            </w:tcBorders>
            <w:hideMark/>
          </w:tcPr>
          <w:p w14:paraId="1B00DFD0" w14:textId="77777777" w:rsidR="00944076" w:rsidRPr="00944076" w:rsidRDefault="00944076" w:rsidP="009A3C7F">
            <w:pPr>
              <w:rPr>
                <w:rFonts w:cs="Arial"/>
              </w:rPr>
            </w:pPr>
            <w:r w:rsidRPr="00944076">
              <w:rPr>
                <w:rFonts w:cs="Arial"/>
              </w:rPr>
              <w:t>Upper Valleys locality</w:t>
            </w:r>
          </w:p>
        </w:tc>
        <w:tc>
          <w:tcPr>
            <w:tcW w:w="1842" w:type="dxa"/>
            <w:tcBorders>
              <w:top w:val="single" w:sz="4" w:space="0" w:color="auto"/>
              <w:left w:val="single" w:sz="4" w:space="0" w:color="auto"/>
              <w:bottom w:val="single" w:sz="4" w:space="0" w:color="auto"/>
              <w:right w:val="single" w:sz="4" w:space="0" w:color="auto"/>
            </w:tcBorders>
            <w:hideMark/>
          </w:tcPr>
          <w:p w14:paraId="0B96E7A9" w14:textId="77777777" w:rsidR="00944076" w:rsidRPr="00944076" w:rsidRDefault="00944076" w:rsidP="000E169A">
            <w:pPr>
              <w:jc w:val="center"/>
              <w:rPr>
                <w:rFonts w:cs="Arial"/>
              </w:rPr>
            </w:pPr>
            <w:r w:rsidRPr="00944076">
              <w:rPr>
                <w:rFonts w:cs="Arial"/>
              </w:rPr>
              <w:t>1.2%</w:t>
            </w:r>
          </w:p>
        </w:tc>
        <w:tc>
          <w:tcPr>
            <w:tcW w:w="2268" w:type="dxa"/>
            <w:tcBorders>
              <w:top w:val="single" w:sz="4" w:space="0" w:color="auto"/>
              <w:left w:val="single" w:sz="4" w:space="0" w:color="auto"/>
              <w:bottom w:val="single" w:sz="4" w:space="0" w:color="auto"/>
              <w:right w:val="single" w:sz="4" w:space="0" w:color="auto"/>
            </w:tcBorders>
            <w:hideMark/>
          </w:tcPr>
          <w:p w14:paraId="3742019B" w14:textId="77777777" w:rsidR="00944076" w:rsidRPr="00944076" w:rsidRDefault="00944076" w:rsidP="000E169A">
            <w:pPr>
              <w:jc w:val="center"/>
              <w:rPr>
                <w:rFonts w:cs="Arial"/>
              </w:rPr>
            </w:pPr>
            <w:r w:rsidRPr="00944076">
              <w:rPr>
                <w:rFonts w:cs="Arial"/>
              </w:rPr>
              <w:t>0.8%</w:t>
            </w:r>
          </w:p>
        </w:tc>
      </w:tr>
      <w:tr w:rsidR="00944076" w:rsidRPr="00944076" w14:paraId="49C3F0D9" w14:textId="77777777" w:rsidTr="00944076">
        <w:tc>
          <w:tcPr>
            <w:tcW w:w="4390" w:type="dxa"/>
            <w:tcBorders>
              <w:top w:val="single" w:sz="4" w:space="0" w:color="auto"/>
              <w:left w:val="single" w:sz="4" w:space="0" w:color="auto"/>
              <w:bottom w:val="single" w:sz="4" w:space="0" w:color="auto"/>
              <w:right w:val="single" w:sz="4" w:space="0" w:color="auto"/>
            </w:tcBorders>
            <w:hideMark/>
          </w:tcPr>
          <w:p w14:paraId="2E50F501" w14:textId="77777777" w:rsidR="00944076" w:rsidRPr="00944076" w:rsidRDefault="00944076" w:rsidP="009A3C7F">
            <w:pPr>
              <w:rPr>
                <w:rFonts w:cs="Arial"/>
              </w:rPr>
            </w:pPr>
            <w:r w:rsidRPr="00944076">
              <w:rPr>
                <w:rFonts w:cs="Arial"/>
              </w:rPr>
              <w:t>Swansea Bay University Health Board</w:t>
            </w:r>
          </w:p>
        </w:tc>
        <w:tc>
          <w:tcPr>
            <w:tcW w:w="1842" w:type="dxa"/>
            <w:tcBorders>
              <w:top w:val="single" w:sz="4" w:space="0" w:color="auto"/>
              <w:left w:val="single" w:sz="4" w:space="0" w:color="auto"/>
              <w:bottom w:val="single" w:sz="4" w:space="0" w:color="auto"/>
              <w:right w:val="single" w:sz="4" w:space="0" w:color="auto"/>
            </w:tcBorders>
            <w:hideMark/>
          </w:tcPr>
          <w:p w14:paraId="72D3F79C" w14:textId="77777777" w:rsidR="00944076" w:rsidRPr="00944076" w:rsidRDefault="00944076" w:rsidP="000E169A">
            <w:pPr>
              <w:jc w:val="center"/>
              <w:rPr>
                <w:rFonts w:cs="Arial"/>
              </w:rPr>
            </w:pPr>
            <w:r w:rsidRPr="00944076">
              <w:rPr>
                <w:rFonts w:cs="Arial"/>
              </w:rPr>
              <w:t>1.3%</w:t>
            </w:r>
          </w:p>
        </w:tc>
        <w:tc>
          <w:tcPr>
            <w:tcW w:w="2268" w:type="dxa"/>
            <w:tcBorders>
              <w:top w:val="single" w:sz="4" w:space="0" w:color="auto"/>
              <w:left w:val="single" w:sz="4" w:space="0" w:color="auto"/>
              <w:bottom w:val="single" w:sz="4" w:space="0" w:color="auto"/>
              <w:right w:val="single" w:sz="4" w:space="0" w:color="auto"/>
            </w:tcBorders>
            <w:hideMark/>
          </w:tcPr>
          <w:p w14:paraId="48CF0A1E" w14:textId="77777777" w:rsidR="00944076" w:rsidRPr="00944076" w:rsidRDefault="00944076" w:rsidP="000E169A">
            <w:pPr>
              <w:jc w:val="center"/>
              <w:rPr>
                <w:rFonts w:cs="Arial"/>
              </w:rPr>
            </w:pPr>
            <w:r w:rsidRPr="00944076">
              <w:rPr>
                <w:rFonts w:cs="Arial"/>
              </w:rPr>
              <w:t>0.8%</w:t>
            </w:r>
          </w:p>
        </w:tc>
      </w:tr>
      <w:tr w:rsidR="00944076" w:rsidRPr="00944076" w14:paraId="3669E12A" w14:textId="77777777" w:rsidTr="00944076">
        <w:tc>
          <w:tcPr>
            <w:tcW w:w="4390" w:type="dxa"/>
            <w:tcBorders>
              <w:top w:val="single" w:sz="4" w:space="0" w:color="auto"/>
              <w:left w:val="single" w:sz="4" w:space="0" w:color="auto"/>
              <w:bottom w:val="single" w:sz="4" w:space="0" w:color="auto"/>
              <w:right w:val="single" w:sz="4" w:space="0" w:color="auto"/>
            </w:tcBorders>
            <w:hideMark/>
          </w:tcPr>
          <w:p w14:paraId="7CFB8766" w14:textId="77777777" w:rsidR="00944076" w:rsidRPr="00944076" w:rsidRDefault="00944076" w:rsidP="009A3C7F">
            <w:pPr>
              <w:rPr>
                <w:rFonts w:cs="Arial"/>
              </w:rPr>
            </w:pPr>
            <w:r w:rsidRPr="00944076">
              <w:rPr>
                <w:rFonts w:cs="Arial"/>
              </w:rPr>
              <w:t>Wales</w:t>
            </w:r>
          </w:p>
        </w:tc>
        <w:tc>
          <w:tcPr>
            <w:tcW w:w="1842" w:type="dxa"/>
            <w:tcBorders>
              <w:top w:val="single" w:sz="4" w:space="0" w:color="auto"/>
              <w:left w:val="single" w:sz="4" w:space="0" w:color="auto"/>
              <w:bottom w:val="single" w:sz="4" w:space="0" w:color="auto"/>
              <w:right w:val="single" w:sz="4" w:space="0" w:color="auto"/>
            </w:tcBorders>
            <w:hideMark/>
          </w:tcPr>
          <w:p w14:paraId="58865AB3" w14:textId="77777777" w:rsidR="00944076" w:rsidRPr="00944076" w:rsidRDefault="00944076" w:rsidP="000E169A">
            <w:pPr>
              <w:jc w:val="center"/>
              <w:rPr>
                <w:rFonts w:cs="Arial"/>
              </w:rPr>
            </w:pPr>
            <w:r w:rsidRPr="00944076">
              <w:rPr>
                <w:rFonts w:cs="Arial"/>
              </w:rPr>
              <w:t>1.1%</w:t>
            </w:r>
          </w:p>
        </w:tc>
        <w:tc>
          <w:tcPr>
            <w:tcW w:w="2268" w:type="dxa"/>
            <w:tcBorders>
              <w:top w:val="single" w:sz="4" w:space="0" w:color="auto"/>
              <w:left w:val="single" w:sz="4" w:space="0" w:color="auto"/>
              <w:bottom w:val="single" w:sz="4" w:space="0" w:color="auto"/>
              <w:right w:val="single" w:sz="4" w:space="0" w:color="auto"/>
            </w:tcBorders>
            <w:hideMark/>
          </w:tcPr>
          <w:p w14:paraId="35526E9A" w14:textId="77777777" w:rsidR="00944076" w:rsidRPr="00944076" w:rsidRDefault="00944076" w:rsidP="000E169A">
            <w:pPr>
              <w:jc w:val="center"/>
              <w:rPr>
                <w:rFonts w:cs="Arial"/>
              </w:rPr>
            </w:pPr>
            <w:r w:rsidRPr="00944076">
              <w:rPr>
                <w:rFonts w:cs="Arial"/>
              </w:rPr>
              <w:t>0.8%</w:t>
            </w:r>
          </w:p>
        </w:tc>
      </w:tr>
    </w:tbl>
    <w:p w14:paraId="16EFCC38" w14:textId="77777777" w:rsidR="00944076" w:rsidRPr="00944076" w:rsidRDefault="00944076" w:rsidP="009A3C7F">
      <w:pPr>
        <w:keepNext/>
        <w:rPr>
          <w:rFonts w:eastAsia="Times New Roman" w:cs="Arial"/>
          <w:bCs/>
          <w:kern w:val="0"/>
          <w14:ligatures w14:val="none"/>
        </w:rPr>
      </w:pPr>
    </w:p>
    <w:p w14:paraId="087A5085" w14:textId="77777777" w:rsidR="00944076" w:rsidRPr="00944076" w:rsidRDefault="00944076" w:rsidP="009A3C7F">
      <w:pPr>
        <w:keepLines/>
        <w:rPr>
          <w:rFonts w:eastAsia="Times New Roman" w:cs="Arial"/>
          <w:bCs/>
          <w:kern w:val="0"/>
          <w14:ligatures w14:val="none"/>
        </w:rPr>
      </w:pPr>
      <w:r w:rsidRPr="00944076">
        <w:rPr>
          <w:rFonts w:eastAsia="Times New Roman" w:cs="Arial"/>
          <w:bCs/>
          <w:kern w:val="0"/>
          <w14:ligatures w14:val="none"/>
        </w:rPr>
        <w:t>The table below shows that the locality is above the health board and Wales averages in atrial fibrillation (0.3% and 0.2% higher respectively) and hypertension (2.7% and 1.3% higher respectively).</w:t>
      </w:r>
    </w:p>
    <w:p w14:paraId="576FBF6E" w14:textId="77777777" w:rsidR="00944076" w:rsidRPr="00944076" w:rsidRDefault="00944076" w:rsidP="009A3C7F">
      <w:pPr>
        <w:keepNext/>
        <w:rPr>
          <w:rFonts w:eastAsia="Times New Roman" w:cs="Arial"/>
          <w:b/>
          <w:kern w:val="0"/>
          <w14:ligatures w14:val="none"/>
        </w:rPr>
      </w:pPr>
    </w:p>
    <w:p w14:paraId="750FB2E1" w14:textId="77777777" w:rsidR="00944076" w:rsidRPr="00944076" w:rsidRDefault="00944076" w:rsidP="009A3C7F">
      <w:pPr>
        <w:keepNext/>
        <w:rPr>
          <w:rFonts w:eastAsia="Times New Roman" w:cs="Arial"/>
          <w:b/>
          <w:bCs/>
          <w:kern w:val="0"/>
          <w14:ligatures w14:val="none"/>
        </w:rPr>
      </w:pPr>
      <w:r w:rsidRPr="00944076">
        <w:rPr>
          <w:rFonts w:eastAsia="Times New Roman" w:cs="Arial"/>
          <w:b/>
          <w:bCs/>
          <w:kern w:val="0"/>
          <w14:ligatures w14:val="none"/>
        </w:rPr>
        <w:t>Table 15.5: Estimated percentage prevalence of hypertension and atrial fibrillation based on people on GP practice registers by locality, health board and Wales, 2025</w:t>
      </w:r>
      <w:r w:rsidRPr="00944076">
        <w:rPr>
          <w:rFonts w:eastAsia="Times New Roman" w:cs="Arial"/>
          <w:b/>
          <w:bCs/>
          <w:kern w:val="0"/>
          <w:vertAlign w:val="superscript"/>
          <w14:ligatures w14:val="none"/>
        </w:rPr>
        <w:footnoteReference w:id="349"/>
      </w:r>
    </w:p>
    <w:p w14:paraId="764E4C5C" w14:textId="77777777" w:rsidR="00944076" w:rsidRPr="00944076" w:rsidRDefault="00944076" w:rsidP="009A3C7F">
      <w:pPr>
        <w:keepNext/>
        <w:rPr>
          <w:rFonts w:eastAsia="Times New Roman" w:cs="Arial"/>
          <w:b/>
          <w:kern w:val="0"/>
          <w14:ligatures w14:val="none"/>
        </w:rPr>
      </w:pPr>
    </w:p>
    <w:tbl>
      <w:tblPr>
        <w:tblStyle w:val="TableGrid"/>
        <w:tblW w:w="8500" w:type="dxa"/>
        <w:tblInd w:w="0" w:type="dxa"/>
        <w:tblLook w:val="04A0" w:firstRow="1" w:lastRow="0" w:firstColumn="1" w:lastColumn="0" w:noHBand="0" w:noVBand="1"/>
      </w:tblPr>
      <w:tblGrid>
        <w:gridCol w:w="4386"/>
        <w:gridCol w:w="2364"/>
        <w:gridCol w:w="1750"/>
      </w:tblGrid>
      <w:tr w:rsidR="009A3C7F" w:rsidRPr="00D0306F" w14:paraId="0AFAAB47" w14:textId="77777777" w:rsidTr="00944076">
        <w:tc>
          <w:tcPr>
            <w:tcW w:w="4531" w:type="dxa"/>
            <w:tcBorders>
              <w:top w:val="single" w:sz="4" w:space="0" w:color="auto"/>
              <w:left w:val="single" w:sz="4" w:space="0" w:color="auto"/>
              <w:bottom w:val="single" w:sz="4" w:space="0" w:color="auto"/>
              <w:right w:val="single" w:sz="4" w:space="0" w:color="auto"/>
            </w:tcBorders>
            <w:shd w:val="clear" w:color="auto" w:fill="153D63"/>
            <w:hideMark/>
          </w:tcPr>
          <w:p w14:paraId="34D4518B" w14:textId="77777777" w:rsidR="00944076" w:rsidRPr="00944076" w:rsidRDefault="00944076" w:rsidP="009A3C7F">
            <w:pPr>
              <w:keepNext/>
              <w:rPr>
                <w:rFonts w:cs="Arial"/>
                <w:b/>
              </w:rPr>
            </w:pPr>
            <w:r w:rsidRPr="00944076">
              <w:rPr>
                <w:rFonts w:cs="Arial"/>
                <w:b/>
              </w:rPr>
              <w:t>Area</w:t>
            </w:r>
          </w:p>
        </w:tc>
        <w:tc>
          <w:tcPr>
            <w:tcW w:w="2410" w:type="dxa"/>
            <w:tcBorders>
              <w:top w:val="single" w:sz="4" w:space="0" w:color="auto"/>
              <w:left w:val="single" w:sz="4" w:space="0" w:color="auto"/>
              <w:bottom w:val="single" w:sz="4" w:space="0" w:color="auto"/>
              <w:right w:val="single" w:sz="4" w:space="0" w:color="auto"/>
            </w:tcBorders>
            <w:shd w:val="clear" w:color="auto" w:fill="153D63"/>
            <w:hideMark/>
          </w:tcPr>
          <w:p w14:paraId="50491F88" w14:textId="77777777" w:rsidR="00944076" w:rsidRPr="00944076" w:rsidRDefault="00944076" w:rsidP="004962D9">
            <w:pPr>
              <w:keepNext/>
              <w:jc w:val="center"/>
              <w:rPr>
                <w:rFonts w:cs="Arial"/>
                <w:b/>
              </w:rPr>
            </w:pPr>
            <w:r w:rsidRPr="00944076">
              <w:rPr>
                <w:rFonts w:cs="Arial"/>
                <w:b/>
              </w:rPr>
              <w:t>Atrial fibrillation</w:t>
            </w:r>
          </w:p>
        </w:tc>
        <w:tc>
          <w:tcPr>
            <w:tcW w:w="1559" w:type="dxa"/>
            <w:tcBorders>
              <w:top w:val="single" w:sz="4" w:space="0" w:color="auto"/>
              <w:left w:val="single" w:sz="4" w:space="0" w:color="auto"/>
              <w:bottom w:val="single" w:sz="4" w:space="0" w:color="auto"/>
              <w:right w:val="single" w:sz="4" w:space="0" w:color="auto"/>
            </w:tcBorders>
            <w:shd w:val="clear" w:color="auto" w:fill="153D63"/>
            <w:hideMark/>
          </w:tcPr>
          <w:p w14:paraId="204B7CAD" w14:textId="77777777" w:rsidR="00944076" w:rsidRPr="00944076" w:rsidRDefault="00944076" w:rsidP="004962D9">
            <w:pPr>
              <w:keepNext/>
              <w:jc w:val="center"/>
              <w:rPr>
                <w:rFonts w:cs="Arial"/>
                <w:b/>
              </w:rPr>
            </w:pPr>
            <w:r w:rsidRPr="00944076">
              <w:rPr>
                <w:rFonts w:cs="Arial"/>
                <w:b/>
              </w:rPr>
              <w:t>Hypertension</w:t>
            </w:r>
          </w:p>
        </w:tc>
      </w:tr>
      <w:tr w:rsidR="00944076" w:rsidRPr="00944076" w14:paraId="11649C4C" w14:textId="77777777" w:rsidTr="00944076">
        <w:tc>
          <w:tcPr>
            <w:tcW w:w="4531" w:type="dxa"/>
            <w:tcBorders>
              <w:top w:val="single" w:sz="4" w:space="0" w:color="auto"/>
              <w:left w:val="single" w:sz="4" w:space="0" w:color="auto"/>
              <w:bottom w:val="single" w:sz="4" w:space="0" w:color="auto"/>
              <w:right w:val="single" w:sz="4" w:space="0" w:color="auto"/>
            </w:tcBorders>
            <w:hideMark/>
          </w:tcPr>
          <w:p w14:paraId="4D897FA2" w14:textId="77777777" w:rsidR="00944076" w:rsidRPr="00944076" w:rsidRDefault="00944076" w:rsidP="009A3C7F">
            <w:pPr>
              <w:keepNext/>
              <w:rPr>
                <w:rFonts w:cs="Arial"/>
                <w:bCs/>
              </w:rPr>
            </w:pPr>
            <w:r w:rsidRPr="00944076">
              <w:rPr>
                <w:rFonts w:cs="Arial"/>
                <w:bCs/>
              </w:rPr>
              <w:t>Upper Valleys locality</w:t>
            </w:r>
          </w:p>
        </w:tc>
        <w:tc>
          <w:tcPr>
            <w:tcW w:w="2410" w:type="dxa"/>
            <w:tcBorders>
              <w:top w:val="single" w:sz="4" w:space="0" w:color="auto"/>
              <w:left w:val="single" w:sz="4" w:space="0" w:color="auto"/>
              <w:bottom w:val="single" w:sz="4" w:space="0" w:color="auto"/>
              <w:right w:val="single" w:sz="4" w:space="0" w:color="auto"/>
            </w:tcBorders>
            <w:hideMark/>
          </w:tcPr>
          <w:p w14:paraId="2EF25693" w14:textId="77777777" w:rsidR="00944076" w:rsidRPr="00944076" w:rsidRDefault="00944076" w:rsidP="004962D9">
            <w:pPr>
              <w:keepNext/>
              <w:jc w:val="center"/>
              <w:rPr>
                <w:rFonts w:cs="Arial"/>
                <w:bCs/>
              </w:rPr>
            </w:pPr>
            <w:r w:rsidRPr="00944076">
              <w:rPr>
                <w:rFonts w:cs="Arial"/>
                <w:bCs/>
              </w:rPr>
              <w:t>2.9%</w:t>
            </w:r>
          </w:p>
        </w:tc>
        <w:tc>
          <w:tcPr>
            <w:tcW w:w="1559" w:type="dxa"/>
            <w:tcBorders>
              <w:top w:val="single" w:sz="4" w:space="0" w:color="auto"/>
              <w:left w:val="single" w:sz="4" w:space="0" w:color="auto"/>
              <w:bottom w:val="single" w:sz="4" w:space="0" w:color="auto"/>
              <w:right w:val="single" w:sz="4" w:space="0" w:color="auto"/>
            </w:tcBorders>
            <w:hideMark/>
          </w:tcPr>
          <w:p w14:paraId="21F00E62" w14:textId="77777777" w:rsidR="00944076" w:rsidRPr="00944076" w:rsidRDefault="00944076" w:rsidP="004962D9">
            <w:pPr>
              <w:keepNext/>
              <w:jc w:val="center"/>
              <w:rPr>
                <w:rFonts w:cs="Arial"/>
                <w:bCs/>
              </w:rPr>
            </w:pPr>
            <w:r w:rsidRPr="00944076">
              <w:rPr>
                <w:rFonts w:cs="Arial"/>
                <w:bCs/>
              </w:rPr>
              <w:t>17.6%</w:t>
            </w:r>
          </w:p>
        </w:tc>
      </w:tr>
      <w:tr w:rsidR="00944076" w:rsidRPr="00944076" w14:paraId="77DD9B73" w14:textId="77777777" w:rsidTr="00944076">
        <w:tc>
          <w:tcPr>
            <w:tcW w:w="4531" w:type="dxa"/>
            <w:tcBorders>
              <w:top w:val="single" w:sz="4" w:space="0" w:color="auto"/>
              <w:left w:val="single" w:sz="4" w:space="0" w:color="auto"/>
              <w:bottom w:val="single" w:sz="4" w:space="0" w:color="auto"/>
              <w:right w:val="single" w:sz="4" w:space="0" w:color="auto"/>
            </w:tcBorders>
            <w:hideMark/>
          </w:tcPr>
          <w:p w14:paraId="5BCCC927" w14:textId="77777777" w:rsidR="00944076" w:rsidRPr="00944076" w:rsidRDefault="00944076" w:rsidP="009A3C7F">
            <w:pPr>
              <w:keepNext/>
              <w:rPr>
                <w:rFonts w:cs="Arial"/>
                <w:b/>
              </w:rPr>
            </w:pPr>
            <w:r w:rsidRPr="00944076">
              <w:rPr>
                <w:rFonts w:cs="Arial"/>
              </w:rPr>
              <w:t>Swansea Bay University Health Board</w:t>
            </w:r>
          </w:p>
        </w:tc>
        <w:tc>
          <w:tcPr>
            <w:tcW w:w="2410" w:type="dxa"/>
            <w:tcBorders>
              <w:top w:val="single" w:sz="4" w:space="0" w:color="auto"/>
              <w:left w:val="single" w:sz="4" w:space="0" w:color="auto"/>
              <w:bottom w:val="single" w:sz="4" w:space="0" w:color="auto"/>
              <w:right w:val="single" w:sz="4" w:space="0" w:color="auto"/>
            </w:tcBorders>
            <w:hideMark/>
          </w:tcPr>
          <w:p w14:paraId="5A4DCA30" w14:textId="77777777" w:rsidR="00944076" w:rsidRPr="00944076" w:rsidRDefault="00944076" w:rsidP="004962D9">
            <w:pPr>
              <w:keepNext/>
              <w:jc w:val="center"/>
              <w:rPr>
                <w:rFonts w:cs="Arial"/>
                <w:bCs/>
              </w:rPr>
            </w:pPr>
            <w:r w:rsidRPr="00944076">
              <w:rPr>
                <w:rFonts w:cs="Arial"/>
                <w:bCs/>
              </w:rPr>
              <w:t>2.6%</w:t>
            </w:r>
          </w:p>
        </w:tc>
        <w:tc>
          <w:tcPr>
            <w:tcW w:w="1559" w:type="dxa"/>
            <w:tcBorders>
              <w:top w:val="single" w:sz="4" w:space="0" w:color="auto"/>
              <w:left w:val="single" w:sz="4" w:space="0" w:color="auto"/>
              <w:bottom w:val="single" w:sz="4" w:space="0" w:color="auto"/>
              <w:right w:val="single" w:sz="4" w:space="0" w:color="auto"/>
            </w:tcBorders>
            <w:hideMark/>
          </w:tcPr>
          <w:p w14:paraId="7552784A" w14:textId="77777777" w:rsidR="00944076" w:rsidRPr="00944076" w:rsidRDefault="00944076" w:rsidP="004962D9">
            <w:pPr>
              <w:keepNext/>
              <w:jc w:val="center"/>
              <w:rPr>
                <w:rFonts w:cs="Arial"/>
                <w:bCs/>
              </w:rPr>
            </w:pPr>
            <w:r w:rsidRPr="00944076">
              <w:rPr>
                <w:rFonts w:cs="Arial"/>
                <w:bCs/>
              </w:rPr>
              <w:t>14.9%</w:t>
            </w:r>
          </w:p>
        </w:tc>
      </w:tr>
      <w:tr w:rsidR="00944076" w:rsidRPr="00944076" w14:paraId="54786913" w14:textId="77777777" w:rsidTr="00944076">
        <w:tc>
          <w:tcPr>
            <w:tcW w:w="4531" w:type="dxa"/>
            <w:tcBorders>
              <w:top w:val="single" w:sz="4" w:space="0" w:color="auto"/>
              <w:left w:val="single" w:sz="4" w:space="0" w:color="auto"/>
              <w:bottom w:val="single" w:sz="4" w:space="0" w:color="auto"/>
              <w:right w:val="single" w:sz="4" w:space="0" w:color="auto"/>
            </w:tcBorders>
            <w:hideMark/>
          </w:tcPr>
          <w:p w14:paraId="0BA192A0" w14:textId="77777777" w:rsidR="00944076" w:rsidRPr="00944076" w:rsidRDefault="00944076" w:rsidP="009A3C7F">
            <w:pPr>
              <w:keepNext/>
              <w:rPr>
                <w:rFonts w:cs="Arial"/>
              </w:rPr>
            </w:pPr>
            <w:r w:rsidRPr="00944076">
              <w:rPr>
                <w:rFonts w:cs="Arial"/>
              </w:rPr>
              <w:t>Wales</w:t>
            </w:r>
          </w:p>
        </w:tc>
        <w:tc>
          <w:tcPr>
            <w:tcW w:w="2410" w:type="dxa"/>
            <w:tcBorders>
              <w:top w:val="single" w:sz="4" w:space="0" w:color="auto"/>
              <w:left w:val="single" w:sz="4" w:space="0" w:color="auto"/>
              <w:bottom w:val="single" w:sz="4" w:space="0" w:color="auto"/>
              <w:right w:val="single" w:sz="4" w:space="0" w:color="auto"/>
            </w:tcBorders>
            <w:hideMark/>
          </w:tcPr>
          <w:p w14:paraId="5082C3BD" w14:textId="77777777" w:rsidR="00944076" w:rsidRPr="00944076" w:rsidRDefault="00944076" w:rsidP="004962D9">
            <w:pPr>
              <w:keepNext/>
              <w:jc w:val="center"/>
              <w:rPr>
                <w:rFonts w:cs="Arial"/>
              </w:rPr>
            </w:pPr>
            <w:r w:rsidRPr="00944076">
              <w:rPr>
                <w:rFonts w:cs="Arial"/>
              </w:rPr>
              <w:t>2.7%</w:t>
            </w:r>
          </w:p>
        </w:tc>
        <w:tc>
          <w:tcPr>
            <w:tcW w:w="1559" w:type="dxa"/>
            <w:tcBorders>
              <w:top w:val="single" w:sz="4" w:space="0" w:color="auto"/>
              <w:left w:val="single" w:sz="4" w:space="0" w:color="auto"/>
              <w:bottom w:val="single" w:sz="4" w:space="0" w:color="auto"/>
              <w:right w:val="single" w:sz="4" w:space="0" w:color="auto"/>
            </w:tcBorders>
            <w:hideMark/>
          </w:tcPr>
          <w:p w14:paraId="439C0BAB" w14:textId="77777777" w:rsidR="00944076" w:rsidRPr="00944076" w:rsidRDefault="00944076" w:rsidP="004962D9">
            <w:pPr>
              <w:keepNext/>
              <w:jc w:val="center"/>
              <w:rPr>
                <w:rFonts w:cs="Arial"/>
              </w:rPr>
            </w:pPr>
            <w:r w:rsidRPr="00944076">
              <w:rPr>
                <w:rFonts w:cs="Arial"/>
              </w:rPr>
              <w:t>16.3%</w:t>
            </w:r>
          </w:p>
        </w:tc>
      </w:tr>
    </w:tbl>
    <w:p w14:paraId="2A63E275" w14:textId="77777777" w:rsidR="00944076" w:rsidRPr="00944076" w:rsidRDefault="00944076" w:rsidP="009A3C7F">
      <w:pPr>
        <w:rPr>
          <w:rFonts w:eastAsia="Times New Roman" w:cs="Arial"/>
          <w:kern w:val="0"/>
          <w:lang w:eastAsia="en-GB"/>
          <w14:ligatures w14:val="none"/>
        </w:rPr>
      </w:pPr>
    </w:p>
    <w:p w14:paraId="54F37333" w14:textId="77777777" w:rsidR="00944076" w:rsidRPr="00944076" w:rsidRDefault="00944076" w:rsidP="009A3C7F">
      <w:pPr>
        <w:contextualSpacing/>
        <w:rPr>
          <w:rFonts w:eastAsia="Aptos" w:cs="Arial"/>
          <w:kern w:val="0"/>
          <w14:ligatures w14:val="none"/>
        </w:rPr>
      </w:pPr>
      <w:r w:rsidRPr="00944076">
        <w:rPr>
          <w:rFonts w:eastAsia="Aptos" w:cs="Arial"/>
        </w:rPr>
        <w:t>The table below presents the percentage of adults aged 16 years and over, in Neath Port Talbot who have self-reported engaging in six key lifestyle behaviours, as recorded by the National Survey for Wales</w:t>
      </w:r>
      <w:r w:rsidRPr="00944076">
        <w:rPr>
          <w:rFonts w:eastAsia="Aptos" w:cs="Arial"/>
          <w:vertAlign w:val="superscript"/>
        </w:rPr>
        <w:footnoteReference w:id="350"/>
      </w:r>
      <w:r w:rsidRPr="00944076">
        <w:rPr>
          <w:rFonts w:eastAsia="Aptos" w:cs="Arial"/>
        </w:rPr>
        <w:t xml:space="preserve"> between 2021 and 2023. This information offers valuable insight into the common habits and lifestyle choices among the adult population in the area.</w:t>
      </w:r>
    </w:p>
    <w:p w14:paraId="1A975D6C" w14:textId="77777777" w:rsidR="00944076" w:rsidRPr="00D0306F" w:rsidRDefault="00944076" w:rsidP="009A3C7F">
      <w:pPr>
        <w:contextualSpacing/>
        <w:rPr>
          <w:rFonts w:eastAsia="Aptos" w:cs="Arial"/>
        </w:rPr>
      </w:pPr>
    </w:p>
    <w:p w14:paraId="43F0AAA6" w14:textId="77777777" w:rsidR="004962D9" w:rsidRPr="00D0306F" w:rsidRDefault="004962D9" w:rsidP="009A3C7F">
      <w:pPr>
        <w:contextualSpacing/>
        <w:rPr>
          <w:rFonts w:eastAsia="Aptos" w:cs="Arial"/>
        </w:rPr>
      </w:pPr>
    </w:p>
    <w:p w14:paraId="6A5C45D2" w14:textId="77777777" w:rsidR="004962D9" w:rsidRPr="00D0306F" w:rsidRDefault="004962D9" w:rsidP="009A3C7F">
      <w:pPr>
        <w:contextualSpacing/>
        <w:rPr>
          <w:rFonts w:eastAsia="Aptos" w:cs="Arial"/>
        </w:rPr>
      </w:pPr>
    </w:p>
    <w:p w14:paraId="2F891A50" w14:textId="77777777" w:rsidR="004962D9" w:rsidRPr="00D0306F" w:rsidRDefault="004962D9" w:rsidP="009A3C7F">
      <w:pPr>
        <w:contextualSpacing/>
        <w:rPr>
          <w:rFonts w:eastAsia="Aptos" w:cs="Arial"/>
        </w:rPr>
      </w:pPr>
    </w:p>
    <w:p w14:paraId="1288E656" w14:textId="77777777" w:rsidR="004962D9" w:rsidRPr="00D0306F" w:rsidRDefault="004962D9" w:rsidP="009A3C7F">
      <w:pPr>
        <w:contextualSpacing/>
        <w:rPr>
          <w:rFonts w:eastAsia="Aptos" w:cs="Arial"/>
        </w:rPr>
      </w:pPr>
    </w:p>
    <w:p w14:paraId="7A5B68FE" w14:textId="77777777" w:rsidR="004962D9" w:rsidRPr="00D0306F" w:rsidRDefault="004962D9" w:rsidP="009A3C7F">
      <w:pPr>
        <w:contextualSpacing/>
        <w:rPr>
          <w:rFonts w:eastAsia="Aptos" w:cs="Arial"/>
        </w:rPr>
      </w:pPr>
    </w:p>
    <w:p w14:paraId="37284B9A" w14:textId="77777777" w:rsidR="004962D9" w:rsidRPr="00D0306F" w:rsidRDefault="004962D9" w:rsidP="009A3C7F">
      <w:pPr>
        <w:contextualSpacing/>
        <w:rPr>
          <w:rFonts w:eastAsia="Aptos" w:cs="Arial"/>
        </w:rPr>
      </w:pPr>
    </w:p>
    <w:p w14:paraId="4E3FDA03" w14:textId="77777777" w:rsidR="004962D9" w:rsidRPr="00D0306F" w:rsidRDefault="004962D9" w:rsidP="009A3C7F">
      <w:pPr>
        <w:contextualSpacing/>
        <w:rPr>
          <w:rFonts w:eastAsia="Aptos" w:cs="Arial"/>
        </w:rPr>
      </w:pPr>
    </w:p>
    <w:p w14:paraId="22AEDEA5" w14:textId="77777777" w:rsidR="004962D9" w:rsidRPr="00D0306F" w:rsidRDefault="004962D9" w:rsidP="009A3C7F">
      <w:pPr>
        <w:contextualSpacing/>
        <w:rPr>
          <w:rFonts w:eastAsia="Aptos" w:cs="Arial"/>
        </w:rPr>
      </w:pPr>
    </w:p>
    <w:p w14:paraId="7D9732B9" w14:textId="77777777" w:rsidR="004962D9" w:rsidRPr="00D0306F" w:rsidRDefault="004962D9" w:rsidP="009A3C7F">
      <w:pPr>
        <w:contextualSpacing/>
        <w:rPr>
          <w:rFonts w:eastAsia="Aptos" w:cs="Arial"/>
        </w:rPr>
      </w:pPr>
    </w:p>
    <w:p w14:paraId="0D854A54" w14:textId="77777777" w:rsidR="004962D9" w:rsidRPr="00944076" w:rsidRDefault="004962D9" w:rsidP="009A3C7F">
      <w:pPr>
        <w:contextualSpacing/>
        <w:rPr>
          <w:rFonts w:eastAsia="Aptos" w:cs="Arial"/>
        </w:rPr>
      </w:pPr>
    </w:p>
    <w:p w14:paraId="3BE7AF4F" w14:textId="77777777" w:rsidR="00944076" w:rsidRPr="00944076" w:rsidRDefault="00944076" w:rsidP="009A3C7F">
      <w:pPr>
        <w:keepNext/>
        <w:rPr>
          <w:rFonts w:eastAsia="Times New Roman" w:cs="Arial"/>
          <w:b/>
          <w:bCs/>
          <w:kern w:val="0"/>
          <w14:ligatures w14:val="none"/>
        </w:rPr>
      </w:pPr>
      <w:r w:rsidRPr="00944076">
        <w:rPr>
          <w:rFonts w:eastAsia="Times New Roman" w:cs="Arial"/>
          <w:b/>
          <w:bCs/>
          <w:kern w:val="0"/>
          <w14:ligatures w14:val="none"/>
        </w:rPr>
        <w:lastRenderedPageBreak/>
        <w:t>Table 15.6: Percentage of adults (aged 16 years and over) reporting lifestyle behaviours by local authority and Wales, 2021 to 2023</w:t>
      </w:r>
    </w:p>
    <w:p w14:paraId="423D3095" w14:textId="77777777" w:rsidR="00944076" w:rsidRDefault="00944076" w:rsidP="009A3C7F">
      <w:pPr>
        <w:keepNext/>
        <w:rPr>
          <w:rFonts w:eastAsia="Times New Roman" w:cs="Arial"/>
          <w:b/>
          <w:kern w:val="0"/>
          <w14:ligatures w14:val="none"/>
        </w:rPr>
      </w:pPr>
    </w:p>
    <w:tbl>
      <w:tblPr>
        <w:tblStyle w:val="TableGrid6"/>
        <w:tblW w:w="9988" w:type="dxa"/>
        <w:tblInd w:w="-431" w:type="dxa"/>
        <w:tblLook w:val="04A0" w:firstRow="1" w:lastRow="0" w:firstColumn="1" w:lastColumn="0" w:noHBand="0" w:noVBand="1"/>
      </w:tblPr>
      <w:tblGrid>
        <w:gridCol w:w="1146"/>
        <w:gridCol w:w="1557"/>
        <w:gridCol w:w="1438"/>
        <w:gridCol w:w="1200"/>
        <w:gridCol w:w="1534"/>
        <w:gridCol w:w="961"/>
        <w:gridCol w:w="1202"/>
        <w:gridCol w:w="950"/>
      </w:tblGrid>
      <w:tr w:rsidR="00042E43" w:rsidRPr="00D0306F" w14:paraId="53F2086C" w14:textId="77777777" w:rsidTr="00426D39">
        <w:trPr>
          <w:trHeight w:val="1807"/>
        </w:trPr>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38A18BA1" w14:textId="77777777" w:rsidR="00042E43" w:rsidRPr="00037037" w:rsidRDefault="00042E43" w:rsidP="00426D39">
            <w:pPr>
              <w:keepNext/>
              <w:rPr>
                <w:rFonts w:eastAsia="Arial" w:cs="Arial"/>
                <w:b/>
                <w:bCs/>
                <w:sz w:val="24"/>
              </w:rPr>
            </w:pPr>
            <w:r w:rsidRPr="00037037">
              <w:rPr>
                <w:rFonts w:eastAsia="Arial" w:cs="Arial"/>
                <w:b/>
                <w:bCs/>
                <w:sz w:val="24"/>
              </w:rPr>
              <w:t>Area</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287683D2" w14:textId="77777777" w:rsidR="00042E43" w:rsidRPr="00037037" w:rsidRDefault="00042E43" w:rsidP="00426D39">
            <w:pPr>
              <w:keepNext/>
              <w:rPr>
                <w:rFonts w:eastAsia="Arial" w:cs="Arial"/>
                <w:b/>
                <w:bCs/>
                <w:sz w:val="24"/>
              </w:rPr>
            </w:pPr>
            <w:r w:rsidRPr="00037037">
              <w:rPr>
                <w:rFonts w:eastAsia="Arial" w:cs="Arial"/>
                <w:b/>
                <w:bCs/>
                <w:sz w:val="24"/>
              </w:rPr>
              <w:t>Population 16 years and over</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65ABCB14" w14:textId="77777777" w:rsidR="00042E43" w:rsidRPr="00037037" w:rsidRDefault="00042E43" w:rsidP="00426D39">
            <w:pPr>
              <w:keepNext/>
              <w:rPr>
                <w:rFonts w:eastAsia="Arial" w:cs="Arial"/>
                <w:b/>
                <w:bCs/>
                <w:sz w:val="24"/>
              </w:rPr>
            </w:pPr>
            <w:r w:rsidRPr="00037037">
              <w:rPr>
                <w:rFonts w:eastAsia="Arial" w:cs="Arial"/>
                <w:b/>
                <w:bCs/>
                <w:sz w:val="24"/>
              </w:rPr>
              <w:t>Smoking (including e-cigarettes)</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0A9ABC86" w14:textId="77777777" w:rsidR="00042E43" w:rsidRPr="00037037" w:rsidRDefault="00042E43" w:rsidP="00426D39">
            <w:pPr>
              <w:keepNext/>
              <w:rPr>
                <w:rFonts w:eastAsia="Arial" w:cs="Arial"/>
                <w:b/>
                <w:bCs/>
                <w:sz w:val="24"/>
              </w:rPr>
            </w:pPr>
            <w:r w:rsidRPr="00037037">
              <w:rPr>
                <w:rFonts w:eastAsia="Arial" w:cs="Arial"/>
                <w:b/>
                <w:bCs/>
                <w:sz w:val="24"/>
              </w:rPr>
              <w:t>Drinking more than 14 units per week</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6D3F16A0" w14:textId="77777777" w:rsidR="00042E43" w:rsidRPr="00037037" w:rsidRDefault="00042E43" w:rsidP="00426D39">
            <w:pPr>
              <w:keepNext/>
              <w:rPr>
                <w:rFonts w:eastAsia="Arial" w:cs="Arial"/>
                <w:b/>
                <w:bCs/>
                <w:sz w:val="24"/>
              </w:rPr>
            </w:pPr>
            <w:r w:rsidRPr="00037037">
              <w:rPr>
                <w:rFonts w:eastAsia="Arial" w:cs="Arial"/>
                <w:b/>
                <w:bCs/>
                <w:sz w:val="24"/>
              </w:rPr>
              <w:t>Overweight with a body mass index of 25+</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2853EFF0" w14:textId="77777777" w:rsidR="00042E43" w:rsidRPr="00037037" w:rsidRDefault="00042E43" w:rsidP="00426D39">
            <w:pPr>
              <w:keepNext/>
              <w:rPr>
                <w:rFonts w:eastAsia="Arial" w:cs="Arial"/>
                <w:b/>
                <w:bCs/>
                <w:sz w:val="24"/>
              </w:rPr>
            </w:pPr>
            <w:r w:rsidRPr="00037037">
              <w:rPr>
                <w:rFonts w:eastAsia="Arial" w:cs="Arial"/>
                <w:b/>
                <w:bCs/>
                <w:sz w:val="24"/>
              </w:rPr>
              <w:t>Obese with a body mass index of 30+</w:t>
            </w:r>
          </w:p>
        </w:tc>
        <w:tc>
          <w:tcPr>
            <w:tcW w:w="0" w:type="auto"/>
            <w:tcBorders>
              <w:top w:val="single" w:sz="4" w:space="0" w:color="auto"/>
              <w:left w:val="single" w:sz="4" w:space="0" w:color="auto"/>
              <w:bottom w:val="single" w:sz="4" w:space="0" w:color="auto"/>
              <w:right w:val="single" w:sz="4" w:space="0" w:color="auto"/>
            </w:tcBorders>
            <w:shd w:val="clear" w:color="auto" w:fill="153D63"/>
            <w:hideMark/>
          </w:tcPr>
          <w:p w14:paraId="37288EBF" w14:textId="77777777" w:rsidR="00042E43" w:rsidRPr="00037037" w:rsidRDefault="00042E43" w:rsidP="00426D39">
            <w:pPr>
              <w:keepNext/>
              <w:rPr>
                <w:rFonts w:eastAsia="Arial" w:cs="Arial"/>
                <w:b/>
                <w:bCs/>
                <w:sz w:val="24"/>
              </w:rPr>
            </w:pPr>
            <w:r w:rsidRPr="00037037">
              <w:rPr>
                <w:rFonts w:eastAsia="Arial" w:cs="Arial"/>
                <w:b/>
                <w:bCs/>
                <w:sz w:val="24"/>
              </w:rPr>
              <w:t>Physical activity for 150 minutes per week</w:t>
            </w:r>
          </w:p>
        </w:tc>
        <w:tc>
          <w:tcPr>
            <w:tcW w:w="950" w:type="dxa"/>
            <w:tcBorders>
              <w:top w:val="single" w:sz="4" w:space="0" w:color="auto"/>
              <w:left w:val="single" w:sz="4" w:space="0" w:color="auto"/>
              <w:bottom w:val="single" w:sz="4" w:space="0" w:color="auto"/>
              <w:right w:val="single" w:sz="4" w:space="0" w:color="auto"/>
            </w:tcBorders>
            <w:shd w:val="clear" w:color="auto" w:fill="153D63"/>
            <w:hideMark/>
          </w:tcPr>
          <w:p w14:paraId="29F916F2" w14:textId="77777777" w:rsidR="00042E43" w:rsidRPr="00037037" w:rsidRDefault="00042E43" w:rsidP="00426D39">
            <w:pPr>
              <w:keepNext/>
              <w:rPr>
                <w:rFonts w:eastAsia="Arial" w:cs="Arial"/>
                <w:b/>
                <w:bCs/>
                <w:sz w:val="24"/>
              </w:rPr>
            </w:pPr>
            <w:r w:rsidRPr="00037037">
              <w:rPr>
                <w:rFonts w:eastAsia="Arial" w:cs="Arial"/>
                <w:b/>
                <w:bCs/>
                <w:sz w:val="24"/>
              </w:rPr>
              <w:t>Eating five a day</w:t>
            </w:r>
          </w:p>
        </w:tc>
      </w:tr>
      <w:tr w:rsidR="00042E43" w:rsidRPr="00037037" w14:paraId="43576742" w14:textId="77777777" w:rsidTr="00426D39">
        <w:trPr>
          <w:trHeight w:val="316"/>
        </w:trPr>
        <w:tc>
          <w:tcPr>
            <w:tcW w:w="0" w:type="auto"/>
            <w:tcBorders>
              <w:top w:val="single" w:sz="4" w:space="0" w:color="auto"/>
              <w:left w:val="single" w:sz="4" w:space="0" w:color="auto"/>
              <w:bottom w:val="single" w:sz="4" w:space="0" w:color="auto"/>
              <w:right w:val="single" w:sz="4" w:space="0" w:color="auto"/>
            </w:tcBorders>
            <w:hideMark/>
          </w:tcPr>
          <w:p w14:paraId="0739EE28" w14:textId="77777777" w:rsidR="00042E43" w:rsidRPr="000114F0" w:rsidRDefault="00042E43" w:rsidP="00426D39">
            <w:pPr>
              <w:keepNext/>
              <w:rPr>
                <w:rFonts w:cs="Arial"/>
                <w:bCs/>
                <w:sz w:val="24"/>
              </w:rPr>
            </w:pPr>
            <w:r w:rsidRPr="000114F0">
              <w:rPr>
                <w:rFonts w:cs="Arial"/>
                <w:bCs/>
                <w:sz w:val="24"/>
              </w:rPr>
              <w:t>Neath Port Talbot local authority</w:t>
            </w:r>
          </w:p>
        </w:tc>
        <w:tc>
          <w:tcPr>
            <w:tcW w:w="0" w:type="auto"/>
            <w:tcBorders>
              <w:top w:val="single" w:sz="4" w:space="0" w:color="auto"/>
              <w:left w:val="single" w:sz="4" w:space="0" w:color="auto"/>
              <w:bottom w:val="single" w:sz="4" w:space="0" w:color="auto"/>
              <w:right w:val="single" w:sz="4" w:space="0" w:color="auto"/>
            </w:tcBorders>
            <w:hideMark/>
          </w:tcPr>
          <w:p w14:paraId="54721C9E" w14:textId="77777777" w:rsidR="00042E43" w:rsidRPr="000114F0" w:rsidRDefault="00042E43" w:rsidP="00426D39">
            <w:pPr>
              <w:keepNext/>
              <w:rPr>
                <w:rFonts w:eastAsia="Arial" w:cs="Arial"/>
                <w:sz w:val="24"/>
              </w:rPr>
            </w:pPr>
            <w:r w:rsidRPr="000114F0">
              <w:rPr>
                <w:rFonts w:cs="Arial"/>
                <w:bCs/>
                <w:sz w:val="24"/>
              </w:rPr>
              <w:t>118,891</w:t>
            </w:r>
            <w:r w:rsidRPr="000114F0">
              <w:rPr>
                <w:rFonts w:cs="Arial"/>
                <w:bCs/>
                <w:sz w:val="24"/>
                <w:vertAlign w:val="superscript"/>
              </w:rPr>
              <w:footnoteReference w:id="351"/>
            </w:r>
          </w:p>
        </w:tc>
        <w:tc>
          <w:tcPr>
            <w:tcW w:w="0" w:type="auto"/>
            <w:tcBorders>
              <w:top w:val="single" w:sz="4" w:space="0" w:color="auto"/>
              <w:left w:val="single" w:sz="4" w:space="0" w:color="auto"/>
              <w:bottom w:val="single" w:sz="4" w:space="0" w:color="auto"/>
              <w:right w:val="single" w:sz="4" w:space="0" w:color="auto"/>
            </w:tcBorders>
            <w:hideMark/>
          </w:tcPr>
          <w:p w14:paraId="38C0BA0F" w14:textId="77777777" w:rsidR="00042E43" w:rsidRPr="000114F0" w:rsidRDefault="00042E43" w:rsidP="00426D39">
            <w:pPr>
              <w:keepNext/>
              <w:rPr>
                <w:rFonts w:eastAsia="Arial" w:cs="Arial"/>
                <w:sz w:val="24"/>
              </w:rPr>
            </w:pPr>
            <w:r w:rsidRPr="000114F0">
              <w:rPr>
                <w:rFonts w:cs="Arial"/>
                <w:bCs/>
                <w:sz w:val="24"/>
              </w:rPr>
              <w:t>27%</w:t>
            </w:r>
          </w:p>
        </w:tc>
        <w:tc>
          <w:tcPr>
            <w:tcW w:w="0" w:type="auto"/>
            <w:tcBorders>
              <w:top w:val="single" w:sz="4" w:space="0" w:color="auto"/>
              <w:left w:val="single" w:sz="4" w:space="0" w:color="auto"/>
              <w:bottom w:val="single" w:sz="4" w:space="0" w:color="auto"/>
              <w:right w:val="single" w:sz="4" w:space="0" w:color="auto"/>
            </w:tcBorders>
            <w:hideMark/>
          </w:tcPr>
          <w:p w14:paraId="54AE9110" w14:textId="77777777" w:rsidR="00042E43" w:rsidRPr="000114F0" w:rsidRDefault="00042E43" w:rsidP="00426D39">
            <w:pPr>
              <w:keepNext/>
              <w:rPr>
                <w:rFonts w:eastAsia="Arial" w:cs="Arial"/>
                <w:sz w:val="24"/>
              </w:rPr>
            </w:pPr>
            <w:r w:rsidRPr="000114F0">
              <w:rPr>
                <w:rFonts w:cs="Arial"/>
                <w:bCs/>
                <w:sz w:val="24"/>
              </w:rPr>
              <w:t>12%</w:t>
            </w:r>
          </w:p>
        </w:tc>
        <w:tc>
          <w:tcPr>
            <w:tcW w:w="0" w:type="auto"/>
            <w:tcBorders>
              <w:top w:val="single" w:sz="4" w:space="0" w:color="auto"/>
              <w:left w:val="single" w:sz="4" w:space="0" w:color="auto"/>
              <w:bottom w:val="single" w:sz="4" w:space="0" w:color="auto"/>
              <w:right w:val="single" w:sz="4" w:space="0" w:color="auto"/>
            </w:tcBorders>
            <w:hideMark/>
          </w:tcPr>
          <w:p w14:paraId="47FFF4D2" w14:textId="77777777" w:rsidR="00042E43" w:rsidRPr="000114F0" w:rsidRDefault="00042E43" w:rsidP="00426D39">
            <w:pPr>
              <w:keepNext/>
              <w:rPr>
                <w:rFonts w:eastAsia="Arial" w:cs="Arial"/>
                <w:sz w:val="24"/>
              </w:rPr>
            </w:pPr>
            <w:r w:rsidRPr="000114F0">
              <w:rPr>
                <w:rFonts w:cs="Arial"/>
                <w:bCs/>
                <w:sz w:val="24"/>
              </w:rPr>
              <w:t>66%</w:t>
            </w:r>
          </w:p>
        </w:tc>
        <w:tc>
          <w:tcPr>
            <w:tcW w:w="0" w:type="auto"/>
            <w:tcBorders>
              <w:top w:val="single" w:sz="4" w:space="0" w:color="auto"/>
              <w:left w:val="single" w:sz="4" w:space="0" w:color="auto"/>
              <w:bottom w:val="single" w:sz="4" w:space="0" w:color="auto"/>
              <w:right w:val="single" w:sz="4" w:space="0" w:color="auto"/>
            </w:tcBorders>
            <w:hideMark/>
          </w:tcPr>
          <w:p w14:paraId="415FE63E" w14:textId="77777777" w:rsidR="00042E43" w:rsidRPr="000114F0" w:rsidRDefault="00042E43" w:rsidP="00426D39">
            <w:pPr>
              <w:keepNext/>
              <w:rPr>
                <w:rFonts w:eastAsia="Arial" w:cs="Arial"/>
                <w:sz w:val="24"/>
              </w:rPr>
            </w:pPr>
            <w:r w:rsidRPr="000114F0">
              <w:rPr>
                <w:rFonts w:cs="Arial"/>
                <w:bCs/>
                <w:sz w:val="24"/>
              </w:rPr>
              <w:t>29%</w:t>
            </w:r>
          </w:p>
        </w:tc>
        <w:tc>
          <w:tcPr>
            <w:tcW w:w="0" w:type="auto"/>
            <w:tcBorders>
              <w:top w:val="single" w:sz="4" w:space="0" w:color="auto"/>
              <w:left w:val="single" w:sz="4" w:space="0" w:color="auto"/>
              <w:bottom w:val="single" w:sz="4" w:space="0" w:color="auto"/>
              <w:right w:val="single" w:sz="4" w:space="0" w:color="auto"/>
            </w:tcBorders>
            <w:hideMark/>
          </w:tcPr>
          <w:p w14:paraId="1710BD14" w14:textId="77777777" w:rsidR="00042E43" w:rsidRPr="000114F0" w:rsidRDefault="00042E43" w:rsidP="00426D39">
            <w:pPr>
              <w:keepNext/>
              <w:rPr>
                <w:rFonts w:eastAsia="Arial" w:cs="Arial"/>
                <w:sz w:val="24"/>
              </w:rPr>
            </w:pPr>
            <w:r w:rsidRPr="000114F0">
              <w:rPr>
                <w:rFonts w:cs="Arial"/>
                <w:bCs/>
                <w:sz w:val="24"/>
              </w:rPr>
              <w:t>53%</w:t>
            </w:r>
          </w:p>
        </w:tc>
        <w:tc>
          <w:tcPr>
            <w:tcW w:w="950" w:type="dxa"/>
            <w:tcBorders>
              <w:top w:val="single" w:sz="4" w:space="0" w:color="auto"/>
              <w:left w:val="single" w:sz="4" w:space="0" w:color="auto"/>
              <w:bottom w:val="single" w:sz="4" w:space="0" w:color="auto"/>
              <w:right w:val="single" w:sz="4" w:space="0" w:color="auto"/>
            </w:tcBorders>
            <w:hideMark/>
          </w:tcPr>
          <w:p w14:paraId="783278F6" w14:textId="77777777" w:rsidR="00042E43" w:rsidRPr="000114F0" w:rsidRDefault="00042E43" w:rsidP="00426D39">
            <w:pPr>
              <w:keepNext/>
              <w:rPr>
                <w:rFonts w:eastAsia="Arial" w:cs="Arial"/>
                <w:sz w:val="24"/>
              </w:rPr>
            </w:pPr>
            <w:r w:rsidRPr="000114F0">
              <w:rPr>
                <w:rFonts w:cs="Arial"/>
                <w:bCs/>
                <w:sz w:val="24"/>
              </w:rPr>
              <w:t>22%</w:t>
            </w:r>
          </w:p>
        </w:tc>
      </w:tr>
      <w:tr w:rsidR="00042E43" w:rsidRPr="00037037" w14:paraId="7969DE29" w14:textId="77777777" w:rsidTr="00426D39">
        <w:trPr>
          <w:trHeight w:val="328"/>
        </w:trPr>
        <w:tc>
          <w:tcPr>
            <w:tcW w:w="0" w:type="auto"/>
            <w:tcBorders>
              <w:top w:val="single" w:sz="4" w:space="0" w:color="auto"/>
              <w:left w:val="single" w:sz="4" w:space="0" w:color="auto"/>
              <w:bottom w:val="single" w:sz="4" w:space="0" w:color="auto"/>
              <w:right w:val="single" w:sz="4" w:space="0" w:color="auto"/>
            </w:tcBorders>
            <w:hideMark/>
          </w:tcPr>
          <w:p w14:paraId="0B212C6A" w14:textId="77777777" w:rsidR="00042E43" w:rsidRPr="000114F0" w:rsidRDefault="00042E43" w:rsidP="00426D39">
            <w:pPr>
              <w:keepNext/>
              <w:rPr>
                <w:rFonts w:eastAsia="Arial" w:cs="Arial"/>
                <w:sz w:val="24"/>
              </w:rPr>
            </w:pPr>
            <w:r w:rsidRPr="000114F0">
              <w:rPr>
                <w:rFonts w:cs="Arial"/>
                <w:bCs/>
                <w:sz w:val="24"/>
              </w:rPr>
              <w:t>Wales</w:t>
            </w:r>
          </w:p>
        </w:tc>
        <w:tc>
          <w:tcPr>
            <w:tcW w:w="0" w:type="auto"/>
            <w:tcBorders>
              <w:top w:val="single" w:sz="4" w:space="0" w:color="auto"/>
              <w:left w:val="single" w:sz="4" w:space="0" w:color="auto"/>
              <w:bottom w:val="single" w:sz="4" w:space="0" w:color="auto"/>
              <w:right w:val="single" w:sz="4" w:space="0" w:color="auto"/>
            </w:tcBorders>
            <w:hideMark/>
          </w:tcPr>
          <w:p w14:paraId="12B1A565" w14:textId="77777777" w:rsidR="00042E43" w:rsidRPr="000114F0" w:rsidRDefault="00042E43" w:rsidP="00426D39">
            <w:pPr>
              <w:keepNext/>
              <w:rPr>
                <w:rFonts w:eastAsia="Arial" w:cs="Arial"/>
                <w:sz w:val="24"/>
              </w:rPr>
            </w:pPr>
            <w:r w:rsidRPr="000114F0">
              <w:rPr>
                <w:rFonts w:cs="Arial"/>
                <w:bCs/>
                <w:sz w:val="24"/>
              </w:rPr>
              <w:t>2,641,000</w:t>
            </w:r>
            <w:r w:rsidRPr="000114F0">
              <w:rPr>
                <w:rFonts w:cs="Arial"/>
                <w:bCs/>
                <w:sz w:val="24"/>
                <w:vertAlign w:val="superscript"/>
              </w:rPr>
              <w:footnoteReference w:id="352"/>
            </w:r>
          </w:p>
        </w:tc>
        <w:tc>
          <w:tcPr>
            <w:tcW w:w="0" w:type="auto"/>
            <w:tcBorders>
              <w:top w:val="single" w:sz="4" w:space="0" w:color="auto"/>
              <w:left w:val="single" w:sz="4" w:space="0" w:color="auto"/>
              <w:bottom w:val="single" w:sz="4" w:space="0" w:color="auto"/>
              <w:right w:val="single" w:sz="4" w:space="0" w:color="auto"/>
            </w:tcBorders>
            <w:hideMark/>
          </w:tcPr>
          <w:p w14:paraId="4422C0B9" w14:textId="77777777" w:rsidR="00042E43" w:rsidRPr="000114F0" w:rsidRDefault="00042E43" w:rsidP="00426D39">
            <w:pPr>
              <w:keepNext/>
              <w:rPr>
                <w:rFonts w:eastAsia="Arial" w:cs="Arial"/>
                <w:sz w:val="24"/>
              </w:rPr>
            </w:pPr>
            <w:r w:rsidRPr="000114F0">
              <w:rPr>
                <w:rFonts w:cs="Arial"/>
                <w:bCs/>
                <w:sz w:val="24"/>
              </w:rPr>
              <w:t>20%</w:t>
            </w:r>
          </w:p>
        </w:tc>
        <w:tc>
          <w:tcPr>
            <w:tcW w:w="0" w:type="auto"/>
            <w:tcBorders>
              <w:top w:val="single" w:sz="4" w:space="0" w:color="auto"/>
              <w:left w:val="single" w:sz="4" w:space="0" w:color="auto"/>
              <w:bottom w:val="single" w:sz="4" w:space="0" w:color="auto"/>
              <w:right w:val="single" w:sz="4" w:space="0" w:color="auto"/>
            </w:tcBorders>
            <w:hideMark/>
          </w:tcPr>
          <w:p w14:paraId="0448596B" w14:textId="77777777" w:rsidR="00042E43" w:rsidRPr="000114F0" w:rsidRDefault="00042E43" w:rsidP="00426D39">
            <w:pPr>
              <w:keepNext/>
              <w:rPr>
                <w:rFonts w:eastAsia="Arial" w:cs="Arial"/>
                <w:sz w:val="24"/>
              </w:rPr>
            </w:pPr>
            <w:r w:rsidRPr="000114F0">
              <w:rPr>
                <w:rFonts w:cs="Arial"/>
                <w:bCs/>
                <w:sz w:val="24"/>
              </w:rPr>
              <w:t>16%</w:t>
            </w:r>
          </w:p>
        </w:tc>
        <w:tc>
          <w:tcPr>
            <w:tcW w:w="0" w:type="auto"/>
            <w:tcBorders>
              <w:top w:val="single" w:sz="4" w:space="0" w:color="auto"/>
              <w:left w:val="single" w:sz="4" w:space="0" w:color="auto"/>
              <w:bottom w:val="single" w:sz="4" w:space="0" w:color="auto"/>
              <w:right w:val="single" w:sz="4" w:space="0" w:color="auto"/>
            </w:tcBorders>
            <w:hideMark/>
          </w:tcPr>
          <w:p w14:paraId="669B1A09" w14:textId="77777777" w:rsidR="00042E43" w:rsidRPr="000114F0" w:rsidRDefault="00042E43" w:rsidP="00426D39">
            <w:pPr>
              <w:keepNext/>
              <w:rPr>
                <w:rFonts w:eastAsia="Arial" w:cs="Arial"/>
                <w:sz w:val="24"/>
              </w:rPr>
            </w:pPr>
            <w:r w:rsidRPr="000114F0">
              <w:rPr>
                <w:rFonts w:cs="Arial"/>
                <w:bCs/>
                <w:sz w:val="24"/>
              </w:rPr>
              <w:t>62%</w:t>
            </w:r>
          </w:p>
        </w:tc>
        <w:tc>
          <w:tcPr>
            <w:tcW w:w="0" w:type="auto"/>
            <w:tcBorders>
              <w:top w:val="single" w:sz="4" w:space="0" w:color="auto"/>
              <w:left w:val="single" w:sz="4" w:space="0" w:color="auto"/>
              <w:bottom w:val="single" w:sz="4" w:space="0" w:color="auto"/>
              <w:right w:val="single" w:sz="4" w:space="0" w:color="auto"/>
            </w:tcBorders>
            <w:hideMark/>
          </w:tcPr>
          <w:p w14:paraId="6742C600" w14:textId="77777777" w:rsidR="00042E43" w:rsidRPr="000114F0" w:rsidRDefault="00042E43" w:rsidP="00426D39">
            <w:pPr>
              <w:keepNext/>
              <w:rPr>
                <w:rFonts w:eastAsia="Arial" w:cs="Arial"/>
                <w:sz w:val="24"/>
              </w:rPr>
            </w:pPr>
            <w:r w:rsidRPr="000114F0">
              <w:rPr>
                <w:rFonts w:cs="Arial"/>
                <w:bCs/>
                <w:sz w:val="24"/>
              </w:rPr>
              <w:t>25%</w:t>
            </w:r>
          </w:p>
        </w:tc>
        <w:tc>
          <w:tcPr>
            <w:tcW w:w="0" w:type="auto"/>
            <w:tcBorders>
              <w:top w:val="single" w:sz="4" w:space="0" w:color="auto"/>
              <w:left w:val="single" w:sz="4" w:space="0" w:color="auto"/>
              <w:bottom w:val="single" w:sz="4" w:space="0" w:color="auto"/>
              <w:right w:val="single" w:sz="4" w:space="0" w:color="auto"/>
            </w:tcBorders>
            <w:hideMark/>
          </w:tcPr>
          <w:p w14:paraId="07B2DC13" w14:textId="77777777" w:rsidR="00042E43" w:rsidRPr="000114F0" w:rsidRDefault="00042E43" w:rsidP="00426D39">
            <w:pPr>
              <w:keepNext/>
              <w:rPr>
                <w:rFonts w:eastAsia="Arial" w:cs="Arial"/>
                <w:sz w:val="24"/>
              </w:rPr>
            </w:pPr>
            <w:r w:rsidRPr="000114F0">
              <w:rPr>
                <w:rFonts w:cs="Arial"/>
                <w:bCs/>
                <w:sz w:val="24"/>
              </w:rPr>
              <w:t>56%</w:t>
            </w:r>
          </w:p>
        </w:tc>
        <w:tc>
          <w:tcPr>
            <w:tcW w:w="950" w:type="dxa"/>
            <w:tcBorders>
              <w:top w:val="single" w:sz="4" w:space="0" w:color="auto"/>
              <w:left w:val="single" w:sz="4" w:space="0" w:color="auto"/>
              <w:bottom w:val="single" w:sz="4" w:space="0" w:color="auto"/>
              <w:right w:val="single" w:sz="4" w:space="0" w:color="auto"/>
            </w:tcBorders>
          </w:tcPr>
          <w:p w14:paraId="73B171DB" w14:textId="77777777" w:rsidR="00042E43" w:rsidRPr="000114F0" w:rsidRDefault="00042E43" w:rsidP="00426D39">
            <w:pPr>
              <w:keepNext/>
              <w:rPr>
                <w:rFonts w:eastAsia="Arial" w:cs="Arial"/>
                <w:sz w:val="24"/>
              </w:rPr>
            </w:pPr>
            <w:r w:rsidRPr="000114F0">
              <w:rPr>
                <w:rFonts w:cs="Arial"/>
                <w:bCs/>
                <w:sz w:val="24"/>
              </w:rPr>
              <w:t>29%</w:t>
            </w:r>
          </w:p>
        </w:tc>
      </w:tr>
    </w:tbl>
    <w:p w14:paraId="772F1FE0" w14:textId="77777777" w:rsidR="00042E43" w:rsidRDefault="00042E43" w:rsidP="009A3C7F">
      <w:pPr>
        <w:keepNext/>
        <w:rPr>
          <w:rFonts w:eastAsia="Times New Roman" w:cs="Arial"/>
          <w:b/>
          <w:kern w:val="0"/>
          <w14:ligatures w14:val="none"/>
        </w:rPr>
      </w:pPr>
    </w:p>
    <w:p w14:paraId="65B0C57D" w14:textId="77777777" w:rsidR="00944076" w:rsidRPr="00944076" w:rsidRDefault="00944076" w:rsidP="009A3C7F">
      <w:pPr>
        <w:contextualSpacing/>
        <w:rPr>
          <w:rFonts w:eastAsia="Aptos" w:cs="Arial"/>
        </w:rPr>
      </w:pPr>
      <w:r w:rsidRPr="00944076">
        <w:rPr>
          <w:rFonts w:eastAsia="Aptos" w:cs="Arial"/>
        </w:rPr>
        <w:t>Overall, Neath Port Talbot shows lower levels of excessive drinking than the Wales average (0.4% lower), but continues to face challenges with smoking, weight management, physical activity and consuming fruit and vegetable (eating five fruit and vegetables) daily compared with Wales averages.</w:t>
      </w:r>
    </w:p>
    <w:p w14:paraId="49953BE7" w14:textId="77777777" w:rsidR="00944076" w:rsidRPr="00944076" w:rsidRDefault="00944076" w:rsidP="009A3C7F">
      <w:pPr>
        <w:rPr>
          <w:rFonts w:eastAsia="Aptos" w:cs="Arial"/>
        </w:rPr>
      </w:pPr>
    </w:p>
    <w:p w14:paraId="7D27F18B" w14:textId="77777777" w:rsidR="00944076" w:rsidRPr="00944076" w:rsidRDefault="00944076" w:rsidP="009A3C7F">
      <w:pPr>
        <w:rPr>
          <w:rFonts w:eastAsia="Aptos" w:cs="Arial"/>
          <w:b/>
          <w:bCs/>
          <w:sz w:val="26"/>
          <w:szCs w:val="26"/>
        </w:rPr>
      </w:pPr>
      <w:r w:rsidRPr="00944076">
        <w:rPr>
          <w:rFonts w:eastAsia="Aptos" w:cs="Arial"/>
          <w:b/>
          <w:bCs/>
          <w:sz w:val="26"/>
          <w:szCs w:val="26"/>
        </w:rPr>
        <w:t>15.3 Current provision of pharmaceutical services within the locality</w:t>
      </w:r>
    </w:p>
    <w:p w14:paraId="006A5F88" w14:textId="77777777" w:rsidR="00944076" w:rsidRPr="00944076" w:rsidRDefault="00944076" w:rsidP="009A3C7F">
      <w:pPr>
        <w:rPr>
          <w:rFonts w:eastAsia="Aptos" w:cs="Arial"/>
        </w:rPr>
      </w:pPr>
    </w:p>
    <w:p w14:paraId="0BDF859A" w14:textId="77777777" w:rsidR="00944076" w:rsidRPr="00944076" w:rsidRDefault="00944076" w:rsidP="009A3C7F">
      <w:pPr>
        <w:rPr>
          <w:rFonts w:eastAsia="Aptos" w:cs="Arial"/>
        </w:rPr>
      </w:pPr>
      <w:r w:rsidRPr="00944076">
        <w:rPr>
          <w:rFonts w:eastAsia="Aptos" w:cs="Arial"/>
        </w:rPr>
        <w:t xml:space="preserve">There are ten pharmacies in the locality operated by eight different contractors. </w:t>
      </w:r>
    </w:p>
    <w:p w14:paraId="19152A55" w14:textId="77777777" w:rsidR="00944076" w:rsidRPr="00944076" w:rsidRDefault="00944076" w:rsidP="009A3C7F">
      <w:pPr>
        <w:rPr>
          <w:rFonts w:eastAsia="Aptos" w:cs="Arial"/>
        </w:rPr>
      </w:pPr>
    </w:p>
    <w:p w14:paraId="5C05C57F" w14:textId="77777777" w:rsidR="00944076" w:rsidRPr="00944076" w:rsidRDefault="00944076" w:rsidP="009A3C7F">
      <w:pPr>
        <w:rPr>
          <w:rFonts w:eastAsia="Aptos" w:cs="Arial"/>
        </w:rPr>
      </w:pPr>
      <w:r w:rsidRPr="00944076">
        <w:rPr>
          <w:rFonts w:eastAsia="Aptos" w:cs="Arial"/>
        </w:rPr>
        <w:t>The availability of pharmacy services within the locality per 10,000 registered population is 3.1, which is significantly higher than the health board average of 2.3. The locality has the highest availability per population of pharmacy services within Swansea and Neath Port Talbot. However, this could be linked to Upper Valleys being the least populated locality within Swansea and Neath Port Talbot.</w:t>
      </w:r>
    </w:p>
    <w:p w14:paraId="64768DB0" w14:textId="77777777" w:rsidR="00944076" w:rsidRPr="00944076" w:rsidRDefault="00944076" w:rsidP="009A3C7F">
      <w:pPr>
        <w:rPr>
          <w:rFonts w:eastAsia="Aptos" w:cs="Arial"/>
        </w:rPr>
      </w:pPr>
    </w:p>
    <w:p w14:paraId="3326745A" w14:textId="77777777" w:rsidR="00944076" w:rsidRPr="00944076" w:rsidRDefault="00944076" w:rsidP="009A3C7F">
      <w:pPr>
        <w:rPr>
          <w:rFonts w:eastAsia="Times New Roman" w:cs="Arial"/>
          <w:kern w:val="0"/>
          <w:lang w:eastAsia="en-GB"/>
          <w14:ligatures w14:val="none"/>
        </w:rPr>
      </w:pPr>
      <w:r w:rsidRPr="00944076">
        <w:rPr>
          <w:rFonts w:eastAsia="Times New Roman" w:cs="Arial"/>
          <w:bCs/>
          <w:kern w:val="0"/>
          <w:lang w:val="en-US" w:eastAsia="en-GB"/>
          <w14:ligatures w14:val="none"/>
        </w:rPr>
        <w:t>In 2024/25, 89.0% of prescriptions written by the GP practices in the locality were dispensed by one of the pharmacies within the locality and 1.0% were personally administered by GP practices.</w:t>
      </w:r>
      <w:r w:rsidRPr="00944076">
        <w:rPr>
          <w:rFonts w:eastAsia="Times New Roman" w:cs="Arial"/>
          <w:kern w:val="0"/>
          <w:lang w:eastAsia="en-GB"/>
          <w14:ligatures w14:val="none"/>
        </w:rPr>
        <w:t xml:space="preserve"> 93.3% of prescriptions were dispensed by pharmacies within the health board.</w:t>
      </w:r>
    </w:p>
    <w:p w14:paraId="654A6B3F" w14:textId="77777777" w:rsidR="00944076" w:rsidRPr="00944076" w:rsidRDefault="00944076" w:rsidP="009A3C7F">
      <w:pPr>
        <w:rPr>
          <w:rFonts w:eastAsia="Times New Roman" w:cs="Arial"/>
          <w:bCs/>
          <w:kern w:val="0"/>
          <w:lang w:val="en-US" w:eastAsia="en-GB"/>
          <w14:ligatures w14:val="none"/>
        </w:rPr>
      </w:pPr>
    </w:p>
    <w:p w14:paraId="730145D2" w14:textId="77777777" w:rsidR="00944076" w:rsidRPr="00944076" w:rsidRDefault="00944076" w:rsidP="009A3C7F">
      <w:pPr>
        <w:rPr>
          <w:rFonts w:eastAsia="Times New Roman" w:cs="Arial"/>
          <w:kern w:val="0"/>
          <w:lang w:eastAsia="en-GB"/>
          <w14:ligatures w14:val="none"/>
        </w:rPr>
      </w:pPr>
      <w:r w:rsidRPr="00944076">
        <w:rPr>
          <w:rFonts w:eastAsia="Times New Roman" w:cs="Arial"/>
          <w:bCs/>
          <w:kern w:val="0"/>
          <w:lang w:val="en-US" w:eastAsia="en-GB"/>
          <w14:ligatures w14:val="none"/>
        </w:rPr>
        <w:t xml:space="preserve">In 2025/26, 82.2% of prescriptions written by the GP practices in the locality were dispensed by one of the pharmacies within the locality and 0.4% were personally administered by GP practices. 85.3% </w:t>
      </w:r>
      <w:r w:rsidRPr="00944076">
        <w:rPr>
          <w:rFonts w:eastAsia="Times New Roman" w:cs="Arial"/>
          <w:kern w:val="0"/>
          <w:lang w:eastAsia="en-GB"/>
          <w14:ligatures w14:val="none"/>
        </w:rPr>
        <w:t>of prescriptions were dispensed by pharmacies within the health board.</w:t>
      </w:r>
    </w:p>
    <w:p w14:paraId="12E085BF" w14:textId="77777777" w:rsidR="00944076" w:rsidRPr="00944076" w:rsidRDefault="00944076" w:rsidP="009A3C7F">
      <w:pPr>
        <w:rPr>
          <w:rFonts w:eastAsia="Aptos" w:cs="Arial"/>
        </w:rPr>
      </w:pPr>
    </w:p>
    <w:p w14:paraId="4A77BEFC" w14:textId="77777777" w:rsidR="00944076" w:rsidRPr="00944076" w:rsidRDefault="00944076" w:rsidP="009A3C7F">
      <w:pPr>
        <w:rPr>
          <w:rFonts w:eastAsia="Aptos" w:cs="Arial"/>
        </w:rPr>
      </w:pPr>
      <w:r w:rsidRPr="00944076">
        <w:rPr>
          <w:rFonts w:eastAsia="Aptos" w:cs="Arial"/>
        </w:rPr>
        <w:t>The map below shows the pharmaceutical provision within the area. It should be noted that where premises are close to each other, the symbols will overlap</w:t>
      </w:r>
    </w:p>
    <w:p w14:paraId="6EE6B823" w14:textId="77777777" w:rsidR="00944076" w:rsidRDefault="00944076" w:rsidP="009A3C7F">
      <w:pPr>
        <w:rPr>
          <w:rFonts w:eastAsia="Times New Roman" w:cs="Arial"/>
          <w:bCs/>
          <w:kern w:val="0"/>
          <w:lang w:val="en-US" w:eastAsia="en-GB"/>
          <w14:ligatures w14:val="none"/>
        </w:rPr>
      </w:pPr>
    </w:p>
    <w:p w14:paraId="4A2F2756" w14:textId="77777777" w:rsidR="00910AD7" w:rsidRPr="00944076" w:rsidRDefault="00910AD7" w:rsidP="009A3C7F">
      <w:pPr>
        <w:rPr>
          <w:rFonts w:eastAsia="Times New Roman" w:cs="Arial"/>
          <w:bCs/>
          <w:kern w:val="0"/>
          <w:lang w:val="en-US" w:eastAsia="en-GB"/>
          <w14:ligatures w14:val="none"/>
        </w:rPr>
      </w:pPr>
    </w:p>
    <w:p w14:paraId="24331AD1" w14:textId="77777777" w:rsidR="00944076" w:rsidRPr="00944076" w:rsidRDefault="00944076" w:rsidP="009A3C7F">
      <w:pPr>
        <w:rPr>
          <w:rFonts w:eastAsia="Aptos" w:cs="Arial"/>
          <w:b/>
          <w:bCs/>
        </w:rPr>
      </w:pPr>
      <w:r w:rsidRPr="00944076">
        <w:rPr>
          <w:rFonts w:eastAsia="Aptos" w:cs="Arial"/>
          <w:b/>
          <w:bCs/>
        </w:rPr>
        <w:lastRenderedPageBreak/>
        <w:t>Map 15.1: Location of the pharmacy premises within the locality</w:t>
      </w:r>
    </w:p>
    <w:p w14:paraId="57988064" w14:textId="77777777" w:rsidR="00944076" w:rsidRPr="00944076" w:rsidRDefault="00944076" w:rsidP="009A3C7F">
      <w:pPr>
        <w:rPr>
          <w:rFonts w:eastAsia="Aptos" w:cs="Arial"/>
        </w:rPr>
      </w:pPr>
    </w:p>
    <w:p w14:paraId="768BFA9F" w14:textId="056DCDE6" w:rsidR="00944076" w:rsidRDefault="00C42203" w:rsidP="009A3C7F">
      <w:pPr>
        <w:rPr>
          <w:rFonts w:eastAsia="Aptos" w:cs="Arial"/>
        </w:rPr>
      </w:pPr>
      <w:r w:rsidRPr="00C42203">
        <w:rPr>
          <w:rFonts w:eastAsia="Aptos" w:cs="Arial"/>
        </w:rPr>
        <w:drawing>
          <wp:inline distT="0" distB="0" distL="0" distR="0" wp14:anchorId="6080B018" wp14:editId="0C24CFCA">
            <wp:extent cx="5731510" cy="3418840"/>
            <wp:effectExtent l="0" t="0" r="2540" b="0"/>
            <wp:docPr id="2046204799" name="Picture 1" descr="A map with a location p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6204799" name="Picture 1" descr="A map with a location pin&#10;&#10;Description automatically generated"/>
                    <pic:cNvPicPr/>
                  </pic:nvPicPr>
                  <pic:blipFill>
                    <a:blip r:embed="rId63"/>
                    <a:stretch>
                      <a:fillRect/>
                    </a:stretch>
                  </pic:blipFill>
                  <pic:spPr>
                    <a:xfrm>
                      <a:off x="0" y="0"/>
                      <a:ext cx="5731510" cy="3418840"/>
                    </a:xfrm>
                    <a:prstGeom prst="rect">
                      <a:avLst/>
                    </a:prstGeom>
                  </pic:spPr>
                </pic:pic>
              </a:graphicData>
            </a:graphic>
          </wp:inline>
        </w:drawing>
      </w:r>
    </w:p>
    <w:p w14:paraId="58CBCE0F" w14:textId="77777777" w:rsidR="00A14CF8" w:rsidRPr="00944076" w:rsidRDefault="00A14CF8" w:rsidP="009A3C7F">
      <w:pPr>
        <w:rPr>
          <w:rFonts w:eastAsia="Aptos" w:cs="Arial"/>
        </w:rPr>
      </w:pPr>
    </w:p>
    <w:p w14:paraId="731AA0F1" w14:textId="77777777" w:rsidR="00944076" w:rsidRPr="00944076" w:rsidRDefault="00944076" w:rsidP="009A3C7F">
      <w:pPr>
        <w:rPr>
          <w:rFonts w:eastAsia="Aptos" w:cs="Arial"/>
        </w:rPr>
      </w:pPr>
      <w:r w:rsidRPr="00944076">
        <w:rPr>
          <w:rFonts w:eastAsia="Aptos" w:cs="Arial"/>
        </w:rPr>
        <w:t>The health board has noted the pharmaceutical needs assessment published on 1 October 2021 concluded that the pharmacies in this locality were mainly located in areas of greater population density. In addition, all residents were able to access a pharmacy within 20 minutes by car. Those areas that were not within a 20-minute drive of a pharmacy did not have a resident population. Noting the locations of the pharmacies have not changed, the health board is satisfied this conclusion remains valid; residents are still able to access a pharmacy by car within 20 minutes.</w:t>
      </w:r>
    </w:p>
    <w:p w14:paraId="5F9D2F11" w14:textId="77777777" w:rsidR="00944076" w:rsidRPr="00944076" w:rsidRDefault="00944076" w:rsidP="009A3C7F">
      <w:pPr>
        <w:rPr>
          <w:rFonts w:eastAsia="Times New Roman" w:cs="Arial"/>
          <w:kern w:val="0"/>
          <w:lang w:eastAsia="en-GB"/>
          <w14:ligatures w14:val="none"/>
        </w:rPr>
      </w:pPr>
    </w:p>
    <w:p w14:paraId="2C238036" w14:textId="77777777" w:rsidR="00944076" w:rsidRPr="00944076" w:rsidRDefault="00944076" w:rsidP="009A3C7F">
      <w:pPr>
        <w:rPr>
          <w:rFonts w:eastAsia="Aptos" w:cs="Arial"/>
        </w:rPr>
      </w:pPr>
      <w:r w:rsidRPr="00944076">
        <w:rPr>
          <w:rFonts w:eastAsia="Aptos" w:cs="Arial"/>
        </w:rPr>
        <w:t>Looking at the opening hours for the pharmacies:</w:t>
      </w:r>
    </w:p>
    <w:p w14:paraId="68FA53B5" w14:textId="77777777" w:rsidR="00944076" w:rsidRPr="00944076" w:rsidRDefault="00944076" w:rsidP="009A3C7F">
      <w:pPr>
        <w:rPr>
          <w:rFonts w:eastAsia="Aptos" w:cs="Arial"/>
        </w:rPr>
      </w:pPr>
    </w:p>
    <w:p w14:paraId="666A3A84" w14:textId="77777777" w:rsidR="00944076" w:rsidRPr="00944076" w:rsidRDefault="00944076" w:rsidP="00B76905">
      <w:pPr>
        <w:numPr>
          <w:ilvl w:val="0"/>
          <w:numId w:val="200"/>
        </w:numPr>
        <w:contextualSpacing/>
        <w:rPr>
          <w:rFonts w:eastAsia="Aptos" w:cs="Arial"/>
        </w:rPr>
      </w:pPr>
      <w:r w:rsidRPr="00944076">
        <w:rPr>
          <w:rFonts w:eastAsia="Aptos" w:cs="Arial"/>
        </w:rPr>
        <w:t>Eight pharmacies are open Monday to Friday and Saturday morning, and one is commissioned to open on Sundays, and</w:t>
      </w:r>
    </w:p>
    <w:p w14:paraId="1453CC26" w14:textId="77777777" w:rsidR="00944076" w:rsidRPr="00944076" w:rsidRDefault="00944076" w:rsidP="00B76905">
      <w:pPr>
        <w:numPr>
          <w:ilvl w:val="0"/>
          <w:numId w:val="200"/>
        </w:numPr>
        <w:contextualSpacing/>
        <w:rPr>
          <w:rFonts w:eastAsia="Aptos" w:cs="Arial"/>
        </w:rPr>
      </w:pPr>
      <w:r w:rsidRPr="00944076">
        <w:rPr>
          <w:rFonts w:eastAsia="Aptos" w:cs="Arial"/>
        </w:rPr>
        <w:t>Two pharmacies are open Monday to Friday only</w:t>
      </w:r>
    </w:p>
    <w:p w14:paraId="6DCB7A62" w14:textId="77777777" w:rsidR="00944076" w:rsidRPr="00944076" w:rsidRDefault="00944076" w:rsidP="009A3C7F">
      <w:pPr>
        <w:rPr>
          <w:rFonts w:eastAsia="Times New Roman" w:cs="Arial"/>
          <w:kern w:val="0"/>
          <w:lang w:eastAsia="en-GB"/>
          <w14:ligatures w14:val="none"/>
        </w:rPr>
      </w:pPr>
    </w:p>
    <w:p w14:paraId="322304BA" w14:textId="77777777" w:rsidR="00944076" w:rsidRPr="00944076" w:rsidRDefault="00944076" w:rsidP="009A3C7F">
      <w:pPr>
        <w:rPr>
          <w:rFonts w:eastAsia="Aptos" w:cs="Arial"/>
        </w:rPr>
      </w:pPr>
      <w:r w:rsidRPr="00944076">
        <w:rPr>
          <w:rFonts w:eastAsia="Times New Roman" w:cs="Arial"/>
          <w:kern w:val="0"/>
          <w:lang w:eastAsia="en-GB"/>
          <w14:ligatures w14:val="none"/>
        </w:rPr>
        <w:t xml:space="preserve">Within the locality when looking at the total pharmacy opening hours, the range of opening and closing hours are shown in the table below. </w:t>
      </w:r>
      <w:r w:rsidRPr="00944076">
        <w:rPr>
          <w:rFonts w:eastAsia="Aptos" w:cs="Arial"/>
        </w:rPr>
        <w:t>For the purposes of the pharmaceutical needs assessment normal working hours have been defined as Monday to Friday 9.00am to 5.30pm.</w:t>
      </w:r>
    </w:p>
    <w:p w14:paraId="0479289E" w14:textId="77777777" w:rsidR="00944076" w:rsidRPr="00944076" w:rsidRDefault="00944076" w:rsidP="009A3C7F">
      <w:pPr>
        <w:rPr>
          <w:rFonts w:eastAsia="Aptos" w:cs="Arial"/>
        </w:rPr>
      </w:pPr>
    </w:p>
    <w:p w14:paraId="3717EF18"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 xml:space="preserve">Table 15.7: Pharmacy opening and closing hours </w:t>
      </w:r>
    </w:p>
    <w:p w14:paraId="2C3C4050" w14:textId="77777777" w:rsidR="00944076" w:rsidRPr="00944076" w:rsidRDefault="00944076" w:rsidP="009A3C7F">
      <w:pPr>
        <w:rPr>
          <w:rFonts w:eastAsia="Times New Roman" w:cs="Arial"/>
          <w:kern w:val="0"/>
          <w:lang w:eastAsia="en-GB"/>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3463"/>
        <w:gridCol w:w="3006"/>
      </w:tblGrid>
      <w:tr w:rsidR="009A3C7F" w:rsidRPr="00D0306F" w14:paraId="0EEABD9E" w14:textId="77777777" w:rsidTr="00944076">
        <w:tc>
          <w:tcPr>
            <w:tcW w:w="2547" w:type="dxa"/>
            <w:tcBorders>
              <w:top w:val="single" w:sz="4" w:space="0" w:color="auto"/>
              <w:left w:val="single" w:sz="4" w:space="0" w:color="auto"/>
              <w:bottom w:val="single" w:sz="4" w:space="0" w:color="auto"/>
              <w:right w:val="single" w:sz="4" w:space="0" w:color="auto"/>
            </w:tcBorders>
            <w:shd w:val="clear" w:color="auto" w:fill="153D63"/>
            <w:hideMark/>
          </w:tcPr>
          <w:p w14:paraId="1E7C19AD"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Days</w:t>
            </w:r>
          </w:p>
        </w:tc>
        <w:tc>
          <w:tcPr>
            <w:tcW w:w="3463" w:type="dxa"/>
            <w:tcBorders>
              <w:top w:val="single" w:sz="4" w:space="0" w:color="auto"/>
              <w:left w:val="single" w:sz="4" w:space="0" w:color="auto"/>
              <w:bottom w:val="single" w:sz="4" w:space="0" w:color="auto"/>
              <w:right w:val="single" w:sz="4" w:space="0" w:color="auto"/>
            </w:tcBorders>
            <w:shd w:val="clear" w:color="auto" w:fill="153D63"/>
            <w:hideMark/>
          </w:tcPr>
          <w:p w14:paraId="19F1C8CF"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 xml:space="preserve">Opening hours </w:t>
            </w:r>
          </w:p>
        </w:tc>
        <w:tc>
          <w:tcPr>
            <w:tcW w:w="3006" w:type="dxa"/>
            <w:tcBorders>
              <w:top w:val="single" w:sz="4" w:space="0" w:color="auto"/>
              <w:left w:val="single" w:sz="4" w:space="0" w:color="auto"/>
              <w:bottom w:val="single" w:sz="4" w:space="0" w:color="auto"/>
              <w:right w:val="single" w:sz="4" w:space="0" w:color="auto"/>
            </w:tcBorders>
            <w:shd w:val="clear" w:color="auto" w:fill="153D63"/>
            <w:hideMark/>
          </w:tcPr>
          <w:p w14:paraId="6BB16132"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 xml:space="preserve">Closing hours </w:t>
            </w:r>
          </w:p>
        </w:tc>
      </w:tr>
      <w:tr w:rsidR="00944076" w:rsidRPr="00944076" w14:paraId="743FA5B6" w14:textId="77777777" w:rsidTr="00944076">
        <w:tc>
          <w:tcPr>
            <w:tcW w:w="2547" w:type="dxa"/>
            <w:tcBorders>
              <w:top w:val="single" w:sz="4" w:space="0" w:color="auto"/>
              <w:left w:val="single" w:sz="4" w:space="0" w:color="auto"/>
              <w:bottom w:val="single" w:sz="4" w:space="0" w:color="auto"/>
              <w:right w:val="single" w:sz="4" w:space="0" w:color="auto"/>
            </w:tcBorders>
            <w:hideMark/>
          </w:tcPr>
          <w:p w14:paraId="5E791304"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Monday, Wednesday, Thursday and Friday</w:t>
            </w:r>
          </w:p>
        </w:tc>
        <w:tc>
          <w:tcPr>
            <w:tcW w:w="3463" w:type="dxa"/>
            <w:tcBorders>
              <w:top w:val="single" w:sz="4" w:space="0" w:color="auto"/>
              <w:left w:val="single" w:sz="4" w:space="0" w:color="auto"/>
              <w:bottom w:val="single" w:sz="4" w:space="0" w:color="auto"/>
              <w:right w:val="single" w:sz="4" w:space="0" w:color="auto"/>
            </w:tcBorders>
            <w:hideMark/>
          </w:tcPr>
          <w:p w14:paraId="65DB5844"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9.00am</w:t>
            </w:r>
          </w:p>
        </w:tc>
        <w:tc>
          <w:tcPr>
            <w:tcW w:w="3006" w:type="dxa"/>
            <w:tcBorders>
              <w:top w:val="single" w:sz="4" w:space="0" w:color="auto"/>
              <w:left w:val="single" w:sz="4" w:space="0" w:color="auto"/>
              <w:bottom w:val="single" w:sz="4" w:space="0" w:color="auto"/>
              <w:right w:val="single" w:sz="4" w:space="0" w:color="auto"/>
            </w:tcBorders>
            <w:hideMark/>
          </w:tcPr>
          <w:p w14:paraId="2AD62469"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5.00pm to 6.00pm</w:t>
            </w:r>
          </w:p>
        </w:tc>
      </w:tr>
      <w:tr w:rsidR="00944076" w:rsidRPr="00944076" w14:paraId="77A8EF49" w14:textId="77777777" w:rsidTr="00944076">
        <w:tc>
          <w:tcPr>
            <w:tcW w:w="2547" w:type="dxa"/>
            <w:tcBorders>
              <w:top w:val="single" w:sz="4" w:space="0" w:color="auto"/>
              <w:left w:val="single" w:sz="4" w:space="0" w:color="auto"/>
              <w:bottom w:val="single" w:sz="4" w:space="0" w:color="auto"/>
              <w:right w:val="single" w:sz="4" w:space="0" w:color="auto"/>
            </w:tcBorders>
            <w:hideMark/>
          </w:tcPr>
          <w:p w14:paraId="48C52197"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Tuesday</w:t>
            </w:r>
          </w:p>
        </w:tc>
        <w:tc>
          <w:tcPr>
            <w:tcW w:w="3463" w:type="dxa"/>
            <w:tcBorders>
              <w:top w:val="single" w:sz="4" w:space="0" w:color="auto"/>
              <w:left w:val="single" w:sz="4" w:space="0" w:color="auto"/>
              <w:bottom w:val="single" w:sz="4" w:space="0" w:color="auto"/>
              <w:right w:val="single" w:sz="4" w:space="0" w:color="auto"/>
            </w:tcBorders>
            <w:hideMark/>
          </w:tcPr>
          <w:p w14:paraId="4DA67C0A"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9.00am</w:t>
            </w:r>
          </w:p>
        </w:tc>
        <w:tc>
          <w:tcPr>
            <w:tcW w:w="3006" w:type="dxa"/>
            <w:tcBorders>
              <w:top w:val="single" w:sz="4" w:space="0" w:color="auto"/>
              <w:left w:val="single" w:sz="4" w:space="0" w:color="auto"/>
              <w:bottom w:val="single" w:sz="4" w:space="0" w:color="auto"/>
              <w:right w:val="single" w:sz="4" w:space="0" w:color="auto"/>
            </w:tcBorders>
            <w:hideMark/>
          </w:tcPr>
          <w:p w14:paraId="06F171D7"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1.00pm to 6.00pm</w:t>
            </w:r>
          </w:p>
        </w:tc>
      </w:tr>
      <w:tr w:rsidR="00944076" w:rsidRPr="00944076" w14:paraId="490FB585" w14:textId="77777777" w:rsidTr="00944076">
        <w:tc>
          <w:tcPr>
            <w:tcW w:w="2547" w:type="dxa"/>
            <w:tcBorders>
              <w:top w:val="single" w:sz="4" w:space="0" w:color="auto"/>
              <w:left w:val="single" w:sz="4" w:space="0" w:color="auto"/>
              <w:bottom w:val="single" w:sz="4" w:space="0" w:color="auto"/>
              <w:right w:val="single" w:sz="4" w:space="0" w:color="auto"/>
            </w:tcBorders>
            <w:hideMark/>
          </w:tcPr>
          <w:p w14:paraId="26F0CDD7"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Saturday</w:t>
            </w:r>
          </w:p>
        </w:tc>
        <w:tc>
          <w:tcPr>
            <w:tcW w:w="3463" w:type="dxa"/>
            <w:tcBorders>
              <w:top w:val="single" w:sz="4" w:space="0" w:color="auto"/>
              <w:left w:val="single" w:sz="4" w:space="0" w:color="auto"/>
              <w:bottom w:val="single" w:sz="4" w:space="0" w:color="auto"/>
              <w:right w:val="single" w:sz="4" w:space="0" w:color="auto"/>
            </w:tcBorders>
            <w:hideMark/>
          </w:tcPr>
          <w:p w14:paraId="7F157091"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8.30am to 9.00am</w:t>
            </w:r>
          </w:p>
        </w:tc>
        <w:tc>
          <w:tcPr>
            <w:tcW w:w="3006" w:type="dxa"/>
            <w:tcBorders>
              <w:top w:val="single" w:sz="4" w:space="0" w:color="auto"/>
              <w:left w:val="single" w:sz="4" w:space="0" w:color="auto"/>
              <w:bottom w:val="single" w:sz="4" w:space="0" w:color="auto"/>
              <w:right w:val="single" w:sz="4" w:space="0" w:color="auto"/>
            </w:tcBorders>
            <w:hideMark/>
          </w:tcPr>
          <w:p w14:paraId="748C651B"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11.00am to 1.00pm</w:t>
            </w:r>
          </w:p>
        </w:tc>
      </w:tr>
    </w:tbl>
    <w:p w14:paraId="7AB37AC4" w14:textId="77777777" w:rsidR="00944076" w:rsidRPr="00944076" w:rsidRDefault="00944076" w:rsidP="009A3C7F">
      <w:pPr>
        <w:rPr>
          <w:rFonts w:eastAsia="Times New Roman" w:cs="Arial"/>
          <w:kern w:val="0"/>
          <w:lang w:eastAsia="en-GB"/>
          <w14:ligatures w14:val="none"/>
        </w:rPr>
      </w:pPr>
    </w:p>
    <w:p w14:paraId="5279AE08" w14:textId="77777777" w:rsidR="00944076" w:rsidRPr="00944076" w:rsidRDefault="00944076" w:rsidP="00B76905">
      <w:pPr>
        <w:numPr>
          <w:ilvl w:val="0"/>
          <w:numId w:val="201"/>
        </w:numPr>
        <w:contextualSpacing/>
        <w:rPr>
          <w:rFonts w:eastAsia="Times New Roman" w:cs="Arial"/>
          <w:kern w:val="0"/>
          <w:lang w:eastAsia="en-GB"/>
          <w14:ligatures w14:val="none"/>
        </w:rPr>
      </w:pPr>
      <w:r w:rsidRPr="00944076">
        <w:rPr>
          <w:rFonts w:eastAsia="Times New Roman" w:cs="Arial"/>
          <w:kern w:val="0"/>
          <w:lang w:eastAsia="en-GB"/>
          <w14:ligatures w14:val="none"/>
        </w:rPr>
        <w:lastRenderedPageBreak/>
        <w:t>Two pharmacies close at 1.00pm on a Tuesday (half day closure)</w:t>
      </w:r>
    </w:p>
    <w:p w14:paraId="21165A6D" w14:textId="77777777" w:rsidR="00944076" w:rsidRPr="00944076" w:rsidRDefault="00944076" w:rsidP="00B76905">
      <w:pPr>
        <w:numPr>
          <w:ilvl w:val="0"/>
          <w:numId w:val="201"/>
        </w:numPr>
        <w:contextualSpacing/>
        <w:rPr>
          <w:rFonts w:eastAsia="Times New Roman" w:cs="Arial"/>
          <w:kern w:val="0"/>
          <w:lang w:eastAsia="en-GB"/>
          <w14:ligatures w14:val="none"/>
        </w:rPr>
      </w:pPr>
      <w:r w:rsidRPr="00944076">
        <w:rPr>
          <w:rFonts w:eastAsia="Times New Roman" w:cs="Arial"/>
          <w:kern w:val="0"/>
          <w:lang w:eastAsia="en-GB"/>
          <w14:ligatures w14:val="none"/>
        </w:rPr>
        <w:t>One pharmacy closes at 5.00pm on a Wednesday</w:t>
      </w:r>
    </w:p>
    <w:p w14:paraId="7197C230" w14:textId="77777777" w:rsidR="00944076" w:rsidRPr="00944076" w:rsidRDefault="00944076" w:rsidP="00B76905">
      <w:pPr>
        <w:numPr>
          <w:ilvl w:val="0"/>
          <w:numId w:val="201"/>
        </w:numPr>
        <w:contextualSpacing/>
        <w:rPr>
          <w:rFonts w:eastAsia="Times New Roman" w:cs="Arial"/>
          <w:kern w:val="0"/>
          <w:lang w:eastAsia="en-GB"/>
          <w14:ligatures w14:val="none"/>
        </w:rPr>
      </w:pPr>
      <w:r w:rsidRPr="00944076">
        <w:rPr>
          <w:rFonts w:eastAsia="Times New Roman" w:cs="Arial"/>
          <w:kern w:val="0"/>
          <w:lang w:eastAsia="en-GB"/>
          <w14:ligatures w14:val="none"/>
        </w:rPr>
        <w:t>One pharmacy opens at 8.30am on Saturday</w:t>
      </w:r>
    </w:p>
    <w:p w14:paraId="6601AD49" w14:textId="77777777" w:rsidR="00944076" w:rsidRPr="00944076" w:rsidRDefault="00944076" w:rsidP="00B76905">
      <w:pPr>
        <w:numPr>
          <w:ilvl w:val="0"/>
          <w:numId w:val="201"/>
        </w:numPr>
        <w:contextualSpacing/>
        <w:rPr>
          <w:rFonts w:eastAsia="Times New Roman" w:cs="Arial"/>
          <w:kern w:val="0"/>
          <w:lang w:eastAsia="en-GB"/>
          <w14:ligatures w14:val="none"/>
        </w:rPr>
      </w:pPr>
      <w:r w:rsidRPr="00944076">
        <w:rPr>
          <w:rFonts w:eastAsia="Times New Roman" w:cs="Arial"/>
          <w:kern w:val="0"/>
          <w:lang w:eastAsia="en-GB"/>
          <w14:ligatures w14:val="none"/>
        </w:rPr>
        <w:t>Eight pharmacies open on a Saturday:</w:t>
      </w:r>
    </w:p>
    <w:p w14:paraId="6961C17A" w14:textId="77777777" w:rsidR="00944076" w:rsidRPr="00944076" w:rsidRDefault="00944076" w:rsidP="00B76905">
      <w:pPr>
        <w:numPr>
          <w:ilvl w:val="1"/>
          <w:numId w:val="201"/>
        </w:numPr>
        <w:contextualSpacing/>
        <w:rPr>
          <w:rFonts w:eastAsia="Times New Roman" w:cs="Arial"/>
          <w:kern w:val="0"/>
          <w:lang w:eastAsia="en-GB"/>
          <w14:ligatures w14:val="none"/>
        </w:rPr>
      </w:pPr>
      <w:r w:rsidRPr="00944076">
        <w:rPr>
          <w:rFonts w:eastAsia="Times New Roman" w:cs="Arial"/>
          <w:kern w:val="0"/>
          <w:lang w:eastAsia="en-GB"/>
          <w14:ligatures w14:val="none"/>
        </w:rPr>
        <w:t>One pharmacy closes at 11.00am</w:t>
      </w:r>
    </w:p>
    <w:p w14:paraId="66485E1A" w14:textId="77777777" w:rsidR="00944076" w:rsidRPr="00944076" w:rsidRDefault="00944076" w:rsidP="00B76905">
      <w:pPr>
        <w:numPr>
          <w:ilvl w:val="1"/>
          <w:numId w:val="201"/>
        </w:numPr>
        <w:contextualSpacing/>
        <w:rPr>
          <w:rFonts w:eastAsia="Times New Roman" w:cs="Arial"/>
          <w:kern w:val="0"/>
          <w:lang w:eastAsia="en-GB"/>
          <w14:ligatures w14:val="none"/>
        </w:rPr>
      </w:pPr>
      <w:r w:rsidRPr="00944076">
        <w:rPr>
          <w:rFonts w:eastAsia="Times New Roman" w:cs="Arial"/>
          <w:kern w:val="0"/>
          <w:lang w:eastAsia="en-GB"/>
          <w14:ligatures w14:val="none"/>
        </w:rPr>
        <w:t>Two pharmacies close at 11.30am</w:t>
      </w:r>
    </w:p>
    <w:p w14:paraId="014F0429" w14:textId="77777777" w:rsidR="00944076" w:rsidRPr="00944076" w:rsidRDefault="00944076" w:rsidP="00B76905">
      <w:pPr>
        <w:numPr>
          <w:ilvl w:val="1"/>
          <w:numId w:val="201"/>
        </w:numPr>
        <w:contextualSpacing/>
        <w:rPr>
          <w:rFonts w:eastAsia="Times New Roman" w:cs="Arial"/>
          <w:kern w:val="0"/>
          <w:lang w:eastAsia="en-GB"/>
          <w14:ligatures w14:val="none"/>
        </w:rPr>
      </w:pPr>
      <w:r w:rsidRPr="00944076">
        <w:rPr>
          <w:rFonts w:eastAsia="Times New Roman" w:cs="Arial"/>
          <w:kern w:val="0"/>
          <w:lang w:eastAsia="en-GB"/>
          <w14:ligatures w14:val="none"/>
        </w:rPr>
        <w:t>Four pharmacies close at 12.00pm</w:t>
      </w:r>
    </w:p>
    <w:p w14:paraId="4F5F3DE9" w14:textId="77777777" w:rsidR="00944076" w:rsidRPr="00944076" w:rsidRDefault="00944076" w:rsidP="00B76905">
      <w:pPr>
        <w:numPr>
          <w:ilvl w:val="1"/>
          <w:numId w:val="201"/>
        </w:numPr>
        <w:contextualSpacing/>
        <w:rPr>
          <w:rFonts w:eastAsia="Times New Roman" w:cs="Arial"/>
          <w:kern w:val="0"/>
          <w:lang w:eastAsia="en-GB"/>
          <w14:ligatures w14:val="none"/>
        </w:rPr>
      </w:pPr>
      <w:r w:rsidRPr="00944076">
        <w:rPr>
          <w:rFonts w:eastAsia="Times New Roman" w:cs="Arial"/>
          <w:kern w:val="0"/>
          <w:lang w:eastAsia="en-GB"/>
          <w14:ligatures w14:val="none"/>
        </w:rPr>
        <w:t xml:space="preserve">One pharmacy closes at 1.00pm </w:t>
      </w:r>
    </w:p>
    <w:p w14:paraId="13D6E326" w14:textId="77777777" w:rsidR="00944076" w:rsidRPr="00944076" w:rsidRDefault="00944076" w:rsidP="009A3C7F">
      <w:pPr>
        <w:ind w:left="720"/>
        <w:contextualSpacing/>
        <w:rPr>
          <w:rFonts w:eastAsia="Times New Roman" w:cs="Arial"/>
          <w:kern w:val="0"/>
          <w:lang w:eastAsia="en-GB"/>
          <w14:ligatures w14:val="none"/>
        </w:rPr>
      </w:pPr>
    </w:p>
    <w:p w14:paraId="35D4DD08"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 xml:space="preserve">Some pharmacies across the health board’s area are commissioned to open at certain times of the day, on top of their usual core and supplementary opening hours. For this locality one pharmacy (location: Glynneath) is commissioned to be open on a Sunday between 3.00pm and 5.00pm. </w:t>
      </w:r>
    </w:p>
    <w:p w14:paraId="42304689" w14:textId="77777777" w:rsidR="00944076" w:rsidRPr="00944076" w:rsidRDefault="00944076" w:rsidP="009A3C7F">
      <w:pPr>
        <w:rPr>
          <w:rFonts w:eastAsia="Aptos" w:cs="Arial"/>
        </w:rPr>
      </w:pPr>
    </w:p>
    <w:p w14:paraId="510ECC50" w14:textId="77777777" w:rsidR="00944076" w:rsidRPr="00944076" w:rsidRDefault="00944076" w:rsidP="009A3C7F">
      <w:pPr>
        <w:rPr>
          <w:rFonts w:eastAsia="Aptos" w:cs="Arial"/>
        </w:rPr>
      </w:pPr>
      <w:r w:rsidRPr="00944076">
        <w:rPr>
          <w:rFonts w:eastAsia="Aptos" w:cs="Arial"/>
        </w:rPr>
        <w:t>Full details of pharmacy opening times can be found in Appendix L.</w:t>
      </w:r>
    </w:p>
    <w:p w14:paraId="3FC0EB09" w14:textId="77777777" w:rsidR="00944076" w:rsidRPr="00944076" w:rsidRDefault="00944076" w:rsidP="009A3C7F">
      <w:pPr>
        <w:contextualSpacing/>
        <w:rPr>
          <w:rFonts w:eastAsia="Times New Roman" w:cs="Arial"/>
          <w:kern w:val="0"/>
          <w:lang w:eastAsia="en-GB"/>
          <w14:ligatures w14:val="none"/>
        </w:rPr>
      </w:pPr>
    </w:p>
    <w:p w14:paraId="6705872B" w14:textId="77777777" w:rsidR="00944076" w:rsidRPr="00944076" w:rsidRDefault="00944076" w:rsidP="009A3C7F">
      <w:pPr>
        <w:contextualSpacing/>
        <w:rPr>
          <w:rFonts w:eastAsia="Times New Roman" w:cs="Arial"/>
          <w:kern w:val="0"/>
          <w:lang w:eastAsia="en-GB"/>
          <w14:ligatures w14:val="none"/>
        </w:rPr>
      </w:pPr>
      <w:r w:rsidRPr="00944076">
        <w:rPr>
          <w:rFonts w:eastAsia="Times New Roman" w:cs="Arial"/>
          <w:kern w:val="0"/>
          <w:lang w:eastAsia="en-GB"/>
          <w14:ligatures w14:val="none"/>
        </w:rPr>
        <w:t>The following information was taken from responses to the contractor questionnaire to which eight pharmacies responded.</w:t>
      </w:r>
    </w:p>
    <w:p w14:paraId="5A1F60B9" w14:textId="77777777" w:rsidR="00944076" w:rsidRPr="00944076" w:rsidRDefault="00944076" w:rsidP="009A3C7F">
      <w:pPr>
        <w:contextualSpacing/>
        <w:rPr>
          <w:rFonts w:eastAsia="Times New Roman" w:cs="Arial"/>
          <w:kern w:val="0"/>
          <w:lang w:eastAsia="en-GB"/>
          <w14:ligatures w14:val="none"/>
        </w:rPr>
      </w:pPr>
    </w:p>
    <w:p w14:paraId="00CE8CD3" w14:textId="77777777" w:rsidR="00944076" w:rsidRPr="00944076" w:rsidRDefault="00944076" w:rsidP="009A3C7F">
      <w:pPr>
        <w:textAlignment w:val="baseline"/>
        <w:rPr>
          <w:rFonts w:eastAsia="Times New Roman" w:cs="Arial"/>
          <w:kern w:val="0"/>
          <w:lang w:eastAsia="en-GB"/>
          <w14:ligatures w14:val="none"/>
        </w:rPr>
      </w:pPr>
      <w:r w:rsidRPr="00944076">
        <w:rPr>
          <w:rFonts w:eastAsia="Times New Roman" w:cs="Arial"/>
          <w:kern w:val="0"/>
          <w:lang w:eastAsia="en-GB"/>
          <w14:ligatures w14:val="none"/>
        </w:rPr>
        <w:t>All eight pharmacies are accessible by wheelchair and seven have a consultation area that is accessible by wheelchair. The eight consultation areas are: </w:t>
      </w:r>
    </w:p>
    <w:p w14:paraId="0EFD388C" w14:textId="77777777" w:rsidR="00944076" w:rsidRPr="00944076" w:rsidRDefault="00944076" w:rsidP="009A3C7F">
      <w:pPr>
        <w:textAlignment w:val="baseline"/>
        <w:rPr>
          <w:rFonts w:eastAsia="Times New Roman" w:cs="Arial"/>
          <w:kern w:val="0"/>
          <w:lang w:eastAsia="en-GB"/>
          <w14:ligatures w14:val="none"/>
        </w:rPr>
      </w:pPr>
      <w:r w:rsidRPr="00944076">
        <w:rPr>
          <w:rFonts w:eastAsia="Times New Roman" w:cs="Arial"/>
          <w:kern w:val="0"/>
          <w:lang w:eastAsia="en-GB"/>
          <w14:ligatures w14:val="none"/>
        </w:rPr>
        <w:t> </w:t>
      </w:r>
    </w:p>
    <w:p w14:paraId="236F07B0" w14:textId="77777777" w:rsidR="00944076" w:rsidRPr="00944076" w:rsidRDefault="00944076" w:rsidP="00B76905">
      <w:pPr>
        <w:numPr>
          <w:ilvl w:val="0"/>
          <w:numId w:val="146"/>
        </w:numPr>
        <w:textAlignment w:val="baseline"/>
        <w:rPr>
          <w:rFonts w:eastAsia="Times New Roman" w:cs="Arial"/>
          <w:kern w:val="0"/>
          <w:lang w:eastAsia="en-GB"/>
          <w14:ligatures w14:val="none"/>
        </w:rPr>
      </w:pPr>
      <w:r w:rsidRPr="00944076">
        <w:rPr>
          <w:rFonts w:eastAsia="Times New Roman" w:cs="Arial"/>
          <w:kern w:val="0"/>
          <w:lang w:eastAsia="en-GB"/>
          <w14:ligatures w14:val="none"/>
        </w:rPr>
        <w:t>closed rooms, </w:t>
      </w:r>
    </w:p>
    <w:p w14:paraId="7586AC16" w14:textId="77777777" w:rsidR="00944076" w:rsidRPr="00944076" w:rsidRDefault="00944076" w:rsidP="00B76905">
      <w:pPr>
        <w:numPr>
          <w:ilvl w:val="0"/>
          <w:numId w:val="146"/>
        </w:numPr>
        <w:textAlignment w:val="baseline"/>
        <w:rPr>
          <w:rFonts w:eastAsia="Times New Roman" w:cs="Arial"/>
          <w:kern w:val="0"/>
          <w:lang w:eastAsia="en-GB"/>
          <w14:ligatures w14:val="none"/>
        </w:rPr>
      </w:pPr>
      <w:r w:rsidRPr="00944076">
        <w:rPr>
          <w:rFonts w:eastAsia="Times New Roman" w:cs="Arial"/>
          <w:kern w:val="0"/>
          <w:lang w:eastAsia="en-GB"/>
          <w14:ligatures w14:val="none"/>
        </w:rPr>
        <w:t xml:space="preserve">a designated area where the patient and pharmacist can sit down together and talk at normal volumes without being overheard, and </w:t>
      </w:r>
    </w:p>
    <w:p w14:paraId="4A84B294" w14:textId="77777777" w:rsidR="00944076" w:rsidRPr="00944076" w:rsidRDefault="00944076" w:rsidP="00B76905">
      <w:pPr>
        <w:numPr>
          <w:ilvl w:val="0"/>
          <w:numId w:val="146"/>
        </w:numPr>
        <w:textAlignment w:val="baseline"/>
        <w:rPr>
          <w:rFonts w:eastAsia="Times New Roman" w:cs="Arial"/>
          <w:kern w:val="0"/>
          <w:lang w:eastAsia="en-GB"/>
          <w14:ligatures w14:val="none"/>
        </w:rPr>
      </w:pPr>
      <w:r w:rsidRPr="00944076">
        <w:rPr>
          <w:rFonts w:eastAsia="Times New Roman" w:cs="Arial"/>
          <w:kern w:val="0"/>
          <w:lang w:eastAsia="en-GB"/>
          <w14:ligatures w14:val="none"/>
        </w:rPr>
        <w:t>clearly designated as an area for confidential consultations distinct from the general public areas of the pharmacy. </w:t>
      </w:r>
    </w:p>
    <w:p w14:paraId="5FC3AD42" w14:textId="77777777" w:rsidR="00944076" w:rsidRPr="00944076" w:rsidRDefault="00944076" w:rsidP="009A3C7F">
      <w:pPr>
        <w:textAlignment w:val="baseline"/>
        <w:rPr>
          <w:rFonts w:eastAsia="Times New Roman" w:cs="Arial"/>
          <w:kern w:val="0"/>
          <w:lang w:eastAsia="en-GB"/>
          <w14:ligatures w14:val="none"/>
        </w:rPr>
      </w:pPr>
    </w:p>
    <w:p w14:paraId="70DAA07B" w14:textId="77777777" w:rsidR="00944076" w:rsidRPr="00944076" w:rsidRDefault="00944076" w:rsidP="009A3C7F">
      <w:pPr>
        <w:textAlignment w:val="baseline"/>
        <w:rPr>
          <w:rFonts w:eastAsia="Times New Roman" w:cs="Arial"/>
          <w:kern w:val="0"/>
          <w:lang w:eastAsia="en-GB"/>
          <w14:ligatures w14:val="none"/>
        </w:rPr>
      </w:pPr>
      <w:r w:rsidRPr="00944076">
        <w:rPr>
          <w:rFonts w:eastAsia="Times New Roman" w:cs="Arial"/>
          <w:kern w:val="0"/>
          <w:lang w:eastAsia="en-GB"/>
          <w14:ligatures w14:val="none"/>
        </w:rPr>
        <w:t>Seven pharmacies confirmed they have Welsh speakers in their staff. No other languages are spoken, other than English.</w:t>
      </w:r>
    </w:p>
    <w:p w14:paraId="0E4B70EB" w14:textId="77777777" w:rsidR="00944076" w:rsidRPr="00944076" w:rsidRDefault="00944076" w:rsidP="009A3C7F">
      <w:pPr>
        <w:textAlignment w:val="baseline"/>
        <w:rPr>
          <w:rFonts w:eastAsia="Times New Roman" w:cs="Arial"/>
          <w:kern w:val="0"/>
          <w:lang w:eastAsia="en-GB"/>
          <w14:ligatures w14:val="none"/>
        </w:rPr>
      </w:pPr>
    </w:p>
    <w:p w14:paraId="7F379FF0" w14:textId="77777777" w:rsidR="00944076" w:rsidRPr="00944076" w:rsidRDefault="00944076" w:rsidP="009A3C7F">
      <w:pPr>
        <w:textAlignment w:val="baseline"/>
        <w:rPr>
          <w:rFonts w:eastAsia="Times New Roman" w:cs="Arial"/>
          <w:kern w:val="0"/>
          <w:lang w:eastAsia="en-GB"/>
          <w14:ligatures w14:val="none"/>
        </w:rPr>
      </w:pPr>
      <w:r w:rsidRPr="00944076">
        <w:rPr>
          <w:rFonts w:eastAsia="Times New Roman" w:cs="Arial"/>
          <w:kern w:val="0"/>
          <w:lang w:eastAsia="en-GB"/>
          <w14:ligatures w14:val="none"/>
        </w:rPr>
        <w:t>The eight pharmacies confirmed they dispense prescriptions for all types of appliances.</w:t>
      </w:r>
    </w:p>
    <w:p w14:paraId="13FFBFB6" w14:textId="77777777" w:rsidR="00944076" w:rsidRPr="00944076" w:rsidRDefault="00944076" w:rsidP="009A3C7F">
      <w:pPr>
        <w:textAlignment w:val="baseline"/>
        <w:rPr>
          <w:rFonts w:eastAsia="Times New Roman" w:cs="Arial"/>
          <w:kern w:val="0"/>
          <w:lang w:eastAsia="en-GB"/>
          <w14:ligatures w14:val="none"/>
        </w:rPr>
      </w:pPr>
      <w:r w:rsidRPr="00944076">
        <w:rPr>
          <w:rFonts w:eastAsia="Times New Roman" w:cs="Arial"/>
          <w:kern w:val="0"/>
          <w:lang w:eastAsia="en-GB"/>
          <w14:ligatures w14:val="none"/>
        </w:rPr>
        <w:t xml:space="preserve"> </w:t>
      </w:r>
    </w:p>
    <w:p w14:paraId="556A76F7" w14:textId="77777777" w:rsidR="00944076" w:rsidRPr="00944076" w:rsidRDefault="00944076" w:rsidP="009A3C7F">
      <w:pPr>
        <w:textAlignment w:val="baseline"/>
        <w:rPr>
          <w:rFonts w:eastAsia="Times New Roman" w:cs="Arial"/>
          <w:kern w:val="0"/>
          <w:lang w:eastAsia="en-GB"/>
          <w14:ligatures w14:val="none"/>
        </w:rPr>
      </w:pPr>
      <w:r w:rsidRPr="00944076">
        <w:rPr>
          <w:rFonts w:eastAsia="Times New Roman" w:cs="Arial"/>
          <w:kern w:val="0"/>
          <w:lang w:eastAsia="en-GB"/>
          <w14:ligatures w14:val="none"/>
        </w:rPr>
        <w:t>Although non-commissioned services:</w:t>
      </w:r>
    </w:p>
    <w:p w14:paraId="7062D75E" w14:textId="77777777" w:rsidR="00944076" w:rsidRPr="00944076" w:rsidRDefault="00944076" w:rsidP="009A3C7F">
      <w:pPr>
        <w:textAlignment w:val="baseline"/>
        <w:rPr>
          <w:rFonts w:eastAsia="Times New Roman" w:cs="Arial"/>
          <w:kern w:val="0"/>
          <w:lang w:eastAsia="en-GB"/>
          <w14:ligatures w14:val="none"/>
        </w:rPr>
      </w:pPr>
    </w:p>
    <w:p w14:paraId="1AED11BC" w14:textId="77777777" w:rsidR="00944076" w:rsidRPr="00944076" w:rsidRDefault="00944076" w:rsidP="00B76905">
      <w:pPr>
        <w:numPr>
          <w:ilvl w:val="0"/>
          <w:numId w:val="147"/>
        </w:numPr>
        <w:textAlignment w:val="baseline"/>
        <w:rPr>
          <w:rFonts w:eastAsia="Times New Roman" w:cs="Arial"/>
          <w:kern w:val="0"/>
          <w:lang w:eastAsia="en-GB"/>
          <w14:ligatures w14:val="none"/>
        </w:rPr>
      </w:pPr>
      <w:r w:rsidRPr="00944076">
        <w:rPr>
          <w:rFonts w:eastAsia="Times New Roman" w:cs="Arial"/>
          <w:kern w:val="0"/>
          <w:lang w:eastAsia="en-GB"/>
          <w14:ligatures w14:val="none"/>
        </w:rPr>
        <w:t>the eight pharmacies collect prescriptions from GP practices,</w:t>
      </w:r>
    </w:p>
    <w:p w14:paraId="13CE1205" w14:textId="77777777" w:rsidR="00944076" w:rsidRPr="00944076" w:rsidRDefault="00944076" w:rsidP="00B76905">
      <w:pPr>
        <w:numPr>
          <w:ilvl w:val="0"/>
          <w:numId w:val="147"/>
        </w:numPr>
        <w:textAlignment w:val="baseline"/>
        <w:rPr>
          <w:rFonts w:eastAsia="Times New Roman" w:cs="Arial"/>
          <w:kern w:val="0"/>
          <w:lang w:eastAsia="en-GB"/>
          <w14:ligatures w14:val="none"/>
        </w:rPr>
      </w:pPr>
      <w:r w:rsidRPr="00944076">
        <w:rPr>
          <w:rFonts w:eastAsia="Times New Roman" w:cs="Arial"/>
          <w:kern w:val="0"/>
          <w:lang w:eastAsia="en-GB"/>
          <w14:ligatures w14:val="none"/>
        </w:rPr>
        <w:t>they provide a free of charge delivery service on request, although two are considering introducing a charge, and</w:t>
      </w:r>
    </w:p>
    <w:p w14:paraId="6396108C" w14:textId="77777777" w:rsidR="00944076" w:rsidRPr="00944076" w:rsidRDefault="00944076" w:rsidP="00B76905">
      <w:pPr>
        <w:numPr>
          <w:ilvl w:val="0"/>
          <w:numId w:val="147"/>
        </w:numPr>
        <w:textAlignment w:val="baseline"/>
        <w:rPr>
          <w:rFonts w:eastAsia="Times New Roman" w:cs="Arial"/>
          <w:kern w:val="0"/>
          <w:lang w:eastAsia="en-GB"/>
          <w14:ligatures w14:val="none"/>
        </w:rPr>
      </w:pPr>
      <w:r w:rsidRPr="00944076">
        <w:rPr>
          <w:rFonts w:eastAsia="Times New Roman" w:cs="Arial"/>
          <w:kern w:val="0"/>
          <w:lang w:eastAsia="en-GB"/>
          <w14:ligatures w14:val="none"/>
        </w:rPr>
        <w:t>one has an automated collection point at its premises.</w:t>
      </w:r>
    </w:p>
    <w:p w14:paraId="0F05B6AF" w14:textId="77777777" w:rsidR="00944076" w:rsidRPr="00944076" w:rsidRDefault="00944076" w:rsidP="009A3C7F">
      <w:pPr>
        <w:textAlignment w:val="baseline"/>
        <w:rPr>
          <w:rFonts w:eastAsia="Times New Roman" w:cs="Arial"/>
          <w:kern w:val="0"/>
          <w:lang w:eastAsia="en-GB"/>
          <w14:ligatures w14:val="none"/>
        </w:rPr>
      </w:pPr>
    </w:p>
    <w:p w14:paraId="693E19A9" w14:textId="77777777" w:rsidR="00944076" w:rsidRPr="00944076" w:rsidRDefault="00944076" w:rsidP="009A3C7F">
      <w:pPr>
        <w:contextualSpacing/>
        <w:rPr>
          <w:rFonts w:eastAsia="Times New Roman" w:cs="Arial"/>
          <w:kern w:val="0"/>
          <w:lang w:eastAsia="en-GB"/>
          <w14:ligatures w14:val="none"/>
        </w:rPr>
      </w:pPr>
      <w:r w:rsidRPr="00944076">
        <w:rPr>
          <w:rFonts w:eastAsia="Times New Roman" w:cs="Arial"/>
          <w:kern w:val="0"/>
          <w:lang w:eastAsia="en-GB"/>
          <w14:ligatures w14:val="none"/>
        </w:rPr>
        <w:t>Two pharmacies are of the opinion that there is a requirement for an existing additional clinical service.</w:t>
      </w:r>
    </w:p>
    <w:p w14:paraId="0E6B4A2E" w14:textId="77777777" w:rsidR="00944076" w:rsidRPr="00944076" w:rsidRDefault="00944076" w:rsidP="009A3C7F">
      <w:pPr>
        <w:contextualSpacing/>
        <w:rPr>
          <w:rFonts w:eastAsia="Times New Roman" w:cs="Arial"/>
          <w:kern w:val="0"/>
          <w:lang w:eastAsia="en-GB"/>
          <w14:ligatures w14:val="none"/>
        </w:rPr>
      </w:pPr>
    </w:p>
    <w:p w14:paraId="45097BC3" w14:textId="77777777" w:rsidR="00944076" w:rsidRPr="00944076" w:rsidRDefault="00944076" w:rsidP="00B76905">
      <w:pPr>
        <w:numPr>
          <w:ilvl w:val="0"/>
          <w:numId w:val="202"/>
        </w:numPr>
        <w:contextualSpacing/>
        <w:rPr>
          <w:rFonts w:eastAsia="Times New Roman" w:cs="Arial"/>
          <w:kern w:val="0"/>
          <w:lang w:eastAsia="en-GB"/>
          <w14:ligatures w14:val="none"/>
        </w:rPr>
      </w:pPr>
      <w:r w:rsidRPr="00944076">
        <w:rPr>
          <w:rFonts w:eastAsia="Times New Roman" w:cs="Arial"/>
          <w:kern w:val="0"/>
          <w:lang w:eastAsia="en-GB"/>
          <w14:ligatures w14:val="none"/>
        </w:rPr>
        <w:t>One pharmacy stated there is a large number or preventable deaths from cardiovascular disease in the locality. It stated that it would consider providing an atrial fibrillation service, subject to funding.</w:t>
      </w:r>
    </w:p>
    <w:p w14:paraId="17DDB265" w14:textId="77777777" w:rsidR="00944076" w:rsidRPr="00944076" w:rsidRDefault="00944076" w:rsidP="00B76905">
      <w:pPr>
        <w:numPr>
          <w:ilvl w:val="0"/>
          <w:numId w:val="202"/>
        </w:numPr>
        <w:contextualSpacing/>
        <w:rPr>
          <w:rFonts w:eastAsia="Times New Roman" w:cs="Arial"/>
          <w:kern w:val="0"/>
          <w:lang w:eastAsia="en-GB"/>
          <w14:ligatures w14:val="none"/>
        </w:rPr>
      </w:pPr>
      <w:r w:rsidRPr="00944076">
        <w:rPr>
          <w:rFonts w:eastAsia="Times New Roman" w:cs="Arial"/>
          <w:kern w:val="0"/>
          <w:lang w:eastAsia="en-GB"/>
          <w14:ligatures w14:val="none"/>
        </w:rPr>
        <w:t>One pharmacy stated that the stop smoking service should be extended to include oral medications such as Champix and Zyban.</w:t>
      </w:r>
    </w:p>
    <w:p w14:paraId="2F119C44" w14:textId="77777777" w:rsidR="00944076" w:rsidRPr="00944076" w:rsidRDefault="00944076" w:rsidP="009A3C7F">
      <w:pPr>
        <w:rPr>
          <w:rFonts w:eastAsia="Times New Roman" w:cs="Arial"/>
          <w:kern w:val="0"/>
          <w:lang w:eastAsia="en-GB"/>
          <w14:ligatures w14:val="none"/>
        </w:rPr>
      </w:pPr>
    </w:p>
    <w:p w14:paraId="51A4B2CC"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With regard to requirements for a new service that is not currently available:</w:t>
      </w:r>
    </w:p>
    <w:p w14:paraId="366C0AA3" w14:textId="77777777" w:rsidR="00944076" w:rsidRPr="00944076" w:rsidRDefault="00944076" w:rsidP="009A3C7F">
      <w:pPr>
        <w:rPr>
          <w:rFonts w:eastAsia="Times New Roman" w:cs="Arial"/>
          <w:kern w:val="0"/>
          <w:lang w:eastAsia="en-GB"/>
          <w14:ligatures w14:val="none"/>
        </w:rPr>
      </w:pPr>
    </w:p>
    <w:p w14:paraId="69E0D07A" w14:textId="77777777" w:rsidR="00944076" w:rsidRPr="00944076" w:rsidRDefault="00944076" w:rsidP="00B76905">
      <w:pPr>
        <w:numPr>
          <w:ilvl w:val="0"/>
          <w:numId w:val="203"/>
        </w:numPr>
        <w:contextualSpacing/>
        <w:rPr>
          <w:rFonts w:eastAsia="Times New Roman" w:cs="Arial"/>
          <w:kern w:val="0"/>
          <w:lang w:eastAsia="en-GB"/>
          <w14:ligatures w14:val="none"/>
        </w:rPr>
      </w:pPr>
      <w:r w:rsidRPr="00944076">
        <w:rPr>
          <w:rFonts w:eastAsia="Times New Roman" w:cs="Arial"/>
          <w:kern w:val="0"/>
          <w:lang w:eastAsia="en-GB"/>
          <w14:ligatures w14:val="none"/>
        </w:rPr>
        <w:t>One pharmacy said there have been discussions in cluster meetings regarding the application to use cluster funds in the next cycle to undertake an atrial fibrillation detection service through pharmacies. The reason being that undiagnosed atrial fibrillation increases the likelihood of stroke, vascular dementia and heart failure, and increased mortality etc. While roughly 1.5%–2% of the general population has atrial fibrillation, this rises to 5% in those over 65 and up to 10% in those over 75. With the Upper Valleys cluster’s ageing population, it is a suitable service for area. A second pharmacy echoed the need for a cardiovascular disease screening service.</w:t>
      </w:r>
    </w:p>
    <w:p w14:paraId="70AABA2D" w14:textId="77777777" w:rsidR="00944076" w:rsidRPr="00944076" w:rsidRDefault="00944076" w:rsidP="00B76905">
      <w:pPr>
        <w:numPr>
          <w:ilvl w:val="0"/>
          <w:numId w:val="203"/>
        </w:numPr>
        <w:contextualSpacing/>
        <w:rPr>
          <w:rFonts w:eastAsia="Times New Roman" w:cs="Arial"/>
          <w:kern w:val="0"/>
          <w:lang w:eastAsia="en-GB"/>
          <w14:ligatures w14:val="none"/>
        </w:rPr>
      </w:pPr>
      <w:r w:rsidRPr="00944076">
        <w:rPr>
          <w:rFonts w:eastAsia="Times New Roman" w:cs="Arial"/>
          <w:kern w:val="0"/>
          <w:lang w:eastAsia="en-GB"/>
          <w14:ligatures w14:val="none"/>
        </w:rPr>
        <w:t>Diabetes review service where pharmacies have access to pathology.</w:t>
      </w:r>
    </w:p>
    <w:p w14:paraId="60B532BA" w14:textId="77777777" w:rsidR="00944076" w:rsidRPr="00944076" w:rsidRDefault="00944076" w:rsidP="00B76905">
      <w:pPr>
        <w:numPr>
          <w:ilvl w:val="0"/>
          <w:numId w:val="203"/>
        </w:numPr>
        <w:contextualSpacing/>
        <w:rPr>
          <w:rFonts w:eastAsia="Times New Roman" w:cs="Arial"/>
          <w:kern w:val="0"/>
          <w:lang w:eastAsia="en-GB"/>
          <w14:ligatures w14:val="none"/>
        </w:rPr>
      </w:pPr>
      <w:r w:rsidRPr="00944076">
        <w:rPr>
          <w:rFonts w:eastAsia="Times New Roman" w:cs="Arial"/>
          <w:kern w:val="0"/>
          <w:lang w:eastAsia="en-GB"/>
          <w14:ligatures w14:val="none"/>
        </w:rPr>
        <w:t>Sharps bin disposal service</w:t>
      </w:r>
    </w:p>
    <w:p w14:paraId="2267F671" w14:textId="77777777" w:rsidR="00944076" w:rsidRPr="00944076" w:rsidRDefault="00944076" w:rsidP="00B76905">
      <w:pPr>
        <w:numPr>
          <w:ilvl w:val="0"/>
          <w:numId w:val="203"/>
        </w:numPr>
        <w:contextualSpacing/>
        <w:rPr>
          <w:rFonts w:eastAsia="Times New Roman" w:cs="Arial"/>
          <w:kern w:val="0"/>
          <w:lang w:eastAsia="en-GB"/>
          <w14:ligatures w14:val="none"/>
        </w:rPr>
      </w:pPr>
      <w:r w:rsidRPr="00944076">
        <w:rPr>
          <w:rFonts w:eastAsia="Times New Roman" w:cs="Arial"/>
          <w:kern w:val="0"/>
          <w:lang w:eastAsia="en-GB"/>
          <w14:ligatures w14:val="none"/>
        </w:rPr>
        <w:t>Extend the pharmacist independent prescribing service conditions.</w:t>
      </w:r>
    </w:p>
    <w:p w14:paraId="096623F9" w14:textId="77777777" w:rsidR="00944076" w:rsidRPr="00944076" w:rsidRDefault="00944076" w:rsidP="009A3C7F">
      <w:pPr>
        <w:rPr>
          <w:rFonts w:eastAsia="Times New Roman" w:cs="Arial"/>
          <w:kern w:val="0"/>
          <w:lang w:eastAsia="en-GB"/>
          <w14:ligatures w14:val="none"/>
        </w:rPr>
      </w:pPr>
    </w:p>
    <w:p w14:paraId="2E7EAF8C"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Seven of the pharmacies have sufficient capacity within their premises to manage an increase in demand, and the eighth didn’t answer this question.</w:t>
      </w:r>
    </w:p>
    <w:p w14:paraId="4D214827" w14:textId="77777777" w:rsidR="00944076" w:rsidRPr="00944076" w:rsidRDefault="00944076" w:rsidP="009A3C7F">
      <w:pPr>
        <w:rPr>
          <w:rFonts w:eastAsia="Times New Roman" w:cs="Arial"/>
          <w:kern w:val="0"/>
          <w:lang w:eastAsia="en-GB"/>
          <w14:ligatures w14:val="none"/>
        </w:rPr>
      </w:pPr>
    </w:p>
    <w:p w14:paraId="10D9E626"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Seven pharmacies have sufficient capacity within their staffing levels to manage an increase in demand, and one doesn’t but could make adjustments.</w:t>
      </w:r>
    </w:p>
    <w:p w14:paraId="125EFB73" w14:textId="77777777" w:rsidR="00944076" w:rsidRPr="00944076" w:rsidRDefault="00944076" w:rsidP="009A3C7F">
      <w:pPr>
        <w:rPr>
          <w:rFonts w:eastAsia="Times New Roman" w:cs="Arial"/>
          <w:kern w:val="0"/>
          <w:lang w:eastAsia="en-GB"/>
          <w14:ligatures w14:val="none"/>
        </w:rPr>
      </w:pPr>
    </w:p>
    <w:p w14:paraId="60E134BB"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Five pharmacies have plans to develop or expand their premises or service provision.</w:t>
      </w:r>
    </w:p>
    <w:p w14:paraId="3AB0CE7D" w14:textId="77777777" w:rsidR="00944076" w:rsidRPr="00944076" w:rsidRDefault="00944076" w:rsidP="009A3C7F">
      <w:pPr>
        <w:rPr>
          <w:rFonts w:eastAsia="Times New Roman" w:cs="Arial"/>
          <w:kern w:val="0"/>
          <w:lang w:eastAsia="en-GB"/>
          <w14:ligatures w14:val="none"/>
        </w:rPr>
      </w:pPr>
    </w:p>
    <w:p w14:paraId="2BEE621C" w14:textId="77777777" w:rsidR="00944076" w:rsidRPr="00944076" w:rsidRDefault="00944076" w:rsidP="00B76905">
      <w:pPr>
        <w:numPr>
          <w:ilvl w:val="0"/>
          <w:numId w:val="148"/>
        </w:numPr>
        <w:contextualSpacing/>
        <w:rPr>
          <w:rFonts w:eastAsia="Times New Roman" w:cs="Arial"/>
          <w:kern w:val="0"/>
          <w:lang w:eastAsia="en-GB"/>
          <w14:ligatures w14:val="none"/>
        </w:rPr>
      </w:pPr>
      <w:r w:rsidRPr="00944076">
        <w:rPr>
          <w:rFonts w:eastAsia="Times New Roman" w:cs="Arial"/>
          <w:kern w:val="0"/>
          <w:lang w:eastAsia="en-GB"/>
          <w14:ligatures w14:val="none"/>
        </w:rPr>
        <w:t>One contractor plans to start limiting services and hours across its group as the cost limitations are not financially viable.</w:t>
      </w:r>
    </w:p>
    <w:p w14:paraId="733697B2" w14:textId="77777777" w:rsidR="00944076" w:rsidRPr="00944076" w:rsidRDefault="00944076" w:rsidP="00B76905">
      <w:pPr>
        <w:numPr>
          <w:ilvl w:val="0"/>
          <w:numId w:val="148"/>
        </w:numPr>
        <w:contextualSpacing/>
        <w:rPr>
          <w:rFonts w:eastAsia="Times New Roman" w:cs="Arial"/>
          <w:kern w:val="0"/>
          <w:lang w:eastAsia="en-GB"/>
          <w14:ligatures w14:val="none"/>
        </w:rPr>
      </w:pPr>
      <w:r w:rsidRPr="00944076">
        <w:rPr>
          <w:rFonts w:eastAsia="Times New Roman" w:cs="Arial"/>
          <w:kern w:val="0"/>
          <w:lang w:eastAsia="en-GB"/>
          <w14:ligatures w14:val="none"/>
        </w:rPr>
        <w:t>One pharmacy plans on applying for a Welsh Government grant to improve the premises by adding a second consultation room, and making the consultation rooms wheelchair accessible. It would like to provide the influenza vaccination service and introduce a technician-led discharge medicines review service thereby freeing up pharmacist time. It is considering introducing private weight loss, microsuction and travel vaccines services.</w:t>
      </w:r>
    </w:p>
    <w:p w14:paraId="10668B77" w14:textId="77777777" w:rsidR="00944076" w:rsidRPr="00944076" w:rsidRDefault="00944076" w:rsidP="00B76905">
      <w:pPr>
        <w:numPr>
          <w:ilvl w:val="0"/>
          <w:numId w:val="148"/>
        </w:numPr>
        <w:contextualSpacing/>
        <w:rPr>
          <w:rFonts w:eastAsia="Times New Roman" w:cs="Arial"/>
          <w:kern w:val="0"/>
          <w:lang w:eastAsia="en-GB"/>
          <w14:ligatures w14:val="none"/>
        </w:rPr>
      </w:pPr>
      <w:r w:rsidRPr="00944076">
        <w:rPr>
          <w:rFonts w:eastAsia="Times New Roman" w:cs="Arial"/>
          <w:kern w:val="0"/>
          <w:lang w:eastAsia="en-GB"/>
          <w14:ligatures w14:val="none"/>
        </w:rPr>
        <w:t>One pharmacy will start to provide the pharmacist independent prescribing service.</w:t>
      </w:r>
    </w:p>
    <w:p w14:paraId="49011B30" w14:textId="77777777" w:rsidR="00944076" w:rsidRPr="00944076" w:rsidRDefault="00944076" w:rsidP="009A3C7F">
      <w:pPr>
        <w:rPr>
          <w:rFonts w:eastAsia="Times New Roman" w:cs="Arial"/>
          <w:kern w:val="0"/>
          <w:lang w:eastAsia="en-GB"/>
          <w14:ligatures w14:val="none"/>
        </w:rPr>
      </w:pPr>
    </w:p>
    <w:p w14:paraId="4A7CDACD" w14:textId="77777777" w:rsidR="00944076" w:rsidRPr="00944076" w:rsidRDefault="00944076" w:rsidP="009A3C7F">
      <w:pPr>
        <w:contextualSpacing/>
        <w:rPr>
          <w:rFonts w:eastAsia="Times New Roman" w:cs="Arial"/>
          <w:b/>
          <w:bCs/>
          <w:kern w:val="0"/>
          <w:lang w:eastAsia="en-GB"/>
          <w14:ligatures w14:val="none"/>
        </w:rPr>
      </w:pPr>
      <w:r w:rsidRPr="00944076">
        <w:rPr>
          <w:rFonts w:eastAsia="Times New Roman" w:cs="Arial"/>
          <w:b/>
          <w:bCs/>
          <w:kern w:val="0"/>
          <w:lang w:eastAsia="en-GB"/>
          <w14:ligatures w14:val="none"/>
        </w:rPr>
        <w:t>15.3.1 National community pharmacy and appliance contractor services</w:t>
      </w:r>
    </w:p>
    <w:p w14:paraId="32E2C690" w14:textId="77777777" w:rsidR="00944076" w:rsidRPr="00944076" w:rsidRDefault="00944076" w:rsidP="009A3C7F">
      <w:pPr>
        <w:rPr>
          <w:rFonts w:eastAsia="Times New Roman" w:cs="Arial"/>
          <w:kern w:val="0"/>
          <w:lang w:eastAsia="en-GB"/>
          <w14:ligatures w14:val="none"/>
        </w:rPr>
      </w:pPr>
    </w:p>
    <w:p w14:paraId="40E83EDB"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15.3.1.1 Appliance use review service</w:t>
      </w:r>
    </w:p>
    <w:p w14:paraId="28C02868" w14:textId="77777777" w:rsidR="00944076" w:rsidRPr="00944076" w:rsidRDefault="00944076" w:rsidP="009A3C7F">
      <w:pPr>
        <w:rPr>
          <w:rFonts w:eastAsia="Times New Roman" w:cs="Arial"/>
          <w:b/>
          <w:bCs/>
          <w:kern w:val="0"/>
          <w:lang w:eastAsia="en-GB"/>
          <w14:ligatures w14:val="none"/>
        </w:rPr>
      </w:pPr>
    </w:p>
    <w:p w14:paraId="6EDAF73E"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None of the pharmacies provide this service.</w:t>
      </w:r>
    </w:p>
    <w:p w14:paraId="614C0114" w14:textId="77777777" w:rsidR="00944076" w:rsidRPr="00944076" w:rsidRDefault="00944076" w:rsidP="009A3C7F">
      <w:pPr>
        <w:rPr>
          <w:rFonts w:eastAsia="Times New Roman" w:cs="Arial"/>
          <w:kern w:val="0"/>
          <w:lang w:eastAsia="en-GB"/>
          <w14:ligatures w14:val="none"/>
        </w:rPr>
      </w:pPr>
    </w:p>
    <w:p w14:paraId="3BD24A56"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15.3.1.2 Clinical community pharmacy service</w:t>
      </w:r>
    </w:p>
    <w:p w14:paraId="0D7A9891" w14:textId="77777777" w:rsidR="00944076" w:rsidRPr="00944076" w:rsidRDefault="00944076" w:rsidP="009A3C7F">
      <w:pPr>
        <w:rPr>
          <w:rFonts w:eastAsia="Times New Roman" w:cs="Arial"/>
          <w:kern w:val="0"/>
          <w:lang w:eastAsia="en-GB"/>
          <w14:ligatures w14:val="none"/>
        </w:rPr>
      </w:pPr>
    </w:p>
    <w:p w14:paraId="333BA58E"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All the pharmacies have signed up and provide this service.</w:t>
      </w:r>
    </w:p>
    <w:p w14:paraId="124AF8E1" w14:textId="77777777" w:rsidR="00944076" w:rsidRPr="00944076" w:rsidRDefault="00944076" w:rsidP="009A3C7F">
      <w:pPr>
        <w:rPr>
          <w:rFonts w:eastAsia="Times New Roman" w:cs="Arial"/>
          <w:kern w:val="0"/>
          <w:lang w:eastAsia="en-GB"/>
          <w14:ligatures w14:val="none"/>
        </w:rPr>
      </w:pPr>
    </w:p>
    <w:p w14:paraId="613A7D5E" w14:textId="77777777" w:rsidR="00944076" w:rsidRPr="00944076" w:rsidRDefault="00944076" w:rsidP="009A3C7F">
      <w:pPr>
        <w:contextualSpacing/>
        <w:rPr>
          <w:rFonts w:eastAsia="Times New Roman" w:cs="Arial"/>
          <w:kern w:val="0"/>
          <w:lang w:eastAsia="en-GB"/>
          <w14:ligatures w14:val="none"/>
        </w:rPr>
      </w:pPr>
      <w:r w:rsidRPr="00944076">
        <w:rPr>
          <w:rFonts w:eastAsia="Times New Roman" w:cs="Arial"/>
          <w:kern w:val="0"/>
          <w:lang w:eastAsia="en-GB"/>
          <w14:ligatures w14:val="none"/>
        </w:rPr>
        <w:t>In 2024/25 the pharmacies provided:</w:t>
      </w:r>
    </w:p>
    <w:p w14:paraId="1BE870BE" w14:textId="77777777" w:rsidR="00944076" w:rsidRPr="00944076" w:rsidRDefault="00944076" w:rsidP="009A3C7F">
      <w:pPr>
        <w:contextualSpacing/>
        <w:rPr>
          <w:rFonts w:eastAsia="Times New Roman" w:cs="Arial"/>
          <w:kern w:val="0"/>
          <w:lang w:eastAsia="en-GB"/>
          <w14:ligatures w14:val="none"/>
        </w:rPr>
      </w:pPr>
    </w:p>
    <w:p w14:paraId="3F39EA96" w14:textId="77777777" w:rsidR="00944076" w:rsidRPr="00944076" w:rsidRDefault="00944076" w:rsidP="00B76905">
      <w:pPr>
        <w:numPr>
          <w:ilvl w:val="0"/>
          <w:numId w:val="149"/>
        </w:numPr>
        <w:contextualSpacing/>
        <w:rPr>
          <w:rFonts w:eastAsia="Times New Roman" w:cs="Arial"/>
          <w:kern w:val="0"/>
          <w:lang w:eastAsia="en-GB"/>
          <w14:ligatures w14:val="none"/>
        </w:rPr>
      </w:pPr>
      <w:r w:rsidRPr="00944076">
        <w:rPr>
          <w:rFonts w:eastAsia="Times New Roman" w:cs="Arial"/>
          <w:kern w:val="0"/>
          <w:lang w:eastAsia="en-GB"/>
          <w14:ligatures w14:val="none"/>
        </w:rPr>
        <w:t>6,480 consultations for common ailment consultations (range at pharmacy level 47 to 2,070)</w:t>
      </w:r>
    </w:p>
    <w:p w14:paraId="2BE953DC" w14:textId="77777777" w:rsidR="00944076" w:rsidRPr="00944076" w:rsidRDefault="00944076" w:rsidP="00B76905">
      <w:pPr>
        <w:numPr>
          <w:ilvl w:val="0"/>
          <w:numId w:val="149"/>
        </w:numPr>
        <w:contextualSpacing/>
        <w:rPr>
          <w:rFonts w:eastAsia="Times New Roman" w:cs="Arial"/>
          <w:kern w:val="0"/>
          <w:lang w:eastAsia="en-GB"/>
          <w14:ligatures w14:val="none"/>
        </w:rPr>
      </w:pPr>
      <w:r w:rsidRPr="00944076">
        <w:rPr>
          <w:rFonts w:eastAsia="Times New Roman" w:cs="Arial"/>
          <w:kern w:val="0"/>
          <w:lang w:eastAsia="en-GB"/>
          <w14:ligatures w14:val="none"/>
        </w:rPr>
        <w:lastRenderedPageBreak/>
        <w:t>1,037 consultations for sore throat test and treat consultations (range at pharmacy level 28 to 491)</w:t>
      </w:r>
    </w:p>
    <w:p w14:paraId="3142F0D2" w14:textId="77777777" w:rsidR="00944076" w:rsidRPr="00944076" w:rsidRDefault="00944076" w:rsidP="00B76905">
      <w:pPr>
        <w:numPr>
          <w:ilvl w:val="0"/>
          <w:numId w:val="149"/>
        </w:numPr>
        <w:contextualSpacing/>
        <w:rPr>
          <w:rFonts w:eastAsia="Times New Roman" w:cs="Arial"/>
          <w:kern w:val="0"/>
          <w:lang w:eastAsia="en-GB"/>
          <w14:ligatures w14:val="none"/>
        </w:rPr>
      </w:pPr>
      <w:r w:rsidRPr="00944076">
        <w:rPr>
          <w:rFonts w:eastAsia="Times New Roman" w:cs="Arial"/>
          <w:kern w:val="0"/>
          <w:lang w:eastAsia="en-GB"/>
          <w14:ligatures w14:val="none"/>
        </w:rPr>
        <w:t xml:space="preserve">177 consultations for emergency contraception consultations (range at pharmacy level five to 57). </w:t>
      </w:r>
    </w:p>
    <w:p w14:paraId="701D7038" w14:textId="77777777" w:rsidR="00944076" w:rsidRPr="00944076" w:rsidRDefault="00944076" w:rsidP="00B76905">
      <w:pPr>
        <w:numPr>
          <w:ilvl w:val="0"/>
          <w:numId w:val="149"/>
        </w:numPr>
        <w:contextualSpacing/>
        <w:rPr>
          <w:rFonts w:eastAsia="Times New Roman" w:cs="Arial"/>
          <w:kern w:val="0"/>
          <w:lang w:eastAsia="en-GB"/>
          <w14:ligatures w14:val="none"/>
        </w:rPr>
      </w:pPr>
      <w:r w:rsidRPr="00944076">
        <w:rPr>
          <w:rFonts w:eastAsia="Times New Roman" w:cs="Arial"/>
          <w:kern w:val="0"/>
          <w:lang w:eastAsia="en-GB"/>
          <w14:ligatures w14:val="none"/>
        </w:rPr>
        <w:t>1,306 emergency medicines supplies (range at pharmacy level three to 445)</w:t>
      </w:r>
    </w:p>
    <w:p w14:paraId="3466FC92" w14:textId="77777777" w:rsidR="00944076" w:rsidRPr="00944076" w:rsidRDefault="00944076" w:rsidP="009A3C7F">
      <w:pPr>
        <w:contextualSpacing/>
        <w:rPr>
          <w:rFonts w:eastAsia="Times New Roman" w:cs="Arial"/>
          <w:kern w:val="0"/>
          <w:lang w:eastAsia="en-GB"/>
          <w14:ligatures w14:val="none"/>
        </w:rPr>
      </w:pPr>
    </w:p>
    <w:p w14:paraId="6DF439FD" w14:textId="77777777" w:rsidR="00944076" w:rsidRPr="00944076" w:rsidRDefault="00944076" w:rsidP="009A3C7F">
      <w:pPr>
        <w:contextualSpacing/>
        <w:rPr>
          <w:rFonts w:eastAsia="Times New Roman" w:cs="Arial"/>
          <w:kern w:val="0"/>
          <w:lang w:eastAsia="en-GB"/>
          <w14:ligatures w14:val="none"/>
        </w:rPr>
      </w:pPr>
      <w:r w:rsidRPr="00944076">
        <w:rPr>
          <w:rFonts w:eastAsia="Times New Roman" w:cs="Arial"/>
          <w:kern w:val="0"/>
          <w:lang w:eastAsia="en-GB"/>
          <w14:ligatures w14:val="none"/>
        </w:rPr>
        <w:t>In the first six months of 2025/26 the pharmacies provided:</w:t>
      </w:r>
    </w:p>
    <w:p w14:paraId="4D618DA7" w14:textId="77777777" w:rsidR="00944076" w:rsidRPr="00944076" w:rsidRDefault="00944076" w:rsidP="009A3C7F">
      <w:pPr>
        <w:contextualSpacing/>
        <w:rPr>
          <w:rFonts w:eastAsia="Times New Roman" w:cs="Arial"/>
          <w:kern w:val="0"/>
          <w:lang w:eastAsia="en-GB"/>
          <w14:ligatures w14:val="none"/>
        </w:rPr>
      </w:pPr>
    </w:p>
    <w:p w14:paraId="32842B7E" w14:textId="77777777" w:rsidR="00944076" w:rsidRPr="00944076" w:rsidRDefault="00944076" w:rsidP="00B76905">
      <w:pPr>
        <w:numPr>
          <w:ilvl w:val="0"/>
          <w:numId w:val="149"/>
        </w:numPr>
        <w:contextualSpacing/>
        <w:rPr>
          <w:rFonts w:eastAsia="Times New Roman" w:cs="Arial"/>
          <w:kern w:val="0"/>
          <w:lang w:eastAsia="en-GB"/>
          <w14:ligatures w14:val="none"/>
        </w:rPr>
      </w:pPr>
      <w:r w:rsidRPr="00944076">
        <w:rPr>
          <w:rFonts w:eastAsia="Times New Roman" w:cs="Arial"/>
          <w:kern w:val="0"/>
          <w:lang w:eastAsia="en-GB"/>
          <w14:ligatures w14:val="none"/>
        </w:rPr>
        <w:t>4,074 consultations for common ailment consultations (range at pharmacy level 16 to 1,038)</w:t>
      </w:r>
    </w:p>
    <w:p w14:paraId="138542DD" w14:textId="77777777" w:rsidR="00944076" w:rsidRPr="00944076" w:rsidRDefault="00944076" w:rsidP="00B76905">
      <w:pPr>
        <w:numPr>
          <w:ilvl w:val="0"/>
          <w:numId w:val="149"/>
        </w:numPr>
        <w:contextualSpacing/>
        <w:rPr>
          <w:rFonts w:eastAsia="Times New Roman" w:cs="Arial"/>
          <w:kern w:val="0"/>
          <w:lang w:eastAsia="en-GB"/>
          <w14:ligatures w14:val="none"/>
        </w:rPr>
      </w:pPr>
      <w:r w:rsidRPr="00944076">
        <w:rPr>
          <w:rFonts w:eastAsia="Times New Roman" w:cs="Arial"/>
          <w:kern w:val="0"/>
          <w:lang w:eastAsia="en-GB"/>
          <w14:ligatures w14:val="none"/>
        </w:rPr>
        <w:t>464 consultations for sore throat test and treat consultations (range at pharmacy level two to 175)</w:t>
      </w:r>
    </w:p>
    <w:p w14:paraId="7A62D3B3" w14:textId="77777777" w:rsidR="00944076" w:rsidRPr="00944076" w:rsidRDefault="00944076" w:rsidP="00B76905">
      <w:pPr>
        <w:numPr>
          <w:ilvl w:val="0"/>
          <w:numId w:val="149"/>
        </w:numPr>
        <w:contextualSpacing/>
        <w:rPr>
          <w:rFonts w:eastAsia="Times New Roman" w:cs="Arial"/>
          <w:kern w:val="0"/>
          <w:lang w:eastAsia="en-GB"/>
          <w14:ligatures w14:val="none"/>
        </w:rPr>
      </w:pPr>
      <w:r w:rsidRPr="00944076">
        <w:rPr>
          <w:rFonts w:eastAsia="Times New Roman" w:cs="Arial"/>
          <w:kern w:val="0"/>
          <w:lang w:eastAsia="en-GB"/>
          <w14:ligatures w14:val="none"/>
        </w:rPr>
        <w:t>113 consultations for emergency contraception consultations (range at pharmacy level four to 36).</w:t>
      </w:r>
    </w:p>
    <w:p w14:paraId="3C607BCE" w14:textId="77777777" w:rsidR="00944076" w:rsidRPr="00944076" w:rsidRDefault="00944076" w:rsidP="00B76905">
      <w:pPr>
        <w:numPr>
          <w:ilvl w:val="0"/>
          <w:numId w:val="149"/>
        </w:numPr>
        <w:contextualSpacing/>
        <w:rPr>
          <w:rFonts w:eastAsia="Times New Roman" w:cs="Arial"/>
          <w:kern w:val="0"/>
          <w:lang w:eastAsia="en-GB"/>
          <w14:ligatures w14:val="none"/>
        </w:rPr>
      </w:pPr>
      <w:r w:rsidRPr="00944076">
        <w:rPr>
          <w:rFonts w:eastAsia="Times New Roman" w:cs="Arial"/>
          <w:kern w:val="0"/>
          <w:lang w:eastAsia="en-GB"/>
          <w14:ligatures w14:val="none"/>
        </w:rPr>
        <w:t>449 emergency medicines supplies (range at pharmacy level four to 144)</w:t>
      </w:r>
    </w:p>
    <w:p w14:paraId="2D3C4361" w14:textId="77777777" w:rsidR="004962D9" w:rsidRPr="00944076" w:rsidRDefault="004962D9" w:rsidP="009A3C7F">
      <w:pPr>
        <w:rPr>
          <w:rFonts w:eastAsia="Times New Roman" w:cs="Arial"/>
          <w:kern w:val="0"/>
          <w:lang w:eastAsia="en-GB"/>
          <w14:ligatures w14:val="none"/>
        </w:rPr>
      </w:pPr>
    </w:p>
    <w:p w14:paraId="5C9DC3E7"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 xml:space="preserve">15.3.1.3 Discharge medicines review service </w:t>
      </w:r>
    </w:p>
    <w:p w14:paraId="2B714B03" w14:textId="77777777" w:rsidR="00944076" w:rsidRPr="00944076" w:rsidRDefault="00944076" w:rsidP="009A3C7F">
      <w:pPr>
        <w:rPr>
          <w:rFonts w:eastAsia="Times New Roman" w:cs="Arial"/>
          <w:b/>
          <w:bCs/>
          <w:kern w:val="0"/>
          <w:lang w:eastAsia="en-GB"/>
          <w14:ligatures w14:val="none"/>
        </w:rPr>
      </w:pPr>
    </w:p>
    <w:p w14:paraId="3457809E"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All the pharmacies have signed up to provide this service.</w:t>
      </w:r>
    </w:p>
    <w:p w14:paraId="1BEDEEAA" w14:textId="77777777" w:rsidR="00944076" w:rsidRPr="00944076" w:rsidRDefault="00944076" w:rsidP="009A3C7F">
      <w:pPr>
        <w:rPr>
          <w:rFonts w:eastAsia="Times New Roman" w:cs="Arial"/>
          <w:kern w:val="0"/>
          <w:lang w:eastAsia="en-GB"/>
          <w14:ligatures w14:val="none"/>
        </w:rPr>
      </w:pPr>
    </w:p>
    <w:p w14:paraId="11E9AB41"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 xml:space="preserve">Nine pharmacies provided this service in 2024/25, providing a total of 348 reviews (range at pharmacy level one to 199). All pharmacies provided this service in the first ten months of 2025/26, providing a total of 376 reviews, (range at pharmacy level two to 182) </w:t>
      </w:r>
    </w:p>
    <w:p w14:paraId="4C5B98A1" w14:textId="77777777" w:rsidR="00944076" w:rsidRPr="00944076" w:rsidRDefault="00944076" w:rsidP="009A3C7F">
      <w:pPr>
        <w:rPr>
          <w:rFonts w:eastAsia="Times New Roman" w:cs="Arial"/>
          <w:kern w:val="0"/>
          <w:lang w:eastAsia="en-GB"/>
          <w14:ligatures w14:val="none"/>
        </w:rPr>
      </w:pPr>
    </w:p>
    <w:p w14:paraId="70FB4548"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15.3.1.4 Influenza vaccination service</w:t>
      </w:r>
    </w:p>
    <w:p w14:paraId="729DD177" w14:textId="77777777" w:rsidR="00944076" w:rsidRPr="00944076" w:rsidRDefault="00944076" w:rsidP="009A3C7F">
      <w:pPr>
        <w:rPr>
          <w:rFonts w:eastAsia="Times New Roman" w:cs="Arial"/>
          <w:kern w:val="0"/>
          <w:lang w:eastAsia="en-GB"/>
          <w14:ligatures w14:val="none"/>
        </w:rPr>
      </w:pPr>
    </w:p>
    <w:p w14:paraId="2B79BB3E"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Eight of the pharmacies have signed up to provide this service.</w:t>
      </w:r>
    </w:p>
    <w:p w14:paraId="7810FA7C" w14:textId="77777777" w:rsidR="00944076" w:rsidRPr="00944076" w:rsidRDefault="00944076" w:rsidP="009A3C7F">
      <w:pPr>
        <w:rPr>
          <w:rFonts w:eastAsia="Times New Roman" w:cs="Arial"/>
          <w:kern w:val="0"/>
          <w:lang w:eastAsia="en-GB"/>
          <w14:ligatures w14:val="none"/>
        </w:rPr>
      </w:pPr>
    </w:p>
    <w:p w14:paraId="3E665365"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 xml:space="preserve">Eight pharmacies provided this service in 2024/25, providing a total of 1,763 vaccinations (range at pharmacy level 27 to 901). Seven pharmacies provided this service in 2025/26, providing a total of 486 vaccinations (range at pharmacy level 20 to 197). </w:t>
      </w:r>
    </w:p>
    <w:p w14:paraId="769A1657" w14:textId="77777777" w:rsidR="00944076" w:rsidRDefault="00944076" w:rsidP="009A3C7F">
      <w:pPr>
        <w:rPr>
          <w:rFonts w:eastAsia="Times New Roman" w:cs="Arial"/>
          <w:b/>
          <w:bCs/>
          <w:kern w:val="0"/>
          <w:lang w:eastAsia="en-GB"/>
          <w14:ligatures w14:val="none"/>
        </w:rPr>
      </w:pPr>
    </w:p>
    <w:p w14:paraId="105800D8"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15.3.1.5 Lateral flow test supply service</w:t>
      </w:r>
    </w:p>
    <w:p w14:paraId="1B250E0D" w14:textId="77777777" w:rsidR="00944076" w:rsidRPr="00944076" w:rsidRDefault="00944076" w:rsidP="009A3C7F">
      <w:pPr>
        <w:rPr>
          <w:rFonts w:eastAsia="Times New Roman" w:cs="Arial"/>
          <w:kern w:val="0"/>
          <w:lang w:eastAsia="en-GB"/>
          <w14:ligatures w14:val="none"/>
        </w:rPr>
      </w:pPr>
    </w:p>
    <w:p w14:paraId="7798C94F"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Seven of the pharmacies have signed up to provide this service.</w:t>
      </w:r>
    </w:p>
    <w:p w14:paraId="3B6FCB91" w14:textId="77777777" w:rsidR="00944076" w:rsidRPr="00944076" w:rsidRDefault="00944076" w:rsidP="009A3C7F">
      <w:pPr>
        <w:rPr>
          <w:rFonts w:eastAsia="Times New Roman" w:cs="Arial"/>
          <w:kern w:val="0"/>
          <w:lang w:eastAsia="en-GB"/>
          <w14:ligatures w14:val="none"/>
        </w:rPr>
      </w:pPr>
    </w:p>
    <w:p w14:paraId="4AE15ADC"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Four pharmacies provided this service in 2024/25, supplying 20 kits (range at pharmacy level one to nine). Two pharmacies provided this service in the first seven months of 2025/26, providing three kits (range at pharmacy level one to two).</w:t>
      </w:r>
    </w:p>
    <w:p w14:paraId="426773F4" w14:textId="77777777" w:rsidR="00944076" w:rsidRPr="00944076" w:rsidRDefault="00944076" w:rsidP="009A3C7F">
      <w:pPr>
        <w:ind w:left="720"/>
        <w:contextualSpacing/>
        <w:rPr>
          <w:rFonts w:eastAsia="Times New Roman" w:cs="Arial"/>
          <w:kern w:val="0"/>
          <w:lang w:eastAsia="en-GB"/>
          <w14:ligatures w14:val="none"/>
        </w:rPr>
      </w:pPr>
    </w:p>
    <w:p w14:paraId="15D81CCD"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15.3.1.6 Pharmacist independent prescribing service</w:t>
      </w:r>
    </w:p>
    <w:p w14:paraId="1ED5B10D" w14:textId="77777777" w:rsidR="00944076" w:rsidRPr="00944076" w:rsidRDefault="00944076" w:rsidP="009A3C7F">
      <w:pPr>
        <w:rPr>
          <w:rFonts w:eastAsia="Times New Roman" w:cs="Arial"/>
          <w:kern w:val="0"/>
          <w:lang w:eastAsia="en-GB"/>
          <w14:ligatures w14:val="none"/>
        </w:rPr>
      </w:pPr>
    </w:p>
    <w:p w14:paraId="06F60BA1"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Six of the pharmacies have signed up to provide this service.</w:t>
      </w:r>
    </w:p>
    <w:p w14:paraId="2828D30A" w14:textId="77777777" w:rsidR="00944076" w:rsidRPr="00944076" w:rsidRDefault="00944076" w:rsidP="009A3C7F">
      <w:pPr>
        <w:rPr>
          <w:rFonts w:eastAsia="Times New Roman" w:cs="Arial"/>
          <w:kern w:val="0"/>
          <w:lang w:eastAsia="en-GB"/>
          <w14:ligatures w14:val="none"/>
        </w:rPr>
      </w:pPr>
    </w:p>
    <w:p w14:paraId="4134FF46"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 xml:space="preserve">Four pharmacies provided this service in 2024/25, providing a total of 20 consultations (pharmacy range one to nine). Two pharmacies provided this service in the first six months of 2025/26, providing a total of three consultations (range at pharmacy level one to two). </w:t>
      </w:r>
    </w:p>
    <w:p w14:paraId="2931F5B3" w14:textId="77777777" w:rsidR="00944076" w:rsidRPr="00944076" w:rsidRDefault="00944076" w:rsidP="009A3C7F">
      <w:pPr>
        <w:rPr>
          <w:rFonts w:eastAsia="Times New Roman" w:cs="Arial"/>
          <w:kern w:val="0"/>
          <w:lang w:eastAsia="en-GB"/>
          <w14:ligatures w14:val="none"/>
        </w:rPr>
      </w:pPr>
    </w:p>
    <w:p w14:paraId="7CABA2A0"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15.3.1.7 Stoma customisation service</w:t>
      </w:r>
    </w:p>
    <w:p w14:paraId="5F8AC2B8" w14:textId="77777777" w:rsidR="00944076" w:rsidRPr="00944076" w:rsidRDefault="00944076" w:rsidP="009A3C7F">
      <w:pPr>
        <w:rPr>
          <w:rFonts w:eastAsia="Times New Roman" w:cs="Arial"/>
          <w:kern w:val="0"/>
          <w:lang w:eastAsia="en-GB"/>
          <w14:ligatures w14:val="none"/>
        </w:rPr>
      </w:pPr>
    </w:p>
    <w:p w14:paraId="695CEA94"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 xml:space="preserve">None of the pharmacies provide this service. </w:t>
      </w:r>
    </w:p>
    <w:p w14:paraId="2CA01286" w14:textId="77777777" w:rsidR="00944076" w:rsidRPr="00944076" w:rsidRDefault="00944076" w:rsidP="009A3C7F">
      <w:pPr>
        <w:rPr>
          <w:rFonts w:eastAsia="Times New Roman" w:cs="Arial"/>
          <w:kern w:val="0"/>
          <w:lang w:eastAsia="en-GB"/>
          <w14:ligatures w14:val="none"/>
        </w:rPr>
      </w:pPr>
    </w:p>
    <w:p w14:paraId="13F36198"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15.3.2 Additional clinical services</w:t>
      </w:r>
    </w:p>
    <w:p w14:paraId="7AF3BF8F" w14:textId="77777777" w:rsidR="00944076" w:rsidRPr="00944076" w:rsidRDefault="00944076" w:rsidP="009A3C7F">
      <w:pPr>
        <w:rPr>
          <w:rFonts w:eastAsia="Times New Roman" w:cs="Arial"/>
          <w:kern w:val="0"/>
          <w:lang w:eastAsia="en-GB"/>
          <w14:ligatures w14:val="none"/>
        </w:rPr>
      </w:pPr>
    </w:p>
    <w:p w14:paraId="7408CBC1"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15.3.2.1 Blood borne virus screening service</w:t>
      </w:r>
    </w:p>
    <w:p w14:paraId="107DA03B" w14:textId="77777777" w:rsidR="00944076" w:rsidRPr="00944076" w:rsidRDefault="00944076" w:rsidP="009A3C7F">
      <w:pPr>
        <w:rPr>
          <w:rFonts w:eastAsia="Times New Roman" w:cs="Arial"/>
          <w:kern w:val="0"/>
          <w:lang w:eastAsia="en-GB"/>
          <w14:ligatures w14:val="none"/>
        </w:rPr>
      </w:pPr>
    </w:p>
    <w:p w14:paraId="3E78A750"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 xml:space="preserve">One of the pharmacies has signed up to provide this service. </w:t>
      </w:r>
    </w:p>
    <w:p w14:paraId="35B78486" w14:textId="77777777" w:rsidR="00944076" w:rsidRPr="00944076" w:rsidRDefault="00944076" w:rsidP="009A3C7F">
      <w:pPr>
        <w:rPr>
          <w:rFonts w:eastAsia="Times New Roman" w:cs="Arial"/>
          <w:kern w:val="0"/>
          <w:lang w:eastAsia="en-GB"/>
          <w14:ligatures w14:val="none"/>
        </w:rPr>
      </w:pPr>
    </w:p>
    <w:p w14:paraId="5C63E810"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15.3.2.2 Care home support service - Level 1 medicines management support visits</w:t>
      </w:r>
    </w:p>
    <w:p w14:paraId="7FCA906A" w14:textId="77777777" w:rsidR="00944076" w:rsidRPr="00944076" w:rsidRDefault="00944076" w:rsidP="009A3C7F">
      <w:pPr>
        <w:rPr>
          <w:rFonts w:eastAsia="Times New Roman" w:cs="Arial"/>
          <w:kern w:val="0"/>
          <w:lang w:eastAsia="en-GB"/>
          <w14:ligatures w14:val="none"/>
        </w:rPr>
      </w:pPr>
    </w:p>
    <w:p w14:paraId="19133436"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Four of the pharmacies have signed up to provide this service.</w:t>
      </w:r>
    </w:p>
    <w:p w14:paraId="10C6BF48" w14:textId="77777777" w:rsidR="00944076" w:rsidRPr="00944076" w:rsidRDefault="00944076" w:rsidP="009A3C7F">
      <w:pPr>
        <w:rPr>
          <w:rFonts w:eastAsia="Times New Roman" w:cs="Arial"/>
          <w:kern w:val="0"/>
          <w:lang w:eastAsia="en-GB"/>
          <w14:ligatures w14:val="none"/>
        </w:rPr>
      </w:pPr>
    </w:p>
    <w:p w14:paraId="33A4E175"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 xml:space="preserve">One pharmacy provided the service in 2024/25, providing a total of three visits. No pharmacy provided this service in the first ten months of 2025/26. </w:t>
      </w:r>
    </w:p>
    <w:p w14:paraId="576A171A" w14:textId="77777777" w:rsidR="00944076" w:rsidRPr="00944076" w:rsidRDefault="00944076" w:rsidP="009A3C7F">
      <w:pPr>
        <w:ind w:left="720"/>
        <w:contextualSpacing/>
        <w:rPr>
          <w:rFonts w:eastAsia="Times New Roman" w:cs="Arial"/>
          <w:b/>
          <w:bCs/>
          <w:kern w:val="0"/>
          <w:lang w:eastAsia="en-GB"/>
          <w14:ligatures w14:val="none"/>
        </w:rPr>
      </w:pPr>
    </w:p>
    <w:p w14:paraId="1C0512DE" w14:textId="77777777" w:rsidR="00944076" w:rsidRPr="00944076" w:rsidRDefault="00944076" w:rsidP="009A3C7F">
      <w:pPr>
        <w:shd w:val="clear" w:color="auto" w:fill="FFFFFF"/>
        <w:rPr>
          <w:rFonts w:eastAsia="Times New Roman" w:cs="Arial"/>
          <w:b/>
          <w:bCs/>
          <w:kern w:val="0"/>
          <w:lang w:eastAsia="en-GB"/>
          <w14:ligatures w14:val="none"/>
        </w:rPr>
      </w:pPr>
      <w:r w:rsidRPr="00944076">
        <w:rPr>
          <w:rFonts w:eastAsia="Times New Roman" w:cs="Arial"/>
          <w:b/>
          <w:bCs/>
          <w:kern w:val="0"/>
          <w:lang w:eastAsia="en-GB"/>
          <w14:ligatures w14:val="none"/>
        </w:rPr>
        <w:t xml:space="preserve">15.3.2.3 Access to inhaler review service </w:t>
      </w:r>
    </w:p>
    <w:p w14:paraId="09B1A100" w14:textId="77777777" w:rsidR="00944076" w:rsidRPr="00944076" w:rsidRDefault="00944076" w:rsidP="009A3C7F">
      <w:pPr>
        <w:shd w:val="clear" w:color="auto" w:fill="FFFFFF"/>
        <w:rPr>
          <w:rFonts w:eastAsia="Times New Roman" w:cs="Arial"/>
          <w:b/>
          <w:bCs/>
          <w:kern w:val="0"/>
          <w:lang w:eastAsia="en-GB"/>
          <w14:ligatures w14:val="none"/>
        </w:rPr>
      </w:pPr>
    </w:p>
    <w:p w14:paraId="7E7A2203" w14:textId="77777777" w:rsidR="00944076" w:rsidRPr="00944076" w:rsidRDefault="00944076" w:rsidP="009A3C7F">
      <w:pPr>
        <w:shd w:val="clear" w:color="auto" w:fill="FFFFFF"/>
        <w:rPr>
          <w:rFonts w:eastAsia="Times New Roman" w:cs="Arial"/>
          <w:kern w:val="0"/>
          <w:lang w:eastAsia="en-GB"/>
          <w14:ligatures w14:val="none"/>
        </w:rPr>
      </w:pPr>
      <w:r w:rsidRPr="00944076">
        <w:rPr>
          <w:rFonts w:eastAsia="Times New Roman" w:cs="Arial"/>
          <w:kern w:val="0"/>
          <w:lang w:eastAsia="en-GB"/>
          <w14:ligatures w14:val="none"/>
        </w:rPr>
        <w:t>Seven of the pharmacies have signed up to provide this service.</w:t>
      </w:r>
    </w:p>
    <w:p w14:paraId="2E77C2F4" w14:textId="77777777" w:rsidR="00944076" w:rsidRPr="00944076" w:rsidRDefault="00944076" w:rsidP="009A3C7F">
      <w:pPr>
        <w:shd w:val="clear" w:color="auto" w:fill="FFFFFF"/>
        <w:rPr>
          <w:rFonts w:eastAsia="Times New Roman" w:cs="Arial"/>
          <w:kern w:val="0"/>
          <w:lang w:eastAsia="en-GB"/>
          <w14:ligatures w14:val="none"/>
        </w:rPr>
      </w:pPr>
    </w:p>
    <w:p w14:paraId="437ED9D7" w14:textId="77777777" w:rsidR="00944076" w:rsidRPr="00944076" w:rsidRDefault="00944076" w:rsidP="009A3C7F">
      <w:pPr>
        <w:shd w:val="clear" w:color="auto" w:fill="FFFFFF"/>
        <w:rPr>
          <w:rFonts w:eastAsia="Times New Roman" w:cs="Arial"/>
          <w:kern w:val="0"/>
          <w:lang w:eastAsia="en-GB"/>
          <w14:ligatures w14:val="none"/>
        </w:rPr>
      </w:pPr>
      <w:r w:rsidRPr="00944076">
        <w:rPr>
          <w:rFonts w:eastAsia="Times New Roman" w:cs="Arial"/>
          <w:kern w:val="0"/>
          <w:lang w:eastAsia="en-GB"/>
          <w14:ligatures w14:val="none"/>
        </w:rPr>
        <w:t>Three pharmacies provided this service in 2024/25, providing a total of 73 reviews (range at pharmacy level ten to 27). Three pharmacies provided this service between April 2025 and February 2026, providing a total of 122 reviews (range at pharmacy level 33 to 46).</w:t>
      </w:r>
    </w:p>
    <w:p w14:paraId="7477E6B8" w14:textId="77777777" w:rsidR="00944076" w:rsidRPr="00944076" w:rsidRDefault="00944076" w:rsidP="009A3C7F">
      <w:pPr>
        <w:shd w:val="clear" w:color="auto" w:fill="FFFFFF"/>
        <w:rPr>
          <w:rFonts w:eastAsia="Times New Roman" w:cs="Arial"/>
          <w:kern w:val="0"/>
          <w:lang w:eastAsia="en-GB"/>
          <w14:ligatures w14:val="none"/>
        </w:rPr>
      </w:pPr>
    </w:p>
    <w:p w14:paraId="36DB03FA"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15.3.2.4 Just in case service (palliative care packs)</w:t>
      </w:r>
    </w:p>
    <w:p w14:paraId="0B344D4A" w14:textId="77777777" w:rsidR="00944076" w:rsidRPr="00944076" w:rsidRDefault="00944076" w:rsidP="009A3C7F">
      <w:pPr>
        <w:rPr>
          <w:rFonts w:eastAsia="Times New Roman" w:cs="Arial"/>
          <w:kern w:val="0"/>
          <w:lang w:eastAsia="en-GB"/>
          <w14:ligatures w14:val="none"/>
        </w:rPr>
      </w:pPr>
    </w:p>
    <w:p w14:paraId="7085BD96"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Eight of the pharmacies have signed up to provide this service.</w:t>
      </w:r>
    </w:p>
    <w:p w14:paraId="55C71C0D" w14:textId="77777777" w:rsidR="00944076" w:rsidRPr="00944076" w:rsidRDefault="00944076" w:rsidP="009A3C7F">
      <w:pPr>
        <w:rPr>
          <w:rFonts w:eastAsia="Times New Roman" w:cs="Arial"/>
          <w:kern w:val="0"/>
          <w:lang w:eastAsia="en-GB"/>
          <w14:ligatures w14:val="none"/>
        </w:rPr>
      </w:pPr>
    </w:p>
    <w:p w14:paraId="528C029A"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 xml:space="preserve">One pharmacy provided this service in 2024/25, supplying a total of ten packs. One pharmacy provided this service in the first ten months of 2025/26, supplying a total of 19 packs. (Same pharmacy that provided it in 2024/25) </w:t>
      </w:r>
    </w:p>
    <w:p w14:paraId="604CACA7" w14:textId="77777777" w:rsidR="00944076" w:rsidRPr="00944076" w:rsidRDefault="00944076" w:rsidP="009A3C7F">
      <w:pPr>
        <w:ind w:left="720"/>
        <w:contextualSpacing/>
        <w:rPr>
          <w:rFonts w:eastAsia="Times New Roman" w:cs="Arial"/>
          <w:kern w:val="0"/>
          <w:lang w:eastAsia="en-GB"/>
          <w14:ligatures w14:val="none"/>
        </w:rPr>
      </w:pPr>
    </w:p>
    <w:p w14:paraId="78887348"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 xml:space="preserve">15.3.2.5 Medicines administration record service </w:t>
      </w:r>
    </w:p>
    <w:p w14:paraId="25BB9196" w14:textId="77777777" w:rsidR="00944076" w:rsidRPr="00944076" w:rsidRDefault="00944076" w:rsidP="009A3C7F">
      <w:pPr>
        <w:rPr>
          <w:rFonts w:eastAsia="Times New Roman" w:cs="Arial"/>
          <w:kern w:val="0"/>
          <w:lang w:eastAsia="en-GB"/>
          <w14:ligatures w14:val="none"/>
        </w:rPr>
      </w:pPr>
    </w:p>
    <w:p w14:paraId="27CCE7DB"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All the pharmacies have signed up to provide this service.</w:t>
      </w:r>
    </w:p>
    <w:p w14:paraId="7AE79785" w14:textId="77777777" w:rsidR="00944076" w:rsidRPr="00944076" w:rsidRDefault="00944076" w:rsidP="009A3C7F">
      <w:pPr>
        <w:rPr>
          <w:rFonts w:eastAsia="Times New Roman" w:cs="Arial"/>
          <w:kern w:val="0"/>
          <w:lang w:eastAsia="en-GB"/>
          <w14:ligatures w14:val="none"/>
        </w:rPr>
      </w:pPr>
    </w:p>
    <w:p w14:paraId="21ACB6CA" w14:textId="77777777" w:rsidR="00944076" w:rsidRPr="00944076" w:rsidRDefault="00944076" w:rsidP="009A3C7F">
      <w:pPr>
        <w:contextualSpacing/>
        <w:rPr>
          <w:rFonts w:eastAsia="Times New Roman" w:cs="Arial"/>
          <w:kern w:val="0"/>
          <w:lang w:eastAsia="en-GB"/>
          <w14:ligatures w14:val="none"/>
        </w:rPr>
      </w:pPr>
      <w:r w:rsidRPr="00944076">
        <w:rPr>
          <w:rFonts w:eastAsia="Times New Roman" w:cs="Arial"/>
          <w:kern w:val="0"/>
          <w:lang w:eastAsia="en-GB"/>
          <w14:ligatures w14:val="none"/>
        </w:rPr>
        <w:t>All pharmacies provided the service in 2024/25, providing a total of 220 charts to patients (range at pharmacy level five to 62). All pharmacies provided the service in the first ten months of 2025/26, providing a total of 783 charts to patients (range at pharmacy level 14 to 146)</w:t>
      </w:r>
    </w:p>
    <w:p w14:paraId="79ED2564" w14:textId="77777777" w:rsidR="00944076" w:rsidRPr="00944076" w:rsidRDefault="00944076" w:rsidP="009A3C7F">
      <w:pPr>
        <w:ind w:left="720"/>
        <w:contextualSpacing/>
        <w:rPr>
          <w:rFonts w:eastAsia="Times New Roman" w:cs="Arial"/>
          <w:kern w:val="0"/>
          <w:lang w:eastAsia="en-GB"/>
          <w14:ligatures w14:val="none"/>
        </w:rPr>
      </w:pPr>
    </w:p>
    <w:p w14:paraId="19C06E82"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15.3.2.6 Needle and syringe programmes</w:t>
      </w:r>
    </w:p>
    <w:p w14:paraId="065C2A67" w14:textId="77777777" w:rsidR="00944076" w:rsidRPr="00944076" w:rsidRDefault="00944076" w:rsidP="009A3C7F">
      <w:pPr>
        <w:rPr>
          <w:rFonts w:eastAsia="Times New Roman" w:cs="Arial"/>
          <w:kern w:val="0"/>
          <w:lang w:eastAsia="en-GB"/>
          <w14:ligatures w14:val="none"/>
        </w:rPr>
      </w:pPr>
    </w:p>
    <w:p w14:paraId="18D3553D"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Four of the pharmacies have signed up to provide this service.</w:t>
      </w:r>
    </w:p>
    <w:p w14:paraId="7E79B1E4" w14:textId="77777777" w:rsidR="00944076" w:rsidRPr="00944076" w:rsidRDefault="00944076" w:rsidP="009A3C7F">
      <w:pPr>
        <w:rPr>
          <w:rFonts w:eastAsia="Times New Roman" w:cs="Arial"/>
          <w:kern w:val="0"/>
          <w:lang w:eastAsia="en-GB"/>
          <w14:ligatures w14:val="none"/>
        </w:rPr>
      </w:pPr>
    </w:p>
    <w:p w14:paraId="1DAA6287"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lastRenderedPageBreak/>
        <w:t xml:space="preserve">Three pharmacies provided the service in 2024/25, providing a total of 18 provisions (range at pharmacy level three to 11). Three pharmacies in the first ten months of 2025/26 providing a total of 24 provisions (range at pharmacy level two to 13). </w:t>
      </w:r>
    </w:p>
    <w:p w14:paraId="2C92A1B2" w14:textId="77777777" w:rsidR="00944076" w:rsidRPr="00944076" w:rsidRDefault="00944076" w:rsidP="009A3C7F">
      <w:pPr>
        <w:rPr>
          <w:rFonts w:eastAsia="Times New Roman" w:cs="Arial"/>
          <w:kern w:val="0"/>
          <w:lang w:eastAsia="en-GB"/>
          <w14:ligatures w14:val="none"/>
        </w:rPr>
      </w:pPr>
    </w:p>
    <w:p w14:paraId="1051FC8A"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15.3.2.7 Help me quit @ pharmacy (level 2 smoking cessation) service</w:t>
      </w:r>
    </w:p>
    <w:p w14:paraId="3451E990" w14:textId="77777777" w:rsidR="00944076" w:rsidRPr="00944076" w:rsidRDefault="00944076" w:rsidP="009A3C7F">
      <w:pPr>
        <w:rPr>
          <w:rFonts w:eastAsia="Times New Roman" w:cs="Arial"/>
          <w:kern w:val="0"/>
          <w:lang w:eastAsia="en-GB"/>
          <w14:ligatures w14:val="none"/>
        </w:rPr>
      </w:pPr>
    </w:p>
    <w:p w14:paraId="457A1254"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All the pharmacies have signed up to provide this service.</w:t>
      </w:r>
    </w:p>
    <w:p w14:paraId="771DF242" w14:textId="77777777" w:rsidR="00944076" w:rsidRPr="00944076" w:rsidRDefault="00944076" w:rsidP="009A3C7F">
      <w:pPr>
        <w:rPr>
          <w:rFonts w:eastAsia="Times New Roman" w:cs="Arial"/>
          <w:kern w:val="0"/>
          <w:lang w:eastAsia="en-GB"/>
          <w14:ligatures w14:val="none"/>
        </w:rPr>
      </w:pPr>
    </w:p>
    <w:p w14:paraId="52E3D4B2"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 xml:space="preserve">Nine pharmacies provided the service in 2024/25, supporting 301 people (range at pharmacy level two to 104). Nine pharmacies provided this service in the first ten months of 2025/26, supporting 177 people (range at pharmacy level two to 33). </w:t>
      </w:r>
    </w:p>
    <w:p w14:paraId="0963A149" w14:textId="77777777" w:rsidR="00944076" w:rsidRPr="00944076" w:rsidRDefault="00944076" w:rsidP="009A3C7F">
      <w:pPr>
        <w:rPr>
          <w:rFonts w:eastAsia="Times New Roman" w:cs="Arial"/>
          <w:kern w:val="0"/>
          <w:lang w:eastAsia="en-GB"/>
          <w14:ligatures w14:val="none"/>
        </w:rPr>
      </w:pPr>
    </w:p>
    <w:p w14:paraId="4E2F2138"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15.3.2.8 Help me quit @ pharmacy (level 3 smoking cessation) service</w:t>
      </w:r>
    </w:p>
    <w:p w14:paraId="011A47ED" w14:textId="77777777" w:rsidR="00944076" w:rsidRPr="00944076" w:rsidRDefault="00944076" w:rsidP="009A3C7F">
      <w:pPr>
        <w:rPr>
          <w:rFonts w:eastAsia="Times New Roman" w:cs="Arial"/>
          <w:kern w:val="0"/>
          <w:lang w:eastAsia="en-GB"/>
          <w14:ligatures w14:val="none"/>
        </w:rPr>
      </w:pPr>
    </w:p>
    <w:p w14:paraId="6845F5C2"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Nine of the pharmacies have signed up to provide this service.</w:t>
      </w:r>
    </w:p>
    <w:p w14:paraId="5EF20930" w14:textId="77777777" w:rsidR="00944076" w:rsidRPr="00944076" w:rsidRDefault="00944076" w:rsidP="009A3C7F">
      <w:pPr>
        <w:rPr>
          <w:rFonts w:eastAsia="Times New Roman" w:cs="Arial"/>
          <w:kern w:val="0"/>
          <w:lang w:eastAsia="en-GB"/>
          <w14:ligatures w14:val="none"/>
        </w:rPr>
      </w:pPr>
    </w:p>
    <w:p w14:paraId="06576975"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 xml:space="preserve">Six pharmacies provided the service in 2024/25, supporting 370 people (range at pharmacy level 22 to 98). Six pharmacies provided this service in the first ten months of 2025/26, supporting 352 people (range at pharmacy level 22 to 90). </w:t>
      </w:r>
    </w:p>
    <w:p w14:paraId="62755A02" w14:textId="77777777" w:rsidR="00944076" w:rsidRPr="00944076" w:rsidRDefault="00944076" w:rsidP="009A3C7F">
      <w:pPr>
        <w:ind w:left="720"/>
        <w:contextualSpacing/>
        <w:rPr>
          <w:rFonts w:eastAsia="Times New Roman" w:cs="Arial"/>
          <w:kern w:val="0"/>
          <w:lang w:eastAsia="en-GB"/>
          <w14:ligatures w14:val="none"/>
        </w:rPr>
      </w:pPr>
    </w:p>
    <w:p w14:paraId="4B0AFAE2"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 xml:space="preserve">15.3.2.9 Supervised administration of medicine </w:t>
      </w:r>
    </w:p>
    <w:p w14:paraId="7F47891D" w14:textId="77777777" w:rsidR="00944076" w:rsidRPr="00944076" w:rsidRDefault="00944076" w:rsidP="009A3C7F">
      <w:pPr>
        <w:rPr>
          <w:rFonts w:eastAsia="Times New Roman" w:cs="Arial"/>
          <w:kern w:val="0"/>
          <w:lang w:eastAsia="en-GB"/>
          <w14:ligatures w14:val="none"/>
        </w:rPr>
      </w:pPr>
    </w:p>
    <w:p w14:paraId="766415A4"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All the pharmacies have signed up to provide this service.</w:t>
      </w:r>
    </w:p>
    <w:p w14:paraId="789F3B5F" w14:textId="77777777" w:rsidR="00944076" w:rsidRPr="00944076" w:rsidRDefault="00944076" w:rsidP="009A3C7F">
      <w:pPr>
        <w:rPr>
          <w:rFonts w:eastAsia="Times New Roman" w:cs="Arial"/>
          <w:kern w:val="0"/>
          <w:lang w:eastAsia="en-GB"/>
          <w14:ligatures w14:val="none"/>
        </w:rPr>
      </w:pPr>
    </w:p>
    <w:p w14:paraId="0FB5A307" w14:textId="77777777" w:rsidR="00944076" w:rsidRPr="00944076" w:rsidRDefault="00944076" w:rsidP="009A3C7F">
      <w:pPr>
        <w:rPr>
          <w:rFonts w:eastAsia="Aptos" w:cs="Arial"/>
        </w:rPr>
      </w:pPr>
      <w:r w:rsidRPr="00944076">
        <w:rPr>
          <w:rFonts w:eastAsia="Aptos" w:cs="Arial"/>
        </w:rPr>
        <w:t>In 2024/25, six pharmacies provided this service to 108 clients (range at pharmacy level two to 41), supervising a total of 1,044 doses (range at pharmacy level 88 to 451). In the first ten months of 2025/26, four pharmacies provided this service to 63 clients (range at pharmacy level four to 31), supervising a total of 317 doses (range at pharmacy level 83 to 234).</w:t>
      </w:r>
    </w:p>
    <w:p w14:paraId="463BEC3B" w14:textId="77777777" w:rsidR="00944076" w:rsidRPr="00944076" w:rsidRDefault="00944076" w:rsidP="009A3C7F">
      <w:pPr>
        <w:rPr>
          <w:rFonts w:eastAsia="Times New Roman" w:cs="Arial"/>
          <w:kern w:val="0"/>
          <w:lang w:eastAsia="en-GB"/>
          <w14:ligatures w14:val="none"/>
        </w:rPr>
      </w:pPr>
    </w:p>
    <w:p w14:paraId="03E25F1D"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 xml:space="preserve">15.3.2.10 Urgent medicines service </w:t>
      </w:r>
    </w:p>
    <w:p w14:paraId="1E67A08C" w14:textId="77777777" w:rsidR="00944076" w:rsidRPr="00944076" w:rsidRDefault="00944076" w:rsidP="009A3C7F">
      <w:pPr>
        <w:rPr>
          <w:rFonts w:eastAsia="Times New Roman" w:cs="Arial"/>
          <w:kern w:val="0"/>
          <w:lang w:eastAsia="en-GB"/>
          <w14:ligatures w14:val="none"/>
        </w:rPr>
      </w:pPr>
    </w:p>
    <w:p w14:paraId="0886D981" w14:textId="77777777" w:rsidR="00944076" w:rsidRPr="00944076" w:rsidRDefault="00944076" w:rsidP="009A3C7F">
      <w:pPr>
        <w:rPr>
          <w:rFonts w:eastAsia="Aptos" w:cs="Arial"/>
        </w:rPr>
      </w:pPr>
      <w:r w:rsidRPr="00944076">
        <w:rPr>
          <w:rFonts w:eastAsia="Times New Roman" w:cs="Arial"/>
          <w:kern w:val="0"/>
          <w:lang w:eastAsia="en-GB"/>
          <w14:ligatures w14:val="none"/>
        </w:rPr>
        <w:t>Three of the pharmacies have signed up to provide this service</w:t>
      </w:r>
    </w:p>
    <w:p w14:paraId="3852D7A5" w14:textId="77777777" w:rsidR="00944076" w:rsidRPr="00944076" w:rsidRDefault="00944076" w:rsidP="009A3C7F">
      <w:pPr>
        <w:rPr>
          <w:rFonts w:eastAsia="Aptos" w:cs="Arial"/>
          <w:b/>
          <w:bCs/>
        </w:rPr>
      </w:pPr>
      <w:r w:rsidRPr="00944076">
        <w:rPr>
          <w:rFonts w:eastAsia="Aptos" w:cs="Arial"/>
        </w:rPr>
        <w:t xml:space="preserve"> </w:t>
      </w:r>
    </w:p>
    <w:p w14:paraId="5D27AE1B" w14:textId="77777777" w:rsidR="00944076" w:rsidRPr="00944076" w:rsidRDefault="00944076" w:rsidP="009A3C7F">
      <w:pPr>
        <w:rPr>
          <w:rFonts w:eastAsia="Aptos" w:cs="Arial"/>
          <w:b/>
          <w:bCs/>
          <w:sz w:val="26"/>
          <w:szCs w:val="26"/>
        </w:rPr>
      </w:pPr>
      <w:r w:rsidRPr="00944076">
        <w:rPr>
          <w:rFonts w:eastAsia="Aptos" w:cs="Arial"/>
          <w:b/>
          <w:bCs/>
          <w:sz w:val="26"/>
          <w:szCs w:val="26"/>
        </w:rPr>
        <w:t xml:space="preserve">15.4 Current provision of pharmaceutical services outside the locality </w:t>
      </w:r>
    </w:p>
    <w:p w14:paraId="564F217E" w14:textId="77777777" w:rsidR="00944076" w:rsidRPr="00944076" w:rsidRDefault="00944076" w:rsidP="009A3C7F">
      <w:pPr>
        <w:rPr>
          <w:rFonts w:eastAsia="Aptos" w:cs="Arial"/>
        </w:rPr>
      </w:pPr>
    </w:p>
    <w:p w14:paraId="34C4B6E4" w14:textId="77777777" w:rsidR="00944076" w:rsidRPr="00944076" w:rsidRDefault="00944076" w:rsidP="009A3C7F">
      <w:pPr>
        <w:rPr>
          <w:rFonts w:eastAsia="Aptos" w:cs="Arial"/>
        </w:rPr>
      </w:pPr>
      <w:r w:rsidRPr="00944076">
        <w:rPr>
          <w:rFonts w:eastAsia="Aptos" w:cs="Arial"/>
        </w:rPr>
        <w:t>Some residents may choose to access contractors outside both the locality and the health board’s area in order to access services:</w:t>
      </w:r>
    </w:p>
    <w:p w14:paraId="79A913AE" w14:textId="77777777" w:rsidR="00944076" w:rsidRPr="00944076" w:rsidRDefault="00944076" w:rsidP="009A3C7F">
      <w:pPr>
        <w:rPr>
          <w:rFonts w:eastAsia="Aptos" w:cs="Arial"/>
        </w:rPr>
      </w:pPr>
    </w:p>
    <w:p w14:paraId="6664E5A8" w14:textId="77777777" w:rsidR="00944076" w:rsidRPr="00944076" w:rsidRDefault="00944076" w:rsidP="00B76905">
      <w:pPr>
        <w:numPr>
          <w:ilvl w:val="0"/>
          <w:numId w:val="151"/>
        </w:numPr>
        <w:contextualSpacing/>
        <w:rPr>
          <w:rFonts w:eastAsia="Aptos" w:cs="Arial"/>
        </w:rPr>
      </w:pPr>
      <w:r w:rsidRPr="00944076">
        <w:rPr>
          <w:rFonts w:eastAsia="Aptos" w:cs="Arial"/>
        </w:rPr>
        <w:t>Offered by dispensing appliance contractors</w:t>
      </w:r>
    </w:p>
    <w:p w14:paraId="47CB4A27" w14:textId="77777777" w:rsidR="00944076" w:rsidRPr="00944076" w:rsidRDefault="00944076" w:rsidP="00B76905">
      <w:pPr>
        <w:numPr>
          <w:ilvl w:val="0"/>
          <w:numId w:val="151"/>
        </w:numPr>
        <w:contextualSpacing/>
        <w:rPr>
          <w:rFonts w:eastAsia="Aptos" w:cs="Arial"/>
        </w:rPr>
      </w:pPr>
      <w:r w:rsidRPr="00944076">
        <w:rPr>
          <w:rFonts w:eastAsia="Aptos" w:cs="Arial"/>
        </w:rPr>
        <w:t>Which are located near to where they work, shop or visit for leisure or other purposes.</w:t>
      </w:r>
    </w:p>
    <w:p w14:paraId="5CE89820" w14:textId="77777777" w:rsidR="00944076" w:rsidRPr="00944076" w:rsidRDefault="00944076" w:rsidP="009A3C7F">
      <w:pPr>
        <w:shd w:val="clear" w:color="auto" w:fill="FFFFFF"/>
        <w:rPr>
          <w:rFonts w:eastAsia="Aptos" w:cs="Arial"/>
        </w:rPr>
      </w:pPr>
    </w:p>
    <w:p w14:paraId="6220FB49" w14:textId="77777777" w:rsidR="00944076" w:rsidRPr="00944076" w:rsidRDefault="00944076" w:rsidP="009A3C7F">
      <w:pPr>
        <w:shd w:val="clear" w:color="auto" w:fill="FFFFFF"/>
        <w:rPr>
          <w:rFonts w:eastAsia="Times New Roman" w:cs="Arial"/>
          <w:kern w:val="0"/>
          <w:lang w:eastAsia="en-GB"/>
          <w14:ligatures w14:val="none"/>
        </w:rPr>
      </w:pPr>
      <w:r w:rsidRPr="00944076">
        <w:rPr>
          <w:rFonts w:eastAsia="Times New Roman" w:cs="Arial"/>
          <w:kern w:val="0"/>
          <w:lang w:eastAsia="en-GB"/>
          <w14:ligatures w14:val="none"/>
        </w:rPr>
        <w:t>Whilst the majority of prescriptions written by the GP practices in 2024/25 were dispensed by the pharmacies in the locality (89%), 9.8% were dispensed outside the locality.</w:t>
      </w:r>
    </w:p>
    <w:p w14:paraId="2654FC6F" w14:textId="77777777" w:rsidR="00944076" w:rsidRPr="00944076" w:rsidRDefault="00944076" w:rsidP="009A3C7F">
      <w:pPr>
        <w:shd w:val="clear" w:color="auto" w:fill="FFFFFF"/>
        <w:rPr>
          <w:rFonts w:eastAsia="Times New Roman" w:cs="Arial"/>
          <w:kern w:val="0"/>
          <w:lang w:eastAsia="en-GB"/>
          <w14:ligatures w14:val="none"/>
        </w:rPr>
      </w:pPr>
    </w:p>
    <w:p w14:paraId="2564EACB" w14:textId="77777777" w:rsidR="00944076" w:rsidRPr="00944076" w:rsidRDefault="00944076" w:rsidP="00B76905">
      <w:pPr>
        <w:numPr>
          <w:ilvl w:val="0"/>
          <w:numId w:val="152"/>
        </w:numPr>
        <w:textAlignment w:val="baseline"/>
        <w:rPr>
          <w:rFonts w:eastAsia="Times New Roman" w:cs="Arial"/>
          <w:kern w:val="0"/>
          <w:lang w:eastAsia="en-GB"/>
          <w14:ligatures w14:val="none"/>
        </w:rPr>
      </w:pPr>
      <w:r w:rsidRPr="00944076">
        <w:rPr>
          <w:rFonts w:eastAsia="Times New Roman" w:cs="Arial"/>
          <w:kern w:val="0"/>
          <w:lang w:eastAsia="en-GB"/>
          <w14:ligatures w14:val="none"/>
        </w:rPr>
        <w:t>2.5% by pharmacies in Hywel Dda University Health Board</w:t>
      </w:r>
    </w:p>
    <w:p w14:paraId="2B9037A1" w14:textId="77777777" w:rsidR="00944076" w:rsidRPr="00944076" w:rsidRDefault="00944076" w:rsidP="00B76905">
      <w:pPr>
        <w:numPr>
          <w:ilvl w:val="0"/>
          <w:numId w:val="152"/>
        </w:numPr>
        <w:textAlignment w:val="baseline"/>
        <w:rPr>
          <w:rFonts w:eastAsia="Times New Roman" w:cs="Arial"/>
          <w:kern w:val="0"/>
          <w:lang w:eastAsia="en-GB"/>
          <w14:ligatures w14:val="none"/>
        </w:rPr>
      </w:pPr>
      <w:r w:rsidRPr="00944076">
        <w:rPr>
          <w:rFonts w:eastAsia="Times New Roman" w:cs="Arial"/>
          <w:kern w:val="0"/>
          <w:lang w:eastAsia="en-GB"/>
          <w14:ligatures w14:val="none"/>
        </w:rPr>
        <w:t>2.5% by pharmacies in Powys Teaching Health Board</w:t>
      </w:r>
    </w:p>
    <w:p w14:paraId="56B2D2B6" w14:textId="77777777" w:rsidR="00944076" w:rsidRPr="00944076" w:rsidRDefault="00944076" w:rsidP="00B76905">
      <w:pPr>
        <w:numPr>
          <w:ilvl w:val="0"/>
          <w:numId w:val="152"/>
        </w:numPr>
        <w:textAlignment w:val="baseline"/>
        <w:rPr>
          <w:rFonts w:eastAsia="Times New Roman" w:cs="Arial"/>
          <w:kern w:val="0"/>
          <w:lang w:eastAsia="en-GB"/>
          <w14:ligatures w14:val="none"/>
        </w:rPr>
      </w:pPr>
      <w:r w:rsidRPr="00944076">
        <w:rPr>
          <w:rFonts w:eastAsia="Times New Roman" w:cs="Arial"/>
          <w:kern w:val="0"/>
          <w:lang w:eastAsia="en-GB"/>
          <w14:ligatures w14:val="none"/>
        </w:rPr>
        <w:t>1.3% by pharmacies in City Health locality</w:t>
      </w:r>
    </w:p>
    <w:p w14:paraId="254A64F0" w14:textId="77777777" w:rsidR="00944076" w:rsidRPr="00944076" w:rsidRDefault="00944076" w:rsidP="00B76905">
      <w:pPr>
        <w:numPr>
          <w:ilvl w:val="0"/>
          <w:numId w:val="152"/>
        </w:numPr>
        <w:textAlignment w:val="baseline"/>
        <w:rPr>
          <w:rFonts w:eastAsia="Times New Roman" w:cs="Arial"/>
          <w:kern w:val="0"/>
          <w:lang w:eastAsia="en-GB"/>
          <w14:ligatures w14:val="none"/>
        </w:rPr>
      </w:pPr>
      <w:r w:rsidRPr="00944076">
        <w:rPr>
          <w:rFonts w:eastAsia="Times New Roman" w:cs="Arial"/>
          <w:kern w:val="0"/>
          <w:lang w:eastAsia="en-GB"/>
          <w14:ligatures w14:val="none"/>
        </w:rPr>
        <w:lastRenderedPageBreak/>
        <w:t>1.2% by pharmacies in Cwmtawe locality</w:t>
      </w:r>
    </w:p>
    <w:p w14:paraId="320F1657" w14:textId="77777777" w:rsidR="00944076" w:rsidRPr="00944076" w:rsidRDefault="00944076" w:rsidP="00B76905">
      <w:pPr>
        <w:numPr>
          <w:ilvl w:val="0"/>
          <w:numId w:val="152"/>
        </w:numPr>
        <w:textAlignment w:val="baseline"/>
        <w:rPr>
          <w:rFonts w:eastAsia="Times New Roman" w:cs="Arial"/>
          <w:kern w:val="0"/>
          <w:lang w:eastAsia="en-GB"/>
          <w14:ligatures w14:val="none"/>
        </w:rPr>
      </w:pPr>
      <w:r w:rsidRPr="00944076">
        <w:rPr>
          <w:rFonts w:eastAsia="Times New Roman" w:cs="Arial"/>
          <w:kern w:val="0"/>
          <w:lang w:eastAsia="en-GB"/>
          <w14:ligatures w14:val="none"/>
        </w:rPr>
        <w:t>0.7% by pharmacies in Penderi locality</w:t>
      </w:r>
    </w:p>
    <w:p w14:paraId="07D8E891" w14:textId="77777777" w:rsidR="00944076" w:rsidRPr="00944076" w:rsidRDefault="00944076" w:rsidP="00B76905">
      <w:pPr>
        <w:numPr>
          <w:ilvl w:val="0"/>
          <w:numId w:val="152"/>
        </w:numPr>
        <w:textAlignment w:val="baseline"/>
        <w:rPr>
          <w:rFonts w:eastAsia="Times New Roman" w:cs="Arial"/>
          <w:kern w:val="0"/>
          <w:lang w:eastAsia="en-GB"/>
          <w14:ligatures w14:val="none"/>
        </w:rPr>
      </w:pPr>
      <w:r w:rsidRPr="00944076">
        <w:rPr>
          <w:rFonts w:eastAsia="Times New Roman" w:cs="Arial"/>
          <w:kern w:val="0"/>
          <w:lang w:eastAsia="en-GB"/>
          <w14:ligatures w14:val="none"/>
        </w:rPr>
        <w:t>0.4% by pharmacies in Bay Health locality</w:t>
      </w:r>
    </w:p>
    <w:p w14:paraId="275EB7CD" w14:textId="77777777" w:rsidR="00944076" w:rsidRPr="00944076" w:rsidRDefault="00944076" w:rsidP="00B76905">
      <w:pPr>
        <w:numPr>
          <w:ilvl w:val="0"/>
          <w:numId w:val="152"/>
        </w:numPr>
        <w:textAlignment w:val="baseline"/>
        <w:rPr>
          <w:rFonts w:eastAsia="Times New Roman" w:cs="Arial"/>
          <w:kern w:val="0"/>
          <w:lang w:eastAsia="en-GB"/>
          <w14:ligatures w14:val="none"/>
        </w:rPr>
      </w:pPr>
      <w:r w:rsidRPr="00944076">
        <w:rPr>
          <w:rFonts w:eastAsia="Times New Roman" w:cs="Arial"/>
          <w:kern w:val="0"/>
          <w:lang w:eastAsia="en-GB"/>
          <w14:ligatures w14:val="none"/>
        </w:rPr>
        <w:t xml:space="preserve">0.4% by contractors in England </w:t>
      </w:r>
    </w:p>
    <w:p w14:paraId="77BE04FE" w14:textId="77777777" w:rsidR="00944076" w:rsidRPr="00944076" w:rsidRDefault="00944076" w:rsidP="00B76905">
      <w:pPr>
        <w:numPr>
          <w:ilvl w:val="0"/>
          <w:numId w:val="152"/>
        </w:numPr>
        <w:textAlignment w:val="baseline"/>
        <w:rPr>
          <w:rFonts w:eastAsia="Times New Roman" w:cs="Arial"/>
          <w:kern w:val="0"/>
          <w:lang w:eastAsia="en-GB"/>
          <w14:ligatures w14:val="none"/>
        </w:rPr>
      </w:pPr>
      <w:r w:rsidRPr="00944076">
        <w:rPr>
          <w:rFonts w:eastAsia="Times New Roman" w:cs="Arial"/>
          <w:kern w:val="0"/>
          <w:lang w:eastAsia="en-GB"/>
          <w14:ligatures w14:val="none"/>
        </w:rPr>
        <w:t>0.4% by pharmacies in Neath locality</w:t>
      </w:r>
    </w:p>
    <w:p w14:paraId="4FD27617" w14:textId="77777777" w:rsidR="00944076" w:rsidRPr="00944076" w:rsidRDefault="00944076" w:rsidP="00B76905">
      <w:pPr>
        <w:numPr>
          <w:ilvl w:val="0"/>
          <w:numId w:val="152"/>
        </w:numPr>
        <w:textAlignment w:val="baseline"/>
        <w:rPr>
          <w:rFonts w:eastAsia="Times New Roman" w:cs="Arial"/>
          <w:kern w:val="0"/>
          <w:lang w:eastAsia="en-GB"/>
          <w14:ligatures w14:val="none"/>
        </w:rPr>
      </w:pPr>
      <w:r w:rsidRPr="00944076">
        <w:rPr>
          <w:rFonts w:eastAsia="Times New Roman" w:cs="Arial"/>
          <w:kern w:val="0"/>
          <w:lang w:eastAsia="en-GB"/>
          <w14:ligatures w14:val="none"/>
        </w:rPr>
        <w:t>0.2% by pharmacies in Cwm Taf Morgannwg University Health Board</w:t>
      </w:r>
    </w:p>
    <w:p w14:paraId="580926E6" w14:textId="77777777" w:rsidR="00944076" w:rsidRPr="00944076" w:rsidRDefault="00944076" w:rsidP="00B76905">
      <w:pPr>
        <w:numPr>
          <w:ilvl w:val="0"/>
          <w:numId w:val="152"/>
        </w:numPr>
        <w:textAlignment w:val="baseline"/>
        <w:rPr>
          <w:rFonts w:eastAsia="Times New Roman" w:cs="Arial"/>
          <w:kern w:val="0"/>
          <w:lang w:eastAsia="en-GB"/>
          <w14:ligatures w14:val="none"/>
        </w:rPr>
      </w:pPr>
      <w:r w:rsidRPr="00944076">
        <w:rPr>
          <w:rFonts w:eastAsia="Times New Roman" w:cs="Arial"/>
          <w:kern w:val="0"/>
          <w:lang w:eastAsia="en-GB"/>
          <w14:ligatures w14:val="none"/>
        </w:rPr>
        <w:t>0.1% by pharmacies in Afan locality</w:t>
      </w:r>
    </w:p>
    <w:p w14:paraId="72261786" w14:textId="77777777" w:rsidR="00944076" w:rsidRPr="00944076" w:rsidRDefault="00944076" w:rsidP="00B76905">
      <w:pPr>
        <w:numPr>
          <w:ilvl w:val="0"/>
          <w:numId w:val="152"/>
        </w:numPr>
        <w:textAlignment w:val="baseline"/>
        <w:rPr>
          <w:rFonts w:eastAsia="Times New Roman" w:cs="Arial"/>
          <w:kern w:val="0"/>
          <w:lang w:eastAsia="en-GB"/>
          <w14:ligatures w14:val="none"/>
        </w:rPr>
      </w:pPr>
      <w:r w:rsidRPr="00944076">
        <w:rPr>
          <w:rFonts w:eastAsia="Times New Roman" w:cs="Arial"/>
          <w:kern w:val="0"/>
          <w:lang w:eastAsia="en-GB"/>
          <w14:ligatures w14:val="none"/>
        </w:rPr>
        <w:t>0.1% by pharmacies in Llwchwr locality</w:t>
      </w:r>
    </w:p>
    <w:p w14:paraId="3A6164F1" w14:textId="77777777" w:rsidR="00944076" w:rsidRPr="00944076" w:rsidRDefault="00944076" w:rsidP="009A3C7F">
      <w:pPr>
        <w:shd w:val="clear" w:color="auto" w:fill="FFFFFF"/>
        <w:rPr>
          <w:rFonts w:eastAsia="Times New Roman" w:cs="Arial"/>
          <w:kern w:val="0"/>
          <w:lang w:eastAsia="en-GB"/>
          <w14:ligatures w14:val="none"/>
        </w:rPr>
      </w:pPr>
    </w:p>
    <w:p w14:paraId="456A55BB" w14:textId="77777777" w:rsidR="00944076" w:rsidRPr="00944076" w:rsidRDefault="00944076" w:rsidP="009A3C7F">
      <w:pPr>
        <w:shd w:val="clear" w:color="auto" w:fill="FFFFFF"/>
        <w:rPr>
          <w:rFonts w:eastAsia="Times New Roman" w:cs="Arial"/>
          <w:kern w:val="0"/>
          <w:lang w:eastAsia="en-GB"/>
          <w14:ligatures w14:val="none"/>
        </w:rPr>
      </w:pPr>
      <w:r w:rsidRPr="00944076">
        <w:rPr>
          <w:rFonts w:eastAsia="Times New Roman" w:cs="Arial"/>
          <w:kern w:val="0"/>
          <w:lang w:eastAsia="en-GB"/>
          <w14:ligatures w14:val="none"/>
        </w:rPr>
        <w:t>In the first nine months of 2025/26 the majority of prescriptions written by the GP practices were dispensed by the pharmacies in the locality (82.2%), 17.4% were dispensed outside the locality.</w:t>
      </w:r>
    </w:p>
    <w:p w14:paraId="1B67BB28" w14:textId="77777777" w:rsidR="00944076" w:rsidRPr="00944076" w:rsidRDefault="00944076" w:rsidP="009A3C7F">
      <w:pPr>
        <w:shd w:val="clear" w:color="auto" w:fill="FFFFFF"/>
        <w:rPr>
          <w:rFonts w:eastAsia="Times New Roman" w:cs="Arial"/>
          <w:kern w:val="0"/>
          <w:lang w:eastAsia="en-GB"/>
          <w14:ligatures w14:val="none"/>
        </w:rPr>
      </w:pPr>
    </w:p>
    <w:p w14:paraId="7583A74C" w14:textId="77777777" w:rsidR="00944076" w:rsidRPr="00944076" w:rsidRDefault="00944076" w:rsidP="00B76905">
      <w:pPr>
        <w:numPr>
          <w:ilvl w:val="0"/>
          <w:numId w:val="152"/>
        </w:numPr>
        <w:textAlignment w:val="baseline"/>
        <w:rPr>
          <w:rFonts w:eastAsia="Times New Roman" w:cs="Arial"/>
          <w:kern w:val="0"/>
          <w:lang w:eastAsia="en-GB"/>
          <w14:ligatures w14:val="none"/>
        </w:rPr>
      </w:pPr>
      <w:r w:rsidRPr="00944076">
        <w:rPr>
          <w:rFonts w:eastAsia="Times New Roman" w:cs="Arial"/>
          <w:kern w:val="0"/>
          <w:lang w:eastAsia="en-GB"/>
          <w14:ligatures w14:val="none"/>
        </w:rPr>
        <w:t>11.8% by pharmacies in Hywel Dda University Health Board</w:t>
      </w:r>
    </w:p>
    <w:p w14:paraId="56B61089" w14:textId="77777777" w:rsidR="00944076" w:rsidRPr="00944076" w:rsidRDefault="00944076" w:rsidP="00B76905">
      <w:pPr>
        <w:numPr>
          <w:ilvl w:val="0"/>
          <w:numId w:val="152"/>
        </w:numPr>
        <w:textAlignment w:val="baseline"/>
        <w:rPr>
          <w:rFonts w:eastAsia="Times New Roman" w:cs="Arial"/>
          <w:kern w:val="0"/>
          <w:lang w:eastAsia="en-GB"/>
          <w14:ligatures w14:val="none"/>
        </w:rPr>
      </w:pPr>
      <w:r w:rsidRPr="00944076">
        <w:rPr>
          <w:rFonts w:eastAsia="Times New Roman" w:cs="Arial"/>
          <w:kern w:val="0"/>
          <w:lang w:eastAsia="en-GB"/>
          <w14:ligatures w14:val="none"/>
        </w:rPr>
        <w:t>2.0% by pharmacies in Powys Teaching Health Board</w:t>
      </w:r>
    </w:p>
    <w:p w14:paraId="21A53069" w14:textId="77777777" w:rsidR="00944076" w:rsidRPr="00944076" w:rsidRDefault="00944076" w:rsidP="00B76905">
      <w:pPr>
        <w:numPr>
          <w:ilvl w:val="0"/>
          <w:numId w:val="152"/>
        </w:numPr>
        <w:textAlignment w:val="baseline"/>
        <w:rPr>
          <w:rFonts w:eastAsia="Times New Roman" w:cs="Arial"/>
          <w:kern w:val="0"/>
          <w:lang w:eastAsia="en-GB"/>
          <w14:ligatures w14:val="none"/>
        </w:rPr>
      </w:pPr>
      <w:r w:rsidRPr="00944076">
        <w:rPr>
          <w:rFonts w:eastAsia="Times New Roman" w:cs="Arial"/>
          <w:kern w:val="0"/>
          <w:lang w:eastAsia="en-GB"/>
          <w14:ligatures w14:val="none"/>
        </w:rPr>
        <w:t>1.2% by pharmacies in City Health locality</w:t>
      </w:r>
    </w:p>
    <w:p w14:paraId="593F0169" w14:textId="77777777" w:rsidR="00944076" w:rsidRPr="00944076" w:rsidRDefault="00944076" w:rsidP="00B76905">
      <w:pPr>
        <w:numPr>
          <w:ilvl w:val="0"/>
          <w:numId w:val="152"/>
        </w:numPr>
        <w:textAlignment w:val="baseline"/>
        <w:rPr>
          <w:rFonts w:eastAsia="Times New Roman" w:cs="Arial"/>
          <w:kern w:val="0"/>
          <w:lang w:eastAsia="en-GB"/>
          <w14:ligatures w14:val="none"/>
        </w:rPr>
      </w:pPr>
      <w:r w:rsidRPr="00944076">
        <w:rPr>
          <w:rFonts w:eastAsia="Times New Roman" w:cs="Arial"/>
          <w:kern w:val="0"/>
          <w:lang w:eastAsia="en-GB"/>
          <w14:ligatures w14:val="none"/>
        </w:rPr>
        <w:t>0.8% by pharmacies in Cwmtawe locality</w:t>
      </w:r>
    </w:p>
    <w:p w14:paraId="61260E1B" w14:textId="77777777" w:rsidR="00944076" w:rsidRPr="00944076" w:rsidRDefault="00944076" w:rsidP="00B76905">
      <w:pPr>
        <w:numPr>
          <w:ilvl w:val="0"/>
          <w:numId w:val="152"/>
        </w:numPr>
        <w:textAlignment w:val="baseline"/>
        <w:rPr>
          <w:rFonts w:eastAsia="Times New Roman" w:cs="Arial"/>
          <w:kern w:val="0"/>
          <w:lang w:eastAsia="en-GB"/>
          <w14:ligatures w14:val="none"/>
        </w:rPr>
      </w:pPr>
      <w:r w:rsidRPr="00944076">
        <w:rPr>
          <w:rFonts w:eastAsia="Times New Roman" w:cs="Arial"/>
          <w:kern w:val="0"/>
          <w:lang w:eastAsia="en-GB"/>
          <w14:ligatures w14:val="none"/>
        </w:rPr>
        <w:t>0.5% by pharmacies in Penderi locality</w:t>
      </w:r>
    </w:p>
    <w:p w14:paraId="0BF81068" w14:textId="77777777" w:rsidR="00944076" w:rsidRPr="00944076" w:rsidRDefault="00944076" w:rsidP="00B76905">
      <w:pPr>
        <w:numPr>
          <w:ilvl w:val="0"/>
          <w:numId w:val="152"/>
        </w:numPr>
        <w:textAlignment w:val="baseline"/>
        <w:rPr>
          <w:rFonts w:eastAsia="Times New Roman" w:cs="Arial"/>
          <w:kern w:val="0"/>
          <w:lang w:eastAsia="en-GB"/>
          <w14:ligatures w14:val="none"/>
        </w:rPr>
      </w:pPr>
      <w:r w:rsidRPr="00944076">
        <w:rPr>
          <w:rFonts w:eastAsia="Times New Roman" w:cs="Arial"/>
          <w:kern w:val="0"/>
          <w:lang w:eastAsia="en-GB"/>
          <w14:ligatures w14:val="none"/>
        </w:rPr>
        <w:t xml:space="preserve">0.4% by contractors in England </w:t>
      </w:r>
    </w:p>
    <w:p w14:paraId="469A1D27" w14:textId="77777777" w:rsidR="00944076" w:rsidRPr="00944076" w:rsidRDefault="00944076" w:rsidP="00B76905">
      <w:pPr>
        <w:numPr>
          <w:ilvl w:val="0"/>
          <w:numId w:val="152"/>
        </w:numPr>
        <w:textAlignment w:val="baseline"/>
        <w:rPr>
          <w:rFonts w:eastAsia="Times New Roman" w:cs="Arial"/>
          <w:kern w:val="0"/>
          <w:lang w:eastAsia="en-GB"/>
          <w14:ligatures w14:val="none"/>
        </w:rPr>
      </w:pPr>
      <w:r w:rsidRPr="00944076">
        <w:rPr>
          <w:rFonts w:eastAsia="Times New Roman" w:cs="Arial"/>
          <w:kern w:val="0"/>
          <w:lang w:eastAsia="en-GB"/>
          <w14:ligatures w14:val="none"/>
        </w:rPr>
        <w:t>0.2% by pharmacies in Bay Health locality</w:t>
      </w:r>
    </w:p>
    <w:p w14:paraId="215D43ED" w14:textId="77777777" w:rsidR="00944076" w:rsidRPr="00944076" w:rsidRDefault="00944076" w:rsidP="00B76905">
      <w:pPr>
        <w:numPr>
          <w:ilvl w:val="0"/>
          <w:numId w:val="152"/>
        </w:numPr>
        <w:textAlignment w:val="baseline"/>
        <w:rPr>
          <w:rFonts w:eastAsia="Times New Roman" w:cs="Arial"/>
          <w:kern w:val="0"/>
          <w:lang w:eastAsia="en-GB"/>
          <w14:ligatures w14:val="none"/>
        </w:rPr>
      </w:pPr>
      <w:r w:rsidRPr="00944076">
        <w:rPr>
          <w:rFonts w:eastAsia="Times New Roman" w:cs="Arial"/>
          <w:kern w:val="0"/>
          <w:lang w:eastAsia="en-GB"/>
          <w14:ligatures w14:val="none"/>
        </w:rPr>
        <w:t>0.2% by pharmacies in Neath locality</w:t>
      </w:r>
    </w:p>
    <w:p w14:paraId="12039E03" w14:textId="77777777" w:rsidR="00944076" w:rsidRPr="00944076" w:rsidRDefault="00944076" w:rsidP="00B76905">
      <w:pPr>
        <w:numPr>
          <w:ilvl w:val="0"/>
          <w:numId w:val="152"/>
        </w:numPr>
        <w:textAlignment w:val="baseline"/>
        <w:rPr>
          <w:rFonts w:eastAsia="Times New Roman" w:cs="Arial"/>
          <w:kern w:val="0"/>
          <w:lang w:eastAsia="en-GB"/>
          <w14:ligatures w14:val="none"/>
        </w:rPr>
      </w:pPr>
      <w:r w:rsidRPr="00944076">
        <w:rPr>
          <w:rFonts w:eastAsia="Times New Roman" w:cs="Arial"/>
          <w:kern w:val="0"/>
          <w:lang w:eastAsia="en-GB"/>
          <w14:ligatures w14:val="none"/>
        </w:rPr>
        <w:t>0.1% by pharmacies in Afan locality</w:t>
      </w:r>
    </w:p>
    <w:p w14:paraId="2FD1946F" w14:textId="77777777" w:rsidR="00944076" w:rsidRPr="00944076" w:rsidRDefault="00944076" w:rsidP="00B76905">
      <w:pPr>
        <w:numPr>
          <w:ilvl w:val="0"/>
          <w:numId w:val="152"/>
        </w:numPr>
        <w:textAlignment w:val="baseline"/>
        <w:rPr>
          <w:rFonts w:eastAsia="Times New Roman" w:cs="Arial"/>
          <w:kern w:val="0"/>
          <w:lang w:eastAsia="en-GB"/>
          <w14:ligatures w14:val="none"/>
        </w:rPr>
      </w:pPr>
      <w:r w:rsidRPr="00944076">
        <w:rPr>
          <w:rFonts w:eastAsia="Times New Roman" w:cs="Arial"/>
          <w:kern w:val="0"/>
          <w:lang w:eastAsia="en-GB"/>
          <w14:ligatures w14:val="none"/>
        </w:rPr>
        <w:t>0.1% by pharmacies in Cardiff and Vale University Health Board</w:t>
      </w:r>
    </w:p>
    <w:p w14:paraId="16383AC5" w14:textId="77777777" w:rsidR="00944076" w:rsidRPr="00944076" w:rsidRDefault="00944076" w:rsidP="009A3C7F">
      <w:pPr>
        <w:shd w:val="clear" w:color="auto" w:fill="FFFFFF"/>
        <w:rPr>
          <w:rFonts w:eastAsia="Times New Roman" w:cs="Arial"/>
          <w:kern w:val="0"/>
          <w:lang w:eastAsia="en-GB"/>
          <w14:ligatures w14:val="none"/>
        </w:rPr>
      </w:pPr>
    </w:p>
    <w:p w14:paraId="0633663F" w14:textId="77777777" w:rsidR="00944076" w:rsidRPr="00944076" w:rsidRDefault="00944076" w:rsidP="009A3C7F">
      <w:pPr>
        <w:shd w:val="clear" w:color="auto" w:fill="FFFFFF"/>
        <w:rPr>
          <w:rFonts w:eastAsia="Times New Roman" w:cs="Arial"/>
          <w:kern w:val="0"/>
          <w:lang w:eastAsia="en-GB"/>
          <w14:ligatures w14:val="none"/>
        </w:rPr>
      </w:pPr>
      <w:r w:rsidRPr="00944076">
        <w:rPr>
          <w:rFonts w:eastAsia="Times New Roman" w:cs="Arial"/>
          <w:kern w:val="0"/>
          <w:lang w:eastAsia="en-GB"/>
          <w14:ligatures w14:val="none"/>
        </w:rPr>
        <w:t>In addition, residents may have accessed one or more pharmaceutical services provided by another pharmacy outside of both the locality and the health board’s area; however, it is not possible to quantify this activity from the recorded data.</w:t>
      </w:r>
    </w:p>
    <w:p w14:paraId="7CE627B8" w14:textId="77777777" w:rsidR="00944076" w:rsidRPr="00944076" w:rsidRDefault="00944076" w:rsidP="009A3C7F">
      <w:pPr>
        <w:rPr>
          <w:rFonts w:eastAsia="Times New Roman" w:cs="Arial"/>
          <w:kern w:val="0"/>
          <w:lang w:val="en-US" w:eastAsia="en-GB"/>
          <w14:ligatures w14:val="none"/>
        </w:rPr>
      </w:pPr>
    </w:p>
    <w:p w14:paraId="248EBDD3" w14:textId="77777777" w:rsidR="00944076" w:rsidRPr="00944076" w:rsidRDefault="00944076" w:rsidP="009A3C7F">
      <w:pPr>
        <w:rPr>
          <w:rFonts w:eastAsia="Aptos" w:cs="Arial"/>
          <w:b/>
          <w:bCs/>
          <w:sz w:val="26"/>
          <w:szCs w:val="26"/>
        </w:rPr>
      </w:pPr>
      <w:r w:rsidRPr="00944076">
        <w:rPr>
          <w:rFonts w:eastAsia="Aptos" w:cs="Arial"/>
          <w:b/>
          <w:bCs/>
          <w:sz w:val="26"/>
          <w:szCs w:val="26"/>
        </w:rPr>
        <w:t>15.5 Other NHS services</w:t>
      </w:r>
    </w:p>
    <w:p w14:paraId="1315046C" w14:textId="77777777" w:rsidR="00944076" w:rsidRPr="00944076" w:rsidRDefault="00944076" w:rsidP="009A3C7F">
      <w:pPr>
        <w:textAlignment w:val="baseline"/>
        <w:rPr>
          <w:rFonts w:eastAsia="Times New Roman" w:cs="Arial"/>
          <w:kern w:val="0"/>
          <w:lang w:eastAsia="en-GB"/>
          <w14:ligatures w14:val="none"/>
        </w:rPr>
      </w:pPr>
    </w:p>
    <w:p w14:paraId="285762A0" w14:textId="77777777" w:rsidR="00944076" w:rsidRPr="00944076" w:rsidRDefault="00944076" w:rsidP="009A3C7F">
      <w:pPr>
        <w:textAlignment w:val="baseline"/>
        <w:rPr>
          <w:rFonts w:eastAsia="Times New Roman" w:cs="Arial"/>
          <w:kern w:val="0"/>
          <w:lang w:eastAsia="en-GB"/>
          <w14:ligatures w14:val="none"/>
        </w:rPr>
      </w:pPr>
      <w:r w:rsidRPr="00944076">
        <w:rPr>
          <w:rFonts w:eastAsia="Times New Roman" w:cs="Arial"/>
          <w:kern w:val="0"/>
          <w:lang w:eastAsia="en-GB"/>
          <w14:ligatures w14:val="none"/>
        </w:rPr>
        <w:t>Details of the NHS services which affect the need for pharmaceutical services can be found in chapter six.</w:t>
      </w:r>
    </w:p>
    <w:p w14:paraId="3B6F613A" w14:textId="77777777" w:rsidR="00944076" w:rsidRPr="00944076" w:rsidRDefault="00944076" w:rsidP="009A3C7F">
      <w:pPr>
        <w:rPr>
          <w:rFonts w:eastAsia="Aptos" w:cs="Arial"/>
        </w:rPr>
      </w:pPr>
    </w:p>
    <w:p w14:paraId="3AF1C463" w14:textId="77777777" w:rsidR="00944076" w:rsidRPr="00944076" w:rsidRDefault="00944076" w:rsidP="009A3C7F">
      <w:pPr>
        <w:rPr>
          <w:rFonts w:eastAsia="Aptos" w:cs="Arial"/>
          <w:b/>
          <w:bCs/>
          <w:sz w:val="26"/>
          <w:szCs w:val="26"/>
        </w:rPr>
      </w:pPr>
      <w:r w:rsidRPr="00944076">
        <w:rPr>
          <w:rFonts w:eastAsia="Aptos" w:cs="Arial"/>
          <w:b/>
          <w:bCs/>
          <w:sz w:val="26"/>
          <w:szCs w:val="26"/>
        </w:rPr>
        <w:t>15.6 Choice with regard to obtaining pharmaceutical services</w:t>
      </w:r>
    </w:p>
    <w:p w14:paraId="6807ED64" w14:textId="77777777" w:rsidR="00944076" w:rsidRPr="00944076" w:rsidRDefault="00944076" w:rsidP="009A3C7F">
      <w:pPr>
        <w:rPr>
          <w:rFonts w:eastAsia="Aptos" w:cs="Arial"/>
        </w:rPr>
      </w:pPr>
    </w:p>
    <w:p w14:paraId="132B16F5" w14:textId="77777777" w:rsidR="00944076" w:rsidRPr="00944076" w:rsidRDefault="00944076" w:rsidP="009A3C7F">
      <w:pPr>
        <w:rPr>
          <w:rFonts w:eastAsia="Times New Roman" w:cs="Arial"/>
          <w:kern w:val="0"/>
          <w:lang w:eastAsia="en-GB"/>
          <w14:ligatures w14:val="none"/>
        </w:rPr>
      </w:pPr>
      <w:r w:rsidRPr="00944076">
        <w:rPr>
          <w:rFonts w:eastAsia="Aptos" w:cs="Arial"/>
        </w:rPr>
        <w:t xml:space="preserve">As can be seen from sections 15.3 and 15.4, those living within the locality and registered with one of the GP practices generally choose to access one of the pharmacies in the locality in order to have their prescriptions dispensed. </w:t>
      </w:r>
      <w:r w:rsidRPr="00944076">
        <w:rPr>
          <w:rFonts w:eastAsia="Times New Roman" w:cs="Arial"/>
          <w:kern w:val="0"/>
          <w:lang w:eastAsia="en-GB"/>
          <w14:ligatures w14:val="none"/>
        </w:rPr>
        <w:t xml:space="preserve">Those that look outside the locality usually do so to access a neighbouring pharmacy within the health board’s area. A minority choose to have their prescription dispensed by a pharmacy or an appliance contractor outside of the health board’s area. </w:t>
      </w:r>
    </w:p>
    <w:p w14:paraId="771C719E" w14:textId="77777777" w:rsidR="00944076" w:rsidRPr="00944076" w:rsidRDefault="00944076" w:rsidP="009A3C7F">
      <w:pPr>
        <w:rPr>
          <w:rFonts w:eastAsia="Times New Roman" w:cs="Arial"/>
          <w:kern w:val="0"/>
          <w:lang w:val="en-US" w:eastAsia="en-GB"/>
          <w14:ligatures w14:val="none"/>
        </w:rPr>
      </w:pPr>
    </w:p>
    <w:p w14:paraId="193FB895" w14:textId="77777777" w:rsidR="00944076" w:rsidRPr="00944076" w:rsidRDefault="00944076" w:rsidP="009A3C7F">
      <w:pPr>
        <w:rPr>
          <w:rFonts w:eastAsia="Times New Roman" w:cs="Arial"/>
          <w:kern w:val="0"/>
          <w:lang w:val="en-US" w:eastAsia="en-GB"/>
          <w14:ligatures w14:val="none"/>
        </w:rPr>
      </w:pPr>
      <w:r w:rsidRPr="00944076">
        <w:rPr>
          <w:rFonts w:eastAsia="Times New Roman" w:cs="Arial"/>
          <w:kern w:val="0"/>
          <w:lang w:val="en-US" w:eastAsia="en-GB"/>
          <w14:ligatures w14:val="none"/>
        </w:rPr>
        <w:t xml:space="preserve">A total of 212 contractors that were trading in Wales during 2024/25 dispensed items written by one of the GP practices in the locality, of which 127 were outside of the health board’s area. 4,016 prescription items were dispensed in England. </w:t>
      </w:r>
    </w:p>
    <w:p w14:paraId="3C98DB1C" w14:textId="77777777" w:rsidR="00944076" w:rsidRPr="00944076" w:rsidRDefault="00944076" w:rsidP="009A3C7F">
      <w:pPr>
        <w:rPr>
          <w:rFonts w:eastAsia="Times New Roman" w:cs="Arial"/>
          <w:kern w:val="0"/>
          <w:lang w:val="en-US" w:eastAsia="en-GB"/>
          <w14:ligatures w14:val="none"/>
        </w:rPr>
      </w:pPr>
    </w:p>
    <w:p w14:paraId="4F1A96BD" w14:textId="77777777" w:rsidR="00944076" w:rsidRPr="00944076" w:rsidRDefault="00944076" w:rsidP="009A3C7F">
      <w:pPr>
        <w:rPr>
          <w:rFonts w:eastAsia="Times New Roman" w:cs="Arial"/>
          <w:kern w:val="0"/>
          <w:lang w:val="en-US" w:eastAsia="en-GB"/>
          <w14:ligatures w14:val="none"/>
        </w:rPr>
      </w:pPr>
      <w:r w:rsidRPr="00944076">
        <w:rPr>
          <w:rFonts w:eastAsia="Times New Roman" w:cs="Arial"/>
          <w:kern w:val="0"/>
          <w:lang w:val="en-US" w:eastAsia="en-GB"/>
          <w14:ligatures w14:val="none"/>
        </w:rPr>
        <w:t xml:space="preserve">A total of 184 contractors that were trading in Wales during 2025/26 (up to December 2025), dispensed items written by one of the GP practices in the locality, </w:t>
      </w:r>
      <w:r w:rsidRPr="00944076">
        <w:rPr>
          <w:rFonts w:eastAsia="Times New Roman" w:cs="Arial"/>
          <w:kern w:val="0"/>
          <w:lang w:val="en-US" w:eastAsia="en-GB"/>
          <w14:ligatures w14:val="none"/>
        </w:rPr>
        <w:lastRenderedPageBreak/>
        <w:t xml:space="preserve">of which 96 were outside of the health board’s area. 3,581 prescription items were dispensed in England. </w:t>
      </w:r>
    </w:p>
    <w:p w14:paraId="4A15BB22" w14:textId="77777777" w:rsidR="00944076" w:rsidRPr="00944076" w:rsidRDefault="00944076" w:rsidP="009A3C7F">
      <w:pPr>
        <w:rPr>
          <w:rFonts w:eastAsia="Times New Roman" w:cs="Arial"/>
          <w:kern w:val="0"/>
          <w:lang w:val="en-US" w:eastAsia="en-GB"/>
          <w14:ligatures w14:val="none"/>
        </w:rPr>
      </w:pPr>
    </w:p>
    <w:p w14:paraId="3EB8E576" w14:textId="77777777" w:rsidR="00944076" w:rsidRPr="00944076" w:rsidRDefault="00944076" w:rsidP="009A3C7F">
      <w:pPr>
        <w:rPr>
          <w:rFonts w:eastAsia="Aptos" w:cs="Arial"/>
          <w:b/>
          <w:bCs/>
          <w:sz w:val="26"/>
          <w:szCs w:val="26"/>
        </w:rPr>
      </w:pPr>
      <w:r w:rsidRPr="00944076">
        <w:rPr>
          <w:rFonts w:eastAsia="Aptos" w:cs="Arial"/>
          <w:b/>
          <w:bCs/>
          <w:sz w:val="26"/>
          <w:szCs w:val="26"/>
        </w:rPr>
        <w:t xml:space="preserve">15.7. Housing developments </w:t>
      </w:r>
    </w:p>
    <w:p w14:paraId="5647BF1A" w14:textId="77777777" w:rsidR="00944076" w:rsidRPr="00944076" w:rsidRDefault="00944076" w:rsidP="009A3C7F">
      <w:pPr>
        <w:rPr>
          <w:rFonts w:eastAsia="Aptos" w:cs="Arial"/>
        </w:rPr>
      </w:pPr>
    </w:p>
    <w:p w14:paraId="197B1D1E" w14:textId="77777777" w:rsidR="00944076" w:rsidRPr="00944076" w:rsidRDefault="00944076" w:rsidP="009A3C7F">
      <w:pPr>
        <w:rPr>
          <w:rFonts w:eastAsia="Aptos" w:cs="Arial"/>
        </w:rPr>
      </w:pPr>
      <w:r w:rsidRPr="00944076">
        <w:rPr>
          <w:rFonts w:eastAsia="Aptos" w:cs="Arial"/>
        </w:rPr>
        <w:t>Work is underway in preparing a new local development plan for Neath Port Talbot which will cover the period 2023 to 2038. The following strategic regeneration and placemaking areas are expected to be included in the plan period and the estimated capacity for new housing provision is set out in the table below although this is subject to further detailed assessment so may change as the plan is finalised.</w:t>
      </w:r>
    </w:p>
    <w:p w14:paraId="706FE014" w14:textId="77777777" w:rsidR="004962D9" w:rsidRPr="00944076" w:rsidRDefault="004962D9" w:rsidP="009A3C7F">
      <w:pPr>
        <w:rPr>
          <w:rFonts w:eastAsia="Aptos" w:cs="Arial"/>
        </w:rPr>
      </w:pPr>
    </w:p>
    <w:p w14:paraId="084ED2BD" w14:textId="77777777" w:rsidR="00944076" w:rsidRPr="00944076" w:rsidRDefault="00944076" w:rsidP="009A3C7F">
      <w:pPr>
        <w:rPr>
          <w:rFonts w:eastAsia="Aptos" w:cs="Arial"/>
          <w:b/>
          <w:bCs/>
        </w:rPr>
      </w:pPr>
      <w:r w:rsidRPr="00944076">
        <w:rPr>
          <w:rFonts w:eastAsia="Aptos" w:cs="Arial"/>
          <w:b/>
          <w:bCs/>
        </w:rPr>
        <w:t>Table 15.8: Potential housing developments 2023 to 2038 in the locality</w:t>
      </w:r>
    </w:p>
    <w:p w14:paraId="52F75109" w14:textId="77777777" w:rsidR="00944076" w:rsidRPr="00944076" w:rsidRDefault="00944076" w:rsidP="009A3C7F">
      <w:pPr>
        <w:rPr>
          <w:rFonts w:eastAsia="Aptos" w:cs="Arial"/>
        </w:rPr>
      </w:pPr>
    </w:p>
    <w:tbl>
      <w:tblPr>
        <w:tblW w:w="8973" w:type="dxa"/>
        <w:tblLook w:val="04A0" w:firstRow="1" w:lastRow="0" w:firstColumn="1" w:lastColumn="0" w:noHBand="0" w:noVBand="1"/>
      </w:tblPr>
      <w:tblGrid>
        <w:gridCol w:w="3800"/>
        <w:gridCol w:w="2007"/>
        <w:gridCol w:w="1843"/>
        <w:gridCol w:w="1323"/>
      </w:tblGrid>
      <w:tr w:rsidR="009A3C7F" w:rsidRPr="00D0306F" w14:paraId="7906662C" w14:textId="77777777" w:rsidTr="00944076">
        <w:trPr>
          <w:trHeight w:val="957"/>
        </w:trPr>
        <w:tc>
          <w:tcPr>
            <w:tcW w:w="3800" w:type="dxa"/>
            <w:tcBorders>
              <w:top w:val="single" w:sz="4" w:space="0" w:color="auto"/>
              <w:left w:val="single" w:sz="4" w:space="0" w:color="auto"/>
              <w:bottom w:val="single" w:sz="4" w:space="0" w:color="auto"/>
              <w:right w:val="single" w:sz="4" w:space="0" w:color="auto"/>
            </w:tcBorders>
            <w:shd w:val="clear" w:color="auto" w:fill="074F6A"/>
            <w:vAlign w:val="center"/>
            <w:hideMark/>
          </w:tcPr>
          <w:p w14:paraId="74EC9ED5" w14:textId="77777777" w:rsidR="00944076" w:rsidRPr="00944076" w:rsidRDefault="00944076" w:rsidP="009A3C7F">
            <w:pPr>
              <w:jc w:val="center"/>
              <w:rPr>
                <w:rFonts w:eastAsia="Times New Roman" w:cs="Arial"/>
                <w:b/>
                <w:bCs/>
                <w:color w:val="FFFFFF"/>
                <w:kern w:val="0"/>
                <w:lang w:eastAsia="en-GB"/>
                <w14:ligatures w14:val="none"/>
              </w:rPr>
            </w:pPr>
            <w:r w:rsidRPr="00944076">
              <w:rPr>
                <w:rFonts w:eastAsia="Times New Roman" w:cs="Arial"/>
                <w:b/>
                <w:bCs/>
                <w:color w:val="FFFFFF"/>
                <w:kern w:val="0"/>
                <w:lang w:eastAsia="en-GB"/>
                <w14:ligatures w14:val="none"/>
              </w:rPr>
              <w:t>Site name</w:t>
            </w:r>
          </w:p>
        </w:tc>
        <w:tc>
          <w:tcPr>
            <w:tcW w:w="2007" w:type="dxa"/>
            <w:tcBorders>
              <w:top w:val="single" w:sz="4" w:space="0" w:color="auto"/>
              <w:left w:val="nil"/>
              <w:bottom w:val="single" w:sz="4" w:space="0" w:color="auto"/>
              <w:right w:val="single" w:sz="4" w:space="0" w:color="auto"/>
            </w:tcBorders>
            <w:shd w:val="clear" w:color="auto" w:fill="074F6A"/>
            <w:vAlign w:val="center"/>
            <w:hideMark/>
          </w:tcPr>
          <w:p w14:paraId="3496460B" w14:textId="77777777" w:rsidR="00944076" w:rsidRPr="00944076" w:rsidRDefault="00944076" w:rsidP="009A3C7F">
            <w:pPr>
              <w:jc w:val="center"/>
              <w:rPr>
                <w:rFonts w:eastAsia="Times New Roman" w:cs="Arial"/>
                <w:b/>
                <w:bCs/>
                <w:color w:val="FFFFFF"/>
                <w:kern w:val="0"/>
                <w:lang w:eastAsia="en-GB"/>
                <w14:ligatures w14:val="none"/>
              </w:rPr>
            </w:pPr>
            <w:r w:rsidRPr="00944076">
              <w:rPr>
                <w:rFonts w:eastAsia="Times New Roman" w:cs="Arial"/>
                <w:b/>
                <w:bCs/>
                <w:color w:val="FFFFFF"/>
                <w:kern w:val="0"/>
                <w:lang w:eastAsia="en-GB"/>
                <w14:ligatures w14:val="none"/>
              </w:rPr>
              <w:t>Locality</w:t>
            </w:r>
          </w:p>
        </w:tc>
        <w:tc>
          <w:tcPr>
            <w:tcW w:w="1843" w:type="dxa"/>
            <w:tcBorders>
              <w:top w:val="single" w:sz="4" w:space="0" w:color="auto"/>
              <w:left w:val="nil"/>
              <w:bottom w:val="single" w:sz="4" w:space="0" w:color="auto"/>
              <w:right w:val="single" w:sz="4" w:space="0" w:color="auto"/>
            </w:tcBorders>
            <w:shd w:val="clear" w:color="auto" w:fill="074F6A"/>
            <w:vAlign w:val="center"/>
            <w:hideMark/>
          </w:tcPr>
          <w:p w14:paraId="0409E6CC" w14:textId="77777777" w:rsidR="00944076" w:rsidRPr="00944076" w:rsidRDefault="00944076" w:rsidP="009A3C7F">
            <w:pPr>
              <w:jc w:val="center"/>
              <w:rPr>
                <w:rFonts w:eastAsia="Times New Roman" w:cs="Arial"/>
                <w:b/>
                <w:bCs/>
                <w:color w:val="FFFFFF"/>
                <w:kern w:val="0"/>
                <w:lang w:eastAsia="en-GB"/>
                <w14:ligatures w14:val="none"/>
              </w:rPr>
            </w:pPr>
            <w:r w:rsidRPr="00944076">
              <w:rPr>
                <w:rFonts w:eastAsia="Times New Roman" w:cs="Arial"/>
                <w:b/>
                <w:bCs/>
                <w:color w:val="FFFFFF"/>
                <w:kern w:val="0"/>
                <w:lang w:eastAsia="en-GB"/>
                <w14:ligatures w14:val="none"/>
              </w:rPr>
              <w:t>Total number of units in plan period</w:t>
            </w:r>
          </w:p>
        </w:tc>
        <w:tc>
          <w:tcPr>
            <w:tcW w:w="1323" w:type="dxa"/>
            <w:tcBorders>
              <w:top w:val="single" w:sz="4" w:space="0" w:color="auto"/>
              <w:left w:val="nil"/>
              <w:bottom w:val="single" w:sz="4" w:space="0" w:color="auto"/>
              <w:right w:val="single" w:sz="4" w:space="0" w:color="auto"/>
            </w:tcBorders>
            <w:shd w:val="clear" w:color="auto" w:fill="074F6A"/>
            <w:vAlign w:val="center"/>
            <w:hideMark/>
          </w:tcPr>
          <w:p w14:paraId="0AE7C893" w14:textId="77777777" w:rsidR="00944076" w:rsidRPr="00944076" w:rsidRDefault="00944076" w:rsidP="009A3C7F">
            <w:pPr>
              <w:jc w:val="center"/>
              <w:rPr>
                <w:rFonts w:eastAsia="Times New Roman" w:cs="Arial"/>
                <w:b/>
                <w:bCs/>
                <w:color w:val="FFFFFF"/>
                <w:kern w:val="0"/>
                <w:lang w:eastAsia="en-GB"/>
                <w14:ligatures w14:val="none"/>
              </w:rPr>
            </w:pPr>
            <w:r w:rsidRPr="00944076">
              <w:rPr>
                <w:rFonts w:eastAsia="Times New Roman" w:cs="Arial"/>
                <w:b/>
                <w:bCs/>
                <w:color w:val="FFFFFF"/>
                <w:kern w:val="0"/>
                <w:lang w:eastAsia="en-GB"/>
                <w14:ligatures w14:val="none"/>
              </w:rPr>
              <w:t>Maximum number of people</w:t>
            </w:r>
          </w:p>
        </w:tc>
      </w:tr>
      <w:tr w:rsidR="00944076" w:rsidRPr="00944076" w14:paraId="66FCDB98" w14:textId="77777777" w:rsidTr="00944076">
        <w:trPr>
          <w:trHeight w:val="300"/>
        </w:trPr>
        <w:tc>
          <w:tcPr>
            <w:tcW w:w="3800" w:type="dxa"/>
            <w:tcBorders>
              <w:top w:val="nil"/>
              <w:left w:val="single" w:sz="4" w:space="0" w:color="auto"/>
              <w:bottom w:val="single" w:sz="4" w:space="0" w:color="auto"/>
              <w:right w:val="single" w:sz="4" w:space="0" w:color="auto"/>
            </w:tcBorders>
            <w:vAlign w:val="center"/>
            <w:hideMark/>
          </w:tcPr>
          <w:p w14:paraId="058A9DB9" w14:textId="77777777" w:rsidR="00944076" w:rsidRPr="00944076" w:rsidRDefault="00944076" w:rsidP="009A3C7F">
            <w:pP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Land East of Rhos, Rhos</w:t>
            </w:r>
          </w:p>
        </w:tc>
        <w:tc>
          <w:tcPr>
            <w:tcW w:w="2007" w:type="dxa"/>
            <w:tcBorders>
              <w:top w:val="nil"/>
              <w:left w:val="nil"/>
              <w:bottom w:val="single" w:sz="4" w:space="0" w:color="auto"/>
              <w:right w:val="single" w:sz="4" w:space="0" w:color="auto"/>
            </w:tcBorders>
            <w:vAlign w:val="center"/>
            <w:hideMark/>
          </w:tcPr>
          <w:p w14:paraId="31D17FE0"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Upper Valleys</w:t>
            </w:r>
          </w:p>
        </w:tc>
        <w:tc>
          <w:tcPr>
            <w:tcW w:w="1843" w:type="dxa"/>
            <w:tcBorders>
              <w:top w:val="nil"/>
              <w:left w:val="nil"/>
              <w:bottom w:val="single" w:sz="4" w:space="0" w:color="auto"/>
              <w:right w:val="single" w:sz="4" w:space="0" w:color="auto"/>
            </w:tcBorders>
            <w:shd w:val="clear" w:color="auto" w:fill="FFFFFF"/>
            <w:vAlign w:val="center"/>
            <w:hideMark/>
          </w:tcPr>
          <w:p w14:paraId="4D237AA8" w14:textId="77777777" w:rsidR="00944076" w:rsidRPr="00944076" w:rsidRDefault="00944076" w:rsidP="009A3C7F">
            <w:pPr>
              <w:jc w:val="center"/>
              <w:rPr>
                <w:rFonts w:eastAsia="Times New Roman" w:cs="Arial"/>
                <w:kern w:val="0"/>
                <w:lang w:eastAsia="en-GB"/>
                <w14:ligatures w14:val="none"/>
              </w:rPr>
            </w:pPr>
            <w:r w:rsidRPr="00944076">
              <w:rPr>
                <w:rFonts w:eastAsia="Times New Roman" w:cs="Arial"/>
                <w:kern w:val="0"/>
                <w:lang w:eastAsia="en-GB"/>
                <w14:ligatures w14:val="none"/>
              </w:rPr>
              <w:t>200</w:t>
            </w:r>
          </w:p>
        </w:tc>
        <w:tc>
          <w:tcPr>
            <w:tcW w:w="1323" w:type="dxa"/>
            <w:tcBorders>
              <w:top w:val="nil"/>
              <w:left w:val="nil"/>
              <w:bottom w:val="single" w:sz="4" w:space="0" w:color="auto"/>
              <w:right w:val="single" w:sz="4" w:space="0" w:color="auto"/>
            </w:tcBorders>
            <w:vAlign w:val="center"/>
            <w:hideMark/>
          </w:tcPr>
          <w:p w14:paraId="65256768"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Unknown</w:t>
            </w:r>
          </w:p>
        </w:tc>
      </w:tr>
      <w:tr w:rsidR="00944076" w:rsidRPr="00944076" w14:paraId="0A4283FE" w14:textId="77777777" w:rsidTr="00944076">
        <w:trPr>
          <w:trHeight w:val="600"/>
        </w:trPr>
        <w:tc>
          <w:tcPr>
            <w:tcW w:w="3800" w:type="dxa"/>
            <w:tcBorders>
              <w:top w:val="nil"/>
              <w:left w:val="single" w:sz="4" w:space="0" w:color="auto"/>
              <w:bottom w:val="single" w:sz="4" w:space="0" w:color="auto"/>
              <w:right w:val="single" w:sz="4" w:space="0" w:color="auto"/>
            </w:tcBorders>
            <w:vAlign w:val="center"/>
            <w:hideMark/>
          </w:tcPr>
          <w:p w14:paraId="0D8135C1" w14:textId="77777777" w:rsidR="00944076" w:rsidRPr="00944076" w:rsidRDefault="00944076" w:rsidP="009A3C7F">
            <w:pP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Land off Neuadd Road, Gwaun Cae Gurwen</w:t>
            </w:r>
          </w:p>
        </w:tc>
        <w:tc>
          <w:tcPr>
            <w:tcW w:w="2007" w:type="dxa"/>
            <w:tcBorders>
              <w:top w:val="nil"/>
              <w:left w:val="nil"/>
              <w:bottom w:val="single" w:sz="4" w:space="0" w:color="auto"/>
              <w:right w:val="single" w:sz="4" w:space="0" w:color="auto"/>
            </w:tcBorders>
            <w:vAlign w:val="center"/>
            <w:hideMark/>
          </w:tcPr>
          <w:p w14:paraId="30F7F74B"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Upper Valleys</w:t>
            </w:r>
          </w:p>
        </w:tc>
        <w:tc>
          <w:tcPr>
            <w:tcW w:w="1843" w:type="dxa"/>
            <w:tcBorders>
              <w:top w:val="nil"/>
              <w:left w:val="nil"/>
              <w:bottom w:val="single" w:sz="4" w:space="0" w:color="auto"/>
              <w:right w:val="single" w:sz="4" w:space="0" w:color="auto"/>
            </w:tcBorders>
            <w:vAlign w:val="center"/>
            <w:hideMark/>
          </w:tcPr>
          <w:p w14:paraId="33D6CB58" w14:textId="77777777" w:rsidR="00944076" w:rsidRPr="00944076" w:rsidRDefault="00944076" w:rsidP="009A3C7F">
            <w:pPr>
              <w:jc w:val="center"/>
              <w:rPr>
                <w:rFonts w:eastAsia="Times New Roman" w:cs="Arial"/>
                <w:kern w:val="0"/>
                <w:lang w:eastAsia="en-GB"/>
                <w14:ligatures w14:val="none"/>
              </w:rPr>
            </w:pPr>
            <w:r w:rsidRPr="00944076">
              <w:rPr>
                <w:rFonts w:eastAsia="Times New Roman" w:cs="Arial"/>
                <w:kern w:val="0"/>
                <w:lang w:eastAsia="en-GB"/>
                <w14:ligatures w14:val="none"/>
              </w:rPr>
              <w:t>45</w:t>
            </w:r>
          </w:p>
        </w:tc>
        <w:tc>
          <w:tcPr>
            <w:tcW w:w="1323" w:type="dxa"/>
            <w:tcBorders>
              <w:top w:val="nil"/>
              <w:left w:val="nil"/>
              <w:bottom w:val="single" w:sz="4" w:space="0" w:color="auto"/>
              <w:right w:val="single" w:sz="4" w:space="0" w:color="auto"/>
            </w:tcBorders>
            <w:vAlign w:val="center"/>
            <w:hideMark/>
          </w:tcPr>
          <w:p w14:paraId="5243B34D"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131</w:t>
            </w:r>
          </w:p>
        </w:tc>
      </w:tr>
      <w:tr w:rsidR="00944076" w:rsidRPr="00944076" w14:paraId="12E16822" w14:textId="77777777" w:rsidTr="00944076">
        <w:trPr>
          <w:trHeight w:val="600"/>
        </w:trPr>
        <w:tc>
          <w:tcPr>
            <w:tcW w:w="3800" w:type="dxa"/>
            <w:tcBorders>
              <w:top w:val="nil"/>
              <w:left w:val="single" w:sz="4" w:space="0" w:color="auto"/>
              <w:bottom w:val="single" w:sz="4" w:space="0" w:color="auto"/>
              <w:right w:val="single" w:sz="4" w:space="0" w:color="auto"/>
            </w:tcBorders>
            <w:vAlign w:val="center"/>
            <w:hideMark/>
          </w:tcPr>
          <w:p w14:paraId="34CE53C8" w14:textId="77777777" w:rsidR="00944076" w:rsidRPr="00944076" w:rsidRDefault="00944076" w:rsidP="009A3C7F">
            <w:pP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Land off Leyshon Road, Gwaun Cae Gurwen</w:t>
            </w:r>
          </w:p>
        </w:tc>
        <w:tc>
          <w:tcPr>
            <w:tcW w:w="2007" w:type="dxa"/>
            <w:tcBorders>
              <w:top w:val="nil"/>
              <w:left w:val="nil"/>
              <w:bottom w:val="single" w:sz="4" w:space="0" w:color="auto"/>
              <w:right w:val="single" w:sz="4" w:space="0" w:color="auto"/>
            </w:tcBorders>
            <w:vAlign w:val="center"/>
            <w:hideMark/>
          </w:tcPr>
          <w:p w14:paraId="6A70F572"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Upper Valleys</w:t>
            </w:r>
          </w:p>
        </w:tc>
        <w:tc>
          <w:tcPr>
            <w:tcW w:w="1843" w:type="dxa"/>
            <w:tcBorders>
              <w:top w:val="nil"/>
              <w:left w:val="nil"/>
              <w:bottom w:val="single" w:sz="4" w:space="0" w:color="auto"/>
              <w:right w:val="single" w:sz="4" w:space="0" w:color="auto"/>
            </w:tcBorders>
            <w:vAlign w:val="center"/>
            <w:hideMark/>
          </w:tcPr>
          <w:p w14:paraId="0A8515CC" w14:textId="77777777" w:rsidR="00944076" w:rsidRPr="00944076" w:rsidRDefault="00944076" w:rsidP="009A3C7F">
            <w:pPr>
              <w:jc w:val="center"/>
              <w:rPr>
                <w:rFonts w:eastAsia="Times New Roman" w:cs="Arial"/>
                <w:kern w:val="0"/>
                <w:lang w:eastAsia="en-GB"/>
                <w14:ligatures w14:val="none"/>
              </w:rPr>
            </w:pPr>
            <w:r w:rsidRPr="00944076">
              <w:rPr>
                <w:rFonts w:eastAsia="Times New Roman" w:cs="Arial"/>
                <w:kern w:val="0"/>
                <w:lang w:eastAsia="en-GB"/>
                <w14:ligatures w14:val="none"/>
              </w:rPr>
              <w:t>20</w:t>
            </w:r>
          </w:p>
        </w:tc>
        <w:tc>
          <w:tcPr>
            <w:tcW w:w="1323" w:type="dxa"/>
            <w:tcBorders>
              <w:top w:val="nil"/>
              <w:left w:val="nil"/>
              <w:bottom w:val="single" w:sz="4" w:space="0" w:color="auto"/>
              <w:right w:val="single" w:sz="4" w:space="0" w:color="auto"/>
            </w:tcBorders>
            <w:vAlign w:val="center"/>
            <w:hideMark/>
          </w:tcPr>
          <w:p w14:paraId="2EA1DE7F"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59</w:t>
            </w:r>
          </w:p>
        </w:tc>
      </w:tr>
      <w:tr w:rsidR="00944076" w:rsidRPr="00944076" w14:paraId="2C2C3C16" w14:textId="77777777" w:rsidTr="00944076">
        <w:trPr>
          <w:trHeight w:val="300"/>
        </w:trPr>
        <w:tc>
          <w:tcPr>
            <w:tcW w:w="3800" w:type="dxa"/>
            <w:tcBorders>
              <w:top w:val="nil"/>
              <w:left w:val="single" w:sz="4" w:space="0" w:color="auto"/>
              <w:bottom w:val="single" w:sz="4" w:space="0" w:color="auto"/>
              <w:right w:val="single" w:sz="4" w:space="0" w:color="auto"/>
            </w:tcBorders>
            <w:vAlign w:val="center"/>
            <w:hideMark/>
          </w:tcPr>
          <w:p w14:paraId="6C64AA74" w14:textId="77777777" w:rsidR="00944076" w:rsidRPr="00944076" w:rsidRDefault="00944076" w:rsidP="009A3C7F">
            <w:pP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Land off Glyn Road / Heol Godfrey</w:t>
            </w:r>
          </w:p>
        </w:tc>
        <w:tc>
          <w:tcPr>
            <w:tcW w:w="2007" w:type="dxa"/>
            <w:tcBorders>
              <w:top w:val="nil"/>
              <w:left w:val="nil"/>
              <w:bottom w:val="single" w:sz="4" w:space="0" w:color="auto"/>
              <w:right w:val="single" w:sz="4" w:space="0" w:color="auto"/>
            </w:tcBorders>
            <w:vAlign w:val="center"/>
            <w:hideMark/>
          </w:tcPr>
          <w:p w14:paraId="6CEC16A1"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Upper Valleys</w:t>
            </w:r>
          </w:p>
        </w:tc>
        <w:tc>
          <w:tcPr>
            <w:tcW w:w="1843" w:type="dxa"/>
            <w:tcBorders>
              <w:top w:val="nil"/>
              <w:left w:val="nil"/>
              <w:bottom w:val="single" w:sz="4" w:space="0" w:color="auto"/>
              <w:right w:val="single" w:sz="4" w:space="0" w:color="auto"/>
            </w:tcBorders>
            <w:vAlign w:val="center"/>
            <w:hideMark/>
          </w:tcPr>
          <w:p w14:paraId="382D0D4F" w14:textId="77777777" w:rsidR="00944076" w:rsidRPr="00944076" w:rsidRDefault="00944076" w:rsidP="009A3C7F">
            <w:pPr>
              <w:jc w:val="center"/>
              <w:rPr>
                <w:rFonts w:eastAsia="Times New Roman" w:cs="Arial"/>
                <w:kern w:val="0"/>
                <w:lang w:eastAsia="en-GB"/>
                <w14:ligatures w14:val="none"/>
              </w:rPr>
            </w:pPr>
            <w:r w:rsidRPr="00944076">
              <w:rPr>
                <w:rFonts w:eastAsia="Times New Roman" w:cs="Arial"/>
                <w:kern w:val="0"/>
                <w:lang w:eastAsia="en-GB"/>
                <w14:ligatures w14:val="none"/>
              </w:rPr>
              <w:t>30</w:t>
            </w:r>
          </w:p>
        </w:tc>
        <w:tc>
          <w:tcPr>
            <w:tcW w:w="1323" w:type="dxa"/>
            <w:tcBorders>
              <w:top w:val="nil"/>
              <w:left w:val="nil"/>
              <w:bottom w:val="single" w:sz="4" w:space="0" w:color="auto"/>
              <w:right w:val="single" w:sz="4" w:space="0" w:color="auto"/>
            </w:tcBorders>
            <w:vAlign w:val="center"/>
            <w:hideMark/>
          </w:tcPr>
          <w:p w14:paraId="33645C0D"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86</w:t>
            </w:r>
          </w:p>
        </w:tc>
      </w:tr>
      <w:tr w:rsidR="00944076" w:rsidRPr="00944076" w14:paraId="087F3ACB" w14:textId="77777777" w:rsidTr="00944076">
        <w:trPr>
          <w:trHeight w:val="300"/>
        </w:trPr>
        <w:tc>
          <w:tcPr>
            <w:tcW w:w="3800" w:type="dxa"/>
            <w:tcBorders>
              <w:top w:val="nil"/>
              <w:left w:val="single" w:sz="4" w:space="0" w:color="auto"/>
              <w:bottom w:val="single" w:sz="4" w:space="0" w:color="auto"/>
              <w:right w:val="single" w:sz="4" w:space="0" w:color="auto"/>
            </w:tcBorders>
            <w:vAlign w:val="center"/>
            <w:hideMark/>
          </w:tcPr>
          <w:p w14:paraId="3809D7E8" w14:textId="77777777" w:rsidR="00944076" w:rsidRPr="00944076" w:rsidRDefault="00944076" w:rsidP="009A3C7F">
            <w:pP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Land at Brook Terrace, Tairgwaith</w:t>
            </w:r>
          </w:p>
        </w:tc>
        <w:tc>
          <w:tcPr>
            <w:tcW w:w="2007" w:type="dxa"/>
            <w:tcBorders>
              <w:top w:val="nil"/>
              <w:left w:val="nil"/>
              <w:bottom w:val="single" w:sz="4" w:space="0" w:color="auto"/>
              <w:right w:val="single" w:sz="4" w:space="0" w:color="auto"/>
            </w:tcBorders>
            <w:vAlign w:val="center"/>
            <w:hideMark/>
          </w:tcPr>
          <w:p w14:paraId="6CACB6CC"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Upper Valleys</w:t>
            </w:r>
          </w:p>
        </w:tc>
        <w:tc>
          <w:tcPr>
            <w:tcW w:w="1843" w:type="dxa"/>
            <w:tcBorders>
              <w:top w:val="nil"/>
              <w:left w:val="nil"/>
              <w:bottom w:val="single" w:sz="4" w:space="0" w:color="auto"/>
              <w:right w:val="single" w:sz="4" w:space="0" w:color="auto"/>
            </w:tcBorders>
            <w:vAlign w:val="center"/>
            <w:hideMark/>
          </w:tcPr>
          <w:p w14:paraId="38ED8FF2" w14:textId="77777777" w:rsidR="00944076" w:rsidRPr="00944076" w:rsidRDefault="00944076" w:rsidP="009A3C7F">
            <w:pPr>
              <w:jc w:val="center"/>
              <w:rPr>
                <w:rFonts w:eastAsia="Times New Roman" w:cs="Arial"/>
                <w:kern w:val="0"/>
                <w:lang w:eastAsia="en-GB"/>
                <w14:ligatures w14:val="none"/>
              </w:rPr>
            </w:pPr>
            <w:r w:rsidRPr="00944076">
              <w:rPr>
                <w:rFonts w:eastAsia="Times New Roman" w:cs="Arial"/>
                <w:kern w:val="0"/>
                <w:lang w:eastAsia="en-GB"/>
                <w14:ligatures w14:val="none"/>
              </w:rPr>
              <w:t>10</w:t>
            </w:r>
          </w:p>
        </w:tc>
        <w:tc>
          <w:tcPr>
            <w:tcW w:w="1323" w:type="dxa"/>
            <w:tcBorders>
              <w:top w:val="nil"/>
              <w:left w:val="nil"/>
              <w:bottom w:val="single" w:sz="4" w:space="0" w:color="auto"/>
              <w:right w:val="single" w:sz="4" w:space="0" w:color="auto"/>
            </w:tcBorders>
            <w:vAlign w:val="center"/>
            <w:hideMark/>
          </w:tcPr>
          <w:p w14:paraId="0CB7F6AE"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31</w:t>
            </w:r>
          </w:p>
        </w:tc>
      </w:tr>
      <w:tr w:rsidR="00944076" w:rsidRPr="00944076" w14:paraId="27794558" w14:textId="77777777" w:rsidTr="00944076">
        <w:trPr>
          <w:trHeight w:val="300"/>
        </w:trPr>
        <w:tc>
          <w:tcPr>
            <w:tcW w:w="3800" w:type="dxa"/>
            <w:tcBorders>
              <w:top w:val="nil"/>
              <w:left w:val="single" w:sz="4" w:space="0" w:color="auto"/>
              <w:bottom w:val="single" w:sz="4" w:space="0" w:color="auto"/>
              <w:right w:val="single" w:sz="4" w:space="0" w:color="auto"/>
            </w:tcBorders>
            <w:vAlign w:val="center"/>
            <w:hideMark/>
          </w:tcPr>
          <w:p w14:paraId="13FF3F76" w14:textId="77777777" w:rsidR="00944076" w:rsidRPr="00944076" w:rsidRDefault="00944076" w:rsidP="009A3C7F">
            <w:pP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Glynneath Business Park</w:t>
            </w:r>
          </w:p>
        </w:tc>
        <w:tc>
          <w:tcPr>
            <w:tcW w:w="2007" w:type="dxa"/>
            <w:tcBorders>
              <w:top w:val="nil"/>
              <w:left w:val="nil"/>
              <w:bottom w:val="single" w:sz="4" w:space="0" w:color="auto"/>
              <w:right w:val="single" w:sz="4" w:space="0" w:color="auto"/>
            </w:tcBorders>
            <w:vAlign w:val="center"/>
            <w:hideMark/>
          </w:tcPr>
          <w:p w14:paraId="423250CF"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Upper Valleys</w:t>
            </w:r>
          </w:p>
        </w:tc>
        <w:tc>
          <w:tcPr>
            <w:tcW w:w="1843" w:type="dxa"/>
            <w:tcBorders>
              <w:top w:val="nil"/>
              <w:left w:val="nil"/>
              <w:bottom w:val="single" w:sz="4" w:space="0" w:color="auto"/>
              <w:right w:val="single" w:sz="4" w:space="0" w:color="auto"/>
            </w:tcBorders>
            <w:vAlign w:val="center"/>
            <w:hideMark/>
          </w:tcPr>
          <w:p w14:paraId="1F52DEDB" w14:textId="77777777" w:rsidR="00944076" w:rsidRPr="00944076" w:rsidRDefault="00944076" w:rsidP="009A3C7F">
            <w:pPr>
              <w:jc w:val="center"/>
              <w:rPr>
                <w:rFonts w:eastAsia="Times New Roman" w:cs="Arial"/>
                <w:kern w:val="0"/>
                <w:lang w:eastAsia="en-GB"/>
                <w14:ligatures w14:val="none"/>
              </w:rPr>
            </w:pPr>
            <w:r w:rsidRPr="00944076">
              <w:rPr>
                <w:rFonts w:eastAsia="Times New Roman" w:cs="Arial"/>
                <w:kern w:val="0"/>
                <w:lang w:eastAsia="en-GB"/>
                <w14:ligatures w14:val="none"/>
              </w:rPr>
              <w:t>50</w:t>
            </w:r>
          </w:p>
        </w:tc>
        <w:tc>
          <w:tcPr>
            <w:tcW w:w="1323" w:type="dxa"/>
            <w:tcBorders>
              <w:top w:val="nil"/>
              <w:left w:val="nil"/>
              <w:bottom w:val="single" w:sz="4" w:space="0" w:color="auto"/>
              <w:right w:val="single" w:sz="4" w:space="0" w:color="auto"/>
            </w:tcBorders>
            <w:vAlign w:val="center"/>
            <w:hideMark/>
          </w:tcPr>
          <w:p w14:paraId="493C403D"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145</w:t>
            </w:r>
          </w:p>
        </w:tc>
      </w:tr>
      <w:tr w:rsidR="00944076" w:rsidRPr="00944076" w14:paraId="3B8E61BA" w14:textId="77777777" w:rsidTr="00944076">
        <w:trPr>
          <w:trHeight w:val="600"/>
        </w:trPr>
        <w:tc>
          <w:tcPr>
            <w:tcW w:w="3800" w:type="dxa"/>
            <w:tcBorders>
              <w:top w:val="nil"/>
              <w:left w:val="single" w:sz="4" w:space="0" w:color="auto"/>
              <w:bottom w:val="single" w:sz="4" w:space="0" w:color="auto"/>
              <w:right w:val="single" w:sz="4" w:space="0" w:color="auto"/>
            </w:tcBorders>
            <w:vAlign w:val="center"/>
            <w:hideMark/>
          </w:tcPr>
          <w:p w14:paraId="72660AFF" w14:textId="77777777" w:rsidR="00944076" w:rsidRPr="00944076" w:rsidRDefault="00944076" w:rsidP="009A3C7F">
            <w:pP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Land off Commercial Road and Heol Gwrhyd, Rhydyfro</w:t>
            </w:r>
          </w:p>
        </w:tc>
        <w:tc>
          <w:tcPr>
            <w:tcW w:w="2007" w:type="dxa"/>
            <w:tcBorders>
              <w:top w:val="nil"/>
              <w:left w:val="nil"/>
              <w:bottom w:val="single" w:sz="4" w:space="0" w:color="auto"/>
              <w:right w:val="single" w:sz="4" w:space="0" w:color="auto"/>
            </w:tcBorders>
            <w:vAlign w:val="center"/>
            <w:hideMark/>
          </w:tcPr>
          <w:p w14:paraId="4FC0C428"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Upper Valleys</w:t>
            </w:r>
          </w:p>
        </w:tc>
        <w:tc>
          <w:tcPr>
            <w:tcW w:w="1843" w:type="dxa"/>
            <w:tcBorders>
              <w:top w:val="nil"/>
              <w:left w:val="nil"/>
              <w:bottom w:val="single" w:sz="4" w:space="0" w:color="auto"/>
              <w:right w:val="single" w:sz="4" w:space="0" w:color="auto"/>
            </w:tcBorders>
            <w:vAlign w:val="center"/>
            <w:hideMark/>
          </w:tcPr>
          <w:p w14:paraId="3132258C" w14:textId="77777777" w:rsidR="00944076" w:rsidRPr="00944076" w:rsidRDefault="00944076" w:rsidP="009A3C7F">
            <w:pPr>
              <w:jc w:val="center"/>
              <w:rPr>
                <w:rFonts w:eastAsia="Times New Roman" w:cs="Arial"/>
                <w:kern w:val="0"/>
                <w:lang w:eastAsia="en-GB"/>
                <w14:ligatures w14:val="none"/>
              </w:rPr>
            </w:pPr>
            <w:r w:rsidRPr="00944076">
              <w:rPr>
                <w:rFonts w:eastAsia="Times New Roman" w:cs="Arial"/>
                <w:kern w:val="0"/>
                <w:lang w:eastAsia="en-GB"/>
                <w14:ligatures w14:val="none"/>
              </w:rPr>
              <w:t>50</w:t>
            </w:r>
          </w:p>
        </w:tc>
        <w:tc>
          <w:tcPr>
            <w:tcW w:w="1323" w:type="dxa"/>
            <w:tcBorders>
              <w:top w:val="nil"/>
              <w:left w:val="nil"/>
              <w:bottom w:val="single" w:sz="4" w:space="0" w:color="auto"/>
              <w:right w:val="single" w:sz="4" w:space="0" w:color="auto"/>
            </w:tcBorders>
            <w:vAlign w:val="center"/>
            <w:hideMark/>
          </w:tcPr>
          <w:p w14:paraId="6BD73EBA"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142</w:t>
            </w:r>
          </w:p>
        </w:tc>
      </w:tr>
      <w:tr w:rsidR="00944076" w:rsidRPr="00944076" w14:paraId="46904FBB" w14:textId="77777777" w:rsidTr="00944076">
        <w:trPr>
          <w:trHeight w:val="600"/>
        </w:trPr>
        <w:tc>
          <w:tcPr>
            <w:tcW w:w="3800" w:type="dxa"/>
            <w:tcBorders>
              <w:top w:val="nil"/>
              <w:left w:val="single" w:sz="4" w:space="0" w:color="auto"/>
              <w:bottom w:val="single" w:sz="4" w:space="0" w:color="auto"/>
              <w:right w:val="single" w:sz="4" w:space="0" w:color="auto"/>
            </w:tcBorders>
            <w:vAlign w:val="center"/>
            <w:hideMark/>
          </w:tcPr>
          <w:p w14:paraId="6047F5A9" w14:textId="77777777" w:rsidR="00944076" w:rsidRPr="00944076" w:rsidRDefault="00944076" w:rsidP="009A3C7F">
            <w:pP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Land to the south of the GMF Building, Ystalyfera</w:t>
            </w:r>
          </w:p>
        </w:tc>
        <w:tc>
          <w:tcPr>
            <w:tcW w:w="2007" w:type="dxa"/>
            <w:tcBorders>
              <w:top w:val="nil"/>
              <w:left w:val="nil"/>
              <w:bottom w:val="single" w:sz="4" w:space="0" w:color="auto"/>
              <w:right w:val="single" w:sz="4" w:space="0" w:color="auto"/>
            </w:tcBorders>
            <w:vAlign w:val="center"/>
            <w:hideMark/>
          </w:tcPr>
          <w:p w14:paraId="43A82D1C"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Upper Valleys</w:t>
            </w:r>
          </w:p>
        </w:tc>
        <w:tc>
          <w:tcPr>
            <w:tcW w:w="1843" w:type="dxa"/>
            <w:tcBorders>
              <w:top w:val="nil"/>
              <w:left w:val="nil"/>
              <w:bottom w:val="single" w:sz="4" w:space="0" w:color="auto"/>
              <w:right w:val="single" w:sz="4" w:space="0" w:color="auto"/>
            </w:tcBorders>
            <w:vAlign w:val="center"/>
            <w:hideMark/>
          </w:tcPr>
          <w:p w14:paraId="25D76769" w14:textId="77777777" w:rsidR="00944076" w:rsidRPr="00944076" w:rsidRDefault="00944076" w:rsidP="009A3C7F">
            <w:pPr>
              <w:jc w:val="center"/>
              <w:rPr>
                <w:rFonts w:eastAsia="Times New Roman" w:cs="Arial"/>
                <w:kern w:val="0"/>
                <w:lang w:eastAsia="en-GB"/>
                <w14:ligatures w14:val="none"/>
              </w:rPr>
            </w:pPr>
            <w:r w:rsidRPr="00944076">
              <w:rPr>
                <w:rFonts w:eastAsia="Times New Roman" w:cs="Arial"/>
                <w:kern w:val="0"/>
                <w:lang w:eastAsia="en-GB"/>
                <w14:ligatures w14:val="none"/>
              </w:rPr>
              <w:t>40</w:t>
            </w:r>
          </w:p>
        </w:tc>
        <w:tc>
          <w:tcPr>
            <w:tcW w:w="1323" w:type="dxa"/>
            <w:tcBorders>
              <w:top w:val="nil"/>
              <w:left w:val="nil"/>
              <w:bottom w:val="single" w:sz="4" w:space="0" w:color="auto"/>
              <w:right w:val="single" w:sz="4" w:space="0" w:color="auto"/>
            </w:tcBorders>
            <w:vAlign w:val="center"/>
            <w:hideMark/>
          </w:tcPr>
          <w:p w14:paraId="53A6F19F"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116</w:t>
            </w:r>
          </w:p>
        </w:tc>
      </w:tr>
      <w:tr w:rsidR="00944076" w:rsidRPr="00944076" w14:paraId="4B42C0EF" w14:textId="77777777" w:rsidTr="00944076">
        <w:trPr>
          <w:trHeight w:val="600"/>
        </w:trPr>
        <w:tc>
          <w:tcPr>
            <w:tcW w:w="3800" w:type="dxa"/>
            <w:tcBorders>
              <w:top w:val="nil"/>
              <w:left w:val="single" w:sz="4" w:space="0" w:color="auto"/>
              <w:bottom w:val="single" w:sz="4" w:space="0" w:color="auto"/>
              <w:right w:val="single" w:sz="4" w:space="0" w:color="auto"/>
            </w:tcBorders>
            <w:vAlign w:val="center"/>
            <w:hideMark/>
          </w:tcPr>
          <w:p w14:paraId="294F9326" w14:textId="77777777" w:rsidR="00944076" w:rsidRPr="00944076" w:rsidRDefault="00944076" w:rsidP="009A3C7F">
            <w:pP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Land off Tirbach Washery (Former Tirbach Washery)</w:t>
            </w:r>
          </w:p>
        </w:tc>
        <w:tc>
          <w:tcPr>
            <w:tcW w:w="2007" w:type="dxa"/>
            <w:tcBorders>
              <w:top w:val="nil"/>
              <w:left w:val="nil"/>
              <w:bottom w:val="single" w:sz="4" w:space="0" w:color="auto"/>
              <w:right w:val="single" w:sz="4" w:space="0" w:color="auto"/>
            </w:tcBorders>
            <w:vAlign w:val="center"/>
            <w:hideMark/>
          </w:tcPr>
          <w:p w14:paraId="6CCCE6F4"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Upper Valleys</w:t>
            </w:r>
          </w:p>
        </w:tc>
        <w:tc>
          <w:tcPr>
            <w:tcW w:w="1843" w:type="dxa"/>
            <w:tcBorders>
              <w:top w:val="nil"/>
              <w:left w:val="nil"/>
              <w:bottom w:val="single" w:sz="4" w:space="0" w:color="auto"/>
              <w:right w:val="single" w:sz="4" w:space="0" w:color="auto"/>
            </w:tcBorders>
            <w:vAlign w:val="center"/>
            <w:hideMark/>
          </w:tcPr>
          <w:p w14:paraId="0BC509CB" w14:textId="77777777" w:rsidR="00944076" w:rsidRPr="00944076" w:rsidRDefault="00944076" w:rsidP="009A3C7F">
            <w:pPr>
              <w:jc w:val="center"/>
              <w:rPr>
                <w:rFonts w:eastAsia="Times New Roman" w:cs="Arial"/>
                <w:kern w:val="0"/>
                <w:lang w:eastAsia="en-GB"/>
                <w14:ligatures w14:val="none"/>
              </w:rPr>
            </w:pPr>
            <w:r w:rsidRPr="00944076">
              <w:rPr>
                <w:rFonts w:eastAsia="Times New Roman" w:cs="Arial"/>
                <w:kern w:val="0"/>
                <w:lang w:eastAsia="en-GB"/>
                <w14:ligatures w14:val="none"/>
              </w:rPr>
              <w:t>40</w:t>
            </w:r>
          </w:p>
        </w:tc>
        <w:tc>
          <w:tcPr>
            <w:tcW w:w="1323" w:type="dxa"/>
            <w:tcBorders>
              <w:top w:val="nil"/>
              <w:left w:val="nil"/>
              <w:bottom w:val="single" w:sz="4" w:space="0" w:color="auto"/>
              <w:right w:val="single" w:sz="4" w:space="0" w:color="auto"/>
            </w:tcBorders>
            <w:vAlign w:val="center"/>
            <w:hideMark/>
          </w:tcPr>
          <w:p w14:paraId="21155AA2"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116</w:t>
            </w:r>
          </w:p>
        </w:tc>
      </w:tr>
      <w:tr w:rsidR="00EF280B" w:rsidRPr="00D0306F" w14:paraId="79DBC471" w14:textId="77777777" w:rsidTr="00DD4E3C">
        <w:trPr>
          <w:trHeight w:val="957"/>
        </w:trPr>
        <w:tc>
          <w:tcPr>
            <w:tcW w:w="3800" w:type="dxa"/>
            <w:tcBorders>
              <w:top w:val="single" w:sz="4" w:space="0" w:color="auto"/>
              <w:left w:val="single" w:sz="4" w:space="0" w:color="auto"/>
              <w:bottom w:val="single" w:sz="4" w:space="0" w:color="auto"/>
              <w:right w:val="single" w:sz="4" w:space="0" w:color="auto"/>
            </w:tcBorders>
            <w:shd w:val="clear" w:color="auto" w:fill="074F6A"/>
            <w:vAlign w:val="center"/>
            <w:hideMark/>
          </w:tcPr>
          <w:p w14:paraId="57305877" w14:textId="77777777" w:rsidR="00EF280B" w:rsidRPr="00944076" w:rsidRDefault="00EF280B" w:rsidP="00DD4E3C">
            <w:pPr>
              <w:jc w:val="center"/>
              <w:rPr>
                <w:rFonts w:eastAsia="Times New Roman" w:cs="Arial"/>
                <w:b/>
                <w:bCs/>
                <w:color w:val="FFFFFF"/>
                <w:kern w:val="0"/>
                <w:lang w:eastAsia="en-GB"/>
                <w14:ligatures w14:val="none"/>
              </w:rPr>
            </w:pPr>
            <w:r w:rsidRPr="00944076">
              <w:rPr>
                <w:rFonts w:eastAsia="Times New Roman" w:cs="Arial"/>
                <w:b/>
                <w:bCs/>
                <w:color w:val="FFFFFF"/>
                <w:kern w:val="0"/>
                <w:lang w:eastAsia="en-GB"/>
                <w14:ligatures w14:val="none"/>
              </w:rPr>
              <w:t>Site name</w:t>
            </w:r>
          </w:p>
        </w:tc>
        <w:tc>
          <w:tcPr>
            <w:tcW w:w="2007" w:type="dxa"/>
            <w:tcBorders>
              <w:top w:val="single" w:sz="4" w:space="0" w:color="auto"/>
              <w:left w:val="nil"/>
              <w:bottom w:val="single" w:sz="4" w:space="0" w:color="auto"/>
              <w:right w:val="single" w:sz="4" w:space="0" w:color="auto"/>
            </w:tcBorders>
            <w:shd w:val="clear" w:color="auto" w:fill="074F6A"/>
            <w:vAlign w:val="center"/>
            <w:hideMark/>
          </w:tcPr>
          <w:p w14:paraId="74BEAF02" w14:textId="77777777" w:rsidR="00EF280B" w:rsidRPr="00944076" w:rsidRDefault="00EF280B" w:rsidP="00DD4E3C">
            <w:pPr>
              <w:jc w:val="center"/>
              <w:rPr>
                <w:rFonts w:eastAsia="Times New Roman" w:cs="Arial"/>
                <w:b/>
                <w:bCs/>
                <w:color w:val="FFFFFF"/>
                <w:kern w:val="0"/>
                <w:lang w:eastAsia="en-GB"/>
                <w14:ligatures w14:val="none"/>
              </w:rPr>
            </w:pPr>
            <w:r w:rsidRPr="00944076">
              <w:rPr>
                <w:rFonts w:eastAsia="Times New Roman" w:cs="Arial"/>
                <w:b/>
                <w:bCs/>
                <w:color w:val="FFFFFF"/>
                <w:kern w:val="0"/>
                <w:lang w:eastAsia="en-GB"/>
                <w14:ligatures w14:val="none"/>
              </w:rPr>
              <w:t>Locality</w:t>
            </w:r>
          </w:p>
        </w:tc>
        <w:tc>
          <w:tcPr>
            <w:tcW w:w="1843" w:type="dxa"/>
            <w:tcBorders>
              <w:top w:val="single" w:sz="4" w:space="0" w:color="auto"/>
              <w:left w:val="nil"/>
              <w:bottom w:val="single" w:sz="4" w:space="0" w:color="auto"/>
              <w:right w:val="single" w:sz="4" w:space="0" w:color="auto"/>
            </w:tcBorders>
            <w:shd w:val="clear" w:color="auto" w:fill="074F6A"/>
            <w:vAlign w:val="center"/>
            <w:hideMark/>
          </w:tcPr>
          <w:p w14:paraId="524CE180" w14:textId="77777777" w:rsidR="00EF280B" w:rsidRPr="00944076" w:rsidRDefault="00EF280B" w:rsidP="00DD4E3C">
            <w:pPr>
              <w:jc w:val="center"/>
              <w:rPr>
                <w:rFonts w:eastAsia="Times New Roman" w:cs="Arial"/>
                <w:b/>
                <w:bCs/>
                <w:color w:val="FFFFFF"/>
                <w:kern w:val="0"/>
                <w:lang w:eastAsia="en-GB"/>
                <w14:ligatures w14:val="none"/>
              </w:rPr>
            </w:pPr>
            <w:r w:rsidRPr="00944076">
              <w:rPr>
                <w:rFonts w:eastAsia="Times New Roman" w:cs="Arial"/>
                <w:b/>
                <w:bCs/>
                <w:color w:val="FFFFFF"/>
                <w:kern w:val="0"/>
                <w:lang w:eastAsia="en-GB"/>
                <w14:ligatures w14:val="none"/>
              </w:rPr>
              <w:t>Total number of units in plan period</w:t>
            </w:r>
          </w:p>
        </w:tc>
        <w:tc>
          <w:tcPr>
            <w:tcW w:w="1323" w:type="dxa"/>
            <w:tcBorders>
              <w:top w:val="single" w:sz="4" w:space="0" w:color="auto"/>
              <w:left w:val="nil"/>
              <w:bottom w:val="single" w:sz="4" w:space="0" w:color="auto"/>
              <w:right w:val="single" w:sz="4" w:space="0" w:color="auto"/>
            </w:tcBorders>
            <w:shd w:val="clear" w:color="auto" w:fill="074F6A"/>
            <w:vAlign w:val="center"/>
            <w:hideMark/>
          </w:tcPr>
          <w:p w14:paraId="6A73DC6A" w14:textId="77777777" w:rsidR="00EF280B" w:rsidRPr="00944076" w:rsidRDefault="00EF280B" w:rsidP="00DD4E3C">
            <w:pPr>
              <w:jc w:val="center"/>
              <w:rPr>
                <w:rFonts w:eastAsia="Times New Roman" w:cs="Arial"/>
                <w:b/>
                <w:bCs/>
                <w:color w:val="FFFFFF"/>
                <w:kern w:val="0"/>
                <w:lang w:eastAsia="en-GB"/>
                <w14:ligatures w14:val="none"/>
              </w:rPr>
            </w:pPr>
            <w:r w:rsidRPr="00944076">
              <w:rPr>
                <w:rFonts w:eastAsia="Times New Roman" w:cs="Arial"/>
                <w:b/>
                <w:bCs/>
                <w:color w:val="FFFFFF"/>
                <w:kern w:val="0"/>
                <w:lang w:eastAsia="en-GB"/>
                <w14:ligatures w14:val="none"/>
              </w:rPr>
              <w:t>Maximum number of people</w:t>
            </w:r>
          </w:p>
        </w:tc>
      </w:tr>
      <w:tr w:rsidR="00944076" w:rsidRPr="00944076" w14:paraId="3B950E0B" w14:textId="77777777" w:rsidTr="00944076">
        <w:trPr>
          <w:trHeight w:val="600"/>
        </w:trPr>
        <w:tc>
          <w:tcPr>
            <w:tcW w:w="3800" w:type="dxa"/>
            <w:tcBorders>
              <w:top w:val="nil"/>
              <w:left w:val="single" w:sz="4" w:space="0" w:color="auto"/>
              <w:bottom w:val="single" w:sz="4" w:space="0" w:color="auto"/>
              <w:right w:val="single" w:sz="4" w:space="0" w:color="auto"/>
            </w:tcBorders>
            <w:vAlign w:val="center"/>
            <w:hideMark/>
          </w:tcPr>
          <w:p w14:paraId="5AF0609F" w14:textId="77777777" w:rsidR="00944076" w:rsidRPr="00944076" w:rsidRDefault="00944076" w:rsidP="009A3C7F">
            <w:pP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Former Swelco Factory, Rear of Heol y Gors, Cwmgors</w:t>
            </w:r>
          </w:p>
        </w:tc>
        <w:tc>
          <w:tcPr>
            <w:tcW w:w="2007" w:type="dxa"/>
            <w:tcBorders>
              <w:top w:val="nil"/>
              <w:left w:val="nil"/>
              <w:bottom w:val="single" w:sz="4" w:space="0" w:color="auto"/>
              <w:right w:val="single" w:sz="4" w:space="0" w:color="auto"/>
            </w:tcBorders>
            <w:vAlign w:val="center"/>
            <w:hideMark/>
          </w:tcPr>
          <w:p w14:paraId="52B79EC2"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Upper Valleys</w:t>
            </w:r>
          </w:p>
        </w:tc>
        <w:tc>
          <w:tcPr>
            <w:tcW w:w="1843" w:type="dxa"/>
            <w:tcBorders>
              <w:top w:val="nil"/>
              <w:left w:val="nil"/>
              <w:bottom w:val="single" w:sz="4" w:space="0" w:color="auto"/>
              <w:right w:val="single" w:sz="4" w:space="0" w:color="auto"/>
            </w:tcBorders>
            <w:vAlign w:val="center"/>
            <w:hideMark/>
          </w:tcPr>
          <w:p w14:paraId="69526100" w14:textId="77777777" w:rsidR="00944076" w:rsidRPr="00944076" w:rsidRDefault="00944076" w:rsidP="009A3C7F">
            <w:pPr>
              <w:jc w:val="center"/>
              <w:rPr>
                <w:rFonts w:eastAsia="Times New Roman" w:cs="Arial"/>
                <w:kern w:val="0"/>
                <w:lang w:eastAsia="en-GB"/>
                <w14:ligatures w14:val="none"/>
              </w:rPr>
            </w:pPr>
            <w:r w:rsidRPr="00944076">
              <w:rPr>
                <w:rFonts w:eastAsia="Times New Roman" w:cs="Arial"/>
                <w:kern w:val="0"/>
                <w:lang w:eastAsia="en-GB"/>
                <w14:ligatures w14:val="none"/>
              </w:rPr>
              <w:t>30</w:t>
            </w:r>
          </w:p>
        </w:tc>
        <w:tc>
          <w:tcPr>
            <w:tcW w:w="1323" w:type="dxa"/>
            <w:tcBorders>
              <w:top w:val="nil"/>
              <w:left w:val="nil"/>
              <w:bottom w:val="single" w:sz="4" w:space="0" w:color="auto"/>
              <w:right w:val="single" w:sz="4" w:space="0" w:color="auto"/>
            </w:tcBorders>
            <w:vAlign w:val="center"/>
            <w:hideMark/>
          </w:tcPr>
          <w:p w14:paraId="186025C1"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89</w:t>
            </w:r>
          </w:p>
        </w:tc>
      </w:tr>
      <w:tr w:rsidR="00944076" w:rsidRPr="00944076" w14:paraId="7E9851FA" w14:textId="77777777" w:rsidTr="00944076">
        <w:trPr>
          <w:trHeight w:val="600"/>
        </w:trPr>
        <w:tc>
          <w:tcPr>
            <w:tcW w:w="3800" w:type="dxa"/>
            <w:tcBorders>
              <w:top w:val="nil"/>
              <w:left w:val="single" w:sz="4" w:space="0" w:color="auto"/>
              <w:bottom w:val="single" w:sz="4" w:space="0" w:color="auto"/>
              <w:right w:val="single" w:sz="4" w:space="0" w:color="auto"/>
            </w:tcBorders>
            <w:vAlign w:val="center"/>
            <w:hideMark/>
          </w:tcPr>
          <w:p w14:paraId="604886EC" w14:textId="77777777" w:rsidR="00944076" w:rsidRPr="00944076" w:rsidRDefault="00944076" w:rsidP="009A3C7F">
            <w:pP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Former Y Wern Primary School, Ystalyfera</w:t>
            </w:r>
          </w:p>
        </w:tc>
        <w:tc>
          <w:tcPr>
            <w:tcW w:w="2007" w:type="dxa"/>
            <w:tcBorders>
              <w:top w:val="nil"/>
              <w:left w:val="nil"/>
              <w:bottom w:val="single" w:sz="4" w:space="0" w:color="auto"/>
              <w:right w:val="single" w:sz="4" w:space="0" w:color="auto"/>
            </w:tcBorders>
            <w:vAlign w:val="center"/>
            <w:hideMark/>
          </w:tcPr>
          <w:p w14:paraId="596CFE26"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Upper Valleys</w:t>
            </w:r>
          </w:p>
        </w:tc>
        <w:tc>
          <w:tcPr>
            <w:tcW w:w="1843" w:type="dxa"/>
            <w:tcBorders>
              <w:top w:val="nil"/>
              <w:left w:val="nil"/>
              <w:bottom w:val="single" w:sz="4" w:space="0" w:color="auto"/>
              <w:right w:val="single" w:sz="4" w:space="0" w:color="auto"/>
            </w:tcBorders>
            <w:vAlign w:val="center"/>
            <w:hideMark/>
          </w:tcPr>
          <w:p w14:paraId="455EDFA8" w14:textId="77777777" w:rsidR="00944076" w:rsidRPr="00944076" w:rsidRDefault="00944076" w:rsidP="009A3C7F">
            <w:pPr>
              <w:jc w:val="center"/>
              <w:rPr>
                <w:rFonts w:eastAsia="Times New Roman" w:cs="Arial"/>
                <w:kern w:val="0"/>
                <w:lang w:eastAsia="en-GB"/>
                <w14:ligatures w14:val="none"/>
              </w:rPr>
            </w:pPr>
            <w:r w:rsidRPr="00944076">
              <w:rPr>
                <w:rFonts w:eastAsia="Times New Roman" w:cs="Arial"/>
                <w:kern w:val="0"/>
                <w:lang w:eastAsia="en-GB"/>
                <w14:ligatures w14:val="none"/>
              </w:rPr>
              <w:t>10</w:t>
            </w:r>
          </w:p>
        </w:tc>
        <w:tc>
          <w:tcPr>
            <w:tcW w:w="1323" w:type="dxa"/>
            <w:tcBorders>
              <w:top w:val="nil"/>
              <w:left w:val="nil"/>
              <w:bottom w:val="single" w:sz="4" w:space="0" w:color="auto"/>
              <w:right w:val="single" w:sz="4" w:space="0" w:color="auto"/>
            </w:tcBorders>
            <w:vAlign w:val="center"/>
            <w:hideMark/>
          </w:tcPr>
          <w:p w14:paraId="63B7006D"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30</w:t>
            </w:r>
          </w:p>
        </w:tc>
      </w:tr>
      <w:tr w:rsidR="00944076" w:rsidRPr="00944076" w14:paraId="64A8EBD6" w14:textId="77777777" w:rsidTr="00944076">
        <w:trPr>
          <w:trHeight w:val="300"/>
        </w:trPr>
        <w:tc>
          <w:tcPr>
            <w:tcW w:w="3800" w:type="dxa"/>
            <w:tcBorders>
              <w:top w:val="nil"/>
              <w:left w:val="single" w:sz="4" w:space="0" w:color="auto"/>
              <w:bottom w:val="single" w:sz="4" w:space="0" w:color="auto"/>
              <w:right w:val="single" w:sz="4" w:space="0" w:color="auto"/>
            </w:tcBorders>
            <w:vAlign w:val="center"/>
            <w:hideMark/>
          </w:tcPr>
          <w:p w14:paraId="348DD1BE" w14:textId="77777777" w:rsidR="00944076" w:rsidRPr="00944076" w:rsidRDefault="00944076" w:rsidP="009A3C7F">
            <w:pP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Gelligron, Pontardawe</w:t>
            </w:r>
          </w:p>
        </w:tc>
        <w:tc>
          <w:tcPr>
            <w:tcW w:w="2007" w:type="dxa"/>
            <w:tcBorders>
              <w:top w:val="nil"/>
              <w:left w:val="nil"/>
              <w:bottom w:val="single" w:sz="4" w:space="0" w:color="auto"/>
              <w:right w:val="single" w:sz="4" w:space="0" w:color="auto"/>
            </w:tcBorders>
            <w:vAlign w:val="center"/>
            <w:hideMark/>
          </w:tcPr>
          <w:p w14:paraId="3FB42B7B"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Upper Valleys</w:t>
            </w:r>
          </w:p>
        </w:tc>
        <w:tc>
          <w:tcPr>
            <w:tcW w:w="1843" w:type="dxa"/>
            <w:tcBorders>
              <w:top w:val="nil"/>
              <w:left w:val="nil"/>
              <w:bottom w:val="single" w:sz="4" w:space="0" w:color="auto"/>
              <w:right w:val="single" w:sz="4" w:space="0" w:color="auto"/>
            </w:tcBorders>
            <w:vAlign w:val="center"/>
            <w:hideMark/>
          </w:tcPr>
          <w:p w14:paraId="7DF4F621" w14:textId="77777777" w:rsidR="00944076" w:rsidRPr="00944076" w:rsidRDefault="00944076" w:rsidP="009A3C7F">
            <w:pPr>
              <w:jc w:val="center"/>
              <w:rPr>
                <w:rFonts w:eastAsia="Times New Roman" w:cs="Arial"/>
                <w:kern w:val="0"/>
                <w:lang w:eastAsia="en-GB"/>
                <w14:ligatures w14:val="none"/>
              </w:rPr>
            </w:pPr>
            <w:r w:rsidRPr="00944076">
              <w:rPr>
                <w:rFonts w:eastAsia="Times New Roman" w:cs="Arial"/>
                <w:kern w:val="0"/>
                <w:lang w:eastAsia="en-GB"/>
                <w14:ligatures w14:val="none"/>
              </w:rPr>
              <w:t>25</w:t>
            </w:r>
          </w:p>
        </w:tc>
        <w:tc>
          <w:tcPr>
            <w:tcW w:w="1323" w:type="dxa"/>
            <w:tcBorders>
              <w:top w:val="nil"/>
              <w:left w:val="nil"/>
              <w:bottom w:val="single" w:sz="4" w:space="0" w:color="auto"/>
              <w:right w:val="single" w:sz="4" w:space="0" w:color="auto"/>
            </w:tcBorders>
            <w:vAlign w:val="center"/>
            <w:hideMark/>
          </w:tcPr>
          <w:p w14:paraId="39935822"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72</w:t>
            </w:r>
          </w:p>
        </w:tc>
      </w:tr>
      <w:tr w:rsidR="00944076" w:rsidRPr="00944076" w14:paraId="70D0804F" w14:textId="77777777" w:rsidTr="00944076">
        <w:trPr>
          <w:trHeight w:val="300"/>
        </w:trPr>
        <w:tc>
          <w:tcPr>
            <w:tcW w:w="3800" w:type="dxa"/>
            <w:tcBorders>
              <w:top w:val="nil"/>
              <w:left w:val="single" w:sz="4" w:space="0" w:color="auto"/>
              <w:bottom w:val="single" w:sz="4" w:space="0" w:color="auto"/>
              <w:right w:val="single" w:sz="4" w:space="0" w:color="auto"/>
            </w:tcBorders>
            <w:vAlign w:val="center"/>
            <w:hideMark/>
          </w:tcPr>
          <w:p w14:paraId="3F6C68A1" w14:textId="77777777" w:rsidR="00944076" w:rsidRPr="00944076" w:rsidRDefault="00944076" w:rsidP="009A3C7F">
            <w:pP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St David's Road, Tairgwaith</w:t>
            </w:r>
          </w:p>
        </w:tc>
        <w:tc>
          <w:tcPr>
            <w:tcW w:w="2007" w:type="dxa"/>
            <w:tcBorders>
              <w:top w:val="nil"/>
              <w:left w:val="nil"/>
              <w:bottom w:val="single" w:sz="4" w:space="0" w:color="auto"/>
              <w:right w:val="single" w:sz="4" w:space="0" w:color="auto"/>
            </w:tcBorders>
            <w:vAlign w:val="center"/>
            <w:hideMark/>
          </w:tcPr>
          <w:p w14:paraId="3CF6B3F1"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Upper Valleys</w:t>
            </w:r>
          </w:p>
        </w:tc>
        <w:tc>
          <w:tcPr>
            <w:tcW w:w="1843" w:type="dxa"/>
            <w:tcBorders>
              <w:top w:val="nil"/>
              <w:left w:val="nil"/>
              <w:bottom w:val="single" w:sz="4" w:space="0" w:color="auto"/>
              <w:right w:val="single" w:sz="4" w:space="0" w:color="auto"/>
            </w:tcBorders>
            <w:vAlign w:val="center"/>
            <w:hideMark/>
          </w:tcPr>
          <w:p w14:paraId="5F61FB04" w14:textId="77777777" w:rsidR="00944076" w:rsidRPr="00944076" w:rsidRDefault="00944076" w:rsidP="009A3C7F">
            <w:pPr>
              <w:jc w:val="center"/>
              <w:rPr>
                <w:rFonts w:eastAsia="Times New Roman" w:cs="Arial"/>
                <w:kern w:val="0"/>
                <w:lang w:eastAsia="en-GB"/>
                <w14:ligatures w14:val="none"/>
              </w:rPr>
            </w:pPr>
            <w:r w:rsidRPr="00944076">
              <w:rPr>
                <w:rFonts w:eastAsia="Times New Roman" w:cs="Arial"/>
                <w:kern w:val="0"/>
                <w:lang w:eastAsia="en-GB"/>
                <w14:ligatures w14:val="none"/>
              </w:rPr>
              <w:t>10</w:t>
            </w:r>
          </w:p>
        </w:tc>
        <w:tc>
          <w:tcPr>
            <w:tcW w:w="1323" w:type="dxa"/>
            <w:tcBorders>
              <w:top w:val="nil"/>
              <w:left w:val="nil"/>
              <w:bottom w:val="single" w:sz="4" w:space="0" w:color="auto"/>
              <w:right w:val="single" w:sz="4" w:space="0" w:color="auto"/>
            </w:tcBorders>
            <w:vAlign w:val="center"/>
            <w:hideMark/>
          </w:tcPr>
          <w:p w14:paraId="4CE7B9D2"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29</w:t>
            </w:r>
          </w:p>
        </w:tc>
      </w:tr>
      <w:tr w:rsidR="00944076" w:rsidRPr="00944076" w14:paraId="7205D245" w14:textId="77777777" w:rsidTr="00944076">
        <w:trPr>
          <w:trHeight w:val="300"/>
        </w:trPr>
        <w:tc>
          <w:tcPr>
            <w:tcW w:w="3800" w:type="dxa"/>
            <w:tcBorders>
              <w:top w:val="nil"/>
              <w:left w:val="single" w:sz="4" w:space="0" w:color="auto"/>
              <w:bottom w:val="single" w:sz="4" w:space="0" w:color="auto"/>
              <w:right w:val="single" w:sz="4" w:space="0" w:color="auto"/>
            </w:tcBorders>
            <w:vAlign w:val="center"/>
            <w:hideMark/>
          </w:tcPr>
          <w:p w14:paraId="09D73A6F" w14:textId="77777777" w:rsidR="00944076" w:rsidRPr="00944076" w:rsidRDefault="00944076" w:rsidP="009A3C7F">
            <w:pP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Land at Bryn Brych Farm, Rhos</w:t>
            </w:r>
          </w:p>
        </w:tc>
        <w:tc>
          <w:tcPr>
            <w:tcW w:w="2007" w:type="dxa"/>
            <w:tcBorders>
              <w:top w:val="nil"/>
              <w:left w:val="nil"/>
              <w:bottom w:val="single" w:sz="4" w:space="0" w:color="auto"/>
              <w:right w:val="single" w:sz="4" w:space="0" w:color="auto"/>
            </w:tcBorders>
            <w:vAlign w:val="center"/>
            <w:hideMark/>
          </w:tcPr>
          <w:p w14:paraId="20E95ED0"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Upper Valleys</w:t>
            </w:r>
          </w:p>
        </w:tc>
        <w:tc>
          <w:tcPr>
            <w:tcW w:w="1843" w:type="dxa"/>
            <w:tcBorders>
              <w:top w:val="nil"/>
              <w:left w:val="nil"/>
              <w:bottom w:val="single" w:sz="4" w:space="0" w:color="auto"/>
              <w:right w:val="single" w:sz="4" w:space="0" w:color="auto"/>
            </w:tcBorders>
            <w:vAlign w:val="center"/>
            <w:hideMark/>
          </w:tcPr>
          <w:p w14:paraId="33E704AA" w14:textId="77777777" w:rsidR="00944076" w:rsidRPr="00944076" w:rsidRDefault="00944076" w:rsidP="009A3C7F">
            <w:pPr>
              <w:jc w:val="center"/>
              <w:rPr>
                <w:rFonts w:eastAsia="Times New Roman" w:cs="Arial"/>
                <w:kern w:val="0"/>
                <w:lang w:eastAsia="en-GB"/>
                <w14:ligatures w14:val="none"/>
              </w:rPr>
            </w:pPr>
            <w:r w:rsidRPr="00944076">
              <w:rPr>
                <w:rFonts w:eastAsia="Times New Roman" w:cs="Arial"/>
                <w:kern w:val="0"/>
                <w:lang w:eastAsia="en-GB"/>
                <w14:ligatures w14:val="none"/>
              </w:rPr>
              <w:t>90</w:t>
            </w:r>
          </w:p>
        </w:tc>
        <w:tc>
          <w:tcPr>
            <w:tcW w:w="1323" w:type="dxa"/>
            <w:tcBorders>
              <w:top w:val="nil"/>
              <w:left w:val="nil"/>
              <w:bottom w:val="single" w:sz="4" w:space="0" w:color="auto"/>
              <w:right w:val="single" w:sz="4" w:space="0" w:color="auto"/>
            </w:tcBorders>
            <w:vAlign w:val="center"/>
            <w:hideMark/>
          </w:tcPr>
          <w:p w14:paraId="40AAC2F4" w14:textId="77777777" w:rsidR="00944076" w:rsidRPr="00944076" w:rsidRDefault="00944076" w:rsidP="009A3C7F">
            <w:pPr>
              <w:jc w:val="center"/>
              <w:rPr>
                <w:rFonts w:eastAsia="Times New Roman" w:cs="Arial"/>
                <w:color w:val="000000"/>
                <w:kern w:val="0"/>
                <w:lang w:eastAsia="en-GB"/>
                <w14:ligatures w14:val="none"/>
              </w:rPr>
            </w:pPr>
            <w:r w:rsidRPr="00944076">
              <w:rPr>
                <w:rFonts w:eastAsia="Times New Roman" w:cs="Arial"/>
                <w:color w:val="000000"/>
                <w:kern w:val="0"/>
                <w:lang w:eastAsia="en-GB"/>
                <w14:ligatures w14:val="none"/>
              </w:rPr>
              <w:t>254</w:t>
            </w:r>
          </w:p>
        </w:tc>
      </w:tr>
    </w:tbl>
    <w:p w14:paraId="646093C8" w14:textId="77777777" w:rsidR="00944076" w:rsidRPr="00944076" w:rsidRDefault="00944076" w:rsidP="009A3C7F">
      <w:pPr>
        <w:rPr>
          <w:rFonts w:eastAsia="Aptos" w:cs="Arial"/>
        </w:rPr>
      </w:pPr>
    </w:p>
    <w:p w14:paraId="68123D17" w14:textId="77777777" w:rsidR="00944076" w:rsidRPr="00944076" w:rsidRDefault="00944076" w:rsidP="009A3C7F">
      <w:pPr>
        <w:rPr>
          <w:rFonts w:eastAsia="Aptos" w:cs="Arial"/>
          <w:b/>
          <w:bCs/>
          <w:sz w:val="26"/>
          <w:szCs w:val="26"/>
        </w:rPr>
      </w:pPr>
      <w:r w:rsidRPr="00944076">
        <w:rPr>
          <w:rFonts w:eastAsia="Aptos" w:cs="Arial"/>
          <w:b/>
          <w:bCs/>
          <w:sz w:val="26"/>
          <w:szCs w:val="26"/>
        </w:rPr>
        <w:t>15.8 Gaps in provision</w:t>
      </w:r>
    </w:p>
    <w:p w14:paraId="1EBE889A" w14:textId="77777777" w:rsidR="00944076" w:rsidRPr="00944076" w:rsidRDefault="00944076" w:rsidP="009A3C7F">
      <w:pPr>
        <w:rPr>
          <w:rFonts w:eastAsia="Aptos" w:cs="Arial"/>
        </w:rPr>
      </w:pPr>
    </w:p>
    <w:p w14:paraId="0E8B4F58" w14:textId="77777777" w:rsidR="00944076" w:rsidRPr="00944076" w:rsidRDefault="00944076" w:rsidP="009A3C7F">
      <w:pPr>
        <w:rPr>
          <w:rFonts w:eastAsia="Aptos" w:cs="Arial"/>
        </w:rPr>
      </w:pPr>
      <w:r w:rsidRPr="00944076">
        <w:rPr>
          <w:rFonts w:eastAsia="Aptos" w:cs="Arial"/>
        </w:rPr>
        <w:t>When considering if there are any gaps in the provision of pharmaceutical services the health board has noted that of the pharmacies in the locality:</w:t>
      </w:r>
    </w:p>
    <w:p w14:paraId="116F9CD1" w14:textId="77777777" w:rsidR="00944076" w:rsidRPr="00944076" w:rsidRDefault="00944076" w:rsidP="009A3C7F">
      <w:pPr>
        <w:rPr>
          <w:rFonts w:eastAsia="Aptos" w:cs="Arial"/>
        </w:rPr>
      </w:pPr>
    </w:p>
    <w:p w14:paraId="01DFBA19" w14:textId="77777777" w:rsidR="00944076" w:rsidRPr="00944076" w:rsidRDefault="00944076" w:rsidP="00B76905">
      <w:pPr>
        <w:numPr>
          <w:ilvl w:val="0"/>
          <w:numId w:val="204"/>
        </w:numPr>
        <w:contextualSpacing/>
        <w:rPr>
          <w:rFonts w:eastAsia="Times New Roman" w:cs="Arial"/>
          <w:kern w:val="0"/>
          <w:lang w:eastAsia="en-GB"/>
          <w14:ligatures w14:val="none"/>
        </w:rPr>
      </w:pPr>
      <w:r w:rsidRPr="00944076">
        <w:rPr>
          <w:rFonts w:eastAsia="Times New Roman" w:cs="Arial"/>
          <w:kern w:val="0"/>
          <w:lang w:eastAsia="en-GB"/>
          <w14:ligatures w14:val="none"/>
        </w:rPr>
        <w:t>Seven of the pharmacies have sufficient capacity within their premises to manage an increase in demand, and the eighth didn’t answer this question.</w:t>
      </w:r>
    </w:p>
    <w:p w14:paraId="4B30DD10" w14:textId="77777777" w:rsidR="00944076" w:rsidRPr="00944076" w:rsidRDefault="00944076" w:rsidP="00B76905">
      <w:pPr>
        <w:numPr>
          <w:ilvl w:val="0"/>
          <w:numId w:val="204"/>
        </w:numPr>
        <w:contextualSpacing/>
        <w:rPr>
          <w:rFonts w:eastAsia="Times New Roman" w:cs="Arial"/>
          <w:kern w:val="0"/>
          <w:lang w:eastAsia="en-GB"/>
          <w14:ligatures w14:val="none"/>
        </w:rPr>
      </w:pPr>
      <w:r w:rsidRPr="00944076">
        <w:rPr>
          <w:rFonts w:eastAsia="Times New Roman" w:cs="Arial"/>
          <w:kern w:val="0"/>
          <w:lang w:eastAsia="en-GB"/>
          <w14:ligatures w14:val="none"/>
        </w:rPr>
        <w:t>Seven pharmacies have sufficient capacity within their staffing levels to manage an increase in demand, and one doesn’t but could make adjustments.</w:t>
      </w:r>
    </w:p>
    <w:p w14:paraId="2C9D9923" w14:textId="77777777" w:rsidR="00944076" w:rsidRPr="00944076" w:rsidRDefault="00944076" w:rsidP="009A3C7F">
      <w:pPr>
        <w:rPr>
          <w:rFonts w:eastAsia="Aptos" w:cs="Arial"/>
        </w:rPr>
      </w:pPr>
    </w:p>
    <w:p w14:paraId="3508A3E4" w14:textId="77777777" w:rsidR="00944076" w:rsidRPr="00944076" w:rsidRDefault="00944076" w:rsidP="009A3C7F">
      <w:pPr>
        <w:rPr>
          <w:rFonts w:eastAsia="Times New Roman" w:cs="Arial"/>
          <w:b/>
          <w:kern w:val="0"/>
          <w:lang w:val="en-US" w:eastAsia="en-GB"/>
          <w14:ligatures w14:val="none"/>
        </w:rPr>
      </w:pPr>
      <w:r w:rsidRPr="00944076">
        <w:rPr>
          <w:rFonts w:eastAsia="Times New Roman" w:cs="Arial"/>
          <w:b/>
          <w:kern w:val="0"/>
          <w:lang w:val="en-US" w:eastAsia="en-GB"/>
          <w14:ligatures w14:val="none"/>
        </w:rPr>
        <w:t>15.8.1 Essential services</w:t>
      </w:r>
    </w:p>
    <w:p w14:paraId="278422F1" w14:textId="77777777" w:rsidR="00944076" w:rsidRPr="00944076" w:rsidRDefault="00944076" w:rsidP="009A3C7F">
      <w:pPr>
        <w:rPr>
          <w:rFonts w:eastAsia="Times New Roman" w:cs="Arial"/>
          <w:b/>
          <w:kern w:val="0"/>
          <w:lang w:val="en-US" w:eastAsia="en-GB"/>
          <w14:ligatures w14:val="none"/>
        </w:rPr>
      </w:pPr>
    </w:p>
    <w:p w14:paraId="133D4B79" w14:textId="77777777" w:rsidR="00944076" w:rsidRPr="00944076" w:rsidRDefault="00944076" w:rsidP="009A3C7F">
      <w:pPr>
        <w:textAlignment w:val="baseline"/>
        <w:rPr>
          <w:rFonts w:eastAsia="Times New Roman" w:cs="Arial"/>
          <w:kern w:val="0"/>
          <w:lang w:eastAsia="en-GB"/>
          <w14:ligatures w14:val="none"/>
        </w:rPr>
      </w:pPr>
      <w:r w:rsidRPr="00944076">
        <w:rPr>
          <w:rFonts w:eastAsia="Times New Roman" w:cs="Arial"/>
          <w:kern w:val="0"/>
          <w:lang w:eastAsia="en-GB"/>
          <w14:ligatures w14:val="none"/>
        </w:rPr>
        <w:t>The health board has noted: </w:t>
      </w:r>
    </w:p>
    <w:p w14:paraId="31852538" w14:textId="77777777" w:rsidR="00944076" w:rsidRPr="00944076" w:rsidRDefault="00944076" w:rsidP="009A3C7F">
      <w:pPr>
        <w:textAlignment w:val="baseline"/>
        <w:rPr>
          <w:rFonts w:eastAsia="Times New Roman" w:cs="Arial"/>
          <w:kern w:val="0"/>
          <w:lang w:eastAsia="en-GB"/>
          <w14:ligatures w14:val="none"/>
        </w:rPr>
      </w:pPr>
      <w:r w:rsidRPr="00944076">
        <w:rPr>
          <w:rFonts w:eastAsia="Times New Roman" w:cs="Arial"/>
          <w:kern w:val="0"/>
          <w:lang w:eastAsia="en-GB"/>
          <w14:ligatures w14:val="none"/>
        </w:rPr>
        <w:t> </w:t>
      </w:r>
    </w:p>
    <w:p w14:paraId="5BF19B07" w14:textId="77777777" w:rsidR="00944076" w:rsidRPr="00944076" w:rsidRDefault="00944076" w:rsidP="00B76905">
      <w:pPr>
        <w:numPr>
          <w:ilvl w:val="0"/>
          <w:numId w:val="155"/>
        </w:numPr>
        <w:contextualSpacing/>
        <w:rPr>
          <w:rFonts w:eastAsia="Times New Roman" w:cs="Arial"/>
          <w:kern w:val="0"/>
          <w:lang w:eastAsia="en-GB"/>
          <w14:ligatures w14:val="none"/>
        </w:rPr>
      </w:pPr>
      <w:r w:rsidRPr="00944076">
        <w:rPr>
          <w:rFonts w:eastAsia="Times New Roman" w:cs="Arial"/>
          <w:kern w:val="0"/>
          <w:lang w:eastAsia="en-GB"/>
          <w14:ligatures w14:val="none"/>
        </w:rPr>
        <w:t xml:space="preserve">The location of pharmacies across the locality and the fact all residents can access a pharmacy by car within 20 minutes. Whilst noting that not all households have access to a car throughout the day, the nature of the locality means that walking to a pharmacy will be a realistic option for many residents and regular public transport services are available for those who are unable to undertake the whole journey on foot. </w:t>
      </w:r>
    </w:p>
    <w:p w14:paraId="5ED53288" w14:textId="77777777" w:rsidR="00944076" w:rsidRPr="00944076" w:rsidRDefault="00944076" w:rsidP="00B76905">
      <w:pPr>
        <w:numPr>
          <w:ilvl w:val="0"/>
          <w:numId w:val="155"/>
        </w:numPr>
        <w:contextualSpacing/>
        <w:rPr>
          <w:rFonts w:eastAsia="Times New Roman" w:cs="Arial"/>
          <w:kern w:val="0"/>
          <w:lang w:eastAsia="en-GB"/>
          <w14:ligatures w14:val="none"/>
        </w:rPr>
      </w:pPr>
      <w:r w:rsidRPr="00944076">
        <w:rPr>
          <w:rFonts w:eastAsia="Times New Roman" w:cs="Arial"/>
          <w:kern w:val="0"/>
          <w:lang w:eastAsia="en-GB"/>
          <w14:ligatures w14:val="none"/>
        </w:rPr>
        <w:t>The scale of the potential housing developments.</w:t>
      </w:r>
    </w:p>
    <w:p w14:paraId="34008730" w14:textId="77777777" w:rsidR="00944076" w:rsidRPr="00944076" w:rsidRDefault="00944076" w:rsidP="00B76905">
      <w:pPr>
        <w:numPr>
          <w:ilvl w:val="0"/>
          <w:numId w:val="155"/>
        </w:numPr>
        <w:textAlignment w:val="baseline"/>
        <w:rPr>
          <w:rFonts w:eastAsia="Times New Roman" w:cs="Arial"/>
          <w:kern w:val="0"/>
          <w:lang w:eastAsia="en-GB"/>
          <w14:ligatures w14:val="none"/>
        </w:rPr>
      </w:pPr>
      <w:r w:rsidRPr="00944076">
        <w:rPr>
          <w:rFonts w:eastAsia="Times New Roman" w:cs="Arial"/>
          <w:kern w:val="0"/>
          <w:lang w:eastAsia="en-GB"/>
          <w14:ligatures w14:val="none"/>
        </w:rPr>
        <w:t>The opening hours of the pharmacies.</w:t>
      </w:r>
    </w:p>
    <w:p w14:paraId="134F18FA" w14:textId="77777777" w:rsidR="00944076" w:rsidRPr="00944076" w:rsidRDefault="00944076" w:rsidP="009A3C7F">
      <w:pPr>
        <w:rPr>
          <w:rFonts w:eastAsia="Aptos" w:cs="Arial"/>
        </w:rPr>
      </w:pPr>
    </w:p>
    <w:p w14:paraId="5C7DEECF" w14:textId="77777777" w:rsidR="00944076" w:rsidRPr="00944076" w:rsidRDefault="00944076" w:rsidP="009A3C7F">
      <w:pPr>
        <w:contextualSpacing/>
        <w:rPr>
          <w:rFonts w:eastAsia="Times New Roman" w:cs="Arial"/>
          <w:kern w:val="0"/>
          <w:lang w:eastAsia="en-GB"/>
          <w14:ligatures w14:val="none"/>
        </w:rPr>
      </w:pPr>
      <w:r w:rsidRPr="00944076">
        <w:rPr>
          <w:rFonts w:eastAsia="Times New Roman" w:cs="Arial"/>
          <w:kern w:val="0"/>
          <w:lang w:eastAsia="en-GB"/>
          <w14:ligatures w14:val="none"/>
        </w:rPr>
        <w:t>The health board has not identified any current gaps in the provision of the essential services.</w:t>
      </w:r>
    </w:p>
    <w:p w14:paraId="663F59AF" w14:textId="77777777" w:rsidR="00944076" w:rsidRPr="00944076" w:rsidRDefault="00944076" w:rsidP="009A3C7F">
      <w:pPr>
        <w:rPr>
          <w:rFonts w:eastAsia="Aptos" w:cs="Arial"/>
        </w:rPr>
      </w:pPr>
    </w:p>
    <w:p w14:paraId="27606A4A" w14:textId="77777777" w:rsidR="00944076" w:rsidRPr="00944076" w:rsidRDefault="00944076" w:rsidP="009A3C7F">
      <w:pPr>
        <w:contextualSpacing/>
        <w:rPr>
          <w:rFonts w:eastAsia="Times New Roman" w:cs="Arial"/>
          <w:kern w:val="0"/>
          <w:lang w:eastAsia="en-GB"/>
          <w14:ligatures w14:val="none"/>
        </w:rPr>
      </w:pPr>
      <w:r w:rsidRPr="00944076">
        <w:rPr>
          <w:rFonts w:eastAsia="Times New Roman" w:cs="Arial"/>
          <w:kern w:val="0"/>
          <w:lang w:eastAsia="en-GB"/>
          <w14:ligatures w14:val="none"/>
        </w:rPr>
        <w:t>The health board has considered the known housing developments that will deliver housing in the locality during the lifetime of this document. It is satisfied that the need for essential services by those moving into the new housing will be met by the existing pharmacies.</w:t>
      </w:r>
    </w:p>
    <w:p w14:paraId="4F438F8F" w14:textId="77777777" w:rsidR="00B36CFB" w:rsidRPr="00944076" w:rsidRDefault="00B36CFB" w:rsidP="009A3C7F">
      <w:pPr>
        <w:rPr>
          <w:rFonts w:eastAsia="Aptos" w:cs="Arial"/>
        </w:rPr>
      </w:pPr>
    </w:p>
    <w:p w14:paraId="2B93215E" w14:textId="77777777" w:rsidR="00944076" w:rsidRPr="00944076" w:rsidRDefault="00944076" w:rsidP="009A3C7F">
      <w:pPr>
        <w:contextualSpacing/>
        <w:rPr>
          <w:rFonts w:eastAsia="Times New Roman" w:cs="Arial"/>
          <w:b/>
          <w:bCs/>
          <w:kern w:val="0"/>
          <w:lang w:eastAsia="en-GB"/>
          <w14:ligatures w14:val="none"/>
        </w:rPr>
      </w:pPr>
      <w:r w:rsidRPr="00944076">
        <w:rPr>
          <w:rFonts w:eastAsia="Times New Roman" w:cs="Arial"/>
          <w:b/>
          <w:bCs/>
          <w:kern w:val="0"/>
          <w:lang w:eastAsia="en-GB"/>
          <w14:ligatures w14:val="none"/>
        </w:rPr>
        <w:t>15.8.2 National community pharmacy and appliance contractor services</w:t>
      </w:r>
    </w:p>
    <w:p w14:paraId="4673EABD" w14:textId="77777777" w:rsidR="00944076" w:rsidRPr="00944076" w:rsidRDefault="00944076" w:rsidP="009A3C7F">
      <w:pPr>
        <w:contextualSpacing/>
        <w:rPr>
          <w:rFonts w:eastAsia="Times New Roman" w:cs="Arial"/>
          <w:kern w:val="0"/>
          <w:lang w:eastAsia="en-GB"/>
          <w14:ligatures w14:val="none"/>
        </w:rPr>
      </w:pPr>
    </w:p>
    <w:p w14:paraId="68013B76"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15.8.2.1 Appliance use review service</w:t>
      </w:r>
    </w:p>
    <w:p w14:paraId="1252FFCD" w14:textId="77777777" w:rsidR="00944076" w:rsidRPr="00944076" w:rsidRDefault="00944076" w:rsidP="009A3C7F">
      <w:pPr>
        <w:rPr>
          <w:rFonts w:eastAsia="Times New Roman" w:cs="Arial"/>
          <w:b/>
          <w:bCs/>
          <w:kern w:val="0"/>
          <w:lang w:eastAsia="en-GB"/>
          <w14:ligatures w14:val="none"/>
        </w:rPr>
      </w:pPr>
    </w:p>
    <w:p w14:paraId="152C1E76"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The health board has noted none of the pharmacies have signed up to provide this service. However, there are four dispensing appliance contractors in Cardiff and Vale University Health Board’s area which dispensed 0.1% of the items prescribed by GPs in the locality in 2024/25 and 2025/26. One of these contractors provides this service. In addition, of the items dispensed in England in 2024/25, 84.9% were dispensed by dispensing appliance contractors and 88.6% in the first nine months of 2025/26.</w:t>
      </w:r>
    </w:p>
    <w:p w14:paraId="5899572D" w14:textId="77777777" w:rsidR="00944076" w:rsidRPr="00944076" w:rsidRDefault="00944076" w:rsidP="009A3C7F">
      <w:pPr>
        <w:rPr>
          <w:rFonts w:eastAsia="Times New Roman" w:cs="Arial"/>
          <w:kern w:val="0"/>
          <w:lang w:eastAsia="en-GB"/>
          <w14:ligatures w14:val="none"/>
        </w:rPr>
      </w:pPr>
    </w:p>
    <w:p w14:paraId="0DB2500A"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Individuals requiring the appliance use review service are likely to access this service from the contractor that dispenses their prescriptions for appliances or may access it from other healthcare providers such as stoma nurses.</w:t>
      </w:r>
    </w:p>
    <w:p w14:paraId="0CB53853" w14:textId="77777777" w:rsidR="00944076" w:rsidRPr="00944076" w:rsidRDefault="00944076" w:rsidP="009A3C7F">
      <w:pPr>
        <w:rPr>
          <w:rFonts w:eastAsia="Times New Roman" w:cs="Arial"/>
          <w:kern w:val="0"/>
          <w:lang w:eastAsia="en-GB"/>
          <w14:ligatures w14:val="none"/>
        </w:rPr>
      </w:pPr>
    </w:p>
    <w:p w14:paraId="1F3E6D78"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Based on the above, the health board has not identified any current or future needs for this service within the locality.</w:t>
      </w:r>
    </w:p>
    <w:p w14:paraId="38FA599A" w14:textId="77777777" w:rsidR="00944076" w:rsidRPr="00944076" w:rsidRDefault="00944076" w:rsidP="009A3C7F">
      <w:pPr>
        <w:rPr>
          <w:rFonts w:eastAsia="Times New Roman" w:cs="Arial"/>
          <w:b/>
          <w:bCs/>
          <w:kern w:val="0"/>
          <w:lang w:eastAsia="en-GB"/>
          <w14:ligatures w14:val="none"/>
        </w:rPr>
      </w:pPr>
    </w:p>
    <w:p w14:paraId="774C4DF2"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15.8.2.2 Clinical community pharmacy service</w:t>
      </w:r>
    </w:p>
    <w:p w14:paraId="4557376C" w14:textId="77777777" w:rsidR="00944076" w:rsidRDefault="00944076" w:rsidP="009A3C7F">
      <w:pPr>
        <w:rPr>
          <w:rFonts w:eastAsia="Times New Roman" w:cs="Arial"/>
          <w:kern w:val="0"/>
          <w:lang w:eastAsia="en-GB"/>
          <w14:ligatures w14:val="none"/>
        </w:rPr>
      </w:pPr>
    </w:p>
    <w:p w14:paraId="6146DA0C" w14:textId="77777777" w:rsidR="00C42203"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 xml:space="preserve">The health board has noted all the pharmacies have signed up and provide this </w:t>
      </w:r>
    </w:p>
    <w:p w14:paraId="3DF60379" w14:textId="7627E1C9"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lastRenderedPageBreak/>
        <w:t>service. As a result, the health board has not identified any current or future needs for this service within the locality.</w:t>
      </w:r>
    </w:p>
    <w:p w14:paraId="21F01F9C" w14:textId="77777777" w:rsidR="00944076" w:rsidRPr="00944076" w:rsidRDefault="00944076" w:rsidP="009A3C7F">
      <w:pPr>
        <w:contextualSpacing/>
        <w:rPr>
          <w:rFonts w:eastAsia="Times New Roman" w:cs="Arial"/>
          <w:kern w:val="0"/>
          <w:lang w:eastAsia="en-GB"/>
          <w14:ligatures w14:val="none"/>
        </w:rPr>
      </w:pPr>
    </w:p>
    <w:p w14:paraId="13F977AB"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 xml:space="preserve">15.8.2.3 Discharge medicines review service </w:t>
      </w:r>
    </w:p>
    <w:p w14:paraId="6470A659" w14:textId="77777777" w:rsidR="00944076" w:rsidRPr="00944076" w:rsidRDefault="00944076" w:rsidP="009A3C7F">
      <w:pPr>
        <w:rPr>
          <w:rFonts w:eastAsia="Times New Roman" w:cs="Arial"/>
          <w:b/>
          <w:bCs/>
          <w:kern w:val="0"/>
          <w:lang w:eastAsia="en-GB"/>
          <w14:ligatures w14:val="none"/>
        </w:rPr>
      </w:pPr>
    </w:p>
    <w:p w14:paraId="50AA8C42"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The health board has noted all the pharmacies have signed up to provide this service and all provide it. As a result, the health board has not identified any current or future needs for this service within the locality.</w:t>
      </w:r>
    </w:p>
    <w:p w14:paraId="39D39758" w14:textId="77777777" w:rsidR="00944076" w:rsidRPr="00944076" w:rsidRDefault="00944076" w:rsidP="009A3C7F">
      <w:pPr>
        <w:ind w:left="360"/>
        <w:rPr>
          <w:rFonts w:eastAsia="Times New Roman" w:cs="Arial"/>
          <w:kern w:val="0"/>
          <w:lang w:eastAsia="en-GB"/>
          <w14:ligatures w14:val="none"/>
        </w:rPr>
      </w:pPr>
    </w:p>
    <w:p w14:paraId="0561DCDF"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15.8.2.4 Influenza vaccination service</w:t>
      </w:r>
    </w:p>
    <w:p w14:paraId="1662F895" w14:textId="77777777" w:rsidR="00944076" w:rsidRPr="00944076" w:rsidRDefault="00944076" w:rsidP="009A3C7F">
      <w:pPr>
        <w:rPr>
          <w:rFonts w:eastAsia="Times New Roman" w:cs="Arial"/>
          <w:kern w:val="0"/>
          <w:lang w:eastAsia="en-GB"/>
          <w14:ligatures w14:val="none"/>
        </w:rPr>
      </w:pPr>
    </w:p>
    <w:p w14:paraId="6DE72DFD"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The health board has noted eight of the pharmacies have signed up to provide this service and provide it. The health board has noted that GP practices also provide this service. As a result, the health board has not identified any current or future needs for this service within the locality.</w:t>
      </w:r>
    </w:p>
    <w:p w14:paraId="58DC3626" w14:textId="77777777" w:rsidR="00944076" w:rsidRPr="00944076" w:rsidRDefault="00944076" w:rsidP="009A3C7F">
      <w:pPr>
        <w:ind w:left="360"/>
        <w:rPr>
          <w:rFonts w:eastAsia="Times New Roman" w:cs="Arial"/>
          <w:kern w:val="0"/>
          <w:lang w:eastAsia="en-GB"/>
          <w14:ligatures w14:val="none"/>
        </w:rPr>
      </w:pPr>
    </w:p>
    <w:p w14:paraId="131637BC"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15.8.2.5 Lateral flow test supply service</w:t>
      </w:r>
    </w:p>
    <w:p w14:paraId="5664D84D" w14:textId="77777777" w:rsidR="00944076" w:rsidRPr="00944076" w:rsidRDefault="00944076" w:rsidP="009A3C7F">
      <w:pPr>
        <w:rPr>
          <w:rFonts w:eastAsia="Times New Roman" w:cs="Arial"/>
          <w:kern w:val="0"/>
          <w:lang w:eastAsia="en-GB"/>
          <w14:ligatures w14:val="none"/>
        </w:rPr>
      </w:pPr>
    </w:p>
    <w:p w14:paraId="75CAD3DE"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The health board has noted seven of the pharmacies have signed to provide this service, and five pharmacies provide it. It has also noted that this service is only available to specified patient groups. If one of the pharmacies that doesn’t provide the service identified a need for it, the health board would commission the service from that pharmacy. As a result, the health board has not identified any current or future needs for this service within the locality.</w:t>
      </w:r>
    </w:p>
    <w:p w14:paraId="012ED9F2" w14:textId="77777777" w:rsidR="00944076" w:rsidRPr="00944076" w:rsidRDefault="00944076" w:rsidP="009A3C7F">
      <w:pPr>
        <w:ind w:left="360"/>
        <w:rPr>
          <w:rFonts w:eastAsia="Times New Roman" w:cs="Arial"/>
          <w:kern w:val="0"/>
          <w:lang w:eastAsia="en-GB"/>
          <w14:ligatures w14:val="none"/>
        </w:rPr>
      </w:pPr>
    </w:p>
    <w:p w14:paraId="7D6BDAC6"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15.8.2.6 Pharmacist independent prescribing service</w:t>
      </w:r>
    </w:p>
    <w:p w14:paraId="6D899615" w14:textId="77777777" w:rsidR="00B36CFB" w:rsidRPr="00944076" w:rsidRDefault="00B36CFB" w:rsidP="009A3C7F">
      <w:pPr>
        <w:rPr>
          <w:rFonts w:eastAsia="Times New Roman" w:cs="Arial"/>
          <w:kern w:val="0"/>
          <w:lang w:eastAsia="en-GB"/>
          <w14:ligatures w14:val="none"/>
        </w:rPr>
      </w:pPr>
    </w:p>
    <w:p w14:paraId="4FCC480F" w14:textId="77777777" w:rsidR="00B36CFB"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 xml:space="preserve">The health board has noted six of the pharmacies have signed up to provide this </w:t>
      </w:r>
    </w:p>
    <w:p w14:paraId="0CC951F0" w14:textId="524F85C9"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 xml:space="preserve">service, and five pharmacies provide it, and another is due to start providing it. </w:t>
      </w:r>
    </w:p>
    <w:p w14:paraId="22592C92" w14:textId="77777777" w:rsidR="00944076" w:rsidRPr="00944076" w:rsidRDefault="00944076" w:rsidP="009A3C7F">
      <w:pPr>
        <w:rPr>
          <w:rFonts w:eastAsia="Times New Roman" w:cs="Arial"/>
          <w:kern w:val="0"/>
          <w:lang w:eastAsia="en-GB"/>
          <w14:ligatures w14:val="none"/>
        </w:rPr>
      </w:pPr>
    </w:p>
    <w:p w14:paraId="520FA259"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Welsh Government’s ambition is for each pharmacy to have an independent prescriber by 2030. The health board has noted that from 2026 it is anticipated that all newly qualified pharmacists will also qualify as independent prescribers on completion of their undergraduate programme.</w:t>
      </w:r>
    </w:p>
    <w:p w14:paraId="3CD40AD9" w14:textId="77777777" w:rsidR="00944076" w:rsidRPr="00944076" w:rsidRDefault="00944076" w:rsidP="009A3C7F">
      <w:pPr>
        <w:rPr>
          <w:rFonts w:eastAsia="Times New Roman" w:cs="Arial"/>
          <w:kern w:val="0"/>
          <w:lang w:eastAsia="en-GB"/>
          <w14:ligatures w14:val="none"/>
        </w:rPr>
      </w:pPr>
    </w:p>
    <w:p w14:paraId="2DB0EA7E"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Noting the above, the health board is of the opinion that the remaining pharmacies will sign up to provide this service during the lifetime of this pharmaceutical needs assessment. As a result, the health board has not identified any current or future needs for this service within the locality.</w:t>
      </w:r>
    </w:p>
    <w:p w14:paraId="7720BE6F" w14:textId="77777777" w:rsidR="00944076" w:rsidRPr="00944076" w:rsidRDefault="00944076" w:rsidP="009A3C7F">
      <w:pPr>
        <w:ind w:left="360"/>
        <w:rPr>
          <w:rFonts w:eastAsia="Times New Roman" w:cs="Arial"/>
          <w:kern w:val="0"/>
          <w:lang w:eastAsia="en-GB"/>
          <w14:ligatures w14:val="none"/>
        </w:rPr>
      </w:pPr>
    </w:p>
    <w:p w14:paraId="3E36A049"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 xml:space="preserve">15.8.2.7 Stoma appliance customisation service </w:t>
      </w:r>
    </w:p>
    <w:p w14:paraId="50AFE304" w14:textId="77777777" w:rsidR="00944076" w:rsidRPr="00944076" w:rsidRDefault="00944076" w:rsidP="009A3C7F">
      <w:pPr>
        <w:rPr>
          <w:rFonts w:eastAsia="Times New Roman" w:cs="Arial"/>
          <w:kern w:val="0"/>
          <w:lang w:eastAsia="en-GB"/>
          <w14:ligatures w14:val="none"/>
        </w:rPr>
      </w:pPr>
    </w:p>
    <w:p w14:paraId="06A4E9C5"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The health board has noted none of the pharmacies have signed up to provide this service and neither have the four dispensing appliance contractors Cardiff and Vale University Health Board’s area. However, of the items dispensed in England in 2024/25, 84.9% were dispensed by dispensing appliance contractors and 88.6% in the first nine months of 2025/26.</w:t>
      </w:r>
    </w:p>
    <w:p w14:paraId="7FA8F1D2" w14:textId="77777777" w:rsidR="00944076" w:rsidRPr="00944076" w:rsidRDefault="00944076" w:rsidP="009A3C7F">
      <w:pPr>
        <w:rPr>
          <w:rFonts w:eastAsia="Times New Roman" w:cs="Arial"/>
          <w:kern w:val="0"/>
          <w:lang w:eastAsia="en-GB"/>
          <w14:ligatures w14:val="none"/>
        </w:rPr>
      </w:pPr>
    </w:p>
    <w:p w14:paraId="0F51FB87"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It is therefore anticipated that these contractors will be customising stoma appliances as required before dispatching or delivering them to patients.</w:t>
      </w:r>
    </w:p>
    <w:p w14:paraId="572B35CB" w14:textId="77777777" w:rsidR="00944076" w:rsidRPr="00944076" w:rsidRDefault="00944076" w:rsidP="009A3C7F">
      <w:pPr>
        <w:rPr>
          <w:rFonts w:eastAsia="Times New Roman" w:cs="Arial"/>
          <w:kern w:val="0"/>
          <w:lang w:eastAsia="en-GB"/>
          <w14:ligatures w14:val="none"/>
        </w:rPr>
      </w:pPr>
    </w:p>
    <w:p w14:paraId="2FBB9F17"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Based on this, the health board has not identified any current or future needs for this service within the locality.</w:t>
      </w:r>
    </w:p>
    <w:p w14:paraId="4BD2EFE0" w14:textId="77777777" w:rsidR="00944076" w:rsidRPr="00944076" w:rsidRDefault="00944076" w:rsidP="009A3C7F">
      <w:pPr>
        <w:rPr>
          <w:rFonts w:eastAsia="Times New Roman" w:cs="Arial"/>
          <w:kern w:val="0"/>
          <w:lang w:eastAsia="en-GB"/>
          <w14:ligatures w14:val="none"/>
        </w:rPr>
      </w:pPr>
    </w:p>
    <w:p w14:paraId="764938E4"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15.8.3 Additional clinical services</w:t>
      </w:r>
    </w:p>
    <w:p w14:paraId="72187ED5" w14:textId="77777777" w:rsidR="00944076" w:rsidRPr="00944076" w:rsidRDefault="00944076" w:rsidP="009A3C7F">
      <w:pPr>
        <w:rPr>
          <w:rFonts w:eastAsia="Aptos" w:cs="Arial"/>
          <w:shd w:val="clear" w:color="auto" w:fill="FFFFFF"/>
        </w:rPr>
      </w:pPr>
    </w:p>
    <w:p w14:paraId="30C6A2E6"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15.8.3.1 Blood borne virus screening service</w:t>
      </w:r>
    </w:p>
    <w:p w14:paraId="4F640C39" w14:textId="77777777" w:rsidR="00944076" w:rsidRPr="00944076" w:rsidRDefault="00944076" w:rsidP="009A3C7F">
      <w:pPr>
        <w:rPr>
          <w:rFonts w:eastAsia="Times New Roman" w:cs="Arial"/>
          <w:kern w:val="0"/>
          <w:lang w:eastAsia="en-GB"/>
          <w14:ligatures w14:val="none"/>
        </w:rPr>
      </w:pPr>
    </w:p>
    <w:p w14:paraId="4C35C92A"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 xml:space="preserve">The health board has noted one of the pharmacies has signed up to provide this service. </w:t>
      </w:r>
    </w:p>
    <w:p w14:paraId="46731DA9" w14:textId="77777777" w:rsidR="00944076" w:rsidRPr="00944076" w:rsidRDefault="00944076" w:rsidP="009A3C7F">
      <w:pPr>
        <w:rPr>
          <w:rFonts w:eastAsia="Times New Roman" w:cs="Arial"/>
          <w:kern w:val="0"/>
          <w:lang w:eastAsia="en-GB"/>
          <w14:ligatures w14:val="none"/>
        </w:rPr>
      </w:pPr>
    </w:p>
    <w:p w14:paraId="4945A839" w14:textId="77777777" w:rsidR="00944076" w:rsidRPr="00944076" w:rsidRDefault="00944076" w:rsidP="009A3C7F">
      <w:pPr>
        <w:contextualSpacing/>
        <w:rPr>
          <w:rFonts w:eastAsia="Times New Roman" w:cs="Arial"/>
          <w:kern w:val="0"/>
          <w:lang w:eastAsia="en-GB"/>
          <w14:ligatures w14:val="none"/>
        </w:rPr>
      </w:pPr>
      <w:r w:rsidRPr="00944076">
        <w:rPr>
          <w:rFonts w:eastAsia="Times New Roman" w:cs="Arial"/>
          <w:kern w:val="0"/>
          <w:lang w:eastAsia="en-GB"/>
          <w14:ligatures w14:val="none"/>
        </w:rPr>
        <w:t xml:space="preserve">However, blood borne virus screening services are available through several other providers in the health board’s area, such as sexual health clinics, GP practices, ordering online home test and post screening kits via Sexual Health Wales or collecting screening kits from community venues across Swansea Bay. Several pharmacies across Swansea Bay hold a stock of the test and post screening kits, ensuring convenient access for those who may prefer a more discreet or flexible option. </w:t>
      </w:r>
    </w:p>
    <w:p w14:paraId="105365A8" w14:textId="77777777" w:rsidR="00944076" w:rsidRPr="00944076" w:rsidRDefault="00944076" w:rsidP="009A3C7F">
      <w:pPr>
        <w:contextualSpacing/>
        <w:rPr>
          <w:rFonts w:eastAsia="Times New Roman" w:cs="Arial"/>
          <w:kern w:val="0"/>
          <w:lang w:eastAsia="en-GB"/>
          <w14:ligatures w14:val="none"/>
        </w:rPr>
      </w:pPr>
    </w:p>
    <w:p w14:paraId="6A6F946D" w14:textId="77777777" w:rsidR="00944076" w:rsidRPr="00944076" w:rsidRDefault="00944076" w:rsidP="009A3C7F">
      <w:pPr>
        <w:contextualSpacing/>
        <w:rPr>
          <w:rFonts w:eastAsia="Times New Roman" w:cs="Arial"/>
          <w:kern w:val="0"/>
          <w:lang w:eastAsia="en-GB"/>
          <w14:ligatures w14:val="none"/>
        </w:rPr>
      </w:pPr>
      <w:r w:rsidRPr="00944076">
        <w:rPr>
          <w:rFonts w:eastAsia="Times New Roman" w:cs="Arial"/>
          <w:kern w:val="0"/>
          <w:lang w:eastAsia="en-GB"/>
          <w14:ligatures w14:val="none"/>
        </w:rPr>
        <w:t>Based on the above, the health board has not identified any current or future needs for this service within the locality.</w:t>
      </w:r>
    </w:p>
    <w:p w14:paraId="559E14DB" w14:textId="77777777" w:rsidR="00944076" w:rsidRPr="00944076" w:rsidRDefault="00944076" w:rsidP="009A3C7F">
      <w:pPr>
        <w:rPr>
          <w:rFonts w:eastAsia="Times New Roman" w:cs="Arial"/>
          <w:kern w:val="0"/>
          <w:lang w:eastAsia="en-GB"/>
          <w14:ligatures w14:val="none"/>
        </w:rPr>
      </w:pPr>
    </w:p>
    <w:p w14:paraId="2C92E7AE"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15.8.3.2 Care home support service - Level 1 medicines management support visits</w:t>
      </w:r>
    </w:p>
    <w:p w14:paraId="1ACEDB0D" w14:textId="77777777" w:rsidR="00944076" w:rsidRPr="00944076" w:rsidRDefault="00944076" w:rsidP="009A3C7F">
      <w:pPr>
        <w:rPr>
          <w:rFonts w:eastAsia="Times New Roman" w:cs="Arial"/>
          <w:kern w:val="0"/>
          <w:lang w:eastAsia="en-GB"/>
          <w14:ligatures w14:val="none"/>
        </w:rPr>
      </w:pPr>
    </w:p>
    <w:p w14:paraId="0CB6373A"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The health board has noted four of the pharmacies have signed up to provide this service, and one pharmacy provides it. If approached by a pharmacy wishing to provide the service for the care homes it serves as it has identified there is a need for the service, the health board would commission the service from that pharmacy.</w:t>
      </w:r>
    </w:p>
    <w:p w14:paraId="457153B5" w14:textId="77777777" w:rsidR="00944076" w:rsidRPr="00944076" w:rsidRDefault="00944076" w:rsidP="009A3C7F">
      <w:pPr>
        <w:rPr>
          <w:rFonts w:eastAsia="Times New Roman" w:cs="Arial"/>
          <w:kern w:val="0"/>
          <w:lang w:eastAsia="en-GB"/>
          <w14:ligatures w14:val="none"/>
        </w:rPr>
      </w:pPr>
    </w:p>
    <w:p w14:paraId="27A523F7" w14:textId="77777777" w:rsidR="00944076" w:rsidRPr="00944076" w:rsidRDefault="00944076" w:rsidP="009A3C7F">
      <w:pPr>
        <w:contextualSpacing/>
        <w:rPr>
          <w:rFonts w:eastAsia="Times New Roman" w:cs="Arial"/>
          <w:kern w:val="0"/>
          <w:lang w:eastAsia="en-GB"/>
          <w14:ligatures w14:val="none"/>
        </w:rPr>
      </w:pPr>
      <w:r w:rsidRPr="00944076">
        <w:rPr>
          <w:rFonts w:eastAsia="Times New Roman" w:cs="Arial"/>
          <w:kern w:val="0"/>
          <w:lang w:eastAsia="en-GB"/>
          <w14:ligatures w14:val="none"/>
        </w:rPr>
        <w:t>Based on the above, the health board has not identified any current or future needs for this service within the locality.</w:t>
      </w:r>
    </w:p>
    <w:p w14:paraId="05619313" w14:textId="77777777" w:rsidR="00944076" w:rsidRPr="00944076" w:rsidRDefault="00944076" w:rsidP="009A3C7F">
      <w:pPr>
        <w:rPr>
          <w:rFonts w:eastAsia="Times New Roman" w:cs="Arial"/>
          <w:kern w:val="0"/>
          <w:lang w:eastAsia="en-GB"/>
          <w14:ligatures w14:val="none"/>
        </w:rPr>
      </w:pPr>
    </w:p>
    <w:p w14:paraId="0B53F94D"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15.8.3.3 Inhaler review service</w:t>
      </w:r>
    </w:p>
    <w:p w14:paraId="2F8FB7B2" w14:textId="77777777" w:rsidR="00944076" w:rsidRPr="00944076" w:rsidRDefault="00944076" w:rsidP="009A3C7F">
      <w:pPr>
        <w:rPr>
          <w:rFonts w:eastAsia="Times New Roman" w:cs="Arial"/>
          <w:b/>
          <w:bCs/>
          <w:kern w:val="0"/>
          <w:lang w:eastAsia="en-GB"/>
          <w14:ligatures w14:val="none"/>
        </w:rPr>
      </w:pPr>
    </w:p>
    <w:p w14:paraId="3786EE66"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The health board has noted seven of the pharmacies have signed up to provide this service, and three provide it. It has also noted that GP practices will provide the service which reduces demand for the service to be provided by pharmacies. If a pharmacy identified that the service is required by its users, the health board would commission the service from that pharmacy.</w:t>
      </w:r>
    </w:p>
    <w:p w14:paraId="4E748483" w14:textId="77777777" w:rsidR="00944076" w:rsidRPr="00944076" w:rsidRDefault="00944076" w:rsidP="009A3C7F">
      <w:pPr>
        <w:rPr>
          <w:rFonts w:eastAsia="Times New Roman" w:cs="Arial"/>
          <w:kern w:val="0"/>
          <w:lang w:eastAsia="en-GB"/>
          <w14:ligatures w14:val="none"/>
        </w:rPr>
      </w:pPr>
    </w:p>
    <w:p w14:paraId="670C7E0A"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Based on the above, the health board has not identified any current or future needs for this service within the locality.</w:t>
      </w:r>
    </w:p>
    <w:p w14:paraId="654C276A" w14:textId="77777777" w:rsidR="00944076" w:rsidRPr="00944076" w:rsidRDefault="00944076" w:rsidP="009A3C7F">
      <w:pPr>
        <w:rPr>
          <w:rFonts w:eastAsia="Times New Roman" w:cs="Arial"/>
          <w:b/>
          <w:bCs/>
          <w:kern w:val="0"/>
          <w:lang w:eastAsia="en-GB"/>
          <w14:ligatures w14:val="none"/>
        </w:rPr>
      </w:pPr>
    </w:p>
    <w:p w14:paraId="3590E8EC"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15.8.3.4 Just in case service (palliative care packs)</w:t>
      </w:r>
    </w:p>
    <w:p w14:paraId="1344704B" w14:textId="77777777" w:rsidR="00944076" w:rsidRPr="00944076" w:rsidRDefault="00944076" w:rsidP="009A3C7F">
      <w:pPr>
        <w:rPr>
          <w:rFonts w:eastAsia="Times New Roman" w:cs="Arial"/>
          <w:kern w:val="0"/>
          <w:lang w:eastAsia="en-GB"/>
          <w14:ligatures w14:val="none"/>
        </w:rPr>
      </w:pPr>
    </w:p>
    <w:p w14:paraId="43949675"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 xml:space="preserve">The health board has noted eight of the pharmacies have signed up to provide this service, and one pharmacy provides it. </w:t>
      </w:r>
    </w:p>
    <w:p w14:paraId="365CDC99" w14:textId="77777777" w:rsidR="00944076" w:rsidRPr="00944076" w:rsidRDefault="00944076" w:rsidP="009A3C7F">
      <w:pPr>
        <w:ind w:left="360"/>
        <w:rPr>
          <w:rFonts w:eastAsia="Times New Roman" w:cs="Arial"/>
          <w:kern w:val="0"/>
          <w:lang w:eastAsia="en-GB"/>
          <w14:ligatures w14:val="none"/>
        </w:rPr>
      </w:pPr>
    </w:p>
    <w:p w14:paraId="2387A81C" w14:textId="77777777" w:rsidR="00944076" w:rsidRPr="00944076" w:rsidRDefault="00944076" w:rsidP="009A3C7F">
      <w:pPr>
        <w:contextualSpacing/>
        <w:rPr>
          <w:rFonts w:eastAsia="Times New Roman" w:cs="Arial"/>
          <w:kern w:val="0"/>
          <w:lang w:eastAsia="en-GB"/>
          <w14:ligatures w14:val="none"/>
        </w:rPr>
      </w:pPr>
      <w:r w:rsidRPr="00944076">
        <w:rPr>
          <w:rFonts w:eastAsia="Times New Roman" w:cs="Arial"/>
          <w:kern w:val="0"/>
          <w:lang w:eastAsia="en-GB"/>
          <w14:ligatures w14:val="none"/>
        </w:rPr>
        <w:lastRenderedPageBreak/>
        <w:t>Services are available within the locality through several other providers in the health board’s area, such as through the health board’s palliative care team.</w:t>
      </w:r>
    </w:p>
    <w:p w14:paraId="2648FB70" w14:textId="77777777" w:rsidR="00944076" w:rsidRPr="00944076" w:rsidRDefault="00944076" w:rsidP="009A3C7F">
      <w:pPr>
        <w:contextualSpacing/>
        <w:rPr>
          <w:rFonts w:eastAsia="Times New Roman" w:cs="Arial"/>
          <w:kern w:val="0"/>
          <w:lang w:eastAsia="en-GB"/>
          <w14:ligatures w14:val="none"/>
        </w:rPr>
      </w:pPr>
    </w:p>
    <w:p w14:paraId="58E2B32E"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Based on the above, the health board has not identified any current or future needs for this service within the locality.</w:t>
      </w:r>
    </w:p>
    <w:p w14:paraId="0C00CE18" w14:textId="77777777" w:rsidR="00944076" w:rsidRPr="00944076" w:rsidRDefault="00944076" w:rsidP="009A3C7F">
      <w:pPr>
        <w:ind w:left="360"/>
        <w:rPr>
          <w:rFonts w:eastAsia="Times New Roman" w:cs="Arial"/>
          <w:kern w:val="0"/>
          <w:lang w:eastAsia="en-GB"/>
          <w14:ligatures w14:val="none"/>
        </w:rPr>
      </w:pPr>
    </w:p>
    <w:p w14:paraId="15EF3527"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 xml:space="preserve">15.8.3.5 Medicines administration record service </w:t>
      </w:r>
    </w:p>
    <w:p w14:paraId="14D6E91F" w14:textId="77777777" w:rsidR="00944076" w:rsidRPr="00944076" w:rsidRDefault="00944076" w:rsidP="009A3C7F">
      <w:pPr>
        <w:rPr>
          <w:rFonts w:eastAsia="Times New Roman" w:cs="Arial"/>
          <w:kern w:val="0"/>
          <w:lang w:eastAsia="en-GB"/>
          <w14:ligatures w14:val="none"/>
        </w:rPr>
      </w:pPr>
    </w:p>
    <w:p w14:paraId="13B9F679"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 xml:space="preserve">The health board has noted all the pharmacies have signed up to provide this service and all provide it. The health board has therefore not identified any current or future needs for this service within the locality. </w:t>
      </w:r>
    </w:p>
    <w:p w14:paraId="6198E4D3" w14:textId="77777777" w:rsidR="004962D9" w:rsidRPr="00944076" w:rsidRDefault="004962D9" w:rsidP="009A3C7F">
      <w:pPr>
        <w:rPr>
          <w:rFonts w:eastAsia="Times New Roman" w:cs="Arial"/>
          <w:b/>
          <w:bCs/>
          <w:kern w:val="0"/>
          <w:lang w:eastAsia="en-GB"/>
          <w14:ligatures w14:val="none"/>
        </w:rPr>
      </w:pPr>
    </w:p>
    <w:p w14:paraId="5B862FDF"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15.8.3.6 Needle and syringe programmes</w:t>
      </w:r>
    </w:p>
    <w:p w14:paraId="45E774A0" w14:textId="77777777" w:rsidR="00944076" w:rsidRPr="00944076" w:rsidRDefault="00944076" w:rsidP="009A3C7F">
      <w:pPr>
        <w:rPr>
          <w:rFonts w:eastAsia="Times New Roman" w:cs="Arial"/>
          <w:kern w:val="0"/>
          <w:lang w:eastAsia="en-GB"/>
          <w14:ligatures w14:val="none"/>
        </w:rPr>
      </w:pPr>
    </w:p>
    <w:p w14:paraId="5B71E634"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 xml:space="preserve">The health board has noted four of the pharmacies have signed up to provide the service, and three pharmacies provide it. </w:t>
      </w:r>
    </w:p>
    <w:p w14:paraId="3B994F0E" w14:textId="77777777" w:rsidR="00944076" w:rsidRPr="00944076" w:rsidRDefault="00944076" w:rsidP="009A3C7F">
      <w:pPr>
        <w:rPr>
          <w:rFonts w:eastAsia="Times New Roman" w:cs="Arial"/>
          <w:kern w:val="0"/>
          <w:lang w:eastAsia="en-GB"/>
          <w14:ligatures w14:val="none"/>
        </w:rPr>
      </w:pPr>
    </w:p>
    <w:p w14:paraId="037A90B9"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The health board has noted that this service is also provided by other providers and that demand for it has decreased across the full range of providers, reflecting changes in service user behaviour. No complaints have been received by the health board regarding discarded needles and syringes in public spaces. If a pharmacy wished to subsequently provide the service due to an increase in demand the health board would commission the pharmacy accordingly.</w:t>
      </w:r>
    </w:p>
    <w:p w14:paraId="100ECB5F" w14:textId="77777777" w:rsidR="00944076" w:rsidRPr="00944076" w:rsidRDefault="00944076" w:rsidP="009A3C7F">
      <w:pPr>
        <w:rPr>
          <w:rFonts w:eastAsia="Times New Roman" w:cs="Arial"/>
          <w:kern w:val="0"/>
          <w:lang w:eastAsia="en-GB"/>
          <w14:ligatures w14:val="none"/>
        </w:rPr>
      </w:pPr>
    </w:p>
    <w:p w14:paraId="229CBDE6"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Based on the above, the health board has not identified any current or future needs for this service within the locality.</w:t>
      </w:r>
    </w:p>
    <w:p w14:paraId="722DF7D8" w14:textId="77777777" w:rsidR="00944076" w:rsidRDefault="00944076" w:rsidP="009A3C7F">
      <w:pPr>
        <w:rPr>
          <w:rFonts w:eastAsia="Times New Roman" w:cs="Arial"/>
          <w:kern w:val="0"/>
          <w:lang w:eastAsia="en-GB"/>
          <w14:ligatures w14:val="none"/>
        </w:rPr>
      </w:pPr>
    </w:p>
    <w:p w14:paraId="4D094F48" w14:textId="77777777" w:rsidR="00B36CFB" w:rsidRPr="00944076" w:rsidRDefault="00B36CFB" w:rsidP="009A3C7F">
      <w:pPr>
        <w:rPr>
          <w:rFonts w:eastAsia="Times New Roman" w:cs="Arial"/>
          <w:kern w:val="0"/>
          <w:lang w:eastAsia="en-GB"/>
          <w14:ligatures w14:val="none"/>
        </w:rPr>
      </w:pPr>
    </w:p>
    <w:p w14:paraId="688A0AC2"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15.8.3.7 Help me quit @ pharmacy (level 2 smoking cessation) service</w:t>
      </w:r>
    </w:p>
    <w:p w14:paraId="12CBA6E5" w14:textId="77777777" w:rsidR="00944076" w:rsidRPr="00944076" w:rsidRDefault="00944076" w:rsidP="009A3C7F">
      <w:pPr>
        <w:rPr>
          <w:rFonts w:eastAsia="Times New Roman" w:cs="Arial"/>
          <w:kern w:val="0"/>
          <w:lang w:eastAsia="en-GB"/>
          <w14:ligatures w14:val="none"/>
        </w:rPr>
      </w:pPr>
    </w:p>
    <w:p w14:paraId="29CE60AE"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 xml:space="preserve">The health board has noted all the pharmacies have signed up to provide this service, and ten pharmacies provide it. </w:t>
      </w:r>
    </w:p>
    <w:p w14:paraId="6D5FC39B" w14:textId="77777777" w:rsidR="00944076" w:rsidRPr="00944076" w:rsidRDefault="00944076" w:rsidP="009A3C7F">
      <w:pPr>
        <w:rPr>
          <w:rFonts w:eastAsia="Times New Roman" w:cs="Arial"/>
          <w:kern w:val="0"/>
          <w:lang w:eastAsia="en-GB"/>
          <w14:ligatures w14:val="none"/>
        </w:rPr>
      </w:pPr>
    </w:p>
    <w:p w14:paraId="0DE00DB1"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The health board has therefore not identified any current or future needs for this service within the locality.</w:t>
      </w:r>
    </w:p>
    <w:p w14:paraId="677A06DB" w14:textId="77777777" w:rsidR="00944076" w:rsidRPr="00944076" w:rsidRDefault="00944076" w:rsidP="009A3C7F">
      <w:pPr>
        <w:rPr>
          <w:rFonts w:eastAsia="Times New Roman" w:cs="Arial"/>
          <w:kern w:val="0"/>
          <w:lang w:eastAsia="en-GB"/>
          <w14:ligatures w14:val="none"/>
        </w:rPr>
      </w:pPr>
    </w:p>
    <w:p w14:paraId="4F65EB4E"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15.8.3.8 Help me quit @ pharmacy (level 3 smoking cessation) service</w:t>
      </w:r>
    </w:p>
    <w:p w14:paraId="1400F0D2" w14:textId="77777777" w:rsidR="00944076" w:rsidRPr="00944076" w:rsidRDefault="00944076" w:rsidP="009A3C7F">
      <w:pPr>
        <w:rPr>
          <w:rFonts w:eastAsia="Times New Roman" w:cs="Arial"/>
          <w:kern w:val="0"/>
          <w:lang w:eastAsia="en-GB"/>
          <w14:ligatures w14:val="none"/>
        </w:rPr>
      </w:pPr>
    </w:p>
    <w:p w14:paraId="032367D5"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 xml:space="preserve">The health board has noted nine of the pharmacies have signed up to provide this service and provide it. </w:t>
      </w:r>
    </w:p>
    <w:p w14:paraId="00530B0F" w14:textId="77777777" w:rsidR="00944076" w:rsidRPr="00944076" w:rsidRDefault="00944076" w:rsidP="009A3C7F">
      <w:pPr>
        <w:rPr>
          <w:rFonts w:eastAsia="Times New Roman" w:cs="Arial"/>
          <w:kern w:val="0"/>
          <w:lang w:eastAsia="en-GB"/>
          <w14:ligatures w14:val="none"/>
        </w:rPr>
      </w:pPr>
    </w:p>
    <w:p w14:paraId="0CDBE62B"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The health board has noted that service user behaviour and needs are changing, with more people using vapes instead of smoking tobacco. The service is not appropriate for those who wish to stop vaping. The service is also not appropriate for those who are heavy smokers and who have smoked for a number of years as the drugs they require to stop smoking are not available under this service.</w:t>
      </w:r>
    </w:p>
    <w:p w14:paraId="6B19AE12" w14:textId="77777777" w:rsidR="00944076" w:rsidRPr="00944076" w:rsidRDefault="00944076" w:rsidP="009A3C7F">
      <w:pPr>
        <w:rPr>
          <w:rFonts w:eastAsia="Times New Roman" w:cs="Arial"/>
          <w:kern w:val="0"/>
          <w:lang w:eastAsia="en-GB"/>
          <w14:ligatures w14:val="none"/>
        </w:rPr>
      </w:pPr>
    </w:p>
    <w:p w14:paraId="5337C9CE"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Based on the above, the health board has not identified any current or future needs for this service within the locality.</w:t>
      </w:r>
    </w:p>
    <w:p w14:paraId="1E45C41F" w14:textId="77777777" w:rsidR="00944076" w:rsidRPr="00944076" w:rsidRDefault="00944076" w:rsidP="009A3C7F">
      <w:pPr>
        <w:rPr>
          <w:rFonts w:eastAsia="Times New Roman" w:cs="Arial"/>
          <w:kern w:val="0"/>
          <w:lang w:eastAsia="en-GB"/>
          <w14:ligatures w14:val="none"/>
        </w:rPr>
      </w:pPr>
    </w:p>
    <w:p w14:paraId="75819C65"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lastRenderedPageBreak/>
        <w:t>15.8.3.9 Supervised administration of medicines service</w:t>
      </w:r>
    </w:p>
    <w:p w14:paraId="0859C54E" w14:textId="77777777" w:rsidR="00944076" w:rsidRPr="00944076" w:rsidRDefault="00944076" w:rsidP="009A3C7F">
      <w:pPr>
        <w:rPr>
          <w:rFonts w:eastAsia="Times New Roman" w:cs="Arial"/>
          <w:kern w:val="0"/>
          <w:lang w:eastAsia="en-GB"/>
          <w14:ligatures w14:val="none"/>
        </w:rPr>
      </w:pPr>
    </w:p>
    <w:p w14:paraId="76F3097D"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The health board has noted all the pharmacies signed up to provide this service, and six pharmacies provide it.</w:t>
      </w:r>
    </w:p>
    <w:p w14:paraId="64BFFD8A" w14:textId="77777777" w:rsidR="00944076" w:rsidRPr="00944076" w:rsidRDefault="00944076" w:rsidP="009A3C7F">
      <w:pPr>
        <w:rPr>
          <w:rFonts w:eastAsia="Times New Roman" w:cs="Arial"/>
          <w:kern w:val="0"/>
          <w:lang w:eastAsia="en-GB"/>
          <w14:ligatures w14:val="none"/>
        </w:rPr>
      </w:pPr>
    </w:p>
    <w:p w14:paraId="346E7E29"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The health board has therefore not identified any current or future needs for this service within the locality.</w:t>
      </w:r>
    </w:p>
    <w:p w14:paraId="0DEABB5F" w14:textId="77777777" w:rsidR="00944076" w:rsidRPr="00944076" w:rsidRDefault="00944076" w:rsidP="009A3C7F">
      <w:pPr>
        <w:rPr>
          <w:rFonts w:eastAsia="Times New Roman" w:cs="Arial"/>
          <w:kern w:val="0"/>
          <w:lang w:eastAsia="en-GB"/>
          <w14:ligatures w14:val="none"/>
        </w:rPr>
      </w:pPr>
    </w:p>
    <w:p w14:paraId="0122E223" w14:textId="77777777" w:rsidR="00944076" w:rsidRPr="00944076" w:rsidRDefault="00944076" w:rsidP="009A3C7F">
      <w:pPr>
        <w:rPr>
          <w:rFonts w:eastAsia="Times New Roman" w:cs="Arial"/>
          <w:b/>
          <w:bCs/>
          <w:kern w:val="0"/>
          <w:lang w:eastAsia="en-GB"/>
          <w14:ligatures w14:val="none"/>
        </w:rPr>
      </w:pPr>
      <w:r w:rsidRPr="00944076">
        <w:rPr>
          <w:rFonts w:eastAsia="Times New Roman" w:cs="Arial"/>
          <w:b/>
          <w:bCs/>
          <w:kern w:val="0"/>
          <w:lang w:eastAsia="en-GB"/>
          <w14:ligatures w14:val="none"/>
        </w:rPr>
        <w:t xml:space="preserve">15.8.3.10 Urgent medicines service </w:t>
      </w:r>
    </w:p>
    <w:p w14:paraId="324A1C27" w14:textId="77777777" w:rsidR="00944076" w:rsidRPr="00944076" w:rsidRDefault="00944076" w:rsidP="009A3C7F">
      <w:pPr>
        <w:rPr>
          <w:rFonts w:eastAsia="Times New Roman" w:cs="Arial"/>
          <w:kern w:val="0"/>
          <w:lang w:eastAsia="en-GB"/>
          <w14:ligatures w14:val="none"/>
        </w:rPr>
      </w:pPr>
    </w:p>
    <w:p w14:paraId="6026C9ED"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The health board has noted three of the pharmacies signed up to provide this service. Due to the nature of the service, it is commissioned to ensure a good geographical spread of pharmacies providing it across the health board’s geography. The health board continues to monitor provision of the service and would commission more pharmacies to provide if required.</w:t>
      </w:r>
    </w:p>
    <w:p w14:paraId="4B1D728F" w14:textId="77777777" w:rsidR="00944076" w:rsidRPr="00944076" w:rsidRDefault="00944076" w:rsidP="009A3C7F">
      <w:pPr>
        <w:rPr>
          <w:rFonts w:eastAsia="Times New Roman" w:cs="Arial"/>
          <w:kern w:val="0"/>
          <w:lang w:eastAsia="en-GB"/>
          <w14:ligatures w14:val="none"/>
        </w:rPr>
      </w:pPr>
    </w:p>
    <w:p w14:paraId="43C0B7DC" w14:textId="77777777" w:rsidR="00944076" w:rsidRPr="00944076" w:rsidRDefault="00944076" w:rsidP="009A3C7F">
      <w:pPr>
        <w:rPr>
          <w:rFonts w:eastAsia="Times New Roman" w:cs="Arial"/>
          <w:kern w:val="0"/>
          <w:lang w:eastAsia="en-GB"/>
          <w14:ligatures w14:val="none"/>
        </w:rPr>
      </w:pPr>
      <w:r w:rsidRPr="00944076">
        <w:rPr>
          <w:rFonts w:eastAsia="Times New Roman" w:cs="Arial"/>
          <w:kern w:val="0"/>
          <w:lang w:eastAsia="en-GB"/>
          <w14:ligatures w14:val="none"/>
        </w:rPr>
        <w:t>The health board has therefore not identified any current or future needs for this service within the locality.</w:t>
      </w:r>
    </w:p>
    <w:p w14:paraId="535A3994" w14:textId="77777777" w:rsidR="00944076" w:rsidRPr="00944076" w:rsidRDefault="00944076" w:rsidP="009A3C7F">
      <w:pPr>
        <w:rPr>
          <w:rFonts w:eastAsia="Times New Roman" w:cs="Arial"/>
          <w:kern w:val="0"/>
          <w:lang w:eastAsia="en-GB"/>
          <w14:ligatures w14:val="none"/>
        </w:rPr>
      </w:pPr>
    </w:p>
    <w:p w14:paraId="07DFEE52" w14:textId="418F5542" w:rsidR="004962D9" w:rsidRPr="00D0306F" w:rsidRDefault="004962D9">
      <w:pPr>
        <w:spacing w:after="160" w:line="278" w:lineRule="auto"/>
        <w:rPr>
          <w:rFonts w:cs="Arial"/>
        </w:rPr>
      </w:pPr>
      <w:r w:rsidRPr="00D0306F">
        <w:rPr>
          <w:rFonts w:cs="Arial"/>
        </w:rPr>
        <w:br w:type="page"/>
      </w:r>
    </w:p>
    <w:p w14:paraId="0E3EE587" w14:textId="11ED533C" w:rsidR="007459BB" w:rsidRPr="00D0306F" w:rsidRDefault="007459BB" w:rsidP="007459BB">
      <w:pPr>
        <w:pStyle w:val="Heading1"/>
        <w:rPr>
          <w:rFonts w:eastAsia="Aptos"/>
          <w:sz w:val="28"/>
          <w:szCs w:val="28"/>
        </w:rPr>
      </w:pPr>
      <w:bookmarkStart w:id="43" w:name="_Toc235185387"/>
      <w:r w:rsidRPr="00D0306F">
        <w:rPr>
          <w:rFonts w:eastAsia="Aptos"/>
          <w:sz w:val="28"/>
          <w:szCs w:val="28"/>
        </w:rPr>
        <w:lastRenderedPageBreak/>
        <w:t>16 Conclusions - for the purpose of schedule 1 of the NHS (Pharmaceutical Services) (Wales) Regulations 2020</w:t>
      </w:r>
      <w:bookmarkEnd w:id="43"/>
    </w:p>
    <w:p w14:paraId="4476BB42" w14:textId="77777777" w:rsidR="005136D8" w:rsidRPr="005136D8" w:rsidRDefault="005136D8" w:rsidP="00ED639F">
      <w:pPr>
        <w:rPr>
          <w:rFonts w:eastAsia="Aptos" w:cs="Arial"/>
        </w:rPr>
      </w:pPr>
    </w:p>
    <w:p w14:paraId="19FAB30A" w14:textId="77777777" w:rsidR="005136D8" w:rsidRPr="005136D8" w:rsidRDefault="005136D8" w:rsidP="00ED639F">
      <w:pPr>
        <w:rPr>
          <w:rFonts w:eastAsia="Aptos" w:cs="Arial"/>
        </w:rPr>
      </w:pPr>
      <w:r w:rsidRPr="005136D8">
        <w:rPr>
          <w:rFonts w:eastAsia="Aptos" w:cs="Arial"/>
        </w:rPr>
        <w:t>The pharmaceutical needs assessment has considered the current provision of pharmaceutical services across the health board’s area and specifically the demography and health needs of the population. It has analysed whether current provision meets the needs of the population and whether there are any potential gaps in pharmaceutical service provision either now or within the lifetime of the document.</w:t>
      </w:r>
    </w:p>
    <w:p w14:paraId="41B334DD" w14:textId="77777777" w:rsidR="005136D8" w:rsidRPr="005136D8" w:rsidRDefault="005136D8" w:rsidP="00ED639F">
      <w:pPr>
        <w:rPr>
          <w:rFonts w:eastAsia="Aptos" w:cs="Arial"/>
        </w:rPr>
      </w:pPr>
    </w:p>
    <w:p w14:paraId="12FFDEE6" w14:textId="77777777" w:rsidR="005136D8" w:rsidRPr="005136D8" w:rsidRDefault="005136D8" w:rsidP="00ED639F">
      <w:pPr>
        <w:rPr>
          <w:rFonts w:eastAsia="Aptos" w:cs="Arial"/>
          <w:b/>
          <w:bCs/>
          <w:sz w:val="26"/>
          <w:szCs w:val="26"/>
        </w:rPr>
      </w:pPr>
      <w:r w:rsidRPr="005136D8">
        <w:rPr>
          <w:rFonts w:eastAsia="Aptos" w:cs="Arial"/>
          <w:b/>
          <w:bCs/>
          <w:sz w:val="26"/>
          <w:szCs w:val="26"/>
        </w:rPr>
        <w:t>16.1 Current provision</w:t>
      </w:r>
    </w:p>
    <w:p w14:paraId="7D16E482" w14:textId="77777777" w:rsidR="005136D8" w:rsidRPr="005136D8" w:rsidRDefault="005136D8" w:rsidP="00ED639F">
      <w:pPr>
        <w:rPr>
          <w:rFonts w:eastAsia="Aptos" w:cs="Arial"/>
        </w:rPr>
      </w:pPr>
    </w:p>
    <w:p w14:paraId="72494FF3" w14:textId="77777777" w:rsidR="005136D8" w:rsidRPr="005136D8" w:rsidRDefault="005136D8" w:rsidP="00ED639F">
      <w:pPr>
        <w:rPr>
          <w:rFonts w:eastAsia="Aptos" w:cs="Arial"/>
        </w:rPr>
      </w:pPr>
      <w:r w:rsidRPr="005136D8">
        <w:rPr>
          <w:rFonts w:eastAsia="Aptos" w:cs="Arial"/>
        </w:rPr>
        <w:t>The health board has identified the following services as those that are necessary to meet the need for pharmaceutical services in its area:</w:t>
      </w:r>
    </w:p>
    <w:p w14:paraId="018D1FE2" w14:textId="77777777" w:rsidR="005136D8" w:rsidRPr="005136D8" w:rsidRDefault="005136D8" w:rsidP="00ED639F">
      <w:pPr>
        <w:rPr>
          <w:rFonts w:eastAsia="Aptos" w:cs="Arial"/>
        </w:rPr>
      </w:pPr>
    </w:p>
    <w:p w14:paraId="1E0CC54B" w14:textId="77777777" w:rsidR="005136D8" w:rsidRPr="005136D8" w:rsidRDefault="005136D8" w:rsidP="00B76905">
      <w:pPr>
        <w:numPr>
          <w:ilvl w:val="0"/>
          <w:numId w:val="206"/>
        </w:numPr>
        <w:contextualSpacing/>
        <w:rPr>
          <w:rFonts w:eastAsia="Aptos" w:cs="Arial"/>
        </w:rPr>
      </w:pPr>
      <w:r w:rsidRPr="005136D8">
        <w:rPr>
          <w:rFonts w:eastAsia="Aptos" w:cs="Arial"/>
        </w:rPr>
        <w:t>Essential services, the national community pharmacy and appliance contractor services, and the additional clinical services provided at premises included in the pharmaceutical list.</w:t>
      </w:r>
    </w:p>
    <w:p w14:paraId="6AF99DD2" w14:textId="77777777" w:rsidR="005136D8" w:rsidRPr="005136D8" w:rsidRDefault="005136D8" w:rsidP="00B76905">
      <w:pPr>
        <w:numPr>
          <w:ilvl w:val="0"/>
          <w:numId w:val="206"/>
        </w:numPr>
        <w:contextualSpacing/>
        <w:rPr>
          <w:rFonts w:eastAsia="Aptos" w:cs="Arial"/>
        </w:rPr>
      </w:pPr>
      <w:r w:rsidRPr="005136D8">
        <w:rPr>
          <w:rFonts w:eastAsia="Aptos" w:cs="Arial"/>
        </w:rPr>
        <w:t>The dispensing service provided by those GP practices included in the dispensing doctor list</w:t>
      </w:r>
    </w:p>
    <w:p w14:paraId="052862E3" w14:textId="77777777" w:rsidR="005136D8" w:rsidRPr="005136D8" w:rsidRDefault="005136D8" w:rsidP="00ED639F">
      <w:pPr>
        <w:rPr>
          <w:rFonts w:eastAsia="Aptos" w:cs="Arial"/>
        </w:rPr>
      </w:pPr>
    </w:p>
    <w:p w14:paraId="79665562" w14:textId="77777777" w:rsidR="005136D8" w:rsidRPr="005136D8" w:rsidRDefault="005136D8" w:rsidP="00ED639F">
      <w:pPr>
        <w:rPr>
          <w:rFonts w:eastAsia="Aptos" w:cs="Arial"/>
        </w:rPr>
      </w:pPr>
      <w:r w:rsidRPr="005136D8">
        <w:rPr>
          <w:rFonts w:eastAsia="Aptos" w:cs="Arial"/>
        </w:rPr>
        <w:t>Preceding sections of this document have set out the provision of these services in each locality.</w:t>
      </w:r>
    </w:p>
    <w:p w14:paraId="65E69646" w14:textId="77777777" w:rsidR="005136D8" w:rsidRPr="005136D8" w:rsidRDefault="005136D8" w:rsidP="00ED639F">
      <w:pPr>
        <w:rPr>
          <w:rFonts w:eastAsia="Aptos" w:cs="Arial"/>
        </w:rPr>
      </w:pPr>
    </w:p>
    <w:p w14:paraId="5A1FD711" w14:textId="77777777" w:rsidR="005136D8" w:rsidRPr="005136D8" w:rsidRDefault="005136D8" w:rsidP="00ED639F">
      <w:pPr>
        <w:rPr>
          <w:rFonts w:eastAsia="Aptos" w:cs="Arial"/>
        </w:rPr>
      </w:pPr>
      <w:r w:rsidRPr="005136D8">
        <w:rPr>
          <w:rFonts w:eastAsia="Aptos" w:cs="Arial"/>
        </w:rPr>
        <w:t>The health board has also identified the provision of the above services by contractors outside of its area, whether that is elsewhere in Wales or England, as contributing towards meeting the need for pharmaceutical services in its area.</w:t>
      </w:r>
    </w:p>
    <w:p w14:paraId="128A86A3" w14:textId="77777777" w:rsidR="005136D8" w:rsidRPr="005136D8" w:rsidRDefault="005136D8" w:rsidP="00ED639F">
      <w:pPr>
        <w:rPr>
          <w:rFonts w:eastAsia="Aptos" w:cs="Arial"/>
        </w:rPr>
      </w:pPr>
    </w:p>
    <w:p w14:paraId="675BDE6C" w14:textId="77777777" w:rsidR="005136D8" w:rsidRPr="005136D8" w:rsidRDefault="005136D8" w:rsidP="00ED639F">
      <w:pPr>
        <w:rPr>
          <w:rFonts w:eastAsia="Aptos" w:cs="Arial"/>
          <w:b/>
          <w:bCs/>
          <w:sz w:val="26"/>
          <w:szCs w:val="26"/>
        </w:rPr>
      </w:pPr>
      <w:r w:rsidRPr="005136D8">
        <w:rPr>
          <w:rFonts w:eastAsia="Aptos" w:cs="Arial"/>
          <w:b/>
          <w:bCs/>
          <w:sz w:val="26"/>
          <w:szCs w:val="26"/>
        </w:rPr>
        <w:t>16.2 Other NHS services</w:t>
      </w:r>
    </w:p>
    <w:p w14:paraId="4A70D2D0" w14:textId="77777777" w:rsidR="005136D8" w:rsidRPr="005136D8" w:rsidRDefault="005136D8" w:rsidP="00ED639F">
      <w:pPr>
        <w:rPr>
          <w:rFonts w:eastAsia="Aptos" w:cs="Arial"/>
        </w:rPr>
      </w:pPr>
    </w:p>
    <w:p w14:paraId="65545FE2" w14:textId="77777777" w:rsidR="005136D8" w:rsidRPr="005136D8" w:rsidRDefault="005136D8" w:rsidP="00ED639F">
      <w:pPr>
        <w:rPr>
          <w:rFonts w:eastAsia="Aptos" w:cs="Arial"/>
        </w:rPr>
      </w:pPr>
      <w:r w:rsidRPr="005136D8">
        <w:rPr>
          <w:rFonts w:eastAsia="Aptos" w:cs="Arial"/>
        </w:rPr>
        <w:t>In undertaking this pharmaceutical needs assessment the health board has considered the following other NHS services as affecting the need for pharmaceutical services and has taken them into account:</w:t>
      </w:r>
    </w:p>
    <w:p w14:paraId="70EF57A3" w14:textId="77777777" w:rsidR="005136D8" w:rsidRPr="005136D8" w:rsidRDefault="005136D8" w:rsidP="00ED639F">
      <w:pPr>
        <w:rPr>
          <w:rFonts w:eastAsia="Aptos" w:cs="Arial"/>
        </w:rPr>
      </w:pPr>
    </w:p>
    <w:p w14:paraId="2901EFB1" w14:textId="77777777" w:rsidR="005136D8" w:rsidRPr="005136D8" w:rsidRDefault="005136D8" w:rsidP="00B76905">
      <w:pPr>
        <w:numPr>
          <w:ilvl w:val="0"/>
          <w:numId w:val="207"/>
        </w:numPr>
        <w:ind w:left="714" w:hanging="357"/>
        <w:contextualSpacing/>
        <w:rPr>
          <w:rFonts w:eastAsia="Aptos" w:cs="Arial"/>
        </w:rPr>
      </w:pPr>
      <w:r w:rsidRPr="005136D8">
        <w:rPr>
          <w:rFonts w:eastAsia="Aptos" w:cs="Arial"/>
        </w:rPr>
        <w:t>Hospital pharmacies</w:t>
      </w:r>
    </w:p>
    <w:p w14:paraId="4A552D4C" w14:textId="77777777" w:rsidR="005136D8" w:rsidRPr="005136D8" w:rsidRDefault="005136D8" w:rsidP="00B76905">
      <w:pPr>
        <w:numPr>
          <w:ilvl w:val="0"/>
          <w:numId w:val="207"/>
        </w:numPr>
        <w:ind w:left="714" w:hanging="357"/>
        <w:contextualSpacing/>
        <w:rPr>
          <w:rFonts w:eastAsia="Aptos" w:cs="Arial"/>
        </w:rPr>
      </w:pPr>
      <w:r w:rsidRPr="005136D8">
        <w:rPr>
          <w:rFonts w:eastAsia="Aptos" w:cs="Arial"/>
        </w:rPr>
        <w:t>Minor injury units</w:t>
      </w:r>
    </w:p>
    <w:p w14:paraId="40B787D6" w14:textId="77777777" w:rsidR="005136D8" w:rsidRPr="005136D8" w:rsidRDefault="005136D8" w:rsidP="00B76905">
      <w:pPr>
        <w:numPr>
          <w:ilvl w:val="0"/>
          <w:numId w:val="207"/>
        </w:numPr>
        <w:ind w:left="714" w:hanging="357"/>
        <w:contextualSpacing/>
        <w:rPr>
          <w:rFonts w:eastAsia="Aptos" w:cs="Arial"/>
        </w:rPr>
      </w:pPr>
      <w:r w:rsidRPr="005136D8">
        <w:rPr>
          <w:rFonts w:eastAsia="Aptos" w:cs="Arial"/>
        </w:rPr>
        <w:t>Prison pharmacy</w:t>
      </w:r>
    </w:p>
    <w:p w14:paraId="5BE304AB" w14:textId="77777777" w:rsidR="005136D8" w:rsidRPr="005136D8" w:rsidRDefault="005136D8" w:rsidP="00B76905">
      <w:pPr>
        <w:numPr>
          <w:ilvl w:val="0"/>
          <w:numId w:val="207"/>
        </w:numPr>
        <w:ind w:left="714" w:hanging="357"/>
        <w:contextualSpacing/>
        <w:rPr>
          <w:rFonts w:eastAsia="Aptos" w:cs="Arial"/>
        </w:rPr>
      </w:pPr>
      <w:r w:rsidRPr="005136D8">
        <w:rPr>
          <w:rFonts w:eastAsia="Aptos" w:cs="Arial"/>
        </w:rPr>
        <w:t>Homecare delivery services</w:t>
      </w:r>
    </w:p>
    <w:p w14:paraId="2F36EB7D" w14:textId="77777777" w:rsidR="005136D8" w:rsidRPr="005136D8" w:rsidRDefault="005136D8" w:rsidP="00B76905">
      <w:pPr>
        <w:numPr>
          <w:ilvl w:val="0"/>
          <w:numId w:val="207"/>
        </w:numPr>
        <w:ind w:left="714" w:hanging="357"/>
        <w:contextualSpacing/>
        <w:rPr>
          <w:rFonts w:eastAsia="Aptos" w:cs="Arial"/>
        </w:rPr>
      </w:pPr>
      <w:r w:rsidRPr="005136D8">
        <w:rPr>
          <w:rFonts w:eastAsia="Aptos" w:cs="Arial"/>
        </w:rPr>
        <w:t>Outpatient clinics and hospital sites</w:t>
      </w:r>
    </w:p>
    <w:p w14:paraId="68F4EC4E" w14:textId="77777777" w:rsidR="005136D8" w:rsidRPr="005136D8" w:rsidRDefault="005136D8" w:rsidP="00B76905">
      <w:pPr>
        <w:numPr>
          <w:ilvl w:val="0"/>
          <w:numId w:val="207"/>
        </w:numPr>
        <w:ind w:left="714" w:hanging="357"/>
        <w:contextualSpacing/>
        <w:rPr>
          <w:rFonts w:eastAsia="Aptos" w:cs="Arial"/>
        </w:rPr>
      </w:pPr>
      <w:r w:rsidRPr="005136D8">
        <w:rPr>
          <w:rFonts w:eastAsia="Aptos" w:cs="Arial"/>
        </w:rPr>
        <w:t>Community mental health teams</w:t>
      </w:r>
    </w:p>
    <w:p w14:paraId="171A5AA2" w14:textId="77777777" w:rsidR="005136D8" w:rsidRPr="005136D8" w:rsidRDefault="005136D8" w:rsidP="00B76905">
      <w:pPr>
        <w:numPr>
          <w:ilvl w:val="0"/>
          <w:numId w:val="207"/>
        </w:numPr>
        <w:ind w:left="714" w:hanging="357"/>
        <w:contextualSpacing/>
        <w:rPr>
          <w:rFonts w:eastAsia="Aptos" w:cs="Arial"/>
        </w:rPr>
      </w:pPr>
      <w:r w:rsidRPr="005136D8">
        <w:rPr>
          <w:rFonts w:eastAsia="Aptos" w:cs="Arial"/>
        </w:rPr>
        <w:t>Sexual health clinics</w:t>
      </w:r>
    </w:p>
    <w:p w14:paraId="6913BAB6" w14:textId="77777777" w:rsidR="005136D8" w:rsidRPr="005136D8" w:rsidRDefault="005136D8" w:rsidP="00B76905">
      <w:pPr>
        <w:numPr>
          <w:ilvl w:val="0"/>
          <w:numId w:val="207"/>
        </w:numPr>
        <w:ind w:left="714" w:hanging="357"/>
        <w:contextualSpacing/>
        <w:rPr>
          <w:rFonts w:eastAsia="Aptos" w:cs="Arial"/>
        </w:rPr>
      </w:pPr>
      <w:r w:rsidRPr="005136D8">
        <w:rPr>
          <w:rFonts w:eastAsia="Aptos" w:cs="Arial"/>
        </w:rPr>
        <w:t>GP out of hours/urgent primary care centres</w:t>
      </w:r>
    </w:p>
    <w:p w14:paraId="34EECB5C" w14:textId="77777777" w:rsidR="005136D8" w:rsidRPr="005136D8" w:rsidRDefault="005136D8" w:rsidP="00B76905">
      <w:pPr>
        <w:numPr>
          <w:ilvl w:val="0"/>
          <w:numId w:val="207"/>
        </w:numPr>
        <w:ind w:left="714" w:hanging="357"/>
        <w:contextualSpacing/>
        <w:rPr>
          <w:rFonts w:eastAsia="Aptos" w:cs="Arial"/>
        </w:rPr>
      </w:pPr>
      <w:r w:rsidRPr="005136D8">
        <w:rPr>
          <w:rFonts w:eastAsia="Aptos" w:cs="Arial"/>
        </w:rPr>
        <w:t>NHS Wales 111</w:t>
      </w:r>
    </w:p>
    <w:p w14:paraId="47FC49D6" w14:textId="77777777" w:rsidR="005136D8" w:rsidRPr="005136D8" w:rsidRDefault="005136D8" w:rsidP="00B76905">
      <w:pPr>
        <w:numPr>
          <w:ilvl w:val="0"/>
          <w:numId w:val="207"/>
        </w:numPr>
        <w:ind w:left="714" w:hanging="357"/>
        <w:contextualSpacing/>
        <w:rPr>
          <w:rFonts w:eastAsia="Aptos" w:cs="Arial"/>
        </w:rPr>
      </w:pPr>
      <w:r w:rsidRPr="005136D8">
        <w:rPr>
          <w:rFonts w:eastAsia="Aptos" w:cs="Arial"/>
        </w:rPr>
        <w:t>Provision of drugs, medicines and appliances for immediate treatment or personal administration of items by GPs</w:t>
      </w:r>
    </w:p>
    <w:p w14:paraId="34A9602C" w14:textId="77777777" w:rsidR="005136D8" w:rsidRPr="005136D8" w:rsidRDefault="005136D8" w:rsidP="00B76905">
      <w:pPr>
        <w:numPr>
          <w:ilvl w:val="0"/>
          <w:numId w:val="207"/>
        </w:numPr>
        <w:ind w:left="714" w:hanging="357"/>
        <w:contextualSpacing/>
        <w:rPr>
          <w:rFonts w:eastAsia="Aptos" w:cs="Arial"/>
        </w:rPr>
      </w:pPr>
      <w:r w:rsidRPr="005136D8">
        <w:rPr>
          <w:rFonts w:eastAsia="Aptos" w:cs="Arial"/>
        </w:rPr>
        <w:t>Provision of services by GP practices under their general medical services contract</w:t>
      </w:r>
    </w:p>
    <w:p w14:paraId="60DB521F" w14:textId="77777777" w:rsidR="005136D8" w:rsidRPr="005136D8" w:rsidRDefault="005136D8" w:rsidP="00B76905">
      <w:pPr>
        <w:numPr>
          <w:ilvl w:val="0"/>
          <w:numId w:val="207"/>
        </w:numPr>
        <w:ind w:left="714" w:hanging="357"/>
        <w:contextualSpacing/>
        <w:rPr>
          <w:rFonts w:eastAsia="Aptos" w:cs="Arial"/>
        </w:rPr>
      </w:pPr>
      <w:r w:rsidRPr="005136D8">
        <w:rPr>
          <w:rFonts w:eastAsia="Aptos" w:cs="Arial"/>
        </w:rPr>
        <w:t>Provision of services by dental practices under their general dental services contract</w:t>
      </w:r>
    </w:p>
    <w:p w14:paraId="58EA5CCE" w14:textId="77777777" w:rsidR="005136D8" w:rsidRPr="005136D8" w:rsidRDefault="005136D8" w:rsidP="00B76905">
      <w:pPr>
        <w:numPr>
          <w:ilvl w:val="0"/>
          <w:numId w:val="207"/>
        </w:numPr>
        <w:ind w:left="714" w:hanging="357"/>
        <w:contextualSpacing/>
        <w:rPr>
          <w:rFonts w:eastAsia="Aptos" w:cs="Arial"/>
        </w:rPr>
      </w:pPr>
      <w:r w:rsidRPr="005136D8">
        <w:rPr>
          <w:rFonts w:eastAsia="Aptos" w:cs="Arial"/>
        </w:rPr>
        <w:lastRenderedPageBreak/>
        <w:t>Provision of services by optometrists under their general ophthalmic services contract</w:t>
      </w:r>
    </w:p>
    <w:p w14:paraId="31F73A1B" w14:textId="77777777" w:rsidR="005136D8" w:rsidRPr="005136D8" w:rsidRDefault="005136D8" w:rsidP="00B76905">
      <w:pPr>
        <w:numPr>
          <w:ilvl w:val="0"/>
          <w:numId w:val="207"/>
        </w:numPr>
        <w:ind w:left="714" w:hanging="357"/>
        <w:contextualSpacing/>
        <w:rPr>
          <w:rFonts w:eastAsia="Aptos" w:cs="Arial"/>
        </w:rPr>
      </w:pPr>
      <w:r w:rsidRPr="005136D8">
        <w:rPr>
          <w:rFonts w:eastAsia="Aptos" w:cs="Arial"/>
        </w:rPr>
        <w:t>Health bowel and bladder service</w:t>
      </w:r>
    </w:p>
    <w:p w14:paraId="747CED88" w14:textId="77777777" w:rsidR="005136D8" w:rsidRPr="005136D8" w:rsidRDefault="005136D8" w:rsidP="00B76905">
      <w:pPr>
        <w:numPr>
          <w:ilvl w:val="0"/>
          <w:numId w:val="207"/>
        </w:numPr>
        <w:ind w:left="714" w:hanging="357"/>
        <w:contextualSpacing/>
        <w:rPr>
          <w:rFonts w:eastAsia="Aptos" w:cs="Arial"/>
        </w:rPr>
      </w:pPr>
      <w:r w:rsidRPr="005136D8">
        <w:rPr>
          <w:rFonts w:eastAsia="Aptos" w:cs="Arial"/>
        </w:rPr>
        <w:t>Dressings supplied by the district nursing and wound care services</w:t>
      </w:r>
    </w:p>
    <w:p w14:paraId="77B15E6F" w14:textId="77777777" w:rsidR="005136D8" w:rsidRPr="005136D8" w:rsidRDefault="005136D8" w:rsidP="00B76905">
      <w:pPr>
        <w:numPr>
          <w:ilvl w:val="0"/>
          <w:numId w:val="207"/>
        </w:numPr>
        <w:ind w:left="714" w:hanging="357"/>
        <w:contextualSpacing/>
        <w:rPr>
          <w:rFonts w:eastAsia="Aptos" w:cs="Arial"/>
        </w:rPr>
      </w:pPr>
      <w:r w:rsidRPr="005136D8">
        <w:rPr>
          <w:rFonts w:eastAsia="Aptos" w:cs="Arial"/>
        </w:rPr>
        <w:t>Substance misuse services</w:t>
      </w:r>
    </w:p>
    <w:p w14:paraId="6A80B50B" w14:textId="77777777" w:rsidR="005136D8" w:rsidRPr="005136D8" w:rsidRDefault="005136D8" w:rsidP="00B76905">
      <w:pPr>
        <w:numPr>
          <w:ilvl w:val="0"/>
          <w:numId w:val="207"/>
        </w:numPr>
        <w:ind w:left="714" w:hanging="357"/>
        <w:contextualSpacing/>
        <w:rPr>
          <w:rFonts w:eastAsia="Aptos" w:cs="Arial"/>
        </w:rPr>
      </w:pPr>
      <w:r w:rsidRPr="005136D8">
        <w:rPr>
          <w:rFonts w:eastAsia="Aptos" w:cs="Arial"/>
        </w:rPr>
        <w:t>Stop smoking services</w:t>
      </w:r>
    </w:p>
    <w:p w14:paraId="66AE566A" w14:textId="77777777" w:rsidR="005136D8" w:rsidRPr="005136D8" w:rsidRDefault="005136D8" w:rsidP="00ED639F">
      <w:pPr>
        <w:rPr>
          <w:rFonts w:eastAsia="Aptos" w:cs="Arial"/>
        </w:rPr>
      </w:pPr>
    </w:p>
    <w:p w14:paraId="4935FE2B" w14:textId="77777777" w:rsidR="005136D8" w:rsidRPr="005136D8" w:rsidRDefault="005136D8" w:rsidP="00ED639F">
      <w:pPr>
        <w:rPr>
          <w:rFonts w:eastAsia="Calibri" w:cs="Arial"/>
          <w:kern w:val="0"/>
          <w:lang w:val="en-US" w:eastAsia="en-GB"/>
          <w14:ligatures w14:val="none"/>
        </w:rPr>
      </w:pPr>
      <w:r w:rsidRPr="005136D8">
        <w:rPr>
          <w:rFonts w:eastAsia="Calibri" w:cs="Arial"/>
          <w:kern w:val="0"/>
          <w:lang w:val="en-US" w:eastAsia="en-GB"/>
          <w14:ligatures w14:val="none"/>
        </w:rPr>
        <w:t>Further details on these can be found in chapter 6.</w:t>
      </w:r>
    </w:p>
    <w:p w14:paraId="37649369" w14:textId="77777777" w:rsidR="005136D8" w:rsidRPr="005136D8" w:rsidRDefault="005136D8" w:rsidP="00ED639F">
      <w:pPr>
        <w:rPr>
          <w:rFonts w:eastAsia="Aptos" w:cs="Arial"/>
        </w:rPr>
      </w:pPr>
    </w:p>
    <w:p w14:paraId="2877EA2E" w14:textId="77777777" w:rsidR="005136D8" w:rsidRPr="005136D8" w:rsidRDefault="005136D8" w:rsidP="00ED639F">
      <w:pPr>
        <w:rPr>
          <w:rFonts w:eastAsia="Aptos" w:cs="Arial"/>
          <w:b/>
          <w:bCs/>
          <w:sz w:val="26"/>
          <w:szCs w:val="26"/>
        </w:rPr>
      </w:pPr>
      <w:r w:rsidRPr="005136D8">
        <w:rPr>
          <w:rFonts w:eastAsia="Aptos" w:cs="Arial"/>
          <w:b/>
          <w:bCs/>
          <w:sz w:val="26"/>
          <w:szCs w:val="26"/>
        </w:rPr>
        <w:t>16.3 Current gaps in provision</w:t>
      </w:r>
    </w:p>
    <w:p w14:paraId="1B5FA1AF" w14:textId="77777777" w:rsidR="005136D8" w:rsidRPr="005136D8" w:rsidRDefault="005136D8" w:rsidP="00ED639F">
      <w:pPr>
        <w:rPr>
          <w:rFonts w:eastAsia="Aptos" w:cs="Arial"/>
        </w:rPr>
      </w:pPr>
    </w:p>
    <w:p w14:paraId="3ECA682D" w14:textId="77777777" w:rsidR="005136D8" w:rsidRPr="005136D8" w:rsidRDefault="005136D8" w:rsidP="00ED639F">
      <w:pPr>
        <w:rPr>
          <w:rFonts w:eastAsia="Aptos" w:cs="Arial"/>
          <w:b/>
          <w:bCs/>
        </w:rPr>
      </w:pPr>
      <w:r w:rsidRPr="005136D8">
        <w:rPr>
          <w:rFonts w:eastAsia="Aptos" w:cs="Arial"/>
          <w:b/>
          <w:bCs/>
        </w:rPr>
        <w:t>16.3.1 Current access to premises</w:t>
      </w:r>
    </w:p>
    <w:p w14:paraId="760B69A0" w14:textId="77777777" w:rsidR="005136D8" w:rsidRPr="005136D8" w:rsidRDefault="005136D8" w:rsidP="00ED639F">
      <w:pPr>
        <w:rPr>
          <w:rFonts w:eastAsia="Aptos" w:cs="Arial"/>
        </w:rPr>
      </w:pPr>
    </w:p>
    <w:p w14:paraId="2EE012D1" w14:textId="77777777" w:rsidR="005136D8" w:rsidRPr="005136D8" w:rsidRDefault="005136D8" w:rsidP="00ED639F">
      <w:pPr>
        <w:rPr>
          <w:rFonts w:eastAsia="Aptos" w:cs="Arial"/>
        </w:rPr>
      </w:pPr>
      <w:r w:rsidRPr="005136D8">
        <w:rPr>
          <w:rFonts w:eastAsia="Aptos" w:cs="Arial"/>
        </w:rPr>
        <w:t>In order to assess the provision of essential services against the needs of the population the health board considered access (travelling times and opening hours) as the most important factor in determining the extent to which the current provision of essential services meets the needs of the population.</w:t>
      </w:r>
    </w:p>
    <w:p w14:paraId="653EA0C8" w14:textId="77777777" w:rsidR="005136D8" w:rsidRPr="005136D8" w:rsidRDefault="005136D8" w:rsidP="00ED639F">
      <w:pPr>
        <w:rPr>
          <w:rFonts w:eastAsia="Aptos" w:cs="Arial"/>
        </w:rPr>
      </w:pPr>
    </w:p>
    <w:p w14:paraId="2EAB1616" w14:textId="77777777" w:rsidR="005136D8" w:rsidRPr="005136D8" w:rsidRDefault="005136D8" w:rsidP="00ED639F">
      <w:pPr>
        <w:rPr>
          <w:rFonts w:eastAsia="Aptos" w:cs="Arial"/>
        </w:rPr>
      </w:pPr>
      <w:r w:rsidRPr="005136D8">
        <w:rPr>
          <w:rFonts w:eastAsia="Aptos" w:cs="Arial"/>
        </w:rPr>
        <w:t>In order to determine the level of access to pharmaceutical services the following criteria were considered:</w:t>
      </w:r>
    </w:p>
    <w:p w14:paraId="747B2660" w14:textId="77777777" w:rsidR="005136D8" w:rsidRPr="005136D8" w:rsidRDefault="005136D8" w:rsidP="00ED639F">
      <w:pPr>
        <w:rPr>
          <w:rFonts w:eastAsia="Aptos" w:cs="Arial"/>
        </w:rPr>
      </w:pPr>
    </w:p>
    <w:p w14:paraId="337C2FA8" w14:textId="77777777" w:rsidR="005136D8" w:rsidRPr="005136D8" w:rsidRDefault="005136D8" w:rsidP="00B76905">
      <w:pPr>
        <w:numPr>
          <w:ilvl w:val="0"/>
          <w:numId w:val="208"/>
        </w:numPr>
        <w:contextualSpacing/>
        <w:rPr>
          <w:rFonts w:eastAsia="Aptos" w:cs="Arial"/>
        </w:rPr>
      </w:pPr>
      <w:r w:rsidRPr="005136D8">
        <w:rPr>
          <w:rFonts w:eastAsia="Aptos" w:cs="Arial"/>
        </w:rPr>
        <w:t>The number of pharmacies per 10,000 population</w:t>
      </w:r>
    </w:p>
    <w:p w14:paraId="3E3D0065" w14:textId="77777777" w:rsidR="005136D8" w:rsidRPr="005136D8" w:rsidRDefault="005136D8" w:rsidP="00B76905">
      <w:pPr>
        <w:numPr>
          <w:ilvl w:val="0"/>
          <w:numId w:val="208"/>
        </w:numPr>
        <w:contextualSpacing/>
        <w:rPr>
          <w:rFonts w:eastAsia="Aptos" w:cs="Arial"/>
        </w:rPr>
      </w:pPr>
      <w:r w:rsidRPr="005136D8">
        <w:rPr>
          <w:rFonts w:eastAsia="Aptos" w:cs="Arial"/>
        </w:rPr>
        <w:t>Travel time to pharmacies or dispensing practices</w:t>
      </w:r>
    </w:p>
    <w:p w14:paraId="4544FDA8" w14:textId="77777777" w:rsidR="005136D8" w:rsidRPr="005136D8" w:rsidRDefault="005136D8" w:rsidP="00B76905">
      <w:pPr>
        <w:numPr>
          <w:ilvl w:val="0"/>
          <w:numId w:val="208"/>
        </w:numPr>
        <w:contextualSpacing/>
        <w:rPr>
          <w:rFonts w:eastAsia="Aptos" w:cs="Arial"/>
        </w:rPr>
      </w:pPr>
      <w:r w:rsidRPr="005136D8">
        <w:rPr>
          <w:rFonts w:eastAsia="Aptos" w:cs="Arial"/>
        </w:rPr>
        <w:t>Opening hours of pharmacies and dispensing practices</w:t>
      </w:r>
    </w:p>
    <w:p w14:paraId="02C3DD24" w14:textId="77777777" w:rsidR="005136D8" w:rsidRPr="005136D8" w:rsidRDefault="005136D8" w:rsidP="00ED639F">
      <w:pPr>
        <w:rPr>
          <w:rFonts w:eastAsia="Aptos" w:cs="Arial"/>
        </w:rPr>
      </w:pPr>
    </w:p>
    <w:p w14:paraId="2F077004" w14:textId="77777777" w:rsidR="005136D8" w:rsidRPr="005136D8" w:rsidRDefault="005136D8" w:rsidP="00ED639F">
      <w:pPr>
        <w:rPr>
          <w:rFonts w:eastAsia="Aptos" w:cs="Arial"/>
        </w:rPr>
      </w:pPr>
      <w:r w:rsidRPr="005136D8">
        <w:rPr>
          <w:rFonts w:eastAsia="Aptos" w:cs="Arial"/>
        </w:rPr>
        <w:t>There are 90 pharmacies and two GP practices that dispense from premises in the health board’s area providing pharmaceutical services to a population of 394,552, equating to 2.3 pharmacies per 10,000 population, the third highest ratio for health boards in Wales. When including dispensing GP practices the ratio per 10,000 population increases to 2.4.</w:t>
      </w:r>
    </w:p>
    <w:p w14:paraId="4B611D4D" w14:textId="77777777" w:rsidR="005136D8" w:rsidRPr="005136D8" w:rsidRDefault="005136D8" w:rsidP="00ED639F">
      <w:pPr>
        <w:rPr>
          <w:rFonts w:eastAsia="Aptos" w:cs="Arial"/>
        </w:rPr>
      </w:pPr>
    </w:p>
    <w:p w14:paraId="67ADE744" w14:textId="77777777" w:rsidR="005136D8" w:rsidRPr="005136D8" w:rsidRDefault="005136D8" w:rsidP="00ED639F">
      <w:pPr>
        <w:rPr>
          <w:rFonts w:eastAsia="Aptos" w:cs="Arial"/>
          <w:b/>
          <w:bCs/>
        </w:rPr>
      </w:pPr>
      <w:r w:rsidRPr="005136D8">
        <w:rPr>
          <w:rFonts w:eastAsia="Aptos" w:cs="Arial"/>
          <w:b/>
          <w:bCs/>
        </w:rPr>
        <w:t>Table 16.1: Number of pharmacies and dispensing doctor premises per 10,000 population by locality</w:t>
      </w:r>
    </w:p>
    <w:p w14:paraId="158E02CF" w14:textId="77777777" w:rsidR="005136D8" w:rsidRPr="005136D8" w:rsidRDefault="005136D8" w:rsidP="00ED639F">
      <w:pPr>
        <w:rPr>
          <w:rFonts w:eastAsia="Aptos" w:cs="Arial"/>
          <w:b/>
          <w:bCs/>
        </w:rPr>
      </w:pPr>
    </w:p>
    <w:tbl>
      <w:tblPr>
        <w:tblStyle w:val="TableGrid"/>
        <w:tblW w:w="0" w:type="auto"/>
        <w:tblInd w:w="0" w:type="dxa"/>
        <w:tblLook w:val="04A0" w:firstRow="1" w:lastRow="0" w:firstColumn="1" w:lastColumn="0" w:noHBand="0" w:noVBand="1"/>
      </w:tblPr>
      <w:tblGrid>
        <w:gridCol w:w="1696"/>
        <w:gridCol w:w="3005"/>
        <w:gridCol w:w="3941"/>
      </w:tblGrid>
      <w:tr w:rsidR="00ED639F" w:rsidRPr="00D0306F" w14:paraId="6B199A7D" w14:textId="77777777" w:rsidTr="005136D8">
        <w:tc>
          <w:tcPr>
            <w:tcW w:w="1696" w:type="dxa"/>
            <w:tcBorders>
              <w:top w:val="single" w:sz="4" w:space="0" w:color="auto"/>
              <w:left w:val="single" w:sz="4" w:space="0" w:color="auto"/>
              <w:bottom w:val="single" w:sz="4" w:space="0" w:color="auto"/>
              <w:right w:val="single" w:sz="4" w:space="0" w:color="auto"/>
            </w:tcBorders>
            <w:shd w:val="clear" w:color="auto" w:fill="153D63"/>
            <w:hideMark/>
          </w:tcPr>
          <w:p w14:paraId="040E7048" w14:textId="77777777" w:rsidR="005136D8" w:rsidRPr="005136D8" w:rsidRDefault="005136D8" w:rsidP="00ED639F">
            <w:pPr>
              <w:rPr>
                <w:rFonts w:cs="Arial"/>
                <w:b/>
                <w:bCs/>
                <w:color w:val="FFFFFF"/>
              </w:rPr>
            </w:pPr>
            <w:r w:rsidRPr="005136D8">
              <w:rPr>
                <w:rFonts w:cs="Arial"/>
                <w:b/>
                <w:bCs/>
                <w:color w:val="FFFFFF"/>
              </w:rPr>
              <w:t>Locality</w:t>
            </w:r>
          </w:p>
        </w:tc>
        <w:tc>
          <w:tcPr>
            <w:tcW w:w="3005" w:type="dxa"/>
            <w:tcBorders>
              <w:top w:val="single" w:sz="4" w:space="0" w:color="auto"/>
              <w:left w:val="single" w:sz="4" w:space="0" w:color="auto"/>
              <w:bottom w:val="single" w:sz="4" w:space="0" w:color="auto"/>
              <w:right w:val="single" w:sz="4" w:space="0" w:color="auto"/>
            </w:tcBorders>
            <w:shd w:val="clear" w:color="auto" w:fill="153D63"/>
            <w:hideMark/>
          </w:tcPr>
          <w:p w14:paraId="38F62CA9" w14:textId="77777777" w:rsidR="005136D8" w:rsidRPr="005136D8" w:rsidRDefault="005136D8" w:rsidP="00ED639F">
            <w:pPr>
              <w:rPr>
                <w:rFonts w:cs="Arial"/>
                <w:b/>
                <w:bCs/>
                <w:color w:val="FFFFFF"/>
              </w:rPr>
            </w:pPr>
            <w:r w:rsidRPr="005136D8">
              <w:rPr>
                <w:rFonts w:cs="Arial"/>
                <w:b/>
                <w:bCs/>
                <w:color w:val="FFFFFF"/>
              </w:rPr>
              <w:t>Pharmacies per 10,000 population</w:t>
            </w:r>
          </w:p>
        </w:tc>
        <w:tc>
          <w:tcPr>
            <w:tcW w:w="3941" w:type="dxa"/>
            <w:tcBorders>
              <w:top w:val="single" w:sz="4" w:space="0" w:color="auto"/>
              <w:left w:val="single" w:sz="4" w:space="0" w:color="auto"/>
              <w:bottom w:val="single" w:sz="4" w:space="0" w:color="auto"/>
              <w:right w:val="single" w:sz="4" w:space="0" w:color="auto"/>
            </w:tcBorders>
            <w:shd w:val="clear" w:color="auto" w:fill="153D63"/>
            <w:hideMark/>
          </w:tcPr>
          <w:p w14:paraId="571C1334" w14:textId="77777777" w:rsidR="005136D8" w:rsidRPr="005136D8" w:rsidRDefault="005136D8" w:rsidP="00ED639F">
            <w:pPr>
              <w:rPr>
                <w:rFonts w:cs="Arial"/>
                <w:b/>
                <w:bCs/>
                <w:color w:val="FFFFFF"/>
              </w:rPr>
            </w:pPr>
            <w:r w:rsidRPr="005136D8">
              <w:rPr>
                <w:rFonts w:cs="Arial"/>
                <w:b/>
                <w:bCs/>
                <w:color w:val="FFFFFF"/>
              </w:rPr>
              <w:t>Pharmacies and dispensing doctor premises per 10,000 population</w:t>
            </w:r>
          </w:p>
        </w:tc>
      </w:tr>
      <w:tr w:rsidR="005136D8" w:rsidRPr="005136D8" w14:paraId="3C53C4F3" w14:textId="77777777" w:rsidTr="005136D8">
        <w:tc>
          <w:tcPr>
            <w:tcW w:w="1696" w:type="dxa"/>
            <w:tcBorders>
              <w:top w:val="single" w:sz="4" w:space="0" w:color="auto"/>
              <w:left w:val="single" w:sz="4" w:space="0" w:color="auto"/>
              <w:bottom w:val="single" w:sz="4" w:space="0" w:color="auto"/>
              <w:right w:val="single" w:sz="4" w:space="0" w:color="auto"/>
            </w:tcBorders>
            <w:hideMark/>
          </w:tcPr>
          <w:p w14:paraId="50489D21" w14:textId="77777777" w:rsidR="005136D8" w:rsidRPr="005136D8" w:rsidRDefault="005136D8" w:rsidP="00ED639F">
            <w:pPr>
              <w:rPr>
                <w:rFonts w:cs="Arial"/>
              </w:rPr>
            </w:pPr>
            <w:r w:rsidRPr="005136D8">
              <w:rPr>
                <w:rFonts w:cs="Arial"/>
                <w:spacing w:val="-5"/>
              </w:rPr>
              <w:t>Bay</w:t>
            </w:r>
          </w:p>
        </w:tc>
        <w:tc>
          <w:tcPr>
            <w:tcW w:w="3005" w:type="dxa"/>
            <w:tcBorders>
              <w:top w:val="single" w:sz="4" w:space="0" w:color="auto"/>
              <w:left w:val="single" w:sz="4" w:space="0" w:color="auto"/>
              <w:bottom w:val="single" w:sz="4" w:space="0" w:color="auto"/>
              <w:right w:val="single" w:sz="4" w:space="0" w:color="auto"/>
            </w:tcBorders>
            <w:hideMark/>
          </w:tcPr>
          <w:p w14:paraId="0CC0CE3D" w14:textId="77777777" w:rsidR="005136D8" w:rsidRPr="005136D8" w:rsidRDefault="005136D8" w:rsidP="00ED639F">
            <w:pPr>
              <w:jc w:val="center"/>
              <w:rPr>
                <w:rFonts w:cs="Arial"/>
              </w:rPr>
            </w:pPr>
            <w:r w:rsidRPr="005136D8">
              <w:rPr>
                <w:rFonts w:cs="Arial"/>
              </w:rPr>
              <w:t>2.1</w:t>
            </w:r>
          </w:p>
        </w:tc>
        <w:tc>
          <w:tcPr>
            <w:tcW w:w="3941" w:type="dxa"/>
            <w:tcBorders>
              <w:top w:val="single" w:sz="4" w:space="0" w:color="auto"/>
              <w:left w:val="single" w:sz="4" w:space="0" w:color="auto"/>
              <w:bottom w:val="single" w:sz="4" w:space="0" w:color="auto"/>
              <w:right w:val="single" w:sz="4" w:space="0" w:color="auto"/>
            </w:tcBorders>
            <w:hideMark/>
          </w:tcPr>
          <w:p w14:paraId="5BB4A611" w14:textId="77777777" w:rsidR="005136D8" w:rsidRPr="005136D8" w:rsidRDefault="005136D8" w:rsidP="00ED639F">
            <w:pPr>
              <w:jc w:val="center"/>
              <w:rPr>
                <w:rFonts w:cs="Arial"/>
              </w:rPr>
            </w:pPr>
            <w:r w:rsidRPr="005136D8">
              <w:rPr>
                <w:rFonts w:cs="Arial"/>
              </w:rPr>
              <w:t>-</w:t>
            </w:r>
          </w:p>
        </w:tc>
      </w:tr>
      <w:tr w:rsidR="005136D8" w:rsidRPr="005136D8" w14:paraId="4A98E33A" w14:textId="77777777" w:rsidTr="005136D8">
        <w:tc>
          <w:tcPr>
            <w:tcW w:w="1696" w:type="dxa"/>
            <w:tcBorders>
              <w:top w:val="single" w:sz="4" w:space="0" w:color="auto"/>
              <w:left w:val="single" w:sz="4" w:space="0" w:color="auto"/>
              <w:bottom w:val="single" w:sz="4" w:space="0" w:color="auto"/>
              <w:right w:val="single" w:sz="4" w:space="0" w:color="auto"/>
            </w:tcBorders>
            <w:hideMark/>
          </w:tcPr>
          <w:p w14:paraId="74B771E5" w14:textId="77777777" w:rsidR="005136D8" w:rsidRPr="005136D8" w:rsidRDefault="005136D8" w:rsidP="00ED639F">
            <w:pPr>
              <w:rPr>
                <w:rFonts w:cs="Arial"/>
              </w:rPr>
            </w:pPr>
            <w:r w:rsidRPr="005136D8">
              <w:rPr>
                <w:rFonts w:cs="Arial"/>
                <w:spacing w:val="-4"/>
              </w:rPr>
              <w:t>City</w:t>
            </w:r>
          </w:p>
        </w:tc>
        <w:tc>
          <w:tcPr>
            <w:tcW w:w="3005" w:type="dxa"/>
            <w:tcBorders>
              <w:top w:val="single" w:sz="4" w:space="0" w:color="auto"/>
              <w:left w:val="single" w:sz="4" w:space="0" w:color="auto"/>
              <w:bottom w:val="single" w:sz="4" w:space="0" w:color="auto"/>
              <w:right w:val="single" w:sz="4" w:space="0" w:color="auto"/>
            </w:tcBorders>
            <w:hideMark/>
          </w:tcPr>
          <w:p w14:paraId="3C99534E" w14:textId="77777777" w:rsidR="005136D8" w:rsidRPr="005136D8" w:rsidRDefault="005136D8" w:rsidP="00ED639F">
            <w:pPr>
              <w:jc w:val="center"/>
              <w:rPr>
                <w:rFonts w:cs="Arial"/>
              </w:rPr>
            </w:pPr>
            <w:r w:rsidRPr="005136D8">
              <w:rPr>
                <w:rFonts w:cs="Arial"/>
              </w:rPr>
              <w:t>2.5</w:t>
            </w:r>
          </w:p>
        </w:tc>
        <w:tc>
          <w:tcPr>
            <w:tcW w:w="3941" w:type="dxa"/>
            <w:tcBorders>
              <w:top w:val="single" w:sz="4" w:space="0" w:color="auto"/>
              <w:left w:val="single" w:sz="4" w:space="0" w:color="auto"/>
              <w:bottom w:val="single" w:sz="4" w:space="0" w:color="auto"/>
              <w:right w:val="single" w:sz="4" w:space="0" w:color="auto"/>
            </w:tcBorders>
            <w:hideMark/>
          </w:tcPr>
          <w:p w14:paraId="611DAD94" w14:textId="77777777" w:rsidR="005136D8" w:rsidRPr="005136D8" w:rsidRDefault="005136D8" w:rsidP="00ED639F">
            <w:pPr>
              <w:jc w:val="center"/>
              <w:rPr>
                <w:rFonts w:cs="Arial"/>
              </w:rPr>
            </w:pPr>
            <w:r w:rsidRPr="005136D8">
              <w:rPr>
                <w:rFonts w:cs="Arial"/>
              </w:rPr>
              <w:t>-</w:t>
            </w:r>
          </w:p>
        </w:tc>
      </w:tr>
      <w:tr w:rsidR="005136D8" w:rsidRPr="005136D8" w14:paraId="5A5F7C3B" w14:textId="77777777" w:rsidTr="005136D8">
        <w:tc>
          <w:tcPr>
            <w:tcW w:w="1696" w:type="dxa"/>
            <w:tcBorders>
              <w:top w:val="single" w:sz="4" w:space="0" w:color="auto"/>
              <w:left w:val="single" w:sz="4" w:space="0" w:color="auto"/>
              <w:bottom w:val="single" w:sz="4" w:space="0" w:color="auto"/>
              <w:right w:val="single" w:sz="4" w:space="0" w:color="auto"/>
            </w:tcBorders>
            <w:hideMark/>
          </w:tcPr>
          <w:p w14:paraId="66520774" w14:textId="77777777" w:rsidR="005136D8" w:rsidRPr="005136D8" w:rsidRDefault="005136D8" w:rsidP="00ED639F">
            <w:pPr>
              <w:rPr>
                <w:rFonts w:cs="Arial"/>
              </w:rPr>
            </w:pPr>
            <w:r w:rsidRPr="005136D8">
              <w:rPr>
                <w:rFonts w:cs="Arial"/>
                <w:spacing w:val="-2"/>
              </w:rPr>
              <w:t>Cwmtawe</w:t>
            </w:r>
          </w:p>
        </w:tc>
        <w:tc>
          <w:tcPr>
            <w:tcW w:w="3005" w:type="dxa"/>
            <w:tcBorders>
              <w:top w:val="single" w:sz="4" w:space="0" w:color="auto"/>
              <w:left w:val="single" w:sz="4" w:space="0" w:color="auto"/>
              <w:bottom w:val="single" w:sz="4" w:space="0" w:color="auto"/>
              <w:right w:val="single" w:sz="4" w:space="0" w:color="auto"/>
            </w:tcBorders>
            <w:hideMark/>
          </w:tcPr>
          <w:p w14:paraId="73F4CFBE" w14:textId="77777777" w:rsidR="005136D8" w:rsidRPr="005136D8" w:rsidRDefault="005136D8" w:rsidP="00ED639F">
            <w:pPr>
              <w:jc w:val="center"/>
              <w:rPr>
                <w:rFonts w:cs="Arial"/>
              </w:rPr>
            </w:pPr>
            <w:r w:rsidRPr="005136D8">
              <w:rPr>
                <w:rFonts w:cs="Arial"/>
              </w:rPr>
              <w:t>2.1</w:t>
            </w:r>
          </w:p>
        </w:tc>
        <w:tc>
          <w:tcPr>
            <w:tcW w:w="3941" w:type="dxa"/>
            <w:tcBorders>
              <w:top w:val="single" w:sz="4" w:space="0" w:color="auto"/>
              <w:left w:val="single" w:sz="4" w:space="0" w:color="auto"/>
              <w:bottom w:val="single" w:sz="4" w:space="0" w:color="auto"/>
              <w:right w:val="single" w:sz="4" w:space="0" w:color="auto"/>
            </w:tcBorders>
            <w:hideMark/>
          </w:tcPr>
          <w:p w14:paraId="11D2ADBA" w14:textId="77777777" w:rsidR="005136D8" w:rsidRPr="005136D8" w:rsidRDefault="005136D8" w:rsidP="00ED639F">
            <w:pPr>
              <w:jc w:val="center"/>
              <w:rPr>
                <w:rFonts w:cs="Arial"/>
              </w:rPr>
            </w:pPr>
            <w:r w:rsidRPr="005136D8">
              <w:rPr>
                <w:rFonts w:cs="Arial"/>
              </w:rPr>
              <w:t>-</w:t>
            </w:r>
          </w:p>
        </w:tc>
      </w:tr>
      <w:tr w:rsidR="005136D8" w:rsidRPr="005136D8" w14:paraId="0BEA1034" w14:textId="77777777" w:rsidTr="005136D8">
        <w:tc>
          <w:tcPr>
            <w:tcW w:w="1696" w:type="dxa"/>
            <w:tcBorders>
              <w:top w:val="single" w:sz="4" w:space="0" w:color="auto"/>
              <w:left w:val="single" w:sz="4" w:space="0" w:color="auto"/>
              <w:bottom w:val="single" w:sz="4" w:space="0" w:color="auto"/>
              <w:right w:val="single" w:sz="4" w:space="0" w:color="auto"/>
            </w:tcBorders>
            <w:hideMark/>
          </w:tcPr>
          <w:p w14:paraId="1C2DBE19" w14:textId="77777777" w:rsidR="005136D8" w:rsidRPr="005136D8" w:rsidRDefault="005136D8" w:rsidP="00ED639F">
            <w:pPr>
              <w:rPr>
                <w:rFonts w:cs="Arial"/>
              </w:rPr>
            </w:pPr>
            <w:r w:rsidRPr="005136D8">
              <w:rPr>
                <w:rFonts w:cs="Arial"/>
                <w:spacing w:val="-2"/>
              </w:rPr>
              <w:t>Llwchwr</w:t>
            </w:r>
          </w:p>
        </w:tc>
        <w:tc>
          <w:tcPr>
            <w:tcW w:w="3005" w:type="dxa"/>
            <w:tcBorders>
              <w:top w:val="single" w:sz="4" w:space="0" w:color="auto"/>
              <w:left w:val="single" w:sz="4" w:space="0" w:color="auto"/>
              <w:bottom w:val="single" w:sz="4" w:space="0" w:color="auto"/>
              <w:right w:val="single" w:sz="4" w:space="0" w:color="auto"/>
            </w:tcBorders>
            <w:hideMark/>
          </w:tcPr>
          <w:p w14:paraId="21E296AE" w14:textId="77777777" w:rsidR="005136D8" w:rsidRPr="005136D8" w:rsidRDefault="005136D8" w:rsidP="00ED639F">
            <w:pPr>
              <w:jc w:val="center"/>
              <w:rPr>
                <w:rFonts w:cs="Arial"/>
              </w:rPr>
            </w:pPr>
            <w:r w:rsidRPr="005136D8">
              <w:rPr>
                <w:rFonts w:cs="Arial"/>
              </w:rPr>
              <w:t>1.8</w:t>
            </w:r>
          </w:p>
        </w:tc>
        <w:tc>
          <w:tcPr>
            <w:tcW w:w="3941" w:type="dxa"/>
            <w:tcBorders>
              <w:top w:val="single" w:sz="4" w:space="0" w:color="auto"/>
              <w:left w:val="single" w:sz="4" w:space="0" w:color="auto"/>
              <w:bottom w:val="single" w:sz="4" w:space="0" w:color="auto"/>
              <w:right w:val="single" w:sz="4" w:space="0" w:color="auto"/>
            </w:tcBorders>
            <w:hideMark/>
          </w:tcPr>
          <w:p w14:paraId="0CBB63A3" w14:textId="77777777" w:rsidR="005136D8" w:rsidRPr="005136D8" w:rsidRDefault="005136D8" w:rsidP="00ED639F">
            <w:pPr>
              <w:jc w:val="center"/>
              <w:rPr>
                <w:rFonts w:cs="Arial"/>
              </w:rPr>
            </w:pPr>
            <w:r w:rsidRPr="005136D8">
              <w:rPr>
                <w:rFonts w:cs="Arial"/>
              </w:rPr>
              <w:t>-</w:t>
            </w:r>
          </w:p>
        </w:tc>
      </w:tr>
      <w:tr w:rsidR="005136D8" w:rsidRPr="005136D8" w14:paraId="59C5BC4D" w14:textId="77777777" w:rsidTr="005136D8">
        <w:tc>
          <w:tcPr>
            <w:tcW w:w="1696" w:type="dxa"/>
            <w:tcBorders>
              <w:top w:val="single" w:sz="4" w:space="0" w:color="auto"/>
              <w:left w:val="single" w:sz="4" w:space="0" w:color="auto"/>
              <w:bottom w:val="single" w:sz="4" w:space="0" w:color="auto"/>
              <w:right w:val="single" w:sz="4" w:space="0" w:color="auto"/>
            </w:tcBorders>
            <w:hideMark/>
          </w:tcPr>
          <w:p w14:paraId="2D7C3FE8" w14:textId="77777777" w:rsidR="005136D8" w:rsidRPr="005136D8" w:rsidRDefault="005136D8" w:rsidP="00ED639F">
            <w:pPr>
              <w:rPr>
                <w:rFonts w:cs="Arial"/>
              </w:rPr>
            </w:pPr>
            <w:r w:rsidRPr="005136D8">
              <w:rPr>
                <w:rFonts w:cs="Arial"/>
                <w:spacing w:val="-2"/>
              </w:rPr>
              <w:t>Penderi</w:t>
            </w:r>
          </w:p>
        </w:tc>
        <w:tc>
          <w:tcPr>
            <w:tcW w:w="3005" w:type="dxa"/>
            <w:tcBorders>
              <w:top w:val="single" w:sz="4" w:space="0" w:color="auto"/>
              <w:left w:val="single" w:sz="4" w:space="0" w:color="auto"/>
              <w:bottom w:val="single" w:sz="4" w:space="0" w:color="auto"/>
              <w:right w:val="single" w:sz="4" w:space="0" w:color="auto"/>
            </w:tcBorders>
            <w:hideMark/>
          </w:tcPr>
          <w:p w14:paraId="12AC76C9" w14:textId="77777777" w:rsidR="005136D8" w:rsidRPr="005136D8" w:rsidRDefault="005136D8" w:rsidP="00ED639F">
            <w:pPr>
              <w:jc w:val="center"/>
              <w:rPr>
                <w:rFonts w:cs="Arial"/>
              </w:rPr>
            </w:pPr>
            <w:r w:rsidRPr="005136D8">
              <w:rPr>
                <w:rFonts w:cs="Arial"/>
              </w:rPr>
              <w:t>2.4</w:t>
            </w:r>
          </w:p>
        </w:tc>
        <w:tc>
          <w:tcPr>
            <w:tcW w:w="3941" w:type="dxa"/>
            <w:tcBorders>
              <w:top w:val="single" w:sz="4" w:space="0" w:color="auto"/>
              <w:left w:val="single" w:sz="4" w:space="0" w:color="auto"/>
              <w:bottom w:val="single" w:sz="4" w:space="0" w:color="auto"/>
              <w:right w:val="single" w:sz="4" w:space="0" w:color="auto"/>
            </w:tcBorders>
            <w:hideMark/>
          </w:tcPr>
          <w:p w14:paraId="7D55A5C7" w14:textId="77777777" w:rsidR="005136D8" w:rsidRPr="005136D8" w:rsidRDefault="005136D8" w:rsidP="00ED639F">
            <w:pPr>
              <w:jc w:val="center"/>
              <w:rPr>
                <w:rFonts w:cs="Arial"/>
              </w:rPr>
            </w:pPr>
            <w:r w:rsidRPr="005136D8">
              <w:rPr>
                <w:rFonts w:cs="Arial"/>
              </w:rPr>
              <w:t>-</w:t>
            </w:r>
          </w:p>
        </w:tc>
      </w:tr>
      <w:tr w:rsidR="005136D8" w:rsidRPr="005136D8" w14:paraId="1ACC8F2A" w14:textId="77777777" w:rsidTr="005136D8">
        <w:tc>
          <w:tcPr>
            <w:tcW w:w="1696" w:type="dxa"/>
            <w:tcBorders>
              <w:top w:val="single" w:sz="4" w:space="0" w:color="auto"/>
              <w:left w:val="single" w:sz="4" w:space="0" w:color="auto"/>
              <w:bottom w:val="single" w:sz="4" w:space="0" w:color="auto"/>
              <w:right w:val="single" w:sz="4" w:space="0" w:color="auto"/>
            </w:tcBorders>
            <w:hideMark/>
          </w:tcPr>
          <w:p w14:paraId="11D5BD4D" w14:textId="77777777" w:rsidR="005136D8" w:rsidRPr="005136D8" w:rsidRDefault="005136D8" w:rsidP="00ED639F">
            <w:pPr>
              <w:rPr>
                <w:rFonts w:cs="Arial"/>
              </w:rPr>
            </w:pPr>
            <w:r w:rsidRPr="005136D8">
              <w:rPr>
                <w:rFonts w:cs="Arial"/>
                <w:spacing w:val="-4"/>
              </w:rPr>
              <w:t>Afan</w:t>
            </w:r>
          </w:p>
        </w:tc>
        <w:tc>
          <w:tcPr>
            <w:tcW w:w="3005" w:type="dxa"/>
            <w:tcBorders>
              <w:top w:val="single" w:sz="4" w:space="0" w:color="auto"/>
              <w:left w:val="single" w:sz="4" w:space="0" w:color="auto"/>
              <w:bottom w:val="single" w:sz="4" w:space="0" w:color="auto"/>
              <w:right w:val="single" w:sz="4" w:space="0" w:color="auto"/>
            </w:tcBorders>
            <w:hideMark/>
          </w:tcPr>
          <w:p w14:paraId="4FCBF8F4" w14:textId="77777777" w:rsidR="005136D8" w:rsidRPr="005136D8" w:rsidRDefault="005136D8" w:rsidP="00ED639F">
            <w:pPr>
              <w:jc w:val="center"/>
              <w:rPr>
                <w:rFonts w:cs="Arial"/>
              </w:rPr>
            </w:pPr>
            <w:r w:rsidRPr="005136D8">
              <w:rPr>
                <w:rFonts w:cs="Arial"/>
              </w:rPr>
              <w:t>3.4</w:t>
            </w:r>
          </w:p>
        </w:tc>
        <w:tc>
          <w:tcPr>
            <w:tcW w:w="3941" w:type="dxa"/>
            <w:tcBorders>
              <w:top w:val="single" w:sz="4" w:space="0" w:color="auto"/>
              <w:left w:val="single" w:sz="4" w:space="0" w:color="auto"/>
              <w:bottom w:val="single" w:sz="4" w:space="0" w:color="auto"/>
              <w:right w:val="single" w:sz="4" w:space="0" w:color="auto"/>
            </w:tcBorders>
            <w:hideMark/>
          </w:tcPr>
          <w:p w14:paraId="5F1A9B81" w14:textId="77777777" w:rsidR="005136D8" w:rsidRPr="005136D8" w:rsidRDefault="005136D8" w:rsidP="00ED639F">
            <w:pPr>
              <w:jc w:val="center"/>
              <w:rPr>
                <w:rFonts w:cs="Arial"/>
              </w:rPr>
            </w:pPr>
            <w:r w:rsidRPr="005136D8">
              <w:rPr>
                <w:rFonts w:cs="Arial"/>
              </w:rPr>
              <w:t>4.0</w:t>
            </w:r>
          </w:p>
        </w:tc>
      </w:tr>
      <w:tr w:rsidR="005136D8" w:rsidRPr="005136D8" w14:paraId="40BE5FA1" w14:textId="77777777" w:rsidTr="005136D8">
        <w:tc>
          <w:tcPr>
            <w:tcW w:w="1696" w:type="dxa"/>
            <w:tcBorders>
              <w:top w:val="single" w:sz="4" w:space="0" w:color="auto"/>
              <w:left w:val="single" w:sz="4" w:space="0" w:color="auto"/>
              <w:bottom w:val="single" w:sz="4" w:space="0" w:color="auto"/>
              <w:right w:val="single" w:sz="4" w:space="0" w:color="auto"/>
            </w:tcBorders>
            <w:hideMark/>
          </w:tcPr>
          <w:p w14:paraId="349CF5EE" w14:textId="77777777" w:rsidR="005136D8" w:rsidRPr="005136D8" w:rsidRDefault="005136D8" w:rsidP="00ED639F">
            <w:pPr>
              <w:rPr>
                <w:rFonts w:cs="Arial"/>
              </w:rPr>
            </w:pPr>
            <w:r w:rsidRPr="005136D8">
              <w:rPr>
                <w:rFonts w:cs="Arial"/>
                <w:spacing w:val="-4"/>
              </w:rPr>
              <w:t>Neath</w:t>
            </w:r>
          </w:p>
        </w:tc>
        <w:tc>
          <w:tcPr>
            <w:tcW w:w="3005" w:type="dxa"/>
            <w:tcBorders>
              <w:top w:val="single" w:sz="4" w:space="0" w:color="auto"/>
              <w:left w:val="single" w:sz="4" w:space="0" w:color="auto"/>
              <w:bottom w:val="single" w:sz="4" w:space="0" w:color="auto"/>
              <w:right w:val="single" w:sz="4" w:space="0" w:color="auto"/>
            </w:tcBorders>
            <w:hideMark/>
          </w:tcPr>
          <w:p w14:paraId="049383BB" w14:textId="77777777" w:rsidR="005136D8" w:rsidRPr="005136D8" w:rsidRDefault="005136D8" w:rsidP="00ED639F">
            <w:pPr>
              <w:jc w:val="center"/>
              <w:rPr>
                <w:rFonts w:cs="Arial"/>
              </w:rPr>
            </w:pPr>
            <w:r w:rsidRPr="005136D8">
              <w:rPr>
                <w:rFonts w:cs="Arial"/>
              </w:rPr>
              <w:t>1.4</w:t>
            </w:r>
          </w:p>
        </w:tc>
        <w:tc>
          <w:tcPr>
            <w:tcW w:w="3941" w:type="dxa"/>
            <w:tcBorders>
              <w:top w:val="single" w:sz="4" w:space="0" w:color="auto"/>
              <w:left w:val="single" w:sz="4" w:space="0" w:color="auto"/>
              <w:bottom w:val="single" w:sz="4" w:space="0" w:color="auto"/>
              <w:right w:val="single" w:sz="4" w:space="0" w:color="auto"/>
            </w:tcBorders>
            <w:hideMark/>
          </w:tcPr>
          <w:p w14:paraId="2A314F5D" w14:textId="77777777" w:rsidR="005136D8" w:rsidRPr="005136D8" w:rsidRDefault="005136D8" w:rsidP="00ED639F">
            <w:pPr>
              <w:jc w:val="center"/>
              <w:rPr>
                <w:rFonts w:cs="Arial"/>
              </w:rPr>
            </w:pPr>
            <w:r w:rsidRPr="005136D8">
              <w:rPr>
                <w:rFonts w:cs="Arial"/>
              </w:rPr>
              <w:t>-</w:t>
            </w:r>
          </w:p>
        </w:tc>
      </w:tr>
      <w:tr w:rsidR="005136D8" w:rsidRPr="005136D8" w14:paraId="7ED6D985" w14:textId="77777777" w:rsidTr="005136D8">
        <w:tc>
          <w:tcPr>
            <w:tcW w:w="1696" w:type="dxa"/>
            <w:tcBorders>
              <w:top w:val="single" w:sz="4" w:space="0" w:color="auto"/>
              <w:left w:val="single" w:sz="4" w:space="0" w:color="auto"/>
              <w:bottom w:val="single" w:sz="4" w:space="0" w:color="auto"/>
              <w:right w:val="single" w:sz="4" w:space="0" w:color="auto"/>
            </w:tcBorders>
            <w:hideMark/>
          </w:tcPr>
          <w:p w14:paraId="626769D8" w14:textId="77777777" w:rsidR="005136D8" w:rsidRPr="005136D8" w:rsidRDefault="005136D8" w:rsidP="00ED639F">
            <w:pPr>
              <w:rPr>
                <w:rFonts w:cs="Arial"/>
                <w:spacing w:val="-4"/>
              </w:rPr>
            </w:pPr>
            <w:r w:rsidRPr="005136D8">
              <w:rPr>
                <w:rFonts w:cs="Arial"/>
                <w:spacing w:val="-4"/>
              </w:rPr>
              <w:t>Upper Valleys</w:t>
            </w:r>
          </w:p>
        </w:tc>
        <w:tc>
          <w:tcPr>
            <w:tcW w:w="3005" w:type="dxa"/>
            <w:tcBorders>
              <w:top w:val="single" w:sz="4" w:space="0" w:color="auto"/>
              <w:left w:val="single" w:sz="4" w:space="0" w:color="auto"/>
              <w:bottom w:val="single" w:sz="4" w:space="0" w:color="auto"/>
              <w:right w:val="single" w:sz="4" w:space="0" w:color="auto"/>
            </w:tcBorders>
            <w:hideMark/>
          </w:tcPr>
          <w:p w14:paraId="345472D0" w14:textId="77777777" w:rsidR="005136D8" w:rsidRPr="005136D8" w:rsidRDefault="005136D8" w:rsidP="00ED639F">
            <w:pPr>
              <w:jc w:val="center"/>
              <w:rPr>
                <w:rFonts w:cs="Arial"/>
              </w:rPr>
            </w:pPr>
            <w:r w:rsidRPr="005136D8">
              <w:rPr>
                <w:rFonts w:cs="Arial"/>
              </w:rPr>
              <w:t>3.1</w:t>
            </w:r>
          </w:p>
        </w:tc>
        <w:tc>
          <w:tcPr>
            <w:tcW w:w="3941" w:type="dxa"/>
            <w:tcBorders>
              <w:top w:val="single" w:sz="4" w:space="0" w:color="auto"/>
              <w:left w:val="single" w:sz="4" w:space="0" w:color="auto"/>
              <w:bottom w:val="single" w:sz="4" w:space="0" w:color="auto"/>
              <w:right w:val="single" w:sz="4" w:space="0" w:color="auto"/>
            </w:tcBorders>
            <w:hideMark/>
          </w:tcPr>
          <w:p w14:paraId="26C56C42" w14:textId="77777777" w:rsidR="005136D8" w:rsidRPr="005136D8" w:rsidRDefault="005136D8" w:rsidP="00ED639F">
            <w:pPr>
              <w:jc w:val="center"/>
              <w:rPr>
                <w:rFonts w:cs="Arial"/>
              </w:rPr>
            </w:pPr>
            <w:r w:rsidRPr="005136D8">
              <w:rPr>
                <w:rFonts w:cs="Arial"/>
              </w:rPr>
              <w:t>-</w:t>
            </w:r>
          </w:p>
        </w:tc>
      </w:tr>
    </w:tbl>
    <w:p w14:paraId="1363B057" w14:textId="77777777" w:rsidR="005136D8" w:rsidRPr="005136D8" w:rsidRDefault="005136D8" w:rsidP="00ED639F">
      <w:pPr>
        <w:rPr>
          <w:rFonts w:eastAsia="Aptos" w:cs="Arial"/>
        </w:rPr>
      </w:pPr>
    </w:p>
    <w:p w14:paraId="7270B82B" w14:textId="77777777" w:rsidR="005136D8" w:rsidRPr="005136D8" w:rsidRDefault="005136D8" w:rsidP="00ED639F">
      <w:pPr>
        <w:rPr>
          <w:rFonts w:eastAsia="Aptos" w:cs="Arial"/>
        </w:rPr>
      </w:pPr>
      <w:r w:rsidRPr="005136D8">
        <w:rPr>
          <w:rFonts w:eastAsia="Aptos" w:cs="Arial"/>
        </w:rPr>
        <w:t>There are three localities that are below the health board average - Bay, Cwmtawe, and Llwchwr.</w:t>
      </w:r>
    </w:p>
    <w:p w14:paraId="69563D29" w14:textId="77777777" w:rsidR="005136D8" w:rsidRPr="005136D8" w:rsidRDefault="005136D8" w:rsidP="00ED639F">
      <w:pPr>
        <w:rPr>
          <w:rFonts w:eastAsia="Aptos" w:cs="Arial"/>
        </w:rPr>
      </w:pPr>
    </w:p>
    <w:p w14:paraId="2C752B55" w14:textId="77777777" w:rsidR="005136D8" w:rsidRPr="005136D8" w:rsidRDefault="005136D8" w:rsidP="00ED639F">
      <w:pPr>
        <w:rPr>
          <w:rFonts w:eastAsia="Aptos" w:cs="Arial"/>
        </w:rPr>
      </w:pPr>
      <w:r w:rsidRPr="005136D8">
        <w:rPr>
          <w:rFonts w:eastAsia="Aptos" w:cs="Arial"/>
        </w:rPr>
        <w:lastRenderedPageBreak/>
        <w:t>The health board has reviewed the travel time conclusions in the pharmaceutical needs assessment published on 1 October 2021 which identified that there were some areas that were not within a 20-minute drive but concluded that there was little or no resident population as they are nature reserves (eg Whiteford National Nature Reserve), mountainous areas (eg Mynydd Y Gwair), and woodland and parks (eg Afan Forest National Park).</w:t>
      </w:r>
    </w:p>
    <w:p w14:paraId="260C22C3" w14:textId="77777777" w:rsidR="005136D8" w:rsidRPr="005136D8" w:rsidRDefault="005136D8" w:rsidP="00ED639F">
      <w:pPr>
        <w:rPr>
          <w:rFonts w:eastAsia="Aptos" w:cs="Arial"/>
        </w:rPr>
      </w:pPr>
    </w:p>
    <w:p w14:paraId="3A9E663C" w14:textId="77777777" w:rsidR="005136D8" w:rsidRPr="005136D8" w:rsidRDefault="005136D8" w:rsidP="00ED639F">
      <w:pPr>
        <w:rPr>
          <w:rFonts w:eastAsia="Aptos" w:cs="Arial"/>
        </w:rPr>
      </w:pPr>
      <w:r w:rsidRPr="005136D8">
        <w:rPr>
          <w:rFonts w:eastAsia="Aptos" w:cs="Arial"/>
        </w:rPr>
        <w:t>The health board has noted that although there are now three fewer pharmacies, the ones that have closed were in close proximity to other pharmacies. It is therefore satisfied that all residents are able to access a pharmacy within 20 minutes by car, and for many the travel time is less.</w:t>
      </w:r>
    </w:p>
    <w:p w14:paraId="69C4EC01" w14:textId="77777777" w:rsidR="005136D8" w:rsidRPr="005136D8" w:rsidRDefault="005136D8" w:rsidP="00ED639F">
      <w:pPr>
        <w:rPr>
          <w:rFonts w:eastAsia="Aptos" w:cs="Arial"/>
        </w:rPr>
      </w:pPr>
    </w:p>
    <w:p w14:paraId="429EC4E5" w14:textId="77777777" w:rsidR="005136D8" w:rsidRPr="005136D8" w:rsidRDefault="005136D8" w:rsidP="00ED639F">
      <w:pPr>
        <w:rPr>
          <w:rFonts w:eastAsia="Aptos" w:cs="Arial"/>
        </w:rPr>
      </w:pPr>
      <w:r w:rsidRPr="005136D8">
        <w:rPr>
          <w:rFonts w:eastAsia="Aptos" w:cs="Arial"/>
        </w:rPr>
        <w:t>The health board has concluded that there are no gaps in the geographical distribution of pharmacies across its area.</w:t>
      </w:r>
    </w:p>
    <w:p w14:paraId="5FF4598F" w14:textId="77777777" w:rsidR="005136D8" w:rsidRPr="005136D8" w:rsidRDefault="005136D8" w:rsidP="00ED639F">
      <w:pPr>
        <w:rPr>
          <w:rFonts w:eastAsia="Aptos" w:cs="Arial"/>
        </w:rPr>
      </w:pPr>
    </w:p>
    <w:p w14:paraId="3C1CB105" w14:textId="77777777" w:rsidR="005136D8" w:rsidRPr="005136D8" w:rsidRDefault="005136D8" w:rsidP="00ED639F">
      <w:pPr>
        <w:rPr>
          <w:rFonts w:eastAsia="Aptos" w:cs="Arial"/>
          <w:b/>
          <w:bCs/>
        </w:rPr>
      </w:pPr>
      <w:r w:rsidRPr="005136D8">
        <w:rPr>
          <w:rFonts w:eastAsia="Aptos" w:cs="Arial"/>
          <w:b/>
          <w:bCs/>
        </w:rPr>
        <w:t>16.3.1.1 Access to essential services during normal working hours</w:t>
      </w:r>
    </w:p>
    <w:p w14:paraId="33BFE023" w14:textId="77777777" w:rsidR="005136D8" w:rsidRPr="005136D8" w:rsidRDefault="005136D8" w:rsidP="00ED639F">
      <w:pPr>
        <w:rPr>
          <w:rFonts w:eastAsia="Aptos" w:cs="Arial"/>
        </w:rPr>
      </w:pPr>
    </w:p>
    <w:p w14:paraId="630677F4" w14:textId="77777777" w:rsidR="005136D8" w:rsidRPr="005136D8" w:rsidRDefault="005136D8" w:rsidP="00ED639F">
      <w:pPr>
        <w:rPr>
          <w:rFonts w:eastAsia="Aptos" w:cs="Arial"/>
        </w:rPr>
      </w:pPr>
      <w:r w:rsidRPr="005136D8">
        <w:rPr>
          <w:rFonts w:eastAsia="Aptos" w:cs="Arial"/>
        </w:rPr>
        <w:t>Contractors are required to ensure that pharmaceutical services are provided at their premises for not less than 40 hours each week unless the health board has previously agreed to less eg where a pharmacy serves a branch surgery only. For the purpose of the pharmaceutical needs assessment, normal working hours have been defined as Monday to Friday 9.00am - 5.30pm.</w:t>
      </w:r>
    </w:p>
    <w:p w14:paraId="0A34B24C" w14:textId="77777777" w:rsidR="005136D8" w:rsidRPr="005136D8" w:rsidRDefault="005136D8" w:rsidP="00ED639F">
      <w:pPr>
        <w:rPr>
          <w:rFonts w:eastAsia="Aptos" w:cs="Arial"/>
        </w:rPr>
      </w:pPr>
    </w:p>
    <w:p w14:paraId="22A8BB3E" w14:textId="77777777" w:rsidR="005136D8" w:rsidRPr="005136D8" w:rsidRDefault="005136D8" w:rsidP="00ED639F">
      <w:pPr>
        <w:rPr>
          <w:rFonts w:eastAsia="Aptos" w:cs="Arial"/>
        </w:rPr>
      </w:pPr>
      <w:r w:rsidRPr="005136D8">
        <w:rPr>
          <w:rFonts w:eastAsia="Aptos" w:cs="Arial"/>
          <w:b/>
          <w:bCs/>
        </w:rPr>
        <w:t>Table 16.2: Number of pharmacies open during normal working hours, Monday to Friday, by locality</w:t>
      </w:r>
    </w:p>
    <w:p w14:paraId="3E2404C0" w14:textId="77777777" w:rsidR="005136D8" w:rsidRPr="005136D8" w:rsidRDefault="005136D8" w:rsidP="00ED639F">
      <w:pPr>
        <w:rPr>
          <w:rFonts w:eastAsia="Aptos" w:cs="Arial"/>
        </w:rPr>
      </w:pPr>
    </w:p>
    <w:tbl>
      <w:tblPr>
        <w:tblStyle w:val="TableGrid"/>
        <w:tblW w:w="9067" w:type="dxa"/>
        <w:tblInd w:w="0" w:type="dxa"/>
        <w:tblLook w:val="04A0" w:firstRow="1" w:lastRow="0" w:firstColumn="1" w:lastColumn="0" w:noHBand="0" w:noVBand="1"/>
      </w:tblPr>
      <w:tblGrid>
        <w:gridCol w:w="1696"/>
        <w:gridCol w:w="1560"/>
        <w:gridCol w:w="1984"/>
        <w:gridCol w:w="1803"/>
        <w:gridCol w:w="2024"/>
      </w:tblGrid>
      <w:tr w:rsidR="00ED639F" w:rsidRPr="00D0306F" w14:paraId="77971E35" w14:textId="77777777" w:rsidTr="005136D8">
        <w:tc>
          <w:tcPr>
            <w:tcW w:w="1696" w:type="dxa"/>
            <w:tcBorders>
              <w:top w:val="single" w:sz="4" w:space="0" w:color="auto"/>
              <w:left w:val="single" w:sz="4" w:space="0" w:color="auto"/>
              <w:bottom w:val="single" w:sz="4" w:space="0" w:color="auto"/>
              <w:right w:val="single" w:sz="4" w:space="0" w:color="auto"/>
            </w:tcBorders>
            <w:shd w:val="clear" w:color="auto" w:fill="153D63"/>
            <w:hideMark/>
          </w:tcPr>
          <w:p w14:paraId="06D721AE" w14:textId="77777777" w:rsidR="005136D8" w:rsidRPr="005136D8" w:rsidRDefault="005136D8" w:rsidP="00ED639F">
            <w:pPr>
              <w:rPr>
                <w:rFonts w:cs="Arial"/>
                <w:b/>
                <w:bCs/>
                <w:color w:val="FFFFFF"/>
              </w:rPr>
            </w:pPr>
            <w:r w:rsidRPr="005136D8">
              <w:rPr>
                <w:rFonts w:cs="Arial"/>
                <w:b/>
                <w:bCs/>
                <w:color w:val="FFFFFF"/>
              </w:rPr>
              <w:t>Locality</w:t>
            </w:r>
          </w:p>
        </w:tc>
        <w:tc>
          <w:tcPr>
            <w:tcW w:w="1560" w:type="dxa"/>
            <w:tcBorders>
              <w:top w:val="single" w:sz="4" w:space="0" w:color="auto"/>
              <w:left w:val="single" w:sz="4" w:space="0" w:color="auto"/>
              <w:bottom w:val="single" w:sz="4" w:space="0" w:color="auto"/>
              <w:right w:val="single" w:sz="4" w:space="0" w:color="auto"/>
            </w:tcBorders>
            <w:shd w:val="clear" w:color="auto" w:fill="153D63"/>
            <w:hideMark/>
          </w:tcPr>
          <w:p w14:paraId="0633C138" w14:textId="77777777" w:rsidR="005136D8" w:rsidRPr="005136D8" w:rsidRDefault="005136D8" w:rsidP="00ED639F">
            <w:pPr>
              <w:rPr>
                <w:rFonts w:cs="Arial"/>
                <w:b/>
                <w:bCs/>
                <w:color w:val="FFFFFF"/>
              </w:rPr>
            </w:pPr>
            <w:r w:rsidRPr="005136D8">
              <w:rPr>
                <w:rFonts w:cs="Arial"/>
                <w:b/>
                <w:bCs/>
                <w:color w:val="FFFFFF"/>
              </w:rPr>
              <w:t>Number of pharmacies</w:t>
            </w:r>
          </w:p>
        </w:tc>
        <w:tc>
          <w:tcPr>
            <w:tcW w:w="1984" w:type="dxa"/>
            <w:tcBorders>
              <w:top w:val="single" w:sz="4" w:space="0" w:color="auto"/>
              <w:left w:val="single" w:sz="4" w:space="0" w:color="auto"/>
              <w:bottom w:val="single" w:sz="4" w:space="0" w:color="auto"/>
              <w:right w:val="single" w:sz="4" w:space="0" w:color="auto"/>
            </w:tcBorders>
            <w:shd w:val="clear" w:color="auto" w:fill="153D63"/>
            <w:hideMark/>
          </w:tcPr>
          <w:p w14:paraId="0A882CE1" w14:textId="77777777" w:rsidR="005136D8" w:rsidRPr="005136D8" w:rsidRDefault="005136D8" w:rsidP="00ED639F">
            <w:pPr>
              <w:rPr>
                <w:rFonts w:cs="Arial"/>
                <w:b/>
                <w:bCs/>
                <w:color w:val="FFFFFF"/>
              </w:rPr>
            </w:pPr>
            <w:r w:rsidRPr="005136D8">
              <w:rPr>
                <w:rFonts w:cs="Arial"/>
                <w:b/>
                <w:bCs/>
                <w:color w:val="FFFFFF"/>
              </w:rPr>
              <w:t>Number open Monday to Friday 9.00am - 5.30pm</w:t>
            </w:r>
          </w:p>
        </w:tc>
        <w:tc>
          <w:tcPr>
            <w:tcW w:w="1803" w:type="dxa"/>
            <w:tcBorders>
              <w:top w:val="single" w:sz="4" w:space="0" w:color="auto"/>
              <w:left w:val="single" w:sz="4" w:space="0" w:color="auto"/>
              <w:bottom w:val="single" w:sz="4" w:space="0" w:color="auto"/>
              <w:right w:val="single" w:sz="4" w:space="0" w:color="auto"/>
            </w:tcBorders>
            <w:shd w:val="clear" w:color="auto" w:fill="153D63"/>
            <w:hideMark/>
          </w:tcPr>
          <w:p w14:paraId="252E7BAC" w14:textId="77777777" w:rsidR="005136D8" w:rsidRPr="005136D8" w:rsidRDefault="005136D8" w:rsidP="00ED639F">
            <w:pPr>
              <w:rPr>
                <w:rFonts w:cs="Arial"/>
                <w:b/>
                <w:bCs/>
                <w:color w:val="FFFFFF"/>
              </w:rPr>
            </w:pPr>
            <w:r w:rsidRPr="005136D8">
              <w:rPr>
                <w:rFonts w:cs="Arial"/>
                <w:b/>
                <w:bCs/>
                <w:color w:val="FFFFFF"/>
              </w:rPr>
              <w:t>Closes for a half-day</w:t>
            </w:r>
          </w:p>
        </w:tc>
        <w:tc>
          <w:tcPr>
            <w:tcW w:w="2024" w:type="dxa"/>
            <w:tcBorders>
              <w:top w:val="single" w:sz="4" w:space="0" w:color="auto"/>
              <w:left w:val="single" w:sz="4" w:space="0" w:color="auto"/>
              <w:bottom w:val="single" w:sz="4" w:space="0" w:color="auto"/>
              <w:right w:val="single" w:sz="4" w:space="0" w:color="auto"/>
            </w:tcBorders>
            <w:shd w:val="clear" w:color="auto" w:fill="153D63"/>
            <w:hideMark/>
          </w:tcPr>
          <w:p w14:paraId="034B375A" w14:textId="77777777" w:rsidR="005136D8" w:rsidRPr="005136D8" w:rsidRDefault="005136D8" w:rsidP="00ED639F">
            <w:pPr>
              <w:rPr>
                <w:rFonts w:cs="Arial"/>
                <w:b/>
                <w:bCs/>
                <w:color w:val="FFFFFF"/>
              </w:rPr>
            </w:pPr>
            <w:r w:rsidRPr="005136D8">
              <w:rPr>
                <w:rFonts w:cs="Arial"/>
                <w:b/>
                <w:bCs/>
                <w:color w:val="FFFFFF"/>
              </w:rPr>
              <w:t>Closes earlier than 5.30pm, one or two days per week</w:t>
            </w:r>
          </w:p>
        </w:tc>
      </w:tr>
      <w:tr w:rsidR="005136D8" w:rsidRPr="005136D8" w14:paraId="73AEBB61" w14:textId="77777777" w:rsidTr="005136D8">
        <w:tc>
          <w:tcPr>
            <w:tcW w:w="1696" w:type="dxa"/>
            <w:tcBorders>
              <w:top w:val="single" w:sz="4" w:space="0" w:color="auto"/>
              <w:left w:val="single" w:sz="4" w:space="0" w:color="auto"/>
              <w:bottom w:val="single" w:sz="4" w:space="0" w:color="auto"/>
              <w:right w:val="single" w:sz="4" w:space="0" w:color="auto"/>
            </w:tcBorders>
            <w:hideMark/>
          </w:tcPr>
          <w:p w14:paraId="7B6EBF07" w14:textId="77777777" w:rsidR="005136D8" w:rsidRPr="005136D8" w:rsidRDefault="005136D8" w:rsidP="00ED639F">
            <w:pPr>
              <w:rPr>
                <w:rFonts w:cs="Arial"/>
              </w:rPr>
            </w:pPr>
            <w:r w:rsidRPr="005136D8">
              <w:rPr>
                <w:rFonts w:cs="Arial"/>
                <w:spacing w:val="-5"/>
              </w:rPr>
              <w:t>Bay</w:t>
            </w:r>
          </w:p>
        </w:tc>
        <w:tc>
          <w:tcPr>
            <w:tcW w:w="1560" w:type="dxa"/>
            <w:tcBorders>
              <w:top w:val="single" w:sz="4" w:space="0" w:color="auto"/>
              <w:left w:val="single" w:sz="4" w:space="0" w:color="auto"/>
              <w:bottom w:val="single" w:sz="4" w:space="0" w:color="auto"/>
              <w:right w:val="single" w:sz="4" w:space="0" w:color="auto"/>
            </w:tcBorders>
            <w:hideMark/>
          </w:tcPr>
          <w:p w14:paraId="62A37656" w14:textId="77777777" w:rsidR="005136D8" w:rsidRPr="005136D8" w:rsidRDefault="005136D8" w:rsidP="00ED639F">
            <w:pPr>
              <w:jc w:val="center"/>
              <w:rPr>
                <w:rFonts w:cs="Arial"/>
              </w:rPr>
            </w:pPr>
            <w:r w:rsidRPr="005136D8">
              <w:rPr>
                <w:rFonts w:cs="Arial"/>
              </w:rPr>
              <w:t>16</w:t>
            </w:r>
          </w:p>
        </w:tc>
        <w:tc>
          <w:tcPr>
            <w:tcW w:w="1984" w:type="dxa"/>
            <w:tcBorders>
              <w:top w:val="single" w:sz="4" w:space="0" w:color="auto"/>
              <w:left w:val="single" w:sz="4" w:space="0" w:color="auto"/>
              <w:bottom w:val="single" w:sz="4" w:space="0" w:color="auto"/>
              <w:right w:val="single" w:sz="4" w:space="0" w:color="auto"/>
            </w:tcBorders>
            <w:hideMark/>
          </w:tcPr>
          <w:p w14:paraId="33FFB8C1" w14:textId="77777777" w:rsidR="005136D8" w:rsidRPr="005136D8" w:rsidRDefault="005136D8" w:rsidP="00ED639F">
            <w:pPr>
              <w:jc w:val="center"/>
              <w:rPr>
                <w:rFonts w:cs="Arial"/>
              </w:rPr>
            </w:pPr>
            <w:r w:rsidRPr="005136D8">
              <w:rPr>
                <w:rFonts w:cs="Arial"/>
              </w:rPr>
              <w:t>13</w:t>
            </w:r>
          </w:p>
        </w:tc>
        <w:tc>
          <w:tcPr>
            <w:tcW w:w="1803" w:type="dxa"/>
            <w:tcBorders>
              <w:top w:val="single" w:sz="4" w:space="0" w:color="auto"/>
              <w:left w:val="single" w:sz="4" w:space="0" w:color="auto"/>
              <w:bottom w:val="single" w:sz="4" w:space="0" w:color="auto"/>
              <w:right w:val="single" w:sz="4" w:space="0" w:color="auto"/>
            </w:tcBorders>
            <w:hideMark/>
          </w:tcPr>
          <w:p w14:paraId="745F9316" w14:textId="77777777" w:rsidR="005136D8" w:rsidRPr="005136D8" w:rsidRDefault="005136D8" w:rsidP="00ED639F">
            <w:pPr>
              <w:jc w:val="center"/>
              <w:rPr>
                <w:rFonts w:cs="Arial"/>
              </w:rPr>
            </w:pPr>
            <w:r w:rsidRPr="005136D8">
              <w:rPr>
                <w:rFonts w:cs="Arial"/>
              </w:rPr>
              <w:t>1</w:t>
            </w:r>
          </w:p>
        </w:tc>
        <w:tc>
          <w:tcPr>
            <w:tcW w:w="2024" w:type="dxa"/>
            <w:tcBorders>
              <w:top w:val="single" w:sz="4" w:space="0" w:color="auto"/>
              <w:left w:val="single" w:sz="4" w:space="0" w:color="auto"/>
              <w:bottom w:val="single" w:sz="4" w:space="0" w:color="auto"/>
              <w:right w:val="single" w:sz="4" w:space="0" w:color="auto"/>
            </w:tcBorders>
            <w:hideMark/>
          </w:tcPr>
          <w:p w14:paraId="119A9E11" w14:textId="77777777" w:rsidR="005136D8" w:rsidRPr="005136D8" w:rsidRDefault="005136D8" w:rsidP="00ED639F">
            <w:pPr>
              <w:jc w:val="center"/>
              <w:rPr>
                <w:rFonts w:cs="Arial"/>
              </w:rPr>
            </w:pPr>
            <w:r w:rsidRPr="005136D8">
              <w:rPr>
                <w:rFonts w:cs="Arial"/>
              </w:rPr>
              <w:t>2</w:t>
            </w:r>
          </w:p>
        </w:tc>
      </w:tr>
      <w:tr w:rsidR="005136D8" w:rsidRPr="005136D8" w14:paraId="6FBD9258" w14:textId="77777777" w:rsidTr="005136D8">
        <w:tc>
          <w:tcPr>
            <w:tcW w:w="1696" w:type="dxa"/>
            <w:tcBorders>
              <w:top w:val="single" w:sz="4" w:space="0" w:color="auto"/>
              <w:left w:val="single" w:sz="4" w:space="0" w:color="auto"/>
              <w:bottom w:val="single" w:sz="4" w:space="0" w:color="auto"/>
              <w:right w:val="single" w:sz="4" w:space="0" w:color="auto"/>
            </w:tcBorders>
            <w:hideMark/>
          </w:tcPr>
          <w:p w14:paraId="115763D7" w14:textId="77777777" w:rsidR="005136D8" w:rsidRPr="005136D8" w:rsidRDefault="005136D8" w:rsidP="00ED639F">
            <w:pPr>
              <w:rPr>
                <w:rFonts w:cs="Arial"/>
              </w:rPr>
            </w:pPr>
            <w:r w:rsidRPr="005136D8">
              <w:rPr>
                <w:rFonts w:cs="Arial"/>
                <w:spacing w:val="-4"/>
              </w:rPr>
              <w:t>City</w:t>
            </w:r>
          </w:p>
        </w:tc>
        <w:tc>
          <w:tcPr>
            <w:tcW w:w="1560" w:type="dxa"/>
            <w:tcBorders>
              <w:top w:val="single" w:sz="4" w:space="0" w:color="auto"/>
              <w:left w:val="single" w:sz="4" w:space="0" w:color="auto"/>
              <w:bottom w:val="single" w:sz="4" w:space="0" w:color="auto"/>
              <w:right w:val="single" w:sz="4" w:space="0" w:color="auto"/>
            </w:tcBorders>
            <w:hideMark/>
          </w:tcPr>
          <w:p w14:paraId="609DDC49" w14:textId="77777777" w:rsidR="005136D8" w:rsidRPr="005136D8" w:rsidRDefault="005136D8" w:rsidP="00ED639F">
            <w:pPr>
              <w:jc w:val="center"/>
              <w:rPr>
                <w:rFonts w:cs="Arial"/>
              </w:rPr>
            </w:pPr>
            <w:r w:rsidRPr="005136D8">
              <w:rPr>
                <w:rFonts w:cs="Arial"/>
              </w:rPr>
              <w:t>14</w:t>
            </w:r>
          </w:p>
        </w:tc>
        <w:tc>
          <w:tcPr>
            <w:tcW w:w="1984" w:type="dxa"/>
            <w:tcBorders>
              <w:top w:val="single" w:sz="4" w:space="0" w:color="auto"/>
              <w:left w:val="single" w:sz="4" w:space="0" w:color="auto"/>
              <w:bottom w:val="single" w:sz="4" w:space="0" w:color="auto"/>
              <w:right w:val="single" w:sz="4" w:space="0" w:color="auto"/>
            </w:tcBorders>
            <w:hideMark/>
          </w:tcPr>
          <w:p w14:paraId="2318CAAB" w14:textId="77777777" w:rsidR="005136D8" w:rsidRPr="005136D8" w:rsidRDefault="005136D8" w:rsidP="00ED639F">
            <w:pPr>
              <w:jc w:val="center"/>
              <w:rPr>
                <w:rFonts w:cs="Arial"/>
              </w:rPr>
            </w:pPr>
            <w:r w:rsidRPr="005136D8">
              <w:rPr>
                <w:rFonts w:cs="Arial"/>
              </w:rPr>
              <w:t>12</w:t>
            </w:r>
          </w:p>
        </w:tc>
        <w:tc>
          <w:tcPr>
            <w:tcW w:w="1803" w:type="dxa"/>
            <w:tcBorders>
              <w:top w:val="single" w:sz="4" w:space="0" w:color="auto"/>
              <w:left w:val="single" w:sz="4" w:space="0" w:color="auto"/>
              <w:bottom w:val="single" w:sz="4" w:space="0" w:color="auto"/>
              <w:right w:val="single" w:sz="4" w:space="0" w:color="auto"/>
            </w:tcBorders>
            <w:hideMark/>
          </w:tcPr>
          <w:p w14:paraId="0923B60D" w14:textId="77777777" w:rsidR="005136D8" w:rsidRPr="005136D8" w:rsidRDefault="005136D8" w:rsidP="00ED639F">
            <w:pPr>
              <w:jc w:val="center"/>
              <w:rPr>
                <w:rFonts w:cs="Arial"/>
              </w:rPr>
            </w:pPr>
            <w:r w:rsidRPr="005136D8">
              <w:rPr>
                <w:rFonts w:cs="Arial"/>
              </w:rPr>
              <w:t>1</w:t>
            </w:r>
          </w:p>
        </w:tc>
        <w:tc>
          <w:tcPr>
            <w:tcW w:w="2024" w:type="dxa"/>
            <w:tcBorders>
              <w:top w:val="single" w:sz="4" w:space="0" w:color="auto"/>
              <w:left w:val="single" w:sz="4" w:space="0" w:color="auto"/>
              <w:bottom w:val="single" w:sz="4" w:space="0" w:color="auto"/>
              <w:right w:val="single" w:sz="4" w:space="0" w:color="auto"/>
            </w:tcBorders>
            <w:hideMark/>
          </w:tcPr>
          <w:p w14:paraId="3A0BBF7B" w14:textId="77777777" w:rsidR="005136D8" w:rsidRPr="005136D8" w:rsidRDefault="005136D8" w:rsidP="00ED639F">
            <w:pPr>
              <w:jc w:val="center"/>
              <w:rPr>
                <w:rFonts w:cs="Arial"/>
              </w:rPr>
            </w:pPr>
            <w:r w:rsidRPr="005136D8">
              <w:rPr>
                <w:rFonts w:cs="Arial"/>
              </w:rPr>
              <w:t>1</w:t>
            </w:r>
          </w:p>
        </w:tc>
      </w:tr>
      <w:tr w:rsidR="005136D8" w:rsidRPr="005136D8" w14:paraId="73E5F6F3" w14:textId="77777777" w:rsidTr="005136D8">
        <w:tc>
          <w:tcPr>
            <w:tcW w:w="1696" w:type="dxa"/>
            <w:tcBorders>
              <w:top w:val="single" w:sz="4" w:space="0" w:color="auto"/>
              <w:left w:val="single" w:sz="4" w:space="0" w:color="auto"/>
              <w:bottom w:val="single" w:sz="4" w:space="0" w:color="auto"/>
              <w:right w:val="single" w:sz="4" w:space="0" w:color="auto"/>
            </w:tcBorders>
            <w:hideMark/>
          </w:tcPr>
          <w:p w14:paraId="56A430CE" w14:textId="77777777" w:rsidR="005136D8" w:rsidRPr="005136D8" w:rsidRDefault="005136D8" w:rsidP="00ED639F">
            <w:pPr>
              <w:rPr>
                <w:rFonts w:cs="Arial"/>
              </w:rPr>
            </w:pPr>
            <w:r w:rsidRPr="005136D8">
              <w:rPr>
                <w:rFonts w:cs="Arial"/>
                <w:spacing w:val="-2"/>
              </w:rPr>
              <w:t>Cwmtawe</w:t>
            </w:r>
          </w:p>
        </w:tc>
        <w:tc>
          <w:tcPr>
            <w:tcW w:w="1560" w:type="dxa"/>
            <w:tcBorders>
              <w:top w:val="single" w:sz="4" w:space="0" w:color="auto"/>
              <w:left w:val="single" w:sz="4" w:space="0" w:color="auto"/>
              <w:bottom w:val="single" w:sz="4" w:space="0" w:color="auto"/>
              <w:right w:val="single" w:sz="4" w:space="0" w:color="auto"/>
            </w:tcBorders>
            <w:hideMark/>
          </w:tcPr>
          <w:p w14:paraId="73F12BF8" w14:textId="77777777" w:rsidR="005136D8" w:rsidRPr="005136D8" w:rsidRDefault="005136D8" w:rsidP="00ED639F">
            <w:pPr>
              <w:jc w:val="center"/>
              <w:rPr>
                <w:rFonts w:cs="Arial"/>
              </w:rPr>
            </w:pPr>
            <w:r w:rsidRPr="005136D8">
              <w:rPr>
                <w:rFonts w:cs="Arial"/>
              </w:rPr>
              <w:t>9</w:t>
            </w:r>
          </w:p>
        </w:tc>
        <w:tc>
          <w:tcPr>
            <w:tcW w:w="1984" w:type="dxa"/>
            <w:tcBorders>
              <w:top w:val="single" w:sz="4" w:space="0" w:color="auto"/>
              <w:left w:val="single" w:sz="4" w:space="0" w:color="auto"/>
              <w:bottom w:val="single" w:sz="4" w:space="0" w:color="auto"/>
              <w:right w:val="single" w:sz="4" w:space="0" w:color="auto"/>
            </w:tcBorders>
            <w:hideMark/>
          </w:tcPr>
          <w:p w14:paraId="0630C0D5" w14:textId="77777777" w:rsidR="005136D8" w:rsidRPr="005136D8" w:rsidRDefault="005136D8" w:rsidP="00ED639F">
            <w:pPr>
              <w:jc w:val="center"/>
              <w:rPr>
                <w:rFonts w:cs="Arial"/>
              </w:rPr>
            </w:pPr>
            <w:r w:rsidRPr="005136D8">
              <w:rPr>
                <w:rFonts w:cs="Arial"/>
              </w:rPr>
              <w:t>9</w:t>
            </w:r>
          </w:p>
        </w:tc>
        <w:tc>
          <w:tcPr>
            <w:tcW w:w="1803" w:type="dxa"/>
            <w:tcBorders>
              <w:top w:val="single" w:sz="4" w:space="0" w:color="auto"/>
              <w:left w:val="single" w:sz="4" w:space="0" w:color="auto"/>
              <w:bottom w:val="single" w:sz="4" w:space="0" w:color="auto"/>
              <w:right w:val="single" w:sz="4" w:space="0" w:color="auto"/>
            </w:tcBorders>
            <w:hideMark/>
          </w:tcPr>
          <w:p w14:paraId="1762690C" w14:textId="77777777" w:rsidR="005136D8" w:rsidRPr="005136D8" w:rsidRDefault="005136D8" w:rsidP="00ED639F">
            <w:pPr>
              <w:jc w:val="center"/>
              <w:rPr>
                <w:rFonts w:cs="Arial"/>
              </w:rPr>
            </w:pPr>
            <w:r w:rsidRPr="005136D8">
              <w:rPr>
                <w:rFonts w:cs="Arial"/>
              </w:rPr>
              <w:t>-</w:t>
            </w:r>
          </w:p>
        </w:tc>
        <w:tc>
          <w:tcPr>
            <w:tcW w:w="2024" w:type="dxa"/>
            <w:tcBorders>
              <w:top w:val="single" w:sz="4" w:space="0" w:color="auto"/>
              <w:left w:val="single" w:sz="4" w:space="0" w:color="auto"/>
              <w:bottom w:val="single" w:sz="4" w:space="0" w:color="auto"/>
              <w:right w:val="single" w:sz="4" w:space="0" w:color="auto"/>
            </w:tcBorders>
            <w:hideMark/>
          </w:tcPr>
          <w:p w14:paraId="3564B7A5" w14:textId="77777777" w:rsidR="005136D8" w:rsidRPr="005136D8" w:rsidRDefault="005136D8" w:rsidP="00ED639F">
            <w:pPr>
              <w:jc w:val="center"/>
              <w:rPr>
                <w:rFonts w:cs="Arial"/>
              </w:rPr>
            </w:pPr>
            <w:r w:rsidRPr="005136D8">
              <w:rPr>
                <w:rFonts w:cs="Arial"/>
              </w:rPr>
              <w:t>-</w:t>
            </w:r>
          </w:p>
        </w:tc>
      </w:tr>
      <w:tr w:rsidR="005136D8" w:rsidRPr="005136D8" w14:paraId="136E48AA" w14:textId="77777777" w:rsidTr="005136D8">
        <w:tc>
          <w:tcPr>
            <w:tcW w:w="1696" w:type="dxa"/>
            <w:tcBorders>
              <w:top w:val="single" w:sz="4" w:space="0" w:color="auto"/>
              <w:left w:val="single" w:sz="4" w:space="0" w:color="auto"/>
              <w:bottom w:val="single" w:sz="4" w:space="0" w:color="auto"/>
              <w:right w:val="single" w:sz="4" w:space="0" w:color="auto"/>
            </w:tcBorders>
            <w:hideMark/>
          </w:tcPr>
          <w:p w14:paraId="583FC974" w14:textId="77777777" w:rsidR="005136D8" w:rsidRPr="005136D8" w:rsidRDefault="005136D8" w:rsidP="00ED639F">
            <w:pPr>
              <w:rPr>
                <w:rFonts w:cs="Arial"/>
              </w:rPr>
            </w:pPr>
            <w:r w:rsidRPr="005136D8">
              <w:rPr>
                <w:rFonts w:cs="Arial"/>
                <w:spacing w:val="-2"/>
              </w:rPr>
              <w:t>Llwchwr</w:t>
            </w:r>
          </w:p>
        </w:tc>
        <w:tc>
          <w:tcPr>
            <w:tcW w:w="1560" w:type="dxa"/>
            <w:tcBorders>
              <w:top w:val="single" w:sz="4" w:space="0" w:color="auto"/>
              <w:left w:val="single" w:sz="4" w:space="0" w:color="auto"/>
              <w:bottom w:val="single" w:sz="4" w:space="0" w:color="auto"/>
              <w:right w:val="single" w:sz="4" w:space="0" w:color="auto"/>
            </w:tcBorders>
            <w:hideMark/>
          </w:tcPr>
          <w:p w14:paraId="222046AD" w14:textId="77777777" w:rsidR="005136D8" w:rsidRPr="005136D8" w:rsidRDefault="005136D8" w:rsidP="00ED639F">
            <w:pPr>
              <w:jc w:val="center"/>
              <w:rPr>
                <w:rFonts w:cs="Arial"/>
              </w:rPr>
            </w:pPr>
            <w:r w:rsidRPr="005136D8">
              <w:rPr>
                <w:rFonts w:cs="Arial"/>
              </w:rPr>
              <w:t>9</w:t>
            </w:r>
          </w:p>
        </w:tc>
        <w:tc>
          <w:tcPr>
            <w:tcW w:w="1984" w:type="dxa"/>
            <w:tcBorders>
              <w:top w:val="single" w:sz="4" w:space="0" w:color="auto"/>
              <w:left w:val="single" w:sz="4" w:space="0" w:color="auto"/>
              <w:bottom w:val="single" w:sz="4" w:space="0" w:color="auto"/>
              <w:right w:val="single" w:sz="4" w:space="0" w:color="auto"/>
            </w:tcBorders>
            <w:hideMark/>
          </w:tcPr>
          <w:p w14:paraId="4B442507" w14:textId="77777777" w:rsidR="005136D8" w:rsidRPr="005136D8" w:rsidRDefault="005136D8" w:rsidP="00ED639F">
            <w:pPr>
              <w:jc w:val="center"/>
              <w:rPr>
                <w:rFonts w:cs="Arial"/>
              </w:rPr>
            </w:pPr>
            <w:r w:rsidRPr="005136D8">
              <w:rPr>
                <w:rFonts w:cs="Arial"/>
              </w:rPr>
              <w:t>9</w:t>
            </w:r>
          </w:p>
        </w:tc>
        <w:tc>
          <w:tcPr>
            <w:tcW w:w="1803" w:type="dxa"/>
            <w:tcBorders>
              <w:top w:val="single" w:sz="4" w:space="0" w:color="auto"/>
              <w:left w:val="single" w:sz="4" w:space="0" w:color="auto"/>
              <w:bottom w:val="single" w:sz="4" w:space="0" w:color="auto"/>
              <w:right w:val="single" w:sz="4" w:space="0" w:color="auto"/>
            </w:tcBorders>
            <w:hideMark/>
          </w:tcPr>
          <w:p w14:paraId="104D50A4" w14:textId="77777777" w:rsidR="005136D8" w:rsidRPr="005136D8" w:rsidRDefault="005136D8" w:rsidP="00ED639F">
            <w:pPr>
              <w:jc w:val="center"/>
              <w:rPr>
                <w:rFonts w:cs="Arial"/>
              </w:rPr>
            </w:pPr>
            <w:r w:rsidRPr="005136D8">
              <w:rPr>
                <w:rFonts w:cs="Arial"/>
              </w:rPr>
              <w:t>-</w:t>
            </w:r>
          </w:p>
        </w:tc>
        <w:tc>
          <w:tcPr>
            <w:tcW w:w="2024" w:type="dxa"/>
            <w:tcBorders>
              <w:top w:val="single" w:sz="4" w:space="0" w:color="auto"/>
              <w:left w:val="single" w:sz="4" w:space="0" w:color="auto"/>
              <w:bottom w:val="single" w:sz="4" w:space="0" w:color="auto"/>
              <w:right w:val="single" w:sz="4" w:space="0" w:color="auto"/>
            </w:tcBorders>
            <w:hideMark/>
          </w:tcPr>
          <w:p w14:paraId="011B67EB" w14:textId="77777777" w:rsidR="005136D8" w:rsidRPr="005136D8" w:rsidRDefault="005136D8" w:rsidP="00ED639F">
            <w:pPr>
              <w:jc w:val="center"/>
              <w:rPr>
                <w:rFonts w:cs="Arial"/>
              </w:rPr>
            </w:pPr>
            <w:r w:rsidRPr="005136D8">
              <w:rPr>
                <w:rFonts w:cs="Arial"/>
              </w:rPr>
              <w:t>-</w:t>
            </w:r>
          </w:p>
        </w:tc>
      </w:tr>
      <w:tr w:rsidR="005136D8" w:rsidRPr="005136D8" w14:paraId="1843C26F" w14:textId="77777777" w:rsidTr="005136D8">
        <w:tc>
          <w:tcPr>
            <w:tcW w:w="1696" w:type="dxa"/>
            <w:tcBorders>
              <w:top w:val="single" w:sz="4" w:space="0" w:color="auto"/>
              <w:left w:val="single" w:sz="4" w:space="0" w:color="auto"/>
              <w:bottom w:val="single" w:sz="4" w:space="0" w:color="auto"/>
              <w:right w:val="single" w:sz="4" w:space="0" w:color="auto"/>
            </w:tcBorders>
            <w:hideMark/>
          </w:tcPr>
          <w:p w14:paraId="08E64E45" w14:textId="77777777" w:rsidR="005136D8" w:rsidRPr="005136D8" w:rsidRDefault="005136D8" w:rsidP="00ED639F">
            <w:pPr>
              <w:rPr>
                <w:rFonts w:cs="Arial"/>
              </w:rPr>
            </w:pPr>
            <w:r w:rsidRPr="005136D8">
              <w:rPr>
                <w:rFonts w:cs="Arial"/>
                <w:spacing w:val="-2"/>
              </w:rPr>
              <w:t>Penderi</w:t>
            </w:r>
          </w:p>
        </w:tc>
        <w:tc>
          <w:tcPr>
            <w:tcW w:w="1560" w:type="dxa"/>
            <w:tcBorders>
              <w:top w:val="single" w:sz="4" w:space="0" w:color="auto"/>
              <w:left w:val="single" w:sz="4" w:space="0" w:color="auto"/>
              <w:bottom w:val="single" w:sz="4" w:space="0" w:color="auto"/>
              <w:right w:val="single" w:sz="4" w:space="0" w:color="auto"/>
            </w:tcBorders>
            <w:hideMark/>
          </w:tcPr>
          <w:p w14:paraId="06556800" w14:textId="77777777" w:rsidR="005136D8" w:rsidRPr="005136D8" w:rsidRDefault="005136D8" w:rsidP="00ED639F">
            <w:pPr>
              <w:jc w:val="center"/>
              <w:rPr>
                <w:rFonts w:cs="Arial"/>
              </w:rPr>
            </w:pPr>
            <w:r w:rsidRPr="005136D8">
              <w:rPr>
                <w:rFonts w:cs="Arial"/>
              </w:rPr>
              <w:t>9</w:t>
            </w:r>
          </w:p>
        </w:tc>
        <w:tc>
          <w:tcPr>
            <w:tcW w:w="1984" w:type="dxa"/>
            <w:tcBorders>
              <w:top w:val="single" w:sz="4" w:space="0" w:color="auto"/>
              <w:left w:val="single" w:sz="4" w:space="0" w:color="auto"/>
              <w:bottom w:val="single" w:sz="4" w:space="0" w:color="auto"/>
              <w:right w:val="single" w:sz="4" w:space="0" w:color="auto"/>
            </w:tcBorders>
            <w:hideMark/>
          </w:tcPr>
          <w:p w14:paraId="1583894E" w14:textId="77777777" w:rsidR="005136D8" w:rsidRPr="005136D8" w:rsidRDefault="005136D8" w:rsidP="00ED639F">
            <w:pPr>
              <w:jc w:val="center"/>
              <w:rPr>
                <w:rFonts w:cs="Arial"/>
              </w:rPr>
            </w:pPr>
            <w:r w:rsidRPr="005136D8">
              <w:rPr>
                <w:rFonts w:cs="Arial"/>
              </w:rPr>
              <w:t>9</w:t>
            </w:r>
          </w:p>
        </w:tc>
        <w:tc>
          <w:tcPr>
            <w:tcW w:w="1803" w:type="dxa"/>
            <w:tcBorders>
              <w:top w:val="single" w:sz="4" w:space="0" w:color="auto"/>
              <w:left w:val="single" w:sz="4" w:space="0" w:color="auto"/>
              <w:bottom w:val="single" w:sz="4" w:space="0" w:color="auto"/>
              <w:right w:val="single" w:sz="4" w:space="0" w:color="auto"/>
            </w:tcBorders>
            <w:hideMark/>
          </w:tcPr>
          <w:p w14:paraId="72372121" w14:textId="77777777" w:rsidR="005136D8" w:rsidRPr="005136D8" w:rsidRDefault="005136D8" w:rsidP="00ED639F">
            <w:pPr>
              <w:jc w:val="center"/>
              <w:rPr>
                <w:rFonts w:cs="Arial"/>
              </w:rPr>
            </w:pPr>
            <w:r w:rsidRPr="005136D8">
              <w:rPr>
                <w:rFonts w:cs="Arial"/>
              </w:rPr>
              <w:t>-</w:t>
            </w:r>
          </w:p>
        </w:tc>
        <w:tc>
          <w:tcPr>
            <w:tcW w:w="2024" w:type="dxa"/>
            <w:tcBorders>
              <w:top w:val="single" w:sz="4" w:space="0" w:color="auto"/>
              <w:left w:val="single" w:sz="4" w:space="0" w:color="auto"/>
              <w:bottom w:val="single" w:sz="4" w:space="0" w:color="auto"/>
              <w:right w:val="single" w:sz="4" w:space="0" w:color="auto"/>
            </w:tcBorders>
            <w:hideMark/>
          </w:tcPr>
          <w:p w14:paraId="47FEE27D" w14:textId="77777777" w:rsidR="005136D8" w:rsidRPr="005136D8" w:rsidRDefault="005136D8" w:rsidP="00ED639F">
            <w:pPr>
              <w:jc w:val="center"/>
              <w:rPr>
                <w:rFonts w:cs="Arial"/>
              </w:rPr>
            </w:pPr>
            <w:r w:rsidRPr="005136D8">
              <w:rPr>
                <w:rFonts w:cs="Arial"/>
              </w:rPr>
              <w:t>-</w:t>
            </w:r>
          </w:p>
        </w:tc>
      </w:tr>
      <w:tr w:rsidR="005136D8" w:rsidRPr="005136D8" w14:paraId="2D1F9D3E" w14:textId="77777777" w:rsidTr="005136D8">
        <w:tc>
          <w:tcPr>
            <w:tcW w:w="1696" w:type="dxa"/>
            <w:tcBorders>
              <w:top w:val="single" w:sz="4" w:space="0" w:color="auto"/>
              <w:left w:val="single" w:sz="4" w:space="0" w:color="auto"/>
              <w:bottom w:val="single" w:sz="4" w:space="0" w:color="auto"/>
              <w:right w:val="single" w:sz="4" w:space="0" w:color="auto"/>
            </w:tcBorders>
            <w:hideMark/>
          </w:tcPr>
          <w:p w14:paraId="7A86DAD0" w14:textId="77777777" w:rsidR="005136D8" w:rsidRPr="005136D8" w:rsidRDefault="005136D8" w:rsidP="00ED639F">
            <w:pPr>
              <w:rPr>
                <w:rFonts w:cs="Arial"/>
              </w:rPr>
            </w:pPr>
            <w:r w:rsidRPr="005136D8">
              <w:rPr>
                <w:rFonts w:cs="Arial"/>
                <w:spacing w:val="-4"/>
              </w:rPr>
              <w:t>Afan</w:t>
            </w:r>
          </w:p>
        </w:tc>
        <w:tc>
          <w:tcPr>
            <w:tcW w:w="1560" w:type="dxa"/>
            <w:tcBorders>
              <w:top w:val="single" w:sz="4" w:space="0" w:color="auto"/>
              <w:left w:val="single" w:sz="4" w:space="0" w:color="auto"/>
              <w:bottom w:val="single" w:sz="4" w:space="0" w:color="auto"/>
              <w:right w:val="single" w:sz="4" w:space="0" w:color="auto"/>
            </w:tcBorders>
            <w:hideMark/>
          </w:tcPr>
          <w:p w14:paraId="22854A23" w14:textId="77777777" w:rsidR="005136D8" w:rsidRPr="005136D8" w:rsidRDefault="005136D8" w:rsidP="00ED639F">
            <w:pPr>
              <w:jc w:val="center"/>
              <w:rPr>
                <w:rFonts w:cs="Arial"/>
              </w:rPr>
            </w:pPr>
            <w:r w:rsidRPr="005136D8">
              <w:rPr>
                <w:rFonts w:cs="Arial"/>
              </w:rPr>
              <w:t>13</w:t>
            </w:r>
          </w:p>
        </w:tc>
        <w:tc>
          <w:tcPr>
            <w:tcW w:w="1984" w:type="dxa"/>
            <w:tcBorders>
              <w:top w:val="single" w:sz="4" w:space="0" w:color="auto"/>
              <w:left w:val="single" w:sz="4" w:space="0" w:color="auto"/>
              <w:bottom w:val="single" w:sz="4" w:space="0" w:color="auto"/>
              <w:right w:val="single" w:sz="4" w:space="0" w:color="auto"/>
            </w:tcBorders>
            <w:hideMark/>
          </w:tcPr>
          <w:p w14:paraId="6E79DBD5" w14:textId="77777777" w:rsidR="005136D8" w:rsidRPr="005136D8" w:rsidRDefault="005136D8" w:rsidP="00ED639F">
            <w:pPr>
              <w:jc w:val="center"/>
              <w:rPr>
                <w:rFonts w:cs="Arial"/>
              </w:rPr>
            </w:pPr>
            <w:r w:rsidRPr="005136D8">
              <w:rPr>
                <w:rFonts w:cs="Arial"/>
              </w:rPr>
              <w:t>11</w:t>
            </w:r>
          </w:p>
        </w:tc>
        <w:tc>
          <w:tcPr>
            <w:tcW w:w="1803" w:type="dxa"/>
            <w:tcBorders>
              <w:top w:val="single" w:sz="4" w:space="0" w:color="auto"/>
              <w:left w:val="single" w:sz="4" w:space="0" w:color="auto"/>
              <w:bottom w:val="single" w:sz="4" w:space="0" w:color="auto"/>
              <w:right w:val="single" w:sz="4" w:space="0" w:color="auto"/>
            </w:tcBorders>
            <w:hideMark/>
          </w:tcPr>
          <w:p w14:paraId="53F36048" w14:textId="77777777" w:rsidR="005136D8" w:rsidRPr="005136D8" w:rsidRDefault="005136D8" w:rsidP="00ED639F">
            <w:pPr>
              <w:jc w:val="center"/>
              <w:rPr>
                <w:rFonts w:cs="Arial"/>
              </w:rPr>
            </w:pPr>
            <w:r w:rsidRPr="005136D8">
              <w:rPr>
                <w:rFonts w:cs="Arial"/>
              </w:rPr>
              <w:t>-</w:t>
            </w:r>
          </w:p>
        </w:tc>
        <w:tc>
          <w:tcPr>
            <w:tcW w:w="2024" w:type="dxa"/>
            <w:tcBorders>
              <w:top w:val="single" w:sz="4" w:space="0" w:color="auto"/>
              <w:left w:val="single" w:sz="4" w:space="0" w:color="auto"/>
              <w:bottom w:val="single" w:sz="4" w:space="0" w:color="auto"/>
              <w:right w:val="single" w:sz="4" w:space="0" w:color="auto"/>
            </w:tcBorders>
            <w:hideMark/>
          </w:tcPr>
          <w:p w14:paraId="3AC18532" w14:textId="77777777" w:rsidR="005136D8" w:rsidRPr="005136D8" w:rsidRDefault="005136D8" w:rsidP="00ED639F">
            <w:pPr>
              <w:jc w:val="center"/>
              <w:rPr>
                <w:rFonts w:cs="Arial"/>
              </w:rPr>
            </w:pPr>
            <w:r w:rsidRPr="005136D8">
              <w:rPr>
                <w:rFonts w:cs="Arial"/>
              </w:rPr>
              <w:t>2</w:t>
            </w:r>
          </w:p>
        </w:tc>
      </w:tr>
      <w:tr w:rsidR="005136D8" w:rsidRPr="005136D8" w14:paraId="6B068117" w14:textId="77777777" w:rsidTr="005136D8">
        <w:tc>
          <w:tcPr>
            <w:tcW w:w="1696" w:type="dxa"/>
            <w:tcBorders>
              <w:top w:val="single" w:sz="4" w:space="0" w:color="auto"/>
              <w:left w:val="single" w:sz="4" w:space="0" w:color="auto"/>
              <w:bottom w:val="single" w:sz="4" w:space="0" w:color="auto"/>
              <w:right w:val="single" w:sz="4" w:space="0" w:color="auto"/>
            </w:tcBorders>
            <w:hideMark/>
          </w:tcPr>
          <w:p w14:paraId="30E01157" w14:textId="77777777" w:rsidR="005136D8" w:rsidRPr="005136D8" w:rsidRDefault="005136D8" w:rsidP="00ED639F">
            <w:pPr>
              <w:rPr>
                <w:rFonts w:cs="Arial"/>
              </w:rPr>
            </w:pPr>
            <w:r w:rsidRPr="005136D8">
              <w:rPr>
                <w:rFonts w:cs="Arial"/>
                <w:spacing w:val="-4"/>
              </w:rPr>
              <w:t>Neath</w:t>
            </w:r>
          </w:p>
        </w:tc>
        <w:tc>
          <w:tcPr>
            <w:tcW w:w="1560" w:type="dxa"/>
            <w:tcBorders>
              <w:top w:val="single" w:sz="4" w:space="0" w:color="auto"/>
              <w:left w:val="single" w:sz="4" w:space="0" w:color="auto"/>
              <w:bottom w:val="single" w:sz="4" w:space="0" w:color="auto"/>
              <w:right w:val="single" w:sz="4" w:space="0" w:color="auto"/>
            </w:tcBorders>
            <w:hideMark/>
          </w:tcPr>
          <w:p w14:paraId="1F060AD4" w14:textId="77777777" w:rsidR="005136D8" w:rsidRPr="005136D8" w:rsidRDefault="005136D8" w:rsidP="00ED639F">
            <w:pPr>
              <w:jc w:val="center"/>
              <w:rPr>
                <w:rFonts w:cs="Arial"/>
              </w:rPr>
            </w:pPr>
            <w:r w:rsidRPr="005136D8">
              <w:rPr>
                <w:rFonts w:cs="Arial"/>
              </w:rPr>
              <w:t>10</w:t>
            </w:r>
          </w:p>
        </w:tc>
        <w:tc>
          <w:tcPr>
            <w:tcW w:w="1984" w:type="dxa"/>
            <w:tcBorders>
              <w:top w:val="single" w:sz="4" w:space="0" w:color="auto"/>
              <w:left w:val="single" w:sz="4" w:space="0" w:color="auto"/>
              <w:bottom w:val="single" w:sz="4" w:space="0" w:color="auto"/>
              <w:right w:val="single" w:sz="4" w:space="0" w:color="auto"/>
            </w:tcBorders>
            <w:hideMark/>
          </w:tcPr>
          <w:p w14:paraId="45DA20C9" w14:textId="77777777" w:rsidR="005136D8" w:rsidRPr="005136D8" w:rsidRDefault="005136D8" w:rsidP="00ED639F">
            <w:pPr>
              <w:jc w:val="center"/>
              <w:rPr>
                <w:rFonts w:cs="Arial"/>
              </w:rPr>
            </w:pPr>
            <w:r w:rsidRPr="005136D8">
              <w:rPr>
                <w:rFonts w:cs="Arial"/>
              </w:rPr>
              <w:t>10</w:t>
            </w:r>
          </w:p>
        </w:tc>
        <w:tc>
          <w:tcPr>
            <w:tcW w:w="1803" w:type="dxa"/>
            <w:tcBorders>
              <w:top w:val="single" w:sz="4" w:space="0" w:color="auto"/>
              <w:left w:val="single" w:sz="4" w:space="0" w:color="auto"/>
              <w:bottom w:val="single" w:sz="4" w:space="0" w:color="auto"/>
              <w:right w:val="single" w:sz="4" w:space="0" w:color="auto"/>
            </w:tcBorders>
            <w:hideMark/>
          </w:tcPr>
          <w:p w14:paraId="5C289A95" w14:textId="77777777" w:rsidR="005136D8" w:rsidRPr="005136D8" w:rsidRDefault="005136D8" w:rsidP="00ED639F">
            <w:pPr>
              <w:jc w:val="center"/>
              <w:rPr>
                <w:rFonts w:cs="Arial"/>
              </w:rPr>
            </w:pPr>
            <w:r w:rsidRPr="005136D8">
              <w:rPr>
                <w:rFonts w:cs="Arial"/>
              </w:rPr>
              <w:t>-</w:t>
            </w:r>
          </w:p>
        </w:tc>
        <w:tc>
          <w:tcPr>
            <w:tcW w:w="2024" w:type="dxa"/>
            <w:tcBorders>
              <w:top w:val="single" w:sz="4" w:space="0" w:color="auto"/>
              <w:left w:val="single" w:sz="4" w:space="0" w:color="auto"/>
              <w:bottom w:val="single" w:sz="4" w:space="0" w:color="auto"/>
              <w:right w:val="single" w:sz="4" w:space="0" w:color="auto"/>
            </w:tcBorders>
            <w:hideMark/>
          </w:tcPr>
          <w:p w14:paraId="1CBF1E9F" w14:textId="77777777" w:rsidR="005136D8" w:rsidRPr="005136D8" w:rsidRDefault="005136D8" w:rsidP="00ED639F">
            <w:pPr>
              <w:jc w:val="center"/>
              <w:rPr>
                <w:rFonts w:cs="Arial"/>
              </w:rPr>
            </w:pPr>
            <w:r w:rsidRPr="005136D8">
              <w:rPr>
                <w:rFonts w:cs="Arial"/>
              </w:rPr>
              <w:t>-</w:t>
            </w:r>
          </w:p>
        </w:tc>
      </w:tr>
      <w:tr w:rsidR="005136D8" w:rsidRPr="005136D8" w14:paraId="1594BD99" w14:textId="77777777" w:rsidTr="005136D8">
        <w:tc>
          <w:tcPr>
            <w:tcW w:w="1696" w:type="dxa"/>
            <w:tcBorders>
              <w:top w:val="single" w:sz="4" w:space="0" w:color="auto"/>
              <w:left w:val="single" w:sz="4" w:space="0" w:color="auto"/>
              <w:bottom w:val="single" w:sz="4" w:space="0" w:color="auto"/>
              <w:right w:val="single" w:sz="4" w:space="0" w:color="auto"/>
            </w:tcBorders>
            <w:hideMark/>
          </w:tcPr>
          <w:p w14:paraId="73934C8F" w14:textId="77777777" w:rsidR="005136D8" w:rsidRPr="005136D8" w:rsidRDefault="005136D8" w:rsidP="00ED639F">
            <w:pPr>
              <w:rPr>
                <w:rFonts w:cs="Arial"/>
              </w:rPr>
            </w:pPr>
            <w:r w:rsidRPr="005136D8">
              <w:rPr>
                <w:rFonts w:cs="Arial"/>
                <w:spacing w:val="-4"/>
              </w:rPr>
              <w:t>Upper Valleys</w:t>
            </w:r>
          </w:p>
        </w:tc>
        <w:tc>
          <w:tcPr>
            <w:tcW w:w="1560" w:type="dxa"/>
            <w:tcBorders>
              <w:top w:val="single" w:sz="4" w:space="0" w:color="auto"/>
              <w:left w:val="single" w:sz="4" w:space="0" w:color="auto"/>
              <w:bottom w:val="single" w:sz="4" w:space="0" w:color="auto"/>
              <w:right w:val="single" w:sz="4" w:space="0" w:color="auto"/>
            </w:tcBorders>
            <w:hideMark/>
          </w:tcPr>
          <w:p w14:paraId="74ECF7DE" w14:textId="77777777" w:rsidR="005136D8" w:rsidRPr="005136D8" w:rsidRDefault="005136D8" w:rsidP="00ED639F">
            <w:pPr>
              <w:jc w:val="center"/>
              <w:rPr>
                <w:rFonts w:cs="Arial"/>
              </w:rPr>
            </w:pPr>
            <w:r w:rsidRPr="005136D8">
              <w:rPr>
                <w:rFonts w:cs="Arial"/>
              </w:rPr>
              <w:t>10</w:t>
            </w:r>
          </w:p>
        </w:tc>
        <w:tc>
          <w:tcPr>
            <w:tcW w:w="1984" w:type="dxa"/>
            <w:tcBorders>
              <w:top w:val="single" w:sz="4" w:space="0" w:color="auto"/>
              <w:left w:val="single" w:sz="4" w:space="0" w:color="auto"/>
              <w:bottom w:val="single" w:sz="4" w:space="0" w:color="auto"/>
              <w:right w:val="single" w:sz="4" w:space="0" w:color="auto"/>
            </w:tcBorders>
            <w:hideMark/>
          </w:tcPr>
          <w:p w14:paraId="41EDEB78" w14:textId="77777777" w:rsidR="005136D8" w:rsidRPr="005136D8" w:rsidRDefault="005136D8" w:rsidP="00ED639F">
            <w:pPr>
              <w:jc w:val="center"/>
              <w:rPr>
                <w:rFonts w:cs="Arial"/>
              </w:rPr>
            </w:pPr>
            <w:r w:rsidRPr="005136D8">
              <w:rPr>
                <w:rFonts w:cs="Arial"/>
              </w:rPr>
              <w:t>7</w:t>
            </w:r>
          </w:p>
        </w:tc>
        <w:tc>
          <w:tcPr>
            <w:tcW w:w="1803" w:type="dxa"/>
            <w:tcBorders>
              <w:top w:val="single" w:sz="4" w:space="0" w:color="auto"/>
              <w:left w:val="single" w:sz="4" w:space="0" w:color="auto"/>
              <w:bottom w:val="single" w:sz="4" w:space="0" w:color="auto"/>
              <w:right w:val="single" w:sz="4" w:space="0" w:color="auto"/>
            </w:tcBorders>
            <w:hideMark/>
          </w:tcPr>
          <w:p w14:paraId="5F6F431E" w14:textId="77777777" w:rsidR="005136D8" w:rsidRPr="005136D8" w:rsidRDefault="005136D8" w:rsidP="00ED639F">
            <w:pPr>
              <w:jc w:val="center"/>
              <w:rPr>
                <w:rFonts w:cs="Arial"/>
              </w:rPr>
            </w:pPr>
            <w:r w:rsidRPr="005136D8">
              <w:rPr>
                <w:rFonts w:cs="Arial"/>
              </w:rPr>
              <w:t>1</w:t>
            </w:r>
          </w:p>
        </w:tc>
        <w:tc>
          <w:tcPr>
            <w:tcW w:w="2024" w:type="dxa"/>
            <w:tcBorders>
              <w:top w:val="single" w:sz="4" w:space="0" w:color="auto"/>
              <w:left w:val="single" w:sz="4" w:space="0" w:color="auto"/>
              <w:bottom w:val="single" w:sz="4" w:space="0" w:color="auto"/>
              <w:right w:val="single" w:sz="4" w:space="0" w:color="auto"/>
            </w:tcBorders>
            <w:hideMark/>
          </w:tcPr>
          <w:p w14:paraId="4A6EBEA6" w14:textId="77777777" w:rsidR="005136D8" w:rsidRPr="005136D8" w:rsidRDefault="005136D8" w:rsidP="00ED639F">
            <w:pPr>
              <w:jc w:val="center"/>
              <w:rPr>
                <w:rFonts w:cs="Arial"/>
              </w:rPr>
            </w:pPr>
            <w:r w:rsidRPr="005136D8">
              <w:rPr>
                <w:rFonts w:cs="Arial"/>
              </w:rPr>
              <w:t>2</w:t>
            </w:r>
          </w:p>
        </w:tc>
      </w:tr>
    </w:tbl>
    <w:p w14:paraId="063A6184" w14:textId="77777777" w:rsidR="005136D8" w:rsidRPr="005136D8" w:rsidRDefault="005136D8" w:rsidP="00ED639F">
      <w:pPr>
        <w:rPr>
          <w:rFonts w:eastAsia="Aptos" w:cs="Arial"/>
        </w:rPr>
      </w:pPr>
    </w:p>
    <w:p w14:paraId="08BBAAA5" w14:textId="77777777" w:rsidR="005136D8" w:rsidRPr="005136D8" w:rsidRDefault="005136D8" w:rsidP="00ED639F">
      <w:pPr>
        <w:rPr>
          <w:rFonts w:eastAsia="Aptos" w:cs="Arial"/>
        </w:rPr>
      </w:pPr>
      <w:r w:rsidRPr="005136D8">
        <w:rPr>
          <w:rFonts w:eastAsia="Aptos" w:cs="Arial"/>
        </w:rPr>
        <w:t>35.3% of people who responded to the public engagement questionnaire said they did not have a preferred time when they visit a pharmacy. 25.2% said 9.00am to 12 noon, and 15.9% said 2.00pm to 6.00pm. 47.1% of people said they do not have preferred day whilst 26.1% said weekdays in general.</w:t>
      </w:r>
    </w:p>
    <w:p w14:paraId="228E3D6E" w14:textId="77777777" w:rsidR="005136D8" w:rsidRPr="005136D8" w:rsidRDefault="005136D8" w:rsidP="00ED639F">
      <w:pPr>
        <w:rPr>
          <w:rFonts w:eastAsia="Aptos" w:cs="Arial"/>
        </w:rPr>
      </w:pPr>
    </w:p>
    <w:p w14:paraId="45D7755C" w14:textId="77777777" w:rsidR="005136D8" w:rsidRPr="005136D8" w:rsidRDefault="005136D8" w:rsidP="00ED639F">
      <w:pPr>
        <w:rPr>
          <w:rFonts w:eastAsia="Aptos" w:cs="Arial"/>
        </w:rPr>
      </w:pPr>
      <w:r w:rsidRPr="005136D8">
        <w:rPr>
          <w:rFonts w:eastAsia="Aptos" w:cs="Arial"/>
        </w:rPr>
        <w:t>80 of the 90 pharmacies in the health board meet the working hours criteria of being open weekdays from 9.00am - 5.30pm.</w:t>
      </w:r>
    </w:p>
    <w:p w14:paraId="75BE2070" w14:textId="77777777" w:rsidR="005136D8" w:rsidRPr="005136D8" w:rsidRDefault="005136D8" w:rsidP="00ED639F">
      <w:pPr>
        <w:rPr>
          <w:rFonts w:eastAsia="Aptos" w:cs="Arial"/>
        </w:rPr>
      </w:pPr>
      <w:r w:rsidRPr="005136D8">
        <w:rPr>
          <w:rFonts w:eastAsia="Aptos" w:cs="Arial"/>
        </w:rPr>
        <w:t>The health board has concluded that there are no current needs for the provision of essential services during normal working hours, Monday to Friday.</w:t>
      </w:r>
    </w:p>
    <w:p w14:paraId="19EF569C" w14:textId="77777777" w:rsidR="005136D8" w:rsidRPr="00D0306F" w:rsidRDefault="005136D8" w:rsidP="00ED639F">
      <w:pPr>
        <w:rPr>
          <w:rFonts w:eastAsia="Aptos" w:cs="Arial"/>
        </w:rPr>
      </w:pPr>
    </w:p>
    <w:p w14:paraId="2614B25A" w14:textId="77777777" w:rsidR="00ED639F" w:rsidRPr="005136D8" w:rsidRDefault="00ED639F" w:rsidP="00ED639F">
      <w:pPr>
        <w:rPr>
          <w:rFonts w:eastAsia="Aptos" w:cs="Arial"/>
        </w:rPr>
      </w:pPr>
    </w:p>
    <w:p w14:paraId="0DDA6422" w14:textId="77777777" w:rsidR="005136D8" w:rsidRPr="005136D8" w:rsidRDefault="005136D8" w:rsidP="00ED639F">
      <w:pPr>
        <w:rPr>
          <w:rFonts w:eastAsia="Aptos" w:cs="Arial"/>
          <w:b/>
          <w:bCs/>
        </w:rPr>
      </w:pPr>
      <w:r w:rsidRPr="005136D8">
        <w:rPr>
          <w:rFonts w:eastAsia="Aptos" w:cs="Arial"/>
          <w:b/>
          <w:bCs/>
        </w:rPr>
        <w:lastRenderedPageBreak/>
        <w:t>16.3.1.2 Access to essential services outside normal working hours</w:t>
      </w:r>
    </w:p>
    <w:p w14:paraId="0E402E71" w14:textId="77777777" w:rsidR="005136D8" w:rsidRPr="005136D8" w:rsidRDefault="005136D8" w:rsidP="00ED639F">
      <w:pPr>
        <w:rPr>
          <w:rFonts w:eastAsia="Aptos" w:cs="Arial"/>
        </w:rPr>
      </w:pPr>
    </w:p>
    <w:p w14:paraId="4F426078" w14:textId="77777777" w:rsidR="005136D8" w:rsidRPr="005136D8" w:rsidRDefault="005136D8" w:rsidP="00ED639F">
      <w:pPr>
        <w:rPr>
          <w:rFonts w:eastAsia="Aptos" w:cs="Arial"/>
        </w:rPr>
      </w:pPr>
      <w:r w:rsidRPr="005136D8">
        <w:rPr>
          <w:rFonts w:eastAsia="Aptos" w:cs="Arial"/>
        </w:rPr>
        <w:t>To measure access to essential services outside of the defined normal working hours three separate criteria were applied:</w:t>
      </w:r>
    </w:p>
    <w:p w14:paraId="407BB702" w14:textId="77777777" w:rsidR="005136D8" w:rsidRPr="005136D8" w:rsidRDefault="005136D8" w:rsidP="00ED639F">
      <w:pPr>
        <w:rPr>
          <w:rFonts w:eastAsia="Aptos" w:cs="Arial"/>
        </w:rPr>
      </w:pPr>
    </w:p>
    <w:p w14:paraId="65289247" w14:textId="77777777" w:rsidR="005136D8" w:rsidRPr="005136D8" w:rsidRDefault="005136D8" w:rsidP="00B76905">
      <w:pPr>
        <w:numPr>
          <w:ilvl w:val="0"/>
          <w:numId w:val="209"/>
        </w:numPr>
        <w:contextualSpacing/>
        <w:rPr>
          <w:rFonts w:eastAsia="Aptos" w:cs="Arial"/>
        </w:rPr>
      </w:pPr>
      <w:r w:rsidRPr="005136D8">
        <w:rPr>
          <w:rFonts w:eastAsia="Aptos" w:cs="Arial"/>
        </w:rPr>
        <w:t>Pharmacies open after 5.30pm, Monday to Friday</w:t>
      </w:r>
    </w:p>
    <w:p w14:paraId="6080A3BA" w14:textId="77777777" w:rsidR="005136D8" w:rsidRPr="005136D8" w:rsidRDefault="005136D8" w:rsidP="00B76905">
      <w:pPr>
        <w:numPr>
          <w:ilvl w:val="0"/>
          <w:numId w:val="209"/>
        </w:numPr>
        <w:contextualSpacing/>
        <w:rPr>
          <w:rFonts w:eastAsia="Aptos" w:cs="Arial"/>
        </w:rPr>
      </w:pPr>
      <w:r w:rsidRPr="005136D8">
        <w:rPr>
          <w:rFonts w:eastAsia="Aptos" w:cs="Arial"/>
        </w:rPr>
        <w:t>Pharmacies open on Saturdays</w:t>
      </w:r>
    </w:p>
    <w:p w14:paraId="42161307" w14:textId="77777777" w:rsidR="005136D8" w:rsidRPr="005136D8" w:rsidRDefault="005136D8" w:rsidP="00B76905">
      <w:pPr>
        <w:numPr>
          <w:ilvl w:val="0"/>
          <w:numId w:val="209"/>
        </w:numPr>
        <w:contextualSpacing/>
        <w:rPr>
          <w:rFonts w:eastAsia="Aptos" w:cs="Arial"/>
        </w:rPr>
      </w:pPr>
      <w:r w:rsidRPr="005136D8">
        <w:rPr>
          <w:rFonts w:eastAsia="Aptos" w:cs="Arial"/>
        </w:rPr>
        <w:t>Pharmacies open on Sundays</w:t>
      </w:r>
    </w:p>
    <w:p w14:paraId="63E4C211" w14:textId="77777777" w:rsidR="005136D8" w:rsidRPr="005136D8" w:rsidRDefault="005136D8" w:rsidP="00ED639F">
      <w:pPr>
        <w:rPr>
          <w:rFonts w:eastAsia="Aptos" w:cs="Arial"/>
        </w:rPr>
      </w:pPr>
    </w:p>
    <w:p w14:paraId="59F5EDCD" w14:textId="77777777" w:rsidR="005136D8" w:rsidRPr="005136D8" w:rsidRDefault="005136D8" w:rsidP="00ED639F">
      <w:pPr>
        <w:rPr>
          <w:rFonts w:eastAsia="Aptos" w:cs="Arial"/>
        </w:rPr>
      </w:pPr>
      <w:r w:rsidRPr="005136D8">
        <w:rPr>
          <w:rFonts w:eastAsia="Aptos" w:cs="Arial"/>
          <w:b/>
          <w:bCs/>
        </w:rPr>
        <w:t>Table 16.3: Number of pharmacies open outside of normal working hours, Monday to Friday, by locality</w:t>
      </w:r>
    </w:p>
    <w:p w14:paraId="4AB0B354" w14:textId="77777777" w:rsidR="005136D8" w:rsidRPr="005136D8" w:rsidRDefault="005136D8" w:rsidP="00ED639F">
      <w:pPr>
        <w:rPr>
          <w:rFonts w:eastAsia="Aptos" w:cs="Arial"/>
        </w:rPr>
      </w:pPr>
    </w:p>
    <w:tbl>
      <w:tblPr>
        <w:tblStyle w:val="TableGrid"/>
        <w:tblW w:w="0" w:type="auto"/>
        <w:tblInd w:w="0" w:type="dxa"/>
        <w:tblLook w:val="04A0" w:firstRow="1" w:lastRow="0" w:firstColumn="1" w:lastColumn="0" w:noHBand="0" w:noVBand="1"/>
      </w:tblPr>
      <w:tblGrid>
        <w:gridCol w:w="1803"/>
        <w:gridCol w:w="2161"/>
        <w:gridCol w:w="1985"/>
        <w:gridCol w:w="2241"/>
      </w:tblGrid>
      <w:tr w:rsidR="00ED639F" w:rsidRPr="00D0306F" w14:paraId="43D7450E" w14:textId="77777777" w:rsidTr="005136D8">
        <w:tc>
          <w:tcPr>
            <w:tcW w:w="1803" w:type="dxa"/>
            <w:tcBorders>
              <w:top w:val="single" w:sz="4" w:space="0" w:color="auto"/>
              <w:left w:val="single" w:sz="4" w:space="0" w:color="auto"/>
              <w:bottom w:val="single" w:sz="4" w:space="0" w:color="auto"/>
              <w:right w:val="single" w:sz="4" w:space="0" w:color="auto"/>
            </w:tcBorders>
            <w:shd w:val="clear" w:color="auto" w:fill="153D63"/>
            <w:hideMark/>
          </w:tcPr>
          <w:p w14:paraId="77DC7FE5" w14:textId="77777777" w:rsidR="005136D8" w:rsidRPr="005136D8" w:rsidRDefault="005136D8" w:rsidP="00ED639F">
            <w:pPr>
              <w:rPr>
                <w:rFonts w:cs="Arial"/>
                <w:b/>
                <w:bCs/>
                <w:color w:val="FFFFFF"/>
              </w:rPr>
            </w:pPr>
            <w:r w:rsidRPr="005136D8">
              <w:rPr>
                <w:rFonts w:cs="Arial"/>
                <w:b/>
                <w:bCs/>
                <w:color w:val="FFFFFF"/>
              </w:rPr>
              <w:t>Locality</w:t>
            </w:r>
          </w:p>
        </w:tc>
        <w:tc>
          <w:tcPr>
            <w:tcW w:w="2161" w:type="dxa"/>
            <w:tcBorders>
              <w:top w:val="single" w:sz="4" w:space="0" w:color="auto"/>
              <w:left w:val="single" w:sz="4" w:space="0" w:color="auto"/>
              <w:bottom w:val="single" w:sz="4" w:space="0" w:color="auto"/>
              <w:right w:val="single" w:sz="4" w:space="0" w:color="auto"/>
            </w:tcBorders>
            <w:shd w:val="clear" w:color="auto" w:fill="153D63"/>
            <w:hideMark/>
          </w:tcPr>
          <w:p w14:paraId="612360FC" w14:textId="77777777" w:rsidR="005136D8" w:rsidRPr="005136D8" w:rsidRDefault="005136D8" w:rsidP="00ED639F">
            <w:pPr>
              <w:rPr>
                <w:rFonts w:cs="Arial"/>
                <w:b/>
                <w:bCs/>
                <w:color w:val="FFFFFF"/>
              </w:rPr>
            </w:pPr>
            <w:r w:rsidRPr="005136D8">
              <w:rPr>
                <w:rFonts w:cs="Arial"/>
                <w:b/>
                <w:bCs/>
                <w:color w:val="FFFFFF"/>
              </w:rPr>
              <w:t>Number open until 6.00pm, each weekday</w:t>
            </w:r>
          </w:p>
        </w:tc>
        <w:tc>
          <w:tcPr>
            <w:tcW w:w="1985" w:type="dxa"/>
            <w:tcBorders>
              <w:top w:val="single" w:sz="4" w:space="0" w:color="auto"/>
              <w:left w:val="single" w:sz="4" w:space="0" w:color="auto"/>
              <w:bottom w:val="single" w:sz="4" w:space="0" w:color="auto"/>
              <w:right w:val="single" w:sz="4" w:space="0" w:color="auto"/>
            </w:tcBorders>
            <w:shd w:val="clear" w:color="auto" w:fill="153D63"/>
            <w:hideMark/>
          </w:tcPr>
          <w:p w14:paraId="254C99DC" w14:textId="77777777" w:rsidR="005136D8" w:rsidRPr="005136D8" w:rsidRDefault="005136D8" w:rsidP="00ED639F">
            <w:pPr>
              <w:rPr>
                <w:rFonts w:cs="Arial"/>
                <w:b/>
                <w:bCs/>
                <w:color w:val="FFFFFF"/>
              </w:rPr>
            </w:pPr>
            <w:r w:rsidRPr="005136D8">
              <w:rPr>
                <w:rFonts w:cs="Arial"/>
                <w:b/>
                <w:bCs/>
                <w:color w:val="FFFFFF"/>
              </w:rPr>
              <w:t>Number open until 6.30pm each weekday</w:t>
            </w:r>
          </w:p>
        </w:tc>
        <w:tc>
          <w:tcPr>
            <w:tcW w:w="2241" w:type="dxa"/>
            <w:tcBorders>
              <w:top w:val="single" w:sz="4" w:space="0" w:color="auto"/>
              <w:left w:val="single" w:sz="4" w:space="0" w:color="auto"/>
              <w:bottom w:val="single" w:sz="4" w:space="0" w:color="auto"/>
              <w:right w:val="single" w:sz="4" w:space="0" w:color="auto"/>
            </w:tcBorders>
            <w:shd w:val="clear" w:color="auto" w:fill="153D63"/>
            <w:hideMark/>
          </w:tcPr>
          <w:p w14:paraId="06B75F7F" w14:textId="77777777" w:rsidR="005136D8" w:rsidRPr="005136D8" w:rsidRDefault="005136D8" w:rsidP="00ED639F">
            <w:pPr>
              <w:rPr>
                <w:rFonts w:cs="Arial"/>
                <w:b/>
                <w:bCs/>
                <w:color w:val="FFFFFF"/>
              </w:rPr>
            </w:pPr>
            <w:r w:rsidRPr="005136D8">
              <w:rPr>
                <w:rFonts w:cs="Arial"/>
                <w:b/>
                <w:bCs/>
                <w:color w:val="FFFFFF"/>
              </w:rPr>
              <w:t>Number open later than 6.30pm each weekday</w:t>
            </w:r>
          </w:p>
        </w:tc>
      </w:tr>
      <w:tr w:rsidR="005136D8" w:rsidRPr="005136D8" w14:paraId="7BACB24E" w14:textId="77777777" w:rsidTr="005136D8">
        <w:tc>
          <w:tcPr>
            <w:tcW w:w="1803" w:type="dxa"/>
            <w:tcBorders>
              <w:top w:val="single" w:sz="4" w:space="0" w:color="auto"/>
              <w:left w:val="single" w:sz="4" w:space="0" w:color="auto"/>
              <w:bottom w:val="single" w:sz="4" w:space="0" w:color="auto"/>
              <w:right w:val="single" w:sz="4" w:space="0" w:color="auto"/>
            </w:tcBorders>
            <w:hideMark/>
          </w:tcPr>
          <w:p w14:paraId="34811396" w14:textId="77777777" w:rsidR="005136D8" w:rsidRPr="005136D8" w:rsidRDefault="005136D8" w:rsidP="00ED639F">
            <w:pPr>
              <w:rPr>
                <w:rFonts w:cs="Arial"/>
              </w:rPr>
            </w:pPr>
            <w:r w:rsidRPr="005136D8">
              <w:rPr>
                <w:rFonts w:eastAsia="Arial" w:cs="Arial"/>
                <w:spacing w:val="-5"/>
                <w:kern w:val="0"/>
                <w:lang w:val="en-US"/>
                <w14:ligatures w14:val="none"/>
              </w:rPr>
              <w:t>Bay</w:t>
            </w:r>
          </w:p>
        </w:tc>
        <w:tc>
          <w:tcPr>
            <w:tcW w:w="2161" w:type="dxa"/>
            <w:tcBorders>
              <w:top w:val="single" w:sz="4" w:space="0" w:color="auto"/>
              <w:left w:val="single" w:sz="4" w:space="0" w:color="auto"/>
              <w:bottom w:val="single" w:sz="4" w:space="0" w:color="auto"/>
              <w:right w:val="single" w:sz="4" w:space="0" w:color="auto"/>
            </w:tcBorders>
            <w:hideMark/>
          </w:tcPr>
          <w:p w14:paraId="56D931BD" w14:textId="77777777" w:rsidR="005136D8" w:rsidRPr="005136D8" w:rsidRDefault="005136D8" w:rsidP="00ED639F">
            <w:pPr>
              <w:jc w:val="center"/>
              <w:rPr>
                <w:rFonts w:cs="Arial"/>
              </w:rPr>
            </w:pPr>
            <w:r w:rsidRPr="005136D8">
              <w:rPr>
                <w:rFonts w:cs="Arial"/>
              </w:rPr>
              <w:t>8</w:t>
            </w:r>
          </w:p>
        </w:tc>
        <w:tc>
          <w:tcPr>
            <w:tcW w:w="1985" w:type="dxa"/>
            <w:tcBorders>
              <w:top w:val="single" w:sz="4" w:space="0" w:color="auto"/>
              <w:left w:val="single" w:sz="4" w:space="0" w:color="auto"/>
              <w:bottom w:val="single" w:sz="4" w:space="0" w:color="auto"/>
              <w:right w:val="single" w:sz="4" w:space="0" w:color="auto"/>
            </w:tcBorders>
            <w:hideMark/>
          </w:tcPr>
          <w:p w14:paraId="65560E1A" w14:textId="77777777" w:rsidR="005136D8" w:rsidRPr="005136D8" w:rsidRDefault="005136D8" w:rsidP="00ED639F">
            <w:pPr>
              <w:jc w:val="center"/>
              <w:rPr>
                <w:rFonts w:cs="Arial"/>
              </w:rPr>
            </w:pPr>
            <w:r w:rsidRPr="005136D8">
              <w:rPr>
                <w:rFonts w:cs="Arial"/>
              </w:rPr>
              <w:t>-</w:t>
            </w:r>
          </w:p>
        </w:tc>
        <w:tc>
          <w:tcPr>
            <w:tcW w:w="2241" w:type="dxa"/>
            <w:tcBorders>
              <w:top w:val="single" w:sz="4" w:space="0" w:color="auto"/>
              <w:left w:val="single" w:sz="4" w:space="0" w:color="auto"/>
              <w:bottom w:val="single" w:sz="4" w:space="0" w:color="auto"/>
              <w:right w:val="single" w:sz="4" w:space="0" w:color="auto"/>
            </w:tcBorders>
            <w:hideMark/>
          </w:tcPr>
          <w:p w14:paraId="3167F19C" w14:textId="77777777" w:rsidR="005136D8" w:rsidRPr="005136D8" w:rsidRDefault="005136D8" w:rsidP="00ED639F">
            <w:pPr>
              <w:jc w:val="center"/>
              <w:rPr>
                <w:rFonts w:cs="Arial"/>
              </w:rPr>
            </w:pPr>
            <w:r w:rsidRPr="005136D8">
              <w:rPr>
                <w:rFonts w:cs="Arial"/>
              </w:rPr>
              <w:t>-</w:t>
            </w:r>
          </w:p>
        </w:tc>
      </w:tr>
      <w:tr w:rsidR="005136D8" w:rsidRPr="005136D8" w14:paraId="171F4DF8" w14:textId="77777777" w:rsidTr="005136D8">
        <w:tc>
          <w:tcPr>
            <w:tcW w:w="1803" w:type="dxa"/>
            <w:tcBorders>
              <w:top w:val="single" w:sz="4" w:space="0" w:color="auto"/>
              <w:left w:val="single" w:sz="4" w:space="0" w:color="auto"/>
              <w:bottom w:val="single" w:sz="4" w:space="0" w:color="auto"/>
              <w:right w:val="single" w:sz="4" w:space="0" w:color="auto"/>
            </w:tcBorders>
            <w:hideMark/>
          </w:tcPr>
          <w:p w14:paraId="2B4142DD" w14:textId="77777777" w:rsidR="005136D8" w:rsidRPr="005136D8" w:rsidRDefault="005136D8" w:rsidP="00ED639F">
            <w:pPr>
              <w:rPr>
                <w:rFonts w:cs="Arial"/>
              </w:rPr>
            </w:pPr>
            <w:r w:rsidRPr="005136D8">
              <w:rPr>
                <w:rFonts w:eastAsia="Arial" w:cs="Arial"/>
                <w:spacing w:val="-4"/>
                <w:kern w:val="0"/>
                <w:lang w:val="en-US"/>
                <w14:ligatures w14:val="none"/>
              </w:rPr>
              <w:t>City</w:t>
            </w:r>
          </w:p>
        </w:tc>
        <w:tc>
          <w:tcPr>
            <w:tcW w:w="2161" w:type="dxa"/>
            <w:tcBorders>
              <w:top w:val="single" w:sz="4" w:space="0" w:color="auto"/>
              <w:left w:val="single" w:sz="4" w:space="0" w:color="auto"/>
              <w:bottom w:val="single" w:sz="4" w:space="0" w:color="auto"/>
              <w:right w:val="single" w:sz="4" w:space="0" w:color="auto"/>
            </w:tcBorders>
            <w:hideMark/>
          </w:tcPr>
          <w:p w14:paraId="01AEDAC0" w14:textId="77777777" w:rsidR="005136D8" w:rsidRPr="005136D8" w:rsidRDefault="005136D8" w:rsidP="00ED639F">
            <w:pPr>
              <w:jc w:val="center"/>
              <w:rPr>
                <w:rFonts w:cs="Arial"/>
              </w:rPr>
            </w:pPr>
            <w:r w:rsidRPr="005136D8">
              <w:rPr>
                <w:rFonts w:cs="Arial"/>
              </w:rPr>
              <w:t>8</w:t>
            </w:r>
          </w:p>
        </w:tc>
        <w:tc>
          <w:tcPr>
            <w:tcW w:w="1985" w:type="dxa"/>
            <w:tcBorders>
              <w:top w:val="single" w:sz="4" w:space="0" w:color="auto"/>
              <w:left w:val="single" w:sz="4" w:space="0" w:color="auto"/>
              <w:bottom w:val="single" w:sz="4" w:space="0" w:color="auto"/>
              <w:right w:val="single" w:sz="4" w:space="0" w:color="auto"/>
            </w:tcBorders>
            <w:hideMark/>
          </w:tcPr>
          <w:p w14:paraId="2C0AAFA6" w14:textId="77777777" w:rsidR="005136D8" w:rsidRPr="005136D8" w:rsidRDefault="005136D8" w:rsidP="00ED639F">
            <w:pPr>
              <w:jc w:val="center"/>
              <w:rPr>
                <w:rFonts w:cs="Arial"/>
              </w:rPr>
            </w:pPr>
            <w:r w:rsidRPr="005136D8">
              <w:rPr>
                <w:rFonts w:cs="Arial"/>
              </w:rPr>
              <w:t>-</w:t>
            </w:r>
          </w:p>
        </w:tc>
        <w:tc>
          <w:tcPr>
            <w:tcW w:w="2241" w:type="dxa"/>
            <w:tcBorders>
              <w:top w:val="single" w:sz="4" w:space="0" w:color="auto"/>
              <w:left w:val="single" w:sz="4" w:space="0" w:color="auto"/>
              <w:bottom w:val="single" w:sz="4" w:space="0" w:color="auto"/>
              <w:right w:val="single" w:sz="4" w:space="0" w:color="auto"/>
            </w:tcBorders>
            <w:hideMark/>
          </w:tcPr>
          <w:p w14:paraId="31013A1E" w14:textId="77777777" w:rsidR="005136D8" w:rsidRPr="005136D8" w:rsidRDefault="005136D8" w:rsidP="00ED639F">
            <w:pPr>
              <w:jc w:val="center"/>
              <w:rPr>
                <w:rFonts w:cs="Arial"/>
              </w:rPr>
            </w:pPr>
            <w:r w:rsidRPr="005136D8">
              <w:rPr>
                <w:rFonts w:cs="Arial"/>
              </w:rPr>
              <w:t>-</w:t>
            </w:r>
          </w:p>
        </w:tc>
      </w:tr>
      <w:tr w:rsidR="005136D8" w:rsidRPr="005136D8" w14:paraId="47E635E7" w14:textId="77777777" w:rsidTr="005136D8">
        <w:tc>
          <w:tcPr>
            <w:tcW w:w="1803" w:type="dxa"/>
            <w:tcBorders>
              <w:top w:val="single" w:sz="4" w:space="0" w:color="auto"/>
              <w:left w:val="single" w:sz="4" w:space="0" w:color="auto"/>
              <w:bottom w:val="single" w:sz="4" w:space="0" w:color="auto"/>
              <w:right w:val="single" w:sz="4" w:space="0" w:color="auto"/>
            </w:tcBorders>
            <w:hideMark/>
          </w:tcPr>
          <w:p w14:paraId="26FED7FF" w14:textId="77777777" w:rsidR="005136D8" w:rsidRPr="005136D8" w:rsidRDefault="005136D8" w:rsidP="00ED639F">
            <w:pPr>
              <w:rPr>
                <w:rFonts w:cs="Arial"/>
              </w:rPr>
            </w:pPr>
            <w:r w:rsidRPr="005136D8">
              <w:rPr>
                <w:rFonts w:eastAsia="Arial" w:cs="Arial"/>
                <w:spacing w:val="-2"/>
                <w:kern w:val="0"/>
                <w:lang w:val="en-US"/>
                <w14:ligatures w14:val="none"/>
              </w:rPr>
              <w:t>Cwmtawe</w:t>
            </w:r>
          </w:p>
        </w:tc>
        <w:tc>
          <w:tcPr>
            <w:tcW w:w="2161" w:type="dxa"/>
            <w:tcBorders>
              <w:top w:val="single" w:sz="4" w:space="0" w:color="auto"/>
              <w:left w:val="single" w:sz="4" w:space="0" w:color="auto"/>
              <w:bottom w:val="single" w:sz="4" w:space="0" w:color="auto"/>
              <w:right w:val="single" w:sz="4" w:space="0" w:color="auto"/>
            </w:tcBorders>
            <w:hideMark/>
          </w:tcPr>
          <w:p w14:paraId="19B10E42" w14:textId="77777777" w:rsidR="005136D8" w:rsidRPr="005136D8" w:rsidRDefault="005136D8" w:rsidP="00ED639F">
            <w:pPr>
              <w:jc w:val="center"/>
              <w:rPr>
                <w:rFonts w:cs="Arial"/>
              </w:rPr>
            </w:pPr>
            <w:r w:rsidRPr="005136D8">
              <w:rPr>
                <w:rFonts w:cs="Arial"/>
              </w:rPr>
              <w:t>4</w:t>
            </w:r>
          </w:p>
        </w:tc>
        <w:tc>
          <w:tcPr>
            <w:tcW w:w="1985" w:type="dxa"/>
            <w:tcBorders>
              <w:top w:val="single" w:sz="4" w:space="0" w:color="auto"/>
              <w:left w:val="single" w:sz="4" w:space="0" w:color="auto"/>
              <w:bottom w:val="single" w:sz="4" w:space="0" w:color="auto"/>
              <w:right w:val="single" w:sz="4" w:space="0" w:color="auto"/>
            </w:tcBorders>
            <w:hideMark/>
          </w:tcPr>
          <w:p w14:paraId="387CAB6E" w14:textId="77777777" w:rsidR="005136D8" w:rsidRPr="005136D8" w:rsidRDefault="005136D8" w:rsidP="00ED639F">
            <w:pPr>
              <w:jc w:val="center"/>
              <w:rPr>
                <w:rFonts w:cs="Arial"/>
              </w:rPr>
            </w:pPr>
            <w:r w:rsidRPr="005136D8">
              <w:rPr>
                <w:rFonts w:cs="Arial"/>
              </w:rPr>
              <w:t>-</w:t>
            </w:r>
          </w:p>
        </w:tc>
        <w:tc>
          <w:tcPr>
            <w:tcW w:w="2241" w:type="dxa"/>
            <w:tcBorders>
              <w:top w:val="single" w:sz="4" w:space="0" w:color="auto"/>
              <w:left w:val="single" w:sz="4" w:space="0" w:color="auto"/>
              <w:bottom w:val="single" w:sz="4" w:space="0" w:color="auto"/>
              <w:right w:val="single" w:sz="4" w:space="0" w:color="auto"/>
            </w:tcBorders>
            <w:hideMark/>
          </w:tcPr>
          <w:p w14:paraId="21C9704E" w14:textId="77777777" w:rsidR="005136D8" w:rsidRPr="005136D8" w:rsidRDefault="005136D8" w:rsidP="00ED639F">
            <w:pPr>
              <w:jc w:val="center"/>
              <w:rPr>
                <w:rFonts w:cs="Arial"/>
              </w:rPr>
            </w:pPr>
            <w:r w:rsidRPr="005136D8">
              <w:rPr>
                <w:rFonts w:cs="Arial"/>
              </w:rPr>
              <w:t>-</w:t>
            </w:r>
          </w:p>
        </w:tc>
      </w:tr>
      <w:tr w:rsidR="005136D8" w:rsidRPr="005136D8" w14:paraId="590CD6F1" w14:textId="77777777" w:rsidTr="005136D8">
        <w:tc>
          <w:tcPr>
            <w:tcW w:w="1803" w:type="dxa"/>
            <w:tcBorders>
              <w:top w:val="single" w:sz="4" w:space="0" w:color="auto"/>
              <w:left w:val="single" w:sz="4" w:space="0" w:color="auto"/>
              <w:bottom w:val="single" w:sz="4" w:space="0" w:color="auto"/>
              <w:right w:val="single" w:sz="4" w:space="0" w:color="auto"/>
            </w:tcBorders>
            <w:hideMark/>
          </w:tcPr>
          <w:p w14:paraId="65AEC964" w14:textId="77777777" w:rsidR="005136D8" w:rsidRPr="005136D8" w:rsidRDefault="005136D8" w:rsidP="00ED639F">
            <w:pPr>
              <w:rPr>
                <w:rFonts w:cs="Arial"/>
              </w:rPr>
            </w:pPr>
            <w:r w:rsidRPr="005136D8">
              <w:rPr>
                <w:rFonts w:eastAsia="Arial" w:cs="Arial"/>
                <w:spacing w:val="-2"/>
                <w:kern w:val="0"/>
                <w:lang w:val="en-US"/>
                <w14:ligatures w14:val="none"/>
              </w:rPr>
              <w:t>Llwchwr</w:t>
            </w:r>
          </w:p>
        </w:tc>
        <w:tc>
          <w:tcPr>
            <w:tcW w:w="2161" w:type="dxa"/>
            <w:tcBorders>
              <w:top w:val="single" w:sz="4" w:space="0" w:color="auto"/>
              <w:left w:val="single" w:sz="4" w:space="0" w:color="auto"/>
              <w:bottom w:val="single" w:sz="4" w:space="0" w:color="auto"/>
              <w:right w:val="single" w:sz="4" w:space="0" w:color="auto"/>
            </w:tcBorders>
            <w:hideMark/>
          </w:tcPr>
          <w:p w14:paraId="7D70DF6F" w14:textId="77777777" w:rsidR="005136D8" w:rsidRPr="005136D8" w:rsidRDefault="005136D8" w:rsidP="00ED639F">
            <w:pPr>
              <w:jc w:val="center"/>
              <w:rPr>
                <w:rFonts w:cs="Arial"/>
              </w:rPr>
            </w:pPr>
            <w:r w:rsidRPr="005136D8">
              <w:rPr>
                <w:rFonts w:cs="Arial"/>
              </w:rPr>
              <w:t>7</w:t>
            </w:r>
          </w:p>
        </w:tc>
        <w:tc>
          <w:tcPr>
            <w:tcW w:w="1985" w:type="dxa"/>
            <w:tcBorders>
              <w:top w:val="single" w:sz="4" w:space="0" w:color="auto"/>
              <w:left w:val="single" w:sz="4" w:space="0" w:color="auto"/>
              <w:bottom w:val="single" w:sz="4" w:space="0" w:color="auto"/>
              <w:right w:val="single" w:sz="4" w:space="0" w:color="auto"/>
            </w:tcBorders>
            <w:hideMark/>
          </w:tcPr>
          <w:p w14:paraId="6E38AAEB" w14:textId="77777777" w:rsidR="005136D8" w:rsidRPr="005136D8" w:rsidRDefault="005136D8" w:rsidP="00ED639F">
            <w:pPr>
              <w:jc w:val="center"/>
              <w:rPr>
                <w:rFonts w:cs="Arial"/>
              </w:rPr>
            </w:pPr>
            <w:r w:rsidRPr="005136D8">
              <w:rPr>
                <w:rFonts w:cs="Arial"/>
              </w:rPr>
              <w:t>-</w:t>
            </w:r>
          </w:p>
        </w:tc>
        <w:tc>
          <w:tcPr>
            <w:tcW w:w="2241" w:type="dxa"/>
            <w:tcBorders>
              <w:top w:val="single" w:sz="4" w:space="0" w:color="auto"/>
              <w:left w:val="single" w:sz="4" w:space="0" w:color="auto"/>
              <w:bottom w:val="single" w:sz="4" w:space="0" w:color="auto"/>
              <w:right w:val="single" w:sz="4" w:space="0" w:color="auto"/>
            </w:tcBorders>
            <w:hideMark/>
          </w:tcPr>
          <w:p w14:paraId="0F01F47B" w14:textId="77777777" w:rsidR="005136D8" w:rsidRPr="005136D8" w:rsidRDefault="005136D8" w:rsidP="00ED639F">
            <w:pPr>
              <w:jc w:val="center"/>
              <w:rPr>
                <w:rFonts w:cs="Arial"/>
              </w:rPr>
            </w:pPr>
            <w:r w:rsidRPr="005136D8">
              <w:rPr>
                <w:rFonts w:cs="Arial"/>
              </w:rPr>
              <w:t>-</w:t>
            </w:r>
          </w:p>
        </w:tc>
      </w:tr>
      <w:tr w:rsidR="005136D8" w:rsidRPr="005136D8" w14:paraId="220E1002" w14:textId="77777777" w:rsidTr="005136D8">
        <w:tc>
          <w:tcPr>
            <w:tcW w:w="1803" w:type="dxa"/>
            <w:tcBorders>
              <w:top w:val="single" w:sz="4" w:space="0" w:color="auto"/>
              <w:left w:val="single" w:sz="4" w:space="0" w:color="auto"/>
              <w:bottom w:val="single" w:sz="4" w:space="0" w:color="auto"/>
              <w:right w:val="single" w:sz="4" w:space="0" w:color="auto"/>
            </w:tcBorders>
            <w:hideMark/>
          </w:tcPr>
          <w:p w14:paraId="5C9EC799" w14:textId="77777777" w:rsidR="005136D8" w:rsidRPr="005136D8" w:rsidRDefault="005136D8" w:rsidP="00ED639F">
            <w:pPr>
              <w:rPr>
                <w:rFonts w:cs="Arial"/>
              </w:rPr>
            </w:pPr>
            <w:r w:rsidRPr="005136D8">
              <w:rPr>
                <w:rFonts w:eastAsia="Arial" w:cs="Arial"/>
                <w:spacing w:val="-2"/>
                <w:kern w:val="0"/>
                <w:lang w:val="en-US"/>
                <w14:ligatures w14:val="none"/>
              </w:rPr>
              <w:t>Penderi</w:t>
            </w:r>
          </w:p>
        </w:tc>
        <w:tc>
          <w:tcPr>
            <w:tcW w:w="2161" w:type="dxa"/>
            <w:tcBorders>
              <w:top w:val="single" w:sz="4" w:space="0" w:color="auto"/>
              <w:left w:val="single" w:sz="4" w:space="0" w:color="auto"/>
              <w:bottom w:val="single" w:sz="4" w:space="0" w:color="auto"/>
              <w:right w:val="single" w:sz="4" w:space="0" w:color="auto"/>
            </w:tcBorders>
            <w:hideMark/>
          </w:tcPr>
          <w:p w14:paraId="525C0F93" w14:textId="77777777" w:rsidR="005136D8" w:rsidRPr="005136D8" w:rsidRDefault="005136D8" w:rsidP="00ED639F">
            <w:pPr>
              <w:jc w:val="center"/>
              <w:rPr>
                <w:rFonts w:cs="Arial"/>
              </w:rPr>
            </w:pPr>
            <w:r w:rsidRPr="005136D8">
              <w:rPr>
                <w:rFonts w:cs="Arial"/>
              </w:rPr>
              <w:t>6</w:t>
            </w:r>
          </w:p>
        </w:tc>
        <w:tc>
          <w:tcPr>
            <w:tcW w:w="1985" w:type="dxa"/>
            <w:tcBorders>
              <w:top w:val="single" w:sz="4" w:space="0" w:color="auto"/>
              <w:left w:val="single" w:sz="4" w:space="0" w:color="auto"/>
              <w:bottom w:val="single" w:sz="4" w:space="0" w:color="auto"/>
              <w:right w:val="single" w:sz="4" w:space="0" w:color="auto"/>
            </w:tcBorders>
          </w:tcPr>
          <w:p w14:paraId="30CE4FD2" w14:textId="77777777" w:rsidR="005136D8" w:rsidRPr="005136D8" w:rsidRDefault="005136D8" w:rsidP="00ED639F">
            <w:pPr>
              <w:jc w:val="center"/>
              <w:rPr>
                <w:rFonts w:cs="Arial"/>
              </w:rPr>
            </w:pPr>
          </w:p>
        </w:tc>
        <w:tc>
          <w:tcPr>
            <w:tcW w:w="2241" w:type="dxa"/>
            <w:tcBorders>
              <w:top w:val="single" w:sz="4" w:space="0" w:color="auto"/>
              <w:left w:val="single" w:sz="4" w:space="0" w:color="auto"/>
              <w:bottom w:val="single" w:sz="4" w:space="0" w:color="auto"/>
              <w:right w:val="single" w:sz="4" w:space="0" w:color="auto"/>
            </w:tcBorders>
            <w:hideMark/>
          </w:tcPr>
          <w:p w14:paraId="75D907D3" w14:textId="77777777" w:rsidR="005136D8" w:rsidRPr="005136D8" w:rsidRDefault="005136D8" w:rsidP="00ED639F">
            <w:pPr>
              <w:jc w:val="center"/>
              <w:rPr>
                <w:rFonts w:cs="Arial"/>
              </w:rPr>
            </w:pPr>
            <w:r w:rsidRPr="005136D8">
              <w:rPr>
                <w:rFonts w:cs="Arial"/>
              </w:rPr>
              <w:t>2</w:t>
            </w:r>
          </w:p>
        </w:tc>
      </w:tr>
      <w:tr w:rsidR="005136D8" w:rsidRPr="005136D8" w14:paraId="5483ECA3" w14:textId="77777777" w:rsidTr="005136D8">
        <w:tc>
          <w:tcPr>
            <w:tcW w:w="1803" w:type="dxa"/>
            <w:tcBorders>
              <w:top w:val="single" w:sz="4" w:space="0" w:color="auto"/>
              <w:left w:val="single" w:sz="4" w:space="0" w:color="auto"/>
              <w:bottom w:val="single" w:sz="4" w:space="0" w:color="auto"/>
              <w:right w:val="single" w:sz="4" w:space="0" w:color="auto"/>
            </w:tcBorders>
            <w:hideMark/>
          </w:tcPr>
          <w:p w14:paraId="1088D500" w14:textId="77777777" w:rsidR="005136D8" w:rsidRPr="005136D8" w:rsidRDefault="005136D8" w:rsidP="00ED639F">
            <w:pPr>
              <w:rPr>
                <w:rFonts w:cs="Arial"/>
              </w:rPr>
            </w:pPr>
            <w:r w:rsidRPr="005136D8">
              <w:rPr>
                <w:rFonts w:eastAsia="Arial" w:cs="Arial"/>
                <w:spacing w:val="-4"/>
                <w:kern w:val="0"/>
                <w:lang w:val="en-US"/>
                <w14:ligatures w14:val="none"/>
              </w:rPr>
              <w:t>Afan</w:t>
            </w:r>
          </w:p>
        </w:tc>
        <w:tc>
          <w:tcPr>
            <w:tcW w:w="2161" w:type="dxa"/>
            <w:tcBorders>
              <w:top w:val="single" w:sz="4" w:space="0" w:color="auto"/>
              <w:left w:val="single" w:sz="4" w:space="0" w:color="auto"/>
              <w:bottom w:val="single" w:sz="4" w:space="0" w:color="auto"/>
              <w:right w:val="single" w:sz="4" w:space="0" w:color="auto"/>
            </w:tcBorders>
            <w:hideMark/>
          </w:tcPr>
          <w:p w14:paraId="6C602449" w14:textId="77777777" w:rsidR="005136D8" w:rsidRPr="005136D8" w:rsidRDefault="005136D8" w:rsidP="00ED639F">
            <w:pPr>
              <w:jc w:val="center"/>
              <w:rPr>
                <w:rFonts w:cs="Arial"/>
              </w:rPr>
            </w:pPr>
            <w:r w:rsidRPr="005136D8">
              <w:rPr>
                <w:rFonts w:cs="Arial"/>
              </w:rPr>
              <w:t>6</w:t>
            </w:r>
          </w:p>
        </w:tc>
        <w:tc>
          <w:tcPr>
            <w:tcW w:w="1985" w:type="dxa"/>
            <w:tcBorders>
              <w:top w:val="single" w:sz="4" w:space="0" w:color="auto"/>
              <w:left w:val="single" w:sz="4" w:space="0" w:color="auto"/>
              <w:bottom w:val="single" w:sz="4" w:space="0" w:color="auto"/>
              <w:right w:val="single" w:sz="4" w:space="0" w:color="auto"/>
            </w:tcBorders>
          </w:tcPr>
          <w:p w14:paraId="3F5CE2B4" w14:textId="77777777" w:rsidR="005136D8" w:rsidRPr="005136D8" w:rsidRDefault="005136D8" w:rsidP="00ED639F">
            <w:pPr>
              <w:jc w:val="center"/>
              <w:rPr>
                <w:rFonts w:cs="Arial"/>
              </w:rPr>
            </w:pPr>
          </w:p>
        </w:tc>
        <w:tc>
          <w:tcPr>
            <w:tcW w:w="2241" w:type="dxa"/>
            <w:tcBorders>
              <w:top w:val="single" w:sz="4" w:space="0" w:color="auto"/>
              <w:left w:val="single" w:sz="4" w:space="0" w:color="auto"/>
              <w:bottom w:val="single" w:sz="4" w:space="0" w:color="auto"/>
              <w:right w:val="single" w:sz="4" w:space="0" w:color="auto"/>
            </w:tcBorders>
            <w:hideMark/>
          </w:tcPr>
          <w:p w14:paraId="6971F9AA" w14:textId="77777777" w:rsidR="005136D8" w:rsidRPr="005136D8" w:rsidRDefault="005136D8" w:rsidP="00ED639F">
            <w:pPr>
              <w:jc w:val="center"/>
              <w:rPr>
                <w:rFonts w:cs="Arial"/>
              </w:rPr>
            </w:pPr>
            <w:r w:rsidRPr="005136D8">
              <w:rPr>
                <w:rFonts w:cs="Arial"/>
              </w:rPr>
              <w:t>1</w:t>
            </w:r>
          </w:p>
        </w:tc>
      </w:tr>
      <w:tr w:rsidR="005136D8" w:rsidRPr="005136D8" w14:paraId="1BCEBCA6" w14:textId="77777777" w:rsidTr="005136D8">
        <w:tc>
          <w:tcPr>
            <w:tcW w:w="1803" w:type="dxa"/>
            <w:tcBorders>
              <w:top w:val="single" w:sz="4" w:space="0" w:color="auto"/>
              <w:left w:val="single" w:sz="4" w:space="0" w:color="auto"/>
              <w:bottom w:val="single" w:sz="4" w:space="0" w:color="auto"/>
              <w:right w:val="single" w:sz="4" w:space="0" w:color="auto"/>
            </w:tcBorders>
            <w:hideMark/>
          </w:tcPr>
          <w:p w14:paraId="641A090C" w14:textId="77777777" w:rsidR="005136D8" w:rsidRPr="005136D8" w:rsidRDefault="005136D8" w:rsidP="00ED639F">
            <w:pPr>
              <w:rPr>
                <w:rFonts w:cs="Arial"/>
              </w:rPr>
            </w:pPr>
            <w:r w:rsidRPr="005136D8">
              <w:rPr>
                <w:rFonts w:eastAsia="Arial" w:cs="Arial"/>
                <w:spacing w:val="-4"/>
                <w:kern w:val="0"/>
                <w:lang w:val="en-US"/>
                <w14:ligatures w14:val="none"/>
              </w:rPr>
              <w:t>Neath</w:t>
            </w:r>
          </w:p>
        </w:tc>
        <w:tc>
          <w:tcPr>
            <w:tcW w:w="2161" w:type="dxa"/>
            <w:tcBorders>
              <w:top w:val="single" w:sz="4" w:space="0" w:color="auto"/>
              <w:left w:val="single" w:sz="4" w:space="0" w:color="auto"/>
              <w:bottom w:val="single" w:sz="4" w:space="0" w:color="auto"/>
              <w:right w:val="single" w:sz="4" w:space="0" w:color="auto"/>
            </w:tcBorders>
            <w:hideMark/>
          </w:tcPr>
          <w:p w14:paraId="55D9F769" w14:textId="77777777" w:rsidR="005136D8" w:rsidRPr="005136D8" w:rsidRDefault="005136D8" w:rsidP="00ED639F">
            <w:pPr>
              <w:jc w:val="center"/>
              <w:rPr>
                <w:rFonts w:cs="Arial"/>
              </w:rPr>
            </w:pPr>
            <w:r w:rsidRPr="005136D8">
              <w:rPr>
                <w:rFonts w:cs="Arial"/>
              </w:rPr>
              <w:t>5</w:t>
            </w:r>
          </w:p>
        </w:tc>
        <w:tc>
          <w:tcPr>
            <w:tcW w:w="1985" w:type="dxa"/>
            <w:tcBorders>
              <w:top w:val="single" w:sz="4" w:space="0" w:color="auto"/>
              <w:left w:val="single" w:sz="4" w:space="0" w:color="auto"/>
              <w:bottom w:val="single" w:sz="4" w:space="0" w:color="auto"/>
              <w:right w:val="single" w:sz="4" w:space="0" w:color="auto"/>
            </w:tcBorders>
            <w:hideMark/>
          </w:tcPr>
          <w:p w14:paraId="25F5601F" w14:textId="77777777" w:rsidR="005136D8" w:rsidRPr="005136D8" w:rsidRDefault="005136D8" w:rsidP="00ED639F">
            <w:pPr>
              <w:jc w:val="center"/>
              <w:rPr>
                <w:rFonts w:cs="Arial"/>
              </w:rPr>
            </w:pPr>
            <w:r w:rsidRPr="005136D8">
              <w:rPr>
                <w:rFonts w:cs="Arial"/>
              </w:rPr>
              <w:t>-</w:t>
            </w:r>
          </w:p>
        </w:tc>
        <w:tc>
          <w:tcPr>
            <w:tcW w:w="2241" w:type="dxa"/>
            <w:tcBorders>
              <w:top w:val="single" w:sz="4" w:space="0" w:color="auto"/>
              <w:left w:val="single" w:sz="4" w:space="0" w:color="auto"/>
              <w:bottom w:val="single" w:sz="4" w:space="0" w:color="auto"/>
              <w:right w:val="single" w:sz="4" w:space="0" w:color="auto"/>
            </w:tcBorders>
            <w:hideMark/>
          </w:tcPr>
          <w:p w14:paraId="51754B18" w14:textId="77777777" w:rsidR="005136D8" w:rsidRPr="005136D8" w:rsidRDefault="005136D8" w:rsidP="00ED639F">
            <w:pPr>
              <w:jc w:val="center"/>
              <w:rPr>
                <w:rFonts w:cs="Arial"/>
              </w:rPr>
            </w:pPr>
            <w:r w:rsidRPr="005136D8">
              <w:rPr>
                <w:rFonts w:cs="Arial"/>
              </w:rPr>
              <w:t>-</w:t>
            </w:r>
          </w:p>
        </w:tc>
      </w:tr>
      <w:tr w:rsidR="005136D8" w:rsidRPr="005136D8" w14:paraId="3F6C088C" w14:textId="77777777" w:rsidTr="005136D8">
        <w:tc>
          <w:tcPr>
            <w:tcW w:w="1803" w:type="dxa"/>
            <w:tcBorders>
              <w:top w:val="single" w:sz="4" w:space="0" w:color="auto"/>
              <w:left w:val="single" w:sz="4" w:space="0" w:color="auto"/>
              <w:bottom w:val="single" w:sz="4" w:space="0" w:color="auto"/>
              <w:right w:val="single" w:sz="4" w:space="0" w:color="auto"/>
            </w:tcBorders>
            <w:hideMark/>
          </w:tcPr>
          <w:p w14:paraId="6527F97B" w14:textId="77777777" w:rsidR="005136D8" w:rsidRPr="005136D8" w:rsidRDefault="005136D8" w:rsidP="00ED639F">
            <w:pPr>
              <w:rPr>
                <w:rFonts w:cs="Arial"/>
              </w:rPr>
            </w:pPr>
            <w:r w:rsidRPr="005136D8">
              <w:rPr>
                <w:rFonts w:eastAsia="Arial" w:cs="Arial"/>
                <w:bCs/>
                <w:kern w:val="0"/>
                <w:lang w:val="en-US"/>
                <w14:ligatures w14:val="none"/>
              </w:rPr>
              <w:t>Upper</w:t>
            </w:r>
            <w:r w:rsidRPr="005136D8">
              <w:rPr>
                <w:rFonts w:eastAsia="Arial" w:cs="Arial"/>
                <w:bCs/>
                <w:spacing w:val="-3"/>
                <w:kern w:val="0"/>
                <w:lang w:val="en-US"/>
                <w14:ligatures w14:val="none"/>
              </w:rPr>
              <w:t xml:space="preserve"> </w:t>
            </w:r>
            <w:r w:rsidRPr="005136D8">
              <w:rPr>
                <w:rFonts w:eastAsia="Arial" w:cs="Arial"/>
                <w:bCs/>
                <w:spacing w:val="-2"/>
                <w:kern w:val="0"/>
                <w:lang w:val="en-US"/>
                <w14:ligatures w14:val="none"/>
              </w:rPr>
              <w:t>Valleys</w:t>
            </w:r>
          </w:p>
        </w:tc>
        <w:tc>
          <w:tcPr>
            <w:tcW w:w="2161" w:type="dxa"/>
            <w:tcBorders>
              <w:top w:val="single" w:sz="4" w:space="0" w:color="auto"/>
              <w:left w:val="single" w:sz="4" w:space="0" w:color="auto"/>
              <w:bottom w:val="single" w:sz="4" w:space="0" w:color="auto"/>
              <w:right w:val="single" w:sz="4" w:space="0" w:color="auto"/>
            </w:tcBorders>
            <w:hideMark/>
          </w:tcPr>
          <w:p w14:paraId="499AC0F8" w14:textId="77777777" w:rsidR="005136D8" w:rsidRPr="005136D8" w:rsidRDefault="005136D8" w:rsidP="00ED639F">
            <w:pPr>
              <w:jc w:val="center"/>
              <w:rPr>
                <w:rFonts w:cs="Arial"/>
              </w:rPr>
            </w:pPr>
            <w:r w:rsidRPr="005136D8">
              <w:rPr>
                <w:rFonts w:cs="Arial"/>
              </w:rPr>
              <w:t>4</w:t>
            </w:r>
          </w:p>
        </w:tc>
        <w:tc>
          <w:tcPr>
            <w:tcW w:w="1985" w:type="dxa"/>
            <w:tcBorders>
              <w:top w:val="single" w:sz="4" w:space="0" w:color="auto"/>
              <w:left w:val="single" w:sz="4" w:space="0" w:color="auto"/>
              <w:bottom w:val="single" w:sz="4" w:space="0" w:color="auto"/>
              <w:right w:val="single" w:sz="4" w:space="0" w:color="auto"/>
            </w:tcBorders>
            <w:hideMark/>
          </w:tcPr>
          <w:p w14:paraId="50E9C967" w14:textId="77777777" w:rsidR="005136D8" w:rsidRPr="005136D8" w:rsidRDefault="005136D8" w:rsidP="00ED639F">
            <w:pPr>
              <w:jc w:val="center"/>
              <w:rPr>
                <w:rFonts w:cs="Arial"/>
              </w:rPr>
            </w:pPr>
            <w:r w:rsidRPr="005136D8">
              <w:rPr>
                <w:rFonts w:cs="Arial"/>
              </w:rPr>
              <w:t>-</w:t>
            </w:r>
          </w:p>
        </w:tc>
        <w:tc>
          <w:tcPr>
            <w:tcW w:w="2241" w:type="dxa"/>
            <w:tcBorders>
              <w:top w:val="single" w:sz="4" w:space="0" w:color="auto"/>
              <w:left w:val="single" w:sz="4" w:space="0" w:color="auto"/>
              <w:bottom w:val="single" w:sz="4" w:space="0" w:color="auto"/>
              <w:right w:val="single" w:sz="4" w:space="0" w:color="auto"/>
            </w:tcBorders>
            <w:hideMark/>
          </w:tcPr>
          <w:p w14:paraId="33E0500E" w14:textId="77777777" w:rsidR="005136D8" w:rsidRPr="005136D8" w:rsidRDefault="005136D8" w:rsidP="00ED639F">
            <w:pPr>
              <w:jc w:val="center"/>
              <w:rPr>
                <w:rFonts w:cs="Arial"/>
              </w:rPr>
            </w:pPr>
            <w:r w:rsidRPr="005136D8">
              <w:rPr>
                <w:rFonts w:cs="Arial"/>
              </w:rPr>
              <w:t>-</w:t>
            </w:r>
          </w:p>
        </w:tc>
      </w:tr>
    </w:tbl>
    <w:p w14:paraId="2E90A612" w14:textId="77777777" w:rsidR="005136D8" w:rsidRPr="005136D8" w:rsidRDefault="005136D8" w:rsidP="00ED639F">
      <w:pPr>
        <w:rPr>
          <w:rFonts w:eastAsia="Aptos" w:cs="Arial"/>
        </w:rPr>
      </w:pPr>
    </w:p>
    <w:p w14:paraId="7E3FD7C1" w14:textId="77777777" w:rsidR="005136D8" w:rsidRPr="005136D8" w:rsidRDefault="005136D8" w:rsidP="00ED639F">
      <w:pPr>
        <w:rPr>
          <w:rFonts w:eastAsia="Aptos" w:cs="Arial"/>
        </w:rPr>
      </w:pPr>
      <w:r w:rsidRPr="005136D8">
        <w:rPr>
          <w:rFonts w:eastAsia="Aptos" w:cs="Arial"/>
        </w:rPr>
        <w:t>Two pharmacies in Penderi locality have extended opening hours with one closing at 8.00pm Monday to Friday, and another closing at 10.30pm.</w:t>
      </w:r>
    </w:p>
    <w:p w14:paraId="7244F16F" w14:textId="77777777" w:rsidR="005136D8" w:rsidRPr="005136D8" w:rsidRDefault="005136D8" w:rsidP="00ED639F">
      <w:pPr>
        <w:rPr>
          <w:rFonts w:eastAsia="Aptos" w:cs="Arial"/>
        </w:rPr>
      </w:pPr>
    </w:p>
    <w:p w14:paraId="59EF25EF" w14:textId="77777777" w:rsidR="005136D8" w:rsidRPr="005136D8" w:rsidRDefault="005136D8" w:rsidP="00ED639F">
      <w:pPr>
        <w:rPr>
          <w:rFonts w:eastAsia="Aptos" w:cs="Arial"/>
        </w:rPr>
      </w:pPr>
      <w:r w:rsidRPr="005136D8">
        <w:rPr>
          <w:rFonts w:eastAsia="Aptos" w:cs="Arial"/>
        </w:rPr>
        <w:t xml:space="preserve">17.7% of people who responded to the public engagement questionnaire said their preferred time to visit a pharmacy is 6.00pm to 9.00pm. </w:t>
      </w:r>
    </w:p>
    <w:p w14:paraId="468F3058" w14:textId="77777777" w:rsidR="005136D8" w:rsidRPr="005136D8" w:rsidRDefault="005136D8" w:rsidP="00ED639F">
      <w:pPr>
        <w:rPr>
          <w:rFonts w:eastAsia="Aptos" w:cs="Arial"/>
        </w:rPr>
      </w:pPr>
    </w:p>
    <w:p w14:paraId="7E3E76BB" w14:textId="77777777" w:rsidR="005136D8" w:rsidRPr="005136D8" w:rsidRDefault="005136D8" w:rsidP="00ED639F">
      <w:pPr>
        <w:rPr>
          <w:rFonts w:eastAsia="Aptos" w:cs="Arial"/>
        </w:rPr>
      </w:pPr>
      <w:r w:rsidRPr="005136D8">
        <w:rPr>
          <w:rFonts w:eastAsia="Aptos" w:cs="Arial"/>
        </w:rPr>
        <w:t>The health board has concluded that there are no current needs for the provision of essential services outside normal working hours, Monday to Friday.</w:t>
      </w:r>
    </w:p>
    <w:p w14:paraId="3D5DF12D" w14:textId="77777777" w:rsidR="005136D8" w:rsidRPr="005136D8" w:rsidRDefault="005136D8" w:rsidP="00ED639F">
      <w:pPr>
        <w:rPr>
          <w:rFonts w:eastAsia="Aptos" w:cs="Arial"/>
        </w:rPr>
      </w:pPr>
    </w:p>
    <w:p w14:paraId="57FA0DF5" w14:textId="77777777" w:rsidR="005136D8" w:rsidRPr="005136D8" w:rsidRDefault="005136D8" w:rsidP="00ED639F">
      <w:pPr>
        <w:rPr>
          <w:rFonts w:eastAsia="Aptos" w:cs="Arial"/>
        </w:rPr>
      </w:pPr>
      <w:r w:rsidRPr="005136D8">
        <w:rPr>
          <w:rFonts w:eastAsia="Aptos" w:cs="Arial"/>
          <w:b/>
          <w:bCs/>
        </w:rPr>
        <w:t>Table 16.4: Number of pharmacies open on Saturdays by locality</w:t>
      </w:r>
    </w:p>
    <w:p w14:paraId="2EF65C34" w14:textId="77777777" w:rsidR="005136D8" w:rsidRPr="005136D8" w:rsidRDefault="005136D8" w:rsidP="00ED639F">
      <w:pPr>
        <w:rPr>
          <w:rFonts w:eastAsia="Aptos" w:cs="Arial"/>
        </w:rPr>
      </w:pPr>
    </w:p>
    <w:tbl>
      <w:tblPr>
        <w:tblStyle w:val="TableGrid"/>
        <w:tblW w:w="0" w:type="auto"/>
        <w:tblInd w:w="0" w:type="dxa"/>
        <w:tblLook w:val="04A0" w:firstRow="1" w:lastRow="0" w:firstColumn="1" w:lastColumn="0" w:noHBand="0" w:noVBand="1"/>
      </w:tblPr>
      <w:tblGrid>
        <w:gridCol w:w="1803"/>
        <w:gridCol w:w="3154"/>
        <w:gridCol w:w="3118"/>
      </w:tblGrid>
      <w:tr w:rsidR="00ED639F" w:rsidRPr="00D0306F" w14:paraId="4E0A9D72" w14:textId="77777777" w:rsidTr="005136D8">
        <w:tc>
          <w:tcPr>
            <w:tcW w:w="1803" w:type="dxa"/>
            <w:tcBorders>
              <w:top w:val="single" w:sz="4" w:space="0" w:color="auto"/>
              <w:left w:val="single" w:sz="4" w:space="0" w:color="auto"/>
              <w:bottom w:val="single" w:sz="4" w:space="0" w:color="auto"/>
              <w:right w:val="single" w:sz="4" w:space="0" w:color="auto"/>
            </w:tcBorders>
            <w:shd w:val="clear" w:color="auto" w:fill="153D63"/>
            <w:hideMark/>
          </w:tcPr>
          <w:p w14:paraId="3C3BF575" w14:textId="77777777" w:rsidR="005136D8" w:rsidRPr="005136D8" w:rsidRDefault="005136D8" w:rsidP="00ED639F">
            <w:pPr>
              <w:rPr>
                <w:rFonts w:cs="Arial"/>
                <w:b/>
                <w:bCs/>
                <w:color w:val="FFFFFF"/>
              </w:rPr>
            </w:pPr>
            <w:r w:rsidRPr="005136D8">
              <w:rPr>
                <w:rFonts w:cs="Arial"/>
                <w:b/>
                <w:bCs/>
                <w:color w:val="FFFFFF"/>
              </w:rPr>
              <w:t>Locality</w:t>
            </w:r>
          </w:p>
        </w:tc>
        <w:tc>
          <w:tcPr>
            <w:tcW w:w="3154" w:type="dxa"/>
            <w:tcBorders>
              <w:top w:val="single" w:sz="4" w:space="0" w:color="auto"/>
              <w:left w:val="single" w:sz="4" w:space="0" w:color="auto"/>
              <w:bottom w:val="single" w:sz="4" w:space="0" w:color="auto"/>
              <w:right w:val="single" w:sz="4" w:space="0" w:color="auto"/>
            </w:tcBorders>
            <w:shd w:val="clear" w:color="auto" w:fill="153D63"/>
            <w:hideMark/>
          </w:tcPr>
          <w:p w14:paraId="634456AE" w14:textId="77777777" w:rsidR="005136D8" w:rsidRPr="005136D8" w:rsidRDefault="005136D8" w:rsidP="00ED639F">
            <w:pPr>
              <w:rPr>
                <w:rFonts w:cs="Arial"/>
                <w:b/>
                <w:bCs/>
                <w:color w:val="FFFFFF"/>
              </w:rPr>
            </w:pPr>
            <w:r w:rsidRPr="005136D8">
              <w:rPr>
                <w:rFonts w:cs="Arial"/>
                <w:b/>
                <w:bCs/>
                <w:color w:val="FFFFFF"/>
              </w:rPr>
              <w:t>Number of pharmacies that close at or before 1.00pm Saturdays</w:t>
            </w:r>
          </w:p>
        </w:tc>
        <w:tc>
          <w:tcPr>
            <w:tcW w:w="3118" w:type="dxa"/>
            <w:tcBorders>
              <w:top w:val="single" w:sz="4" w:space="0" w:color="auto"/>
              <w:left w:val="single" w:sz="4" w:space="0" w:color="auto"/>
              <w:bottom w:val="single" w:sz="4" w:space="0" w:color="auto"/>
              <w:right w:val="single" w:sz="4" w:space="0" w:color="auto"/>
            </w:tcBorders>
            <w:shd w:val="clear" w:color="auto" w:fill="153D63"/>
            <w:hideMark/>
          </w:tcPr>
          <w:p w14:paraId="4FBE2E7F" w14:textId="77777777" w:rsidR="005136D8" w:rsidRPr="005136D8" w:rsidRDefault="005136D8" w:rsidP="00ED639F">
            <w:pPr>
              <w:rPr>
                <w:rFonts w:cs="Arial"/>
                <w:b/>
                <w:bCs/>
                <w:color w:val="FFFFFF"/>
              </w:rPr>
            </w:pPr>
            <w:r w:rsidRPr="005136D8">
              <w:rPr>
                <w:rFonts w:cs="Arial"/>
                <w:b/>
                <w:bCs/>
                <w:color w:val="FFFFFF"/>
              </w:rPr>
              <w:t>Number of pharmacies open after 1.00pm Saturdays</w:t>
            </w:r>
          </w:p>
        </w:tc>
      </w:tr>
      <w:tr w:rsidR="005136D8" w:rsidRPr="005136D8" w14:paraId="6A3D61BC" w14:textId="77777777" w:rsidTr="005136D8">
        <w:tc>
          <w:tcPr>
            <w:tcW w:w="1803" w:type="dxa"/>
            <w:tcBorders>
              <w:top w:val="single" w:sz="4" w:space="0" w:color="auto"/>
              <w:left w:val="single" w:sz="4" w:space="0" w:color="auto"/>
              <w:bottom w:val="single" w:sz="4" w:space="0" w:color="auto"/>
              <w:right w:val="single" w:sz="4" w:space="0" w:color="auto"/>
            </w:tcBorders>
            <w:hideMark/>
          </w:tcPr>
          <w:p w14:paraId="0846FA0E" w14:textId="77777777" w:rsidR="005136D8" w:rsidRPr="005136D8" w:rsidRDefault="005136D8" w:rsidP="00ED639F">
            <w:pPr>
              <w:rPr>
                <w:rFonts w:cs="Arial"/>
              </w:rPr>
            </w:pPr>
            <w:r w:rsidRPr="005136D8">
              <w:rPr>
                <w:rFonts w:eastAsia="Arial" w:cs="Arial"/>
                <w:spacing w:val="-5"/>
                <w:kern w:val="0"/>
                <w:lang w:val="en-US"/>
                <w14:ligatures w14:val="none"/>
              </w:rPr>
              <w:t>Bay</w:t>
            </w:r>
          </w:p>
        </w:tc>
        <w:tc>
          <w:tcPr>
            <w:tcW w:w="3154" w:type="dxa"/>
            <w:tcBorders>
              <w:top w:val="single" w:sz="4" w:space="0" w:color="auto"/>
              <w:left w:val="single" w:sz="4" w:space="0" w:color="auto"/>
              <w:bottom w:val="single" w:sz="4" w:space="0" w:color="auto"/>
              <w:right w:val="single" w:sz="4" w:space="0" w:color="auto"/>
            </w:tcBorders>
            <w:hideMark/>
          </w:tcPr>
          <w:p w14:paraId="25F3A42F" w14:textId="77777777" w:rsidR="005136D8" w:rsidRPr="005136D8" w:rsidRDefault="005136D8" w:rsidP="00ED639F">
            <w:pPr>
              <w:jc w:val="center"/>
              <w:rPr>
                <w:rFonts w:cs="Arial"/>
              </w:rPr>
            </w:pPr>
            <w:r w:rsidRPr="005136D8">
              <w:rPr>
                <w:rFonts w:cs="Arial"/>
              </w:rPr>
              <w:t>5</w:t>
            </w:r>
          </w:p>
        </w:tc>
        <w:tc>
          <w:tcPr>
            <w:tcW w:w="3118" w:type="dxa"/>
            <w:tcBorders>
              <w:top w:val="single" w:sz="4" w:space="0" w:color="auto"/>
              <w:left w:val="single" w:sz="4" w:space="0" w:color="auto"/>
              <w:bottom w:val="single" w:sz="4" w:space="0" w:color="auto"/>
              <w:right w:val="single" w:sz="4" w:space="0" w:color="auto"/>
            </w:tcBorders>
            <w:hideMark/>
          </w:tcPr>
          <w:p w14:paraId="0EEE624A" w14:textId="77777777" w:rsidR="005136D8" w:rsidRPr="005136D8" w:rsidRDefault="005136D8" w:rsidP="00ED639F">
            <w:pPr>
              <w:jc w:val="center"/>
              <w:rPr>
                <w:rFonts w:cs="Arial"/>
              </w:rPr>
            </w:pPr>
            <w:r w:rsidRPr="005136D8">
              <w:rPr>
                <w:rFonts w:cs="Arial"/>
              </w:rPr>
              <w:t>2</w:t>
            </w:r>
          </w:p>
        </w:tc>
      </w:tr>
      <w:tr w:rsidR="005136D8" w:rsidRPr="005136D8" w14:paraId="0156CFE6" w14:textId="77777777" w:rsidTr="005136D8">
        <w:tc>
          <w:tcPr>
            <w:tcW w:w="1803" w:type="dxa"/>
            <w:tcBorders>
              <w:top w:val="single" w:sz="4" w:space="0" w:color="auto"/>
              <w:left w:val="single" w:sz="4" w:space="0" w:color="auto"/>
              <w:bottom w:val="single" w:sz="4" w:space="0" w:color="auto"/>
              <w:right w:val="single" w:sz="4" w:space="0" w:color="auto"/>
            </w:tcBorders>
            <w:hideMark/>
          </w:tcPr>
          <w:p w14:paraId="4FDB539F" w14:textId="77777777" w:rsidR="005136D8" w:rsidRPr="005136D8" w:rsidRDefault="005136D8" w:rsidP="00ED639F">
            <w:pPr>
              <w:rPr>
                <w:rFonts w:cs="Arial"/>
              </w:rPr>
            </w:pPr>
            <w:r w:rsidRPr="005136D8">
              <w:rPr>
                <w:rFonts w:eastAsia="Arial" w:cs="Arial"/>
                <w:spacing w:val="-4"/>
                <w:kern w:val="0"/>
                <w:lang w:val="en-US"/>
                <w14:ligatures w14:val="none"/>
              </w:rPr>
              <w:t>City</w:t>
            </w:r>
          </w:p>
        </w:tc>
        <w:tc>
          <w:tcPr>
            <w:tcW w:w="3154" w:type="dxa"/>
            <w:tcBorders>
              <w:top w:val="single" w:sz="4" w:space="0" w:color="auto"/>
              <w:left w:val="single" w:sz="4" w:space="0" w:color="auto"/>
              <w:bottom w:val="single" w:sz="4" w:space="0" w:color="auto"/>
              <w:right w:val="single" w:sz="4" w:space="0" w:color="auto"/>
            </w:tcBorders>
            <w:hideMark/>
          </w:tcPr>
          <w:p w14:paraId="2C23CAF0" w14:textId="77777777" w:rsidR="005136D8" w:rsidRPr="005136D8" w:rsidRDefault="005136D8" w:rsidP="00ED639F">
            <w:pPr>
              <w:jc w:val="center"/>
              <w:rPr>
                <w:rFonts w:cs="Arial"/>
              </w:rPr>
            </w:pPr>
            <w:r w:rsidRPr="005136D8">
              <w:rPr>
                <w:rFonts w:cs="Arial"/>
              </w:rPr>
              <w:t>2</w:t>
            </w:r>
          </w:p>
        </w:tc>
        <w:tc>
          <w:tcPr>
            <w:tcW w:w="3118" w:type="dxa"/>
            <w:tcBorders>
              <w:top w:val="single" w:sz="4" w:space="0" w:color="auto"/>
              <w:left w:val="single" w:sz="4" w:space="0" w:color="auto"/>
              <w:bottom w:val="single" w:sz="4" w:space="0" w:color="auto"/>
              <w:right w:val="single" w:sz="4" w:space="0" w:color="auto"/>
            </w:tcBorders>
            <w:hideMark/>
          </w:tcPr>
          <w:p w14:paraId="742D1A4C" w14:textId="77777777" w:rsidR="005136D8" w:rsidRPr="005136D8" w:rsidRDefault="005136D8" w:rsidP="00ED639F">
            <w:pPr>
              <w:jc w:val="center"/>
              <w:rPr>
                <w:rFonts w:cs="Arial"/>
              </w:rPr>
            </w:pPr>
            <w:r w:rsidRPr="005136D8">
              <w:rPr>
                <w:rFonts w:cs="Arial"/>
              </w:rPr>
              <w:t>2</w:t>
            </w:r>
          </w:p>
        </w:tc>
      </w:tr>
      <w:tr w:rsidR="005136D8" w:rsidRPr="005136D8" w14:paraId="4057C372" w14:textId="77777777" w:rsidTr="005136D8">
        <w:tc>
          <w:tcPr>
            <w:tcW w:w="1803" w:type="dxa"/>
            <w:tcBorders>
              <w:top w:val="single" w:sz="4" w:space="0" w:color="auto"/>
              <w:left w:val="single" w:sz="4" w:space="0" w:color="auto"/>
              <w:bottom w:val="single" w:sz="4" w:space="0" w:color="auto"/>
              <w:right w:val="single" w:sz="4" w:space="0" w:color="auto"/>
            </w:tcBorders>
            <w:hideMark/>
          </w:tcPr>
          <w:p w14:paraId="7A724873" w14:textId="77777777" w:rsidR="005136D8" w:rsidRPr="005136D8" w:rsidRDefault="005136D8" w:rsidP="00ED639F">
            <w:pPr>
              <w:rPr>
                <w:rFonts w:cs="Arial"/>
              </w:rPr>
            </w:pPr>
            <w:r w:rsidRPr="005136D8">
              <w:rPr>
                <w:rFonts w:eastAsia="Arial" w:cs="Arial"/>
                <w:spacing w:val="-2"/>
                <w:kern w:val="0"/>
                <w:lang w:val="en-US"/>
                <w14:ligatures w14:val="none"/>
              </w:rPr>
              <w:t>Cwmtawe</w:t>
            </w:r>
          </w:p>
        </w:tc>
        <w:tc>
          <w:tcPr>
            <w:tcW w:w="3154" w:type="dxa"/>
            <w:tcBorders>
              <w:top w:val="single" w:sz="4" w:space="0" w:color="auto"/>
              <w:left w:val="single" w:sz="4" w:space="0" w:color="auto"/>
              <w:bottom w:val="single" w:sz="4" w:space="0" w:color="auto"/>
              <w:right w:val="single" w:sz="4" w:space="0" w:color="auto"/>
            </w:tcBorders>
            <w:hideMark/>
          </w:tcPr>
          <w:p w14:paraId="0D524FD4" w14:textId="3E70E57C" w:rsidR="005136D8" w:rsidRPr="005136D8" w:rsidRDefault="00B1552F" w:rsidP="00ED639F">
            <w:pPr>
              <w:jc w:val="center"/>
              <w:rPr>
                <w:rFonts w:cs="Arial"/>
              </w:rPr>
            </w:pPr>
            <w:r>
              <w:rPr>
                <w:rFonts w:cs="Arial"/>
              </w:rPr>
              <w:t>3</w:t>
            </w:r>
          </w:p>
        </w:tc>
        <w:tc>
          <w:tcPr>
            <w:tcW w:w="3118" w:type="dxa"/>
            <w:tcBorders>
              <w:top w:val="single" w:sz="4" w:space="0" w:color="auto"/>
              <w:left w:val="single" w:sz="4" w:space="0" w:color="auto"/>
              <w:bottom w:val="single" w:sz="4" w:space="0" w:color="auto"/>
              <w:right w:val="single" w:sz="4" w:space="0" w:color="auto"/>
            </w:tcBorders>
            <w:hideMark/>
          </w:tcPr>
          <w:p w14:paraId="29CD342F" w14:textId="77777777" w:rsidR="005136D8" w:rsidRPr="005136D8" w:rsidRDefault="005136D8" w:rsidP="00ED639F">
            <w:pPr>
              <w:jc w:val="center"/>
              <w:rPr>
                <w:rFonts w:cs="Arial"/>
              </w:rPr>
            </w:pPr>
            <w:r w:rsidRPr="005136D8">
              <w:rPr>
                <w:rFonts w:cs="Arial"/>
              </w:rPr>
              <w:t>0</w:t>
            </w:r>
          </w:p>
        </w:tc>
      </w:tr>
      <w:tr w:rsidR="005136D8" w:rsidRPr="005136D8" w14:paraId="183828CE" w14:textId="77777777" w:rsidTr="005136D8">
        <w:tc>
          <w:tcPr>
            <w:tcW w:w="1803" w:type="dxa"/>
            <w:tcBorders>
              <w:top w:val="single" w:sz="4" w:space="0" w:color="auto"/>
              <w:left w:val="single" w:sz="4" w:space="0" w:color="auto"/>
              <w:bottom w:val="single" w:sz="4" w:space="0" w:color="auto"/>
              <w:right w:val="single" w:sz="4" w:space="0" w:color="auto"/>
            </w:tcBorders>
            <w:hideMark/>
          </w:tcPr>
          <w:p w14:paraId="01F1B420" w14:textId="77777777" w:rsidR="005136D8" w:rsidRPr="005136D8" w:rsidRDefault="005136D8" w:rsidP="00ED639F">
            <w:pPr>
              <w:rPr>
                <w:rFonts w:cs="Arial"/>
              </w:rPr>
            </w:pPr>
            <w:r w:rsidRPr="005136D8">
              <w:rPr>
                <w:rFonts w:eastAsia="Arial" w:cs="Arial"/>
                <w:spacing w:val="-2"/>
                <w:kern w:val="0"/>
                <w:lang w:val="en-US"/>
                <w14:ligatures w14:val="none"/>
              </w:rPr>
              <w:t>Llwchwr</w:t>
            </w:r>
          </w:p>
        </w:tc>
        <w:tc>
          <w:tcPr>
            <w:tcW w:w="3154" w:type="dxa"/>
            <w:tcBorders>
              <w:top w:val="single" w:sz="4" w:space="0" w:color="auto"/>
              <w:left w:val="single" w:sz="4" w:space="0" w:color="auto"/>
              <w:bottom w:val="single" w:sz="4" w:space="0" w:color="auto"/>
              <w:right w:val="single" w:sz="4" w:space="0" w:color="auto"/>
            </w:tcBorders>
            <w:hideMark/>
          </w:tcPr>
          <w:p w14:paraId="3097DC95" w14:textId="77777777" w:rsidR="005136D8" w:rsidRPr="005136D8" w:rsidRDefault="005136D8" w:rsidP="00ED639F">
            <w:pPr>
              <w:jc w:val="center"/>
              <w:rPr>
                <w:rFonts w:cs="Arial"/>
              </w:rPr>
            </w:pPr>
            <w:r w:rsidRPr="005136D8">
              <w:rPr>
                <w:rFonts w:cs="Arial"/>
              </w:rPr>
              <w:t>4</w:t>
            </w:r>
          </w:p>
        </w:tc>
        <w:tc>
          <w:tcPr>
            <w:tcW w:w="3118" w:type="dxa"/>
            <w:tcBorders>
              <w:top w:val="single" w:sz="4" w:space="0" w:color="auto"/>
              <w:left w:val="single" w:sz="4" w:space="0" w:color="auto"/>
              <w:bottom w:val="single" w:sz="4" w:space="0" w:color="auto"/>
              <w:right w:val="single" w:sz="4" w:space="0" w:color="auto"/>
            </w:tcBorders>
            <w:hideMark/>
          </w:tcPr>
          <w:p w14:paraId="4CF6195F" w14:textId="77777777" w:rsidR="005136D8" w:rsidRPr="005136D8" w:rsidRDefault="005136D8" w:rsidP="00ED639F">
            <w:pPr>
              <w:jc w:val="center"/>
              <w:rPr>
                <w:rFonts w:cs="Arial"/>
              </w:rPr>
            </w:pPr>
            <w:r w:rsidRPr="005136D8">
              <w:rPr>
                <w:rFonts w:cs="Arial"/>
              </w:rPr>
              <w:t>1</w:t>
            </w:r>
          </w:p>
        </w:tc>
      </w:tr>
      <w:tr w:rsidR="005136D8" w:rsidRPr="005136D8" w14:paraId="26844EA1" w14:textId="77777777" w:rsidTr="005136D8">
        <w:tc>
          <w:tcPr>
            <w:tcW w:w="1803" w:type="dxa"/>
            <w:tcBorders>
              <w:top w:val="single" w:sz="4" w:space="0" w:color="auto"/>
              <w:left w:val="single" w:sz="4" w:space="0" w:color="auto"/>
              <w:bottom w:val="single" w:sz="4" w:space="0" w:color="auto"/>
              <w:right w:val="single" w:sz="4" w:space="0" w:color="auto"/>
            </w:tcBorders>
            <w:hideMark/>
          </w:tcPr>
          <w:p w14:paraId="3D8231C4" w14:textId="77777777" w:rsidR="005136D8" w:rsidRPr="005136D8" w:rsidRDefault="005136D8" w:rsidP="00ED639F">
            <w:pPr>
              <w:rPr>
                <w:rFonts w:cs="Arial"/>
              </w:rPr>
            </w:pPr>
            <w:r w:rsidRPr="005136D8">
              <w:rPr>
                <w:rFonts w:eastAsia="Arial" w:cs="Arial"/>
                <w:spacing w:val="-2"/>
                <w:kern w:val="0"/>
                <w:lang w:val="en-US"/>
                <w14:ligatures w14:val="none"/>
              </w:rPr>
              <w:t>Penderi</w:t>
            </w:r>
          </w:p>
        </w:tc>
        <w:tc>
          <w:tcPr>
            <w:tcW w:w="3154" w:type="dxa"/>
            <w:tcBorders>
              <w:top w:val="single" w:sz="4" w:space="0" w:color="auto"/>
              <w:left w:val="single" w:sz="4" w:space="0" w:color="auto"/>
              <w:bottom w:val="single" w:sz="4" w:space="0" w:color="auto"/>
              <w:right w:val="single" w:sz="4" w:space="0" w:color="auto"/>
            </w:tcBorders>
            <w:hideMark/>
          </w:tcPr>
          <w:p w14:paraId="46BBF841" w14:textId="77777777" w:rsidR="005136D8" w:rsidRPr="005136D8" w:rsidRDefault="005136D8" w:rsidP="00ED639F">
            <w:pPr>
              <w:jc w:val="center"/>
              <w:rPr>
                <w:rFonts w:cs="Arial"/>
              </w:rPr>
            </w:pPr>
            <w:r w:rsidRPr="005136D8">
              <w:rPr>
                <w:rFonts w:cs="Arial"/>
              </w:rPr>
              <w:t>0</w:t>
            </w:r>
          </w:p>
        </w:tc>
        <w:tc>
          <w:tcPr>
            <w:tcW w:w="3118" w:type="dxa"/>
            <w:tcBorders>
              <w:top w:val="single" w:sz="4" w:space="0" w:color="auto"/>
              <w:left w:val="single" w:sz="4" w:space="0" w:color="auto"/>
              <w:bottom w:val="single" w:sz="4" w:space="0" w:color="auto"/>
              <w:right w:val="single" w:sz="4" w:space="0" w:color="auto"/>
            </w:tcBorders>
            <w:hideMark/>
          </w:tcPr>
          <w:p w14:paraId="342FBD77" w14:textId="77777777" w:rsidR="005136D8" w:rsidRPr="005136D8" w:rsidRDefault="005136D8" w:rsidP="00ED639F">
            <w:pPr>
              <w:jc w:val="center"/>
              <w:rPr>
                <w:rFonts w:cs="Arial"/>
              </w:rPr>
            </w:pPr>
            <w:r w:rsidRPr="005136D8">
              <w:rPr>
                <w:rFonts w:cs="Arial"/>
              </w:rPr>
              <w:t>2</w:t>
            </w:r>
          </w:p>
        </w:tc>
      </w:tr>
      <w:tr w:rsidR="005136D8" w:rsidRPr="005136D8" w14:paraId="49E572E6" w14:textId="77777777" w:rsidTr="005136D8">
        <w:tc>
          <w:tcPr>
            <w:tcW w:w="1803" w:type="dxa"/>
            <w:tcBorders>
              <w:top w:val="single" w:sz="4" w:space="0" w:color="auto"/>
              <w:left w:val="single" w:sz="4" w:space="0" w:color="auto"/>
              <w:bottom w:val="single" w:sz="4" w:space="0" w:color="auto"/>
              <w:right w:val="single" w:sz="4" w:space="0" w:color="auto"/>
            </w:tcBorders>
            <w:hideMark/>
          </w:tcPr>
          <w:p w14:paraId="3CC94C82" w14:textId="77777777" w:rsidR="005136D8" w:rsidRPr="005136D8" w:rsidRDefault="005136D8" w:rsidP="00ED639F">
            <w:pPr>
              <w:rPr>
                <w:rFonts w:cs="Arial"/>
              </w:rPr>
            </w:pPr>
            <w:r w:rsidRPr="005136D8">
              <w:rPr>
                <w:rFonts w:eastAsia="Arial" w:cs="Arial"/>
                <w:spacing w:val="-4"/>
                <w:kern w:val="0"/>
                <w:lang w:val="en-US"/>
                <w14:ligatures w14:val="none"/>
              </w:rPr>
              <w:t>Afan</w:t>
            </w:r>
          </w:p>
        </w:tc>
        <w:tc>
          <w:tcPr>
            <w:tcW w:w="3154" w:type="dxa"/>
            <w:tcBorders>
              <w:top w:val="single" w:sz="4" w:space="0" w:color="auto"/>
              <w:left w:val="single" w:sz="4" w:space="0" w:color="auto"/>
              <w:bottom w:val="single" w:sz="4" w:space="0" w:color="auto"/>
              <w:right w:val="single" w:sz="4" w:space="0" w:color="auto"/>
            </w:tcBorders>
            <w:hideMark/>
          </w:tcPr>
          <w:p w14:paraId="1188DEC9" w14:textId="77777777" w:rsidR="005136D8" w:rsidRPr="005136D8" w:rsidRDefault="005136D8" w:rsidP="00ED639F">
            <w:pPr>
              <w:jc w:val="center"/>
              <w:rPr>
                <w:rFonts w:cs="Arial"/>
              </w:rPr>
            </w:pPr>
            <w:r w:rsidRPr="005136D8">
              <w:rPr>
                <w:rFonts w:cs="Arial"/>
              </w:rPr>
              <w:t>6</w:t>
            </w:r>
          </w:p>
        </w:tc>
        <w:tc>
          <w:tcPr>
            <w:tcW w:w="3118" w:type="dxa"/>
            <w:tcBorders>
              <w:top w:val="single" w:sz="4" w:space="0" w:color="auto"/>
              <w:left w:val="single" w:sz="4" w:space="0" w:color="auto"/>
              <w:bottom w:val="single" w:sz="4" w:space="0" w:color="auto"/>
              <w:right w:val="single" w:sz="4" w:space="0" w:color="auto"/>
            </w:tcBorders>
            <w:hideMark/>
          </w:tcPr>
          <w:p w14:paraId="4AD78A67" w14:textId="77777777" w:rsidR="005136D8" w:rsidRPr="005136D8" w:rsidRDefault="005136D8" w:rsidP="00ED639F">
            <w:pPr>
              <w:jc w:val="center"/>
              <w:rPr>
                <w:rFonts w:cs="Arial"/>
              </w:rPr>
            </w:pPr>
            <w:r w:rsidRPr="005136D8">
              <w:rPr>
                <w:rFonts w:cs="Arial"/>
              </w:rPr>
              <w:t>1</w:t>
            </w:r>
          </w:p>
        </w:tc>
      </w:tr>
      <w:tr w:rsidR="005136D8" w:rsidRPr="005136D8" w14:paraId="201E544C" w14:textId="77777777" w:rsidTr="005136D8">
        <w:tc>
          <w:tcPr>
            <w:tcW w:w="1803" w:type="dxa"/>
            <w:tcBorders>
              <w:top w:val="single" w:sz="4" w:space="0" w:color="auto"/>
              <w:left w:val="single" w:sz="4" w:space="0" w:color="auto"/>
              <w:bottom w:val="single" w:sz="4" w:space="0" w:color="auto"/>
              <w:right w:val="single" w:sz="4" w:space="0" w:color="auto"/>
            </w:tcBorders>
            <w:hideMark/>
          </w:tcPr>
          <w:p w14:paraId="0275C776" w14:textId="77777777" w:rsidR="005136D8" w:rsidRPr="005136D8" w:rsidRDefault="005136D8" w:rsidP="00ED639F">
            <w:pPr>
              <w:rPr>
                <w:rFonts w:cs="Arial"/>
              </w:rPr>
            </w:pPr>
            <w:r w:rsidRPr="005136D8">
              <w:rPr>
                <w:rFonts w:eastAsia="Arial" w:cs="Arial"/>
                <w:spacing w:val="-4"/>
                <w:kern w:val="0"/>
                <w:lang w:val="en-US"/>
                <w14:ligatures w14:val="none"/>
              </w:rPr>
              <w:t>Neath</w:t>
            </w:r>
          </w:p>
        </w:tc>
        <w:tc>
          <w:tcPr>
            <w:tcW w:w="3154" w:type="dxa"/>
            <w:tcBorders>
              <w:top w:val="single" w:sz="4" w:space="0" w:color="auto"/>
              <w:left w:val="single" w:sz="4" w:space="0" w:color="auto"/>
              <w:bottom w:val="single" w:sz="4" w:space="0" w:color="auto"/>
              <w:right w:val="single" w:sz="4" w:space="0" w:color="auto"/>
            </w:tcBorders>
            <w:hideMark/>
          </w:tcPr>
          <w:p w14:paraId="7B71AE8A" w14:textId="77777777" w:rsidR="005136D8" w:rsidRPr="005136D8" w:rsidRDefault="005136D8" w:rsidP="00ED639F">
            <w:pPr>
              <w:jc w:val="center"/>
              <w:rPr>
                <w:rFonts w:cs="Arial"/>
              </w:rPr>
            </w:pPr>
            <w:r w:rsidRPr="005136D8">
              <w:rPr>
                <w:rFonts w:cs="Arial"/>
              </w:rPr>
              <w:t>3</w:t>
            </w:r>
          </w:p>
        </w:tc>
        <w:tc>
          <w:tcPr>
            <w:tcW w:w="3118" w:type="dxa"/>
            <w:tcBorders>
              <w:top w:val="single" w:sz="4" w:space="0" w:color="auto"/>
              <w:left w:val="single" w:sz="4" w:space="0" w:color="auto"/>
              <w:bottom w:val="single" w:sz="4" w:space="0" w:color="auto"/>
              <w:right w:val="single" w:sz="4" w:space="0" w:color="auto"/>
            </w:tcBorders>
            <w:hideMark/>
          </w:tcPr>
          <w:p w14:paraId="5341D893" w14:textId="77777777" w:rsidR="005136D8" w:rsidRPr="005136D8" w:rsidRDefault="005136D8" w:rsidP="00ED639F">
            <w:pPr>
              <w:jc w:val="center"/>
              <w:rPr>
                <w:rFonts w:cs="Arial"/>
              </w:rPr>
            </w:pPr>
            <w:r w:rsidRPr="005136D8">
              <w:rPr>
                <w:rFonts w:cs="Arial"/>
              </w:rPr>
              <w:t>1</w:t>
            </w:r>
          </w:p>
        </w:tc>
      </w:tr>
      <w:tr w:rsidR="005136D8" w:rsidRPr="005136D8" w14:paraId="704B95F5" w14:textId="77777777" w:rsidTr="005136D8">
        <w:tc>
          <w:tcPr>
            <w:tcW w:w="1803" w:type="dxa"/>
            <w:tcBorders>
              <w:top w:val="single" w:sz="4" w:space="0" w:color="auto"/>
              <w:left w:val="single" w:sz="4" w:space="0" w:color="auto"/>
              <w:bottom w:val="single" w:sz="4" w:space="0" w:color="auto"/>
              <w:right w:val="single" w:sz="4" w:space="0" w:color="auto"/>
            </w:tcBorders>
            <w:hideMark/>
          </w:tcPr>
          <w:p w14:paraId="4694B9BB" w14:textId="77777777" w:rsidR="005136D8" w:rsidRPr="005136D8" w:rsidRDefault="005136D8" w:rsidP="00ED639F">
            <w:pPr>
              <w:rPr>
                <w:rFonts w:cs="Arial"/>
              </w:rPr>
            </w:pPr>
            <w:r w:rsidRPr="005136D8">
              <w:rPr>
                <w:rFonts w:eastAsia="Arial" w:cs="Arial"/>
                <w:bCs/>
                <w:kern w:val="0"/>
                <w:lang w:val="en-US"/>
                <w14:ligatures w14:val="none"/>
              </w:rPr>
              <w:t>Upper</w:t>
            </w:r>
            <w:r w:rsidRPr="005136D8">
              <w:rPr>
                <w:rFonts w:eastAsia="Arial" w:cs="Arial"/>
                <w:bCs/>
                <w:spacing w:val="-3"/>
                <w:kern w:val="0"/>
                <w:lang w:val="en-US"/>
                <w14:ligatures w14:val="none"/>
              </w:rPr>
              <w:t xml:space="preserve"> </w:t>
            </w:r>
            <w:r w:rsidRPr="005136D8">
              <w:rPr>
                <w:rFonts w:eastAsia="Arial" w:cs="Arial"/>
                <w:bCs/>
                <w:spacing w:val="-2"/>
                <w:kern w:val="0"/>
                <w:lang w:val="en-US"/>
                <w14:ligatures w14:val="none"/>
              </w:rPr>
              <w:t>Valleys</w:t>
            </w:r>
          </w:p>
        </w:tc>
        <w:tc>
          <w:tcPr>
            <w:tcW w:w="3154" w:type="dxa"/>
            <w:tcBorders>
              <w:top w:val="single" w:sz="4" w:space="0" w:color="auto"/>
              <w:left w:val="single" w:sz="4" w:space="0" w:color="auto"/>
              <w:bottom w:val="single" w:sz="4" w:space="0" w:color="auto"/>
              <w:right w:val="single" w:sz="4" w:space="0" w:color="auto"/>
            </w:tcBorders>
            <w:hideMark/>
          </w:tcPr>
          <w:p w14:paraId="52A617C5" w14:textId="77777777" w:rsidR="005136D8" w:rsidRPr="005136D8" w:rsidRDefault="005136D8" w:rsidP="00ED639F">
            <w:pPr>
              <w:jc w:val="center"/>
              <w:rPr>
                <w:rFonts w:cs="Arial"/>
              </w:rPr>
            </w:pPr>
            <w:r w:rsidRPr="005136D8">
              <w:rPr>
                <w:rFonts w:cs="Arial"/>
              </w:rPr>
              <w:t>8</w:t>
            </w:r>
          </w:p>
        </w:tc>
        <w:tc>
          <w:tcPr>
            <w:tcW w:w="3118" w:type="dxa"/>
            <w:tcBorders>
              <w:top w:val="single" w:sz="4" w:space="0" w:color="auto"/>
              <w:left w:val="single" w:sz="4" w:space="0" w:color="auto"/>
              <w:bottom w:val="single" w:sz="4" w:space="0" w:color="auto"/>
              <w:right w:val="single" w:sz="4" w:space="0" w:color="auto"/>
            </w:tcBorders>
            <w:hideMark/>
          </w:tcPr>
          <w:p w14:paraId="48EABC6E" w14:textId="77777777" w:rsidR="005136D8" w:rsidRPr="005136D8" w:rsidRDefault="005136D8" w:rsidP="00ED639F">
            <w:pPr>
              <w:jc w:val="center"/>
              <w:rPr>
                <w:rFonts w:cs="Arial"/>
              </w:rPr>
            </w:pPr>
            <w:r w:rsidRPr="005136D8">
              <w:rPr>
                <w:rFonts w:cs="Arial"/>
              </w:rPr>
              <w:t>0</w:t>
            </w:r>
          </w:p>
        </w:tc>
      </w:tr>
    </w:tbl>
    <w:p w14:paraId="1EC4DB95" w14:textId="77777777" w:rsidR="005136D8" w:rsidRPr="005136D8" w:rsidRDefault="005136D8" w:rsidP="00ED639F">
      <w:pPr>
        <w:rPr>
          <w:rFonts w:eastAsia="Aptos" w:cs="Arial"/>
        </w:rPr>
      </w:pPr>
    </w:p>
    <w:p w14:paraId="0128951C" w14:textId="77777777" w:rsidR="005136D8" w:rsidRPr="005136D8" w:rsidRDefault="005136D8" w:rsidP="00ED639F">
      <w:pPr>
        <w:widowControl w:val="0"/>
        <w:autoSpaceDE w:val="0"/>
        <w:autoSpaceDN w:val="0"/>
        <w:rPr>
          <w:rFonts w:eastAsia="Arial" w:cs="Arial"/>
          <w:spacing w:val="-2"/>
          <w:kern w:val="0"/>
          <w:lang w:val="en-US"/>
          <w14:ligatures w14:val="none"/>
        </w:rPr>
      </w:pPr>
      <w:r w:rsidRPr="005136D8">
        <w:rPr>
          <w:rFonts w:eastAsia="Arial" w:cs="Arial"/>
          <w:kern w:val="0"/>
          <w:lang w:val="en-US"/>
          <w14:ligatures w14:val="none"/>
        </w:rPr>
        <w:t>41</w:t>
      </w:r>
      <w:r w:rsidRPr="005136D8">
        <w:rPr>
          <w:rFonts w:eastAsia="Arial" w:cs="Arial"/>
          <w:spacing w:val="-5"/>
          <w:kern w:val="0"/>
          <w:lang w:val="en-US"/>
          <w14:ligatures w14:val="none"/>
        </w:rPr>
        <w:t xml:space="preserve"> </w:t>
      </w:r>
      <w:r w:rsidRPr="005136D8">
        <w:rPr>
          <w:rFonts w:eastAsia="Arial" w:cs="Arial"/>
          <w:kern w:val="0"/>
          <w:lang w:val="en-US"/>
          <w14:ligatures w14:val="none"/>
        </w:rPr>
        <w:t>of</w:t>
      </w:r>
      <w:r w:rsidRPr="005136D8">
        <w:rPr>
          <w:rFonts w:eastAsia="Arial" w:cs="Arial"/>
          <w:spacing w:val="-1"/>
          <w:kern w:val="0"/>
          <w:lang w:val="en-US"/>
          <w14:ligatures w14:val="none"/>
        </w:rPr>
        <w:t xml:space="preserve"> </w:t>
      </w:r>
      <w:r w:rsidRPr="005136D8">
        <w:rPr>
          <w:rFonts w:eastAsia="Arial" w:cs="Arial"/>
          <w:kern w:val="0"/>
          <w:lang w:val="en-US"/>
          <w14:ligatures w14:val="none"/>
        </w:rPr>
        <w:t>the</w:t>
      </w:r>
      <w:r w:rsidRPr="005136D8">
        <w:rPr>
          <w:rFonts w:eastAsia="Arial" w:cs="Arial"/>
          <w:spacing w:val="-5"/>
          <w:kern w:val="0"/>
          <w:lang w:val="en-US"/>
          <w14:ligatures w14:val="none"/>
        </w:rPr>
        <w:t xml:space="preserve"> </w:t>
      </w:r>
      <w:r w:rsidRPr="005136D8">
        <w:rPr>
          <w:rFonts w:eastAsia="Arial" w:cs="Arial"/>
          <w:kern w:val="0"/>
          <w:lang w:val="en-US"/>
          <w14:ligatures w14:val="none"/>
        </w:rPr>
        <w:t>90</w:t>
      </w:r>
      <w:r w:rsidRPr="005136D8">
        <w:rPr>
          <w:rFonts w:eastAsia="Arial" w:cs="Arial"/>
          <w:spacing w:val="-3"/>
          <w:kern w:val="0"/>
          <w:lang w:val="en-US"/>
          <w14:ligatures w14:val="none"/>
        </w:rPr>
        <w:t xml:space="preserve"> </w:t>
      </w:r>
      <w:r w:rsidRPr="005136D8">
        <w:rPr>
          <w:rFonts w:eastAsia="Arial" w:cs="Arial"/>
          <w:kern w:val="0"/>
          <w:lang w:val="en-US"/>
          <w14:ligatures w14:val="none"/>
        </w:rPr>
        <w:t>pharmacies are</w:t>
      </w:r>
      <w:r w:rsidRPr="005136D8">
        <w:rPr>
          <w:rFonts w:eastAsia="Arial" w:cs="Arial"/>
          <w:spacing w:val="-5"/>
          <w:kern w:val="0"/>
          <w:lang w:val="en-US"/>
          <w14:ligatures w14:val="none"/>
        </w:rPr>
        <w:t xml:space="preserve"> </w:t>
      </w:r>
      <w:r w:rsidRPr="005136D8">
        <w:rPr>
          <w:rFonts w:eastAsia="Arial" w:cs="Arial"/>
          <w:kern w:val="0"/>
          <w:lang w:val="en-US"/>
          <w14:ligatures w14:val="none"/>
        </w:rPr>
        <w:t>open</w:t>
      </w:r>
      <w:r w:rsidRPr="005136D8">
        <w:rPr>
          <w:rFonts w:eastAsia="Arial" w:cs="Arial"/>
          <w:spacing w:val="-3"/>
          <w:kern w:val="0"/>
          <w:lang w:val="en-US"/>
          <w14:ligatures w14:val="none"/>
        </w:rPr>
        <w:t xml:space="preserve"> </w:t>
      </w:r>
      <w:r w:rsidRPr="005136D8">
        <w:rPr>
          <w:rFonts w:eastAsia="Arial" w:cs="Arial"/>
          <w:kern w:val="0"/>
          <w:lang w:val="en-US"/>
          <w14:ligatures w14:val="none"/>
        </w:rPr>
        <w:t>on</w:t>
      </w:r>
      <w:r w:rsidRPr="005136D8">
        <w:rPr>
          <w:rFonts w:eastAsia="Arial" w:cs="Arial"/>
          <w:spacing w:val="-5"/>
          <w:kern w:val="0"/>
          <w:lang w:val="en-US"/>
          <w14:ligatures w14:val="none"/>
        </w:rPr>
        <w:t xml:space="preserve"> </w:t>
      </w:r>
      <w:r w:rsidRPr="005136D8">
        <w:rPr>
          <w:rFonts w:eastAsia="Arial" w:cs="Arial"/>
          <w:spacing w:val="-2"/>
          <w:kern w:val="0"/>
          <w:lang w:val="en-US"/>
          <w14:ligatures w14:val="none"/>
        </w:rPr>
        <w:t xml:space="preserve">Saturdays. </w:t>
      </w:r>
      <w:r w:rsidRPr="005136D8">
        <w:rPr>
          <w:rFonts w:eastAsia="Arial" w:cs="Arial"/>
          <w:kern w:val="0"/>
          <w:lang w:val="en-US"/>
          <w14:ligatures w14:val="none"/>
        </w:rPr>
        <w:t>32</w:t>
      </w:r>
      <w:r w:rsidRPr="005136D8">
        <w:rPr>
          <w:rFonts w:eastAsia="Arial" w:cs="Arial"/>
          <w:spacing w:val="-10"/>
          <w:kern w:val="0"/>
          <w:lang w:val="en-US"/>
          <w14:ligatures w14:val="none"/>
        </w:rPr>
        <w:t xml:space="preserve"> are </w:t>
      </w:r>
      <w:r w:rsidRPr="005136D8">
        <w:rPr>
          <w:rFonts w:eastAsia="Arial" w:cs="Arial"/>
          <w:kern w:val="0"/>
          <w:lang w:val="en-US"/>
          <w14:ligatures w14:val="none"/>
        </w:rPr>
        <w:t>open</w:t>
      </w:r>
      <w:r w:rsidRPr="005136D8">
        <w:rPr>
          <w:rFonts w:eastAsia="Arial" w:cs="Arial"/>
          <w:spacing w:val="-9"/>
          <w:kern w:val="0"/>
          <w:lang w:val="en-US"/>
          <w14:ligatures w14:val="none"/>
        </w:rPr>
        <w:t xml:space="preserve"> </w:t>
      </w:r>
      <w:r w:rsidRPr="005136D8">
        <w:rPr>
          <w:rFonts w:eastAsia="Arial" w:cs="Arial"/>
          <w:kern w:val="0"/>
          <w:lang w:val="en-US"/>
          <w14:ligatures w14:val="none"/>
        </w:rPr>
        <w:t>for</w:t>
      </w:r>
      <w:r w:rsidRPr="005136D8">
        <w:rPr>
          <w:rFonts w:eastAsia="Arial" w:cs="Arial"/>
          <w:spacing w:val="-8"/>
          <w:kern w:val="0"/>
          <w:lang w:val="en-US"/>
          <w14:ligatures w14:val="none"/>
        </w:rPr>
        <w:t xml:space="preserve"> up to </w:t>
      </w:r>
      <w:r w:rsidRPr="005136D8">
        <w:rPr>
          <w:rFonts w:eastAsia="Arial" w:cs="Arial"/>
          <w:kern w:val="0"/>
          <w:lang w:val="en-US"/>
          <w14:ligatures w14:val="none"/>
        </w:rPr>
        <w:t>half</w:t>
      </w:r>
      <w:r w:rsidRPr="005136D8">
        <w:rPr>
          <w:rFonts w:eastAsia="Arial" w:cs="Arial"/>
          <w:spacing w:val="-5"/>
          <w:kern w:val="0"/>
          <w:lang w:val="en-US"/>
          <w14:ligatures w14:val="none"/>
        </w:rPr>
        <w:t xml:space="preserve"> </w:t>
      </w:r>
      <w:r w:rsidRPr="005136D8">
        <w:rPr>
          <w:rFonts w:eastAsia="Arial" w:cs="Arial"/>
          <w:kern w:val="0"/>
          <w:lang w:val="en-US"/>
          <w14:ligatures w14:val="none"/>
        </w:rPr>
        <w:t>a</w:t>
      </w:r>
      <w:r w:rsidRPr="005136D8">
        <w:rPr>
          <w:rFonts w:eastAsia="Arial" w:cs="Arial"/>
          <w:spacing w:val="-6"/>
          <w:kern w:val="0"/>
          <w:lang w:val="en-US"/>
          <w14:ligatures w14:val="none"/>
        </w:rPr>
        <w:t xml:space="preserve"> </w:t>
      </w:r>
      <w:r w:rsidRPr="005136D8">
        <w:rPr>
          <w:rFonts w:eastAsia="Arial" w:cs="Arial"/>
          <w:kern w:val="0"/>
          <w:lang w:val="en-US"/>
          <w14:ligatures w14:val="none"/>
        </w:rPr>
        <w:t>day,</w:t>
      </w:r>
      <w:r w:rsidRPr="005136D8">
        <w:rPr>
          <w:rFonts w:eastAsia="Arial" w:cs="Arial"/>
          <w:spacing w:val="-8"/>
          <w:kern w:val="0"/>
          <w:lang w:val="en-US"/>
          <w14:ligatures w14:val="none"/>
        </w:rPr>
        <w:t xml:space="preserve"> </w:t>
      </w:r>
      <w:r w:rsidRPr="005136D8">
        <w:rPr>
          <w:rFonts w:eastAsia="Arial" w:cs="Arial"/>
          <w:kern w:val="0"/>
          <w:lang w:val="en-US"/>
          <w14:ligatures w14:val="none"/>
        </w:rPr>
        <w:t>typically</w:t>
      </w:r>
      <w:r w:rsidRPr="005136D8">
        <w:rPr>
          <w:rFonts w:eastAsia="Arial" w:cs="Arial"/>
          <w:spacing w:val="-8"/>
          <w:kern w:val="0"/>
          <w:lang w:val="en-US"/>
          <w14:ligatures w14:val="none"/>
        </w:rPr>
        <w:t xml:space="preserve"> </w:t>
      </w:r>
      <w:r w:rsidRPr="005136D8">
        <w:rPr>
          <w:rFonts w:eastAsia="Arial" w:cs="Arial"/>
          <w:kern w:val="0"/>
          <w:lang w:val="en-US"/>
          <w14:ligatures w14:val="none"/>
        </w:rPr>
        <w:t>9.00am</w:t>
      </w:r>
      <w:r w:rsidRPr="005136D8">
        <w:rPr>
          <w:rFonts w:eastAsia="Arial" w:cs="Arial"/>
          <w:spacing w:val="-7"/>
          <w:kern w:val="0"/>
          <w:lang w:val="en-US"/>
          <w14:ligatures w14:val="none"/>
        </w:rPr>
        <w:t xml:space="preserve"> </w:t>
      </w:r>
      <w:r w:rsidRPr="005136D8">
        <w:rPr>
          <w:rFonts w:eastAsia="Arial" w:cs="Arial"/>
          <w:kern w:val="0"/>
          <w:lang w:val="en-US"/>
          <w14:ligatures w14:val="none"/>
        </w:rPr>
        <w:t>-</w:t>
      </w:r>
      <w:r w:rsidRPr="005136D8">
        <w:rPr>
          <w:rFonts w:eastAsia="Arial" w:cs="Arial"/>
          <w:spacing w:val="-5"/>
          <w:kern w:val="0"/>
          <w:lang w:val="en-US"/>
          <w14:ligatures w14:val="none"/>
        </w:rPr>
        <w:t xml:space="preserve"> </w:t>
      </w:r>
      <w:r w:rsidRPr="005136D8">
        <w:rPr>
          <w:rFonts w:eastAsia="Arial" w:cs="Arial"/>
          <w:kern w:val="0"/>
          <w:lang w:val="en-US"/>
          <w14:ligatures w14:val="none"/>
        </w:rPr>
        <w:t>1.00pm</w:t>
      </w:r>
      <w:r w:rsidRPr="005136D8">
        <w:rPr>
          <w:rFonts w:eastAsia="Arial" w:cs="Arial"/>
          <w:spacing w:val="-8"/>
          <w:kern w:val="0"/>
          <w:lang w:val="en-US"/>
          <w14:ligatures w14:val="none"/>
        </w:rPr>
        <w:t xml:space="preserve"> </w:t>
      </w:r>
      <w:r w:rsidRPr="005136D8">
        <w:rPr>
          <w:rFonts w:eastAsia="Arial" w:cs="Arial"/>
          <w:kern w:val="0"/>
          <w:lang w:val="en-US"/>
          <w14:ligatures w14:val="none"/>
        </w:rPr>
        <w:t>and</w:t>
      </w:r>
      <w:r w:rsidRPr="005136D8">
        <w:rPr>
          <w:rFonts w:eastAsia="Arial" w:cs="Arial"/>
          <w:spacing w:val="-7"/>
          <w:kern w:val="0"/>
          <w:lang w:val="en-US"/>
          <w14:ligatures w14:val="none"/>
        </w:rPr>
        <w:t xml:space="preserve"> </w:t>
      </w:r>
      <w:r w:rsidRPr="005136D8">
        <w:rPr>
          <w:rFonts w:eastAsia="Arial" w:cs="Arial"/>
          <w:kern w:val="0"/>
          <w:lang w:val="en-US"/>
          <w14:ligatures w14:val="none"/>
        </w:rPr>
        <w:t>nine</w:t>
      </w:r>
      <w:r w:rsidRPr="005136D8">
        <w:rPr>
          <w:rFonts w:eastAsia="Arial" w:cs="Arial"/>
          <w:spacing w:val="-7"/>
          <w:kern w:val="0"/>
          <w:lang w:val="en-US"/>
          <w14:ligatures w14:val="none"/>
        </w:rPr>
        <w:t xml:space="preserve"> </w:t>
      </w:r>
      <w:r w:rsidRPr="005136D8">
        <w:rPr>
          <w:rFonts w:eastAsia="Arial" w:cs="Arial"/>
          <w:kern w:val="0"/>
          <w:lang w:val="en-US"/>
          <w14:ligatures w14:val="none"/>
        </w:rPr>
        <w:t>open</w:t>
      </w:r>
      <w:r w:rsidRPr="005136D8">
        <w:rPr>
          <w:rFonts w:eastAsia="Arial" w:cs="Arial"/>
          <w:spacing w:val="-9"/>
          <w:kern w:val="0"/>
          <w:lang w:val="en-US"/>
          <w14:ligatures w14:val="none"/>
        </w:rPr>
        <w:t xml:space="preserve"> </w:t>
      </w:r>
      <w:r w:rsidRPr="005136D8">
        <w:rPr>
          <w:rFonts w:eastAsia="Arial" w:cs="Arial"/>
          <w:kern w:val="0"/>
          <w:lang w:val="en-US"/>
          <w14:ligatures w14:val="none"/>
        </w:rPr>
        <w:t>for</w:t>
      </w:r>
      <w:r w:rsidRPr="005136D8">
        <w:rPr>
          <w:rFonts w:eastAsia="Arial" w:cs="Arial"/>
          <w:spacing w:val="-6"/>
          <w:kern w:val="0"/>
          <w:lang w:val="en-US"/>
          <w14:ligatures w14:val="none"/>
        </w:rPr>
        <w:t xml:space="preserve"> </w:t>
      </w:r>
      <w:r w:rsidRPr="005136D8">
        <w:rPr>
          <w:rFonts w:eastAsia="Arial" w:cs="Arial"/>
          <w:kern w:val="0"/>
          <w:lang w:val="en-US"/>
          <w14:ligatures w14:val="none"/>
        </w:rPr>
        <w:t>a</w:t>
      </w:r>
      <w:r w:rsidRPr="005136D8">
        <w:rPr>
          <w:rFonts w:eastAsia="Arial" w:cs="Arial"/>
          <w:spacing w:val="-11"/>
          <w:kern w:val="0"/>
          <w:lang w:val="en-US"/>
          <w14:ligatures w14:val="none"/>
        </w:rPr>
        <w:t xml:space="preserve"> </w:t>
      </w:r>
      <w:r w:rsidRPr="005136D8">
        <w:rPr>
          <w:rFonts w:eastAsia="Arial" w:cs="Arial"/>
          <w:kern w:val="0"/>
          <w:lang w:val="en-US"/>
          <w14:ligatures w14:val="none"/>
        </w:rPr>
        <w:t>full</w:t>
      </w:r>
      <w:r w:rsidRPr="005136D8">
        <w:rPr>
          <w:rFonts w:eastAsia="Arial" w:cs="Arial"/>
          <w:spacing w:val="-7"/>
          <w:kern w:val="0"/>
          <w:lang w:val="en-US"/>
          <w14:ligatures w14:val="none"/>
        </w:rPr>
        <w:t xml:space="preserve"> </w:t>
      </w:r>
      <w:r w:rsidRPr="005136D8">
        <w:rPr>
          <w:rFonts w:eastAsia="Arial" w:cs="Arial"/>
          <w:kern w:val="0"/>
          <w:lang w:val="en-US"/>
          <w14:ligatures w14:val="none"/>
        </w:rPr>
        <w:t>day</w:t>
      </w:r>
      <w:r w:rsidRPr="005136D8">
        <w:rPr>
          <w:rFonts w:eastAsia="Arial" w:cs="Arial"/>
          <w:spacing w:val="-8"/>
          <w:kern w:val="0"/>
          <w:lang w:val="en-US"/>
          <w14:ligatures w14:val="none"/>
        </w:rPr>
        <w:t xml:space="preserve"> </w:t>
      </w:r>
      <w:r w:rsidRPr="005136D8">
        <w:rPr>
          <w:rFonts w:eastAsia="Arial" w:cs="Arial"/>
          <w:kern w:val="0"/>
          <w:lang w:val="en-US"/>
          <w14:ligatures w14:val="none"/>
        </w:rPr>
        <w:t>typically</w:t>
      </w:r>
      <w:r w:rsidRPr="005136D8">
        <w:rPr>
          <w:rFonts w:eastAsia="Arial" w:cs="Arial"/>
          <w:spacing w:val="-8"/>
          <w:kern w:val="0"/>
          <w:lang w:val="en-US"/>
          <w14:ligatures w14:val="none"/>
        </w:rPr>
        <w:t xml:space="preserve"> </w:t>
      </w:r>
      <w:r w:rsidRPr="005136D8">
        <w:rPr>
          <w:rFonts w:eastAsia="Arial" w:cs="Arial"/>
          <w:spacing w:val="-2"/>
          <w:kern w:val="0"/>
          <w:lang w:val="en-US"/>
          <w14:ligatures w14:val="none"/>
        </w:rPr>
        <w:t xml:space="preserve">9.00am </w:t>
      </w:r>
      <w:r w:rsidRPr="005136D8">
        <w:rPr>
          <w:rFonts w:eastAsia="Arial" w:cs="Arial"/>
          <w:kern w:val="0"/>
          <w:lang w:val="en-US"/>
          <w14:ligatures w14:val="none"/>
        </w:rPr>
        <w:t>-</w:t>
      </w:r>
      <w:r w:rsidRPr="005136D8">
        <w:rPr>
          <w:rFonts w:eastAsia="Arial" w:cs="Arial"/>
          <w:spacing w:val="2"/>
          <w:kern w:val="0"/>
          <w:lang w:val="en-US"/>
          <w14:ligatures w14:val="none"/>
        </w:rPr>
        <w:t xml:space="preserve"> </w:t>
      </w:r>
      <w:r w:rsidRPr="005136D8">
        <w:rPr>
          <w:rFonts w:eastAsia="Arial" w:cs="Arial"/>
          <w:spacing w:val="-2"/>
          <w:kern w:val="0"/>
          <w:lang w:val="en-US"/>
          <w14:ligatures w14:val="none"/>
        </w:rPr>
        <w:t>5.30pm.</w:t>
      </w:r>
    </w:p>
    <w:p w14:paraId="0CED0C92" w14:textId="77777777" w:rsidR="005136D8" w:rsidRPr="005136D8" w:rsidRDefault="005136D8" w:rsidP="00ED639F">
      <w:pPr>
        <w:widowControl w:val="0"/>
        <w:autoSpaceDE w:val="0"/>
        <w:autoSpaceDN w:val="0"/>
        <w:rPr>
          <w:rFonts w:eastAsia="Arial" w:cs="Arial"/>
          <w:spacing w:val="-2"/>
          <w:kern w:val="0"/>
          <w:lang w:val="en-US"/>
          <w14:ligatures w14:val="none"/>
        </w:rPr>
      </w:pPr>
    </w:p>
    <w:p w14:paraId="7D07F5C2" w14:textId="77777777" w:rsidR="005136D8" w:rsidRPr="005136D8" w:rsidRDefault="005136D8" w:rsidP="00ED639F">
      <w:pPr>
        <w:widowControl w:val="0"/>
        <w:autoSpaceDE w:val="0"/>
        <w:autoSpaceDN w:val="0"/>
        <w:rPr>
          <w:rFonts w:eastAsia="Arial" w:cs="Arial"/>
          <w:spacing w:val="-2"/>
          <w:kern w:val="0"/>
          <w14:ligatures w14:val="none"/>
        </w:rPr>
      </w:pPr>
      <w:r w:rsidRPr="005136D8">
        <w:rPr>
          <w:rFonts w:eastAsia="Arial" w:cs="Arial"/>
          <w:spacing w:val="-2"/>
          <w:kern w:val="0"/>
          <w14:ligatures w14:val="none"/>
        </w:rPr>
        <w:t xml:space="preserve">10.9% of people who responded to the public engagement questionnaire said their preferred day to visit a pharmacy is weekends in general. </w:t>
      </w:r>
    </w:p>
    <w:p w14:paraId="356C0C13" w14:textId="77777777" w:rsidR="005136D8" w:rsidRPr="005136D8" w:rsidRDefault="005136D8" w:rsidP="00ED639F">
      <w:pPr>
        <w:widowControl w:val="0"/>
        <w:autoSpaceDE w:val="0"/>
        <w:autoSpaceDN w:val="0"/>
        <w:rPr>
          <w:rFonts w:eastAsia="Arial" w:cs="Arial"/>
          <w:kern w:val="0"/>
          <w:lang w:val="en-US"/>
          <w14:ligatures w14:val="none"/>
        </w:rPr>
      </w:pPr>
    </w:p>
    <w:p w14:paraId="0D18090D" w14:textId="77777777" w:rsidR="005136D8" w:rsidRPr="005136D8" w:rsidRDefault="005136D8" w:rsidP="00ED639F">
      <w:pPr>
        <w:rPr>
          <w:rFonts w:eastAsia="Aptos" w:cs="Arial"/>
        </w:rPr>
      </w:pPr>
      <w:r w:rsidRPr="005136D8">
        <w:rPr>
          <w:rFonts w:eastAsia="Aptos" w:cs="Arial"/>
        </w:rPr>
        <w:t>The health board has concluded that there are no current needs for the provision of essential services on Saturdays.</w:t>
      </w:r>
    </w:p>
    <w:p w14:paraId="6E1FEA86" w14:textId="77777777" w:rsidR="005136D8" w:rsidRPr="005136D8" w:rsidRDefault="005136D8" w:rsidP="00ED639F">
      <w:pPr>
        <w:rPr>
          <w:rFonts w:eastAsia="Aptos" w:cs="Arial"/>
        </w:rPr>
      </w:pPr>
    </w:p>
    <w:p w14:paraId="5974F65D" w14:textId="77777777" w:rsidR="005136D8" w:rsidRPr="005136D8" w:rsidRDefault="005136D8" w:rsidP="00ED639F">
      <w:pPr>
        <w:rPr>
          <w:rFonts w:eastAsia="Aptos" w:cs="Arial"/>
        </w:rPr>
      </w:pPr>
      <w:r w:rsidRPr="005136D8">
        <w:rPr>
          <w:rFonts w:eastAsia="Aptos" w:cs="Arial"/>
          <w:b/>
          <w:bCs/>
        </w:rPr>
        <w:t>Table 16.4: Number of pharmacies open on Sundays by locality</w:t>
      </w:r>
    </w:p>
    <w:p w14:paraId="771C25F9" w14:textId="77777777" w:rsidR="005136D8" w:rsidRPr="005136D8" w:rsidRDefault="005136D8" w:rsidP="00ED639F">
      <w:pPr>
        <w:rPr>
          <w:rFonts w:eastAsia="Aptos" w:cs="Arial"/>
        </w:rPr>
      </w:pPr>
    </w:p>
    <w:tbl>
      <w:tblPr>
        <w:tblStyle w:val="TableGrid"/>
        <w:tblW w:w="8784" w:type="dxa"/>
        <w:tblInd w:w="0" w:type="dxa"/>
        <w:tblLook w:val="04A0" w:firstRow="1" w:lastRow="0" w:firstColumn="1" w:lastColumn="0" w:noHBand="0" w:noVBand="1"/>
      </w:tblPr>
      <w:tblGrid>
        <w:gridCol w:w="3539"/>
        <w:gridCol w:w="5245"/>
      </w:tblGrid>
      <w:tr w:rsidR="005136D8" w:rsidRPr="005136D8" w14:paraId="09001D45" w14:textId="77777777" w:rsidTr="005136D8">
        <w:tc>
          <w:tcPr>
            <w:tcW w:w="3539" w:type="dxa"/>
            <w:tcBorders>
              <w:top w:val="single" w:sz="4" w:space="0" w:color="auto"/>
              <w:left w:val="single" w:sz="4" w:space="0" w:color="auto"/>
              <w:bottom w:val="single" w:sz="4" w:space="0" w:color="auto"/>
              <w:right w:val="single" w:sz="4" w:space="0" w:color="auto"/>
            </w:tcBorders>
            <w:shd w:val="clear" w:color="auto" w:fill="153D63"/>
            <w:hideMark/>
          </w:tcPr>
          <w:p w14:paraId="0DE9B9A5" w14:textId="77777777" w:rsidR="005136D8" w:rsidRPr="005136D8" w:rsidRDefault="005136D8" w:rsidP="00ED639F">
            <w:pPr>
              <w:rPr>
                <w:rFonts w:cs="Arial"/>
                <w:b/>
                <w:bCs/>
                <w:color w:val="FFFFFF"/>
              </w:rPr>
            </w:pPr>
            <w:r w:rsidRPr="005136D8">
              <w:rPr>
                <w:rFonts w:cs="Arial"/>
                <w:b/>
                <w:bCs/>
                <w:color w:val="FFFFFF"/>
              </w:rPr>
              <w:t>Locality</w:t>
            </w:r>
          </w:p>
        </w:tc>
        <w:tc>
          <w:tcPr>
            <w:tcW w:w="5245" w:type="dxa"/>
            <w:tcBorders>
              <w:top w:val="single" w:sz="4" w:space="0" w:color="auto"/>
              <w:left w:val="single" w:sz="4" w:space="0" w:color="auto"/>
              <w:bottom w:val="single" w:sz="4" w:space="0" w:color="auto"/>
              <w:right w:val="single" w:sz="4" w:space="0" w:color="auto"/>
            </w:tcBorders>
            <w:shd w:val="clear" w:color="auto" w:fill="153D63"/>
            <w:hideMark/>
          </w:tcPr>
          <w:p w14:paraId="5A83AFE7" w14:textId="77777777" w:rsidR="005136D8" w:rsidRPr="005136D8" w:rsidRDefault="005136D8" w:rsidP="00ED639F">
            <w:pPr>
              <w:rPr>
                <w:rFonts w:cs="Arial"/>
                <w:b/>
                <w:bCs/>
                <w:color w:val="FFFFFF"/>
              </w:rPr>
            </w:pPr>
            <w:r w:rsidRPr="005136D8">
              <w:rPr>
                <w:rFonts w:cs="Arial"/>
                <w:b/>
                <w:bCs/>
                <w:color w:val="FFFFFF"/>
              </w:rPr>
              <w:t>Number of pharmacies that are open on Sundays</w:t>
            </w:r>
          </w:p>
        </w:tc>
      </w:tr>
      <w:tr w:rsidR="005136D8" w:rsidRPr="005136D8" w14:paraId="301C6379" w14:textId="77777777" w:rsidTr="005136D8">
        <w:tc>
          <w:tcPr>
            <w:tcW w:w="3539" w:type="dxa"/>
            <w:tcBorders>
              <w:top w:val="single" w:sz="4" w:space="0" w:color="auto"/>
              <w:left w:val="single" w:sz="4" w:space="0" w:color="auto"/>
              <w:bottom w:val="single" w:sz="4" w:space="0" w:color="auto"/>
              <w:right w:val="single" w:sz="4" w:space="0" w:color="auto"/>
            </w:tcBorders>
            <w:hideMark/>
          </w:tcPr>
          <w:p w14:paraId="646F8634" w14:textId="77777777" w:rsidR="005136D8" w:rsidRPr="005136D8" w:rsidRDefault="005136D8" w:rsidP="00ED639F">
            <w:pPr>
              <w:rPr>
                <w:rFonts w:cs="Arial"/>
              </w:rPr>
            </w:pPr>
            <w:r w:rsidRPr="005136D8">
              <w:rPr>
                <w:rFonts w:eastAsia="Arial" w:cs="Arial"/>
                <w:spacing w:val="-5"/>
                <w:kern w:val="0"/>
                <w:lang w:val="en-US"/>
                <w14:ligatures w14:val="none"/>
              </w:rPr>
              <w:t>Bay</w:t>
            </w:r>
          </w:p>
        </w:tc>
        <w:tc>
          <w:tcPr>
            <w:tcW w:w="5245" w:type="dxa"/>
            <w:tcBorders>
              <w:top w:val="single" w:sz="4" w:space="0" w:color="auto"/>
              <w:left w:val="single" w:sz="4" w:space="0" w:color="auto"/>
              <w:bottom w:val="single" w:sz="4" w:space="0" w:color="auto"/>
              <w:right w:val="single" w:sz="4" w:space="0" w:color="auto"/>
            </w:tcBorders>
            <w:hideMark/>
          </w:tcPr>
          <w:p w14:paraId="257C6431" w14:textId="77777777" w:rsidR="005136D8" w:rsidRPr="005136D8" w:rsidRDefault="005136D8" w:rsidP="00ED639F">
            <w:pPr>
              <w:jc w:val="center"/>
              <w:rPr>
                <w:rFonts w:cs="Arial"/>
              </w:rPr>
            </w:pPr>
            <w:r w:rsidRPr="005136D8">
              <w:rPr>
                <w:rFonts w:cs="Arial"/>
              </w:rPr>
              <w:t>2</w:t>
            </w:r>
          </w:p>
        </w:tc>
      </w:tr>
      <w:tr w:rsidR="005136D8" w:rsidRPr="005136D8" w14:paraId="05611B58" w14:textId="77777777" w:rsidTr="005136D8">
        <w:tc>
          <w:tcPr>
            <w:tcW w:w="3539" w:type="dxa"/>
            <w:tcBorders>
              <w:top w:val="single" w:sz="4" w:space="0" w:color="auto"/>
              <w:left w:val="single" w:sz="4" w:space="0" w:color="auto"/>
              <w:bottom w:val="single" w:sz="4" w:space="0" w:color="auto"/>
              <w:right w:val="single" w:sz="4" w:space="0" w:color="auto"/>
            </w:tcBorders>
            <w:hideMark/>
          </w:tcPr>
          <w:p w14:paraId="4C20F139" w14:textId="77777777" w:rsidR="005136D8" w:rsidRPr="005136D8" w:rsidRDefault="005136D8" w:rsidP="00ED639F">
            <w:pPr>
              <w:rPr>
                <w:rFonts w:cs="Arial"/>
              </w:rPr>
            </w:pPr>
            <w:r w:rsidRPr="005136D8">
              <w:rPr>
                <w:rFonts w:eastAsia="Arial" w:cs="Arial"/>
                <w:spacing w:val="-4"/>
                <w:kern w:val="0"/>
                <w:lang w:val="en-US"/>
                <w14:ligatures w14:val="none"/>
              </w:rPr>
              <w:t>City</w:t>
            </w:r>
          </w:p>
        </w:tc>
        <w:tc>
          <w:tcPr>
            <w:tcW w:w="5245" w:type="dxa"/>
            <w:tcBorders>
              <w:top w:val="single" w:sz="4" w:space="0" w:color="auto"/>
              <w:left w:val="single" w:sz="4" w:space="0" w:color="auto"/>
              <w:bottom w:val="single" w:sz="4" w:space="0" w:color="auto"/>
              <w:right w:val="single" w:sz="4" w:space="0" w:color="auto"/>
            </w:tcBorders>
            <w:hideMark/>
          </w:tcPr>
          <w:p w14:paraId="26D2F080" w14:textId="77777777" w:rsidR="005136D8" w:rsidRPr="005136D8" w:rsidRDefault="005136D8" w:rsidP="00ED639F">
            <w:pPr>
              <w:jc w:val="center"/>
              <w:rPr>
                <w:rFonts w:cs="Arial"/>
              </w:rPr>
            </w:pPr>
            <w:r w:rsidRPr="005136D8">
              <w:rPr>
                <w:rFonts w:cs="Arial"/>
              </w:rPr>
              <w:t>1</w:t>
            </w:r>
          </w:p>
        </w:tc>
      </w:tr>
      <w:tr w:rsidR="005136D8" w:rsidRPr="005136D8" w14:paraId="6C6F0EFA" w14:textId="77777777" w:rsidTr="005136D8">
        <w:tc>
          <w:tcPr>
            <w:tcW w:w="3539" w:type="dxa"/>
            <w:tcBorders>
              <w:top w:val="single" w:sz="4" w:space="0" w:color="auto"/>
              <w:left w:val="single" w:sz="4" w:space="0" w:color="auto"/>
              <w:bottom w:val="single" w:sz="4" w:space="0" w:color="auto"/>
              <w:right w:val="single" w:sz="4" w:space="0" w:color="auto"/>
            </w:tcBorders>
            <w:hideMark/>
          </w:tcPr>
          <w:p w14:paraId="7962C553" w14:textId="77777777" w:rsidR="005136D8" w:rsidRPr="005136D8" w:rsidRDefault="005136D8" w:rsidP="00ED639F">
            <w:pPr>
              <w:rPr>
                <w:rFonts w:cs="Arial"/>
              </w:rPr>
            </w:pPr>
            <w:r w:rsidRPr="005136D8">
              <w:rPr>
                <w:rFonts w:eastAsia="Arial" w:cs="Arial"/>
                <w:spacing w:val="-2"/>
                <w:kern w:val="0"/>
                <w:lang w:val="en-US"/>
                <w14:ligatures w14:val="none"/>
              </w:rPr>
              <w:t>Cwmtawe</w:t>
            </w:r>
          </w:p>
        </w:tc>
        <w:tc>
          <w:tcPr>
            <w:tcW w:w="5245" w:type="dxa"/>
            <w:tcBorders>
              <w:top w:val="single" w:sz="4" w:space="0" w:color="auto"/>
              <w:left w:val="single" w:sz="4" w:space="0" w:color="auto"/>
              <w:bottom w:val="single" w:sz="4" w:space="0" w:color="auto"/>
              <w:right w:val="single" w:sz="4" w:space="0" w:color="auto"/>
            </w:tcBorders>
            <w:hideMark/>
          </w:tcPr>
          <w:p w14:paraId="5D38F07F" w14:textId="77777777" w:rsidR="005136D8" w:rsidRPr="005136D8" w:rsidRDefault="005136D8" w:rsidP="00ED639F">
            <w:pPr>
              <w:jc w:val="center"/>
              <w:rPr>
                <w:rFonts w:cs="Arial"/>
              </w:rPr>
            </w:pPr>
            <w:r w:rsidRPr="005136D8">
              <w:rPr>
                <w:rFonts w:cs="Arial"/>
              </w:rPr>
              <w:t>1</w:t>
            </w:r>
          </w:p>
        </w:tc>
      </w:tr>
      <w:tr w:rsidR="005136D8" w:rsidRPr="005136D8" w14:paraId="3F8B1D30" w14:textId="77777777" w:rsidTr="005136D8">
        <w:tc>
          <w:tcPr>
            <w:tcW w:w="3539" w:type="dxa"/>
            <w:tcBorders>
              <w:top w:val="single" w:sz="4" w:space="0" w:color="auto"/>
              <w:left w:val="single" w:sz="4" w:space="0" w:color="auto"/>
              <w:bottom w:val="single" w:sz="4" w:space="0" w:color="auto"/>
              <w:right w:val="single" w:sz="4" w:space="0" w:color="auto"/>
            </w:tcBorders>
            <w:hideMark/>
          </w:tcPr>
          <w:p w14:paraId="7B9E7AA9" w14:textId="77777777" w:rsidR="005136D8" w:rsidRPr="005136D8" w:rsidRDefault="005136D8" w:rsidP="00ED639F">
            <w:pPr>
              <w:rPr>
                <w:rFonts w:cs="Arial"/>
              </w:rPr>
            </w:pPr>
            <w:r w:rsidRPr="005136D8">
              <w:rPr>
                <w:rFonts w:eastAsia="Arial" w:cs="Arial"/>
                <w:spacing w:val="-2"/>
                <w:kern w:val="0"/>
                <w:lang w:val="en-US"/>
                <w14:ligatures w14:val="none"/>
              </w:rPr>
              <w:t>Llwchwr</w:t>
            </w:r>
          </w:p>
        </w:tc>
        <w:tc>
          <w:tcPr>
            <w:tcW w:w="5245" w:type="dxa"/>
            <w:tcBorders>
              <w:top w:val="single" w:sz="4" w:space="0" w:color="auto"/>
              <w:left w:val="single" w:sz="4" w:space="0" w:color="auto"/>
              <w:bottom w:val="single" w:sz="4" w:space="0" w:color="auto"/>
              <w:right w:val="single" w:sz="4" w:space="0" w:color="auto"/>
            </w:tcBorders>
            <w:hideMark/>
          </w:tcPr>
          <w:p w14:paraId="09D4B0B1" w14:textId="77777777" w:rsidR="005136D8" w:rsidRPr="005136D8" w:rsidRDefault="005136D8" w:rsidP="00ED639F">
            <w:pPr>
              <w:jc w:val="center"/>
              <w:rPr>
                <w:rFonts w:cs="Arial"/>
              </w:rPr>
            </w:pPr>
            <w:r w:rsidRPr="005136D8">
              <w:rPr>
                <w:rFonts w:cs="Arial"/>
              </w:rPr>
              <w:t>1</w:t>
            </w:r>
          </w:p>
        </w:tc>
      </w:tr>
      <w:tr w:rsidR="005136D8" w:rsidRPr="005136D8" w14:paraId="6578E26C" w14:textId="77777777" w:rsidTr="005136D8">
        <w:tc>
          <w:tcPr>
            <w:tcW w:w="3539" w:type="dxa"/>
            <w:tcBorders>
              <w:top w:val="single" w:sz="4" w:space="0" w:color="auto"/>
              <w:left w:val="single" w:sz="4" w:space="0" w:color="auto"/>
              <w:bottom w:val="single" w:sz="4" w:space="0" w:color="auto"/>
              <w:right w:val="single" w:sz="4" w:space="0" w:color="auto"/>
            </w:tcBorders>
            <w:hideMark/>
          </w:tcPr>
          <w:p w14:paraId="56EB9EB1" w14:textId="77777777" w:rsidR="005136D8" w:rsidRPr="005136D8" w:rsidRDefault="005136D8" w:rsidP="00ED639F">
            <w:pPr>
              <w:rPr>
                <w:rFonts w:cs="Arial"/>
              </w:rPr>
            </w:pPr>
            <w:r w:rsidRPr="005136D8">
              <w:rPr>
                <w:rFonts w:eastAsia="Arial" w:cs="Arial"/>
                <w:spacing w:val="-2"/>
                <w:kern w:val="0"/>
                <w:lang w:val="en-US"/>
                <w14:ligatures w14:val="none"/>
              </w:rPr>
              <w:t>Penderi</w:t>
            </w:r>
          </w:p>
        </w:tc>
        <w:tc>
          <w:tcPr>
            <w:tcW w:w="5245" w:type="dxa"/>
            <w:tcBorders>
              <w:top w:val="single" w:sz="4" w:space="0" w:color="auto"/>
              <w:left w:val="single" w:sz="4" w:space="0" w:color="auto"/>
              <w:bottom w:val="single" w:sz="4" w:space="0" w:color="auto"/>
              <w:right w:val="single" w:sz="4" w:space="0" w:color="auto"/>
            </w:tcBorders>
            <w:hideMark/>
          </w:tcPr>
          <w:p w14:paraId="2833C77E" w14:textId="77777777" w:rsidR="005136D8" w:rsidRPr="005136D8" w:rsidRDefault="005136D8" w:rsidP="00ED639F">
            <w:pPr>
              <w:jc w:val="center"/>
              <w:rPr>
                <w:rFonts w:cs="Arial"/>
              </w:rPr>
            </w:pPr>
            <w:r w:rsidRPr="005136D8">
              <w:rPr>
                <w:rFonts w:cs="Arial"/>
              </w:rPr>
              <w:t>2</w:t>
            </w:r>
          </w:p>
        </w:tc>
      </w:tr>
      <w:tr w:rsidR="005136D8" w:rsidRPr="005136D8" w14:paraId="7520B2BA" w14:textId="77777777" w:rsidTr="005136D8">
        <w:tc>
          <w:tcPr>
            <w:tcW w:w="3539" w:type="dxa"/>
            <w:tcBorders>
              <w:top w:val="single" w:sz="4" w:space="0" w:color="auto"/>
              <w:left w:val="single" w:sz="4" w:space="0" w:color="auto"/>
              <w:bottom w:val="single" w:sz="4" w:space="0" w:color="auto"/>
              <w:right w:val="single" w:sz="4" w:space="0" w:color="auto"/>
            </w:tcBorders>
            <w:hideMark/>
          </w:tcPr>
          <w:p w14:paraId="6993252B" w14:textId="77777777" w:rsidR="005136D8" w:rsidRPr="005136D8" w:rsidRDefault="005136D8" w:rsidP="00ED639F">
            <w:pPr>
              <w:rPr>
                <w:rFonts w:cs="Arial"/>
              </w:rPr>
            </w:pPr>
            <w:r w:rsidRPr="005136D8">
              <w:rPr>
                <w:rFonts w:eastAsia="Arial" w:cs="Arial"/>
                <w:spacing w:val="-4"/>
                <w:kern w:val="0"/>
                <w:lang w:val="en-US"/>
                <w14:ligatures w14:val="none"/>
              </w:rPr>
              <w:t>Afan</w:t>
            </w:r>
          </w:p>
        </w:tc>
        <w:tc>
          <w:tcPr>
            <w:tcW w:w="5245" w:type="dxa"/>
            <w:tcBorders>
              <w:top w:val="single" w:sz="4" w:space="0" w:color="auto"/>
              <w:left w:val="single" w:sz="4" w:space="0" w:color="auto"/>
              <w:bottom w:val="single" w:sz="4" w:space="0" w:color="auto"/>
              <w:right w:val="single" w:sz="4" w:space="0" w:color="auto"/>
            </w:tcBorders>
            <w:hideMark/>
          </w:tcPr>
          <w:p w14:paraId="4D05DDF4" w14:textId="77777777" w:rsidR="005136D8" w:rsidRPr="005136D8" w:rsidRDefault="005136D8" w:rsidP="00ED639F">
            <w:pPr>
              <w:jc w:val="center"/>
              <w:rPr>
                <w:rFonts w:cs="Arial"/>
              </w:rPr>
            </w:pPr>
            <w:r w:rsidRPr="005136D8">
              <w:rPr>
                <w:rFonts w:cs="Arial"/>
              </w:rPr>
              <w:t>1</w:t>
            </w:r>
          </w:p>
        </w:tc>
      </w:tr>
      <w:tr w:rsidR="005136D8" w:rsidRPr="005136D8" w14:paraId="3D6EB2FA" w14:textId="77777777" w:rsidTr="005136D8">
        <w:tc>
          <w:tcPr>
            <w:tcW w:w="3539" w:type="dxa"/>
            <w:tcBorders>
              <w:top w:val="single" w:sz="4" w:space="0" w:color="auto"/>
              <w:left w:val="single" w:sz="4" w:space="0" w:color="auto"/>
              <w:bottom w:val="single" w:sz="4" w:space="0" w:color="auto"/>
              <w:right w:val="single" w:sz="4" w:space="0" w:color="auto"/>
            </w:tcBorders>
            <w:hideMark/>
          </w:tcPr>
          <w:p w14:paraId="027588A7" w14:textId="77777777" w:rsidR="005136D8" w:rsidRPr="005136D8" w:rsidRDefault="005136D8" w:rsidP="00ED639F">
            <w:pPr>
              <w:rPr>
                <w:rFonts w:cs="Arial"/>
              </w:rPr>
            </w:pPr>
            <w:r w:rsidRPr="005136D8">
              <w:rPr>
                <w:rFonts w:eastAsia="Arial" w:cs="Arial"/>
                <w:spacing w:val="-4"/>
                <w:kern w:val="0"/>
                <w:lang w:val="en-US"/>
                <w14:ligatures w14:val="none"/>
              </w:rPr>
              <w:t>Neath</w:t>
            </w:r>
          </w:p>
        </w:tc>
        <w:tc>
          <w:tcPr>
            <w:tcW w:w="5245" w:type="dxa"/>
            <w:tcBorders>
              <w:top w:val="single" w:sz="4" w:space="0" w:color="auto"/>
              <w:left w:val="single" w:sz="4" w:space="0" w:color="auto"/>
              <w:bottom w:val="single" w:sz="4" w:space="0" w:color="auto"/>
              <w:right w:val="single" w:sz="4" w:space="0" w:color="auto"/>
            </w:tcBorders>
            <w:hideMark/>
          </w:tcPr>
          <w:p w14:paraId="7208248A" w14:textId="77777777" w:rsidR="005136D8" w:rsidRPr="005136D8" w:rsidRDefault="005136D8" w:rsidP="00ED639F">
            <w:pPr>
              <w:jc w:val="center"/>
              <w:rPr>
                <w:rFonts w:cs="Arial"/>
              </w:rPr>
            </w:pPr>
            <w:r w:rsidRPr="005136D8">
              <w:rPr>
                <w:rFonts w:cs="Arial"/>
              </w:rPr>
              <w:t>1</w:t>
            </w:r>
          </w:p>
        </w:tc>
      </w:tr>
      <w:tr w:rsidR="005136D8" w:rsidRPr="005136D8" w14:paraId="4EA76409" w14:textId="77777777" w:rsidTr="005136D8">
        <w:tc>
          <w:tcPr>
            <w:tcW w:w="3539" w:type="dxa"/>
            <w:tcBorders>
              <w:top w:val="single" w:sz="4" w:space="0" w:color="auto"/>
              <w:left w:val="single" w:sz="4" w:space="0" w:color="auto"/>
              <w:bottom w:val="single" w:sz="4" w:space="0" w:color="auto"/>
              <w:right w:val="single" w:sz="4" w:space="0" w:color="auto"/>
            </w:tcBorders>
            <w:hideMark/>
          </w:tcPr>
          <w:p w14:paraId="5AD50081" w14:textId="77777777" w:rsidR="005136D8" w:rsidRPr="005136D8" w:rsidRDefault="005136D8" w:rsidP="00ED639F">
            <w:pPr>
              <w:rPr>
                <w:rFonts w:cs="Arial"/>
              </w:rPr>
            </w:pPr>
            <w:r w:rsidRPr="005136D8">
              <w:rPr>
                <w:rFonts w:eastAsia="Arial" w:cs="Arial"/>
                <w:bCs/>
                <w:kern w:val="0"/>
                <w:lang w:val="en-US"/>
                <w14:ligatures w14:val="none"/>
              </w:rPr>
              <w:t>Upper</w:t>
            </w:r>
            <w:r w:rsidRPr="005136D8">
              <w:rPr>
                <w:rFonts w:eastAsia="Arial" w:cs="Arial"/>
                <w:bCs/>
                <w:spacing w:val="-3"/>
                <w:kern w:val="0"/>
                <w:lang w:val="en-US"/>
                <w14:ligatures w14:val="none"/>
              </w:rPr>
              <w:t xml:space="preserve"> </w:t>
            </w:r>
            <w:r w:rsidRPr="005136D8">
              <w:rPr>
                <w:rFonts w:eastAsia="Arial" w:cs="Arial"/>
                <w:bCs/>
                <w:spacing w:val="-2"/>
                <w:kern w:val="0"/>
                <w:lang w:val="en-US"/>
                <w14:ligatures w14:val="none"/>
              </w:rPr>
              <w:t>Valleys</w:t>
            </w:r>
          </w:p>
        </w:tc>
        <w:tc>
          <w:tcPr>
            <w:tcW w:w="5245" w:type="dxa"/>
            <w:tcBorders>
              <w:top w:val="single" w:sz="4" w:space="0" w:color="auto"/>
              <w:left w:val="single" w:sz="4" w:space="0" w:color="auto"/>
              <w:bottom w:val="single" w:sz="4" w:space="0" w:color="auto"/>
              <w:right w:val="single" w:sz="4" w:space="0" w:color="auto"/>
            </w:tcBorders>
            <w:hideMark/>
          </w:tcPr>
          <w:p w14:paraId="38812CFB" w14:textId="77777777" w:rsidR="005136D8" w:rsidRPr="005136D8" w:rsidRDefault="005136D8" w:rsidP="00ED639F">
            <w:pPr>
              <w:jc w:val="center"/>
              <w:rPr>
                <w:rFonts w:cs="Arial"/>
              </w:rPr>
            </w:pPr>
            <w:r w:rsidRPr="005136D8">
              <w:rPr>
                <w:rFonts w:cs="Arial"/>
              </w:rPr>
              <w:t>1</w:t>
            </w:r>
          </w:p>
        </w:tc>
      </w:tr>
    </w:tbl>
    <w:p w14:paraId="06B598B8" w14:textId="77777777" w:rsidR="005136D8" w:rsidRPr="005136D8" w:rsidRDefault="005136D8" w:rsidP="00ED639F">
      <w:pPr>
        <w:rPr>
          <w:rFonts w:eastAsia="Aptos" w:cs="Arial"/>
        </w:rPr>
      </w:pPr>
    </w:p>
    <w:p w14:paraId="7FB09073" w14:textId="77777777" w:rsidR="005136D8" w:rsidRPr="005136D8" w:rsidRDefault="005136D8" w:rsidP="00ED639F">
      <w:pPr>
        <w:widowControl w:val="0"/>
        <w:autoSpaceDE w:val="0"/>
        <w:autoSpaceDN w:val="0"/>
        <w:ind w:left="47" w:right="28" w:hanging="20"/>
        <w:jc w:val="both"/>
        <w:rPr>
          <w:rFonts w:eastAsia="Arial" w:cs="Arial"/>
          <w:b/>
          <w:color w:val="000000"/>
          <w:kern w:val="0"/>
          <w:lang w:val="en-US"/>
          <w14:ligatures w14:val="none"/>
        </w:rPr>
      </w:pPr>
      <w:r w:rsidRPr="005136D8">
        <w:rPr>
          <w:rFonts w:eastAsia="Aptos" w:cs="Arial"/>
        </w:rPr>
        <w:t xml:space="preserve">Ten pharmacies are open on Sundays, seven due to the out of hours rota. </w:t>
      </w:r>
    </w:p>
    <w:p w14:paraId="33A2822A" w14:textId="77777777" w:rsidR="005136D8" w:rsidRPr="005136D8" w:rsidRDefault="005136D8" w:rsidP="00ED639F">
      <w:pPr>
        <w:widowControl w:val="0"/>
        <w:autoSpaceDE w:val="0"/>
        <w:autoSpaceDN w:val="0"/>
        <w:rPr>
          <w:rFonts w:eastAsia="Arial" w:cs="Arial"/>
          <w:spacing w:val="-2"/>
          <w:kern w:val="0"/>
          <w14:ligatures w14:val="none"/>
        </w:rPr>
      </w:pPr>
    </w:p>
    <w:p w14:paraId="7C685ECB" w14:textId="77777777" w:rsidR="005136D8" w:rsidRPr="005136D8" w:rsidRDefault="005136D8" w:rsidP="00ED639F">
      <w:pPr>
        <w:widowControl w:val="0"/>
        <w:autoSpaceDE w:val="0"/>
        <w:autoSpaceDN w:val="0"/>
        <w:rPr>
          <w:rFonts w:eastAsia="Aptos" w:cs="Arial"/>
        </w:rPr>
      </w:pPr>
      <w:r w:rsidRPr="005136D8">
        <w:rPr>
          <w:rFonts w:eastAsia="Arial" w:cs="Arial"/>
          <w:spacing w:val="-2"/>
          <w:kern w:val="0"/>
          <w14:ligatures w14:val="none"/>
        </w:rPr>
        <w:t>Noting that the majority of people who responded to the public engagement questionnaire either didn’t have a preferred day to visit a pharmacy or said weekdays in general, t</w:t>
      </w:r>
      <w:r w:rsidRPr="005136D8">
        <w:rPr>
          <w:rFonts w:eastAsia="Aptos" w:cs="Arial"/>
        </w:rPr>
        <w:t>he health board has concluded that there are no current needs for the provision of essential services on Saturdays.</w:t>
      </w:r>
    </w:p>
    <w:p w14:paraId="4B099445" w14:textId="77777777" w:rsidR="005136D8" w:rsidRPr="005136D8" w:rsidRDefault="005136D8" w:rsidP="00ED639F">
      <w:pPr>
        <w:rPr>
          <w:rFonts w:eastAsia="Aptos" w:cs="Arial"/>
        </w:rPr>
      </w:pPr>
    </w:p>
    <w:p w14:paraId="498A0517" w14:textId="77777777" w:rsidR="005136D8" w:rsidRPr="005136D8" w:rsidRDefault="005136D8" w:rsidP="00ED639F">
      <w:pPr>
        <w:rPr>
          <w:rFonts w:eastAsia="Aptos" w:cs="Arial"/>
          <w:b/>
          <w:bCs/>
        </w:rPr>
      </w:pPr>
      <w:r w:rsidRPr="005136D8">
        <w:rPr>
          <w:rFonts w:eastAsia="Aptos" w:cs="Arial"/>
          <w:b/>
          <w:bCs/>
        </w:rPr>
        <w:t>16.3.2 Current access to national community pharmacy and appliance contractor services</w:t>
      </w:r>
    </w:p>
    <w:p w14:paraId="4EF21E05" w14:textId="77777777" w:rsidR="005136D8" w:rsidRPr="005136D8" w:rsidRDefault="005136D8" w:rsidP="00ED639F">
      <w:pPr>
        <w:rPr>
          <w:rFonts w:eastAsia="Aptos" w:cs="Arial"/>
        </w:rPr>
      </w:pPr>
    </w:p>
    <w:p w14:paraId="3976776A" w14:textId="77777777" w:rsidR="005136D8" w:rsidRPr="005136D8" w:rsidRDefault="005136D8" w:rsidP="00ED639F">
      <w:pPr>
        <w:rPr>
          <w:rFonts w:eastAsia="Aptos" w:cs="Arial"/>
        </w:rPr>
      </w:pPr>
      <w:r w:rsidRPr="005136D8">
        <w:rPr>
          <w:rFonts w:eastAsia="Aptos" w:cs="Arial"/>
        </w:rPr>
        <w:t>The provision of these services is described in chapter 5 and the locality chapters. The health board has reviewed the number of pharmacies that have signed up to provide each service, and the activity data.</w:t>
      </w:r>
    </w:p>
    <w:p w14:paraId="10CFEFEF" w14:textId="77777777" w:rsidR="005136D8" w:rsidRPr="005136D8" w:rsidRDefault="005136D8" w:rsidP="00ED639F">
      <w:pPr>
        <w:rPr>
          <w:rFonts w:eastAsia="Aptos" w:cs="Arial"/>
        </w:rPr>
      </w:pPr>
    </w:p>
    <w:p w14:paraId="14344FCF" w14:textId="77777777" w:rsidR="005136D8" w:rsidRPr="005136D8" w:rsidRDefault="005136D8" w:rsidP="00ED639F">
      <w:pPr>
        <w:rPr>
          <w:rFonts w:eastAsia="Aptos" w:cs="Arial"/>
        </w:rPr>
      </w:pPr>
      <w:r w:rsidRPr="005136D8">
        <w:rPr>
          <w:rFonts w:eastAsia="Aptos" w:cs="Arial"/>
        </w:rPr>
        <w:t>Whilst no pharmacies provide the stoma appliance customisation or appliance use review services, the health board has noted that prescriptions are dispensed by dispensing appliance contractors elsewhere in Wales and also in England. The health board is therefore satisfied that these services are being provided by those contractors.</w:t>
      </w:r>
    </w:p>
    <w:p w14:paraId="35E68394" w14:textId="77777777" w:rsidR="005136D8" w:rsidRPr="005136D8" w:rsidRDefault="005136D8" w:rsidP="00ED639F">
      <w:pPr>
        <w:rPr>
          <w:rFonts w:eastAsia="Aptos" w:cs="Arial"/>
        </w:rPr>
      </w:pPr>
    </w:p>
    <w:p w14:paraId="67529443" w14:textId="77777777" w:rsidR="005136D8" w:rsidRPr="005136D8" w:rsidRDefault="005136D8" w:rsidP="00ED639F">
      <w:pPr>
        <w:rPr>
          <w:rFonts w:eastAsia="Aptos" w:cs="Arial"/>
        </w:rPr>
      </w:pPr>
      <w:r w:rsidRPr="005136D8">
        <w:rPr>
          <w:rFonts w:eastAsia="Aptos" w:cs="Arial"/>
        </w:rPr>
        <w:t>Based on the conclusions in section 16.3.1 with regards to access to pharmacies, the number of pharmacies providing these services, and their activity levels, the health board has not identified any current needs for the provision of these services.</w:t>
      </w:r>
    </w:p>
    <w:p w14:paraId="660EC3D3" w14:textId="77777777" w:rsidR="005136D8" w:rsidRPr="005136D8" w:rsidRDefault="005136D8" w:rsidP="00ED639F">
      <w:pPr>
        <w:rPr>
          <w:rFonts w:eastAsia="Aptos" w:cs="Arial"/>
        </w:rPr>
      </w:pPr>
    </w:p>
    <w:p w14:paraId="5F7B6EA9" w14:textId="77777777" w:rsidR="005136D8" w:rsidRPr="005136D8" w:rsidRDefault="005136D8" w:rsidP="00ED639F">
      <w:pPr>
        <w:rPr>
          <w:rFonts w:eastAsia="Aptos" w:cs="Arial"/>
          <w:b/>
          <w:bCs/>
        </w:rPr>
      </w:pPr>
      <w:r w:rsidRPr="005136D8">
        <w:rPr>
          <w:rFonts w:eastAsia="Aptos" w:cs="Arial"/>
          <w:b/>
          <w:bCs/>
        </w:rPr>
        <w:t>16.3.3 Current access to additional clinical services</w:t>
      </w:r>
    </w:p>
    <w:p w14:paraId="1D5130A6" w14:textId="77777777" w:rsidR="005136D8" w:rsidRPr="005136D8" w:rsidRDefault="005136D8" w:rsidP="00ED639F">
      <w:pPr>
        <w:rPr>
          <w:rFonts w:eastAsia="Aptos" w:cs="Arial"/>
        </w:rPr>
      </w:pPr>
    </w:p>
    <w:p w14:paraId="4EC40F52" w14:textId="77777777" w:rsidR="005136D8" w:rsidRPr="005136D8" w:rsidRDefault="005136D8" w:rsidP="00ED639F">
      <w:pPr>
        <w:rPr>
          <w:rFonts w:eastAsia="Aptos" w:cs="Arial"/>
        </w:rPr>
      </w:pPr>
      <w:r w:rsidRPr="005136D8">
        <w:rPr>
          <w:rFonts w:eastAsia="Aptos" w:cs="Arial"/>
        </w:rPr>
        <w:t>The provision of these services is described in chapter 5 and the locality chapters. The health board has reviewed the number of pharmacies that are commissioned to provide each service and their locations.</w:t>
      </w:r>
    </w:p>
    <w:p w14:paraId="528C8D69" w14:textId="77777777" w:rsidR="005136D8" w:rsidRPr="005136D8" w:rsidRDefault="005136D8" w:rsidP="00ED639F">
      <w:pPr>
        <w:rPr>
          <w:rFonts w:eastAsia="Aptos" w:cs="Arial"/>
        </w:rPr>
      </w:pPr>
    </w:p>
    <w:p w14:paraId="7519E010" w14:textId="77777777" w:rsidR="005136D8" w:rsidRPr="005136D8" w:rsidRDefault="005136D8" w:rsidP="00ED639F">
      <w:pPr>
        <w:rPr>
          <w:rFonts w:eastAsia="Aptos" w:cs="Arial"/>
        </w:rPr>
      </w:pPr>
      <w:r w:rsidRPr="005136D8">
        <w:rPr>
          <w:rFonts w:eastAsia="Aptos" w:cs="Arial"/>
        </w:rPr>
        <w:lastRenderedPageBreak/>
        <w:t>Some of the services are commissioned in order to meet the needs of a particular patient group and therefore there is not a need for them to be provided by each pharmacy, for example the access to urgent medicines service. For others, there are other providers of the service, for example the blood borne virus screening, just in case, and inhaler review services.</w:t>
      </w:r>
    </w:p>
    <w:p w14:paraId="7CB5CDBB" w14:textId="77777777" w:rsidR="005136D8" w:rsidRPr="005136D8" w:rsidRDefault="005136D8" w:rsidP="00ED639F">
      <w:pPr>
        <w:rPr>
          <w:rFonts w:eastAsia="Aptos" w:cs="Arial"/>
        </w:rPr>
      </w:pPr>
    </w:p>
    <w:p w14:paraId="65A26BF4" w14:textId="77777777" w:rsidR="005136D8" w:rsidRPr="005136D8" w:rsidRDefault="005136D8" w:rsidP="00ED639F">
      <w:pPr>
        <w:rPr>
          <w:rFonts w:eastAsia="Aptos" w:cs="Arial"/>
        </w:rPr>
      </w:pPr>
      <w:r w:rsidRPr="005136D8">
        <w:rPr>
          <w:rFonts w:eastAsia="Aptos" w:cs="Arial"/>
        </w:rPr>
        <w:t>Based on the conclusions in section 16.3.1 with regards to access to pharmacies, the number of pharmacies providing these services and their locations, the health board has not identified any current needs for the provision of these services</w:t>
      </w:r>
    </w:p>
    <w:p w14:paraId="23145492" w14:textId="77777777" w:rsidR="005136D8" w:rsidRPr="005136D8" w:rsidRDefault="005136D8" w:rsidP="00ED639F">
      <w:pPr>
        <w:rPr>
          <w:rFonts w:eastAsia="Aptos" w:cs="Arial"/>
        </w:rPr>
      </w:pPr>
    </w:p>
    <w:p w14:paraId="5DFD3237" w14:textId="77777777" w:rsidR="005136D8" w:rsidRPr="005136D8" w:rsidRDefault="005136D8" w:rsidP="00ED639F">
      <w:pPr>
        <w:rPr>
          <w:rFonts w:eastAsia="Aptos" w:cs="Arial"/>
          <w:b/>
          <w:bCs/>
        </w:rPr>
      </w:pPr>
      <w:r w:rsidRPr="005136D8">
        <w:rPr>
          <w:rFonts w:eastAsia="Aptos" w:cs="Arial"/>
          <w:b/>
          <w:bCs/>
        </w:rPr>
        <w:t>16.3.4</w:t>
      </w:r>
      <w:r w:rsidRPr="005136D8">
        <w:rPr>
          <w:rFonts w:eastAsia="Aptos" w:cs="Arial"/>
          <w:b/>
          <w:bCs/>
        </w:rPr>
        <w:tab/>
        <w:t>Current access to dispensing GP practice services</w:t>
      </w:r>
    </w:p>
    <w:p w14:paraId="557C4544" w14:textId="77777777" w:rsidR="005136D8" w:rsidRPr="005136D8" w:rsidRDefault="005136D8" w:rsidP="00ED639F">
      <w:pPr>
        <w:rPr>
          <w:rFonts w:eastAsia="Aptos" w:cs="Arial"/>
        </w:rPr>
      </w:pPr>
    </w:p>
    <w:p w14:paraId="1B7A2104" w14:textId="77777777" w:rsidR="005136D8" w:rsidRPr="005136D8" w:rsidRDefault="005136D8" w:rsidP="00ED639F">
      <w:pPr>
        <w:rPr>
          <w:rFonts w:eastAsia="Aptos" w:cs="Arial"/>
        </w:rPr>
      </w:pPr>
      <w:r w:rsidRPr="005136D8">
        <w:rPr>
          <w:rFonts w:eastAsia="Aptos" w:cs="Arial"/>
          <w:lang w:val="en-US"/>
        </w:rPr>
        <w:t xml:space="preserve">There are two GP practices that dispense from premises </w:t>
      </w:r>
      <w:r w:rsidRPr="005136D8">
        <w:rPr>
          <w:rFonts w:eastAsia="Aptos" w:cs="Arial"/>
        </w:rPr>
        <w:t>in the health board’s area. The NHS (Pharmaceutical Services) (Wales) Regulations 2020 govern who a practice and can dispense to and therefore not all patients registered with these practices will be eligible to be dispensed to.</w:t>
      </w:r>
    </w:p>
    <w:p w14:paraId="37514BBA" w14:textId="77777777" w:rsidR="005136D8" w:rsidRPr="005136D8" w:rsidRDefault="005136D8" w:rsidP="00ED639F">
      <w:pPr>
        <w:rPr>
          <w:rFonts w:eastAsia="Aptos" w:cs="Arial"/>
          <w:lang w:val="en-US"/>
        </w:rPr>
      </w:pPr>
      <w:r w:rsidRPr="005136D8">
        <w:rPr>
          <w:rFonts w:eastAsia="Aptos" w:cs="Arial"/>
          <w:lang w:val="en-US"/>
        </w:rPr>
        <w:t xml:space="preserve"> </w:t>
      </w:r>
      <w:r w:rsidRPr="005136D8">
        <w:rPr>
          <w:rFonts w:eastAsia="Aptos" w:cs="Arial"/>
        </w:rPr>
        <w:t>Noting the location of pharmacies across its areas, the health board has not identified any current needs for the provision of the GP dispensing service</w:t>
      </w:r>
      <w:r w:rsidRPr="005136D8">
        <w:rPr>
          <w:rFonts w:eastAsia="Aptos" w:cs="Arial"/>
          <w:lang w:val="en-US"/>
        </w:rPr>
        <w:t>.</w:t>
      </w:r>
    </w:p>
    <w:p w14:paraId="44D2FE07" w14:textId="77777777" w:rsidR="005136D8" w:rsidRPr="005136D8" w:rsidRDefault="005136D8" w:rsidP="00ED639F">
      <w:pPr>
        <w:rPr>
          <w:rFonts w:eastAsia="Aptos" w:cs="Arial"/>
        </w:rPr>
      </w:pPr>
    </w:p>
    <w:p w14:paraId="6D683C1D" w14:textId="77777777" w:rsidR="005136D8" w:rsidRPr="005136D8" w:rsidRDefault="005136D8" w:rsidP="00ED639F">
      <w:pPr>
        <w:rPr>
          <w:rFonts w:eastAsia="Aptos" w:cs="Arial"/>
          <w:b/>
          <w:bCs/>
        </w:rPr>
      </w:pPr>
      <w:r w:rsidRPr="005136D8">
        <w:rPr>
          <w:rFonts w:eastAsia="Aptos" w:cs="Arial"/>
          <w:b/>
          <w:bCs/>
        </w:rPr>
        <w:t>16.4 Future gaps in provision</w:t>
      </w:r>
    </w:p>
    <w:p w14:paraId="52D7221D" w14:textId="77777777" w:rsidR="005136D8" w:rsidRPr="005136D8" w:rsidRDefault="005136D8" w:rsidP="00ED639F">
      <w:pPr>
        <w:rPr>
          <w:rFonts w:eastAsia="Aptos" w:cs="Arial"/>
        </w:rPr>
      </w:pPr>
    </w:p>
    <w:p w14:paraId="22449CDC" w14:textId="77777777" w:rsidR="005136D8" w:rsidRPr="005136D8" w:rsidRDefault="005136D8" w:rsidP="00ED639F">
      <w:pPr>
        <w:rPr>
          <w:rFonts w:eastAsia="Aptos" w:cs="Arial"/>
        </w:rPr>
      </w:pPr>
      <w:r w:rsidRPr="005136D8">
        <w:rPr>
          <w:rFonts w:eastAsia="Aptos" w:cs="Arial"/>
        </w:rPr>
        <w:t>The health board has taken into account the following known developments:</w:t>
      </w:r>
    </w:p>
    <w:p w14:paraId="3D427418" w14:textId="77777777" w:rsidR="005136D8" w:rsidRPr="005136D8" w:rsidRDefault="005136D8" w:rsidP="00ED639F">
      <w:pPr>
        <w:rPr>
          <w:rFonts w:eastAsia="Aptos" w:cs="Arial"/>
        </w:rPr>
      </w:pPr>
    </w:p>
    <w:p w14:paraId="396CA432" w14:textId="77777777" w:rsidR="005136D8" w:rsidRPr="005136D8" w:rsidRDefault="005136D8" w:rsidP="00B76905">
      <w:pPr>
        <w:numPr>
          <w:ilvl w:val="0"/>
          <w:numId w:val="210"/>
        </w:numPr>
        <w:contextualSpacing/>
        <w:rPr>
          <w:rFonts w:eastAsia="Aptos" w:cs="Arial"/>
        </w:rPr>
      </w:pPr>
      <w:r w:rsidRPr="005136D8">
        <w:rPr>
          <w:rFonts w:eastAsia="Aptos" w:cs="Arial"/>
        </w:rPr>
        <w:t>The forecasted population growth</w:t>
      </w:r>
    </w:p>
    <w:p w14:paraId="17E3E616" w14:textId="77777777" w:rsidR="005136D8" w:rsidRPr="005136D8" w:rsidRDefault="005136D8" w:rsidP="00B76905">
      <w:pPr>
        <w:numPr>
          <w:ilvl w:val="0"/>
          <w:numId w:val="210"/>
        </w:numPr>
        <w:contextualSpacing/>
        <w:rPr>
          <w:rFonts w:eastAsia="Aptos" w:cs="Arial"/>
        </w:rPr>
      </w:pPr>
      <w:r w:rsidRPr="005136D8">
        <w:rPr>
          <w:rFonts w:eastAsia="Aptos" w:cs="Arial"/>
        </w:rPr>
        <w:t>Housing development information from the two local authorities</w:t>
      </w:r>
    </w:p>
    <w:p w14:paraId="1CFE9E41" w14:textId="77777777" w:rsidR="005136D8" w:rsidRPr="005136D8" w:rsidRDefault="005136D8" w:rsidP="00B76905">
      <w:pPr>
        <w:numPr>
          <w:ilvl w:val="0"/>
          <w:numId w:val="210"/>
        </w:numPr>
        <w:contextualSpacing/>
        <w:rPr>
          <w:rFonts w:eastAsia="Aptos" w:cs="Arial"/>
        </w:rPr>
      </w:pPr>
      <w:r w:rsidRPr="005136D8">
        <w:rPr>
          <w:rFonts w:eastAsia="Aptos" w:cs="Arial"/>
        </w:rPr>
        <w:t>Pharmacy: Delivering a Healthier Wales</w:t>
      </w:r>
    </w:p>
    <w:p w14:paraId="6F09E94B" w14:textId="77777777" w:rsidR="005136D8" w:rsidRPr="005136D8" w:rsidRDefault="005136D8" w:rsidP="00ED639F">
      <w:pPr>
        <w:rPr>
          <w:rFonts w:eastAsia="Aptos" w:cs="Arial"/>
        </w:rPr>
      </w:pPr>
    </w:p>
    <w:p w14:paraId="6A47DF99" w14:textId="77777777" w:rsidR="005136D8" w:rsidRPr="005136D8" w:rsidRDefault="005136D8" w:rsidP="00ED639F">
      <w:pPr>
        <w:rPr>
          <w:rFonts w:eastAsia="Aptos" w:cs="Arial"/>
          <w:b/>
          <w:bCs/>
        </w:rPr>
      </w:pPr>
      <w:r w:rsidRPr="005136D8">
        <w:rPr>
          <w:rFonts w:eastAsia="Aptos" w:cs="Arial"/>
          <w:b/>
          <w:bCs/>
        </w:rPr>
        <w:t>16.4.1 Future access to essential services</w:t>
      </w:r>
    </w:p>
    <w:p w14:paraId="6259EC70" w14:textId="77777777" w:rsidR="005136D8" w:rsidRPr="005136D8" w:rsidRDefault="005136D8" w:rsidP="00ED639F">
      <w:pPr>
        <w:rPr>
          <w:rFonts w:eastAsia="Aptos" w:cs="Arial"/>
        </w:rPr>
      </w:pPr>
    </w:p>
    <w:p w14:paraId="2ED06832" w14:textId="77777777" w:rsidR="005136D8" w:rsidRPr="005136D8" w:rsidRDefault="005136D8" w:rsidP="00ED639F">
      <w:pPr>
        <w:rPr>
          <w:rFonts w:eastAsia="Aptos" w:cs="Arial"/>
          <w:b/>
          <w:bCs/>
        </w:rPr>
      </w:pPr>
      <w:r w:rsidRPr="005136D8">
        <w:rPr>
          <w:rFonts w:eastAsia="Aptos" w:cs="Arial"/>
          <w:b/>
          <w:bCs/>
        </w:rPr>
        <w:t>16.4.1.1 Access to essential services during normal working hours</w:t>
      </w:r>
    </w:p>
    <w:p w14:paraId="0C3A0209" w14:textId="77777777" w:rsidR="005136D8" w:rsidRPr="005136D8" w:rsidRDefault="005136D8" w:rsidP="00ED639F">
      <w:pPr>
        <w:rPr>
          <w:rFonts w:eastAsia="Aptos" w:cs="Arial"/>
        </w:rPr>
      </w:pPr>
    </w:p>
    <w:p w14:paraId="286CCBC4" w14:textId="77777777" w:rsidR="005136D8" w:rsidRPr="005136D8" w:rsidRDefault="005136D8" w:rsidP="00ED639F">
      <w:pPr>
        <w:rPr>
          <w:rFonts w:eastAsia="Aptos" w:cs="Arial"/>
        </w:rPr>
      </w:pPr>
      <w:r w:rsidRPr="005136D8">
        <w:rPr>
          <w:rFonts w:eastAsia="Aptos" w:cs="Arial"/>
        </w:rPr>
        <w:t>The health board has reviewed the information available on the known housing developments that will deliver new dwellings during the lifetime of this document. It has considered their location, the number of dwellings that will be created and estimated the number of people that will move into them. It has noted that the population of the two local authorities is projected to increase by 19,245 between 2022 and 2032, and therefore not everyone moving into these new dwellings currently lives outside of the health board’s area.</w:t>
      </w:r>
    </w:p>
    <w:p w14:paraId="70D1F664" w14:textId="77777777" w:rsidR="005136D8" w:rsidRPr="005136D8" w:rsidRDefault="005136D8" w:rsidP="00ED639F">
      <w:pPr>
        <w:rPr>
          <w:rFonts w:eastAsia="Aptos" w:cs="Arial"/>
        </w:rPr>
      </w:pPr>
    </w:p>
    <w:p w14:paraId="41E65283" w14:textId="77777777" w:rsidR="005136D8" w:rsidRPr="005136D8" w:rsidRDefault="005136D8" w:rsidP="00ED639F">
      <w:pPr>
        <w:rPr>
          <w:rFonts w:eastAsia="Aptos" w:cs="Arial"/>
        </w:rPr>
      </w:pPr>
      <w:r w:rsidRPr="005136D8">
        <w:rPr>
          <w:rFonts w:eastAsia="Aptos" w:cs="Arial"/>
        </w:rPr>
        <w:t>84 of the pharmacies responded to the contractor questionnaire and the health board has noted that:</w:t>
      </w:r>
    </w:p>
    <w:p w14:paraId="3BF852EB" w14:textId="77777777" w:rsidR="005136D8" w:rsidRPr="005136D8" w:rsidRDefault="005136D8" w:rsidP="00ED639F">
      <w:pPr>
        <w:rPr>
          <w:rFonts w:eastAsia="Aptos" w:cs="Arial"/>
        </w:rPr>
      </w:pPr>
    </w:p>
    <w:p w14:paraId="4091C75B" w14:textId="77777777" w:rsidR="005136D8" w:rsidRPr="005136D8" w:rsidRDefault="005136D8" w:rsidP="00B76905">
      <w:pPr>
        <w:numPr>
          <w:ilvl w:val="0"/>
          <w:numId w:val="211"/>
        </w:numPr>
        <w:rPr>
          <w:rFonts w:eastAsia="Aptos" w:cs="Arial"/>
          <w:szCs w:val="22"/>
          <w:lang w:eastAsia="en-GB"/>
        </w:rPr>
      </w:pPr>
      <w:r w:rsidRPr="005136D8">
        <w:rPr>
          <w:rFonts w:eastAsia="Aptos" w:cs="Arial"/>
          <w:szCs w:val="22"/>
          <w:lang w:eastAsia="en-GB"/>
        </w:rPr>
        <w:t>74 pharmacies said they have sufficient capacity within their premises to manage an increase in demand, six said they didn’t but could make adjustments, and three said they did not and would have difficulty in managing an increase in demand. These pharmacies are located in Bay, City and Cwmtawe clusters.</w:t>
      </w:r>
    </w:p>
    <w:p w14:paraId="3399BA90" w14:textId="782F585F" w:rsidR="005136D8" w:rsidRPr="005136D8" w:rsidRDefault="005136D8" w:rsidP="00B76905">
      <w:pPr>
        <w:numPr>
          <w:ilvl w:val="0"/>
          <w:numId w:val="211"/>
        </w:numPr>
        <w:rPr>
          <w:rFonts w:eastAsia="Aptos" w:cs="Arial"/>
          <w:szCs w:val="22"/>
        </w:rPr>
      </w:pPr>
      <w:r w:rsidRPr="005136D8">
        <w:rPr>
          <w:rFonts w:eastAsia="Aptos" w:cs="Arial"/>
          <w:szCs w:val="22"/>
          <w:lang w:eastAsia="en-GB"/>
        </w:rPr>
        <w:t xml:space="preserve">71 pharmacies said they have sufficient capacity within their staffing levels to manage an increase in demand, ten said they didn’t but could make adjustments, and two said they did not and would have difficulty in managing </w:t>
      </w:r>
      <w:r w:rsidRPr="005136D8">
        <w:rPr>
          <w:rFonts w:eastAsia="Aptos" w:cs="Arial"/>
          <w:szCs w:val="22"/>
          <w:lang w:eastAsia="en-GB"/>
        </w:rPr>
        <w:lastRenderedPageBreak/>
        <w:t>an increase in demand. These pharmacies are located in City and Upper Valleys, with the one in City also saying it doesn’t have capacity in its premises.</w:t>
      </w:r>
      <w:r w:rsidR="00B752FC">
        <w:rPr>
          <w:rFonts w:eastAsia="Aptos" w:cs="Arial"/>
          <w:szCs w:val="22"/>
        </w:rPr>
        <w:t xml:space="preserve"> </w:t>
      </w:r>
    </w:p>
    <w:p w14:paraId="2B96EB40" w14:textId="77777777" w:rsidR="005136D8" w:rsidRPr="005136D8" w:rsidRDefault="005136D8" w:rsidP="00ED639F">
      <w:pPr>
        <w:rPr>
          <w:rFonts w:eastAsia="Aptos" w:cs="Arial"/>
        </w:rPr>
      </w:pPr>
    </w:p>
    <w:p w14:paraId="57CBADEC" w14:textId="77777777" w:rsidR="005136D8" w:rsidRPr="005136D8" w:rsidRDefault="005136D8" w:rsidP="00ED639F">
      <w:pPr>
        <w:rPr>
          <w:rFonts w:eastAsia="Aptos" w:cs="Arial"/>
        </w:rPr>
      </w:pPr>
      <w:r w:rsidRPr="005136D8">
        <w:rPr>
          <w:rFonts w:eastAsia="Aptos" w:cs="Arial"/>
        </w:rPr>
        <w:t>The health board has noted that if a contractor wishes to change the core opening hours of its pharmacy it must first apply to the health board and such applications are determined against the test in The NHS (Pharmaceutical Services) (Wales) Regulations 2020. As part of their application the contractor must provide the health board with sufficient information to demonstrate that the proposed opening hours are necessary to meet the needs of people in the neighbourhood, or other likely users of the pharmacy, for pharmaceutical services.</w:t>
      </w:r>
    </w:p>
    <w:p w14:paraId="3BDC0F00" w14:textId="77777777" w:rsidR="005136D8" w:rsidRPr="005136D8" w:rsidRDefault="005136D8" w:rsidP="00ED639F">
      <w:pPr>
        <w:rPr>
          <w:rFonts w:eastAsia="Aptos" w:cs="Arial"/>
        </w:rPr>
      </w:pPr>
    </w:p>
    <w:p w14:paraId="04384BCB" w14:textId="77777777" w:rsidR="005136D8" w:rsidRPr="005136D8" w:rsidRDefault="005136D8" w:rsidP="00ED639F">
      <w:pPr>
        <w:rPr>
          <w:rFonts w:eastAsia="Aptos" w:cs="Arial"/>
        </w:rPr>
      </w:pPr>
      <w:r w:rsidRPr="005136D8">
        <w:rPr>
          <w:rFonts w:eastAsia="Aptos" w:cs="Arial"/>
        </w:rPr>
        <w:t>The health board does not expect any applications to curtail pharmacy opening hours during normal working hours over the lifespan of this pharmaceutical needs assessment. However, should any be received, they will be considered in relation to the regulatory test and the conclusions of this document.</w:t>
      </w:r>
    </w:p>
    <w:p w14:paraId="7EC06796" w14:textId="77777777" w:rsidR="005136D8" w:rsidRPr="005136D8" w:rsidRDefault="005136D8" w:rsidP="00ED639F">
      <w:pPr>
        <w:rPr>
          <w:rFonts w:eastAsia="Aptos" w:cs="Arial"/>
        </w:rPr>
      </w:pPr>
    </w:p>
    <w:p w14:paraId="3652D237" w14:textId="77777777" w:rsidR="005136D8" w:rsidRPr="005136D8" w:rsidRDefault="005136D8" w:rsidP="00ED639F">
      <w:pPr>
        <w:rPr>
          <w:rFonts w:eastAsia="Aptos" w:cs="Arial"/>
        </w:rPr>
      </w:pPr>
      <w:r w:rsidRPr="005136D8">
        <w:rPr>
          <w:rFonts w:eastAsia="Aptos" w:cs="Arial"/>
        </w:rPr>
        <w:t>Taking the above into account, the health board is satisfied that there is sufficient capacity within the existing pharmacies to manage the increase in demand created by these developments. It has therefore not identified any future needs for the provision of essential services.</w:t>
      </w:r>
    </w:p>
    <w:p w14:paraId="2257510A" w14:textId="77777777" w:rsidR="005136D8" w:rsidRPr="005136D8" w:rsidRDefault="005136D8" w:rsidP="00ED639F">
      <w:pPr>
        <w:rPr>
          <w:rFonts w:eastAsia="Aptos" w:cs="Arial"/>
        </w:rPr>
      </w:pPr>
    </w:p>
    <w:p w14:paraId="0ACCA3EF" w14:textId="77777777" w:rsidR="005136D8" w:rsidRPr="005136D8" w:rsidRDefault="005136D8" w:rsidP="00ED639F">
      <w:pPr>
        <w:rPr>
          <w:rFonts w:eastAsia="Aptos" w:cs="Arial"/>
          <w:b/>
          <w:bCs/>
        </w:rPr>
      </w:pPr>
      <w:r w:rsidRPr="005136D8">
        <w:rPr>
          <w:rFonts w:eastAsia="Aptos" w:cs="Arial"/>
          <w:b/>
          <w:bCs/>
        </w:rPr>
        <w:t>16.4.1.2 Access to essential services outside normal working hours</w:t>
      </w:r>
    </w:p>
    <w:p w14:paraId="67B9BD3F" w14:textId="77777777" w:rsidR="005136D8" w:rsidRPr="005136D8" w:rsidRDefault="005136D8" w:rsidP="00ED639F">
      <w:pPr>
        <w:rPr>
          <w:rFonts w:eastAsia="Aptos" w:cs="Arial"/>
        </w:rPr>
      </w:pPr>
    </w:p>
    <w:p w14:paraId="5B9E0748" w14:textId="08388347" w:rsidR="005136D8" w:rsidRPr="005136D8" w:rsidRDefault="005136D8" w:rsidP="00ED639F">
      <w:pPr>
        <w:rPr>
          <w:rFonts w:eastAsia="Aptos" w:cs="Arial"/>
        </w:rPr>
      </w:pPr>
      <w:r w:rsidRPr="005136D8">
        <w:rPr>
          <w:rFonts w:eastAsia="Aptos" w:cs="Arial"/>
        </w:rPr>
        <w:t xml:space="preserve">The health board has noted that </w:t>
      </w:r>
      <w:r w:rsidR="00B1552F">
        <w:rPr>
          <w:rFonts w:eastAsia="Aptos" w:cs="Arial"/>
        </w:rPr>
        <w:t>28</w:t>
      </w:r>
      <w:r w:rsidRPr="005136D8">
        <w:rPr>
          <w:rFonts w:eastAsia="Aptos" w:cs="Arial"/>
        </w:rPr>
        <w:t xml:space="preserve"> pharmacies have core opening hours on Saturdays. Two have core opening hours on Sundays and a further six pharmacies open on Sundays under a rota.</w:t>
      </w:r>
    </w:p>
    <w:p w14:paraId="588A367D" w14:textId="77777777" w:rsidR="005136D8" w:rsidRPr="005136D8" w:rsidRDefault="005136D8" w:rsidP="00ED639F">
      <w:pPr>
        <w:rPr>
          <w:rFonts w:eastAsia="Aptos" w:cs="Arial"/>
        </w:rPr>
      </w:pPr>
    </w:p>
    <w:p w14:paraId="49593160" w14:textId="77777777" w:rsidR="005136D8" w:rsidRPr="005136D8" w:rsidRDefault="005136D8" w:rsidP="00ED639F">
      <w:pPr>
        <w:rPr>
          <w:rFonts w:eastAsia="Aptos" w:cs="Arial"/>
        </w:rPr>
      </w:pPr>
      <w:r w:rsidRPr="005136D8">
        <w:rPr>
          <w:rFonts w:eastAsia="Aptos" w:cs="Arial"/>
        </w:rPr>
        <w:t>It is possible that notifications to revise supplementary opening hours for pharmacies will be submitted to the health board during the lifespan of this pharmaceutical needs assessment. Supplementary opening hours are usually those that relate to after 5.30pm on weekdays and weekend opening.</w:t>
      </w:r>
    </w:p>
    <w:p w14:paraId="7DC81327" w14:textId="77777777" w:rsidR="005136D8" w:rsidRPr="005136D8" w:rsidRDefault="005136D8" w:rsidP="00ED639F">
      <w:pPr>
        <w:rPr>
          <w:rFonts w:eastAsia="Aptos" w:cs="Arial"/>
        </w:rPr>
      </w:pPr>
    </w:p>
    <w:p w14:paraId="7F93B2DB" w14:textId="77777777" w:rsidR="005136D8" w:rsidRPr="005136D8" w:rsidRDefault="005136D8" w:rsidP="00ED639F">
      <w:pPr>
        <w:rPr>
          <w:rFonts w:eastAsia="Aptos" w:cs="Arial"/>
        </w:rPr>
      </w:pPr>
      <w:r w:rsidRPr="005136D8">
        <w:rPr>
          <w:rFonts w:eastAsia="Aptos" w:cs="Arial"/>
        </w:rPr>
        <w:t>Notifications to change supplementary hours require a period of three months’ notice from the contractor. The health board cannot refuse changes to supplementary opening hours, but it can review the availability of pharmaceutical services in the area as a result of any changes.</w:t>
      </w:r>
    </w:p>
    <w:p w14:paraId="604166C8" w14:textId="77777777" w:rsidR="005136D8" w:rsidRPr="005136D8" w:rsidRDefault="005136D8" w:rsidP="00ED639F">
      <w:pPr>
        <w:rPr>
          <w:rFonts w:eastAsia="Aptos" w:cs="Arial"/>
        </w:rPr>
      </w:pPr>
    </w:p>
    <w:p w14:paraId="4810DDCC" w14:textId="77777777" w:rsidR="005136D8" w:rsidRPr="005136D8" w:rsidRDefault="005136D8" w:rsidP="00ED639F">
      <w:pPr>
        <w:rPr>
          <w:rFonts w:eastAsia="Aptos" w:cs="Arial"/>
        </w:rPr>
      </w:pPr>
      <w:r w:rsidRPr="005136D8">
        <w:rPr>
          <w:rFonts w:eastAsia="Aptos" w:cs="Arial"/>
        </w:rPr>
        <w:t xml:space="preserve">Taking the above into account, the health board has not identified any future needs for the provision of essential services. </w:t>
      </w:r>
    </w:p>
    <w:p w14:paraId="4A19BE77" w14:textId="77777777" w:rsidR="005136D8" w:rsidRPr="005136D8" w:rsidRDefault="005136D8" w:rsidP="00ED639F">
      <w:pPr>
        <w:rPr>
          <w:rFonts w:eastAsia="Aptos" w:cs="Arial"/>
        </w:rPr>
      </w:pPr>
    </w:p>
    <w:p w14:paraId="58ACAF86" w14:textId="77777777" w:rsidR="005136D8" w:rsidRPr="005136D8" w:rsidRDefault="005136D8" w:rsidP="00ED639F">
      <w:pPr>
        <w:rPr>
          <w:rFonts w:eastAsia="Aptos" w:cs="Arial"/>
          <w:b/>
          <w:bCs/>
        </w:rPr>
      </w:pPr>
      <w:r w:rsidRPr="005136D8">
        <w:rPr>
          <w:rFonts w:eastAsia="Aptos" w:cs="Arial"/>
          <w:b/>
          <w:bCs/>
        </w:rPr>
        <w:t>16.4.2</w:t>
      </w:r>
      <w:r w:rsidRPr="005136D8">
        <w:rPr>
          <w:rFonts w:eastAsia="Aptos" w:cs="Arial"/>
          <w:b/>
          <w:bCs/>
        </w:rPr>
        <w:tab/>
        <w:t>Future access to national community pharmacy and appliance contractor services</w:t>
      </w:r>
    </w:p>
    <w:p w14:paraId="73D68EC7" w14:textId="77777777" w:rsidR="005136D8" w:rsidRPr="005136D8" w:rsidRDefault="005136D8" w:rsidP="00ED639F">
      <w:pPr>
        <w:rPr>
          <w:rFonts w:eastAsia="Aptos" w:cs="Arial"/>
        </w:rPr>
      </w:pPr>
    </w:p>
    <w:p w14:paraId="0930661A" w14:textId="77777777" w:rsidR="005136D8" w:rsidRPr="005136D8" w:rsidRDefault="005136D8" w:rsidP="00ED639F">
      <w:pPr>
        <w:rPr>
          <w:rFonts w:eastAsia="Aptos" w:cs="Arial"/>
        </w:rPr>
      </w:pPr>
      <w:bookmarkStart w:id="44" w:name="_Hlk230618102"/>
      <w:r w:rsidRPr="005136D8">
        <w:rPr>
          <w:rFonts w:eastAsia="Aptos" w:cs="Arial"/>
        </w:rPr>
        <w:t>Based on the conclusions reached with regard to access to pharmacies, the number of pharmacies providing these services, their activity levels, and the reported capacity to manage an increase in demand, the health board has not identified any future needs for the provision of these services.</w:t>
      </w:r>
    </w:p>
    <w:bookmarkEnd w:id="44"/>
    <w:p w14:paraId="20C9A606" w14:textId="77777777" w:rsidR="005136D8" w:rsidRPr="00D0306F" w:rsidRDefault="005136D8" w:rsidP="00ED639F">
      <w:pPr>
        <w:rPr>
          <w:rFonts w:eastAsia="Aptos" w:cs="Arial"/>
        </w:rPr>
      </w:pPr>
    </w:p>
    <w:p w14:paraId="1C9353DE" w14:textId="77777777" w:rsidR="0047265C" w:rsidRPr="005136D8" w:rsidRDefault="0047265C" w:rsidP="00ED639F">
      <w:pPr>
        <w:rPr>
          <w:rFonts w:eastAsia="Aptos" w:cs="Arial"/>
        </w:rPr>
      </w:pPr>
    </w:p>
    <w:p w14:paraId="72F2FEF5" w14:textId="77777777" w:rsidR="005136D8" w:rsidRPr="005136D8" w:rsidRDefault="005136D8" w:rsidP="00ED639F">
      <w:pPr>
        <w:rPr>
          <w:rFonts w:eastAsia="Aptos" w:cs="Arial"/>
          <w:b/>
          <w:bCs/>
        </w:rPr>
      </w:pPr>
      <w:r w:rsidRPr="005136D8">
        <w:rPr>
          <w:rFonts w:eastAsia="Aptos" w:cs="Arial"/>
          <w:b/>
          <w:bCs/>
        </w:rPr>
        <w:lastRenderedPageBreak/>
        <w:t>16.4.3 Future access to enhanced services</w:t>
      </w:r>
    </w:p>
    <w:p w14:paraId="6F2BE17B" w14:textId="77777777" w:rsidR="005136D8" w:rsidRPr="005136D8" w:rsidRDefault="005136D8" w:rsidP="00ED639F">
      <w:pPr>
        <w:rPr>
          <w:rFonts w:eastAsia="Aptos" w:cs="Arial"/>
        </w:rPr>
      </w:pPr>
    </w:p>
    <w:p w14:paraId="01761BDB" w14:textId="77777777" w:rsidR="005136D8" w:rsidRPr="005136D8" w:rsidRDefault="005136D8" w:rsidP="00ED639F">
      <w:pPr>
        <w:rPr>
          <w:rFonts w:eastAsia="Aptos" w:cs="Arial"/>
        </w:rPr>
      </w:pPr>
      <w:r w:rsidRPr="005136D8">
        <w:rPr>
          <w:rFonts w:eastAsia="Aptos" w:cs="Arial"/>
        </w:rPr>
        <w:t>Based on the conclusions reached with regard to access to pharmacies, the number of pharmacies providing these services, their activity levels, and the reported capacity to manage an increase in demand, the health board has not identified any future needs for the provision of these services.</w:t>
      </w:r>
    </w:p>
    <w:p w14:paraId="2B1750E4" w14:textId="77777777" w:rsidR="005136D8" w:rsidRPr="005136D8" w:rsidRDefault="005136D8" w:rsidP="00ED639F">
      <w:pPr>
        <w:rPr>
          <w:rFonts w:eastAsia="Aptos" w:cs="Arial"/>
        </w:rPr>
      </w:pPr>
    </w:p>
    <w:p w14:paraId="3886F460" w14:textId="77777777" w:rsidR="005136D8" w:rsidRPr="005136D8" w:rsidRDefault="005136D8" w:rsidP="00ED639F">
      <w:pPr>
        <w:rPr>
          <w:rFonts w:eastAsia="Aptos" w:cs="Arial"/>
          <w:b/>
          <w:bCs/>
        </w:rPr>
      </w:pPr>
      <w:r w:rsidRPr="005136D8">
        <w:rPr>
          <w:rFonts w:eastAsia="Aptos" w:cs="Arial"/>
          <w:b/>
          <w:bCs/>
        </w:rPr>
        <w:t>16.4.4 Future access to the GP dispensing service</w:t>
      </w:r>
    </w:p>
    <w:p w14:paraId="2C59D909" w14:textId="77777777" w:rsidR="005136D8" w:rsidRPr="005136D8" w:rsidRDefault="005136D8" w:rsidP="00ED639F">
      <w:pPr>
        <w:rPr>
          <w:rFonts w:eastAsia="Aptos" w:cs="Arial"/>
        </w:rPr>
      </w:pPr>
    </w:p>
    <w:p w14:paraId="0DE7FB73" w14:textId="77777777" w:rsidR="005136D8" w:rsidRPr="00D0306F" w:rsidRDefault="005136D8" w:rsidP="00ED639F">
      <w:pPr>
        <w:rPr>
          <w:rFonts w:eastAsia="Aptos" w:cs="Arial"/>
        </w:rPr>
      </w:pPr>
      <w:r w:rsidRPr="005136D8">
        <w:rPr>
          <w:rFonts w:eastAsia="Aptos" w:cs="Arial"/>
        </w:rPr>
        <w:t>Based on the conclusions reached with regard to the provision of pharmaceutical services by pharmacy contractors, and the restrictions within the regulations as to who can be dispensed to by their GP practice, the health board has not identified any future needs for the provision of the GP dispensing service.</w:t>
      </w:r>
    </w:p>
    <w:p w14:paraId="6038A113" w14:textId="77883A27" w:rsidR="00B5606E" w:rsidRPr="00D0306F" w:rsidRDefault="00B5606E">
      <w:pPr>
        <w:spacing w:after="160" w:line="278" w:lineRule="auto"/>
        <w:rPr>
          <w:rFonts w:eastAsia="Aptos" w:cs="Arial"/>
        </w:rPr>
      </w:pPr>
      <w:r w:rsidRPr="00D0306F">
        <w:rPr>
          <w:rFonts w:eastAsia="Aptos" w:cs="Arial"/>
        </w:rPr>
        <w:br w:type="page"/>
      </w:r>
    </w:p>
    <w:p w14:paraId="2316923E" w14:textId="77777777" w:rsidR="00270CC7" w:rsidRPr="00D0306F" w:rsidRDefault="00270CC7" w:rsidP="00270CC7">
      <w:pPr>
        <w:pStyle w:val="Heading1"/>
        <w:rPr>
          <w:rFonts w:eastAsia="Aptos"/>
          <w:sz w:val="28"/>
          <w:szCs w:val="28"/>
          <w:lang w:val="en-US"/>
        </w:rPr>
      </w:pPr>
      <w:bookmarkStart w:id="45" w:name="_Toc235185388"/>
      <w:r w:rsidRPr="00D0306F">
        <w:rPr>
          <w:rFonts w:eastAsia="Aptos"/>
          <w:sz w:val="28"/>
          <w:szCs w:val="28"/>
          <w:lang w:val="en-US"/>
        </w:rPr>
        <w:lastRenderedPageBreak/>
        <w:t>Appendix A – policy context and background papers</w:t>
      </w:r>
      <w:bookmarkEnd w:id="45"/>
    </w:p>
    <w:p w14:paraId="2882E4DC" w14:textId="77777777" w:rsidR="00027D58" w:rsidRPr="00027D58" w:rsidRDefault="00027D58" w:rsidP="00027D58">
      <w:pPr>
        <w:rPr>
          <w:rFonts w:eastAsia="Aptos" w:cs="Arial"/>
          <w:b/>
          <w:lang w:val="en-US"/>
        </w:rPr>
      </w:pPr>
    </w:p>
    <w:p w14:paraId="4092A71C" w14:textId="77777777" w:rsidR="00027D58" w:rsidRPr="00027D58" w:rsidRDefault="00027D58" w:rsidP="00027D58">
      <w:pPr>
        <w:rPr>
          <w:rFonts w:eastAsia="Aptos" w:cs="Arial"/>
          <w:lang w:val="en-US"/>
        </w:rPr>
      </w:pPr>
      <w:r w:rsidRPr="00027D58">
        <w:rPr>
          <w:rFonts w:eastAsia="Aptos" w:cs="Arial"/>
          <w:lang w:val="en-US"/>
        </w:rPr>
        <w:t>Welsh Government establishes the overall structure in which community pharmacies, dispensing appliance contractors and dispensing doctors operate by providing the legislative and policy framework. Within the framework, the responsibility for planning and providing pharmaceutical services is vested in health boards who must plan health services to meet the needs of their resident populations. This includes determining the number and location of pharmacies and dispensing appliance contractors in their areas.</w:t>
      </w:r>
    </w:p>
    <w:p w14:paraId="5521B92F" w14:textId="77777777" w:rsidR="00027D58" w:rsidRPr="00027D58" w:rsidRDefault="00027D58" w:rsidP="00027D58">
      <w:pPr>
        <w:rPr>
          <w:rFonts w:eastAsia="Aptos" w:cs="Arial"/>
          <w:lang w:val="en-US"/>
        </w:rPr>
      </w:pPr>
    </w:p>
    <w:p w14:paraId="09CA1C04" w14:textId="77777777" w:rsidR="00027D58" w:rsidRPr="00027D58" w:rsidRDefault="00027D58" w:rsidP="00027D58">
      <w:pPr>
        <w:rPr>
          <w:rFonts w:eastAsia="Aptos" w:cs="Arial"/>
          <w:lang w:val="en-US"/>
        </w:rPr>
      </w:pPr>
      <w:r w:rsidRPr="00027D58">
        <w:rPr>
          <w:rFonts w:eastAsia="Aptos" w:cs="Arial"/>
          <w:lang w:val="en-US"/>
        </w:rPr>
        <w:t>The general duty to ensure the provision of pharmaceutical services, as with other aspects of NHS primary care services, is conferred directly on health boards under the NHS (Wales) Act 2006 (the 2006 Act). Health boards manage local lists of approved providers, referred to as pharmaceutical lists, and the inclusion of pharmacy and dispensing appliance contractor premises on pharmaceutical lists entitles contractors to provide NHS pharmaceutical services at those premises.</w:t>
      </w:r>
    </w:p>
    <w:p w14:paraId="29A1740F" w14:textId="77777777" w:rsidR="00027D58" w:rsidRPr="00027D58" w:rsidRDefault="00027D58" w:rsidP="00027D58">
      <w:pPr>
        <w:rPr>
          <w:rFonts w:eastAsia="Aptos" w:cs="Arial"/>
          <w:lang w:val="en-US"/>
        </w:rPr>
      </w:pPr>
    </w:p>
    <w:p w14:paraId="31EE3C8A" w14:textId="77777777" w:rsidR="00027D58" w:rsidRPr="00027D58" w:rsidRDefault="00027D58" w:rsidP="00027D58">
      <w:pPr>
        <w:rPr>
          <w:rFonts w:eastAsia="Aptos" w:cs="Arial"/>
          <w:lang w:val="en-US"/>
        </w:rPr>
      </w:pPr>
      <w:r w:rsidRPr="00027D58">
        <w:rPr>
          <w:rFonts w:eastAsia="Aptos" w:cs="Arial"/>
          <w:lang w:val="en-US"/>
        </w:rPr>
        <w:t>These arrangements govern the provision of pharmaceutical services and not the right to open and conduct a pharmacy business in Wales. That is dealt with under separate UK-wide legislation, the Medicines Act 1968.</w:t>
      </w:r>
    </w:p>
    <w:p w14:paraId="1B9552DA" w14:textId="77777777" w:rsidR="00027D58" w:rsidRPr="00027D58" w:rsidRDefault="00027D58" w:rsidP="00027D58">
      <w:pPr>
        <w:rPr>
          <w:rFonts w:eastAsia="Aptos" w:cs="Arial"/>
          <w:lang w:val="en-US"/>
        </w:rPr>
      </w:pPr>
    </w:p>
    <w:p w14:paraId="4A982B12" w14:textId="77777777" w:rsidR="00027D58" w:rsidRPr="00027D58" w:rsidRDefault="00027D58" w:rsidP="00027D58">
      <w:pPr>
        <w:rPr>
          <w:rFonts w:eastAsia="Aptos" w:cs="Arial"/>
          <w:lang w:val="en-US"/>
        </w:rPr>
      </w:pPr>
      <w:r w:rsidRPr="00027D58">
        <w:rPr>
          <w:rFonts w:eastAsia="Aptos" w:cs="Arial"/>
          <w:lang w:val="en-US"/>
        </w:rPr>
        <w:t>The Welsh Ministers have extensive powers and duties to make regulations and to issue directions to health boards, which govern the detail of the pharmaceutical services system in Wales. This includes specifying the terms of service for pharmacies and dispensing appliance contractors and the application of the control of entry test, which is the test that until 1 October 2021 had to be satisfied before a health board would grant an application for entry, or amend an entry, on the pharmaceutical list.</w:t>
      </w:r>
    </w:p>
    <w:p w14:paraId="4AB91C04" w14:textId="77777777" w:rsidR="00027D58" w:rsidRPr="00027D58" w:rsidRDefault="00027D58" w:rsidP="00027D58">
      <w:pPr>
        <w:rPr>
          <w:rFonts w:eastAsia="Aptos" w:cs="Arial"/>
          <w:lang w:val="en-US"/>
        </w:rPr>
      </w:pPr>
    </w:p>
    <w:p w14:paraId="3A74B46C" w14:textId="77777777" w:rsidR="00027D58" w:rsidRPr="00027D58" w:rsidRDefault="00027D58" w:rsidP="00027D58">
      <w:pPr>
        <w:rPr>
          <w:rFonts w:eastAsia="Aptos" w:cs="Arial"/>
          <w:lang w:val="en-US"/>
        </w:rPr>
      </w:pPr>
      <w:r w:rsidRPr="00027D58">
        <w:rPr>
          <w:rFonts w:eastAsia="Aptos" w:cs="Arial"/>
          <w:lang w:val="en-US"/>
        </w:rPr>
        <w:t>Under the NHS (Pharmaceutical Services) (Wales) Regulations 2013 (the 2013 Regulations), and preceding regulations, those persons wishing to provide pharmaceutical services submitted an application to the health board in accordance with the 2013 Regulations. The health board then decided whether or not the application satisfied the relevant test. The 2013 Regulations allowed for the health board’s decision to be challenged by lodging an appeal with the Welsh Ministers.</w:t>
      </w:r>
    </w:p>
    <w:p w14:paraId="2A3A6D73" w14:textId="77777777" w:rsidR="00027D58" w:rsidRPr="00027D58" w:rsidRDefault="00027D58" w:rsidP="00027D58">
      <w:pPr>
        <w:rPr>
          <w:rFonts w:eastAsia="Aptos" w:cs="Arial"/>
          <w:lang w:val="en-US"/>
        </w:rPr>
      </w:pPr>
    </w:p>
    <w:p w14:paraId="1E85A2EE" w14:textId="77777777" w:rsidR="00027D58" w:rsidRPr="00027D58" w:rsidRDefault="00027D58" w:rsidP="00027D58">
      <w:pPr>
        <w:rPr>
          <w:rFonts w:eastAsia="Aptos" w:cs="Arial"/>
          <w:lang w:val="en-US"/>
        </w:rPr>
      </w:pPr>
      <w:r w:rsidRPr="00027D58">
        <w:rPr>
          <w:rFonts w:eastAsia="Aptos" w:cs="Arial"/>
          <w:lang w:val="en-US"/>
        </w:rPr>
        <w:t>The previous system of pharmaceutical services delivery was therefore driven by those who wished to provide pharmaceutical services. It was they who decided which services they wished to provide and from what location.</w:t>
      </w:r>
    </w:p>
    <w:p w14:paraId="07C84940" w14:textId="77777777" w:rsidR="00027D58" w:rsidRPr="00027D58" w:rsidRDefault="00027D58" w:rsidP="00027D58">
      <w:pPr>
        <w:rPr>
          <w:rFonts w:eastAsia="Aptos" w:cs="Arial"/>
          <w:lang w:val="en-US"/>
        </w:rPr>
      </w:pPr>
    </w:p>
    <w:p w14:paraId="29AEC5FD" w14:textId="77777777" w:rsidR="00027D58" w:rsidRPr="00027D58" w:rsidRDefault="00027D58" w:rsidP="00027D58">
      <w:pPr>
        <w:rPr>
          <w:rFonts w:eastAsia="Aptos" w:cs="Arial"/>
          <w:lang w:val="en-US"/>
        </w:rPr>
      </w:pPr>
      <w:r w:rsidRPr="00027D58">
        <w:rPr>
          <w:rFonts w:eastAsia="Aptos" w:cs="Arial"/>
          <w:lang w:val="en-US"/>
        </w:rPr>
        <w:t>That meant that the system was reactive to applications and health boards were not able to plan where pharmacies or dispensing appliance contractors were located, or direct which services must be provided from those locations.</w:t>
      </w:r>
    </w:p>
    <w:p w14:paraId="30EE350E" w14:textId="77777777" w:rsidR="00027D58" w:rsidRPr="00027D58" w:rsidRDefault="00027D58" w:rsidP="00027D58">
      <w:pPr>
        <w:rPr>
          <w:rFonts w:eastAsia="Aptos" w:cs="Arial"/>
          <w:lang w:val="en-US"/>
        </w:rPr>
      </w:pPr>
    </w:p>
    <w:p w14:paraId="3D763221" w14:textId="77777777" w:rsidR="00027D58" w:rsidRPr="00027D58" w:rsidRDefault="00027D58" w:rsidP="00027D58">
      <w:pPr>
        <w:rPr>
          <w:rFonts w:eastAsia="Aptos" w:cs="Arial"/>
          <w:b/>
          <w:bCs/>
          <w:lang w:val="en-US"/>
        </w:rPr>
      </w:pPr>
      <w:r w:rsidRPr="00027D58">
        <w:rPr>
          <w:rFonts w:eastAsia="Aptos" w:cs="Arial"/>
          <w:b/>
          <w:bCs/>
          <w:lang w:val="en-US"/>
        </w:rPr>
        <w:t>Rationale for change</w:t>
      </w:r>
    </w:p>
    <w:p w14:paraId="7A6DDFDF" w14:textId="77777777" w:rsidR="00027D58" w:rsidRPr="00027D58" w:rsidRDefault="00027D58" w:rsidP="00027D58">
      <w:pPr>
        <w:rPr>
          <w:rFonts w:eastAsia="Aptos" w:cs="Arial"/>
          <w:b/>
          <w:lang w:val="en-US"/>
        </w:rPr>
      </w:pPr>
    </w:p>
    <w:p w14:paraId="64325D94" w14:textId="77777777" w:rsidR="00027D58" w:rsidRPr="00027D58" w:rsidRDefault="00027D58" w:rsidP="00027D58">
      <w:pPr>
        <w:rPr>
          <w:rFonts w:eastAsia="Aptos" w:cs="Arial"/>
          <w:lang w:val="en-US"/>
        </w:rPr>
      </w:pPr>
      <w:r w:rsidRPr="00027D58">
        <w:rPr>
          <w:rFonts w:eastAsia="Aptos" w:cs="Arial"/>
          <w:lang w:val="en-US"/>
        </w:rPr>
        <w:t xml:space="preserve">In 2010 the then Minister for Health and Social Services established a Task and Finish Group to review the regulatory framework, to consider Welsh Government policy on control of entry and the provision of pharmaceutical services by health professions other than pharmacists (e.g. doctors) and to make recommendations for </w:t>
      </w:r>
      <w:r w:rsidRPr="00027D58">
        <w:rPr>
          <w:rFonts w:eastAsia="Aptos" w:cs="Arial"/>
          <w:lang w:val="en-US"/>
        </w:rPr>
        <w:lastRenderedPageBreak/>
        <w:t>changes to legislation, if appropriate, to bring about a long term, cost effective and sustainable system which would afford patients appropriate access to pharmaceutical services.</w:t>
      </w:r>
    </w:p>
    <w:p w14:paraId="7B3CE26F" w14:textId="77777777" w:rsidR="00027D58" w:rsidRPr="00027D58" w:rsidRDefault="00027D58" w:rsidP="00027D58">
      <w:pPr>
        <w:rPr>
          <w:rFonts w:eastAsia="Aptos" w:cs="Arial"/>
          <w:lang w:val="en-US"/>
        </w:rPr>
      </w:pPr>
    </w:p>
    <w:p w14:paraId="69C7BD33" w14:textId="77777777" w:rsidR="00027D58" w:rsidRPr="00027D58" w:rsidRDefault="00027D58" w:rsidP="00027D58">
      <w:pPr>
        <w:rPr>
          <w:rFonts w:eastAsia="Aptos" w:cs="Arial"/>
          <w:lang w:val="en-US"/>
        </w:rPr>
      </w:pPr>
      <w:r w:rsidRPr="00027D58">
        <w:rPr>
          <w:rFonts w:eastAsia="Aptos" w:cs="Arial"/>
          <w:lang w:val="en-US"/>
        </w:rPr>
        <w:t>In 2011 Welsh Government consulted on the recommendations of the Task and Finish group. The consultation “Proposals to reform and modernise the National Health Service (Pharmaceutical Services) Regulations 1992” sought views on proposals to deliver a new approach for determining applications to provide pharmaceutical services in Wales based more on an assessment of local needs by health boards. However, it was recognised that to make such a change required the creation and inclusion of appropriate powers in the 2006 Act.</w:t>
      </w:r>
    </w:p>
    <w:p w14:paraId="2EB2378D" w14:textId="77777777" w:rsidR="00027D58" w:rsidRPr="00027D58" w:rsidRDefault="00027D58" w:rsidP="00027D58">
      <w:pPr>
        <w:rPr>
          <w:rFonts w:eastAsia="Aptos" w:cs="Arial"/>
          <w:lang w:val="en-US"/>
        </w:rPr>
      </w:pPr>
    </w:p>
    <w:p w14:paraId="0609F6E4" w14:textId="77777777" w:rsidR="00027D58" w:rsidRPr="00027D58" w:rsidRDefault="00027D58" w:rsidP="00027D58">
      <w:pPr>
        <w:rPr>
          <w:rFonts w:eastAsia="Aptos" w:cs="Arial"/>
          <w:lang w:val="en-US"/>
        </w:rPr>
      </w:pPr>
      <w:r w:rsidRPr="00027D58">
        <w:rPr>
          <w:rFonts w:eastAsia="Aptos" w:cs="Arial"/>
          <w:lang w:val="en-US"/>
        </w:rPr>
        <w:t>Following the consultation, the 2013 Regulations came into force on 10 May 2013 but did not contain provisions to introduce PNAs.</w:t>
      </w:r>
    </w:p>
    <w:p w14:paraId="47513410" w14:textId="77777777" w:rsidR="00027D58" w:rsidRPr="00027D58" w:rsidRDefault="00027D58" w:rsidP="00027D58">
      <w:pPr>
        <w:rPr>
          <w:rFonts w:eastAsia="Aptos" w:cs="Arial"/>
          <w:lang w:val="en-US"/>
        </w:rPr>
      </w:pPr>
    </w:p>
    <w:p w14:paraId="11471C3D" w14:textId="77777777" w:rsidR="00027D58" w:rsidRPr="00027D58" w:rsidRDefault="00027D58" w:rsidP="00027D58">
      <w:pPr>
        <w:rPr>
          <w:rFonts w:eastAsia="Aptos" w:cs="Arial"/>
          <w:lang w:val="en-US"/>
        </w:rPr>
      </w:pPr>
      <w:r w:rsidRPr="00027D58">
        <w:rPr>
          <w:rFonts w:eastAsia="Aptos" w:cs="Arial"/>
          <w:lang w:val="en-US"/>
        </w:rPr>
        <w:t>The Public Health (Wales) Act 2017 (the 2017 Act) inserted section 82A into the 2006 Act which makes provision for a new duty for health boards in Wales to prepare and publish an assessment of need for pharmaceutical services. Section 82A gave the Welsh Ministers powers to make regulations setting out the requirements for pharmaceutical needs assessments in Wales.</w:t>
      </w:r>
    </w:p>
    <w:p w14:paraId="7012FC24" w14:textId="77777777" w:rsidR="00027D58" w:rsidRPr="00027D58" w:rsidRDefault="00027D58" w:rsidP="00027D58">
      <w:pPr>
        <w:rPr>
          <w:rFonts w:eastAsia="Aptos" w:cs="Arial"/>
          <w:lang w:val="en-US"/>
        </w:rPr>
      </w:pPr>
    </w:p>
    <w:p w14:paraId="235FE2D2" w14:textId="77777777" w:rsidR="00027D58" w:rsidRPr="00027D58" w:rsidRDefault="00027D58" w:rsidP="00027D58">
      <w:pPr>
        <w:rPr>
          <w:rFonts w:eastAsia="Aptos" w:cs="Arial"/>
          <w:b/>
          <w:bCs/>
          <w:lang w:val="en-US"/>
        </w:rPr>
      </w:pPr>
      <w:r w:rsidRPr="00027D58">
        <w:rPr>
          <w:rFonts w:eastAsia="Aptos" w:cs="Arial"/>
          <w:b/>
          <w:bCs/>
          <w:lang w:val="en-US"/>
        </w:rPr>
        <w:t>Intended effect and beneficial outcomes</w:t>
      </w:r>
    </w:p>
    <w:p w14:paraId="308D61F0" w14:textId="77777777" w:rsidR="00027D58" w:rsidRPr="00027D58" w:rsidRDefault="00027D58" w:rsidP="00027D58">
      <w:pPr>
        <w:rPr>
          <w:rFonts w:eastAsia="Aptos" w:cs="Arial"/>
          <w:b/>
          <w:lang w:val="en-US"/>
        </w:rPr>
      </w:pPr>
    </w:p>
    <w:p w14:paraId="3AF31140" w14:textId="77777777" w:rsidR="00027D58" w:rsidRPr="00027D58" w:rsidRDefault="00027D58" w:rsidP="00027D58">
      <w:pPr>
        <w:rPr>
          <w:rFonts w:eastAsia="Aptos" w:cs="Arial"/>
          <w:lang w:val="en-US"/>
        </w:rPr>
      </w:pPr>
      <w:r w:rsidRPr="00027D58">
        <w:rPr>
          <w:rFonts w:eastAsia="Aptos" w:cs="Arial"/>
          <w:lang w:val="en-US"/>
        </w:rPr>
        <w:t>The intended effect of introducing pharmaceutical needs assessments is to improve the planning and delivery of pharmaceutical services by ensuring the health boards robustly consider the pharmaceutical needs of their populations and align services more closely with them. This requires health boards to take a more integrated approach to identifying the pharmaceutical needs of populations, including considering the contribution of all pharmaceutical services providers (e.g. pharmacies and dispensing doctors). Health boards use these assessments to identify where additional premises are required, where existing providers are adequately addressing pharmaceutical needs, and where additional services are required from existing premises.</w:t>
      </w:r>
    </w:p>
    <w:p w14:paraId="19E98EA8" w14:textId="77777777" w:rsidR="00027D58" w:rsidRPr="00027D58" w:rsidRDefault="00027D58" w:rsidP="00027D58">
      <w:pPr>
        <w:rPr>
          <w:rFonts w:eastAsia="Aptos" w:cs="Arial"/>
          <w:lang w:val="en-US"/>
        </w:rPr>
      </w:pPr>
    </w:p>
    <w:p w14:paraId="301284AB" w14:textId="77777777" w:rsidR="00027D58" w:rsidRPr="00027D58" w:rsidRDefault="00027D58" w:rsidP="00027D58">
      <w:pPr>
        <w:rPr>
          <w:rFonts w:eastAsia="Aptos" w:cs="Arial"/>
          <w:lang w:val="en-US"/>
        </w:rPr>
      </w:pPr>
      <w:r w:rsidRPr="00027D58">
        <w:rPr>
          <w:rFonts w:eastAsia="Aptos" w:cs="Arial"/>
          <w:lang w:val="en-US"/>
        </w:rPr>
        <w:t>The change provides contractors with increased certainty, reducing business risk and allowing them to invest in the delivery of wider services than they did previously. Importantly, pharmacies in particular will also become more responsive to the needs of the populations they serve and provide services effectively to address identified pharmaceutical needs.</w:t>
      </w:r>
    </w:p>
    <w:p w14:paraId="51787274" w14:textId="77777777" w:rsidR="00027D58" w:rsidRPr="00027D58" w:rsidRDefault="00027D58" w:rsidP="00027D58">
      <w:pPr>
        <w:rPr>
          <w:rFonts w:eastAsia="Aptos" w:cs="Arial"/>
          <w:lang w:val="en-US"/>
        </w:rPr>
      </w:pPr>
    </w:p>
    <w:p w14:paraId="14CBC048" w14:textId="77777777" w:rsidR="00027D58" w:rsidRPr="00027D58" w:rsidRDefault="00027D58" w:rsidP="00027D58">
      <w:pPr>
        <w:rPr>
          <w:rFonts w:eastAsia="Aptos" w:cs="Arial"/>
          <w:b/>
          <w:bCs/>
          <w:lang w:val="en-US"/>
        </w:rPr>
      </w:pPr>
      <w:r w:rsidRPr="00027D58">
        <w:rPr>
          <w:rFonts w:eastAsia="Aptos" w:cs="Arial"/>
          <w:b/>
          <w:bCs/>
          <w:lang w:val="en-US"/>
        </w:rPr>
        <w:t>Policy, legislative framework and regulation</w:t>
      </w:r>
    </w:p>
    <w:p w14:paraId="679C5276" w14:textId="77777777" w:rsidR="00027D58" w:rsidRPr="00027D58" w:rsidRDefault="00027D58" w:rsidP="00027D58">
      <w:pPr>
        <w:rPr>
          <w:rFonts w:eastAsia="Aptos" w:cs="Arial"/>
          <w:b/>
          <w:lang w:val="en-US"/>
        </w:rPr>
      </w:pPr>
    </w:p>
    <w:p w14:paraId="73145D91" w14:textId="77777777" w:rsidR="00027D58" w:rsidRPr="00027D58" w:rsidRDefault="00027D58" w:rsidP="00027D58">
      <w:pPr>
        <w:rPr>
          <w:rFonts w:eastAsia="Aptos" w:cs="Arial"/>
          <w:lang w:val="en-US"/>
        </w:rPr>
      </w:pPr>
      <w:r w:rsidRPr="00027D58">
        <w:rPr>
          <w:rFonts w:eastAsia="Aptos" w:cs="Arial"/>
          <w:lang w:val="en-US"/>
        </w:rPr>
        <w:t>Section 80 of the 2006 Act places a duty on health boards to make arrangements for the provision of the pharmaceutical services that are set out in subsections 80(3)(a) to (d). These core pharmaceutical services are the essential services now set out in Part 2 of the NHS (Pharmaceutical Services) (Wales) Regulations 2020. There is a duty on Welsh Ministers to make regulations governing the way in which health boards make these arrangements.</w:t>
      </w:r>
    </w:p>
    <w:p w14:paraId="6F5688AC" w14:textId="77777777" w:rsidR="00027D58" w:rsidRPr="00027D58" w:rsidRDefault="00027D58" w:rsidP="00027D58">
      <w:pPr>
        <w:rPr>
          <w:rFonts w:eastAsia="Aptos" w:cs="Arial"/>
          <w:lang w:val="en-US"/>
        </w:rPr>
      </w:pPr>
    </w:p>
    <w:p w14:paraId="65C61835" w14:textId="77777777" w:rsidR="00027D58" w:rsidRPr="00027D58" w:rsidRDefault="00027D58" w:rsidP="00027D58">
      <w:pPr>
        <w:rPr>
          <w:rFonts w:eastAsia="Aptos" w:cs="Arial"/>
          <w:lang w:val="en-US"/>
        </w:rPr>
      </w:pPr>
      <w:r w:rsidRPr="00027D58">
        <w:rPr>
          <w:rFonts w:eastAsia="Aptos" w:cs="Arial"/>
          <w:lang w:val="en-US"/>
        </w:rPr>
        <w:lastRenderedPageBreak/>
        <w:t>Section 81 of the 2006 Act sets out the arrangements that Welsh Ministers may make for the provision of additional pharmaceutical services. ‘Additional pharmaceutical services’ are defined as services of a kind that do not fall within section 80 i.e. the national community pharmacy and appliance contractor services (previously referred to as the ‘advanced services’, and the community pharmacy additional clinical services (previously referred to as the ‘enhanced services’). Section 81 gives Welsh Ministers the power to give directions to a health board:</w:t>
      </w:r>
    </w:p>
    <w:p w14:paraId="7B9B8E7B" w14:textId="77777777" w:rsidR="00027D58" w:rsidRPr="00027D58" w:rsidRDefault="00027D58" w:rsidP="00027D58">
      <w:pPr>
        <w:rPr>
          <w:rFonts w:eastAsia="Aptos" w:cs="Arial"/>
          <w:lang w:val="en-US"/>
        </w:rPr>
      </w:pPr>
    </w:p>
    <w:p w14:paraId="19B5EDBC" w14:textId="77777777" w:rsidR="00027D58" w:rsidRPr="00027D58" w:rsidRDefault="00027D58" w:rsidP="00B76905">
      <w:pPr>
        <w:numPr>
          <w:ilvl w:val="0"/>
          <w:numId w:val="212"/>
        </w:numPr>
        <w:contextualSpacing/>
        <w:rPr>
          <w:rFonts w:eastAsia="Aptos" w:cs="Arial"/>
          <w:lang w:val="en-US"/>
        </w:rPr>
      </w:pPr>
      <w:r w:rsidRPr="00027D58">
        <w:rPr>
          <w:rFonts w:eastAsia="Aptos" w:cs="Arial"/>
          <w:lang w:val="en-US"/>
        </w:rPr>
        <w:t xml:space="preserve">requiring it to arrange for the provision of additional pharmaceutical services, or </w:t>
      </w:r>
    </w:p>
    <w:p w14:paraId="736E123F" w14:textId="77777777" w:rsidR="00027D58" w:rsidRPr="00027D58" w:rsidRDefault="00027D58" w:rsidP="00B76905">
      <w:pPr>
        <w:numPr>
          <w:ilvl w:val="0"/>
          <w:numId w:val="212"/>
        </w:numPr>
        <w:contextualSpacing/>
        <w:rPr>
          <w:rFonts w:eastAsia="Aptos" w:cs="Arial"/>
          <w:lang w:val="en-US"/>
        </w:rPr>
      </w:pPr>
      <w:r w:rsidRPr="00027D58">
        <w:rPr>
          <w:rFonts w:eastAsia="Aptos" w:cs="Arial"/>
          <w:lang w:val="en-US"/>
        </w:rPr>
        <w:t>authorising the health board to arrange for the provision of pharmaceutical services if it wishes.</w:t>
      </w:r>
    </w:p>
    <w:p w14:paraId="60BEE9A1" w14:textId="77777777" w:rsidR="00027D58" w:rsidRPr="00027D58" w:rsidRDefault="00027D58" w:rsidP="00027D58">
      <w:pPr>
        <w:rPr>
          <w:rFonts w:eastAsia="Aptos" w:cs="Arial"/>
          <w:lang w:val="en-US"/>
        </w:rPr>
      </w:pPr>
    </w:p>
    <w:p w14:paraId="1715B150" w14:textId="77777777" w:rsidR="00027D58" w:rsidRPr="00027D58" w:rsidRDefault="00027D58" w:rsidP="00027D58">
      <w:pPr>
        <w:rPr>
          <w:rFonts w:eastAsia="Aptos" w:cs="Arial"/>
          <w:lang w:val="en-US"/>
        </w:rPr>
      </w:pPr>
      <w:r w:rsidRPr="00027D58">
        <w:rPr>
          <w:rFonts w:eastAsia="Aptos" w:cs="Arial"/>
          <w:lang w:val="en-US"/>
        </w:rPr>
        <w:t>Section 83 of the 2006 Act contains the core of the Welsh Ministers’ regulation making powers in relation to the provision of the pharmaceutical services and, amongst other things, sets out the requirement for regulations to require a health board to prepare and publish a pharmaceutical list, and sets out the tests which those persons wishing to provide pharmaceutical services must pass in order to do so (known as the ‘control of entry test’).</w:t>
      </w:r>
    </w:p>
    <w:p w14:paraId="36400C26" w14:textId="77777777" w:rsidR="00027D58" w:rsidRPr="00027D58" w:rsidRDefault="00027D58" w:rsidP="00027D58">
      <w:pPr>
        <w:rPr>
          <w:rFonts w:eastAsia="Aptos" w:cs="Arial"/>
          <w:lang w:val="en-US"/>
        </w:rPr>
      </w:pPr>
    </w:p>
    <w:p w14:paraId="521EEF96" w14:textId="77777777" w:rsidR="00027D58" w:rsidRPr="00027D58" w:rsidRDefault="00027D58" w:rsidP="00027D58">
      <w:pPr>
        <w:rPr>
          <w:rFonts w:eastAsia="Aptos" w:cs="Arial"/>
          <w:lang w:val="en-US"/>
        </w:rPr>
      </w:pPr>
      <w:r w:rsidRPr="00027D58">
        <w:rPr>
          <w:rFonts w:eastAsia="Aptos" w:cs="Arial"/>
          <w:lang w:val="en-US"/>
        </w:rPr>
        <w:t>Section 84 sets out a requirement for Welsh Ministers to provide for rights of appeal against decisions that are made by health boards in exercise of powers conferred upon them by regulations made under section 83.</w:t>
      </w:r>
    </w:p>
    <w:p w14:paraId="07DA28E9" w14:textId="77777777" w:rsidR="00027D58" w:rsidRPr="00027D58" w:rsidRDefault="00027D58" w:rsidP="00027D58">
      <w:pPr>
        <w:rPr>
          <w:rFonts w:eastAsia="Aptos" w:cs="Arial"/>
          <w:lang w:val="en-US"/>
        </w:rPr>
      </w:pPr>
    </w:p>
    <w:p w14:paraId="576016D5" w14:textId="77777777" w:rsidR="00027D58" w:rsidRPr="00027D58" w:rsidRDefault="00027D58" w:rsidP="00027D58">
      <w:pPr>
        <w:rPr>
          <w:rFonts w:eastAsia="Aptos" w:cs="Arial"/>
          <w:lang w:val="en-US"/>
        </w:rPr>
      </w:pPr>
      <w:r w:rsidRPr="00027D58">
        <w:rPr>
          <w:rFonts w:eastAsia="Aptos" w:cs="Arial"/>
          <w:lang w:val="en-US"/>
        </w:rPr>
        <w:t>Part 7 of the 2017 Act made provision to amend the 2006 Act in respect of pharmaceutical services. Section 111 of the 2017 Act inserted a new section 82A into the 2006 Act conferring powers on the Welsh Ministers to make regulations in respect of pharmaceutical needs assessments. The Public Health (Wales) Act 2017 (Commencement No.4) Order 2019 brought Part 7 of the 2017 Act into force on 1 April 2019. As a result, the Welsh Ministers made subordinate legislation setting out requirements for pharmaceutical needs assessments in Wales.</w:t>
      </w:r>
    </w:p>
    <w:p w14:paraId="1C58DF52" w14:textId="77777777" w:rsidR="00027D58" w:rsidRPr="00027D58" w:rsidRDefault="00027D58" w:rsidP="00027D58">
      <w:pPr>
        <w:rPr>
          <w:rFonts w:eastAsia="Aptos" w:cs="Arial"/>
          <w:lang w:val="en-US"/>
        </w:rPr>
      </w:pPr>
    </w:p>
    <w:p w14:paraId="187BFC85" w14:textId="77777777" w:rsidR="00027D58" w:rsidRPr="00027D58" w:rsidRDefault="00027D58" w:rsidP="00027D58">
      <w:pPr>
        <w:rPr>
          <w:rFonts w:eastAsia="Aptos" w:cs="Arial"/>
          <w:lang w:val="en-US"/>
        </w:rPr>
      </w:pPr>
      <w:r w:rsidRPr="00027D58">
        <w:rPr>
          <w:rFonts w:eastAsia="Aptos" w:cs="Arial"/>
          <w:lang w:val="en-US"/>
        </w:rPr>
        <w:t>The 2013 Regulations were revoked and replaced by the NHS (Pharmaceutical Services) (Wales) Regulations 2020. Part 2 of the NHS (Pharmaceutical Services) (Wales) Regulations 2020 imposes the legal requirements on health boards to complete pharmaceutical needs assessments.</w:t>
      </w:r>
    </w:p>
    <w:p w14:paraId="679348D7" w14:textId="77777777" w:rsidR="00027D58" w:rsidRPr="00027D58" w:rsidRDefault="00027D58" w:rsidP="00027D58">
      <w:pPr>
        <w:rPr>
          <w:rFonts w:eastAsia="Aptos" w:cs="Arial"/>
          <w:lang w:val="en-US"/>
        </w:rPr>
      </w:pPr>
    </w:p>
    <w:p w14:paraId="185E47BC" w14:textId="77777777" w:rsidR="00027D58" w:rsidRPr="00027D58" w:rsidRDefault="00027D58" w:rsidP="00027D58">
      <w:pPr>
        <w:rPr>
          <w:rFonts w:eastAsia="Aptos" w:cs="Arial"/>
          <w:lang w:val="en-US"/>
        </w:rPr>
      </w:pPr>
      <w:r w:rsidRPr="00027D58">
        <w:rPr>
          <w:rFonts w:eastAsia="Aptos" w:cs="Arial"/>
          <w:lang w:val="en-US"/>
        </w:rPr>
        <w:t>The NHS (Pharmaceutical Services) (Wales) Regulations 2020 came into force on 1st October 2020 and health boards had until 1 October 2021 to publish their first pharmaceutical needs assessment.</w:t>
      </w:r>
    </w:p>
    <w:p w14:paraId="73F2B2C9" w14:textId="77777777" w:rsidR="00027D58" w:rsidRPr="00027D58" w:rsidRDefault="00027D58" w:rsidP="00027D58">
      <w:pPr>
        <w:rPr>
          <w:rFonts w:eastAsia="Aptos" w:cs="Arial"/>
          <w:lang w:val="en-US"/>
        </w:rPr>
      </w:pPr>
    </w:p>
    <w:p w14:paraId="40C1D1C4" w14:textId="77777777" w:rsidR="00027D58" w:rsidRPr="00027D58" w:rsidRDefault="00027D58" w:rsidP="00027D58">
      <w:pPr>
        <w:rPr>
          <w:rFonts w:eastAsia="Aptos" w:cs="Arial"/>
          <w:lang w:val="en-US"/>
        </w:rPr>
      </w:pPr>
      <w:r w:rsidRPr="00027D58">
        <w:rPr>
          <w:rFonts w:eastAsia="Aptos" w:cs="Arial"/>
          <w:lang w:val="en-US"/>
        </w:rPr>
        <w:t>In summary the NHS (Pharmaceutical Services) (Wales) Regulations 2020 set out the:</w:t>
      </w:r>
    </w:p>
    <w:p w14:paraId="669912B5" w14:textId="77777777" w:rsidR="00027D58" w:rsidRPr="00027D58" w:rsidRDefault="00027D58" w:rsidP="00027D58">
      <w:pPr>
        <w:rPr>
          <w:rFonts w:eastAsia="Aptos" w:cs="Arial"/>
          <w:lang w:val="en-US"/>
        </w:rPr>
      </w:pPr>
    </w:p>
    <w:p w14:paraId="196FA709" w14:textId="77777777" w:rsidR="00027D58" w:rsidRPr="00027D58" w:rsidRDefault="00027D58" w:rsidP="00B76905">
      <w:pPr>
        <w:numPr>
          <w:ilvl w:val="0"/>
          <w:numId w:val="213"/>
        </w:numPr>
        <w:rPr>
          <w:rFonts w:eastAsia="Aptos" w:cs="Arial"/>
          <w:lang w:val="en-US"/>
        </w:rPr>
      </w:pPr>
      <w:r w:rsidRPr="00027D58">
        <w:rPr>
          <w:rFonts w:eastAsia="Aptos" w:cs="Arial"/>
          <w:lang w:val="en-US"/>
        </w:rPr>
        <w:t>Services that are to be covered by the pharmaceutical needs assessment</w:t>
      </w:r>
    </w:p>
    <w:p w14:paraId="6B67D2B8" w14:textId="77777777" w:rsidR="00027D58" w:rsidRPr="00027D58" w:rsidRDefault="00027D58" w:rsidP="00B76905">
      <w:pPr>
        <w:numPr>
          <w:ilvl w:val="0"/>
          <w:numId w:val="213"/>
        </w:numPr>
        <w:rPr>
          <w:rFonts w:eastAsia="Aptos" w:cs="Arial"/>
          <w:lang w:val="en-US"/>
        </w:rPr>
      </w:pPr>
      <w:r w:rsidRPr="00027D58">
        <w:rPr>
          <w:rFonts w:eastAsia="Aptos" w:cs="Arial"/>
          <w:lang w:val="en-US"/>
        </w:rPr>
        <w:t>Information that must be included in the pharmaceutical needs assessment (it should be noted that health boards are free to include any other information that they feel is relevant)</w:t>
      </w:r>
    </w:p>
    <w:p w14:paraId="090BBD81" w14:textId="77777777" w:rsidR="00027D58" w:rsidRPr="00027D58" w:rsidRDefault="00027D58" w:rsidP="00B76905">
      <w:pPr>
        <w:numPr>
          <w:ilvl w:val="0"/>
          <w:numId w:val="213"/>
        </w:numPr>
        <w:rPr>
          <w:rFonts w:eastAsia="Aptos" w:cs="Arial"/>
          <w:lang w:val="en-US"/>
        </w:rPr>
      </w:pPr>
      <w:r w:rsidRPr="00027D58">
        <w:rPr>
          <w:rFonts w:eastAsia="Aptos" w:cs="Arial"/>
          <w:lang w:val="en-US"/>
        </w:rPr>
        <w:t>Date by which health boards must publish their first pharmaceutical needs assessment</w:t>
      </w:r>
    </w:p>
    <w:p w14:paraId="2271BDA1" w14:textId="77777777" w:rsidR="00027D58" w:rsidRPr="00027D58" w:rsidRDefault="00027D58" w:rsidP="00B76905">
      <w:pPr>
        <w:numPr>
          <w:ilvl w:val="0"/>
          <w:numId w:val="213"/>
        </w:numPr>
        <w:rPr>
          <w:rFonts w:eastAsia="Aptos" w:cs="Arial"/>
          <w:lang w:val="en-US"/>
        </w:rPr>
      </w:pPr>
      <w:r w:rsidRPr="00027D58">
        <w:rPr>
          <w:rFonts w:eastAsia="Aptos" w:cs="Arial"/>
          <w:lang w:val="en-US"/>
        </w:rPr>
        <w:lastRenderedPageBreak/>
        <w:t>Requirement on health boards to publish further pharmaceutical needs assessments on a five yearly basis</w:t>
      </w:r>
    </w:p>
    <w:p w14:paraId="00849312" w14:textId="77777777" w:rsidR="00027D58" w:rsidRPr="00027D58" w:rsidRDefault="00027D58" w:rsidP="00B76905">
      <w:pPr>
        <w:numPr>
          <w:ilvl w:val="0"/>
          <w:numId w:val="213"/>
        </w:numPr>
        <w:rPr>
          <w:rFonts w:eastAsia="Aptos" w:cs="Arial"/>
          <w:lang w:val="en-US"/>
        </w:rPr>
      </w:pPr>
      <w:r w:rsidRPr="00027D58">
        <w:rPr>
          <w:rFonts w:eastAsia="Aptos" w:cs="Arial"/>
          <w:lang w:val="en-US"/>
        </w:rPr>
        <w:t>Requirement to publish a revised assessment sooner than on a five yearly basis in certain circumstances</w:t>
      </w:r>
    </w:p>
    <w:p w14:paraId="790ADB3F" w14:textId="77777777" w:rsidR="00027D58" w:rsidRPr="00027D58" w:rsidRDefault="00027D58" w:rsidP="00B76905">
      <w:pPr>
        <w:numPr>
          <w:ilvl w:val="0"/>
          <w:numId w:val="213"/>
        </w:numPr>
        <w:rPr>
          <w:rFonts w:eastAsia="Aptos" w:cs="Arial"/>
          <w:lang w:val="en-US"/>
        </w:rPr>
      </w:pPr>
      <w:r w:rsidRPr="00027D58">
        <w:rPr>
          <w:rFonts w:eastAsia="Aptos" w:cs="Arial"/>
          <w:lang w:val="en-US"/>
        </w:rPr>
        <w:t>Requirement to publish supplementary statements in certain circumstances</w:t>
      </w:r>
    </w:p>
    <w:p w14:paraId="308A0B8E" w14:textId="77777777" w:rsidR="00027D58" w:rsidRPr="00027D58" w:rsidRDefault="00027D58" w:rsidP="00B76905">
      <w:pPr>
        <w:numPr>
          <w:ilvl w:val="0"/>
          <w:numId w:val="213"/>
        </w:numPr>
        <w:rPr>
          <w:rFonts w:eastAsia="Aptos" w:cs="Arial"/>
          <w:lang w:val="en-US"/>
        </w:rPr>
      </w:pPr>
      <w:r w:rsidRPr="00027D58">
        <w:rPr>
          <w:rFonts w:eastAsia="Aptos" w:cs="Arial"/>
          <w:lang w:val="en-US"/>
        </w:rPr>
        <w:t>Requirement to consult with certain people and organisations at least once during the production of the pharmaceutical needs assessment, for at least 60 days; and</w:t>
      </w:r>
    </w:p>
    <w:p w14:paraId="3AEA1BC8" w14:textId="77777777" w:rsidR="00027D58" w:rsidRPr="00027D58" w:rsidRDefault="00027D58" w:rsidP="00B76905">
      <w:pPr>
        <w:numPr>
          <w:ilvl w:val="0"/>
          <w:numId w:val="213"/>
        </w:numPr>
        <w:rPr>
          <w:rFonts w:eastAsia="Aptos" w:cs="Arial"/>
          <w:lang w:val="en-US"/>
        </w:rPr>
      </w:pPr>
      <w:r w:rsidRPr="00027D58">
        <w:rPr>
          <w:rFonts w:eastAsia="Aptos" w:cs="Arial"/>
          <w:lang w:val="en-US"/>
        </w:rPr>
        <w:t>Matters the health board is to have regard to when producing its pharmaceutical needs assessment.</w:t>
      </w:r>
    </w:p>
    <w:p w14:paraId="42388F4A" w14:textId="77777777" w:rsidR="00027D58" w:rsidRPr="00027D58" w:rsidRDefault="00027D58" w:rsidP="00027D58">
      <w:pPr>
        <w:rPr>
          <w:rFonts w:eastAsia="Aptos" w:cs="Arial"/>
          <w:lang w:val="en-US"/>
        </w:rPr>
      </w:pPr>
    </w:p>
    <w:p w14:paraId="0EDDD63D" w14:textId="77777777" w:rsidR="00027D58" w:rsidRPr="00027D58" w:rsidRDefault="00027D58" w:rsidP="00027D58">
      <w:pPr>
        <w:rPr>
          <w:rFonts w:eastAsia="Aptos" w:cs="Arial"/>
          <w:lang w:val="en-US"/>
        </w:rPr>
      </w:pPr>
      <w:r w:rsidRPr="00027D58">
        <w:rPr>
          <w:rFonts w:eastAsia="Aptos" w:cs="Arial"/>
          <w:lang w:val="en-US"/>
        </w:rPr>
        <w:t>Once a health board has published its first PNA it is required to produce a revised pharmaceutical needs assessment within five years or sooner if it identifies changes to the need for pharmaceutical services which are of a significant extent. The only exception to this is where the health board is satisfied that producing a revised pharmaceutical needs assessment would be a disproportionate response to those changes.</w:t>
      </w:r>
    </w:p>
    <w:p w14:paraId="6F709928" w14:textId="77777777" w:rsidR="00027D58" w:rsidRPr="00027D58" w:rsidRDefault="00027D58" w:rsidP="00027D58">
      <w:pPr>
        <w:rPr>
          <w:rFonts w:eastAsia="Aptos" w:cs="Arial"/>
          <w:lang w:val="en-US"/>
        </w:rPr>
      </w:pPr>
    </w:p>
    <w:p w14:paraId="4DB079CF" w14:textId="77777777" w:rsidR="00027D58" w:rsidRPr="00027D58" w:rsidRDefault="00027D58" w:rsidP="00027D58">
      <w:pPr>
        <w:rPr>
          <w:rFonts w:eastAsia="Aptos" w:cs="Arial"/>
          <w:lang w:val="en-US"/>
        </w:rPr>
      </w:pPr>
      <w:r w:rsidRPr="00027D58">
        <w:rPr>
          <w:rFonts w:eastAsia="Aptos" w:cs="Arial"/>
          <w:lang w:val="en-US"/>
        </w:rPr>
        <w:t>In addition, a health board may publish a supplementary statement where it identifies changes to the availability of pharmaceutical services which are relevant to the granting of applications referred to in Section 83 of the 2006 Act, and</w:t>
      </w:r>
    </w:p>
    <w:p w14:paraId="063DD1CB" w14:textId="77777777" w:rsidR="00027D58" w:rsidRPr="00027D58" w:rsidRDefault="00027D58" w:rsidP="00027D58">
      <w:pPr>
        <w:rPr>
          <w:rFonts w:eastAsia="Aptos" w:cs="Arial"/>
          <w:lang w:val="en-US"/>
        </w:rPr>
      </w:pPr>
    </w:p>
    <w:p w14:paraId="0CA61930" w14:textId="77777777" w:rsidR="00027D58" w:rsidRPr="00027D58" w:rsidRDefault="00027D58" w:rsidP="00B76905">
      <w:pPr>
        <w:numPr>
          <w:ilvl w:val="0"/>
          <w:numId w:val="214"/>
        </w:numPr>
        <w:rPr>
          <w:rFonts w:eastAsia="Aptos" w:cs="Arial"/>
          <w:lang w:val="en-US"/>
        </w:rPr>
      </w:pPr>
      <w:r w:rsidRPr="00027D58">
        <w:rPr>
          <w:rFonts w:eastAsia="Aptos" w:cs="Arial"/>
          <w:lang w:val="en-US"/>
        </w:rPr>
        <w:t>It is satisfied that making a revised assessment would be a disproportionate response to those changes, or</w:t>
      </w:r>
    </w:p>
    <w:p w14:paraId="5B210201" w14:textId="77777777" w:rsidR="00027D58" w:rsidRPr="00027D58" w:rsidRDefault="00027D58" w:rsidP="00B76905">
      <w:pPr>
        <w:numPr>
          <w:ilvl w:val="0"/>
          <w:numId w:val="214"/>
        </w:numPr>
        <w:rPr>
          <w:rFonts w:eastAsia="Aptos" w:cs="Arial"/>
          <w:lang w:val="en-US"/>
        </w:rPr>
      </w:pPr>
      <w:r w:rsidRPr="00027D58">
        <w:rPr>
          <w:rFonts w:eastAsia="Aptos" w:cs="Arial"/>
          <w:lang w:val="en-US"/>
        </w:rPr>
        <w:t>It is in the course of making a revised assessment and is satisfied that immediate modification of its pharmaceutical needs assessment is essential in order to prevent detriment to the provision of pharmaceutical services in its area.</w:t>
      </w:r>
    </w:p>
    <w:p w14:paraId="1C56C9B7" w14:textId="77777777" w:rsidR="00027D58" w:rsidRPr="00027D58" w:rsidRDefault="00027D58" w:rsidP="00027D58">
      <w:pPr>
        <w:rPr>
          <w:rFonts w:eastAsia="Aptos" w:cs="Arial"/>
          <w:lang w:val="en-US"/>
        </w:rPr>
      </w:pPr>
    </w:p>
    <w:p w14:paraId="488533CB" w14:textId="77777777" w:rsidR="00027D58" w:rsidRPr="00027D58" w:rsidRDefault="00027D58" w:rsidP="00027D58">
      <w:pPr>
        <w:rPr>
          <w:rFonts w:eastAsia="Aptos" w:cs="Arial"/>
          <w:b/>
          <w:bCs/>
          <w:lang w:val="en-US"/>
        </w:rPr>
      </w:pPr>
      <w:r w:rsidRPr="00027D58">
        <w:rPr>
          <w:rFonts w:eastAsia="Aptos" w:cs="Arial"/>
          <w:b/>
          <w:bCs/>
          <w:lang w:val="en-US"/>
        </w:rPr>
        <w:t>Developing the detailed requirements</w:t>
      </w:r>
    </w:p>
    <w:p w14:paraId="3920C312" w14:textId="77777777" w:rsidR="00027D58" w:rsidRPr="00027D58" w:rsidRDefault="00027D58" w:rsidP="00027D58">
      <w:pPr>
        <w:rPr>
          <w:rFonts w:eastAsia="Aptos" w:cs="Arial"/>
          <w:b/>
          <w:lang w:val="en-US"/>
        </w:rPr>
      </w:pPr>
    </w:p>
    <w:p w14:paraId="38E85897" w14:textId="77777777" w:rsidR="00027D58" w:rsidRPr="00027D58" w:rsidRDefault="00027D58" w:rsidP="00027D58">
      <w:pPr>
        <w:rPr>
          <w:rFonts w:eastAsia="Aptos" w:cs="Arial"/>
          <w:lang w:val="en-US"/>
        </w:rPr>
      </w:pPr>
      <w:r w:rsidRPr="00027D58">
        <w:rPr>
          <w:rFonts w:eastAsia="Aptos" w:cs="Arial"/>
          <w:lang w:val="en-US"/>
        </w:rPr>
        <w:t>A working group was established in November 2015 to develop the detailed requirements for conducting a PNA and to review and amend the tests and procedures as they apply to the provision of NHS pharmaceutical services. The group, which met on a number of occasions, consisted health board pharmacy leads with knowledge of the previous control of entry system and expertise in community pharmacy, NHS Shared Services Partnership primary care (pharmacy) leads, who have expertise in the process of determining control of entry applications, and Welsh Government staff. The group made a significant contribution to the development of Welsh Government’s policy on pharmaceutical needs assessments, including the resultant proposals contained within the NHS (Pharmaceutical Services) (Wales) Regulations 2020.</w:t>
      </w:r>
    </w:p>
    <w:p w14:paraId="449B6488" w14:textId="77777777" w:rsidR="00027D58" w:rsidRPr="00027D58" w:rsidRDefault="00027D58" w:rsidP="00027D58">
      <w:pPr>
        <w:rPr>
          <w:rFonts w:eastAsia="Aptos" w:cs="Arial"/>
          <w:lang w:val="en-US"/>
        </w:rPr>
      </w:pPr>
    </w:p>
    <w:p w14:paraId="186CA0C8" w14:textId="77777777" w:rsidR="00027D58" w:rsidRPr="00027D58" w:rsidRDefault="00027D58" w:rsidP="00027D58">
      <w:pPr>
        <w:rPr>
          <w:rFonts w:eastAsia="Aptos" w:cs="Arial"/>
          <w:b/>
          <w:bCs/>
          <w:lang w:val="en-US"/>
        </w:rPr>
      </w:pPr>
      <w:r w:rsidRPr="00027D58">
        <w:rPr>
          <w:rFonts w:eastAsia="Aptos" w:cs="Arial"/>
          <w:b/>
          <w:bCs/>
          <w:lang w:val="en-US"/>
        </w:rPr>
        <w:t>Review of the NHS (Pharmaceutical Services) (Wales) Regulations 2020</w:t>
      </w:r>
    </w:p>
    <w:p w14:paraId="1A60D74D" w14:textId="77777777" w:rsidR="00027D58" w:rsidRPr="00027D58" w:rsidRDefault="00027D58" w:rsidP="00027D58">
      <w:pPr>
        <w:rPr>
          <w:rFonts w:eastAsia="Aptos" w:cs="Arial"/>
          <w:lang w:val="en-US"/>
        </w:rPr>
      </w:pPr>
    </w:p>
    <w:p w14:paraId="103052C2" w14:textId="77777777" w:rsidR="00027D58" w:rsidRPr="00027D58" w:rsidRDefault="00027D58" w:rsidP="00027D58">
      <w:pPr>
        <w:rPr>
          <w:rFonts w:eastAsia="Aptos" w:cs="Arial"/>
          <w:lang w:val="en-US"/>
        </w:rPr>
      </w:pPr>
      <w:r w:rsidRPr="00027D58">
        <w:rPr>
          <w:rFonts w:eastAsia="Aptos" w:cs="Arial"/>
          <w:lang w:val="en-US"/>
        </w:rPr>
        <w:t>From May to July 2024 Welsh Government undertook a review of the regulations to evaluate the introduction of pharmaceutical needs assessments in order to assess whether their introduction</w:t>
      </w:r>
      <w:r w:rsidRPr="00027D58">
        <w:rPr>
          <w:rFonts w:eastAsia="Aptos" w:cs="Arial"/>
        </w:rPr>
        <w:t xml:space="preserve"> is working as intended and to identify any unintended consequences of the policy. </w:t>
      </w:r>
      <w:r w:rsidRPr="00027D58">
        <w:rPr>
          <w:rFonts w:eastAsia="Aptos" w:cs="Arial"/>
          <w:lang w:val="en-US"/>
        </w:rPr>
        <w:br w:type="page"/>
      </w:r>
    </w:p>
    <w:p w14:paraId="28E38F48" w14:textId="77777777" w:rsidR="00027D58" w:rsidRPr="00D0306F" w:rsidRDefault="00027D58" w:rsidP="00027D58">
      <w:pPr>
        <w:pStyle w:val="Heading1"/>
        <w:rPr>
          <w:rFonts w:eastAsia="Aptos"/>
          <w:sz w:val="28"/>
          <w:szCs w:val="28"/>
          <w:lang w:val="en-US"/>
        </w:rPr>
      </w:pPr>
      <w:bookmarkStart w:id="46" w:name="_Toc235185389"/>
      <w:r w:rsidRPr="00D0306F">
        <w:rPr>
          <w:rFonts w:eastAsia="Aptos"/>
          <w:sz w:val="28"/>
          <w:szCs w:val="28"/>
          <w:lang w:val="en-US"/>
        </w:rPr>
        <w:lastRenderedPageBreak/>
        <w:t>Appendix B – essential services</w:t>
      </w:r>
      <w:bookmarkEnd w:id="46"/>
    </w:p>
    <w:p w14:paraId="3CFC767A" w14:textId="77777777" w:rsidR="00027D58" w:rsidRPr="00027D58" w:rsidRDefault="00027D58" w:rsidP="00027D58">
      <w:pPr>
        <w:rPr>
          <w:rFonts w:eastAsia="Aptos" w:cs="Arial"/>
          <w:b/>
          <w:lang w:val="en-US"/>
        </w:rPr>
      </w:pPr>
    </w:p>
    <w:p w14:paraId="3C59FE70" w14:textId="2B570CFD" w:rsidR="00027D58" w:rsidRPr="00027D58" w:rsidRDefault="0006435A" w:rsidP="0006435A">
      <w:pPr>
        <w:rPr>
          <w:rFonts w:eastAsia="Aptos" w:cs="Arial"/>
          <w:b/>
          <w:bCs/>
          <w:lang w:val="en-US"/>
        </w:rPr>
      </w:pPr>
      <w:r w:rsidRPr="00D0306F">
        <w:rPr>
          <w:rFonts w:eastAsia="Aptos" w:cs="Arial"/>
          <w:b/>
          <w:bCs/>
          <w:lang w:val="en-US"/>
        </w:rPr>
        <w:t xml:space="preserve">1. </w:t>
      </w:r>
      <w:r w:rsidR="00027D58" w:rsidRPr="00027D58">
        <w:rPr>
          <w:rFonts w:eastAsia="Aptos" w:cs="Arial"/>
          <w:b/>
          <w:bCs/>
          <w:lang w:val="en-US"/>
        </w:rPr>
        <w:t xml:space="preserve">Dispensing of prescriptions </w:t>
      </w:r>
    </w:p>
    <w:p w14:paraId="6382D98A" w14:textId="77777777" w:rsidR="00027D58" w:rsidRPr="00027D58" w:rsidRDefault="00027D58" w:rsidP="00027D58">
      <w:pPr>
        <w:rPr>
          <w:rFonts w:eastAsia="Aptos" w:cs="Arial"/>
          <w:b/>
          <w:bCs/>
          <w:lang w:val="en-US"/>
        </w:rPr>
      </w:pPr>
    </w:p>
    <w:p w14:paraId="2DE06E95" w14:textId="77777777" w:rsidR="00027D58" w:rsidRPr="00027D58" w:rsidRDefault="00027D58" w:rsidP="00027D58">
      <w:pPr>
        <w:rPr>
          <w:rFonts w:eastAsia="Aptos" w:cs="Arial"/>
          <w:b/>
          <w:bCs/>
          <w:lang w:val="en-US"/>
        </w:rPr>
      </w:pPr>
      <w:r w:rsidRPr="00027D58">
        <w:rPr>
          <w:rFonts w:eastAsia="Aptos" w:cs="Arial"/>
          <w:b/>
          <w:bCs/>
          <w:lang w:val="en-US"/>
        </w:rPr>
        <w:t>Service description</w:t>
      </w:r>
    </w:p>
    <w:p w14:paraId="15FF0FBD" w14:textId="77777777" w:rsidR="00027D58" w:rsidRPr="00027D58" w:rsidRDefault="00027D58" w:rsidP="00027D58">
      <w:pPr>
        <w:rPr>
          <w:rFonts w:eastAsia="Aptos" w:cs="Arial"/>
          <w:b/>
          <w:lang w:val="en-US"/>
        </w:rPr>
      </w:pPr>
    </w:p>
    <w:p w14:paraId="750B95AE" w14:textId="77777777" w:rsidR="00027D58" w:rsidRPr="00027D58" w:rsidRDefault="00027D58" w:rsidP="00027D58">
      <w:pPr>
        <w:rPr>
          <w:rFonts w:eastAsia="Aptos" w:cs="Arial"/>
          <w:lang w:val="en-US"/>
        </w:rPr>
      </w:pPr>
      <w:r w:rsidRPr="00027D58">
        <w:rPr>
          <w:rFonts w:eastAsia="Aptos" w:cs="Arial"/>
          <w:lang w:val="en-US"/>
        </w:rPr>
        <w:t>The supply of medicines and appliances ordered on NHS prescriptions, together with information and advice, to enable safe and effective use by patients, and maintenance of appropriate records.</w:t>
      </w:r>
    </w:p>
    <w:p w14:paraId="587A341D" w14:textId="77777777" w:rsidR="00027D58" w:rsidRPr="00027D58" w:rsidRDefault="00027D58" w:rsidP="00027D58">
      <w:pPr>
        <w:rPr>
          <w:rFonts w:eastAsia="Aptos" w:cs="Arial"/>
          <w:lang w:val="en-US"/>
        </w:rPr>
      </w:pPr>
    </w:p>
    <w:p w14:paraId="632E18C5" w14:textId="77777777" w:rsidR="00027D58" w:rsidRPr="00027D58" w:rsidRDefault="00027D58" w:rsidP="00027D58">
      <w:pPr>
        <w:rPr>
          <w:rFonts w:eastAsia="Aptos" w:cs="Arial"/>
          <w:b/>
          <w:bCs/>
          <w:lang w:val="en-US"/>
        </w:rPr>
      </w:pPr>
      <w:r w:rsidRPr="00027D58">
        <w:rPr>
          <w:rFonts w:eastAsia="Aptos" w:cs="Arial"/>
          <w:b/>
          <w:bCs/>
          <w:lang w:val="en-US"/>
        </w:rPr>
        <w:t>Aims and intended outcomes</w:t>
      </w:r>
    </w:p>
    <w:p w14:paraId="7A792E68" w14:textId="77777777" w:rsidR="00027D58" w:rsidRPr="00027D58" w:rsidRDefault="00027D58" w:rsidP="00027D58">
      <w:pPr>
        <w:rPr>
          <w:rFonts w:eastAsia="Aptos" w:cs="Arial"/>
          <w:b/>
          <w:lang w:val="en-US"/>
        </w:rPr>
      </w:pPr>
    </w:p>
    <w:p w14:paraId="15F63AC1" w14:textId="77777777" w:rsidR="00027D58" w:rsidRPr="00027D58" w:rsidRDefault="00027D58" w:rsidP="00027D58">
      <w:pPr>
        <w:rPr>
          <w:rFonts w:eastAsia="Aptos" w:cs="Arial"/>
          <w:lang w:val="en-US"/>
        </w:rPr>
      </w:pPr>
      <w:r w:rsidRPr="00027D58">
        <w:rPr>
          <w:rFonts w:eastAsia="Aptos" w:cs="Arial"/>
          <w:lang w:val="en-US"/>
        </w:rPr>
        <w:t>To ensure patients receive ordered medicines and appliances safely and appropriately by the pharmacy:</w:t>
      </w:r>
    </w:p>
    <w:p w14:paraId="2238B20A" w14:textId="77777777" w:rsidR="00027D58" w:rsidRPr="00027D58" w:rsidRDefault="00027D58" w:rsidP="00027D58">
      <w:pPr>
        <w:rPr>
          <w:rFonts w:eastAsia="Aptos" w:cs="Arial"/>
          <w:lang w:val="en-US"/>
        </w:rPr>
      </w:pPr>
    </w:p>
    <w:p w14:paraId="7412FEC0" w14:textId="77777777" w:rsidR="00027D58" w:rsidRPr="00027D58" w:rsidRDefault="00027D58" w:rsidP="00B76905">
      <w:pPr>
        <w:numPr>
          <w:ilvl w:val="0"/>
          <w:numId w:val="215"/>
        </w:numPr>
        <w:rPr>
          <w:rFonts w:eastAsia="Aptos" w:cs="Arial"/>
          <w:lang w:val="en-US"/>
        </w:rPr>
      </w:pPr>
      <w:r w:rsidRPr="00027D58">
        <w:rPr>
          <w:rFonts w:eastAsia="Aptos" w:cs="Arial"/>
          <w:lang w:val="en-US"/>
        </w:rPr>
        <w:t>Performing appropriate legal, clinical and accuracy checks</w:t>
      </w:r>
    </w:p>
    <w:p w14:paraId="17C3F2C7" w14:textId="77777777" w:rsidR="00027D58" w:rsidRPr="00027D58" w:rsidRDefault="00027D58" w:rsidP="00B76905">
      <w:pPr>
        <w:numPr>
          <w:ilvl w:val="0"/>
          <w:numId w:val="215"/>
        </w:numPr>
        <w:rPr>
          <w:rFonts w:eastAsia="Aptos" w:cs="Arial"/>
          <w:lang w:val="en-US"/>
        </w:rPr>
      </w:pPr>
      <w:r w:rsidRPr="00027D58">
        <w:rPr>
          <w:rFonts w:eastAsia="Aptos" w:cs="Arial"/>
          <w:lang w:val="en-US"/>
        </w:rPr>
        <w:t>Having safe systems of operation, in line with clinical governance requirements</w:t>
      </w:r>
    </w:p>
    <w:p w14:paraId="53458CD7" w14:textId="77777777" w:rsidR="00027D58" w:rsidRPr="00027D58" w:rsidRDefault="00027D58" w:rsidP="00B76905">
      <w:pPr>
        <w:numPr>
          <w:ilvl w:val="0"/>
          <w:numId w:val="215"/>
        </w:numPr>
        <w:rPr>
          <w:rFonts w:eastAsia="Aptos" w:cs="Arial"/>
          <w:lang w:val="en-US"/>
        </w:rPr>
      </w:pPr>
      <w:r w:rsidRPr="00027D58">
        <w:rPr>
          <w:rFonts w:eastAsia="Aptos" w:cs="Arial"/>
          <w:lang w:val="en-US"/>
        </w:rPr>
        <w:t>Having systems in place to guarantee the integrity of products supplied</w:t>
      </w:r>
    </w:p>
    <w:p w14:paraId="2E38F810" w14:textId="77777777" w:rsidR="00027D58" w:rsidRPr="00027D58" w:rsidRDefault="00027D58" w:rsidP="00B76905">
      <w:pPr>
        <w:numPr>
          <w:ilvl w:val="0"/>
          <w:numId w:val="215"/>
        </w:numPr>
        <w:rPr>
          <w:rFonts w:eastAsia="Aptos" w:cs="Arial"/>
          <w:lang w:val="en-US"/>
        </w:rPr>
      </w:pPr>
      <w:r w:rsidRPr="00027D58">
        <w:rPr>
          <w:rFonts w:eastAsia="Aptos" w:cs="Arial"/>
          <w:lang w:val="en-US"/>
        </w:rPr>
        <w:t>Maintaining a record of all medicines and appliances supplied which can be used to assist future patient care</w:t>
      </w:r>
    </w:p>
    <w:p w14:paraId="5A913D20" w14:textId="77777777" w:rsidR="00027D58" w:rsidRPr="00027D58" w:rsidRDefault="00027D58" w:rsidP="00B76905">
      <w:pPr>
        <w:numPr>
          <w:ilvl w:val="0"/>
          <w:numId w:val="215"/>
        </w:numPr>
        <w:rPr>
          <w:rFonts w:eastAsia="Aptos" w:cs="Arial"/>
          <w:lang w:val="en-US"/>
        </w:rPr>
      </w:pPr>
      <w:r w:rsidRPr="00027D58">
        <w:rPr>
          <w:rFonts w:eastAsia="Aptos" w:cs="Arial"/>
          <w:lang w:val="en-US"/>
        </w:rPr>
        <w:t>Maintaining a record of advice given, and interventions and referrals made, where the pharmacist judges it to be clinically appropriate.</w:t>
      </w:r>
    </w:p>
    <w:p w14:paraId="10E2E120" w14:textId="77777777" w:rsidR="00027D58" w:rsidRPr="00027D58" w:rsidRDefault="00027D58" w:rsidP="00027D58">
      <w:pPr>
        <w:rPr>
          <w:rFonts w:eastAsia="Aptos" w:cs="Arial"/>
          <w:lang w:val="en-US"/>
        </w:rPr>
      </w:pPr>
    </w:p>
    <w:p w14:paraId="6AE33CB3" w14:textId="77777777" w:rsidR="00027D58" w:rsidRPr="00027D58" w:rsidRDefault="00027D58" w:rsidP="00027D58">
      <w:pPr>
        <w:rPr>
          <w:rFonts w:eastAsia="Aptos" w:cs="Arial"/>
          <w:lang w:val="en-US"/>
        </w:rPr>
      </w:pPr>
      <w:r w:rsidRPr="00027D58">
        <w:rPr>
          <w:rFonts w:eastAsia="Aptos" w:cs="Arial"/>
          <w:lang w:val="en-US"/>
        </w:rPr>
        <w:t>To ensure patients are able to use their medicines and appliances effectively by pharmacy staff:</w:t>
      </w:r>
    </w:p>
    <w:p w14:paraId="2A9C8216" w14:textId="77777777" w:rsidR="00027D58" w:rsidRPr="00027D58" w:rsidRDefault="00027D58" w:rsidP="00027D58">
      <w:pPr>
        <w:rPr>
          <w:rFonts w:eastAsia="Aptos" w:cs="Arial"/>
          <w:lang w:val="en-US"/>
        </w:rPr>
      </w:pPr>
    </w:p>
    <w:p w14:paraId="51373E90" w14:textId="77777777" w:rsidR="00027D58" w:rsidRPr="00027D58" w:rsidRDefault="00027D58" w:rsidP="00B76905">
      <w:pPr>
        <w:numPr>
          <w:ilvl w:val="0"/>
          <w:numId w:val="216"/>
        </w:numPr>
        <w:rPr>
          <w:rFonts w:eastAsia="Aptos" w:cs="Arial"/>
          <w:lang w:val="en-US"/>
        </w:rPr>
      </w:pPr>
      <w:r w:rsidRPr="00027D58">
        <w:rPr>
          <w:rFonts w:eastAsia="Aptos" w:cs="Arial"/>
          <w:lang w:val="en-US"/>
        </w:rPr>
        <w:t>Providing information and advice to the patient or their representative on the safe use of their medicine or appliance</w:t>
      </w:r>
    </w:p>
    <w:p w14:paraId="4F67F979" w14:textId="77777777" w:rsidR="00027D58" w:rsidRPr="00027D58" w:rsidRDefault="00027D58" w:rsidP="00B76905">
      <w:pPr>
        <w:numPr>
          <w:ilvl w:val="0"/>
          <w:numId w:val="216"/>
        </w:numPr>
        <w:rPr>
          <w:rFonts w:eastAsia="Aptos" w:cs="Arial"/>
          <w:lang w:val="en-US"/>
        </w:rPr>
      </w:pPr>
      <w:r w:rsidRPr="00027D58">
        <w:rPr>
          <w:rFonts w:eastAsia="Aptos" w:cs="Arial"/>
          <w:lang w:val="en-US"/>
        </w:rPr>
        <w:t>Providing when appropriate broader advice to the patient on the medicine, for example its possible side effects and significant interactions with other substances.</w:t>
      </w:r>
    </w:p>
    <w:p w14:paraId="62DA64A8" w14:textId="77777777" w:rsidR="00027D58" w:rsidRPr="00027D58" w:rsidRDefault="00027D58" w:rsidP="00027D58">
      <w:pPr>
        <w:rPr>
          <w:rFonts w:eastAsia="Aptos" w:cs="Arial"/>
          <w:lang w:val="en-US"/>
        </w:rPr>
      </w:pPr>
    </w:p>
    <w:p w14:paraId="6F5468BB" w14:textId="40527D10" w:rsidR="00027D58" w:rsidRPr="00027D58" w:rsidRDefault="00461373" w:rsidP="00461373">
      <w:pPr>
        <w:rPr>
          <w:rFonts w:eastAsia="Aptos" w:cs="Arial"/>
          <w:b/>
          <w:bCs/>
          <w:lang w:val="en-US"/>
        </w:rPr>
      </w:pPr>
      <w:r w:rsidRPr="00D0306F">
        <w:rPr>
          <w:rFonts w:eastAsia="Aptos" w:cs="Arial"/>
          <w:b/>
          <w:bCs/>
          <w:lang w:val="en-US"/>
        </w:rPr>
        <w:t xml:space="preserve">2. </w:t>
      </w:r>
      <w:r w:rsidR="00027D58" w:rsidRPr="00027D58">
        <w:rPr>
          <w:rFonts w:eastAsia="Aptos" w:cs="Arial"/>
          <w:b/>
          <w:bCs/>
          <w:lang w:val="en-US"/>
        </w:rPr>
        <w:t xml:space="preserve">Dispensing of repeatable prescriptions </w:t>
      </w:r>
    </w:p>
    <w:p w14:paraId="1442B6C3" w14:textId="77777777" w:rsidR="00027D58" w:rsidRPr="00027D58" w:rsidRDefault="00027D58" w:rsidP="00027D58">
      <w:pPr>
        <w:rPr>
          <w:rFonts w:eastAsia="Aptos" w:cs="Arial"/>
          <w:b/>
          <w:bCs/>
          <w:lang w:val="en-US"/>
        </w:rPr>
      </w:pPr>
    </w:p>
    <w:p w14:paraId="5E6A0ECF" w14:textId="77777777" w:rsidR="00027D58" w:rsidRPr="00027D58" w:rsidRDefault="00027D58" w:rsidP="00027D58">
      <w:pPr>
        <w:rPr>
          <w:rFonts w:eastAsia="Aptos" w:cs="Arial"/>
          <w:b/>
          <w:bCs/>
          <w:lang w:val="en-US"/>
        </w:rPr>
      </w:pPr>
      <w:r w:rsidRPr="00027D58">
        <w:rPr>
          <w:rFonts w:eastAsia="Aptos" w:cs="Arial"/>
          <w:b/>
          <w:bCs/>
          <w:lang w:val="en-US"/>
        </w:rPr>
        <w:t>Service description</w:t>
      </w:r>
    </w:p>
    <w:p w14:paraId="25C70F57" w14:textId="77777777" w:rsidR="00027D58" w:rsidRPr="00027D58" w:rsidRDefault="00027D58" w:rsidP="00027D58">
      <w:pPr>
        <w:rPr>
          <w:rFonts w:eastAsia="Aptos" w:cs="Arial"/>
          <w:lang w:val="en-US"/>
        </w:rPr>
      </w:pPr>
    </w:p>
    <w:p w14:paraId="60A444E9" w14:textId="77777777" w:rsidR="00027D58" w:rsidRPr="00027D58" w:rsidRDefault="00027D58" w:rsidP="00027D58">
      <w:pPr>
        <w:rPr>
          <w:rFonts w:eastAsia="Aptos" w:cs="Arial"/>
          <w:lang w:val="en-US"/>
        </w:rPr>
      </w:pPr>
      <w:r w:rsidRPr="00027D58">
        <w:rPr>
          <w:rFonts w:eastAsia="Aptos" w:cs="Arial"/>
          <w:lang w:val="en-US"/>
        </w:rPr>
        <w:t>The management and dispensing of repeatable NHS prescriptions for medicines and appliances in partnership with the patient and the prescriber.</w:t>
      </w:r>
    </w:p>
    <w:p w14:paraId="18F4835A" w14:textId="77777777" w:rsidR="00027D58" w:rsidRPr="00027D58" w:rsidRDefault="00027D58" w:rsidP="00027D58">
      <w:pPr>
        <w:rPr>
          <w:rFonts w:eastAsia="Aptos" w:cs="Arial"/>
          <w:lang w:val="en-US"/>
        </w:rPr>
      </w:pPr>
    </w:p>
    <w:p w14:paraId="775FCBF7" w14:textId="77777777" w:rsidR="00027D58" w:rsidRPr="00027D58" w:rsidRDefault="00027D58" w:rsidP="00027D58">
      <w:pPr>
        <w:rPr>
          <w:rFonts w:eastAsia="Aptos" w:cs="Arial"/>
          <w:lang w:val="en-US"/>
        </w:rPr>
      </w:pPr>
      <w:r w:rsidRPr="00027D58">
        <w:rPr>
          <w:rFonts w:eastAsia="Aptos" w:cs="Arial"/>
          <w:lang w:val="en-US"/>
        </w:rPr>
        <w:t>This service includes requirements additional to those for dispensing, such that the pharmacist ascertains the patient’s need for a repeat supply and communicates any clinically significant issues to the prescriber.</w:t>
      </w:r>
    </w:p>
    <w:p w14:paraId="3120AC61" w14:textId="77777777" w:rsidR="00027D58" w:rsidRPr="00027D58" w:rsidRDefault="00027D58" w:rsidP="00027D58">
      <w:pPr>
        <w:rPr>
          <w:rFonts w:eastAsia="Aptos" w:cs="Arial"/>
          <w:lang w:val="en-US"/>
        </w:rPr>
      </w:pPr>
    </w:p>
    <w:p w14:paraId="4D81E393" w14:textId="77777777" w:rsidR="00027D58" w:rsidRPr="00027D58" w:rsidRDefault="00027D58" w:rsidP="00027D58">
      <w:pPr>
        <w:rPr>
          <w:rFonts w:eastAsia="Aptos" w:cs="Arial"/>
          <w:b/>
          <w:bCs/>
          <w:lang w:val="en-US"/>
        </w:rPr>
      </w:pPr>
      <w:r w:rsidRPr="00027D58">
        <w:rPr>
          <w:rFonts w:eastAsia="Aptos" w:cs="Arial"/>
          <w:b/>
          <w:bCs/>
          <w:lang w:val="en-US"/>
        </w:rPr>
        <w:t>Aims and intended outcomes</w:t>
      </w:r>
    </w:p>
    <w:p w14:paraId="0B044C2E" w14:textId="77777777" w:rsidR="00027D58" w:rsidRPr="00027D58" w:rsidRDefault="00027D58" w:rsidP="00027D58">
      <w:pPr>
        <w:rPr>
          <w:rFonts w:eastAsia="Aptos" w:cs="Arial"/>
          <w:b/>
          <w:lang w:val="en-US"/>
        </w:rPr>
      </w:pPr>
    </w:p>
    <w:p w14:paraId="3EEB4904" w14:textId="77777777" w:rsidR="00027D58" w:rsidRPr="00027D58" w:rsidRDefault="00027D58" w:rsidP="00B76905">
      <w:pPr>
        <w:numPr>
          <w:ilvl w:val="0"/>
          <w:numId w:val="217"/>
        </w:numPr>
        <w:rPr>
          <w:rFonts w:eastAsia="Aptos" w:cs="Arial"/>
          <w:lang w:val="en-US"/>
        </w:rPr>
      </w:pPr>
      <w:r w:rsidRPr="00027D58">
        <w:rPr>
          <w:rFonts w:eastAsia="Aptos" w:cs="Arial"/>
          <w:lang w:val="en-US"/>
        </w:rPr>
        <w:t>To increase patient choice and convenience, by allowing them to obtain their regular prescribed medicines and appliances directly from a community pharmacy for a period agreed by the prescriber</w:t>
      </w:r>
    </w:p>
    <w:p w14:paraId="635D0328" w14:textId="77777777" w:rsidR="00027D58" w:rsidRPr="00027D58" w:rsidRDefault="00027D58" w:rsidP="00B76905">
      <w:pPr>
        <w:numPr>
          <w:ilvl w:val="0"/>
          <w:numId w:val="217"/>
        </w:numPr>
        <w:rPr>
          <w:rFonts w:eastAsia="Aptos" w:cs="Arial"/>
          <w:lang w:val="en-US"/>
        </w:rPr>
      </w:pPr>
      <w:r w:rsidRPr="00027D58">
        <w:rPr>
          <w:rFonts w:eastAsia="Aptos" w:cs="Arial"/>
          <w:lang w:val="en-US"/>
        </w:rPr>
        <w:lastRenderedPageBreak/>
        <w:t>To minimise wastage by reducing the number of medicines and appliances dispensed which are not required by the patient</w:t>
      </w:r>
    </w:p>
    <w:p w14:paraId="024EF42B" w14:textId="77777777" w:rsidR="00027D58" w:rsidRPr="00027D58" w:rsidRDefault="00027D58" w:rsidP="00B76905">
      <w:pPr>
        <w:numPr>
          <w:ilvl w:val="0"/>
          <w:numId w:val="217"/>
        </w:numPr>
        <w:rPr>
          <w:rFonts w:eastAsia="Aptos" w:cs="Arial"/>
          <w:lang w:val="en-US"/>
        </w:rPr>
      </w:pPr>
      <w:r w:rsidRPr="00027D58">
        <w:rPr>
          <w:rFonts w:eastAsia="Aptos" w:cs="Arial"/>
          <w:lang w:val="en-US"/>
        </w:rPr>
        <w:t>To reduce the workload of general medical practices, by lowering the burden of managing repeat prescriptions.</w:t>
      </w:r>
    </w:p>
    <w:p w14:paraId="29F9D8E9" w14:textId="77777777" w:rsidR="00027D58" w:rsidRPr="00027D58" w:rsidRDefault="00027D58" w:rsidP="00027D58">
      <w:pPr>
        <w:rPr>
          <w:rFonts w:eastAsia="Aptos" w:cs="Arial"/>
          <w:lang w:val="en-US"/>
        </w:rPr>
      </w:pPr>
    </w:p>
    <w:p w14:paraId="71031A77" w14:textId="12DBEC3E" w:rsidR="00027D58" w:rsidRPr="00027D58" w:rsidRDefault="00461373" w:rsidP="00461373">
      <w:pPr>
        <w:rPr>
          <w:rFonts w:eastAsia="Aptos" w:cs="Arial"/>
          <w:b/>
          <w:bCs/>
          <w:lang w:val="en-US"/>
        </w:rPr>
      </w:pPr>
      <w:r w:rsidRPr="00D0306F">
        <w:rPr>
          <w:rFonts w:eastAsia="Aptos" w:cs="Arial"/>
          <w:b/>
          <w:bCs/>
          <w:lang w:val="en-US"/>
        </w:rPr>
        <w:t xml:space="preserve">3. </w:t>
      </w:r>
      <w:r w:rsidR="00027D58" w:rsidRPr="00027D58">
        <w:rPr>
          <w:rFonts w:eastAsia="Aptos" w:cs="Arial"/>
          <w:b/>
          <w:bCs/>
          <w:lang w:val="en-US"/>
        </w:rPr>
        <w:t xml:space="preserve">Disposal of unwanted drugs </w:t>
      </w:r>
    </w:p>
    <w:p w14:paraId="1F1B4470" w14:textId="77777777" w:rsidR="00027D58" w:rsidRPr="00027D58" w:rsidRDefault="00027D58" w:rsidP="00027D58">
      <w:pPr>
        <w:rPr>
          <w:rFonts w:eastAsia="Aptos" w:cs="Arial"/>
          <w:b/>
          <w:bCs/>
          <w:lang w:val="en-US"/>
        </w:rPr>
      </w:pPr>
    </w:p>
    <w:p w14:paraId="741D443E" w14:textId="77777777" w:rsidR="00027D58" w:rsidRPr="00027D58" w:rsidRDefault="00027D58" w:rsidP="00027D58">
      <w:pPr>
        <w:rPr>
          <w:rFonts w:eastAsia="Aptos" w:cs="Arial"/>
          <w:b/>
          <w:bCs/>
          <w:lang w:val="en-US"/>
        </w:rPr>
      </w:pPr>
      <w:r w:rsidRPr="00027D58">
        <w:rPr>
          <w:rFonts w:eastAsia="Aptos" w:cs="Arial"/>
          <w:b/>
          <w:bCs/>
          <w:lang w:val="en-US"/>
        </w:rPr>
        <w:t>Service description</w:t>
      </w:r>
    </w:p>
    <w:p w14:paraId="21CFEA46" w14:textId="77777777" w:rsidR="00027D58" w:rsidRPr="00027D58" w:rsidRDefault="00027D58" w:rsidP="00027D58">
      <w:pPr>
        <w:rPr>
          <w:rFonts w:eastAsia="Aptos" w:cs="Arial"/>
          <w:lang w:val="en-US"/>
        </w:rPr>
      </w:pPr>
    </w:p>
    <w:p w14:paraId="405B3AB3" w14:textId="77777777" w:rsidR="00027D58" w:rsidRPr="00027D58" w:rsidRDefault="00027D58" w:rsidP="00027D58">
      <w:pPr>
        <w:rPr>
          <w:rFonts w:eastAsia="Aptos" w:cs="Arial"/>
          <w:lang w:val="en-US"/>
        </w:rPr>
      </w:pPr>
      <w:r w:rsidRPr="00027D58">
        <w:rPr>
          <w:rFonts w:eastAsia="Aptos" w:cs="Arial"/>
          <w:lang w:val="en-US"/>
        </w:rPr>
        <w:t>Acceptance by community pharmacies, of unwanted medicines which require safe disposal from private households and people living in a residential care home. The health board is required to arrange for the collection and disposal of waste medicines from pharmacies.</w:t>
      </w:r>
    </w:p>
    <w:p w14:paraId="06E7B282" w14:textId="77777777" w:rsidR="00027D58" w:rsidRPr="00027D58" w:rsidRDefault="00027D58" w:rsidP="00027D58">
      <w:pPr>
        <w:rPr>
          <w:rFonts w:eastAsia="Aptos" w:cs="Arial"/>
          <w:lang w:val="en-US"/>
        </w:rPr>
      </w:pPr>
    </w:p>
    <w:p w14:paraId="01B7D1AA" w14:textId="77777777" w:rsidR="00027D58" w:rsidRPr="00027D58" w:rsidRDefault="00027D58" w:rsidP="00027D58">
      <w:pPr>
        <w:rPr>
          <w:rFonts w:eastAsia="Aptos" w:cs="Arial"/>
          <w:b/>
          <w:bCs/>
          <w:lang w:val="en-US"/>
        </w:rPr>
      </w:pPr>
      <w:r w:rsidRPr="00027D58">
        <w:rPr>
          <w:rFonts w:eastAsia="Aptos" w:cs="Arial"/>
          <w:b/>
          <w:bCs/>
          <w:lang w:val="en-US"/>
        </w:rPr>
        <w:t>Aims and intended outcomes</w:t>
      </w:r>
    </w:p>
    <w:p w14:paraId="03F30F39" w14:textId="77777777" w:rsidR="00027D58" w:rsidRPr="00027D58" w:rsidRDefault="00027D58" w:rsidP="00027D58">
      <w:pPr>
        <w:rPr>
          <w:rFonts w:eastAsia="Aptos" w:cs="Arial"/>
          <w:b/>
          <w:lang w:val="en-US"/>
        </w:rPr>
      </w:pPr>
    </w:p>
    <w:p w14:paraId="1E9BB47C" w14:textId="77777777" w:rsidR="00027D58" w:rsidRPr="00027D58" w:rsidRDefault="00027D58" w:rsidP="00B76905">
      <w:pPr>
        <w:numPr>
          <w:ilvl w:val="0"/>
          <w:numId w:val="218"/>
        </w:numPr>
        <w:contextualSpacing/>
        <w:rPr>
          <w:rFonts w:eastAsia="Aptos" w:cs="Arial"/>
          <w:lang w:val="en-US"/>
        </w:rPr>
      </w:pPr>
      <w:r w:rsidRPr="00027D58">
        <w:rPr>
          <w:rFonts w:eastAsia="Aptos" w:cs="Arial"/>
          <w:lang w:val="en-US"/>
        </w:rPr>
        <w:t xml:space="preserve">To ensure the public has an easy method of safely disposing of unwanted medicines </w:t>
      </w:r>
    </w:p>
    <w:p w14:paraId="5667BB0C" w14:textId="77777777" w:rsidR="00027D58" w:rsidRPr="00027D58" w:rsidRDefault="00027D58" w:rsidP="00B76905">
      <w:pPr>
        <w:numPr>
          <w:ilvl w:val="0"/>
          <w:numId w:val="218"/>
        </w:numPr>
        <w:contextualSpacing/>
        <w:rPr>
          <w:rFonts w:eastAsia="Aptos" w:cs="Arial"/>
          <w:lang w:val="en-US"/>
        </w:rPr>
      </w:pPr>
      <w:r w:rsidRPr="00027D58">
        <w:rPr>
          <w:rFonts w:eastAsia="Aptos" w:cs="Arial"/>
          <w:lang w:val="en-US"/>
        </w:rPr>
        <w:t>To reduce the volume of stored unwanted medicines in people’s homes by providing a route for disposal thus reducing the risk of accidental poisonings in the home and diversion of medicines to other people not authorised to possess them</w:t>
      </w:r>
    </w:p>
    <w:p w14:paraId="647FAD49" w14:textId="77777777" w:rsidR="00027D58" w:rsidRPr="00027D58" w:rsidRDefault="00027D58" w:rsidP="00B76905">
      <w:pPr>
        <w:numPr>
          <w:ilvl w:val="0"/>
          <w:numId w:val="218"/>
        </w:numPr>
        <w:contextualSpacing/>
        <w:rPr>
          <w:rFonts w:eastAsia="Aptos" w:cs="Arial"/>
          <w:lang w:val="en-US"/>
        </w:rPr>
      </w:pPr>
      <w:r w:rsidRPr="00027D58">
        <w:rPr>
          <w:rFonts w:eastAsia="Aptos" w:cs="Arial"/>
          <w:lang w:val="en-US"/>
        </w:rPr>
        <w:t>To reduce the risk of exposing the public to unwanted medicines which have been disposed of by non-secure methods</w:t>
      </w:r>
    </w:p>
    <w:p w14:paraId="1127BDA9" w14:textId="77777777" w:rsidR="00027D58" w:rsidRPr="00027D58" w:rsidRDefault="00027D58" w:rsidP="00B76905">
      <w:pPr>
        <w:numPr>
          <w:ilvl w:val="0"/>
          <w:numId w:val="218"/>
        </w:numPr>
        <w:contextualSpacing/>
        <w:rPr>
          <w:rFonts w:eastAsia="Aptos" w:cs="Arial"/>
          <w:lang w:val="en-US"/>
        </w:rPr>
      </w:pPr>
      <w:r w:rsidRPr="00027D58">
        <w:rPr>
          <w:rFonts w:eastAsia="Aptos" w:cs="Arial"/>
          <w:lang w:val="en-US"/>
        </w:rPr>
        <w:t>To reduce environmental damage caused by the inappropriate disposal methods for unwanted medicines.</w:t>
      </w:r>
    </w:p>
    <w:p w14:paraId="3CA3C4B3" w14:textId="77777777" w:rsidR="00027D58" w:rsidRPr="00027D58" w:rsidRDefault="00027D58" w:rsidP="00027D58">
      <w:pPr>
        <w:rPr>
          <w:rFonts w:eastAsia="Aptos" w:cs="Arial"/>
          <w:lang w:val="en-US"/>
        </w:rPr>
      </w:pPr>
    </w:p>
    <w:p w14:paraId="71BDEBBA" w14:textId="0B3FB9FE" w:rsidR="00027D58" w:rsidRPr="00027D58" w:rsidRDefault="00461373" w:rsidP="00461373">
      <w:pPr>
        <w:rPr>
          <w:rFonts w:eastAsia="Aptos" w:cs="Arial"/>
          <w:b/>
          <w:bCs/>
          <w:lang w:val="en-US"/>
        </w:rPr>
      </w:pPr>
      <w:r w:rsidRPr="00D0306F">
        <w:rPr>
          <w:rFonts w:eastAsia="Aptos" w:cs="Arial"/>
          <w:b/>
          <w:bCs/>
          <w:lang w:val="en-US"/>
        </w:rPr>
        <w:t xml:space="preserve">4. </w:t>
      </w:r>
      <w:r w:rsidR="00027D58" w:rsidRPr="00027D58">
        <w:rPr>
          <w:rFonts w:eastAsia="Aptos" w:cs="Arial"/>
          <w:b/>
          <w:bCs/>
          <w:lang w:val="en-US"/>
        </w:rPr>
        <w:t xml:space="preserve">Promotion of healthy lifestyles </w:t>
      </w:r>
    </w:p>
    <w:p w14:paraId="1E094392" w14:textId="77777777" w:rsidR="00027D58" w:rsidRPr="00027D58" w:rsidRDefault="00027D58" w:rsidP="00027D58">
      <w:pPr>
        <w:rPr>
          <w:rFonts w:eastAsia="Aptos" w:cs="Arial"/>
          <w:b/>
          <w:bCs/>
          <w:lang w:val="en-US"/>
        </w:rPr>
      </w:pPr>
    </w:p>
    <w:p w14:paraId="6471FB66" w14:textId="77777777" w:rsidR="00027D58" w:rsidRPr="00027D58" w:rsidRDefault="00027D58" w:rsidP="00027D58">
      <w:pPr>
        <w:rPr>
          <w:rFonts w:eastAsia="Aptos" w:cs="Arial"/>
          <w:b/>
          <w:bCs/>
          <w:lang w:val="en-US"/>
        </w:rPr>
      </w:pPr>
      <w:r w:rsidRPr="00027D58">
        <w:rPr>
          <w:rFonts w:eastAsia="Aptos" w:cs="Arial"/>
          <w:b/>
          <w:bCs/>
          <w:lang w:val="en-US"/>
        </w:rPr>
        <w:t>Service description</w:t>
      </w:r>
    </w:p>
    <w:p w14:paraId="03C65D36" w14:textId="77777777" w:rsidR="00027D58" w:rsidRPr="00027D58" w:rsidRDefault="00027D58" w:rsidP="00027D58">
      <w:pPr>
        <w:rPr>
          <w:rFonts w:eastAsia="Aptos" w:cs="Arial"/>
          <w:lang w:val="en-US"/>
        </w:rPr>
      </w:pPr>
    </w:p>
    <w:p w14:paraId="6BF29C55" w14:textId="77777777" w:rsidR="00027D58" w:rsidRPr="00027D58" w:rsidRDefault="00027D58" w:rsidP="00027D58">
      <w:pPr>
        <w:rPr>
          <w:rFonts w:eastAsia="Aptos" w:cs="Arial"/>
          <w:lang w:val="en-US"/>
        </w:rPr>
      </w:pPr>
      <w:r w:rsidRPr="00027D58">
        <w:rPr>
          <w:rFonts w:eastAsia="Aptos" w:cs="Arial"/>
          <w:lang w:val="en-US"/>
        </w:rPr>
        <w:t>The provision of opportunistic healthy lifestyle and public health advice to patients receiving prescriptions who appear to be suffering from, or at risk of development, an adverse health issue and pro-active participation in national/local campaigns, to promote public health messages to general pharmacy visitors during specific targeted campaign periods</w:t>
      </w:r>
    </w:p>
    <w:p w14:paraId="5564602A" w14:textId="77777777" w:rsidR="00027D58" w:rsidRPr="00027D58" w:rsidRDefault="00027D58" w:rsidP="00027D58">
      <w:pPr>
        <w:rPr>
          <w:rFonts w:eastAsia="Aptos" w:cs="Arial"/>
          <w:lang w:val="en-US"/>
        </w:rPr>
      </w:pPr>
    </w:p>
    <w:p w14:paraId="06CA0BB2" w14:textId="77777777" w:rsidR="00027D58" w:rsidRPr="00027D58" w:rsidRDefault="00027D58" w:rsidP="00027D58">
      <w:pPr>
        <w:rPr>
          <w:rFonts w:eastAsia="Aptos" w:cs="Arial"/>
          <w:b/>
          <w:bCs/>
          <w:lang w:val="en-US"/>
        </w:rPr>
      </w:pPr>
      <w:r w:rsidRPr="00027D58">
        <w:rPr>
          <w:rFonts w:eastAsia="Aptos" w:cs="Arial"/>
          <w:b/>
          <w:bCs/>
          <w:lang w:val="en-US"/>
        </w:rPr>
        <w:t>Aims and intended outcomes</w:t>
      </w:r>
    </w:p>
    <w:p w14:paraId="102F5660" w14:textId="77777777" w:rsidR="00027D58" w:rsidRPr="00027D58" w:rsidRDefault="00027D58" w:rsidP="00027D58">
      <w:pPr>
        <w:rPr>
          <w:rFonts w:eastAsia="Aptos" w:cs="Arial"/>
          <w:b/>
          <w:lang w:val="en-US"/>
        </w:rPr>
      </w:pPr>
    </w:p>
    <w:p w14:paraId="031168E3" w14:textId="77777777" w:rsidR="00027D58" w:rsidRPr="00027D58" w:rsidRDefault="00027D58" w:rsidP="00B76905">
      <w:pPr>
        <w:numPr>
          <w:ilvl w:val="0"/>
          <w:numId w:val="219"/>
        </w:numPr>
        <w:contextualSpacing/>
        <w:jc w:val="both"/>
        <w:rPr>
          <w:rFonts w:eastAsia="Aptos" w:cs="Arial"/>
          <w:lang w:val="en-US"/>
        </w:rPr>
      </w:pPr>
      <w:r w:rsidRPr="00027D58">
        <w:rPr>
          <w:rFonts w:eastAsia="Aptos" w:cs="Arial"/>
          <w:lang w:val="en-US"/>
        </w:rPr>
        <w:t>To increase patient and public knowledge and understanding of key healthy lifestyle and public health messages so they are empowered to take actions which will improve their health.</w:t>
      </w:r>
    </w:p>
    <w:p w14:paraId="4DF16EEE" w14:textId="77777777" w:rsidR="00027D58" w:rsidRPr="00027D58" w:rsidRDefault="00027D58" w:rsidP="00B76905">
      <w:pPr>
        <w:numPr>
          <w:ilvl w:val="0"/>
          <w:numId w:val="219"/>
        </w:numPr>
        <w:contextualSpacing/>
        <w:jc w:val="both"/>
        <w:rPr>
          <w:rFonts w:eastAsia="Aptos" w:cs="Arial"/>
          <w:lang w:val="en-US"/>
        </w:rPr>
      </w:pPr>
      <w:r w:rsidRPr="00027D58">
        <w:rPr>
          <w:rFonts w:eastAsia="Aptos" w:cs="Arial"/>
          <w:lang w:val="en-US"/>
        </w:rPr>
        <w:t xml:space="preserve">To target the </w:t>
      </w:r>
      <w:r w:rsidRPr="00027D58">
        <w:rPr>
          <w:rFonts w:eastAsia="Aptos" w:cs="Arial"/>
          <w:vertAlign w:val="superscript"/>
          <w:lang w:val="en-US"/>
        </w:rPr>
        <w:t>‘</w:t>
      </w:r>
      <w:r w:rsidRPr="00027D58">
        <w:rPr>
          <w:rFonts w:eastAsia="Aptos" w:cs="Arial"/>
          <w:lang w:val="en-US"/>
        </w:rPr>
        <w:t>hard to reach’ sectors of the population who are not frequently exposed to health promotion activities in other parts of the health or social care sector.</w:t>
      </w:r>
    </w:p>
    <w:p w14:paraId="42398F95" w14:textId="77777777" w:rsidR="00027D58" w:rsidRPr="00D0306F" w:rsidRDefault="00027D58" w:rsidP="00027D58">
      <w:pPr>
        <w:rPr>
          <w:rFonts w:eastAsia="Aptos" w:cs="Arial"/>
          <w:lang w:val="en-US"/>
        </w:rPr>
      </w:pPr>
    </w:p>
    <w:p w14:paraId="03A54FAA" w14:textId="77777777" w:rsidR="00461373" w:rsidRPr="00D0306F" w:rsidRDefault="00461373" w:rsidP="00027D58">
      <w:pPr>
        <w:rPr>
          <w:rFonts w:eastAsia="Aptos" w:cs="Arial"/>
          <w:lang w:val="en-US"/>
        </w:rPr>
      </w:pPr>
    </w:p>
    <w:p w14:paraId="7D191FF2" w14:textId="77777777" w:rsidR="00461373" w:rsidRPr="00D0306F" w:rsidRDefault="00461373" w:rsidP="00027D58">
      <w:pPr>
        <w:rPr>
          <w:rFonts w:eastAsia="Aptos" w:cs="Arial"/>
          <w:lang w:val="en-US"/>
        </w:rPr>
      </w:pPr>
    </w:p>
    <w:p w14:paraId="3240D4EC" w14:textId="77777777" w:rsidR="00461373" w:rsidRPr="00D0306F" w:rsidRDefault="00461373" w:rsidP="00027D58">
      <w:pPr>
        <w:rPr>
          <w:rFonts w:eastAsia="Aptos" w:cs="Arial"/>
          <w:lang w:val="en-US"/>
        </w:rPr>
      </w:pPr>
    </w:p>
    <w:p w14:paraId="1ED7039F" w14:textId="77777777" w:rsidR="00461373" w:rsidRPr="00027D58" w:rsidRDefault="00461373" w:rsidP="00027D58">
      <w:pPr>
        <w:rPr>
          <w:rFonts w:eastAsia="Aptos" w:cs="Arial"/>
          <w:lang w:val="en-US"/>
        </w:rPr>
      </w:pPr>
    </w:p>
    <w:p w14:paraId="35461FEB" w14:textId="378B380D" w:rsidR="00027D58" w:rsidRPr="00027D58" w:rsidRDefault="00461373" w:rsidP="00461373">
      <w:pPr>
        <w:rPr>
          <w:rFonts w:eastAsia="Aptos" w:cs="Arial"/>
          <w:b/>
          <w:bCs/>
          <w:lang w:val="en-US"/>
        </w:rPr>
      </w:pPr>
      <w:r w:rsidRPr="00D0306F">
        <w:rPr>
          <w:rFonts w:eastAsia="Aptos" w:cs="Arial"/>
          <w:b/>
          <w:bCs/>
          <w:lang w:val="en-US"/>
        </w:rPr>
        <w:lastRenderedPageBreak/>
        <w:t xml:space="preserve">5. </w:t>
      </w:r>
      <w:r w:rsidR="00027D58" w:rsidRPr="00027D58">
        <w:rPr>
          <w:rFonts w:eastAsia="Aptos" w:cs="Arial"/>
          <w:b/>
          <w:bCs/>
          <w:lang w:val="en-US"/>
        </w:rPr>
        <w:t xml:space="preserve">Signposting </w:t>
      </w:r>
    </w:p>
    <w:p w14:paraId="5E435D93" w14:textId="77777777" w:rsidR="00027D58" w:rsidRPr="00027D58" w:rsidRDefault="00027D58" w:rsidP="00027D58">
      <w:pPr>
        <w:rPr>
          <w:rFonts w:eastAsia="Aptos" w:cs="Arial"/>
          <w:b/>
          <w:bCs/>
          <w:lang w:val="en-US"/>
        </w:rPr>
      </w:pPr>
    </w:p>
    <w:p w14:paraId="5969BD1F" w14:textId="77777777" w:rsidR="00027D58" w:rsidRPr="00027D58" w:rsidRDefault="00027D58" w:rsidP="00027D58">
      <w:pPr>
        <w:rPr>
          <w:rFonts w:eastAsia="Aptos" w:cs="Arial"/>
          <w:b/>
          <w:bCs/>
          <w:lang w:val="en-US"/>
        </w:rPr>
      </w:pPr>
      <w:r w:rsidRPr="00027D58">
        <w:rPr>
          <w:rFonts w:eastAsia="Aptos" w:cs="Arial"/>
          <w:b/>
          <w:bCs/>
          <w:lang w:val="en-US"/>
        </w:rPr>
        <w:t>Service description</w:t>
      </w:r>
    </w:p>
    <w:p w14:paraId="48893D9B" w14:textId="77777777" w:rsidR="00027D58" w:rsidRPr="00027D58" w:rsidRDefault="00027D58" w:rsidP="00027D58">
      <w:pPr>
        <w:rPr>
          <w:rFonts w:eastAsia="Aptos" w:cs="Arial"/>
          <w:lang w:val="en-US"/>
        </w:rPr>
      </w:pPr>
    </w:p>
    <w:p w14:paraId="540D3A00" w14:textId="77777777" w:rsidR="00027D58" w:rsidRPr="00027D58" w:rsidRDefault="00027D58" w:rsidP="00027D58">
      <w:pPr>
        <w:rPr>
          <w:rFonts w:eastAsia="Aptos" w:cs="Arial"/>
          <w:lang w:val="en-US"/>
        </w:rPr>
      </w:pPr>
      <w:r w:rsidRPr="00027D58">
        <w:rPr>
          <w:rFonts w:eastAsia="Aptos" w:cs="Arial"/>
          <w:lang w:val="en-US"/>
        </w:rPr>
        <w:t>The provision of information to people visiting the pharmacy, who require further support, advice or treatment which cannot be provided by the pharmacy but is available from other health and social care providers or support organisations who may be able to assist the person. Where appropriate, this may take the form of a referral.</w:t>
      </w:r>
    </w:p>
    <w:p w14:paraId="1A76F1E9" w14:textId="77777777" w:rsidR="00027D58" w:rsidRPr="00027D58" w:rsidRDefault="00027D58" w:rsidP="00027D58">
      <w:pPr>
        <w:rPr>
          <w:rFonts w:eastAsia="Aptos" w:cs="Arial"/>
          <w:lang w:val="en-US"/>
        </w:rPr>
      </w:pPr>
    </w:p>
    <w:p w14:paraId="602B3E4D" w14:textId="77777777" w:rsidR="00027D58" w:rsidRPr="00027D58" w:rsidRDefault="00027D58" w:rsidP="00027D58">
      <w:pPr>
        <w:rPr>
          <w:rFonts w:eastAsia="Aptos" w:cs="Arial"/>
          <w:b/>
          <w:bCs/>
          <w:lang w:val="en-US"/>
        </w:rPr>
      </w:pPr>
      <w:r w:rsidRPr="00027D58">
        <w:rPr>
          <w:rFonts w:eastAsia="Aptos" w:cs="Arial"/>
          <w:b/>
          <w:bCs/>
          <w:lang w:val="en-US"/>
        </w:rPr>
        <w:t>Aims and intended outcomes</w:t>
      </w:r>
    </w:p>
    <w:p w14:paraId="7601F4D3" w14:textId="77777777" w:rsidR="00027D58" w:rsidRPr="00027D58" w:rsidRDefault="00027D58" w:rsidP="00027D58">
      <w:pPr>
        <w:rPr>
          <w:rFonts w:eastAsia="Aptos" w:cs="Arial"/>
          <w:b/>
          <w:lang w:val="en-US"/>
        </w:rPr>
      </w:pPr>
    </w:p>
    <w:p w14:paraId="441A2F39" w14:textId="77777777" w:rsidR="00027D58" w:rsidRPr="00027D58" w:rsidRDefault="00027D58" w:rsidP="00B76905">
      <w:pPr>
        <w:numPr>
          <w:ilvl w:val="0"/>
          <w:numId w:val="220"/>
        </w:numPr>
        <w:contextualSpacing/>
        <w:rPr>
          <w:rFonts w:eastAsia="Aptos" w:cs="Arial"/>
          <w:lang w:val="en-US"/>
        </w:rPr>
      </w:pPr>
      <w:r w:rsidRPr="00027D58">
        <w:rPr>
          <w:rFonts w:eastAsia="Aptos" w:cs="Arial"/>
          <w:lang w:val="en-US"/>
        </w:rPr>
        <w:t>To inform or advise people who require assistance, which cannot be provided by the pharmacy, of other appropriate health and social care providers or support organisations</w:t>
      </w:r>
    </w:p>
    <w:p w14:paraId="3B927F30" w14:textId="77777777" w:rsidR="00027D58" w:rsidRPr="00027D58" w:rsidRDefault="00027D58" w:rsidP="00B76905">
      <w:pPr>
        <w:numPr>
          <w:ilvl w:val="0"/>
          <w:numId w:val="220"/>
        </w:numPr>
        <w:contextualSpacing/>
        <w:rPr>
          <w:rFonts w:eastAsia="Aptos" w:cs="Arial"/>
          <w:lang w:val="en-US"/>
        </w:rPr>
      </w:pPr>
      <w:r w:rsidRPr="00027D58">
        <w:rPr>
          <w:rFonts w:eastAsia="Aptos" w:cs="Arial"/>
          <w:lang w:val="en-US"/>
        </w:rPr>
        <w:t>To enable people to contact and/or access further care and support appropriate to their needs</w:t>
      </w:r>
    </w:p>
    <w:p w14:paraId="7E263A56" w14:textId="77777777" w:rsidR="00027D58" w:rsidRPr="00027D58" w:rsidRDefault="00027D58" w:rsidP="00B76905">
      <w:pPr>
        <w:numPr>
          <w:ilvl w:val="0"/>
          <w:numId w:val="220"/>
        </w:numPr>
        <w:contextualSpacing/>
        <w:rPr>
          <w:rFonts w:eastAsia="Aptos" w:cs="Arial"/>
          <w:lang w:val="en-US"/>
        </w:rPr>
      </w:pPr>
      <w:r w:rsidRPr="00027D58">
        <w:rPr>
          <w:rFonts w:eastAsia="Aptos" w:cs="Arial"/>
          <w:lang w:val="en-US"/>
        </w:rPr>
        <w:t>To minimise inappropriate use of health and social care services.</w:t>
      </w:r>
    </w:p>
    <w:p w14:paraId="1B98F6A5" w14:textId="77777777" w:rsidR="00027D58" w:rsidRPr="00027D58" w:rsidRDefault="00027D58" w:rsidP="00027D58">
      <w:pPr>
        <w:rPr>
          <w:rFonts w:eastAsia="Aptos" w:cs="Arial"/>
          <w:lang w:val="en-US"/>
        </w:rPr>
      </w:pPr>
    </w:p>
    <w:p w14:paraId="563AE617" w14:textId="61154F01" w:rsidR="00027D58" w:rsidRPr="00027D58" w:rsidRDefault="00461373" w:rsidP="00461373">
      <w:pPr>
        <w:rPr>
          <w:rFonts w:eastAsia="Aptos" w:cs="Arial"/>
          <w:b/>
          <w:bCs/>
          <w:lang w:val="en-US"/>
        </w:rPr>
      </w:pPr>
      <w:r w:rsidRPr="00D0306F">
        <w:rPr>
          <w:rFonts w:eastAsia="Aptos" w:cs="Arial"/>
          <w:b/>
          <w:bCs/>
          <w:lang w:val="en-US"/>
        </w:rPr>
        <w:t xml:space="preserve">6. </w:t>
      </w:r>
      <w:r w:rsidR="00027D58" w:rsidRPr="00027D58">
        <w:rPr>
          <w:rFonts w:eastAsia="Aptos" w:cs="Arial"/>
          <w:b/>
          <w:bCs/>
          <w:lang w:val="en-US"/>
        </w:rPr>
        <w:t xml:space="preserve">Support for self-care </w:t>
      </w:r>
    </w:p>
    <w:p w14:paraId="2C99EB81" w14:textId="77777777" w:rsidR="00027D58" w:rsidRPr="00027D58" w:rsidRDefault="00027D58" w:rsidP="00027D58">
      <w:pPr>
        <w:rPr>
          <w:rFonts w:eastAsia="Aptos" w:cs="Arial"/>
          <w:b/>
          <w:bCs/>
          <w:lang w:val="en-US"/>
        </w:rPr>
      </w:pPr>
    </w:p>
    <w:p w14:paraId="27EC83F7" w14:textId="77777777" w:rsidR="00027D58" w:rsidRPr="00027D58" w:rsidRDefault="00027D58" w:rsidP="00027D58">
      <w:pPr>
        <w:rPr>
          <w:rFonts w:eastAsia="Aptos" w:cs="Arial"/>
          <w:b/>
          <w:bCs/>
          <w:lang w:val="en-US"/>
        </w:rPr>
      </w:pPr>
      <w:r w:rsidRPr="00027D58">
        <w:rPr>
          <w:rFonts w:eastAsia="Aptos" w:cs="Arial"/>
          <w:b/>
          <w:bCs/>
          <w:lang w:val="en-US"/>
        </w:rPr>
        <w:t>Service description</w:t>
      </w:r>
    </w:p>
    <w:p w14:paraId="378F54E0" w14:textId="77777777" w:rsidR="00027D58" w:rsidRPr="00027D58" w:rsidRDefault="00027D58" w:rsidP="00027D58">
      <w:pPr>
        <w:rPr>
          <w:rFonts w:eastAsia="Aptos" w:cs="Arial"/>
          <w:b/>
          <w:lang w:val="en-US"/>
        </w:rPr>
      </w:pPr>
    </w:p>
    <w:p w14:paraId="10B7ED6B" w14:textId="77777777" w:rsidR="00027D58" w:rsidRPr="00027D58" w:rsidRDefault="00027D58" w:rsidP="00027D58">
      <w:pPr>
        <w:rPr>
          <w:rFonts w:eastAsia="Aptos" w:cs="Arial"/>
          <w:lang w:val="en-US"/>
        </w:rPr>
      </w:pPr>
      <w:r w:rsidRPr="00027D58">
        <w:rPr>
          <w:rFonts w:eastAsia="Aptos" w:cs="Arial"/>
          <w:lang w:val="en-US"/>
        </w:rPr>
        <w:t>The provision of advice and support by pharmacy staff to enable people to derive maximum benefit from caring for themselves or their families.</w:t>
      </w:r>
    </w:p>
    <w:p w14:paraId="7B1BE5C1" w14:textId="77777777" w:rsidR="00027D58" w:rsidRPr="00027D58" w:rsidRDefault="00027D58" w:rsidP="00027D58">
      <w:pPr>
        <w:rPr>
          <w:rFonts w:eastAsia="Aptos" w:cs="Arial"/>
          <w:lang w:val="en-US"/>
        </w:rPr>
      </w:pPr>
    </w:p>
    <w:p w14:paraId="784A0CAE" w14:textId="77777777" w:rsidR="00027D58" w:rsidRPr="00027D58" w:rsidRDefault="00027D58" w:rsidP="00027D58">
      <w:pPr>
        <w:rPr>
          <w:rFonts w:eastAsia="Aptos" w:cs="Arial"/>
          <w:b/>
          <w:bCs/>
          <w:lang w:val="en-US"/>
        </w:rPr>
      </w:pPr>
      <w:r w:rsidRPr="00027D58">
        <w:rPr>
          <w:rFonts w:eastAsia="Aptos" w:cs="Arial"/>
          <w:b/>
          <w:bCs/>
          <w:lang w:val="en-US"/>
        </w:rPr>
        <w:t>Aims and intended outcomes</w:t>
      </w:r>
    </w:p>
    <w:p w14:paraId="4BD55AE2" w14:textId="77777777" w:rsidR="00027D58" w:rsidRPr="00027D58" w:rsidRDefault="00027D58" w:rsidP="00027D58">
      <w:pPr>
        <w:ind w:left="1771"/>
        <w:jc w:val="both"/>
        <w:rPr>
          <w:rFonts w:eastAsia="Aptos" w:cs="Arial"/>
          <w:lang w:val="en-US"/>
        </w:rPr>
      </w:pPr>
    </w:p>
    <w:p w14:paraId="530C6AB0" w14:textId="77777777" w:rsidR="00027D58" w:rsidRPr="00027D58" w:rsidRDefault="00027D58" w:rsidP="00B76905">
      <w:pPr>
        <w:numPr>
          <w:ilvl w:val="0"/>
          <w:numId w:val="221"/>
        </w:numPr>
        <w:contextualSpacing/>
        <w:jc w:val="both"/>
        <w:rPr>
          <w:rFonts w:eastAsia="Aptos" w:cs="Arial"/>
          <w:lang w:val="en-US"/>
        </w:rPr>
      </w:pPr>
      <w:r w:rsidRPr="00027D58">
        <w:rPr>
          <w:rFonts w:eastAsia="Aptos" w:cs="Arial"/>
          <w:lang w:val="en-US"/>
        </w:rPr>
        <w:t>To enhance access and choice for people who wish to care for themselves or their families</w:t>
      </w:r>
    </w:p>
    <w:p w14:paraId="1E65D2EF" w14:textId="30661190" w:rsidR="00027D58" w:rsidRPr="00027D58" w:rsidRDefault="00027D58" w:rsidP="00B76905">
      <w:pPr>
        <w:numPr>
          <w:ilvl w:val="0"/>
          <w:numId w:val="221"/>
        </w:numPr>
        <w:contextualSpacing/>
        <w:jc w:val="both"/>
        <w:rPr>
          <w:rFonts w:eastAsia="Aptos" w:cs="Arial"/>
          <w:lang w:val="en-US"/>
        </w:rPr>
      </w:pPr>
      <w:r w:rsidRPr="00027D58">
        <w:rPr>
          <w:rFonts w:eastAsia="Aptos" w:cs="Arial"/>
          <w:lang w:val="en-US"/>
        </w:rPr>
        <w:t xml:space="preserve">People, including carers, are provided with appropriate advice to help them </w:t>
      </w:r>
      <w:r w:rsidR="00512640" w:rsidRPr="00027D58">
        <w:rPr>
          <w:rFonts w:eastAsia="Aptos" w:cs="Arial"/>
          <w:lang w:val="en-US"/>
        </w:rPr>
        <w:t>self-manage</w:t>
      </w:r>
      <w:r w:rsidRPr="00027D58">
        <w:rPr>
          <w:rFonts w:eastAsia="Aptos" w:cs="Arial"/>
          <w:lang w:val="en-US"/>
        </w:rPr>
        <w:t xml:space="preserve"> a self-limiting or long-term condition, including advice on the selection and use of any appropriate medicines</w:t>
      </w:r>
    </w:p>
    <w:p w14:paraId="4359CB01" w14:textId="77777777" w:rsidR="00027D58" w:rsidRPr="00027D58" w:rsidRDefault="00027D58" w:rsidP="00B76905">
      <w:pPr>
        <w:numPr>
          <w:ilvl w:val="0"/>
          <w:numId w:val="221"/>
        </w:numPr>
        <w:contextualSpacing/>
        <w:jc w:val="both"/>
        <w:rPr>
          <w:rFonts w:eastAsia="Aptos" w:cs="Arial"/>
          <w:lang w:val="en-US"/>
        </w:rPr>
      </w:pPr>
      <w:r w:rsidRPr="00027D58">
        <w:rPr>
          <w:rFonts w:eastAsia="Aptos" w:cs="Arial"/>
          <w:lang w:val="en-US"/>
        </w:rPr>
        <w:t>People, including carers, are opportunistically provided with health promotion advice when appropriate, in line with the advice provided in essential service – promotion of healthy lifestyles service</w:t>
      </w:r>
    </w:p>
    <w:p w14:paraId="66CDB755" w14:textId="77777777" w:rsidR="00027D58" w:rsidRPr="00027D58" w:rsidRDefault="00027D58" w:rsidP="00B76905">
      <w:pPr>
        <w:numPr>
          <w:ilvl w:val="0"/>
          <w:numId w:val="221"/>
        </w:numPr>
        <w:contextualSpacing/>
        <w:jc w:val="both"/>
        <w:rPr>
          <w:rFonts w:eastAsia="Aptos" w:cs="Arial"/>
          <w:lang w:val="en-US"/>
        </w:rPr>
      </w:pPr>
      <w:r w:rsidRPr="00027D58">
        <w:rPr>
          <w:rFonts w:eastAsia="Aptos" w:cs="Arial"/>
          <w:lang w:val="en-US"/>
        </w:rPr>
        <w:t>People, including carers, are better able to care for themselves or manage a condition both immediately and in the future, by being more knowledgeable about the treatment options they have, including non-pharmacological ones</w:t>
      </w:r>
    </w:p>
    <w:p w14:paraId="7CFF2D23" w14:textId="77777777" w:rsidR="00027D58" w:rsidRPr="00027D58" w:rsidRDefault="00027D58" w:rsidP="00B76905">
      <w:pPr>
        <w:numPr>
          <w:ilvl w:val="0"/>
          <w:numId w:val="221"/>
        </w:numPr>
        <w:contextualSpacing/>
        <w:jc w:val="both"/>
        <w:rPr>
          <w:rFonts w:eastAsia="Aptos" w:cs="Arial"/>
          <w:lang w:val="en-US"/>
        </w:rPr>
      </w:pPr>
      <w:r w:rsidRPr="00027D58">
        <w:rPr>
          <w:rFonts w:eastAsia="Aptos" w:cs="Arial"/>
          <w:lang w:val="en-US"/>
        </w:rPr>
        <w:t>To minimise inappropriate use of health and social care services.</w:t>
      </w:r>
    </w:p>
    <w:p w14:paraId="6473A22E" w14:textId="77777777" w:rsidR="00027D58" w:rsidRPr="00027D58" w:rsidRDefault="00027D58" w:rsidP="00027D58">
      <w:pPr>
        <w:rPr>
          <w:rFonts w:eastAsia="Aptos" w:cs="Arial"/>
          <w:lang w:val="en-US"/>
        </w:rPr>
      </w:pPr>
    </w:p>
    <w:p w14:paraId="4321B253" w14:textId="77777777" w:rsidR="00027D58" w:rsidRPr="00027D58" w:rsidRDefault="00027D58" w:rsidP="00027D58">
      <w:pPr>
        <w:rPr>
          <w:rFonts w:eastAsia="Aptos" w:cs="Arial"/>
          <w:b/>
          <w:bCs/>
          <w:lang w:val="en-US"/>
        </w:rPr>
      </w:pPr>
      <w:r w:rsidRPr="00027D58">
        <w:rPr>
          <w:rFonts w:eastAsia="Aptos" w:cs="Arial"/>
          <w:b/>
          <w:bCs/>
          <w:kern w:val="0"/>
          <w:lang w:val="en-US"/>
          <w14:ligatures w14:val="none"/>
        </w:rPr>
        <w:br w:type="page"/>
      </w:r>
    </w:p>
    <w:p w14:paraId="7EC2FE67" w14:textId="77777777" w:rsidR="00027D58" w:rsidRPr="00D0306F" w:rsidRDefault="00027D58" w:rsidP="00027D58">
      <w:pPr>
        <w:pStyle w:val="Heading1"/>
        <w:rPr>
          <w:rFonts w:eastAsia="Aptos"/>
          <w:sz w:val="28"/>
          <w:szCs w:val="28"/>
          <w:lang w:val="en-US"/>
        </w:rPr>
      </w:pPr>
      <w:bookmarkStart w:id="47" w:name="_Toc235185390"/>
      <w:r w:rsidRPr="00D0306F">
        <w:rPr>
          <w:rFonts w:eastAsia="Aptos"/>
          <w:sz w:val="28"/>
          <w:szCs w:val="28"/>
          <w:lang w:val="en-US"/>
        </w:rPr>
        <w:lastRenderedPageBreak/>
        <w:t>Appendix C – national community pharmacy and appliance contractor services</w:t>
      </w:r>
      <w:bookmarkEnd w:id="47"/>
    </w:p>
    <w:p w14:paraId="19A6B6F9" w14:textId="77777777" w:rsidR="00027D58" w:rsidRPr="00027D58" w:rsidRDefault="00027D58" w:rsidP="00027D58">
      <w:pPr>
        <w:rPr>
          <w:rFonts w:eastAsia="Aptos" w:cs="Arial"/>
          <w:b/>
          <w:lang w:val="en-US"/>
        </w:rPr>
      </w:pPr>
    </w:p>
    <w:p w14:paraId="6B66DB9D" w14:textId="29762E5C" w:rsidR="00027D58" w:rsidRPr="00027D58" w:rsidRDefault="0006435A" w:rsidP="0006435A">
      <w:pPr>
        <w:rPr>
          <w:rFonts w:eastAsia="Aptos" w:cs="Arial"/>
          <w:b/>
          <w:bCs/>
          <w:lang w:val="en-US"/>
        </w:rPr>
      </w:pPr>
      <w:r w:rsidRPr="00D0306F">
        <w:rPr>
          <w:rFonts w:eastAsia="Aptos" w:cs="Arial"/>
          <w:b/>
          <w:bCs/>
          <w:lang w:val="en-US"/>
        </w:rPr>
        <w:t xml:space="preserve">1. </w:t>
      </w:r>
      <w:r w:rsidR="00027D58" w:rsidRPr="00027D58">
        <w:rPr>
          <w:rFonts w:eastAsia="Aptos" w:cs="Arial"/>
          <w:b/>
          <w:bCs/>
          <w:lang w:val="en-US"/>
        </w:rPr>
        <w:t>The clinical community pharmacy service</w:t>
      </w:r>
    </w:p>
    <w:p w14:paraId="64040D3F" w14:textId="77777777" w:rsidR="00027D58" w:rsidRPr="00027D58" w:rsidRDefault="00027D58" w:rsidP="00027D58">
      <w:pPr>
        <w:rPr>
          <w:rFonts w:eastAsia="Aptos" w:cs="Arial"/>
          <w:b/>
          <w:bCs/>
          <w:lang w:val="en-US"/>
        </w:rPr>
      </w:pPr>
    </w:p>
    <w:p w14:paraId="0A7D036E" w14:textId="77777777" w:rsidR="00027D58" w:rsidRPr="00027D58" w:rsidRDefault="00027D58" w:rsidP="00027D58">
      <w:pPr>
        <w:rPr>
          <w:rFonts w:eastAsia="Aptos" w:cs="Arial"/>
          <w:b/>
          <w:bCs/>
          <w:lang w:val="en-US"/>
        </w:rPr>
      </w:pPr>
      <w:r w:rsidRPr="00027D58">
        <w:rPr>
          <w:rFonts w:eastAsia="Aptos" w:cs="Arial"/>
          <w:b/>
          <w:bCs/>
          <w:lang w:val="en-US"/>
        </w:rPr>
        <w:t>Service description</w:t>
      </w:r>
    </w:p>
    <w:p w14:paraId="78F948C2" w14:textId="77777777" w:rsidR="00027D58" w:rsidRPr="00027D58" w:rsidRDefault="00027D58" w:rsidP="00027D58">
      <w:pPr>
        <w:rPr>
          <w:rFonts w:eastAsia="Aptos" w:cs="Arial"/>
          <w:lang w:val="en-US"/>
        </w:rPr>
      </w:pPr>
    </w:p>
    <w:p w14:paraId="0E69245B" w14:textId="77777777" w:rsidR="00027D58" w:rsidRPr="00027D58" w:rsidRDefault="00027D58" w:rsidP="00027D58">
      <w:pPr>
        <w:rPr>
          <w:rFonts w:eastAsia="Aptos" w:cs="Arial"/>
          <w:lang w:val="en-US"/>
        </w:rPr>
      </w:pPr>
      <w:r w:rsidRPr="00027D58">
        <w:rPr>
          <w:rFonts w:eastAsia="Aptos" w:cs="Arial"/>
          <w:lang w:val="en-US"/>
        </w:rPr>
        <w:t>The clinical community pharmacy service comprises three components.</w:t>
      </w:r>
    </w:p>
    <w:p w14:paraId="72A45D7E" w14:textId="77777777" w:rsidR="00027D58" w:rsidRPr="00027D58" w:rsidRDefault="00027D58" w:rsidP="00027D58">
      <w:pPr>
        <w:rPr>
          <w:rFonts w:eastAsia="Aptos" w:cs="Arial"/>
          <w:lang w:val="en-US"/>
        </w:rPr>
      </w:pPr>
    </w:p>
    <w:p w14:paraId="26A3B1F2" w14:textId="77777777" w:rsidR="00027D58" w:rsidRPr="00027D58" w:rsidRDefault="00027D58" w:rsidP="00B76905">
      <w:pPr>
        <w:numPr>
          <w:ilvl w:val="0"/>
          <w:numId w:val="222"/>
        </w:numPr>
        <w:contextualSpacing/>
        <w:rPr>
          <w:rFonts w:eastAsia="Aptos" w:cs="Arial"/>
          <w:lang w:val="en-US"/>
        </w:rPr>
      </w:pPr>
      <w:r w:rsidRPr="00027D58">
        <w:rPr>
          <w:rFonts w:eastAsia="Aptos" w:cs="Arial"/>
          <w:lang w:val="en-US"/>
        </w:rPr>
        <w:t>A common ailments service,</w:t>
      </w:r>
    </w:p>
    <w:p w14:paraId="70EE5E76" w14:textId="77777777" w:rsidR="00027D58" w:rsidRPr="00027D58" w:rsidRDefault="00027D58" w:rsidP="00B76905">
      <w:pPr>
        <w:numPr>
          <w:ilvl w:val="0"/>
          <w:numId w:val="222"/>
        </w:numPr>
        <w:contextualSpacing/>
        <w:rPr>
          <w:rFonts w:eastAsia="Aptos" w:cs="Arial"/>
          <w:lang w:val="en-US"/>
        </w:rPr>
      </w:pPr>
      <w:r w:rsidRPr="00027D58">
        <w:rPr>
          <w:rFonts w:eastAsia="Aptos" w:cs="Arial"/>
          <w:lang w:val="en-US"/>
        </w:rPr>
        <w:t>An urgent contraception service, and</w:t>
      </w:r>
    </w:p>
    <w:p w14:paraId="03AAD500" w14:textId="77777777" w:rsidR="00027D58" w:rsidRPr="00027D58" w:rsidRDefault="00027D58" w:rsidP="00B76905">
      <w:pPr>
        <w:numPr>
          <w:ilvl w:val="0"/>
          <w:numId w:val="222"/>
        </w:numPr>
        <w:contextualSpacing/>
        <w:rPr>
          <w:rFonts w:eastAsia="Aptos" w:cs="Arial"/>
          <w:lang w:val="en-US"/>
        </w:rPr>
      </w:pPr>
      <w:r w:rsidRPr="00027D58">
        <w:rPr>
          <w:rFonts w:eastAsia="Aptos" w:cs="Arial"/>
          <w:lang w:val="en-US"/>
        </w:rPr>
        <w:t>An emergency medicine supply service.</w:t>
      </w:r>
    </w:p>
    <w:p w14:paraId="4BBA057D" w14:textId="77777777" w:rsidR="00027D58" w:rsidRPr="00027D58" w:rsidRDefault="00027D58" w:rsidP="00027D58">
      <w:pPr>
        <w:rPr>
          <w:rFonts w:eastAsia="Aptos" w:cs="Arial"/>
          <w:lang w:val="en-US"/>
        </w:rPr>
      </w:pPr>
    </w:p>
    <w:p w14:paraId="3A7177DC" w14:textId="77777777" w:rsidR="00027D58" w:rsidRPr="00027D58" w:rsidRDefault="00027D58" w:rsidP="00027D58">
      <w:pPr>
        <w:rPr>
          <w:rFonts w:eastAsia="Aptos" w:cs="Arial"/>
          <w:lang w:val="en-US"/>
        </w:rPr>
      </w:pPr>
      <w:r w:rsidRPr="00027D58">
        <w:rPr>
          <w:rFonts w:eastAsia="Aptos" w:cs="Arial"/>
          <w:lang w:val="en-US"/>
        </w:rPr>
        <w:t>In order to provide the service, pharmacy contractors must provide all three components.</w:t>
      </w:r>
    </w:p>
    <w:p w14:paraId="2E0FF888" w14:textId="77777777" w:rsidR="00027D58" w:rsidRPr="00027D58" w:rsidRDefault="00027D58" w:rsidP="00027D58">
      <w:pPr>
        <w:rPr>
          <w:rFonts w:eastAsia="Aptos" w:cs="Arial"/>
          <w:b/>
          <w:bCs/>
          <w:lang w:val="en-US"/>
        </w:rPr>
      </w:pPr>
    </w:p>
    <w:p w14:paraId="35BE496E" w14:textId="77777777" w:rsidR="00027D58" w:rsidRPr="00027D58" w:rsidRDefault="00027D58" w:rsidP="00027D58">
      <w:pPr>
        <w:rPr>
          <w:rFonts w:eastAsia="Aptos" w:cs="Arial"/>
          <w:b/>
          <w:bCs/>
          <w:lang w:val="en-US"/>
        </w:rPr>
      </w:pPr>
      <w:r w:rsidRPr="00027D58">
        <w:rPr>
          <w:rFonts w:eastAsia="Aptos" w:cs="Arial"/>
          <w:b/>
          <w:bCs/>
          <w:lang w:val="en-US"/>
        </w:rPr>
        <w:t>Aims and intended outcomes</w:t>
      </w:r>
    </w:p>
    <w:p w14:paraId="6013DA80" w14:textId="77777777" w:rsidR="00027D58" w:rsidRPr="00027D58" w:rsidRDefault="00027D58" w:rsidP="00027D58">
      <w:pPr>
        <w:rPr>
          <w:rFonts w:eastAsia="Aptos" w:cs="Arial"/>
          <w:bCs/>
          <w:lang w:val="en-US"/>
        </w:rPr>
      </w:pPr>
    </w:p>
    <w:p w14:paraId="74B23CA9" w14:textId="77777777" w:rsidR="00027D58" w:rsidRPr="00027D58" w:rsidRDefault="00027D58" w:rsidP="00B76905">
      <w:pPr>
        <w:numPr>
          <w:ilvl w:val="0"/>
          <w:numId w:val="223"/>
        </w:numPr>
        <w:contextualSpacing/>
        <w:rPr>
          <w:rFonts w:eastAsia="Aptos" w:cs="Arial"/>
          <w:bCs/>
          <w:lang w:val="en-US"/>
        </w:rPr>
      </w:pPr>
      <w:r w:rsidRPr="00027D58">
        <w:rPr>
          <w:rFonts w:eastAsia="Aptos" w:cs="Arial"/>
          <w:bCs/>
          <w:lang w:val="en-US"/>
        </w:rPr>
        <w:t>To deliver prudent healthcare using a ‘community pharmacy first’ model of care, for patients who can be appropriately managed in the community pharmacy setting, thereby increasing access to timely care from an appropriate healthcare professional.</w:t>
      </w:r>
    </w:p>
    <w:p w14:paraId="74CE0944" w14:textId="77777777" w:rsidR="00027D58" w:rsidRPr="00027D58" w:rsidRDefault="00027D58" w:rsidP="00B76905">
      <w:pPr>
        <w:numPr>
          <w:ilvl w:val="0"/>
          <w:numId w:val="223"/>
        </w:numPr>
        <w:contextualSpacing/>
        <w:rPr>
          <w:rFonts w:eastAsia="Aptos" w:cs="Arial"/>
          <w:bCs/>
          <w:lang w:val="en-US"/>
        </w:rPr>
      </w:pPr>
      <w:r w:rsidRPr="00027D58">
        <w:rPr>
          <w:rFonts w:eastAsia="Aptos" w:cs="Arial"/>
          <w:bCs/>
          <w:lang w:val="en-US"/>
        </w:rPr>
        <w:t>To help tackle health inequalities through increasing access (both temporally and geographically) to services that meet patient need for unplanned care, contraception, or advice on sexually transmitted infections.</w:t>
      </w:r>
    </w:p>
    <w:p w14:paraId="1F4668DF" w14:textId="77777777" w:rsidR="00027D58" w:rsidRPr="00027D58" w:rsidRDefault="00027D58" w:rsidP="00027D58">
      <w:pPr>
        <w:rPr>
          <w:rFonts w:eastAsia="Aptos" w:cs="Arial"/>
          <w:lang w:val="en-US"/>
        </w:rPr>
      </w:pPr>
    </w:p>
    <w:p w14:paraId="6B31ED87" w14:textId="77777777" w:rsidR="00027D58" w:rsidRPr="00027D58" w:rsidRDefault="00027D58" w:rsidP="00027D58">
      <w:pPr>
        <w:rPr>
          <w:rFonts w:eastAsia="Aptos" w:cs="Arial"/>
          <w:b/>
          <w:bCs/>
          <w:lang w:val="en-US"/>
        </w:rPr>
      </w:pPr>
      <w:r w:rsidRPr="00027D58">
        <w:rPr>
          <w:rFonts w:eastAsia="Aptos" w:cs="Arial"/>
          <w:b/>
          <w:bCs/>
          <w:lang w:val="en-US"/>
        </w:rPr>
        <w:t>Common ailments service</w:t>
      </w:r>
    </w:p>
    <w:p w14:paraId="75724EEC" w14:textId="77777777" w:rsidR="00027D58" w:rsidRPr="00027D58" w:rsidRDefault="00027D58" w:rsidP="00027D58">
      <w:pPr>
        <w:rPr>
          <w:rFonts w:eastAsia="Aptos" w:cs="Arial"/>
          <w:lang w:val="en-US"/>
        </w:rPr>
      </w:pPr>
    </w:p>
    <w:p w14:paraId="3D4AAFBE" w14:textId="77777777" w:rsidR="00027D58" w:rsidRPr="00027D58" w:rsidRDefault="00027D58" w:rsidP="00027D58">
      <w:pPr>
        <w:rPr>
          <w:rFonts w:eastAsia="Aptos" w:cs="Arial"/>
          <w:lang w:val="en-US"/>
        </w:rPr>
      </w:pPr>
      <w:r w:rsidRPr="00027D58">
        <w:rPr>
          <w:rFonts w:eastAsia="Aptos" w:cs="Arial"/>
          <w:lang w:val="en-US"/>
        </w:rPr>
        <w:t>Under this service, patients register with the pharmacy of their choice in order to receive advice and treatment on a specified list of common ailments which includes urinary tract infection and sore throat. This may include the supply of one or more medicines listed on the national formulary.</w:t>
      </w:r>
    </w:p>
    <w:p w14:paraId="7544D72C" w14:textId="77777777" w:rsidR="00027D58" w:rsidRPr="00027D58" w:rsidRDefault="00027D58" w:rsidP="00027D58">
      <w:pPr>
        <w:rPr>
          <w:rFonts w:eastAsia="Aptos" w:cs="Arial"/>
          <w:b/>
          <w:bCs/>
          <w:lang w:val="en-US"/>
        </w:rPr>
      </w:pPr>
    </w:p>
    <w:p w14:paraId="6CFFBA4D" w14:textId="77777777" w:rsidR="00027D58" w:rsidRPr="00027D58" w:rsidRDefault="00027D58" w:rsidP="00027D58">
      <w:pPr>
        <w:rPr>
          <w:rFonts w:eastAsia="Aptos" w:cs="Arial"/>
          <w:b/>
          <w:bCs/>
          <w:lang w:val="en-US"/>
        </w:rPr>
      </w:pPr>
      <w:r w:rsidRPr="00027D58">
        <w:rPr>
          <w:rFonts w:eastAsia="Aptos" w:cs="Arial"/>
          <w:b/>
          <w:bCs/>
          <w:lang w:val="en-US"/>
        </w:rPr>
        <w:t>Contraception service</w:t>
      </w:r>
    </w:p>
    <w:p w14:paraId="299B1DFA" w14:textId="77777777" w:rsidR="00027D58" w:rsidRPr="00027D58" w:rsidRDefault="00027D58" w:rsidP="00027D58">
      <w:pPr>
        <w:rPr>
          <w:rFonts w:eastAsia="Aptos" w:cs="Arial"/>
          <w:lang w:val="en-US"/>
        </w:rPr>
      </w:pPr>
    </w:p>
    <w:p w14:paraId="3ED9B8FE" w14:textId="77777777" w:rsidR="00027D58" w:rsidRPr="00027D58" w:rsidRDefault="00027D58" w:rsidP="00027D58">
      <w:pPr>
        <w:rPr>
          <w:rFonts w:eastAsia="Aptos" w:cs="Arial"/>
          <w:lang w:val="en-US"/>
        </w:rPr>
      </w:pPr>
      <w:r w:rsidRPr="00027D58">
        <w:rPr>
          <w:rFonts w:eastAsia="Aptos" w:cs="Arial"/>
          <w:lang w:val="en-US"/>
        </w:rPr>
        <w:t>This service is for patients aged 13 to 54 years old, are of childbearing potential and either:</w:t>
      </w:r>
    </w:p>
    <w:p w14:paraId="419AB274" w14:textId="77777777" w:rsidR="00027D58" w:rsidRPr="00027D58" w:rsidRDefault="00027D58" w:rsidP="00027D58">
      <w:pPr>
        <w:rPr>
          <w:rFonts w:eastAsia="Aptos" w:cs="Arial"/>
          <w:lang w:val="en-US"/>
        </w:rPr>
      </w:pPr>
    </w:p>
    <w:p w14:paraId="66BCDF3C" w14:textId="77777777" w:rsidR="00027D58" w:rsidRPr="00027D58" w:rsidRDefault="00027D58" w:rsidP="00B76905">
      <w:pPr>
        <w:numPr>
          <w:ilvl w:val="0"/>
          <w:numId w:val="224"/>
        </w:numPr>
        <w:contextualSpacing/>
        <w:rPr>
          <w:rFonts w:eastAsia="Aptos" w:cs="Arial"/>
          <w:lang w:val="en-US"/>
        </w:rPr>
      </w:pPr>
      <w:r w:rsidRPr="00027D58">
        <w:rPr>
          <w:rFonts w:eastAsia="Aptos" w:cs="Arial"/>
          <w:lang w:val="en-US"/>
        </w:rPr>
        <w:t>have had unprotected sexual intercourse in the past five days, or</w:t>
      </w:r>
    </w:p>
    <w:p w14:paraId="76CCEB7E" w14:textId="77777777" w:rsidR="00027D58" w:rsidRPr="00027D58" w:rsidRDefault="00027D58" w:rsidP="00B76905">
      <w:pPr>
        <w:numPr>
          <w:ilvl w:val="0"/>
          <w:numId w:val="224"/>
        </w:numPr>
        <w:contextualSpacing/>
        <w:rPr>
          <w:rFonts w:eastAsia="Aptos" w:cs="Arial"/>
          <w:lang w:val="en-US"/>
        </w:rPr>
      </w:pPr>
      <w:r w:rsidRPr="00027D58">
        <w:rPr>
          <w:rFonts w:eastAsia="Aptos" w:cs="Arial"/>
          <w:lang w:val="en-US"/>
        </w:rPr>
        <w:t>wish to QuickStart contraception using a progestogen-only contraceptive.</w:t>
      </w:r>
    </w:p>
    <w:p w14:paraId="2E7333CA" w14:textId="77777777" w:rsidR="00027D58" w:rsidRPr="00027D58" w:rsidRDefault="00027D58" w:rsidP="00027D58">
      <w:pPr>
        <w:rPr>
          <w:rFonts w:eastAsia="Aptos" w:cs="Arial"/>
          <w:lang w:val="en-US"/>
        </w:rPr>
      </w:pPr>
    </w:p>
    <w:p w14:paraId="14969F55" w14:textId="77777777" w:rsidR="00027D58" w:rsidRPr="00027D58" w:rsidRDefault="00027D58" w:rsidP="00027D58">
      <w:pPr>
        <w:rPr>
          <w:rFonts w:eastAsia="Aptos" w:cs="Arial"/>
          <w:lang w:val="en-US"/>
        </w:rPr>
      </w:pPr>
      <w:r w:rsidRPr="00027D58">
        <w:rPr>
          <w:rFonts w:eastAsia="Aptos" w:cs="Arial"/>
          <w:lang w:val="en-US"/>
        </w:rPr>
        <w:t>Where the patient is aged 13, 14 or 15 years old the service will be offered in accordance with Gillick competence, Fraser guidance and any guidance issued by the Welsh Government in relation to the provision of confidential sexual health advice and/or treatment for patients aged 13 years or over.</w:t>
      </w:r>
    </w:p>
    <w:p w14:paraId="716B3646" w14:textId="77777777" w:rsidR="00027D58" w:rsidRPr="00027D58" w:rsidRDefault="00027D58" w:rsidP="00027D58">
      <w:pPr>
        <w:rPr>
          <w:rFonts w:eastAsia="Aptos" w:cs="Arial"/>
          <w:lang w:val="en-US"/>
        </w:rPr>
      </w:pPr>
    </w:p>
    <w:p w14:paraId="390E16B0" w14:textId="77777777" w:rsidR="00027D58" w:rsidRPr="00027D58" w:rsidRDefault="00027D58" w:rsidP="00027D58">
      <w:pPr>
        <w:rPr>
          <w:rFonts w:eastAsia="Aptos" w:cs="Arial"/>
          <w:lang w:val="en-US"/>
        </w:rPr>
      </w:pPr>
      <w:r w:rsidRPr="00027D58">
        <w:rPr>
          <w:rFonts w:eastAsia="Aptos" w:cs="Arial"/>
          <w:lang w:val="en-US"/>
        </w:rPr>
        <w:t xml:space="preserve">Where assessment determines that it is appropriate to supply emergency contraception, the relevant medicine will be supplied via a patient group direction for immediate consumption on the premises. </w:t>
      </w:r>
    </w:p>
    <w:p w14:paraId="6C893022" w14:textId="77777777" w:rsidR="00027D58" w:rsidRPr="00027D58" w:rsidRDefault="00027D58" w:rsidP="00027D58">
      <w:pPr>
        <w:rPr>
          <w:rFonts w:eastAsia="Aptos" w:cs="Arial"/>
          <w:lang w:val="en-US"/>
        </w:rPr>
      </w:pPr>
    </w:p>
    <w:p w14:paraId="66086C27" w14:textId="77777777" w:rsidR="00027D58" w:rsidRPr="00027D58" w:rsidRDefault="00027D58" w:rsidP="00027D58">
      <w:pPr>
        <w:rPr>
          <w:rFonts w:eastAsia="Aptos" w:cs="Arial"/>
          <w:b/>
          <w:bCs/>
          <w:lang w:val="en-US"/>
        </w:rPr>
      </w:pPr>
      <w:r w:rsidRPr="00027D58">
        <w:rPr>
          <w:rFonts w:eastAsia="Aptos" w:cs="Arial"/>
          <w:b/>
          <w:bCs/>
          <w:lang w:val="en-US"/>
        </w:rPr>
        <w:t>Emergency medicines supply</w:t>
      </w:r>
    </w:p>
    <w:p w14:paraId="6C2A1245" w14:textId="77777777" w:rsidR="00027D58" w:rsidRPr="00027D58" w:rsidRDefault="00027D58" w:rsidP="00027D58">
      <w:pPr>
        <w:rPr>
          <w:rFonts w:eastAsia="Aptos" w:cs="Arial"/>
          <w:lang w:val="en-US"/>
        </w:rPr>
      </w:pPr>
    </w:p>
    <w:p w14:paraId="250BD5CF" w14:textId="77777777" w:rsidR="00027D58" w:rsidRPr="00027D58" w:rsidRDefault="00027D58" w:rsidP="00027D58">
      <w:pPr>
        <w:rPr>
          <w:rFonts w:eastAsia="Aptos" w:cs="Arial"/>
          <w:lang w:val="en-US"/>
        </w:rPr>
      </w:pPr>
      <w:r w:rsidRPr="00027D58">
        <w:rPr>
          <w:rFonts w:eastAsia="Aptos" w:cs="Arial"/>
          <w:lang w:val="en-US"/>
        </w:rPr>
        <w:t>This service will normally only be provided where the pharmacy contractor believes that it would not be practicable for the patient to obtain the previously prescribed medicines they require in a clinically appropriate timeframe via the usual route.</w:t>
      </w:r>
    </w:p>
    <w:p w14:paraId="521619AD" w14:textId="77777777" w:rsidR="00027D58" w:rsidRPr="00027D58" w:rsidRDefault="00027D58" w:rsidP="00027D58">
      <w:pPr>
        <w:rPr>
          <w:rFonts w:eastAsia="Aptos" w:cs="Arial"/>
          <w:lang w:val="en-US"/>
        </w:rPr>
      </w:pPr>
    </w:p>
    <w:p w14:paraId="34E3D385" w14:textId="77777777" w:rsidR="00027D58" w:rsidRPr="00027D58" w:rsidRDefault="00027D58" w:rsidP="00027D58">
      <w:pPr>
        <w:rPr>
          <w:rFonts w:eastAsia="Aptos" w:cs="Arial"/>
          <w:lang w:val="en-US"/>
        </w:rPr>
      </w:pPr>
      <w:r w:rsidRPr="00027D58">
        <w:rPr>
          <w:rFonts w:eastAsia="Aptos" w:cs="Arial"/>
          <w:lang w:val="en-US"/>
        </w:rPr>
        <w:t>In order to make a supply, the pharmacy contractor must interview the patient and be satisfied that:</w:t>
      </w:r>
    </w:p>
    <w:p w14:paraId="23366EB5" w14:textId="77777777" w:rsidR="00027D58" w:rsidRPr="00027D58" w:rsidRDefault="00027D58" w:rsidP="00027D58">
      <w:pPr>
        <w:rPr>
          <w:rFonts w:eastAsia="Aptos" w:cs="Arial"/>
          <w:lang w:val="en-US"/>
        </w:rPr>
      </w:pPr>
    </w:p>
    <w:p w14:paraId="7A41E3FA" w14:textId="77777777" w:rsidR="00027D58" w:rsidRPr="00027D58" w:rsidRDefault="00027D58" w:rsidP="00B76905">
      <w:pPr>
        <w:numPr>
          <w:ilvl w:val="0"/>
          <w:numId w:val="225"/>
        </w:numPr>
        <w:contextualSpacing/>
        <w:rPr>
          <w:rFonts w:eastAsia="Aptos" w:cs="Arial"/>
          <w:lang w:val="en-US"/>
        </w:rPr>
      </w:pPr>
      <w:r w:rsidRPr="00027D58">
        <w:rPr>
          <w:rFonts w:eastAsia="Aptos" w:cs="Arial"/>
          <w:lang w:val="en-US"/>
        </w:rPr>
        <w:t>that there is an immediate need for the medicine supplied, and</w:t>
      </w:r>
    </w:p>
    <w:p w14:paraId="4CD3DFF0" w14:textId="77777777" w:rsidR="00027D58" w:rsidRPr="00027D58" w:rsidRDefault="00027D58" w:rsidP="00B76905">
      <w:pPr>
        <w:numPr>
          <w:ilvl w:val="0"/>
          <w:numId w:val="225"/>
        </w:numPr>
        <w:contextualSpacing/>
        <w:rPr>
          <w:rFonts w:eastAsia="Aptos" w:cs="Arial"/>
          <w:lang w:val="en-US"/>
        </w:rPr>
      </w:pPr>
      <w:r w:rsidRPr="00027D58">
        <w:rPr>
          <w:rFonts w:eastAsia="Aptos" w:cs="Arial"/>
          <w:lang w:val="en-US"/>
        </w:rPr>
        <w:t>that it is impracticable to obtain a prescription without undue delay; and</w:t>
      </w:r>
    </w:p>
    <w:p w14:paraId="7742C63D" w14:textId="77777777" w:rsidR="00027D58" w:rsidRPr="00027D58" w:rsidRDefault="00027D58" w:rsidP="00B76905">
      <w:pPr>
        <w:numPr>
          <w:ilvl w:val="0"/>
          <w:numId w:val="225"/>
        </w:numPr>
        <w:contextualSpacing/>
        <w:rPr>
          <w:rFonts w:eastAsia="Aptos" w:cs="Arial"/>
          <w:lang w:val="en-US"/>
        </w:rPr>
      </w:pPr>
      <w:r w:rsidRPr="00027D58">
        <w:rPr>
          <w:rFonts w:eastAsia="Aptos" w:cs="Arial"/>
          <w:lang w:val="en-US"/>
        </w:rPr>
        <w:t xml:space="preserve">that treatment with the medicine has on a previous occasion been prescribed by a relevant prescriber for the person requesting it; and </w:t>
      </w:r>
    </w:p>
    <w:p w14:paraId="57BBFA02" w14:textId="77777777" w:rsidR="00027D58" w:rsidRPr="00027D58" w:rsidRDefault="00027D58" w:rsidP="00B76905">
      <w:pPr>
        <w:numPr>
          <w:ilvl w:val="0"/>
          <w:numId w:val="225"/>
        </w:numPr>
        <w:contextualSpacing/>
        <w:rPr>
          <w:rFonts w:eastAsia="Aptos" w:cs="Arial"/>
          <w:lang w:val="en-US"/>
        </w:rPr>
      </w:pPr>
      <w:r w:rsidRPr="00027D58">
        <w:rPr>
          <w:rFonts w:eastAsia="Aptos" w:cs="Arial"/>
          <w:lang w:val="en-US"/>
        </w:rPr>
        <w:t>as to the dose which in the circumstances it would be appropriate for that person to take.</w:t>
      </w:r>
    </w:p>
    <w:p w14:paraId="617315A3" w14:textId="77777777" w:rsidR="00027D58" w:rsidRPr="00027D58" w:rsidRDefault="00027D58" w:rsidP="00027D58">
      <w:pPr>
        <w:rPr>
          <w:rFonts w:eastAsia="Aptos" w:cs="Arial"/>
          <w:lang w:val="en-US"/>
        </w:rPr>
      </w:pPr>
    </w:p>
    <w:p w14:paraId="1711F22C" w14:textId="4898DFB7" w:rsidR="00027D58" w:rsidRPr="00027D58" w:rsidRDefault="00CE242D" w:rsidP="00CE242D">
      <w:pPr>
        <w:rPr>
          <w:rFonts w:eastAsia="Aptos" w:cs="Arial"/>
          <w:b/>
          <w:bCs/>
          <w:lang w:val="en-US"/>
        </w:rPr>
      </w:pPr>
      <w:r w:rsidRPr="00D0306F">
        <w:rPr>
          <w:rFonts w:eastAsia="Aptos" w:cs="Arial"/>
          <w:b/>
          <w:bCs/>
          <w:lang w:val="en-US"/>
        </w:rPr>
        <w:t xml:space="preserve">2. </w:t>
      </w:r>
      <w:r w:rsidR="00027D58" w:rsidRPr="00027D58">
        <w:rPr>
          <w:rFonts w:eastAsia="Aptos" w:cs="Arial"/>
          <w:b/>
          <w:bCs/>
          <w:lang w:val="en-US"/>
        </w:rPr>
        <w:t xml:space="preserve">Discharge medicines review service </w:t>
      </w:r>
    </w:p>
    <w:p w14:paraId="2684414D" w14:textId="77777777" w:rsidR="00027D58" w:rsidRPr="00027D58" w:rsidRDefault="00027D58" w:rsidP="00027D58">
      <w:pPr>
        <w:rPr>
          <w:rFonts w:eastAsia="Aptos" w:cs="Arial"/>
          <w:b/>
          <w:bCs/>
          <w:lang w:val="en-US"/>
        </w:rPr>
      </w:pPr>
    </w:p>
    <w:p w14:paraId="3AC9ED1B" w14:textId="77777777" w:rsidR="00027D58" w:rsidRPr="00027D58" w:rsidRDefault="00027D58" w:rsidP="00027D58">
      <w:pPr>
        <w:rPr>
          <w:rFonts w:eastAsia="Aptos" w:cs="Arial"/>
          <w:b/>
          <w:bCs/>
          <w:lang w:val="en-US"/>
        </w:rPr>
      </w:pPr>
      <w:r w:rsidRPr="00027D58">
        <w:rPr>
          <w:rFonts w:eastAsia="Aptos" w:cs="Arial"/>
          <w:b/>
          <w:bCs/>
          <w:lang w:val="en-US"/>
        </w:rPr>
        <w:t>Service description</w:t>
      </w:r>
    </w:p>
    <w:p w14:paraId="6F99FF3F" w14:textId="77777777" w:rsidR="00027D58" w:rsidRPr="00027D58" w:rsidRDefault="00027D58" w:rsidP="00027D58">
      <w:pPr>
        <w:rPr>
          <w:rFonts w:eastAsia="Aptos" w:cs="Arial"/>
          <w:lang w:val="en-US"/>
        </w:rPr>
      </w:pPr>
    </w:p>
    <w:p w14:paraId="01E1F6F2" w14:textId="77777777" w:rsidR="00027D58" w:rsidRPr="00027D58" w:rsidRDefault="00027D58" w:rsidP="00027D58">
      <w:pPr>
        <w:rPr>
          <w:rFonts w:eastAsia="Aptos" w:cs="Arial"/>
          <w:lang w:val="en-US"/>
        </w:rPr>
      </w:pPr>
      <w:r w:rsidRPr="00027D58">
        <w:rPr>
          <w:rFonts w:eastAsia="Aptos" w:cs="Arial"/>
          <w:lang w:val="en-US"/>
        </w:rPr>
        <w:t xml:space="preserve">The discharge medicines review service will provide support to patients recently discharged between care settings by ensuring that changes to patients’ medicines made in one care setting (e.g. during a hospital admission) are enacted as intended in the community helping to reduce the risk of preventable medicines related problems and supporting adherence with newly prescribed medication. </w:t>
      </w:r>
    </w:p>
    <w:p w14:paraId="54CB5A7C" w14:textId="77777777" w:rsidR="00027D58" w:rsidRPr="00027D58" w:rsidRDefault="00027D58" w:rsidP="00027D58">
      <w:pPr>
        <w:rPr>
          <w:rFonts w:eastAsia="Aptos" w:cs="Arial"/>
          <w:lang w:val="en-US"/>
        </w:rPr>
      </w:pPr>
    </w:p>
    <w:p w14:paraId="185B2636" w14:textId="77777777" w:rsidR="00027D58" w:rsidRPr="00027D58" w:rsidRDefault="00027D58" w:rsidP="00027D58">
      <w:pPr>
        <w:rPr>
          <w:rFonts w:eastAsia="Aptos" w:cs="Arial"/>
          <w:lang w:val="en-US"/>
        </w:rPr>
      </w:pPr>
      <w:r w:rsidRPr="00027D58">
        <w:rPr>
          <w:rFonts w:eastAsia="Aptos" w:cs="Arial"/>
          <w:lang w:val="en-US"/>
        </w:rPr>
        <w:t>The service comprises two stages.</w:t>
      </w:r>
    </w:p>
    <w:p w14:paraId="7BD5A3F4" w14:textId="77777777" w:rsidR="00027D58" w:rsidRPr="00027D58" w:rsidRDefault="00027D58" w:rsidP="00027D58">
      <w:pPr>
        <w:rPr>
          <w:rFonts w:eastAsia="Aptos" w:cs="Arial"/>
          <w:lang w:val="en-US"/>
        </w:rPr>
      </w:pPr>
    </w:p>
    <w:p w14:paraId="4DFFCCA3" w14:textId="77777777" w:rsidR="00027D58" w:rsidRPr="00027D58" w:rsidRDefault="00027D58" w:rsidP="00B76905">
      <w:pPr>
        <w:numPr>
          <w:ilvl w:val="0"/>
          <w:numId w:val="226"/>
        </w:numPr>
        <w:contextualSpacing/>
        <w:rPr>
          <w:rFonts w:eastAsia="Aptos" w:cs="Arial"/>
          <w:lang w:val="en-US"/>
        </w:rPr>
      </w:pPr>
      <w:r w:rsidRPr="00027D58">
        <w:rPr>
          <w:rFonts w:eastAsia="Aptos" w:cs="Arial"/>
          <w:lang w:val="en-US"/>
        </w:rPr>
        <w:t>The first stage requires the pharmacist or pharmacy technician at the pharmacy to check the medicines prescribed in one care setting match those prescribed by the patient’s GP or relevant primary care team when the patient moves to another care setting, which may be their home. If there are any discrepancies these are raised with the GP practice, relevant primary care team, care setting patient or carer as applicable.</w:t>
      </w:r>
    </w:p>
    <w:p w14:paraId="695A72F0" w14:textId="77777777" w:rsidR="00027D58" w:rsidRPr="00027D58" w:rsidRDefault="00027D58" w:rsidP="00B76905">
      <w:pPr>
        <w:numPr>
          <w:ilvl w:val="0"/>
          <w:numId w:val="226"/>
        </w:numPr>
        <w:contextualSpacing/>
        <w:rPr>
          <w:rFonts w:eastAsia="Aptos" w:cs="Arial"/>
          <w:lang w:val="en-US"/>
        </w:rPr>
      </w:pPr>
      <w:r w:rsidRPr="00027D58">
        <w:rPr>
          <w:rFonts w:eastAsia="Aptos" w:cs="Arial"/>
          <w:lang w:val="en-US"/>
        </w:rPr>
        <w:t>The second stage provides an opportunity for the patient to have a discussion with a pharmacist and/or pharmacy technician to establish a picture of the patient’s use of their medicines or onward referral to an appropriate setting for further review. The review will also help patients understand their medicines and will identify any problems they are experiencing along with possible solutions.</w:t>
      </w:r>
    </w:p>
    <w:p w14:paraId="4DF84657" w14:textId="77777777" w:rsidR="00027D58" w:rsidRPr="00027D58" w:rsidRDefault="00027D58" w:rsidP="00027D58">
      <w:pPr>
        <w:rPr>
          <w:rFonts w:eastAsia="Aptos" w:cs="Arial"/>
          <w:lang w:val="en-US"/>
        </w:rPr>
      </w:pPr>
    </w:p>
    <w:p w14:paraId="48AF59B0" w14:textId="77777777" w:rsidR="00027D58" w:rsidRPr="00027D58" w:rsidRDefault="00027D58" w:rsidP="00027D58">
      <w:pPr>
        <w:rPr>
          <w:rFonts w:eastAsia="Aptos" w:cs="Arial"/>
          <w:b/>
          <w:bCs/>
          <w:lang w:val="en-US"/>
        </w:rPr>
      </w:pPr>
      <w:r w:rsidRPr="00027D58">
        <w:rPr>
          <w:rFonts w:eastAsia="Aptos" w:cs="Arial"/>
          <w:b/>
          <w:bCs/>
          <w:lang w:val="en-US"/>
        </w:rPr>
        <w:t>Aims and intended outcomes</w:t>
      </w:r>
    </w:p>
    <w:p w14:paraId="0A1085DD" w14:textId="77777777" w:rsidR="00027D58" w:rsidRPr="00027D58" w:rsidRDefault="00027D58" w:rsidP="00027D58">
      <w:pPr>
        <w:rPr>
          <w:rFonts w:eastAsia="Aptos" w:cs="Arial"/>
          <w:b/>
          <w:bCs/>
          <w:lang w:val="en-US"/>
        </w:rPr>
      </w:pPr>
    </w:p>
    <w:p w14:paraId="36EC295B" w14:textId="77777777" w:rsidR="00027D58" w:rsidRPr="00027D58" w:rsidRDefault="00027D58" w:rsidP="00027D58">
      <w:pPr>
        <w:rPr>
          <w:rFonts w:eastAsia="Aptos" w:cs="Arial"/>
          <w:lang w:val="en-US"/>
        </w:rPr>
      </w:pPr>
      <w:r w:rsidRPr="00027D58">
        <w:rPr>
          <w:rFonts w:eastAsia="Aptos" w:cs="Arial"/>
          <w:lang w:val="en-US"/>
        </w:rPr>
        <w:t>The underlying purpose of this service is, with the patient’s agreement, to contribute to a reduction in risk of medication errors and adverse drug events by, in particular –</w:t>
      </w:r>
    </w:p>
    <w:p w14:paraId="1CFB5922" w14:textId="77777777" w:rsidR="00027D58" w:rsidRPr="00027D58" w:rsidRDefault="00027D58" w:rsidP="00027D58">
      <w:pPr>
        <w:rPr>
          <w:rFonts w:eastAsia="Aptos" w:cs="Arial"/>
          <w:lang w:val="en-US"/>
        </w:rPr>
      </w:pPr>
    </w:p>
    <w:p w14:paraId="7197355B" w14:textId="77777777" w:rsidR="00027D58" w:rsidRPr="00027D58" w:rsidRDefault="00027D58" w:rsidP="00B76905">
      <w:pPr>
        <w:numPr>
          <w:ilvl w:val="0"/>
          <w:numId w:val="227"/>
        </w:numPr>
        <w:contextualSpacing/>
        <w:rPr>
          <w:rFonts w:eastAsia="Aptos" w:cs="Arial"/>
          <w:lang w:val="en-US"/>
        </w:rPr>
      </w:pPr>
      <w:r w:rsidRPr="00027D58">
        <w:rPr>
          <w:rFonts w:eastAsia="Aptos" w:cs="Arial"/>
          <w:lang w:val="en-US"/>
        </w:rPr>
        <w:t>Increasing the availability of accurate information about a patient’s medicines,</w:t>
      </w:r>
    </w:p>
    <w:p w14:paraId="50E6D340" w14:textId="77777777" w:rsidR="00027D58" w:rsidRPr="00027D58" w:rsidRDefault="00027D58" w:rsidP="00B76905">
      <w:pPr>
        <w:numPr>
          <w:ilvl w:val="0"/>
          <w:numId w:val="227"/>
        </w:numPr>
        <w:contextualSpacing/>
        <w:rPr>
          <w:rFonts w:eastAsia="Aptos" w:cs="Arial"/>
          <w:lang w:val="en-US"/>
        </w:rPr>
      </w:pPr>
      <w:r w:rsidRPr="00027D58">
        <w:rPr>
          <w:rFonts w:eastAsia="Aptos" w:cs="Arial"/>
          <w:lang w:val="en-US"/>
        </w:rPr>
        <w:t>Improving communication between healthcare professionals and others involved in the transfer of patient care, and patients and their carers,</w:t>
      </w:r>
    </w:p>
    <w:p w14:paraId="42432D5E" w14:textId="77777777" w:rsidR="00027D58" w:rsidRPr="00027D58" w:rsidRDefault="00027D58" w:rsidP="00B76905">
      <w:pPr>
        <w:numPr>
          <w:ilvl w:val="0"/>
          <w:numId w:val="227"/>
        </w:numPr>
        <w:contextualSpacing/>
        <w:rPr>
          <w:rFonts w:eastAsia="Aptos" w:cs="Arial"/>
          <w:lang w:val="en-US"/>
        </w:rPr>
      </w:pPr>
      <w:r w:rsidRPr="00027D58">
        <w:rPr>
          <w:rFonts w:eastAsia="Aptos" w:cs="Arial"/>
          <w:lang w:val="en-US"/>
        </w:rPr>
        <w:lastRenderedPageBreak/>
        <w:t>Increasing patient involvement in their own care by helping them to develop a better understanding of their medicines, and</w:t>
      </w:r>
    </w:p>
    <w:p w14:paraId="2630574D" w14:textId="1A5FD273" w:rsidR="00027D58" w:rsidRPr="00027D58" w:rsidRDefault="00027D58" w:rsidP="00B76905">
      <w:pPr>
        <w:numPr>
          <w:ilvl w:val="0"/>
          <w:numId w:val="227"/>
        </w:numPr>
        <w:contextualSpacing/>
        <w:rPr>
          <w:rFonts w:eastAsia="Aptos" w:cs="Arial"/>
          <w:lang w:val="en-US"/>
        </w:rPr>
      </w:pPr>
      <w:r w:rsidRPr="00027D58">
        <w:rPr>
          <w:rFonts w:eastAsia="Aptos" w:cs="Arial"/>
          <w:lang w:val="en-US"/>
        </w:rPr>
        <w:t xml:space="preserve">Reducing the likelihood of unnecessary or duplicated prescriptions being </w:t>
      </w:r>
      <w:r w:rsidR="00512640" w:rsidRPr="00027D58">
        <w:rPr>
          <w:rFonts w:eastAsia="Aptos" w:cs="Arial"/>
          <w:lang w:val="en-US"/>
        </w:rPr>
        <w:t>dispensed and</w:t>
      </w:r>
      <w:r w:rsidRPr="00027D58">
        <w:rPr>
          <w:rFonts w:eastAsia="Aptos" w:cs="Arial"/>
          <w:lang w:val="en-US"/>
        </w:rPr>
        <w:t xml:space="preserve"> reducing wastage of medicines.</w:t>
      </w:r>
    </w:p>
    <w:p w14:paraId="2791EAE2" w14:textId="77777777" w:rsidR="00027D58" w:rsidRPr="00027D58" w:rsidRDefault="00027D58" w:rsidP="00027D58">
      <w:pPr>
        <w:rPr>
          <w:rFonts w:eastAsia="Aptos" w:cs="Arial"/>
          <w:lang w:val="en-US"/>
        </w:rPr>
      </w:pPr>
    </w:p>
    <w:p w14:paraId="23ECA5A3" w14:textId="0E4230FB" w:rsidR="00027D58" w:rsidRPr="00027D58" w:rsidRDefault="00CE242D" w:rsidP="00CE242D">
      <w:pPr>
        <w:rPr>
          <w:rFonts w:eastAsia="Aptos" w:cs="Arial"/>
          <w:b/>
          <w:bCs/>
          <w:lang w:val="en-US"/>
        </w:rPr>
      </w:pPr>
      <w:r w:rsidRPr="00D0306F">
        <w:rPr>
          <w:rFonts w:eastAsia="Aptos" w:cs="Arial"/>
          <w:b/>
          <w:bCs/>
          <w:lang w:val="en-US"/>
        </w:rPr>
        <w:t xml:space="preserve">3. </w:t>
      </w:r>
      <w:r w:rsidR="00027D58" w:rsidRPr="00027D58">
        <w:rPr>
          <w:rFonts w:eastAsia="Aptos" w:cs="Arial"/>
          <w:b/>
          <w:bCs/>
          <w:lang w:val="en-US"/>
        </w:rPr>
        <w:t xml:space="preserve">Pharmacist independent prescribing service </w:t>
      </w:r>
    </w:p>
    <w:p w14:paraId="489B2745" w14:textId="77777777" w:rsidR="00027D58" w:rsidRPr="00027D58" w:rsidRDefault="00027D58" w:rsidP="00027D58">
      <w:pPr>
        <w:rPr>
          <w:rFonts w:eastAsia="Aptos" w:cs="Arial"/>
          <w:b/>
          <w:bCs/>
          <w:lang w:val="en-US"/>
        </w:rPr>
      </w:pPr>
    </w:p>
    <w:p w14:paraId="033E5FBB" w14:textId="77777777" w:rsidR="00027D58" w:rsidRPr="00027D58" w:rsidRDefault="00027D58" w:rsidP="00027D58">
      <w:pPr>
        <w:rPr>
          <w:rFonts w:eastAsia="Aptos" w:cs="Arial"/>
          <w:b/>
          <w:bCs/>
          <w:lang w:val="en-US"/>
        </w:rPr>
      </w:pPr>
      <w:r w:rsidRPr="00027D58">
        <w:rPr>
          <w:rFonts w:eastAsia="Aptos" w:cs="Arial"/>
          <w:b/>
          <w:bCs/>
          <w:lang w:val="en-US"/>
        </w:rPr>
        <w:t>Service description</w:t>
      </w:r>
    </w:p>
    <w:p w14:paraId="0AEB3E5C" w14:textId="77777777" w:rsidR="00027D58" w:rsidRPr="00027D58" w:rsidRDefault="00027D58" w:rsidP="00027D58">
      <w:pPr>
        <w:rPr>
          <w:rFonts w:eastAsia="Aptos" w:cs="Arial"/>
          <w:lang w:val="en-US"/>
        </w:rPr>
      </w:pPr>
    </w:p>
    <w:p w14:paraId="7DC41674" w14:textId="77777777" w:rsidR="00027D58" w:rsidRPr="00027D58" w:rsidRDefault="00027D58" w:rsidP="00027D58">
      <w:pPr>
        <w:rPr>
          <w:rFonts w:eastAsia="Aptos" w:cs="Arial"/>
          <w:lang w:val="en-US"/>
        </w:rPr>
      </w:pPr>
      <w:r w:rsidRPr="00027D58">
        <w:rPr>
          <w:rFonts w:eastAsia="Aptos" w:cs="Arial"/>
          <w:lang w:val="en-US"/>
        </w:rPr>
        <w:t>Any pharmacy contractor wishing to provide this service must also be providing the clinical community pharmacy service. It comprises three components:</w:t>
      </w:r>
    </w:p>
    <w:p w14:paraId="669E5877" w14:textId="77777777" w:rsidR="00027D58" w:rsidRPr="00027D58" w:rsidRDefault="00027D58" w:rsidP="00027D58">
      <w:pPr>
        <w:rPr>
          <w:rFonts w:eastAsia="Aptos" w:cs="Arial"/>
          <w:lang w:val="en-US"/>
        </w:rPr>
      </w:pPr>
    </w:p>
    <w:p w14:paraId="63B4B35B" w14:textId="77777777" w:rsidR="00027D58" w:rsidRPr="00027D58" w:rsidRDefault="00027D58" w:rsidP="00B76905">
      <w:pPr>
        <w:numPr>
          <w:ilvl w:val="0"/>
          <w:numId w:val="228"/>
        </w:numPr>
        <w:contextualSpacing/>
        <w:rPr>
          <w:rFonts w:eastAsia="Aptos" w:cs="Arial"/>
          <w:lang w:val="en-US"/>
        </w:rPr>
      </w:pPr>
      <w:r w:rsidRPr="00027D58">
        <w:rPr>
          <w:rFonts w:eastAsia="Aptos" w:cs="Arial"/>
          <w:lang w:val="en-US"/>
        </w:rPr>
        <w:t>The prescribing of routine contraception,</w:t>
      </w:r>
    </w:p>
    <w:p w14:paraId="26519A01" w14:textId="77777777" w:rsidR="00027D58" w:rsidRPr="00027D58" w:rsidRDefault="00027D58" w:rsidP="00B76905">
      <w:pPr>
        <w:numPr>
          <w:ilvl w:val="0"/>
          <w:numId w:val="228"/>
        </w:numPr>
        <w:contextualSpacing/>
        <w:rPr>
          <w:rFonts w:eastAsia="Aptos" w:cs="Arial"/>
          <w:lang w:val="en-US"/>
        </w:rPr>
      </w:pPr>
      <w:r w:rsidRPr="00027D58">
        <w:rPr>
          <w:rFonts w:eastAsia="Aptos" w:cs="Arial"/>
          <w:lang w:val="en-US"/>
        </w:rPr>
        <w:t>The management of common ailments, not normally managed by the national common ailment service, and</w:t>
      </w:r>
    </w:p>
    <w:p w14:paraId="238DDA14" w14:textId="77777777" w:rsidR="00027D58" w:rsidRPr="00027D58" w:rsidRDefault="00027D58" w:rsidP="00B76905">
      <w:pPr>
        <w:numPr>
          <w:ilvl w:val="0"/>
          <w:numId w:val="228"/>
        </w:numPr>
        <w:contextualSpacing/>
        <w:rPr>
          <w:rFonts w:eastAsia="Aptos" w:cs="Arial"/>
          <w:lang w:val="en-US"/>
        </w:rPr>
      </w:pPr>
      <w:r w:rsidRPr="00027D58">
        <w:rPr>
          <w:rFonts w:eastAsia="Aptos" w:cs="Arial"/>
          <w:lang w:val="en-US"/>
        </w:rPr>
        <w:t>The provision of a prescribing service agreed by the relevant local health board.</w:t>
      </w:r>
    </w:p>
    <w:p w14:paraId="13F3F035" w14:textId="77777777" w:rsidR="00027D58" w:rsidRPr="00027D58" w:rsidRDefault="00027D58" w:rsidP="00027D58">
      <w:pPr>
        <w:rPr>
          <w:rFonts w:eastAsia="Aptos" w:cs="Arial"/>
          <w:lang w:val="en-US"/>
        </w:rPr>
      </w:pPr>
    </w:p>
    <w:p w14:paraId="1052EAE9" w14:textId="77777777" w:rsidR="00027D58" w:rsidRPr="00027D58" w:rsidRDefault="00027D58" w:rsidP="00027D58">
      <w:pPr>
        <w:rPr>
          <w:rFonts w:eastAsia="Aptos" w:cs="Arial"/>
          <w:b/>
          <w:bCs/>
          <w:lang w:val="en-US"/>
        </w:rPr>
      </w:pPr>
      <w:r w:rsidRPr="00027D58">
        <w:rPr>
          <w:rFonts w:eastAsia="Aptos" w:cs="Arial"/>
          <w:b/>
          <w:bCs/>
          <w:lang w:val="en-US"/>
        </w:rPr>
        <w:t>Aims and intended outcomes</w:t>
      </w:r>
    </w:p>
    <w:p w14:paraId="580AB553" w14:textId="77777777" w:rsidR="00027D58" w:rsidRPr="00027D58" w:rsidRDefault="00027D58" w:rsidP="00027D58">
      <w:pPr>
        <w:rPr>
          <w:rFonts w:eastAsia="Aptos" w:cs="Arial"/>
          <w:lang w:val="en-US"/>
        </w:rPr>
      </w:pPr>
    </w:p>
    <w:p w14:paraId="2DDB1256" w14:textId="77777777" w:rsidR="00027D58" w:rsidRPr="00027D58" w:rsidRDefault="00027D58" w:rsidP="00027D58">
      <w:pPr>
        <w:rPr>
          <w:rFonts w:eastAsia="Aptos" w:cs="Arial"/>
          <w:lang w:val="en-US"/>
        </w:rPr>
      </w:pPr>
      <w:r w:rsidRPr="00027D58">
        <w:rPr>
          <w:rFonts w:eastAsia="Aptos" w:cs="Arial"/>
          <w:lang w:val="en-US"/>
        </w:rPr>
        <w:t>The underlying purposes of this service are:</w:t>
      </w:r>
    </w:p>
    <w:p w14:paraId="485B3745" w14:textId="77777777" w:rsidR="00027D58" w:rsidRPr="00027D58" w:rsidRDefault="00027D58" w:rsidP="00027D58">
      <w:pPr>
        <w:rPr>
          <w:rFonts w:eastAsia="Aptos" w:cs="Arial"/>
          <w:lang w:val="en-US"/>
        </w:rPr>
      </w:pPr>
    </w:p>
    <w:p w14:paraId="6E643D96" w14:textId="77777777" w:rsidR="00027D58" w:rsidRPr="00027D58" w:rsidRDefault="00027D58" w:rsidP="00B76905">
      <w:pPr>
        <w:numPr>
          <w:ilvl w:val="0"/>
          <w:numId w:val="229"/>
        </w:numPr>
        <w:contextualSpacing/>
        <w:rPr>
          <w:rFonts w:eastAsia="Aptos" w:cs="Arial"/>
          <w:lang w:val="en-US"/>
        </w:rPr>
      </w:pPr>
      <w:r w:rsidRPr="00027D58">
        <w:rPr>
          <w:rFonts w:eastAsia="Aptos" w:cs="Arial"/>
          <w:lang w:val="en-US"/>
        </w:rPr>
        <w:t>to provide access to prescription only medicines for the treatment of common ailments that require treatment with prescription only medicines that are not available under the clinical community pharmacy service,</w:t>
      </w:r>
    </w:p>
    <w:p w14:paraId="169B966F" w14:textId="77777777" w:rsidR="00027D58" w:rsidRPr="00027D58" w:rsidRDefault="00027D58" w:rsidP="00B76905">
      <w:pPr>
        <w:numPr>
          <w:ilvl w:val="0"/>
          <w:numId w:val="229"/>
        </w:numPr>
        <w:contextualSpacing/>
        <w:rPr>
          <w:rFonts w:eastAsia="Aptos" w:cs="Arial"/>
          <w:lang w:val="en-US"/>
        </w:rPr>
      </w:pPr>
      <w:r w:rsidRPr="00027D58">
        <w:rPr>
          <w:rFonts w:eastAsia="Aptos" w:cs="Arial"/>
          <w:lang w:val="en-US"/>
        </w:rPr>
        <w:t>to provide access to emergency or regular contraception where those needs cannot be met under the clinical community pharmacy service; and</w:t>
      </w:r>
    </w:p>
    <w:p w14:paraId="69E6EC60" w14:textId="77777777" w:rsidR="00027D58" w:rsidRPr="00027D58" w:rsidRDefault="00027D58" w:rsidP="00B76905">
      <w:pPr>
        <w:numPr>
          <w:ilvl w:val="0"/>
          <w:numId w:val="229"/>
        </w:numPr>
        <w:contextualSpacing/>
        <w:rPr>
          <w:rFonts w:eastAsia="Aptos" w:cs="Arial"/>
          <w:lang w:val="en-US"/>
        </w:rPr>
      </w:pPr>
      <w:r w:rsidRPr="00027D58">
        <w:rPr>
          <w:rFonts w:eastAsia="Aptos" w:cs="Arial"/>
          <w:lang w:val="en-US"/>
        </w:rPr>
        <w:t>for the provision of any other service which the pharmacy contractor agrees with the relevant local health board to provide.</w:t>
      </w:r>
    </w:p>
    <w:p w14:paraId="5B0706B9" w14:textId="77777777" w:rsidR="00027D58" w:rsidRPr="00027D58" w:rsidRDefault="00027D58" w:rsidP="00027D58">
      <w:pPr>
        <w:rPr>
          <w:rFonts w:eastAsia="Aptos" w:cs="Arial"/>
          <w:lang w:val="en-US"/>
        </w:rPr>
      </w:pPr>
    </w:p>
    <w:p w14:paraId="3799DDF8" w14:textId="24433BB1" w:rsidR="00027D58" w:rsidRPr="00027D58" w:rsidRDefault="00CE242D" w:rsidP="00CE242D">
      <w:pPr>
        <w:rPr>
          <w:rFonts w:eastAsia="Aptos" w:cs="Arial"/>
          <w:b/>
          <w:bCs/>
          <w:lang w:val="en-US"/>
        </w:rPr>
      </w:pPr>
      <w:r w:rsidRPr="00D0306F">
        <w:rPr>
          <w:rFonts w:eastAsia="Aptos" w:cs="Arial"/>
          <w:b/>
          <w:bCs/>
          <w:lang w:val="en-US"/>
        </w:rPr>
        <w:t xml:space="preserve">4. </w:t>
      </w:r>
      <w:r w:rsidR="00027D58" w:rsidRPr="00027D58">
        <w:rPr>
          <w:rFonts w:eastAsia="Aptos" w:cs="Arial"/>
          <w:b/>
          <w:bCs/>
          <w:lang w:val="en-US"/>
        </w:rPr>
        <w:t>Seasonal influenza vaccination service</w:t>
      </w:r>
    </w:p>
    <w:p w14:paraId="24E5491D" w14:textId="77777777" w:rsidR="00027D58" w:rsidRPr="00027D58" w:rsidRDefault="00027D58" w:rsidP="00027D58">
      <w:pPr>
        <w:rPr>
          <w:rFonts w:eastAsia="Aptos" w:cs="Arial"/>
          <w:lang w:val="en-US"/>
        </w:rPr>
      </w:pPr>
    </w:p>
    <w:p w14:paraId="0B32A518" w14:textId="77777777" w:rsidR="00027D58" w:rsidRPr="00027D58" w:rsidRDefault="00027D58" w:rsidP="00027D58">
      <w:pPr>
        <w:rPr>
          <w:rFonts w:eastAsia="Aptos" w:cs="Arial"/>
          <w:b/>
          <w:bCs/>
          <w:lang w:val="en-US"/>
        </w:rPr>
      </w:pPr>
      <w:r w:rsidRPr="00027D58">
        <w:rPr>
          <w:rFonts w:eastAsia="Aptos" w:cs="Arial"/>
          <w:b/>
          <w:bCs/>
          <w:lang w:val="en-US"/>
        </w:rPr>
        <w:t>Service description</w:t>
      </w:r>
    </w:p>
    <w:p w14:paraId="30F44F1B" w14:textId="77777777" w:rsidR="00027D58" w:rsidRPr="00027D58" w:rsidRDefault="00027D58" w:rsidP="00027D58">
      <w:pPr>
        <w:rPr>
          <w:rFonts w:eastAsia="Aptos" w:cs="Arial"/>
          <w:lang w:val="en-US"/>
        </w:rPr>
      </w:pPr>
    </w:p>
    <w:p w14:paraId="278B79EE" w14:textId="77777777" w:rsidR="00027D58" w:rsidRPr="00027D58" w:rsidRDefault="00027D58" w:rsidP="00027D58">
      <w:pPr>
        <w:rPr>
          <w:rFonts w:eastAsia="Aptos" w:cs="Arial"/>
          <w:lang w:val="en-US"/>
        </w:rPr>
      </w:pPr>
      <w:r w:rsidRPr="00027D58">
        <w:rPr>
          <w:rFonts w:eastAsia="Aptos" w:cs="Arial"/>
          <w:lang w:val="en-US"/>
        </w:rPr>
        <w:t>Any pharmacy contractor wishing to provide this service must also be providing the clinical community pharmacy service.</w:t>
      </w:r>
    </w:p>
    <w:p w14:paraId="2CD15F00" w14:textId="77777777" w:rsidR="00027D58" w:rsidRPr="00027D58" w:rsidRDefault="00027D58" w:rsidP="00027D58">
      <w:pPr>
        <w:rPr>
          <w:rFonts w:eastAsia="Aptos" w:cs="Arial"/>
          <w:lang w:val="en-US"/>
        </w:rPr>
      </w:pPr>
    </w:p>
    <w:p w14:paraId="77365E09" w14:textId="77777777" w:rsidR="00027D58" w:rsidRPr="00027D58" w:rsidRDefault="00027D58" w:rsidP="00027D58">
      <w:pPr>
        <w:rPr>
          <w:rFonts w:eastAsia="Aptos" w:cs="Arial"/>
          <w:b/>
          <w:bCs/>
          <w:lang w:val="en-US"/>
        </w:rPr>
      </w:pPr>
      <w:r w:rsidRPr="00027D58">
        <w:rPr>
          <w:rFonts w:eastAsia="Aptos" w:cs="Arial"/>
          <w:b/>
          <w:bCs/>
          <w:lang w:val="en-US"/>
        </w:rPr>
        <w:t>Aims and intended outcomes</w:t>
      </w:r>
    </w:p>
    <w:p w14:paraId="7BC273B4" w14:textId="77777777" w:rsidR="00027D58" w:rsidRPr="00027D58" w:rsidRDefault="00027D58" w:rsidP="00027D58">
      <w:pPr>
        <w:rPr>
          <w:rFonts w:eastAsia="Aptos" w:cs="Arial"/>
          <w:lang w:val="en-US"/>
        </w:rPr>
      </w:pPr>
    </w:p>
    <w:p w14:paraId="6DDDCB15" w14:textId="77777777" w:rsidR="00027D58" w:rsidRPr="00027D58" w:rsidRDefault="00027D58" w:rsidP="00027D58">
      <w:pPr>
        <w:rPr>
          <w:rFonts w:eastAsia="Aptos" w:cs="Arial"/>
        </w:rPr>
      </w:pPr>
      <w:r w:rsidRPr="00027D58">
        <w:rPr>
          <w:rFonts w:eastAsia="Aptos" w:cs="Arial"/>
          <w:lang w:val="en-US"/>
        </w:rPr>
        <w:t xml:space="preserve">The underlying purpose of the service is </w:t>
      </w:r>
      <w:r w:rsidRPr="00027D58">
        <w:rPr>
          <w:rFonts w:eastAsia="Aptos" w:cs="Arial"/>
        </w:rPr>
        <w:t>for the registered pharmacist or pharmacy technician to administer an influenza vaccination to a patient under a patient group direction or administer an influenza vaccination to a patient under a protocol authorised by the Welsh Ministers in accordance with regulation 247A of the Human Medicines Regulations 2012 (Protocols relating to coronavirus and influenza vaccinations and immunisations).</w:t>
      </w:r>
    </w:p>
    <w:p w14:paraId="70C4C6DB" w14:textId="77777777" w:rsidR="00027D58" w:rsidRPr="00D0306F" w:rsidRDefault="00027D58" w:rsidP="00027D58">
      <w:pPr>
        <w:rPr>
          <w:rFonts w:eastAsia="Aptos" w:cs="Arial"/>
          <w:lang w:val="en-US"/>
        </w:rPr>
      </w:pPr>
    </w:p>
    <w:p w14:paraId="4ABCF946" w14:textId="77777777" w:rsidR="00CE242D" w:rsidRPr="00D0306F" w:rsidRDefault="00CE242D" w:rsidP="00027D58">
      <w:pPr>
        <w:rPr>
          <w:rFonts w:eastAsia="Aptos" w:cs="Arial"/>
          <w:lang w:val="en-US"/>
        </w:rPr>
      </w:pPr>
    </w:p>
    <w:p w14:paraId="6345BE03" w14:textId="77777777" w:rsidR="00CE242D" w:rsidRPr="00D0306F" w:rsidRDefault="00CE242D" w:rsidP="00027D58">
      <w:pPr>
        <w:rPr>
          <w:rFonts w:eastAsia="Aptos" w:cs="Arial"/>
          <w:lang w:val="en-US"/>
        </w:rPr>
      </w:pPr>
    </w:p>
    <w:p w14:paraId="1BA56B7F" w14:textId="77777777" w:rsidR="00CE242D" w:rsidRPr="00D0306F" w:rsidRDefault="00CE242D" w:rsidP="00027D58">
      <w:pPr>
        <w:rPr>
          <w:rFonts w:eastAsia="Aptos" w:cs="Arial"/>
          <w:lang w:val="en-US"/>
        </w:rPr>
      </w:pPr>
    </w:p>
    <w:p w14:paraId="547E5404" w14:textId="77777777" w:rsidR="00CE242D" w:rsidRPr="00027D58" w:rsidRDefault="00CE242D" w:rsidP="00027D58">
      <w:pPr>
        <w:rPr>
          <w:rFonts w:eastAsia="Aptos" w:cs="Arial"/>
          <w:lang w:val="en-US"/>
        </w:rPr>
      </w:pPr>
    </w:p>
    <w:p w14:paraId="480DC4DB" w14:textId="638EA765" w:rsidR="00027D58" w:rsidRPr="00027D58" w:rsidRDefault="00CE242D" w:rsidP="00CE242D">
      <w:pPr>
        <w:rPr>
          <w:rFonts w:eastAsia="Aptos" w:cs="Arial"/>
          <w:b/>
          <w:bCs/>
          <w:lang w:val="en-US"/>
        </w:rPr>
      </w:pPr>
      <w:r w:rsidRPr="00D0306F">
        <w:rPr>
          <w:rFonts w:eastAsia="Aptos" w:cs="Arial"/>
          <w:b/>
          <w:bCs/>
          <w:lang w:val="en-US"/>
        </w:rPr>
        <w:lastRenderedPageBreak/>
        <w:t xml:space="preserve">5. </w:t>
      </w:r>
      <w:r w:rsidR="00027D58" w:rsidRPr="00027D58">
        <w:rPr>
          <w:rFonts w:eastAsia="Aptos" w:cs="Arial"/>
          <w:b/>
          <w:bCs/>
          <w:lang w:val="en-US"/>
        </w:rPr>
        <w:t xml:space="preserve">Stoma appliance customisation </w:t>
      </w:r>
    </w:p>
    <w:p w14:paraId="5345E4CB" w14:textId="77777777" w:rsidR="00027D58" w:rsidRPr="00027D58" w:rsidRDefault="00027D58" w:rsidP="00027D58">
      <w:pPr>
        <w:rPr>
          <w:rFonts w:eastAsia="Aptos" w:cs="Arial"/>
          <w:b/>
          <w:bCs/>
          <w:lang w:val="en-US"/>
        </w:rPr>
      </w:pPr>
    </w:p>
    <w:p w14:paraId="3B67146A" w14:textId="77777777" w:rsidR="00027D58" w:rsidRPr="00027D58" w:rsidRDefault="00027D58" w:rsidP="00027D58">
      <w:pPr>
        <w:rPr>
          <w:rFonts w:eastAsia="Aptos" w:cs="Arial"/>
          <w:b/>
          <w:bCs/>
          <w:lang w:val="en-US"/>
        </w:rPr>
      </w:pPr>
      <w:r w:rsidRPr="00027D58">
        <w:rPr>
          <w:rFonts w:eastAsia="Aptos" w:cs="Arial"/>
          <w:b/>
          <w:bCs/>
          <w:lang w:val="en-US"/>
        </w:rPr>
        <w:t>Service description</w:t>
      </w:r>
    </w:p>
    <w:p w14:paraId="7C870A16" w14:textId="77777777" w:rsidR="00027D58" w:rsidRPr="00027D58" w:rsidRDefault="00027D58" w:rsidP="00027D58">
      <w:pPr>
        <w:rPr>
          <w:rFonts w:eastAsia="Aptos" w:cs="Arial"/>
          <w:lang w:val="en-US"/>
        </w:rPr>
      </w:pPr>
    </w:p>
    <w:p w14:paraId="639AD731" w14:textId="77777777" w:rsidR="00027D58" w:rsidRPr="00027D58" w:rsidRDefault="00027D58" w:rsidP="00027D58">
      <w:pPr>
        <w:rPr>
          <w:rFonts w:eastAsia="Aptos" w:cs="Arial"/>
          <w:lang w:val="en-US"/>
        </w:rPr>
      </w:pPr>
      <w:r w:rsidRPr="00027D58">
        <w:rPr>
          <w:rFonts w:eastAsia="Aptos" w:cs="Arial"/>
          <w:lang w:val="en-US"/>
        </w:rPr>
        <w:t>Stoma appliance customisation is the customisation of a quantity of more than one stoma appliance, where:</w:t>
      </w:r>
    </w:p>
    <w:p w14:paraId="463E4D8A" w14:textId="77777777" w:rsidR="00027D58" w:rsidRPr="00027D58" w:rsidRDefault="00027D58" w:rsidP="00027D58">
      <w:pPr>
        <w:rPr>
          <w:rFonts w:eastAsia="Aptos" w:cs="Arial"/>
          <w:lang w:val="en-US"/>
        </w:rPr>
      </w:pPr>
    </w:p>
    <w:p w14:paraId="5F317FB2" w14:textId="77777777" w:rsidR="00027D58" w:rsidRPr="00027D58" w:rsidRDefault="00027D58" w:rsidP="00B76905">
      <w:pPr>
        <w:numPr>
          <w:ilvl w:val="0"/>
          <w:numId w:val="230"/>
        </w:numPr>
        <w:contextualSpacing/>
        <w:rPr>
          <w:rFonts w:eastAsia="Aptos" w:cs="Arial"/>
          <w:lang w:val="en-US"/>
        </w:rPr>
      </w:pPr>
      <w:r w:rsidRPr="00027D58">
        <w:rPr>
          <w:rFonts w:eastAsia="Aptos" w:cs="Arial"/>
          <w:lang w:val="en-US"/>
        </w:rPr>
        <w:t>The stoma appliance to be customised is listed in Part IXC of the Drug Tariff</w:t>
      </w:r>
    </w:p>
    <w:p w14:paraId="08FCC455" w14:textId="77777777" w:rsidR="00027D58" w:rsidRPr="00027D58" w:rsidRDefault="00027D58" w:rsidP="00B76905">
      <w:pPr>
        <w:numPr>
          <w:ilvl w:val="0"/>
          <w:numId w:val="230"/>
        </w:numPr>
        <w:contextualSpacing/>
        <w:rPr>
          <w:rFonts w:eastAsia="Aptos" w:cs="Arial"/>
          <w:lang w:val="en-US"/>
        </w:rPr>
      </w:pPr>
      <w:r w:rsidRPr="00027D58">
        <w:rPr>
          <w:rFonts w:eastAsia="Aptos" w:cs="Arial"/>
          <w:lang w:val="en-US"/>
        </w:rPr>
        <w:t>The customisation involves modification to the same specification of multiple identical parts for use with an appliance; and</w:t>
      </w:r>
    </w:p>
    <w:p w14:paraId="64049D3C" w14:textId="77777777" w:rsidR="00027D58" w:rsidRPr="00027D58" w:rsidRDefault="00027D58" w:rsidP="00B76905">
      <w:pPr>
        <w:numPr>
          <w:ilvl w:val="0"/>
          <w:numId w:val="230"/>
        </w:numPr>
        <w:contextualSpacing/>
        <w:rPr>
          <w:rFonts w:eastAsia="Aptos" w:cs="Arial"/>
          <w:lang w:val="en-US"/>
        </w:rPr>
      </w:pPr>
      <w:r w:rsidRPr="00027D58">
        <w:rPr>
          <w:rFonts w:eastAsia="Aptos" w:cs="Arial"/>
          <w:lang w:val="en-US"/>
        </w:rPr>
        <w:t>Modification is based on the patient’s measurement or record of those measurements and if applicable, a template.</w:t>
      </w:r>
    </w:p>
    <w:p w14:paraId="2010F505" w14:textId="77777777" w:rsidR="00027D58" w:rsidRPr="00027D58" w:rsidRDefault="00027D58" w:rsidP="00027D58">
      <w:pPr>
        <w:rPr>
          <w:rFonts w:eastAsia="Aptos" w:cs="Arial"/>
          <w:lang w:val="en-US"/>
        </w:rPr>
      </w:pPr>
    </w:p>
    <w:p w14:paraId="45947BB6" w14:textId="77777777" w:rsidR="00027D58" w:rsidRPr="00027D58" w:rsidRDefault="00027D58" w:rsidP="00027D58">
      <w:pPr>
        <w:rPr>
          <w:rFonts w:eastAsia="Aptos" w:cs="Arial"/>
          <w:b/>
          <w:bCs/>
          <w:lang w:val="en-US"/>
        </w:rPr>
      </w:pPr>
      <w:bookmarkStart w:id="48" w:name="_Hlk213837517"/>
      <w:r w:rsidRPr="00027D58">
        <w:rPr>
          <w:rFonts w:eastAsia="Aptos" w:cs="Arial"/>
          <w:b/>
          <w:bCs/>
          <w:lang w:val="en-US"/>
        </w:rPr>
        <w:t>Aims and intended outcomes</w:t>
      </w:r>
    </w:p>
    <w:bookmarkEnd w:id="48"/>
    <w:p w14:paraId="6C5AC61D" w14:textId="77777777" w:rsidR="00027D58" w:rsidRPr="00027D58" w:rsidRDefault="00027D58" w:rsidP="00027D58">
      <w:pPr>
        <w:rPr>
          <w:rFonts w:eastAsia="Aptos" w:cs="Arial"/>
          <w:b/>
          <w:lang w:val="en-US"/>
        </w:rPr>
      </w:pPr>
    </w:p>
    <w:p w14:paraId="716F2DEF" w14:textId="77777777" w:rsidR="00027D58" w:rsidRPr="00027D58" w:rsidRDefault="00027D58" w:rsidP="00027D58">
      <w:pPr>
        <w:rPr>
          <w:rFonts w:eastAsia="Aptos" w:cs="Arial"/>
          <w:lang w:val="en-US"/>
        </w:rPr>
      </w:pPr>
      <w:r w:rsidRPr="00027D58">
        <w:rPr>
          <w:rFonts w:eastAsia="Aptos" w:cs="Arial"/>
          <w:lang w:val="en-US"/>
        </w:rPr>
        <w:t>The underlying purpose of the service is to:</w:t>
      </w:r>
    </w:p>
    <w:p w14:paraId="51421D23" w14:textId="77777777" w:rsidR="00027D58" w:rsidRPr="00027D58" w:rsidRDefault="00027D58" w:rsidP="00027D58">
      <w:pPr>
        <w:rPr>
          <w:rFonts w:eastAsia="Aptos" w:cs="Arial"/>
          <w:lang w:val="en-US"/>
        </w:rPr>
      </w:pPr>
    </w:p>
    <w:p w14:paraId="7064B688" w14:textId="77777777" w:rsidR="00027D58" w:rsidRPr="00027D58" w:rsidRDefault="00027D58" w:rsidP="00B76905">
      <w:pPr>
        <w:numPr>
          <w:ilvl w:val="0"/>
          <w:numId w:val="231"/>
        </w:numPr>
        <w:contextualSpacing/>
        <w:rPr>
          <w:rFonts w:eastAsia="Aptos" w:cs="Arial"/>
          <w:lang w:val="en-US"/>
        </w:rPr>
      </w:pPr>
      <w:r w:rsidRPr="00027D58">
        <w:rPr>
          <w:rFonts w:eastAsia="Aptos" w:cs="Arial"/>
          <w:lang w:val="en-US"/>
        </w:rPr>
        <w:t>Ensure the proper use and comfortable fitting of the stoma appliance by a patient; and</w:t>
      </w:r>
    </w:p>
    <w:p w14:paraId="62BB720B" w14:textId="77777777" w:rsidR="00027D58" w:rsidRPr="00027D58" w:rsidRDefault="00027D58" w:rsidP="00B76905">
      <w:pPr>
        <w:numPr>
          <w:ilvl w:val="0"/>
          <w:numId w:val="231"/>
        </w:numPr>
        <w:contextualSpacing/>
        <w:rPr>
          <w:rFonts w:eastAsia="Aptos" w:cs="Arial"/>
          <w:lang w:val="en-US"/>
        </w:rPr>
      </w:pPr>
      <w:r w:rsidRPr="00027D58">
        <w:rPr>
          <w:rFonts w:eastAsia="Aptos" w:cs="Arial"/>
          <w:lang w:val="en-US"/>
        </w:rPr>
        <w:t>Improve the duration of usage of the appliance, thereby reducing wastage of such appliances.</w:t>
      </w:r>
    </w:p>
    <w:p w14:paraId="4C130CE7" w14:textId="77777777" w:rsidR="00027D58" w:rsidRPr="00027D58" w:rsidRDefault="00027D58" w:rsidP="00027D58">
      <w:pPr>
        <w:rPr>
          <w:rFonts w:eastAsia="Aptos" w:cs="Arial"/>
          <w:lang w:val="en-US"/>
        </w:rPr>
      </w:pPr>
    </w:p>
    <w:p w14:paraId="11E2CBE5" w14:textId="7354214E" w:rsidR="00027D58" w:rsidRPr="00027D58" w:rsidRDefault="00CE242D" w:rsidP="00CE242D">
      <w:pPr>
        <w:rPr>
          <w:rFonts w:eastAsia="Aptos" w:cs="Arial"/>
          <w:b/>
          <w:bCs/>
          <w:lang w:val="en-US"/>
        </w:rPr>
      </w:pPr>
      <w:r w:rsidRPr="00D0306F">
        <w:rPr>
          <w:rFonts w:eastAsia="Aptos" w:cs="Arial"/>
          <w:b/>
          <w:bCs/>
          <w:lang w:val="en-US"/>
        </w:rPr>
        <w:t xml:space="preserve">6. </w:t>
      </w:r>
      <w:r w:rsidR="00027D58" w:rsidRPr="00027D58">
        <w:rPr>
          <w:rFonts w:eastAsia="Aptos" w:cs="Arial"/>
          <w:b/>
          <w:bCs/>
          <w:lang w:val="en-US"/>
        </w:rPr>
        <w:t xml:space="preserve">Appliance use review </w:t>
      </w:r>
    </w:p>
    <w:p w14:paraId="44B4B8BA" w14:textId="77777777" w:rsidR="00027D58" w:rsidRPr="00027D58" w:rsidRDefault="00027D58" w:rsidP="00027D58">
      <w:pPr>
        <w:rPr>
          <w:rFonts w:eastAsia="Aptos" w:cs="Arial"/>
          <w:b/>
          <w:bCs/>
          <w:lang w:val="en-US"/>
        </w:rPr>
      </w:pPr>
    </w:p>
    <w:p w14:paraId="641F9BAC" w14:textId="77777777" w:rsidR="00027D58" w:rsidRPr="00027D58" w:rsidRDefault="00027D58" w:rsidP="00027D58">
      <w:pPr>
        <w:rPr>
          <w:rFonts w:eastAsia="Aptos" w:cs="Arial"/>
          <w:b/>
          <w:bCs/>
          <w:lang w:val="en-US"/>
        </w:rPr>
      </w:pPr>
      <w:r w:rsidRPr="00027D58">
        <w:rPr>
          <w:rFonts w:eastAsia="Aptos" w:cs="Arial"/>
          <w:b/>
          <w:bCs/>
          <w:lang w:val="en-US"/>
        </w:rPr>
        <w:t>Service description</w:t>
      </w:r>
    </w:p>
    <w:p w14:paraId="2BA4091A" w14:textId="77777777" w:rsidR="00027D58" w:rsidRPr="00027D58" w:rsidRDefault="00027D58" w:rsidP="00027D58">
      <w:pPr>
        <w:rPr>
          <w:rFonts w:eastAsia="Aptos" w:cs="Arial"/>
          <w:lang w:val="en-US"/>
        </w:rPr>
      </w:pPr>
    </w:p>
    <w:p w14:paraId="4EFDE856" w14:textId="77777777" w:rsidR="00027D58" w:rsidRPr="00027D58" w:rsidRDefault="00027D58" w:rsidP="00027D58">
      <w:pPr>
        <w:rPr>
          <w:rFonts w:eastAsia="Aptos" w:cs="Arial"/>
          <w:lang w:val="en-US"/>
        </w:rPr>
      </w:pPr>
      <w:r w:rsidRPr="00027D58">
        <w:rPr>
          <w:rFonts w:eastAsia="Aptos" w:cs="Arial"/>
          <w:lang w:val="en-US"/>
        </w:rPr>
        <w:t>An appliance use review is about helping patients use their appliances more effectively. Recommendations made to prescribers may also relate to the clinical or cost effectiveness of treatment.</w:t>
      </w:r>
    </w:p>
    <w:p w14:paraId="7DC7066D" w14:textId="77777777" w:rsidR="00027D58" w:rsidRPr="00027D58" w:rsidRDefault="00027D58" w:rsidP="00027D58">
      <w:pPr>
        <w:rPr>
          <w:rFonts w:eastAsia="Aptos" w:cs="Arial"/>
          <w:lang w:val="en-US"/>
        </w:rPr>
      </w:pPr>
    </w:p>
    <w:p w14:paraId="574E85F9" w14:textId="77777777" w:rsidR="00027D58" w:rsidRPr="00027D58" w:rsidRDefault="00027D58" w:rsidP="00027D58">
      <w:pPr>
        <w:rPr>
          <w:rFonts w:eastAsia="Aptos" w:cs="Arial"/>
          <w:b/>
          <w:bCs/>
          <w:lang w:val="en-US"/>
        </w:rPr>
      </w:pPr>
      <w:r w:rsidRPr="00027D58">
        <w:rPr>
          <w:rFonts w:eastAsia="Aptos" w:cs="Arial"/>
          <w:b/>
          <w:bCs/>
          <w:lang w:val="en-US"/>
        </w:rPr>
        <w:t>Aims and intended outcomes</w:t>
      </w:r>
    </w:p>
    <w:p w14:paraId="7A767D64" w14:textId="77777777" w:rsidR="00027D58" w:rsidRPr="00027D58" w:rsidRDefault="00027D58" w:rsidP="00027D58">
      <w:pPr>
        <w:rPr>
          <w:rFonts w:eastAsia="Aptos" w:cs="Arial"/>
          <w:b/>
          <w:lang w:val="en-US"/>
        </w:rPr>
      </w:pPr>
    </w:p>
    <w:p w14:paraId="2EB560A9" w14:textId="77777777" w:rsidR="00027D58" w:rsidRPr="00027D58" w:rsidRDefault="00027D58" w:rsidP="00027D58">
      <w:pPr>
        <w:rPr>
          <w:rFonts w:eastAsia="Aptos" w:cs="Arial"/>
          <w:lang w:val="en-US"/>
        </w:rPr>
      </w:pPr>
      <w:r w:rsidRPr="00027D58">
        <w:rPr>
          <w:rFonts w:eastAsia="Aptos" w:cs="Arial"/>
          <w:lang w:val="en-US"/>
        </w:rPr>
        <w:t>The underlying purpose of the service is, with the patient’s agreement, to improve the patient’s knowledge and use of any specified appliance by, in particular:</w:t>
      </w:r>
    </w:p>
    <w:p w14:paraId="7F4A0CA1" w14:textId="77777777" w:rsidR="00027D58" w:rsidRPr="00027D58" w:rsidRDefault="00027D58" w:rsidP="00027D58">
      <w:pPr>
        <w:rPr>
          <w:rFonts w:eastAsia="Aptos" w:cs="Arial"/>
          <w:lang w:val="en-US"/>
        </w:rPr>
      </w:pPr>
    </w:p>
    <w:p w14:paraId="56D38981" w14:textId="77777777" w:rsidR="00027D58" w:rsidRPr="00027D58" w:rsidRDefault="00027D58" w:rsidP="00B76905">
      <w:pPr>
        <w:numPr>
          <w:ilvl w:val="0"/>
          <w:numId w:val="232"/>
        </w:numPr>
        <w:contextualSpacing/>
        <w:rPr>
          <w:rFonts w:eastAsia="Aptos" w:cs="Arial"/>
          <w:lang w:val="en-US"/>
        </w:rPr>
      </w:pPr>
      <w:r w:rsidRPr="00027D58">
        <w:rPr>
          <w:rFonts w:eastAsia="Aptos" w:cs="Arial"/>
          <w:lang w:val="en-US"/>
        </w:rPr>
        <w:t>Establishing the way the patient uses the specified appliance and the patient’s experience of such use</w:t>
      </w:r>
    </w:p>
    <w:p w14:paraId="0C4EEE03" w14:textId="77777777" w:rsidR="00027D58" w:rsidRPr="00027D58" w:rsidRDefault="00027D58" w:rsidP="00B76905">
      <w:pPr>
        <w:numPr>
          <w:ilvl w:val="0"/>
          <w:numId w:val="232"/>
        </w:numPr>
        <w:contextualSpacing/>
        <w:rPr>
          <w:rFonts w:eastAsia="Aptos" w:cs="Arial"/>
          <w:lang w:val="en-US"/>
        </w:rPr>
      </w:pPr>
      <w:r w:rsidRPr="00027D58">
        <w:rPr>
          <w:rFonts w:eastAsia="Aptos" w:cs="Arial"/>
          <w:lang w:val="en-US"/>
        </w:rPr>
        <w:t>Identifying, discussing and assisting in the resolution of poor or ineffective use of the specified appliance by the patient</w:t>
      </w:r>
    </w:p>
    <w:p w14:paraId="4B0D9BE4" w14:textId="77777777" w:rsidR="00027D58" w:rsidRPr="00027D58" w:rsidRDefault="00027D58" w:rsidP="00B76905">
      <w:pPr>
        <w:numPr>
          <w:ilvl w:val="0"/>
          <w:numId w:val="232"/>
        </w:numPr>
        <w:contextualSpacing/>
        <w:rPr>
          <w:rFonts w:eastAsia="Aptos" w:cs="Arial"/>
          <w:lang w:val="en-US"/>
        </w:rPr>
      </w:pPr>
      <w:r w:rsidRPr="00027D58">
        <w:rPr>
          <w:rFonts w:eastAsia="Aptos" w:cs="Arial"/>
          <w:lang w:val="en-US"/>
        </w:rPr>
        <w:t>Advising the patient on the safe and appropriate storage of the specified appliance</w:t>
      </w:r>
    </w:p>
    <w:p w14:paraId="64225982" w14:textId="77777777" w:rsidR="00027D58" w:rsidRPr="00027D58" w:rsidRDefault="00027D58" w:rsidP="00B76905">
      <w:pPr>
        <w:numPr>
          <w:ilvl w:val="0"/>
          <w:numId w:val="232"/>
        </w:numPr>
        <w:contextualSpacing/>
        <w:rPr>
          <w:rFonts w:eastAsia="Aptos" w:cs="Arial"/>
          <w:lang w:val="en-US"/>
        </w:rPr>
      </w:pPr>
      <w:r w:rsidRPr="00027D58">
        <w:rPr>
          <w:rFonts w:eastAsia="Aptos" w:cs="Arial"/>
          <w:lang w:val="en-US"/>
        </w:rPr>
        <w:t>Advising the patient on the safe and proper disposal of the specified appliances that are used or unwanted.</w:t>
      </w:r>
    </w:p>
    <w:p w14:paraId="14D0CEB5" w14:textId="77777777" w:rsidR="00027D58" w:rsidRPr="00027D58" w:rsidRDefault="00027D58" w:rsidP="00027D58">
      <w:pPr>
        <w:rPr>
          <w:rFonts w:eastAsia="Aptos" w:cs="Arial"/>
          <w:lang w:val="en-US"/>
        </w:rPr>
      </w:pPr>
    </w:p>
    <w:p w14:paraId="2996C09C" w14:textId="7B500BFB" w:rsidR="00027D58" w:rsidRPr="00027D58" w:rsidRDefault="00B752F8" w:rsidP="00B752F8">
      <w:pPr>
        <w:rPr>
          <w:rFonts w:eastAsia="Aptos" w:cs="Arial"/>
          <w:b/>
          <w:bCs/>
          <w:lang w:val="en-US"/>
        </w:rPr>
      </w:pPr>
      <w:r w:rsidRPr="00D0306F">
        <w:rPr>
          <w:rFonts w:eastAsia="Aptos" w:cs="Arial"/>
          <w:b/>
          <w:bCs/>
          <w:lang w:val="en-US"/>
        </w:rPr>
        <w:t xml:space="preserve">7. </w:t>
      </w:r>
      <w:r w:rsidR="00027D58" w:rsidRPr="00027D58">
        <w:rPr>
          <w:rFonts w:eastAsia="Aptos" w:cs="Arial"/>
          <w:b/>
          <w:bCs/>
          <w:lang w:val="en-US"/>
        </w:rPr>
        <w:t>Lateral flow test supply service</w:t>
      </w:r>
    </w:p>
    <w:p w14:paraId="1767E5C2" w14:textId="77777777" w:rsidR="00027D58" w:rsidRPr="00027D58" w:rsidRDefault="00027D58" w:rsidP="00027D58">
      <w:pPr>
        <w:rPr>
          <w:rFonts w:eastAsia="Aptos" w:cs="Arial"/>
          <w:b/>
          <w:bCs/>
          <w:lang w:val="en-US"/>
        </w:rPr>
      </w:pPr>
    </w:p>
    <w:p w14:paraId="07E60917" w14:textId="77777777" w:rsidR="00027D58" w:rsidRPr="00027D58" w:rsidRDefault="00027D58" w:rsidP="00027D58">
      <w:pPr>
        <w:rPr>
          <w:rFonts w:eastAsia="Aptos" w:cs="Arial"/>
          <w:b/>
          <w:bCs/>
          <w:lang w:val="en-US"/>
        </w:rPr>
      </w:pPr>
      <w:r w:rsidRPr="00027D58">
        <w:rPr>
          <w:rFonts w:eastAsia="Aptos" w:cs="Arial"/>
          <w:b/>
          <w:bCs/>
          <w:lang w:val="en-US"/>
        </w:rPr>
        <w:t>Service description</w:t>
      </w:r>
    </w:p>
    <w:p w14:paraId="1EF76105" w14:textId="77777777" w:rsidR="00027D58" w:rsidRPr="00027D58" w:rsidRDefault="00027D58" w:rsidP="00027D58">
      <w:pPr>
        <w:rPr>
          <w:rFonts w:eastAsia="Aptos" w:cs="Arial"/>
          <w:lang w:val="en-US"/>
        </w:rPr>
      </w:pPr>
    </w:p>
    <w:p w14:paraId="1351AFFF" w14:textId="77777777" w:rsidR="00027D58" w:rsidRPr="00027D58" w:rsidRDefault="00027D58" w:rsidP="00027D58">
      <w:pPr>
        <w:rPr>
          <w:rFonts w:eastAsia="Aptos" w:cs="Arial"/>
          <w:lang w:val="en-US"/>
        </w:rPr>
      </w:pPr>
      <w:r w:rsidRPr="00027D58">
        <w:rPr>
          <w:rFonts w:eastAsia="Aptos" w:cs="Arial"/>
          <w:lang w:val="en-US"/>
        </w:rPr>
        <w:t xml:space="preserve">This service is only for patients who are potentially eligible for COVID-19 treatments. Under the service, pharmacy contractors make a supply of lateral flow tests to </w:t>
      </w:r>
      <w:r w:rsidRPr="00027D58">
        <w:rPr>
          <w:rFonts w:eastAsia="Aptos" w:cs="Arial"/>
          <w:lang w:val="en-US"/>
        </w:rPr>
        <w:lastRenderedPageBreak/>
        <w:t>eligible patients or their representatives for the tests to be self-administered by the patient away from the pharmacy.</w:t>
      </w:r>
    </w:p>
    <w:p w14:paraId="3FD97F70" w14:textId="77777777" w:rsidR="00027D58" w:rsidRPr="00027D58" w:rsidRDefault="00027D58" w:rsidP="00027D58">
      <w:pPr>
        <w:rPr>
          <w:rFonts w:eastAsia="Aptos" w:cs="Arial"/>
          <w:lang w:val="en-US"/>
        </w:rPr>
      </w:pPr>
    </w:p>
    <w:p w14:paraId="15FAAF33" w14:textId="77777777" w:rsidR="00027D58" w:rsidRPr="00027D58" w:rsidRDefault="00027D58" w:rsidP="00027D58">
      <w:pPr>
        <w:rPr>
          <w:rFonts w:eastAsia="Aptos" w:cs="Arial"/>
          <w:b/>
          <w:bCs/>
          <w:lang w:val="en-US"/>
        </w:rPr>
      </w:pPr>
      <w:r w:rsidRPr="00027D58">
        <w:rPr>
          <w:rFonts w:eastAsia="Aptos" w:cs="Arial"/>
          <w:b/>
          <w:bCs/>
          <w:lang w:val="en-US"/>
        </w:rPr>
        <w:t>Aims and intended outcomes</w:t>
      </w:r>
    </w:p>
    <w:p w14:paraId="4D200441" w14:textId="77777777" w:rsidR="00027D58" w:rsidRPr="00027D58" w:rsidRDefault="00027D58" w:rsidP="00027D58">
      <w:pPr>
        <w:rPr>
          <w:rFonts w:eastAsia="Aptos" w:cs="Arial"/>
          <w:lang w:val="en-US"/>
        </w:rPr>
      </w:pPr>
    </w:p>
    <w:p w14:paraId="60500B73" w14:textId="77777777" w:rsidR="00027D58" w:rsidRPr="00027D58" w:rsidRDefault="00027D58" w:rsidP="00027D58">
      <w:pPr>
        <w:rPr>
          <w:rFonts w:eastAsia="Aptos" w:cs="Arial"/>
          <w:lang w:val="en-US"/>
        </w:rPr>
      </w:pPr>
      <w:r w:rsidRPr="00027D58">
        <w:rPr>
          <w:rFonts w:eastAsia="Aptos" w:cs="Arial"/>
          <w:lang w:val="en-US"/>
        </w:rPr>
        <w:t>To offer access to lateral flow tests for patients who have a health condition that</w:t>
      </w:r>
    </w:p>
    <w:p w14:paraId="79D432CF" w14:textId="77777777" w:rsidR="00027D58" w:rsidRPr="00027D58" w:rsidRDefault="00027D58" w:rsidP="00027D58">
      <w:pPr>
        <w:rPr>
          <w:rFonts w:eastAsia="Aptos" w:cs="Arial"/>
          <w:lang w:val="en-US"/>
        </w:rPr>
      </w:pPr>
      <w:r w:rsidRPr="00027D58">
        <w:rPr>
          <w:rFonts w:eastAsia="Aptos" w:cs="Arial"/>
          <w:lang w:val="en-US"/>
        </w:rPr>
        <w:t>makes them eligible for COVID-19 treatment, to enable testing at home for COVID-19, following symptoms of infection. A positive lateral flow test result will be used to inform a clinical assessment to determine whether the patient is suitable for and will benefit from NICE recommended COVID-19 treatments.</w:t>
      </w:r>
      <w:r w:rsidRPr="00027D58">
        <w:rPr>
          <w:rFonts w:eastAsia="Aptos" w:cs="Arial"/>
          <w:lang w:val="en-US"/>
        </w:rPr>
        <w:br w:type="page"/>
      </w:r>
    </w:p>
    <w:p w14:paraId="5CAE2EF3" w14:textId="77777777" w:rsidR="00027D58" w:rsidRPr="00027D58" w:rsidRDefault="00027D58" w:rsidP="00027D58">
      <w:pPr>
        <w:rPr>
          <w:rFonts w:eastAsia="Aptos" w:cs="Arial"/>
          <w:lang w:val="en-US"/>
        </w:rPr>
      </w:pPr>
    </w:p>
    <w:p w14:paraId="214C14F1" w14:textId="77777777" w:rsidR="00027D58" w:rsidRPr="00D0306F" w:rsidRDefault="00027D58" w:rsidP="00027D58">
      <w:pPr>
        <w:pStyle w:val="Heading1"/>
        <w:rPr>
          <w:rFonts w:eastAsia="Aptos"/>
          <w:sz w:val="28"/>
          <w:szCs w:val="28"/>
          <w:lang w:val="en-US"/>
        </w:rPr>
      </w:pPr>
      <w:bookmarkStart w:id="49" w:name="_Toc235185391"/>
      <w:r w:rsidRPr="00D0306F">
        <w:rPr>
          <w:rFonts w:eastAsia="Aptos"/>
          <w:sz w:val="28"/>
          <w:szCs w:val="28"/>
          <w:lang w:val="en-US"/>
        </w:rPr>
        <w:t>Appendix D – additional clinical services</w:t>
      </w:r>
      <w:bookmarkEnd w:id="49"/>
    </w:p>
    <w:p w14:paraId="7ECC3445" w14:textId="77777777" w:rsidR="00027D58" w:rsidRPr="00027D58" w:rsidRDefault="00027D58" w:rsidP="00027D58">
      <w:pPr>
        <w:rPr>
          <w:rFonts w:eastAsia="Aptos" w:cs="Arial"/>
          <w:b/>
          <w:bCs/>
          <w:lang w:val="en-US"/>
        </w:rPr>
      </w:pPr>
    </w:p>
    <w:p w14:paraId="7AB0ABEA" w14:textId="77777777" w:rsidR="00F65716" w:rsidRPr="00D0306F" w:rsidRDefault="00F65716" w:rsidP="00F65716">
      <w:pPr>
        <w:rPr>
          <w:rFonts w:eastAsia="Aptos" w:cs="Arial"/>
          <w:lang w:val="en-US"/>
        </w:rPr>
      </w:pPr>
      <w:r w:rsidRPr="00D0306F">
        <w:rPr>
          <w:rFonts w:eastAsia="Aptos" w:cs="Arial"/>
          <w:lang w:val="en-US"/>
        </w:rPr>
        <w:t>1. An anticoagulant monitoring service, the underlying purpose of which is for the pharmacy contractor to test the patient’s blood clotting time, review the results and adjust (or recommend adjustment to) the anticoagulant dose accordingly.</w:t>
      </w:r>
    </w:p>
    <w:p w14:paraId="66C02053" w14:textId="77777777" w:rsidR="00F65716" w:rsidRPr="00D0306F" w:rsidRDefault="00F65716" w:rsidP="00F65716">
      <w:pPr>
        <w:rPr>
          <w:rFonts w:eastAsia="Aptos" w:cs="Arial"/>
          <w:lang w:val="en-US"/>
        </w:rPr>
      </w:pPr>
    </w:p>
    <w:p w14:paraId="73A4F4C7" w14:textId="77777777" w:rsidR="00F65716" w:rsidRPr="00D0306F" w:rsidRDefault="00F65716" w:rsidP="00F65716">
      <w:pPr>
        <w:rPr>
          <w:rFonts w:eastAsia="Aptos" w:cs="Arial"/>
          <w:lang w:val="en-US"/>
        </w:rPr>
      </w:pPr>
      <w:r w:rsidRPr="00D0306F">
        <w:rPr>
          <w:rFonts w:eastAsia="Aptos" w:cs="Arial"/>
          <w:lang w:val="en-US"/>
        </w:rPr>
        <w:t>2. A care home service, the underlying purpose of which is for the pharmacy contractor to provide advice and support to residents and staff in a care home relating to—</w:t>
      </w:r>
    </w:p>
    <w:p w14:paraId="1A4F7453" w14:textId="77777777" w:rsidR="00F65716" w:rsidRPr="00D0306F" w:rsidRDefault="00F65716" w:rsidP="00F65716">
      <w:pPr>
        <w:rPr>
          <w:rFonts w:eastAsia="Aptos" w:cs="Arial"/>
          <w:lang w:val="en-US"/>
        </w:rPr>
      </w:pPr>
    </w:p>
    <w:p w14:paraId="752E5BB5" w14:textId="77777777" w:rsidR="00F65716" w:rsidRPr="00D0306F" w:rsidRDefault="00F65716" w:rsidP="00B76905">
      <w:pPr>
        <w:numPr>
          <w:ilvl w:val="0"/>
          <w:numId w:val="238"/>
        </w:numPr>
        <w:contextualSpacing/>
        <w:rPr>
          <w:rFonts w:eastAsia="Aptos" w:cs="Arial"/>
          <w:lang w:val="en-US"/>
        </w:rPr>
      </w:pPr>
      <w:r w:rsidRPr="00D0306F">
        <w:rPr>
          <w:rFonts w:eastAsia="Aptos" w:cs="Arial"/>
          <w:lang w:val="en-US"/>
        </w:rPr>
        <w:t>The proper and effective ordering of drugs and appliances for the benefit of residents in the care home</w:t>
      </w:r>
    </w:p>
    <w:p w14:paraId="0E811A81" w14:textId="77777777" w:rsidR="00F65716" w:rsidRPr="00D0306F" w:rsidRDefault="00F65716" w:rsidP="00B76905">
      <w:pPr>
        <w:numPr>
          <w:ilvl w:val="0"/>
          <w:numId w:val="238"/>
        </w:numPr>
        <w:contextualSpacing/>
        <w:rPr>
          <w:rFonts w:eastAsia="Aptos" w:cs="Arial"/>
          <w:lang w:val="en-US"/>
        </w:rPr>
      </w:pPr>
      <w:r w:rsidRPr="00D0306F">
        <w:rPr>
          <w:rFonts w:eastAsia="Aptos" w:cs="Arial"/>
          <w:lang w:val="en-US"/>
        </w:rPr>
        <w:t>The clinical and cost effective use of drugs</w:t>
      </w:r>
    </w:p>
    <w:p w14:paraId="09E28223" w14:textId="77777777" w:rsidR="00F65716" w:rsidRPr="00D0306F" w:rsidRDefault="00F65716" w:rsidP="00B76905">
      <w:pPr>
        <w:numPr>
          <w:ilvl w:val="0"/>
          <w:numId w:val="238"/>
        </w:numPr>
        <w:contextualSpacing/>
        <w:rPr>
          <w:rFonts w:eastAsia="Aptos" w:cs="Arial"/>
          <w:lang w:val="en-US"/>
        </w:rPr>
      </w:pPr>
      <w:r w:rsidRPr="00D0306F">
        <w:rPr>
          <w:rFonts w:eastAsia="Aptos" w:cs="Arial"/>
          <w:lang w:val="en-US"/>
        </w:rPr>
        <w:t>The proper and effective administration of drugs and appliances in the care home</w:t>
      </w:r>
    </w:p>
    <w:p w14:paraId="51A71FD4" w14:textId="77777777" w:rsidR="00F65716" w:rsidRPr="00D0306F" w:rsidRDefault="00F65716" w:rsidP="00B76905">
      <w:pPr>
        <w:numPr>
          <w:ilvl w:val="0"/>
          <w:numId w:val="238"/>
        </w:numPr>
        <w:contextualSpacing/>
        <w:rPr>
          <w:rFonts w:eastAsia="Aptos" w:cs="Arial"/>
          <w:lang w:val="en-US"/>
        </w:rPr>
      </w:pPr>
      <w:r w:rsidRPr="00D0306F">
        <w:rPr>
          <w:rFonts w:eastAsia="Aptos" w:cs="Arial"/>
          <w:lang w:val="en-US"/>
        </w:rPr>
        <w:t>The safe and appropriate storage and handling of drugs and appliances, and</w:t>
      </w:r>
    </w:p>
    <w:p w14:paraId="137CDAD0" w14:textId="77777777" w:rsidR="00F65716" w:rsidRPr="00D0306F" w:rsidRDefault="00F65716" w:rsidP="00B76905">
      <w:pPr>
        <w:numPr>
          <w:ilvl w:val="0"/>
          <w:numId w:val="238"/>
        </w:numPr>
        <w:contextualSpacing/>
        <w:rPr>
          <w:rFonts w:eastAsia="Aptos" w:cs="Arial"/>
          <w:lang w:val="en-US"/>
        </w:rPr>
      </w:pPr>
      <w:r w:rsidRPr="00D0306F">
        <w:rPr>
          <w:rFonts w:eastAsia="Aptos" w:cs="Arial"/>
          <w:lang w:val="en-US"/>
        </w:rPr>
        <w:t>The recording of drugs and appliances ordered, handled, administered, stored or disposed of.</w:t>
      </w:r>
    </w:p>
    <w:p w14:paraId="37E32C63" w14:textId="77777777" w:rsidR="00F65716" w:rsidRPr="00D0306F" w:rsidRDefault="00F65716" w:rsidP="00F65716">
      <w:pPr>
        <w:rPr>
          <w:rFonts w:eastAsia="Aptos" w:cs="Arial"/>
          <w:lang w:val="en-US"/>
        </w:rPr>
      </w:pPr>
    </w:p>
    <w:p w14:paraId="212AAF1A" w14:textId="77777777" w:rsidR="00F65716" w:rsidRPr="00D0306F" w:rsidRDefault="00F65716" w:rsidP="00F65716">
      <w:pPr>
        <w:rPr>
          <w:rFonts w:eastAsia="Aptos" w:cs="Arial"/>
          <w:lang w:val="en-US"/>
        </w:rPr>
      </w:pPr>
      <w:r w:rsidRPr="00D0306F">
        <w:rPr>
          <w:rFonts w:eastAsia="Aptos" w:cs="Arial"/>
          <w:lang w:val="en-US"/>
        </w:rPr>
        <w:t>3. A disease specific management service, the underlying purpose of which is for the pharmacy contractor to advise on, support and monitor the treatment of patients with specified conditions, and where appropriate to refer the patient to another health care professional.</w:t>
      </w:r>
    </w:p>
    <w:p w14:paraId="7D8C49D0" w14:textId="77777777" w:rsidR="00F65716" w:rsidRPr="00D0306F" w:rsidRDefault="00F65716" w:rsidP="00F65716">
      <w:pPr>
        <w:rPr>
          <w:rFonts w:eastAsia="Aptos" w:cs="Arial"/>
          <w:lang w:val="en-US"/>
        </w:rPr>
      </w:pPr>
    </w:p>
    <w:p w14:paraId="09F8BACF" w14:textId="77777777" w:rsidR="00F65716" w:rsidRPr="00D0306F" w:rsidRDefault="00F65716" w:rsidP="00F65716">
      <w:pPr>
        <w:rPr>
          <w:rFonts w:eastAsia="Aptos" w:cs="Arial"/>
          <w:lang w:val="en-US"/>
        </w:rPr>
      </w:pPr>
      <w:r w:rsidRPr="00D0306F">
        <w:rPr>
          <w:rFonts w:eastAsia="Aptos" w:cs="Arial"/>
          <w:lang w:val="en-US"/>
        </w:rPr>
        <w:t>4. An emergency pandemic treatment and prophylaxis supply service-</w:t>
      </w:r>
    </w:p>
    <w:p w14:paraId="26234F9F" w14:textId="77777777" w:rsidR="00F65716" w:rsidRPr="00D0306F" w:rsidRDefault="00F65716" w:rsidP="00F65716">
      <w:pPr>
        <w:ind w:left="720"/>
        <w:contextualSpacing/>
        <w:rPr>
          <w:rFonts w:eastAsia="Aptos" w:cs="Arial"/>
          <w:lang w:val="en-US"/>
        </w:rPr>
      </w:pPr>
    </w:p>
    <w:p w14:paraId="33B257FC" w14:textId="77777777" w:rsidR="00F65716" w:rsidRPr="00D0306F" w:rsidRDefault="00F65716" w:rsidP="00B76905">
      <w:pPr>
        <w:numPr>
          <w:ilvl w:val="0"/>
          <w:numId w:val="239"/>
        </w:numPr>
        <w:contextualSpacing/>
        <w:rPr>
          <w:rFonts w:eastAsia="Aptos" w:cs="Arial"/>
          <w:lang w:val="en-US"/>
        </w:rPr>
      </w:pPr>
      <w:r w:rsidRPr="00D0306F">
        <w:rPr>
          <w:rFonts w:eastAsia="Aptos" w:cs="Arial"/>
          <w:lang w:val="en-US"/>
        </w:rPr>
        <w:t>The underlying purpose of which is for the pharmacy contractor to administer a vaccination to a patient under a patient group direction or protocol authorised by the Welsh Ministers in accordance with regulation 247A of the Human Medicines Regulations 2012 (Protocols relating to coronavirus and influenza vaccinations and immunisations), and</w:t>
      </w:r>
    </w:p>
    <w:p w14:paraId="5BE6347D" w14:textId="77777777" w:rsidR="00F65716" w:rsidRPr="00D0306F" w:rsidRDefault="00F65716" w:rsidP="00B76905">
      <w:pPr>
        <w:numPr>
          <w:ilvl w:val="0"/>
          <w:numId w:val="239"/>
        </w:numPr>
        <w:contextualSpacing/>
        <w:rPr>
          <w:rFonts w:eastAsia="Aptos" w:cs="Arial"/>
          <w:lang w:val="en-US"/>
        </w:rPr>
      </w:pPr>
      <w:r w:rsidRPr="00D0306F">
        <w:rPr>
          <w:rFonts w:eastAsia="Aptos" w:cs="Arial"/>
          <w:lang w:val="en-US"/>
        </w:rPr>
        <w:t>If a pharmacy contractor arranges to provide this service, it must provide it for the duration of the arrangement it has agreed with the local health board.</w:t>
      </w:r>
    </w:p>
    <w:p w14:paraId="2978865D" w14:textId="77777777" w:rsidR="00F65716" w:rsidRPr="00D0306F" w:rsidRDefault="00F65716" w:rsidP="00F65716">
      <w:pPr>
        <w:rPr>
          <w:rFonts w:eastAsia="Aptos" w:cs="Arial"/>
          <w:lang w:val="en-US"/>
        </w:rPr>
      </w:pPr>
    </w:p>
    <w:p w14:paraId="0FC7674B" w14:textId="77777777" w:rsidR="00F65716" w:rsidRPr="00D0306F" w:rsidRDefault="00F65716" w:rsidP="00F65716">
      <w:pPr>
        <w:rPr>
          <w:rFonts w:eastAsia="Aptos" w:cs="Arial"/>
          <w:lang w:val="en-US"/>
        </w:rPr>
      </w:pPr>
      <w:r w:rsidRPr="00D0306F">
        <w:rPr>
          <w:rFonts w:eastAsia="Aptos" w:cs="Arial"/>
          <w:lang w:val="en-US"/>
        </w:rPr>
        <w:t>5. An emergency pandemic vaccination service-</w:t>
      </w:r>
    </w:p>
    <w:p w14:paraId="6FD262FD" w14:textId="77777777" w:rsidR="00F65716" w:rsidRPr="00D0306F" w:rsidRDefault="00F65716" w:rsidP="00F65716">
      <w:pPr>
        <w:rPr>
          <w:rFonts w:eastAsia="Aptos" w:cs="Arial"/>
          <w:lang w:val="en-US"/>
        </w:rPr>
      </w:pPr>
    </w:p>
    <w:p w14:paraId="752C6D55" w14:textId="77777777" w:rsidR="00F65716" w:rsidRPr="00D0306F" w:rsidRDefault="00F65716" w:rsidP="00B76905">
      <w:pPr>
        <w:numPr>
          <w:ilvl w:val="0"/>
          <w:numId w:val="240"/>
        </w:numPr>
        <w:contextualSpacing/>
        <w:rPr>
          <w:rFonts w:eastAsia="Aptos" w:cs="Arial"/>
          <w:lang w:val="en-US"/>
        </w:rPr>
      </w:pPr>
      <w:r w:rsidRPr="00D0306F">
        <w:rPr>
          <w:rFonts w:eastAsia="Aptos" w:cs="Arial"/>
          <w:lang w:val="en-US"/>
        </w:rPr>
        <w:t>The underlying purpose of which is for the pharmacy contractor to administer a vaccination to a patient under a patient group direction or protocol authorised by the Welsh Ministers in accordance with regulation 247A of the Human Medicines Regulations 2012 (Protocols relating to coronavirus and influenza vaccinations and immunisations), and</w:t>
      </w:r>
    </w:p>
    <w:p w14:paraId="446B4599" w14:textId="77777777" w:rsidR="00F65716" w:rsidRPr="00D0306F" w:rsidRDefault="00F65716" w:rsidP="00B76905">
      <w:pPr>
        <w:numPr>
          <w:ilvl w:val="0"/>
          <w:numId w:val="239"/>
        </w:numPr>
        <w:contextualSpacing/>
        <w:rPr>
          <w:rFonts w:eastAsia="Aptos" w:cs="Arial"/>
          <w:lang w:val="en-US"/>
        </w:rPr>
      </w:pPr>
      <w:r w:rsidRPr="00D0306F">
        <w:rPr>
          <w:rFonts w:eastAsia="Aptos" w:cs="Arial"/>
          <w:lang w:val="en-US"/>
        </w:rPr>
        <w:t>If a pharmacy contractor arranges to provide this service, it must provide it for the duration of the arrangement it has agreed with the local health board.</w:t>
      </w:r>
    </w:p>
    <w:p w14:paraId="6259D1D3" w14:textId="77777777" w:rsidR="00F65716" w:rsidRPr="00D0306F" w:rsidRDefault="00F65716" w:rsidP="00F65716">
      <w:pPr>
        <w:ind w:left="720"/>
        <w:contextualSpacing/>
        <w:rPr>
          <w:rFonts w:eastAsia="Aptos" w:cs="Arial"/>
          <w:lang w:val="en-US"/>
        </w:rPr>
      </w:pPr>
    </w:p>
    <w:p w14:paraId="2AD3844A" w14:textId="77777777" w:rsidR="00F65716" w:rsidRPr="00D0306F" w:rsidRDefault="00F65716" w:rsidP="00F65716">
      <w:pPr>
        <w:rPr>
          <w:rFonts w:eastAsia="Aptos" w:cs="Arial"/>
          <w:lang w:val="en-US"/>
        </w:rPr>
      </w:pPr>
      <w:r w:rsidRPr="00D0306F">
        <w:rPr>
          <w:rFonts w:eastAsia="Aptos" w:cs="Arial"/>
          <w:lang w:val="en-US"/>
        </w:rPr>
        <w:t>6. A gluten free food supply service, the underlying purpose of which is for the pharmacy contractor to supply gluten free foods to patients.</w:t>
      </w:r>
    </w:p>
    <w:p w14:paraId="0F86CF4C" w14:textId="77777777" w:rsidR="00F65716" w:rsidRPr="00D0306F" w:rsidRDefault="00F65716" w:rsidP="00F65716">
      <w:pPr>
        <w:rPr>
          <w:rFonts w:eastAsia="Aptos" w:cs="Arial"/>
          <w:lang w:val="en-US"/>
        </w:rPr>
      </w:pPr>
    </w:p>
    <w:p w14:paraId="41CB43DE" w14:textId="77777777" w:rsidR="00F65716" w:rsidRPr="00D0306F" w:rsidRDefault="00F65716" w:rsidP="00F65716">
      <w:pPr>
        <w:rPr>
          <w:rFonts w:eastAsia="Aptos" w:cs="Arial"/>
          <w:lang w:val="en-US"/>
        </w:rPr>
      </w:pPr>
      <w:r w:rsidRPr="00D0306F">
        <w:rPr>
          <w:rFonts w:eastAsia="Aptos" w:cs="Arial"/>
          <w:lang w:val="en-US"/>
        </w:rPr>
        <w:lastRenderedPageBreak/>
        <w:t>7. A home delivery service, the underlying purpose of which is for the pharmacy contractor to deliver to patients’ homes-</w:t>
      </w:r>
    </w:p>
    <w:p w14:paraId="2DF76A66" w14:textId="77777777" w:rsidR="00F65716" w:rsidRPr="00D0306F" w:rsidRDefault="00F65716" w:rsidP="00F65716">
      <w:pPr>
        <w:ind w:left="720"/>
        <w:contextualSpacing/>
        <w:rPr>
          <w:rFonts w:eastAsia="Aptos" w:cs="Arial"/>
          <w:lang w:val="en-US"/>
        </w:rPr>
      </w:pPr>
    </w:p>
    <w:p w14:paraId="07B9A13A" w14:textId="77777777" w:rsidR="00F65716" w:rsidRPr="00D0306F" w:rsidRDefault="00F65716" w:rsidP="00B76905">
      <w:pPr>
        <w:numPr>
          <w:ilvl w:val="0"/>
          <w:numId w:val="241"/>
        </w:numPr>
        <w:contextualSpacing/>
        <w:rPr>
          <w:rFonts w:eastAsia="Aptos" w:cs="Arial"/>
          <w:lang w:val="en-US"/>
        </w:rPr>
      </w:pPr>
      <w:r w:rsidRPr="00D0306F">
        <w:rPr>
          <w:rFonts w:eastAsia="Aptos" w:cs="Arial"/>
          <w:lang w:val="en-US"/>
        </w:rPr>
        <w:t>Drugs, and</w:t>
      </w:r>
    </w:p>
    <w:p w14:paraId="776ADD32" w14:textId="77777777" w:rsidR="00F65716" w:rsidRPr="00D0306F" w:rsidRDefault="00F65716" w:rsidP="00B76905">
      <w:pPr>
        <w:numPr>
          <w:ilvl w:val="0"/>
          <w:numId w:val="241"/>
        </w:numPr>
        <w:contextualSpacing/>
        <w:rPr>
          <w:rFonts w:eastAsia="Aptos" w:cs="Arial"/>
          <w:lang w:val="en-US"/>
        </w:rPr>
      </w:pPr>
      <w:r w:rsidRPr="00D0306F">
        <w:rPr>
          <w:rFonts w:eastAsia="Aptos" w:cs="Arial"/>
          <w:lang w:val="en-US"/>
        </w:rPr>
        <w:t>Appliances, other than specified appliances within the meaning of regulation 2(1) of the NHS (Pharmaceutical Services) (Wales) Regulations 2020.</w:t>
      </w:r>
    </w:p>
    <w:p w14:paraId="59B4D108" w14:textId="77777777" w:rsidR="00F65716" w:rsidRPr="00D0306F" w:rsidRDefault="00F65716" w:rsidP="00F65716">
      <w:pPr>
        <w:rPr>
          <w:rFonts w:eastAsia="Aptos" w:cs="Arial"/>
          <w:lang w:val="en-US"/>
        </w:rPr>
      </w:pPr>
    </w:p>
    <w:p w14:paraId="08C40224" w14:textId="77777777" w:rsidR="00F65716" w:rsidRPr="00D0306F" w:rsidRDefault="00F65716" w:rsidP="00F65716">
      <w:pPr>
        <w:rPr>
          <w:rFonts w:eastAsia="Aptos" w:cs="Arial"/>
          <w:lang w:val="en-US"/>
        </w:rPr>
      </w:pPr>
      <w:r w:rsidRPr="00D0306F">
        <w:rPr>
          <w:rFonts w:eastAsia="Aptos" w:cs="Arial"/>
          <w:lang w:val="en-US"/>
        </w:rPr>
        <w:t>8. A language access service, the underlying purpose of which is for the pharmacy contractor to provide, either orally or in writing, advice and support to patients in a language understood by them relating to—</w:t>
      </w:r>
    </w:p>
    <w:p w14:paraId="6292D793" w14:textId="77777777" w:rsidR="00F65716" w:rsidRPr="00D0306F" w:rsidRDefault="00F65716" w:rsidP="00F65716">
      <w:pPr>
        <w:rPr>
          <w:rFonts w:eastAsia="Aptos" w:cs="Arial"/>
          <w:lang w:val="en-US"/>
        </w:rPr>
      </w:pPr>
    </w:p>
    <w:p w14:paraId="3664FA98" w14:textId="77777777" w:rsidR="00F65716" w:rsidRPr="00D0306F" w:rsidRDefault="00F65716" w:rsidP="00B76905">
      <w:pPr>
        <w:numPr>
          <w:ilvl w:val="0"/>
          <w:numId w:val="242"/>
        </w:numPr>
        <w:contextualSpacing/>
        <w:rPr>
          <w:rFonts w:eastAsia="Aptos" w:cs="Arial"/>
          <w:lang w:val="en-US"/>
        </w:rPr>
      </w:pPr>
      <w:r w:rsidRPr="00D0306F">
        <w:rPr>
          <w:rFonts w:eastAsia="Aptos" w:cs="Arial"/>
          <w:lang w:val="en-US"/>
        </w:rPr>
        <w:t>Drugs which they are using</w:t>
      </w:r>
    </w:p>
    <w:p w14:paraId="5AEE6B0A" w14:textId="77777777" w:rsidR="00F65716" w:rsidRPr="00D0306F" w:rsidRDefault="00F65716" w:rsidP="00B76905">
      <w:pPr>
        <w:numPr>
          <w:ilvl w:val="0"/>
          <w:numId w:val="242"/>
        </w:numPr>
        <w:contextualSpacing/>
        <w:rPr>
          <w:rFonts w:eastAsia="Aptos" w:cs="Arial"/>
          <w:lang w:val="en-US"/>
        </w:rPr>
      </w:pPr>
      <w:r w:rsidRPr="00D0306F">
        <w:rPr>
          <w:rFonts w:eastAsia="Aptos" w:cs="Arial"/>
          <w:lang w:val="en-US"/>
        </w:rPr>
        <w:t xml:space="preserve">Their health, </w:t>
      </w:r>
    </w:p>
    <w:p w14:paraId="078D45F6" w14:textId="77777777" w:rsidR="00F65716" w:rsidRPr="00D0306F" w:rsidRDefault="00F65716" w:rsidP="00B76905">
      <w:pPr>
        <w:numPr>
          <w:ilvl w:val="0"/>
          <w:numId w:val="242"/>
        </w:numPr>
        <w:contextualSpacing/>
        <w:rPr>
          <w:rFonts w:eastAsia="Aptos" w:cs="Arial"/>
          <w:lang w:val="en-US"/>
        </w:rPr>
      </w:pPr>
      <w:r w:rsidRPr="00D0306F">
        <w:rPr>
          <w:rFonts w:eastAsia="Aptos" w:cs="Arial"/>
          <w:lang w:val="en-US"/>
        </w:rPr>
        <w:t>General health matters relevant to them, and</w:t>
      </w:r>
    </w:p>
    <w:p w14:paraId="51C1B459" w14:textId="77777777" w:rsidR="00F65716" w:rsidRPr="00D0306F" w:rsidRDefault="00F65716" w:rsidP="00B76905">
      <w:pPr>
        <w:numPr>
          <w:ilvl w:val="0"/>
          <w:numId w:val="242"/>
        </w:numPr>
        <w:contextualSpacing/>
        <w:rPr>
          <w:rFonts w:eastAsia="Aptos" w:cs="Arial"/>
          <w:lang w:val="en-US"/>
        </w:rPr>
      </w:pPr>
      <w:r w:rsidRPr="00D0306F">
        <w:rPr>
          <w:rFonts w:eastAsia="Aptos" w:cs="Arial"/>
          <w:lang w:val="en-US"/>
        </w:rPr>
        <w:t>where appropriate referral to another health care professional.</w:t>
      </w:r>
    </w:p>
    <w:p w14:paraId="0F30AD33" w14:textId="77777777" w:rsidR="00F65716" w:rsidRPr="00D0306F" w:rsidRDefault="00F65716" w:rsidP="00F65716">
      <w:pPr>
        <w:rPr>
          <w:rFonts w:eastAsia="Aptos" w:cs="Arial"/>
          <w:lang w:val="en-US"/>
        </w:rPr>
      </w:pPr>
    </w:p>
    <w:p w14:paraId="59714276" w14:textId="77777777" w:rsidR="00F65716" w:rsidRPr="00D0306F" w:rsidRDefault="00F65716" w:rsidP="00F65716">
      <w:pPr>
        <w:rPr>
          <w:rFonts w:eastAsia="Aptos" w:cs="Arial"/>
          <w:lang w:val="en-US"/>
        </w:rPr>
      </w:pPr>
      <w:r w:rsidRPr="00D0306F">
        <w:rPr>
          <w:rFonts w:eastAsia="Aptos" w:cs="Arial"/>
          <w:lang w:val="en-US"/>
        </w:rPr>
        <w:t>9. A medication review service, the underlying purpose of which is for the pharmacy contractor to —</w:t>
      </w:r>
    </w:p>
    <w:p w14:paraId="690F86E6" w14:textId="77777777" w:rsidR="00F65716" w:rsidRPr="00D0306F" w:rsidRDefault="00F65716" w:rsidP="00F65716">
      <w:pPr>
        <w:rPr>
          <w:rFonts w:eastAsia="Aptos" w:cs="Arial"/>
          <w:lang w:val="en-US"/>
        </w:rPr>
      </w:pPr>
    </w:p>
    <w:p w14:paraId="13B72430" w14:textId="77777777" w:rsidR="00F65716" w:rsidRPr="00D0306F" w:rsidRDefault="00F65716" w:rsidP="00B76905">
      <w:pPr>
        <w:numPr>
          <w:ilvl w:val="0"/>
          <w:numId w:val="243"/>
        </w:numPr>
        <w:contextualSpacing/>
        <w:rPr>
          <w:rFonts w:eastAsia="Aptos" w:cs="Arial"/>
          <w:lang w:val="en-US"/>
        </w:rPr>
      </w:pPr>
      <w:r w:rsidRPr="00D0306F">
        <w:rPr>
          <w:rFonts w:eastAsia="Aptos" w:cs="Arial"/>
          <w:lang w:val="en-US"/>
        </w:rPr>
        <w:t>Conduct a review of the drugs used by a patient on the basis of information and test results included in the patient’s patient care record, with the objective of considering the continued appropriateness and effectiveness of the drugs for the patient,</w:t>
      </w:r>
    </w:p>
    <w:p w14:paraId="73F3F7DD" w14:textId="77777777" w:rsidR="00F65716" w:rsidRPr="00D0306F" w:rsidRDefault="00F65716" w:rsidP="00B76905">
      <w:pPr>
        <w:numPr>
          <w:ilvl w:val="0"/>
          <w:numId w:val="243"/>
        </w:numPr>
        <w:contextualSpacing/>
        <w:rPr>
          <w:rFonts w:eastAsia="Aptos" w:cs="Arial"/>
          <w:lang w:val="en-US"/>
        </w:rPr>
      </w:pPr>
      <w:r w:rsidRPr="00D0306F">
        <w:rPr>
          <w:rFonts w:eastAsia="Aptos" w:cs="Arial"/>
          <w:lang w:val="en-US"/>
        </w:rPr>
        <w:t>Advise and support the patient regarding the use of their drugs, including encouraging the active participation of the patient in decision making relating to their use of drugs, and</w:t>
      </w:r>
    </w:p>
    <w:p w14:paraId="7178BC7D" w14:textId="77777777" w:rsidR="00F65716" w:rsidRPr="00D0306F" w:rsidRDefault="00F65716" w:rsidP="00B76905">
      <w:pPr>
        <w:numPr>
          <w:ilvl w:val="0"/>
          <w:numId w:val="243"/>
        </w:numPr>
        <w:contextualSpacing/>
        <w:rPr>
          <w:rFonts w:eastAsia="Aptos" w:cs="Arial"/>
          <w:lang w:val="en-US"/>
        </w:rPr>
      </w:pPr>
      <w:r w:rsidRPr="00D0306F">
        <w:rPr>
          <w:rFonts w:eastAsia="Aptos" w:cs="Arial"/>
          <w:lang w:val="en-US"/>
        </w:rPr>
        <w:t>Where appropriate, to refer the patient to another health care professional.</w:t>
      </w:r>
    </w:p>
    <w:p w14:paraId="3FE3F422" w14:textId="77777777" w:rsidR="00F65716" w:rsidRPr="00D0306F" w:rsidRDefault="00F65716" w:rsidP="00F65716">
      <w:pPr>
        <w:rPr>
          <w:rFonts w:eastAsia="Aptos" w:cs="Arial"/>
          <w:lang w:val="en-US"/>
        </w:rPr>
      </w:pPr>
    </w:p>
    <w:p w14:paraId="27198569" w14:textId="77777777" w:rsidR="00F65716" w:rsidRPr="00D0306F" w:rsidRDefault="00F65716" w:rsidP="00F65716">
      <w:pPr>
        <w:rPr>
          <w:rFonts w:eastAsia="Aptos" w:cs="Arial"/>
          <w:lang w:val="en-US"/>
        </w:rPr>
      </w:pPr>
      <w:r w:rsidRPr="00D0306F">
        <w:rPr>
          <w:rFonts w:eastAsia="Aptos" w:cs="Arial"/>
          <w:lang w:val="en-US"/>
        </w:rPr>
        <w:t>10. A medicines assessment and compliance support service, the underlying purpose of which is for the pharmacy contractor to —</w:t>
      </w:r>
    </w:p>
    <w:p w14:paraId="191FC472" w14:textId="77777777" w:rsidR="00F65716" w:rsidRPr="00D0306F" w:rsidRDefault="00F65716" w:rsidP="00F65716">
      <w:pPr>
        <w:rPr>
          <w:rFonts w:eastAsia="Aptos" w:cs="Arial"/>
          <w:lang w:val="en-US"/>
        </w:rPr>
      </w:pPr>
    </w:p>
    <w:p w14:paraId="72BFFED6" w14:textId="77777777" w:rsidR="00F65716" w:rsidRPr="00D0306F" w:rsidRDefault="00F65716" w:rsidP="00B76905">
      <w:pPr>
        <w:numPr>
          <w:ilvl w:val="0"/>
          <w:numId w:val="244"/>
        </w:numPr>
        <w:contextualSpacing/>
        <w:rPr>
          <w:rFonts w:eastAsia="Aptos" w:cs="Arial"/>
          <w:lang w:val="en-US"/>
        </w:rPr>
      </w:pPr>
      <w:r w:rsidRPr="00D0306F">
        <w:rPr>
          <w:rFonts w:eastAsia="Aptos" w:cs="Arial"/>
          <w:lang w:val="en-US"/>
        </w:rPr>
        <w:t>Assess the knowledge of, compliance with and use of, drugs by vulnerable patients and patients with additional learning needs, and</w:t>
      </w:r>
    </w:p>
    <w:p w14:paraId="4AA04523" w14:textId="77777777" w:rsidR="00F65716" w:rsidRPr="00D0306F" w:rsidRDefault="00F65716" w:rsidP="00B76905">
      <w:pPr>
        <w:numPr>
          <w:ilvl w:val="0"/>
          <w:numId w:val="244"/>
        </w:numPr>
        <w:contextualSpacing/>
        <w:rPr>
          <w:rFonts w:eastAsia="Aptos" w:cs="Arial"/>
          <w:lang w:val="en-US"/>
        </w:rPr>
      </w:pPr>
      <w:r w:rsidRPr="00D0306F">
        <w:rPr>
          <w:rFonts w:eastAsia="Aptos" w:cs="Arial"/>
          <w:lang w:val="en-US"/>
        </w:rPr>
        <w:t>Offer advice, support and assistance to vulnerable patients and patients with additional learning needs regarding the use of drugs with a view to improving their knowledge of, compliance with and use of, such drugs.</w:t>
      </w:r>
    </w:p>
    <w:p w14:paraId="0189310D" w14:textId="77777777" w:rsidR="00F65716" w:rsidRPr="00D0306F" w:rsidRDefault="00F65716" w:rsidP="00F65716">
      <w:pPr>
        <w:rPr>
          <w:rFonts w:eastAsia="Aptos" w:cs="Arial"/>
          <w:lang w:val="en-US"/>
        </w:rPr>
      </w:pPr>
    </w:p>
    <w:p w14:paraId="072B7154" w14:textId="77777777" w:rsidR="00F65716" w:rsidRPr="00D0306F" w:rsidRDefault="00F65716" w:rsidP="00F65716">
      <w:pPr>
        <w:rPr>
          <w:rFonts w:eastAsia="Aptos" w:cs="Arial"/>
          <w:lang w:val="en-US"/>
        </w:rPr>
      </w:pPr>
      <w:r w:rsidRPr="00D0306F">
        <w:rPr>
          <w:rFonts w:eastAsia="Aptos" w:cs="Arial"/>
          <w:lang w:val="en-US"/>
        </w:rPr>
        <w:t>11. A needle and syringe supply service, the underlying purpose of which is for the pharmacy contractor to —</w:t>
      </w:r>
    </w:p>
    <w:p w14:paraId="28A7606F" w14:textId="77777777" w:rsidR="00F65716" w:rsidRPr="00D0306F" w:rsidRDefault="00F65716" w:rsidP="00F65716">
      <w:pPr>
        <w:rPr>
          <w:rFonts w:eastAsia="Aptos" w:cs="Arial"/>
          <w:lang w:val="en-US"/>
        </w:rPr>
      </w:pPr>
    </w:p>
    <w:p w14:paraId="382B5B27" w14:textId="77777777" w:rsidR="00F65716" w:rsidRPr="00D0306F" w:rsidRDefault="00F65716" w:rsidP="00B76905">
      <w:pPr>
        <w:numPr>
          <w:ilvl w:val="0"/>
          <w:numId w:val="245"/>
        </w:numPr>
        <w:contextualSpacing/>
        <w:rPr>
          <w:rFonts w:eastAsia="Aptos" w:cs="Arial"/>
          <w:lang w:val="en-US"/>
        </w:rPr>
      </w:pPr>
      <w:r w:rsidRPr="00D0306F">
        <w:rPr>
          <w:rFonts w:eastAsia="Aptos" w:cs="Arial"/>
          <w:lang w:val="en-US"/>
        </w:rPr>
        <w:t>Provide sterile needles, syringes and associated materials to drug misusers</w:t>
      </w:r>
    </w:p>
    <w:p w14:paraId="7254BAAC" w14:textId="77777777" w:rsidR="00F65716" w:rsidRPr="00D0306F" w:rsidRDefault="00F65716" w:rsidP="00B76905">
      <w:pPr>
        <w:numPr>
          <w:ilvl w:val="0"/>
          <w:numId w:val="245"/>
        </w:numPr>
        <w:contextualSpacing/>
        <w:rPr>
          <w:rFonts w:eastAsia="Aptos" w:cs="Arial"/>
          <w:lang w:val="en-US"/>
        </w:rPr>
      </w:pPr>
      <w:r w:rsidRPr="00D0306F">
        <w:rPr>
          <w:rFonts w:eastAsia="Aptos" w:cs="Arial"/>
          <w:lang w:val="en-US"/>
        </w:rPr>
        <w:t>Receive from drug misusers used needles, syringes and associated materials, and</w:t>
      </w:r>
    </w:p>
    <w:p w14:paraId="378A565D" w14:textId="77777777" w:rsidR="00F65716" w:rsidRPr="00D0306F" w:rsidRDefault="00F65716" w:rsidP="00B76905">
      <w:pPr>
        <w:numPr>
          <w:ilvl w:val="0"/>
          <w:numId w:val="245"/>
        </w:numPr>
        <w:contextualSpacing/>
        <w:rPr>
          <w:rFonts w:eastAsia="Aptos" w:cs="Arial"/>
          <w:lang w:val="en-US"/>
        </w:rPr>
      </w:pPr>
      <w:r w:rsidRPr="00D0306F">
        <w:rPr>
          <w:rFonts w:eastAsia="Aptos" w:cs="Arial"/>
          <w:lang w:val="en-US"/>
        </w:rPr>
        <w:t>Offer advice to drug misusers and where appropriate refer the drug misuser to another health care professional or a specialist drug treatment centre.</w:t>
      </w:r>
    </w:p>
    <w:p w14:paraId="51200D9E" w14:textId="77777777" w:rsidR="00F65716" w:rsidRPr="00D0306F" w:rsidRDefault="00F65716" w:rsidP="00F65716">
      <w:pPr>
        <w:rPr>
          <w:rFonts w:eastAsia="Aptos" w:cs="Arial"/>
          <w:lang w:val="en-US"/>
        </w:rPr>
      </w:pPr>
    </w:p>
    <w:p w14:paraId="55B74C73" w14:textId="77777777" w:rsidR="00F65716" w:rsidRPr="00D0306F" w:rsidRDefault="00F65716" w:rsidP="00F65716">
      <w:pPr>
        <w:rPr>
          <w:rFonts w:eastAsia="Aptos" w:cs="Arial"/>
          <w:lang w:val="en-US"/>
        </w:rPr>
      </w:pPr>
      <w:r w:rsidRPr="00D0306F">
        <w:rPr>
          <w:rFonts w:eastAsia="Aptos" w:cs="Arial"/>
          <w:lang w:val="en-US"/>
        </w:rPr>
        <w:t>12. An on demand availability of specialist drugs service, the underlying purpose of which is for the pharmacy contractor to ensure that patients or health care professionals have prompt access to specialist drugs.</w:t>
      </w:r>
    </w:p>
    <w:p w14:paraId="73FCC0C0" w14:textId="77777777" w:rsidR="00F65716" w:rsidRPr="00D0306F" w:rsidRDefault="00F65716" w:rsidP="00F65716">
      <w:pPr>
        <w:rPr>
          <w:rFonts w:eastAsia="Aptos" w:cs="Arial"/>
          <w:lang w:val="en-US"/>
        </w:rPr>
      </w:pPr>
    </w:p>
    <w:p w14:paraId="427B71F2" w14:textId="77777777" w:rsidR="00F65716" w:rsidRPr="00D0306F" w:rsidRDefault="00F65716" w:rsidP="00F65716">
      <w:pPr>
        <w:rPr>
          <w:rFonts w:eastAsia="Aptos" w:cs="Arial"/>
          <w:lang w:val="en-US"/>
        </w:rPr>
      </w:pPr>
      <w:r w:rsidRPr="00D0306F">
        <w:rPr>
          <w:rFonts w:eastAsia="Aptos" w:cs="Arial"/>
          <w:lang w:val="en-US"/>
        </w:rPr>
        <w:t>13. Out of hours services, the underlying purpose of which is for the pharmacy contractor to dispense drugs and appliances in the out of hours period (whether or not for the whole of the out of hours period).</w:t>
      </w:r>
    </w:p>
    <w:p w14:paraId="14CF35D8" w14:textId="77777777" w:rsidR="00F65716" w:rsidRPr="00D0306F" w:rsidRDefault="00F65716" w:rsidP="00F65716">
      <w:pPr>
        <w:rPr>
          <w:rFonts w:eastAsia="Aptos" w:cs="Arial"/>
          <w:lang w:val="en-US"/>
        </w:rPr>
      </w:pPr>
    </w:p>
    <w:p w14:paraId="6C516CA4" w14:textId="77777777" w:rsidR="00F65716" w:rsidRPr="00D0306F" w:rsidRDefault="00F65716" w:rsidP="00F65716">
      <w:pPr>
        <w:rPr>
          <w:rFonts w:eastAsia="Aptos" w:cs="Arial"/>
          <w:lang w:val="en-US"/>
        </w:rPr>
      </w:pPr>
      <w:r w:rsidRPr="00D0306F">
        <w:rPr>
          <w:rFonts w:eastAsia="Aptos" w:cs="Arial"/>
          <w:lang w:val="en-US"/>
        </w:rPr>
        <w:t>14. A patient group direction service, the underlying purpose of which is for the pharmacy contractor to supply or administer prescription only medicines to patients under patient group directions.</w:t>
      </w:r>
    </w:p>
    <w:p w14:paraId="0AC1D33B" w14:textId="77777777" w:rsidR="00F65716" w:rsidRPr="00D0306F" w:rsidRDefault="00F65716" w:rsidP="00F65716">
      <w:pPr>
        <w:rPr>
          <w:rFonts w:eastAsia="Aptos" w:cs="Arial"/>
          <w:lang w:val="en-US"/>
        </w:rPr>
      </w:pPr>
    </w:p>
    <w:p w14:paraId="48D13774" w14:textId="77777777" w:rsidR="00F65716" w:rsidRPr="00D0306F" w:rsidRDefault="00F65716" w:rsidP="00F65716">
      <w:pPr>
        <w:rPr>
          <w:rFonts w:eastAsia="Aptos" w:cs="Arial"/>
          <w:lang w:val="en-US"/>
        </w:rPr>
      </w:pPr>
      <w:r w:rsidRPr="00D0306F">
        <w:rPr>
          <w:rFonts w:eastAsia="Aptos" w:cs="Arial"/>
          <w:lang w:val="en-US"/>
        </w:rPr>
        <w:t>15. A prescriber support service, the underlying purpose of which is for the pharmacy contractor to support health care professionals who prescribe drugs, and in particular to offer advice on—</w:t>
      </w:r>
    </w:p>
    <w:p w14:paraId="1D493FC0" w14:textId="77777777" w:rsidR="00F65716" w:rsidRPr="00D0306F" w:rsidRDefault="00F65716" w:rsidP="00F65716">
      <w:pPr>
        <w:rPr>
          <w:rFonts w:eastAsia="Aptos" w:cs="Arial"/>
          <w:lang w:val="en-US"/>
        </w:rPr>
      </w:pPr>
    </w:p>
    <w:p w14:paraId="1E1F5DBA" w14:textId="77777777" w:rsidR="00F65716" w:rsidRPr="00D0306F" w:rsidRDefault="00F65716" w:rsidP="00B76905">
      <w:pPr>
        <w:numPr>
          <w:ilvl w:val="0"/>
          <w:numId w:val="246"/>
        </w:numPr>
        <w:contextualSpacing/>
        <w:rPr>
          <w:rFonts w:eastAsia="Aptos" w:cs="Arial"/>
          <w:lang w:val="en-US"/>
        </w:rPr>
      </w:pPr>
      <w:r w:rsidRPr="00D0306F">
        <w:rPr>
          <w:rFonts w:eastAsia="Aptos" w:cs="Arial"/>
          <w:lang w:val="en-US"/>
        </w:rPr>
        <w:t xml:space="preserve">The clinical and cost effective use of drugs </w:t>
      </w:r>
    </w:p>
    <w:p w14:paraId="345B6C28" w14:textId="77777777" w:rsidR="00F65716" w:rsidRPr="00D0306F" w:rsidRDefault="00F65716" w:rsidP="00B76905">
      <w:pPr>
        <w:numPr>
          <w:ilvl w:val="0"/>
          <w:numId w:val="246"/>
        </w:numPr>
        <w:contextualSpacing/>
        <w:rPr>
          <w:rFonts w:eastAsia="Aptos" w:cs="Arial"/>
          <w:lang w:val="en-US"/>
        </w:rPr>
      </w:pPr>
      <w:r w:rsidRPr="00D0306F">
        <w:rPr>
          <w:rFonts w:eastAsia="Aptos" w:cs="Arial"/>
          <w:lang w:val="en-US"/>
        </w:rPr>
        <w:t>Prescribing policies and guidelines, and</w:t>
      </w:r>
    </w:p>
    <w:p w14:paraId="32510E3A" w14:textId="77777777" w:rsidR="00F65716" w:rsidRPr="00D0306F" w:rsidRDefault="00F65716" w:rsidP="00B76905">
      <w:pPr>
        <w:numPr>
          <w:ilvl w:val="0"/>
          <w:numId w:val="246"/>
        </w:numPr>
        <w:contextualSpacing/>
        <w:rPr>
          <w:rFonts w:eastAsia="Aptos" w:cs="Arial"/>
          <w:lang w:val="en-US"/>
        </w:rPr>
      </w:pPr>
      <w:r w:rsidRPr="00D0306F">
        <w:rPr>
          <w:rFonts w:eastAsia="Aptos" w:cs="Arial"/>
          <w:lang w:val="en-US"/>
        </w:rPr>
        <w:t>Repeat prescribing.</w:t>
      </w:r>
    </w:p>
    <w:p w14:paraId="6A9B9CC9" w14:textId="77777777" w:rsidR="00F65716" w:rsidRPr="00D0306F" w:rsidRDefault="00F65716" w:rsidP="00F65716">
      <w:pPr>
        <w:rPr>
          <w:rFonts w:eastAsia="Aptos" w:cs="Arial"/>
          <w:lang w:val="en-US"/>
        </w:rPr>
      </w:pPr>
    </w:p>
    <w:p w14:paraId="6EDAC36D" w14:textId="77777777" w:rsidR="00F65716" w:rsidRPr="00D0306F" w:rsidRDefault="00F65716" w:rsidP="00F65716">
      <w:pPr>
        <w:rPr>
          <w:rFonts w:eastAsia="Aptos" w:cs="Arial"/>
          <w:lang w:val="en-US"/>
        </w:rPr>
      </w:pPr>
      <w:r w:rsidRPr="00D0306F">
        <w:rPr>
          <w:rFonts w:eastAsia="Aptos" w:cs="Arial"/>
          <w:lang w:val="en-US"/>
        </w:rPr>
        <w:t>16. A schools service, the underlying purpose of which is for the pharmacy contractor to provide advice and support to children and staff in schools relating to—</w:t>
      </w:r>
    </w:p>
    <w:p w14:paraId="598828D4" w14:textId="77777777" w:rsidR="00F65716" w:rsidRPr="00D0306F" w:rsidRDefault="00F65716" w:rsidP="00F65716">
      <w:pPr>
        <w:rPr>
          <w:rFonts w:eastAsia="Aptos" w:cs="Arial"/>
          <w:lang w:val="en-US"/>
        </w:rPr>
      </w:pPr>
    </w:p>
    <w:p w14:paraId="57932D26" w14:textId="77777777" w:rsidR="00F65716" w:rsidRPr="00D0306F" w:rsidRDefault="00F65716" w:rsidP="00B76905">
      <w:pPr>
        <w:numPr>
          <w:ilvl w:val="0"/>
          <w:numId w:val="247"/>
        </w:numPr>
        <w:contextualSpacing/>
        <w:rPr>
          <w:rFonts w:eastAsia="Aptos" w:cs="Arial"/>
          <w:lang w:val="en-US"/>
        </w:rPr>
      </w:pPr>
      <w:r w:rsidRPr="00D0306F">
        <w:rPr>
          <w:rFonts w:eastAsia="Aptos" w:cs="Arial"/>
          <w:lang w:val="en-US"/>
        </w:rPr>
        <w:t>The clinical and cost effective use of drugs in the school</w:t>
      </w:r>
    </w:p>
    <w:p w14:paraId="4437E65E" w14:textId="77777777" w:rsidR="00F65716" w:rsidRPr="00D0306F" w:rsidRDefault="00F65716" w:rsidP="00B76905">
      <w:pPr>
        <w:numPr>
          <w:ilvl w:val="0"/>
          <w:numId w:val="247"/>
        </w:numPr>
        <w:contextualSpacing/>
        <w:rPr>
          <w:rFonts w:eastAsia="Aptos" w:cs="Arial"/>
          <w:lang w:val="en-US"/>
        </w:rPr>
      </w:pPr>
      <w:r w:rsidRPr="00D0306F">
        <w:rPr>
          <w:rFonts w:eastAsia="Aptos" w:cs="Arial"/>
          <w:lang w:val="en-US"/>
        </w:rPr>
        <w:t>The proper and effective administration and use of drugs and appliances in the school</w:t>
      </w:r>
    </w:p>
    <w:p w14:paraId="2F8D7CA4" w14:textId="77777777" w:rsidR="00F65716" w:rsidRPr="00D0306F" w:rsidRDefault="00F65716" w:rsidP="00B76905">
      <w:pPr>
        <w:numPr>
          <w:ilvl w:val="0"/>
          <w:numId w:val="247"/>
        </w:numPr>
        <w:contextualSpacing/>
        <w:rPr>
          <w:rFonts w:eastAsia="Aptos" w:cs="Arial"/>
          <w:lang w:val="en-US"/>
        </w:rPr>
      </w:pPr>
      <w:r w:rsidRPr="00D0306F">
        <w:rPr>
          <w:rFonts w:eastAsia="Aptos" w:cs="Arial"/>
          <w:lang w:val="en-US"/>
        </w:rPr>
        <w:t>The safe and appropriate storage and handling of drugs and appliances, and</w:t>
      </w:r>
    </w:p>
    <w:p w14:paraId="61F366E8" w14:textId="77777777" w:rsidR="00F65716" w:rsidRPr="00D0306F" w:rsidRDefault="00F65716" w:rsidP="00B76905">
      <w:pPr>
        <w:numPr>
          <w:ilvl w:val="0"/>
          <w:numId w:val="247"/>
        </w:numPr>
        <w:contextualSpacing/>
        <w:rPr>
          <w:rFonts w:eastAsia="Aptos" w:cs="Arial"/>
          <w:lang w:val="en-US"/>
        </w:rPr>
      </w:pPr>
      <w:r w:rsidRPr="00D0306F">
        <w:rPr>
          <w:rFonts w:eastAsia="Aptos" w:cs="Arial"/>
          <w:lang w:val="en-US"/>
        </w:rPr>
        <w:t>The recording of drugs and appliances ordered, handled, administered, stored or disposed of.</w:t>
      </w:r>
    </w:p>
    <w:p w14:paraId="51BFCF7C" w14:textId="77777777" w:rsidR="00F65716" w:rsidRPr="00D0306F" w:rsidRDefault="00F65716" w:rsidP="00F65716">
      <w:pPr>
        <w:rPr>
          <w:rFonts w:eastAsia="Aptos" w:cs="Arial"/>
          <w:lang w:val="en-US"/>
        </w:rPr>
      </w:pPr>
    </w:p>
    <w:p w14:paraId="4687B5E4" w14:textId="77777777" w:rsidR="00F65716" w:rsidRPr="00D0306F" w:rsidRDefault="00F65716" w:rsidP="00F65716">
      <w:pPr>
        <w:rPr>
          <w:rFonts w:eastAsia="Aptos" w:cs="Arial"/>
          <w:lang w:val="en-US"/>
        </w:rPr>
      </w:pPr>
      <w:r w:rsidRPr="00D0306F">
        <w:rPr>
          <w:rFonts w:eastAsia="Aptos" w:cs="Arial"/>
          <w:lang w:val="en-US"/>
        </w:rPr>
        <w:t>17. A screening service, the underlying purpose of which is for the pharmacy contractor to —</w:t>
      </w:r>
    </w:p>
    <w:p w14:paraId="5F59D09B" w14:textId="77777777" w:rsidR="00F65716" w:rsidRPr="00D0306F" w:rsidRDefault="00F65716" w:rsidP="00F65716">
      <w:pPr>
        <w:rPr>
          <w:rFonts w:eastAsia="Aptos" w:cs="Arial"/>
          <w:lang w:val="en-US"/>
        </w:rPr>
      </w:pPr>
    </w:p>
    <w:p w14:paraId="13A4AFEA" w14:textId="77777777" w:rsidR="00F65716" w:rsidRPr="00D0306F" w:rsidRDefault="00F65716" w:rsidP="00B76905">
      <w:pPr>
        <w:numPr>
          <w:ilvl w:val="0"/>
          <w:numId w:val="248"/>
        </w:numPr>
        <w:contextualSpacing/>
        <w:rPr>
          <w:rFonts w:eastAsia="Aptos" w:cs="Arial"/>
          <w:lang w:val="en-US"/>
        </w:rPr>
      </w:pPr>
      <w:r w:rsidRPr="00D0306F">
        <w:rPr>
          <w:rFonts w:eastAsia="Aptos" w:cs="Arial"/>
          <w:lang w:val="en-US"/>
        </w:rPr>
        <w:t>Identify patients at risk of developing a specified disease or condition</w:t>
      </w:r>
    </w:p>
    <w:p w14:paraId="2FFD632C" w14:textId="77777777" w:rsidR="00F65716" w:rsidRPr="00D0306F" w:rsidRDefault="00F65716" w:rsidP="00B76905">
      <w:pPr>
        <w:numPr>
          <w:ilvl w:val="0"/>
          <w:numId w:val="248"/>
        </w:numPr>
        <w:contextualSpacing/>
        <w:rPr>
          <w:rFonts w:eastAsia="Aptos" w:cs="Arial"/>
          <w:lang w:val="en-US"/>
        </w:rPr>
      </w:pPr>
      <w:r w:rsidRPr="00D0306F">
        <w:rPr>
          <w:rFonts w:eastAsia="Aptos" w:cs="Arial"/>
          <w:lang w:val="en-US"/>
        </w:rPr>
        <w:t>Offer advice regarding testing for a specified disease or condition</w:t>
      </w:r>
    </w:p>
    <w:p w14:paraId="26D26D8C" w14:textId="77777777" w:rsidR="00F65716" w:rsidRPr="00D0306F" w:rsidRDefault="00F65716" w:rsidP="00B76905">
      <w:pPr>
        <w:numPr>
          <w:ilvl w:val="0"/>
          <w:numId w:val="248"/>
        </w:numPr>
        <w:contextualSpacing/>
        <w:rPr>
          <w:rFonts w:eastAsia="Aptos" w:cs="Arial"/>
          <w:lang w:val="en-US"/>
        </w:rPr>
      </w:pPr>
      <w:r w:rsidRPr="00D0306F">
        <w:rPr>
          <w:rFonts w:eastAsia="Aptos" w:cs="Arial"/>
          <w:lang w:val="en-US"/>
        </w:rPr>
        <w:t>Carry out such a test with the patient’s consent, and</w:t>
      </w:r>
    </w:p>
    <w:p w14:paraId="71C1502D" w14:textId="77777777" w:rsidR="00F65716" w:rsidRPr="00D0306F" w:rsidRDefault="00F65716" w:rsidP="00B76905">
      <w:pPr>
        <w:numPr>
          <w:ilvl w:val="0"/>
          <w:numId w:val="248"/>
        </w:numPr>
        <w:contextualSpacing/>
        <w:rPr>
          <w:rFonts w:eastAsia="Aptos" w:cs="Arial"/>
          <w:lang w:val="en-US"/>
        </w:rPr>
      </w:pPr>
      <w:r w:rsidRPr="00D0306F">
        <w:rPr>
          <w:rFonts w:eastAsia="Aptos" w:cs="Arial"/>
          <w:lang w:val="en-US"/>
        </w:rPr>
        <w:t>Offer advice following a test and refer to another health care professional as appropriate.</w:t>
      </w:r>
    </w:p>
    <w:p w14:paraId="202DB0A8" w14:textId="77777777" w:rsidR="00F65716" w:rsidRPr="00D0306F" w:rsidRDefault="00F65716" w:rsidP="00F65716">
      <w:pPr>
        <w:rPr>
          <w:rFonts w:eastAsia="Aptos" w:cs="Arial"/>
          <w:lang w:val="en-US"/>
        </w:rPr>
      </w:pPr>
    </w:p>
    <w:p w14:paraId="13DEDC80" w14:textId="77777777" w:rsidR="00F65716" w:rsidRPr="00D0306F" w:rsidRDefault="00F65716" w:rsidP="00F65716">
      <w:pPr>
        <w:rPr>
          <w:rFonts w:eastAsia="Aptos" w:cs="Arial"/>
          <w:lang w:val="en-US"/>
        </w:rPr>
      </w:pPr>
      <w:r w:rsidRPr="00D0306F">
        <w:rPr>
          <w:rFonts w:eastAsia="Aptos" w:cs="Arial"/>
          <w:lang w:val="en-US"/>
        </w:rPr>
        <w:t>18. A stop smoking service, the underlying purpose of which is for the pharmacy contractor to—</w:t>
      </w:r>
    </w:p>
    <w:p w14:paraId="67BDC834" w14:textId="77777777" w:rsidR="00F65716" w:rsidRPr="00D0306F" w:rsidRDefault="00F65716" w:rsidP="00F65716">
      <w:pPr>
        <w:rPr>
          <w:rFonts w:eastAsia="Aptos" w:cs="Arial"/>
          <w:lang w:val="en-US"/>
        </w:rPr>
      </w:pPr>
    </w:p>
    <w:p w14:paraId="76B66B72" w14:textId="77777777" w:rsidR="00F65716" w:rsidRPr="00D0306F" w:rsidRDefault="00F65716" w:rsidP="00B76905">
      <w:pPr>
        <w:numPr>
          <w:ilvl w:val="0"/>
          <w:numId w:val="249"/>
        </w:numPr>
        <w:contextualSpacing/>
        <w:rPr>
          <w:rFonts w:eastAsia="Aptos" w:cs="Arial"/>
          <w:lang w:val="en-US"/>
        </w:rPr>
      </w:pPr>
      <w:r w:rsidRPr="00D0306F">
        <w:rPr>
          <w:rFonts w:eastAsia="Aptos" w:cs="Arial"/>
          <w:lang w:val="en-US"/>
        </w:rPr>
        <w:t>Advise and support patients wishing to give up smoking, and</w:t>
      </w:r>
    </w:p>
    <w:p w14:paraId="4F44FE95" w14:textId="77777777" w:rsidR="00F65716" w:rsidRPr="00D0306F" w:rsidRDefault="00F65716" w:rsidP="00B76905">
      <w:pPr>
        <w:numPr>
          <w:ilvl w:val="0"/>
          <w:numId w:val="249"/>
        </w:numPr>
        <w:contextualSpacing/>
        <w:rPr>
          <w:rFonts w:eastAsia="Aptos" w:cs="Arial"/>
          <w:lang w:val="en-US"/>
        </w:rPr>
      </w:pPr>
      <w:r w:rsidRPr="00D0306F">
        <w:rPr>
          <w:rFonts w:eastAsia="Aptos" w:cs="Arial"/>
          <w:lang w:val="en-US"/>
        </w:rPr>
        <w:t>Where appropriate, to supply appropriate drugs and aids.</w:t>
      </w:r>
    </w:p>
    <w:p w14:paraId="24E771DF" w14:textId="77777777" w:rsidR="00F65716" w:rsidRPr="00D0306F" w:rsidRDefault="00F65716" w:rsidP="00F65716">
      <w:pPr>
        <w:rPr>
          <w:rFonts w:eastAsia="Aptos" w:cs="Arial"/>
          <w:lang w:val="en-US"/>
        </w:rPr>
      </w:pPr>
    </w:p>
    <w:p w14:paraId="5E084663" w14:textId="77777777" w:rsidR="00F65716" w:rsidRPr="00D0306F" w:rsidRDefault="00F65716" w:rsidP="00F65716">
      <w:pPr>
        <w:rPr>
          <w:rFonts w:eastAsia="Aptos" w:cs="Arial"/>
          <w:lang w:val="en-US"/>
        </w:rPr>
      </w:pPr>
      <w:r w:rsidRPr="00D0306F">
        <w:rPr>
          <w:rFonts w:eastAsia="Aptos" w:cs="Arial"/>
          <w:lang w:val="en-US"/>
        </w:rPr>
        <w:t>19. A supervised administration service, the underlying purpose of which is for the pharmacy contractor to supervise the administration of prescribed medicines at their premises.</w:t>
      </w:r>
    </w:p>
    <w:p w14:paraId="7E811DA7" w14:textId="77777777" w:rsidR="00F65716" w:rsidRPr="00D0306F" w:rsidRDefault="00F65716" w:rsidP="00F65716">
      <w:pPr>
        <w:rPr>
          <w:rFonts w:eastAsia="Aptos" w:cs="Arial"/>
          <w:lang w:val="en-US"/>
        </w:rPr>
      </w:pPr>
    </w:p>
    <w:p w14:paraId="3A5B79C4" w14:textId="77777777" w:rsidR="00F65716" w:rsidRPr="00D0306F" w:rsidRDefault="00F65716" w:rsidP="00F65716">
      <w:pPr>
        <w:rPr>
          <w:rFonts w:eastAsia="Aptos" w:cs="Arial"/>
          <w:lang w:val="en-US"/>
        </w:rPr>
      </w:pPr>
      <w:r w:rsidRPr="00D0306F">
        <w:rPr>
          <w:rFonts w:eastAsia="Aptos" w:cs="Arial"/>
          <w:lang w:val="en-US"/>
        </w:rPr>
        <w:t xml:space="preserve">20. A prescribing service, the underlying purpose of which is for the pharmacy contractor who is an independent prescriber, or who employs or engages an </w:t>
      </w:r>
      <w:r w:rsidRPr="00D0306F">
        <w:rPr>
          <w:rFonts w:eastAsia="Aptos" w:cs="Arial"/>
          <w:lang w:val="en-US"/>
        </w:rPr>
        <w:lastRenderedPageBreak/>
        <w:t>independent prescriber, to prescribe medicines in circumstances specified by the relevant local health board.</w:t>
      </w:r>
    </w:p>
    <w:p w14:paraId="625B35D5" w14:textId="77777777" w:rsidR="00F65716" w:rsidRPr="00D0306F" w:rsidRDefault="00F65716" w:rsidP="00F65716">
      <w:pPr>
        <w:rPr>
          <w:rFonts w:eastAsia="Aptos" w:cs="Arial"/>
          <w:lang w:val="en-US"/>
        </w:rPr>
      </w:pPr>
    </w:p>
    <w:p w14:paraId="602D2037" w14:textId="77777777" w:rsidR="00F65716" w:rsidRPr="00D0306F" w:rsidRDefault="00F65716" w:rsidP="00F65716">
      <w:pPr>
        <w:rPr>
          <w:rFonts w:eastAsia="Aptos" w:cs="Arial"/>
          <w:lang w:val="en-US"/>
        </w:rPr>
      </w:pPr>
      <w:r w:rsidRPr="00D0306F">
        <w:rPr>
          <w:rFonts w:eastAsia="Aptos" w:cs="Arial"/>
          <w:lang w:val="en-US"/>
        </w:rPr>
        <w:t>21. An antiviral collection service, the underlying purpose of which is for the pharmacy contractor to supply antiviral medicines, in accordance with regulation 247 of the Human Medicines Regulations 2012 (Exemption for supply in the event of or in anticipation of pandemic disease), to patients for treatment or prophylaxis.</w:t>
      </w:r>
    </w:p>
    <w:p w14:paraId="3E39D724" w14:textId="77777777" w:rsidR="00F65716" w:rsidRPr="00D0306F" w:rsidRDefault="00F65716" w:rsidP="00F65716">
      <w:pPr>
        <w:ind w:left="720"/>
        <w:contextualSpacing/>
        <w:rPr>
          <w:rFonts w:eastAsia="Aptos" w:cs="Arial"/>
          <w:lang w:val="en-US"/>
        </w:rPr>
      </w:pPr>
    </w:p>
    <w:p w14:paraId="4BFF4EE7" w14:textId="77777777" w:rsidR="00F65716" w:rsidRPr="00D0306F" w:rsidRDefault="00F65716" w:rsidP="00F65716">
      <w:pPr>
        <w:rPr>
          <w:rFonts w:eastAsia="Aptos" w:cs="Arial"/>
          <w:lang w:val="en-US"/>
        </w:rPr>
      </w:pPr>
      <w:r w:rsidRPr="00D0306F">
        <w:rPr>
          <w:rFonts w:eastAsia="Aptos" w:cs="Arial"/>
          <w:lang w:val="en-US"/>
        </w:rPr>
        <w:t>22. A waste minimisation service, the underlying purpose of which is to identify prescribed medicines or appliances which are not required by the patient at the point of supply.</w:t>
      </w:r>
    </w:p>
    <w:p w14:paraId="2E50E9DC" w14:textId="77777777" w:rsidR="00027D58" w:rsidRPr="00027D58" w:rsidRDefault="00027D58" w:rsidP="00027D58">
      <w:pPr>
        <w:rPr>
          <w:rFonts w:eastAsia="Aptos" w:cs="Arial"/>
          <w:lang w:val="en-US"/>
        </w:rPr>
      </w:pPr>
    </w:p>
    <w:p w14:paraId="712865F9" w14:textId="77777777" w:rsidR="00027D58" w:rsidRPr="00027D58" w:rsidRDefault="00027D58" w:rsidP="00027D58">
      <w:pPr>
        <w:rPr>
          <w:rFonts w:eastAsia="Aptos" w:cs="Arial"/>
          <w:lang w:val="en-US"/>
        </w:rPr>
      </w:pPr>
    </w:p>
    <w:p w14:paraId="35DD057B" w14:textId="77777777" w:rsidR="00027D58" w:rsidRPr="00027D58" w:rsidRDefault="00027D58" w:rsidP="00027D58">
      <w:pPr>
        <w:rPr>
          <w:rFonts w:eastAsia="Aptos" w:cs="Arial"/>
          <w:b/>
          <w:bCs/>
          <w:lang w:val="en-US"/>
        </w:rPr>
      </w:pPr>
      <w:r w:rsidRPr="00027D58">
        <w:rPr>
          <w:rFonts w:eastAsia="Aptos" w:cs="Arial"/>
          <w:b/>
          <w:bCs/>
          <w:kern w:val="0"/>
          <w:lang w:val="en-US"/>
          <w14:ligatures w14:val="none"/>
        </w:rPr>
        <w:br w:type="page"/>
      </w:r>
    </w:p>
    <w:p w14:paraId="7B281B9E" w14:textId="77777777" w:rsidR="00027D58" w:rsidRPr="00D0306F" w:rsidRDefault="00027D58" w:rsidP="00027D58">
      <w:pPr>
        <w:pStyle w:val="Heading1"/>
        <w:rPr>
          <w:rFonts w:eastAsia="Aptos"/>
          <w:sz w:val="28"/>
          <w:szCs w:val="28"/>
          <w:lang w:val="en-US"/>
        </w:rPr>
      </w:pPr>
      <w:bookmarkStart w:id="50" w:name="_Toc235185392"/>
      <w:r w:rsidRPr="00D0306F">
        <w:rPr>
          <w:rFonts w:eastAsia="Aptos"/>
          <w:sz w:val="28"/>
          <w:szCs w:val="28"/>
          <w:lang w:val="en-US"/>
        </w:rPr>
        <w:lastRenderedPageBreak/>
        <w:t>Appendix E – terms of service for dispensing appliance contractors</w:t>
      </w:r>
      <w:bookmarkEnd w:id="50"/>
    </w:p>
    <w:p w14:paraId="4CB877BB" w14:textId="77777777" w:rsidR="00027D58" w:rsidRPr="00027D58" w:rsidRDefault="00027D58" w:rsidP="00027D58">
      <w:pPr>
        <w:rPr>
          <w:rFonts w:eastAsia="Aptos" w:cs="Arial"/>
          <w:b/>
          <w:lang w:val="en-US"/>
        </w:rPr>
      </w:pPr>
    </w:p>
    <w:p w14:paraId="7824CD91" w14:textId="77777777" w:rsidR="00D65B85" w:rsidRPr="00D0306F" w:rsidRDefault="00D65B85" w:rsidP="00B76905">
      <w:pPr>
        <w:numPr>
          <w:ilvl w:val="0"/>
          <w:numId w:val="233"/>
        </w:numPr>
        <w:ind w:left="284"/>
        <w:rPr>
          <w:rFonts w:eastAsia="Aptos" w:cs="Arial"/>
          <w:b/>
          <w:bCs/>
          <w:sz w:val="26"/>
          <w:szCs w:val="26"/>
          <w:lang w:val="en-US"/>
        </w:rPr>
      </w:pPr>
      <w:r w:rsidRPr="00D0306F">
        <w:rPr>
          <w:rFonts w:eastAsia="Aptos" w:cs="Arial"/>
          <w:b/>
          <w:bCs/>
          <w:sz w:val="26"/>
          <w:szCs w:val="26"/>
          <w:lang w:val="en-US"/>
        </w:rPr>
        <w:t xml:space="preserve">Dispensing of prescriptions </w:t>
      </w:r>
    </w:p>
    <w:p w14:paraId="36EF21E5" w14:textId="77777777" w:rsidR="00D65B85" w:rsidRPr="00D0306F" w:rsidRDefault="00D65B85" w:rsidP="00D65B85">
      <w:pPr>
        <w:rPr>
          <w:rFonts w:eastAsia="Aptos" w:cs="Arial"/>
          <w:b/>
          <w:bCs/>
          <w:lang w:val="en-US"/>
        </w:rPr>
      </w:pPr>
    </w:p>
    <w:p w14:paraId="0EF42F87" w14:textId="77777777" w:rsidR="00D65B85" w:rsidRPr="00D0306F" w:rsidRDefault="00D65B85" w:rsidP="00D65B85">
      <w:pPr>
        <w:rPr>
          <w:rFonts w:eastAsia="Aptos" w:cs="Arial"/>
          <w:b/>
          <w:bCs/>
          <w:lang w:val="en-US"/>
        </w:rPr>
      </w:pPr>
      <w:r w:rsidRPr="00D0306F">
        <w:rPr>
          <w:rFonts w:eastAsia="Aptos" w:cs="Arial"/>
          <w:b/>
          <w:bCs/>
          <w:lang w:val="en-US"/>
        </w:rPr>
        <w:t>Service description</w:t>
      </w:r>
    </w:p>
    <w:p w14:paraId="48CFFFA5" w14:textId="77777777" w:rsidR="00D65B85" w:rsidRPr="00D0306F" w:rsidRDefault="00D65B85" w:rsidP="00D65B85">
      <w:pPr>
        <w:rPr>
          <w:rFonts w:eastAsia="Aptos" w:cs="Arial"/>
          <w:lang w:val="en-US"/>
        </w:rPr>
      </w:pPr>
    </w:p>
    <w:p w14:paraId="6E8F4038" w14:textId="77777777" w:rsidR="00D65B85" w:rsidRPr="00D0306F" w:rsidRDefault="00D65B85" w:rsidP="00D65B85">
      <w:pPr>
        <w:rPr>
          <w:rFonts w:eastAsia="Aptos" w:cs="Arial"/>
          <w:lang w:val="en-US"/>
        </w:rPr>
      </w:pPr>
      <w:r w:rsidRPr="00D0306F">
        <w:rPr>
          <w:rFonts w:eastAsia="Aptos" w:cs="Arial"/>
          <w:lang w:val="en-US"/>
        </w:rPr>
        <w:t>The supply of appliances ordered on NHS prescriptions, together with information and advice and appropriate referral arrangements in the event of a supply being unable to be made, to enable safe and effective use by patients, and maintenance of appropriate records.</w:t>
      </w:r>
    </w:p>
    <w:p w14:paraId="089F9809" w14:textId="77777777" w:rsidR="00D65B85" w:rsidRPr="00D0306F" w:rsidRDefault="00D65B85" w:rsidP="00D65B85">
      <w:pPr>
        <w:rPr>
          <w:rFonts w:eastAsia="Aptos" w:cs="Arial"/>
          <w:lang w:val="en-US"/>
        </w:rPr>
      </w:pPr>
    </w:p>
    <w:p w14:paraId="6D985620" w14:textId="77777777" w:rsidR="00D65B85" w:rsidRPr="00D0306F" w:rsidRDefault="00D65B85" w:rsidP="00D65B85">
      <w:pPr>
        <w:rPr>
          <w:rFonts w:eastAsia="Aptos" w:cs="Arial"/>
          <w:b/>
          <w:bCs/>
          <w:lang w:val="en-US"/>
        </w:rPr>
      </w:pPr>
      <w:r w:rsidRPr="00D0306F">
        <w:rPr>
          <w:rFonts w:eastAsia="Aptos" w:cs="Arial"/>
          <w:b/>
          <w:bCs/>
          <w:lang w:val="en-US"/>
        </w:rPr>
        <w:t>Aims and intended outcomes</w:t>
      </w:r>
    </w:p>
    <w:p w14:paraId="082D070F" w14:textId="77777777" w:rsidR="00D65B85" w:rsidRPr="00D0306F" w:rsidRDefault="00D65B85" w:rsidP="00D65B85">
      <w:pPr>
        <w:rPr>
          <w:rFonts w:eastAsia="Aptos" w:cs="Arial"/>
          <w:b/>
          <w:lang w:val="en-US"/>
        </w:rPr>
      </w:pPr>
    </w:p>
    <w:p w14:paraId="4274809F" w14:textId="77777777" w:rsidR="00D65B85" w:rsidRPr="00D0306F" w:rsidRDefault="00D65B85" w:rsidP="00D65B85">
      <w:pPr>
        <w:rPr>
          <w:rFonts w:eastAsia="Aptos" w:cs="Arial"/>
          <w:lang w:val="en-US"/>
        </w:rPr>
      </w:pPr>
      <w:r w:rsidRPr="00D0306F">
        <w:rPr>
          <w:rFonts w:eastAsia="Aptos" w:cs="Arial"/>
          <w:lang w:val="en-US"/>
        </w:rPr>
        <w:t>To ensure patients receive ordered appliances safely and appropriately by the dispensing appliance contractor:</w:t>
      </w:r>
    </w:p>
    <w:p w14:paraId="0A773A1E" w14:textId="77777777" w:rsidR="00D65B85" w:rsidRPr="00D0306F" w:rsidRDefault="00D65B85" w:rsidP="00D65B85">
      <w:pPr>
        <w:rPr>
          <w:rFonts w:eastAsia="Aptos" w:cs="Arial"/>
          <w:lang w:val="en-US"/>
        </w:rPr>
      </w:pPr>
    </w:p>
    <w:p w14:paraId="1AFD4906" w14:textId="77777777" w:rsidR="00D65B85" w:rsidRPr="00D0306F" w:rsidRDefault="00D65B85" w:rsidP="00B76905">
      <w:pPr>
        <w:numPr>
          <w:ilvl w:val="0"/>
          <w:numId w:val="234"/>
        </w:numPr>
        <w:contextualSpacing/>
        <w:rPr>
          <w:rFonts w:eastAsia="Aptos" w:cs="Arial"/>
          <w:lang w:val="en-US"/>
        </w:rPr>
      </w:pPr>
      <w:r w:rsidRPr="00D0306F">
        <w:rPr>
          <w:rFonts w:eastAsia="Aptos" w:cs="Arial"/>
          <w:lang w:val="en-US"/>
        </w:rPr>
        <w:t>Performing appropriate legal, clinical and accuracy checks</w:t>
      </w:r>
    </w:p>
    <w:p w14:paraId="01E72088" w14:textId="77777777" w:rsidR="00D65B85" w:rsidRPr="00D0306F" w:rsidRDefault="00D65B85" w:rsidP="00B76905">
      <w:pPr>
        <w:numPr>
          <w:ilvl w:val="0"/>
          <w:numId w:val="234"/>
        </w:numPr>
        <w:contextualSpacing/>
        <w:rPr>
          <w:rFonts w:eastAsia="Aptos" w:cs="Arial"/>
          <w:lang w:val="en-US"/>
        </w:rPr>
      </w:pPr>
      <w:r w:rsidRPr="00D0306F">
        <w:rPr>
          <w:rFonts w:eastAsia="Aptos" w:cs="Arial"/>
          <w:lang w:val="en-US"/>
        </w:rPr>
        <w:t>Having safe systems of operation, in line with clinical governance requirements</w:t>
      </w:r>
    </w:p>
    <w:p w14:paraId="1AD7C179" w14:textId="77777777" w:rsidR="00D65B85" w:rsidRPr="00D0306F" w:rsidRDefault="00D65B85" w:rsidP="00B76905">
      <w:pPr>
        <w:numPr>
          <w:ilvl w:val="0"/>
          <w:numId w:val="234"/>
        </w:numPr>
        <w:contextualSpacing/>
        <w:rPr>
          <w:rFonts w:eastAsia="Aptos" w:cs="Arial"/>
          <w:lang w:val="en-US"/>
        </w:rPr>
      </w:pPr>
      <w:r w:rsidRPr="00D0306F">
        <w:rPr>
          <w:rFonts w:eastAsia="Aptos" w:cs="Arial"/>
          <w:lang w:val="en-US"/>
        </w:rPr>
        <w:t>Having systems in place to guarantee the integrity of products supplied</w:t>
      </w:r>
    </w:p>
    <w:p w14:paraId="6225FE0C" w14:textId="77777777" w:rsidR="00D65B85" w:rsidRPr="00D0306F" w:rsidRDefault="00D65B85" w:rsidP="00B76905">
      <w:pPr>
        <w:numPr>
          <w:ilvl w:val="0"/>
          <w:numId w:val="234"/>
        </w:numPr>
        <w:contextualSpacing/>
        <w:rPr>
          <w:rFonts w:eastAsia="Aptos" w:cs="Arial"/>
          <w:lang w:val="en-US"/>
        </w:rPr>
      </w:pPr>
      <w:r w:rsidRPr="00D0306F">
        <w:rPr>
          <w:rFonts w:eastAsia="Aptos" w:cs="Arial"/>
          <w:lang w:val="en-US"/>
        </w:rPr>
        <w:t>Maintaining a record of all appliances supplied which can be used to assist future patient care</w:t>
      </w:r>
    </w:p>
    <w:p w14:paraId="669000F4" w14:textId="77777777" w:rsidR="00D65B85" w:rsidRPr="00D0306F" w:rsidRDefault="00D65B85" w:rsidP="00B76905">
      <w:pPr>
        <w:numPr>
          <w:ilvl w:val="0"/>
          <w:numId w:val="234"/>
        </w:numPr>
        <w:contextualSpacing/>
        <w:rPr>
          <w:rFonts w:eastAsia="Aptos" w:cs="Arial"/>
          <w:lang w:val="en-US"/>
        </w:rPr>
      </w:pPr>
      <w:r w:rsidRPr="00D0306F">
        <w:rPr>
          <w:rFonts w:eastAsia="Aptos" w:cs="Arial"/>
          <w:lang w:val="en-US"/>
        </w:rPr>
        <w:t>Maintaining a record of advice given, and interventions and referrals made, where the dispensing appliance contractor judges it to be clinically appropriate</w:t>
      </w:r>
    </w:p>
    <w:p w14:paraId="3D816E60" w14:textId="77777777" w:rsidR="00D65B85" w:rsidRPr="00D0306F" w:rsidRDefault="00D65B85" w:rsidP="00B76905">
      <w:pPr>
        <w:numPr>
          <w:ilvl w:val="0"/>
          <w:numId w:val="234"/>
        </w:numPr>
        <w:contextualSpacing/>
        <w:rPr>
          <w:rFonts w:eastAsia="Aptos" w:cs="Arial"/>
          <w:lang w:val="en-US"/>
        </w:rPr>
      </w:pPr>
      <w:r w:rsidRPr="00D0306F">
        <w:rPr>
          <w:rFonts w:eastAsia="Aptos" w:cs="Arial"/>
          <w:lang w:val="en-US"/>
        </w:rPr>
        <w:t>Providing the appropriate additional items such as disposable bags and wipes</w:t>
      </w:r>
    </w:p>
    <w:p w14:paraId="29743BA2" w14:textId="77777777" w:rsidR="00D65B85" w:rsidRPr="00D0306F" w:rsidRDefault="00D65B85" w:rsidP="00B76905">
      <w:pPr>
        <w:numPr>
          <w:ilvl w:val="0"/>
          <w:numId w:val="234"/>
        </w:numPr>
        <w:contextualSpacing/>
        <w:rPr>
          <w:rFonts w:eastAsia="Aptos" w:cs="Arial"/>
          <w:lang w:val="en-US"/>
        </w:rPr>
      </w:pPr>
      <w:r w:rsidRPr="00D0306F">
        <w:rPr>
          <w:rFonts w:eastAsia="Aptos" w:cs="Arial"/>
          <w:lang w:val="en-US"/>
        </w:rPr>
        <w:t>Delivering the appropriate items if required to do so in a timely manner and in suitable packaging that is discreet.</w:t>
      </w:r>
    </w:p>
    <w:p w14:paraId="6B2078C3" w14:textId="77777777" w:rsidR="00D65B85" w:rsidRPr="00D0306F" w:rsidRDefault="00D65B85" w:rsidP="00D65B85">
      <w:pPr>
        <w:rPr>
          <w:rFonts w:eastAsia="Aptos" w:cs="Arial"/>
          <w:lang w:val="en-US"/>
        </w:rPr>
      </w:pPr>
    </w:p>
    <w:p w14:paraId="57C5B28C" w14:textId="77777777" w:rsidR="00D65B85" w:rsidRPr="00D0306F" w:rsidRDefault="00D65B85" w:rsidP="00D65B85">
      <w:pPr>
        <w:rPr>
          <w:rFonts w:eastAsia="Aptos" w:cs="Arial"/>
          <w:lang w:val="en-US"/>
        </w:rPr>
      </w:pPr>
      <w:r w:rsidRPr="00D0306F">
        <w:rPr>
          <w:rFonts w:eastAsia="Aptos" w:cs="Arial"/>
          <w:lang w:val="en-US"/>
        </w:rPr>
        <w:t>To ensure patients are able to use their appliances effectively by staff providing information and advice to the patient or carer on the safe use of their appliance(s).</w:t>
      </w:r>
    </w:p>
    <w:p w14:paraId="565F794D" w14:textId="77777777" w:rsidR="00D65B85" w:rsidRPr="00D0306F" w:rsidRDefault="00D65B85" w:rsidP="00D65B85">
      <w:pPr>
        <w:rPr>
          <w:rFonts w:eastAsia="Aptos" w:cs="Arial"/>
          <w:lang w:val="en-US"/>
        </w:rPr>
      </w:pPr>
    </w:p>
    <w:p w14:paraId="27BD7403" w14:textId="77777777" w:rsidR="00D65B85" w:rsidRPr="00D0306F" w:rsidRDefault="00D65B85" w:rsidP="00B76905">
      <w:pPr>
        <w:numPr>
          <w:ilvl w:val="0"/>
          <w:numId w:val="233"/>
        </w:numPr>
        <w:ind w:left="284"/>
        <w:rPr>
          <w:rFonts w:eastAsia="Aptos" w:cs="Arial"/>
          <w:b/>
          <w:bCs/>
          <w:sz w:val="26"/>
          <w:szCs w:val="26"/>
          <w:lang w:val="en-US"/>
        </w:rPr>
      </w:pPr>
      <w:r w:rsidRPr="00D0306F">
        <w:rPr>
          <w:rFonts w:eastAsia="Aptos" w:cs="Arial"/>
          <w:b/>
          <w:bCs/>
          <w:sz w:val="26"/>
          <w:szCs w:val="26"/>
          <w:lang w:val="en-US"/>
        </w:rPr>
        <w:t xml:space="preserve">Dispensing of repeatable prescriptions </w:t>
      </w:r>
    </w:p>
    <w:p w14:paraId="2A18664A" w14:textId="77777777" w:rsidR="00D65B85" w:rsidRPr="00D0306F" w:rsidRDefault="00D65B85" w:rsidP="00D65B85">
      <w:pPr>
        <w:rPr>
          <w:rFonts w:eastAsia="Aptos" w:cs="Arial"/>
          <w:b/>
          <w:bCs/>
          <w:lang w:val="en-US"/>
        </w:rPr>
      </w:pPr>
    </w:p>
    <w:p w14:paraId="0518FE80" w14:textId="77777777" w:rsidR="00D65B85" w:rsidRPr="00D0306F" w:rsidRDefault="00D65B85" w:rsidP="00D65B85">
      <w:pPr>
        <w:rPr>
          <w:rFonts w:eastAsia="Aptos" w:cs="Arial"/>
          <w:b/>
          <w:bCs/>
          <w:lang w:val="en-US"/>
        </w:rPr>
      </w:pPr>
      <w:r w:rsidRPr="00D0306F">
        <w:rPr>
          <w:rFonts w:eastAsia="Aptos" w:cs="Arial"/>
          <w:b/>
          <w:bCs/>
          <w:lang w:val="en-US"/>
        </w:rPr>
        <w:t>Service description</w:t>
      </w:r>
    </w:p>
    <w:p w14:paraId="2AE83145" w14:textId="77777777" w:rsidR="00D65B85" w:rsidRPr="00D0306F" w:rsidRDefault="00D65B85" w:rsidP="00D65B85">
      <w:pPr>
        <w:rPr>
          <w:rFonts w:eastAsia="Aptos" w:cs="Arial"/>
          <w:lang w:val="en-US"/>
        </w:rPr>
      </w:pPr>
    </w:p>
    <w:p w14:paraId="28B6E375" w14:textId="4C4FE59A" w:rsidR="00D65B85" w:rsidRPr="00D0306F" w:rsidRDefault="00D65B85" w:rsidP="00D65B85">
      <w:pPr>
        <w:rPr>
          <w:rFonts w:eastAsia="Aptos" w:cs="Arial"/>
          <w:lang w:val="en-US"/>
        </w:rPr>
      </w:pPr>
      <w:r w:rsidRPr="00D0306F">
        <w:rPr>
          <w:rFonts w:eastAsia="Aptos" w:cs="Arial"/>
          <w:lang w:val="en-US"/>
        </w:rPr>
        <w:t>The management and dispensing of repeatable NHS prescriptions appliances in partnership with the patient and the prescriber.</w:t>
      </w:r>
    </w:p>
    <w:p w14:paraId="0B40CC9C" w14:textId="77777777" w:rsidR="00D65B85" w:rsidRPr="00D0306F" w:rsidRDefault="00D65B85" w:rsidP="00D65B85">
      <w:pPr>
        <w:rPr>
          <w:rFonts w:eastAsia="Aptos" w:cs="Arial"/>
          <w:lang w:val="en-US"/>
        </w:rPr>
      </w:pPr>
    </w:p>
    <w:p w14:paraId="4FF62CA0" w14:textId="77777777" w:rsidR="00D65B85" w:rsidRPr="00D0306F" w:rsidRDefault="00D65B85" w:rsidP="00D65B85">
      <w:pPr>
        <w:rPr>
          <w:rFonts w:eastAsia="Aptos" w:cs="Arial"/>
          <w:lang w:val="en-US"/>
        </w:rPr>
      </w:pPr>
      <w:r w:rsidRPr="00D0306F">
        <w:rPr>
          <w:rFonts w:eastAsia="Aptos" w:cs="Arial"/>
          <w:lang w:val="en-US"/>
        </w:rPr>
        <w:t>This service includes the requirements that are additional to those for dispensing, such that the dispensing appliance contractor ascertains the patient’s need for a repeat supply and communicates any clinically significant issues to the prescriber.</w:t>
      </w:r>
    </w:p>
    <w:p w14:paraId="321AD98E" w14:textId="77777777" w:rsidR="00D65B85" w:rsidRPr="00D0306F" w:rsidRDefault="00D65B85" w:rsidP="00D65B85">
      <w:pPr>
        <w:rPr>
          <w:rFonts w:eastAsia="Aptos" w:cs="Arial"/>
          <w:lang w:val="en-US"/>
        </w:rPr>
      </w:pPr>
    </w:p>
    <w:p w14:paraId="4B18F7D9" w14:textId="77777777" w:rsidR="00D65B85" w:rsidRPr="00D0306F" w:rsidRDefault="00D65B85" w:rsidP="00D65B85">
      <w:pPr>
        <w:rPr>
          <w:rFonts w:eastAsia="Aptos" w:cs="Arial"/>
          <w:b/>
          <w:bCs/>
          <w:lang w:val="en-US"/>
        </w:rPr>
      </w:pPr>
      <w:r w:rsidRPr="00D0306F">
        <w:rPr>
          <w:rFonts w:eastAsia="Aptos" w:cs="Arial"/>
          <w:b/>
          <w:bCs/>
          <w:lang w:val="en-US"/>
        </w:rPr>
        <w:t>Aims and intended outcomes</w:t>
      </w:r>
    </w:p>
    <w:p w14:paraId="17E922D1" w14:textId="77777777" w:rsidR="00D65B85" w:rsidRPr="00D0306F" w:rsidRDefault="00D65B85" w:rsidP="00D65B85">
      <w:pPr>
        <w:rPr>
          <w:rFonts w:eastAsia="Aptos" w:cs="Arial"/>
          <w:b/>
          <w:lang w:val="en-US"/>
        </w:rPr>
      </w:pPr>
    </w:p>
    <w:p w14:paraId="65E95D60" w14:textId="77777777" w:rsidR="00D65B85" w:rsidRPr="00D0306F" w:rsidRDefault="00D65B85" w:rsidP="00B76905">
      <w:pPr>
        <w:numPr>
          <w:ilvl w:val="0"/>
          <w:numId w:val="235"/>
        </w:numPr>
        <w:contextualSpacing/>
        <w:rPr>
          <w:rFonts w:eastAsia="Aptos" w:cs="Arial"/>
          <w:lang w:val="en-US"/>
        </w:rPr>
      </w:pPr>
      <w:r w:rsidRPr="00D0306F">
        <w:rPr>
          <w:rFonts w:eastAsia="Aptos" w:cs="Arial"/>
          <w:lang w:val="en-US"/>
        </w:rPr>
        <w:t>To increase patient choice and convenience, by allowing them to obtain their regular prescribed appliances directly from a dispensing appliance contractor for a period agreed by the prescriber</w:t>
      </w:r>
    </w:p>
    <w:p w14:paraId="44B02795" w14:textId="77777777" w:rsidR="00D65B85" w:rsidRPr="00D0306F" w:rsidRDefault="00D65B85" w:rsidP="00B76905">
      <w:pPr>
        <w:numPr>
          <w:ilvl w:val="0"/>
          <w:numId w:val="235"/>
        </w:numPr>
        <w:contextualSpacing/>
        <w:rPr>
          <w:rFonts w:eastAsia="Aptos" w:cs="Arial"/>
          <w:lang w:val="en-US"/>
        </w:rPr>
      </w:pPr>
      <w:r w:rsidRPr="00D0306F">
        <w:rPr>
          <w:rFonts w:eastAsia="Aptos" w:cs="Arial"/>
          <w:lang w:val="en-US"/>
        </w:rPr>
        <w:t>To minimise wastage by reducing the number of appliances dispensed which are not required by the patient</w:t>
      </w:r>
    </w:p>
    <w:p w14:paraId="34EB54B3" w14:textId="77777777" w:rsidR="00D65B85" w:rsidRPr="00D0306F" w:rsidRDefault="00D65B85" w:rsidP="00B76905">
      <w:pPr>
        <w:numPr>
          <w:ilvl w:val="0"/>
          <w:numId w:val="235"/>
        </w:numPr>
        <w:contextualSpacing/>
        <w:rPr>
          <w:rFonts w:eastAsia="Aptos" w:cs="Arial"/>
          <w:lang w:val="en-US"/>
        </w:rPr>
      </w:pPr>
      <w:r w:rsidRPr="00D0306F">
        <w:rPr>
          <w:rFonts w:eastAsia="Aptos" w:cs="Arial"/>
          <w:lang w:val="en-US"/>
        </w:rPr>
        <w:lastRenderedPageBreak/>
        <w:t>To reduce the workload of GP practices, by lowering the burden of managing repeat prescriptions.</w:t>
      </w:r>
    </w:p>
    <w:p w14:paraId="431D1B23" w14:textId="77777777" w:rsidR="00D65B85" w:rsidRPr="00D0306F" w:rsidRDefault="00D65B85" w:rsidP="00D65B85">
      <w:pPr>
        <w:rPr>
          <w:rFonts w:eastAsia="Aptos" w:cs="Arial"/>
          <w:lang w:val="en-US"/>
        </w:rPr>
      </w:pPr>
    </w:p>
    <w:p w14:paraId="4EA6EBD3" w14:textId="77777777" w:rsidR="00D65B85" w:rsidRPr="00D0306F" w:rsidRDefault="00D65B85" w:rsidP="00B76905">
      <w:pPr>
        <w:numPr>
          <w:ilvl w:val="0"/>
          <w:numId w:val="233"/>
        </w:numPr>
        <w:ind w:left="284"/>
        <w:rPr>
          <w:rFonts w:eastAsia="Aptos" w:cs="Arial"/>
          <w:b/>
          <w:bCs/>
          <w:sz w:val="26"/>
          <w:szCs w:val="26"/>
          <w:lang w:val="en-US"/>
        </w:rPr>
      </w:pPr>
      <w:r w:rsidRPr="00D0306F">
        <w:rPr>
          <w:rFonts w:eastAsia="Aptos" w:cs="Arial"/>
          <w:b/>
          <w:bCs/>
          <w:sz w:val="26"/>
          <w:szCs w:val="26"/>
          <w:lang w:val="en-US"/>
        </w:rPr>
        <w:t xml:space="preserve">Home delivery service </w:t>
      </w:r>
    </w:p>
    <w:p w14:paraId="74B1DCE2" w14:textId="77777777" w:rsidR="00D65B85" w:rsidRPr="00D0306F" w:rsidRDefault="00D65B85" w:rsidP="00D65B85">
      <w:pPr>
        <w:rPr>
          <w:rFonts w:eastAsia="Aptos" w:cs="Arial"/>
          <w:b/>
          <w:bCs/>
          <w:lang w:val="en-US"/>
        </w:rPr>
      </w:pPr>
    </w:p>
    <w:p w14:paraId="6673C522" w14:textId="77777777" w:rsidR="00D65B85" w:rsidRPr="00D0306F" w:rsidRDefault="00D65B85" w:rsidP="00D65B85">
      <w:pPr>
        <w:rPr>
          <w:rFonts w:eastAsia="Aptos" w:cs="Arial"/>
          <w:b/>
          <w:bCs/>
          <w:lang w:val="en-US"/>
        </w:rPr>
      </w:pPr>
      <w:r w:rsidRPr="00D0306F">
        <w:rPr>
          <w:rFonts w:eastAsia="Aptos" w:cs="Arial"/>
          <w:b/>
          <w:bCs/>
          <w:lang w:val="en-US"/>
        </w:rPr>
        <w:t>Service description</w:t>
      </w:r>
    </w:p>
    <w:p w14:paraId="025E8D16" w14:textId="77777777" w:rsidR="00D65B85" w:rsidRPr="00D0306F" w:rsidRDefault="00D65B85" w:rsidP="00D65B85">
      <w:pPr>
        <w:rPr>
          <w:rFonts w:eastAsia="Aptos" w:cs="Arial"/>
          <w:lang w:val="en-US"/>
        </w:rPr>
      </w:pPr>
    </w:p>
    <w:p w14:paraId="00572F68" w14:textId="77777777" w:rsidR="00D65B85" w:rsidRPr="00D0306F" w:rsidRDefault="00D65B85" w:rsidP="00D65B85">
      <w:pPr>
        <w:rPr>
          <w:rFonts w:eastAsia="Aptos" w:cs="Arial"/>
          <w:lang w:val="en-US"/>
        </w:rPr>
      </w:pPr>
      <w:r w:rsidRPr="00D0306F">
        <w:rPr>
          <w:rFonts w:eastAsia="Aptos" w:cs="Arial"/>
          <w:lang w:val="en-US"/>
        </w:rPr>
        <w:t>To provide a home delivery service in respect of certain appliances.</w:t>
      </w:r>
    </w:p>
    <w:p w14:paraId="2BC254EB" w14:textId="77777777" w:rsidR="00D65B85" w:rsidRPr="00D0306F" w:rsidRDefault="00D65B85" w:rsidP="00D65B85">
      <w:pPr>
        <w:rPr>
          <w:rFonts w:eastAsia="Aptos" w:cs="Arial"/>
          <w:lang w:val="en-US"/>
        </w:rPr>
      </w:pPr>
    </w:p>
    <w:p w14:paraId="59408552" w14:textId="77777777" w:rsidR="00D65B85" w:rsidRPr="00D0306F" w:rsidRDefault="00D65B85" w:rsidP="00D65B85">
      <w:pPr>
        <w:rPr>
          <w:rFonts w:eastAsia="Aptos" w:cs="Arial"/>
          <w:b/>
          <w:bCs/>
          <w:lang w:val="en-US"/>
        </w:rPr>
      </w:pPr>
      <w:r w:rsidRPr="00D0306F">
        <w:rPr>
          <w:rFonts w:eastAsia="Aptos" w:cs="Arial"/>
          <w:b/>
          <w:bCs/>
          <w:lang w:val="en-US"/>
        </w:rPr>
        <w:t>Aims and intended outcomes</w:t>
      </w:r>
    </w:p>
    <w:p w14:paraId="1B476F16" w14:textId="77777777" w:rsidR="00D65B85" w:rsidRPr="00D0306F" w:rsidRDefault="00D65B85" w:rsidP="00D65B85">
      <w:pPr>
        <w:rPr>
          <w:rFonts w:eastAsia="Aptos" w:cs="Arial"/>
          <w:b/>
          <w:lang w:val="en-US"/>
        </w:rPr>
      </w:pPr>
    </w:p>
    <w:p w14:paraId="1E7D5FBC" w14:textId="77777777" w:rsidR="00D65B85" w:rsidRPr="00D0306F" w:rsidRDefault="00D65B85" w:rsidP="00D65B85">
      <w:pPr>
        <w:rPr>
          <w:rFonts w:eastAsia="Aptos" w:cs="Arial"/>
          <w:lang w:val="en-US"/>
        </w:rPr>
      </w:pPr>
      <w:r w:rsidRPr="00D0306F">
        <w:rPr>
          <w:rFonts w:eastAsia="Aptos" w:cs="Arial"/>
          <w:lang w:val="en-US"/>
        </w:rPr>
        <w:t>To preserve the dignity of patients by ensuring that certain appliances are delivered:</w:t>
      </w:r>
    </w:p>
    <w:p w14:paraId="4ACE6060" w14:textId="77777777" w:rsidR="00D65B85" w:rsidRPr="00D0306F" w:rsidRDefault="00D65B85" w:rsidP="00D65B85">
      <w:pPr>
        <w:rPr>
          <w:rFonts w:eastAsia="Aptos" w:cs="Arial"/>
          <w:lang w:val="en-US"/>
        </w:rPr>
      </w:pPr>
    </w:p>
    <w:p w14:paraId="6A541BBD" w14:textId="77777777" w:rsidR="00D65B85" w:rsidRPr="00D0306F" w:rsidRDefault="00D65B85" w:rsidP="00B76905">
      <w:pPr>
        <w:numPr>
          <w:ilvl w:val="0"/>
          <w:numId w:val="236"/>
        </w:numPr>
        <w:contextualSpacing/>
        <w:rPr>
          <w:rFonts w:eastAsia="Aptos" w:cs="Arial"/>
          <w:lang w:val="en-US"/>
        </w:rPr>
      </w:pPr>
      <w:r w:rsidRPr="00D0306F">
        <w:rPr>
          <w:rFonts w:eastAsia="Aptos" w:cs="Arial"/>
          <w:lang w:val="en-US"/>
        </w:rPr>
        <w:t>With reasonable promptness, at a time agree with the patient</w:t>
      </w:r>
    </w:p>
    <w:p w14:paraId="37B90BD6" w14:textId="77777777" w:rsidR="00D65B85" w:rsidRPr="00D0306F" w:rsidRDefault="00D65B85" w:rsidP="00B76905">
      <w:pPr>
        <w:numPr>
          <w:ilvl w:val="0"/>
          <w:numId w:val="236"/>
        </w:numPr>
        <w:contextualSpacing/>
        <w:rPr>
          <w:rFonts w:eastAsia="Aptos" w:cs="Arial"/>
          <w:lang w:val="en-US"/>
        </w:rPr>
      </w:pPr>
      <w:r w:rsidRPr="00D0306F">
        <w:rPr>
          <w:rFonts w:eastAsia="Aptos" w:cs="Arial"/>
          <w:lang w:val="en-US"/>
        </w:rPr>
        <w:t>In a package that displays no writing or other markings which could indicate its content; and</w:t>
      </w:r>
    </w:p>
    <w:p w14:paraId="5107D2FA" w14:textId="77777777" w:rsidR="00D65B85" w:rsidRPr="00D0306F" w:rsidRDefault="00D65B85" w:rsidP="00B76905">
      <w:pPr>
        <w:numPr>
          <w:ilvl w:val="0"/>
          <w:numId w:val="236"/>
        </w:numPr>
        <w:contextualSpacing/>
        <w:rPr>
          <w:rFonts w:eastAsia="Aptos" w:cs="Arial"/>
          <w:lang w:val="en-US"/>
        </w:rPr>
      </w:pPr>
      <w:r w:rsidRPr="00D0306F">
        <w:rPr>
          <w:rFonts w:eastAsia="Aptos" w:cs="Arial"/>
          <w:lang w:val="en-US"/>
        </w:rPr>
        <w:t>In such a way that it is not possible to identify the type of appliance that is being delivered.</w:t>
      </w:r>
    </w:p>
    <w:p w14:paraId="3435B08A" w14:textId="77777777" w:rsidR="00D65B85" w:rsidRPr="00D0306F" w:rsidRDefault="00D65B85" w:rsidP="00D65B85">
      <w:pPr>
        <w:rPr>
          <w:rFonts w:eastAsia="Aptos" w:cs="Arial"/>
          <w:lang w:val="en-US"/>
        </w:rPr>
      </w:pPr>
    </w:p>
    <w:p w14:paraId="0AC2714F" w14:textId="77777777" w:rsidR="00D65B85" w:rsidRPr="00D0306F" w:rsidRDefault="00D65B85" w:rsidP="00B76905">
      <w:pPr>
        <w:numPr>
          <w:ilvl w:val="0"/>
          <w:numId w:val="233"/>
        </w:numPr>
        <w:ind w:left="284"/>
        <w:rPr>
          <w:rFonts w:eastAsia="Aptos" w:cs="Arial"/>
          <w:b/>
          <w:bCs/>
          <w:sz w:val="26"/>
          <w:szCs w:val="26"/>
          <w:lang w:val="en-US"/>
        </w:rPr>
      </w:pPr>
      <w:r w:rsidRPr="00D0306F">
        <w:rPr>
          <w:rFonts w:eastAsia="Aptos" w:cs="Arial"/>
          <w:b/>
          <w:bCs/>
          <w:sz w:val="26"/>
          <w:szCs w:val="26"/>
          <w:lang w:val="en-US"/>
        </w:rPr>
        <w:t xml:space="preserve">Supply of appropriate supplementary items </w:t>
      </w:r>
    </w:p>
    <w:p w14:paraId="608188A3" w14:textId="77777777" w:rsidR="00D65B85" w:rsidRPr="00D0306F" w:rsidRDefault="00D65B85" w:rsidP="00D65B85">
      <w:pPr>
        <w:rPr>
          <w:rFonts w:eastAsia="Aptos" w:cs="Arial"/>
          <w:b/>
          <w:bCs/>
          <w:lang w:val="en-US"/>
        </w:rPr>
      </w:pPr>
    </w:p>
    <w:p w14:paraId="6463C41B" w14:textId="77777777" w:rsidR="00D65B85" w:rsidRPr="00D0306F" w:rsidRDefault="00D65B85" w:rsidP="00D65B85">
      <w:pPr>
        <w:rPr>
          <w:rFonts w:eastAsia="Aptos" w:cs="Arial"/>
          <w:b/>
          <w:bCs/>
          <w:lang w:val="en-US"/>
        </w:rPr>
      </w:pPr>
      <w:r w:rsidRPr="00D0306F">
        <w:rPr>
          <w:rFonts w:eastAsia="Aptos" w:cs="Arial"/>
          <w:b/>
          <w:bCs/>
          <w:lang w:val="en-US"/>
        </w:rPr>
        <w:t>Service description</w:t>
      </w:r>
    </w:p>
    <w:p w14:paraId="6267396A" w14:textId="77777777" w:rsidR="00D65B85" w:rsidRPr="00D0306F" w:rsidRDefault="00D65B85" w:rsidP="00D65B85">
      <w:pPr>
        <w:rPr>
          <w:rFonts w:eastAsia="Aptos" w:cs="Arial"/>
          <w:lang w:val="en-US"/>
        </w:rPr>
      </w:pPr>
    </w:p>
    <w:p w14:paraId="2D129025" w14:textId="77777777" w:rsidR="00D65B85" w:rsidRPr="00D0306F" w:rsidRDefault="00D65B85" w:rsidP="00D65B85">
      <w:pPr>
        <w:rPr>
          <w:rFonts w:eastAsia="Aptos" w:cs="Arial"/>
          <w:lang w:val="en-US"/>
        </w:rPr>
      </w:pPr>
      <w:r w:rsidRPr="00D0306F">
        <w:rPr>
          <w:rFonts w:eastAsia="Aptos" w:cs="Arial"/>
          <w:lang w:val="en-US"/>
        </w:rPr>
        <w:t>The provision of additional items such as disposable wipes and disposal bags in connection with certain appliances.</w:t>
      </w:r>
    </w:p>
    <w:p w14:paraId="3C309FDA" w14:textId="77777777" w:rsidR="00D65B85" w:rsidRPr="00D0306F" w:rsidRDefault="00D65B85" w:rsidP="00D65B85">
      <w:pPr>
        <w:rPr>
          <w:rFonts w:eastAsia="Aptos" w:cs="Arial"/>
          <w:lang w:val="en-US"/>
        </w:rPr>
      </w:pPr>
    </w:p>
    <w:p w14:paraId="307141D1" w14:textId="77777777" w:rsidR="00D65B85" w:rsidRPr="00D0306F" w:rsidRDefault="00D65B85" w:rsidP="00D65B85">
      <w:pPr>
        <w:rPr>
          <w:rFonts w:eastAsia="Aptos" w:cs="Arial"/>
          <w:b/>
          <w:bCs/>
          <w:lang w:val="en-US"/>
        </w:rPr>
      </w:pPr>
      <w:r w:rsidRPr="00D0306F">
        <w:rPr>
          <w:rFonts w:eastAsia="Aptos" w:cs="Arial"/>
          <w:b/>
          <w:bCs/>
          <w:lang w:val="en-US"/>
        </w:rPr>
        <w:t>Aims and intended outcomes</w:t>
      </w:r>
    </w:p>
    <w:p w14:paraId="03F6BDAE" w14:textId="77777777" w:rsidR="00D65B85" w:rsidRPr="00D0306F" w:rsidRDefault="00D65B85" w:rsidP="00D65B85">
      <w:pPr>
        <w:rPr>
          <w:rFonts w:eastAsia="Aptos" w:cs="Arial"/>
          <w:b/>
          <w:lang w:val="en-US"/>
        </w:rPr>
      </w:pPr>
    </w:p>
    <w:p w14:paraId="2BD76C04" w14:textId="77777777" w:rsidR="00D65B85" w:rsidRPr="00D0306F" w:rsidRDefault="00D65B85" w:rsidP="00D65B85">
      <w:pPr>
        <w:rPr>
          <w:rFonts w:eastAsia="Aptos" w:cs="Arial"/>
          <w:lang w:val="en-US"/>
        </w:rPr>
      </w:pPr>
      <w:r w:rsidRPr="00D0306F">
        <w:rPr>
          <w:rFonts w:eastAsia="Aptos" w:cs="Arial"/>
          <w:lang w:val="en-US"/>
        </w:rPr>
        <w:t>To ensure that patients have a sufficient supply of wipes for use with their appliance and are able to dispose of them in a safe and hygienic way.</w:t>
      </w:r>
    </w:p>
    <w:p w14:paraId="0257AAF3" w14:textId="77777777" w:rsidR="00D65B85" w:rsidRPr="00D0306F" w:rsidRDefault="00D65B85" w:rsidP="00D65B85">
      <w:pPr>
        <w:rPr>
          <w:rFonts w:eastAsia="Aptos" w:cs="Arial"/>
          <w:lang w:val="en-US"/>
        </w:rPr>
      </w:pPr>
    </w:p>
    <w:p w14:paraId="7845E96A" w14:textId="77777777" w:rsidR="00D65B85" w:rsidRPr="00D0306F" w:rsidRDefault="00D65B85" w:rsidP="00B76905">
      <w:pPr>
        <w:numPr>
          <w:ilvl w:val="0"/>
          <w:numId w:val="233"/>
        </w:numPr>
        <w:ind w:left="284"/>
        <w:rPr>
          <w:rFonts w:eastAsia="Aptos" w:cs="Arial"/>
          <w:b/>
          <w:bCs/>
          <w:sz w:val="26"/>
          <w:szCs w:val="26"/>
          <w:lang w:val="en-US"/>
        </w:rPr>
      </w:pPr>
      <w:r w:rsidRPr="00D0306F">
        <w:rPr>
          <w:rFonts w:eastAsia="Aptos" w:cs="Arial"/>
          <w:b/>
          <w:bCs/>
          <w:sz w:val="26"/>
          <w:szCs w:val="26"/>
          <w:lang w:val="en-US"/>
        </w:rPr>
        <w:t xml:space="preserve">Provide expert clinical advice regarding the appliances </w:t>
      </w:r>
    </w:p>
    <w:p w14:paraId="2D18901B" w14:textId="77777777" w:rsidR="00D65B85" w:rsidRPr="00D0306F" w:rsidRDefault="00D65B85" w:rsidP="00D65B85">
      <w:pPr>
        <w:rPr>
          <w:rFonts w:eastAsia="Aptos" w:cs="Arial"/>
          <w:b/>
          <w:bCs/>
          <w:lang w:val="en-US"/>
        </w:rPr>
      </w:pPr>
    </w:p>
    <w:p w14:paraId="225D2B4F" w14:textId="77777777" w:rsidR="00D65B85" w:rsidRPr="00D0306F" w:rsidRDefault="00D65B85" w:rsidP="00D65B85">
      <w:pPr>
        <w:rPr>
          <w:rFonts w:eastAsia="Aptos" w:cs="Arial"/>
          <w:b/>
          <w:bCs/>
          <w:lang w:val="en-US"/>
        </w:rPr>
      </w:pPr>
      <w:r w:rsidRPr="00D0306F">
        <w:rPr>
          <w:rFonts w:eastAsia="Aptos" w:cs="Arial"/>
          <w:b/>
          <w:bCs/>
          <w:lang w:val="en-US"/>
        </w:rPr>
        <w:t>Service description</w:t>
      </w:r>
    </w:p>
    <w:p w14:paraId="6B5344D2" w14:textId="77777777" w:rsidR="00D65B85" w:rsidRPr="00D0306F" w:rsidRDefault="00D65B85" w:rsidP="00D65B85">
      <w:pPr>
        <w:rPr>
          <w:rFonts w:eastAsia="Aptos" w:cs="Arial"/>
          <w:lang w:val="en-US"/>
        </w:rPr>
      </w:pPr>
    </w:p>
    <w:p w14:paraId="7484254C" w14:textId="77777777" w:rsidR="00D65B85" w:rsidRPr="00D0306F" w:rsidRDefault="00D65B85" w:rsidP="00D65B85">
      <w:pPr>
        <w:rPr>
          <w:rFonts w:eastAsia="Aptos" w:cs="Arial"/>
          <w:lang w:val="en-US"/>
        </w:rPr>
      </w:pPr>
      <w:r w:rsidRPr="00D0306F">
        <w:rPr>
          <w:rFonts w:eastAsia="Aptos" w:cs="Arial"/>
          <w:lang w:val="en-US"/>
        </w:rPr>
        <w:t>The provision of expert clinical advice by a suitably trained person who has relevant experience in respect of certain appliances.</w:t>
      </w:r>
    </w:p>
    <w:p w14:paraId="0C97BBF0" w14:textId="77777777" w:rsidR="00D65B85" w:rsidRPr="00D0306F" w:rsidRDefault="00D65B85" w:rsidP="00D65B85">
      <w:pPr>
        <w:rPr>
          <w:rFonts w:eastAsia="Aptos" w:cs="Arial"/>
          <w:lang w:val="en-US"/>
        </w:rPr>
      </w:pPr>
    </w:p>
    <w:p w14:paraId="3411AC3F" w14:textId="77777777" w:rsidR="00D65B85" w:rsidRPr="00D0306F" w:rsidRDefault="00D65B85" w:rsidP="00D65B85">
      <w:pPr>
        <w:rPr>
          <w:rFonts w:eastAsia="Aptos" w:cs="Arial"/>
          <w:b/>
          <w:bCs/>
          <w:lang w:val="en-US"/>
        </w:rPr>
      </w:pPr>
      <w:r w:rsidRPr="00D0306F">
        <w:rPr>
          <w:rFonts w:eastAsia="Aptos" w:cs="Arial"/>
          <w:b/>
          <w:bCs/>
          <w:lang w:val="en-US"/>
        </w:rPr>
        <w:t>Aims and intended outcomes</w:t>
      </w:r>
    </w:p>
    <w:p w14:paraId="2509C05C" w14:textId="77777777" w:rsidR="00D65B85" w:rsidRPr="00D0306F" w:rsidRDefault="00D65B85" w:rsidP="00D65B85">
      <w:pPr>
        <w:rPr>
          <w:rFonts w:eastAsia="Aptos" w:cs="Arial"/>
          <w:b/>
          <w:lang w:val="en-US"/>
        </w:rPr>
      </w:pPr>
    </w:p>
    <w:p w14:paraId="02254A3D" w14:textId="77777777" w:rsidR="00D65B85" w:rsidRPr="00D0306F" w:rsidRDefault="00D65B85" w:rsidP="00D65B85">
      <w:pPr>
        <w:rPr>
          <w:rFonts w:eastAsia="Aptos" w:cs="Arial"/>
          <w:lang w:val="en-US"/>
        </w:rPr>
      </w:pPr>
      <w:r w:rsidRPr="00D0306F">
        <w:rPr>
          <w:rFonts w:eastAsia="Aptos" w:cs="Arial"/>
          <w:lang w:val="en-US"/>
        </w:rPr>
        <w:t>To ensure that patients are able to seek appropriate advice on their appliance to increase their confidence in choosing an appliance that suits their needs as well as gaining confidence to adjust to the changes in their life and learning to manage an appliance.</w:t>
      </w:r>
    </w:p>
    <w:p w14:paraId="6B9DBE34" w14:textId="77777777" w:rsidR="00D65B85" w:rsidRPr="00D0306F" w:rsidRDefault="00D65B85" w:rsidP="00D65B85">
      <w:pPr>
        <w:rPr>
          <w:rFonts w:eastAsia="Aptos" w:cs="Arial"/>
          <w:lang w:val="en-US"/>
        </w:rPr>
      </w:pPr>
    </w:p>
    <w:p w14:paraId="1D96CC01" w14:textId="77777777" w:rsidR="00D65B85" w:rsidRPr="00D0306F" w:rsidRDefault="00D65B85" w:rsidP="00D65B85">
      <w:pPr>
        <w:rPr>
          <w:rFonts w:eastAsia="Aptos" w:cs="Arial"/>
          <w:lang w:val="en-US"/>
        </w:rPr>
      </w:pPr>
    </w:p>
    <w:p w14:paraId="3D1CF730" w14:textId="77777777" w:rsidR="00D65B85" w:rsidRPr="00D0306F" w:rsidRDefault="00D65B85" w:rsidP="00D65B85">
      <w:pPr>
        <w:rPr>
          <w:rFonts w:eastAsia="Aptos" w:cs="Arial"/>
          <w:lang w:val="en-US"/>
        </w:rPr>
      </w:pPr>
    </w:p>
    <w:p w14:paraId="1B43C874" w14:textId="77777777" w:rsidR="00D65B85" w:rsidRPr="00D0306F" w:rsidRDefault="00D65B85" w:rsidP="00B76905">
      <w:pPr>
        <w:numPr>
          <w:ilvl w:val="0"/>
          <w:numId w:val="233"/>
        </w:numPr>
        <w:ind w:left="284"/>
        <w:rPr>
          <w:rFonts w:eastAsia="Aptos" w:cs="Arial"/>
          <w:b/>
          <w:bCs/>
          <w:sz w:val="26"/>
          <w:szCs w:val="26"/>
          <w:lang w:val="en-US"/>
        </w:rPr>
      </w:pPr>
      <w:r w:rsidRPr="00D0306F">
        <w:rPr>
          <w:rFonts w:eastAsia="Aptos" w:cs="Arial"/>
          <w:b/>
          <w:bCs/>
          <w:sz w:val="26"/>
          <w:szCs w:val="26"/>
          <w:lang w:val="en-US"/>
        </w:rPr>
        <w:lastRenderedPageBreak/>
        <w:t>Where a telephone care line is provided, during the period when the dispensing appliance contractor is closed advice is either to be provided via the care line or callers are directed to NHS Direct Wales</w:t>
      </w:r>
    </w:p>
    <w:p w14:paraId="126DBFB8" w14:textId="77777777" w:rsidR="00D65B85" w:rsidRPr="00D0306F" w:rsidRDefault="00D65B85" w:rsidP="00D65B85">
      <w:pPr>
        <w:rPr>
          <w:rFonts w:eastAsia="Aptos" w:cs="Arial"/>
          <w:b/>
          <w:lang w:val="en-US"/>
        </w:rPr>
      </w:pPr>
    </w:p>
    <w:p w14:paraId="1760A474" w14:textId="77777777" w:rsidR="00D65B85" w:rsidRPr="00D0306F" w:rsidRDefault="00D65B85" w:rsidP="00D65B85">
      <w:pPr>
        <w:rPr>
          <w:rFonts w:eastAsia="Aptos" w:cs="Arial"/>
          <w:b/>
          <w:bCs/>
          <w:lang w:val="en-US"/>
        </w:rPr>
      </w:pPr>
      <w:r w:rsidRPr="00D0306F">
        <w:rPr>
          <w:rFonts w:eastAsia="Aptos" w:cs="Arial"/>
          <w:b/>
          <w:bCs/>
          <w:lang w:val="en-US"/>
        </w:rPr>
        <w:t>Service description</w:t>
      </w:r>
    </w:p>
    <w:p w14:paraId="7191A8DD" w14:textId="77777777" w:rsidR="00D65B85" w:rsidRPr="00D0306F" w:rsidRDefault="00D65B85" w:rsidP="00D65B85">
      <w:pPr>
        <w:rPr>
          <w:rFonts w:eastAsia="Aptos" w:cs="Arial"/>
          <w:b/>
          <w:lang w:val="en-US"/>
        </w:rPr>
      </w:pPr>
    </w:p>
    <w:p w14:paraId="7C08255C" w14:textId="77777777" w:rsidR="00D65B85" w:rsidRPr="00D0306F" w:rsidRDefault="00D65B85" w:rsidP="00D65B85">
      <w:pPr>
        <w:rPr>
          <w:rFonts w:eastAsia="Aptos" w:cs="Arial"/>
          <w:lang w:val="en-US"/>
        </w:rPr>
      </w:pPr>
      <w:r w:rsidRPr="00D0306F">
        <w:rPr>
          <w:rFonts w:eastAsia="Aptos" w:cs="Arial"/>
          <w:lang w:val="en-US"/>
        </w:rPr>
        <w:t>Provision of advice on certain appliances via a telephone care line outside of the dispensing appliance contractor’s contracted opening hours. The dispensing appliance contractor is not required to staff the care line all day, every day, but when it is not staffed callers must be given a telephone number or website contact details for NHS Direct Wales who may be consulted for advice.</w:t>
      </w:r>
    </w:p>
    <w:p w14:paraId="5F8E3D05" w14:textId="77777777" w:rsidR="00D65B85" w:rsidRPr="00D0306F" w:rsidRDefault="00D65B85" w:rsidP="00D65B85">
      <w:pPr>
        <w:rPr>
          <w:rFonts w:eastAsia="Aptos" w:cs="Arial"/>
          <w:lang w:val="en-US"/>
        </w:rPr>
      </w:pPr>
    </w:p>
    <w:p w14:paraId="6EC7D9BB" w14:textId="77777777" w:rsidR="00D65B85" w:rsidRPr="00D0306F" w:rsidRDefault="00D65B85" w:rsidP="00D65B85">
      <w:pPr>
        <w:rPr>
          <w:rFonts w:eastAsia="Aptos" w:cs="Arial"/>
          <w:b/>
          <w:bCs/>
          <w:lang w:val="en-US"/>
        </w:rPr>
      </w:pPr>
      <w:r w:rsidRPr="00D0306F">
        <w:rPr>
          <w:rFonts w:eastAsia="Aptos" w:cs="Arial"/>
          <w:b/>
          <w:bCs/>
          <w:lang w:val="en-US"/>
        </w:rPr>
        <w:t>Aims and intended outcomes</w:t>
      </w:r>
    </w:p>
    <w:p w14:paraId="03F8D0E0" w14:textId="77777777" w:rsidR="00D65B85" w:rsidRPr="00D0306F" w:rsidRDefault="00D65B85" w:rsidP="00D65B85">
      <w:pPr>
        <w:rPr>
          <w:rFonts w:eastAsia="Aptos" w:cs="Arial"/>
          <w:b/>
          <w:lang w:val="en-US"/>
        </w:rPr>
      </w:pPr>
    </w:p>
    <w:p w14:paraId="7B71D140" w14:textId="77777777" w:rsidR="00D65B85" w:rsidRPr="00D0306F" w:rsidRDefault="00D65B85" w:rsidP="00D65B85">
      <w:pPr>
        <w:rPr>
          <w:rFonts w:eastAsia="Aptos" w:cs="Arial"/>
          <w:lang w:val="en-US"/>
        </w:rPr>
      </w:pPr>
      <w:r w:rsidRPr="00D0306F">
        <w:rPr>
          <w:rFonts w:eastAsia="Aptos" w:cs="Arial"/>
          <w:lang w:val="en-US"/>
        </w:rPr>
        <w:t>Callers to the telephone care line are able to access advice 24 hours a day, seven days a week on certain appliances in order to manage their appliance.</w:t>
      </w:r>
    </w:p>
    <w:p w14:paraId="58758713" w14:textId="77777777" w:rsidR="00D65B85" w:rsidRPr="00D0306F" w:rsidRDefault="00D65B85" w:rsidP="00D65B85">
      <w:pPr>
        <w:rPr>
          <w:rFonts w:eastAsia="Aptos" w:cs="Arial"/>
          <w:lang w:val="en-US"/>
        </w:rPr>
      </w:pPr>
    </w:p>
    <w:p w14:paraId="2FCBC370" w14:textId="77777777" w:rsidR="00D65B85" w:rsidRPr="00D0306F" w:rsidRDefault="00D65B85" w:rsidP="00B76905">
      <w:pPr>
        <w:numPr>
          <w:ilvl w:val="0"/>
          <w:numId w:val="233"/>
        </w:numPr>
        <w:ind w:left="284"/>
        <w:rPr>
          <w:rFonts w:eastAsia="Aptos" w:cs="Arial"/>
          <w:b/>
          <w:bCs/>
          <w:sz w:val="26"/>
          <w:szCs w:val="26"/>
          <w:lang w:val="en-US"/>
        </w:rPr>
      </w:pPr>
      <w:r w:rsidRPr="00D0306F">
        <w:rPr>
          <w:rFonts w:eastAsia="Aptos" w:cs="Arial"/>
          <w:b/>
          <w:bCs/>
          <w:sz w:val="26"/>
          <w:szCs w:val="26"/>
          <w:lang w:val="en-US"/>
        </w:rPr>
        <w:t xml:space="preserve">Signposting </w:t>
      </w:r>
    </w:p>
    <w:p w14:paraId="371569DE" w14:textId="77777777" w:rsidR="00D65B85" w:rsidRPr="00D0306F" w:rsidRDefault="00D65B85" w:rsidP="00D65B85">
      <w:pPr>
        <w:rPr>
          <w:rFonts w:eastAsia="Aptos" w:cs="Arial"/>
          <w:b/>
          <w:bCs/>
          <w:lang w:val="en-US"/>
        </w:rPr>
      </w:pPr>
    </w:p>
    <w:p w14:paraId="4B8B3CBE" w14:textId="77777777" w:rsidR="00D65B85" w:rsidRPr="00D0306F" w:rsidRDefault="00D65B85" w:rsidP="00D65B85">
      <w:pPr>
        <w:rPr>
          <w:rFonts w:eastAsia="Aptos" w:cs="Arial"/>
          <w:b/>
          <w:bCs/>
          <w:lang w:val="en-US"/>
        </w:rPr>
      </w:pPr>
      <w:r w:rsidRPr="00D0306F">
        <w:rPr>
          <w:rFonts w:eastAsia="Aptos" w:cs="Arial"/>
          <w:b/>
          <w:bCs/>
          <w:lang w:val="en-US"/>
        </w:rPr>
        <w:t>Service description</w:t>
      </w:r>
    </w:p>
    <w:p w14:paraId="37A62FB9" w14:textId="77777777" w:rsidR="00D65B85" w:rsidRPr="00D0306F" w:rsidRDefault="00D65B85" w:rsidP="00D65B85">
      <w:pPr>
        <w:rPr>
          <w:rFonts w:eastAsia="Aptos" w:cs="Arial"/>
          <w:lang w:val="en-US"/>
        </w:rPr>
      </w:pPr>
    </w:p>
    <w:p w14:paraId="7D8198DB" w14:textId="77777777" w:rsidR="00D65B85" w:rsidRPr="00D0306F" w:rsidRDefault="00D65B85" w:rsidP="00D65B85">
      <w:pPr>
        <w:rPr>
          <w:rFonts w:eastAsia="Aptos" w:cs="Arial"/>
          <w:lang w:val="en-US"/>
        </w:rPr>
      </w:pPr>
      <w:r w:rsidRPr="00D0306F">
        <w:rPr>
          <w:rFonts w:eastAsia="Aptos" w:cs="Arial"/>
          <w:lang w:val="en-US"/>
        </w:rPr>
        <w:t>Where a patient presents a prescription for an appliance which the dispensing appliance contractor does not supply the prescription is either:</w:t>
      </w:r>
    </w:p>
    <w:p w14:paraId="6FD202CA" w14:textId="77777777" w:rsidR="00D65B85" w:rsidRPr="00D0306F" w:rsidRDefault="00D65B85" w:rsidP="00D65B85">
      <w:pPr>
        <w:rPr>
          <w:rFonts w:eastAsia="Aptos" w:cs="Arial"/>
          <w:lang w:val="en-US"/>
        </w:rPr>
      </w:pPr>
    </w:p>
    <w:p w14:paraId="66C1FBB0" w14:textId="77777777" w:rsidR="00D65B85" w:rsidRPr="00D0306F" w:rsidRDefault="00D65B85" w:rsidP="00B76905">
      <w:pPr>
        <w:numPr>
          <w:ilvl w:val="0"/>
          <w:numId w:val="237"/>
        </w:numPr>
        <w:contextualSpacing/>
        <w:rPr>
          <w:rFonts w:eastAsia="Aptos" w:cs="Arial"/>
          <w:lang w:val="en-US"/>
        </w:rPr>
      </w:pPr>
      <w:r w:rsidRPr="00D0306F">
        <w:rPr>
          <w:rFonts w:eastAsia="Aptos" w:cs="Arial"/>
          <w:lang w:val="en-US"/>
        </w:rPr>
        <w:t>With the consent of the patient, passed to another provider of appliances, or</w:t>
      </w:r>
    </w:p>
    <w:p w14:paraId="3AE175F7" w14:textId="77777777" w:rsidR="00D65B85" w:rsidRPr="00D0306F" w:rsidRDefault="00D65B85" w:rsidP="00B76905">
      <w:pPr>
        <w:numPr>
          <w:ilvl w:val="0"/>
          <w:numId w:val="237"/>
        </w:numPr>
        <w:contextualSpacing/>
        <w:rPr>
          <w:rFonts w:eastAsia="Aptos" w:cs="Arial"/>
          <w:lang w:val="en-US"/>
        </w:rPr>
      </w:pPr>
      <w:r w:rsidRPr="00D0306F">
        <w:rPr>
          <w:rFonts w:eastAsia="Aptos" w:cs="Arial"/>
          <w:lang w:val="en-US"/>
        </w:rPr>
        <w:t>If the patient does not consent, they are given contact details for at least two other contractors who are able to dispense it.</w:t>
      </w:r>
    </w:p>
    <w:p w14:paraId="76775533" w14:textId="77777777" w:rsidR="00D65B85" w:rsidRPr="00D0306F" w:rsidRDefault="00D65B85" w:rsidP="00D65B85">
      <w:pPr>
        <w:rPr>
          <w:rFonts w:eastAsia="Aptos" w:cs="Arial"/>
          <w:lang w:val="en-US"/>
        </w:rPr>
      </w:pPr>
    </w:p>
    <w:p w14:paraId="5B0C88E0" w14:textId="77777777" w:rsidR="00D65B85" w:rsidRPr="00D0306F" w:rsidRDefault="00D65B85" w:rsidP="00D65B85">
      <w:pPr>
        <w:rPr>
          <w:rFonts w:eastAsia="Aptos" w:cs="Arial"/>
          <w:b/>
          <w:bCs/>
          <w:lang w:val="en-US"/>
        </w:rPr>
      </w:pPr>
      <w:r w:rsidRPr="00D0306F">
        <w:rPr>
          <w:rFonts w:eastAsia="Aptos" w:cs="Arial"/>
          <w:b/>
          <w:bCs/>
          <w:lang w:val="en-US"/>
        </w:rPr>
        <w:t>Aims and intended outcomes</w:t>
      </w:r>
    </w:p>
    <w:p w14:paraId="0AEBE341" w14:textId="77777777" w:rsidR="00D65B85" w:rsidRPr="00D0306F" w:rsidRDefault="00D65B85" w:rsidP="00D65B85">
      <w:pPr>
        <w:rPr>
          <w:rFonts w:eastAsia="Aptos" w:cs="Arial"/>
          <w:b/>
          <w:lang w:val="en-US"/>
        </w:rPr>
      </w:pPr>
    </w:p>
    <w:p w14:paraId="1679DAFB" w14:textId="77777777" w:rsidR="00D65B85" w:rsidRPr="00D0306F" w:rsidRDefault="00D65B85" w:rsidP="00D65B85">
      <w:pPr>
        <w:rPr>
          <w:rFonts w:eastAsia="Aptos" w:cs="Arial"/>
          <w:lang w:val="en-US"/>
        </w:rPr>
      </w:pPr>
      <w:r w:rsidRPr="00D0306F">
        <w:rPr>
          <w:rFonts w:eastAsia="Aptos" w:cs="Arial"/>
          <w:lang w:val="en-US"/>
        </w:rPr>
        <w:t>To ensure that patients are able to have their prescription dispensed.</w:t>
      </w:r>
    </w:p>
    <w:p w14:paraId="586EE190" w14:textId="77777777" w:rsidR="00027D58" w:rsidRPr="00027D58" w:rsidRDefault="00027D58" w:rsidP="00027D58">
      <w:pPr>
        <w:rPr>
          <w:rFonts w:eastAsia="Aptos" w:cs="Arial"/>
        </w:rPr>
      </w:pPr>
    </w:p>
    <w:p w14:paraId="402BEBB8" w14:textId="30282814" w:rsidR="00B752F8" w:rsidRPr="00D0306F" w:rsidRDefault="00B752F8">
      <w:pPr>
        <w:spacing w:after="160" w:line="278" w:lineRule="auto"/>
        <w:rPr>
          <w:rFonts w:eastAsia="Aptos" w:cs="Arial"/>
        </w:rPr>
      </w:pPr>
      <w:r w:rsidRPr="00D0306F">
        <w:rPr>
          <w:rFonts w:eastAsia="Aptos" w:cs="Arial"/>
        </w:rPr>
        <w:br w:type="page"/>
      </w:r>
    </w:p>
    <w:p w14:paraId="6853BA47" w14:textId="77777777" w:rsidR="00437231" w:rsidRPr="00D0306F" w:rsidRDefault="00437231" w:rsidP="00243304">
      <w:pPr>
        <w:pStyle w:val="Heading1"/>
        <w:rPr>
          <w:rFonts w:eastAsia="Arial"/>
          <w:sz w:val="28"/>
          <w:szCs w:val="28"/>
          <w:lang w:val="en-US"/>
        </w:rPr>
      </w:pPr>
      <w:bookmarkStart w:id="51" w:name="_Toc235185393"/>
      <w:r w:rsidRPr="00D0306F">
        <w:rPr>
          <w:rFonts w:eastAsia="Arial"/>
          <w:sz w:val="28"/>
          <w:szCs w:val="28"/>
          <w:lang w:val="en-US"/>
        </w:rPr>
        <w:lastRenderedPageBreak/>
        <w:t>Appendix</w:t>
      </w:r>
      <w:r w:rsidRPr="00D0306F">
        <w:rPr>
          <w:rFonts w:eastAsia="Arial"/>
          <w:spacing w:val="-1"/>
          <w:sz w:val="28"/>
          <w:szCs w:val="28"/>
          <w:lang w:val="en-US"/>
        </w:rPr>
        <w:t xml:space="preserve"> </w:t>
      </w:r>
      <w:r w:rsidRPr="00D0306F">
        <w:rPr>
          <w:rFonts w:eastAsia="Arial"/>
          <w:sz w:val="28"/>
          <w:szCs w:val="28"/>
          <w:lang w:val="en-US"/>
        </w:rPr>
        <w:t>F</w:t>
      </w:r>
      <w:r w:rsidRPr="00D0306F">
        <w:rPr>
          <w:rFonts w:eastAsia="Arial"/>
          <w:spacing w:val="1"/>
          <w:sz w:val="28"/>
          <w:szCs w:val="28"/>
          <w:lang w:val="en-US"/>
        </w:rPr>
        <w:t xml:space="preserve"> </w:t>
      </w:r>
      <w:r w:rsidRPr="00D0306F">
        <w:rPr>
          <w:rFonts w:eastAsia="Arial"/>
          <w:sz w:val="28"/>
          <w:szCs w:val="28"/>
          <w:lang w:val="en-US"/>
        </w:rPr>
        <w:t>– pharmaceutical needs assessment steering</w:t>
      </w:r>
      <w:r w:rsidRPr="00D0306F">
        <w:rPr>
          <w:rFonts w:eastAsia="Arial"/>
          <w:spacing w:val="-1"/>
          <w:sz w:val="28"/>
          <w:szCs w:val="28"/>
          <w:lang w:val="en-US"/>
        </w:rPr>
        <w:t xml:space="preserve"> </w:t>
      </w:r>
      <w:r w:rsidRPr="00D0306F">
        <w:rPr>
          <w:rFonts w:eastAsia="Arial"/>
          <w:sz w:val="28"/>
          <w:szCs w:val="28"/>
          <w:lang w:val="en-US"/>
        </w:rPr>
        <w:t xml:space="preserve">group </w:t>
      </w:r>
      <w:r w:rsidRPr="00D0306F">
        <w:rPr>
          <w:rFonts w:eastAsia="Arial"/>
          <w:spacing w:val="-2"/>
          <w:sz w:val="28"/>
          <w:szCs w:val="28"/>
          <w:lang w:val="en-US"/>
        </w:rPr>
        <w:t>membership</w:t>
      </w:r>
      <w:bookmarkEnd w:id="51"/>
    </w:p>
    <w:p w14:paraId="6F1E2D60" w14:textId="77777777" w:rsidR="00437231" w:rsidRPr="00437231" w:rsidRDefault="00437231" w:rsidP="00437231">
      <w:pPr>
        <w:widowControl w:val="0"/>
        <w:autoSpaceDE w:val="0"/>
        <w:autoSpaceDN w:val="0"/>
        <w:rPr>
          <w:rFonts w:eastAsia="Arial" w:cs="Arial"/>
          <w:b/>
          <w:kern w:val="0"/>
          <w:lang w:val="en-US"/>
          <w14:ligatures w14:val="none"/>
        </w:rPr>
      </w:pPr>
    </w:p>
    <w:tbl>
      <w:tblPr>
        <w:tblStyle w:val="TableGrid"/>
        <w:tblW w:w="0" w:type="auto"/>
        <w:tblInd w:w="0" w:type="dxa"/>
        <w:tblLook w:val="04A0" w:firstRow="1" w:lastRow="0" w:firstColumn="1" w:lastColumn="0" w:noHBand="0" w:noVBand="1"/>
      </w:tblPr>
      <w:tblGrid>
        <w:gridCol w:w="3005"/>
        <w:gridCol w:w="3005"/>
        <w:gridCol w:w="3006"/>
      </w:tblGrid>
      <w:tr w:rsidR="00437231" w:rsidRPr="00437231" w14:paraId="1B208736" w14:textId="77777777" w:rsidTr="00437231">
        <w:tc>
          <w:tcPr>
            <w:tcW w:w="3005" w:type="dxa"/>
            <w:tcBorders>
              <w:top w:val="single" w:sz="4" w:space="0" w:color="auto"/>
              <w:left w:val="single" w:sz="4" w:space="0" w:color="auto"/>
              <w:bottom w:val="single" w:sz="4" w:space="0" w:color="auto"/>
              <w:right w:val="single" w:sz="4" w:space="0" w:color="auto"/>
            </w:tcBorders>
            <w:hideMark/>
          </w:tcPr>
          <w:p w14:paraId="73BFB82E" w14:textId="77777777" w:rsidR="00437231" w:rsidRPr="00437231" w:rsidRDefault="00437231" w:rsidP="00437231">
            <w:pPr>
              <w:widowControl w:val="0"/>
              <w:autoSpaceDE w:val="0"/>
              <w:autoSpaceDN w:val="0"/>
              <w:rPr>
                <w:rFonts w:eastAsia="Arial" w:cs="Arial"/>
                <w:b/>
                <w:kern w:val="0"/>
                <w:lang w:val="en-US"/>
                <w14:ligatures w14:val="none"/>
              </w:rPr>
            </w:pPr>
            <w:r w:rsidRPr="00437231">
              <w:rPr>
                <w:rFonts w:eastAsia="Arial" w:cs="Arial"/>
                <w:b/>
                <w:kern w:val="0"/>
                <w:lang w:val="en-US"/>
                <w14:ligatures w14:val="none"/>
              </w:rPr>
              <w:t>Name</w:t>
            </w:r>
          </w:p>
        </w:tc>
        <w:tc>
          <w:tcPr>
            <w:tcW w:w="3005" w:type="dxa"/>
            <w:tcBorders>
              <w:top w:val="single" w:sz="4" w:space="0" w:color="auto"/>
              <w:left w:val="single" w:sz="4" w:space="0" w:color="auto"/>
              <w:bottom w:val="single" w:sz="4" w:space="0" w:color="auto"/>
              <w:right w:val="single" w:sz="4" w:space="0" w:color="auto"/>
            </w:tcBorders>
            <w:hideMark/>
          </w:tcPr>
          <w:p w14:paraId="1D09A3BD" w14:textId="77777777" w:rsidR="00437231" w:rsidRPr="00437231" w:rsidRDefault="00437231" w:rsidP="00437231">
            <w:pPr>
              <w:widowControl w:val="0"/>
              <w:autoSpaceDE w:val="0"/>
              <w:autoSpaceDN w:val="0"/>
              <w:rPr>
                <w:rFonts w:eastAsia="Arial" w:cs="Arial"/>
                <w:b/>
                <w:kern w:val="0"/>
                <w:lang w:val="en-US"/>
                <w14:ligatures w14:val="none"/>
              </w:rPr>
            </w:pPr>
            <w:r w:rsidRPr="00437231">
              <w:rPr>
                <w:rFonts w:eastAsia="Arial" w:cs="Arial"/>
                <w:b/>
                <w:kern w:val="0"/>
                <w:lang w:val="en-US"/>
                <w14:ligatures w14:val="none"/>
              </w:rPr>
              <w:t>Role</w:t>
            </w:r>
          </w:p>
        </w:tc>
        <w:tc>
          <w:tcPr>
            <w:tcW w:w="3006" w:type="dxa"/>
            <w:tcBorders>
              <w:top w:val="single" w:sz="4" w:space="0" w:color="auto"/>
              <w:left w:val="single" w:sz="4" w:space="0" w:color="auto"/>
              <w:bottom w:val="single" w:sz="4" w:space="0" w:color="auto"/>
              <w:right w:val="single" w:sz="4" w:space="0" w:color="auto"/>
            </w:tcBorders>
            <w:hideMark/>
          </w:tcPr>
          <w:p w14:paraId="15DB5A36" w14:textId="77777777" w:rsidR="00437231" w:rsidRPr="00437231" w:rsidRDefault="00437231" w:rsidP="00437231">
            <w:pPr>
              <w:widowControl w:val="0"/>
              <w:autoSpaceDE w:val="0"/>
              <w:autoSpaceDN w:val="0"/>
              <w:rPr>
                <w:rFonts w:eastAsia="Arial" w:cs="Arial"/>
                <w:b/>
                <w:kern w:val="0"/>
                <w:lang w:val="en-US"/>
                <w14:ligatures w14:val="none"/>
              </w:rPr>
            </w:pPr>
            <w:r w:rsidRPr="00437231">
              <w:rPr>
                <w:rFonts w:eastAsia="Arial" w:cs="Arial"/>
                <w:b/>
                <w:kern w:val="0"/>
                <w:lang w:val="en-US"/>
                <w14:ligatures w14:val="none"/>
              </w:rPr>
              <w:t>Organisation</w:t>
            </w:r>
          </w:p>
        </w:tc>
      </w:tr>
      <w:tr w:rsidR="00437231" w:rsidRPr="00437231" w14:paraId="4600AA1B" w14:textId="77777777" w:rsidTr="00437231">
        <w:tc>
          <w:tcPr>
            <w:tcW w:w="3005" w:type="dxa"/>
            <w:tcBorders>
              <w:top w:val="single" w:sz="4" w:space="0" w:color="auto"/>
              <w:left w:val="single" w:sz="4" w:space="0" w:color="auto"/>
              <w:bottom w:val="single" w:sz="4" w:space="0" w:color="auto"/>
              <w:right w:val="single" w:sz="4" w:space="0" w:color="auto"/>
            </w:tcBorders>
            <w:hideMark/>
          </w:tcPr>
          <w:p w14:paraId="49EFE1EE"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bCs/>
                <w:kern w:val="0"/>
                <w:lang w:val="en-US"/>
                <w14:ligatures w14:val="none"/>
              </w:rPr>
              <w:t>Judith Vincent</w:t>
            </w:r>
          </w:p>
        </w:tc>
        <w:tc>
          <w:tcPr>
            <w:tcW w:w="3005" w:type="dxa"/>
            <w:tcBorders>
              <w:top w:val="single" w:sz="4" w:space="0" w:color="auto"/>
              <w:left w:val="single" w:sz="4" w:space="0" w:color="auto"/>
              <w:bottom w:val="single" w:sz="4" w:space="0" w:color="auto"/>
              <w:right w:val="single" w:sz="4" w:space="0" w:color="auto"/>
            </w:tcBorders>
            <w:hideMark/>
          </w:tcPr>
          <w:p w14:paraId="12BB53F6"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bCs/>
                <w:kern w:val="0"/>
                <w:lang w:val="en-US"/>
                <w14:ligatures w14:val="none"/>
              </w:rPr>
              <w:t>Clinical director pharmacy and chair of the group</w:t>
            </w:r>
          </w:p>
        </w:tc>
        <w:tc>
          <w:tcPr>
            <w:tcW w:w="3006" w:type="dxa"/>
            <w:tcBorders>
              <w:top w:val="single" w:sz="4" w:space="0" w:color="auto"/>
              <w:left w:val="single" w:sz="4" w:space="0" w:color="auto"/>
              <w:bottom w:val="single" w:sz="4" w:space="0" w:color="auto"/>
              <w:right w:val="single" w:sz="4" w:space="0" w:color="auto"/>
            </w:tcBorders>
            <w:hideMark/>
          </w:tcPr>
          <w:p w14:paraId="3790B871"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kern w:val="0"/>
                <w:lang w:val="en-US"/>
                <w14:ligatures w14:val="none"/>
              </w:rPr>
              <w:t>Swansea</w:t>
            </w:r>
            <w:r w:rsidRPr="00437231">
              <w:rPr>
                <w:rFonts w:eastAsia="Arial" w:cs="Arial"/>
                <w:spacing w:val="-6"/>
                <w:kern w:val="0"/>
                <w:lang w:val="en-US"/>
                <w14:ligatures w14:val="none"/>
              </w:rPr>
              <w:t xml:space="preserve"> </w:t>
            </w:r>
            <w:r w:rsidRPr="00437231">
              <w:rPr>
                <w:rFonts w:eastAsia="Arial" w:cs="Arial"/>
                <w:kern w:val="0"/>
                <w:lang w:val="en-US"/>
                <w14:ligatures w14:val="none"/>
              </w:rPr>
              <w:t>Bay</w:t>
            </w:r>
            <w:r w:rsidRPr="00437231">
              <w:rPr>
                <w:rFonts w:eastAsia="Arial" w:cs="Arial"/>
                <w:spacing w:val="-8"/>
                <w:kern w:val="0"/>
                <w:lang w:val="en-US"/>
                <w14:ligatures w14:val="none"/>
              </w:rPr>
              <w:t xml:space="preserve"> </w:t>
            </w:r>
            <w:r w:rsidRPr="00437231">
              <w:rPr>
                <w:rFonts w:eastAsia="Arial" w:cs="Arial"/>
                <w:kern w:val="0"/>
                <w:lang w:val="en-US"/>
                <w14:ligatures w14:val="none"/>
              </w:rPr>
              <w:t>University</w:t>
            </w:r>
            <w:r w:rsidRPr="00437231">
              <w:rPr>
                <w:rFonts w:eastAsia="Arial" w:cs="Arial"/>
                <w:spacing w:val="-4"/>
                <w:kern w:val="0"/>
                <w:lang w:val="en-US"/>
                <w14:ligatures w14:val="none"/>
              </w:rPr>
              <w:t xml:space="preserve"> </w:t>
            </w:r>
            <w:r w:rsidRPr="00437231">
              <w:rPr>
                <w:rFonts w:eastAsia="Arial" w:cs="Arial"/>
                <w:spacing w:val="-2"/>
                <w:kern w:val="0"/>
                <w:lang w:val="en-US"/>
                <w14:ligatures w14:val="none"/>
              </w:rPr>
              <w:t xml:space="preserve">Health </w:t>
            </w:r>
            <w:r w:rsidRPr="00437231">
              <w:rPr>
                <w:rFonts w:eastAsia="Arial" w:cs="Arial"/>
                <w:spacing w:val="-4"/>
                <w:kern w:val="0"/>
                <w:lang w:val="en-US"/>
                <w14:ligatures w14:val="none"/>
              </w:rPr>
              <w:t>Board</w:t>
            </w:r>
          </w:p>
        </w:tc>
      </w:tr>
      <w:tr w:rsidR="00437231" w:rsidRPr="00437231" w14:paraId="255ADF3A" w14:textId="77777777" w:rsidTr="00437231">
        <w:tc>
          <w:tcPr>
            <w:tcW w:w="3005" w:type="dxa"/>
            <w:tcBorders>
              <w:top w:val="single" w:sz="4" w:space="0" w:color="auto"/>
              <w:left w:val="single" w:sz="4" w:space="0" w:color="auto"/>
              <w:bottom w:val="single" w:sz="4" w:space="0" w:color="auto"/>
              <w:right w:val="single" w:sz="4" w:space="0" w:color="auto"/>
            </w:tcBorders>
            <w:hideMark/>
          </w:tcPr>
          <w:p w14:paraId="228AAC98"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bCs/>
                <w:kern w:val="0"/>
                <w:lang w:val="en-US"/>
                <w14:ligatures w14:val="none"/>
              </w:rPr>
              <w:t>Sam Page</w:t>
            </w:r>
          </w:p>
        </w:tc>
        <w:tc>
          <w:tcPr>
            <w:tcW w:w="3005" w:type="dxa"/>
            <w:tcBorders>
              <w:top w:val="single" w:sz="4" w:space="0" w:color="auto"/>
              <w:left w:val="single" w:sz="4" w:space="0" w:color="auto"/>
              <w:bottom w:val="single" w:sz="4" w:space="0" w:color="auto"/>
              <w:right w:val="single" w:sz="4" w:space="0" w:color="auto"/>
            </w:tcBorders>
            <w:hideMark/>
          </w:tcPr>
          <w:p w14:paraId="3D0C1471"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bCs/>
                <w:kern w:val="0"/>
                <w:lang w:val="en-US"/>
                <w14:ligatures w14:val="none"/>
              </w:rPr>
              <w:t>Head of primary care and vice chair of the group</w:t>
            </w:r>
          </w:p>
        </w:tc>
        <w:tc>
          <w:tcPr>
            <w:tcW w:w="3006" w:type="dxa"/>
            <w:tcBorders>
              <w:top w:val="single" w:sz="4" w:space="0" w:color="auto"/>
              <w:left w:val="single" w:sz="4" w:space="0" w:color="auto"/>
              <w:bottom w:val="single" w:sz="4" w:space="0" w:color="auto"/>
              <w:right w:val="single" w:sz="4" w:space="0" w:color="auto"/>
            </w:tcBorders>
            <w:hideMark/>
          </w:tcPr>
          <w:p w14:paraId="137908FF"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kern w:val="0"/>
                <w:lang w:val="en-US"/>
                <w14:ligatures w14:val="none"/>
              </w:rPr>
              <w:t>Swansea</w:t>
            </w:r>
            <w:r w:rsidRPr="00437231">
              <w:rPr>
                <w:rFonts w:eastAsia="Arial" w:cs="Arial"/>
                <w:spacing w:val="-6"/>
                <w:kern w:val="0"/>
                <w:lang w:val="en-US"/>
                <w14:ligatures w14:val="none"/>
              </w:rPr>
              <w:t xml:space="preserve"> </w:t>
            </w:r>
            <w:r w:rsidRPr="00437231">
              <w:rPr>
                <w:rFonts w:eastAsia="Arial" w:cs="Arial"/>
                <w:kern w:val="0"/>
                <w:lang w:val="en-US"/>
                <w14:ligatures w14:val="none"/>
              </w:rPr>
              <w:t>Bay</w:t>
            </w:r>
            <w:r w:rsidRPr="00437231">
              <w:rPr>
                <w:rFonts w:eastAsia="Arial" w:cs="Arial"/>
                <w:spacing w:val="-8"/>
                <w:kern w:val="0"/>
                <w:lang w:val="en-US"/>
                <w14:ligatures w14:val="none"/>
              </w:rPr>
              <w:t xml:space="preserve"> </w:t>
            </w:r>
            <w:r w:rsidRPr="00437231">
              <w:rPr>
                <w:rFonts w:eastAsia="Arial" w:cs="Arial"/>
                <w:kern w:val="0"/>
                <w:lang w:val="en-US"/>
                <w14:ligatures w14:val="none"/>
              </w:rPr>
              <w:t>University</w:t>
            </w:r>
            <w:r w:rsidRPr="00437231">
              <w:rPr>
                <w:rFonts w:eastAsia="Arial" w:cs="Arial"/>
                <w:spacing w:val="-4"/>
                <w:kern w:val="0"/>
                <w:lang w:val="en-US"/>
                <w14:ligatures w14:val="none"/>
              </w:rPr>
              <w:t xml:space="preserve"> </w:t>
            </w:r>
            <w:r w:rsidRPr="00437231">
              <w:rPr>
                <w:rFonts w:eastAsia="Arial" w:cs="Arial"/>
                <w:spacing w:val="-2"/>
                <w:kern w:val="0"/>
                <w:lang w:val="en-US"/>
                <w14:ligatures w14:val="none"/>
              </w:rPr>
              <w:t xml:space="preserve">Health </w:t>
            </w:r>
            <w:r w:rsidRPr="00437231">
              <w:rPr>
                <w:rFonts w:eastAsia="Arial" w:cs="Arial"/>
                <w:spacing w:val="-4"/>
                <w:kern w:val="0"/>
                <w:lang w:val="en-US"/>
                <w14:ligatures w14:val="none"/>
              </w:rPr>
              <w:t>Board</w:t>
            </w:r>
          </w:p>
        </w:tc>
      </w:tr>
      <w:tr w:rsidR="00437231" w:rsidRPr="00437231" w14:paraId="3C16BD06" w14:textId="77777777" w:rsidTr="00437231">
        <w:tc>
          <w:tcPr>
            <w:tcW w:w="3005" w:type="dxa"/>
            <w:tcBorders>
              <w:top w:val="single" w:sz="4" w:space="0" w:color="auto"/>
              <w:left w:val="single" w:sz="4" w:space="0" w:color="auto"/>
              <w:bottom w:val="single" w:sz="4" w:space="0" w:color="auto"/>
              <w:right w:val="single" w:sz="4" w:space="0" w:color="auto"/>
            </w:tcBorders>
            <w:hideMark/>
          </w:tcPr>
          <w:p w14:paraId="2A327D94"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bCs/>
                <w:kern w:val="0"/>
                <w:lang w:val="en-US"/>
                <w14:ligatures w14:val="none"/>
              </w:rPr>
              <w:t>Kelly Jones-Lewis</w:t>
            </w:r>
          </w:p>
        </w:tc>
        <w:tc>
          <w:tcPr>
            <w:tcW w:w="3005" w:type="dxa"/>
            <w:tcBorders>
              <w:top w:val="single" w:sz="4" w:space="0" w:color="auto"/>
              <w:left w:val="single" w:sz="4" w:space="0" w:color="auto"/>
              <w:bottom w:val="single" w:sz="4" w:space="0" w:color="auto"/>
              <w:right w:val="single" w:sz="4" w:space="0" w:color="auto"/>
            </w:tcBorders>
            <w:hideMark/>
          </w:tcPr>
          <w:p w14:paraId="6E085182"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bCs/>
                <w:kern w:val="0"/>
                <w:lang w:val="en-US"/>
                <w14:ligatures w14:val="none"/>
              </w:rPr>
              <w:t>Head of primary care</w:t>
            </w:r>
          </w:p>
        </w:tc>
        <w:tc>
          <w:tcPr>
            <w:tcW w:w="3006" w:type="dxa"/>
            <w:tcBorders>
              <w:top w:val="single" w:sz="4" w:space="0" w:color="auto"/>
              <w:left w:val="single" w:sz="4" w:space="0" w:color="auto"/>
              <w:bottom w:val="single" w:sz="4" w:space="0" w:color="auto"/>
              <w:right w:val="single" w:sz="4" w:space="0" w:color="auto"/>
            </w:tcBorders>
            <w:hideMark/>
          </w:tcPr>
          <w:p w14:paraId="502BD1A6"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bCs/>
                <w:kern w:val="0"/>
                <w:lang w:val="en-US"/>
                <w14:ligatures w14:val="none"/>
              </w:rPr>
              <w:t>Swansea Bay University Health Board</w:t>
            </w:r>
          </w:p>
        </w:tc>
      </w:tr>
      <w:tr w:rsidR="00437231" w:rsidRPr="00437231" w14:paraId="4AA84EA7" w14:textId="77777777" w:rsidTr="00437231">
        <w:tc>
          <w:tcPr>
            <w:tcW w:w="3005" w:type="dxa"/>
            <w:tcBorders>
              <w:top w:val="single" w:sz="4" w:space="0" w:color="auto"/>
              <w:left w:val="single" w:sz="4" w:space="0" w:color="auto"/>
              <w:bottom w:val="single" w:sz="4" w:space="0" w:color="auto"/>
              <w:right w:val="single" w:sz="4" w:space="0" w:color="auto"/>
            </w:tcBorders>
            <w:hideMark/>
          </w:tcPr>
          <w:p w14:paraId="4F5E6259"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bCs/>
                <w:kern w:val="0"/>
                <w:lang w:val="en-US"/>
                <w14:ligatures w14:val="none"/>
              </w:rPr>
              <w:t>Lowri Lowe</w:t>
            </w:r>
          </w:p>
        </w:tc>
        <w:tc>
          <w:tcPr>
            <w:tcW w:w="3005" w:type="dxa"/>
            <w:tcBorders>
              <w:top w:val="single" w:sz="4" w:space="0" w:color="auto"/>
              <w:left w:val="single" w:sz="4" w:space="0" w:color="auto"/>
              <w:bottom w:val="single" w:sz="4" w:space="0" w:color="auto"/>
              <w:right w:val="single" w:sz="4" w:space="0" w:color="auto"/>
            </w:tcBorders>
            <w:hideMark/>
          </w:tcPr>
          <w:p w14:paraId="72EFE1FF"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bCs/>
                <w:kern w:val="0"/>
                <w:lang w:val="en-US"/>
                <w14:ligatures w14:val="none"/>
              </w:rPr>
              <w:t>Primary care manager (community pharmacy and general dental services)</w:t>
            </w:r>
          </w:p>
        </w:tc>
        <w:tc>
          <w:tcPr>
            <w:tcW w:w="3006" w:type="dxa"/>
            <w:tcBorders>
              <w:top w:val="single" w:sz="4" w:space="0" w:color="auto"/>
              <w:left w:val="single" w:sz="4" w:space="0" w:color="auto"/>
              <w:bottom w:val="single" w:sz="4" w:space="0" w:color="auto"/>
              <w:right w:val="single" w:sz="4" w:space="0" w:color="auto"/>
            </w:tcBorders>
            <w:hideMark/>
          </w:tcPr>
          <w:p w14:paraId="77BDE287"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kern w:val="0"/>
                <w:lang w:val="en-US"/>
                <w14:ligatures w14:val="none"/>
              </w:rPr>
              <w:t>Swansea</w:t>
            </w:r>
            <w:r w:rsidRPr="00437231">
              <w:rPr>
                <w:rFonts w:eastAsia="Arial" w:cs="Arial"/>
                <w:spacing w:val="-6"/>
                <w:kern w:val="0"/>
                <w:lang w:val="en-US"/>
                <w14:ligatures w14:val="none"/>
              </w:rPr>
              <w:t xml:space="preserve"> </w:t>
            </w:r>
            <w:r w:rsidRPr="00437231">
              <w:rPr>
                <w:rFonts w:eastAsia="Arial" w:cs="Arial"/>
                <w:kern w:val="0"/>
                <w:lang w:val="en-US"/>
                <w14:ligatures w14:val="none"/>
              </w:rPr>
              <w:t>Bay</w:t>
            </w:r>
            <w:r w:rsidRPr="00437231">
              <w:rPr>
                <w:rFonts w:eastAsia="Arial" w:cs="Arial"/>
                <w:spacing w:val="-8"/>
                <w:kern w:val="0"/>
                <w:lang w:val="en-US"/>
                <w14:ligatures w14:val="none"/>
              </w:rPr>
              <w:t xml:space="preserve"> </w:t>
            </w:r>
            <w:r w:rsidRPr="00437231">
              <w:rPr>
                <w:rFonts w:eastAsia="Arial" w:cs="Arial"/>
                <w:kern w:val="0"/>
                <w:lang w:val="en-US"/>
                <w14:ligatures w14:val="none"/>
              </w:rPr>
              <w:t>University</w:t>
            </w:r>
            <w:r w:rsidRPr="00437231">
              <w:rPr>
                <w:rFonts w:eastAsia="Arial" w:cs="Arial"/>
                <w:spacing w:val="-4"/>
                <w:kern w:val="0"/>
                <w:lang w:val="en-US"/>
                <w14:ligatures w14:val="none"/>
              </w:rPr>
              <w:t xml:space="preserve"> </w:t>
            </w:r>
            <w:r w:rsidRPr="00437231">
              <w:rPr>
                <w:rFonts w:eastAsia="Arial" w:cs="Arial"/>
                <w:spacing w:val="-2"/>
                <w:kern w:val="0"/>
                <w:lang w:val="en-US"/>
                <w14:ligatures w14:val="none"/>
              </w:rPr>
              <w:t xml:space="preserve">Health </w:t>
            </w:r>
            <w:r w:rsidRPr="00437231">
              <w:rPr>
                <w:rFonts w:eastAsia="Arial" w:cs="Arial"/>
                <w:spacing w:val="-4"/>
                <w:kern w:val="0"/>
                <w:lang w:val="en-US"/>
                <w14:ligatures w14:val="none"/>
              </w:rPr>
              <w:t>Board</w:t>
            </w:r>
          </w:p>
        </w:tc>
      </w:tr>
      <w:tr w:rsidR="00437231" w:rsidRPr="00437231" w14:paraId="397087DD" w14:textId="77777777" w:rsidTr="00437231">
        <w:tc>
          <w:tcPr>
            <w:tcW w:w="3005" w:type="dxa"/>
            <w:tcBorders>
              <w:top w:val="single" w:sz="4" w:space="0" w:color="auto"/>
              <w:left w:val="single" w:sz="4" w:space="0" w:color="auto"/>
              <w:bottom w:val="single" w:sz="4" w:space="0" w:color="auto"/>
              <w:right w:val="single" w:sz="4" w:space="0" w:color="auto"/>
            </w:tcBorders>
            <w:hideMark/>
          </w:tcPr>
          <w:p w14:paraId="35DE2F04"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bCs/>
                <w:kern w:val="0"/>
                <w:lang w:val="en-US"/>
                <w14:ligatures w14:val="none"/>
              </w:rPr>
              <w:t>Elinor Morgan</w:t>
            </w:r>
          </w:p>
        </w:tc>
        <w:tc>
          <w:tcPr>
            <w:tcW w:w="3005" w:type="dxa"/>
            <w:tcBorders>
              <w:top w:val="single" w:sz="4" w:space="0" w:color="auto"/>
              <w:left w:val="single" w:sz="4" w:space="0" w:color="auto"/>
              <w:bottom w:val="single" w:sz="4" w:space="0" w:color="auto"/>
              <w:right w:val="single" w:sz="4" w:space="0" w:color="auto"/>
            </w:tcBorders>
            <w:hideMark/>
          </w:tcPr>
          <w:p w14:paraId="27BE77D5"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bCs/>
                <w:kern w:val="0"/>
                <w:lang w:val="en-US"/>
                <w14:ligatures w14:val="none"/>
              </w:rPr>
              <w:t>Primary care development manager</w:t>
            </w:r>
          </w:p>
        </w:tc>
        <w:tc>
          <w:tcPr>
            <w:tcW w:w="3006" w:type="dxa"/>
            <w:tcBorders>
              <w:top w:val="single" w:sz="4" w:space="0" w:color="auto"/>
              <w:left w:val="single" w:sz="4" w:space="0" w:color="auto"/>
              <w:bottom w:val="single" w:sz="4" w:space="0" w:color="auto"/>
              <w:right w:val="single" w:sz="4" w:space="0" w:color="auto"/>
            </w:tcBorders>
            <w:hideMark/>
          </w:tcPr>
          <w:p w14:paraId="5107F5E1" w14:textId="77777777" w:rsidR="00437231" w:rsidRPr="00437231" w:rsidRDefault="00437231" w:rsidP="00437231">
            <w:pPr>
              <w:widowControl w:val="0"/>
              <w:autoSpaceDE w:val="0"/>
              <w:autoSpaceDN w:val="0"/>
              <w:rPr>
                <w:rFonts w:eastAsia="Arial" w:cs="Arial"/>
                <w:kern w:val="0"/>
                <w:lang w:val="en-US"/>
                <w14:ligatures w14:val="none"/>
              </w:rPr>
            </w:pPr>
            <w:r w:rsidRPr="00437231">
              <w:rPr>
                <w:rFonts w:eastAsia="Arial" w:cs="Arial"/>
                <w:kern w:val="0"/>
                <w:lang w:val="en-US"/>
                <w14:ligatures w14:val="none"/>
              </w:rPr>
              <w:t>Swansea Bay University Health Board</w:t>
            </w:r>
          </w:p>
        </w:tc>
      </w:tr>
      <w:tr w:rsidR="00437231" w:rsidRPr="00437231" w14:paraId="18DD37C3" w14:textId="77777777" w:rsidTr="00437231">
        <w:tc>
          <w:tcPr>
            <w:tcW w:w="3005" w:type="dxa"/>
            <w:tcBorders>
              <w:top w:val="single" w:sz="4" w:space="0" w:color="auto"/>
              <w:left w:val="single" w:sz="4" w:space="0" w:color="auto"/>
              <w:bottom w:val="single" w:sz="4" w:space="0" w:color="auto"/>
              <w:right w:val="single" w:sz="4" w:space="0" w:color="auto"/>
            </w:tcBorders>
            <w:hideMark/>
          </w:tcPr>
          <w:p w14:paraId="2D18FBEF"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bCs/>
                <w:kern w:val="0"/>
                <w:lang w:val="en-US"/>
                <w14:ligatures w14:val="none"/>
              </w:rPr>
              <w:t>Rhian Newton</w:t>
            </w:r>
          </w:p>
        </w:tc>
        <w:tc>
          <w:tcPr>
            <w:tcW w:w="3005" w:type="dxa"/>
            <w:tcBorders>
              <w:top w:val="single" w:sz="4" w:space="0" w:color="auto"/>
              <w:left w:val="single" w:sz="4" w:space="0" w:color="auto"/>
              <w:bottom w:val="single" w:sz="4" w:space="0" w:color="auto"/>
              <w:right w:val="single" w:sz="4" w:space="0" w:color="auto"/>
            </w:tcBorders>
            <w:hideMark/>
          </w:tcPr>
          <w:p w14:paraId="3285C0B7"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bCs/>
                <w:kern w:val="0"/>
                <w:lang w:val="en-US"/>
                <w14:ligatures w14:val="none"/>
              </w:rPr>
              <w:t>Head of medicines management</w:t>
            </w:r>
          </w:p>
        </w:tc>
        <w:tc>
          <w:tcPr>
            <w:tcW w:w="3006" w:type="dxa"/>
            <w:tcBorders>
              <w:top w:val="single" w:sz="4" w:space="0" w:color="auto"/>
              <w:left w:val="single" w:sz="4" w:space="0" w:color="auto"/>
              <w:bottom w:val="single" w:sz="4" w:space="0" w:color="auto"/>
              <w:right w:val="single" w:sz="4" w:space="0" w:color="auto"/>
            </w:tcBorders>
            <w:hideMark/>
          </w:tcPr>
          <w:p w14:paraId="503EEB7F"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kern w:val="0"/>
                <w:lang w:val="en-US"/>
                <w14:ligatures w14:val="none"/>
              </w:rPr>
              <w:t>Swansea</w:t>
            </w:r>
            <w:r w:rsidRPr="00437231">
              <w:rPr>
                <w:rFonts w:eastAsia="Arial" w:cs="Arial"/>
                <w:spacing w:val="-6"/>
                <w:kern w:val="0"/>
                <w:lang w:val="en-US"/>
                <w14:ligatures w14:val="none"/>
              </w:rPr>
              <w:t xml:space="preserve"> </w:t>
            </w:r>
            <w:r w:rsidRPr="00437231">
              <w:rPr>
                <w:rFonts w:eastAsia="Arial" w:cs="Arial"/>
                <w:kern w:val="0"/>
                <w:lang w:val="en-US"/>
                <w14:ligatures w14:val="none"/>
              </w:rPr>
              <w:t>Bay</w:t>
            </w:r>
            <w:r w:rsidRPr="00437231">
              <w:rPr>
                <w:rFonts w:eastAsia="Arial" w:cs="Arial"/>
                <w:spacing w:val="-8"/>
                <w:kern w:val="0"/>
                <w:lang w:val="en-US"/>
                <w14:ligatures w14:val="none"/>
              </w:rPr>
              <w:t xml:space="preserve"> </w:t>
            </w:r>
            <w:r w:rsidRPr="00437231">
              <w:rPr>
                <w:rFonts w:eastAsia="Arial" w:cs="Arial"/>
                <w:kern w:val="0"/>
                <w:lang w:val="en-US"/>
                <w14:ligatures w14:val="none"/>
              </w:rPr>
              <w:t>University</w:t>
            </w:r>
            <w:r w:rsidRPr="00437231">
              <w:rPr>
                <w:rFonts w:eastAsia="Arial" w:cs="Arial"/>
                <w:spacing w:val="-4"/>
                <w:kern w:val="0"/>
                <w:lang w:val="en-US"/>
                <w14:ligatures w14:val="none"/>
              </w:rPr>
              <w:t xml:space="preserve"> </w:t>
            </w:r>
            <w:r w:rsidRPr="00437231">
              <w:rPr>
                <w:rFonts w:eastAsia="Arial" w:cs="Arial"/>
                <w:spacing w:val="-2"/>
                <w:kern w:val="0"/>
                <w:lang w:val="en-US"/>
                <w14:ligatures w14:val="none"/>
              </w:rPr>
              <w:t xml:space="preserve">Health </w:t>
            </w:r>
            <w:r w:rsidRPr="00437231">
              <w:rPr>
                <w:rFonts w:eastAsia="Arial" w:cs="Arial"/>
                <w:spacing w:val="-4"/>
                <w:kern w:val="0"/>
                <w:lang w:val="en-US"/>
                <w14:ligatures w14:val="none"/>
              </w:rPr>
              <w:t>Board</w:t>
            </w:r>
          </w:p>
        </w:tc>
      </w:tr>
      <w:tr w:rsidR="00437231" w:rsidRPr="00437231" w14:paraId="4F193627" w14:textId="77777777" w:rsidTr="00437231">
        <w:tc>
          <w:tcPr>
            <w:tcW w:w="3005" w:type="dxa"/>
            <w:tcBorders>
              <w:top w:val="single" w:sz="4" w:space="0" w:color="auto"/>
              <w:left w:val="single" w:sz="4" w:space="0" w:color="auto"/>
              <w:bottom w:val="single" w:sz="4" w:space="0" w:color="auto"/>
              <w:right w:val="single" w:sz="4" w:space="0" w:color="auto"/>
            </w:tcBorders>
            <w:hideMark/>
          </w:tcPr>
          <w:p w14:paraId="79B0F865"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bCs/>
                <w:kern w:val="0"/>
                <w:lang w:val="en-US"/>
                <w14:ligatures w14:val="none"/>
              </w:rPr>
              <w:t>Jordan Morgan-Hughes</w:t>
            </w:r>
          </w:p>
        </w:tc>
        <w:tc>
          <w:tcPr>
            <w:tcW w:w="3005" w:type="dxa"/>
            <w:tcBorders>
              <w:top w:val="single" w:sz="4" w:space="0" w:color="auto"/>
              <w:left w:val="single" w:sz="4" w:space="0" w:color="auto"/>
              <w:bottom w:val="single" w:sz="4" w:space="0" w:color="auto"/>
              <w:right w:val="single" w:sz="4" w:space="0" w:color="auto"/>
            </w:tcBorders>
            <w:hideMark/>
          </w:tcPr>
          <w:p w14:paraId="1536429D"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bCs/>
                <w:kern w:val="0"/>
                <w:lang w:val="en-US"/>
                <w14:ligatures w14:val="none"/>
              </w:rPr>
              <w:t>Welsh language services</w:t>
            </w:r>
          </w:p>
        </w:tc>
        <w:tc>
          <w:tcPr>
            <w:tcW w:w="3006" w:type="dxa"/>
            <w:tcBorders>
              <w:top w:val="single" w:sz="4" w:space="0" w:color="auto"/>
              <w:left w:val="single" w:sz="4" w:space="0" w:color="auto"/>
              <w:bottom w:val="single" w:sz="4" w:space="0" w:color="auto"/>
              <w:right w:val="single" w:sz="4" w:space="0" w:color="auto"/>
            </w:tcBorders>
            <w:hideMark/>
          </w:tcPr>
          <w:p w14:paraId="5DA647B1" w14:textId="77777777" w:rsidR="00437231" w:rsidRPr="00437231" w:rsidRDefault="00437231" w:rsidP="00437231">
            <w:pPr>
              <w:widowControl w:val="0"/>
              <w:autoSpaceDE w:val="0"/>
              <w:autoSpaceDN w:val="0"/>
              <w:rPr>
                <w:rFonts w:eastAsia="Arial" w:cs="Arial"/>
                <w:kern w:val="0"/>
                <w:lang w:val="en-US"/>
                <w14:ligatures w14:val="none"/>
              </w:rPr>
            </w:pPr>
            <w:r w:rsidRPr="00437231">
              <w:rPr>
                <w:rFonts w:eastAsia="Arial" w:cs="Arial"/>
                <w:kern w:val="0"/>
                <w:lang w:val="en-US"/>
                <w14:ligatures w14:val="none"/>
              </w:rPr>
              <w:t>Swansea</w:t>
            </w:r>
            <w:r w:rsidRPr="00437231">
              <w:rPr>
                <w:rFonts w:eastAsia="Arial" w:cs="Arial"/>
                <w:spacing w:val="-6"/>
                <w:kern w:val="0"/>
                <w:lang w:val="en-US"/>
                <w14:ligatures w14:val="none"/>
              </w:rPr>
              <w:t xml:space="preserve"> </w:t>
            </w:r>
            <w:r w:rsidRPr="00437231">
              <w:rPr>
                <w:rFonts w:eastAsia="Arial" w:cs="Arial"/>
                <w:kern w:val="0"/>
                <w:lang w:val="en-US"/>
                <w14:ligatures w14:val="none"/>
              </w:rPr>
              <w:t>Bay</w:t>
            </w:r>
            <w:r w:rsidRPr="00437231">
              <w:rPr>
                <w:rFonts w:eastAsia="Arial" w:cs="Arial"/>
                <w:spacing w:val="-8"/>
                <w:kern w:val="0"/>
                <w:lang w:val="en-US"/>
                <w14:ligatures w14:val="none"/>
              </w:rPr>
              <w:t xml:space="preserve"> </w:t>
            </w:r>
            <w:r w:rsidRPr="00437231">
              <w:rPr>
                <w:rFonts w:eastAsia="Arial" w:cs="Arial"/>
                <w:kern w:val="0"/>
                <w:lang w:val="en-US"/>
                <w14:ligatures w14:val="none"/>
              </w:rPr>
              <w:t>University</w:t>
            </w:r>
            <w:r w:rsidRPr="00437231">
              <w:rPr>
                <w:rFonts w:eastAsia="Arial" w:cs="Arial"/>
                <w:spacing w:val="-4"/>
                <w:kern w:val="0"/>
                <w:lang w:val="en-US"/>
                <w14:ligatures w14:val="none"/>
              </w:rPr>
              <w:t xml:space="preserve"> </w:t>
            </w:r>
            <w:r w:rsidRPr="00437231">
              <w:rPr>
                <w:rFonts w:eastAsia="Arial" w:cs="Arial"/>
                <w:spacing w:val="-2"/>
                <w:kern w:val="0"/>
                <w:lang w:val="en-US"/>
                <w14:ligatures w14:val="none"/>
              </w:rPr>
              <w:t xml:space="preserve">Health </w:t>
            </w:r>
            <w:r w:rsidRPr="00437231">
              <w:rPr>
                <w:rFonts w:eastAsia="Arial" w:cs="Arial"/>
                <w:spacing w:val="-4"/>
                <w:kern w:val="0"/>
                <w:lang w:val="en-US"/>
                <w14:ligatures w14:val="none"/>
              </w:rPr>
              <w:t>Board</w:t>
            </w:r>
          </w:p>
        </w:tc>
      </w:tr>
      <w:tr w:rsidR="00437231" w:rsidRPr="00437231" w14:paraId="7917AE54" w14:textId="77777777" w:rsidTr="00437231">
        <w:tc>
          <w:tcPr>
            <w:tcW w:w="3005" w:type="dxa"/>
            <w:tcBorders>
              <w:top w:val="single" w:sz="4" w:space="0" w:color="auto"/>
              <w:left w:val="single" w:sz="4" w:space="0" w:color="auto"/>
              <w:bottom w:val="single" w:sz="4" w:space="0" w:color="auto"/>
              <w:right w:val="single" w:sz="4" w:space="0" w:color="auto"/>
            </w:tcBorders>
            <w:hideMark/>
          </w:tcPr>
          <w:p w14:paraId="153F62BE"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bCs/>
                <w:kern w:val="0"/>
                <w:lang w:val="en-US"/>
                <w14:ligatures w14:val="none"/>
              </w:rPr>
              <w:t>Dr Penelope Cresswell-Jones</w:t>
            </w:r>
          </w:p>
        </w:tc>
        <w:tc>
          <w:tcPr>
            <w:tcW w:w="3005" w:type="dxa"/>
            <w:tcBorders>
              <w:top w:val="single" w:sz="4" w:space="0" w:color="auto"/>
              <w:left w:val="single" w:sz="4" w:space="0" w:color="auto"/>
              <w:bottom w:val="single" w:sz="4" w:space="0" w:color="auto"/>
              <w:right w:val="single" w:sz="4" w:space="0" w:color="auto"/>
            </w:tcBorders>
            <w:hideMark/>
          </w:tcPr>
          <w:p w14:paraId="3BBBCE11"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bCs/>
                <w:kern w:val="0"/>
                <w:lang w:val="en-US"/>
                <w14:ligatures w14:val="none"/>
              </w:rPr>
              <w:t>Specialty registrar in public health/acting consultant in public health</w:t>
            </w:r>
          </w:p>
        </w:tc>
        <w:tc>
          <w:tcPr>
            <w:tcW w:w="3006" w:type="dxa"/>
            <w:tcBorders>
              <w:top w:val="single" w:sz="4" w:space="0" w:color="auto"/>
              <w:left w:val="single" w:sz="4" w:space="0" w:color="auto"/>
              <w:bottom w:val="single" w:sz="4" w:space="0" w:color="auto"/>
              <w:right w:val="single" w:sz="4" w:space="0" w:color="auto"/>
            </w:tcBorders>
            <w:hideMark/>
          </w:tcPr>
          <w:p w14:paraId="2EDD411C"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kern w:val="0"/>
                <w:lang w:val="en-US"/>
                <w14:ligatures w14:val="none"/>
              </w:rPr>
              <w:t>Swansea</w:t>
            </w:r>
            <w:r w:rsidRPr="00437231">
              <w:rPr>
                <w:rFonts w:eastAsia="Arial" w:cs="Arial"/>
                <w:spacing w:val="-6"/>
                <w:kern w:val="0"/>
                <w:lang w:val="en-US"/>
                <w14:ligatures w14:val="none"/>
              </w:rPr>
              <w:t xml:space="preserve"> </w:t>
            </w:r>
            <w:r w:rsidRPr="00437231">
              <w:rPr>
                <w:rFonts w:eastAsia="Arial" w:cs="Arial"/>
                <w:kern w:val="0"/>
                <w:lang w:val="en-US"/>
                <w14:ligatures w14:val="none"/>
              </w:rPr>
              <w:t>Bay</w:t>
            </w:r>
            <w:r w:rsidRPr="00437231">
              <w:rPr>
                <w:rFonts w:eastAsia="Arial" w:cs="Arial"/>
                <w:spacing w:val="-8"/>
                <w:kern w:val="0"/>
                <w:lang w:val="en-US"/>
                <w14:ligatures w14:val="none"/>
              </w:rPr>
              <w:t xml:space="preserve"> </w:t>
            </w:r>
            <w:r w:rsidRPr="00437231">
              <w:rPr>
                <w:rFonts w:eastAsia="Arial" w:cs="Arial"/>
                <w:kern w:val="0"/>
                <w:lang w:val="en-US"/>
                <w14:ligatures w14:val="none"/>
              </w:rPr>
              <w:t>University</w:t>
            </w:r>
            <w:r w:rsidRPr="00437231">
              <w:rPr>
                <w:rFonts w:eastAsia="Arial" w:cs="Arial"/>
                <w:spacing w:val="-4"/>
                <w:kern w:val="0"/>
                <w:lang w:val="en-US"/>
                <w14:ligatures w14:val="none"/>
              </w:rPr>
              <w:t xml:space="preserve"> </w:t>
            </w:r>
            <w:r w:rsidRPr="00437231">
              <w:rPr>
                <w:rFonts w:eastAsia="Arial" w:cs="Arial"/>
                <w:spacing w:val="-2"/>
                <w:kern w:val="0"/>
                <w:lang w:val="en-US"/>
                <w14:ligatures w14:val="none"/>
              </w:rPr>
              <w:t xml:space="preserve">Health </w:t>
            </w:r>
            <w:r w:rsidRPr="00437231">
              <w:rPr>
                <w:rFonts w:eastAsia="Arial" w:cs="Arial"/>
                <w:spacing w:val="-4"/>
                <w:kern w:val="0"/>
                <w:lang w:val="en-US"/>
                <w14:ligatures w14:val="none"/>
              </w:rPr>
              <w:t>Board</w:t>
            </w:r>
          </w:p>
        </w:tc>
      </w:tr>
      <w:tr w:rsidR="00437231" w:rsidRPr="00437231" w14:paraId="3067A43D" w14:textId="77777777" w:rsidTr="00437231">
        <w:tc>
          <w:tcPr>
            <w:tcW w:w="3005" w:type="dxa"/>
            <w:tcBorders>
              <w:top w:val="single" w:sz="4" w:space="0" w:color="auto"/>
              <w:left w:val="single" w:sz="4" w:space="0" w:color="auto"/>
              <w:bottom w:val="single" w:sz="4" w:space="0" w:color="auto"/>
              <w:right w:val="single" w:sz="4" w:space="0" w:color="auto"/>
            </w:tcBorders>
            <w:hideMark/>
          </w:tcPr>
          <w:p w14:paraId="1C87C095"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bCs/>
                <w:kern w:val="0"/>
                <w:lang w:val="en-US"/>
                <w14:ligatures w14:val="none"/>
              </w:rPr>
              <w:t>Jayne Howard</w:t>
            </w:r>
          </w:p>
        </w:tc>
        <w:tc>
          <w:tcPr>
            <w:tcW w:w="3005" w:type="dxa"/>
            <w:tcBorders>
              <w:top w:val="single" w:sz="4" w:space="0" w:color="auto"/>
              <w:left w:val="single" w:sz="4" w:space="0" w:color="auto"/>
              <w:bottom w:val="single" w:sz="4" w:space="0" w:color="auto"/>
              <w:right w:val="single" w:sz="4" w:space="0" w:color="auto"/>
            </w:tcBorders>
            <w:hideMark/>
          </w:tcPr>
          <w:p w14:paraId="1EF3D58B"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bCs/>
                <w:kern w:val="0"/>
                <w:lang w:val="en-US"/>
                <w14:ligatures w14:val="none"/>
              </w:rPr>
              <w:t>Associate director contractor services</w:t>
            </w:r>
          </w:p>
        </w:tc>
        <w:tc>
          <w:tcPr>
            <w:tcW w:w="3006" w:type="dxa"/>
            <w:tcBorders>
              <w:top w:val="single" w:sz="4" w:space="0" w:color="auto"/>
              <w:left w:val="single" w:sz="4" w:space="0" w:color="auto"/>
              <w:bottom w:val="single" w:sz="4" w:space="0" w:color="auto"/>
              <w:right w:val="single" w:sz="4" w:space="0" w:color="auto"/>
            </w:tcBorders>
            <w:hideMark/>
          </w:tcPr>
          <w:p w14:paraId="0B53FEEE"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bCs/>
                <w:kern w:val="0"/>
                <w:lang w:val="en-US"/>
                <w14:ligatures w14:val="none"/>
              </w:rPr>
              <w:t>Community Pharmacy Wales</w:t>
            </w:r>
          </w:p>
        </w:tc>
      </w:tr>
      <w:tr w:rsidR="00437231" w:rsidRPr="00437231" w14:paraId="686A131C" w14:textId="77777777" w:rsidTr="00437231">
        <w:tc>
          <w:tcPr>
            <w:tcW w:w="3005" w:type="dxa"/>
            <w:tcBorders>
              <w:top w:val="single" w:sz="4" w:space="0" w:color="auto"/>
              <w:left w:val="single" w:sz="4" w:space="0" w:color="auto"/>
              <w:bottom w:val="single" w:sz="4" w:space="0" w:color="auto"/>
              <w:right w:val="single" w:sz="4" w:space="0" w:color="auto"/>
            </w:tcBorders>
          </w:tcPr>
          <w:p w14:paraId="13147F58" w14:textId="77777777" w:rsidR="00437231" w:rsidRPr="00437231" w:rsidRDefault="00437231" w:rsidP="00437231">
            <w:pPr>
              <w:widowControl w:val="0"/>
              <w:autoSpaceDE w:val="0"/>
              <w:autoSpaceDN w:val="0"/>
              <w:rPr>
                <w:rFonts w:eastAsia="Arial" w:cs="Arial"/>
                <w:bCs/>
                <w:kern w:val="0"/>
                <w:lang w:val="en-US"/>
                <w14:ligatures w14:val="none"/>
              </w:rPr>
            </w:pPr>
          </w:p>
        </w:tc>
        <w:tc>
          <w:tcPr>
            <w:tcW w:w="3005" w:type="dxa"/>
            <w:tcBorders>
              <w:top w:val="single" w:sz="4" w:space="0" w:color="auto"/>
              <w:left w:val="single" w:sz="4" w:space="0" w:color="auto"/>
              <w:bottom w:val="single" w:sz="4" w:space="0" w:color="auto"/>
              <w:right w:val="single" w:sz="4" w:space="0" w:color="auto"/>
            </w:tcBorders>
          </w:tcPr>
          <w:p w14:paraId="14661BE1" w14:textId="77777777" w:rsidR="00437231" w:rsidRPr="00437231" w:rsidRDefault="00437231" w:rsidP="00437231">
            <w:pPr>
              <w:widowControl w:val="0"/>
              <w:autoSpaceDE w:val="0"/>
              <w:autoSpaceDN w:val="0"/>
              <w:rPr>
                <w:rFonts w:eastAsia="Arial" w:cs="Arial"/>
                <w:bCs/>
                <w:kern w:val="0"/>
                <w:lang w:val="en-US"/>
                <w14:ligatures w14:val="none"/>
              </w:rPr>
            </w:pPr>
          </w:p>
        </w:tc>
        <w:tc>
          <w:tcPr>
            <w:tcW w:w="3006" w:type="dxa"/>
            <w:tcBorders>
              <w:top w:val="single" w:sz="4" w:space="0" w:color="auto"/>
              <w:left w:val="single" w:sz="4" w:space="0" w:color="auto"/>
              <w:bottom w:val="single" w:sz="4" w:space="0" w:color="auto"/>
              <w:right w:val="single" w:sz="4" w:space="0" w:color="auto"/>
            </w:tcBorders>
            <w:hideMark/>
          </w:tcPr>
          <w:p w14:paraId="2C48301A"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bCs/>
                <w:kern w:val="0"/>
                <w:lang w:val="en-US"/>
                <w14:ligatures w14:val="none"/>
              </w:rPr>
              <w:t>Llais</w:t>
            </w:r>
          </w:p>
        </w:tc>
      </w:tr>
      <w:tr w:rsidR="00437231" w:rsidRPr="00437231" w14:paraId="416EF58E" w14:textId="77777777" w:rsidTr="00437231">
        <w:tc>
          <w:tcPr>
            <w:tcW w:w="3005" w:type="dxa"/>
            <w:tcBorders>
              <w:top w:val="single" w:sz="4" w:space="0" w:color="auto"/>
              <w:left w:val="single" w:sz="4" w:space="0" w:color="auto"/>
              <w:bottom w:val="single" w:sz="4" w:space="0" w:color="auto"/>
              <w:right w:val="single" w:sz="4" w:space="0" w:color="auto"/>
            </w:tcBorders>
          </w:tcPr>
          <w:p w14:paraId="486C05D1" w14:textId="77777777" w:rsidR="00437231" w:rsidRPr="00437231" w:rsidRDefault="00437231" w:rsidP="00437231">
            <w:pPr>
              <w:widowControl w:val="0"/>
              <w:autoSpaceDE w:val="0"/>
              <w:autoSpaceDN w:val="0"/>
              <w:rPr>
                <w:rFonts w:eastAsia="Arial" w:cs="Arial"/>
                <w:bCs/>
                <w:kern w:val="0"/>
                <w:lang w:val="en-US"/>
                <w14:ligatures w14:val="none"/>
              </w:rPr>
            </w:pPr>
          </w:p>
        </w:tc>
        <w:tc>
          <w:tcPr>
            <w:tcW w:w="3005" w:type="dxa"/>
            <w:tcBorders>
              <w:top w:val="single" w:sz="4" w:space="0" w:color="auto"/>
              <w:left w:val="single" w:sz="4" w:space="0" w:color="auto"/>
              <w:bottom w:val="single" w:sz="4" w:space="0" w:color="auto"/>
              <w:right w:val="single" w:sz="4" w:space="0" w:color="auto"/>
            </w:tcBorders>
          </w:tcPr>
          <w:p w14:paraId="73280B4C" w14:textId="77777777" w:rsidR="00437231" w:rsidRPr="00437231" w:rsidRDefault="00437231" w:rsidP="00437231">
            <w:pPr>
              <w:widowControl w:val="0"/>
              <w:autoSpaceDE w:val="0"/>
              <w:autoSpaceDN w:val="0"/>
              <w:rPr>
                <w:rFonts w:eastAsia="Arial" w:cs="Arial"/>
                <w:bCs/>
                <w:kern w:val="0"/>
                <w:lang w:val="en-US"/>
                <w14:ligatures w14:val="none"/>
              </w:rPr>
            </w:pPr>
          </w:p>
        </w:tc>
        <w:tc>
          <w:tcPr>
            <w:tcW w:w="3006" w:type="dxa"/>
            <w:tcBorders>
              <w:top w:val="single" w:sz="4" w:space="0" w:color="auto"/>
              <w:left w:val="single" w:sz="4" w:space="0" w:color="auto"/>
              <w:bottom w:val="single" w:sz="4" w:space="0" w:color="auto"/>
              <w:right w:val="single" w:sz="4" w:space="0" w:color="auto"/>
            </w:tcBorders>
            <w:hideMark/>
          </w:tcPr>
          <w:p w14:paraId="624663C9" w14:textId="77777777" w:rsidR="00437231" w:rsidRPr="00437231" w:rsidRDefault="00437231" w:rsidP="00437231">
            <w:pPr>
              <w:widowControl w:val="0"/>
              <w:autoSpaceDE w:val="0"/>
              <w:autoSpaceDN w:val="0"/>
              <w:rPr>
                <w:rFonts w:eastAsia="Arial" w:cs="Arial"/>
                <w:bCs/>
                <w:kern w:val="0"/>
                <w:lang w:val="en-US"/>
                <w14:ligatures w14:val="none"/>
              </w:rPr>
            </w:pPr>
            <w:r w:rsidRPr="00437231">
              <w:rPr>
                <w:rFonts w:eastAsia="Arial" w:cs="Arial"/>
                <w:bCs/>
                <w:kern w:val="0"/>
                <w:lang w:val="en-US"/>
                <w14:ligatures w14:val="none"/>
              </w:rPr>
              <w:t>Morgannwg Local Medical Committee</w:t>
            </w:r>
          </w:p>
        </w:tc>
      </w:tr>
    </w:tbl>
    <w:p w14:paraId="58CF12C4" w14:textId="77777777" w:rsidR="00437231" w:rsidRPr="00437231" w:rsidRDefault="00437231" w:rsidP="00437231">
      <w:pPr>
        <w:widowControl w:val="0"/>
        <w:autoSpaceDE w:val="0"/>
        <w:autoSpaceDN w:val="0"/>
        <w:rPr>
          <w:rFonts w:eastAsia="Arial" w:cs="Arial"/>
          <w:b/>
          <w:kern w:val="0"/>
          <w:lang w:val="en-US"/>
          <w14:ligatures w14:val="none"/>
        </w:rPr>
      </w:pPr>
    </w:p>
    <w:p w14:paraId="1B0FBC4D" w14:textId="77777777" w:rsidR="00437231" w:rsidRPr="00437231" w:rsidRDefault="00437231" w:rsidP="00437231">
      <w:pPr>
        <w:rPr>
          <w:rFonts w:eastAsia="Aptos" w:cs="Times New Roman"/>
        </w:rPr>
      </w:pPr>
      <w:r w:rsidRPr="00437231">
        <w:rPr>
          <w:rFonts w:eastAsia="Aptos" w:cs="Times New Roman"/>
        </w:rPr>
        <w:t>Membership of the group during the lifetime of the project as follows.</w:t>
      </w:r>
    </w:p>
    <w:p w14:paraId="45B79A4F" w14:textId="77777777" w:rsidR="00437231" w:rsidRPr="00437231" w:rsidRDefault="00437231" w:rsidP="00437231">
      <w:pPr>
        <w:rPr>
          <w:rFonts w:eastAsia="Aptos" w:cs="Times New Roman"/>
        </w:rPr>
      </w:pPr>
    </w:p>
    <w:p w14:paraId="2FA7955A" w14:textId="77777777" w:rsidR="00437231" w:rsidRPr="00437231" w:rsidRDefault="00437231" w:rsidP="00B76905">
      <w:pPr>
        <w:numPr>
          <w:ilvl w:val="0"/>
          <w:numId w:val="250"/>
        </w:numPr>
        <w:contextualSpacing/>
        <w:rPr>
          <w:rFonts w:eastAsia="Aptos" w:cs="Times New Roman"/>
        </w:rPr>
      </w:pPr>
      <w:r w:rsidRPr="00437231">
        <w:rPr>
          <w:rFonts w:eastAsia="Aptos" w:cs="Times New Roman"/>
        </w:rPr>
        <w:t>Judith Vincent left the health board.</w:t>
      </w:r>
    </w:p>
    <w:p w14:paraId="4B197091" w14:textId="77777777" w:rsidR="00437231" w:rsidRPr="00437231" w:rsidRDefault="00437231" w:rsidP="00B76905">
      <w:pPr>
        <w:numPr>
          <w:ilvl w:val="0"/>
          <w:numId w:val="250"/>
        </w:numPr>
        <w:contextualSpacing/>
        <w:rPr>
          <w:rFonts w:eastAsia="Aptos" w:cs="Times New Roman"/>
        </w:rPr>
      </w:pPr>
      <w:r w:rsidRPr="00437231">
        <w:rPr>
          <w:rFonts w:eastAsia="Aptos" w:cs="Times New Roman"/>
        </w:rPr>
        <w:t>Sam Page took over as chair of the group following Judith’s departure.</w:t>
      </w:r>
    </w:p>
    <w:p w14:paraId="2A004078" w14:textId="77777777" w:rsidR="00437231" w:rsidRPr="00437231" w:rsidRDefault="00437231" w:rsidP="00437231">
      <w:pPr>
        <w:rPr>
          <w:rFonts w:eastAsia="Aptos" w:cs="Times New Roman"/>
        </w:rPr>
      </w:pPr>
    </w:p>
    <w:p w14:paraId="66B6149B" w14:textId="77777777" w:rsidR="00437231" w:rsidRPr="00437231" w:rsidRDefault="00437231" w:rsidP="00437231">
      <w:pPr>
        <w:rPr>
          <w:rFonts w:eastAsia="Aptos" w:cs="Times New Roman"/>
        </w:rPr>
      </w:pPr>
      <w:r w:rsidRPr="00437231">
        <w:rPr>
          <w:rFonts w:eastAsia="Aptos" w:cs="Times New Roman"/>
        </w:rPr>
        <w:t>Although members of the group and were therefore sent the papers, Llais and Morgannwg Local Medical Committee chose not to attend the meetings.</w:t>
      </w:r>
    </w:p>
    <w:p w14:paraId="0F9646A9" w14:textId="21D3ABE9" w:rsidR="00243304" w:rsidRPr="00D0306F" w:rsidRDefault="00243304">
      <w:pPr>
        <w:spacing w:after="160" w:line="278" w:lineRule="auto"/>
        <w:rPr>
          <w:rFonts w:eastAsia="Aptos" w:cs="Arial"/>
        </w:rPr>
      </w:pPr>
      <w:r w:rsidRPr="00D0306F">
        <w:rPr>
          <w:rFonts w:eastAsia="Aptos" w:cs="Arial"/>
        </w:rPr>
        <w:br w:type="page"/>
      </w:r>
    </w:p>
    <w:p w14:paraId="50BA93A1" w14:textId="2CC68F90" w:rsidR="004C457D" w:rsidRPr="00D0306F" w:rsidRDefault="004C457D" w:rsidP="004C457D">
      <w:pPr>
        <w:pStyle w:val="Heading1"/>
        <w:rPr>
          <w:rFonts w:eastAsia="Arial"/>
          <w:sz w:val="28"/>
          <w:szCs w:val="28"/>
          <w:lang w:val="en-US"/>
        </w:rPr>
      </w:pPr>
      <w:bookmarkStart w:id="52" w:name="_Toc235185394"/>
      <w:r w:rsidRPr="00D0306F">
        <w:rPr>
          <w:rFonts w:eastAsia="Arial"/>
          <w:sz w:val="28"/>
          <w:szCs w:val="28"/>
          <w:lang w:val="en-US"/>
        </w:rPr>
        <w:lastRenderedPageBreak/>
        <w:t>Appendix</w:t>
      </w:r>
      <w:r w:rsidRPr="00D0306F">
        <w:rPr>
          <w:rFonts w:eastAsia="Arial"/>
          <w:spacing w:val="-1"/>
          <w:sz w:val="28"/>
          <w:szCs w:val="28"/>
          <w:lang w:val="en-US"/>
        </w:rPr>
        <w:t xml:space="preserve"> </w:t>
      </w:r>
      <w:r w:rsidRPr="00D0306F">
        <w:rPr>
          <w:rFonts w:eastAsia="Arial"/>
          <w:sz w:val="28"/>
          <w:szCs w:val="28"/>
          <w:lang w:val="en-US"/>
        </w:rPr>
        <w:t>G</w:t>
      </w:r>
      <w:r w:rsidRPr="00D0306F">
        <w:rPr>
          <w:rFonts w:eastAsia="Arial"/>
          <w:spacing w:val="1"/>
          <w:sz w:val="28"/>
          <w:szCs w:val="28"/>
          <w:lang w:val="en-US"/>
        </w:rPr>
        <w:t xml:space="preserve"> </w:t>
      </w:r>
      <w:r w:rsidRPr="00D0306F">
        <w:rPr>
          <w:rFonts w:eastAsia="Arial"/>
          <w:sz w:val="28"/>
          <w:szCs w:val="28"/>
          <w:lang w:val="en-US"/>
        </w:rPr>
        <w:t>– public engagement questionnaire</w:t>
      </w:r>
      <w:bookmarkEnd w:id="52"/>
    </w:p>
    <w:p w14:paraId="7DC8BD10" w14:textId="77777777" w:rsidR="000C7D2C" w:rsidRPr="000C7D2C" w:rsidRDefault="000C7D2C" w:rsidP="009C14D5">
      <w:pPr>
        <w:rPr>
          <w:rFonts w:eastAsia="Aptos" w:cs="Arial"/>
        </w:rPr>
      </w:pPr>
    </w:p>
    <w:p w14:paraId="190A1B4E" w14:textId="77777777" w:rsidR="000C7D2C" w:rsidRPr="000C7D2C" w:rsidRDefault="000C7D2C" w:rsidP="009C14D5">
      <w:pPr>
        <w:rPr>
          <w:rFonts w:eastAsia="Aptos" w:cs="Arial"/>
        </w:rPr>
      </w:pPr>
      <w:r w:rsidRPr="000C7D2C">
        <w:rPr>
          <w:rFonts w:eastAsia="Aptos" w:cs="Arial"/>
          <w:lang w:val="en-US"/>
        </w:rPr>
        <w:t>We are inviting you to tell us about pharmacy services in your area. This is to help us plan for services for our patients now and in the future to make sure they meet your needs, using a process called a ‘pharmaceutical needs assessment’.</w:t>
      </w:r>
      <w:r w:rsidRPr="000C7D2C">
        <w:rPr>
          <w:rFonts w:eastAsia="Aptos" w:cs="Arial"/>
        </w:rPr>
        <w:t> </w:t>
      </w:r>
    </w:p>
    <w:p w14:paraId="33C648FE" w14:textId="77777777" w:rsidR="000C7D2C" w:rsidRPr="000C7D2C" w:rsidRDefault="000C7D2C" w:rsidP="009C14D5">
      <w:pPr>
        <w:rPr>
          <w:rFonts w:eastAsia="Aptos" w:cs="Arial"/>
        </w:rPr>
      </w:pPr>
    </w:p>
    <w:p w14:paraId="58EB00F4" w14:textId="77777777" w:rsidR="000C7D2C" w:rsidRPr="000C7D2C" w:rsidRDefault="000C7D2C" w:rsidP="009C14D5">
      <w:pPr>
        <w:rPr>
          <w:rFonts w:eastAsia="Aptos" w:cs="Arial"/>
          <w:lang w:val="en-US"/>
        </w:rPr>
      </w:pPr>
      <w:r w:rsidRPr="000C7D2C">
        <w:rPr>
          <w:rFonts w:eastAsia="Aptos" w:cs="Arial"/>
          <w:lang w:val="en-US"/>
        </w:rPr>
        <w:t>Your answers will help us identify if there are any service gaps, for example whether a pharmacy (also called a ‘chemist’) is needed in a particular area, or whether more pharmacies need to provide a particular service.</w:t>
      </w:r>
    </w:p>
    <w:p w14:paraId="4A9071D3" w14:textId="77777777" w:rsidR="000C7D2C" w:rsidRPr="000C7D2C" w:rsidRDefault="000C7D2C" w:rsidP="009C14D5">
      <w:pPr>
        <w:rPr>
          <w:rFonts w:eastAsia="Aptos" w:cs="Arial"/>
        </w:rPr>
      </w:pPr>
    </w:p>
    <w:p w14:paraId="226B75AF" w14:textId="77777777" w:rsidR="000C7D2C" w:rsidRPr="000C7D2C" w:rsidRDefault="000C7D2C" w:rsidP="009C14D5">
      <w:pPr>
        <w:rPr>
          <w:rFonts w:eastAsia="Aptos" w:cs="Arial"/>
        </w:rPr>
      </w:pPr>
      <w:r w:rsidRPr="000C7D2C">
        <w:rPr>
          <w:rFonts w:eastAsia="Aptos" w:cs="Arial"/>
          <w:lang w:val="en-US"/>
        </w:rPr>
        <w:t>Looking to the future, we will look at what may change over the next five years and whether there will be enough pharmacies in the right places, providing the services that people need as, for example, more houses are built.</w:t>
      </w:r>
      <w:r w:rsidRPr="000C7D2C">
        <w:rPr>
          <w:rFonts w:eastAsia="Aptos" w:cs="Arial"/>
        </w:rPr>
        <w:t> </w:t>
      </w:r>
    </w:p>
    <w:p w14:paraId="0F8E7FBC" w14:textId="77777777" w:rsidR="000C7D2C" w:rsidRPr="000C7D2C" w:rsidRDefault="000C7D2C" w:rsidP="009C14D5">
      <w:pPr>
        <w:rPr>
          <w:rFonts w:eastAsia="Aptos" w:cs="Arial"/>
        </w:rPr>
      </w:pPr>
    </w:p>
    <w:p w14:paraId="68C71BDF" w14:textId="77777777" w:rsidR="000C7D2C" w:rsidRPr="000C7D2C" w:rsidRDefault="000C7D2C" w:rsidP="009C14D5">
      <w:pPr>
        <w:rPr>
          <w:rFonts w:eastAsia="Aptos" w:cs="Arial"/>
        </w:rPr>
      </w:pPr>
      <w:r w:rsidRPr="000C7D2C">
        <w:rPr>
          <w:rFonts w:eastAsia="Aptos" w:cs="Arial"/>
          <w:lang w:val="en-US"/>
        </w:rPr>
        <w:t>Your views are important to us so please spare a few minutes to complete this questionnaire. We estimate it will take you about 10 to 15 minutes to complete.</w:t>
      </w:r>
      <w:r w:rsidRPr="000C7D2C">
        <w:rPr>
          <w:rFonts w:eastAsia="Aptos" w:cs="Arial"/>
        </w:rPr>
        <w:t> </w:t>
      </w:r>
    </w:p>
    <w:p w14:paraId="39852C47" w14:textId="77777777" w:rsidR="000C7D2C" w:rsidRPr="000C7D2C" w:rsidRDefault="000C7D2C" w:rsidP="009C14D5">
      <w:pPr>
        <w:rPr>
          <w:rFonts w:eastAsia="Aptos" w:cs="Arial"/>
        </w:rPr>
      </w:pPr>
      <w:r w:rsidRPr="000C7D2C">
        <w:rPr>
          <w:rFonts w:eastAsia="Aptos" w:cs="Arial"/>
          <w:lang w:val="en-US"/>
        </w:rPr>
        <w:t>The questionnaire is anonymous and any information you give will not be linked to you.</w:t>
      </w:r>
      <w:r w:rsidRPr="000C7D2C">
        <w:rPr>
          <w:rFonts w:eastAsia="Aptos" w:cs="Arial"/>
        </w:rPr>
        <w:t> </w:t>
      </w:r>
    </w:p>
    <w:p w14:paraId="450079B5" w14:textId="77777777" w:rsidR="000C7D2C" w:rsidRPr="000C7D2C" w:rsidRDefault="000C7D2C" w:rsidP="009C14D5">
      <w:pPr>
        <w:rPr>
          <w:rFonts w:eastAsia="Aptos" w:cs="Arial"/>
        </w:rPr>
      </w:pPr>
    </w:p>
    <w:p w14:paraId="63C824A0" w14:textId="77777777" w:rsidR="00591F05" w:rsidRPr="00D0306F" w:rsidRDefault="000C7D2C" w:rsidP="009C14D5">
      <w:pPr>
        <w:rPr>
          <w:rFonts w:eastAsia="Aptos" w:cs="Arial"/>
          <w:lang w:val="en-US"/>
        </w:rPr>
      </w:pPr>
      <w:r w:rsidRPr="000C7D2C">
        <w:rPr>
          <w:rFonts w:eastAsia="Aptos" w:cs="Arial"/>
          <w:lang w:val="en-US"/>
        </w:rPr>
        <w:t>If you would like more information about the questionnaire or have questions on how to complete the questionnaire, please</w:t>
      </w:r>
      <w:r w:rsidR="004829B0" w:rsidRPr="00D0306F">
        <w:rPr>
          <w:rFonts w:eastAsia="Aptos" w:cs="Arial"/>
          <w:lang w:val="en-US"/>
        </w:rPr>
        <w:t xml:space="preserve"> c</w:t>
      </w:r>
      <w:r w:rsidRPr="000C7D2C">
        <w:rPr>
          <w:rFonts w:eastAsia="Aptos" w:cs="Arial"/>
          <w:lang w:val="en-US"/>
        </w:rPr>
        <w:t>ontact </w:t>
      </w:r>
    </w:p>
    <w:p w14:paraId="3E49ED65" w14:textId="680AA45F" w:rsidR="000C7D2C" w:rsidRPr="000C7D2C" w:rsidRDefault="00046968" w:rsidP="009C14D5">
      <w:pPr>
        <w:rPr>
          <w:rFonts w:eastAsia="Aptos" w:cs="Arial"/>
        </w:rPr>
      </w:pPr>
      <w:hyperlink r:id="rId64" w:history="1">
        <w:r w:rsidRPr="00D0306F">
          <w:rPr>
            <w:rStyle w:val="Hyperlink"/>
            <w:color w:val="0000FF"/>
            <w:lang w:val="en-US"/>
          </w:rPr>
          <w:t>SBU.CommunityPharmacyOffice@wales.nhs.uk</w:t>
        </w:r>
      </w:hyperlink>
      <w:r w:rsidR="000C7D2C" w:rsidRPr="000C7D2C">
        <w:rPr>
          <w:rFonts w:eastAsia="Aptos" w:cs="Arial"/>
          <w:color w:val="0000FF"/>
          <w:lang w:val="en-US"/>
        </w:rPr>
        <w:t> </w:t>
      </w:r>
      <w:r w:rsidR="000C7D2C" w:rsidRPr="000C7D2C">
        <w:rPr>
          <w:rFonts w:eastAsia="Aptos" w:cs="Arial"/>
          <w:lang w:val="en-US"/>
        </w:rPr>
        <w:t>with “PNA public engagement questionnaire” in the subject header.</w:t>
      </w:r>
      <w:r w:rsidR="000C7D2C" w:rsidRPr="000C7D2C">
        <w:rPr>
          <w:rFonts w:eastAsia="Aptos" w:cs="Arial"/>
        </w:rPr>
        <w:t> </w:t>
      </w:r>
    </w:p>
    <w:p w14:paraId="352510F6" w14:textId="77777777" w:rsidR="000C7D2C" w:rsidRPr="000C7D2C" w:rsidRDefault="000C7D2C" w:rsidP="009C14D5">
      <w:pPr>
        <w:rPr>
          <w:rFonts w:eastAsia="Aptos" w:cs="Arial"/>
        </w:rPr>
      </w:pPr>
    </w:p>
    <w:p w14:paraId="5B820467" w14:textId="134D4C1B" w:rsidR="00556861" w:rsidRPr="00D0306F" w:rsidRDefault="000C7D2C" w:rsidP="00556861">
      <w:r w:rsidRPr="000C7D2C">
        <w:rPr>
          <w:rFonts w:eastAsia="Aptos" w:cs="Arial"/>
        </w:rPr>
        <w:t>This document is available in Welsh</w:t>
      </w:r>
      <w:r w:rsidR="00556861" w:rsidRPr="00D0306F">
        <w:rPr>
          <w:rFonts w:eastAsia="Aptos" w:cs="Arial"/>
        </w:rPr>
        <w:t>/</w:t>
      </w:r>
      <w:r w:rsidR="00556861" w:rsidRPr="00D0306F">
        <w:rPr>
          <w:lang w:bidi="cy-GB"/>
        </w:rPr>
        <w:t xml:space="preserve">Mae’r ddogfen hon ar gael yn </w:t>
      </w:r>
      <w:r w:rsidR="00556861" w:rsidRPr="00D0306F">
        <w:rPr>
          <w:rFonts w:eastAsia="Times New Roman" w:cs="Arial"/>
          <w:kern w:val="0"/>
          <w:lang w:eastAsia="en-GB"/>
          <w14:ligatures w14:val="none"/>
        </w:rPr>
        <w:t>Gymraeg</w:t>
      </w:r>
      <w:r w:rsidR="00556861" w:rsidRPr="00D0306F">
        <w:rPr>
          <w:lang w:bidi="cy-GB"/>
        </w:rPr>
        <w:t xml:space="preserve">. </w:t>
      </w:r>
    </w:p>
    <w:p w14:paraId="6288A153" w14:textId="77777777" w:rsidR="000C7D2C" w:rsidRPr="000C7D2C" w:rsidRDefault="000C7D2C" w:rsidP="009C14D5">
      <w:pPr>
        <w:rPr>
          <w:rFonts w:eastAsia="Aptos" w:cs="Arial"/>
        </w:rPr>
      </w:pPr>
      <w:r w:rsidRPr="000C7D2C">
        <w:rPr>
          <w:rFonts w:eastAsia="Aptos" w:cs="Arial"/>
        </w:rPr>
        <w:t> </w:t>
      </w:r>
    </w:p>
    <w:p w14:paraId="2EA1CAE4" w14:textId="77777777" w:rsidR="000C7D2C" w:rsidRPr="000C7D2C" w:rsidRDefault="000C7D2C" w:rsidP="009C14D5">
      <w:pPr>
        <w:rPr>
          <w:rFonts w:eastAsia="Aptos" w:cs="Arial"/>
          <w:b/>
          <w:bCs/>
        </w:rPr>
      </w:pPr>
      <w:r w:rsidRPr="000C7D2C">
        <w:rPr>
          <w:rFonts w:eastAsia="Aptos" w:cs="Arial"/>
          <w:b/>
          <w:bCs/>
          <w:lang w:val="en-US"/>
        </w:rPr>
        <w:t>About you</w:t>
      </w:r>
      <w:r w:rsidRPr="000C7D2C">
        <w:rPr>
          <w:rFonts w:eastAsia="Aptos" w:cs="Arial"/>
          <w:b/>
          <w:bCs/>
        </w:rPr>
        <w:t> </w:t>
      </w:r>
    </w:p>
    <w:p w14:paraId="0FF14939" w14:textId="77777777" w:rsidR="000C7D2C" w:rsidRPr="000C7D2C" w:rsidRDefault="000C7D2C" w:rsidP="009C14D5">
      <w:pPr>
        <w:rPr>
          <w:rFonts w:eastAsia="Aptos" w:cs="Arial"/>
        </w:rPr>
      </w:pPr>
      <w:r w:rsidRPr="000C7D2C">
        <w:rPr>
          <w:rFonts w:eastAsia="Aptos" w:cs="Arial"/>
        </w:rPr>
        <w:t> </w:t>
      </w:r>
    </w:p>
    <w:p w14:paraId="3692D29E" w14:textId="77777777" w:rsidR="000C7D2C" w:rsidRPr="000C7D2C" w:rsidRDefault="000C7D2C" w:rsidP="009C14D5">
      <w:pPr>
        <w:rPr>
          <w:rFonts w:eastAsia="Aptos" w:cs="Arial"/>
          <w:b/>
          <w:bCs/>
        </w:rPr>
      </w:pPr>
      <w:r w:rsidRPr="000C7D2C">
        <w:rPr>
          <w:rFonts w:eastAsia="Aptos" w:cs="Arial"/>
          <w:b/>
          <w:bCs/>
          <w:lang w:val="en-US"/>
        </w:rPr>
        <w:t>Please tell us your postcode</w:t>
      </w:r>
      <w:r w:rsidRPr="000C7D2C">
        <w:rPr>
          <w:rFonts w:eastAsia="Aptos" w:cs="Arial"/>
          <w:b/>
          <w:bCs/>
        </w:rPr>
        <w:t> </w:t>
      </w:r>
    </w:p>
    <w:p w14:paraId="39A6D91B" w14:textId="77777777" w:rsidR="000C7D2C" w:rsidRPr="000C7D2C" w:rsidRDefault="000C7D2C" w:rsidP="009C14D5">
      <w:pPr>
        <w:rPr>
          <w:rFonts w:eastAsia="Aptos" w:cs="Arial"/>
        </w:rPr>
      </w:pPr>
      <w:r w:rsidRPr="000C7D2C">
        <w:rPr>
          <w:rFonts w:eastAsia="Aptos" w:cs="Arial"/>
        </w:rPr>
        <w:t> </w:t>
      </w:r>
    </w:p>
    <w:p w14:paraId="50E3B541" w14:textId="77777777" w:rsidR="000C7D2C" w:rsidRPr="000C7D2C" w:rsidRDefault="000C7D2C" w:rsidP="009C14D5">
      <w:pPr>
        <w:rPr>
          <w:rFonts w:eastAsia="Aptos" w:cs="Arial"/>
        </w:rPr>
      </w:pPr>
      <w:r w:rsidRPr="000C7D2C">
        <w:rPr>
          <w:rFonts w:eastAsia="Aptos" w:cs="Arial"/>
          <w:lang w:val="en-US"/>
        </w:rPr>
        <w:t>By providing us with the first four digits of your postcode, you are consenting for us to use this information to understand which part of Swansea Bay University Health Board you live in. This information will only be used for the purposes of this questionnaire so that we can identify whether we have received responses from across the health board area or from particular areas. Please do not provide us with your full postcode.</w:t>
      </w:r>
      <w:r w:rsidRPr="000C7D2C">
        <w:rPr>
          <w:rFonts w:eastAsia="Aptos" w:cs="Arial"/>
        </w:rPr>
        <w:t> </w:t>
      </w:r>
    </w:p>
    <w:p w14:paraId="4AAD4D4A" w14:textId="77777777" w:rsidR="000C7D2C" w:rsidRPr="000C7D2C" w:rsidRDefault="000C7D2C" w:rsidP="009C14D5">
      <w:pPr>
        <w:rPr>
          <w:rFonts w:eastAsia="Aptos" w:cs="Arial"/>
        </w:rPr>
      </w:pPr>
      <w:r w:rsidRPr="000C7D2C">
        <w:rPr>
          <w:rFonts w:eastAsia="Aptos" w:cs="Arial"/>
        </w:rPr>
        <w:t> </w:t>
      </w:r>
    </w:p>
    <w:p w14:paraId="757ADF14" w14:textId="77777777" w:rsidR="000C7D2C" w:rsidRPr="000C7D2C" w:rsidRDefault="000C7D2C" w:rsidP="009C14D5">
      <w:pPr>
        <w:rPr>
          <w:rFonts w:eastAsia="Aptos" w:cs="Arial"/>
        </w:rPr>
      </w:pPr>
      <w:r w:rsidRPr="000C7D2C">
        <w:rPr>
          <w:rFonts w:eastAsia="Aptos" w:cs="Arial"/>
          <w:lang w:val="en-US"/>
        </w:rPr>
        <w:t>For example, if your postcode is SA12 9XL just type SA12 in the box below.</w:t>
      </w:r>
      <w:r w:rsidRPr="000C7D2C">
        <w:rPr>
          <w:rFonts w:eastAsia="Aptos" w:cs="Arial"/>
        </w:rPr>
        <w:t> </w:t>
      </w:r>
    </w:p>
    <w:p w14:paraId="05CD023F" w14:textId="77777777" w:rsidR="000C7D2C" w:rsidRPr="000C7D2C" w:rsidRDefault="000C7D2C" w:rsidP="009C14D5">
      <w:pPr>
        <w:rPr>
          <w:rFonts w:eastAsia="Aptos" w:cs="Arial"/>
        </w:rPr>
      </w:pPr>
      <w:r w:rsidRPr="000C7D2C">
        <w:rPr>
          <w:rFonts w:eastAsia="Aptos" w:cs="Arial"/>
        </w:rPr>
        <w:t> </w:t>
      </w:r>
    </w:p>
    <w:tbl>
      <w:tblPr>
        <w:tblStyle w:val="TableGrid"/>
        <w:tblW w:w="0" w:type="auto"/>
        <w:tblInd w:w="0" w:type="dxa"/>
        <w:tblLook w:val="04A0" w:firstRow="1" w:lastRow="0" w:firstColumn="1" w:lastColumn="0" w:noHBand="0" w:noVBand="1"/>
      </w:tblPr>
      <w:tblGrid>
        <w:gridCol w:w="9016"/>
      </w:tblGrid>
      <w:tr w:rsidR="000C7D2C" w:rsidRPr="000C7D2C" w14:paraId="2352D76C" w14:textId="77777777" w:rsidTr="000C7D2C">
        <w:tc>
          <w:tcPr>
            <w:tcW w:w="9016" w:type="dxa"/>
            <w:tcBorders>
              <w:top w:val="single" w:sz="4" w:space="0" w:color="auto"/>
              <w:left w:val="single" w:sz="4" w:space="0" w:color="auto"/>
              <w:bottom w:val="single" w:sz="4" w:space="0" w:color="auto"/>
              <w:right w:val="single" w:sz="4" w:space="0" w:color="auto"/>
            </w:tcBorders>
          </w:tcPr>
          <w:p w14:paraId="24DBE7A8" w14:textId="77777777" w:rsidR="000C7D2C" w:rsidRPr="000C7D2C" w:rsidRDefault="000C7D2C" w:rsidP="009C14D5">
            <w:pPr>
              <w:rPr>
                <w:rFonts w:cs="Arial"/>
              </w:rPr>
            </w:pPr>
          </w:p>
        </w:tc>
      </w:tr>
    </w:tbl>
    <w:p w14:paraId="3C1F1756" w14:textId="77777777" w:rsidR="000C7D2C" w:rsidRPr="000C7D2C" w:rsidRDefault="000C7D2C" w:rsidP="009C14D5">
      <w:pPr>
        <w:rPr>
          <w:rFonts w:eastAsia="Aptos" w:cs="Arial"/>
        </w:rPr>
      </w:pPr>
    </w:p>
    <w:p w14:paraId="0FCF1490" w14:textId="77777777" w:rsidR="000C7D2C" w:rsidRPr="000C7D2C" w:rsidRDefault="000C7D2C" w:rsidP="009C14D5">
      <w:pPr>
        <w:rPr>
          <w:rFonts w:eastAsia="Aptos" w:cs="Arial"/>
          <w:b/>
          <w:bCs/>
        </w:rPr>
      </w:pPr>
      <w:r w:rsidRPr="000C7D2C">
        <w:rPr>
          <w:rFonts w:eastAsia="Aptos" w:cs="Arial"/>
          <w:b/>
          <w:bCs/>
          <w:lang w:val="en-US"/>
        </w:rPr>
        <w:t>Preferred language</w:t>
      </w:r>
      <w:r w:rsidRPr="000C7D2C">
        <w:rPr>
          <w:rFonts w:eastAsia="Aptos" w:cs="Arial"/>
          <w:b/>
          <w:bCs/>
        </w:rPr>
        <w:t> </w:t>
      </w:r>
    </w:p>
    <w:p w14:paraId="16549562" w14:textId="77777777" w:rsidR="000C7D2C" w:rsidRPr="000C7D2C" w:rsidRDefault="000C7D2C" w:rsidP="009C14D5">
      <w:pPr>
        <w:rPr>
          <w:rFonts w:eastAsia="Aptos" w:cs="Arial"/>
        </w:rPr>
      </w:pPr>
      <w:r w:rsidRPr="000C7D2C">
        <w:rPr>
          <w:rFonts w:eastAsia="Aptos" w:cs="Arial"/>
        </w:rPr>
        <w:t> </w:t>
      </w:r>
    </w:p>
    <w:p w14:paraId="45F38580" w14:textId="77777777" w:rsidR="000C7D2C" w:rsidRPr="000C7D2C" w:rsidRDefault="000C7D2C" w:rsidP="009C14D5">
      <w:pPr>
        <w:rPr>
          <w:rFonts w:eastAsia="Aptos" w:cs="Arial"/>
        </w:rPr>
      </w:pPr>
      <w:r w:rsidRPr="000C7D2C">
        <w:rPr>
          <w:rFonts w:eastAsia="Aptos" w:cs="Arial"/>
          <w:lang w:val="en-US"/>
        </w:rPr>
        <w:t>1. Please could you tell us your preferred language when you access services at a pharmacy?</w:t>
      </w:r>
      <w:r w:rsidRPr="000C7D2C">
        <w:rPr>
          <w:rFonts w:eastAsia="Aptos" w:cs="Arial"/>
        </w:rPr>
        <w:t> </w:t>
      </w:r>
    </w:p>
    <w:p w14:paraId="2A55627B" w14:textId="77777777" w:rsidR="000C7D2C" w:rsidRPr="000C7D2C" w:rsidRDefault="000C7D2C" w:rsidP="009C14D5">
      <w:pPr>
        <w:rPr>
          <w:rFonts w:eastAsia="Aptos" w:cs="Arial"/>
        </w:rPr>
      </w:pPr>
      <w:r w:rsidRPr="000C7D2C">
        <w:rPr>
          <w:rFonts w:eastAsia="Aptos" w:cs="Arial"/>
        </w:rPr>
        <w:t> </w:t>
      </w:r>
    </w:p>
    <w:p w14:paraId="28AFE080" w14:textId="77777777" w:rsidR="000C7D2C" w:rsidRPr="000C7D2C" w:rsidRDefault="000C7D2C" w:rsidP="00B76905">
      <w:pPr>
        <w:numPr>
          <w:ilvl w:val="0"/>
          <w:numId w:val="251"/>
        </w:numPr>
        <w:contextualSpacing/>
        <w:rPr>
          <w:rFonts w:eastAsia="Aptos" w:cs="Arial"/>
        </w:rPr>
      </w:pPr>
      <w:r w:rsidRPr="000C7D2C">
        <w:rPr>
          <w:rFonts w:eastAsia="Aptos" w:cs="Arial"/>
          <w:lang w:val="en-US"/>
        </w:rPr>
        <w:t>Welsh</w:t>
      </w:r>
      <w:r w:rsidRPr="000C7D2C">
        <w:rPr>
          <w:rFonts w:eastAsia="Aptos" w:cs="Arial"/>
        </w:rPr>
        <w:t> </w:t>
      </w:r>
    </w:p>
    <w:p w14:paraId="7E4463D7" w14:textId="77777777" w:rsidR="000C7D2C" w:rsidRPr="000C7D2C" w:rsidRDefault="000C7D2C" w:rsidP="00B76905">
      <w:pPr>
        <w:numPr>
          <w:ilvl w:val="0"/>
          <w:numId w:val="251"/>
        </w:numPr>
        <w:contextualSpacing/>
        <w:rPr>
          <w:rFonts w:eastAsia="Aptos" w:cs="Arial"/>
        </w:rPr>
      </w:pPr>
      <w:r w:rsidRPr="000C7D2C">
        <w:rPr>
          <w:rFonts w:eastAsia="Aptos" w:cs="Arial"/>
          <w:lang w:val="en-US"/>
        </w:rPr>
        <w:t>English</w:t>
      </w:r>
      <w:r w:rsidRPr="000C7D2C">
        <w:rPr>
          <w:rFonts w:eastAsia="Aptos" w:cs="Arial"/>
        </w:rPr>
        <w:t> </w:t>
      </w:r>
    </w:p>
    <w:p w14:paraId="20B72B0A" w14:textId="77777777" w:rsidR="000C7D2C" w:rsidRPr="000C7D2C" w:rsidRDefault="000C7D2C" w:rsidP="00B76905">
      <w:pPr>
        <w:numPr>
          <w:ilvl w:val="0"/>
          <w:numId w:val="251"/>
        </w:numPr>
        <w:contextualSpacing/>
        <w:rPr>
          <w:rFonts w:eastAsia="Aptos" w:cs="Arial"/>
        </w:rPr>
      </w:pPr>
      <w:r w:rsidRPr="000C7D2C">
        <w:rPr>
          <w:rFonts w:eastAsia="Aptos" w:cs="Arial"/>
          <w:lang w:val="en-US"/>
        </w:rPr>
        <w:t>Other [text box]</w:t>
      </w:r>
      <w:r w:rsidRPr="000C7D2C">
        <w:rPr>
          <w:rFonts w:eastAsia="Aptos" w:cs="Arial"/>
        </w:rPr>
        <w:t> </w:t>
      </w:r>
    </w:p>
    <w:p w14:paraId="2DFAE2E5" w14:textId="77777777" w:rsidR="000C7D2C" w:rsidRPr="000C7D2C" w:rsidRDefault="000C7D2C" w:rsidP="009C14D5">
      <w:pPr>
        <w:rPr>
          <w:rFonts w:eastAsia="Aptos" w:cs="Arial"/>
        </w:rPr>
      </w:pPr>
      <w:r w:rsidRPr="000C7D2C">
        <w:rPr>
          <w:rFonts w:eastAsia="Aptos" w:cs="Arial"/>
        </w:rPr>
        <w:t> </w:t>
      </w:r>
    </w:p>
    <w:p w14:paraId="0CDF30E1" w14:textId="77777777" w:rsidR="000C7D2C" w:rsidRPr="000C7D2C" w:rsidRDefault="000C7D2C" w:rsidP="009C14D5">
      <w:pPr>
        <w:rPr>
          <w:rFonts w:eastAsia="Aptos" w:cs="Arial"/>
        </w:rPr>
      </w:pPr>
    </w:p>
    <w:p w14:paraId="6962D85D" w14:textId="77777777" w:rsidR="000C7D2C" w:rsidRPr="000C7D2C" w:rsidRDefault="000C7D2C" w:rsidP="009C14D5">
      <w:pPr>
        <w:rPr>
          <w:rFonts w:eastAsia="Aptos" w:cs="Arial"/>
        </w:rPr>
      </w:pPr>
      <w:r w:rsidRPr="000C7D2C">
        <w:rPr>
          <w:rFonts w:eastAsia="Aptos" w:cs="Arial"/>
        </w:rPr>
        <w:t> </w:t>
      </w:r>
    </w:p>
    <w:p w14:paraId="10136392" w14:textId="7513E517" w:rsidR="000C7D2C" w:rsidRPr="000C7D2C" w:rsidRDefault="000C7D2C" w:rsidP="009C14D5">
      <w:pPr>
        <w:rPr>
          <w:rFonts w:eastAsia="Aptos" w:cs="Arial"/>
          <w:b/>
          <w:bCs/>
        </w:rPr>
      </w:pPr>
      <w:r w:rsidRPr="000C7D2C">
        <w:rPr>
          <w:rFonts w:eastAsia="Aptos" w:cs="Arial"/>
          <w:b/>
          <w:bCs/>
          <w:lang w:val="en-US"/>
        </w:rPr>
        <w:t>How you use your pharmacy – either in person or by having someone else go there for you</w:t>
      </w:r>
      <w:r w:rsidR="00B752FC">
        <w:rPr>
          <w:rFonts w:eastAsia="Aptos" w:cs="Arial"/>
          <w:b/>
          <w:bCs/>
          <w:lang w:val="en-US"/>
        </w:rPr>
        <w:t xml:space="preserve"> </w:t>
      </w:r>
    </w:p>
    <w:p w14:paraId="52DF8E36" w14:textId="77777777" w:rsidR="000C7D2C" w:rsidRPr="000C7D2C" w:rsidRDefault="000C7D2C" w:rsidP="009C14D5">
      <w:pPr>
        <w:rPr>
          <w:rFonts w:eastAsia="Aptos" w:cs="Arial"/>
          <w:b/>
          <w:bCs/>
        </w:rPr>
      </w:pPr>
      <w:r w:rsidRPr="000C7D2C">
        <w:rPr>
          <w:rFonts w:eastAsia="Aptos" w:cs="Arial"/>
          <w:b/>
          <w:bCs/>
        </w:rPr>
        <w:t> </w:t>
      </w:r>
    </w:p>
    <w:p w14:paraId="655F93F8" w14:textId="77777777" w:rsidR="000C7D2C" w:rsidRPr="000C7D2C" w:rsidRDefault="000C7D2C" w:rsidP="009C14D5">
      <w:pPr>
        <w:rPr>
          <w:rFonts w:eastAsia="Aptos" w:cs="Arial"/>
        </w:rPr>
      </w:pPr>
      <w:r w:rsidRPr="000C7D2C">
        <w:rPr>
          <w:rFonts w:eastAsia="Aptos" w:cs="Arial"/>
        </w:rPr>
        <w:t>2. Why do you usually visit a pharmacy? Please tick any or all that apply.</w:t>
      </w:r>
    </w:p>
    <w:p w14:paraId="1EBC6F95" w14:textId="77777777" w:rsidR="000C7D2C" w:rsidRPr="000C7D2C" w:rsidRDefault="000C7D2C" w:rsidP="009C14D5">
      <w:pPr>
        <w:rPr>
          <w:rFonts w:eastAsia="Aptos" w:cs="Arial"/>
        </w:rPr>
      </w:pPr>
    </w:p>
    <w:p w14:paraId="3E115C7A" w14:textId="77777777" w:rsidR="000C7D2C" w:rsidRPr="000C7D2C" w:rsidRDefault="000C7D2C" w:rsidP="00B76905">
      <w:pPr>
        <w:numPr>
          <w:ilvl w:val="0"/>
          <w:numId w:val="252"/>
        </w:numPr>
        <w:contextualSpacing/>
        <w:rPr>
          <w:rFonts w:eastAsia="Aptos" w:cs="Arial"/>
        </w:rPr>
      </w:pPr>
      <w:r w:rsidRPr="000C7D2C">
        <w:rPr>
          <w:rFonts w:eastAsia="Aptos" w:cs="Arial"/>
          <w:lang w:val="en-US"/>
        </w:rPr>
        <w:t>To get or collect a prescription for myself</w:t>
      </w:r>
      <w:r w:rsidRPr="000C7D2C">
        <w:rPr>
          <w:rFonts w:eastAsia="Aptos" w:cs="Arial"/>
        </w:rPr>
        <w:t> </w:t>
      </w:r>
    </w:p>
    <w:p w14:paraId="3B159ABF" w14:textId="77777777" w:rsidR="000C7D2C" w:rsidRPr="000C7D2C" w:rsidRDefault="000C7D2C" w:rsidP="00B76905">
      <w:pPr>
        <w:numPr>
          <w:ilvl w:val="0"/>
          <w:numId w:val="252"/>
        </w:numPr>
        <w:contextualSpacing/>
        <w:rPr>
          <w:rFonts w:eastAsia="Aptos" w:cs="Arial"/>
        </w:rPr>
      </w:pPr>
      <w:r w:rsidRPr="000C7D2C">
        <w:rPr>
          <w:rFonts w:eastAsia="Aptos" w:cs="Arial"/>
          <w:lang w:val="en-US"/>
        </w:rPr>
        <w:t>To buy medicines for myself</w:t>
      </w:r>
      <w:r w:rsidRPr="000C7D2C">
        <w:rPr>
          <w:rFonts w:eastAsia="Aptos" w:cs="Arial"/>
        </w:rPr>
        <w:t> </w:t>
      </w:r>
    </w:p>
    <w:p w14:paraId="46DE76D7" w14:textId="77777777" w:rsidR="000C7D2C" w:rsidRPr="000C7D2C" w:rsidRDefault="000C7D2C" w:rsidP="00B76905">
      <w:pPr>
        <w:numPr>
          <w:ilvl w:val="0"/>
          <w:numId w:val="252"/>
        </w:numPr>
        <w:contextualSpacing/>
        <w:rPr>
          <w:rFonts w:eastAsia="Aptos" w:cs="Arial"/>
        </w:rPr>
      </w:pPr>
      <w:r w:rsidRPr="000C7D2C">
        <w:rPr>
          <w:rFonts w:eastAsia="Aptos" w:cs="Arial"/>
          <w:lang w:val="en-US"/>
        </w:rPr>
        <w:t>To get advice for myself</w:t>
      </w:r>
      <w:r w:rsidRPr="000C7D2C">
        <w:rPr>
          <w:rFonts w:eastAsia="Aptos" w:cs="Arial"/>
        </w:rPr>
        <w:t> </w:t>
      </w:r>
    </w:p>
    <w:p w14:paraId="5F81EDB2" w14:textId="77777777" w:rsidR="000C7D2C" w:rsidRPr="000C7D2C" w:rsidRDefault="000C7D2C" w:rsidP="00B76905">
      <w:pPr>
        <w:numPr>
          <w:ilvl w:val="0"/>
          <w:numId w:val="252"/>
        </w:numPr>
        <w:contextualSpacing/>
        <w:rPr>
          <w:rFonts w:eastAsia="Aptos" w:cs="Arial"/>
        </w:rPr>
      </w:pPr>
      <w:r w:rsidRPr="000C7D2C">
        <w:rPr>
          <w:rFonts w:eastAsia="Aptos" w:cs="Arial"/>
          <w:lang w:val="en-US"/>
        </w:rPr>
        <w:t>For other services such as flu vaccination</w:t>
      </w:r>
      <w:r w:rsidRPr="000C7D2C">
        <w:rPr>
          <w:rFonts w:eastAsia="Aptos" w:cs="Arial"/>
        </w:rPr>
        <w:t> </w:t>
      </w:r>
    </w:p>
    <w:p w14:paraId="1688AC78" w14:textId="77777777" w:rsidR="000C7D2C" w:rsidRPr="000C7D2C" w:rsidRDefault="000C7D2C" w:rsidP="00B76905">
      <w:pPr>
        <w:numPr>
          <w:ilvl w:val="0"/>
          <w:numId w:val="252"/>
        </w:numPr>
        <w:contextualSpacing/>
        <w:rPr>
          <w:rFonts w:eastAsia="Aptos" w:cs="Arial"/>
        </w:rPr>
      </w:pPr>
      <w:r w:rsidRPr="000C7D2C">
        <w:rPr>
          <w:rFonts w:eastAsia="Aptos" w:cs="Arial"/>
          <w:lang w:val="en-US"/>
        </w:rPr>
        <w:t>To get or collect a prescription for someone else</w:t>
      </w:r>
      <w:r w:rsidRPr="000C7D2C">
        <w:rPr>
          <w:rFonts w:eastAsia="Aptos" w:cs="Arial"/>
        </w:rPr>
        <w:t> </w:t>
      </w:r>
    </w:p>
    <w:p w14:paraId="144D332A" w14:textId="77777777" w:rsidR="000C7D2C" w:rsidRPr="000C7D2C" w:rsidRDefault="000C7D2C" w:rsidP="00B76905">
      <w:pPr>
        <w:numPr>
          <w:ilvl w:val="0"/>
          <w:numId w:val="252"/>
        </w:numPr>
        <w:contextualSpacing/>
        <w:rPr>
          <w:rFonts w:eastAsia="Aptos" w:cs="Arial"/>
        </w:rPr>
      </w:pPr>
      <w:r w:rsidRPr="000C7D2C">
        <w:rPr>
          <w:rFonts w:eastAsia="Aptos" w:cs="Arial"/>
          <w:lang w:val="en-US"/>
        </w:rPr>
        <w:t>To buy medicines for someone else</w:t>
      </w:r>
      <w:r w:rsidRPr="000C7D2C">
        <w:rPr>
          <w:rFonts w:eastAsia="Aptos" w:cs="Arial"/>
        </w:rPr>
        <w:t> </w:t>
      </w:r>
    </w:p>
    <w:p w14:paraId="70B0953E" w14:textId="77777777" w:rsidR="000C7D2C" w:rsidRPr="000C7D2C" w:rsidRDefault="000C7D2C" w:rsidP="00B76905">
      <w:pPr>
        <w:numPr>
          <w:ilvl w:val="0"/>
          <w:numId w:val="252"/>
        </w:numPr>
        <w:contextualSpacing/>
        <w:rPr>
          <w:rFonts w:eastAsia="Aptos" w:cs="Arial"/>
        </w:rPr>
      </w:pPr>
      <w:r w:rsidRPr="000C7D2C">
        <w:rPr>
          <w:rFonts w:eastAsia="Aptos" w:cs="Arial"/>
          <w:lang w:val="en-US"/>
        </w:rPr>
        <w:t>To get advice for someone else</w:t>
      </w:r>
      <w:r w:rsidRPr="000C7D2C">
        <w:rPr>
          <w:rFonts w:eastAsia="Aptos" w:cs="Arial"/>
        </w:rPr>
        <w:t> </w:t>
      </w:r>
    </w:p>
    <w:p w14:paraId="415A5433" w14:textId="493590F0" w:rsidR="000C7D2C" w:rsidRPr="000C7D2C" w:rsidRDefault="000C7D2C" w:rsidP="00B76905">
      <w:pPr>
        <w:numPr>
          <w:ilvl w:val="0"/>
          <w:numId w:val="252"/>
        </w:numPr>
        <w:contextualSpacing/>
        <w:rPr>
          <w:rFonts w:eastAsia="Aptos" w:cs="Arial"/>
        </w:rPr>
      </w:pPr>
      <w:r w:rsidRPr="000C7D2C">
        <w:rPr>
          <w:rFonts w:eastAsia="Aptos" w:cs="Arial"/>
          <w:lang w:val="en-US"/>
        </w:rPr>
        <w:t>I don’t visit a pharmacy as I use an online/internet pharmacy </w:t>
      </w:r>
    </w:p>
    <w:p w14:paraId="415CF8ED" w14:textId="27061604" w:rsidR="000C7D2C" w:rsidRPr="000C7D2C" w:rsidRDefault="000C7D2C" w:rsidP="00B76905">
      <w:pPr>
        <w:numPr>
          <w:ilvl w:val="0"/>
          <w:numId w:val="252"/>
        </w:numPr>
        <w:contextualSpacing/>
        <w:rPr>
          <w:rFonts w:eastAsia="Aptos" w:cs="Arial"/>
        </w:rPr>
      </w:pPr>
      <w:r w:rsidRPr="000C7D2C">
        <w:rPr>
          <w:rFonts w:eastAsia="Aptos" w:cs="Arial"/>
          <w:lang w:val="en-US"/>
        </w:rPr>
        <w:t>I don’t visit a pharmacy as I use a dispensing doctor </w:t>
      </w:r>
    </w:p>
    <w:p w14:paraId="26C6721E" w14:textId="07725EAF" w:rsidR="000C7D2C" w:rsidRPr="000C7D2C" w:rsidRDefault="000C7D2C" w:rsidP="00B76905">
      <w:pPr>
        <w:numPr>
          <w:ilvl w:val="0"/>
          <w:numId w:val="252"/>
        </w:numPr>
        <w:contextualSpacing/>
        <w:rPr>
          <w:rFonts w:eastAsia="Aptos" w:cs="Arial"/>
        </w:rPr>
      </w:pPr>
      <w:r w:rsidRPr="000C7D2C">
        <w:rPr>
          <w:rFonts w:eastAsia="Aptos" w:cs="Arial"/>
          <w:lang w:val="en-US"/>
        </w:rPr>
        <w:t>I don’t visit a pharmacy as I use an appliance contractor </w:t>
      </w:r>
    </w:p>
    <w:p w14:paraId="2614B075" w14:textId="77777777" w:rsidR="000C7D2C" w:rsidRPr="000C7D2C" w:rsidRDefault="000C7D2C" w:rsidP="00B76905">
      <w:pPr>
        <w:numPr>
          <w:ilvl w:val="0"/>
          <w:numId w:val="252"/>
        </w:numPr>
        <w:contextualSpacing/>
        <w:rPr>
          <w:rFonts w:eastAsia="Aptos" w:cs="Arial"/>
        </w:rPr>
      </w:pPr>
      <w:r w:rsidRPr="000C7D2C">
        <w:rPr>
          <w:rFonts w:eastAsia="Aptos" w:cs="Arial"/>
          <w:lang w:val="en-US"/>
        </w:rPr>
        <w:t>I don’t visit a pharmacy as my medicines are delivered to me</w:t>
      </w:r>
      <w:r w:rsidRPr="000C7D2C">
        <w:rPr>
          <w:rFonts w:eastAsia="Aptos" w:cs="Arial"/>
        </w:rPr>
        <w:t> </w:t>
      </w:r>
    </w:p>
    <w:p w14:paraId="02C23DE4" w14:textId="77777777" w:rsidR="000C7D2C" w:rsidRPr="000C7D2C" w:rsidRDefault="000C7D2C" w:rsidP="00B76905">
      <w:pPr>
        <w:numPr>
          <w:ilvl w:val="0"/>
          <w:numId w:val="252"/>
        </w:numPr>
        <w:contextualSpacing/>
        <w:rPr>
          <w:rFonts w:eastAsia="Aptos" w:cs="Arial"/>
        </w:rPr>
      </w:pPr>
      <w:r w:rsidRPr="000C7D2C">
        <w:rPr>
          <w:rFonts w:eastAsia="Aptos" w:cs="Arial"/>
          <w:lang w:val="en-US"/>
        </w:rPr>
        <w:t>I don’t go to a pharmacy; someone goes on my behalf</w:t>
      </w:r>
    </w:p>
    <w:p w14:paraId="70CD0EF2" w14:textId="77777777" w:rsidR="000C7D2C" w:rsidRPr="000C7D2C" w:rsidRDefault="000C7D2C" w:rsidP="00B76905">
      <w:pPr>
        <w:numPr>
          <w:ilvl w:val="0"/>
          <w:numId w:val="252"/>
        </w:numPr>
        <w:contextualSpacing/>
        <w:rPr>
          <w:rFonts w:eastAsia="Aptos" w:cs="Arial"/>
        </w:rPr>
      </w:pPr>
      <w:r w:rsidRPr="000C7D2C">
        <w:rPr>
          <w:rFonts w:eastAsia="Aptos" w:cs="Arial"/>
          <w:lang w:val="en-US"/>
        </w:rPr>
        <w:t>Other [text box]</w:t>
      </w:r>
      <w:r w:rsidRPr="000C7D2C">
        <w:rPr>
          <w:rFonts w:eastAsia="Aptos" w:cs="Arial"/>
        </w:rPr>
        <w:t> </w:t>
      </w:r>
    </w:p>
    <w:p w14:paraId="05C33FD3" w14:textId="77777777" w:rsidR="000C7D2C" w:rsidRPr="000C7D2C" w:rsidRDefault="000C7D2C" w:rsidP="009C14D5">
      <w:pPr>
        <w:rPr>
          <w:rFonts w:eastAsia="Aptos" w:cs="Arial"/>
        </w:rPr>
      </w:pPr>
    </w:p>
    <w:p w14:paraId="2E74270B" w14:textId="77777777" w:rsidR="000C7D2C" w:rsidRPr="000C7D2C" w:rsidRDefault="000C7D2C" w:rsidP="009C14D5">
      <w:pPr>
        <w:rPr>
          <w:rFonts w:eastAsia="Aptos" w:cs="Arial"/>
        </w:rPr>
      </w:pPr>
      <w:r w:rsidRPr="000C7D2C">
        <w:rPr>
          <w:rFonts w:eastAsia="Aptos" w:cs="Arial"/>
        </w:rPr>
        <w:t>3. How often do you use a pharmacy?</w:t>
      </w:r>
    </w:p>
    <w:p w14:paraId="390A9CF9" w14:textId="77777777" w:rsidR="000C7D2C" w:rsidRPr="000C7D2C" w:rsidRDefault="000C7D2C" w:rsidP="009C14D5">
      <w:pPr>
        <w:rPr>
          <w:rFonts w:eastAsia="Aptos" w:cs="Arial"/>
        </w:rPr>
      </w:pPr>
    </w:p>
    <w:p w14:paraId="6734DD56" w14:textId="77777777" w:rsidR="000C7D2C" w:rsidRPr="000C7D2C" w:rsidRDefault="000C7D2C" w:rsidP="00B76905">
      <w:pPr>
        <w:numPr>
          <w:ilvl w:val="0"/>
          <w:numId w:val="253"/>
        </w:numPr>
        <w:contextualSpacing/>
        <w:rPr>
          <w:rFonts w:eastAsia="Aptos" w:cs="Arial"/>
        </w:rPr>
      </w:pPr>
      <w:r w:rsidRPr="000C7D2C">
        <w:rPr>
          <w:rFonts w:eastAsia="Aptos" w:cs="Arial"/>
        </w:rPr>
        <w:t xml:space="preserve">Daily </w:t>
      </w:r>
    </w:p>
    <w:p w14:paraId="721C271F" w14:textId="77777777" w:rsidR="000C7D2C" w:rsidRPr="000C7D2C" w:rsidRDefault="000C7D2C" w:rsidP="00B76905">
      <w:pPr>
        <w:numPr>
          <w:ilvl w:val="0"/>
          <w:numId w:val="253"/>
        </w:numPr>
        <w:contextualSpacing/>
        <w:rPr>
          <w:rFonts w:eastAsia="Aptos" w:cs="Arial"/>
        </w:rPr>
      </w:pPr>
      <w:r w:rsidRPr="000C7D2C">
        <w:rPr>
          <w:rFonts w:eastAsia="Aptos" w:cs="Arial"/>
        </w:rPr>
        <w:t xml:space="preserve">Weekly </w:t>
      </w:r>
    </w:p>
    <w:p w14:paraId="3D15CC45" w14:textId="77777777" w:rsidR="000C7D2C" w:rsidRPr="000C7D2C" w:rsidRDefault="000C7D2C" w:rsidP="00B76905">
      <w:pPr>
        <w:numPr>
          <w:ilvl w:val="0"/>
          <w:numId w:val="253"/>
        </w:numPr>
        <w:contextualSpacing/>
        <w:rPr>
          <w:rFonts w:eastAsia="Aptos" w:cs="Arial"/>
        </w:rPr>
      </w:pPr>
      <w:r w:rsidRPr="000C7D2C">
        <w:rPr>
          <w:rFonts w:eastAsia="Aptos" w:cs="Arial"/>
        </w:rPr>
        <w:t xml:space="preserve">Fortnightly </w:t>
      </w:r>
    </w:p>
    <w:p w14:paraId="084A3E39" w14:textId="77777777" w:rsidR="000C7D2C" w:rsidRPr="000C7D2C" w:rsidRDefault="000C7D2C" w:rsidP="00B76905">
      <w:pPr>
        <w:numPr>
          <w:ilvl w:val="0"/>
          <w:numId w:val="253"/>
        </w:numPr>
        <w:contextualSpacing/>
        <w:rPr>
          <w:rFonts w:eastAsia="Aptos" w:cs="Arial"/>
        </w:rPr>
      </w:pPr>
      <w:r w:rsidRPr="000C7D2C">
        <w:rPr>
          <w:rFonts w:eastAsia="Aptos" w:cs="Arial"/>
        </w:rPr>
        <w:t xml:space="preserve">Monthly/every four weeks </w:t>
      </w:r>
    </w:p>
    <w:p w14:paraId="2341CB4E" w14:textId="77777777" w:rsidR="000C7D2C" w:rsidRPr="000C7D2C" w:rsidRDefault="000C7D2C" w:rsidP="00B76905">
      <w:pPr>
        <w:numPr>
          <w:ilvl w:val="0"/>
          <w:numId w:val="253"/>
        </w:numPr>
        <w:contextualSpacing/>
        <w:rPr>
          <w:rFonts w:eastAsia="Aptos" w:cs="Arial"/>
        </w:rPr>
      </w:pPr>
      <w:r w:rsidRPr="000C7D2C">
        <w:rPr>
          <w:rFonts w:eastAsia="Aptos" w:cs="Arial"/>
        </w:rPr>
        <w:t xml:space="preserve">Quarterly </w:t>
      </w:r>
    </w:p>
    <w:p w14:paraId="2E212476" w14:textId="77777777" w:rsidR="000C7D2C" w:rsidRPr="000C7D2C" w:rsidRDefault="000C7D2C" w:rsidP="00B76905">
      <w:pPr>
        <w:numPr>
          <w:ilvl w:val="0"/>
          <w:numId w:val="253"/>
        </w:numPr>
        <w:contextualSpacing/>
        <w:rPr>
          <w:rFonts w:eastAsia="Aptos" w:cs="Arial"/>
        </w:rPr>
      </w:pPr>
      <w:r w:rsidRPr="000C7D2C">
        <w:rPr>
          <w:rFonts w:eastAsia="Aptos" w:cs="Arial"/>
        </w:rPr>
        <w:t>As needed</w:t>
      </w:r>
    </w:p>
    <w:p w14:paraId="48809464" w14:textId="77777777" w:rsidR="000C7D2C" w:rsidRPr="000C7D2C" w:rsidRDefault="000C7D2C" w:rsidP="00B76905">
      <w:pPr>
        <w:numPr>
          <w:ilvl w:val="0"/>
          <w:numId w:val="253"/>
        </w:numPr>
        <w:contextualSpacing/>
        <w:rPr>
          <w:rFonts w:eastAsia="Aptos" w:cs="Arial"/>
        </w:rPr>
      </w:pPr>
      <w:r w:rsidRPr="000C7D2C">
        <w:rPr>
          <w:rFonts w:eastAsia="Aptos" w:cs="Arial"/>
        </w:rPr>
        <w:t xml:space="preserve">I don’t use a pharmacy </w:t>
      </w:r>
    </w:p>
    <w:p w14:paraId="07C98BC9" w14:textId="77777777" w:rsidR="000C7D2C" w:rsidRPr="000C7D2C" w:rsidRDefault="000C7D2C" w:rsidP="00B76905">
      <w:pPr>
        <w:numPr>
          <w:ilvl w:val="0"/>
          <w:numId w:val="253"/>
        </w:numPr>
        <w:contextualSpacing/>
        <w:rPr>
          <w:rFonts w:eastAsia="Aptos" w:cs="Arial"/>
        </w:rPr>
      </w:pPr>
      <w:r w:rsidRPr="000C7D2C">
        <w:rPr>
          <w:rFonts w:eastAsia="Aptos" w:cs="Arial"/>
        </w:rPr>
        <w:t>Other [text box]</w:t>
      </w:r>
    </w:p>
    <w:p w14:paraId="5A044E1F" w14:textId="77777777" w:rsidR="000C7D2C" w:rsidRPr="000C7D2C" w:rsidRDefault="000C7D2C" w:rsidP="009C14D5">
      <w:pPr>
        <w:rPr>
          <w:rFonts w:eastAsia="Aptos" w:cs="Arial"/>
        </w:rPr>
      </w:pPr>
    </w:p>
    <w:p w14:paraId="7235ECA0" w14:textId="77777777" w:rsidR="000C7D2C" w:rsidRPr="000C7D2C" w:rsidRDefault="000C7D2C" w:rsidP="009C14D5">
      <w:pPr>
        <w:rPr>
          <w:rFonts w:eastAsia="Aptos" w:cs="Arial"/>
        </w:rPr>
      </w:pPr>
      <w:r w:rsidRPr="000C7D2C">
        <w:rPr>
          <w:rFonts w:eastAsia="Aptos" w:cs="Arial"/>
        </w:rPr>
        <w:t xml:space="preserve">4. What time is the most convenient for you to use a pharmacy? </w:t>
      </w:r>
    </w:p>
    <w:p w14:paraId="19C3AF83" w14:textId="77777777" w:rsidR="000C7D2C" w:rsidRPr="000C7D2C" w:rsidRDefault="000C7D2C" w:rsidP="009C14D5">
      <w:pPr>
        <w:rPr>
          <w:rFonts w:eastAsia="Aptos" w:cs="Arial"/>
        </w:rPr>
      </w:pPr>
    </w:p>
    <w:p w14:paraId="0330F1F6" w14:textId="77777777" w:rsidR="000C7D2C" w:rsidRPr="000C7D2C" w:rsidRDefault="000C7D2C" w:rsidP="00B76905">
      <w:pPr>
        <w:numPr>
          <w:ilvl w:val="0"/>
          <w:numId w:val="254"/>
        </w:numPr>
        <w:contextualSpacing/>
        <w:rPr>
          <w:rFonts w:eastAsia="Aptos" w:cs="Arial"/>
        </w:rPr>
      </w:pPr>
      <w:r w:rsidRPr="000C7D2C">
        <w:rPr>
          <w:rFonts w:eastAsia="Aptos" w:cs="Arial"/>
        </w:rPr>
        <w:t xml:space="preserve">7am to 9am </w:t>
      </w:r>
    </w:p>
    <w:p w14:paraId="07BF14C8" w14:textId="77777777" w:rsidR="000C7D2C" w:rsidRPr="000C7D2C" w:rsidRDefault="000C7D2C" w:rsidP="00B76905">
      <w:pPr>
        <w:numPr>
          <w:ilvl w:val="0"/>
          <w:numId w:val="254"/>
        </w:numPr>
        <w:contextualSpacing/>
        <w:rPr>
          <w:rFonts w:eastAsia="Aptos" w:cs="Arial"/>
        </w:rPr>
      </w:pPr>
      <w:r w:rsidRPr="000C7D2C">
        <w:rPr>
          <w:rFonts w:eastAsia="Aptos" w:cs="Arial"/>
        </w:rPr>
        <w:t xml:space="preserve">9am to 12 noon </w:t>
      </w:r>
    </w:p>
    <w:p w14:paraId="488CE8CB" w14:textId="77777777" w:rsidR="000C7D2C" w:rsidRPr="000C7D2C" w:rsidRDefault="000C7D2C" w:rsidP="00B76905">
      <w:pPr>
        <w:numPr>
          <w:ilvl w:val="0"/>
          <w:numId w:val="254"/>
        </w:numPr>
        <w:contextualSpacing/>
        <w:rPr>
          <w:rFonts w:eastAsia="Aptos" w:cs="Arial"/>
        </w:rPr>
      </w:pPr>
      <w:r w:rsidRPr="000C7D2C">
        <w:rPr>
          <w:rFonts w:eastAsia="Aptos" w:cs="Arial"/>
        </w:rPr>
        <w:t xml:space="preserve">12 noon to 2pm </w:t>
      </w:r>
    </w:p>
    <w:p w14:paraId="60CB7DB0" w14:textId="77777777" w:rsidR="000C7D2C" w:rsidRPr="000C7D2C" w:rsidRDefault="000C7D2C" w:rsidP="00B76905">
      <w:pPr>
        <w:numPr>
          <w:ilvl w:val="0"/>
          <w:numId w:val="254"/>
        </w:numPr>
        <w:contextualSpacing/>
        <w:rPr>
          <w:rFonts w:eastAsia="Aptos" w:cs="Arial"/>
        </w:rPr>
      </w:pPr>
      <w:r w:rsidRPr="000C7D2C">
        <w:rPr>
          <w:rFonts w:eastAsia="Aptos" w:cs="Arial"/>
        </w:rPr>
        <w:t xml:space="preserve">2pm to 6pm </w:t>
      </w:r>
    </w:p>
    <w:p w14:paraId="79A1C491" w14:textId="77777777" w:rsidR="000C7D2C" w:rsidRPr="000C7D2C" w:rsidRDefault="000C7D2C" w:rsidP="00B76905">
      <w:pPr>
        <w:numPr>
          <w:ilvl w:val="0"/>
          <w:numId w:val="254"/>
        </w:numPr>
        <w:contextualSpacing/>
        <w:rPr>
          <w:rFonts w:eastAsia="Aptos" w:cs="Arial"/>
        </w:rPr>
      </w:pPr>
      <w:r w:rsidRPr="000C7D2C">
        <w:rPr>
          <w:rFonts w:eastAsia="Aptos" w:cs="Arial"/>
        </w:rPr>
        <w:t xml:space="preserve">6pm to 9pm </w:t>
      </w:r>
    </w:p>
    <w:p w14:paraId="4DFEE3A3" w14:textId="77777777" w:rsidR="000C7D2C" w:rsidRPr="000C7D2C" w:rsidRDefault="000C7D2C" w:rsidP="00B76905">
      <w:pPr>
        <w:numPr>
          <w:ilvl w:val="0"/>
          <w:numId w:val="254"/>
        </w:numPr>
        <w:contextualSpacing/>
        <w:rPr>
          <w:rFonts w:eastAsia="Aptos" w:cs="Arial"/>
        </w:rPr>
      </w:pPr>
      <w:r w:rsidRPr="000C7D2C">
        <w:rPr>
          <w:rFonts w:eastAsia="Aptos" w:cs="Arial"/>
        </w:rPr>
        <w:t xml:space="preserve">9pm to midnight </w:t>
      </w:r>
    </w:p>
    <w:p w14:paraId="466FD2E2" w14:textId="77777777" w:rsidR="000C7D2C" w:rsidRPr="000C7D2C" w:rsidRDefault="000C7D2C" w:rsidP="00B76905">
      <w:pPr>
        <w:numPr>
          <w:ilvl w:val="0"/>
          <w:numId w:val="254"/>
        </w:numPr>
        <w:contextualSpacing/>
        <w:rPr>
          <w:rFonts w:eastAsia="Aptos" w:cs="Arial"/>
        </w:rPr>
      </w:pPr>
      <w:r w:rsidRPr="000C7D2C">
        <w:rPr>
          <w:rFonts w:eastAsia="Aptos" w:cs="Arial"/>
        </w:rPr>
        <w:t xml:space="preserve">I don’t have a preference </w:t>
      </w:r>
    </w:p>
    <w:p w14:paraId="4AFA0CCE" w14:textId="77777777" w:rsidR="000C7D2C" w:rsidRPr="000C7D2C" w:rsidRDefault="000C7D2C" w:rsidP="009C14D5">
      <w:pPr>
        <w:rPr>
          <w:rFonts w:eastAsia="Aptos" w:cs="Arial"/>
        </w:rPr>
      </w:pPr>
    </w:p>
    <w:p w14:paraId="75CA1978" w14:textId="77777777" w:rsidR="000C7D2C" w:rsidRPr="000C7D2C" w:rsidRDefault="000C7D2C" w:rsidP="009C14D5">
      <w:pPr>
        <w:rPr>
          <w:rFonts w:eastAsia="Aptos" w:cs="Arial"/>
        </w:rPr>
      </w:pPr>
      <w:r w:rsidRPr="000C7D2C">
        <w:rPr>
          <w:rFonts w:eastAsia="Aptos" w:cs="Arial"/>
        </w:rPr>
        <w:t>5. What day is the most convenient for you to use a pharmacy?</w:t>
      </w:r>
    </w:p>
    <w:p w14:paraId="653FFA3E" w14:textId="77777777" w:rsidR="000C7D2C" w:rsidRPr="000C7D2C" w:rsidRDefault="000C7D2C" w:rsidP="009C14D5">
      <w:pPr>
        <w:rPr>
          <w:rFonts w:eastAsia="Aptos" w:cs="Arial"/>
        </w:rPr>
      </w:pPr>
    </w:p>
    <w:p w14:paraId="626FFADB" w14:textId="77777777" w:rsidR="000C7D2C" w:rsidRPr="000C7D2C" w:rsidRDefault="000C7D2C" w:rsidP="00B76905">
      <w:pPr>
        <w:numPr>
          <w:ilvl w:val="0"/>
          <w:numId w:val="255"/>
        </w:numPr>
        <w:contextualSpacing/>
        <w:rPr>
          <w:rFonts w:eastAsia="Aptos" w:cs="Arial"/>
        </w:rPr>
      </w:pPr>
      <w:r w:rsidRPr="000C7D2C">
        <w:rPr>
          <w:rFonts w:eastAsia="Aptos" w:cs="Arial"/>
          <w:lang w:val="en-US"/>
        </w:rPr>
        <w:t>Monday</w:t>
      </w:r>
      <w:r w:rsidRPr="000C7D2C">
        <w:rPr>
          <w:rFonts w:eastAsia="Aptos" w:cs="Arial"/>
        </w:rPr>
        <w:t> </w:t>
      </w:r>
    </w:p>
    <w:p w14:paraId="7CF797B2" w14:textId="77777777" w:rsidR="000C7D2C" w:rsidRPr="000C7D2C" w:rsidRDefault="000C7D2C" w:rsidP="00B76905">
      <w:pPr>
        <w:numPr>
          <w:ilvl w:val="0"/>
          <w:numId w:val="255"/>
        </w:numPr>
        <w:contextualSpacing/>
        <w:rPr>
          <w:rFonts w:eastAsia="Aptos" w:cs="Arial"/>
        </w:rPr>
      </w:pPr>
      <w:r w:rsidRPr="000C7D2C">
        <w:rPr>
          <w:rFonts w:eastAsia="Aptos" w:cs="Arial"/>
          <w:lang w:val="en-US"/>
        </w:rPr>
        <w:t>Tuesday</w:t>
      </w:r>
      <w:r w:rsidRPr="000C7D2C">
        <w:rPr>
          <w:rFonts w:eastAsia="Aptos" w:cs="Arial"/>
        </w:rPr>
        <w:t> </w:t>
      </w:r>
    </w:p>
    <w:p w14:paraId="41837655" w14:textId="77777777" w:rsidR="000C7D2C" w:rsidRPr="000C7D2C" w:rsidRDefault="000C7D2C" w:rsidP="00B76905">
      <w:pPr>
        <w:numPr>
          <w:ilvl w:val="0"/>
          <w:numId w:val="255"/>
        </w:numPr>
        <w:contextualSpacing/>
        <w:rPr>
          <w:rFonts w:eastAsia="Aptos" w:cs="Arial"/>
        </w:rPr>
      </w:pPr>
      <w:r w:rsidRPr="000C7D2C">
        <w:rPr>
          <w:rFonts w:eastAsia="Aptos" w:cs="Arial"/>
          <w:lang w:val="en-US"/>
        </w:rPr>
        <w:t>Wednesday</w:t>
      </w:r>
      <w:r w:rsidRPr="000C7D2C">
        <w:rPr>
          <w:rFonts w:eastAsia="Aptos" w:cs="Arial"/>
        </w:rPr>
        <w:t> </w:t>
      </w:r>
    </w:p>
    <w:p w14:paraId="6B5F7FA8" w14:textId="77777777" w:rsidR="000C7D2C" w:rsidRPr="000C7D2C" w:rsidRDefault="000C7D2C" w:rsidP="00B76905">
      <w:pPr>
        <w:numPr>
          <w:ilvl w:val="0"/>
          <w:numId w:val="255"/>
        </w:numPr>
        <w:contextualSpacing/>
        <w:rPr>
          <w:rFonts w:eastAsia="Aptos" w:cs="Arial"/>
        </w:rPr>
      </w:pPr>
      <w:r w:rsidRPr="000C7D2C">
        <w:rPr>
          <w:rFonts w:eastAsia="Aptos" w:cs="Arial"/>
          <w:lang w:val="en-US"/>
        </w:rPr>
        <w:t>Thursday</w:t>
      </w:r>
      <w:r w:rsidRPr="000C7D2C">
        <w:rPr>
          <w:rFonts w:eastAsia="Aptos" w:cs="Arial"/>
        </w:rPr>
        <w:t> </w:t>
      </w:r>
    </w:p>
    <w:p w14:paraId="49B135A2" w14:textId="77777777" w:rsidR="000C7D2C" w:rsidRPr="000C7D2C" w:rsidRDefault="000C7D2C" w:rsidP="00B76905">
      <w:pPr>
        <w:numPr>
          <w:ilvl w:val="0"/>
          <w:numId w:val="255"/>
        </w:numPr>
        <w:contextualSpacing/>
        <w:rPr>
          <w:rFonts w:eastAsia="Aptos" w:cs="Arial"/>
        </w:rPr>
      </w:pPr>
      <w:r w:rsidRPr="000C7D2C">
        <w:rPr>
          <w:rFonts w:eastAsia="Aptos" w:cs="Arial"/>
          <w:lang w:val="en-US"/>
        </w:rPr>
        <w:lastRenderedPageBreak/>
        <w:t>Friday</w:t>
      </w:r>
      <w:r w:rsidRPr="000C7D2C">
        <w:rPr>
          <w:rFonts w:eastAsia="Aptos" w:cs="Arial"/>
        </w:rPr>
        <w:t> </w:t>
      </w:r>
    </w:p>
    <w:p w14:paraId="2E636D61" w14:textId="77777777" w:rsidR="000C7D2C" w:rsidRPr="000C7D2C" w:rsidRDefault="000C7D2C" w:rsidP="00B76905">
      <w:pPr>
        <w:numPr>
          <w:ilvl w:val="0"/>
          <w:numId w:val="255"/>
        </w:numPr>
        <w:contextualSpacing/>
        <w:rPr>
          <w:rFonts w:eastAsia="Aptos" w:cs="Arial"/>
        </w:rPr>
      </w:pPr>
      <w:r w:rsidRPr="000C7D2C">
        <w:rPr>
          <w:rFonts w:eastAsia="Aptos" w:cs="Arial"/>
          <w:lang w:val="en-US"/>
        </w:rPr>
        <w:t>Saturday</w:t>
      </w:r>
      <w:r w:rsidRPr="000C7D2C">
        <w:rPr>
          <w:rFonts w:eastAsia="Aptos" w:cs="Arial"/>
        </w:rPr>
        <w:t> </w:t>
      </w:r>
    </w:p>
    <w:p w14:paraId="376800CC" w14:textId="77777777" w:rsidR="000C7D2C" w:rsidRPr="000C7D2C" w:rsidRDefault="000C7D2C" w:rsidP="00B76905">
      <w:pPr>
        <w:numPr>
          <w:ilvl w:val="0"/>
          <w:numId w:val="255"/>
        </w:numPr>
        <w:contextualSpacing/>
        <w:rPr>
          <w:rFonts w:eastAsia="Aptos" w:cs="Arial"/>
        </w:rPr>
      </w:pPr>
      <w:r w:rsidRPr="000C7D2C">
        <w:rPr>
          <w:rFonts w:eastAsia="Aptos" w:cs="Arial"/>
          <w:lang w:val="en-US"/>
        </w:rPr>
        <w:t>Sunday</w:t>
      </w:r>
      <w:r w:rsidRPr="000C7D2C">
        <w:rPr>
          <w:rFonts w:eastAsia="Aptos" w:cs="Arial"/>
        </w:rPr>
        <w:t> </w:t>
      </w:r>
    </w:p>
    <w:p w14:paraId="2BF374CB" w14:textId="77777777" w:rsidR="000C7D2C" w:rsidRPr="000C7D2C" w:rsidRDefault="000C7D2C" w:rsidP="00B76905">
      <w:pPr>
        <w:numPr>
          <w:ilvl w:val="0"/>
          <w:numId w:val="255"/>
        </w:numPr>
        <w:contextualSpacing/>
        <w:rPr>
          <w:rFonts w:eastAsia="Aptos" w:cs="Arial"/>
        </w:rPr>
      </w:pPr>
      <w:r w:rsidRPr="000C7D2C">
        <w:rPr>
          <w:rFonts w:eastAsia="Aptos" w:cs="Arial"/>
          <w:lang w:val="en-US"/>
        </w:rPr>
        <w:t>Weekdays in general</w:t>
      </w:r>
      <w:r w:rsidRPr="000C7D2C">
        <w:rPr>
          <w:rFonts w:eastAsia="Aptos" w:cs="Arial"/>
        </w:rPr>
        <w:t> </w:t>
      </w:r>
    </w:p>
    <w:p w14:paraId="35D44BB1" w14:textId="77777777" w:rsidR="000C7D2C" w:rsidRPr="000C7D2C" w:rsidRDefault="000C7D2C" w:rsidP="00B76905">
      <w:pPr>
        <w:numPr>
          <w:ilvl w:val="0"/>
          <w:numId w:val="255"/>
        </w:numPr>
        <w:contextualSpacing/>
        <w:rPr>
          <w:rFonts w:eastAsia="Aptos" w:cs="Arial"/>
        </w:rPr>
      </w:pPr>
      <w:r w:rsidRPr="000C7D2C">
        <w:rPr>
          <w:rFonts w:eastAsia="Aptos" w:cs="Arial"/>
          <w:lang w:val="en-US"/>
        </w:rPr>
        <w:t>Weekends in general</w:t>
      </w:r>
      <w:r w:rsidRPr="000C7D2C">
        <w:rPr>
          <w:rFonts w:eastAsia="Aptos" w:cs="Arial"/>
        </w:rPr>
        <w:t> </w:t>
      </w:r>
    </w:p>
    <w:p w14:paraId="2C6884C4" w14:textId="77777777" w:rsidR="000C7D2C" w:rsidRPr="000C7D2C" w:rsidRDefault="000C7D2C" w:rsidP="00B76905">
      <w:pPr>
        <w:numPr>
          <w:ilvl w:val="0"/>
          <w:numId w:val="255"/>
        </w:numPr>
        <w:contextualSpacing/>
        <w:rPr>
          <w:rFonts w:eastAsia="Aptos" w:cs="Arial"/>
        </w:rPr>
      </w:pPr>
      <w:r w:rsidRPr="000C7D2C">
        <w:rPr>
          <w:rFonts w:eastAsia="Aptos" w:cs="Arial"/>
          <w:lang w:val="en-US"/>
        </w:rPr>
        <w:t>I don’t have a preference</w:t>
      </w:r>
      <w:r w:rsidRPr="000C7D2C">
        <w:rPr>
          <w:rFonts w:eastAsia="Aptos" w:cs="Arial"/>
        </w:rPr>
        <w:t> </w:t>
      </w:r>
    </w:p>
    <w:p w14:paraId="40BA2746" w14:textId="77777777" w:rsidR="000C7D2C" w:rsidRPr="000C7D2C" w:rsidRDefault="000C7D2C" w:rsidP="009C14D5">
      <w:pPr>
        <w:rPr>
          <w:rFonts w:eastAsia="Aptos" w:cs="Arial"/>
        </w:rPr>
      </w:pPr>
    </w:p>
    <w:p w14:paraId="40817AA0" w14:textId="77777777" w:rsidR="000C7D2C" w:rsidRPr="000C7D2C" w:rsidRDefault="000C7D2C" w:rsidP="009C14D5">
      <w:pPr>
        <w:rPr>
          <w:rFonts w:eastAsia="Aptos" w:cs="Arial"/>
        </w:rPr>
      </w:pPr>
      <w:r w:rsidRPr="000C7D2C">
        <w:rPr>
          <w:rFonts w:eastAsia="Aptos" w:cs="Arial"/>
        </w:rPr>
        <w:t xml:space="preserve">6. Has there been a time recently when you were not able to use your normal pharmacy? </w:t>
      </w:r>
    </w:p>
    <w:p w14:paraId="424A2FEE" w14:textId="77777777" w:rsidR="000C7D2C" w:rsidRPr="000C7D2C" w:rsidRDefault="000C7D2C" w:rsidP="009C14D5">
      <w:pPr>
        <w:rPr>
          <w:rFonts w:eastAsia="Aptos" w:cs="Arial"/>
        </w:rPr>
      </w:pPr>
    </w:p>
    <w:p w14:paraId="331D9534" w14:textId="77777777" w:rsidR="000C7D2C" w:rsidRPr="000C7D2C" w:rsidRDefault="000C7D2C" w:rsidP="00B76905">
      <w:pPr>
        <w:numPr>
          <w:ilvl w:val="0"/>
          <w:numId w:val="256"/>
        </w:numPr>
        <w:contextualSpacing/>
        <w:rPr>
          <w:rFonts w:eastAsia="Aptos" w:cs="Arial"/>
        </w:rPr>
      </w:pPr>
      <w:r w:rsidRPr="000C7D2C">
        <w:rPr>
          <w:rFonts w:eastAsia="Aptos" w:cs="Arial"/>
        </w:rPr>
        <w:t xml:space="preserve">Yes </w:t>
      </w:r>
    </w:p>
    <w:p w14:paraId="10F1BA45" w14:textId="49A718E5" w:rsidR="000C7D2C" w:rsidRPr="000C7D2C" w:rsidRDefault="000C7D2C" w:rsidP="00B76905">
      <w:pPr>
        <w:numPr>
          <w:ilvl w:val="0"/>
          <w:numId w:val="256"/>
        </w:numPr>
        <w:contextualSpacing/>
        <w:rPr>
          <w:rFonts w:eastAsia="Aptos" w:cs="Arial"/>
        </w:rPr>
      </w:pPr>
      <w:r w:rsidRPr="000C7D2C">
        <w:rPr>
          <w:rFonts w:eastAsia="Aptos" w:cs="Arial"/>
        </w:rPr>
        <w:t xml:space="preserve">No </w:t>
      </w:r>
    </w:p>
    <w:p w14:paraId="24839C65" w14:textId="2A72E14F" w:rsidR="000C7D2C" w:rsidRPr="000C7D2C" w:rsidRDefault="000C7D2C" w:rsidP="00B76905">
      <w:pPr>
        <w:numPr>
          <w:ilvl w:val="0"/>
          <w:numId w:val="256"/>
        </w:numPr>
        <w:contextualSpacing/>
        <w:rPr>
          <w:rFonts w:eastAsia="Aptos" w:cs="Arial"/>
        </w:rPr>
      </w:pPr>
      <w:r w:rsidRPr="000C7D2C">
        <w:rPr>
          <w:rFonts w:eastAsia="Aptos" w:cs="Arial"/>
        </w:rPr>
        <w:t xml:space="preserve">Not applicable </w:t>
      </w:r>
    </w:p>
    <w:p w14:paraId="6813926D" w14:textId="77777777" w:rsidR="000C7D2C" w:rsidRPr="000C7D2C" w:rsidRDefault="000C7D2C" w:rsidP="009C14D5">
      <w:pPr>
        <w:rPr>
          <w:rFonts w:eastAsia="Aptos" w:cs="Arial"/>
        </w:rPr>
      </w:pPr>
    </w:p>
    <w:p w14:paraId="51E5413A" w14:textId="77777777" w:rsidR="000C7D2C" w:rsidRPr="000C7D2C" w:rsidRDefault="000C7D2C" w:rsidP="009C14D5">
      <w:pPr>
        <w:rPr>
          <w:rFonts w:eastAsia="Aptos" w:cs="Arial"/>
        </w:rPr>
      </w:pPr>
      <w:r w:rsidRPr="000C7D2C">
        <w:rPr>
          <w:rFonts w:eastAsia="Aptos" w:cs="Arial"/>
        </w:rPr>
        <w:t xml:space="preserve">7. If you answered ‘yes’ to question 6, can you tell us what you did? Please tick all statements that apply. </w:t>
      </w:r>
    </w:p>
    <w:p w14:paraId="630441E8" w14:textId="77777777" w:rsidR="000C7D2C" w:rsidRPr="000C7D2C" w:rsidRDefault="000C7D2C" w:rsidP="009C14D5">
      <w:pPr>
        <w:rPr>
          <w:rFonts w:eastAsia="Aptos" w:cs="Arial"/>
        </w:rPr>
      </w:pPr>
    </w:p>
    <w:p w14:paraId="35615A71" w14:textId="77777777" w:rsidR="000C7D2C" w:rsidRPr="000C7D2C" w:rsidRDefault="000C7D2C" w:rsidP="00B76905">
      <w:pPr>
        <w:numPr>
          <w:ilvl w:val="0"/>
          <w:numId w:val="257"/>
        </w:numPr>
        <w:contextualSpacing/>
        <w:rPr>
          <w:rFonts w:eastAsia="Aptos" w:cs="Arial"/>
        </w:rPr>
      </w:pPr>
      <w:r w:rsidRPr="000C7D2C">
        <w:rPr>
          <w:rFonts w:eastAsia="Aptos" w:cs="Arial"/>
        </w:rPr>
        <w:t xml:space="preserve">I went to another pharmacy </w:t>
      </w:r>
    </w:p>
    <w:p w14:paraId="72D76FDF" w14:textId="77777777" w:rsidR="000C7D2C" w:rsidRPr="000C7D2C" w:rsidRDefault="000C7D2C" w:rsidP="00B76905">
      <w:pPr>
        <w:numPr>
          <w:ilvl w:val="0"/>
          <w:numId w:val="257"/>
        </w:numPr>
        <w:contextualSpacing/>
        <w:rPr>
          <w:rFonts w:eastAsia="Aptos" w:cs="Arial"/>
        </w:rPr>
      </w:pPr>
      <w:r w:rsidRPr="000C7D2C">
        <w:rPr>
          <w:rFonts w:eastAsia="Aptos" w:cs="Arial"/>
        </w:rPr>
        <w:t xml:space="preserve">I waited until the pharmacy was open </w:t>
      </w:r>
    </w:p>
    <w:p w14:paraId="4DEBC183" w14:textId="77777777" w:rsidR="000C7D2C" w:rsidRPr="000C7D2C" w:rsidRDefault="000C7D2C" w:rsidP="00B76905">
      <w:pPr>
        <w:numPr>
          <w:ilvl w:val="0"/>
          <w:numId w:val="257"/>
        </w:numPr>
        <w:contextualSpacing/>
        <w:rPr>
          <w:rFonts w:eastAsia="Aptos" w:cs="Arial"/>
        </w:rPr>
      </w:pPr>
      <w:r w:rsidRPr="000C7D2C">
        <w:rPr>
          <w:rFonts w:eastAsia="Aptos" w:cs="Arial"/>
        </w:rPr>
        <w:t xml:space="preserve">I went to my GP </w:t>
      </w:r>
    </w:p>
    <w:p w14:paraId="686B9009" w14:textId="77777777" w:rsidR="000C7D2C" w:rsidRPr="000C7D2C" w:rsidRDefault="000C7D2C" w:rsidP="00B76905">
      <w:pPr>
        <w:numPr>
          <w:ilvl w:val="0"/>
          <w:numId w:val="257"/>
        </w:numPr>
        <w:contextualSpacing/>
        <w:rPr>
          <w:rFonts w:eastAsia="Aptos" w:cs="Arial"/>
        </w:rPr>
      </w:pPr>
      <w:r w:rsidRPr="000C7D2C">
        <w:rPr>
          <w:rFonts w:eastAsia="Aptos" w:cs="Arial"/>
        </w:rPr>
        <w:t xml:space="preserve">I went to the A&amp;E / emergency department </w:t>
      </w:r>
    </w:p>
    <w:p w14:paraId="0181941F" w14:textId="77777777" w:rsidR="000C7D2C" w:rsidRPr="000C7D2C" w:rsidRDefault="000C7D2C" w:rsidP="00B76905">
      <w:pPr>
        <w:numPr>
          <w:ilvl w:val="0"/>
          <w:numId w:val="257"/>
        </w:numPr>
        <w:contextualSpacing/>
        <w:rPr>
          <w:rFonts w:eastAsia="Aptos" w:cs="Arial"/>
        </w:rPr>
      </w:pPr>
      <w:r w:rsidRPr="000C7D2C">
        <w:rPr>
          <w:rFonts w:eastAsia="Aptos" w:cs="Arial"/>
        </w:rPr>
        <w:t xml:space="preserve">I went to a minor injury unit </w:t>
      </w:r>
    </w:p>
    <w:p w14:paraId="631C1D7C" w14:textId="77777777" w:rsidR="000C7D2C" w:rsidRPr="000C7D2C" w:rsidRDefault="000C7D2C" w:rsidP="00B76905">
      <w:pPr>
        <w:numPr>
          <w:ilvl w:val="0"/>
          <w:numId w:val="257"/>
        </w:numPr>
        <w:contextualSpacing/>
        <w:rPr>
          <w:rFonts w:eastAsia="Aptos" w:cs="Arial"/>
        </w:rPr>
      </w:pPr>
      <w:r w:rsidRPr="000C7D2C">
        <w:rPr>
          <w:rFonts w:eastAsia="Aptos" w:cs="Arial"/>
        </w:rPr>
        <w:t xml:space="preserve">I called NHS 111 Wales </w:t>
      </w:r>
    </w:p>
    <w:p w14:paraId="48A40F0A" w14:textId="77777777" w:rsidR="000C7D2C" w:rsidRPr="000C7D2C" w:rsidRDefault="000C7D2C" w:rsidP="00B76905">
      <w:pPr>
        <w:numPr>
          <w:ilvl w:val="0"/>
          <w:numId w:val="257"/>
        </w:numPr>
        <w:contextualSpacing/>
        <w:rPr>
          <w:rFonts w:eastAsia="Aptos" w:cs="Arial"/>
        </w:rPr>
      </w:pPr>
      <w:r w:rsidRPr="000C7D2C">
        <w:rPr>
          <w:rFonts w:eastAsia="Aptos" w:cs="Arial"/>
        </w:rPr>
        <w:t xml:space="preserve">Other [text box] </w:t>
      </w:r>
    </w:p>
    <w:p w14:paraId="58E1D4A3" w14:textId="77777777" w:rsidR="000C7D2C" w:rsidRPr="000C7D2C" w:rsidRDefault="000C7D2C" w:rsidP="009C14D5">
      <w:pPr>
        <w:rPr>
          <w:rFonts w:eastAsia="Aptos" w:cs="Arial"/>
        </w:rPr>
      </w:pPr>
    </w:p>
    <w:p w14:paraId="6AA76188" w14:textId="77777777" w:rsidR="000C7D2C" w:rsidRPr="000C7D2C" w:rsidRDefault="000C7D2C" w:rsidP="009C14D5">
      <w:pPr>
        <w:rPr>
          <w:rFonts w:eastAsia="Aptos" w:cs="Arial"/>
          <w:b/>
          <w:bCs/>
        </w:rPr>
      </w:pPr>
      <w:r w:rsidRPr="000C7D2C">
        <w:rPr>
          <w:rFonts w:eastAsia="Aptos" w:cs="Arial"/>
          <w:b/>
          <w:bCs/>
        </w:rPr>
        <w:t xml:space="preserve">Your choice of pharmacy </w:t>
      </w:r>
    </w:p>
    <w:p w14:paraId="325582F6" w14:textId="77777777" w:rsidR="000C7D2C" w:rsidRPr="000C7D2C" w:rsidRDefault="000C7D2C" w:rsidP="009C14D5">
      <w:pPr>
        <w:rPr>
          <w:rFonts w:eastAsia="Aptos" w:cs="Arial"/>
        </w:rPr>
      </w:pPr>
    </w:p>
    <w:p w14:paraId="158DE811" w14:textId="77777777" w:rsidR="000C7D2C" w:rsidRPr="000C7D2C" w:rsidRDefault="000C7D2C" w:rsidP="009C14D5">
      <w:pPr>
        <w:rPr>
          <w:rFonts w:eastAsia="Aptos" w:cs="Arial"/>
        </w:rPr>
      </w:pPr>
      <w:r w:rsidRPr="000C7D2C">
        <w:rPr>
          <w:rFonts w:eastAsia="Aptos" w:cs="Arial"/>
        </w:rPr>
        <w:t xml:space="preserve">8. Please could you tell us whether you: </w:t>
      </w:r>
    </w:p>
    <w:p w14:paraId="000C9FB5" w14:textId="77777777" w:rsidR="000C7D2C" w:rsidRPr="000C7D2C" w:rsidRDefault="000C7D2C" w:rsidP="009C14D5">
      <w:pPr>
        <w:rPr>
          <w:rFonts w:eastAsia="Aptos" w:cs="Arial"/>
        </w:rPr>
      </w:pPr>
    </w:p>
    <w:p w14:paraId="7F5799D3" w14:textId="77777777" w:rsidR="000C7D2C" w:rsidRPr="000C7D2C" w:rsidRDefault="000C7D2C" w:rsidP="00B76905">
      <w:pPr>
        <w:numPr>
          <w:ilvl w:val="0"/>
          <w:numId w:val="258"/>
        </w:numPr>
        <w:contextualSpacing/>
        <w:rPr>
          <w:rFonts w:eastAsia="Aptos" w:cs="Arial"/>
        </w:rPr>
      </w:pPr>
      <w:r w:rsidRPr="000C7D2C">
        <w:rPr>
          <w:rFonts w:eastAsia="Aptos" w:cs="Arial"/>
        </w:rPr>
        <w:t>Always use the same pharmacy</w:t>
      </w:r>
    </w:p>
    <w:p w14:paraId="5EB520E6" w14:textId="77777777" w:rsidR="000C7D2C" w:rsidRPr="000C7D2C" w:rsidRDefault="000C7D2C" w:rsidP="00B76905">
      <w:pPr>
        <w:numPr>
          <w:ilvl w:val="0"/>
          <w:numId w:val="258"/>
        </w:numPr>
        <w:contextualSpacing/>
        <w:rPr>
          <w:rFonts w:eastAsia="Aptos" w:cs="Arial"/>
        </w:rPr>
      </w:pPr>
      <w:r w:rsidRPr="000C7D2C">
        <w:rPr>
          <w:rFonts w:eastAsia="Aptos" w:cs="Arial"/>
        </w:rPr>
        <w:t>Use different pharmacies but I prefer to visit one most often</w:t>
      </w:r>
      <w:r w:rsidRPr="000C7D2C">
        <w:rPr>
          <w:rFonts w:eastAsia="Aptos" w:cs="Arial"/>
        </w:rPr>
        <w:tab/>
      </w:r>
    </w:p>
    <w:p w14:paraId="65BBF8BC" w14:textId="77777777" w:rsidR="000C7D2C" w:rsidRPr="000C7D2C" w:rsidRDefault="000C7D2C" w:rsidP="00B76905">
      <w:pPr>
        <w:numPr>
          <w:ilvl w:val="0"/>
          <w:numId w:val="258"/>
        </w:numPr>
        <w:contextualSpacing/>
        <w:rPr>
          <w:rFonts w:eastAsia="Aptos" w:cs="Arial"/>
        </w:rPr>
      </w:pPr>
      <w:r w:rsidRPr="000C7D2C">
        <w:rPr>
          <w:rFonts w:eastAsia="Aptos" w:cs="Arial"/>
        </w:rPr>
        <w:t>Always use different pharmacies</w:t>
      </w:r>
    </w:p>
    <w:p w14:paraId="774234B0" w14:textId="77777777" w:rsidR="000C7D2C" w:rsidRPr="000C7D2C" w:rsidRDefault="000C7D2C" w:rsidP="00B76905">
      <w:pPr>
        <w:numPr>
          <w:ilvl w:val="0"/>
          <w:numId w:val="258"/>
        </w:numPr>
        <w:contextualSpacing/>
        <w:rPr>
          <w:rFonts w:eastAsia="Aptos" w:cs="Arial"/>
        </w:rPr>
      </w:pPr>
      <w:r w:rsidRPr="000C7D2C">
        <w:rPr>
          <w:rFonts w:eastAsia="Aptos" w:cs="Arial"/>
        </w:rPr>
        <w:t>Rarely use a pharmacy</w:t>
      </w:r>
    </w:p>
    <w:p w14:paraId="41EC2F76" w14:textId="77777777" w:rsidR="000C7D2C" w:rsidRPr="000C7D2C" w:rsidRDefault="000C7D2C" w:rsidP="00B76905">
      <w:pPr>
        <w:numPr>
          <w:ilvl w:val="0"/>
          <w:numId w:val="258"/>
        </w:numPr>
        <w:contextualSpacing/>
        <w:rPr>
          <w:rFonts w:eastAsia="Aptos" w:cs="Arial"/>
        </w:rPr>
      </w:pPr>
      <w:r w:rsidRPr="000C7D2C">
        <w:rPr>
          <w:rFonts w:eastAsia="Aptos" w:cs="Arial"/>
        </w:rPr>
        <w:t>Never use a pharmacy</w:t>
      </w:r>
    </w:p>
    <w:p w14:paraId="1CE58E85" w14:textId="77777777" w:rsidR="000C7D2C" w:rsidRPr="000C7D2C" w:rsidRDefault="000C7D2C" w:rsidP="009C14D5">
      <w:pPr>
        <w:rPr>
          <w:rFonts w:eastAsia="Aptos" w:cs="Arial"/>
        </w:rPr>
      </w:pPr>
    </w:p>
    <w:p w14:paraId="2D995730" w14:textId="77777777" w:rsidR="000C7D2C" w:rsidRPr="000C7D2C" w:rsidRDefault="000C7D2C" w:rsidP="009C14D5">
      <w:pPr>
        <w:rPr>
          <w:rFonts w:eastAsia="Aptos" w:cs="Arial"/>
        </w:rPr>
      </w:pPr>
      <w:r w:rsidRPr="000C7D2C">
        <w:rPr>
          <w:rFonts w:eastAsia="Aptos" w:cs="Arial"/>
        </w:rPr>
        <w:t xml:space="preserve">9. We would like to know what influences your choice of pharmacy. Please could you tell us why you use this pharmacy? Please tick all the statements that apply to you. </w:t>
      </w:r>
    </w:p>
    <w:p w14:paraId="6EB2A23A" w14:textId="77777777" w:rsidR="000C7D2C" w:rsidRPr="000C7D2C" w:rsidRDefault="000C7D2C" w:rsidP="009C14D5">
      <w:pPr>
        <w:rPr>
          <w:rFonts w:eastAsia="Aptos" w:cs="Arial"/>
        </w:rPr>
      </w:pPr>
    </w:p>
    <w:p w14:paraId="56068A73" w14:textId="77777777" w:rsidR="000C7D2C" w:rsidRPr="000C7D2C" w:rsidRDefault="000C7D2C" w:rsidP="00B76905">
      <w:pPr>
        <w:numPr>
          <w:ilvl w:val="0"/>
          <w:numId w:val="259"/>
        </w:numPr>
        <w:contextualSpacing/>
        <w:rPr>
          <w:rFonts w:eastAsia="Aptos" w:cs="Arial"/>
        </w:rPr>
      </w:pPr>
      <w:r w:rsidRPr="000C7D2C">
        <w:rPr>
          <w:rFonts w:eastAsia="Aptos" w:cs="Arial"/>
        </w:rPr>
        <w:t xml:space="preserve">Close to my home </w:t>
      </w:r>
    </w:p>
    <w:p w14:paraId="53FA2F86" w14:textId="77777777" w:rsidR="000C7D2C" w:rsidRPr="000C7D2C" w:rsidRDefault="000C7D2C" w:rsidP="00B76905">
      <w:pPr>
        <w:numPr>
          <w:ilvl w:val="0"/>
          <w:numId w:val="259"/>
        </w:numPr>
        <w:contextualSpacing/>
        <w:rPr>
          <w:rFonts w:eastAsia="Aptos" w:cs="Arial"/>
        </w:rPr>
      </w:pPr>
      <w:r w:rsidRPr="000C7D2C">
        <w:rPr>
          <w:rFonts w:eastAsia="Aptos" w:cs="Arial"/>
        </w:rPr>
        <w:t>Close to where I work</w:t>
      </w:r>
    </w:p>
    <w:p w14:paraId="3FFE080A" w14:textId="77777777" w:rsidR="000C7D2C" w:rsidRPr="000C7D2C" w:rsidRDefault="000C7D2C" w:rsidP="00B76905">
      <w:pPr>
        <w:numPr>
          <w:ilvl w:val="0"/>
          <w:numId w:val="259"/>
        </w:numPr>
        <w:contextualSpacing/>
        <w:rPr>
          <w:rFonts w:eastAsia="Aptos" w:cs="Arial"/>
        </w:rPr>
      </w:pPr>
      <w:r w:rsidRPr="000C7D2C">
        <w:rPr>
          <w:rFonts w:eastAsia="Aptos" w:cs="Arial"/>
        </w:rPr>
        <w:t xml:space="preserve">Close to my doctor </w:t>
      </w:r>
    </w:p>
    <w:p w14:paraId="0F8731BD" w14:textId="77777777" w:rsidR="000C7D2C" w:rsidRPr="000C7D2C" w:rsidRDefault="000C7D2C" w:rsidP="00B76905">
      <w:pPr>
        <w:numPr>
          <w:ilvl w:val="0"/>
          <w:numId w:val="259"/>
        </w:numPr>
        <w:contextualSpacing/>
        <w:rPr>
          <w:rFonts w:eastAsia="Aptos" w:cs="Arial"/>
        </w:rPr>
      </w:pPr>
      <w:r w:rsidRPr="000C7D2C">
        <w:rPr>
          <w:rFonts w:eastAsia="Aptos" w:cs="Arial"/>
        </w:rPr>
        <w:t xml:space="preserve">Close to children’s school or nursery </w:t>
      </w:r>
    </w:p>
    <w:p w14:paraId="508BEBC9" w14:textId="77777777" w:rsidR="000C7D2C" w:rsidRPr="000C7D2C" w:rsidRDefault="000C7D2C" w:rsidP="00B76905">
      <w:pPr>
        <w:numPr>
          <w:ilvl w:val="0"/>
          <w:numId w:val="259"/>
        </w:numPr>
        <w:contextualSpacing/>
        <w:rPr>
          <w:rFonts w:eastAsia="Aptos" w:cs="Arial"/>
        </w:rPr>
      </w:pPr>
      <w:r w:rsidRPr="000C7D2C">
        <w:rPr>
          <w:rFonts w:eastAsia="Aptos" w:cs="Arial"/>
        </w:rPr>
        <w:t xml:space="preserve">Close to other shops </w:t>
      </w:r>
    </w:p>
    <w:p w14:paraId="22E16CD7" w14:textId="77777777" w:rsidR="000C7D2C" w:rsidRPr="000C7D2C" w:rsidRDefault="000C7D2C" w:rsidP="00B76905">
      <w:pPr>
        <w:numPr>
          <w:ilvl w:val="0"/>
          <w:numId w:val="259"/>
        </w:numPr>
        <w:contextualSpacing/>
        <w:rPr>
          <w:rFonts w:eastAsia="Aptos" w:cs="Arial"/>
        </w:rPr>
      </w:pPr>
      <w:r w:rsidRPr="000C7D2C">
        <w:rPr>
          <w:rFonts w:eastAsia="Aptos" w:cs="Arial"/>
        </w:rPr>
        <w:t xml:space="preserve">The location of the pharmacy is easy to get to </w:t>
      </w:r>
    </w:p>
    <w:p w14:paraId="3D194062" w14:textId="77777777" w:rsidR="000C7D2C" w:rsidRPr="000C7D2C" w:rsidRDefault="000C7D2C" w:rsidP="00B76905">
      <w:pPr>
        <w:numPr>
          <w:ilvl w:val="0"/>
          <w:numId w:val="259"/>
        </w:numPr>
        <w:contextualSpacing/>
        <w:rPr>
          <w:rFonts w:eastAsia="Aptos" w:cs="Arial"/>
        </w:rPr>
      </w:pPr>
      <w:r w:rsidRPr="000C7D2C">
        <w:rPr>
          <w:rFonts w:eastAsia="Aptos" w:cs="Arial"/>
        </w:rPr>
        <w:t xml:space="preserve">It is easy to park at the pharmacy </w:t>
      </w:r>
    </w:p>
    <w:p w14:paraId="0CC7C5FF" w14:textId="77777777" w:rsidR="000C7D2C" w:rsidRPr="000C7D2C" w:rsidRDefault="000C7D2C" w:rsidP="00B76905">
      <w:pPr>
        <w:numPr>
          <w:ilvl w:val="0"/>
          <w:numId w:val="259"/>
        </w:numPr>
        <w:contextualSpacing/>
        <w:rPr>
          <w:rFonts w:eastAsia="Aptos" w:cs="Arial"/>
        </w:rPr>
      </w:pPr>
      <w:r w:rsidRPr="000C7D2C">
        <w:rPr>
          <w:rFonts w:eastAsia="Aptos" w:cs="Arial"/>
        </w:rPr>
        <w:t xml:space="preserve">I can speak to the staff in my preferred language </w:t>
      </w:r>
    </w:p>
    <w:p w14:paraId="67038BAB" w14:textId="77777777" w:rsidR="000C7D2C" w:rsidRPr="000C7D2C" w:rsidRDefault="000C7D2C" w:rsidP="00B76905">
      <w:pPr>
        <w:numPr>
          <w:ilvl w:val="0"/>
          <w:numId w:val="259"/>
        </w:numPr>
        <w:contextualSpacing/>
        <w:rPr>
          <w:rFonts w:eastAsia="Aptos" w:cs="Arial"/>
        </w:rPr>
      </w:pPr>
      <w:r w:rsidRPr="000C7D2C">
        <w:rPr>
          <w:rFonts w:eastAsia="Aptos" w:cs="Arial"/>
        </w:rPr>
        <w:t xml:space="preserve">I like and trust the staff who work there </w:t>
      </w:r>
    </w:p>
    <w:p w14:paraId="0E121CA1" w14:textId="77777777" w:rsidR="000C7D2C" w:rsidRPr="000C7D2C" w:rsidRDefault="000C7D2C" w:rsidP="00B76905">
      <w:pPr>
        <w:numPr>
          <w:ilvl w:val="0"/>
          <w:numId w:val="259"/>
        </w:numPr>
        <w:contextualSpacing/>
        <w:rPr>
          <w:rFonts w:eastAsia="Aptos" w:cs="Arial"/>
        </w:rPr>
      </w:pPr>
      <w:r w:rsidRPr="000C7D2C">
        <w:rPr>
          <w:rFonts w:eastAsia="Aptos" w:cs="Arial"/>
        </w:rPr>
        <w:t xml:space="preserve">The staff know me and look after me </w:t>
      </w:r>
    </w:p>
    <w:p w14:paraId="67E1097A" w14:textId="77777777" w:rsidR="000C7D2C" w:rsidRPr="000C7D2C" w:rsidRDefault="000C7D2C" w:rsidP="00B76905">
      <w:pPr>
        <w:numPr>
          <w:ilvl w:val="0"/>
          <w:numId w:val="259"/>
        </w:numPr>
        <w:contextualSpacing/>
        <w:rPr>
          <w:rFonts w:eastAsia="Aptos" w:cs="Arial"/>
        </w:rPr>
      </w:pPr>
      <w:r w:rsidRPr="000C7D2C">
        <w:rPr>
          <w:rFonts w:eastAsia="Aptos" w:cs="Arial"/>
        </w:rPr>
        <w:lastRenderedPageBreak/>
        <w:t xml:space="preserve">The staff don’t know me </w:t>
      </w:r>
    </w:p>
    <w:p w14:paraId="3F3587FA" w14:textId="77777777" w:rsidR="000C7D2C" w:rsidRPr="000C7D2C" w:rsidRDefault="000C7D2C" w:rsidP="00B76905">
      <w:pPr>
        <w:numPr>
          <w:ilvl w:val="0"/>
          <w:numId w:val="259"/>
        </w:numPr>
        <w:contextualSpacing/>
        <w:rPr>
          <w:rFonts w:eastAsia="Aptos" w:cs="Arial"/>
        </w:rPr>
      </w:pPr>
      <w:r w:rsidRPr="000C7D2C">
        <w:rPr>
          <w:rFonts w:eastAsia="Aptos" w:cs="Arial"/>
        </w:rPr>
        <w:t xml:space="preserve">I’ve always used this pharmacy </w:t>
      </w:r>
    </w:p>
    <w:p w14:paraId="03AE68ED" w14:textId="77777777" w:rsidR="000C7D2C" w:rsidRPr="000C7D2C" w:rsidRDefault="000C7D2C" w:rsidP="00B76905">
      <w:pPr>
        <w:numPr>
          <w:ilvl w:val="0"/>
          <w:numId w:val="259"/>
        </w:numPr>
        <w:contextualSpacing/>
        <w:rPr>
          <w:rFonts w:eastAsia="Aptos" w:cs="Arial"/>
        </w:rPr>
      </w:pPr>
      <w:r w:rsidRPr="000C7D2C">
        <w:rPr>
          <w:rFonts w:eastAsia="Aptos" w:cs="Arial"/>
        </w:rPr>
        <w:t xml:space="preserve">The service is quick </w:t>
      </w:r>
    </w:p>
    <w:p w14:paraId="54FBFD2D" w14:textId="77777777" w:rsidR="000C7D2C" w:rsidRPr="000C7D2C" w:rsidRDefault="000C7D2C" w:rsidP="00B76905">
      <w:pPr>
        <w:numPr>
          <w:ilvl w:val="0"/>
          <w:numId w:val="259"/>
        </w:numPr>
        <w:contextualSpacing/>
        <w:rPr>
          <w:rFonts w:eastAsia="Aptos" w:cs="Arial"/>
        </w:rPr>
      </w:pPr>
      <w:r w:rsidRPr="000C7D2C">
        <w:rPr>
          <w:rFonts w:eastAsia="Aptos" w:cs="Arial"/>
        </w:rPr>
        <w:t xml:space="preserve">They usually have what I need in stock </w:t>
      </w:r>
    </w:p>
    <w:p w14:paraId="622C8036" w14:textId="77777777" w:rsidR="000C7D2C" w:rsidRPr="000C7D2C" w:rsidRDefault="000C7D2C" w:rsidP="00B76905">
      <w:pPr>
        <w:numPr>
          <w:ilvl w:val="0"/>
          <w:numId w:val="259"/>
        </w:numPr>
        <w:contextualSpacing/>
        <w:rPr>
          <w:rFonts w:eastAsia="Aptos" w:cs="Arial"/>
        </w:rPr>
      </w:pPr>
      <w:r w:rsidRPr="000C7D2C">
        <w:rPr>
          <w:rFonts w:eastAsia="Aptos" w:cs="Arial"/>
        </w:rPr>
        <w:t xml:space="preserve">The pharmacy has good opening hours </w:t>
      </w:r>
    </w:p>
    <w:p w14:paraId="603F81CA" w14:textId="77777777" w:rsidR="000C7D2C" w:rsidRPr="000C7D2C" w:rsidRDefault="000C7D2C" w:rsidP="00B76905">
      <w:pPr>
        <w:numPr>
          <w:ilvl w:val="0"/>
          <w:numId w:val="259"/>
        </w:numPr>
        <w:contextualSpacing/>
        <w:rPr>
          <w:rFonts w:eastAsia="Aptos" w:cs="Arial"/>
        </w:rPr>
      </w:pPr>
      <w:r w:rsidRPr="000C7D2C">
        <w:rPr>
          <w:rFonts w:eastAsia="Aptos" w:cs="Arial"/>
        </w:rPr>
        <w:t xml:space="preserve">The pharmacy collects my prescription and/or delivers my medicines </w:t>
      </w:r>
    </w:p>
    <w:p w14:paraId="7F630AFB" w14:textId="77777777" w:rsidR="000C7D2C" w:rsidRPr="000C7D2C" w:rsidRDefault="000C7D2C" w:rsidP="00B76905">
      <w:pPr>
        <w:numPr>
          <w:ilvl w:val="0"/>
          <w:numId w:val="259"/>
        </w:numPr>
        <w:contextualSpacing/>
        <w:rPr>
          <w:rFonts w:eastAsia="Aptos" w:cs="Arial"/>
        </w:rPr>
      </w:pPr>
      <w:r w:rsidRPr="000C7D2C">
        <w:rPr>
          <w:rFonts w:eastAsia="Aptos" w:cs="Arial"/>
        </w:rPr>
        <w:t xml:space="preserve">The pharmacy was recommended to me </w:t>
      </w:r>
    </w:p>
    <w:p w14:paraId="15A92EE8" w14:textId="77777777" w:rsidR="000C7D2C" w:rsidRPr="000C7D2C" w:rsidRDefault="000C7D2C" w:rsidP="00B76905">
      <w:pPr>
        <w:numPr>
          <w:ilvl w:val="0"/>
          <w:numId w:val="259"/>
        </w:numPr>
        <w:contextualSpacing/>
        <w:rPr>
          <w:rFonts w:eastAsia="Aptos" w:cs="Arial"/>
        </w:rPr>
      </w:pPr>
      <w:r w:rsidRPr="000C7D2C">
        <w:rPr>
          <w:rFonts w:eastAsia="Aptos" w:cs="Arial"/>
        </w:rPr>
        <w:t xml:space="preserve">The pharmacy provides good advice &amp; information </w:t>
      </w:r>
    </w:p>
    <w:p w14:paraId="1679272B" w14:textId="77777777" w:rsidR="000C7D2C" w:rsidRPr="000C7D2C" w:rsidRDefault="000C7D2C" w:rsidP="00B76905">
      <w:pPr>
        <w:numPr>
          <w:ilvl w:val="0"/>
          <w:numId w:val="259"/>
        </w:numPr>
        <w:contextualSpacing/>
        <w:rPr>
          <w:rFonts w:eastAsia="Aptos" w:cs="Arial"/>
        </w:rPr>
      </w:pPr>
      <w:r w:rsidRPr="000C7D2C">
        <w:rPr>
          <w:rFonts w:eastAsia="Aptos" w:cs="Arial"/>
        </w:rPr>
        <w:t xml:space="preserve">The customer service </w:t>
      </w:r>
    </w:p>
    <w:p w14:paraId="40E04888" w14:textId="77777777" w:rsidR="000C7D2C" w:rsidRPr="000C7D2C" w:rsidRDefault="000C7D2C" w:rsidP="00B76905">
      <w:pPr>
        <w:numPr>
          <w:ilvl w:val="0"/>
          <w:numId w:val="259"/>
        </w:numPr>
        <w:contextualSpacing/>
        <w:rPr>
          <w:rFonts w:eastAsia="Aptos" w:cs="Arial"/>
        </w:rPr>
      </w:pPr>
      <w:r w:rsidRPr="000C7D2C">
        <w:rPr>
          <w:rFonts w:eastAsia="Aptos" w:cs="Arial"/>
        </w:rPr>
        <w:t xml:space="preserve">It is accessible eg wheelchair/baby buggy friendly </w:t>
      </w:r>
    </w:p>
    <w:p w14:paraId="774B4DD0" w14:textId="77777777" w:rsidR="000C7D2C" w:rsidRPr="000C7D2C" w:rsidRDefault="000C7D2C" w:rsidP="00B76905">
      <w:pPr>
        <w:numPr>
          <w:ilvl w:val="0"/>
          <w:numId w:val="259"/>
        </w:numPr>
        <w:contextualSpacing/>
        <w:rPr>
          <w:rFonts w:eastAsia="Aptos" w:cs="Arial"/>
        </w:rPr>
      </w:pPr>
      <w:r w:rsidRPr="000C7D2C">
        <w:rPr>
          <w:rFonts w:eastAsia="Aptos" w:cs="Arial"/>
        </w:rPr>
        <w:t xml:space="preserve">It’s a well-known big chain </w:t>
      </w:r>
    </w:p>
    <w:p w14:paraId="1EF51E8C" w14:textId="77777777" w:rsidR="000C7D2C" w:rsidRPr="000C7D2C" w:rsidRDefault="000C7D2C" w:rsidP="00B76905">
      <w:pPr>
        <w:numPr>
          <w:ilvl w:val="0"/>
          <w:numId w:val="259"/>
        </w:numPr>
        <w:contextualSpacing/>
        <w:rPr>
          <w:rFonts w:eastAsia="Aptos" w:cs="Arial"/>
        </w:rPr>
      </w:pPr>
      <w:r w:rsidRPr="000C7D2C">
        <w:rPr>
          <w:rFonts w:eastAsia="Aptos" w:cs="Arial"/>
        </w:rPr>
        <w:t xml:space="preserve">It’s not one of the big chains </w:t>
      </w:r>
    </w:p>
    <w:p w14:paraId="3CA1AF9C" w14:textId="77777777" w:rsidR="000C7D2C" w:rsidRPr="000C7D2C" w:rsidRDefault="000C7D2C" w:rsidP="00B76905">
      <w:pPr>
        <w:numPr>
          <w:ilvl w:val="0"/>
          <w:numId w:val="259"/>
        </w:numPr>
        <w:contextualSpacing/>
        <w:rPr>
          <w:rFonts w:eastAsia="Aptos" w:cs="Arial"/>
        </w:rPr>
      </w:pPr>
      <w:r w:rsidRPr="000C7D2C">
        <w:rPr>
          <w:rFonts w:eastAsia="Aptos" w:cs="Arial"/>
        </w:rPr>
        <w:t xml:space="preserve">There is a private area if I need to talk to the pharmacist </w:t>
      </w:r>
    </w:p>
    <w:p w14:paraId="21DAC9D7" w14:textId="77777777" w:rsidR="000C7D2C" w:rsidRPr="000C7D2C" w:rsidRDefault="000C7D2C" w:rsidP="00B76905">
      <w:pPr>
        <w:numPr>
          <w:ilvl w:val="0"/>
          <w:numId w:val="259"/>
        </w:numPr>
        <w:contextualSpacing/>
        <w:rPr>
          <w:rFonts w:eastAsia="Aptos" w:cs="Arial"/>
        </w:rPr>
      </w:pPr>
      <w:r w:rsidRPr="000C7D2C">
        <w:rPr>
          <w:rFonts w:eastAsia="Aptos" w:cs="Arial"/>
        </w:rPr>
        <w:t xml:space="preserve">I can order my repeat medicines online or by using their app </w:t>
      </w:r>
    </w:p>
    <w:p w14:paraId="617E1299" w14:textId="77777777" w:rsidR="000C7D2C" w:rsidRPr="000C7D2C" w:rsidRDefault="000C7D2C" w:rsidP="00B76905">
      <w:pPr>
        <w:numPr>
          <w:ilvl w:val="0"/>
          <w:numId w:val="259"/>
        </w:numPr>
        <w:contextualSpacing/>
        <w:rPr>
          <w:rFonts w:eastAsia="Aptos" w:cs="Arial"/>
        </w:rPr>
      </w:pPr>
      <w:r w:rsidRPr="000C7D2C">
        <w:rPr>
          <w:rFonts w:eastAsia="Aptos" w:cs="Arial"/>
        </w:rPr>
        <w:t>Other [text box]</w:t>
      </w:r>
    </w:p>
    <w:p w14:paraId="3C9C5B16" w14:textId="77777777" w:rsidR="000C7D2C" w:rsidRPr="000C7D2C" w:rsidRDefault="000C7D2C" w:rsidP="009C14D5">
      <w:pPr>
        <w:rPr>
          <w:rFonts w:eastAsia="Aptos" w:cs="Arial"/>
        </w:rPr>
      </w:pPr>
    </w:p>
    <w:p w14:paraId="555F3D39" w14:textId="77777777" w:rsidR="000C7D2C" w:rsidRPr="000C7D2C" w:rsidRDefault="000C7D2C" w:rsidP="009C14D5">
      <w:pPr>
        <w:rPr>
          <w:rFonts w:eastAsia="Aptos" w:cs="Arial"/>
        </w:rPr>
      </w:pPr>
      <w:r w:rsidRPr="000C7D2C">
        <w:rPr>
          <w:rFonts w:eastAsia="Aptos" w:cs="Arial"/>
        </w:rPr>
        <w:t xml:space="preserve">10. Is there a more convenient and/or closer pharmacy that you don’t use? </w:t>
      </w:r>
    </w:p>
    <w:p w14:paraId="41BC9291" w14:textId="77777777" w:rsidR="000C7D2C" w:rsidRPr="000C7D2C" w:rsidRDefault="000C7D2C" w:rsidP="009C14D5">
      <w:pPr>
        <w:rPr>
          <w:rFonts w:eastAsia="Aptos" w:cs="Arial"/>
        </w:rPr>
      </w:pPr>
    </w:p>
    <w:p w14:paraId="7A4F9CDD" w14:textId="77777777" w:rsidR="000C7D2C" w:rsidRPr="000C7D2C" w:rsidRDefault="000C7D2C" w:rsidP="00B76905">
      <w:pPr>
        <w:numPr>
          <w:ilvl w:val="0"/>
          <w:numId w:val="260"/>
        </w:numPr>
        <w:contextualSpacing/>
        <w:rPr>
          <w:rFonts w:eastAsia="Aptos" w:cs="Arial"/>
        </w:rPr>
      </w:pPr>
      <w:r w:rsidRPr="000C7D2C">
        <w:rPr>
          <w:rFonts w:eastAsia="Aptos" w:cs="Arial"/>
        </w:rPr>
        <w:t xml:space="preserve">Yes </w:t>
      </w:r>
    </w:p>
    <w:p w14:paraId="5B41C278" w14:textId="143A5E8E" w:rsidR="000C7D2C" w:rsidRPr="000C7D2C" w:rsidRDefault="000C7D2C" w:rsidP="00B76905">
      <w:pPr>
        <w:numPr>
          <w:ilvl w:val="0"/>
          <w:numId w:val="260"/>
        </w:numPr>
        <w:contextualSpacing/>
        <w:rPr>
          <w:rFonts w:eastAsia="Aptos" w:cs="Arial"/>
        </w:rPr>
      </w:pPr>
      <w:r w:rsidRPr="000C7D2C">
        <w:rPr>
          <w:rFonts w:eastAsia="Aptos" w:cs="Arial"/>
        </w:rPr>
        <w:t xml:space="preserve">No </w:t>
      </w:r>
    </w:p>
    <w:p w14:paraId="04CE5CEC" w14:textId="1E4A32AC" w:rsidR="000C7D2C" w:rsidRPr="000C7D2C" w:rsidRDefault="000C7D2C" w:rsidP="00B76905">
      <w:pPr>
        <w:numPr>
          <w:ilvl w:val="0"/>
          <w:numId w:val="260"/>
        </w:numPr>
        <w:contextualSpacing/>
        <w:rPr>
          <w:rFonts w:eastAsia="Aptos" w:cs="Arial"/>
        </w:rPr>
      </w:pPr>
      <w:r w:rsidRPr="000C7D2C">
        <w:rPr>
          <w:rFonts w:eastAsia="Aptos" w:cs="Arial"/>
        </w:rPr>
        <w:t xml:space="preserve">Don’t know </w:t>
      </w:r>
    </w:p>
    <w:p w14:paraId="7BCF8FB7" w14:textId="77777777" w:rsidR="000C7D2C" w:rsidRPr="000C7D2C" w:rsidRDefault="000C7D2C" w:rsidP="009C14D5">
      <w:pPr>
        <w:rPr>
          <w:rFonts w:eastAsia="Aptos" w:cs="Arial"/>
        </w:rPr>
      </w:pPr>
    </w:p>
    <w:p w14:paraId="64C95258" w14:textId="77777777" w:rsidR="000C7D2C" w:rsidRPr="000C7D2C" w:rsidRDefault="000C7D2C" w:rsidP="009C14D5">
      <w:pPr>
        <w:rPr>
          <w:rFonts w:eastAsia="Aptos" w:cs="Arial"/>
        </w:rPr>
      </w:pPr>
      <w:r w:rsidRPr="000C7D2C">
        <w:rPr>
          <w:rFonts w:eastAsia="Aptos" w:cs="Arial"/>
        </w:rPr>
        <w:t xml:space="preserve">11...and if you have answered yes to question 10, please could you tell us why you do not use that pharmacy? </w:t>
      </w:r>
    </w:p>
    <w:p w14:paraId="1A68E558" w14:textId="77777777" w:rsidR="000C7D2C" w:rsidRPr="000C7D2C" w:rsidRDefault="000C7D2C" w:rsidP="009C14D5">
      <w:pPr>
        <w:rPr>
          <w:rFonts w:eastAsia="Aptos" w:cs="Arial"/>
        </w:rPr>
      </w:pPr>
    </w:p>
    <w:p w14:paraId="45331F9C" w14:textId="77777777" w:rsidR="000C7D2C" w:rsidRPr="000C7D2C" w:rsidRDefault="000C7D2C" w:rsidP="00B76905">
      <w:pPr>
        <w:numPr>
          <w:ilvl w:val="0"/>
          <w:numId w:val="261"/>
        </w:numPr>
        <w:contextualSpacing/>
        <w:rPr>
          <w:rFonts w:eastAsia="Aptos" w:cs="Arial"/>
        </w:rPr>
      </w:pPr>
      <w:r w:rsidRPr="000C7D2C">
        <w:rPr>
          <w:rFonts w:eastAsia="Aptos" w:cs="Arial"/>
        </w:rPr>
        <w:t xml:space="preserve">It is not easy to park at the pharmacy </w:t>
      </w:r>
    </w:p>
    <w:p w14:paraId="555077D1" w14:textId="77777777" w:rsidR="000C7D2C" w:rsidRPr="000C7D2C" w:rsidRDefault="000C7D2C" w:rsidP="00B76905">
      <w:pPr>
        <w:numPr>
          <w:ilvl w:val="0"/>
          <w:numId w:val="261"/>
        </w:numPr>
        <w:contextualSpacing/>
        <w:rPr>
          <w:rFonts w:eastAsia="Aptos" w:cs="Arial"/>
        </w:rPr>
      </w:pPr>
      <w:r w:rsidRPr="000C7D2C">
        <w:rPr>
          <w:rFonts w:eastAsia="Aptos" w:cs="Arial"/>
        </w:rPr>
        <w:t xml:space="preserve">I have had a bad experience in the past </w:t>
      </w:r>
    </w:p>
    <w:p w14:paraId="0B116618" w14:textId="77777777" w:rsidR="000C7D2C" w:rsidRPr="000C7D2C" w:rsidRDefault="000C7D2C" w:rsidP="00B76905">
      <w:pPr>
        <w:numPr>
          <w:ilvl w:val="0"/>
          <w:numId w:val="261"/>
        </w:numPr>
        <w:contextualSpacing/>
        <w:rPr>
          <w:rFonts w:eastAsia="Aptos" w:cs="Arial"/>
        </w:rPr>
      </w:pPr>
      <w:r w:rsidRPr="000C7D2C">
        <w:rPr>
          <w:rFonts w:eastAsia="Aptos" w:cs="Arial"/>
        </w:rPr>
        <w:t xml:space="preserve">The service is too slow </w:t>
      </w:r>
    </w:p>
    <w:p w14:paraId="3586600A" w14:textId="77777777" w:rsidR="000C7D2C" w:rsidRPr="000C7D2C" w:rsidRDefault="000C7D2C" w:rsidP="00B76905">
      <w:pPr>
        <w:numPr>
          <w:ilvl w:val="0"/>
          <w:numId w:val="261"/>
        </w:numPr>
        <w:contextualSpacing/>
        <w:rPr>
          <w:rFonts w:eastAsia="Aptos" w:cs="Arial"/>
        </w:rPr>
      </w:pPr>
      <w:r w:rsidRPr="000C7D2C">
        <w:rPr>
          <w:rFonts w:eastAsia="Aptos" w:cs="Arial"/>
        </w:rPr>
        <w:t xml:space="preserve">The staff are always changing </w:t>
      </w:r>
    </w:p>
    <w:p w14:paraId="7F1F37BF" w14:textId="77777777" w:rsidR="000C7D2C" w:rsidRPr="000C7D2C" w:rsidRDefault="000C7D2C" w:rsidP="00B76905">
      <w:pPr>
        <w:numPr>
          <w:ilvl w:val="0"/>
          <w:numId w:val="261"/>
        </w:numPr>
        <w:contextualSpacing/>
        <w:rPr>
          <w:rFonts w:eastAsia="Aptos" w:cs="Arial"/>
        </w:rPr>
      </w:pPr>
      <w:r w:rsidRPr="000C7D2C">
        <w:rPr>
          <w:rFonts w:eastAsia="Aptos" w:cs="Arial"/>
        </w:rPr>
        <w:t xml:space="preserve">The staff don’t know me </w:t>
      </w:r>
    </w:p>
    <w:p w14:paraId="6BAA8B9A" w14:textId="77777777" w:rsidR="000C7D2C" w:rsidRPr="000C7D2C" w:rsidRDefault="000C7D2C" w:rsidP="00B76905">
      <w:pPr>
        <w:numPr>
          <w:ilvl w:val="0"/>
          <w:numId w:val="261"/>
        </w:numPr>
        <w:contextualSpacing/>
        <w:rPr>
          <w:rFonts w:eastAsia="Aptos" w:cs="Arial"/>
        </w:rPr>
      </w:pPr>
      <w:r w:rsidRPr="000C7D2C">
        <w:rPr>
          <w:rFonts w:eastAsia="Aptos" w:cs="Arial"/>
        </w:rPr>
        <w:t xml:space="preserve">I know the staff and would prefer them not to know what medicines I am taking </w:t>
      </w:r>
    </w:p>
    <w:p w14:paraId="08BA7E79" w14:textId="77777777" w:rsidR="000C7D2C" w:rsidRPr="000C7D2C" w:rsidRDefault="000C7D2C" w:rsidP="00B76905">
      <w:pPr>
        <w:numPr>
          <w:ilvl w:val="0"/>
          <w:numId w:val="261"/>
        </w:numPr>
        <w:contextualSpacing/>
        <w:rPr>
          <w:rFonts w:eastAsia="Aptos" w:cs="Arial"/>
        </w:rPr>
      </w:pPr>
      <w:r w:rsidRPr="000C7D2C">
        <w:rPr>
          <w:rFonts w:eastAsia="Aptos" w:cs="Arial"/>
        </w:rPr>
        <w:t xml:space="preserve">They don’t have what I need in stock </w:t>
      </w:r>
    </w:p>
    <w:p w14:paraId="75928E3E" w14:textId="77777777" w:rsidR="000C7D2C" w:rsidRPr="000C7D2C" w:rsidRDefault="000C7D2C" w:rsidP="00B76905">
      <w:pPr>
        <w:numPr>
          <w:ilvl w:val="0"/>
          <w:numId w:val="261"/>
        </w:numPr>
        <w:contextualSpacing/>
        <w:rPr>
          <w:rFonts w:eastAsia="Aptos" w:cs="Arial"/>
        </w:rPr>
      </w:pPr>
      <w:r w:rsidRPr="000C7D2C">
        <w:rPr>
          <w:rFonts w:eastAsia="Aptos" w:cs="Arial"/>
        </w:rPr>
        <w:t xml:space="preserve">The pharmacy does not deliver medicines </w:t>
      </w:r>
    </w:p>
    <w:p w14:paraId="1267D9C3" w14:textId="77777777" w:rsidR="000C7D2C" w:rsidRPr="000C7D2C" w:rsidRDefault="000C7D2C" w:rsidP="00B76905">
      <w:pPr>
        <w:numPr>
          <w:ilvl w:val="0"/>
          <w:numId w:val="261"/>
        </w:numPr>
        <w:contextualSpacing/>
        <w:rPr>
          <w:rFonts w:eastAsia="Aptos" w:cs="Arial"/>
        </w:rPr>
      </w:pPr>
      <w:r w:rsidRPr="000C7D2C">
        <w:rPr>
          <w:rFonts w:eastAsia="Aptos" w:cs="Arial"/>
        </w:rPr>
        <w:t xml:space="preserve">There is not enough privacy </w:t>
      </w:r>
    </w:p>
    <w:p w14:paraId="3519BD6C" w14:textId="77777777" w:rsidR="000C7D2C" w:rsidRPr="000C7D2C" w:rsidRDefault="000C7D2C" w:rsidP="00B76905">
      <w:pPr>
        <w:numPr>
          <w:ilvl w:val="0"/>
          <w:numId w:val="261"/>
        </w:numPr>
        <w:contextualSpacing/>
        <w:rPr>
          <w:rFonts w:eastAsia="Aptos" w:cs="Arial"/>
        </w:rPr>
      </w:pPr>
      <w:r w:rsidRPr="000C7D2C">
        <w:rPr>
          <w:rFonts w:eastAsia="Aptos" w:cs="Arial"/>
        </w:rPr>
        <w:t xml:space="preserve">It’s not open when I need it </w:t>
      </w:r>
    </w:p>
    <w:p w14:paraId="378498D3" w14:textId="77777777" w:rsidR="000C7D2C" w:rsidRPr="000C7D2C" w:rsidRDefault="000C7D2C" w:rsidP="00B76905">
      <w:pPr>
        <w:numPr>
          <w:ilvl w:val="0"/>
          <w:numId w:val="261"/>
        </w:numPr>
        <w:contextualSpacing/>
        <w:rPr>
          <w:rFonts w:eastAsia="Aptos" w:cs="Arial"/>
        </w:rPr>
      </w:pPr>
      <w:r w:rsidRPr="000C7D2C">
        <w:rPr>
          <w:rFonts w:eastAsia="Aptos" w:cs="Arial"/>
        </w:rPr>
        <w:t xml:space="preserve">It’s not wheelchair/baby buggy friendly </w:t>
      </w:r>
    </w:p>
    <w:p w14:paraId="74E7A027" w14:textId="77777777" w:rsidR="000C7D2C" w:rsidRPr="000C7D2C" w:rsidRDefault="000C7D2C" w:rsidP="00B76905">
      <w:pPr>
        <w:numPr>
          <w:ilvl w:val="0"/>
          <w:numId w:val="261"/>
        </w:numPr>
        <w:contextualSpacing/>
        <w:rPr>
          <w:rFonts w:eastAsia="Aptos" w:cs="Arial"/>
        </w:rPr>
      </w:pPr>
      <w:r w:rsidRPr="000C7D2C">
        <w:rPr>
          <w:rFonts w:eastAsia="Aptos" w:cs="Arial"/>
        </w:rPr>
        <w:t>Other [text box]</w:t>
      </w:r>
    </w:p>
    <w:p w14:paraId="74F7FFA3" w14:textId="77777777" w:rsidR="000C7D2C" w:rsidRPr="000C7D2C" w:rsidRDefault="000C7D2C" w:rsidP="009C14D5">
      <w:pPr>
        <w:rPr>
          <w:rFonts w:eastAsia="Aptos" w:cs="Arial"/>
        </w:rPr>
      </w:pPr>
    </w:p>
    <w:p w14:paraId="6916F9A3" w14:textId="77777777" w:rsidR="000C7D2C" w:rsidRPr="000C7D2C" w:rsidRDefault="000C7D2C" w:rsidP="009C14D5">
      <w:pPr>
        <w:rPr>
          <w:rFonts w:eastAsia="Aptos" w:cs="Arial"/>
          <w:b/>
          <w:bCs/>
        </w:rPr>
      </w:pPr>
      <w:r w:rsidRPr="000C7D2C">
        <w:rPr>
          <w:rFonts w:eastAsia="Aptos" w:cs="Arial"/>
          <w:b/>
          <w:bCs/>
        </w:rPr>
        <w:t xml:space="preserve">Travelling to a pharmacy </w:t>
      </w:r>
    </w:p>
    <w:p w14:paraId="3173D1EF" w14:textId="77777777" w:rsidR="000C7D2C" w:rsidRPr="000C7D2C" w:rsidRDefault="000C7D2C" w:rsidP="009C14D5">
      <w:pPr>
        <w:rPr>
          <w:rFonts w:eastAsia="Aptos" w:cs="Arial"/>
        </w:rPr>
      </w:pPr>
    </w:p>
    <w:p w14:paraId="434990FF" w14:textId="77777777" w:rsidR="000C7D2C" w:rsidRPr="000C7D2C" w:rsidRDefault="000C7D2C" w:rsidP="009C14D5">
      <w:pPr>
        <w:rPr>
          <w:rFonts w:eastAsia="Aptos" w:cs="Arial"/>
        </w:rPr>
      </w:pPr>
      <w:r w:rsidRPr="000C7D2C">
        <w:rPr>
          <w:rFonts w:eastAsia="Aptos" w:cs="Arial"/>
        </w:rPr>
        <w:t xml:space="preserve">12. If you go to the pharmacy by yourself or with someone, how do you usually get there? </w:t>
      </w:r>
    </w:p>
    <w:p w14:paraId="784C51F0" w14:textId="77777777" w:rsidR="000C7D2C" w:rsidRPr="000C7D2C" w:rsidRDefault="000C7D2C" w:rsidP="009C14D5">
      <w:pPr>
        <w:rPr>
          <w:rFonts w:eastAsia="Aptos" w:cs="Arial"/>
        </w:rPr>
      </w:pPr>
    </w:p>
    <w:p w14:paraId="22F05315" w14:textId="77777777" w:rsidR="000C7D2C" w:rsidRPr="000C7D2C" w:rsidRDefault="000C7D2C" w:rsidP="00B76905">
      <w:pPr>
        <w:numPr>
          <w:ilvl w:val="0"/>
          <w:numId w:val="262"/>
        </w:numPr>
        <w:contextualSpacing/>
        <w:rPr>
          <w:rFonts w:eastAsia="Aptos" w:cs="Arial"/>
        </w:rPr>
      </w:pPr>
      <w:r w:rsidRPr="000C7D2C">
        <w:rPr>
          <w:rFonts w:eastAsia="Aptos" w:cs="Arial"/>
        </w:rPr>
        <w:t xml:space="preserve">On foot </w:t>
      </w:r>
    </w:p>
    <w:p w14:paraId="78B01FDF" w14:textId="77777777" w:rsidR="000C7D2C" w:rsidRPr="000C7D2C" w:rsidRDefault="000C7D2C" w:rsidP="00B76905">
      <w:pPr>
        <w:numPr>
          <w:ilvl w:val="0"/>
          <w:numId w:val="262"/>
        </w:numPr>
        <w:contextualSpacing/>
        <w:rPr>
          <w:rFonts w:eastAsia="Aptos" w:cs="Arial"/>
        </w:rPr>
      </w:pPr>
      <w:r w:rsidRPr="000C7D2C">
        <w:rPr>
          <w:rFonts w:eastAsia="Aptos" w:cs="Arial"/>
        </w:rPr>
        <w:t xml:space="preserve">By bus </w:t>
      </w:r>
    </w:p>
    <w:p w14:paraId="17C3A6A6" w14:textId="77777777" w:rsidR="000C7D2C" w:rsidRPr="000C7D2C" w:rsidRDefault="000C7D2C" w:rsidP="00B76905">
      <w:pPr>
        <w:numPr>
          <w:ilvl w:val="0"/>
          <w:numId w:val="262"/>
        </w:numPr>
        <w:contextualSpacing/>
        <w:rPr>
          <w:rFonts w:eastAsia="Aptos" w:cs="Arial"/>
        </w:rPr>
      </w:pPr>
      <w:r w:rsidRPr="000C7D2C">
        <w:rPr>
          <w:rFonts w:eastAsia="Aptos" w:cs="Arial"/>
        </w:rPr>
        <w:t xml:space="preserve">By car </w:t>
      </w:r>
    </w:p>
    <w:p w14:paraId="47DCF2DD" w14:textId="77777777" w:rsidR="000C7D2C" w:rsidRPr="000C7D2C" w:rsidRDefault="000C7D2C" w:rsidP="00B76905">
      <w:pPr>
        <w:numPr>
          <w:ilvl w:val="0"/>
          <w:numId w:val="262"/>
        </w:numPr>
        <w:contextualSpacing/>
        <w:rPr>
          <w:rFonts w:eastAsia="Aptos" w:cs="Arial"/>
        </w:rPr>
      </w:pPr>
      <w:r w:rsidRPr="000C7D2C">
        <w:rPr>
          <w:rFonts w:eastAsia="Aptos" w:cs="Arial"/>
        </w:rPr>
        <w:t xml:space="preserve">By bike </w:t>
      </w:r>
    </w:p>
    <w:p w14:paraId="025DE9D9" w14:textId="77777777" w:rsidR="000C7D2C" w:rsidRPr="000C7D2C" w:rsidRDefault="000C7D2C" w:rsidP="00B76905">
      <w:pPr>
        <w:numPr>
          <w:ilvl w:val="0"/>
          <w:numId w:val="262"/>
        </w:numPr>
        <w:contextualSpacing/>
        <w:rPr>
          <w:rFonts w:eastAsia="Aptos" w:cs="Arial"/>
        </w:rPr>
      </w:pPr>
      <w:r w:rsidRPr="000C7D2C">
        <w:rPr>
          <w:rFonts w:eastAsia="Aptos" w:cs="Arial"/>
        </w:rPr>
        <w:lastRenderedPageBreak/>
        <w:t xml:space="preserve">By taxi </w:t>
      </w:r>
    </w:p>
    <w:p w14:paraId="67E0C9F9" w14:textId="77777777" w:rsidR="000C7D2C" w:rsidRPr="000C7D2C" w:rsidRDefault="000C7D2C" w:rsidP="00B76905">
      <w:pPr>
        <w:numPr>
          <w:ilvl w:val="0"/>
          <w:numId w:val="262"/>
        </w:numPr>
        <w:contextualSpacing/>
        <w:rPr>
          <w:rFonts w:eastAsia="Aptos" w:cs="Arial"/>
        </w:rPr>
      </w:pPr>
      <w:r w:rsidRPr="000C7D2C">
        <w:rPr>
          <w:rFonts w:eastAsia="Aptos" w:cs="Arial"/>
        </w:rPr>
        <w:t>By mobility scooter</w:t>
      </w:r>
    </w:p>
    <w:p w14:paraId="35B152BE" w14:textId="77777777" w:rsidR="000C7D2C" w:rsidRPr="000C7D2C" w:rsidRDefault="000C7D2C" w:rsidP="00B76905">
      <w:pPr>
        <w:numPr>
          <w:ilvl w:val="0"/>
          <w:numId w:val="262"/>
        </w:numPr>
        <w:contextualSpacing/>
        <w:rPr>
          <w:rFonts w:eastAsia="Aptos" w:cs="Arial"/>
        </w:rPr>
      </w:pPr>
      <w:r w:rsidRPr="000C7D2C">
        <w:rPr>
          <w:rFonts w:eastAsia="Aptos" w:cs="Arial"/>
        </w:rPr>
        <w:t xml:space="preserve">Other [text box] </w:t>
      </w:r>
    </w:p>
    <w:p w14:paraId="6EC0021C" w14:textId="1F86B618" w:rsidR="000C7D2C" w:rsidRPr="000C7D2C" w:rsidRDefault="000C7D2C" w:rsidP="00B76905">
      <w:pPr>
        <w:numPr>
          <w:ilvl w:val="0"/>
          <w:numId w:val="262"/>
        </w:numPr>
        <w:contextualSpacing/>
        <w:rPr>
          <w:rFonts w:eastAsia="Aptos" w:cs="Arial"/>
        </w:rPr>
      </w:pPr>
      <w:r w:rsidRPr="000C7D2C">
        <w:rPr>
          <w:rFonts w:eastAsia="Aptos" w:cs="Arial"/>
        </w:rPr>
        <w:t xml:space="preserve">Not applicable </w:t>
      </w:r>
    </w:p>
    <w:p w14:paraId="571DEA20" w14:textId="77777777" w:rsidR="000C7D2C" w:rsidRPr="000C7D2C" w:rsidRDefault="000C7D2C" w:rsidP="009C14D5">
      <w:pPr>
        <w:rPr>
          <w:rFonts w:eastAsia="Aptos" w:cs="Arial"/>
        </w:rPr>
      </w:pPr>
    </w:p>
    <w:p w14:paraId="31ABB481" w14:textId="77777777" w:rsidR="000C7D2C" w:rsidRPr="000C7D2C" w:rsidRDefault="000C7D2C" w:rsidP="009C14D5">
      <w:pPr>
        <w:rPr>
          <w:rFonts w:eastAsia="Aptos" w:cs="Arial"/>
        </w:rPr>
      </w:pPr>
      <w:r w:rsidRPr="000C7D2C">
        <w:rPr>
          <w:rFonts w:eastAsia="Aptos" w:cs="Arial"/>
        </w:rPr>
        <w:t xml:space="preserve">13. ...and how long does it usually take to get there? </w:t>
      </w:r>
    </w:p>
    <w:p w14:paraId="23387B67" w14:textId="77777777" w:rsidR="000C7D2C" w:rsidRPr="000C7D2C" w:rsidRDefault="000C7D2C" w:rsidP="009C14D5">
      <w:pPr>
        <w:rPr>
          <w:rFonts w:eastAsia="Aptos" w:cs="Arial"/>
        </w:rPr>
      </w:pPr>
    </w:p>
    <w:p w14:paraId="48E2DD48" w14:textId="77777777" w:rsidR="000C7D2C" w:rsidRPr="000C7D2C" w:rsidRDefault="000C7D2C" w:rsidP="00B76905">
      <w:pPr>
        <w:numPr>
          <w:ilvl w:val="0"/>
          <w:numId w:val="263"/>
        </w:numPr>
        <w:contextualSpacing/>
        <w:rPr>
          <w:rFonts w:eastAsia="Aptos" w:cs="Arial"/>
        </w:rPr>
      </w:pPr>
      <w:r w:rsidRPr="000C7D2C">
        <w:rPr>
          <w:rFonts w:eastAsia="Aptos" w:cs="Arial"/>
        </w:rPr>
        <w:t xml:space="preserve">Less than 5 minutes </w:t>
      </w:r>
    </w:p>
    <w:p w14:paraId="424FFC35" w14:textId="77777777" w:rsidR="000C7D2C" w:rsidRPr="000C7D2C" w:rsidRDefault="000C7D2C" w:rsidP="00B76905">
      <w:pPr>
        <w:numPr>
          <w:ilvl w:val="0"/>
          <w:numId w:val="263"/>
        </w:numPr>
        <w:contextualSpacing/>
        <w:rPr>
          <w:rFonts w:eastAsia="Aptos" w:cs="Arial"/>
        </w:rPr>
      </w:pPr>
      <w:r w:rsidRPr="000C7D2C">
        <w:rPr>
          <w:rFonts w:eastAsia="Aptos" w:cs="Arial"/>
        </w:rPr>
        <w:t xml:space="preserve">Between 5 and 15 minutes </w:t>
      </w:r>
    </w:p>
    <w:p w14:paraId="118B4A0F" w14:textId="77777777" w:rsidR="000C7D2C" w:rsidRPr="000C7D2C" w:rsidRDefault="000C7D2C" w:rsidP="00B76905">
      <w:pPr>
        <w:numPr>
          <w:ilvl w:val="0"/>
          <w:numId w:val="263"/>
        </w:numPr>
        <w:contextualSpacing/>
        <w:rPr>
          <w:rFonts w:eastAsia="Aptos" w:cs="Arial"/>
        </w:rPr>
      </w:pPr>
      <w:r w:rsidRPr="000C7D2C">
        <w:rPr>
          <w:rFonts w:eastAsia="Aptos" w:cs="Arial"/>
        </w:rPr>
        <w:t xml:space="preserve">More than 15 minutes but less than 20 minutes </w:t>
      </w:r>
    </w:p>
    <w:p w14:paraId="27A4DBE5" w14:textId="77777777" w:rsidR="000C7D2C" w:rsidRPr="000C7D2C" w:rsidRDefault="000C7D2C" w:rsidP="00B76905">
      <w:pPr>
        <w:numPr>
          <w:ilvl w:val="0"/>
          <w:numId w:val="263"/>
        </w:numPr>
        <w:contextualSpacing/>
        <w:rPr>
          <w:rFonts w:eastAsia="Aptos" w:cs="Arial"/>
        </w:rPr>
      </w:pPr>
      <w:r w:rsidRPr="000C7D2C">
        <w:rPr>
          <w:rFonts w:eastAsia="Aptos" w:cs="Arial"/>
        </w:rPr>
        <w:t>20 minutes or more</w:t>
      </w:r>
    </w:p>
    <w:p w14:paraId="7A94ADBD" w14:textId="77777777" w:rsidR="000C7D2C" w:rsidRPr="000C7D2C" w:rsidRDefault="000C7D2C" w:rsidP="009C14D5">
      <w:pPr>
        <w:rPr>
          <w:rFonts w:eastAsia="Aptos" w:cs="Arial"/>
        </w:rPr>
      </w:pPr>
    </w:p>
    <w:p w14:paraId="34DA2BCA" w14:textId="77777777" w:rsidR="000C7D2C" w:rsidRPr="000C7D2C" w:rsidRDefault="000C7D2C" w:rsidP="009C14D5">
      <w:pPr>
        <w:rPr>
          <w:rFonts w:eastAsia="Aptos" w:cs="Arial"/>
        </w:rPr>
      </w:pPr>
      <w:r w:rsidRPr="000C7D2C">
        <w:rPr>
          <w:rFonts w:eastAsia="Aptos" w:cs="Arial"/>
        </w:rPr>
        <w:t xml:space="preserve">14. Would you say that you have difficulty in getting to a pharmacy? </w:t>
      </w:r>
    </w:p>
    <w:p w14:paraId="30CEAF3D" w14:textId="77777777" w:rsidR="000C7D2C" w:rsidRPr="000C7D2C" w:rsidRDefault="000C7D2C" w:rsidP="009C14D5">
      <w:pPr>
        <w:rPr>
          <w:rFonts w:eastAsia="Aptos" w:cs="Arial"/>
        </w:rPr>
      </w:pPr>
    </w:p>
    <w:p w14:paraId="04257C3F" w14:textId="77777777" w:rsidR="000C7D2C" w:rsidRPr="000C7D2C" w:rsidRDefault="000C7D2C" w:rsidP="00B76905">
      <w:pPr>
        <w:numPr>
          <w:ilvl w:val="0"/>
          <w:numId w:val="264"/>
        </w:numPr>
        <w:contextualSpacing/>
        <w:rPr>
          <w:rFonts w:eastAsia="Aptos" w:cs="Arial"/>
        </w:rPr>
      </w:pPr>
      <w:r w:rsidRPr="000C7D2C">
        <w:rPr>
          <w:rFonts w:eastAsia="Aptos" w:cs="Arial"/>
        </w:rPr>
        <w:t xml:space="preserve">Yes </w:t>
      </w:r>
    </w:p>
    <w:p w14:paraId="2D1C427F" w14:textId="237F7321" w:rsidR="000C7D2C" w:rsidRPr="000C7D2C" w:rsidRDefault="000C7D2C" w:rsidP="00B76905">
      <w:pPr>
        <w:numPr>
          <w:ilvl w:val="0"/>
          <w:numId w:val="264"/>
        </w:numPr>
        <w:contextualSpacing/>
        <w:rPr>
          <w:rFonts w:eastAsia="Aptos" w:cs="Arial"/>
        </w:rPr>
      </w:pPr>
      <w:r w:rsidRPr="000C7D2C">
        <w:rPr>
          <w:rFonts w:eastAsia="Aptos" w:cs="Arial"/>
        </w:rPr>
        <w:t xml:space="preserve">No </w:t>
      </w:r>
    </w:p>
    <w:p w14:paraId="302FD229" w14:textId="6B7086D6" w:rsidR="000C7D2C" w:rsidRPr="000C7D2C" w:rsidRDefault="000C7D2C" w:rsidP="00B76905">
      <w:pPr>
        <w:numPr>
          <w:ilvl w:val="0"/>
          <w:numId w:val="264"/>
        </w:numPr>
        <w:contextualSpacing/>
        <w:rPr>
          <w:rFonts w:eastAsia="Aptos" w:cs="Arial"/>
        </w:rPr>
      </w:pPr>
      <w:r w:rsidRPr="000C7D2C">
        <w:rPr>
          <w:rFonts w:eastAsia="Aptos" w:cs="Arial"/>
        </w:rPr>
        <w:t xml:space="preserve">Not applicable </w:t>
      </w:r>
    </w:p>
    <w:p w14:paraId="359E486F" w14:textId="77777777" w:rsidR="000C7D2C" w:rsidRPr="000C7D2C" w:rsidRDefault="000C7D2C" w:rsidP="009C14D5">
      <w:pPr>
        <w:rPr>
          <w:rFonts w:eastAsia="Aptos" w:cs="Arial"/>
        </w:rPr>
      </w:pPr>
    </w:p>
    <w:p w14:paraId="144DA67D" w14:textId="77777777" w:rsidR="000C7D2C" w:rsidRPr="000C7D2C" w:rsidRDefault="000C7D2C" w:rsidP="009C14D5">
      <w:pPr>
        <w:rPr>
          <w:rFonts w:eastAsia="Aptos" w:cs="Arial"/>
        </w:rPr>
      </w:pPr>
      <w:r w:rsidRPr="000C7D2C">
        <w:rPr>
          <w:rFonts w:eastAsia="Aptos" w:cs="Arial"/>
        </w:rPr>
        <w:t xml:space="preserve">15. If you have difficulty getting to a pharmacy, please tell us why. </w:t>
      </w:r>
    </w:p>
    <w:p w14:paraId="01F8CCED" w14:textId="77777777" w:rsidR="000C7D2C" w:rsidRPr="000C7D2C" w:rsidRDefault="000C7D2C" w:rsidP="009C14D5">
      <w:pPr>
        <w:rPr>
          <w:rFonts w:eastAsia="Aptos" w:cs="Arial"/>
        </w:rPr>
      </w:pPr>
    </w:p>
    <w:p w14:paraId="40DA4676" w14:textId="77777777" w:rsidR="000C7D2C" w:rsidRPr="000C7D2C" w:rsidRDefault="000C7D2C" w:rsidP="009C14D5">
      <w:pPr>
        <w:rPr>
          <w:rFonts w:eastAsia="Aptos" w:cs="Arial"/>
        </w:rPr>
      </w:pPr>
      <w:r w:rsidRPr="000C7D2C">
        <w:rPr>
          <w:rFonts w:eastAsia="Aptos" w:cs="Arial"/>
        </w:rPr>
        <w:t>[Text box]</w:t>
      </w:r>
    </w:p>
    <w:p w14:paraId="10CDF6B6" w14:textId="77777777" w:rsidR="000C7D2C" w:rsidRPr="000C7D2C" w:rsidRDefault="000C7D2C" w:rsidP="009C14D5">
      <w:pPr>
        <w:rPr>
          <w:rFonts w:eastAsia="Aptos" w:cs="Arial"/>
        </w:rPr>
      </w:pPr>
    </w:p>
    <w:p w14:paraId="487E666E" w14:textId="77777777" w:rsidR="000C7D2C" w:rsidRPr="000C7D2C" w:rsidRDefault="000C7D2C" w:rsidP="009C14D5">
      <w:pPr>
        <w:rPr>
          <w:rFonts w:eastAsia="Aptos" w:cs="Arial"/>
          <w:b/>
          <w:bCs/>
        </w:rPr>
      </w:pPr>
      <w:r w:rsidRPr="000C7D2C">
        <w:rPr>
          <w:rFonts w:eastAsia="Aptos" w:cs="Arial"/>
          <w:b/>
          <w:bCs/>
          <w:lang w:val="en-US"/>
        </w:rPr>
        <w:t>Pharmacy services in general</w:t>
      </w:r>
      <w:r w:rsidRPr="000C7D2C">
        <w:rPr>
          <w:rFonts w:eastAsia="Aptos" w:cs="Arial"/>
          <w:b/>
          <w:bCs/>
        </w:rPr>
        <w:t> </w:t>
      </w:r>
    </w:p>
    <w:p w14:paraId="342C5A49" w14:textId="77777777" w:rsidR="000C7D2C" w:rsidRPr="000C7D2C" w:rsidRDefault="000C7D2C" w:rsidP="009C14D5">
      <w:pPr>
        <w:rPr>
          <w:rFonts w:eastAsia="Aptos" w:cs="Arial"/>
        </w:rPr>
      </w:pPr>
      <w:r w:rsidRPr="000C7D2C">
        <w:rPr>
          <w:rFonts w:eastAsia="Aptos" w:cs="Arial"/>
        </w:rPr>
        <w:t> </w:t>
      </w:r>
    </w:p>
    <w:p w14:paraId="24907192" w14:textId="77777777" w:rsidR="000C7D2C" w:rsidRPr="000C7D2C" w:rsidRDefault="000C7D2C" w:rsidP="009C14D5">
      <w:pPr>
        <w:rPr>
          <w:rFonts w:eastAsia="Aptos" w:cs="Arial"/>
        </w:rPr>
      </w:pPr>
      <w:r w:rsidRPr="000C7D2C">
        <w:rPr>
          <w:rFonts w:eastAsia="Aptos" w:cs="Arial"/>
          <w:lang w:val="en-US"/>
        </w:rPr>
        <w:t>16. We would like to know how you find out information about a pharmacy such as opening times or the service being offered. Please tick any or all that apply.</w:t>
      </w:r>
      <w:r w:rsidRPr="000C7D2C">
        <w:rPr>
          <w:rFonts w:eastAsia="Aptos" w:cs="Arial"/>
        </w:rPr>
        <w:t> </w:t>
      </w:r>
    </w:p>
    <w:p w14:paraId="5461B9B7" w14:textId="77777777" w:rsidR="000C7D2C" w:rsidRPr="000C7D2C" w:rsidRDefault="000C7D2C" w:rsidP="009C14D5">
      <w:pPr>
        <w:rPr>
          <w:rFonts w:eastAsia="Aptos" w:cs="Arial"/>
        </w:rPr>
      </w:pPr>
      <w:r w:rsidRPr="000C7D2C">
        <w:rPr>
          <w:rFonts w:eastAsia="Aptos" w:cs="Arial"/>
        </w:rPr>
        <w:t> </w:t>
      </w:r>
    </w:p>
    <w:p w14:paraId="441E8CDA" w14:textId="77777777" w:rsidR="000C7D2C" w:rsidRPr="000C7D2C" w:rsidRDefault="000C7D2C" w:rsidP="00B76905">
      <w:pPr>
        <w:numPr>
          <w:ilvl w:val="0"/>
          <w:numId w:val="265"/>
        </w:numPr>
        <w:contextualSpacing/>
        <w:rPr>
          <w:rFonts w:eastAsia="Aptos" w:cs="Arial"/>
        </w:rPr>
      </w:pPr>
      <w:r w:rsidRPr="000C7D2C">
        <w:rPr>
          <w:rFonts w:eastAsia="Aptos" w:cs="Arial"/>
          <w:lang w:val="en-US"/>
        </w:rPr>
        <w:t>I would call them</w:t>
      </w:r>
      <w:r w:rsidRPr="000C7D2C">
        <w:rPr>
          <w:rFonts w:eastAsia="Aptos" w:cs="Arial"/>
        </w:rPr>
        <w:t> </w:t>
      </w:r>
    </w:p>
    <w:p w14:paraId="630E6C32" w14:textId="77777777" w:rsidR="000C7D2C" w:rsidRPr="000C7D2C" w:rsidRDefault="000C7D2C" w:rsidP="00B76905">
      <w:pPr>
        <w:numPr>
          <w:ilvl w:val="0"/>
          <w:numId w:val="265"/>
        </w:numPr>
        <w:contextualSpacing/>
        <w:rPr>
          <w:rFonts w:eastAsia="Aptos" w:cs="Arial"/>
        </w:rPr>
      </w:pPr>
      <w:r w:rsidRPr="000C7D2C">
        <w:rPr>
          <w:rFonts w:eastAsia="Aptos" w:cs="Arial"/>
          <w:lang w:val="en-US"/>
        </w:rPr>
        <w:t>I would call NHS 111 Wales or use their website</w:t>
      </w:r>
      <w:r w:rsidRPr="000C7D2C">
        <w:rPr>
          <w:rFonts w:eastAsia="Aptos" w:cs="Arial"/>
        </w:rPr>
        <w:t> </w:t>
      </w:r>
    </w:p>
    <w:p w14:paraId="3B59B4AC" w14:textId="77777777" w:rsidR="000C7D2C" w:rsidRPr="000C7D2C" w:rsidRDefault="000C7D2C" w:rsidP="00B76905">
      <w:pPr>
        <w:numPr>
          <w:ilvl w:val="0"/>
          <w:numId w:val="265"/>
        </w:numPr>
        <w:contextualSpacing/>
        <w:rPr>
          <w:rFonts w:eastAsia="Aptos" w:cs="Arial"/>
        </w:rPr>
      </w:pPr>
      <w:r w:rsidRPr="000C7D2C">
        <w:rPr>
          <w:rFonts w:eastAsia="Aptos" w:cs="Arial"/>
          <w:lang w:val="en-US"/>
        </w:rPr>
        <w:t>I would search the Swansea Bay University Health Board website</w:t>
      </w:r>
      <w:r w:rsidRPr="000C7D2C">
        <w:rPr>
          <w:rFonts w:eastAsia="Aptos" w:cs="Arial"/>
        </w:rPr>
        <w:t> </w:t>
      </w:r>
    </w:p>
    <w:p w14:paraId="7B7503A5" w14:textId="77777777" w:rsidR="000C7D2C" w:rsidRPr="000C7D2C" w:rsidRDefault="000C7D2C" w:rsidP="00B76905">
      <w:pPr>
        <w:numPr>
          <w:ilvl w:val="0"/>
          <w:numId w:val="265"/>
        </w:numPr>
        <w:contextualSpacing/>
        <w:rPr>
          <w:rFonts w:eastAsia="Aptos" w:cs="Arial"/>
        </w:rPr>
      </w:pPr>
      <w:r w:rsidRPr="000C7D2C">
        <w:rPr>
          <w:rFonts w:eastAsia="Aptos" w:cs="Arial"/>
          <w:lang w:val="en-US"/>
        </w:rPr>
        <w:t>I would search the internet</w:t>
      </w:r>
      <w:r w:rsidRPr="000C7D2C">
        <w:rPr>
          <w:rFonts w:eastAsia="Aptos" w:cs="Arial"/>
        </w:rPr>
        <w:t> </w:t>
      </w:r>
    </w:p>
    <w:p w14:paraId="5319D6FD" w14:textId="77777777" w:rsidR="000C7D2C" w:rsidRPr="000C7D2C" w:rsidRDefault="000C7D2C" w:rsidP="00B76905">
      <w:pPr>
        <w:numPr>
          <w:ilvl w:val="0"/>
          <w:numId w:val="265"/>
        </w:numPr>
        <w:contextualSpacing/>
        <w:rPr>
          <w:rFonts w:eastAsia="Aptos" w:cs="Arial"/>
        </w:rPr>
      </w:pPr>
      <w:r w:rsidRPr="000C7D2C">
        <w:rPr>
          <w:rFonts w:eastAsia="Aptos" w:cs="Arial"/>
          <w:lang w:val="en-US"/>
        </w:rPr>
        <w:t>I would use social media</w:t>
      </w:r>
      <w:r w:rsidRPr="000C7D2C">
        <w:rPr>
          <w:rFonts w:eastAsia="Aptos" w:cs="Arial"/>
        </w:rPr>
        <w:t> </w:t>
      </w:r>
    </w:p>
    <w:p w14:paraId="2159801A" w14:textId="77777777" w:rsidR="000C7D2C" w:rsidRPr="000C7D2C" w:rsidRDefault="000C7D2C" w:rsidP="00B76905">
      <w:pPr>
        <w:numPr>
          <w:ilvl w:val="0"/>
          <w:numId w:val="265"/>
        </w:numPr>
        <w:contextualSpacing/>
        <w:rPr>
          <w:rFonts w:eastAsia="Aptos" w:cs="Arial"/>
        </w:rPr>
      </w:pPr>
      <w:r w:rsidRPr="000C7D2C">
        <w:rPr>
          <w:rFonts w:eastAsia="Aptos" w:cs="Arial"/>
          <w:lang w:val="en-US"/>
        </w:rPr>
        <w:t>I would ask a friend</w:t>
      </w:r>
      <w:r w:rsidRPr="000C7D2C">
        <w:rPr>
          <w:rFonts w:eastAsia="Aptos" w:cs="Arial"/>
        </w:rPr>
        <w:t> </w:t>
      </w:r>
    </w:p>
    <w:p w14:paraId="01943745" w14:textId="77777777" w:rsidR="000C7D2C" w:rsidRPr="000C7D2C" w:rsidRDefault="000C7D2C" w:rsidP="00B76905">
      <w:pPr>
        <w:numPr>
          <w:ilvl w:val="0"/>
          <w:numId w:val="265"/>
        </w:numPr>
        <w:contextualSpacing/>
        <w:rPr>
          <w:rFonts w:eastAsia="Aptos" w:cs="Arial"/>
        </w:rPr>
      </w:pPr>
      <w:r w:rsidRPr="000C7D2C">
        <w:rPr>
          <w:rFonts w:eastAsia="Aptos" w:cs="Arial"/>
          <w:lang w:val="en-US"/>
        </w:rPr>
        <w:t>I would just pop in and ask them</w:t>
      </w:r>
      <w:r w:rsidRPr="000C7D2C">
        <w:rPr>
          <w:rFonts w:eastAsia="Aptos" w:cs="Arial"/>
        </w:rPr>
        <w:t> </w:t>
      </w:r>
    </w:p>
    <w:p w14:paraId="2E191308" w14:textId="77777777" w:rsidR="000C7D2C" w:rsidRPr="000C7D2C" w:rsidRDefault="000C7D2C" w:rsidP="00B76905">
      <w:pPr>
        <w:numPr>
          <w:ilvl w:val="0"/>
          <w:numId w:val="265"/>
        </w:numPr>
        <w:contextualSpacing/>
        <w:rPr>
          <w:rFonts w:eastAsia="Aptos" w:cs="Arial"/>
        </w:rPr>
      </w:pPr>
      <w:r w:rsidRPr="000C7D2C">
        <w:rPr>
          <w:rFonts w:eastAsia="Aptos" w:cs="Arial"/>
          <w:lang w:val="en-US"/>
        </w:rPr>
        <w:t>Look in the window</w:t>
      </w:r>
      <w:r w:rsidRPr="000C7D2C">
        <w:rPr>
          <w:rFonts w:eastAsia="Aptos" w:cs="Arial"/>
        </w:rPr>
        <w:t> </w:t>
      </w:r>
    </w:p>
    <w:p w14:paraId="12FBDFE5" w14:textId="77777777" w:rsidR="000C7D2C" w:rsidRPr="000C7D2C" w:rsidRDefault="000C7D2C" w:rsidP="00B76905">
      <w:pPr>
        <w:numPr>
          <w:ilvl w:val="0"/>
          <w:numId w:val="265"/>
        </w:numPr>
        <w:contextualSpacing/>
        <w:rPr>
          <w:rFonts w:eastAsia="Aptos" w:cs="Arial"/>
        </w:rPr>
      </w:pPr>
      <w:r w:rsidRPr="000C7D2C">
        <w:rPr>
          <w:rFonts w:eastAsia="Aptos" w:cs="Arial"/>
          <w:lang w:val="en-US"/>
        </w:rPr>
        <w:t>I would find out from reading the local newspaper or magazine</w:t>
      </w:r>
      <w:r w:rsidRPr="000C7D2C">
        <w:rPr>
          <w:rFonts w:eastAsia="Aptos" w:cs="Arial"/>
        </w:rPr>
        <w:t> </w:t>
      </w:r>
    </w:p>
    <w:p w14:paraId="63C905D4" w14:textId="77777777" w:rsidR="000C7D2C" w:rsidRPr="000C7D2C" w:rsidRDefault="000C7D2C" w:rsidP="00B76905">
      <w:pPr>
        <w:numPr>
          <w:ilvl w:val="0"/>
          <w:numId w:val="265"/>
        </w:numPr>
        <w:contextualSpacing/>
        <w:rPr>
          <w:rFonts w:eastAsia="Aptos" w:cs="Arial"/>
        </w:rPr>
      </w:pPr>
      <w:r w:rsidRPr="000C7D2C">
        <w:rPr>
          <w:rFonts w:eastAsia="Aptos" w:cs="Arial"/>
        </w:rPr>
        <w:t xml:space="preserve">Not applicable </w:t>
      </w:r>
    </w:p>
    <w:p w14:paraId="31F18FF6" w14:textId="77777777" w:rsidR="000C7D2C" w:rsidRPr="000C7D2C" w:rsidRDefault="000C7D2C" w:rsidP="00B76905">
      <w:pPr>
        <w:numPr>
          <w:ilvl w:val="0"/>
          <w:numId w:val="265"/>
        </w:numPr>
        <w:contextualSpacing/>
        <w:rPr>
          <w:rFonts w:eastAsia="Aptos" w:cs="Arial"/>
        </w:rPr>
      </w:pPr>
      <w:r w:rsidRPr="000C7D2C">
        <w:rPr>
          <w:rFonts w:eastAsia="Aptos" w:cs="Arial"/>
        </w:rPr>
        <w:t>Other [text box]</w:t>
      </w:r>
    </w:p>
    <w:p w14:paraId="1B2CAEC8" w14:textId="77777777" w:rsidR="000C7D2C" w:rsidRPr="000C7D2C" w:rsidRDefault="000C7D2C" w:rsidP="009C14D5">
      <w:pPr>
        <w:rPr>
          <w:rFonts w:eastAsia="Aptos" w:cs="Arial"/>
        </w:rPr>
      </w:pPr>
    </w:p>
    <w:p w14:paraId="1C39DD0A" w14:textId="77777777" w:rsidR="000C7D2C" w:rsidRPr="000C7D2C" w:rsidRDefault="000C7D2C" w:rsidP="009C14D5">
      <w:pPr>
        <w:rPr>
          <w:rFonts w:eastAsia="Aptos" w:cs="Arial"/>
        </w:rPr>
      </w:pPr>
      <w:r w:rsidRPr="000C7D2C">
        <w:rPr>
          <w:rFonts w:eastAsia="Aptos" w:cs="Arial"/>
        </w:rPr>
        <w:t xml:space="preserve">17. Do you feel able to discuss something private with your pharmacist? </w:t>
      </w:r>
    </w:p>
    <w:p w14:paraId="72E18CD1" w14:textId="77777777" w:rsidR="000C7D2C" w:rsidRPr="000C7D2C" w:rsidRDefault="000C7D2C" w:rsidP="009C14D5">
      <w:pPr>
        <w:rPr>
          <w:rFonts w:eastAsia="Aptos" w:cs="Arial"/>
        </w:rPr>
      </w:pPr>
    </w:p>
    <w:p w14:paraId="51E41301" w14:textId="77777777" w:rsidR="000C7D2C" w:rsidRPr="000C7D2C" w:rsidRDefault="000C7D2C" w:rsidP="00B76905">
      <w:pPr>
        <w:numPr>
          <w:ilvl w:val="0"/>
          <w:numId w:val="266"/>
        </w:numPr>
        <w:contextualSpacing/>
        <w:rPr>
          <w:rFonts w:eastAsia="Aptos" w:cs="Arial"/>
        </w:rPr>
      </w:pPr>
      <w:r w:rsidRPr="000C7D2C">
        <w:rPr>
          <w:rFonts w:eastAsia="Aptos" w:cs="Arial"/>
        </w:rPr>
        <w:t xml:space="preserve">Yes </w:t>
      </w:r>
    </w:p>
    <w:p w14:paraId="35B9E88D" w14:textId="77777777" w:rsidR="000C7D2C" w:rsidRPr="000C7D2C" w:rsidRDefault="000C7D2C" w:rsidP="00B76905">
      <w:pPr>
        <w:numPr>
          <w:ilvl w:val="0"/>
          <w:numId w:val="266"/>
        </w:numPr>
        <w:contextualSpacing/>
        <w:rPr>
          <w:rFonts w:eastAsia="Aptos" w:cs="Arial"/>
        </w:rPr>
      </w:pPr>
      <w:r w:rsidRPr="000C7D2C">
        <w:rPr>
          <w:rFonts w:eastAsia="Aptos" w:cs="Arial"/>
        </w:rPr>
        <w:t xml:space="preserve">No </w:t>
      </w:r>
    </w:p>
    <w:p w14:paraId="381B453C" w14:textId="77777777" w:rsidR="000C7D2C" w:rsidRPr="000C7D2C" w:rsidRDefault="000C7D2C" w:rsidP="00B76905">
      <w:pPr>
        <w:numPr>
          <w:ilvl w:val="0"/>
          <w:numId w:val="266"/>
        </w:numPr>
        <w:contextualSpacing/>
        <w:rPr>
          <w:rFonts w:eastAsia="Aptos" w:cs="Arial"/>
        </w:rPr>
      </w:pPr>
      <w:r w:rsidRPr="000C7D2C">
        <w:rPr>
          <w:rFonts w:eastAsia="Aptos" w:cs="Arial"/>
        </w:rPr>
        <w:t xml:space="preserve">Never needed to </w:t>
      </w:r>
    </w:p>
    <w:p w14:paraId="093BEABD" w14:textId="77777777" w:rsidR="000C7D2C" w:rsidRPr="000C7D2C" w:rsidRDefault="000C7D2C" w:rsidP="00B76905">
      <w:pPr>
        <w:numPr>
          <w:ilvl w:val="0"/>
          <w:numId w:val="266"/>
        </w:numPr>
        <w:contextualSpacing/>
        <w:rPr>
          <w:rFonts w:eastAsia="Aptos" w:cs="Arial"/>
        </w:rPr>
      </w:pPr>
      <w:r w:rsidRPr="000C7D2C">
        <w:rPr>
          <w:rFonts w:eastAsia="Aptos" w:cs="Arial"/>
        </w:rPr>
        <w:t>Don’t know</w:t>
      </w:r>
    </w:p>
    <w:p w14:paraId="5AA90344" w14:textId="77777777" w:rsidR="000C7D2C" w:rsidRPr="000C7D2C" w:rsidRDefault="000C7D2C" w:rsidP="009C14D5">
      <w:pPr>
        <w:rPr>
          <w:rFonts w:eastAsia="Aptos" w:cs="Arial"/>
        </w:rPr>
      </w:pPr>
    </w:p>
    <w:p w14:paraId="20EF20CC" w14:textId="77777777" w:rsidR="000C7D2C" w:rsidRPr="000C7D2C" w:rsidRDefault="000C7D2C" w:rsidP="009C14D5">
      <w:pPr>
        <w:rPr>
          <w:rFonts w:eastAsia="Aptos" w:cs="Arial"/>
        </w:rPr>
      </w:pPr>
      <w:r w:rsidRPr="000C7D2C">
        <w:rPr>
          <w:rFonts w:eastAsia="Aptos" w:cs="Arial"/>
        </w:rPr>
        <w:t xml:space="preserve">18. Are you aware that you may be able to access the following services from pharmacies as part of the NHS? Please select those that you are aware of. </w:t>
      </w:r>
    </w:p>
    <w:p w14:paraId="10C9E477" w14:textId="77777777" w:rsidR="000C7D2C" w:rsidRPr="000C7D2C" w:rsidRDefault="000C7D2C" w:rsidP="009C14D5">
      <w:pPr>
        <w:rPr>
          <w:rFonts w:eastAsia="Aptos" w:cs="Arial"/>
        </w:rPr>
      </w:pPr>
    </w:p>
    <w:p w14:paraId="2C4E5F1B" w14:textId="77777777" w:rsidR="000C7D2C" w:rsidRPr="000C7D2C" w:rsidRDefault="000C7D2C" w:rsidP="00B76905">
      <w:pPr>
        <w:numPr>
          <w:ilvl w:val="0"/>
          <w:numId w:val="267"/>
        </w:numPr>
        <w:contextualSpacing/>
        <w:rPr>
          <w:rFonts w:eastAsia="Aptos" w:cs="Arial"/>
        </w:rPr>
      </w:pPr>
      <w:r w:rsidRPr="000C7D2C">
        <w:rPr>
          <w:rFonts w:eastAsia="Aptos" w:cs="Arial"/>
        </w:rPr>
        <w:lastRenderedPageBreak/>
        <w:t xml:space="preserve">Flu vaccinations (for those who are in one of the at risk groups) </w:t>
      </w:r>
    </w:p>
    <w:p w14:paraId="55A35949" w14:textId="77777777" w:rsidR="000C7D2C" w:rsidRPr="000C7D2C" w:rsidRDefault="000C7D2C" w:rsidP="00B76905">
      <w:pPr>
        <w:numPr>
          <w:ilvl w:val="0"/>
          <w:numId w:val="267"/>
        </w:numPr>
        <w:contextualSpacing/>
        <w:rPr>
          <w:rFonts w:eastAsia="Aptos" w:cs="Arial"/>
        </w:rPr>
      </w:pPr>
      <w:r w:rsidRPr="000C7D2C">
        <w:rPr>
          <w:rFonts w:eastAsia="Aptos" w:cs="Arial"/>
        </w:rPr>
        <w:t xml:space="preserve">Discharge medicines review service – this service is for people whose medicines have changed during a hospital stay, to help them understand the changes that have been made and to make sure future prescriptions are for the right medicines. </w:t>
      </w:r>
    </w:p>
    <w:p w14:paraId="76A5347C" w14:textId="77777777" w:rsidR="000C7D2C" w:rsidRPr="000C7D2C" w:rsidRDefault="000C7D2C" w:rsidP="00B76905">
      <w:pPr>
        <w:numPr>
          <w:ilvl w:val="0"/>
          <w:numId w:val="267"/>
        </w:numPr>
        <w:contextualSpacing/>
        <w:rPr>
          <w:rFonts w:eastAsia="Aptos" w:cs="Arial"/>
        </w:rPr>
      </w:pPr>
      <w:r w:rsidRPr="000C7D2C">
        <w:rPr>
          <w:rFonts w:eastAsia="Aptos" w:cs="Arial"/>
        </w:rPr>
        <w:t xml:space="preserve">Appliance use review service - this is an opportunity to discuss appliances such as those for stomas and colostomies with a pharmacist or a specialist nurse to ensure your appliances are doing what you need them to do. </w:t>
      </w:r>
    </w:p>
    <w:p w14:paraId="3ADB79A0" w14:textId="77777777" w:rsidR="000C7D2C" w:rsidRPr="000C7D2C" w:rsidRDefault="000C7D2C" w:rsidP="00B76905">
      <w:pPr>
        <w:numPr>
          <w:ilvl w:val="0"/>
          <w:numId w:val="267"/>
        </w:numPr>
        <w:contextualSpacing/>
        <w:rPr>
          <w:rFonts w:eastAsia="Aptos" w:cs="Arial"/>
        </w:rPr>
      </w:pPr>
      <w:r w:rsidRPr="000C7D2C">
        <w:rPr>
          <w:rFonts w:eastAsia="Aptos" w:cs="Arial"/>
        </w:rPr>
        <w:t xml:space="preserve">Contraception services which includes the ‘morning after pill’ </w:t>
      </w:r>
    </w:p>
    <w:p w14:paraId="10D5BD47" w14:textId="77777777" w:rsidR="000C7D2C" w:rsidRPr="000C7D2C" w:rsidRDefault="000C7D2C" w:rsidP="00B76905">
      <w:pPr>
        <w:numPr>
          <w:ilvl w:val="0"/>
          <w:numId w:val="267"/>
        </w:numPr>
        <w:contextualSpacing/>
        <w:rPr>
          <w:rFonts w:eastAsia="Aptos" w:cs="Arial"/>
        </w:rPr>
      </w:pPr>
      <w:r w:rsidRPr="000C7D2C">
        <w:rPr>
          <w:rFonts w:eastAsia="Aptos" w:cs="Arial"/>
        </w:rPr>
        <w:t xml:space="preserve">Help to stop smoking </w:t>
      </w:r>
    </w:p>
    <w:p w14:paraId="72CB1193" w14:textId="77777777" w:rsidR="000C7D2C" w:rsidRPr="000C7D2C" w:rsidRDefault="000C7D2C" w:rsidP="00B76905">
      <w:pPr>
        <w:numPr>
          <w:ilvl w:val="0"/>
          <w:numId w:val="267"/>
        </w:numPr>
        <w:contextualSpacing/>
        <w:rPr>
          <w:rFonts w:eastAsia="Aptos" w:cs="Arial"/>
        </w:rPr>
      </w:pPr>
      <w:r w:rsidRPr="000C7D2C">
        <w:rPr>
          <w:rFonts w:eastAsia="Aptos" w:cs="Arial"/>
        </w:rPr>
        <w:t xml:space="preserve">Common ailments scheme – pharmacists can provide you with advice and free treatment for common minor illnesses and ailments, for example sore throats and urinary tract infections, so that you do not need to see a GP. </w:t>
      </w:r>
    </w:p>
    <w:p w14:paraId="736E2ADC" w14:textId="77777777" w:rsidR="000C7D2C" w:rsidRPr="000C7D2C" w:rsidRDefault="000C7D2C" w:rsidP="00B76905">
      <w:pPr>
        <w:numPr>
          <w:ilvl w:val="0"/>
          <w:numId w:val="267"/>
        </w:numPr>
        <w:contextualSpacing/>
        <w:rPr>
          <w:rFonts w:eastAsia="Aptos" w:cs="Arial"/>
        </w:rPr>
      </w:pPr>
      <w:r w:rsidRPr="000C7D2C">
        <w:rPr>
          <w:rFonts w:eastAsia="Aptos" w:cs="Arial"/>
        </w:rPr>
        <w:t xml:space="preserve">Needle and syringe programme – this is a substance misuse harm reduction service where pharmacists can supply sterile injecting equipment packs and dispose of used equipment </w:t>
      </w:r>
    </w:p>
    <w:p w14:paraId="646F40DE" w14:textId="77777777" w:rsidR="000C7D2C" w:rsidRPr="000C7D2C" w:rsidRDefault="000C7D2C" w:rsidP="00B76905">
      <w:pPr>
        <w:numPr>
          <w:ilvl w:val="0"/>
          <w:numId w:val="267"/>
        </w:numPr>
        <w:contextualSpacing/>
        <w:rPr>
          <w:rFonts w:eastAsia="Aptos" w:cs="Arial"/>
        </w:rPr>
      </w:pPr>
      <w:r w:rsidRPr="000C7D2C">
        <w:rPr>
          <w:rFonts w:eastAsia="Aptos" w:cs="Arial"/>
        </w:rPr>
        <w:t xml:space="preserve">Supervised administration of medicines – this service is to support people receiving treatment for substance misuse </w:t>
      </w:r>
    </w:p>
    <w:p w14:paraId="1B1863BC" w14:textId="77777777" w:rsidR="000C7D2C" w:rsidRPr="000C7D2C" w:rsidRDefault="000C7D2C" w:rsidP="00B76905">
      <w:pPr>
        <w:numPr>
          <w:ilvl w:val="0"/>
          <w:numId w:val="267"/>
        </w:numPr>
        <w:contextualSpacing/>
        <w:rPr>
          <w:rFonts w:eastAsia="Aptos" w:cs="Arial"/>
        </w:rPr>
      </w:pPr>
      <w:r w:rsidRPr="000C7D2C">
        <w:rPr>
          <w:rFonts w:eastAsia="Aptos" w:cs="Arial"/>
        </w:rPr>
        <w:t xml:space="preserve">Emergency medicines supply – this service enables people to access emergency supplies of their medication through their pharmacy </w:t>
      </w:r>
    </w:p>
    <w:p w14:paraId="11B6EA08" w14:textId="77777777" w:rsidR="000C7D2C" w:rsidRPr="000C7D2C" w:rsidRDefault="000C7D2C" w:rsidP="00B76905">
      <w:pPr>
        <w:numPr>
          <w:ilvl w:val="0"/>
          <w:numId w:val="267"/>
        </w:numPr>
        <w:contextualSpacing/>
        <w:rPr>
          <w:rFonts w:eastAsia="Aptos" w:cs="Arial"/>
        </w:rPr>
      </w:pPr>
      <w:r w:rsidRPr="000C7D2C">
        <w:rPr>
          <w:rFonts w:eastAsia="Aptos" w:cs="Arial"/>
        </w:rPr>
        <w:t>Pharmacist independent prescribing service</w:t>
      </w:r>
    </w:p>
    <w:p w14:paraId="313CFA5E" w14:textId="77777777" w:rsidR="000C7D2C" w:rsidRPr="000C7D2C" w:rsidRDefault="000C7D2C" w:rsidP="00B76905">
      <w:pPr>
        <w:numPr>
          <w:ilvl w:val="0"/>
          <w:numId w:val="267"/>
        </w:numPr>
        <w:contextualSpacing/>
        <w:rPr>
          <w:rFonts w:eastAsia="Aptos" w:cs="Arial"/>
        </w:rPr>
      </w:pPr>
      <w:r w:rsidRPr="000C7D2C">
        <w:rPr>
          <w:rFonts w:eastAsia="Aptos" w:cs="Arial"/>
        </w:rPr>
        <w:t xml:space="preserve">Covid vaccination service </w:t>
      </w:r>
    </w:p>
    <w:p w14:paraId="0B5DAA3D" w14:textId="77777777" w:rsidR="000C7D2C" w:rsidRPr="000C7D2C" w:rsidRDefault="000C7D2C" w:rsidP="00B76905">
      <w:pPr>
        <w:numPr>
          <w:ilvl w:val="0"/>
          <w:numId w:val="267"/>
        </w:numPr>
        <w:contextualSpacing/>
        <w:rPr>
          <w:rFonts w:eastAsia="Aptos" w:cs="Arial"/>
        </w:rPr>
      </w:pPr>
      <w:r w:rsidRPr="000C7D2C">
        <w:rPr>
          <w:rFonts w:eastAsia="Aptos" w:cs="Arial"/>
        </w:rPr>
        <w:t>Blood-borne virus testing</w:t>
      </w:r>
    </w:p>
    <w:p w14:paraId="2358A195" w14:textId="77777777" w:rsidR="000C7D2C" w:rsidRPr="000C7D2C" w:rsidRDefault="000C7D2C" w:rsidP="00B76905">
      <w:pPr>
        <w:numPr>
          <w:ilvl w:val="0"/>
          <w:numId w:val="267"/>
        </w:numPr>
        <w:contextualSpacing/>
        <w:rPr>
          <w:rFonts w:eastAsia="Aptos" w:cs="Arial"/>
        </w:rPr>
      </w:pPr>
      <w:r w:rsidRPr="000C7D2C">
        <w:rPr>
          <w:rFonts w:eastAsia="Aptos" w:cs="Arial"/>
        </w:rPr>
        <w:t xml:space="preserve">Care home support service </w:t>
      </w:r>
    </w:p>
    <w:p w14:paraId="1A3B862E" w14:textId="77777777" w:rsidR="000C7D2C" w:rsidRPr="000C7D2C" w:rsidRDefault="000C7D2C" w:rsidP="00B76905">
      <w:pPr>
        <w:numPr>
          <w:ilvl w:val="0"/>
          <w:numId w:val="267"/>
        </w:numPr>
        <w:contextualSpacing/>
        <w:rPr>
          <w:rFonts w:eastAsia="Aptos" w:cs="Arial"/>
        </w:rPr>
      </w:pPr>
      <w:r w:rsidRPr="000C7D2C">
        <w:rPr>
          <w:rFonts w:eastAsia="Aptos" w:cs="Arial"/>
        </w:rPr>
        <w:t>Discharge medication review</w:t>
      </w:r>
    </w:p>
    <w:p w14:paraId="78975D43" w14:textId="77777777" w:rsidR="000C7D2C" w:rsidRPr="000C7D2C" w:rsidRDefault="000C7D2C" w:rsidP="00B76905">
      <w:pPr>
        <w:numPr>
          <w:ilvl w:val="0"/>
          <w:numId w:val="267"/>
        </w:numPr>
        <w:contextualSpacing/>
        <w:rPr>
          <w:rFonts w:eastAsia="Aptos" w:cs="Arial"/>
        </w:rPr>
      </w:pPr>
      <w:r w:rsidRPr="000C7D2C">
        <w:rPr>
          <w:rFonts w:eastAsia="Aptos" w:cs="Arial"/>
        </w:rPr>
        <w:t xml:space="preserve">Inhaler review service </w:t>
      </w:r>
    </w:p>
    <w:p w14:paraId="61E1C946" w14:textId="77777777" w:rsidR="000C7D2C" w:rsidRPr="000C7D2C" w:rsidRDefault="000C7D2C" w:rsidP="00B76905">
      <w:pPr>
        <w:numPr>
          <w:ilvl w:val="0"/>
          <w:numId w:val="267"/>
        </w:numPr>
        <w:contextualSpacing/>
        <w:rPr>
          <w:rFonts w:eastAsia="Aptos" w:cs="Arial"/>
        </w:rPr>
      </w:pPr>
      <w:r w:rsidRPr="000C7D2C">
        <w:rPr>
          <w:rFonts w:eastAsia="Aptos" w:cs="Arial"/>
        </w:rPr>
        <w:t xml:space="preserve">Just in case bag service </w:t>
      </w:r>
    </w:p>
    <w:p w14:paraId="2DF37F09" w14:textId="77777777" w:rsidR="000C7D2C" w:rsidRPr="000C7D2C" w:rsidRDefault="000C7D2C" w:rsidP="00B76905">
      <w:pPr>
        <w:numPr>
          <w:ilvl w:val="0"/>
          <w:numId w:val="267"/>
        </w:numPr>
        <w:contextualSpacing/>
        <w:rPr>
          <w:rFonts w:eastAsia="Aptos" w:cs="Arial"/>
        </w:rPr>
      </w:pPr>
      <w:r w:rsidRPr="000C7D2C">
        <w:rPr>
          <w:rFonts w:eastAsia="Aptos" w:cs="Arial"/>
        </w:rPr>
        <w:t>Medicines administration record service</w:t>
      </w:r>
    </w:p>
    <w:p w14:paraId="715D58BA" w14:textId="5464C88F" w:rsidR="000C7D2C" w:rsidRPr="000C7D2C" w:rsidRDefault="000C7D2C" w:rsidP="00B76905">
      <w:pPr>
        <w:numPr>
          <w:ilvl w:val="0"/>
          <w:numId w:val="267"/>
        </w:numPr>
        <w:contextualSpacing/>
        <w:rPr>
          <w:rFonts w:eastAsia="Aptos" w:cs="Arial"/>
        </w:rPr>
      </w:pPr>
      <w:r w:rsidRPr="000C7D2C">
        <w:rPr>
          <w:rFonts w:eastAsia="Aptos" w:cs="Arial"/>
        </w:rPr>
        <w:t>Urgent Medication service</w:t>
      </w:r>
      <w:r w:rsidR="00B752FC">
        <w:rPr>
          <w:rFonts w:eastAsia="Aptos" w:cs="Arial"/>
        </w:rPr>
        <w:t xml:space="preserve"> </w:t>
      </w:r>
    </w:p>
    <w:p w14:paraId="2521DD52" w14:textId="3202F67B" w:rsidR="000C7D2C" w:rsidRPr="000C7D2C" w:rsidRDefault="000C7D2C" w:rsidP="00B76905">
      <w:pPr>
        <w:numPr>
          <w:ilvl w:val="0"/>
          <w:numId w:val="267"/>
        </w:numPr>
        <w:contextualSpacing/>
        <w:rPr>
          <w:rFonts w:eastAsia="Aptos" w:cs="Arial"/>
        </w:rPr>
      </w:pPr>
      <w:r w:rsidRPr="000C7D2C">
        <w:rPr>
          <w:rFonts w:eastAsia="Aptos" w:cs="Arial"/>
        </w:rPr>
        <w:t>No</w:t>
      </w:r>
    </w:p>
    <w:p w14:paraId="1F344F1C" w14:textId="77777777" w:rsidR="000C7D2C" w:rsidRPr="000C7D2C" w:rsidRDefault="000C7D2C" w:rsidP="009C14D5">
      <w:pPr>
        <w:rPr>
          <w:rFonts w:eastAsia="Aptos" w:cs="Arial"/>
        </w:rPr>
      </w:pPr>
    </w:p>
    <w:p w14:paraId="34CBA11E" w14:textId="77777777" w:rsidR="000C7D2C" w:rsidRPr="000C7D2C" w:rsidRDefault="000C7D2C" w:rsidP="009C14D5">
      <w:pPr>
        <w:rPr>
          <w:rFonts w:eastAsia="Aptos" w:cs="Arial"/>
        </w:rPr>
      </w:pPr>
      <w:r w:rsidRPr="000C7D2C">
        <w:rPr>
          <w:rFonts w:eastAsia="Aptos" w:cs="Arial"/>
        </w:rPr>
        <w:t xml:space="preserve">19. Have you used any of the services listed in question 18? </w:t>
      </w:r>
    </w:p>
    <w:p w14:paraId="02F0BB5E" w14:textId="77777777" w:rsidR="000C7D2C" w:rsidRPr="000C7D2C" w:rsidRDefault="000C7D2C" w:rsidP="009C14D5">
      <w:pPr>
        <w:rPr>
          <w:rFonts w:eastAsia="Aptos" w:cs="Arial"/>
        </w:rPr>
      </w:pPr>
    </w:p>
    <w:p w14:paraId="6850B2DA" w14:textId="77777777" w:rsidR="000C7D2C" w:rsidRPr="000C7D2C" w:rsidRDefault="000C7D2C" w:rsidP="00B76905">
      <w:pPr>
        <w:numPr>
          <w:ilvl w:val="0"/>
          <w:numId w:val="268"/>
        </w:numPr>
        <w:contextualSpacing/>
        <w:rPr>
          <w:rFonts w:eastAsia="Aptos" w:cs="Arial"/>
        </w:rPr>
      </w:pPr>
      <w:r w:rsidRPr="000C7D2C">
        <w:rPr>
          <w:rFonts w:eastAsia="Aptos" w:cs="Arial"/>
        </w:rPr>
        <w:t xml:space="preserve">Flu vaccinations (for those who are in one of the at risk groups) </w:t>
      </w:r>
    </w:p>
    <w:p w14:paraId="7AEA4DC1" w14:textId="77777777" w:rsidR="000C7D2C" w:rsidRPr="000C7D2C" w:rsidRDefault="000C7D2C" w:rsidP="00B76905">
      <w:pPr>
        <w:numPr>
          <w:ilvl w:val="0"/>
          <w:numId w:val="268"/>
        </w:numPr>
        <w:contextualSpacing/>
        <w:rPr>
          <w:rFonts w:eastAsia="Aptos" w:cs="Arial"/>
        </w:rPr>
      </w:pPr>
      <w:r w:rsidRPr="000C7D2C">
        <w:rPr>
          <w:rFonts w:eastAsia="Aptos" w:cs="Arial"/>
        </w:rPr>
        <w:t xml:space="preserve">Discharge medicines review service </w:t>
      </w:r>
    </w:p>
    <w:p w14:paraId="09B5DFED" w14:textId="77777777" w:rsidR="000C7D2C" w:rsidRPr="000C7D2C" w:rsidRDefault="000C7D2C" w:rsidP="00B76905">
      <w:pPr>
        <w:numPr>
          <w:ilvl w:val="0"/>
          <w:numId w:val="268"/>
        </w:numPr>
        <w:contextualSpacing/>
        <w:rPr>
          <w:rFonts w:eastAsia="Aptos" w:cs="Arial"/>
        </w:rPr>
      </w:pPr>
      <w:r w:rsidRPr="000C7D2C">
        <w:rPr>
          <w:rFonts w:eastAsia="Aptos" w:cs="Arial"/>
        </w:rPr>
        <w:t xml:space="preserve">Appliance use review service </w:t>
      </w:r>
    </w:p>
    <w:p w14:paraId="215C2F7C" w14:textId="77777777" w:rsidR="000C7D2C" w:rsidRPr="000C7D2C" w:rsidRDefault="000C7D2C" w:rsidP="00B76905">
      <w:pPr>
        <w:numPr>
          <w:ilvl w:val="0"/>
          <w:numId w:val="268"/>
        </w:numPr>
        <w:contextualSpacing/>
        <w:rPr>
          <w:rFonts w:eastAsia="Aptos" w:cs="Arial"/>
        </w:rPr>
      </w:pPr>
      <w:r w:rsidRPr="000C7D2C">
        <w:rPr>
          <w:rFonts w:eastAsia="Aptos" w:cs="Arial"/>
        </w:rPr>
        <w:t xml:space="preserve">Contraception services </w:t>
      </w:r>
    </w:p>
    <w:p w14:paraId="68967E36" w14:textId="77777777" w:rsidR="000C7D2C" w:rsidRPr="000C7D2C" w:rsidRDefault="000C7D2C" w:rsidP="00B76905">
      <w:pPr>
        <w:numPr>
          <w:ilvl w:val="0"/>
          <w:numId w:val="268"/>
        </w:numPr>
        <w:contextualSpacing/>
        <w:rPr>
          <w:rFonts w:eastAsia="Aptos" w:cs="Arial"/>
        </w:rPr>
      </w:pPr>
      <w:r w:rsidRPr="000C7D2C">
        <w:rPr>
          <w:rFonts w:eastAsia="Aptos" w:cs="Arial"/>
        </w:rPr>
        <w:t xml:space="preserve">Help to stop smoking </w:t>
      </w:r>
    </w:p>
    <w:p w14:paraId="7074D979" w14:textId="77777777" w:rsidR="000C7D2C" w:rsidRPr="000C7D2C" w:rsidRDefault="000C7D2C" w:rsidP="00B76905">
      <w:pPr>
        <w:numPr>
          <w:ilvl w:val="0"/>
          <w:numId w:val="268"/>
        </w:numPr>
        <w:contextualSpacing/>
        <w:rPr>
          <w:rFonts w:eastAsia="Aptos" w:cs="Arial"/>
        </w:rPr>
      </w:pPr>
      <w:r w:rsidRPr="000C7D2C">
        <w:rPr>
          <w:rFonts w:eastAsia="Aptos" w:cs="Arial"/>
        </w:rPr>
        <w:t xml:space="preserve">Common ailments scheme </w:t>
      </w:r>
    </w:p>
    <w:p w14:paraId="4DC7DA76" w14:textId="77777777" w:rsidR="000C7D2C" w:rsidRPr="000C7D2C" w:rsidRDefault="000C7D2C" w:rsidP="00B76905">
      <w:pPr>
        <w:numPr>
          <w:ilvl w:val="0"/>
          <w:numId w:val="268"/>
        </w:numPr>
        <w:contextualSpacing/>
        <w:rPr>
          <w:rFonts w:eastAsia="Aptos" w:cs="Arial"/>
        </w:rPr>
      </w:pPr>
      <w:r w:rsidRPr="000C7D2C">
        <w:rPr>
          <w:rFonts w:eastAsia="Aptos" w:cs="Arial"/>
        </w:rPr>
        <w:t xml:space="preserve">Needle and syringe exchange </w:t>
      </w:r>
    </w:p>
    <w:p w14:paraId="0714C31A" w14:textId="77777777" w:rsidR="000C7D2C" w:rsidRPr="000C7D2C" w:rsidRDefault="000C7D2C" w:rsidP="00B76905">
      <w:pPr>
        <w:numPr>
          <w:ilvl w:val="0"/>
          <w:numId w:val="268"/>
        </w:numPr>
        <w:contextualSpacing/>
        <w:rPr>
          <w:rFonts w:eastAsia="Aptos" w:cs="Arial"/>
        </w:rPr>
      </w:pPr>
      <w:r w:rsidRPr="000C7D2C">
        <w:rPr>
          <w:rFonts w:eastAsia="Aptos" w:cs="Arial"/>
        </w:rPr>
        <w:t xml:space="preserve">Supervised administration of medicines </w:t>
      </w:r>
    </w:p>
    <w:p w14:paraId="428D74F1" w14:textId="77777777" w:rsidR="000C7D2C" w:rsidRPr="000C7D2C" w:rsidRDefault="000C7D2C" w:rsidP="00B76905">
      <w:pPr>
        <w:numPr>
          <w:ilvl w:val="0"/>
          <w:numId w:val="268"/>
        </w:numPr>
        <w:contextualSpacing/>
        <w:rPr>
          <w:rFonts w:eastAsia="Aptos" w:cs="Arial"/>
        </w:rPr>
      </w:pPr>
      <w:r w:rsidRPr="000C7D2C">
        <w:rPr>
          <w:rFonts w:eastAsia="Aptos" w:cs="Arial"/>
        </w:rPr>
        <w:t xml:space="preserve">Emergency medicines supply </w:t>
      </w:r>
    </w:p>
    <w:p w14:paraId="47CC19BE" w14:textId="77777777" w:rsidR="000C7D2C" w:rsidRPr="000C7D2C" w:rsidRDefault="000C7D2C" w:rsidP="00B76905">
      <w:pPr>
        <w:numPr>
          <w:ilvl w:val="0"/>
          <w:numId w:val="268"/>
        </w:numPr>
        <w:contextualSpacing/>
        <w:rPr>
          <w:rFonts w:eastAsia="Aptos" w:cs="Arial"/>
        </w:rPr>
      </w:pPr>
      <w:r w:rsidRPr="000C7D2C">
        <w:rPr>
          <w:rFonts w:eastAsia="Aptos" w:cs="Arial"/>
        </w:rPr>
        <w:t>Pharmacist independent prescribing service</w:t>
      </w:r>
    </w:p>
    <w:p w14:paraId="7C045FD7" w14:textId="77777777" w:rsidR="000C7D2C" w:rsidRPr="000C7D2C" w:rsidRDefault="000C7D2C" w:rsidP="00B76905">
      <w:pPr>
        <w:numPr>
          <w:ilvl w:val="0"/>
          <w:numId w:val="268"/>
        </w:numPr>
        <w:contextualSpacing/>
        <w:rPr>
          <w:rFonts w:eastAsia="Aptos" w:cs="Arial"/>
        </w:rPr>
      </w:pPr>
      <w:r w:rsidRPr="000C7D2C">
        <w:rPr>
          <w:rFonts w:eastAsia="Aptos" w:cs="Arial"/>
        </w:rPr>
        <w:t>No</w:t>
      </w:r>
    </w:p>
    <w:p w14:paraId="4EDDC8CB" w14:textId="77777777" w:rsidR="000C7D2C" w:rsidRPr="00D0306F" w:rsidRDefault="000C7D2C" w:rsidP="009C14D5">
      <w:pPr>
        <w:rPr>
          <w:rFonts w:eastAsia="Aptos" w:cs="Arial"/>
        </w:rPr>
      </w:pPr>
    </w:p>
    <w:p w14:paraId="151FB6E2" w14:textId="77777777" w:rsidR="0089066F" w:rsidRPr="00D0306F" w:rsidRDefault="0089066F" w:rsidP="009C14D5">
      <w:pPr>
        <w:rPr>
          <w:rFonts w:eastAsia="Aptos" w:cs="Arial"/>
        </w:rPr>
      </w:pPr>
    </w:p>
    <w:p w14:paraId="31B18614" w14:textId="77777777" w:rsidR="0089066F" w:rsidRPr="000C7D2C" w:rsidRDefault="0089066F" w:rsidP="009C14D5">
      <w:pPr>
        <w:rPr>
          <w:rFonts w:eastAsia="Aptos" w:cs="Arial"/>
        </w:rPr>
      </w:pPr>
    </w:p>
    <w:p w14:paraId="2D6D002B" w14:textId="77777777" w:rsidR="000C7D2C" w:rsidRPr="000C7D2C" w:rsidRDefault="000C7D2C" w:rsidP="009C14D5">
      <w:pPr>
        <w:rPr>
          <w:rFonts w:eastAsia="Aptos" w:cs="Arial"/>
        </w:rPr>
      </w:pPr>
      <w:r w:rsidRPr="000C7D2C">
        <w:rPr>
          <w:rFonts w:eastAsia="Aptos" w:cs="Arial"/>
        </w:rPr>
        <w:lastRenderedPageBreak/>
        <w:t xml:space="preserve">20. Is there anything else you would like to tell us about your experience of your local pharmacy services? </w:t>
      </w:r>
    </w:p>
    <w:p w14:paraId="49AC4517" w14:textId="77777777" w:rsidR="000C7D2C" w:rsidRPr="000C7D2C" w:rsidRDefault="000C7D2C" w:rsidP="009C14D5">
      <w:pPr>
        <w:rPr>
          <w:rFonts w:eastAsia="Aptos" w:cs="Arial"/>
        </w:rPr>
      </w:pPr>
    </w:p>
    <w:p w14:paraId="70E36A87" w14:textId="77777777" w:rsidR="000C7D2C" w:rsidRPr="000C7D2C" w:rsidRDefault="000C7D2C" w:rsidP="009C14D5">
      <w:pPr>
        <w:rPr>
          <w:rFonts w:eastAsia="Aptos" w:cs="Arial"/>
        </w:rPr>
      </w:pPr>
      <w:r w:rsidRPr="000C7D2C">
        <w:rPr>
          <w:rFonts w:eastAsia="Aptos" w:cs="Arial"/>
        </w:rPr>
        <w:t>[Text box]</w:t>
      </w:r>
    </w:p>
    <w:p w14:paraId="5F7AC1D0" w14:textId="77777777" w:rsidR="000C7D2C" w:rsidRPr="000C7D2C" w:rsidRDefault="000C7D2C" w:rsidP="009C14D5">
      <w:pPr>
        <w:rPr>
          <w:rFonts w:eastAsia="Aptos" w:cs="Arial"/>
        </w:rPr>
      </w:pPr>
    </w:p>
    <w:p w14:paraId="036A43AC" w14:textId="77777777" w:rsidR="000C7D2C" w:rsidRPr="000C7D2C" w:rsidRDefault="000C7D2C" w:rsidP="009C14D5">
      <w:pPr>
        <w:rPr>
          <w:rFonts w:eastAsia="Aptos" w:cs="Arial"/>
        </w:rPr>
      </w:pPr>
      <w:r w:rsidRPr="000C7D2C">
        <w:rPr>
          <w:rFonts w:eastAsia="Aptos" w:cs="Arial"/>
        </w:rPr>
        <w:t xml:space="preserve">21. Are there any barriers to you accessing services at your pharmacy that you have not mentioned? </w:t>
      </w:r>
    </w:p>
    <w:p w14:paraId="396079A4" w14:textId="77777777" w:rsidR="000C7D2C" w:rsidRPr="000C7D2C" w:rsidRDefault="000C7D2C" w:rsidP="009C14D5">
      <w:pPr>
        <w:rPr>
          <w:rFonts w:eastAsia="Aptos" w:cs="Arial"/>
        </w:rPr>
      </w:pPr>
    </w:p>
    <w:p w14:paraId="45275D9F" w14:textId="77777777" w:rsidR="000C7D2C" w:rsidRPr="000C7D2C" w:rsidRDefault="000C7D2C" w:rsidP="009C14D5">
      <w:pPr>
        <w:rPr>
          <w:rFonts w:eastAsia="Aptos" w:cs="Arial"/>
        </w:rPr>
      </w:pPr>
      <w:r w:rsidRPr="000C7D2C">
        <w:rPr>
          <w:rFonts w:eastAsia="Aptos" w:cs="Arial"/>
        </w:rPr>
        <w:t>[Text box]</w:t>
      </w:r>
    </w:p>
    <w:p w14:paraId="123F7CD3" w14:textId="77777777" w:rsidR="000C7D2C" w:rsidRPr="000C7D2C" w:rsidRDefault="000C7D2C" w:rsidP="009C14D5">
      <w:pPr>
        <w:rPr>
          <w:rFonts w:eastAsia="Aptos" w:cs="Arial"/>
        </w:rPr>
      </w:pPr>
    </w:p>
    <w:p w14:paraId="28A458E3" w14:textId="77777777" w:rsidR="000C7D2C" w:rsidRPr="000C7D2C" w:rsidRDefault="000C7D2C" w:rsidP="009C14D5">
      <w:pPr>
        <w:rPr>
          <w:rFonts w:eastAsia="Aptos" w:cs="Arial"/>
          <w:b/>
          <w:bCs/>
        </w:rPr>
      </w:pPr>
      <w:r w:rsidRPr="000C7D2C">
        <w:rPr>
          <w:rFonts w:eastAsia="Aptos" w:cs="Arial"/>
          <w:b/>
          <w:bCs/>
        </w:rPr>
        <w:t>Equality monitoring</w:t>
      </w:r>
    </w:p>
    <w:p w14:paraId="43F2B2B7" w14:textId="77777777" w:rsidR="000C7D2C" w:rsidRPr="000C7D2C" w:rsidRDefault="000C7D2C" w:rsidP="009C14D5">
      <w:pPr>
        <w:rPr>
          <w:rFonts w:eastAsia="Aptos" w:cs="Arial"/>
        </w:rPr>
      </w:pPr>
    </w:p>
    <w:p w14:paraId="50BEDD70" w14:textId="77777777" w:rsidR="000C7D2C" w:rsidRPr="000C7D2C" w:rsidRDefault="000C7D2C" w:rsidP="009C14D5">
      <w:pPr>
        <w:rPr>
          <w:rFonts w:eastAsia="Aptos" w:cs="Arial"/>
        </w:rPr>
      </w:pPr>
      <w:r w:rsidRPr="000C7D2C">
        <w:rPr>
          <w:rFonts w:eastAsia="Aptos" w:cs="Arial"/>
        </w:rPr>
        <w:t xml:space="preserve">In order to monitor the effectiveness of our Equality Policy and practice, and to ensure our services are delivered in a way that is fair to all and free from bias, we would appreciate your cooperation in providing, on an entirely voluntary basis, the information as requested below. The information is confidential and anonymous and will be used solely for statistical monitoring purposes. It is separated from any correspondence received from you and will be securely destroyed after we have captured the information. </w:t>
      </w:r>
    </w:p>
    <w:p w14:paraId="4541EC0D" w14:textId="77777777" w:rsidR="000C7D2C" w:rsidRPr="000C7D2C" w:rsidRDefault="000C7D2C" w:rsidP="009C14D5">
      <w:pPr>
        <w:rPr>
          <w:rFonts w:eastAsia="Aptos" w:cs="Arial"/>
        </w:rPr>
      </w:pPr>
    </w:p>
    <w:p w14:paraId="0D098AD0" w14:textId="77777777" w:rsidR="000C7D2C" w:rsidRPr="000C7D2C" w:rsidRDefault="000C7D2C" w:rsidP="009C14D5">
      <w:pPr>
        <w:rPr>
          <w:rFonts w:eastAsia="Aptos" w:cs="Arial"/>
        </w:rPr>
      </w:pPr>
      <w:r w:rsidRPr="000C7D2C">
        <w:rPr>
          <w:rFonts w:eastAsia="Aptos" w:cs="Arial"/>
        </w:rPr>
        <w:t xml:space="preserve">In submitting this form, I hereby acknowledge and give explicit consent to SB UHB to use my personal data, including all sensitive equality data (e.g. sexual orientation/ gender reassignment) freely provided by me for the purposes of lawfully monitoring and reporting to comply with equality legislation. </w:t>
      </w:r>
    </w:p>
    <w:p w14:paraId="421F0A1B" w14:textId="77777777" w:rsidR="000C7D2C" w:rsidRPr="000C7D2C" w:rsidRDefault="000C7D2C" w:rsidP="009C14D5">
      <w:pPr>
        <w:rPr>
          <w:rFonts w:eastAsia="Aptos" w:cs="Arial"/>
        </w:rPr>
      </w:pPr>
    </w:p>
    <w:p w14:paraId="3BD37EA8" w14:textId="77777777" w:rsidR="000C7D2C" w:rsidRPr="000C7D2C" w:rsidRDefault="000C7D2C" w:rsidP="009C14D5">
      <w:pPr>
        <w:rPr>
          <w:rFonts w:eastAsia="Aptos" w:cs="Arial"/>
        </w:rPr>
      </w:pPr>
      <w:r w:rsidRPr="000C7D2C">
        <w:rPr>
          <w:rFonts w:eastAsia="Aptos" w:cs="Arial"/>
        </w:rPr>
        <w:t>22. Age - please indicate your age range by ticking the appropriate box</w:t>
      </w:r>
    </w:p>
    <w:p w14:paraId="3BAECC7F" w14:textId="77777777" w:rsidR="000C7D2C" w:rsidRPr="000C7D2C" w:rsidRDefault="000C7D2C" w:rsidP="009C14D5">
      <w:pPr>
        <w:rPr>
          <w:rFonts w:eastAsia="Aptos" w:cs="Arial"/>
        </w:rPr>
      </w:pPr>
    </w:p>
    <w:p w14:paraId="3BE7F955" w14:textId="77777777" w:rsidR="000C7D2C" w:rsidRPr="000C7D2C" w:rsidRDefault="000C7D2C" w:rsidP="00B76905">
      <w:pPr>
        <w:numPr>
          <w:ilvl w:val="0"/>
          <w:numId w:val="269"/>
        </w:numPr>
        <w:contextualSpacing/>
        <w:rPr>
          <w:rFonts w:eastAsia="Aptos" w:cs="Arial"/>
        </w:rPr>
      </w:pPr>
      <w:r w:rsidRPr="000C7D2C">
        <w:rPr>
          <w:rFonts w:eastAsia="Aptos" w:cs="Arial"/>
        </w:rPr>
        <w:t xml:space="preserve">0-15 years </w:t>
      </w:r>
    </w:p>
    <w:p w14:paraId="4D54F983" w14:textId="77777777" w:rsidR="000C7D2C" w:rsidRPr="000C7D2C" w:rsidRDefault="000C7D2C" w:rsidP="00B76905">
      <w:pPr>
        <w:numPr>
          <w:ilvl w:val="0"/>
          <w:numId w:val="269"/>
        </w:numPr>
        <w:contextualSpacing/>
        <w:rPr>
          <w:rFonts w:eastAsia="Aptos" w:cs="Arial"/>
        </w:rPr>
      </w:pPr>
      <w:r w:rsidRPr="000C7D2C">
        <w:rPr>
          <w:rFonts w:eastAsia="Aptos" w:cs="Arial"/>
        </w:rPr>
        <w:t xml:space="preserve">16-24 years </w:t>
      </w:r>
    </w:p>
    <w:p w14:paraId="4FF4E2F1" w14:textId="77777777" w:rsidR="000C7D2C" w:rsidRPr="000C7D2C" w:rsidRDefault="000C7D2C" w:rsidP="00B76905">
      <w:pPr>
        <w:numPr>
          <w:ilvl w:val="0"/>
          <w:numId w:val="269"/>
        </w:numPr>
        <w:contextualSpacing/>
        <w:rPr>
          <w:rFonts w:eastAsia="Aptos" w:cs="Arial"/>
        </w:rPr>
      </w:pPr>
      <w:r w:rsidRPr="000C7D2C">
        <w:rPr>
          <w:rFonts w:eastAsia="Aptos" w:cs="Arial"/>
        </w:rPr>
        <w:t xml:space="preserve">25-34 years </w:t>
      </w:r>
    </w:p>
    <w:p w14:paraId="00B314EA" w14:textId="77777777" w:rsidR="000C7D2C" w:rsidRPr="000C7D2C" w:rsidRDefault="000C7D2C" w:rsidP="00B76905">
      <w:pPr>
        <w:numPr>
          <w:ilvl w:val="0"/>
          <w:numId w:val="269"/>
        </w:numPr>
        <w:contextualSpacing/>
        <w:rPr>
          <w:rFonts w:eastAsia="Aptos" w:cs="Arial"/>
        </w:rPr>
      </w:pPr>
      <w:r w:rsidRPr="000C7D2C">
        <w:rPr>
          <w:rFonts w:eastAsia="Aptos" w:cs="Arial"/>
        </w:rPr>
        <w:t xml:space="preserve">35-44 years </w:t>
      </w:r>
    </w:p>
    <w:p w14:paraId="713614EB" w14:textId="77777777" w:rsidR="000C7D2C" w:rsidRPr="000C7D2C" w:rsidRDefault="000C7D2C" w:rsidP="00B76905">
      <w:pPr>
        <w:numPr>
          <w:ilvl w:val="0"/>
          <w:numId w:val="269"/>
        </w:numPr>
        <w:contextualSpacing/>
        <w:rPr>
          <w:rFonts w:eastAsia="Aptos" w:cs="Arial"/>
        </w:rPr>
      </w:pPr>
      <w:r w:rsidRPr="000C7D2C">
        <w:rPr>
          <w:rFonts w:eastAsia="Aptos" w:cs="Arial"/>
        </w:rPr>
        <w:t xml:space="preserve">45-54 years </w:t>
      </w:r>
    </w:p>
    <w:p w14:paraId="42CD7940" w14:textId="77777777" w:rsidR="000C7D2C" w:rsidRPr="000C7D2C" w:rsidRDefault="000C7D2C" w:rsidP="00B76905">
      <w:pPr>
        <w:numPr>
          <w:ilvl w:val="0"/>
          <w:numId w:val="269"/>
        </w:numPr>
        <w:contextualSpacing/>
        <w:rPr>
          <w:rFonts w:eastAsia="Aptos" w:cs="Arial"/>
        </w:rPr>
      </w:pPr>
      <w:r w:rsidRPr="000C7D2C">
        <w:rPr>
          <w:rFonts w:eastAsia="Aptos" w:cs="Arial"/>
        </w:rPr>
        <w:t xml:space="preserve">55-64 years </w:t>
      </w:r>
    </w:p>
    <w:p w14:paraId="5FB1779F" w14:textId="77777777" w:rsidR="000C7D2C" w:rsidRPr="000C7D2C" w:rsidRDefault="000C7D2C" w:rsidP="00B76905">
      <w:pPr>
        <w:numPr>
          <w:ilvl w:val="0"/>
          <w:numId w:val="269"/>
        </w:numPr>
        <w:contextualSpacing/>
        <w:rPr>
          <w:rFonts w:eastAsia="Aptos" w:cs="Arial"/>
        </w:rPr>
      </w:pPr>
      <w:r w:rsidRPr="000C7D2C">
        <w:rPr>
          <w:rFonts w:eastAsia="Aptos" w:cs="Arial"/>
        </w:rPr>
        <w:t xml:space="preserve">65-74 years </w:t>
      </w:r>
    </w:p>
    <w:p w14:paraId="3646F3C4" w14:textId="77777777" w:rsidR="000C7D2C" w:rsidRPr="000C7D2C" w:rsidRDefault="000C7D2C" w:rsidP="00B76905">
      <w:pPr>
        <w:numPr>
          <w:ilvl w:val="0"/>
          <w:numId w:val="269"/>
        </w:numPr>
        <w:contextualSpacing/>
        <w:rPr>
          <w:rFonts w:eastAsia="Aptos" w:cs="Arial"/>
        </w:rPr>
      </w:pPr>
      <w:r w:rsidRPr="000C7D2C">
        <w:rPr>
          <w:rFonts w:eastAsia="Aptos" w:cs="Arial"/>
        </w:rPr>
        <w:t>75 and above</w:t>
      </w:r>
    </w:p>
    <w:p w14:paraId="5B027A59" w14:textId="77777777" w:rsidR="000C7D2C" w:rsidRPr="000C7D2C" w:rsidRDefault="000C7D2C" w:rsidP="009C14D5">
      <w:pPr>
        <w:rPr>
          <w:rFonts w:eastAsia="Aptos" w:cs="Arial"/>
        </w:rPr>
      </w:pPr>
    </w:p>
    <w:p w14:paraId="091C8180" w14:textId="77777777" w:rsidR="000C7D2C" w:rsidRPr="000C7D2C" w:rsidRDefault="000C7D2C" w:rsidP="009C14D5">
      <w:pPr>
        <w:rPr>
          <w:rFonts w:eastAsia="Aptos" w:cs="Arial"/>
        </w:rPr>
      </w:pPr>
      <w:r w:rsidRPr="000C7D2C">
        <w:rPr>
          <w:rFonts w:eastAsia="Aptos" w:cs="Arial"/>
        </w:rPr>
        <w:t xml:space="preserve">23. Gender identity - at birth were you described as: </w:t>
      </w:r>
    </w:p>
    <w:p w14:paraId="25A0C4D2" w14:textId="77777777" w:rsidR="000C7D2C" w:rsidRPr="000C7D2C" w:rsidRDefault="000C7D2C" w:rsidP="009C14D5">
      <w:pPr>
        <w:rPr>
          <w:rFonts w:eastAsia="Aptos" w:cs="Arial"/>
        </w:rPr>
      </w:pPr>
    </w:p>
    <w:p w14:paraId="23AB8468" w14:textId="77777777" w:rsidR="000C7D2C" w:rsidRPr="000C7D2C" w:rsidRDefault="000C7D2C" w:rsidP="00B76905">
      <w:pPr>
        <w:numPr>
          <w:ilvl w:val="0"/>
          <w:numId w:val="270"/>
        </w:numPr>
        <w:contextualSpacing/>
        <w:rPr>
          <w:rFonts w:eastAsia="Aptos" w:cs="Arial"/>
        </w:rPr>
      </w:pPr>
      <w:r w:rsidRPr="000C7D2C">
        <w:rPr>
          <w:rFonts w:eastAsia="Aptos" w:cs="Arial"/>
        </w:rPr>
        <w:t xml:space="preserve">Male </w:t>
      </w:r>
    </w:p>
    <w:p w14:paraId="060354A3" w14:textId="77777777" w:rsidR="000C7D2C" w:rsidRPr="000C7D2C" w:rsidRDefault="000C7D2C" w:rsidP="00B76905">
      <w:pPr>
        <w:numPr>
          <w:ilvl w:val="0"/>
          <w:numId w:val="270"/>
        </w:numPr>
        <w:contextualSpacing/>
        <w:rPr>
          <w:rFonts w:eastAsia="Aptos" w:cs="Arial"/>
        </w:rPr>
      </w:pPr>
      <w:r w:rsidRPr="000C7D2C">
        <w:rPr>
          <w:rFonts w:eastAsia="Aptos" w:cs="Arial"/>
        </w:rPr>
        <w:t xml:space="preserve">Female </w:t>
      </w:r>
    </w:p>
    <w:p w14:paraId="48D2B64C" w14:textId="77777777" w:rsidR="000C7D2C" w:rsidRPr="000C7D2C" w:rsidRDefault="000C7D2C" w:rsidP="00B76905">
      <w:pPr>
        <w:numPr>
          <w:ilvl w:val="0"/>
          <w:numId w:val="270"/>
        </w:numPr>
        <w:contextualSpacing/>
        <w:rPr>
          <w:rFonts w:eastAsia="Aptos" w:cs="Arial"/>
        </w:rPr>
      </w:pPr>
      <w:r w:rsidRPr="000C7D2C">
        <w:rPr>
          <w:rFonts w:eastAsia="Aptos" w:cs="Arial"/>
        </w:rPr>
        <w:t xml:space="preserve">Intersex </w:t>
      </w:r>
    </w:p>
    <w:p w14:paraId="56A86D94" w14:textId="77777777" w:rsidR="000C7D2C" w:rsidRPr="000C7D2C" w:rsidRDefault="000C7D2C" w:rsidP="00B76905">
      <w:pPr>
        <w:numPr>
          <w:ilvl w:val="0"/>
          <w:numId w:val="270"/>
        </w:numPr>
        <w:contextualSpacing/>
        <w:rPr>
          <w:rFonts w:eastAsia="Aptos" w:cs="Arial"/>
        </w:rPr>
      </w:pPr>
      <w:r w:rsidRPr="000C7D2C">
        <w:rPr>
          <w:rFonts w:eastAsia="Aptos" w:cs="Arial"/>
        </w:rPr>
        <w:t xml:space="preserve">Prefer not to say </w:t>
      </w:r>
    </w:p>
    <w:p w14:paraId="1680BD28" w14:textId="77777777" w:rsidR="000C7D2C" w:rsidRPr="000C7D2C" w:rsidRDefault="000C7D2C" w:rsidP="00B76905">
      <w:pPr>
        <w:numPr>
          <w:ilvl w:val="0"/>
          <w:numId w:val="270"/>
        </w:numPr>
        <w:contextualSpacing/>
        <w:rPr>
          <w:rFonts w:eastAsia="Aptos" w:cs="Arial"/>
        </w:rPr>
      </w:pPr>
      <w:r w:rsidRPr="000C7D2C">
        <w:rPr>
          <w:rFonts w:eastAsia="Aptos" w:cs="Arial"/>
        </w:rPr>
        <w:t xml:space="preserve">Other (please state): [text box] </w:t>
      </w:r>
    </w:p>
    <w:p w14:paraId="63E55AB5" w14:textId="77777777" w:rsidR="000C7D2C" w:rsidRPr="000C7D2C" w:rsidRDefault="000C7D2C" w:rsidP="009C14D5">
      <w:pPr>
        <w:rPr>
          <w:rFonts w:eastAsia="Aptos" w:cs="Arial"/>
        </w:rPr>
      </w:pPr>
    </w:p>
    <w:p w14:paraId="70D5ADEA" w14:textId="77777777" w:rsidR="000C7D2C" w:rsidRPr="000C7D2C" w:rsidRDefault="000C7D2C" w:rsidP="009C14D5">
      <w:pPr>
        <w:rPr>
          <w:rFonts w:eastAsia="Aptos" w:cs="Arial"/>
        </w:rPr>
      </w:pPr>
      <w:r w:rsidRPr="000C7D2C">
        <w:rPr>
          <w:rFonts w:eastAsia="Aptos" w:cs="Arial"/>
        </w:rPr>
        <w:t xml:space="preserve">24. Gender identity - which of the following describes how you think of yourself </w:t>
      </w:r>
    </w:p>
    <w:p w14:paraId="507DD3E1" w14:textId="77777777" w:rsidR="000C7D2C" w:rsidRPr="000C7D2C" w:rsidRDefault="000C7D2C" w:rsidP="009C14D5">
      <w:pPr>
        <w:rPr>
          <w:rFonts w:eastAsia="Aptos" w:cs="Arial"/>
        </w:rPr>
      </w:pPr>
    </w:p>
    <w:p w14:paraId="063651E8" w14:textId="77777777" w:rsidR="000C7D2C" w:rsidRPr="000C7D2C" w:rsidRDefault="000C7D2C" w:rsidP="00B76905">
      <w:pPr>
        <w:numPr>
          <w:ilvl w:val="0"/>
          <w:numId w:val="271"/>
        </w:numPr>
        <w:contextualSpacing/>
        <w:rPr>
          <w:rFonts w:eastAsia="Aptos" w:cs="Arial"/>
        </w:rPr>
      </w:pPr>
      <w:r w:rsidRPr="000C7D2C">
        <w:rPr>
          <w:rFonts w:eastAsia="Aptos" w:cs="Arial"/>
        </w:rPr>
        <w:t xml:space="preserve">Male </w:t>
      </w:r>
    </w:p>
    <w:p w14:paraId="6CF0EBB9" w14:textId="77777777" w:rsidR="000C7D2C" w:rsidRPr="000C7D2C" w:rsidRDefault="000C7D2C" w:rsidP="00B76905">
      <w:pPr>
        <w:numPr>
          <w:ilvl w:val="0"/>
          <w:numId w:val="271"/>
        </w:numPr>
        <w:contextualSpacing/>
        <w:rPr>
          <w:rFonts w:eastAsia="Aptos" w:cs="Arial"/>
        </w:rPr>
      </w:pPr>
      <w:r w:rsidRPr="000C7D2C">
        <w:rPr>
          <w:rFonts w:eastAsia="Aptos" w:cs="Arial"/>
        </w:rPr>
        <w:t xml:space="preserve">Female </w:t>
      </w:r>
    </w:p>
    <w:p w14:paraId="71900C1E" w14:textId="77777777" w:rsidR="000C7D2C" w:rsidRPr="000C7D2C" w:rsidRDefault="000C7D2C" w:rsidP="00B76905">
      <w:pPr>
        <w:numPr>
          <w:ilvl w:val="0"/>
          <w:numId w:val="271"/>
        </w:numPr>
        <w:contextualSpacing/>
        <w:rPr>
          <w:rFonts w:eastAsia="Aptos" w:cs="Arial"/>
        </w:rPr>
      </w:pPr>
      <w:r w:rsidRPr="000C7D2C">
        <w:rPr>
          <w:rFonts w:eastAsia="Aptos" w:cs="Arial"/>
        </w:rPr>
        <w:t xml:space="preserve">Intersex </w:t>
      </w:r>
    </w:p>
    <w:p w14:paraId="3E2DDB1A" w14:textId="77777777" w:rsidR="000C7D2C" w:rsidRPr="000C7D2C" w:rsidRDefault="000C7D2C" w:rsidP="00B76905">
      <w:pPr>
        <w:numPr>
          <w:ilvl w:val="0"/>
          <w:numId w:val="271"/>
        </w:numPr>
        <w:contextualSpacing/>
        <w:rPr>
          <w:rFonts w:eastAsia="Aptos" w:cs="Arial"/>
        </w:rPr>
      </w:pPr>
      <w:r w:rsidRPr="000C7D2C">
        <w:rPr>
          <w:rFonts w:eastAsia="Aptos" w:cs="Arial"/>
        </w:rPr>
        <w:lastRenderedPageBreak/>
        <w:t xml:space="preserve">Prefer not to say </w:t>
      </w:r>
    </w:p>
    <w:p w14:paraId="003B4632" w14:textId="77777777" w:rsidR="000C7D2C" w:rsidRPr="000C7D2C" w:rsidRDefault="000C7D2C" w:rsidP="00B76905">
      <w:pPr>
        <w:numPr>
          <w:ilvl w:val="0"/>
          <w:numId w:val="271"/>
        </w:numPr>
        <w:contextualSpacing/>
        <w:rPr>
          <w:rFonts w:eastAsia="Aptos" w:cs="Arial"/>
        </w:rPr>
      </w:pPr>
      <w:r w:rsidRPr="000C7D2C">
        <w:rPr>
          <w:rFonts w:eastAsia="Aptos" w:cs="Arial"/>
        </w:rPr>
        <w:t xml:space="preserve">Other (please state): [text box] </w:t>
      </w:r>
    </w:p>
    <w:p w14:paraId="7D00A628" w14:textId="77777777" w:rsidR="000C7D2C" w:rsidRPr="000C7D2C" w:rsidRDefault="000C7D2C" w:rsidP="009C14D5">
      <w:pPr>
        <w:rPr>
          <w:rFonts w:eastAsia="Aptos" w:cs="Arial"/>
        </w:rPr>
      </w:pPr>
    </w:p>
    <w:p w14:paraId="1CF33D01" w14:textId="77777777" w:rsidR="000C7D2C" w:rsidRPr="000C7D2C" w:rsidRDefault="000C7D2C" w:rsidP="009C14D5">
      <w:pPr>
        <w:rPr>
          <w:rFonts w:eastAsia="Aptos" w:cs="Arial"/>
        </w:rPr>
      </w:pPr>
      <w:r w:rsidRPr="000C7D2C">
        <w:rPr>
          <w:rFonts w:eastAsia="Aptos" w:cs="Arial"/>
        </w:rPr>
        <w:t xml:space="preserve">25. Pregnancy and maternity - are you currently pregnant, or have you been pregnant in the last year? </w:t>
      </w:r>
    </w:p>
    <w:p w14:paraId="292E827C" w14:textId="77777777" w:rsidR="000C7D2C" w:rsidRPr="000C7D2C" w:rsidRDefault="000C7D2C" w:rsidP="009C14D5">
      <w:pPr>
        <w:rPr>
          <w:rFonts w:eastAsia="Aptos" w:cs="Arial"/>
        </w:rPr>
      </w:pPr>
    </w:p>
    <w:p w14:paraId="7850A596" w14:textId="77777777" w:rsidR="000C7D2C" w:rsidRPr="000C7D2C" w:rsidRDefault="000C7D2C" w:rsidP="00B76905">
      <w:pPr>
        <w:numPr>
          <w:ilvl w:val="0"/>
          <w:numId w:val="272"/>
        </w:numPr>
        <w:contextualSpacing/>
        <w:rPr>
          <w:rFonts w:eastAsia="Aptos" w:cs="Arial"/>
        </w:rPr>
      </w:pPr>
      <w:r w:rsidRPr="000C7D2C">
        <w:rPr>
          <w:rFonts w:eastAsia="Aptos" w:cs="Arial"/>
        </w:rPr>
        <w:t xml:space="preserve">Yes </w:t>
      </w:r>
    </w:p>
    <w:p w14:paraId="48ED63D4" w14:textId="77777777" w:rsidR="000C7D2C" w:rsidRPr="000C7D2C" w:rsidRDefault="000C7D2C" w:rsidP="00B76905">
      <w:pPr>
        <w:numPr>
          <w:ilvl w:val="0"/>
          <w:numId w:val="272"/>
        </w:numPr>
        <w:contextualSpacing/>
        <w:rPr>
          <w:rFonts w:eastAsia="Aptos" w:cs="Arial"/>
        </w:rPr>
      </w:pPr>
      <w:r w:rsidRPr="000C7D2C">
        <w:rPr>
          <w:rFonts w:eastAsia="Aptos" w:cs="Arial"/>
        </w:rPr>
        <w:t xml:space="preserve">No </w:t>
      </w:r>
    </w:p>
    <w:p w14:paraId="561B8B10" w14:textId="77777777" w:rsidR="000C7D2C" w:rsidRPr="000C7D2C" w:rsidRDefault="000C7D2C" w:rsidP="00B76905">
      <w:pPr>
        <w:numPr>
          <w:ilvl w:val="0"/>
          <w:numId w:val="272"/>
        </w:numPr>
        <w:contextualSpacing/>
        <w:rPr>
          <w:rFonts w:eastAsia="Aptos" w:cs="Arial"/>
        </w:rPr>
      </w:pPr>
      <w:r w:rsidRPr="000C7D2C">
        <w:rPr>
          <w:rFonts w:eastAsia="Aptos" w:cs="Arial"/>
        </w:rPr>
        <w:t xml:space="preserve">Prefer not to say </w:t>
      </w:r>
    </w:p>
    <w:p w14:paraId="79B2D6DA" w14:textId="77777777" w:rsidR="000C7D2C" w:rsidRPr="000C7D2C" w:rsidRDefault="000C7D2C" w:rsidP="009C14D5">
      <w:pPr>
        <w:rPr>
          <w:rFonts w:eastAsia="Aptos" w:cs="Arial"/>
        </w:rPr>
      </w:pPr>
    </w:p>
    <w:p w14:paraId="5CE95491" w14:textId="77777777" w:rsidR="000C7D2C" w:rsidRPr="000C7D2C" w:rsidRDefault="000C7D2C" w:rsidP="009C14D5">
      <w:pPr>
        <w:rPr>
          <w:rFonts w:eastAsia="Aptos" w:cs="Arial"/>
        </w:rPr>
      </w:pPr>
      <w:r w:rsidRPr="000C7D2C">
        <w:rPr>
          <w:rFonts w:eastAsia="Aptos" w:cs="Arial"/>
        </w:rPr>
        <w:t xml:space="preserve">26. Pregnancy and maternity: Have you taken maternity leave within the past year? </w:t>
      </w:r>
    </w:p>
    <w:p w14:paraId="7E5E23C0" w14:textId="77777777" w:rsidR="000C7D2C" w:rsidRPr="000C7D2C" w:rsidRDefault="000C7D2C" w:rsidP="009C14D5">
      <w:pPr>
        <w:rPr>
          <w:rFonts w:eastAsia="Aptos" w:cs="Arial"/>
        </w:rPr>
      </w:pPr>
    </w:p>
    <w:p w14:paraId="7C8E7E39" w14:textId="77777777" w:rsidR="000C7D2C" w:rsidRPr="000C7D2C" w:rsidRDefault="000C7D2C" w:rsidP="00B76905">
      <w:pPr>
        <w:numPr>
          <w:ilvl w:val="0"/>
          <w:numId w:val="272"/>
        </w:numPr>
        <w:contextualSpacing/>
        <w:rPr>
          <w:rFonts w:eastAsia="Aptos" w:cs="Arial"/>
        </w:rPr>
      </w:pPr>
      <w:r w:rsidRPr="000C7D2C">
        <w:rPr>
          <w:rFonts w:eastAsia="Aptos" w:cs="Arial"/>
        </w:rPr>
        <w:t xml:space="preserve">Yes </w:t>
      </w:r>
    </w:p>
    <w:p w14:paraId="018D4C1E" w14:textId="77777777" w:rsidR="000C7D2C" w:rsidRPr="000C7D2C" w:rsidRDefault="000C7D2C" w:rsidP="00B76905">
      <w:pPr>
        <w:numPr>
          <w:ilvl w:val="0"/>
          <w:numId w:val="272"/>
        </w:numPr>
        <w:contextualSpacing/>
        <w:rPr>
          <w:rFonts w:eastAsia="Aptos" w:cs="Arial"/>
        </w:rPr>
      </w:pPr>
      <w:r w:rsidRPr="000C7D2C">
        <w:rPr>
          <w:rFonts w:eastAsia="Aptos" w:cs="Arial"/>
        </w:rPr>
        <w:t xml:space="preserve">No </w:t>
      </w:r>
    </w:p>
    <w:p w14:paraId="24ADD4AC" w14:textId="77777777" w:rsidR="000C7D2C" w:rsidRPr="000C7D2C" w:rsidRDefault="000C7D2C" w:rsidP="00B76905">
      <w:pPr>
        <w:numPr>
          <w:ilvl w:val="0"/>
          <w:numId w:val="272"/>
        </w:numPr>
        <w:contextualSpacing/>
        <w:rPr>
          <w:rFonts w:eastAsia="Aptos" w:cs="Arial"/>
        </w:rPr>
      </w:pPr>
      <w:r w:rsidRPr="000C7D2C">
        <w:rPr>
          <w:rFonts w:eastAsia="Aptos" w:cs="Arial"/>
        </w:rPr>
        <w:t xml:space="preserve">Prefer not to say </w:t>
      </w:r>
    </w:p>
    <w:p w14:paraId="3BC47FAF" w14:textId="77777777" w:rsidR="000C7D2C" w:rsidRPr="000C7D2C" w:rsidRDefault="000C7D2C" w:rsidP="009C14D5">
      <w:pPr>
        <w:rPr>
          <w:rFonts w:eastAsia="Aptos" w:cs="Arial"/>
        </w:rPr>
      </w:pPr>
    </w:p>
    <w:p w14:paraId="7C634090" w14:textId="77777777" w:rsidR="000C7D2C" w:rsidRPr="000C7D2C" w:rsidRDefault="000C7D2C" w:rsidP="009C14D5">
      <w:pPr>
        <w:rPr>
          <w:rFonts w:eastAsia="Aptos" w:cs="Arial"/>
        </w:rPr>
      </w:pPr>
      <w:r w:rsidRPr="000C7D2C">
        <w:rPr>
          <w:rFonts w:eastAsia="Aptos" w:cs="Arial"/>
        </w:rPr>
        <w:t xml:space="preserve">27. National identity - how would you describe your national identity? </w:t>
      </w:r>
    </w:p>
    <w:p w14:paraId="06B0D0B3" w14:textId="77777777" w:rsidR="000C7D2C" w:rsidRPr="000C7D2C" w:rsidRDefault="000C7D2C" w:rsidP="009C14D5">
      <w:pPr>
        <w:rPr>
          <w:rFonts w:eastAsia="Aptos" w:cs="Arial"/>
        </w:rPr>
      </w:pPr>
    </w:p>
    <w:p w14:paraId="48430438" w14:textId="77777777" w:rsidR="000C7D2C" w:rsidRPr="000C7D2C" w:rsidRDefault="000C7D2C" w:rsidP="00B76905">
      <w:pPr>
        <w:numPr>
          <w:ilvl w:val="0"/>
          <w:numId w:val="273"/>
        </w:numPr>
        <w:contextualSpacing/>
        <w:rPr>
          <w:rFonts w:eastAsia="Aptos" w:cs="Arial"/>
        </w:rPr>
      </w:pPr>
      <w:r w:rsidRPr="000C7D2C">
        <w:rPr>
          <w:rFonts w:eastAsia="Aptos" w:cs="Arial"/>
        </w:rPr>
        <w:t xml:space="preserve">Welsh </w:t>
      </w:r>
    </w:p>
    <w:p w14:paraId="4E05C417" w14:textId="77777777" w:rsidR="000C7D2C" w:rsidRPr="000C7D2C" w:rsidRDefault="000C7D2C" w:rsidP="00B76905">
      <w:pPr>
        <w:numPr>
          <w:ilvl w:val="0"/>
          <w:numId w:val="273"/>
        </w:numPr>
        <w:contextualSpacing/>
        <w:rPr>
          <w:rFonts w:eastAsia="Aptos" w:cs="Arial"/>
        </w:rPr>
      </w:pPr>
      <w:r w:rsidRPr="000C7D2C">
        <w:rPr>
          <w:rFonts w:eastAsia="Aptos" w:cs="Arial"/>
        </w:rPr>
        <w:t xml:space="preserve">English </w:t>
      </w:r>
    </w:p>
    <w:p w14:paraId="4E4087D6" w14:textId="77777777" w:rsidR="000C7D2C" w:rsidRPr="000C7D2C" w:rsidRDefault="000C7D2C" w:rsidP="00B76905">
      <w:pPr>
        <w:numPr>
          <w:ilvl w:val="0"/>
          <w:numId w:val="273"/>
        </w:numPr>
        <w:contextualSpacing/>
        <w:rPr>
          <w:rFonts w:eastAsia="Aptos" w:cs="Arial"/>
        </w:rPr>
      </w:pPr>
      <w:r w:rsidRPr="000C7D2C">
        <w:rPr>
          <w:rFonts w:eastAsia="Aptos" w:cs="Arial"/>
        </w:rPr>
        <w:t xml:space="preserve">Scottish </w:t>
      </w:r>
    </w:p>
    <w:p w14:paraId="1CA802A6" w14:textId="77777777" w:rsidR="000C7D2C" w:rsidRPr="000C7D2C" w:rsidRDefault="000C7D2C" w:rsidP="00B76905">
      <w:pPr>
        <w:numPr>
          <w:ilvl w:val="0"/>
          <w:numId w:val="273"/>
        </w:numPr>
        <w:contextualSpacing/>
        <w:rPr>
          <w:rFonts w:eastAsia="Aptos" w:cs="Arial"/>
        </w:rPr>
      </w:pPr>
      <w:r w:rsidRPr="000C7D2C">
        <w:rPr>
          <w:rFonts w:eastAsia="Aptos" w:cs="Arial"/>
        </w:rPr>
        <w:t xml:space="preserve">Northern Irish </w:t>
      </w:r>
    </w:p>
    <w:p w14:paraId="747A4EFA" w14:textId="77777777" w:rsidR="000C7D2C" w:rsidRPr="000C7D2C" w:rsidRDefault="000C7D2C" w:rsidP="00B76905">
      <w:pPr>
        <w:numPr>
          <w:ilvl w:val="0"/>
          <w:numId w:val="273"/>
        </w:numPr>
        <w:contextualSpacing/>
        <w:rPr>
          <w:rFonts w:eastAsia="Aptos" w:cs="Arial"/>
        </w:rPr>
      </w:pPr>
      <w:r w:rsidRPr="000C7D2C">
        <w:rPr>
          <w:rFonts w:eastAsia="Aptos" w:cs="Arial"/>
        </w:rPr>
        <w:t xml:space="preserve">Irish </w:t>
      </w:r>
    </w:p>
    <w:p w14:paraId="1334C143" w14:textId="77777777" w:rsidR="000C7D2C" w:rsidRPr="000C7D2C" w:rsidRDefault="000C7D2C" w:rsidP="00B76905">
      <w:pPr>
        <w:numPr>
          <w:ilvl w:val="0"/>
          <w:numId w:val="273"/>
        </w:numPr>
        <w:contextualSpacing/>
        <w:rPr>
          <w:rFonts w:eastAsia="Aptos" w:cs="Arial"/>
        </w:rPr>
      </w:pPr>
      <w:r w:rsidRPr="000C7D2C">
        <w:rPr>
          <w:rFonts w:eastAsia="Aptos" w:cs="Arial"/>
        </w:rPr>
        <w:t>British</w:t>
      </w:r>
    </w:p>
    <w:p w14:paraId="69E6E54E" w14:textId="77777777" w:rsidR="000C7D2C" w:rsidRPr="000C7D2C" w:rsidRDefault="000C7D2C" w:rsidP="00B76905">
      <w:pPr>
        <w:numPr>
          <w:ilvl w:val="0"/>
          <w:numId w:val="273"/>
        </w:numPr>
        <w:contextualSpacing/>
        <w:rPr>
          <w:rFonts w:eastAsia="Aptos" w:cs="Arial"/>
        </w:rPr>
      </w:pPr>
      <w:r w:rsidRPr="000C7D2C">
        <w:rPr>
          <w:rFonts w:eastAsia="Aptos" w:cs="Arial"/>
        </w:rPr>
        <w:t xml:space="preserve">Prefer not to say </w:t>
      </w:r>
    </w:p>
    <w:p w14:paraId="59F7C37E" w14:textId="77777777" w:rsidR="000C7D2C" w:rsidRPr="000C7D2C" w:rsidRDefault="000C7D2C" w:rsidP="00B76905">
      <w:pPr>
        <w:numPr>
          <w:ilvl w:val="0"/>
          <w:numId w:val="273"/>
        </w:numPr>
        <w:contextualSpacing/>
        <w:rPr>
          <w:rFonts w:eastAsia="Aptos" w:cs="Arial"/>
        </w:rPr>
      </w:pPr>
      <w:r w:rsidRPr="000C7D2C">
        <w:rPr>
          <w:rFonts w:eastAsia="Aptos" w:cs="Arial"/>
        </w:rPr>
        <w:t>Other (please state): [text box]</w:t>
      </w:r>
    </w:p>
    <w:p w14:paraId="111390AB" w14:textId="77777777" w:rsidR="000C7D2C" w:rsidRPr="000C7D2C" w:rsidRDefault="000C7D2C" w:rsidP="009C14D5">
      <w:pPr>
        <w:rPr>
          <w:rFonts w:eastAsia="Aptos" w:cs="Arial"/>
        </w:rPr>
      </w:pPr>
    </w:p>
    <w:p w14:paraId="36A1A612" w14:textId="77777777" w:rsidR="000C7D2C" w:rsidRPr="000C7D2C" w:rsidRDefault="000C7D2C" w:rsidP="009C14D5">
      <w:pPr>
        <w:rPr>
          <w:rFonts w:eastAsia="Aptos" w:cs="Arial"/>
        </w:rPr>
      </w:pPr>
      <w:r w:rsidRPr="000C7D2C">
        <w:rPr>
          <w:rFonts w:eastAsia="Aptos" w:cs="Arial"/>
        </w:rPr>
        <w:t xml:space="preserve">28. Ethnic group - what is your ethnic group? </w:t>
      </w:r>
    </w:p>
    <w:p w14:paraId="726CD1FC" w14:textId="77777777" w:rsidR="000C7D2C" w:rsidRPr="000C7D2C" w:rsidRDefault="000C7D2C" w:rsidP="009C14D5">
      <w:pPr>
        <w:rPr>
          <w:rFonts w:eastAsia="Aptos" w:cs="Arial"/>
        </w:rPr>
      </w:pPr>
    </w:p>
    <w:p w14:paraId="53C09B65" w14:textId="77777777" w:rsidR="000C7D2C" w:rsidRPr="000C7D2C" w:rsidRDefault="000C7D2C" w:rsidP="00B76905">
      <w:pPr>
        <w:numPr>
          <w:ilvl w:val="0"/>
          <w:numId w:val="274"/>
        </w:numPr>
        <w:contextualSpacing/>
        <w:rPr>
          <w:rFonts w:eastAsia="Aptos" w:cs="Arial"/>
        </w:rPr>
      </w:pPr>
      <w:r w:rsidRPr="000C7D2C">
        <w:rPr>
          <w:rFonts w:eastAsia="Aptos" w:cs="Arial"/>
        </w:rPr>
        <w:t xml:space="preserve">White </w:t>
      </w:r>
    </w:p>
    <w:p w14:paraId="1F164C6F" w14:textId="77777777" w:rsidR="000C7D2C" w:rsidRPr="000C7D2C" w:rsidRDefault="000C7D2C" w:rsidP="00B76905">
      <w:pPr>
        <w:numPr>
          <w:ilvl w:val="0"/>
          <w:numId w:val="274"/>
        </w:numPr>
        <w:contextualSpacing/>
        <w:rPr>
          <w:rFonts w:eastAsia="Aptos" w:cs="Arial"/>
        </w:rPr>
      </w:pPr>
      <w:r w:rsidRPr="000C7D2C">
        <w:rPr>
          <w:rFonts w:eastAsia="Aptos" w:cs="Arial"/>
        </w:rPr>
        <w:t xml:space="preserve">Mixed / Mixed British </w:t>
      </w:r>
    </w:p>
    <w:p w14:paraId="357EF087" w14:textId="77777777" w:rsidR="000C7D2C" w:rsidRPr="000C7D2C" w:rsidRDefault="000C7D2C" w:rsidP="00B76905">
      <w:pPr>
        <w:numPr>
          <w:ilvl w:val="0"/>
          <w:numId w:val="274"/>
        </w:numPr>
        <w:contextualSpacing/>
        <w:rPr>
          <w:rFonts w:eastAsia="Aptos" w:cs="Arial"/>
        </w:rPr>
      </w:pPr>
      <w:r w:rsidRPr="000C7D2C">
        <w:rPr>
          <w:rFonts w:eastAsia="Aptos" w:cs="Arial"/>
        </w:rPr>
        <w:t xml:space="preserve">Black / Black British </w:t>
      </w:r>
    </w:p>
    <w:p w14:paraId="61DE3957" w14:textId="77777777" w:rsidR="000C7D2C" w:rsidRPr="000C7D2C" w:rsidRDefault="000C7D2C" w:rsidP="00B76905">
      <w:pPr>
        <w:numPr>
          <w:ilvl w:val="0"/>
          <w:numId w:val="274"/>
        </w:numPr>
        <w:contextualSpacing/>
        <w:rPr>
          <w:rFonts w:eastAsia="Aptos" w:cs="Arial"/>
        </w:rPr>
      </w:pPr>
      <w:r w:rsidRPr="000C7D2C">
        <w:rPr>
          <w:rFonts w:eastAsia="Aptos" w:cs="Arial"/>
        </w:rPr>
        <w:t xml:space="preserve">Asian / Asian British </w:t>
      </w:r>
    </w:p>
    <w:p w14:paraId="254AB7B1" w14:textId="77777777" w:rsidR="000C7D2C" w:rsidRPr="000C7D2C" w:rsidRDefault="000C7D2C" w:rsidP="00B76905">
      <w:pPr>
        <w:numPr>
          <w:ilvl w:val="0"/>
          <w:numId w:val="274"/>
        </w:numPr>
        <w:contextualSpacing/>
        <w:rPr>
          <w:rFonts w:eastAsia="Aptos" w:cs="Arial"/>
        </w:rPr>
      </w:pPr>
      <w:r w:rsidRPr="000C7D2C">
        <w:rPr>
          <w:rFonts w:eastAsia="Aptos" w:cs="Arial"/>
        </w:rPr>
        <w:t xml:space="preserve">Arab </w:t>
      </w:r>
    </w:p>
    <w:p w14:paraId="3E75C928" w14:textId="77777777" w:rsidR="000C7D2C" w:rsidRPr="000C7D2C" w:rsidRDefault="000C7D2C" w:rsidP="00B76905">
      <w:pPr>
        <w:numPr>
          <w:ilvl w:val="0"/>
          <w:numId w:val="274"/>
        </w:numPr>
        <w:contextualSpacing/>
        <w:rPr>
          <w:rFonts w:eastAsia="Aptos" w:cs="Arial"/>
        </w:rPr>
      </w:pPr>
      <w:r w:rsidRPr="000C7D2C">
        <w:rPr>
          <w:rFonts w:eastAsia="Aptos" w:cs="Arial"/>
        </w:rPr>
        <w:t xml:space="preserve">Prefer not to say </w:t>
      </w:r>
    </w:p>
    <w:p w14:paraId="47B2E4CA" w14:textId="77777777" w:rsidR="000C7D2C" w:rsidRPr="000C7D2C" w:rsidRDefault="000C7D2C" w:rsidP="00B76905">
      <w:pPr>
        <w:numPr>
          <w:ilvl w:val="0"/>
          <w:numId w:val="274"/>
        </w:numPr>
        <w:contextualSpacing/>
        <w:rPr>
          <w:rFonts w:eastAsia="Aptos" w:cs="Arial"/>
        </w:rPr>
      </w:pPr>
      <w:r w:rsidRPr="000C7D2C">
        <w:rPr>
          <w:rFonts w:eastAsia="Aptos" w:cs="Arial"/>
        </w:rPr>
        <w:t xml:space="preserve">Other (please state): [text box] </w:t>
      </w:r>
    </w:p>
    <w:p w14:paraId="34FFEA62" w14:textId="77777777" w:rsidR="000C7D2C" w:rsidRPr="000C7D2C" w:rsidRDefault="000C7D2C" w:rsidP="009C14D5">
      <w:pPr>
        <w:rPr>
          <w:rFonts w:eastAsia="Aptos" w:cs="Arial"/>
        </w:rPr>
      </w:pPr>
    </w:p>
    <w:p w14:paraId="58CF72A3" w14:textId="77777777" w:rsidR="000C7D2C" w:rsidRPr="000C7D2C" w:rsidRDefault="000C7D2C" w:rsidP="009C14D5">
      <w:pPr>
        <w:rPr>
          <w:rFonts w:eastAsia="Aptos" w:cs="Arial"/>
        </w:rPr>
      </w:pPr>
      <w:r w:rsidRPr="000C7D2C">
        <w:rPr>
          <w:rFonts w:eastAsia="Aptos" w:cs="Arial"/>
        </w:rPr>
        <w:t xml:space="preserve">29. Sexual orientation - which of the following options best describes how you think of yourself? </w:t>
      </w:r>
    </w:p>
    <w:p w14:paraId="296DCA88" w14:textId="77777777" w:rsidR="000C7D2C" w:rsidRPr="000C7D2C" w:rsidRDefault="000C7D2C" w:rsidP="009C14D5">
      <w:pPr>
        <w:rPr>
          <w:rFonts w:eastAsia="Aptos" w:cs="Arial"/>
        </w:rPr>
      </w:pPr>
    </w:p>
    <w:p w14:paraId="73FF8BC9" w14:textId="77777777" w:rsidR="000C7D2C" w:rsidRPr="000C7D2C" w:rsidRDefault="000C7D2C" w:rsidP="00B76905">
      <w:pPr>
        <w:numPr>
          <w:ilvl w:val="0"/>
          <w:numId w:val="275"/>
        </w:numPr>
        <w:contextualSpacing/>
        <w:rPr>
          <w:rFonts w:eastAsia="Aptos" w:cs="Arial"/>
        </w:rPr>
      </w:pPr>
      <w:r w:rsidRPr="000C7D2C">
        <w:rPr>
          <w:rFonts w:eastAsia="Aptos" w:cs="Arial"/>
        </w:rPr>
        <w:t xml:space="preserve">Heterosexual / Straight </w:t>
      </w:r>
    </w:p>
    <w:p w14:paraId="2DA289B1" w14:textId="77777777" w:rsidR="000C7D2C" w:rsidRPr="000C7D2C" w:rsidRDefault="000C7D2C" w:rsidP="00B76905">
      <w:pPr>
        <w:numPr>
          <w:ilvl w:val="0"/>
          <w:numId w:val="275"/>
        </w:numPr>
        <w:contextualSpacing/>
        <w:rPr>
          <w:rFonts w:eastAsia="Aptos" w:cs="Arial"/>
        </w:rPr>
      </w:pPr>
      <w:r w:rsidRPr="000C7D2C">
        <w:rPr>
          <w:rFonts w:eastAsia="Aptos" w:cs="Arial"/>
        </w:rPr>
        <w:t xml:space="preserve">Gay / Lesbian </w:t>
      </w:r>
    </w:p>
    <w:p w14:paraId="4F8925E3" w14:textId="77777777" w:rsidR="000C7D2C" w:rsidRPr="000C7D2C" w:rsidRDefault="000C7D2C" w:rsidP="00B76905">
      <w:pPr>
        <w:numPr>
          <w:ilvl w:val="0"/>
          <w:numId w:val="275"/>
        </w:numPr>
        <w:contextualSpacing/>
        <w:rPr>
          <w:rFonts w:eastAsia="Aptos" w:cs="Arial"/>
        </w:rPr>
      </w:pPr>
      <w:r w:rsidRPr="000C7D2C">
        <w:rPr>
          <w:rFonts w:eastAsia="Aptos" w:cs="Arial"/>
        </w:rPr>
        <w:t xml:space="preserve">Bisexual </w:t>
      </w:r>
    </w:p>
    <w:p w14:paraId="5B7F6675" w14:textId="77777777" w:rsidR="000C7D2C" w:rsidRPr="000C7D2C" w:rsidRDefault="000C7D2C" w:rsidP="00B76905">
      <w:pPr>
        <w:numPr>
          <w:ilvl w:val="0"/>
          <w:numId w:val="275"/>
        </w:numPr>
        <w:contextualSpacing/>
        <w:rPr>
          <w:rFonts w:eastAsia="Aptos" w:cs="Arial"/>
        </w:rPr>
      </w:pPr>
      <w:r w:rsidRPr="000C7D2C">
        <w:rPr>
          <w:rFonts w:eastAsia="Aptos" w:cs="Arial"/>
        </w:rPr>
        <w:t>Prefer not to say</w:t>
      </w:r>
    </w:p>
    <w:p w14:paraId="418A6D0C" w14:textId="77777777" w:rsidR="000C7D2C" w:rsidRPr="000C7D2C" w:rsidRDefault="000C7D2C" w:rsidP="00B76905">
      <w:pPr>
        <w:numPr>
          <w:ilvl w:val="0"/>
          <w:numId w:val="275"/>
        </w:numPr>
        <w:contextualSpacing/>
        <w:rPr>
          <w:rFonts w:eastAsia="Aptos" w:cs="Arial"/>
        </w:rPr>
      </w:pPr>
      <w:r w:rsidRPr="000C7D2C">
        <w:rPr>
          <w:rFonts w:eastAsia="Aptos" w:cs="Arial"/>
        </w:rPr>
        <w:t xml:space="preserve">Other (please state): [text box] </w:t>
      </w:r>
    </w:p>
    <w:p w14:paraId="76863754" w14:textId="77777777" w:rsidR="000C7D2C" w:rsidRPr="00D0306F" w:rsidRDefault="000C7D2C" w:rsidP="009C14D5">
      <w:pPr>
        <w:rPr>
          <w:rFonts w:eastAsia="Aptos" w:cs="Arial"/>
        </w:rPr>
      </w:pPr>
    </w:p>
    <w:p w14:paraId="1E71468B" w14:textId="77777777" w:rsidR="00F0458C" w:rsidRPr="00D0306F" w:rsidRDefault="00F0458C" w:rsidP="009C14D5">
      <w:pPr>
        <w:rPr>
          <w:rFonts w:eastAsia="Aptos" w:cs="Arial"/>
        </w:rPr>
      </w:pPr>
    </w:p>
    <w:p w14:paraId="34E24248" w14:textId="77777777" w:rsidR="00F0458C" w:rsidRPr="000C7D2C" w:rsidRDefault="00F0458C" w:rsidP="009C14D5">
      <w:pPr>
        <w:rPr>
          <w:rFonts w:eastAsia="Aptos" w:cs="Arial"/>
        </w:rPr>
      </w:pPr>
    </w:p>
    <w:p w14:paraId="160586C8" w14:textId="77777777" w:rsidR="000C7D2C" w:rsidRPr="000C7D2C" w:rsidRDefault="000C7D2C" w:rsidP="009C14D5">
      <w:pPr>
        <w:rPr>
          <w:rFonts w:eastAsia="Aptos" w:cs="Arial"/>
        </w:rPr>
      </w:pPr>
      <w:r w:rsidRPr="000C7D2C">
        <w:rPr>
          <w:rFonts w:eastAsia="Aptos" w:cs="Arial"/>
        </w:rPr>
        <w:lastRenderedPageBreak/>
        <w:t xml:space="preserve">30. Religion or belief - what is your religion? </w:t>
      </w:r>
    </w:p>
    <w:p w14:paraId="6D106478" w14:textId="77777777" w:rsidR="000C7D2C" w:rsidRPr="000C7D2C" w:rsidRDefault="000C7D2C" w:rsidP="009C14D5">
      <w:pPr>
        <w:rPr>
          <w:rFonts w:eastAsia="Aptos" w:cs="Arial"/>
        </w:rPr>
      </w:pPr>
    </w:p>
    <w:p w14:paraId="28EB4A2E" w14:textId="77777777" w:rsidR="000C7D2C" w:rsidRPr="000C7D2C" w:rsidRDefault="000C7D2C" w:rsidP="00B76905">
      <w:pPr>
        <w:numPr>
          <w:ilvl w:val="0"/>
          <w:numId w:val="276"/>
        </w:numPr>
        <w:contextualSpacing/>
        <w:rPr>
          <w:rFonts w:eastAsia="Aptos" w:cs="Arial"/>
        </w:rPr>
      </w:pPr>
      <w:r w:rsidRPr="000C7D2C">
        <w:rPr>
          <w:rFonts w:eastAsia="Aptos" w:cs="Arial"/>
        </w:rPr>
        <w:t xml:space="preserve">Christian (all denominations) </w:t>
      </w:r>
    </w:p>
    <w:p w14:paraId="6589807B" w14:textId="77777777" w:rsidR="000C7D2C" w:rsidRPr="000C7D2C" w:rsidRDefault="000C7D2C" w:rsidP="00B76905">
      <w:pPr>
        <w:numPr>
          <w:ilvl w:val="0"/>
          <w:numId w:val="276"/>
        </w:numPr>
        <w:contextualSpacing/>
        <w:rPr>
          <w:rFonts w:eastAsia="Aptos" w:cs="Arial"/>
        </w:rPr>
      </w:pPr>
      <w:r w:rsidRPr="000C7D2C">
        <w:rPr>
          <w:rFonts w:eastAsia="Aptos" w:cs="Arial"/>
        </w:rPr>
        <w:t xml:space="preserve">Buddhist </w:t>
      </w:r>
    </w:p>
    <w:p w14:paraId="6712CA3E" w14:textId="77777777" w:rsidR="000C7D2C" w:rsidRPr="000C7D2C" w:rsidRDefault="000C7D2C" w:rsidP="00B76905">
      <w:pPr>
        <w:numPr>
          <w:ilvl w:val="0"/>
          <w:numId w:val="276"/>
        </w:numPr>
        <w:contextualSpacing/>
        <w:rPr>
          <w:rFonts w:eastAsia="Aptos" w:cs="Arial"/>
        </w:rPr>
      </w:pPr>
      <w:r w:rsidRPr="000C7D2C">
        <w:rPr>
          <w:rFonts w:eastAsia="Aptos" w:cs="Arial"/>
        </w:rPr>
        <w:t xml:space="preserve">Hindu </w:t>
      </w:r>
    </w:p>
    <w:p w14:paraId="56E5AB60" w14:textId="77777777" w:rsidR="000C7D2C" w:rsidRPr="000C7D2C" w:rsidRDefault="000C7D2C" w:rsidP="00B76905">
      <w:pPr>
        <w:numPr>
          <w:ilvl w:val="0"/>
          <w:numId w:val="276"/>
        </w:numPr>
        <w:contextualSpacing/>
        <w:rPr>
          <w:rFonts w:eastAsia="Aptos" w:cs="Arial"/>
        </w:rPr>
      </w:pPr>
      <w:r w:rsidRPr="000C7D2C">
        <w:rPr>
          <w:rFonts w:eastAsia="Aptos" w:cs="Arial"/>
        </w:rPr>
        <w:t xml:space="preserve">Muslim </w:t>
      </w:r>
    </w:p>
    <w:p w14:paraId="43EC6F92" w14:textId="77777777" w:rsidR="000C7D2C" w:rsidRPr="000C7D2C" w:rsidRDefault="000C7D2C" w:rsidP="00B76905">
      <w:pPr>
        <w:numPr>
          <w:ilvl w:val="0"/>
          <w:numId w:val="276"/>
        </w:numPr>
        <w:contextualSpacing/>
        <w:rPr>
          <w:rFonts w:eastAsia="Aptos" w:cs="Arial"/>
        </w:rPr>
      </w:pPr>
      <w:r w:rsidRPr="000C7D2C">
        <w:rPr>
          <w:rFonts w:eastAsia="Aptos" w:cs="Arial"/>
        </w:rPr>
        <w:t xml:space="preserve">Sikh </w:t>
      </w:r>
    </w:p>
    <w:p w14:paraId="60810AE1" w14:textId="77777777" w:rsidR="000C7D2C" w:rsidRPr="000C7D2C" w:rsidRDefault="000C7D2C" w:rsidP="00B76905">
      <w:pPr>
        <w:numPr>
          <w:ilvl w:val="0"/>
          <w:numId w:val="276"/>
        </w:numPr>
        <w:contextualSpacing/>
        <w:rPr>
          <w:rFonts w:eastAsia="Aptos" w:cs="Arial"/>
        </w:rPr>
      </w:pPr>
      <w:r w:rsidRPr="000C7D2C">
        <w:rPr>
          <w:rFonts w:eastAsia="Aptos" w:cs="Arial"/>
        </w:rPr>
        <w:t xml:space="preserve">Jewish </w:t>
      </w:r>
    </w:p>
    <w:p w14:paraId="518B4795" w14:textId="77777777" w:rsidR="000C7D2C" w:rsidRPr="000C7D2C" w:rsidRDefault="000C7D2C" w:rsidP="00B76905">
      <w:pPr>
        <w:numPr>
          <w:ilvl w:val="0"/>
          <w:numId w:val="276"/>
        </w:numPr>
        <w:contextualSpacing/>
        <w:rPr>
          <w:rFonts w:eastAsia="Aptos" w:cs="Arial"/>
        </w:rPr>
      </w:pPr>
      <w:r w:rsidRPr="000C7D2C">
        <w:rPr>
          <w:rFonts w:eastAsia="Aptos" w:cs="Arial"/>
        </w:rPr>
        <w:t xml:space="preserve">Atheist </w:t>
      </w:r>
    </w:p>
    <w:p w14:paraId="674603E8" w14:textId="77777777" w:rsidR="000C7D2C" w:rsidRPr="000C7D2C" w:rsidRDefault="000C7D2C" w:rsidP="00B76905">
      <w:pPr>
        <w:numPr>
          <w:ilvl w:val="0"/>
          <w:numId w:val="276"/>
        </w:numPr>
        <w:contextualSpacing/>
        <w:rPr>
          <w:rFonts w:eastAsia="Aptos" w:cs="Arial"/>
        </w:rPr>
      </w:pPr>
      <w:r w:rsidRPr="000C7D2C">
        <w:rPr>
          <w:rFonts w:eastAsia="Aptos" w:cs="Arial"/>
        </w:rPr>
        <w:t xml:space="preserve">No Religion </w:t>
      </w:r>
    </w:p>
    <w:p w14:paraId="0410C0E3" w14:textId="77777777" w:rsidR="000C7D2C" w:rsidRPr="000C7D2C" w:rsidRDefault="000C7D2C" w:rsidP="00B76905">
      <w:pPr>
        <w:numPr>
          <w:ilvl w:val="0"/>
          <w:numId w:val="276"/>
        </w:numPr>
        <w:contextualSpacing/>
        <w:rPr>
          <w:rFonts w:eastAsia="Aptos" w:cs="Arial"/>
        </w:rPr>
      </w:pPr>
      <w:r w:rsidRPr="000C7D2C">
        <w:rPr>
          <w:rFonts w:eastAsia="Aptos" w:cs="Arial"/>
        </w:rPr>
        <w:t>Prefer not to say</w:t>
      </w:r>
    </w:p>
    <w:p w14:paraId="11C483A2" w14:textId="77777777" w:rsidR="000C7D2C" w:rsidRPr="000C7D2C" w:rsidRDefault="000C7D2C" w:rsidP="00B76905">
      <w:pPr>
        <w:numPr>
          <w:ilvl w:val="0"/>
          <w:numId w:val="276"/>
        </w:numPr>
        <w:contextualSpacing/>
        <w:rPr>
          <w:rFonts w:eastAsia="Aptos" w:cs="Arial"/>
        </w:rPr>
      </w:pPr>
      <w:r w:rsidRPr="000C7D2C">
        <w:rPr>
          <w:rFonts w:eastAsia="Aptos" w:cs="Arial"/>
        </w:rPr>
        <w:t xml:space="preserve">Other (please state): [text box] </w:t>
      </w:r>
    </w:p>
    <w:p w14:paraId="3AFA960C" w14:textId="77777777" w:rsidR="000C7D2C" w:rsidRPr="000C7D2C" w:rsidRDefault="000C7D2C" w:rsidP="009C14D5">
      <w:pPr>
        <w:rPr>
          <w:rFonts w:eastAsia="Aptos" w:cs="Arial"/>
        </w:rPr>
      </w:pPr>
    </w:p>
    <w:p w14:paraId="3A5B2D0A" w14:textId="77777777" w:rsidR="000C7D2C" w:rsidRPr="000C7D2C" w:rsidRDefault="000C7D2C" w:rsidP="009C14D5">
      <w:pPr>
        <w:rPr>
          <w:rFonts w:eastAsia="Aptos" w:cs="Arial"/>
        </w:rPr>
      </w:pPr>
      <w:r w:rsidRPr="000C7D2C">
        <w:rPr>
          <w:rFonts w:eastAsia="Aptos" w:cs="Arial"/>
        </w:rPr>
        <w:t xml:space="preserve">31. Marital status - are you married or in a civil partnership? </w:t>
      </w:r>
    </w:p>
    <w:p w14:paraId="56DBBAF0" w14:textId="77777777" w:rsidR="000C7D2C" w:rsidRPr="000C7D2C" w:rsidRDefault="000C7D2C" w:rsidP="009C14D5">
      <w:pPr>
        <w:rPr>
          <w:rFonts w:eastAsia="Aptos" w:cs="Arial"/>
        </w:rPr>
      </w:pPr>
    </w:p>
    <w:p w14:paraId="469F6F04" w14:textId="77777777" w:rsidR="000C7D2C" w:rsidRPr="000C7D2C" w:rsidRDefault="000C7D2C" w:rsidP="00B76905">
      <w:pPr>
        <w:numPr>
          <w:ilvl w:val="0"/>
          <w:numId w:val="277"/>
        </w:numPr>
        <w:contextualSpacing/>
        <w:rPr>
          <w:rFonts w:eastAsia="Aptos" w:cs="Arial"/>
        </w:rPr>
      </w:pPr>
      <w:r w:rsidRPr="000C7D2C">
        <w:rPr>
          <w:rFonts w:eastAsia="Aptos" w:cs="Arial"/>
        </w:rPr>
        <w:t xml:space="preserve">Yes </w:t>
      </w:r>
    </w:p>
    <w:p w14:paraId="6D72C085" w14:textId="77777777" w:rsidR="000C7D2C" w:rsidRPr="000C7D2C" w:rsidRDefault="000C7D2C" w:rsidP="00B76905">
      <w:pPr>
        <w:numPr>
          <w:ilvl w:val="0"/>
          <w:numId w:val="277"/>
        </w:numPr>
        <w:contextualSpacing/>
        <w:rPr>
          <w:rFonts w:eastAsia="Aptos" w:cs="Arial"/>
        </w:rPr>
      </w:pPr>
      <w:r w:rsidRPr="000C7D2C">
        <w:rPr>
          <w:rFonts w:eastAsia="Aptos" w:cs="Arial"/>
        </w:rPr>
        <w:t xml:space="preserve">No </w:t>
      </w:r>
    </w:p>
    <w:p w14:paraId="6650A6E0" w14:textId="74055B1B" w:rsidR="000C7D2C" w:rsidRPr="000C7D2C" w:rsidRDefault="000C7D2C" w:rsidP="00B76905">
      <w:pPr>
        <w:numPr>
          <w:ilvl w:val="0"/>
          <w:numId w:val="277"/>
        </w:numPr>
        <w:contextualSpacing/>
        <w:rPr>
          <w:rFonts w:eastAsia="Aptos" w:cs="Arial"/>
        </w:rPr>
      </w:pPr>
      <w:r w:rsidRPr="000C7D2C">
        <w:rPr>
          <w:rFonts w:eastAsia="Aptos" w:cs="Arial"/>
        </w:rPr>
        <w:t>Prefer not to say</w:t>
      </w:r>
      <w:r w:rsidR="00B752FC">
        <w:rPr>
          <w:rFonts w:eastAsia="Aptos" w:cs="Arial"/>
        </w:rPr>
        <w:t xml:space="preserve"> </w:t>
      </w:r>
    </w:p>
    <w:p w14:paraId="3F1EC341" w14:textId="77777777" w:rsidR="000C7D2C" w:rsidRPr="000C7D2C" w:rsidRDefault="000C7D2C" w:rsidP="009C14D5">
      <w:pPr>
        <w:rPr>
          <w:rFonts w:eastAsia="Aptos" w:cs="Arial"/>
        </w:rPr>
      </w:pPr>
    </w:p>
    <w:p w14:paraId="1A357353" w14:textId="77777777" w:rsidR="000C7D2C" w:rsidRPr="000C7D2C" w:rsidRDefault="000C7D2C" w:rsidP="009C14D5">
      <w:pPr>
        <w:rPr>
          <w:rFonts w:eastAsia="Aptos" w:cs="Arial"/>
        </w:rPr>
      </w:pPr>
      <w:r w:rsidRPr="000C7D2C">
        <w:rPr>
          <w:rFonts w:eastAsia="Aptos" w:cs="Arial"/>
        </w:rPr>
        <w:t xml:space="preserve">32. Disability - do you consider yourself to have a disability? </w:t>
      </w:r>
    </w:p>
    <w:p w14:paraId="0F960169" w14:textId="77777777" w:rsidR="000C7D2C" w:rsidRPr="000C7D2C" w:rsidRDefault="000C7D2C" w:rsidP="009C14D5">
      <w:pPr>
        <w:rPr>
          <w:rFonts w:eastAsia="Aptos" w:cs="Arial"/>
        </w:rPr>
      </w:pPr>
    </w:p>
    <w:p w14:paraId="08C0CCD9" w14:textId="77777777" w:rsidR="000C7D2C" w:rsidRPr="000C7D2C" w:rsidRDefault="000C7D2C" w:rsidP="00B76905">
      <w:pPr>
        <w:numPr>
          <w:ilvl w:val="0"/>
          <w:numId w:val="277"/>
        </w:numPr>
        <w:contextualSpacing/>
        <w:rPr>
          <w:rFonts w:eastAsia="Aptos" w:cs="Arial"/>
        </w:rPr>
      </w:pPr>
      <w:r w:rsidRPr="000C7D2C">
        <w:rPr>
          <w:rFonts w:eastAsia="Aptos" w:cs="Arial"/>
        </w:rPr>
        <w:t xml:space="preserve">Yes </w:t>
      </w:r>
    </w:p>
    <w:p w14:paraId="677F610B" w14:textId="77777777" w:rsidR="000C7D2C" w:rsidRPr="000C7D2C" w:rsidRDefault="000C7D2C" w:rsidP="00B76905">
      <w:pPr>
        <w:numPr>
          <w:ilvl w:val="0"/>
          <w:numId w:val="277"/>
        </w:numPr>
        <w:contextualSpacing/>
        <w:rPr>
          <w:rFonts w:eastAsia="Aptos" w:cs="Arial"/>
        </w:rPr>
      </w:pPr>
      <w:r w:rsidRPr="000C7D2C">
        <w:rPr>
          <w:rFonts w:eastAsia="Aptos" w:cs="Arial"/>
        </w:rPr>
        <w:t xml:space="preserve">No </w:t>
      </w:r>
    </w:p>
    <w:p w14:paraId="1CBAD663" w14:textId="69617426" w:rsidR="000C7D2C" w:rsidRPr="000C7D2C" w:rsidRDefault="000C7D2C" w:rsidP="00B76905">
      <w:pPr>
        <w:numPr>
          <w:ilvl w:val="0"/>
          <w:numId w:val="277"/>
        </w:numPr>
        <w:contextualSpacing/>
        <w:rPr>
          <w:rFonts w:eastAsia="Aptos" w:cs="Arial"/>
        </w:rPr>
      </w:pPr>
      <w:r w:rsidRPr="000C7D2C">
        <w:rPr>
          <w:rFonts w:eastAsia="Aptos" w:cs="Arial"/>
        </w:rPr>
        <w:t>Prefer not to say</w:t>
      </w:r>
      <w:r w:rsidR="00B752FC">
        <w:rPr>
          <w:rFonts w:eastAsia="Aptos" w:cs="Arial"/>
        </w:rPr>
        <w:t xml:space="preserve"> </w:t>
      </w:r>
    </w:p>
    <w:p w14:paraId="46BF6350" w14:textId="77777777" w:rsidR="000C7D2C" w:rsidRPr="000C7D2C" w:rsidRDefault="000C7D2C" w:rsidP="009C14D5">
      <w:pPr>
        <w:rPr>
          <w:rFonts w:eastAsia="Aptos" w:cs="Arial"/>
        </w:rPr>
      </w:pPr>
    </w:p>
    <w:p w14:paraId="3751DB9D" w14:textId="77777777" w:rsidR="000C7D2C" w:rsidRPr="000C7D2C" w:rsidRDefault="000C7D2C" w:rsidP="009C14D5">
      <w:pPr>
        <w:rPr>
          <w:rFonts w:eastAsia="Aptos" w:cs="Arial"/>
        </w:rPr>
      </w:pPr>
      <w:r w:rsidRPr="000C7D2C">
        <w:rPr>
          <w:rFonts w:eastAsia="Aptos" w:cs="Arial"/>
        </w:rPr>
        <w:t xml:space="preserve">33. Language - what is your preferred language? </w:t>
      </w:r>
    </w:p>
    <w:p w14:paraId="5A62F0EC" w14:textId="77777777" w:rsidR="000C7D2C" w:rsidRPr="000C7D2C" w:rsidRDefault="000C7D2C" w:rsidP="009C14D5">
      <w:pPr>
        <w:rPr>
          <w:rFonts w:eastAsia="Aptos" w:cs="Arial"/>
        </w:rPr>
      </w:pPr>
    </w:p>
    <w:p w14:paraId="20C1743D" w14:textId="77777777" w:rsidR="000C7D2C" w:rsidRPr="000C7D2C" w:rsidRDefault="000C7D2C" w:rsidP="00B76905">
      <w:pPr>
        <w:numPr>
          <w:ilvl w:val="0"/>
          <w:numId w:val="278"/>
        </w:numPr>
        <w:contextualSpacing/>
        <w:rPr>
          <w:rFonts w:eastAsia="Aptos" w:cs="Arial"/>
        </w:rPr>
      </w:pPr>
      <w:r w:rsidRPr="000C7D2C">
        <w:rPr>
          <w:rFonts w:eastAsia="Aptos" w:cs="Arial"/>
        </w:rPr>
        <w:t xml:space="preserve">English </w:t>
      </w:r>
    </w:p>
    <w:p w14:paraId="38950E38" w14:textId="77777777" w:rsidR="000C7D2C" w:rsidRPr="000C7D2C" w:rsidRDefault="000C7D2C" w:rsidP="00B76905">
      <w:pPr>
        <w:numPr>
          <w:ilvl w:val="0"/>
          <w:numId w:val="278"/>
        </w:numPr>
        <w:contextualSpacing/>
        <w:rPr>
          <w:rFonts w:eastAsia="Aptos" w:cs="Arial"/>
        </w:rPr>
      </w:pPr>
      <w:r w:rsidRPr="000C7D2C">
        <w:rPr>
          <w:rFonts w:eastAsia="Aptos" w:cs="Arial"/>
        </w:rPr>
        <w:t xml:space="preserve">Welsh </w:t>
      </w:r>
    </w:p>
    <w:p w14:paraId="494F4DD0" w14:textId="6F752A0C" w:rsidR="000C7D2C" w:rsidRPr="000C7D2C" w:rsidRDefault="000C7D2C" w:rsidP="00B76905">
      <w:pPr>
        <w:numPr>
          <w:ilvl w:val="0"/>
          <w:numId w:val="278"/>
        </w:numPr>
        <w:contextualSpacing/>
        <w:rPr>
          <w:rFonts w:eastAsia="Aptos" w:cs="Arial"/>
        </w:rPr>
      </w:pPr>
      <w:r w:rsidRPr="000C7D2C">
        <w:rPr>
          <w:rFonts w:eastAsia="Aptos" w:cs="Arial"/>
        </w:rPr>
        <w:t>Prefer not to say</w:t>
      </w:r>
      <w:r w:rsidR="00B752FC">
        <w:rPr>
          <w:rFonts w:eastAsia="Aptos" w:cs="Arial"/>
        </w:rPr>
        <w:t xml:space="preserve"> </w:t>
      </w:r>
    </w:p>
    <w:p w14:paraId="02690BBE" w14:textId="77777777" w:rsidR="000C7D2C" w:rsidRPr="000C7D2C" w:rsidRDefault="000C7D2C" w:rsidP="00B76905">
      <w:pPr>
        <w:numPr>
          <w:ilvl w:val="0"/>
          <w:numId w:val="278"/>
        </w:numPr>
        <w:contextualSpacing/>
        <w:rPr>
          <w:rFonts w:eastAsia="Aptos" w:cs="Arial"/>
        </w:rPr>
      </w:pPr>
      <w:r w:rsidRPr="000C7D2C">
        <w:rPr>
          <w:rFonts w:eastAsia="Aptos" w:cs="Arial"/>
        </w:rPr>
        <w:t>Other (please state): [text box]</w:t>
      </w:r>
    </w:p>
    <w:p w14:paraId="12F43013" w14:textId="77777777" w:rsidR="000C7D2C" w:rsidRPr="000C7D2C" w:rsidRDefault="000C7D2C" w:rsidP="009C14D5">
      <w:pPr>
        <w:rPr>
          <w:rFonts w:eastAsia="Aptos" w:cs="Arial"/>
        </w:rPr>
      </w:pPr>
    </w:p>
    <w:p w14:paraId="3CE4F749" w14:textId="77777777" w:rsidR="000C7D2C" w:rsidRPr="000C7D2C" w:rsidRDefault="000C7D2C" w:rsidP="009C14D5">
      <w:pPr>
        <w:rPr>
          <w:rFonts w:eastAsia="Aptos" w:cs="Arial"/>
        </w:rPr>
      </w:pPr>
      <w:r w:rsidRPr="000C7D2C">
        <w:rPr>
          <w:rFonts w:eastAsia="Aptos" w:cs="Arial"/>
        </w:rPr>
        <w:t xml:space="preserve">34. Language - can you understand, speak, read or write Welsh? </w:t>
      </w:r>
    </w:p>
    <w:p w14:paraId="36EF86B5" w14:textId="77777777" w:rsidR="000C7D2C" w:rsidRPr="000C7D2C" w:rsidRDefault="000C7D2C" w:rsidP="009C14D5">
      <w:pPr>
        <w:rPr>
          <w:rFonts w:eastAsia="Aptos" w:cs="Arial"/>
        </w:rPr>
      </w:pPr>
    </w:p>
    <w:p w14:paraId="1E0FA9C5" w14:textId="77777777" w:rsidR="000C7D2C" w:rsidRPr="000C7D2C" w:rsidRDefault="000C7D2C" w:rsidP="00B76905">
      <w:pPr>
        <w:numPr>
          <w:ilvl w:val="0"/>
          <w:numId w:val="279"/>
        </w:numPr>
        <w:contextualSpacing/>
        <w:rPr>
          <w:rFonts w:eastAsia="Aptos" w:cs="Arial"/>
        </w:rPr>
      </w:pPr>
      <w:r w:rsidRPr="000C7D2C">
        <w:rPr>
          <w:rFonts w:eastAsia="Aptos" w:cs="Arial"/>
        </w:rPr>
        <w:t xml:space="preserve">Understand spoken Welsh </w:t>
      </w:r>
    </w:p>
    <w:p w14:paraId="59F0A024" w14:textId="77777777" w:rsidR="000C7D2C" w:rsidRPr="000C7D2C" w:rsidRDefault="000C7D2C" w:rsidP="00B76905">
      <w:pPr>
        <w:numPr>
          <w:ilvl w:val="0"/>
          <w:numId w:val="279"/>
        </w:numPr>
        <w:contextualSpacing/>
        <w:rPr>
          <w:rFonts w:eastAsia="Aptos" w:cs="Arial"/>
        </w:rPr>
      </w:pPr>
      <w:r w:rsidRPr="000C7D2C">
        <w:rPr>
          <w:rFonts w:eastAsia="Aptos" w:cs="Arial"/>
        </w:rPr>
        <w:t xml:space="preserve">Speak Welsh </w:t>
      </w:r>
    </w:p>
    <w:p w14:paraId="7F3C5A0B" w14:textId="77777777" w:rsidR="000C7D2C" w:rsidRPr="000C7D2C" w:rsidRDefault="000C7D2C" w:rsidP="00B76905">
      <w:pPr>
        <w:numPr>
          <w:ilvl w:val="0"/>
          <w:numId w:val="279"/>
        </w:numPr>
        <w:contextualSpacing/>
        <w:rPr>
          <w:rFonts w:eastAsia="Aptos" w:cs="Arial"/>
        </w:rPr>
      </w:pPr>
      <w:r w:rsidRPr="000C7D2C">
        <w:rPr>
          <w:rFonts w:eastAsia="Aptos" w:cs="Arial"/>
        </w:rPr>
        <w:t xml:space="preserve">Read Welsh </w:t>
      </w:r>
    </w:p>
    <w:p w14:paraId="49575773" w14:textId="77777777" w:rsidR="000C7D2C" w:rsidRPr="000C7D2C" w:rsidRDefault="000C7D2C" w:rsidP="00B76905">
      <w:pPr>
        <w:numPr>
          <w:ilvl w:val="0"/>
          <w:numId w:val="279"/>
        </w:numPr>
        <w:contextualSpacing/>
        <w:rPr>
          <w:rFonts w:eastAsia="Aptos" w:cs="Arial"/>
        </w:rPr>
      </w:pPr>
      <w:r w:rsidRPr="000C7D2C">
        <w:rPr>
          <w:rFonts w:eastAsia="Aptos" w:cs="Arial"/>
        </w:rPr>
        <w:t xml:space="preserve">Write Welsh </w:t>
      </w:r>
    </w:p>
    <w:p w14:paraId="36C2AF91" w14:textId="77777777" w:rsidR="000C7D2C" w:rsidRPr="000C7D2C" w:rsidRDefault="000C7D2C" w:rsidP="00B76905">
      <w:pPr>
        <w:numPr>
          <w:ilvl w:val="0"/>
          <w:numId w:val="279"/>
        </w:numPr>
        <w:contextualSpacing/>
        <w:rPr>
          <w:rFonts w:eastAsia="Aptos" w:cs="Arial"/>
        </w:rPr>
      </w:pPr>
      <w:r w:rsidRPr="000C7D2C">
        <w:rPr>
          <w:rFonts w:eastAsia="Aptos" w:cs="Arial"/>
        </w:rPr>
        <w:t xml:space="preserve">None of the above </w:t>
      </w:r>
    </w:p>
    <w:p w14:paraId="65D630E1" w14:textId="7A43620F" w:rsidR="000C7D2C" w:rsidRPr="000C7D2C" w:rsidRDefault="000C7D2C" w:rsidP="00B76905">
      <w:pPr>
        <w:numPr>
          <w:ilvl w:val="0"/>
          <w:numId w:val="279"/>
        </w:numPr>
        <w:contextualSpacing/>
        <w:rPr>
          <w:rFonts w:eastAsia="Aptos" w:cs="Arial"/>
        </w:rPr>
      </w:pPr>
      <w:r w:rsidRPr="000C7D2C">
        <w:rPr>
          <w:rFonts w:eastAsia="Aptos" w:cs="Arial"/>
        </w:rPr>
        <w:t>Prefer not to say</w:t>
      </w:r>
      <w:r w:rsidR="00B752FC">
        <w:rPr>
          <w:rFonts w:eastAsia="Aptos" w:cs="Arial"/>
        </w:rPr>
        <w:t xml:space="preserve"> </w:t>
      </w:r>
    </w:p>
    <w:p w14:paraId="651E1475" w14:textId="77777777" w:rsidR="000C7D2C" w:rsidRPr="000C7D2C" w:rsidRDefault="000C7D2C" w:rsidP="009C14D5">
      <w:pPr>
        <w:rPr>
          <w:rFonts w:eastAsia="Aptos" w:cs="Arial"/>
        </w:rPr>
      </w:pPr>
      <w:r w:rsidRPr="000C7D2C">
        <w:rPr>
          <w:rFonts w:eastAsia="Aptos" w:cs="Arial"/>
        </w:rPr>
        <w:t xml:space="preserve"> </w:t>
      </w:r>
    </w:p>
    <w:p w14:paraId="4E03BBD9" w14:textId="77777777" w:rsidR="000C7D2C" w:rsidRPr="000C7D2C" w:rsidRDefault="000C7D2C" w:rsidP="009C14D5">
      <w:pPr>
        <w:rPr>
          <w:rFonts w:eastAsia="Aptos" w:cs="Arial"/>
        </w:rPr>
      </w:pPr>
      <w:r w:rsidRPr="000C7D2C">
        <w:rPr>
          <w:rFonts w:eastAsia="Aptos" w:cs="Arial"/>
        </w:rPr>
        <w:t xml:space="preserve">35. Caring responsibilities - do you look after or give help or support to family members, friends, neighbours or others because of either (a) long term physical or mental ill health or disability or (b) problems relating to old age? </w:t>
      </w:r>
    </w:p>
    <w:p w14:paraId="004A4A87" w14:textId="77777777" w:rsidR="000C7D2C" w:rsidRPr="000C7D2C" w:rsidRDefault="000C7D2C" w:rsidP="009C14D5">
      <w:pPr>
        <w:rPr>
          <w:rFonts w:eastAsia="Aptos" w:cs="Arial"/>
        </w:rPr>
      </w:pPr>
    </w:p>
    <w:p w14:paraId="3D19D697" w14:textId="77777777" w:rsidR="000C7D2C" w:rsidRPr="000C7D2C" w:rsidRDefault="000C7D2C" w:rsidP="00B76905">
      <w:pPr>
        <w:numPr>
          <w:ilvl w:val="0"/>
          <w:numId w:val="280"/>
        </w:numPr>
        <w:contextualSpacing/>
        <w:rPr>
          <w:rFonts w:eastAsia="Aptos" w:cs="Arial"/>
        </w:rPr>
      </w:pPr>
      <w:r w:rsidRPr="000C7D2C">
        <w:rPr>
          <w:rFonts w:eastAsia="Aptos" w:cs="Arial"/>
        </w:rPr>
        <w:t xml:space="preserve">Yes </w:t>
      </w:r>
    </w:p>
    <w:p w14:paraId="234A2584" w14:textId="77777777" w:rsidR="000C7D2C" w:rsidRPr="000C7D2C" w:rsidRDefault="000C7D2C" w:rsidP="00B76905">
      <w:pPr>
        <w:numPr>
          <w:ilvl w:val="0"/>
          <w:numId w:val="280"/>
        </w:numPr>
        <w:contextualSpacing/>
        <w:rPr>
          <w:rFonts w:eastAsia="Aptos" w:cs="Arial"/>
        </w:rPr>
      </w:pPr>
      <w:r w:rsidRPr="000C7D2C">
        <w:rPr>
          <w:rFonts w:eastAsia="Aptos" w:cs="Arial"/>
        </w:rPr>
        <w:t xml:space="preserve">No </w:t>
      </w:r>
    </w:p>
    <w:p w14:paraId="59827DCA" w14:textId="31BA1A92" w:rsidR="000C7D2C" w:rsidRPr="000C7D2C" w:rsidRDefault="000C7D2C" w:rsidP="00B76905">
      <w:pPr>
        <w:numPr>
          <w:ilvl w:val="0"/>
          <w:numId w:val="280"/>
        </w:numPr>
        <w:contextualSpacing/>
        <w:rPr>
          <w:rFonts w:eastAsia="Aptos" w:cs="Arial"/>
        </w:rPr>
      </w:pPr>
      <w:r w:rsidRPr="000C7D2C">
        <w:rPr>
          <w:rFonts w:eastAsia="Aptos" w:cs="Arial"/>
        </w:rPr>
        <w:t>Prefer not to say</w:t>
      </w:r>
    </w:p>
    <w:p w14:paraId="5076DC24" w14:textId="2617CAE9" w:rsidR="00B5606E" w:rsidRPr="00D0306F" w:rsidRDefault="00004B49" w:rsidP="00004B49">
      <w:pPr>
        <w:pStyle w:val="Heading1"/>
        <w:rPr>
          <w:rFonts w:eastAsia="Aptos"/>
          <w:sz w:val="28"/>
          <w:szCs w:val="28"/>
        </w:rPr>
      </w:pPr>
      <w:bookmarkStart w:id="53" w:name="_Toc235185395"/>
      <w:r w:rsidRPr="00D0306F">
        <w:rPr>
          <w:rFonts w:eastAsia="Aptos"/>
          <w:sz w:val="28"/>
          <w:szCs w:val="28"/>
        </w:rPr>
        <w:lastRenderedPageBreak/>
        <w:t xml:space="preserve">Appendix H </w:t>
      </w:r>
      <w:r w:rsidR="00C660CA" w:rsidRPr="00D0306F">
        <w:rPr>
          <w:rFonts w:eastAsia="Arial"/>
          <w:sz w:val="28"/>
          <w:szCs w:val="28"/>
          <w:lang w:val="en-US"/>
        </w:rPr>
        <w:t>–</w:t>
      </w:r>
      <w:r w:rsidRPr="00D0306F">
        <w:rPr>
          <w:rFonts w:eastAsia="Aptos"/>
          <w:sz w:val="28"/>
          <w:szCs w:val="28"/>
        </w:rPr>
        <w:t xml:space="preserve"> full results of the patient and public survey</w:t>
      </w:r>
      <w:bookmarkEnd w:id="53"/>
      <w:r w:rsidRPr="00D0306F">
        <w:rPr>
          <w:rFonts w:eastAsia="Aptos"/>
          <w:sz w:val="28"/>
          <w:szCs w:val="28"/>
        </w:rPr>
        <w:t xml:space="preserve"> </w:t>
      </w:r>
    </w:p>
    <w:p w14:paraId="49CA6825" w14:textId="77777777" w:rsidR="006C7AA7" w:rsidRPr="00D0306F" w:rsidRDefault="006C7AA7" w:rsidP="006C7AA7">
      <w:pPr>
        <w:rPr>
          <w:rFonts w:cs="Arial"/>
          <w:b/>
          <w:bCs/>
        </w:rPr>
      </w:pPr>
    </w:p>
    <w:p w14:paraId="750A3A51" w14:textId="6F86A1CE" w:rsidR="006C7AA7" w:rsidRPr="00D0306F" w:rsidRDefault="006C7AA7" w:rsidP="006C7AA7">
      <w:pPr>
        <w:rPr>
          <w:rFonts w:cs="Arial"/>
          <w:b/>
          <w:bCs/>
        </w:rPr>
      </w:pPr>
      <w:r w:rsidRPr="00D0306F">
        <w:rPr>
          <w:rFonts w:cs="Arial"/>
        </w:rPr>
        <w:t>By providing us with the first four digits of your postcode, you are consenting for us to use this information to understand which part of Swansea Bay University Health Board you live in. This information will only be used for the purposes of this questionnaire so that we can identify whether we have received responses from across the health board area or from particular areas. Please do not provide us with your full postcode.</w:t>
      </w:r>
      <w:r w:rsidR="00B752FC">
        <w:rPr>
          <w:rFonts w:cs="Arial"/>
        </w:rPr>
        <w:t xml:space="preserve"> </w:t>
      </w:r>
      <w:r w:rsidRPr="00D0306F">
        <w:rPr>
          <w:rFonts w:cs="Arial"/>
        </w:rPr>
        <w:t>For example, if your postcode is SA12 9XL just type SA12 in the box below</w:t>
      </w:r>
      <w:r w:rsidRPr="00D0306F">
        <w:rPr>
          <w:rFonts w:cs="Arial"/>
          <w:b/>
          <w:bCs/>
        </w:rPr>
        <w:t>.</w:t>
      </w:r>
      <w:r w:rsidR="00B752FC">
        <w:rPr>
          <w:rFonts w:cs="Arial"/>
          <w:b/>
          <w:bCs/>
        </w:rPr>
        <w:t xml:space="preserve"> </w:t>
      </w:r>
    </w:p>
    <w:p w14:paraId="246C1E54" w14:textId="77777777" w:rsidR="006C7AA7" w:rsidRPr="00D0306F" w:rsidRDefault="006C7AA7" w:rsidP="006C7AA7">
      <w:pPr>
        <w:rPr>
          <w:rFonts w:cs="Arial"/>
          <w:b/>
          <w:bCs/>
        </w:rPr>
      </w:pPr>
    </w:p>
    <w:p w14:paraId="62D43B61" w14:textId="77777777" w:rsidR="006C7AA7" w:rsidRPr="00D0306F" w:rsidRDefault="006C7AA7" w:rsidP="006C7AA7">
      <w:pPr>
        <w:rPr>
          <w:rFonts w:cs="Arial"/>
          <w:b/>
          <w:bCs/>
        </w:rPr>
      </w:pPr>
      <w:r w:rsidRPr="00D0306F">
        <w:rPr>
          <w:rFonts w:cs="Arial"/>
          <w:b/>
          <w:bCs/>
        </w:rPr>
        <w:t>Location of survey responses</w:t>
      </w:r>
    </w:p>
    <w:p w14:paraId="02F6E14B" w14:textId="77777777" w:rsidR="006C7AA7" w:rsidRPr="00D0306F" w:rsidRDefault="006C7AA7" w:rsidP="006C7AA7">
      <w:pPr>
        <w:rPr>
          <w:rFonts w:cs="Arial"/>
          <w:b/>
          <w:bCs/>
        </w:rPr>
      </w:pPr>
    </w:p>
    <w:tbl>
      <w:tblPr>
        <w:tblStyle w:val="TableGrid"/>
        <w:tblW w:w="0" w:type="auto"/>
        <w:tblInd w:w="0" w:type="dxa"/>
        <w:tblLook w:val="04A0" w:firstRow="1" w:lastRow="0" w:firstColumn="1" w:lastColumn="0" w:noHBand="0" w:noVBand="1"/>
      </w:tblPr>
      <w:tblGrid>
        <w:gridCol w:w="1980"/>
        <w:gridCol w:w="2693"/>
      </w:tblGrid>
      <w:tr w:rsidR="006C7AA7" w:rsidRPr="00D0306F" w14:paraId="6D1EA627" w14:textId="77777777" w:rsidTr="00F755A5">
        <w:trPr>
          <w:trHeight w:val="300"/>
        </w:trPr>
        <w:tc>
          <w:tcPr>
            <w:tcW w:w="1980" w:type="dxa"/>
            <w:shd w:val="clear" w:color="auto" w:fill="153D63" w:themeFill="text2" w:themeFillTint="E6"/>
            <w:noWrap/>
            <w:hideMark/>
          </w:tcPr>
          <w:p w14:paraId="542DA0AF" w14:textId="77777777" w:rsidR="006C7AA7" w:rsidRPr="00D0306F" w:rsidRDefault="006C7AA7" w:rsidP="00CC3BF4">
            <w:pPr>
              <w:rPr>
                <w:rFonts w:cs="Arial"/>
                <w:b/>
                <w:bCs/>
                <w:color w:val="FFFFFF" w:themeColor="background1"/>
              </w:rPr>
            </w:pPr>
            <w:r w:rsidRPr="00D0306F">
              <w:rPr>
                <w:rFonts w:cs="Arial"/>
                <w:b/>
                <w:bCs/>
                <w:color w:val="FFFFFF" w:themeColor="background1"/>
              </w:rPr>
              <w:t>Postcode</w:t>
            </w:r>
          </w:p>
        </w:tc>
        <w:tc>
          <w:tcPr>
            <w:tcW w:w="2693" w:type="dxa"/>
            <w:shd w:val="clear" w:color="auto" w:fill="153D63" w:themeFill="text2" w:themeFillTint="E6"/>
            <w:noWrap/>
            <w:hideMark/>
          </w:tcPr>
          <w:p w14:paraId="757A3A62" w14:textId="77777777" w:rsidR="006C7AA7" w:rsidRPr="00D0306F" w:rsidRDefault="006C7AA7" w:rsidP="00CC3BF4">
            <w:pPr>
              <w:rPr>
                <w:rFonts w:cs="Arial"/>
                <w:b/>
                <w:bCs/>
                <w:color w:val="FFFFFF" w:themeColor="background1"/>
              </w:rPr>
            </w:pPr>
            <w:r w:rsidRPr="00D0306F">
              <w:rPr>
                <w:rFonts w:cs="Arial"/>
                <w:b/>
                <w:bCs/>
                <w:color w:val="FFFFFF" w:themeColor="background1"/>
              </w:rPr>
              <w:t>Number of responses</w:t>
            </w:r>
          </w:p>
        </w:tc>
      </w:tr>
      <w:tr w:rsidR="006C7AA7" w:rsidRPr="00D0306F" w14:paraId="7F8A0D74" w14:textId="77777777" w:rsidTr="00CC3BF4">
        <w:trPr>
          <w:trHeight w:val="300"/>
        </w:trPr>
        <w:tc>
          <w:tcPr>
            <w:tcW w:w="1980" w:type="dxa"/>
            <w:noWrap/>
            <w:hideMark/>
          </w:tcPr>
          <w:p w14:paraId="4BD91D61" w14:textId="77777777" w:rsidR="006C7AA7" w:rsidRPr="00D0306F" w:rsidRDefault="006C7AA7" w:rsidP="00CC3BF4">
            <w:pPr>
              <w:rPr>
                <w:rFonts w:cs="Arial"/>
              </w:rPr>
            </w:pPr>
            <w:r w:rsidRPr="00D0306F">
              <w:rPr>
                <w:rFonts w:cs="Arial"/>
              </w:rPr>
              <w:t>SA1</w:t>
            </w:r>
          </w:p>
        </w:tc>
        <w:tc>
          <w:tcPr>
            <w:tcW w:w="2693" w:type="dxa"/>
            <w:noWrap/>
            <w:hideMark/>
          </w:tcPr>
          <w:p w14:paraId="6348EBC7" w14:textId="77777777" w:rsidR="006C7AA7" w:rsidRPr="00D0306F" w:rsidRDefault="006C7AA7" w:rsidP="00CC3BF4">
            <w:pPr>
              <w:jc w:val="center"/>
              <w:rPr>
                <w:rFonts w:cs="Arial"/>
              </w:rPr>
            </w:pPr>
            <w:r w:rsidRPr="00D0306F">
              <w:rPr>
                <w:rFonts w:cs="Arial"/>
              </w:rPr>
              <w:t>8</w:t>
            </w:r>
          </w:p>
        </w:tc>
      </w:tr>
      <w:tr w:rsidR="006C7AA7" w:rsidRPr="00D0306F" w14:paraId="57D8997F" w14:textId="77777777" w:rsidTr="00CC3BF4">
        <w:trPr>
          <w:trHeight w:val="300"/>
        </w:trPr>
        <w:tc>
          <w:tcPr>
            <w:tcW w:w="1980" w:type="dxa"/>
            <w:noWrap/>
            <w:hideMark/>
          </w:tcPr>
          <w:p w14:paraId="6E330503" w14:textId="77777777" w:rsidR="006C7AA7" w:rsidRPr="00D0306F" w:rsidRDefault="006C7AA7" w:rsidP="00CC3BF4">
            <w:pPr>
              <w:rPr>
                <w:rFonts w:cs="Arial"/>
              </w:rPr>
            </w:pPr>
            <w:r w:rsidRPr="00D0306F">
              <w:rPr>
                <w:rFonts w:cs="Arial"/>
              </w:rPr>
              <w:t>SA2</w:t>
            </w:r>
          </w:p>
        </w:tc>
        <w:tc>
          <w:tcPr>
            <w:tcW w:w="2693" w:type="dxa"/>
            <w:noWrap/>
            <w:hideMark/>
          </w:tcPr>
          <w:p w14:paraId="36543741" w14:textId="77777777" w:rsidR="006C7AA7" w:rsidRPr="00D0306F" w:rsidRDefault="006C7AA7" w:rsidP="00CC3BF4">
            <w:pPr>
              <w:jc w:val="center"/>
              <w:rPr>
                <w:rFonts w:cs="Arial"/>
              </w:rPr>
            </w:pPr>
            <w:r w:rsidRPr="00D0306F">
              <w:rPr>
                <w:rFonts w:cs="Arial"/>
              </w:rPr>
              <w:t>14</w:t>
            </w:r>
          </w:p>
        </w:tc>
      </w:tr>
      <w:tr w:rsidR="006C7AA7" w:rsidRPr="00D0306F" w14:paraId="1B742AEE" w14:textId="77777777" w:rsidTr="00CC3BF4">
        <w:trPr>
          <w:trHeight w:val="300"/>
        </w:trPr>
        <w:tc>
          <w:tcPr>
            <w:tcW w:w="1980" w:type="dxa"/>
            <w:noWrap/>
            <w:hideMark/>
          </w:tcPr>
          <w:p w14:paraId="2B8571A8" w14:textId="77777777" w:rsidR="006C7AA7" w:rsidRPr="00D0306F" w:rsidRDefault="006C7AA7" w:rsidP="00CC3BF4">
            <w:pPr>
              <w:rPr>
                <w:rFonts w:cs="Arial"/>
              </w:rPr>
            </w:pPr>
            <w:r w:rsidRPr="00D0306F">
              <w:rPr>
                <w:rFonts w:cs="Arial"/>
              </w:rPr>
              <w:t>SA3</w:t>
            </w:r>
          </w:p>
        </w:tc>
        <w:tc>
          <w:tcPr>
            <w:tcW w:w="2693" w:type="dxa"/>
            <w:noWrap/>
            <w:hideMark/>
          </w:tcPr>
          <w:p w14:paraId="39660FAD" w14:textId="77777777" w:rsidR="006C7AA7" w:rsidRPr="00D0306F" w:rsidRDefault="006C7AA7" w:rsidP="00CC3BF4">
            <w:pPr>
              <w:jc w:val="center"/>
              <w:rPr>
                <w:rFonts w:cs="Arial"/>
              </w:rPr>
            </w:pPr>
            <w:r w:rsidRPr="00D0306F">
              <w:rPr>
                <w:rFonts w:cs="Arial"/>
              </w:rPr>
              <w:t>4</w:t>
            </w:r>
          </w:p>
        </w:tc>
      </w:tr>
      <w:tr w:rsidR="006C7AA7" w:rsidRPr="00D0306F" w14:paraId="6EDA2417" w14:textId="77777777" w:rsidTr="00CC3BF4">
        <w:trPr>
          <w:trHeight w:val="300"/>
        </w:trPr>
        <w:tc>
          <w:tcPr>
            <w:tcW w:w="1980" w:type="dxa"/>
            <w:noWrap/>
            <w:hideMark/>
          </w:tcPr>
          <w:p w14:paraId="529FA016" w14:textId="77777777" w:rsidR="006C7AA7" w:rsidRPr="00D0306F" w:rsidRDefault="006C7AA7" w:rsidP="00CC3BF4">
            <w:pPr>
              <w:rPr>
                <w:rFonts w:cs="Arial"/>
              </w:rPr>
            </w:pPr>
            <w:r w:rsidRPr="00D0306F">
              <w:rPr>
                <w:rFonts w:cs="Arial"/>
              </w:rPr>
              <w:t>SA4</w:t>
            </w:r>
          </w:p>
        </w:tc>
        <w:tc>
          <w:tcPr>
            <w:tcW w:w="2693" w:type="dxa"/>
            <w:noWrap/>
            <w:hideMark/>
          </w:tcPr>
          <w:p w14:paraId="50CD4B9A" w14:textId="77777777" w:rsidR="006C7AA7" w:rsidRPr="00D0306F" w:rsidRDefault="006C7AA7" w:rsidP="00CC3BF4">
            <w:pPr>
              <w:jc w:val="center"/>
              <w:rPr>
                <w:rFonts w:cs="Arial"/>
              </w:rPr>
            </w:pPr>
            <w:r w:rsidRPr="00D0306F">
              <w:rPr>
                <w:rFonts w:cs="Arial"/>
              </w:rPr>
              <w:t>16</w:t>
            </w:r>
          </w:p>
        </w:tc>
      </w:tr>
      <w:tr w:rsidR="006C7AA7" w:rsidRPr="00D0306F" w14:paraId="4A898BBF" w14:textId="77777777" w:rsidTr="00CC3BF4">
        <w:trPr>
          <w:trHeight w:val="300"/>
        </w:trPr>
        <w:tc>
          <w:tcPr>
            <w:tcW w:w="1980" w:type="dxa"/>
            <w:noWrap/>
            <w:hideMark/>
          </w:tcPr>
          <w:p w14:paraId="41A77BB2" w14:textId="77777777" w:rsidR="006C7AA7" w:rsidRPr="00D0306F" w:rsidRDefault="006C7AA7" w:rsidP="00CC3BF4">
            <w:pPr>
              <w:rPr>
                <w:rFonts w:cs="Arial"/>
              </w:rPr>
            </w:pPr>
            <w:r w:rsidRPr="00D0306F">
              <w:rPr>
                <w:rFonts w:cs="Arial"/>
              </w:rPr>
              <w:t>SA5</w:t>
            </w:r>
          </w:p>
        </w:tc>
        <w:tc>
          <w:tcPr>
            <w:tcW w:w="2693" w:type="dxa"/>
            <w:noWrap/>
            <w:hideMark/>
          </w:tcPr>
          <w:p w14:paraId="51412086" w14:textId="77777777" w:rsidR="006C7AA7" w:rsidRPr="00D0306F" w:rsidRDefault="006C7AA7" w:rsidP="00CC3BF4">
            <w:pPr>
              <w:jc w:val="center"/>
              <w:rPr>
                <w:rFonts w:cs="Arial"/>
              </w:rPr>
            </w:pPr>
            <w:r w:rsidRPr="00D0306F">
              <w:rPr>
                <w:rFonts w:cs="Arial"/>
              </w:rPr>
              <w:t>7</w:t>
            </w:r>
          </w:p>
        </w:tc>
      </w:tr>
      <w:tr w:rsidR="006C7AA7" w:rsidRPr="00D0306F" w14:paraId="7BCC54B1" w14:textId="77777777" w:rsidTr="00CC3BF4">
        <w:trPr>
          <w:trHeight w:val="300"/>
        </w:trPr>
        <w:tc>
          <w:tcPr>
            <w:tcW w:w="1980" w:type="dxa"/>
            <w:noWrap/>
            <w:hideMark/>
          </w:tcPr>
          <w:p w14:paraId="19C2FAC7" w14:textId="77777777" w:rsidR="006C7AA7" w:rsidRPr="00D0306F" w:rsidRDefault="006C7AA7" w:rsidP="00CC3BF4">
            <w:pPr>
              <w:rPr>
                <w:rFonts w:cs="Arial"/>
              </w:rPr>
            </w:pPr>
            <w:r w:rsidRPr="00D0306F">
              <w:rPr>
                <w:rFonts w:cs="Arial"/>
              </w:rPr>
              <w:t xml:space="preserve">SA5 </w:t>
            </w:r>
          </w:p>
        </w:tc>
        <w:tc>
          <w:tcPr>
            <w:tcW w:w="2693" w:type="dxa"/>
            <w:noWrap/>
            <w:hideMark/>
          </w:tcPr>
          <w:p w14:paraId="681B5658" w14:textId="77777777" w:rsidR="006C7AA7" w:rsidRPr="00D0306F" w:rsidRDefault="006C7AA7" w:rsidP="00CC3BF4">
            <w:pPr>
              <w:jc w:val="center"/>
              <w:rPr>
                <w:rFonts w:cs="Arial"/>
              </w:rPr>
            </w:pPr>
            <w:r w:rsidRPr="00D0306F">
              <w:rPr>
                <w:rFonts w:cs="Arial"/>
              </w:rPr>
              <w:t>1</w:t>
            </w:r>
          </w:p>
        </w:tc>
      </w:tr>
      <w:tr w:rsidR="006C7AA7" w:rsidRPr="00D0306F" w14:paraId="742CFD42" w14:textId="77777777" w:rsidTr="00CC3BF4">
        <w:trPr>
          <w:trHeight w:val="300"/>
        </w:trPr>
        <w:tc>
          <w:tcPr>
            <w:tcW w:w="1980" w:type="dxa"/>
            <w:noWrap/>
            <w:hideMark/>
          </w:tcPr>
          <w:p w14:paraId="68DA0BA0" w14:textId="77777777" w:rsidR="006C7AA7" w:rsidRPr="00D0306F" w:rsidRDefault="006C7AA7" w:rsidP="00CC3BF4">
            <w:pPr>
              <w:rPr>
                <w:rFonts w:cs="Arial"/>
              </w:rPr>
            </w:pPr>
            <w:r w:rsidRPr="00D0306F">
              <w:rPr>
                <w:rFonts w:cs="Arial"/>
              </w:rPr>
              <w:t>SA6</w:t>
            </w:r>
          </w:p>
        </w:tc>
        <w:tc>
          <w:tcPr>
            <w:tcW w:w="2693" w:type="dxa"/>
            <w:noWrap/>
            <w:hideMark/>
          </w:tcPr>
          <w:p w14:paraId="0FFCE6C0" w14:textId="77777777" w:rsidR="006C7AA7" w:rsidRPr="00D0306F" w:rsidRDefault="006C7AA7" w:rsidP="00CC3BF4">
            <w:pPr>
              <w:jc w:val="center"/>
              <w:rPr>
                <w:rFonts w:cs="Arial"/>
              </w:rPr>
            </w:pPr>
            <w:r w:rsidRPr="00D0306F">
              <w:rPr>
                <w:rFonts w:cs="Arial"/>
              </w:rPr>
              <w:t>11</w:t>
            </w:r>
          </w:p>
        </w:tc>
      </w:tr>
      <w:tr w:rsidR="006C7AA7" w:rsidRPr="00D0306F" w14:paraId="3EDEE4B6" w14:textId="77777777" w:rsidTr="00CC3BF4">
        <w:trPr>
          <w:trHeight w:val="300"/>
        </w:trPr>
        <w:tc>
          <w:tcPr>
            <w:tcW w:w="1980" w:type="dxa"/>
            <w:noWrap/>
            <w:hideMark/>
          </w:tcPr>
          <w:p w14:paraId="7CFCBEF0" w14:textId="77777777" w:rsidR="006C7AA7" w:rsidRPr="00D0306F" w:rsidRDefault="006C7AA7" w:rsidP="00CC3BF4">
            <w:pPr>
              <w:rPr>
                <w:rFonts w:cs="Arial"/>
              </w:rPr>
            </w:pPr>
            <w:r w:rsidRPr="00D0306F">
              <w:rPr>
                <w:rFonts w:cs="Arial"/>
              </w:rPr>
              <w:t xml:space="preserve">SA6 </w:t>
            </w:r>
          </w:p>
        </w:tc>
        <w:tc>
          <w:tcPr>
            <w:tcW w:w="2693" w:type="dxa"/>
            <w:noWrap/>
            <w:hideMark/>
          </w:tcPr>
          <w:p w14:paraId="07360809" w14:textId="77777777" w:rsidR="006C7AA7" w:rsidRPr="00D0306F" w:rsidRDefault="006C7AA7" w:rsidP="00CC3BF4">
            <w:pPr>
              <w:jc w:val="center"/>
              <w:rPr>
                <w:rFonts w:cs="Arial"/>
              </w:rPr>
            </w:pPr>
            <w:r w:rsidRPr="00D0306F">
              <w:rPr>
                <w:rFonts w:cs="Arial"/>
              </w:rPr>
              <w:t>1</w:t>
            </w:r>
          </w:p>
        </w:tc>
      </w:tr>
      <w:tr w:rsidR="006C7AA7" w:rsidRPr="00D0306F" w14:paraId="2B5F2FF1" w14:textId="77777777" w:rsidTr="00CC3BF4">
        <w:trPr>
          <w:trHeight w:val="300"/>
        </w:trPr>
        <w:tc>
          <w:tcPr>
            <w:tcW w:w="1980" w:type="dxa"/>
            <w:noWrap/>
            <w:hideMark/>
          </w:tcPr>
          <w:p w14:paraId="07F8F0BD" w14:textId="77777777" w:rsidR="006C7AA7" w:rsidRPr="00D0306F" w:rsidRDefault="006C7AA7" w:rsidP="00CC3BF4">
            <w:pPr>
              <w:rPr>
                <w:rFonts w:cs="Arial"/>
              </w:rPr>
            </w:pPr>
            <w:r w:rsidRPr="00D0306F">
              <w:rPr>
                <w:rFonts w:cs="Arial"/>
              </w:rPr>
              <w:t>SA7</w:t>
            </w:r>
          </w:p>
        </w:tc>
        <w:tc>
          <w:tcPr>
            <w:tcW w:w="2693" w:type="dxa"/>
            <w:noWrap/>
            <w:hideMark/>
          </w:tcPr>
          <w:p w14:paraId="7438353C" w14:textId="77777777" w:rsidR="006C7AA7" w:rsidRPr="00D0306F" w:rsidRDefault="006C7AA7" w:rsidP="00CC3BF4">
            <w:pPr>
              <w:jc w:val="center"/>
              <w:rPr>
                <w:rFonts w:cs="Arial"/>
              </w:rPr>
            </w:pPr>
            <w:r w:rsidRPr="00D0306F">
              <w:rPr>
                <w:rFonts w:cs="Arial"/>
              </w:rPr>
              <w:t>5</w:t>
            </w:r>
          </w:p>
        </w:tc>
      </w:tr>
      <w:tr w:rsidR="006C7AA7" w:rsidRPr="00D0306F" w14:paraId="4AE351C6" w14:textId="77777777" w:rsidTr="00CC3BF4">
        <w:trPr>
          <w:trHeight w:val="300"/>
        </w:trPr>
        <w:tc>
          <w:tcPr>
            <w:tcW w:w="1980" w:type="dxa"/>
            <w:noWrap/>
            <w:hideMark/>
          </w:tcPr>
          <w:p w14:paraId="7DBEEED0" w14:textId="77777777" w:rsidR="006C7AA7" w:rsidRPr="00D0306F" w:rsidRDefault="006C7AA7" w:rsidP="00CC3BF4">
            <w:pPr>
              <w:rPr>
                <w:rFonts w:cs="Arial"/>
              </w:rPr>
            </w:pPr>
            <w:r w:rsidRPr="00D0306F">
              <w:rPr>
                <w:rFonts w:cs="Arial"/>
              </w:rPr>
              <w:t>SA8</w:t>
            </w:r>
          </w:p>
        </w:tc>
        <w:tc>
          <w:tcPr>
            <w:tcW w:w="2693" w:type="dxa"/>
            <w:noWrap/>
            <w:hideMark/>
          </w:tcPr>
          <w:p w14:paraId="20DC9F98" w14:textId="77777777" w:rsidR="006C7AA7" w:rsidRPr="00D0306F" w:rsidRDefault="006C7AA7" w:rsidP="00CC3BF4">
            <w:pPr>
              <w:jc w:val="center"/>
              <w:rPr>
                <w:rFonts w:cs="Arial"/>
              </w:rPr>
            </w:pPr>
            <w:r w:rsidRPr="00D0306F">
              <w:rPr>
                <w:rFonts w:cs="Arial"/>
              </w:rPr>
              <w:t>9</w:t>
            </w:r>
          </w:p>
        </w:tc>
      </w:tr>
      <w:tr w:rsidR="006C7AA7" w:rsidRPr="00D0306F" w14:paraId="7A6A766A" w14:textId="77777777" w:rsidTr="00CC3BF4">
        <w:trPr>
          <w:trHeight w:val="300"/>
        </w:trPr>
        <w:tc>
          <w:tcPr>
            <w:tcW w:w="1980" w:type="dxa"/>
            <w:noWrap/>
            <w:hideMark/>
          </w:tcPr>
          <w:p w14:paraId="0DC504AE" w14:textId="77777777" w:rsidR="006C7AA7" w:rsidRPr="00D0306F" w:rsidRDefault="006C7AA7" w:rsidP="00CC3BF4">
            <w:pPr>
              <w:rPr>
                <w:rFonts w:cs="Arial"/>
              </w:rPr>
            </w:pPr>
            <w:r w:rsidRPr="00D0306F">
              <w:rPr>
                <w:rFonts w:cs="Arial"/>
              </w:rPr>
              <w:t>SA9</w:t>
            </w:r>
          </w:p>
        </w:tc>
        <w:tc>
          <w:tcPr>
            <w:tcW w:w="2693" w:type="dxa"/>
            <w:noWrap/>
            <w:hideMark/>
          </w:tcPr>
          <w:p w14:paraId="5A514254" w14:textId="77777777" w:rsidR="006C7AA7" w:rsidRPr="00D0306F" w:rsidRDefault="006C7AA7" w:rsidP="00CC3BF4">
            <w:pPr>
              <w:jc w:val="center"/>
              <w:rPr>
                <w:rFonts w:cs="Arial"/>
              </w:rPr>
            </w:pPr>
            <w:r w:rsidRPr="00D0306F">
              <w:rPr>
                <w:rFonts w:cs="Arial"/>
              </w:rPr>
              <w:t>1</w:t>
            </w:r>
          </w:p>
        </w:tc>
      </w:tr>
      <w:tr w:rsidR="006C7AA7" w:rsidRPr="00D0306F" w14:paraId="5D5AB7E4" w14:textId="77777777" w:rsidTr="00CC3BF4">
        <w:trPr>
          <w:trHeight w:val="300"/>
        </w:trPr>
        <w:tc>
          <w:tcPr>
            <w:tcW w:w="1980" w:type="dxa"/>
            <w:noWrap/>
            <w:hideMark/>
          </w:tcPr>
          <w:p w14:paraId="614DC1E8" w14:textId="77777777" w:rsidR="006C7AA7" w:rsidRPr="00D0306F" w:rsidRDefault="006C7AA7" w:rsidP="00CC3BF4">
            <w:pPr>
              <w:rPr>
                <w:rFonts w:cs="Arial"/>
              </w:rPr>
            </w:pPr>
            <w:r w:rsidRPr="00D0306F">
              <w:rPr>
                <w:rFonts w:cs="Arial"/>
              </w:rPr>
              <w:t>SA10</w:t>
            </w:r>
          </w:p>
        </w:tc>
        <w:tc>
          <w:tcPr>
            <w:tcW w:w="2693" w:type="dxa"/>
            <w:noWrap/>
            <w:hideMark/>
          </w:tcPr>
          <w:p w14:paraId="7F14D5CB" w14:textId="77777777" w:rsidR="006C7AA7" w:rsidRPr="00D0306F" w:rsidRDefault="006C7AA7" w:rsidP="00CC3BF4">
            <w:pPr>
              <w:jc w:val="center"/>
              <w:rPr>
                <w:rFonts w:cs="Arial"/>
              </w:rPr>
            </w:pPr>
            <w:r w:rsidRPr="00D0306F">
              <w:rPr>
                <w:rFonts w:cs="Arial"/>
              </w:rPr>
              <w:t>11</w:t>
            </w:r>
          </w:p>
        </w:tc>
      </w:tr>
      <w:tr w:rsidR="006C7AA7" w:rsidRPr="00D0306F" w14:paraId="2722DF4D" w14:textId="77777777" w:rsidTr="00CC3BF4">
        <w:trPr>
          <w:trHeight w:val="300"/>
        </w:trPr>
        <w:tc>
          <w:tcPr>
            <w:tcW w:w="1980" w:type="dxa"/>
            <w:noWrap/>
            <w:hideMark/>
          </w:tcPr>
          <w:p w14:paraId="7C4D9C70" w14:textId="77777777" w:rsidR="006C7AA7" w:rsidRPr="00D0306F" w:rsidRDefault="006C7AA7" w:rsidP="00CC3BF4">
            <w:pPr>
              <w:rPr>
                <w:rFonts w:cs="Arial"/>
              </w:rPr>
            </w:pPr>
            <w:r w:rsidRPr="00D0306F">
              <w:rPr>
                <w:rFonts w:cs="Arial"/>
              </w:rPr>
              <w:t>SA11</w:t>
            </w:r>
          </w:p>
        </w:tc>
        <w:tc>
          <w:tcPr>
            <w:tcW w:w="2693" w:type="dxa"/>
            <w:noWrap/>
            <w:hideMark/>
          </w:tcPr>
          <w:p w14:paraId="48776322" w14:textId="77777777" w:rsidR="006C7AA7" w:rsidRPr="00D0306F" w:rsidRDefault="006C7AA7" w:rsidP="00CC3BF4">
            <w:pPr>
              <w:jc w:val="center"/>
              <w:rPr>
                <w:rFonts w:cs="Arial"/>
              </w:rPr>
            </w:pPr>
            <w:r w:rsidRPr="00D0306F">
              <w:rPr>
                <w:rFonts w:cs="Arial"/>
              </w:rPr>
              <w:t>16</w:t>
            </w:r>
          </w:p>
        </w:tc>
      </w:tr>
      <w:tr w:rsidR="006C7AA7" w:rsidRPr="00D0306F" w14:paraId="2C13B6DE" w14:textId="77777777" w:rsidTr="00CC3BF4">
        <w:trPr>
          <w:trHeight w:val="300"/>
        </w:trPr>
        <w:tc>
          <w:tcPr>
            <w:tcW w:w="1980" w:type="dxa"/>
            <w:noWrap/>
            <w:hideMark/>
          </w:tcPr>
          <w:p w14:paraId="7FDD5F8A" w14:textId="77777777" w:rsidR="006C7AA7" w:rsidRPr="00D0306F" w:rsidRDefault="006C7AA7" w:rsidP="00CC3BF4">
            <w:pPr>
              <w:rPr>
                <w:rFonts w:cs="Arial"/>
              </w:rPr>
            </w:pPr>
            <w:r w:rsidRPr="00D0306F">
              <w:rPr>
                <w:rFonts w:cs="Arial"/>
              </w:rPr>
              <w:t>SA12</w:t>
            </w:r>
          </w:p>
        </w:tc>
        <w:tc>
          <w:tcPr>
            <w:tcW w:w="2693" w:type="dxa"/>
            <w:noWrap/>
            <w:hideMark/>
          </w:tcPr>
          <w:p w14:paraId="6AA737C7" w14:textId="77777777" w:rsidR="006C7AA7" w:rsidRPr="00D0306F" w:rsidRDefault="006C7AA7" w:rsidP="00CC3BF4">
            <w:pPr>
              <w:jc w:val="center"/>
              <w:rPr>
                <w:rFonts w:cs="Arial"/>
              </w:rPr>
            </w:pPr>
            <w:r w:rsidRPr="00D0306F">
              <w:rPr>
                <w:rFonts w:cs="Arial"/>
              </w:rPr>
              <w:t>6</w:t>
            </w:r>
          </w:p>
        </w:tc>
      </w:tr>
      <w:tr w:rsidR="006C7AA7" w:rsidRPr="00D0306F" w14:paraId="1AC1D9D9" w14:textId="77777777" w:rsidTr="00CC3BF4">
        <w:trPr>
          <w:trHeight w:val="300"/>
        </w:trPr>
        <w:tc>
          <w:tcPr>
            <w:tcW w:w="1980" w:type="dxa"/>
            <w:noWrap/>
            <w:hideMark/>
          </w:tcPr>
          <w:p w14:paraId="0B5B39DE" w14:textId="77777777" w:rsidR="006C7AA7" w:rsidRPr="00D0306F" w:rsidRDefault="006C7AA7" w:rsidP="00CC3BF4">
            <w:pPr>
              <w:rPr>
                <w:rFonts w:cs="Arial"/>
              </w:rPr>
            </w:pPr>
            <w:r w:rsidRPr="00D0306F">
              <w:rPr>
                <w:rFonts w:cs="Arial"/>
              </w:rPr>
              <w:t>SA13</w:t>
            </w:r>
          </w:p>
        </w:tc>
        <w:tc>
          <w:tcPr>
            <w:tcW w:w="2693" w:type="dxa"/>
            <w:noWrap/>
            <w:hideMark/>
          </w:tcPr>
          <w:p w14:paraId="45C7BD9C" w14:textId="77777777" w:rsidR="006C7AA7" w:rsidRPr="00D0306F" w:rsidRDefault="006C7AA7" w:rsidP="00CC3BF4">
            <w:pPr>
              <w:jc w:val="center"/>
              <w:rPr>
                <w:rFonts w:cs="Arial"/>
              </w:rPr>
            </w:pPr>
            <w:r w:rsidRPr="00D0306F">
              <w:rPr>
                <w:rFonts w:cs="Arial"/>
              </w:rPr>
              <w:t>2</w:t>
            </w:r>
          </w:p>
        </w:tc>
      </w:tr>
      <w:tr w:rsidR="006C7AA7" w:rsidRPr="00D0306F" w14:paraId="55399B00" w14:textId="77777777" w:rsidTr="00CC3BF4">
        <w:trPr>
          <w:trHeight w:val="300"/>
        </w:trPr>
        <w:tc>
          <w:tcPr>
            <w:tcW w:w="1980" w:type="dxa"/>
            <w:noWrap/>
            <w:hideMark/>
          </w:tcPr>
          <w:p w14:paraId="19CF1AF3" w14:textId="77777777" w:rsidR="006C7AA7" w:rsidRPr="00D0306F" w:rsidRDefault="006C7AA7" w:rsidP="00CC3BF4">
            <w:pPr>
              <w:rPr>
                <w:rFonts w:cs="Arial"/>
              </w:rPr>
            </w:pPr>
            <w:r w:rsidRPr="00D0306F">
              <w:rPr>
                <w:rFonts w:cs="Arial"/>
              </w:rPr>
              <w:t>SA18</w:t>
            </w:r>
          </w:p>
        </w:tc>
        <w:tc>
          <w:tcPr>
            <w:tcW w:w="2693" w:type="dxa"/>
            <w:noWrap/>
            <w:hideMark/>
          </w:tcPr>
          <w:p w14:paraId="394989D6" w14:textId="77777777" w:rsidR="006C7AA7" w:rsidRPr="00D0306F" w:rsidRDefault="006C7AA7" w:rsidP="00CC3BF4">
            <w:pPr>
              <w:jc w:val="center"/>
              <w:rPr>
                <w:rFonts w:cs="Arial"/>
              </w:rPr>
            </w:pPr>
            <w:r w:rsidRPr="00D0306F">
              <w:rPr>
                <w:rFonts w:cs="Arial"/>
              </w:rPr>
              <w:t>4</w:t>
            </w:r>
          </w:p>
        </w:tc>
      </w:tr>
      <w:tr w:rsidR="006C7AA7" w:rsidRPr="00D0306F" w14:paraId="6336DC1D" w14:textId="77777777" w:rsidTr="00CC3BF4">
        <w:trPr>
          <w:trHeight w:val="300"/>
        </w:trPr>
        <w:tc>
          <w:tcPr>
            <w:tcW w:w="1980" w:type="dxa"/>
            <w:noWrap/>
            <w:hideMark/>
          </w:tcPr>
          <w:p w14:paraId="1DFC3B0D" w14:textId="77777777" w:rsidR="006C7AA7" w:rsidRPr="00D0306F" w:rsidRDefault="006C7AA7" w:rsidP="00CC3BF4">
            <w:pPr>
              <w:rPr>
                <w:rFonts w:cs="Arial"/>
              </w:rPr>
            </w:pPr>
            <w:r w:rsidRPr="00D0306F">
              <w:rPr>
                <w:rFonts w:cs="Arial"/>
              </w:rPr>
              <w:t>Skipped</w:t>
            </w:r>
          </w:p>
        </w:tc>
        <w:tc>
          <w:tcPr>
            <w:tcW w:w="2693" w:type="dxa"/>
            <w:noWrap/>
            <w:hideMark/>
          </w:tcPr>
          <w:p w14:paraId="70721259" w14:textId="77777777" w:rsidR="006C7AA7" w:rsidRPr="00D0306F" w:rsidRDefault="006C7AA7" w:rsidP="00CC3BF4">
            <w:pPr>
              <w:jc w:val="center"/>
              <w:rPr>
                <w:rFonts w:cs="Arial"/>
              </w:rPr>
            </w:pPr>
            <w:r w:rsidRPr="00D0306F">
              <w:rPr>
                <w:rFonts w:cs="Arial"/>
              </w:rPr>
              <w:t>3</w:t>
            </w:r>
          </w:p>
        </w:tc>
      </w:tr>
      <w:tr w:rsidR="006C7AA7" w:rsidRPr="00D0306F" w14:paraId="5FFF2A50" w14:textId="77777777" w:rsidTr="00CC3BF4">
        <w:trPr>
          <w:trHeight w:val="300"/>
        </w:trPr>
        <w:tc>
          <w:tcPr>
            <w:tcW w:w="1980" w:type="dxa"/>
            <w:noWrap/>
            <w:hideMark/>
          </w:tcPr>
          <w:p w14:paraId="4AA72112" w14:textId="77777777" w:rsidR="006C7AA7" w:rsidRPr="00D0306F" w:rsidRDefault="006C7AA7" w:rsidP="00CC3BF4">
            <w:pPr>
              <w:rPr>
                <w:rFonts w:cs="Arial"/>
                <w:b/>
                <w:bCs/>
              </w:rPr>
            </w:pPr>
            <w:r w:rsidRPr="00D0306F">
              <w:rPr>
                <w:rFonts w:cs="Arial"/>
                <w:b/>
                <w:bCs/>
              </w:rPr>
              <w:t>Total</w:t>
            </w:r>
          </w:p>
        </w:tc>
        <w:tc>
          <w:tcPr>
            <w:tcW w:w="2693" w:type="dxa"/>
            <w:noWrap/>
            <w:hideMark/>
          </w:tcPr>
          <w:p w14:paraId="08AC95E5" w14:textId="77777777" w:rsidR="006C7AA7" w:rsidRPr="00D0306F" w:rsidRDefault="006C7AA7" w:rsidP="00CC3BF4">
            <w:pPr>
              <w:jc w:val="center"/>
              <w:rPr>
                <w:rFonts w:cs="Arial"/>
                <w:b/>
                <w:bCs/>
              </w:rPr>
            </w:pPr>
            <w:r w:rsidRPr="00D0306F">
              <w:rPr>
                <w:rFonts w:cs="Arial"/>
                <w:b/>
                <w:bCs/>
              </w:rPr>
              <w:t>119</w:t>
            </w:r>
          </w:p>
        </w:tc>
      </w:tr>
    </w:tbl>
    <w:p w14:paraId="5B071AC6" w14:textId="77777777" w:rsidR="006C7AA7" w:rsidRPr="00D0306F" w:rsidRDefault="006C7AA7" w:rsidP="006C7AA7">
      <w:pPr>
        <w:rPr>
          <w:rFonts w:cs="Arial"/>
          <w:b/>
          <w:bCs/>
        </w:rPr>
      </w:pPr>
    </w:p>
    <w:p w14:paraId="3A9B045B" w14:textId="77777777" w:rsidR="006C7AA7" w:rsidRPr="00D0306F" w:rsidRDefault="006C7AA7" w:rsidP="006C7AA7">
      <w:pPr>
        <w:rPr>
          <w:rFonts w:eastAsia="Calibri" w:cs="Arial"/>
          <w:kern w:val="0"/>
          <w14:ligatures w14:val="none"/>
        </w:rPr>
      </w:pPr>
      <w:r w:rsidRPr="00D0306F">
        <w:rPr>
          <w:rFonts w:eastAsia="Calibri" w:cs="Arial"/>
          <w:kern w:val="0"/>
          <w14:ligatures w14:val="none"/>
        </w:rPr>
        <w:t>Please note that all responses are verbatim and have not been edited other than to anonymise pharmacies, GP practices and locations.</w:t>
      </w:r>
    </w:p>
    <w:p w14:paraId="6802FC82" w14:textId="77777777" w:rsidR="006C7AA7" w:rsidRPr="00D0306F" w:rsidRDefault="006C7AA7" w:rsidP="006C7AA7">
      <w:pPr>
        <w:rPr>
          <w:rFonts w:cs="Arial"/>
          <w:b/>
          <w:bCs/>
        </w:rPr>
      </w:pPr>
    </w:p>
    <w:p w14:paraId="559E052E" w14:textId="77777777" w:rsidR="006C7AA7" w:rsidRPr="00D0306F" w:rsidRDefault="006C7AA7" w:rsidP="006C7AA7">
      <w:pPr>
        <w:rPr>
          <w:rFonts w:cs="Arial"/>
          <w:b/>
          <w:bCs/>
        </w:rPr>
      </w:pPr>
    </w:p>
    <w:p w14:paraId="2A399C84" w14:textId="77777777" w:rsidR="006C7AA7" w:rsidRPr="00D0306F" w:rsidRDefault="006C7AA7" w:rsidP="006C7AA7">
      <w:pPr>
        <w:rPr>
          <w:rFonts w:cs="Arial"/>
          <w:b/>
          <w:bCs/>
        </w:rPr>
      </w:pPr>
    </w:p>
    <w:p w14:paraId="7F362F85" w14:textId="77777777" w:rsidR="006C7AA7" w:rsidRPr="00D0306F" w:rsidRDefault="006C7AA7" w:rsidP="006C7AA7">
      <w:pPr>
        <w:rPr>
          <w:rFonts w:cs="Arial"/>
          <w:b/>
          <w:bCs/>
        </w:rPr>
      </w:pPr>
    </w:p>
    <w:p w14:paraId="5CC9EAAA" w14:textId="77777777" w:rsidR="006C7AA7" w:rsidRPr="00D0306F" w:rsidRDefault="006C7AA7" w:rsidP="006C7AA7">
      <w:pPr>
        <w:rPr>
          <w:rFonts w:cs="Arial"/>
          <w:b/>
          <w:bCs/>
        </w:rPr>
      </w:pPr>
    </w:p>
    <w:p w14:paraId="493C6495" w14:textId="77777777" w:rsidR="006C7AA7" w:rsidRPr="00D0306F" w:rsidRDefault="006C7AA7" w:rsidP="006C7AA7">
      <w:pPr>
        <w:rPr>
          <w:rFonts w:cs="Arial"/>
          <w:b/>
          <w:bCs/>
        </w:rPr>
      </w:pPr>
    </w:p>
    <w:p w14:paraId="2CEB8664" w14:textId="77777777" w:rsidR="006C7AA7" w:rsidRPr="00D0306F" w:rsidRDefault="006C7AA7" w:rsidP="006C7AA7">
      <w:pPr>
        <w:rPr>
          <w:rFonts w:cs="Arial"/>
          <w:b/>
          <w:bCs/>
        </w:rPr>
      </w:pPr>
    </w:p>
    <w:p w14:paraId="628F7122" w14:textId="77777777" w:rsidR="006C7AA7" w:rsidRPr="00D0306F" w:rsidRDefault="006C7AA7" w:rsidP="006C7AA7">
      <w:pPr>
        <w:rPr>
          <w:rFonts w:cs="Arial"/>
          <w:b/>
          <w:bCs/>
        </w:rPr>
      </w:pPr>
    </w:p>
    <w:p w14:paraId="33F41825" w14:textId="77777777" w:rsidR="006C7AA7" w:rsidRPr="00D0306F" w:rsidRDefault="006C7AA7" w:rsidP="006C7AA7">
      <w:pPr>
        <w:rPr>
          <w:rFonts w:cs="Arial"/>
          <w:b/>
          <w:bCs/>
        </w:rPr>
      </w:pPr>
    </w:p>
    <w:p w14:paraId="364F0168" w14:textId="77777777" w:rsidR="006C7AA7" w:rsidRPr="00D0306F" w:rsidRDefault="006C7AA7" w:rsidP="006C7AA7">
      <w:pPr>
        <w:rPr>
          <w:rFonts w:cs="Arial"/>
          <w:b/>
          <w:bCs/>
        </w:rPr>
      </w:pPr>
    </w:p>
    <w:p w14:paraId="0FF5D4F1" w14:textId="77777777" w:rsidR="006C7AA7" w:rsidRPr="00D0306F" w:rsidRDefault="006C7AA7" w:rsidP="006C7AA7">
      <w:pPr>
        <w:rPr>
          <w:rFonts w:cs="Arial"/>
          <w:b/>
          <w:bCs/>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315"/>
        <w:gridCol w:w="2140"/>
        <w:gridCol w:w="3839"/>
        <w:gridCol w:w="1313"/>
        <w:gridCol w:w="1313"/>
      </w:tblGrid>
      <w:tr w:rsidR="006C7AA7" w:rsidRPr="00D0306F" w14:paraId="6C0C8293" w14:textId="77777777" w:rsidTr="00CC3BF4">
        <w:trPr>
          <w:trHeight w:val="828"/>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64F6D314" w14:textId="77777777" w:rsidR="006C7AA7" w:rsidRPr="00D0306F" w:rsidRDefault="006C7AA7" w:rsidP="00CC3BF4">
            <w:pPr>
              <w:rPr>
                <w:rFonts w:eastAsia="Times New Roman" w:cs="Arial"/>
                <w:b/>
                <w:bCs/>
                <w:color w:val="FFFFFF"/>
              </w:rPr>
            </w:pPr>
            <w:r w:rsidRPr="00D0306F">
              <w:rPr>
                <w:rFonts w:eastAsia="Times New Roman" w:cs="Arial"/>
                <w:b/>
                <w:bCs/>
                <w:color w:val="FFFFFF"/>
              </w:rPr>
              <w:lastRenderedPageBreak/>
              <w:t xml:space="preserve">1. Please could you tell us your preferred language when you access services at a pharmacy? </w:t>
            </w:r>
          </w:p>
        </w:tc>
      </w:tr>
      <w:tr w:rsidR="006C7AA7" w:rsidRPr="00D0306F" w14:paraId="3FF5EECF"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36FA3937"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871B78A"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7D9B0AB0"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11849227" w14:textId="77777777" w:rsidTr="00CC3BF4">
        <w:trPr>
          <w:tblCellSpacing w:w="0" w:type="dxa"/>
          <w:jc w:val="center"/>
        </w:trPr>
        <w:tc>
          <w:tcPr>
            <w:tcW w:w="315"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8D75231" w14:textId="77777777" w:rsidR="006C7AA7" w:rsidRPr="00D0306F" w:rsidRDefault="006C7AA7" w:rsidP="00CC3BF4">
            <w:pPr>
              <w:jc w:val="center"/>
              <w:rPr>
                <w:rFonts w:eastAsia="Times New Roman" w:cs="Arial"/>
              </w:rPr>
            </w:pPr>
            <w:r w:rsidRPr="00D0306F">
              <w:rPr>
                <w:rFonts w:eastAsia="Times New Roman" w:cs="Arial"/>
              </w:rPr>
              <w:t>1</w:t>
            </w:r>
          </w:p>
        </w:tc>
        <w:tc>
          <w:tcPr>
            <w:tcW w:w="214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778F738" w14:textId="77777777" w:rsidR="006C7AA7" w:rsidRPr="00D0306F" w:rsidRDefault="006C7AA7" w:rsidP="00CC3BF4">
            <w:pPr>
              <w:rPr>
                <w:rFonts w:eastAsia="Times New Roman" w:cs="Arial"/>
              </w:rPr>
            </w:pPr>
            <w:r w:rsidRPr="00D0306F">
              <w:rPr>
                <w:rFonts w:eastAsia="Times New Roman" w:cs="Arial"/>
              </w:rPr>
              <w:t>Welsh</w:t>
            </w:r>
          </w:p>
        </w:tc>
        <w:tc>
          <w:tcPr>
            <w:tcW w:w="383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5" w:type="pct"/>
              <w:tblCellMar>
                <w:left w:w="0" w:type="dxa"/>
                <w:right w:w="0" w:type="dxa"/>
              </w:tblCellMar>
              <w:tblLook w:val="04A0" w:firstRow="1" w:lastRow="0" w:firstColumn="1" w:lastColumn="0" w:noHBand="0" w:noVBand="1"/>
            </w:tblPr>
            <w:tblGrid>
              <w:gridCol w:w="82"/>
            </w:tblGrid>
            <w:tr w:rsidR="006C7AA7" w:rsidRPr="00D0306F" w14:paraId="5EBBCD17"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56B0FBE1"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5B7C9D7"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6C718D1" w14:textId="77777777" w:rsidR="006C7AA7" w:rsidRPr="00D0306F" w:rsidRDefault="006C7AA7" w:rsidP="00CC3BF4">
            <w:pPr>
              <w:jc w:val="center"/>
              <w:rPr>
                <w:rFonts w:eastAsia="Times New Roman" w:cs="Arial"/>
              </w:rPr>
            </w:pPr>
            <w:r w:rsidRPr="00D0306F">
              <w:rPr>
                <w:rFonts w:eastAsia="Times New Roman" w:cs="Arial"/>
              </w:rPr>
              <w:t>1.7%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F0FF05B" w14:textId="77777777" w:rsidR="006C7AA7" w:rsidRPr="00D0306F" w:rsidRDefault="006C7AA7" w:rsidP="00CC3BF4">
            <w:pPr>
              <w:jc w:val="center"/>
              <w:rPr>
                <w:rFonts w:eastAsia="Times New Roman" w:cs="Arial"/>
              </w:rPr>
            </w:pPr>
            <w:r w:rsidRPr="00D0306F">
              <w:rPr>
                <w:rFonts w:eastAsia="Times New Roman" w:cs="Arial"/>
              </w:rPr>
              <w:t>2</w:t>
            </w:r>
          </w:p>
        </w:tc>
      </w:tr>
      <w:tr w:rsidR="006C7AA7" w:rsidRPr="00D0306F" w14:paraId="60C71B3F" w14:textId="77777777" w:rsidTr="00CC3BF4">
        <w:trPr>
          <w:tblCellSpacing w:w="0" w:type="dxa"/>
          <w:jc w:val="center"/>
        </w:trPr>
        <w:tc>
          <w:tcPr>
            <w:tcW w:w="315"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5E79366" w14:textId="77777777" w:rsidR="006C7AA7" w:rsidRPr="00D0306F" w:rsidRDefault="006C7AA7" w:rsidP="00CC3BF4">
            <w:pPr>
              <w:jc w:val="center"/>
              <w:rPr>
                <w:rFonts w:eastAsia="Times New Roman" w:cs="Arial"/>
              </w:rPr>
            </w:pPr>
            <w:r w:rsidRPr="00D0306F">
              <w:rPr>
                <w:rFonts w:eastAsia="Times New Roman" w:cs="Arial"/>
              </w:rPr>
              <w:t>2</w:t>
            </w:r>
          </w:p>
        </w:tc>
        <w:tc>
          <w:tcPr>
            <w:tcW w:w="214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00E707E" w14:textId="77777777" w:rsidR="006C7AA7" w:rsidRPr="00D0306F" w:rsidRDefault="006C7AA7" w:rsidP="00CC3BF4">
            <w:pPr>
              <w:rPr>
                <w:rFonts w:eastAsia="Times New Roman" w:cs="Arial"/>
              </w:rPr>
            </w:pPr>
            <w:r w:rsidRPr="00D0306F">
              <w:rPr>
                <w:rFonts w:eastAsia="Times New Roman" w:cs="Arial"/>
              </w:rPr>
              <w:t>English</w:t>
            </w:r>
          </w:p>
        </w:tc>
        <w:tc>
          <w:tcPr>
            <w:tcW w:w="383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914" w:type="pct"/>
              <w:tblCellMar>
                <w:left w:w="0" w:type="dxa"/>
                <w:right w:w="0" w:type="dxa"/>
              </w:tblCellMar>
              <w:tblLook w:val="04A0" w:firstRow="1" w:lastRow="0" w:firstColumn="1" w:lastColumn="0" w:noHBand="0" w:noVBand="1"/>
            </w:tblPr>
            <w:tblGrid>
              <w:gridCol w:w="3625"/>
            </w:tblGrid>
            <w:tr w:rsidR="006C7AA7" w:rsidRPr="00D0306F" w14:paraId="30A9A9BE"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04FE73B5"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77E1A055"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5D0D391" w14:textId="77777777" w:rsidR="006C7AA7" w:rsidRPr="00D0306F" w:rsidRDefault="006C7AA7" w:rsidP="00CC3BF4">
            <w:pPr>
              <w:jc w:val="center"/>
              <w:rPr>
                <w:rFonts w:eastAsia="Times New Roman" w:cs="Arial"/>
              </w:rPr>
            </w:pPr>
            <w:r w:rsidRPr="00D0306F">
              <w:rPr>
                <w:rFonts w:eastAsia="Times New Roman" w:cs="Arial"/>
              </w:rPr>
              <w:t>98.3%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75130B9" w14:textId="77777777" w:rsidR="006C7AA7" w:rsidRPr="00D0306F" w:rsidRDefault="006C7AA7" w:rsidP="00CC3BF4">
            <w:pPr>
              <w:jc w:val="center"/>
              <w:rPr>
                <w:rFonts w:eastAsia="Times New Roman" w:cs="Arial"/>
              </w:rPr>
            </w:pPr>
            <w:r w:rsidRPr="00D0306F">
              <w:rPr>
                <w:rFonts w:eastAsia="Times New Roman" w:cs="Arial"/>
              </w:rPr>
              <w:t>116</w:t>
            </w:r>
          </w:p>
        </w:tc>
      </w:tr>
      <w:tr w:rsidR="006C7AA7" w:rsidRPr="00D0306F" w14:paraId="422C460C" w14:textId="77777777" w:rsidTr="00CC3BF4">
        <w:trPr>
          <w:tblCellSpacing w:w="0" w:type="dxa"/>
          <w:jc w:val="center"/>
        </w:trPr>
        <w:tc>
          <w:tcPr>
            <w:tcW w:w="315"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16D2B42" w14:textId="77777777" w:rsidR="006C7AA7" w:rsidRPr="00D0306F" w:rsidRDefault="006C7AA7" w:rsidP="00CC3BF4">
            <w:pPr>
              <w:jc w:val="center"/>
              <w:rPr>
                <w:rFonts w:eastAsia="Times New Roman" w:cs="Arial"/>
              </w:rPr>
            </w:pPr>
            <w:r w:rsidRPr="00D0306F">
              <w:rPr>
                <w:rFonts w:eastAsia="Times New Roman" w:cs="Arial"/>
              </w:rPr>
              <w:t>3</w:t>
            </w:r>
          </w:p>
        </w:tc>
        <w:tc>
          <w:tcPr>
            <w:tcW w:w="214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42167FA" w14:textId="77777777" w:rsidR="006C7AA7" w:rsidRPr="00D0306F" w:rsidRDefault="006C7AA7" w:rsidP="00CC3BF4">
            <w:pPr>
              <w:rPr>
                <w:rFonts w:eastAsia="Times New Roman" w:cs="Arial"/>
              </w:rPr>
            </w:pPr>
            <w:r w:rsidRPr="00D0306F">
              <w:rPr>
                <w:rFonts w:eastAsia="Times New Roman" w:cs="Arial"/>
              </w:rPr>
              <w:t>Other:</w:t>
            </w:r>
          </w:p>
        </w:tc>
        <w:tc>
          <w:tcPr>
            <w:tcW w:w="383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709EDC53"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9775BAF"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305020C"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5FDDC1A1"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37882356"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CC06012"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B329DD4" w14:textId="77777777" w:rsidR="006C7AA7" w:rsidRPr="00D0306F" w:rsidRDefault="006C7AA7" w:rsidP="00CC3BF4">
            <w:pPr>
              <w:jc w:val="center"/>
              <w:rPr>
                <w:rFonts w:eastAsia="Times New Roman" w:cs="Arial"/>
              </w:rPr>
            </w:pPr>
            <w:r w:rsidRPr="00D0306F">
              <w:rPr>
                <w:rFonts w:eastAsia="Times New Roman" w:cs="Arial"/>
              </w:rPr>
              <w:t>118</w:t>
            </w:r>
          </w:p>
        </w:tc>
      </w:tr>
      <w:tr w:rsidR="006C7AA7" w:rsidRPr="00D0306F" w14:paraId="6F212CB3"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595A21D1"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1D03114"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AF7CA85" w14:textId="77777777" w:rsidR="006C7AA7" w:rsidRPr="00D0306F" w:rsidRDefault="006C7AA7" w:rsidP="00CC3BF4">
            <w:pPr>
              <w:jc w:val="center"/>
              <w:rPr>
                <w:rFonts w:eastAsia="Times New Roman" w:cs="Arial"/>
              </w:rPr>
            </w:pPr>
            <w:r w:rsidRPr="00D0306F">
              <w:rPr>
                <w:rFonts w:eastAsia="Times New Roman" w:cs="Arial"/>
              </w:rPr>
              <w:t>1</w:t>
            </w:r>
          </w:p>
        </w:tc>
      </w:tr>
    </w:tbl>
    <w:p w14:paraId="66BCCDCE" w14:textId="77777777" w:rsidR="006C7AA7" w:rsidRPr="00D0306F" w:rsidRDefault="006C7AA7" w:rsidP="006C7AA7">
      <w:pPr>
        <w:rPr>
          <w:rFonts w:cs="Arial"/>
          <w:b/>
          <w:bCs/>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417"/>
        <w:gridCol w:w="2161"/>
        <w:gridCol w:w="3716"/>
        <w:gridCol w:w="1313"/>
        <w:gridCol w:w="1313"/>
      </w:tblGrid>
      <w:tr w:rsidR="006C7AA7" w:rsidRPr="00D0306F" w14:paraId="79DCF546"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74303E8F" w14:textId="77777777" w:rsidR="006C7AA7" w:rsidRPr="00D0306F" w:rsidRDefault="006C7AA7" w:rsidP="00CC3BF4">
            <w:pPr>
              <w:rPr>
                <w:rFonts w:eastAsia="Times New Roman" w:cs="Arial"/>
                <w:b/>
                <w:bCs/>
                <w:color w:val="FFFFFF"/>
                <w:kern w:val="0"/>
                <w:lang w:eastAsia="en-GB"/>
                <w14:ligatures w14:val="none"/>
              </w:rPr>
            </w:pPr>
            <w:r w:rsidRPr="00D0306F">
              <w:rPr>
                <w:rFonts w:eastAsia="Times New Roman" w:cs="Arial"/>
                <w:b/>
                <w:bCs/>
                <w:color w:val="FFFFFF"/>
                <w:kern w:val="0"/>
                <w:lang w:eastAsia="en-GB"/>
                <w14:ligatures w14:val="none"/>
              </w:rPr>
              <w:t xml:space="preserve">2. Why do you usually visit a pharmacy? Please tick any or all that apply. </w:t>
            </w:r>
          </w:p>
        </w:tc>
      </w:tr>
      <w:tr w:rsidR="006C7AA7" w:rsidRPr="00D0306F" w14:paraId="1C9EFC5F"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2CBA6C0D" w14:textId="77777777" w:rsidR="006C7AA7" w:rsidRPr="00D0306F" w:rsidRDefault="006C7AA7" w:rsidP="00CC3BF4">
            <w:pPr>
              <w:rPr>
                <w:rFonts w:eastAsia="Times New Roman" w:cs="Arial"/>
                <w:b/>
                <w:bCs/>
                <w:kern w:val="0"/>
                <w:lang w:eastAsia="en-GB"/>
                <w14:ligatures w14:val="none"/>
              </w:rPr>
            </w:pPr>
            <w:r w:rsidRPr="00D0306F">
              <w:rPr>
                <w:rFonts w:eastAsia="Times New Roman" w:cs="Arial"/>
                <w:b/>
                <w:bCs/>
                <w:kern w:val="0"/>
                <w:lang w:eastAsia="en-GB"/>
                <w14:ligatures w14:val="none"/>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06CFFEAD" w14:textId="77777777" w:rsidR="006C7AA7" w:rsidRPr="00D0306F" w:rsidRDefault="006C7AA7" w:rsidP="00CC3BF4">
            <w:pPr>
              <w:jc w:val="center"/>
              <w:rPr>
                <w:rFonts w:eastAsia="Times New Roman" w:cs="Arial"/>
                <w:b/>
                <w:bCs/>
                <w:kern w:val="0"/>
                <w:lang w:eastAsia="en-GB"/>
                <w14:ligatures w14:val="none"/>
              </w:rPr>
            </w:pPr>
            <w:r w:rsidRPr="00D0306F">
              <w:rPr>
                <w:rFonts w:eastAsia="Times New Roman" w:cs="Arial"/>
                <w:b/>
                <w:bCs/>
                <w:kern w:val="0"/>
                <w:lang w:eastAsia="en-GB"/>
                <w14:ligatures w14:val="none"/>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7469DF0D" w14:textId="77777777" w:rsidR="006C7AA7" w:rsidRPr="00D0306F" w:rsidRDefault="006C7AA7" w:rsidP="00CC3BF4">
            <w:pPr>
              <w:jc w:val="center"/>
              <w:rPr>
                <w:rFonts w:eastAsia="Times New Roman" w:cs="Arial"/>
                <w:b/>
                <w:bCs/>
                <w:kern w:val="0"/>
                <w:lang w:eastAsia="en-GB"/>
                <w14:ligatures w14:val="none"/>
              </w:rPr>
            </w:pPr>
            <w:r w:rsidRPr="00D0306F">
              <w:rPr>
                <w:rFonts w:eastAsia="Times New Roman" w:cs="Arial"/>
                <w:b/>
                <w:bCs/>
                <w:kern w:val="0"/>
                <w:lang w:eastAsia="en-GB"/>
                <w14:ligatures w14:val="none"/>
              </w:rPr>
              <w:t>Response Total</w:t>
            </w:r>
          </w:p>
        </w:tc>
      </w:tr>
      <w:tr w:rsidR="006C7AA7" w:rsidRPr="00D0306F" w14:paraId="40C5E66B"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A448BBA"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1</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2B10F6C" w14:textId="77777777" w:rsidR="006C7AA7" w:rsidRPr="00D0306F" w:rsidRDefault="006C7AA7" w:rsidP="00CC3BF4">
            <w:pPr>
              <w:rPr>
                <w:rFonts w:eastAsia="Times New Roman" w:cs="Arial"/>
                <w:kern w:val="0"/>
                <w:lang w:eastAsia="en-GB"/>
                <w14:ligatures w14:val="none"/>
              </w:rPr>
            </w:pPr>
            <w:r w:rsidRPr="00D0306F">
              <w:rPr>
                <w:rFonts w:eastAsia="Times New Roman" w:cs="Arial"/>
                <w:kern w:val="0"/>
                <w:lang w:eastAsia="en-GB"/>
                <w14:ligatures w14:val="none"/>
              </w:rPr>
              <w:t>To get or collect a prescription for myself</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618" w:type="pct"/>
              <w:tblCellMar>
                <w:left w:w="0" w:type="dxa"/>
                <w:right w:w="0" w:type="dxa"/>
              </w:tblCellMar>
              <w:tblLook w:val="04A0" w:firstRow="1" w:lastRow="0" w:firstColumn="1" w:lastColumn="0" w:noHBand="0" w:noVBand="1"/>
            </w:tblPr>
            <w:tblGrid>
              <w:gridCol w:w="3293"/>
            </w:tblGrid>
            <w:tr w:rsidR="006C7AA7" w:rsidRPr="00D0306F" w14:paraId="1C821A20"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6DA98C8E" w14:textId="77777777" w:rsidR="006C7AA7" w:rsidRPr="00D0306F" w:rsidRDefault="006C7AA7" w:rsidP="00CC3BF4">
                  <w:pPr>
                    <w:spacing w:line="15" w:lineRule="atLeast"/>
                    <w:rPr>
                      <w:rFonts w:eastAsia="Times New Roman" w:cs="Arial"/>
                      <w:kern w:val="0"/>
                      <w:lang w:eastAsia="en-GB"/>
                      <w14:ligatures w14:val="none"/>
                    </w:rPr>
                  </w:pPr>
                  <w:r w:rsidRPr="00D0306F">
                    <w:rPr>
                      <w:rFonts w:eastAsia="Times New Roman" w:cs="Arial"/>
                      <w:kern w:val="0"/>
                      <w:lang w:eastAsia="en-GB"/>
                      <w14:ligatures w14:val="none"/>
                    </w:rPr>
                    <w:t> </w:t>
                  </w:r>
                </w:p>
              </w:tc>
            </w:tr>
          </w:tbl>
          <w:p w14:paraId="4630FEE3" w14:textId="77777777" w:rsidR="006C7AA7" w:rsidRPr="00D0306F" w:rsidRDefault="006C7AA7" w:rsidP="00CC3BF4">
            <w:pPr>
              <w:rPr>
                <w:rFonts w:eastAsia="Times New Roman" w:cs="Arial"/>
                <w:kern w:val="0"/>
                <w:lang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0AF2C52"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92.4%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B44282C"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110</w:t>
            </w:r>
          </w:p>
        </w:tc>
      </w:tr>
      <w:tr w:rsidR="006C7AA7" w:rsidRPr="00D0306F" w14:paraId="6997B2C4"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32566D3"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2</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CE658DC" w14:textId="77777777" w:rsidR="006C7AA7" w:rsidRPr="00D0306F" w:rsidRDefault="006C7AA7" w:rsidP="00CC3BF4">
            <w:pPr>
              <w:rPr>
                <w:rFonts w:eastAsia="Times New Roman" w:cs="Arial"/>
                <w:kern w:val="0"/>
                <w:lang w:eastAsia="en-GB"/>
                <w14:ligatures w14:val="none"/>
              </w:rPr>
            </w:pPr>
            <w:r w:rsidRPr="00D0306F">
              <w:rPr>
                <w:rFonts w:eastAsia="Times New Roman" w:cs="Arial"/>
                <w:kern w:val="0"/>
                <w:lang w:eastAsia="en-GB"/>
                <w14:ligatures w14:val="none"/>
              </w:rPr>
              <w:t>To buy medicines for myself</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542" w:type="pct"/>
              <w:tblCellMar>
                <w:left w:w="0" w:type="dxa"/>
                <w:right w:w="0" w:type="dxa"/>
              </w:tblCellMar>
              <w:tblLook w:val="04A0" w:firstRow="1" w:lastRow="0" w:firstColumn="1" w:lastColumn="0" w:noHBand="0" w:noVBand="1"/>
            </w:tblPr>
            <w:tblGrid>
              <w:gridCol w:w="1812"/>
            </w:tblGrid>
            <w:tr w:rsidR="006C7AA7" w:rsidRPr="00D0306F" w14:paraId="609F5B64"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3BEBD035" w14:textId="77777777" w:rsidR="006C7AA7" w:rsidRPr="00D0306F" w:rsidRDefault="006C7AA7" w:rsidP="00CC3BF4">
                  <w:pPr>
                    <w:spacing w:line="15" w:lineRule="atLeast"/>
                    <w:rPr>
                      <w:rFonts w:eastAsia="Times New Roman" w:cs="Arial"/>
                      <w:kern w:val="0"/>
                      <w:lang w:eastAsia="en-GB"/>
                      <w14:ligatures w14:val="none"/>
                    </w:rPr>
                  </w:pPr>
                  <w:r w:rsidRPr="00D0306F">
                    <w:rPr>
                      <w:rFonts w:eastAsia="Times New Roman" w:cs="Arial"/>
                      <w:kern w:val="0"/>
                      <w:lang w:eastAsia="en-GB"/>
                      <w14:ligatures w14:val="none"/>
                    </w:rPr>
                    <w:t> </w:t>
                  </w:r>
                </w:p>
              </w:tc>
            </w:tr>
          </w:tbl>
          <w:p w14:paraId="5C81F8DF" w14:textId="77777777" w:rsidR="006C7AA7" w:rsidRPr="00D0306F" w:rsidRDefault="006C7AA7" w:rsidP="00CC3BF4">
            <w:pPr>
              <w:rPr>
                <w:rFonts w:eastAsia="Times New Roman" w:cs="Arial"/>
                <w:kern w:val="0"/>
                <w:lang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1357249"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51.3%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A6E03E0"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61</w:t>
            </w:r>
          </w:p>
        </w:tc>
      </w:tr>
      <w:tr w:rsidR="006C7AA7" w:rsidRPr="00D0306F" w14:paraId="3E954875"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BB20176"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3</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6EEFA29" w14:textId="77777777" w:rsidR="006C7AA7" w:rsidRPr="00D0306F" w:rsidRDefault="006C7AA7" w:rsidP="00CC3BF4">
            <w:pPr>
              <w:rPr>
                <w:rFonts w:eastAsia="Times New Roman" w:cs="Arial"/>
                <w:kern w:val="0"/>
                <w:lang w:eastAsia="en-GB"/>
                <w14:ligatures w14:val="none"/>
              </w:rPr>
            </w:pPr>
            <w:r w:rsidRPr="00D0306F">
              <w:rPr>
                <w:rFonts w:eastAsia="Times New Roman" w:cs="Arial"/>
                <w:kern w:val="0"/>
                <w:lang w:eastAsia="en-GB"/>
                <w14:ligatures w14:val="none"/>
              </w:rPr>
              <w:t>To get advice for myself</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542" w:type="pct"/>
              <w:tblCellMar>
                <w:left w:w="0" w:type="dxa"/>
                <w:right w:w="0" w:type="dxa"/>
              </w:tblCellMar>
              <w:tblLook w:val="04A0" w:firstRow="1" w:lastRow="0" w:firstColumn="1" w:lastColumn="0" w:noHBand="0" w:noVBand="1"/>
            </w:tblPr>
            <w:tblGrid>
              <w:gridCol w:w="1812"/>
            </w:tblGrid>
            <w:tr w:rsidR="006C7AA7" w:rsidRPr="00D0306F" w14:paraId="1B1F7537" w14:textId="77777777" w:rsidTr="00CC3BF4">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48FFDF1F" w14:textId="77777777" w:rsidR="006C7AA7" w:rsidRPr="00D0306F" w:rsidRDefault="006C7AA7" w:rsidP="00CC3BF4">
                  <w:pPr>
                    <w:spacing w:line="15" w:lineRule="atLeast"/>
                    <w:rPr>
                      <w:rFonts w:eastAsia="Times New Roman" w:cs="Arial"/>
                      <w:kern w:val="0"/>
                      <w:lang w:eastAsia="en-GB"/>
                      <w14:ligatures w14:val="none"/>
                    </w:rPr>
                  </w:pPr>
                  <w:r w:rsidRPr="00D0306F">
                    <w:rPr>
                      <w:rFonts w:eastAsia="Times New Roman" w:cs="Arial"/>
                      <w:kern w:val="0"/>
                      <w:lang w:eastAsia="en-GB"/>
                      <w14:ligatures w14:val="none"/>
                    </w:rPr>
                    <w:t> </w:t>
                  </w:r>
                </w:p>
              </w:tc>
            </w:tr>
          </w:tbl>
          <w:p w14:paraId="20E0875D" w14:textId="77777777" w:rsidR="006C7AA7" w:rsidRPr="00D0306F" w:rsidRDefault="006C7AA7" w:rsidP="00CC3BF4">
            <w:pPr>
              <w:rPr>
                <w:rFonts w:eastAsia="Times New Roman" w:cs="Arial"/>
                <w:kern w:val="0"/>
                <w:lang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0B5C018"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50.4%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797333C"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60</w:t>
            </w:r>
          </w:p>
        </w:tc>
      </w:tr>
      <w:tr w:rsidR="006C7AA7" w:rsidRPr="00D0306F" w14:paraId="42177B4C"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0098B2C"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4</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92CC239" w14:textId="77777777" w:rsidR="006C7AA7" w:rsidRPr="00D0306F" w:rsidRDefault="006C7AA7" w:rsidP="00CC3BF4">
            <w:pPr>
              <w:rPr>
                <w:rFonts w:eastAsia="Times New Roman" w:cs="Arial"/>
                <w:kern w:val="0"/>
                <w:lang w:eastAsia="en-GB"/>
                <w14:ligatures w14:val="none"/>
              </w:rPr>
            </w:pPr>
            <w:r w:rsidRPr="00D0306F">
              <w:rPr>
                <w:rFonts w:eastAsia="Times New Roman" w:cs="Arial"/>
                <w:kern w:val="0"/>
                <w:lang w:eastAsia="en-GB"/>
                <w14:ligatures w14:val="none"/>
              </w:rPr>
              <w:t>For other services such as flu vaccination</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71" w:type="pct"/>
              <w:tblCellMar>
                <w:left w:w="0" w:type="dxa"/>
                <w:right w:w="0" w:type="dxa"/>
              </w:tblCellMar>
              <w:tblLook w:val="04A0" w:firstRow="1" w:lastRow="0" w:firstColumn="1" w:lastColumn="0" w:noHBand="0" w:noVBand="1"/>
            </w:tblPr>
            <w:tblGrid>
              <w:gridCol w:w="906"/>
            </w:tblGrid>
            <w:tr w:rsidR="006C7AA7" w:rsidRPr="00D0306F" w14:paraId="15412F35" w14:textId="77777777" w:rsidTr="00CC3BF4">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1523B0C5" w14:textId="77777777" w:rsidR="006C7AA7" w:rsidRPr="00D0306F" w:rsidRDefault="006C7AA7" w:rsidP="00CC3BF4">
                  <w:pPr>
                    <w:spacing w:line="15" w:lineRule="atLeast"/>
                    <w:rPr>
                      <w:rFonts w:eastAsia="Times New Roman" w:cs="Arial"/>
                      <w:kern w:val="0"/>
                      <w:lang w:eastAsia="en-GB"/>
                      <w14:ligatures w14:val="none"/>
                    </w:rPr>
                  </w:pPr>
                  <w:r w:rsidRPr="00D0306F">
                    <w:rPr>
                      <w:rFonts w:eastAsia="Times New Roman" w:cs="Arial"/>
                      <w:kern w:val="0"/>
                      <w:lang w:eastAsia="en-GB"/>
                      <w14:ligatures w14:val="none"/>
                    </w:rPr>
                    <w:t> </w:t>
                  </w:r>
                </w:p>
              </w:tc>
            </w:tr>
          </w:tbl>
          <w:p w14:paraId="00BCCA09" w14:textId="77777777" w:rsidR="006C7AA7" w:rsidRPr="00D0306F" w:rsidRDefault="006C7AA7" w:rsidP="00CC3BF4">
            <w:pPr>
              <w:rPr>
                <w:rFonts w:eastAsia="Times New Roman" w:cs="Arial"/>
                <w:kern w:val="0"/>
                <w:lang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59F6B04"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25.2%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FD9657F"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30</w:t>
            </w:r>
          </w:p>
        </w:tc>
      </w:tr>
      <w:tr w:rsidR="006C7AA7" w:rsidRPr="00D0306F" w14:paraId="2F1F7B8A"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9E1FB5D"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5</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D74CFB7" w14:textId="77777777" w:rsidR="006C7AA7" w:rsidRPr="00D0306F" w:rsidRDefault="006C7AA7" w:rsidP="00CC3BF4">
            <w:pPr>
              <w:rPr>
                <w:rFonts w:eastAsia="Times New Roman" w:cs="Arial"/>
                <w:kern w:val="0"/>
                <w:lang w:eastAsia="en-GB"/>
                <w14:ligatures w14:val="none"/>
              </w:rPr>
            </w:pPr>
            <w:r w:rsidRPr="00D0306F">
              <w:rPr>
                <w:rFonts w:eastAsia="Times New Roman" w:cs="Arial"/>
                <w:kern w:val="0"/>
                <w:lang w:eastAsia="en-GB"/>
                <w14:ligatures w14:val="none"/>
              </w:rPr>
              <w:t>To get or collect a prescription for someone else</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669" w:type="pct"/>
              <w:tblCellMar>
                <w:left w:w="0" w:type="dxa"/>
                <w:right w:w="0" w:type="dxa"/>
              </w:tblCellMar>
              <w:tblLook w:val="04A0" w:firstRow="1" w:lastRow="0" w:firstColumn="1" w:lastColumn="0" w:noHBand="0" w:noVBand="1"/>
            </w:tblPr>
            <w:tblGrid>
              <w:gridCol w:w="1903"/>
            </w:tblGrid>
            <w:tr w:rsidR="006C7AA7" w:rsidRPr="00D0306F" w14:paraId="2F6C0A33"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55516A68" w14:textId="77777777" w:rsidR="006C7AA7" w:rsidRPr="00D0306F" w:rsidRDefault="006C7AA7" w:rsidP="00CC3BF4">
                  <w:pPr>
                    <w:spacing w:line="15" w:lineRule="atLeast"/>
                    <w:rPr>
                      <w:rFonts w:eastAsia="Times New Roman" w:cs="Arial"/>
                      <w:kern w:val="0"/>
                      <w:lang w:eastAsia="en-GB"/>
                      <w14:ligatures w14:val="none"/>
                    </w:rPr>
                  </w:pPr>
                  <w:r w:rsidRPr="00D0306F">
                    <w:rPr>
                      <w:rFonts w:eastAsia="Times New Roman" w:cs="Arial"/>
                      <w:kern w:val="0"/>
                      <w:lang w:eastAsia="en-GB"/>
                      <w14:ligatures w14:val="none"/>
                    </w:rPr>
                    <w:t> </w:t>
                  </w:r>
                </w:p>
              </w:tc>
            </w:tr>
          </w:tbl>
          <w:p w14:paraId="5ED00803" w14:textId="77777777" w:rsidR="006C7AA7" w:rsidRPr="00D0306F" w:rsidRDefault="006C7AA7" w:rsidP="00CC3BF4">
            <w:pPr>
              <w:rPr>
                <w:rFonts w:eastAsia="Times New Roman" w:cs="Arial"/>
                <w:kern w:val="0"/>
                <w:lang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DD051D9"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53.8%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BE0EE36"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64</w:t>
            </w:r>
          </w:p>
        </w:tc>
      </w:tr>
      <w:tr w:rsidR="006C7AA7" w:rsidRPr="00D0306F" w14:paraId="08FFF353"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5D32297"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6</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FE2E34E" w14:textId="77777777" w:rsidR="006C7AA7" w:rsidRPr="00D0306F" w:rsidRDefault="006C7AA7" w:rsidP="00CC3BF4">
            <w:pPr>
              <w:rPr>
                <w:rFonts w:eastAsia="Times New Roman" w:cs="Arial"/>
                <w:kern w:val="0"/>
                <w:lang w:eastAsia="en-GB"/>
                <w14:ligatures w14:val="none"/>
              </w:rPr>
            </w:pPr>
            <w:r w:rsidRPr="00D0306F">
              <w:rPr>
                <w:rFonts w:eastAsia="Times New Roman" w:cs="Arial"/>
                <w:kern w:val="0"/>
                <w:lang w:eastAsia="en-GB"/>
                <w14:ligatures w14:val="none"/>
              </w:rPr>
              <w:t>To buy medicines for someone else</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144" w:type="pct"/>
              <w:tblCellMar>
                <w:left w:w="0" w:type="dxa"/>
                <w:right w:w="0" w:type="dxa"/>
              </w:tblCellMar>
              <w:tblLook w:val="04A0" w:firstRow="1" w:lastRow="0" w:firstColumn="1" w:lastColumn="0" w:noHBand="0" w:noVBand="1"/>
            </w:tblPr>
            <w:tblGrid>
              <w:gridCol w:w="816"/>
            </w:tblGrid>
            <w:tr w:rsidR="006C7AA7" w:rsidRPr="00D0306F" w14:paraId="50659F63" w14:textId="77777777" w:rsidTr="00CC3BF4">
              <w:tc>
                <w:tcPr>
                  <w:tcW w:w="0" w:type="auto"/>
                  <w:tcBorders>
                    <w:top w:val="single" w:sz="6" w:space="0" w:color="00BCD4"/>
                    <w:left w:val="single" w:sz="6" w:space="0" w:color="00BCD4"/>
                    <w:bottom w:val="single" w:sz="6" w:space="0" w:color="00BCD4"/>
                    <w:right w:val="single" w:sz="6" w:space="0" w:color="00BCD4"/>
                  </w:tcBorders>
                  <w:shd w:val="clear" w:color="auto" w:fill="00BCD4"/>
                  <w:vAlign w:val="center"/>
                  <w:hideMark/>
                </w:tcPr>
                <w:p w14:paraId="6E37091D" w14:textId="77777777" w:rsidR="006C7AA7" w:rsidRPr="00D0306F" w:rsidRDefault="006C7AA7" w:rsidP="00CC3BF4">
                  <w:pPr>
                    <w:spacing w:line="15" w:lineRule="atLeast"/>
                    <w:rPr>
                      <w:rFonts w:eastAsia="Times New Roman" w:cs="Arial"/>
                      <w:kern w:val="0"/>
                      <w:lang w:eastAsia="en-GB"/>
                      <w14:ligatures w14:val="none"/>
                    </w:rPr>
                  </w:pPr>
                  <w:r w:rsidRPr="00D0306F">
                    <w:rPr>
                      <w:rFonts w:eastAsia="Times New Roman" w:cs="Arial"/>
                      <w:kern w:val="0"/>
                      <w:lang w:eastAsia="en-GB"/>
                      <w14:ligatures w14:val="none"/>
                    </w:rPr>
                    <w:t> </w:t>
                  </w:r>
                </w:p>
              </w:tc>
            </w:tr>
          </w:tbl>
          <w:p w14:paraId="65A06A8F" w14:textId="77777777" w:rsidR="006C7AA7" w:rsidRPr="00D0306F" w:rsidRDefault="006C7AA7" w:rsidP="00CC3BF4">
            <w:pPr>
              <w:rPr>
                <w:rFonts w:eastAsia="Times New Roman" w:cs="Arial"/>
                <w:kern w:val="0"/>
                <w:lang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624E8BC"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22.7%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10146A4"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27</w:t>
            </w:r>
          </w:p>
        </w:tc>
      </w:tr>
      <w:tr w:rsidR="006C7AA7" w:rsidRPr="00D0306F" w14:paraId="09A75340"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E266049"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7</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148C603" w14:textId="77777777" w:rsidR="006C7AA7" w:rsidRPr="00D0306F" w:rsidRDefault="006C7AA7" w:rsidP="00CC3BF4">
            <w:pPr>
              <w:rPr>
                <w:rFonts w:eastAsia="Times New Roman" w:cs="Arial"/>
                <w:kern w:val="0"/>
                <w:lang w:eastAsia="en-GB"/>
                <w14:ligatures w14:val="none"/>
              </w:rPr>
            </w:pPr>
            <w:r w:rsidRPr="00D0306F">
              <w:rPr>
                <w:rFonts w:eastAsia="Times New Roman" w:cs="Arial"/>
                <w:kern w:val="0"/>
                <w:lang w:eastAsia="en-GB"/>
                <w14:ligatures w14:val="none"/>
              </w:rPr>
              <w:t>To get advice for someone else</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90" w:type="pct"/>
              <w:tblCellMar>
                <w:left w:w="0" w:type="dxa"/>
                <w:right w:w="0" w:type="dxa"/>
              </w:tblCellMar>
              <w:tblLook w:val="04A0" w:firstRow="1" w:lastRow="0" w:firstColumn="1" w:lastColumn="0" w:noHBand="0" w:noVBand="1"/>
            </w:tblPr>
            <w:tblGrid>
              <w:gridCol w:w="635"/>
            </w:tblGrid>
            <w:tr w:rsidR="006C7AA7" w:rsidRPr="00D0306F" w14:paraId="57CADCC3" w14:textId="77777777" w:rsidTr="00CC3BF4">
              <w:tc>
                <w:tcPr>
                  <w:tcW w:w="0" w:type="auto"/>
                  <w:tcBorders>
                    <w:top w:val="single" w:sz="6" w:space="0" w:color="811CA4"/>
                    <w:left w:val="single" w:sz="6" w:space="0" w:color="811CA4"/>
                    <w:bottom w:val="single" w:sz="6" w:space="0" w:color="811CA4"/>
                    <w:right w:val="single" w:sz="6" w:space="0" w:color="811CA4"/>
                  </w:tcBorders>
                  <w:shd w:val="clear" w:color="auto" w:fill="811CA4"/>
                  <w:vAlign w:val="center"/>
                  <w:hideMark/>
                </w:tcPr>
                <w:p w14:paraId="5FE10D5F" w14:textId="77777777" w:rsidR="006C7AA7" w:rsidRPr="00D0306F" w:rsidRDefault="006C7AA7" w:rsidP="00CC3BF4">
                  <w:pPr>
                    <w:spacing w:line="15" w:lineRule="atLeast"/>
                    <w:rPr>
                      <w:rFonts w:eastAsia="Times New Roman" w:cs="Arial"/>
                      <w:kern w:val="0"/>
                      <w:lang w:eastAsia="en-GB"/>
                      <w14:ligatures w14:val="none"/>
                    </w:rPr>
                  </w:pPr>
                  <w:r w:rsidRPr="00D0306F">
                    <w:rPr>
                      <w:rFonts w:eastAsia="Times New Roman" w:cs="Arial"/>
                      <w:kern w:val="0"/>
                      <w:lang w:eastAsia="en-GB"/>
                      <w14:ligatures w14:val="none"/>
                    </w:rPr>
                    <w:t> </w:t>
                  </w:r>
                </w:p>
              </w:tc>
            </w:tr>
          </w:tbl>
          <w:p w14:paraId="1C8415AF" w14:textId="77777777" w:rsidR="006C7AA7" w:rsidRPr="00D0306F" w:rsidRDefault="006C7AA7" w:rsidP="00CC3BF4">
            <w:pPr>
              <w:rPr>
                <w:rFonts w:eastAsia="Times New Roman" w:cs="Arial"/>
                <w:kern w:val="0"/>
                <w:lang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240A32F"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17.7%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4C0F5EC"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21</w:t>
            </w:r>
          </w:p>
        </w:tc>
      </w:tr>
      <w:tr w:rsidR="006C7AA7" w:rsidRPr="00D0306F" w14:paraId="39A7F38D"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3318308"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8</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D7CC05E" w14:textId="77777777" w:rsidR="006C7AA7" w:rsidRPr="00D0306F" w:rsidRDefault="006C7AA7" w:rsidP="00CC3BF4">
            <w:pPr>
              <w:rPr>
                <w:rFonts w:eastAsia="Times New Roman" w:cs="Arial"/>
                <w:kern w:val="0"/>
                <w:lang w:eastAsia="en-GB"/>
                <w14:ligatures w14:val="none"/>
              </w:rPr>
            </w:pPr>
            <w:r w:rsidRPr="00D0306F">
              <w:rPr>
                <w:rFonts w:eastAsia="Times New Roman" w:cs="Arial"/>
                <w:kern w:val="0"/>
                <w:lang w:eastAsia="en-GB"/>
                <w14:ligatures w14:val="none"/>
              </w:rPr>
              <w:t>I don’t visit a pharmacy as I use an online/internet pharmacy</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 w:type="pct"/>
              <w:tblCellMar>
                <w:left w:w="0" w:type="dxa"/>
                <w:right w:w="0" w:type="dxa"/>
              </w:tblCellMar>
              <w:tblLook w:val="04A0" w:firstRow="1" w:lastRow="0" w:firstColumn="1" w:lastColumn="0" w:noHBand="0" w:noVBand="1"/>
            </w:tblPr>
            <w:tblGrid>
              <w:gridCol w:w="82"/>
            </w:tblGrid>
            <w:tr w:rsidR="006C7AA7" w:rsidRPr="00D0306F" w14:paraId="252B02F2" w14:textId="77777777" w:rsidTr="00CC3BF4">
              <w:tc>
                <w:tcPr>
                  <w:tcW w:w="0" w:type="auto"/>
                  <w:tcBorders>
                    <w:top w:val="single" w:sz="6" w:space="0" w:color="E91E63"/>
                    <w:left w:val="single" w:sz="6" w:space="0" w:color="E91E63"/>
                    <w:bottom w:val="single" w:sz="6" w:space="0" w:color="E91E63"/>
                    <w:right w:val="single" w:sz="6" w:space="0" w:color="E91E63"/>
                  </w:tcBorders>
                  <w:shd w:val="clear" w:color="auto" w:fill="E91E63"/>
                  <w:vAlign w:val="center"/>
                  <w:hideMark/>
                </w:tcPr>
                <w:p w14:paraId="45ECB6BB" w14:textId="77777777" w:rsidR="006C7AA7" w:rsidRPr="00D0306F" w:rsidRDefault="006C7AA7" w:rsidP="00CC3BF4">
                  <w:pPr>
                    <w:spacing w:line="15" w:lineRule="atLeast"/>
                    <w:rPr>
                      <w:rFonts w:eastAsia="Times New Roman" w:cs="Arial"/>
                      <w:kern w:val="0"/>
                      <w:lang w:eastAsia="en-GB"/>
                      <w14:ligatures w14:val="none"/>
                    </w:rPr>
                  </w:pPr>
                  <w:r w:rsidRPr="00D0306F">
                    <w:rPr>
                      <w:rFonts w:eastAsia="Times New Roman" w:cs="Arial"/>
                      <w:kern w:val="0"/>
                      <w:lang w:eastAsia="en-GB"/>
                      <w14:ligatures w14:val="none"/>
                    </w:rPr>
                    <w:t> </w:t>
                  </w:r>
                </w:p>
              </w:tc>
            </w:tr>
          </w:tbl>
          <w:p w14:paraId="7E1CBDAD" w14:textId="77777777" w:rsidR="006C7AA7" w:rsidRPr="00D0306F" w:rsidRDefault="006C7AA7" w:rsidP="00CC3BF4">
            <w:pPr>
              <w:rPr>
                <w:rFonts w:eastAsia="Times New Roman" w:cs="Arial"/>
                <w:kern w:val="0"/>
                <w:lang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FA585CB"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0.8%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C0A7E9B"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1</w:t>
            </w:r>
          </w:p>
        </w:tc>
      </w:tr>
      <w:tr w:rsidR="006C7AA7" w:rsidRPr="00D0306F" w14:paraId="6013D09C"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B3729C8"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9</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E4ADB64" w14:textId="77777777" w:rsidR="006C7AA7" w:rsidRPr="00D0306F" w:rsidRDefault="006C7AA7" w:rsidP="00CC3BF4">
            <w:pPr>
              <w:rPr>
                <w:rFonts w:eastAsia="Times New Roman" w:cs="Arial"/>
                <w:kern w:val="0"/>
                <w:lang w:eastAsia="en-GB"/>
                <w14:ligatures w14:val="none"/>
              </w:rPr>
            </w:pPr>
            <w:r w:rsidRPr="00D0306F">
              <w:rPr>
                <w:rFonts w:eastAsia="Times New Roman" w:cs="Arial"/>
                <w:kern w:val="0"/>
                <w:lang w:eastAsia="en-GB"/>
                <w14:ligatures w14:val="none"/>
              </w:rPr>
              <w:t xml:space="preserve">I don’t visit a pharmacy as I use </w:t>
            </w:r>
            <w:r w:rsidRPr="00D0306F">
              <w:rPr>
                <w:rFonts w:eastAsia="Times New Roman" w:cs="Arial"/>
                <w:kern w:val="0"/>
                <w:lang w:eastAsia="en-GB"/>
                <w14:ligatures w14:val="none"/>
              </w:rPr>
              <w:lastRenderedPageBreak/>
              <w:t>a dispensing doctor</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68CF3702" w14:textId="77777777" w:rsidR="006C7AA7" w:rsidRPr="00D0306F" w:rsidRDefault="006C7AA7" w:rsidP="00CC3BF4">
            <w:pPr>
              <w:rPr>
                <w:rFonts w:eastAsia="Times New Roman" w:cs="Arial"/>
                <w:kern w:val="0"/>
                <w:lang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07E43F4"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701EDFD"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0</w:t>
            </w:r>
          </w:p>
        </w:tc>
      </w:tr>
      <w:tr w:rsidR="006C7AA7" w:rsidRPr="00D0306F" w14:paraId="010A4E2E"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336D85F"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10</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A179D57" w14:textId="77777777" w:rsidR="006C7AA7" w:rsidRPr="00D0306F" w:rsidRDefault="006C7AA7" w:rsidP="00CC3BF4">
            <w:pPr>
              <w:rPr>
                <w:rFonts w:eastAsia="Times New Roman" w:cs="Arial"/>
                <w:kern w:val="0"/>
                <w:lang w:eastAsia="en-GB"/>
                <w14:ligatures w14:val="none"/>
              </w:rPr>
            </w:pPr>
            <w:r w:rsidRPr="00D0306F">
              <w:rPr>
                <w:rFonts w:eastAsia="Times New Roman" w:cs="Arial"/>
                <w:kern w:val="0"/>
                <w:lang w:eastAsia="en-GB"/>
                <w14:ligatures w14:val="none"/>
              </w:rPr>
              <w:t>I don’t visit a pharmacy as I use an appliance contractor (an appliance contractor supplies medical devices prescribed by a doctor)</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16FBCA94" w14:textId="77777777" w:rsidR="006C7AA7" w:rsidRPr="00D0306F" w:rsidRDefault="006C7AA7" w:rsidP="00CC3BF4">
            <w:pPr>
              <w:rPr>
                <w:rFonts w:eastAsia="Times New Roman" w:cs="Arial"/>
                <w:kern w:val="0"/>
                <w:lang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4975D8A"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DEC65CD"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0</w:t>
            </w:r>
          </w:p>
        </w:tc>
      </w:tr>
      <w:tr w:rsidR="006C7AA7" w:rsidRPr="00D0306F" w14:paraId="20C9514C"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365F2FC"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11</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92770D5" w14:textId="77777777" w:rsidR="006C7AA7" w:rsidRPr="00D0306F" w:rsidRDefault="006C7AA7" w:rsidP="00CC3BF4">
            <w:pPr>
              <w:rPr>
                <w:rFonts w:eastAsia="Times New Roman" w:cs="Arial"/>
                <w:kern w:val="0"/>
                <w:lang w:eastAsia="en-GB"/>
                <w14:ligatures w14:val="none"/>
              </w:rPr>
            </w:pPr>
            <w:r w:rsidRPr="00D0306F">
              <w:rPr>
                <w:rFonts w:eastAsia="Times New Roman" w:cs="Arial"/>
                <w:kern w:val="0"/>
                <w:lang w:eastAsia="en-GB"/>
                <w14:ligatures w14:val="none"/>
              </w:rPr>
              <w:t>I don’t visit a pharmacy as my medicines are delivered to me</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9" w:type="pct"/>
              <w:tblCellMar>
                <w:left w:w="0" w:type="dxa"/>
                <w:right w:w="0" w:type="dxa"/>
              </w:tblCellMar>
              <w:tblLook w:val="04A0" w:firstRow="1" w:lastRow="0" w:firstColumn="1" w:lastColumn="0" w:noHBand="0" w:noVBand="1"/>
            </w:tblPr>
            <w:tblGrid>
              <w:gridCol w:w="120"/>
            </w:tblGrid>
            <w:tr w:rsidR="006C7AA7" w:rsidRPr="00D0306F" w14:paraId="6F9D7DC4" w14:textId="77777777" w:rsidTr="00CC3BF4">
              <w:tc>
                <w:tcPr>
                  <w:tcW w:w="0" w:type="auto"/>
                  <w:tcBorders>
                    <w:top w:val="single" w:sz="6" w:space="0" w:color="2196F3"/>
                    <w:left w:val="single" w:sz="6" w:space="0" w:color="2196F3"/>
                    <w:bottom w:val="single" w:sz="6" w:space="0" w:color="2196F3"/>
                    <w:right w:val="single" w:sz="6" w:space="0" w:color="2196F3"/>
                  </w:tcBorders>
                  <w:shd w:val="clear" w:color="auto" w:fill="2196F3"/>
                  <w:vAlign w:val="center"/>
                  <w:hideMark/>
                </w:tcPr>
                <w:p w14:paraId="7920850F" w14:textId="77777777" w:rsidR="006C7AA7" w:rsidRPr="00D0306F" w:rsidRDefault="006C7AA7" w:rsidP="00CC3BF4">
                  <w:pPr>
                    <w:spacing w:line="15" w:lineRule="atLeast"/>
                    <w:rPr>
                      <w:rFonts w:eastAsia="Times New Roman" w:cs="Arial"/>
                      <w:kern w:val="0"/>
                      <w:lang w:eastAsia="en-GB"/>
                      <w14:ligatures w14:val="none"/>
                    </w:rPr>
                  </w:pPr>
                  <w:r w:rsidRPr="00D0306F">
                    <w:rPr>
                      <w:rFonts w:eastAsia="Times New Roman" w:cs="Arial"/>
                      <w:kern w:val="0"/>
                      <w:lang w:eastAsia="en-GB"/>
                      <w14:ligatures w14:val="none"/>
                    </w:rPr>
                    <w:t> </w:t>
                  </w:r>
                </w:p>
              </w:tc>
            </w:tr>
          </w:tbl>
          <w:p w14:paraId="07EEC902" w14:textId="77777777" w:rsidR="006C7AA7" w:rsidRPr="00D0306F" w:rsidRDefault="006C7AA7" w:rsidP="00CC3BF4">
            <w:pPr>
              <w:rPr>
                <w:rFonts w:eastAsia="Times New Roman" w:cs="Arial"/>
                <w:kern w:val="0"/>
                <w:lang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EA20E7E"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3.4%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A12DD86"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4</w:t>
            </w:r>
          </w:p>
        </w:tc>
      </w:tr>
      <w:tr w:rsidR="006C7AA7" w:rsidRPr="00D0306F" w14:paraId="1490B985"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6408E80"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12</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5A79FB0" w14:textId="77777777" w:rsidR="006C7AA7" w:rsidRPr="00D0306F" w:rsidRDefault="006C7AA7" w:rsidP="00CC3BF4">
            <w:pPr>
              <w:rPr>
                <w:rFonts w:eastAsia="Times New Roman" w:cs="Arial"/>
                <w:kern w:val="0"/>
                <w:lang w:eastAsia="en-GB"/>
                <w14:ligatures w14:val="none"/>
              </w:rPr>
            </w:pPr>
            <w:r w:rsidRPr="00D0306F">
              <w:rPr>
                <w:rFonts w:eastAsia="Times New Roman" w:cs="Arial"/>
                <w:kern w:val="0"/>
                <w:lang w:eastAsia="en-GB"/>
                <w14:ligatures w14:val="none"/>
              </w:rPr>
              <w:t>I don’t go to a pharmacy; someone goes on my behalf</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1AA5FEF4" w14:textId="77777777" w:rsidR="006C7AA7" w:rsidRPr="00D0306F" w:rsidRDefault="006C7AA7" w:rsidP="00CC3BF4">
            <w:pPr>
              <w:rPr>
                <w:rFonts w:eastAsia="Times New Roman" w:cs="Arial"/>
                <w:kern w:val="0"/>
                <w:lang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D328C36"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739EEF3"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0</w:t>
            </w:r>
          </w:p>
        </w:tc>
      </w:tr>
      <w:tr w:rsidR="006C7AA7" w:rsidRPr="00D0306F" w14:paraId="061DAAF2"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F29E39C"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13</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50D854D" w14:textId="77777777" w:rsidR="006C7AA7" w:rsidRPr="00D0306F" w:rsidRDefault="006C7AA7" w:rsidP="00CC3BF4">
            <w:pPr>
              <w:rPr>
                <w:rFonts w:eastAsia="Times New Roman" w:cs="Arial"/>
                <w:kern w:val="0"/>
                <w:lang w:eastAsia="en-GB"/>
                <w14:ligatures w14:val="none"/>
              </w:rPr>
            </w:pPr>
            <w:r w:rsidRPr="00D0306F">
              <w:rPr>
                <w:rFonts w:eastAsia="Times New Roman" w:cs="Arial"/>
                <w:kern w:val="0"/>
                <w:lang w:eastAsia="en-GB"/>
                <w14:ligatures w14:val="none"/>
              </w:rPr>
              <w:t>Other:</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02BFCC91" w14:textId="77777777" w:rsidR="006C7AA7" w:rsidRPr="00D0306F" w:rsidRDefault="006C7AA7" w:rsidP="00CC3BF4">
            <w:pPr>
              <w:rPr>
                <w:rFonts w:eastAsia="Times New Roman" w:cs="Arial"/>
                <w:kern w:val="0"/>
                <w:lang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317983E"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B383388"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0</w:t>
            </w:r>
          </w:p>
        </w:tc>
      </w:tr>
      <w:tr w:rsidR="006C7AA7" w:rsidRPr="00D0306F" w14:paraId="59C1995F"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3B33C4C8" w14:textId="77777777" w:rsidR="006C7AA7" w:rsidRPr="00D0306F" w:rsidRDefault="006C7AA7" w:rsidP="00CC3BF4">
            <w:pPr>
              <w:jc w:val="center"/>
              <w:rPr>
                <w:rFonts w:eastAsia="Times New Roman" w:cs="Arial"/>
                <w:kern w:val="0"/>
                <w:lang w:eastAsia="en-GB"/>
                <w14:ligatures w14:val="none"/>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C10EF58"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0BACFC5"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119</w:t>
            </w:r>
          </w:p>
        </w:tc>
      </w:tr>
      <w:tr w:rsidR="006C7AA7" w:rsidRPr="00D0306F" w14:paraId="72B8AAA9"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7325C56C" w14:textId="77777777" w:rsidR="006C7AA7" w:rsidRPr="00D0306F" w:rsidRDefault="006C7AA7" w:rsidP="00CC3BF4">
            <w:pPr>
              <w:rPr>
                <w:rFonts w:eastAsia="Times New Roman" w:cs="Arial"/>
                <w:kern w:val="0"/>
                <w:lang w:eastAsia="en-GB"/>
                <w14:ligatures w14:val="none"/>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B13C05E"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FC77AA4" w14:textId="77777777" w:rsidR="006C7AA7" w:rsidRPr="00D0306F" w:rsidRDefault="006C7AA7" w:rsidP="00CC3BF4">
            <w:pPr>
              <w:jc w:val="center"/>
              <w:rPr>
                <w:rFonts w:eastAsia="Times New Roman" w:cs="Arial"/>
                <w:kern w:val="0"/>
                <w:lang w:eastAsia="en-GB"/>
                <w14:ligatures w14:val="none"/>
              </w:rPr>
            </w:pPr>
            <w:r w:rsidRPr="00D0306F">
              <w:rPr>
                <w:rFonts w:eastAsia="Times New Roman" w:cs="Arial"/>
                <w:kern w:val="0"/>
                <w:lang w:eastAsia="en-GB"/>
                <w14:ligatures w14:val="none"/>
              </w:rPr>
              <w:t>0</w:t>
            </w:r>
          </w:p>
        </w:tc>
      </w:tr>
    </w:tbl>
    <w:p w14:paraId="3178015E" w14:textId="77777777" w:rsidR="006C7AA7" w:rsidRPr="00D0306F" w:rsidRDefault="006C7AA7" w:rsidP="006C7AA7">
      <w:pPr>
        <w:rPr>
          <w:rFonts w:cs="Arial"/>
          <w:b/>
          <w:bCs/>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8"/>
        <w:gridCol w:w="2193"/>
        <w:gridCol w:w="3803"/>
        <w:gridCol w:w="1313"/>
        <w:gridCol w:w="1313"/>
      </w:tblGrid>
      <w:tr w:rsidR="006C7AA7" w:rsidRPr="00D0306F" w14:paraId="20F5A866" w14:textId="77777777" w:rsidTr="00CC3BF4">
        <w:trPr>
          <w:trHeight w:val="599"/>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63D9433F" w14:textId="77777777" w:rsidR="006C7AA7" w:rsidRPr="00D0306F" w:rsidRDefault="006C7AA7" w:rsidP="00CC3BF4">
            <w:pPr>
              <w:rPr>
                <w:rFonts w:eastAsia="Times New Roman" w:cs="Arial"/>
                <w:b/>
                <w:bCs/>
                <w:color w:val="FFFFFF"/>
              </w:rPr>
            </w:pPr>
            <w:r w:rsidRPr="00D0306F">
              <w:rPr>
                <w:rFonts w:eastAsia="Times New Roman" w:cs="Arial"/>
                <w:b/>
                <w:bCs/>
                <w:color w:val="FFFFFF"/>
              </w:rPr>
              <w:t xml:space="preserve">3. How often do you use a pharmacy? </w:t>
            </w:r>
          </w:p>
        </w:tc>
      </w:tr>
      <w:tr w:rsidR="006C7AA7" w:rsidRPr="00D0306F" w14:paraId="2F1A0D64"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0B4A02BC"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157AA2F"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0B289648"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15768991"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58088E0" w14:textId="77777777" w:rsidR="006C7AA7" w:rsidRPr="00D0306F" w:rsidRDefault="006C7AA7" w:rsidP="00CC3BF4">
            <w:pPr>
              <w:jc w:val="center"/>
              <w:rPr>
                <w:rFonts w:eastAsia="Times New Roman" w:cs="Arial"/>
              </w:rPr>
            </w:pPr>
            <w:r w:rsidRPr="00D0306F">
              <w:rPr>
                <w:rFonts w:eastAsia="Times New Roman" w:cs="Arial"/>
              </w:rPr>
              <w:t>1</w:t>
            </w:r>
          </w:p>
        </w:tc>
        <w:tc>
          <w:tcPr>
            <w:tcW w:w="219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F0FC127" w14:textId="77777777" w:rsidR="006C7AA7" w:rsidRPr="00D0306F" w:rsidRDefault="006C7AA7" w:rsidP="00CC3BF4">
            <w:pPr>
              <w:rPr>
                <w:rFonts w:eastAsia="Times New Roman" w:cs="Arial"/>
              </w:rPr>
            </w:pPr>
            <w:r w:rsidRPr="00D0306F">
              <w:rPr>
                <w:rFonts w:eastAsia="Times New Roman" w:cs="Arial"/>
              </w:rPr>
              <w:t>Daily</w:t>
            </w:r>
          </w:p>
        </w:tc>
        <w:tc>
          <w:tcPr>
            <w:tcW w:w="380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1A71F5D3"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0F04E7C"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DFFB2AE"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3AAC6AF9"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F8836AB" w14:textId="77777777" w:rsidR="006C7AA7" w:rsidRPr="00D0306F" w:rsidRDefault="006C7AA7" w:rsidP="00CC3BF4">
            <w:pPr>
              <w:jc w:val="center"/>
              <w:rPr>
                <w:rFonts w:eastAsia="Times New Roman" w:cs="Arial"/>
              </w:rPr>
            </w:pPr>
            <w:r w:rsidRPr="00D0306F">
              <w:rPr>
                <w:rFonts w:eastAsia="Times New Roman" w:cs="Arial"/>
              </w:rPr>
              <w:t>2</w:t>
            </w:r>
          </w:p>
        </w:tc>
        <w:tc>
          <w:tcPr>
            <w:tcW w:w="219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7A64AC3" w14:textId="77777777" w:rsidR="006C7AA7" w:rsidRPr="00D0306F" w:rsidRDefault="006C7AA7" w:rsidP="00CC3BF4">
            <w:pPr>
              <w:rPr>
                <w:rFonts w:eastAsia="Times New Roman" w:cs="Arial"/>
              </w:rPr>
            </w:pPr>
            <w:r w:rsidRPr="00D0306F">
              <w:rPr>
                <w:rFonts w:eastAsia="Times New Roman" w:cs="Arial"/>
              </w:rPr>
              <w:t>Weekly</w:t>
            </w:r>
          </w:p>
        </w:tc>
        <w:tc>
          <w:tcPr>
            <w:tcW w:w="380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39" w:type="pct"/>
              <w:tblCellMar>
                <w:left w:w="0" w:type="dxa"/>
                <w:right w:w="0" w:type="dxa"/>
              </w:tblCellMar>
              <w:tblLook w:val="04A0" w:firstRow="1" w:lastRow="0" w:firstColumn="1" w:lastColumn="0" w:noHBand="0" w:noVBand="1"/>
            </w:tblPr>
            <w:tblGrid>
              <w:gridCol w:w="248"/>
            </w:tblGrid>
            <w:tr w:rsidR="006C7AA7" w:rsidRPr="00D0306F" w14:paraId="53F74CC3"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318EF26F"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148B6C5"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D988CEA" w14:textId="77777777" w:rsidR="006C7AA7" w:rsidRPr="00D0306F" w:rsidRDefault="006C7AA7" w:rsidP="00CC3BF4">
            <w:pPr>
              <w:jc w:val="center"/>
              <w:rPr>
                <w:rFonts w:eastAsia="Times New Roman" w:cs="Arial"/>
              </w:rPr>
            </w:pPr>
            <w:r w:rsidRPr="00D0306F">
              <w:rPr>
                <w:rFonts w:eastAsia="Times New Roman" w:cs="Arial"/>
              </w:rPr>
              <w:t>6.7%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062D5B0" w14:textId="77777777" w:rsidR="006C7AA7" w:rsidRPr="00D0306F" w:rsidRDefault="006C7AA7" w:rsidP="00CC3BF4">
            <w:pPr>
              <w:jc w:val="center"/>
              <w:rPr>
                <w:rFonts w:eastAsia="Times New Roman" w:cs="Arial"/>
              </w:rPr>
            </w:pPr>
            <w:r w:rsidRPr="00D0306F">
              <w:rPr>
                <w:rFonts w:eastAsia="Times New Roman" w:cs="Arial"/>
              </w:rPr>
              <w:t>8</w:t>
            </w:r>
          </w:p>
        </w:tc>
      </w:tr>
      <w:tr w:rsidR="006C7AA7" w:rsidRPr="00D0306F" w14:paraId="664B4CFE"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390A87B" w14:textId="77777777" w:rsidR="006C7AA7" w:rsidRPr="00D0306F" w:rsidRDefault="006C7AA7" w:rsidP="00CC3BF4">
            <w:pPr>
              <w:jc w:val="center"/>
              <w:rPr>
                <w:rFonts w:eastAsia="Times New Roman" w:cs="Arial"/>
              </w:rPr>
            </w:pPr>
            <w:r w:rsidRPr="00D0306F">
              <w:rPr>
                <w:rFonts w:eastAsia="Times New Roman" w:cs="Arial"/>
              </w:rPr>
              <w:t>3</w:t>
            </w:r>
          </w:p>
        </w:tc>
        <w:tc>
          <w:tcPr>
            <w:tcW w:w="219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F9C17E0" w14:textId="77777777" w:rsidR="006C7AA7" w:rsidRPr="00D0306F" w:rsidRDefault="006C7AA7" w:rsidP="00CC3BF4">
            <w:pPr>
              <w:rPr>
                <w:rFonts w:eastAsia="Times New Roman" w:cs="Arial"/>
              </w:rPr>
            </w:pPr>
            <w:r w:rsidRPr="00D0306F">
              <w:rPr>
                <w:rFonts w:eastAsia="Times New Roman" w:cs="Arial"/>
              </w:rPr>
              <w:t>Fortnightly</w:t>
            </w:r>
          </w:p>
        </w:tc>
        <w:tc>
          <w:tcPr>
            <w:tcW w:w="380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93" w:type="pct"/>
              <w:tblCellMar>
                <w:left w:w="0" w:type="dxa"/>
                <w:right w:w="0" w:type="dxa"/>
              </w:tblCellMar>
              <w:tblLook w:val="04A0" w:firstRow="1" w:lastRow="0" w:firstColumn="1" w:lastColumn="0" w:noHBand="0" w:noVBand="1"/>
            </w:tblPr>
            <w:tblGrid>
              <w:gridCol w:w="433"/>
            </w:tblGrid>
            <w:tr w:rsidR="006C7AA7" w:rsidRPr="00D0306F" w14:paraId="590BFEBE" w14:textId="77777777" w:rsidTr="00CC3BF4">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024CD820"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3C38A4EE"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41C0A23" w14:textId="77777777" w:rsidR="006C7AA7" w:rsidRPr="00D0306F" w:rsidRDefault="006C7AA7" w:rsidP="00CC3BF4">
            <w:pPr>
              <w:jc w:val="center"/>
              <w:rPr>
                <w:rFonts w:eastAsia="Times New Roman" w:cs="Arial"/>
              </w:rPr>
            </w:pPr>
            <w:r w:rsidRPr="00D0306F">
              <w:rPr>
                <w:rFonts w:eastAsia="Times New Roman" w:cs="Arial"/>
              </w:rPr>
              <w:t>11.8%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2BDCC17" w14:textId="77777777" w:rsidR="006C7AA7" w:rsidRPr="00D0306F" w:rsidRDefault="006C7AA7" w:rsidP="00CC3BF4">
            <w:pPr>
              <w:jc w:val="center"/>
              <w:rPr>
                <w:rFonts w:eastAsia="Times New Roman" w:cs="Arial"/>
              </w:rPr>
            </w:pPr>
            <w:r w:rsidRPr="00D0306F">
              <w:rPr>
                <w:rFonts w:eastAsia="Times New Roman" w:cs="Arial"/>
              </w:rPr>
              <w:t>14</w:t>
            </w:r>
          </w:p>
        </w:tc>
      </w:tr>
      <w:tr w:rsidR="006C7AA7" w:rsidRPr="00D0306F" w14:paraId="2FD62912"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1D5A6C7" w14:textId="77777777" w:rsidR="006C7AA7" w:rsidRPr="00D0306F" w:rsidRDefault="006C7AA7" w:rsidP="00CC3BF4">
            <w:pPr>
              <w:jc w:val="center"/>
              <w:rPr>
                <w:rFonts w:eastAsia="Times New Roman" w:cs="Arial"/>
              </w:rPr>
            </w:pPr>
            <w:r w:rsidRPr="00D0306F">
              <w:rPr>
                <w:rFonts w:eastAsia="Times New Roman" w:cs="Arial"/>
              </w:rPr>
              <w:t>4</w:t>
            </w:r>
          </w:p>
        </w:tc>
        <w:tc>
          <w:tcPr>
            <w:tcW w:w="219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C6C1FD3" w14:textId="77777777" w:rsidR="006C7AA7" w:rsidRPr="00D0306F" w:rsidRDefault="006C7AA7" w:rsidP="00CC3BF4">
            <w:pPr>
              <w:rPr>
                <w:rFonts w:eastAsia="Times New Roman" w:cs="Arial"/>
              </w:rPr>
            </w:pPr>
            <w:r w:rsidRPr="00D0306F">
              <w:rPr>
                <w:rFonts w:eastAsia="Times New Roman" w:cs="Arial"/>
              </w:rPr>
              <w:t>Monthly/every four weeks</w:t>
            </w:r>
          </w:p>
        </w:tc>
        <w:tc>
          <w:tcPr>
            <w:tcW w:w="380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220" w:type="pct"/>
              <w:tblCellMar>
                <w:left w:w="0" w:type="dxa"/>
                <w:right w:w="0" w:type="dxa"/>
              </w:tblCellMar>
              <w:tblLook w:val="04A0" w:firstRow="1" w:lastRow="0" w:firstColumn="1" w:lastColumn="0" w:noHBand="0" w:noVBand="1"/>
            </w:tblPr>
            <w:tblGrid>
              <w:gridCol w:w="2352"/>
            </w:tblGrid>
            <w:tr w:rsidR="006C7AA7" w:rsidRPr="00D0306F" w14:paraId="6404DA50" w14:textId="77777777" w:rsidTr="00CC3BF4">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4B0D9B1F"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2938180A"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7FEFD77" w14:textId="77777777" w:rsidR="006C7AA7" w:rsidRPr="00D0306F" w:rsidRDefault="006C7AA7" w:rsidP="00CC3BF4">
            <w:pPr>
              <w:jc w:val="center"/>
              <w:rPr>
                <w:rFonts w:eastAsia="Times New Roman" w:cs="Arial"/>
              </w:rPr>
            </w:pPr>
            <w:r w:rsidRPr="00D0306F">
              <w:rPr>
                <w:rFonts w:eastAsia="Times New Roman" w:cs="Arial"/>
              </w:rPr>
              <w:t>63.9%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C4EA329" w14:textId="77777777" w:rsidR="006C7AA7" w:rsidRPr="00D0306F" w:rsidRDefault="006C7AA7" w:rsidP="00CC3BF4">
            <w:pPr>
              <w:jc w:val="center"/>
              <w:rPr>
                <w:rFonts w:eastAsia="Times New Roman" w:cs="Arial"/>
              </w:rPr>
            </w:pPr>
            <w:r w:rsidRPr="00D0306F">
              <w:rPr>
                <w:rFonts w:eastAsia="Times New Roman" w:cs="Arial"/>
              </w:rPr>
              <w:t>76</w:t>
            </w:r>
          </w:p>
        </w:tc>
      </w:tr>
      <w:tr w:rsidR="006C7AA7" w:rsidRPr="00D0306F" w14:paraId="586502E2"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5F274D3" w14:textId="77777777" w:rsidR="006C7AA7" w:rsidRPr="00D0306F" w:rsidRDefault="006C7AA7" w:rsidP="00CC3BF4">
            <w:pPr>
              <w:jc w:val="center"/>
              <w:rPr>
                <w:rFonts w:eastAsia="Times New Roman" w:cs="Arial"/>
              </w:rPr>
            </w:pPr>
            <w:r w:rsidRPr="00D0306F">
              <w:rPr>
                <w:rFonts w:eastAsia="Times New Roman" w:cs="Arial"/>
              </w:rPr>
              <w:t>5</w:t>
            </w:r>
          </w:p>
        </w:tc>
        <w:tc>
          <w:tcPr>
            <w:tcW w:w="219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178A1F7" w14:textId="77777777" w:rsidR="006C7AA7" w:rsidRPr="00D0306F" w:rsidRDefault="006C7AA7" w:rsidP="00CC3BF4">
            <w:pPr>
              <w:rPr>
                <w:rFonts w:eastAsia="Times New Roman" w:cs="Arial"/>
              </w:rPr>
            </w:pPr>
            <w:r w:rsidRPr="00D0306F">
              <w:rPr>
                <w:rFonts w:eastAsia="Times New Roman" w:cs="Arial"/>
              </w:rPr>
              <w:t>Quarterly/every three months</w:t>
            </w:r>
          </w:p>
        </w:tc>
        <w:tc>
          <w:tcPr>
            <w:tcW w:w="380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4" w:type="pct"/>
              <w:tblCellMar>
                <w:left w:w="0" w:type="dxa"/>
                <w:right w:w="0" w:type="dxa"/>
              </w:tblCellMar>
              <w:tblLook w:val="04A0" w:firstRow="1" w:lastRow="0" w:firstColumn="1" w:lastColumn="0" w:noHBand="0" w:noVBand="1"/>
            </w:tblPr>
            <w:tblGrid>
              <w:gridCol w:w="82"/>
            </w:tblGrid>
            <w:tr w:rsidR="006C7AA7" w:rsidRPr="00D0306F" w14:paraId="3326A3D3"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0BEA3602"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C67A45D"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F1969A6" w14:textId="77777777" w:rsidR="006C7AA7" w:rsidRPr="00D0306F" w:rsidRDefault="006C7AA7" w:rsidP="00CC3BF4">
            <w:pPr>
              <w:jc w:val="center"/>
              <w:rPr>
                <w:rFonts w:eastAsia="Times New Roman" w:cs="Arial"/>
              </w:rPr>
            </w:pPr>
            <w:r w:rsidRPr="00D0306F">
              <w:rPr>
                <w:rFonts w:eastAsia="Times New Roman" w:cs="Arial"/>
              </w:rPr>
              <w:t>1.7%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CF6F013" w14:textId="77777777" w:rsidR="006C7AA7" w:rsidRPr="00D0306F" w:rsidRDefault="006C7AA7" w:rsidP="00CC3BF4">
            <w:pPr>
              <w:jc w:val="center"/>
              <w:rPr>
                <w:rFonts w:eastAsia="Times New Roman" w:cs="Arial"/>
              </w:rPr>
            </w:pPr>
            <w:r w:rsidRPr="00D0306F">
              <w:rPr>
                <w:rFonts w:eastAsia="Times New Roman" w:cs="Arial"/>
              </w:rPr>
              <w:t>2</w:t>
            </w:r>
          </w:p>
        </w:tc>
      </w:tr>
      <w:tr w:rsidR="006C7AA7" w:rsidRPr="00D0306F" w14:paraId="4E8E84ED"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62C8D37" w14:textId="77777777" w:rsidR="006C7AA7" w:rsidRPr="00D0306F" w:rsidRDefault="006C7AA7" w:rsidP="00CC3BF4">
            <w:pPr>
              <w:jc w:val="center"/>
              <w:rPr>
                <w:rFonts w:eastAsia="Times New Roman" w:cs="Arial"/>
              </w:rPr>
            </w:pPr>
            <w:r w:rsidRPr="00D0306F">
              <w:rPr>
                <w:rFonts w:eastAsia="Times New Roman" w:cs="Arial"/>
              </w:rPr>
              <w:t>6</w:t>
            </w:r>
          </w:p>
        </w:tc>
        <w:tc>
          <w:tcPr>
            <w:tcW w:w="219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6324D25" w14:textId="77777777" w:rsidR="006C7AA7" w:rsidRPr="00D0306F" w:rsidRDefault="006C7AA7" w:rsidP="00CC3BF4">
            <w:pPr>
              <w:rPr>
                <w:rFonts w:eastAsia="Times New Roman" w:cs="Arial"/>
              </w:rPr>
            </w:pPr>
            <w:r w:rsidRPr="00D0306F">
              <w:rPr>
                <w:rFonts w:eastAsia="Times New Roman" w:cs="Arial"/>
              </w:rPr>
              <w:t>As needed</w:t>
            </w:r>
          </w:p>
        </w:tc>
        <w:tc>
          <w:tcPr>
            <w:tcW w:w="380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762" w:type="pct"/>
              <w:tblCellMar>
                <w:left w:w="0" w:type="dxa"/>
                <w:right w:w="0" w:type="dxa"/>
              </w:tblCellMar>
              <w:tblLook w:val="04A0" w:firstRow="1" w:lastRow="0" w:firstColumn="1" w:lastColumn="0" w:noHBand="0" w:noVBand="1"/>
            </w:tblPr>
            <w:tblGrid>
              <w:gridCol w:w="557"/>
            </w:tblGrid>
            <w:tr w:rsidR="006C7AA7" w:rsidRPr="00D0306F" w14:paraId="0434C71E" w14:textId="77777777" w:rsidTr="00CC3BF4">
              <w:tc>
                <w:tcPr>
                  <w:tcW w:w="0" w:type="auto"/>
                  <w:tcBorders>
                    <w:top w:val="single" w:sz="6" w:space="0" w:color="00BCD4"/>
                    <w:left w:val="single" w:sz="6" w:space="0" w:color="00BCD4"/>
                    <w:bottom w:val="single" w:sz="6" w:space="0" w:color="00BCD4"/>
                    <w:right w:val="single" w:sz="6" w:space="0" w:color="00BCD4"/>
                  </w:tcBorders>
                  <w:shd w:val="clear" w:color="auto" w:fill="00BCD4"/>
                  <w:vAlign w:val="center"/>
                  <w:hideMark/>
                </w:tcPr>
                <w:p w14:paraId="32C6804D"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77C785C3"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C638F10" w14:textId="77777777" w:rsidR="006C7AA7" w:rsidRPr="00D0306F" w:rsidRDefault="006C7AA7" w:rsidP="00CC3BF4">
            <w:pPr>
              <w:jc w:val="center"/>
              <w:rPr>
                <w:rFonts w:eastAsia="Times New Roman" w:cs="Arial"/>
              </w:rPr>
            </w:pPr>
            <w:r w:rsidRPr="00D0306F">
              <w:rPr>
                <w:rFonts w:eastAsia="Times New Roman" w:cs="Arial"/>
              </w:rPr>
              <w:t>15.9%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2743127" w14:textId="77777777" w:rsidR="006C7AA7" w:rsidRPr="00D0306F" w:rsidRDefault="006C7AA7" w:rsidP="00CC3BF4">
            <w:pPr>
              <w:jc w:val="center"/>
              <w:rPr>
                <w:rFonts w:eastAsia="Times New Roman" w:cs="Arial"/>
              </w:rPr>
            </w:pPr>
            <w:r w:rsidRPr="00D0306F">
              <w:rPr>
                <w:rFonts w:eastAsia="Times New Roman" w:cs="Arial"/>
              </w:rPr>
              <w:t>19</w:t>
            </w:r>
          </w:p>
        </w:tc>
      </w:tr>
      <w:tr w:rsidR="006C7AA7" w:rsidRPr="00D0306F" w14:paraId="2E661B63"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C8E572E" w14:textId="77777777" w:rsidR="006C7AA7" w:rsidRPr="00D0306F" w:rsidRDefault="006C7AA7" w:rsidP="00CC3BF4">
            <w:pPr>
              <w:jc w:val="center"/>
              <w:rPr>
                <w:rFonts w:eastAsia="Times New Roman" w:cs="Arial"/>
              </w:rPr>
            </w:pPr>
            <w:r w:rsidRPr="00D0306F">
              <w:rPr>
                <w:rFonts w:eastAsia="Times New Roman" w:cs="Arial"/>
              </w:rPr>
              <w:lastRenderedPageBreak/>
              <w:t>7</w:t>
            </w:r>
          </w:p>
        </w:tc>
        <w:tc>
          <w:tcPr>
            <w:tcW w:w="219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BB36CCF" w14:textId="77777777" w:rsidR="006C7AA7" w:rsidRPr="00D0306F" w:rsidRDefault="006C7AA7" w:rsidP="00CC3BF4">
            <w:pPr>
              <w:rPr>
                <w:rFonts w:eastAsia="Times New Roman" w:cs="Arial"/>
              </w:rPr>
            </w:pPr>
            <w:r w:rsidRPr="00D0306F">
              <w:rPr>
                <w:rFonts w:eastAsia="Times New Roman" w:cs="Arial"/>
              </w:rPr>
              <w:t>I don’t use a pharmacy</w:t>
            </w:r>
          </w:p>
        </w:tc>
        <w:tc>
          <w:tcPr>
            <w:tcW w:w="380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7D6206A8"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4A6437B"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977A79D"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520CE943"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E356747" w14:textId="77777777" w:rsidR="006C7AA7" w:rsidRPr="00D0306F" w:rsidRDefault="006C7AA7" w:rsidP="00CC3BF4">
            <w:pPr>
              <w:jc w:val="center"/>
              <w:rPr>
                <w:rFonts w:eastAsia="Times New Roman" w:cs="Arial"/>
              </w:rPr>
            </w:pPr>
            <w:r w:rsidRPr="00D0306F">
              <w:rPr>
                <w:rFonts w:eastAsia="Times New Roman" w:cs="Arial"/>
              </w:rPr>
              <w:t>8</w:t>
            </w:r>
          </w:p>
        </w:tc>
        <w:tc>
          <w:tcPr>
            <w:tcW w:w="219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1C7DF1F" w14:textId="77777777" w:rsidR="006C7AA7" w:rsidRPr="00D0306F" w:rsidRDefault="006C7AA7" w:rsidP="00CC3BF4">
            <w:pPr>
              <w:rPr>
                <w:rFonts w:eastAsia="Times New Roman" w:cs="Arial"/>
              </w:rPr>
            </w:pPr>
            <w:r w:rsidRPr="00D0306F">
              <w:rPr>
                <w:rFonts w:eastAsia="Times New Roman" w:cs="Arial"/>
              </w:rPr>
              <w:t>Other:</w:t>
            </w:r>
          </w:p>
        </w:tc>
        <w:tc>
          <w:tcPr>
            <w:tcW w:w="380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6BC750F2"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87945F5"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F7DA417"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3C51412B"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545D8030"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20B8AE7"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FDC951D" w14:textId="77777777" w:rsidR="006C7AA7" w:rsidRPr="00D0306F" w:rsidRDefault="006C7AA7" w:rsidP="00CC3BF4">
            <w:pPr>
              <w:jc w:val="center"/>
              <w:rPr>
                <w:rFonts w:eastAsia="Times New Roman" w:cs="Arial"/>
              </w:rPr>
            </w:pPr>
            <w:r w:rsidRPr="00D0306F">
              <w:rPr>
                <w:rFonts w:eastAsia="Times New Roman" w:cs="Arial"/>
              </w:rPr>
              <w:t>119</w:t>
            </w:r>
          </w:p>
        </w:tc>
      </w:tr>
      <w:tr w:rsidR="006C7AA7" w:rsidRPr="00D0306F" w14:paraId="68989168"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143DDAFA"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4065FD2"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396BB34" w14:textId="77777777" w:rsidR="006C7AA7" w:rsidRPr="00D0306F" w:rsidRDefault="006C7AA7" w:rsidP="00CC3BF4">
            <w:pPr>
              <w:jc w:val="center"/>
              <w:rPr>
                <w:rFonts w:eastAsia="Times New Roman" w:cs="Arial"/>
              </w:rPr>
            </w:pPr>
            <w:r w:rsidRPr="00D0306F">
              <w:rPr>
                <w:rFonts w:eastAsia="Times New Roman" w:cs="Arial"/>
              </w:rPr>
              <w:t>0</w:t>
            </w:r>
          </w:p>
        </w:tc>
      </w:tr>
    </w:tbl>
    <w:p w14:paraId="400F229D" w14:textId="77777777" w:rsidR="006C7AA7" w:rsidRPr="00D0306F" w:rsidRDefault="006C7AA7" w:rsidP="006C7AA7">
      <w:pPr>
        <w:rPr>
          <w:rFonts w:cs="Arial"/>
          <w:b/>
          <w:bCs/>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8"/>
        <w:gridCol w:w="2142"/>
        <w:gridCol w:w="3854"/>
        <w:gridCol w:w="1313"/>
        <w:gridCol w:w="1313"/>
      </w:tblGrid>
      <w:tr w:rsidR="006C7AA7" w:rsidRPr="00D0306F" w14:paraId="35757FF8" w14:textId="77777777" w:rsidTr="00CC3BF4">
        <w:trPr>
          <w:trHeight w:val="600"/>
          <w:tblHeader/>
          <w:tblCellSpacing w:w="0" w:type="dxa"/>
          <w:jc w:val="center"/>
        </w:trPr>
        <w:tc>
          <w:tcPr>
            <w:tcW w:w="0" w:type="auto"/>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1FAFC717" w14:textId="77777777" w:rsidR="006C7AA7" w:rsidRPr="00D0306F" w:rsidRDefault="006C7AA7" w:rsidP="00CC3BF4">
            <w:pPr>
              <w:rPr>
                <w:rFonts w:eastAsia="Times New Roman" w:cs="Arial"/>
                <w:b/>
                <w:bCs/>
                <w:color w:val="FFFFFF"/>
              </w:rPr>
            </w:pPr>
            <w:r w:rsidRPr="00D0306F">
              <w:rPr>
                <w:rFonts w:eastAsia="Times New Roman" w:cs="Arial"/>
                <w:b/>
                <w:bCs/>
                <w:color w:val="FFFFFF"/>
              </w:rPr>
              <w:t xml:space="preserve">4. What time is the most convenient for you to use a pharmacy? </w:t>
            </w:r>
          </w:p>
        </w:tc>
      </w:tr>
      <w:tr w:rsidR="006C7AA7" w:rsidRPr="00D0306F" w14:paraId="3DA7F000" w14:textId="77777777" w:rsidTr="00CC3BF4">
        <w:trPr>
          <w:trHeight w:val="360"/>
          <w:tblCellSpacing w:w="0" w:type="dxa"/>
          <w:jc w:val="center"/>
        </w:trPr>
        <w:tc>
          <w:tcPr>
            <w:tcW w:w="6885"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77BB12ED"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5ED1F306"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76520CB"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13EF7DA9"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EAF0B2F" w14:textId="77777777" w:rsidR="006C7AA7" w:rsidRPr="00D0306F" w:rsidRDefault="006C7AA7" w:rsidP="00CC3BF4">
            <w:pPr>
              <w:jc w:val="center"/>
              <w:rPr>
                <w:rFonts w:eastAsia="Times New Roman" w:cs="Arial"/>
              </w:rPr>
            </w:pPr>
            <w:r w:rsidRPr="00D0306F">
              <w:rPr>
                <w:rFonts w:eastAsia="Times New Roman" w:cs="Arial"/>
              </w:rPr>
              <w:t>1</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C4D0C73" w14:textId="77777777" w:rsidR="006C7AA7" w:rsidRPr="00D0306F" w:rsidRDefault="006C7AA7" w:rsidP="00CC3BF4">
            <w:pPr>
              <w:rPr>
                <w:rFonts w:eastAsia="Times New Roman" w:cs="Arial"/>
              </w:rPr>
            </w:pPr>
            <w:r w:rsidRPr="00D0306F">
              <w:rPr>
                <w:rFonts w:eastAsia="Times New Roman" w:cs="Arial"/>
              </w:rPr>
              <w:t>7am to 9am</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7" w:type="pct"/>
              <w:tblCellMar>
                <w:left w:w="0" w:type="dxa"/>
                <w:right w:w="0" w:type="dxa"/>
              </w:tblCellMar>
              <w:tblLook w:val="04A0" w:firstRow="1" w:lastRow="0" w:firstColumn="1" w:lastColumn="0" w:noHBand="0" w:noVBand="1"/>
            </w:tblPr>
            <w:tblGrid>
              <w:gridCol w:w="94"/>
            </w:tblGrid>
            <w:tr w:rsidR="006C7AA7" w:rsidRPr="00D0306F" w14:paraId="2ADB0873"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42E373B7"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2FDFFCDE"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EF4A95D" w14:textId="77777777" w:rsidR="006C7AA7" w:rsidRPr="00D0306F" w:rsidRDefault="006C7AA7" w:rsidP="00CC3BF4">
            <w:pPr>
              <w:jc w:val="center"/>
              <w:rPr>
                <w:rFonts w:eastAsia="Times New Roman" w:cs="Arial"/>
              </w:rPr>
            </w:pPr>
            <w:r w:rsidRPr="00D0306F">
              <w:rPr>
                <w:rFonts w:eastAsia="Times New Roman" w:cs="Arial"/>
              </w:rPr>
              <w:t>2.5%</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B123106" w14:textId="77777777" w:rsidR="006C7AA7" w:rsidRPr="00D0306F" w:rsidRDefault="006C7AA7" w:rsidP="00CC3BF4">
            <w:pPr>
              <w:jc w:val="center"/>
              <w:rPr>
                <w:rFonts w:eastAsia="Times New Roman" w:cs="Arial"/>
              </w:rPr>
            </w:pPr>
            <w:r w:rsidRPr="00D0306F">
              <w:rPr>
                <w:rFonts w:eastAsia="Times New Roman" w:cs="Arial"/>
              </w:rPr>
              <w:t>3</w:t>
            </w:r>
          </w:p>
        </w:tc>
      </w:tr>
      <w:tr w:rsidR="006C7AA7" w:rsidRPr="00D0306F" w14:paraId="3607A817"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5B48500" w14:textId="77777777" w:rsidR="006C7AA7" w:rsidRPr="00D0306F" w:rsidRDefault="006C7AA7" w:rsidP="00CC3BF4">
            <w:pPr>
              <w:jc w:val="center"/>
              <w:rPr>
                <w:rFonts w:eastAsia="Times New Roman" w:cs="Arial"/>
              </w:rPr>
            </w:pPr>
            <w:r w:rsidRPr="00D0306F">
              <w:rPr>
                <w:rFonts w:eastAsia="Times New Roman" w:cs="Arial"/>
              </w:rPr>
              <w:t>2</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95F2B36" w14:textId="77777777" w:rsidR="006C7AA7" w:rsidRPr="00D0306F" w:rsidRDefault="006C7AA7" w:rsidP="00CC3BF4">
            <w:pPr>
              <w:rPr>
                <w:rFonts w:eastAsia="Times New Roman" w:cs="Arial"/>
              </w:rPr>
            </w:pPr>
            <w:r w:rsidRPr="00D0306F">
              <w:rPr>
                <w:rFonts w:eastAsia="Times New Roman" w:cs="Arial"/>
              </w:rPr>
              <w:t>9am to 12 noon</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71" w:type="pct"/>
              <w:tblCellMar>
                <w:left w:w="0" w:type="dxa"/>
                <w:right w:w="0" w:type="dxa"/>
              </w:tblCellMar>
              <w:tblLook w:val="04A0" w:firstRow="1" w:lastRow="0" w:firstColumn="1" w:lastColumn="0" w:noHBand="0" w:noVBand="1"/>
            </w:tblPr>
            <w:tblGrid>
              <w:gridCol w:w="941"/>
            </w:tblGrid>
            <w:tr w:rsidR="006C7AA7" w:rsidRPr="00D0306F" w14:paraId="14F6FC24"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3309AB22"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2339AD0"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0C6FE11" w14:textId="77777777" w:rsidR="006C7AA7" w:rsidRPr="00D0306F" w:rsidRDefault="006C7AA7" w:rsidP="00CC3BF4">
            <w:pPr>
              <w:jc w:val="center"/>
              <w:rPr>
                <w:rFonts w:eastAsia="Times New Roman" w:cs="Arial"/>
              </w:rPr>
            </w:pPr>
            <w:r w:rsidRPr="00D0306F">
              <w:rPr>
                <w:rFonts w:eastAsia="Times New Roman" w:cs="Arial"/>
              </w:rPr>
              <w:t>25.2%</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D0DD095" w14:textId="77777777" w:rsidR="006C7AA7" w:rsidRPr="00D0306F" w:rsidRDefault="006C7AA7" w:rsidP="00CC3BF4">
            <w:pPr>
              <w:jc w:val="center"/>
              <w:rPr>
                <w:rFonts w:eastAsia="Times New Roman" w:cs="Arial"/>
              </w:rPr>
            </w:pPr>
            <w:r w:rsidRPr="00D0306F">
              <w:rPr>
                <w:rFonts w:eastAsia="Times New Roman" w:cs="Arial"/>
              </w:rPr>
              <w:t>30</w:t>
            </w:r>
          </w:p>
        </w:tc>
      </w:tr>
      <w:tr w:rsidR="006C7AA7" w:rsidRPr="00D0306F" w14:paraId="3A74606D"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EC84A87" w14:textId="77777777" w:rsidR="006C7AA7" w:rsidRPr="00D0306F" w:rsidRDefault="006C7AA7" w:rsidP="00CC3BF4">
            <w:pPr>
              <w:jc w:val="center"/>
              <w:rPr>
                <w:rFonts w:eastAsia="Times New Roman" w:cs="Arial"/>
              </w:rPr>
            </w:pPr>
            <w:r w:rsidRPr="00D0306F">
              <w:rPr>
                <w:rFonts w:eastAsia="Times New Roman" w:cs="Arial"/>
              </w:rPr>
              <w:t>3</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4E00485" w14:textId="77777777" w:rsidR="006C7AA7" w:rsidRPr="00D0306F" w:rsidRDefault="006C7AA7" w:rsidP="00CC3BF4">
            <w:pPr>
              <w:rPr>
                <w:rFonts w:eastAsia="Times New Roman" w:cs="Arial"/>
              </w:rPr>
            </w:pPr>
            <w:r w:rsidRPr="00D0306F">
              <w:rPr>
                <w:rFonts w:eastAsia="Times New Roman" w:cs="Arial"/>
              </w:rPr>
              <w:t>12 noon to 2pm</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9" w:type="pct"/>
              <w:tblCellMar>
                <w:left w:w="0" w:type="dxa"/>
                <w:right w:w="0" w:type="dxa"/>
              </w:tblCellMar>
              <w:tblLook w:val="04A0" w:firstRow="1" w:lastRow="0" w:firstColumn="1" w:lastColumn="0" w:noHBand="0" w:noVBand="1"/>
            </w:tblPr>
            <w:tblGrid>
              <w:gridCol w:w="125"/>
            </w:tblGrid>
            <w:tr w:rsidR="006C7AA7" w:rsidRPr="00D0306F" w14:paraId="459F866B" w14:textId="77777777" w:rsidTr="00CC3BF4">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611A363C"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13F4A2EC"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B1AE85D" w14:textId="77777777" w:rsidR="006C7AA7" w:rsidRPr="00D0306F" w:rsidRDefault="006C7AA7" w:rsidP="00CC3BF4">
            <w:pPr>
              <w:jc w:val="center"/>
              <w:rPr>
                <w:rFonts w:eastAsia="Times New Roman" w:cs="Arial"/>
              </w:rPr>
            </w:pPr>
            <w:r w:rsidRPr="00D0306F">
              <w:rPr>
                <w:rFonts w:eastAsia="Times New Roman" w:cs="Arial"/>
              </w:rPr>
              <w:t>3.4%</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2510D34" w14:textId="77777777" w:rsidR="006C7AA7" w:rsidRPr="00D0306F" w:rsidRDefault="006C7AA7" w:rsidP="00CC3BF4">
            <w:pPr>
              <w:jc w:val="center"/>
              <w:rPr>
                <w:rFonts w:eastAsia="Times New Roman" w:cs="Arial"/>
              </w:rPr>
            </w:pPr>
            <w:r w:rsidRPr="00D0306F">
              <w:rPr>
                <w:rFonts w:eastAsia="Times New Roman" w:cs="Arial"/>
              </w:rPr>
              <w:t>4</w:t>
            </w:r>
          </w:p>
        </w:tc>
      </w:tr>
      <w:tr w:rsidR="006C7AA7" w:rsidRPr="00D0306F" w14:paraId="0862CFC1"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DA41BF4" w14:textId="77777777" w:rsidR="006C7AA7" w:rsidRPr="00D0306F" w:rsidRDefault="006C7AA7" w:rsidP="00CC3BF4">
            <w:pPr>
              <w:jc w:val="center"/>
              <w:rPr>
                <w:rFonts w:eastAsia="Times New Roman" w:cs="Arial"/>
              </w:rPr>
            </w:pPr>
            <w:r w:rsidRPr="00D0306F">
              <w:rPr>
                <w:rFonts w:eastAsia="Times New Roman" w:cs="Arial"/>
              </w:rPr>
              <w:t>4</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BD117C3" w14:textId="77777777" w:rsidR="006C7AA7" w:rsidRPr="00D0306F" w:rsidRDefault="006C7AA7" w:rsidP="00CC3BF4">
            <w:pPr>
              <w:rPr>
                <w:rFonts w:eastAsia="Times New Roman" w:cs="Arial"/>
              </w:rPr>
            </w:pPr>
            <w:r w:rsidRPr="00D0306F">
              <w:rPr>
                <w:rFonts w:eastAsia="Times New Roman" w:cs="Arial"/>
              </w:rPr>
              <w:t>2pm to 6pm</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05" w:type="pct"/>
              <w:tblCellMar>
                <w:left w:w="0" w:type="dxa"/>
                <w:right w:w="0" w:type="dxa"/>
              </w:tblCellMar>
              <w:tblLook w:val="04A0" w:firstRow="1" w:lastRow="0" w:firstColumn="1" w:lastColumn="0" w:noHBand="0" w:noVBand="1"/>
            </w:tblPr>
            <w:tblGrid>
              <w:gridCol w:w="596"/>
            </w:tblGrid>
            <w:tr w:rsidR="006C7AA7" w:rsidRPr="00D0306F" w14:paraId="36895AA7" w14:textId="77777777" w:rsidTr="00CC3BF4">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5F896F8D"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4E6777C2"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26A2511" w14:textId="77777777" w:rsidR="006C7AA7" w:rsidRPr="00D0306F" w:rsidRDefault="006C7AA7" w:rsidP="00CC3BF4">
            <w:pPr>
              <w:jc w:val="center"/>
              <w:rPr>
                <w:rFonts w:eastAsia="Times New Roman" w:cs="Arial"/>
              </w:rPr>
            </w:pPr>
            <w:r w:rsidRPr="00D0306F">
              <w:rPr>
                <w:rFonts w:eastAsia="Times New Roman" w:cs="Arial"/>
              </w:rPr>
              <w:t>15.9%</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D1CE3FA" w14:textId="77777777" w:rsidR="006C7AA7" w:rsidRPr="00D0306F" w:rsidRDefault="006C7AA7" w:rsidP="00CC3BF4">
            <w:pPr>
              <w:jc w:val="center"/>
              <w:rPr>
                <w:rFonts w:eastAsia="Times New Roman" w:cs="Arial"/>
              </w:rPr>
            </w:pPr>
            <w:r w:rsidRPr="00D0306F">
              <w:rPr>
                <w:rFonts w:eastAsia="Times New Roman" w:cs="Arial"/>
              </w:rPr>
              <w:t>19</w:t>
            </w:r>
          </w:p>
        </w:tc>
      </w:tr>
      <w:tr w:rsidR="006C7AA7" w:rsidRPr="00D0306F" w14:paraId="7FA28CCB"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1C8E22C" w14:textId="77777777" w:rsidR="006C7AA7" w:rsidRPr="00D0306F" w:rsidRDefault="006C7AA7" w:rsidP="00CC3BF4">
            <w:pPr>
              <w:jc w:val="center"/>
              <w:rPr>
                <w:rFonts w:eastAsia="Times New Roman" w:cs="Arial"/>
              </w:rPr>
            </w:pPr>
            <w:r w:rsidRPr="00D0306F">
              <w:rPr>
                <w:rFonts w:eastAsia="Times New Roman" w:cs="Arial"/>
              </w:rPr>
              <w:t>5</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299A1A1" w14:textId="77777777" w:rsidR="006C7AA7" w:rsidRPr="00D0306F" w:rsidRDefault="006C7AA7" w:rsidP="00CC3BF4">
            <w:pPr>
              <w:rPr>
                <w:rFonts w:eastAsia="Times New Roman" w:cs="Arial"/>
              </w:rPr>
            </w:pPr>
            <w:r w:rsidRPr="00D0306F">
              <w:rPr>
                <w:rFonts w:eastAsia="Times New Roman" w:cs="Arial"/>
              </w:rPr>
              <w:t>6pm to 9pm</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90" w:type="pct"/>
              <w:tblCellMar>
                <w:left w:w="0" w:type="dxa"/>
                <w:right w:w="0" w:type="dxa"/>
              </w:tblCellMar>
              <w:tblLook w:val="04A0" w:firstRow="1" w:lastRow="0" w:firstColumn="1" w:lastColumn="0" w:noHBand="0" w:noVBand="1"/>
            </w:tblPr>
            <w:tblGrid>
              <w:gridCol w:w="659"/>
            </w:tblGrid>
            <w:tr w:rsidR="006C7AA7" w:rsidRPr="00D0306F" w14:paraId="28157ABA"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7ADA69B0"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B11F9BA"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BA62B56" w14:textId="77777777" w:rsidR="006C7AA7" w:rsidRPr="00D0306F" w:rsidRDefault="006C7AA7" w:rsidP="00CC3BF4">
            <w:pPr>
              <w:jc w:val="center"/>
              <w:rPr>
                <w:rFonts w:eastAsia="Times New Roman" w:cs="Arial"/>
              </w:rPr>
            </w:pPr>
            <w:r w:rsidRPr="00D0306F">
              <w:rPr>
                <w:rFonts w:eastAsia="Times New Roman" w:cs="Arial"/>
              </w:rPr>
              <w:t>17.7%</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0D9691F" w14:textId="77777777" w:rsidR="006C7AA7" w:rsidRPr="00D0306F" w:rsidRDefault="006C7AA7" w:rsidP="00CC3BF4">
            <w:pPr>
              <w:jc w:val="center"/>
              <w:rPr>
                <w:rFonts w:eastAsia="Times New Roman" w:cs="Arial"/>
              </w:rPr>
            </w:pPr>
            <w:r w:rsidRPr="00D0306F">
              <w:rPr>
                <w:rFonts w:eastAsia="Times New Roman" w:cs="Arial"/>
              </w:rPr>
              <w:t>21</w:t>
            </w:r>
          </w:p>
        </w:tc>
      </w:tr>
      <w:tr w:rsidR="006C7AA7" w:rsidRPr="00D0306F" w14:paraId="41F7961E"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A005357" w14:textId="77777777" w:rsidR="006C7AA7" w:rsidRPr="00D0306F" w:rsidRDefault="006C7AA7" w:rsidP="00CC3BF4">
            <w:pPr>
              <w:jc w:val="center"/>
              <w:rPr>
                <w:rFonts w:eastAsia="Times New Roman" w:cs="Arial"/>
              </w:rPr>
            </w:pPr>
            <w:r w:rsidRPr="00D0306F">
              <w:rPr>
                <w:rFonts w:eastAsia="Times New Roman" w:cs="Arial"/>
              </w:rPr>
              <w:t>6</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989F35F" w14:textId="77777777" w:rsidR="006C7AA7" w:rsidRPr="00D0306F" w:rsidRDefault="006C7AA7" w:rsidP="00CC3BF4">
            <w:pPr>
              <w:rPr>
                <w:rFonts w:eastAsia="Times New Roman" w:cs="Arial"/>
              </w:rPr>
            </w:pPr>
            <w:r w:rsidRPr="00D0306F">
              <w:rPr>
                <w:rFonts w:eastAsia="Times New Roman" w:cs="Arial"/>
              </w:rPr>
              <w:t>9pm to midnight</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5C4A30EB"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543840F" w14:textId="77777777" w:rsidR="006C7AA7" w:rsidRPr="00D0306F" w:rsidRDefault="006C7AA7" w:rsidP="00CC3BF4">
            <w:pPr>
              <w:jc w:val="center"/>
              <w:rPr>
                <w:rFonts w:eastAsia="Times New Roman" w:cs="Arial"/>
              </w:rPr>
            </w:pPr>
            <w:r w:rsidRPr="00D0306F">
              <w:rPr>
                <w:rFonts w:eastAsia="Times New Roman" w:cs="Arial"/>
              </w:rPr>
              <w:t>0.0%</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A2E0160"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512CF078"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246D95C" w14:textId="77777777" w:rsidR="006C7AA7" w:rsidRPr="00D0306F" w:rsidRDefault="006C7AA7" w:rsidP="00CC3BF4">
            <w:pPr>
              <w:jc w:val="center"/>
              <w:rPr>
                <w:rFonts w:eastAsia="Times New Roman" w:cs="Arial"/>
              </w:rPr>
            </w:pPr>
            <w:r w:rsidRPr="00D0306F">
              <w:rPr>
                <w:rFonts w:eastAsia="Times New Roman" w:cs="Arial"/>
              </w:rPr>
              <w:t>7</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30D7DCF" w14:textId="77777777" w:rsidR="006C7AA7" w:rsidRPr="00D0306F" w:rsidRDefault="006C7AA7" w:rsidP="00CC3BF4">
            <w:pPr>
              <w:rPr>
                <w:rFonts w:eastAsia="Times New Roman" w:cs="Arial"/>
              </w:rPr>
            </w:pPr>
            <w:r w:rsidRPr="00D0306F">
              <w:rPr>
                <w:rFonts w:eastAsia="Times New Roman" w:cs="Arial"/>
              </w:rPr>
              <w:t>I don’t have a preference</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737" w:type="pct"/>
              <w:tblCellMar>
                <w:left w:w="0" w:type="dxa"/>
                <w:right w:w="0" w:type="dxa"/>
              </w:tblCellMar>
              <w:tblLook w:val="04A0" w:firstRow="1" w:lastRow="0" w:firstColumn="1" w:lastColumn="0" w:noHBand="0" w:noVBand="1"/>
            </w:tblPr>
            <w:tblGrid>
              <w:gridCol w:w="1286"/>
            </w:tblGrid>
            <w:tr w:rsidR="006C7AA7" w:rsidRPr="00D0306F" w14:paraId="16890C65" w14:textId="77777777" w:rsidTr="00CC3BF4">
              <w:tc>
                <w:tcPr>
                  <w:tcW w:w="0" w:type="auto"/>
                  <w:tcBorders>
                    <w:top w:val="single" w:sz="6" w:space="0" w:color="811CA4"/>
                    <w:left w:val="single" w:sz="6" w:space="0" w:color="811CA4"/>
                    <w:bottom w:val="single" w:sz="6" w:space="0" w:color="811CA4"/>
                    <w:right w:val="single" w:sz="6" w:space="0" w:color="811CA4"/>
                  </w:tcBorders>
                  <w:shd w:val="clear" w:color="auto" w:fill="811CA4"/>
                  <w:vAlign w:val="center"/>
                  <w:hideMark/>
                </w:tcPr>
                <w:p w14:paraId="37A02A71"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22AD32EB"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9872BFF" w14:textId="77777777" w:rsidR="006C7AA7" w:rsidRPr="00D0306F" w:rsidRDefault="006C7AA7" w:rsidP="00CC3BF4">
            <w:pPr>
              <w:jc w:val="center"/>
              <w:rPr>
                <w:rFonts w:eastAsia="Times New Roman" w:cs="Arial"/>
              </w:rPr>
            </w:pPr>
            <w:r w:rsidRPr="00D0306F">
              <w:rPr>
                <w:rFonts w:eastAsia="Times New Roman" w:cs="Arial"/>
              </w:rPr>
              <w:t>35.3%</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1AFD28C" w14:textId="77777777" w:rsidR="006C7AA7" w:rsidRPr="00D0306F" w:rsidRDefault="006C7AA7" w:rsidP="00CC3BF4">
            <w:pPr>
              <w:jc w:val="center"/>
              <w:rPr>
                <w:rFonts w:eastAsia="Times New Roman" w:cs="Arial"/>
              </w:rPr>
            </w:pPr>
            <w:r w:rsidRPr="00D0306F">
              <w:rPr>
                <w:rFonts w:eastAsia="Times New Roman" w:cs="Arial"/>
              </w:rPr>
              <w:t>42</w:t>
            </w:r>
          </w:p>
        </w:tc>
      </w:tr>
      <w:tr w:rsidR="006C7AA7" w:rsidRPr="00D0306F" w14:paraId="4A2E4D99" w14:textId="77777777" w:rsidTr="00CC3BF4">
        <w:trPr>
          <w:tblCellSpacing w:w="0" w:type="dxa"/>
          <w:jc w:val="center"/>
        </w:trPr>
        <w:tc>
          <w:tcPr>
            <w:tcW w:w="0" w:type="auto"/>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4411FA7F" w14:textId="77777777" w:rsidR="006C7AA7" w:rsidRPr="00D0306F" w:rsidRDefault="006C7AA7" w:rsidP="00CC3BF4">
            <w:pPr>
              <w:jc w:val="center"/>
              <w:rPr>
                <w:rFonts w:eastAsia="Times New Roman" w:cs="Arial"/>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0C3AEE3" w14:textId="77777777" w:rsidR="006C7AA7" w:rsidRPr="00D0306F" w:rsidRDefault="006C7AA7" w:rsidP="00CC3BF4">
            <w:pPr>
              <w:jc w:val="center"/>
              <w:rPr>
                <w:rFonts w:eastAsia="Times New Roman" w:cs="Arial"/>
              </w:rPr>
            </w:pPr>
            <w:r w:rsidRPr="00D0306F">
              <w:rPr>
                <w:rFonts w:eastAsia="Times New Roman" w:cs="Arial"/>
              </w:rPr>
              <w:t>answered</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E18D849" w14:textId="77777777" w:rsidR="006C7AA7" w:rsidRPr="00D0306F" w:rsidRDefault="006C7AA7" w:rsidP="00CC3BF4">
            <w:pPr>
              <w:jc w:val="center"/>
              <w:rPr>
                <w:rFonts w:eastAsia="Times New Roman" w:cs="Arial"/>
              </w:rPr>
            </w:pPr>
            <w:r w:rsidRPr="00D0306F">
              <w:rPr>
                <w:rFonts w:eastAsia="Times New Roman" w:cs="Arial"/>
              </w:rPr>
              <w:t>119</w:t>
            </w:r>
          </w:p>
        </w:tc>
      </w:tr>
      <w:tr w:rsidR="006C7AA7" w:rsidRPr="00D0306F" w14:paraId="47C40054" w14:textId="77777777" w:rsidTr="00CC3BF4">
        <w:trPr>
          <w:tblCellSpacing w:w="0" w:type="dxa"/>
          <w:jc w:val="center"/>
        </w:trPr>
        <w:tc>
          <w:tcPr>
            <w:tcW w:w="0" w:type="auto"/>
            <w:gridSpan w:val="3"/>
            <w:vMerge/>
            <w:tcBorders>
              <w:top w:val="single" w:sz="6" w:space="0" w:color="CCCCCC"/>
              <w:left w:val="nil"/>
              <w:bottom w:val="nil"/>
              <w:right w:val="single" w:sz="6" w:space="0" w:color="CCCCCC"/>
            </w:tcBorders>
            <w:vAlign w:val="center"/>
            <w:hideMark/>
          </w:tcPr>
          <w:p w14:paraId="6D63CD4E"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8C82AAA" w14:textId="77777777" w:rsidR="006C7AA7" w:rsidRPr="00D0306F" w:rsidRDefault="006C7AA7" w:rsidP="00CC3BF4">
            <w:pPr>
              <w:jc w:val="center"/>
              <w:rPr>
                <w:rFonts w:eastAsia="Times New Roman" w:cs="Arial"/>
              </w:rPr>
            </w:pPr>
            <w:r w:rsidRPr="00D0306F">
              <w:rPr>
                <w:rFonts w:eastAsia="Times New Roman" w:cs="Arial"/>
              </w:rPr>
              <w:t>skipped</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2198304" w14:textId="77777777" w:rsidR="006C7AA7" w:rsidRPr="00D0306F" w:rsidRDefault="006C7AA7" w:rsidP="00CC3BF4">
            <w:pPr>
              <w:jc w:val="center"/>
              <w:rPr>
                <w:rFonts w:eastAsia="Times New Roman" w:cs="Arial"/>
              </w:rPr>
            </w:pPr>
            <w:r w:rsidRPr="00D0306F">
              <w:rPr>
                <w:rFonts w:eastAsia="Times New Roman" w:cs="Arial"/>
              </w:rPr>
              <w:t>0</w:t>
            </w:r>
          </w:p>
        </w:tc>
      </w:tr>
    </w:tbl>
    <w:p w14:paraId="454D621E" w14:textId="77777777" w:rsidR="006C7AA7" w:rsidRPr="00D0306F" w:rsidRDefault="006C7AA7" w:rsidP="006C7AA7">
      <w:pPr>
        <w:rPr>
          <w:rFonts w:cs="Arial"/>
          <w:b/>
          <w:bCs/>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417"/>
        <w:gridCol w:w="2134"/>
        <w:gridCol w:w="3743"/>
        <w:gridCol w:w="1313"/>
        <w:gridCol w:w="1313"/>
      </w:tblGrid>
      <w:tr w:rsidR="006C7AA7" w:rsidRPr="00D0306F" w14:paraId="2E375C19"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44B9FD4D" w14:textId="77777777" w:rsidR="006C7AA7" w:rsidRPr="00D0306F" w:rsidRDefault="006C7AA7" w:rsidP="00CC3BF4">
            <w:pPr>
              <w:rPr>
                <w:rFonts w:eastAsia="Times New Roman" w:cs="Arial"/>
                <w:b/>
                <w:bCs/>
                <w:color w:val="FFFFFF"/>
              </w:rPr>
            </w:pPr>
            <w:r w:rsidRPr="00D0306F">
              <w:rPr>
                <w:rFonts w:eastAsia="Times New Roman" w:cs="Arial"/>
                <w:b/>
                <w:bCs/>
                <w:color w:val="FFFFFF"/>
              </w:rPr>
              <w:t xml:space="preserve">5. What day is the most convenient for you to use a pharmacy? </w:t>
            </w:r>
          </w:p>
        </w:tc>
      </w:tr>
      <w:tr w:rsidR="006C7AA7" w:rsidRPr="00D0306F" w14:paraId="658D53C9"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1CD4FEDB"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241CDE2"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21842507"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71FCFF8E"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9D4227A" w14:textId="77777777" w:rsidR="006C7AA7" w:rsidRPr="00D0306F" w:rsidRDefault="006C7AA7" w:rsidP="00CC3BF4">
            <w:pPr>
              <w:jc w:val="center"/>
              <w:rPr>
                <w:rFonts w:eastAsia="Times New Roman" w:cs="Arial"/>
              </w:rPr>
            </w:pPr>
            <w:r w:rsidRPr="00D0306F">
              <w:rPr>
                <w:rFonts w:eastAsia="Times New Roman" w:cs="Arial"/>
              </w:rPr>
              <w:t>1</w:t>
            </w:r>
          </w:p>
        </w:tc>
        <w:tc>
          <w:tcPr>
            <w:tcW w:w="213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A3BA811" w14:textId="77777777" w:rsidR="006C7AA7" w:rsidRPr="00D0306F" w:rsidRDefault="006C7AA7" w:rsidP="00CC3BF4">
            <w:pPr>
              <w:rPr>
                <w:rFonts w:eastAsia="Times New Roman" w:cs="Arial"/>
              </w:rPr>
            </w:pPr>
            <w:r w:rsidRPr="00D0306F">
              <w:rPr>
                <w:rFonts w:eastAsia="Times New Roman" w:cs="Arial"/>
              </w:rPr>
              <w:t>Monday</w:t>
            </w:r>
          </w:p>
        </w:tc>
        <w:tc>
          <w:tcPr>
            <w:tcW w:w="374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4" w:type="pct"/>
              <w:tblCellMar>
                <w:left w:w="0" w:type="dxa"/>
                <w:right w:w="0" w:type="dxa"/>
              </w:tblCellMar>
              <w:tblLook w:val="04A0" w:firstRow="1" w:lastRow="0" w:firstColumn="1" w:lastColumn="0" w:noHBand="0" w:noVBand="1"/>
            </w:tblPr>
            <w:tblGrid>
              <w:gridCol w:w="82"/>
            </w:tblGrid>
            <w:tr w:rsidR="006C7AA7" w:rsidRPr="00D0306F" w14:paraId="75FB91DD"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3DAB76DB"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4F17B11D"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AF279AE" w14:textId="77777777" w:rsidR="006C7AA7" w:rsidRPr="00D0306F" w:rsidRDefault="006C7AA7" w:rsidP="00CC3BF4">
            <w:pPr>
              <w:jc w:val="center"/>
              <w:rPr>
                <w:rFonts w:eastAsia="Times New Roman" w:cs="Arial"/>
              </w:rPr>
            </w:pPr>
            <w:r w:rsidRPr="00D0306F">
              <w:rPr>
                <w:rFonts w:eastAsia="Times New Roman" w:cs="Arial"/>
              </w:rPr>
              <w:t>1.7%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332E161" w14:textId="77777777" w:rsidR="006C7AA7" w:rsidRPr="00D0306F" w:rsidRDefault="006C7AA7" w:rsidP="00CC3BF4">
            <w:pPr>
              <w:jc w:val="center"/>
              <w:rPr>
                <w:rFonts w:eastAsia="Times New Roman" w:cs="Arial"/>
              </w:rPr>
            </w:pPr>
            <w:r w:rsidRPr="00D0306F">
              <w:rPr>
                <w:rFonts w:eastAsia="Times New Roman" w:cs="Arial"/>
              </w:rPr>
              <w:t>2</w:t>
            </w:r>
          </w:p>
        </w:tc>
      </w:tr>
      <w:tr w:rsidR="006C7AA7" w:rsidRPr="00D0306F" w14:paraId="76C61C9D"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1E4E911" w14:textId="77777777" w:rsidR="006C7AA7" w:rsidRPr="00D0306F" w:rsidRDefault="006C7AA7" w:rsidP="00CC3BF4">
            <w:pPr>
              <w:jc w:val="center"/>
              <w:rPr>
                <w:rFonts w:eastAsia="Times New Roman" w:cs="Arial"/>
              </w:rPr>
            </w:pPr>
            <w:r w:rsidRPr="00D0306F">
              <w:rPr>
                <w:rFonts w:eastAsia="Times New Roman" w:cs="Arial"/>
              </w:rPr>
              <w:t>2</w:t>
            </w:r>
          </w:p>
        </w:tc>
        <w:tc>
          <w:tcPr>
            <w:tcW w:w="213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5CDFC08" w14:textId="77777777" w:rsidR="006C7AA7" w:rsidRPr="00D0306F" w:rsidRDefault="006C7AA7" w:rsidP="00CC3BF4">
            <w:pPr>
              <w:rPr>
                <w:rFonts w:eastAsia="Times New Roman" w:cs="Arial"/>
              </w:rPr>
            </w:pPr>
            <w:r w:rsidRPr="00D0306F">
              <w:rPr>
                <w:rFonts w:eastAsia="Times New Roman" w:cs="Arial"/>
              </w:rPr>
              <w:t>Tuesday</w:t>
            </w:r>
          </w:p>
        </w:tc>
        <w:tc>
          <w:tcPr>
            <w:tcW w:w="374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9" w:type="pct"/>
              <w:tblCellMar>
                <w:left w:w="0" w:type="dxa"/>
                <w:right w:w="0" w:type="dxa"/>
              </w:tblCellMar>
              <w:tblLook w:val="04A0" w:firstRow="1" w:lastRow="0" w:firstColumn="1" w:lastColumn="0" w:noHBand="0" w:noVBand="1"/>
            </w:tblPr>
            <w:tblGrid>
              <w:gridCol w:w="121"/>
            </w:tblGrid>
            <w:tr w:rsidR="006C7AA7" w:rsidRPr="00D0306F" w14:paraId="37B66CE2"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1A4A83FE"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C7BEA1F"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8D1A72A" w14:textId="77777777" w:rsidR="006C7AA7" w:rsidRPr="00D0306F" w:rsidRDefault="006C7AA7" w:rsidP="00CC3BF4">
            <w:pPr>
              <w:jc w:val="center"/>
              <w:rPr>
                <w:rFonts w:eastAsia="Times New Roman" w:cs="Arial"/>
              </w:rPr>
            </w:pPr>
            <w:r w:rsidRPr="00D0306F">
              <w:rPr>
                <w:rFonts w:eastAsia="Times New Roman" w:cs="Arial"/>
              </w:rPr>
              <w:t>3.4%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E06D27E" w14:textId="77777777" w:rsidR="006C7AA7" w:rsidRPr="00D0306F" w:rsidRDefault="006C7AA7" w:rsidP="00CC3BF4">
            <w:pPr>
              <w:jc w:val="center"/>
              <w:rPr>
                <w:rFonts w:eastAsia="Times New Roman" w:cs="Arial"/>
              </w:rPr>
            </w:pPr>
            <w:r w:rsidRPr="00D0306F">
              <w:rPr>
                <w:rFonts w:eastAsia="Times New Roman" w:cs="Arial"/>
              </w:rPr>
              <w:t>4</w:t>
            </w:r>
          </w:p>
        </w:tc>
      </w:tr>
      <w:tr w:rsidR="006C7AA7" w:rsidRPr="00D0306F" w14:paraId="5E621840"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944A201" w14:textId="77777777" w:rsidR="006C7AA7" w:rsidRPr="00D0306F" w:rsidRDefault="006C7AA7" w:rsidP="00CC3BF4">
            <w:pPr>
              <w:jc w:val="center"/>
              <w:rPr>
                <w:rFonts w:eastAsia="Times New Roman" w:cs="Arial"/>
              </w:rPr>
            </w:pPr>
            <w:r w:rsidRPr="00D0306F">
              <w:rPr>
                <w:rFonts w:eastAsia="Times New Roman" w:cs="Arial"/>
              </w:rPr>
              <w:t>3</w:t>
            </w:r>
          </w:p>
        </w:tc>
        <w:tc>
          <w:tcPr>
            <w:tcW w:w="213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907DAA7" w14:textId="77777777" w:rsidR="006C7AA7" w:rsidRPr="00D0306F" w:rsidRDefault="006C7AA7" w:rsidP="00CC3BF4">
            <w:pPr>
              <w:rPr>
                <w:rFonts w:eastAsia="Times New Roman" w:cs="Arial"/>
              </w:rPr>
            </w:pPr>
            <w:r w:rsidRPr="00D0306F">
              <w:rPr>
                <w:rFonts w:eastAsia="Times New Roman" w:cs="Arial"/>
              </w:rPr>
              <w:t>Wednesday</w:t>
            </w:r>
          </w:p>
        </w:tc>
        <w:tc>
          <w:tcPr>
            <w:tcW w:w="374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12" w:type="pct"/>
              <w:tblCellMar>
                <w:left w:w="0" w:type="dxa"/>
                <w:right w:w="0" w:type="dxa"/>
              </w:tblCellMar>
              <w:tblLook w:val="04A0" w:firstRow="1" w:lastRow="0" w:firstColumn="1" w:lastColumn="0" w:noHBand="0" w:noVBand="1"/>
            </w:tblPr>
            <w:tblGrid>
              <w:gridCol w:w="152"/>
            </w:tblGrid>
            <w:tr w:rsidR="006C7AA7" w:rsidRPr="00D0306F" w14:paraId="5F89BF0B" w14:textId="77777777" w:rsidTr="00CC3BF4">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4D5C0DC9"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4272FFD5"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0CD6B5D" w14:textId="77777777" w:rsidR="006C7AA7" w:rsidRPr="00D0306F" w:rsidRDefault="006C7AA7" w:rsidP="00CC3BF4">
            <w:pPr>
              <w:jc w:val="center"/>
              <w:rPr>
                <w:rFonts w:eastAsia="Times New Roman" w:cs="Arial"/>
              </w:rPr>
            </w:pPr>
            <w:r w:rsidRPr="00D0306F">
              <w:rPr>
                <w:rFonts w:eastAsia="Times New Roman" w:cs="Arial"/>
              </w:rPr>
              <w:t>4.2%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39CB895" w14:textId="77777777" w:rsidR="006C7AA7" w:rsidRPr="00D0306F" w:rsidRDefault="006C7AA7" w:rsidP="00CC3BF4">
            <w:pPr>
              <w:jc w:val="center"/>
              <w:rPr>
                <w:rFonts w:eastAsia="Times New Roman" w:cs="Arial"/>
              </w:rPr>
            </w:pPr>
            <w:r w:rsidRPr="00D0306F">
              <w:rPr>
                <w:rFonts w:eastAsia="Times New Roman" w:cs="Arial"/>
              </w:rPr>
              <w:t>5</w:t>
            </w:r>
          </w:p>
        </w:tc>
      </w:tr>
      <w:tr w:rsidR="006C7AA7" w:rsidRPr="00D0306F" w14:paraId="60DD2689"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4492D48" w14:textId="77777777" w:rsidR="006C7AA7" w:rsidRPr="00D0306F" w:rsidRDefault="006C7AA7" w:rsidP="00CC3BF4">
            <w:pPr>
              <w:jc w:val="center"/>
              <w:rPr>
                <w:rFonts w:eastAsia="Times New Roman" w:cs="Arial"/>
              </w:rPr>
            </w:pPr>
            <w:r w:rsidRPr="00D0306F">
              <w:rPr>
                <w:rFonts w:eastAsia="Times New Roman" w:cs="Arial"/>
              </w:rPr>
              <w:t>4</w:t>
            </w:r>
          </w:p>
        </w:tc>
        <w:tc>
          <w:tcPr>
            <w:tcW w:w="213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65B21C9" w14:textId="77777777" w:rsidR="006C7AA7" w:rsidRPr="00D0306F" w:rsidRDefault="006C7AA7" w:rsidP="00CC3BF4">
            <w:pPr>
              <w:rPr>
                <w:rFonts w:eastAsia="Times New Roman" w:cs="Arial"/>
              </w:rPr>
            </w:pPr>
            <w:r w:rsidRPr="00D0306F">
              <w:rPr>
                <w:rFonts w:eastAsia="Times New Roman" w:cs="Arial"/>
              </w:rPr>
              <w:t>Thursday</w:t>
            </w:r>
          </w:p>
        </w:tc>
        <w:tc>
          <w:tcPr>
            <w:tcW w:w="374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612BF4F5"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E614C25"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5B30BEC"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67A90649"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F1C52C1" w14:textId="77777777" w:rsidR="006C7AA7" w:rsidRPr="00D0306F" w:rsidRDefault="006C7AA7" w:rsidP="00CC3BF4">
            <w:pPr>
              <w:jc w:val="center"/>
              <w:rPr>
                <w:rFonts w:eastAsia="Times New Roman" w:cs="Arial"/>
              </w:rPr>
            </w:pPr>
            <w:r w:rsidRPr="00D0306F">
              <w:rPr>
                <w:rFonts w:eastAsia="Times New Roman" w:cs="Arial"/>
              </w:rPr>
              <w:t>5</w:t>
            </w:r>
          </w:p>
        </w:tc>
        <w:tc>
          <w:tcPr>
            <w:tcW w:w="213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C9F68B1" w14:textId="77777777" w:rsidR="006C7AA7" w:rsidRPr="00D0306F" w:rsidRDefault="006C7AA7" w:rsidP="00CC3BF4">
            <w:pPr>
              <w:rPr>
                <w:rFonts w:eastAsia="Times New Roman" w:cs="Arial"/>
              </w:rPr>
            </w:pPr>
            <w:r w:rsidRPr="00D0306F">
              <w:rPr>
                <w:rFonts w:eastAsia="Times New Roman" w:cs="Arial"/>
              </w:rPr>
              <w:t>Friday</w:t>
            </w:r>
          </w:p>
        </w:tc>
        <w:tc>
          <w:tcPr>
            <w:tcW w:w="374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9" w:type="pct"/>
              <w:tblCellMar>
                <w:left w:w="0" w:type="dxa"/>
                <w:right w:w="0" w:type="dxa"/>
              </w:tblCellMar>
              <w:tblLook w:val="04A0" w:firstRow="1" w:lastRow="0" w:firstColumn="1" w:lastColumn="0" w:noHBand="0" w:noVBand="1"/>
            </w:tblPr>
            <w:tblGrid>
              <w:gridCol w:w="121"/>
            </w:tblGrid>
            <w:tr w:rsidR="006C7AA7" w:rsidRPr="00D0306F" w14:paraId="0F4EF8BF"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2A801915"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3A9811D"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8CB2B8B" w14:textId="77777777" w:rsidR="006C7AA7" w:rsidRPr="00D0306F" w:rsidRDefault="006C7AA7" w:rsidP="00CC3BF4">
            <w:pPr>
              <w:jc w:val="center"/>
              <w:rPr>
                <w:rFonts w:eastAsia="Times New Roman" w:cs="Arial"/>
              </w:rPr>
            </w:pPr>
            <w:r w:rsidRPr="00D0306F">
              <w:rPr>
                <w:rFonts w:eastAsia="Times New Roman" w:cs="Arial"/>
              </w:rPr>
              <w:t>3.4%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55276EC" w14:textId="77777777" w:rsidR="006C7AA7" w:rsidRPr="00D0306F" w:rsidRDefault="006C7AA7" w:rsidP="00CC3BF4">
            <w:pPr>
              <w:jc w:val="center"/>
              <w:rPr>
                <w:rFonts w:eastAsia="Times New Roman" w:cs="Arial"/>
              </w:rPr>
            </w:pPr>
            <w:r w:rsidRPr="00D0306F">
              <w:rPr>
                <w:rFonts w:eastAsia="Times New Roman" w:cs="Arial"/>
              </w:rPr>
              <w:t>4</w:t>
            </w:r>
          </w:p>
        </w:tc>
      </w:tr>
      <w:tr w:rsidR="006C7AA7" w:rsidRPr="00D0306F" w14:paraId="14BE8877"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A631475" w14:textId="77777777" w:rsidR="006C7AA7" w:rsidRPr="00D0306F" w:rsidRDefault="006C7AA7" w:rsidP="00CC3BF4">
            <w:pPr>
              <w:jc w:val="center"/>
              <w:rPr>
                <w:rFonts w:eastAsia="Times New Roman" w:cs="Arial"/>
              </w:rPr>
            </w:pPr>
            <w:r w:rsidRPr="00D0306F">
              <w:rPr>
                <w:rFonts w:eastAsia="Times New Roman" w:cs="Arial"/>
              </w:rPr>
              <w:t>6</w:t>
            </w:r>
          </w:p>
        </w:tc>
        <w:tc>
          <w:tcPr>
            <w:tcW w:w="213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614A299" w14:textId="77777777" w:rsidR="006C7AA7" w:rsidRPr="00D0306F" w:rsidRDefault="006C7AA7" w:rsidP="00CC3BF4">
            <w:pPr>
              <w:rPr>
                <w:rFonts w:eastAsia="Times New Roman" w:cs="Arial"/>
              </w:rPr>
            </w:pPr>
            <w:r w:rsidRPr="00D0306F">
              <w:rPr>
                <w:rFonts w:eastAsia="Times New Roman" w:cs="Arial"/>
              </w:rPr>
              <w:t>Saturday</w:t>
            </w:r>
          </w:p>
        </w:tc>
        <w:tc>
          <w:tcPr>
            <w:tcW w:w="374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7" w:type="pct"/>
              <w:tblCellMar>
                <w:left w:w="0" w:type="dxa"/>
                <w:right w:w="0" w:type="dxa"/>
              </w:tblCellMar>
              <w:tblLook w:val="04A0" w:firstRow="1" w:lastRow="0" w:firstColumn="1" w:lastColumn="0" w:noHBand="0" w:noVBand="1"/>
            </w:tblPr>
            <w:tblGrid>
              <w:gridCol w:w="91"/>
            </w:tblGrid>
            <w:tr w:rsidR="006C7AA7" w:rsidRPr="00D0306F" w14:paraId="44C1716F" w14:textId="77777777" w:rsidTr="00CC3BF4">
              <w:tc>
                <w:tcPr>
                  <w:tcW w:w="0" w:type="auto"/>
                  <w:tcBorders>
                    <w:top w:val="single" w:sz="6" w:space="0" w:color="00BCD4"/>
                    <w:left w:val="single" w:sz="6" w:space="0" w:color="00BCD4"/>
                    <w:bottom w:val="single" w:sz="6" w:space="0" w:color="00BCD4"/>
                    <w:right w:val="single" w:sz="6" w:space="0" w:color="00BCD4"/>
                  </w:tcBorders>
                  <w:shd w:val="clear" w:color="auto" w:fill="00BCD4"/>
                  <w:vAlign w:val="center"/>
                  <w:hideMark/>
                </w:tcPr>
                <w:p w14:paraId="00AE961C"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4C29912E"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1B37F8E" w14:textId="77777777" w:rsidR="006C7AA7" w:rsidRPr="00D0306F" w:rsidRDefault="006C7AA7" w:rsidP="00CC3BF4">
            <w:pPr>
              <w:jc w:val="center"/>
              <w:rPr>
                <w:rFonts w:eastAsia="Times New Roman" w:cs="Arial"/>
              </w:rPr>
            </w:pPr>
            <w:r w:rsidRPr="00D0306F">
              <w:rPr>
                <w:rFonts w:eastAsia="Times New Roman" w:cs="Arial"/>
              </w:rPr>
              <w:t>2.5%</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E314F5E" w14:textId="77777777" w:rsidR="006C7AA7" w:rsidRPr="00D0306F" w:rsidRDefault="006C7AA7" w:rsidP="00CC3BF4">
            <w:pPr>
              <w:jc w:val="center"/>
              <w:rPr>
                <w:rFonts w:eastAsia="Times New Roman" w:cs="Arial"/>
              </w:rPr>
            </w:pPr>
            <w:r w:rsidRPr="00D0306F">
              <w:rPr>
                <w:rFonts w:eastAsia="Times New Roman" w:cs="Arial"/>
              </w:rPr>
              <w:t>3</w:t>
            </w:r>
          </w:p>
        </w:tc>
      </w:tr>
      <w:tr w:rsidR="006C7AA7" w:rsidRPr="00D0306F" w14:paraId="3EFB1362"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C86035C" w14:textId="77777777" w:rsidR="006C7AA7" w:rsidRPr="00D0306F" w:rsidRDefault="006C7AA7" w:rsidP="00CC3BF4">
            <w:pPr>
              <w:jc w:val="center"/>
              <w:rPr>
                <w:rFonts w:eastAsia="Times New Roman" w:cs="Arial"/>
              </w:rPr>
            </w:pPr>
            <w:r w:rsidRPr="00D0306F">
              <w:rPr>
                <w:rFonts w:eastAsia="Times New Roman" w:cs="Arial"/>
              </w:rPr>
              <w:lastRenderedPageBreak/>
              <w:t>7</w:t>
            </w:r>
          </w:p>
        </w:tc>
        <w:tc>
          <w:tcPr>
            <w:tcW w:w="213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C3BE139" w14:textId="77777777" w:rsidR="006C7AA7" w:rsidRPr="00D0306F" w:rsidRDefault="006C7AA7" w:rsidP="00CC3BF4">
            <w:pPr>
              <w:rPr>
                <w:rFonts w:eastAsia="Times New Roman" w:cs="Arial"/>
              </w:rPr>
            </w:pPr>
            <w:r w:rsidRPr="00D0306F">
              <w:rPr>
                <w:rFonts w:eastAsia="Times New Roman" w:cs="Arial"/>
              </w:rPr>
              <w:t>Sunday</w:t>
            </w:r>
          </w:p>
        </w:tc>
        <w:tc>
          <w:tcPr>
            <w:tcW w:w="374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 w:type="pct"/>
              <w:tblCellMar>
                <w:left w:w="0" w:type="dxa"/>
                <w:right w:w="0" w:type="dxa"/>
              </w:tblCellMar>
              <w:tblLook w:val="04A0" w:firstRow="1" w:lastRow="0" w:firstColumn="1" w:lastColumn="0" w:noHBand="0" w:noVBand="1"/>
            </w:tblPr>
            <w:tblGrid>
              <w:gridCol w:w="82"/>
            </w:tblGrid>
            <w:tr w:rsidR="006C7AA7" w:rsidRPr="00D0306F" w14:paraId="2F443992" w14:textId="77777777" w:rsidTr="00CC3BF4">
              <w:tc>
                <w:tcPr>
                  <w:tcW w:w="0" w:type="auto"/>
                  <w:tcBorders>
                    <w:top w:val="single" w:sz="6" w:space="0" w:color="811CA4"/>
                    <w:left w:val="single" w:sz="6" w:space="0" w:color="811CA4"/>
                    <w:bottom w:val="single" w:sz="6" w:space="0" w:color="811CA4"/>
                    <w:right w:val="single" w:sz="6" w:space="0" w:color="811CA4"/>
                  </w:tcBorders>
                  <w:shd w:val="clear" w:color="auto" w:fill="811CA4"/>
                  <w:vAlign w:val="center"/>
                  <w:hideMark/>
                </w:tcPr>
                <w:p w14:paraId="503C2AD6"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7616A1B"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F30865F" w14:textId="77777777" w:rsidR="006C7AA7" w:rsidRPr="00D0306F" w:rsidRDefault="006C7AA7" w:rsidP="00CC3BF4">
            <w:pPr>
              <w:jc w:val="center"/>
              <w:rPr>
                <w:rFonts w:eastAsia="Times New Roman" w:cs="Arial"/>
              </w:rPr>
            </w:pPr>
            <w:r w:rsidRPr="00D0306F">
              <w:rPr>
                <w:rFonts w:eastAsia="Times New Roman" w:cs="Arial"/>
              </w:rPr>
              <w:t>0.8%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39FA7F4" w14:textId="77777777" w:rsidR="006C7AA7" w:rsidRPr="00D0306F" w:rsidRDefault="006C7AA7" w:rsidP="00CC3BF4">
            <w:pPr>
              <w:jc w:val="center"/>
              <w:rPr>
                <w:rFonts w:eastAsia="Times New Roman" w:cs="Arial"/>
              </w:rPr>
            </w:pPr>
            <w:r w:rsidRPr="00D0306F">
              <w:rPr>
                <w:rFonts w:eastAsia="Times New Roman" w:cs="Arial"/>
              </w:rPr>
              <w:t>1</w:t>
            </w:r>
          </w:p>
        </w:tc>
      </w:tr>
      <w:tr w:rsidR="006C7AA7" w:rsidRPr="00D0306F" w14:paraId="16AFCC50"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12364FA" w14:textId="77777777" w:rsidR="006C7AA7" w:rsidRPr="00D0306F" w:rsidRDefault="006C7AA7" w:rsidP="00CC3BF4">
            <w:pPr>
              <w:jc w:val="center"/>
              <w:rPr>
                <w:rFonts w:eastAsia="Times New Roman" w:cs="Arial"/>
              </w:rPr>
            </w:pPr>
            <w:r w:rsidRPr="00D0306F">
              <w:rPr>
                <w:rFonts w:eastAsia="Times New Roman" w:cs="Arial"/>
              </w:rPr>
              <w:t>8</w:t>
            </w:r>
          </w:p>
        </w:tc>
        <w:tc>
          <w:tcPr>
            <w:tcW w:w="213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5E5A483" w14:textId="77777777" w:rsidR="006C7AA7" w:rsidRPr="00D0306F" w:rsidRDefault="006C7AA7" w:rsidP="00CC3BF4">
            <w:pPr>
              <w:rPr>
                <w:rFonts w:eastAsia="Times New Roman" w:cs="Arial"/>
              </w:rPr>
            </w:pPr>
            <w:r w:rsidRPr="00D0306F">
              <w:rPr>
                <w:rFonts w:eastAsia="Times New Roman" w:cs="Arial"/>
              </w:rPr>
              <w:t>Weekdays in general</w:t>
            </w:r>
          </w:p>
        </w:tc>
        <w:tc>
          <w:tcPr>
            <w:tcW w:w="374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71" w:type="pct"/>
              <w:tblCellMar>
                <w:left w:w="0" w:type="dxa"/>
                <w:right w:w="0" w:type="dxa"/>
              </w:tblCellMar>
              <w:tblLook w:val="04A0" w:firstRow="1" w:lastRow="0" w:firstColumn="1" w:lastColumn="0" w:noHBand="0" w:noVBand="1"/>
            </w:tblPr>
            <w:tblGrid>
              <w:gridCol w:w="913"/>
            </w:tblGrid>
            <w:tr w:rsidR="006C7AA7" w:rsidRPr="00D0306F" w14:paraId="4C3DC6C9" w14:textId="77777777" w:rsidTr="00CC3BF4">
              <w:tc>
                <w:tcPr>
                  <w:tcW w:w="0" w:type="auto"/>
                  <w:tcBorders>
                    <w:top w:val="single" w:sz="6" w:space="0" w:color="E91E63"/>
                    <w:left w:val="single" w:sz="6" w:space="0" w:color="E91E63"/>
                    <w:bottom w:val="single" w:sz="6" w:space="0" w:color="E91E63"/>
                    <w:right w:val="single" w:sz="6" w:space="0" w:color="E91E63"/>
                  </w:tcBorders>
                  <w:shd w:val="clear" w:color="auto" w:fill="E91E63"/>
                  <w:vAlign w:val="center"/>
                  <w:hideMark/>
                </w:tcPr>
                <w:p w14:paraId="55E4F953"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78FFDA7E"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A6E0CF0" w14:textId="77777777" w:rsidR="006C7AA7" w:rsidRPr="00D0306F" w:rsidRDefault="006C7AA7" w:rsidP="00CC3BF4">
            <w:pPr>
              <w:jc w:val="center"/>
              <w:rPr>
                <w:rFonts w:eastAsia="Times New Roman" w:cs="Arial"/>
              </w:rPr>
            </w:pPr>
            <w:r w:rsidRPr="00D0306F">
              <w:rPr>
                <w:rFonts w:eastAsia="Times New Roman" w:cs="Arial"/>
              </w:rPr>
              <w:t>26.1%</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AF2FBB9" w14:textId="77777777" w:rsidR="006C7AA7" w:rsidRPr="00D0306F" w:rsidRDefault="006C7AA7" w:rsidP="00CC3BF4">
            <w:pPr>
              <w:jc w:val="center"/>
              <w:rPr>
                <w:rFonts w:eastAsia="Times New Roman" w:cs="Arial"/>
              </w:rPr>
            </w:pPr>
            <w:r w:rsidRPr="00D0306F">
              <w:rPr>
                <w:rFonts w:eastAsia="Times New Roman" w:cs="Arial"/>
              </w:rPr>
              <w:t>31</w:t>
            </w:r>
          </w:p>
        </w:tc>
      </w:tr>
      <w:tr w:rsidR="006C7AA7" w:rsidRPr="00D0306F" w14:paraId="09A12554"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13DE650" w14:textId="77777777" w:rsidR="006C7AA7" w:rsidRPr="00D0306F" w:rsidRDefault="006C7AA7" w:rsidP="00CC3BF4">
            <w:pPr>
              <w:jc w:val="center"/>
              <w:rPr>
                <w:rFonts w:eastAsia="Times New Roman" w:cs="Arial"/>
              </w:rPr>
            </w:pPr>
            <w:r w:rsidRPr="00D0306F">
              <w:rPr>
                <w:rFonts w:eastAsia="Times New Roman" w:cs="Arial"/>
              </w:rPr>
              <w:t>9</w:t>
            </w:r>
          </w:p>
        </w:tc>
        <w:tc>
          <w:tcPr>
            <w:tcW w:w="213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EB96F50" w14:textId="77777777" w:rsidR="006C7AA7" w:rsidRPr="00D0306F" w:rsidRDefault="006C7AA7" w:rsidP="00CC3BF4">
            <w:pPr>
              <w:rPr>
                <w:rFonts w:eastAsia="Times New Roman" w:cs="Arial"/>
              </w:rPr>
            </w:pPr>
            <w:r w:rsidRPr="00D0306F">
              <w:rPr>
                <w:rFonts w:eastAsia="Times New Roman" w:cs="Arial"/>
              </w:rPr>
              <w:t>Weekends in general</w:t>
            </w:r>
          </w:p>
        </w:tc>
        <w:tc>
          <w:tcPr>
            <w:tcW w:w="374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51" w:type="pct"/>
              <w:tblCellMar>
                <w:left w:w="0" w:type="dxa"/>
                <w:right w:w="0" w:type="dxa"/>
              </w:tblCellMar>
              <w:tblLook w:val="04A0" w:firstRow="1" w:lastRow="0" w:firstColumn="1" w:lastColumn="0" w:noHBand="0" w:noVBand="1"/>
            </w:tblPr>
            <w:tblGrid>
              <w:gridCol w:w="396"/>
            </w:tblGrid>
            <w:tr w:rsidR="006C7AA7" w:rsidRPr="00D0306F" w14:paraId="507D8FDD" w14:textId="77777777" w:rsidTr="00CC3BF4">
              <w:tc>
                <w:tcPr>
                  <w:tcW w:w="0" w:type="auto"/>
                  <w:tcBorders>
                    <w:top w:val="single" w:sz="6" w:space="0" w:color="009688"/>
                    <w:left w:val="single" w:sz="6" w:space="0" w:color="009688"/>
                    <w:bottom w:val="single" w:sz="6" w:space="0" w:color="009688"/>
                    <w:right w:val="single" w:sz="6" w:space="0" w:color="009688"/>
                  </w:tcBorders>
                  <w:shd w:val="clear" w:color="auto" w:fill="009688"/>
                  <w:vAlign w:val="center"/>
                  <w:hideMark/>
                </w:tcPr>
                <w:p w14:paraId="5AF051C3"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7C04EBF2"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3DC9ADF" w14:textId="77777777" w:rsidR="006C7AA7" w:rsidRPr="00D0306F" w:rsidRDefault="006C7AA7" w:rsidP="00CC3BF4">
            <w:pPr>
              <w:jc w:val="center"/>
              <w:rPr>
                <w:rFonts w:eastAsia="Times New Roman" w:cs="Arial"/>
              </w:rPr>
            </w:pPr>
            <w:r w:rsidRPr="00D0306F">
              <w:rPr>
                <w:rFonts w:eastAsia="Times New Roman" w:cs="Arial"/>
              </w:rPr>
              <w:t>10.9%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12E55E0" w14:textId="77777777" w:rsidR="006C7AA7" w:rsidRPr="00D0306F" w:rsidRDefault="006C7AA7" w:rsidP="00CC3BF4">
            <w:pPr>
              <w:jc w:val="center"/>
              <w:rPr>
                <w:rFonts w:eastAsia="Times New Roman" w:cs="Arial"/>
              </w:rPr>
            </w:pPr>
            <w:r w:rsidRPr="00D0306F">
              <w:rPr>
                <w:rFonts w:eastAsia="Times New Roman" w:cs="Arial"/>
              </w:rPr>
              <w:t>13</w:t>
            </w:r>
          </w:p>
        </w:tc>
      </w:tr>
      <w:tr w:rsidR="006C7AA7" w:rsidRPr="00D0306F" w14:paraId="589339F1" w14:textId="77777777" w:rsidTr="00CC3BF4">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621CEC7" w14:textId="77777777" w:rsidR="006C7AA7" w:rsidRPr="00D0306F" w:rsidRDefault="006C7AA7" w:rsidP="00CC3BF4">
            <w:pPr>
              <w:jc w:val="center"/>
              <w:rPr>
                <w:rFonts w:eastAsia="Times New Roman" w:cs="Arial"/>
              </w:rPr>
            </w:pPr>
            <w:r w:rsidRPr="00D0306F">
              <w:rPr>
                <w:rFonts w:eastAsia="Times New Roman" w:cs="Arial"/>
              </w:rPr>
              <w:t>10</w:t>
            </w:r>
          </w:p>
        </w:tc>
        <w:tc>
          <w:tcPr>
            <w:tcW w:w="213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A0651CD" w14:textId="77777777" w:rsidR="006C7AA7" w:rsidRPr="00D0306F" w:rsidRDefault="006C7AA7" w:rsidP="00CC3BF4">
            <w:pPr>
              <w:rPr>
                <w:rFonts w:eastAsia="Times New Roman" w:cs="Arial"/>
              </w:rPr>
            </w:pPr>
            <w:r w:rsidRPr="00D0306F">
              <w:rPr>
                <w:rFonts w:eastAsia="Times New Roman" w:cs="Arial"/>
              </w:rPr>
              <w:t>I don’t have a preference</w:t>
            </w:r>
          </w:p>
        </w:tc>
        <w:tc>
          <w:tcPr>
            <w:tcW w:w="374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373" w:type="pct"/>
              <w:tblCellMar>
                <w:left w:w="0" w:type="dxa"/>
                <w:right w:w="0" w:type="dxa"/>
              </w:tblCellMar>
              <w:tblLook w:val="04A0" w:firstRow="1" w:lastRow="0" w:firstColumn="1" w:lastColumn="0" w:noHBand="0" w:noVBand="1"/>
            </w:tblPr>
            <w:tblGrid>
              <w:gridCol w:w="1705"/>
            </w:tblGrid>
            <w:tr w:rsidR="006C7AA7" w:rsidRPr="00D0306F" w14:paraId="3CF90818" w14:textId="77777777" w:rsidTr="00CC3BF4">
              <w:tc>
                <w:tcPr>
                  <w:tcW w:w="0" w:type="auto"/>
                  <w:tcBorders>
                    <w:top w:val="single" w:sz="6" w:space="0" w:color="D32F2F"/>
                    <w:left w:val="single" w:sz="6" w:space="0" w:color="D32F2F"/>
                    <w:bottom w:val="single" w:sz="6" w:space="0" w:color="D32F2F"/>
                    <w:right w:val="single" w:sz="6" w:space="0" w:color="D32F2F"/>
                  </w:tcBorders>
                  <w:shd w:val="clear" w:color="auto" w:fill="D32F2F"/>
                  <w:vAlign w:val="center"/>
                  <w:hideMark/>
                </w:tcPr>
                <w:p w14:paraId="3F7D1770"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38B8437B"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0019975" w14:textId="77777777" w:rsidR="006C7AA7" w:rsidRPr="00D0306F" w:rsidRDefault="006C7AA7" w:rsidP="00CC3BF4">
            <w:pPr>
              <w:jc w:val="center"/>
              <w:rPr>
                <w:rFonts w:eastAsia="Times New Roman" w:cs="Arial"/>
              </w:rPr>
            </w:pPr>
            <w:r w:rsidRPr="00D0306F">
              <w:rPr>
                <w:rFonts w:eastAsia="Times New Roman" w:cs="Arial"/>
              </w:rPr>
              <w:t>47.1%</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868D3D4" w14:textId="77777777" w:rsidR="006C7AA7" w:rsidRPr="00D0306F" w:rsidRDefault="006C7AA7" w:rsidP="00CC3BF4">
            <w:pPr>
              <w:jc w:val="center"/>
              <w:rPr>
                <w:rFonts w:eastAsia="Times New Roman" w:cs="Arial"/>
              </w:rPr>
            </w:pPr>
            <w:r w:rsidRPr="00D0306F">
              <w:rPr>
                <w:rFonts w:eastAsia="Times New Roman" w:cs="Arial"/>
              </w:rPr>
              <w:t>56</w:t>
            </w:r>
          </w:p>
        </w:tc>
      </w:tr>
      <w:tr w:rsidR="006C7AA7" w:rsidRPr="00D0306F" w14:paraId="44A5AFD2"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2322A8CC"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3B25036"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ABBE0A3" w14:textId="77777777" w:rsidR="006C7AA7" w:rsidRPr="00D0306F" w:rsidRDefault="006C7AA7" w:rsidP="00CC3BF4">
            <w:pPr>
              <w:jc w:val="center"/>
              <w:rPr>
                <w:rFonts w:eastAsia="Times New Roman" w:cs="Arial"/>
              </w:rPr>
            </w:pPr>
            <w:r w:rsidRPr="00D0306F">
              <w:rPr>
                <w:rFonts w:eastAsia="Times New Roman" w:cs="Arial"/>
              </w:rPr>
              <w:t>119</w:t>
            </w:r>
          </w:p>
        </w:tc>
      </w:tr>
      <w:tr w:rsidR="006C7AA7" w:rsidRPr="00D0306F" w14:paraId="120AC14E"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2356E6A1"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7DA7213"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2571698" w14:textId="77777777" w:rsidR="006C7AA7" w:rsidRPr="00D0306F" w:rsidRDefault="006C7AA7" w:rsidP="00CC3BF4">
            <w:pPr>
              <w:jc w:val="center"/>
              <w:rPr>
                <w:rFonts w:eastAsia="Times New Roman" w:cs="Arial"/>
              </w:rPr>
            </w:pPr>
            <w:r w:rsidRPr="00D0306F">
              <w:rPr>
                <w:rFonts w:eastAsia="Times New Roman" w:cs="Arial"/>
              </w:rPr>
              <w:t>0</w:t>
            </w:r>
          </w:p>
        </w:tc>
      </w:tr>
    </w:tbl>
    <w:p w14:paraId="41A67905" w14:textId="77777777" w:rsidR="006C7AA7" w:rsidRPr="00D0306F" w:rsidRDefault="006C7AA7" w:rsidP="006C7AA7">
      <w:pPr>
        <w:rPr>
          <w:rFonts w:cs="Arial"/>
          <w:b/>
          <w:bCs/>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364"/>
        <w:gridCol w:w="2352"/>
        <w:gridCol w:w="3578"/>
        <w:gridCol w:w="1313"/>
        <w:gridCol w:w="1313"/>
      </w:tblGrid>
      <w:tr w:rsidR="006C7AA7" w:rsidRPr="00D0306F" w14:paraId="2D3E3B8F"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2A7D8AB0" w14:textId="77777777" w:rsidR="006C7AA7" w:rsidRPr="00D0306F" w:rsidRDefault="006C7AA7" w:rsidP="00CC3BF4">
            <w:pPr>
              <w:rPr>
                <w:rFonts w:eastAsia="Times New Roman" w:cs="Arial"/>
                <w:b/>
                <w:bCs/>
                <w:color w:val="FFFFFF"/>
              </w:rPr>
            </w:pPr>
            <w:r w:rsidRPr="00D0306F">
              <w:rPr>
                <w:rFonts w:eastAsia="Times New Roman" w:cs="Arial"/>
                <w:b/>
                <w:bCs/>
                <w:color w:val="FFFFFF"/>
              </w:rPr>
              <w:t xml:space="preserve">6. Has there been a time recently when you, or a person on your behalf, were not able to use your usual pharmacy? </w:t>
            </w:r>
          </w:p>
        </w:tc>
      </w:tr>
      <w:tr w:rsidR="006C7AA7" w:rsidRPr="00D0306F" w14:paraId="09608C80"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477FAA93"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07BFAA23"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5EEEC74C"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4AC16609" w14:textId="77777777" w:rsidTr="00CC3BF4">
        <w:trPr>
          <w:tblCellSpacing w:w="0" w:type="dxa"/>
          <w:jc w:val="center"/>
        </w:trPr>
        <w:tc>
          <w:tcPr>
            <w:tcW w:w="364"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7FAAE77" w14:textId="77777777" w:rsidR="006C7AA7" w:rsidRPr="00D0306F" w:rsidRDefault="006C7AA7" w:rsidP="00CC3BF4">
            <w:pPr>
              <w:jc w:val="center"/>
              <w:rPr>
                <w:rFonts w:eastAsia="Times New Roman" w:cs="Arial"/>
              </w:rPr>
            </w:pPr>
            <w:r w:rsidRPr="00D0306F">
              <w:rPr>
                <w:rFonts w:eastAsia="Times New Roman" w:cs="Arial"/>
              </w:rPr>
              <w:t>1</w:t>
            </w:r>
          </w:p>
        </w:tc>
        <w:tc>
          <w:tcPr>
            <w:tcW w:w="235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703EC43" w14:textId="77777777" w:rsidR="006C7AA7" w:rsidRPr="00D0306F" w:rsidRDefault="006C7AA7" w:rsidP="00CC3BF4">
            <w:pPr>
              <w:rPr>
                <w:rFonts w:eastAsia="Times New Roman" w:cs="Arial"/>
              </w:rPr>
            </w:pPr>
            <w:r w:rsidRPr="00D0306F">
              <w:rPr>
                <w:rFonts w:eastAsia="Times New Roman" w:cs="Arial"/>
              </w:rPr>
              <w:t>Yes</w:t>
            </w:r>
          </w:p>
        </w:tc>
        <w:tc>
          <w:tcPr>
            <w:tcW w:w="357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822" w:type="pct"/>
              <w:tblCellMar>
                <w:left w:w="0" w:type="dxa"/>
                <w:right w:w="0" w:type="dxa"/>
              </w:tblCellMar>
              <w:tblLook w:val="04A0" w:firstRow="1" w:lastRow="0" w:firstColumn="1" w:lastColumn="0" w:noHBand="0" w:noVBand="1"/>
            </w:tblPr>
            <w:tblGrid>
              <w:gridCol w:w="1249"/>
            </w:tblGrid>
            <w:tr w:rsidR="006C7AA7" w:rsidRPr="00D0306F" w14:paraId="14D76783"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7C8BA8CB"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26AAD87E"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34033B1" w14:textId="77777777" w:rsidR="006C7AA7" w:rsidRPr="00D0306F" w:rsidRDefault="006C7AA7" w:rsidP="00CC3BF4">
            <w:pPr>
              <w:jc w:val="center"/>
              <w:rPr>
                <w:rFonts w:eastAsia="Times New Roman" w:cs="Arial"/>
              </w:rPr>
            </w:pPr>
            <w:r w:rsidRPr="00D0306F">
              <w:rPr>
                <w:rFonts w:eastAsia="Times New Roman" w:cs="Arial"/>
              </w:rPr>
              <w:t>36.1%</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10BBF94" w14:textId="77777777" w:rsidR="006C7AA7" w:rsidRPr="00D0306F" w:rsidRDefault="006C7AA7" w:rsidP="00CC3BF4">
            <w:pPr>
              <w:jc w:val="center"/>
              <w:rPr>
                <w:rFonts w:eastAsia="Times New Roman" w:cs="Arial"/>
              </w:rPr>
            </w:pPr>
            <w:r w:rsidRPr="00D0306F">
              <w:rPr>
                <w:rFonts w:eastAsia="Times New Roman" w:cs="Arial"/>
              </w:rPr>
              <w:t>43</w:t>
            </w:r>
          </w:p>
        </w:tc>
      </w:tr>
      <w:tr w:rsidR="006C7AA7" w:rsidRPr="00D0306F" w14:paraId="009F913E" w14:textId="77777777" w:rsidTr="00CC3BF4">
        <w:trPr>
          <w:tblCellSpacing w:w="0" w:type="dxa"/>
          <w:jc w:val="center"/>
        </w:trPr>
        <w:tc>
          <w:tcPr>
            <w:tcW w:w="364"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8744CDF" w14:textId="77777777" w:rsidR="006C7AA7" w:rsidRPr="00D0306F" w:rsidRDefault="006C7AA7" w:rsidP="00CC3BF4">
            <w:pPr>
              <w:jc w:val="center"/>
              <w:rPr>
                <w:rFonts w:eastAsia="Times New Roman" w:cs="Arial"/>
              </w:rPr>
            </w:pPr>
            <w:r w:rsidRPr="00D0306F">
              <w:rPr>
                <w:rFonts w:eastAsia="Times New Roman" w:cs="Arial"/>
              </w:rPr>
              <w:t>2</w:t>
            </w:r>
          </w:p>
        </w:tc>
        <w:tc>
          <w:tcPr>
            <w:tcW w:w="235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0B5EC8B" w14:textId="77777777" w:rsidR="006C7AA7" w:rsidRPr="00D0306F" w:rsidRDefault="006C7AA7" w:rsidP="00CC3BF4">
            <w:pPr>
              <w:rPr>
                <w:rFonts w:eastAsia="Times New Roman" w:cs="Arial"/>
              </w:rPr>
            </w:pPr>
            <w:r w:rsidRPr="00D0306F">
              <w:rPr>
                <w:rFonts w:eastAsia="Times New Roman" w:cs="Arial"/>
              </w:rPr>
              <w:t>No</w:t>
            </w:r>
          </w:p>
        </w:tc>
        <w:tc>
          <w:tcPr>
            <w:tcW w:w="357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689" w:type="pct"/>
              <w:tblCellMar>
                <w:left w:w="0" w:type="dxa"/>
                <w:right w:w="0" w:type="dxa"/>
              </w:tblCellMar>
              <w:tblLook w:val="04A0" w:firstRow="1" w:lastRow="0" w:firstColumn="1" w:lastColumn="0" w:noHBand="0" w:noVBand="1"/>
            </w:tblPr>
            <w:tblGrid>
              <w:gridCol w:w="1843"/>
            </w:tblGrid>
            <w:tr w:rsidR="006C7AA7" w:rsidRPr="00D0306F" w14:paraId="033470DB" w14:textId="77777777" w:rsidTr="00CC3BF4">
              <w:tc>
                <w:tcPr>
                  <w:tcW w:w="5000" w:type="pct"/>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7E4048C4"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0DDA3989"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7DDE430" w14:textId="77777777" w:rsidR="006C7AA7" w:rsidRPr="00D0306F" w:rsidRDefault="006C7AA7" w:rsidP="00CC3BF4">
            <w:pPr>
              <w:jc w:val="center"/>
              <w:rPr>
                <w:rFonts w:eastAsia="Times New Roman" w:cs="Arial"/>
              </w:rPr>
            </w:pPr>
            <w:r w:rsidRPr="00D0306F">
              <w:rPr>
                <w:rFonts w:eastAsia="Times New Roman" w:cs="Arial"/>
              </w:rPr>
              <w:t>56.3%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687BE62" w14:textId="77777777" w:rsidR="006C7AA7" w:rsidRPr="00D0306F" w:rsidRDefault="006C7AA7" w:rsidP="00CC3BF4">
            <w:pPr>
              <w:jc w:val="center"/>
              <w:rPr>
                <w:rFonts w:eastAsia="Times New Roman" w:cs="Arial"/>
              </w:rPr>
            </w:pPr>
            <w:r w:rsidRPr="00D0306F">
              <w:rPr>
                <w:rFonts w:eastAsia="Times New Roman" w:cs="Arial"/>
              </w:rPr>
              <w:t>67</w:t>
            </w:r>
          </w:p>
        </w:tc>
      </w:tr>
      <w:tr w:rsidR="006C7AA7" w:rsidRPr="00D0306F" w14:paraId="0E9C9752" w14:textId="77777777" w:rsidTr="00CC3BF4">
        <w:trPr>
          <w:tblCellSpacing w:w="0" w:type="dxa"/>
          <w:jc w:val="center"/>
        </w:trPr>
        <w:tc>
          <w:tcPr>
            <w:tcW w:w="364"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493B09F" w14:textId="77777777" w:rsidR="006C7AA7" w:rsidRPr="00D0306F" w:rsidRDefault="006C7AA7" w:rsidP="00CC3BF4">
            <w:pPr>
              <w:jc w:val="center"/>
              <w:rPr>
                <w:rFonts w:eastAsia="Times New Roman" w:cs="Arial"/>
              </w:rPr>
            </w:pPr>
            <w:r w:rsidRPr="00D0306F">
              <w:rPr>
                <w:rFonts w:eastAsia="Times New Roman" w:cs="Arial"/>
              </w:rPr>
              <w:t>3</w:t>
            </w:r>
          </w:p>
        </w:tc>
        <w:tc>
          <w:tcPr>
            <w:tcW w:w="235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0EB86FA" w14:textId="77777777" w:rsidR="006C7AA7" w:rsidRPr="00D0306F" w:rsidRDefault="006C7AA7" w:rsidP="00CC3BF4">
            <w:pPr>
              <w:rPr>
                <w:rFonts w:eastAsia="Times New Roman" w:cs="Arial"/>
              </w:rPr>
            </w:pPr>
            <w:r w:rsidRPr="00D0306F">
              <w:rPr>
                <w:rFonts w:eastAsia="Times New Roman" w:cs="Arial"/>
              </w:rPr>
              <w:t>Not applicable</w:t>
            </w:r>
          </w:p>
        </w:tc>
        <w:tc>
          <w:tcPr>
            <w:tcW w:w="357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81" w:type="pct"/>
              <w:tblCellMar>
                <w:left w:w="0" w:type="dxa"/>
                <w:right w:w="0" w:type="dxa"/>
              </w:tblCellMar>
              <w:tblLook w:val="04A0" w:firstRow="1" w:lastRow="0" w:firstColumn="1" w:lastColumn="0" w:noHBand="0" w:noVBand="1"/>
            </w:tblPr>
            <w:tblGrid>
              <w:gridCol w:w="261"/>
            </w:tblGrid>
            <w:tr w:rsidR="006C7AA7" w:rsidRPr="00D0306F" w14:paraId="34BC1FF3" w14:textId="77777777" w:rsidTr="00CC3BF4">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56A5E12B"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30229009"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8FC6C2E" w14:textId="77777777" w:rsidR="006C7AA7" w:rsidRPr="00D0306F" w:rsidRDefault="006C7AA7" w:rsidP="00CC3BF4">
            <w:pPr>
              <w:jc w:val="center"/>
              <w:rPr>
                <w:rFonts w:eastAsia="Times New Roman" w:cs="Arial"/>
              </w:rPr>
            </w:pPr>
            <w:r w:rsidRPr="00D0306F">
              <w:rPr>
                <w:rFonts w:eastAsia="Times New Roman" w:cs="Arial"/>
              </w:rPr>
              <w:t>7.6%</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6CF026B" w14:textId="77777777" w:rsidR="006C7AA7" w:rsidRPr="00D0306F" w:rsidRDefault="006C7AA7" w:rsidP="00CC3BF4">
            <w:pPr>
              <w:jc w:val="center"/>
              <w:rPr>
                <w:rFonts w:eastAsia="Times New Roman" w:cs="Arial"/>
              </w:rPr>
            </w:pPr>
            <w:r w:rsidRPr="00D0306F">
              <w:rPr>
                <w:rFonts w:eastAsia="Times New Roman" w:cs="Arial"/>
              </w:rPr>
              <w:t>9</w:t>
            </w:r>
          </w:p>
        </w:tc>
      </w:tr>
      <w:tr w:rsidR="006C7AA7" w:rsidRPr="00D0306F" w14:paraId="35C0E6B8"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2865CD1A"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47A2DA5"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E35EC8E" w14:textId="77777777" w:rsidR="006C7AA7" w:rsidRPr="00D0306F" w:rsidRDefault="006C7AA7" w:rsidP="00CC3BF4">
            <w:pPr>
              <w:jc w:val="center"/>
              <w:rPr>
                <w:rFonts w:eastAsia="Times New Roman" w:cs="Arial"/>
              </w:rPr>
            </w:pPr>
            <w:r w:rsidRPr="00D0306F">
              <w:rPr>
                <w:rFonts w:eastAsia="Times New Roman" w:cs="Arial"/>
              </w:rPr>
              <w:t>119</w:t>
            </w:r>
          </w:p>
        </w:tc>
      </w:tr>
      <w:tr w:rsidR="006C7AA7" w:rsidRPr="00D0306F" w14:paraId="6DE84170"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445FE03C"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D2A2AE6"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5BC8FDF" w14:textId="77777777" w:rsidR="006C7AA7" w:rsidRPr="00D0306F" w:rsidRDefault="006C7AA7" w:rsidP="00CC3BF4">
            <w:pPr>
              <w:jc w:val="center"/>
              <w:rPr>
                <w:rFonts w:eastAsia="Times New Roman" w:cs="Arial"/>
              </w:rPr>
            </w:pPr>
            <w:r w:rsidRPr="00D0306F">
              <w:rPr>
                <w:rFonts w:eastAsia="Times New Roman" w:cs="Arial"/>
              </w:rPr>
              <w:t>0</w:t>
            </w:r>
          </w:p>
        </w:tc>
      </w:tr>
    </w:tbl>
    <w:p w14:paraId="02236751" w14:textId="77777777" w:rsidR="006C7AA7" w:rsidRPr="00D0306F" w:rsidRDefault="006C7AA7" w:rsidP="006C7AA7">
      <w:pPr>
        <w:rPr>
          <w:rFonts w:cs="Arial"/>
          <w:b/>
          <w:bCs/>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8"/>
        <w:gridCol w:w="2148"/>
        <w:gridCol w:w="3848"/>
        <w:gridCol w:w="1313"/>
        <w:gridCol w:w="1313"/>
      </w:tblGrid>
      <w:tr w:rsidR="006C7AA7" w:rsidRPr="00D0306F" w14:paraId="4E347C8E"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233F4B32" w14:textId="108D4130" w:rsidR="006C7AA7" w:rsidRPr="00D0306F" w:rsidRDefault="006C7AA7" w:rsidP="00CC3BF4">
            <w:pPr>
              <w:rPr>
                <w:rFonts w:eastAsia="Times New Roman" w:cs="Arial"/>
                <w:b/>
                <w:bCs/>
                <w:color w:val="FFFFFF"/>
              </w:rPr>
            </w:pPr>
            <w:r w:rsidRPr="00D0306F">
              <w:rPr>
                <w:rFonts w:eastAsia="Times New Roman" w:cs="Arial"/>
                <w:b/>
                <w:bCs/>
                <w:color w:val="FFFFFF"/>
              </w:rPr>
              <w:t>7. Can you tell us what you did? Please tick all statements that apply.</w:t>
            </w:r>
            <w:r w:rsidR="00B752FC">
              <w:rPr>
                <w:rFonts w:eastAsia="Times New Roman" w:cs="Arial"/>
                <w:b/>
                <w:bCs/>
                <w:color w:val="FFFFFF"/>
              </w:rPr>
              <w:t xml:space="preserve"> </w:t>
            </w:r>
          </w:p>
        </w:tc>
      </w:tr>
      <w:tr w:rsidR="006C7AA7" w:rsidRPr="00D0306F" w14:paraId="6B603281"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4E9B37B1"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3B44E8E"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27365B7B"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63CD6F92"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47E813D" w14:textId="77777777" w:rsidR="006C7AA7" w:rsidRPr="00D0306F" w:rsidRDefault="006C7AA7" w:rsidP="00CC3BF4">
            <w:pPr>
              <w:jc w:val="center"/>
              <w:rPr>
                <w:rFonts w:eastAsia="Times New Roman" w:cs="Arial"/>
              </w:rPr>
            </w:pPr>
            <w:r w:rsidRPr="00D0306F">
              <w:rPr>
                <w:rFonts w:eastAsia="Times New Roman" w:cs="Arial"/>
              </w:rPr>
              <w:t>1</w:t>
            </w:r>
          </w:p>
        </w:tc>
        <w:tc>
          <w:tcPr>
            <w:tcW w:w="214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430DD18" w14:textId="77777777" w:rsidR="006C7AA7" w:rsidRPr="00D0306F" w:rsidRDefault="006C7AA7" w:rsidP="00CC3BF4">
            <w:pPr>
              <w:rPr>
                <w:rFonts w:eastAsia="Times New Roman" w:cs="Arial"/>
              </w:rPr>
            </w:pPr>
            <w:r w:rsidRPr="00D0306F">
              <w:rPr>
                <w:rFonts w:eastAsia="Times New Roman" w:cs="Arial"/>
              </w:rPr>
              <w:t>I went to another pharmacy</w:t>
            </w:r>
          </w:p>
        </w:tc>
        <w:tc>
          <w:tcPr>
            <w:tcW w:w="38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721" w:type="pct"/>
              <w:tblCellMar>
                <w:left w:w="0" w:type="dxa"/>
                <w:right w:w="0" w:type="dxa"/>
              </w:tblCellMar>
              <w:tblLook w:val="04A0" w:firstRow="1" w:lastRow="0" w:firstColumn="1" w:lastColumn="0" w:noHBand="0" w:noVBand="1"/>
            </w:tblPr>
            <w:tblGrid>
              <w:gridCol w:w="2751"/>
            </w:tblGrid>
            <w:tr w:rsidR="006C7AA7" w:rsidRPr="00D0306F" w14:paraId="069314D1"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419EDD0D"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3924847"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DEBA808" w14:textId="77777777" w:rsidR="006C7AA7" w:rsidRPr="00D0306F" w:rsidRDefault="006C7AA7" w:rsidP="00CC3BF4">
            <w:pPr>
              <w:jc w:val="center"/>
              <w:rPr>
                <w:rFonts w:eastAsia="Times New Roman" w:cs="Arial"/>
              </w:rPr>
            </w:pPr>
            <w:r w:rsidRPr="00D0306F">
              <w:rPr>
                <w:rFonts w:eastAsia="Times New Roman" w:cs="Arial"/>
              </w:rPr>
              <w:t>74.4%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49A0563" w14:textId="77777777" w:rsidR="006C7AA7" w:rsidRPr="00D0306F" w:rsidRDefault="006C7AA7" w:rsidP="00CC3BF4">
            <w:pPr>
              <w:jc w:val="center"/>
              <w:rPr>
                <w:rFonts w:eastAsia="Times New Roman" w:cs="Arial"/>
              </w:rPr>
            </w:pPr>
            <w:r w:rsidRPr="00D0306F">
              <w:rPr>
                <w:rFonts w:eastAsia="Times New Roman" w:cs="Arial"/>
              </w:rPr>
              <w:t>32</w:t>
            </w:r>
          </w:p>
        </w:tc>
      </w:tr>
      <w:tr w:rsidR="006C7AA7" w:rsidRPr="00D0306F" w14:paraId="7A62AF15"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B3E0E40" w14:textId="77777777" w:rsidR="006C7AA7" w:rsidRPr="00D0306F" w:rsidRDefault="006C7AA7" w:rsidP="00CC3BF4">
            <w:pPr>
              <w:jc w:val="center"/>
              <w:rPr>
                <w:rFonts w:eastAsia="Times New Roman" w:cs="Arial"/>
              </w:rPr>
            </w:pPr>
            <w:r w:rsidRPr="00D0306F">
              <w:rPr>
                <w:rFonts w:eastAsia="Times New Roman" w:cs="Arial"/>
              </w:rPr>
              <w:t>2</w:t>
            </w:r>
          </w:p>
        </w:tc>
        <w:tc>
          <w:tcPr>
            <w:tcW w:w="214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6B5A1C3" w14:textId="77777777" w:rsidR="006C7AA7" w:rsidRPr="00D0306F" w:rsidRDefault="006C7AA7" w:rsidP="00CC3BF4">
            <w:pPr>
              <w:rPr>
                <w:rFonts w:eastAsia="Times New Roman" w:cs="Arial"/>
              </w:rPr>
            </w:pPr>
            <w:r w:rsidRPr="00D0306F">
              <w:rPr>
                <w:rFonts w:eastAsia="Times New Roman" w:cs="Arial"/>
              </w:rPr>
              <w:t>I waited until the pharmacy was open</w:t>
            </w:r>
          </w:p>
        </w:tc>
        <w:tc>
          <w:tcPr>
            <w:tcW w:w="38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046" w:type="pct"/>
              <w:tblCellMar>
                <w:left w:w="0" w:type="dxa"/>
                <w:right w:w="0" w:type="dxa"/>
              </w:tblCellMar>
              <w:tblLook w:val="04A0" w:firstRow="1" w:lastRow="0" w:firstColumn="1" w:lastColumn="0" w:noHBand="0" w:noVBand="1"/>
            </w:tblPr>
            <w:tblGrid>
              <w:gridCol w:w="773"/>
            </w:tblGrid>
            <w:tr w:rsidR="006C7AA7" w:rsidRPr="00D0306F" w14:paraId="262BDA29"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310BA0FD"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7B5D1EF9"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E7A2C9F" w14:textId="77777777" w:rsidR="006C7AA7" w:rsidRPr="00D0306F" w:rsidRDefault="006C7AA7" w:rsidP="00CC3BF4">
            <w:pPr>
              <w:jc w:val="center"/>
              <w:rPr>
                <w:rFonts w:eastAsia="Times New Roman" w:cs="Arial"/>
              </w:rPr>
            </w:pPr>
            <w:r w:rsidRPr="00D0306F">
              <w:rPr>
                <w:rFonts w:eastAsia="Times New Roman" w:cs="Arial"/>
              </w:rPr>
              <w:t>20.9%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00E9478" w14:textId="77777777" w:rsidR="006C7AA7" w:rsidRPr="00D0306F" w:rsidRDefault="006C7AA7" w:rsidP="00CC3BF4">
            <w:pPr>
              <w:jc w:val="center"/>
              <w:rPr>
                <w:rFonts w:eastAsia="Times New Roman" w:cs="Arial"/>
              </w:rPr>
            </w:pPr>
            <w:r w:rsidRPr="00D0306F">
              <w:rPr>
                <w:rFonts w:eastAsia="Times New Roman" w:cs="Arial"/>
              </w:rPr>
              <w:t>9</w:t>
            </w:r>
          </w:p>
        </w:tc>
      </w:tr>
      <w:tr w:rsidR="006C7AA7" w:rsidRPr="00D0306F" w14:paraId="5C0E16F5"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6E3C39F" w14:textId="77777777" w:rsidR="006C7AA7" w:rsidRPr="00D0306F" w:rsidRDefault="006C7AA7" w:rsidP="00CC3BF4">
            <w:pPr>
              <w:jc w:val="center"/>
              <w:rPr>
                <w:rFonts w:eastAsia="Times New Roman" w:cs="Arial"/>
              </w:rPr>
            </w:pPr>
            <w:r w:rsidRPr="00D0306F">
              <w:rPr>
                <w:rFonts w:eastAsia="Times New Roman" w:cs="Arial"/>
              </w:rPr>
              <w:t>3</w:t>
            </w:r>
          </w:p>
        </w:tc>
        <w:tc>
          <w:tcPr>
            <w:tcW w:w="214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AD48280" w14:textId="77777777" w:rsidR="006C7AA7" w:rsidRPr="00D0306F" w:rsidRDefault="006C7AA7" w:rsidP="00CC3BF4">
            <w:pPr>
              <w:rPr>
                <w:rFonts w:eastAsia="Times New Roman" w:cs="Arial"/>
              </w:rPr>
            </w:pPr>
            <w:r w:rsidRPr="00D0306F">
              <w:rPr>
                <w:rFonts w:eastAsia="Times New Roman" w:cs="Arial"/>
              </w:rPr>
              <w:t>I went to my GP / Out of Hours GP</w:t>
            </w:r>
          </w:p>
        </w:tc>
        <w:tc>
          <w:tcPr>
            <w:tcW w:w="38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81" w:type="pct"/>
              <w:tblCellMar>
                <w:left w:w="0" w:type="dxa"/>
                <w:right w:w="0" w:type="dxa"/>
              </w:tblCellMar>
              <w:tblLook w:val="04A0" w:firstRow="1" w:lastRow="0" w:firstColumn="1" w:lastColumn="0" w:noHBand="0" w:noVBand="1"/>
            </w:tblPr>
            <w:tblGrid>
              <w:gridCol w:w="430"/>
            </w:tblGrid>
            <w:tr w:rsidR="006C7AA7" w:rsidRPr="00D0306F" w14:paraId="6DC8C6D9" w14:textId="77777777" w:rsidTr="00CC3BF4">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259F5D3D"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4A815CEE"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FD6F817" w14:textId="77777777" w:rsidR="006C7AA7" w:rsidRPr="00D0306F" w:rsidRDefault="006C7AA7" w:rsidP="00CC3BF4">
            <w:pPr>
              <w:jc w:val="center"/>
              <w:rPr>
                <w:rFonts w:eastAsia="Times New Roman" w:cs="Arial"/>
              </w:rPr>
            </w:pPr>
            <w:r w:rsidRPr="00D0306F">
              <w:rPr>
                <w:rFonts w:eastAsia="Times New Roman" w:cs="Arial"/>
              </w:rPr>
              <w:t>11.6%</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4F87E32" w14:textId="77777777" w:rsidR="006C7AA7" w:rsidRPr="00D0306F" w:rsidRDefault="006C7AA7" w:rsidP="00CC3BF4">
            <w:pPr>
              <w:jc w:val="center"/>
              <w:rPr>
                <w:rFonts w:eastAsia="Times New Roman" w:cs="Arial"/>
              </w:rPr>
            </w:pPr>
            <w:r w:rsidRPr="00D0306F">
              <w:rPr>
                <w:rFonts w:eastAsia="Times New Roman" w:cs="Arial"/>
              </w:rPr>
              <w:t>5</w:t>
            </w:r>
          </w:p>
        </w:tc>
      </w:tr>
      <w:tr w:rsidR="006C7AA7" w:rsidRPr="00D0306F" w14:paraId="2F080B9B"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393AA32" w14:textId="77777777" w:rsidR="006C7AA7" w:rsidRPr="00D0306F" w:rsidRDefault="006C7AA7" w:rsidP="00CC3BF4">
            <w:pPr>
              <w:jc w:val="center"/>
              <w:rPr>
                <w:rFonts w:eastAsia="Times New Roman" w:cs="Arial"/>
              </w:rPr>
            </w:pPr>
            <w:r w:rsidRPr="00D0306F">
              <w:rPr>
                <w:rFonts w:eastAsia="Times New Roman" w:cs="Arial"/>
              </w:rPr>
              <w:t>4</w:t>
            </w:r>
          </w:p>
        </w:tc>
        <w:tc>
          <w:tcPr>
            <w:tcW w:w="214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2F4F6EF" w14:textId="77777777" w:rsidR="006C7AA7" w:rsidRPr="00D0306F" w:rsidRDefault="006C7AA7" w:rsidP="00CC3BF4">
            <w:pPr>
              <w:rPr>
                <w:rFonts w:eastAsia="Times New Roman" w:cs="Arial"/>
              </w:rPr>
            </w:pPr>
            <w:r w:rsidRPr="00D0306F">
              <w:rPr>
                <w:rFonts w:eastAsia="Times New Roman" w:cs="Arial"/>
              </w:rPr>
              <w:t>I went to the A&amp;E / emergency department</w:t>
            </w:r>
          </w:p>
        </w:tc>
        <w:tc>
          <w:tcPr>
            <w:tcW w:w="38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3AB2268F"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F7E1FFA"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49DA678"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594FDCD6"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2B2141F" w14:textId="77777777" w:rsidR="006C7AA7" w:rsidRPr="00D0306F" w:rsidRDefault="006C7AA7" w:rsidP="00CC3BF4">
            <w:pPr>
              <w:jc w:val="center"/>
              <w:rPr>
                <w:rFonts w:eastAsia="Times New Roman" w:cs="Arial"/>
              </w:rPr>
            </w:pPr>
            <w:r w:rsidRPr="00D0306F">
              <w:rPr>
                <w:rFonts w:eastAsia="Times New Roman" w:cs="Arial"/>
              </w:rPr>
              <w:lastRenderedPageBreak/>
              <w:t>5</w:t>
            </w:r>
          </w:p>
        </w:tc>
        <w:tc>
          <w:tcPr>
            <w:tcW w:w="214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4BAC8CB" w14:textId="77777777" w:rsidR="006C7AA7" w:rsidRPr="00D0306F" w:rsidRDefault="006C7AA7" w:rsidP="00CC3BF4">
            <w:pPr>
              <w:rPr>
                <w:rFonts w:eastAsia="Times New Roman" w:cs="Arial"/>
              </w:rPr>
            </w:pPr>
            <w:r w:rsidRPr="00D0306F">
              <w:rPr>
                <w:rFonts w:eastAsia="Times New Roman" w:cs="Arial"/>
              </w:rPr>
              <w:t>I went to a minor injury unit</w:t>
            </w:r>
          </w:p>
        </w:tc>
        <w:tc>
          <w:tcPr>
            <w:tcW w:w="38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6CB60449"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DCF5DFB"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7552A98"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502D17E4"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7D7F2DA" w14:textId="77777777" w:rsidR="006C7AA7" w:rsidRPr="00D0306F" w:rsidRDefault="006C7AA7" w:rsidP="00CC3BF4">
            <w:pPr>
              <w:jc w:val="center"/>
              <w:rPr>
                <w:rFonts w:eastAsia="Times New Roman" w:cs="Arial"/>
              </w:rPr>
            </w:pPr>
            <w:r w:rsidRPr="00D0306F">
              <w:rPr>
                <w:rFonts w:eastAsia="Times New Roman" w:cs="Arial"/>
              </w:rPr>
              <w:t>6</w:t>
            </w:r>
          </w:p>
        </w:tc>
        <w:tc>
          <w:tcPr>
            <w:tcW w:w="214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28C91B9" w14:textId="77777777" w:rsidR="006C7AA7" w:rsidRPr="00D0306F" w:rsidRDefault="006C7AA7" w:rsidP="00CC3BF4">
            <w:pPr>
              <w:rPr>
                <w:rFonts w:eastAsia="Times New Roman" w:cs="Arial"/>
              </w:rPr>
            </w:pPr>
            <w:r w:rsidRPr="00D0306F">
              <w:rPr>
                <w:rFonts w:eastAsia="Times New Roman" w:cs="Arial"/>
              </w:rPr>
              <w:t>I called NHS 111 Wales</w:t>
            </w:r>
          </w:p>
        </w:tc>
        <w:tc>
          <w:tcPr>
            <w:tcW w:w="38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45BF6210"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A21E351"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11A7CA8"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59BF8F87"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CFA5E04" w14:textId="77777777" w:rsidR="006C7AA7" w:rsidRPr="00D0306F" w:rsidRDefault="006C7AA7" w:rsidP="00CC3BF4">
            <w:pPr>
              <w:jc w:val="center"/>
              <w:rPr>
                <w:rFonts w:eastAsia="Times New Roman" w:cs="Arial"/>
              </w:rPr>
            </w:pPr>
            <w:r w:rsidRPr="00D0306F">
              <w:rPr>
                <w:rFonts w:eastAsia="Times New Roman" w:cs="Arial"/>
              </w:rPr>
              <w:t>7</w:t>
            </w:r>
          </w:p>
        </w:tc>
        <w:tc>
          <w:tcPr>
            <w:tcW w:w="214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BF5B7A3" w14:textId="77777777" w:rsidR="006C7AA7" w:rsidRPr="00D0306F" w:rsidRDefault="006C7AA7" w:rsidP="00CC3BF4">
            <w:pPr>
              <w:rPr>
                <w:rFonts w:eastAsia="Times New Roman" w:cs="Arial"/>
              </w:rPr>
            </w:pPr>
            <w:r w:rsidRPr="00D0306F">
              <w:rPr>
                <w:rFonts w:eastAsia="Times New Roman" w:cs="Arial"/>
              </w:rPr>
              <w:t>Other:</w:t>
            </w:r>
          </w:p>
        </w:tc>
        <w:tc>
          <w:tcPr>
            <w:tcW w:w="38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32" w:type="pct"/>
              <w:tblCellMar>
                <w:left w:w="0" w:type="dxa"/>
                <w:right w:w="0" w:type="dxa"/>
              </w:tblCellMar>
              <w:tblLook w:val="04A0" w:firstRow="1" w:lastRow="0" w:firstColumn="1" w:lastColumn="0" w:noHBand="0" w:noVBand="1"/>
            </w:tblPr>
            <w:tblGrid>
              <w:gridCol w:w="172"/>
            </w:tblGrid>
            <w:tr w:rsidR="006C7AA7" w:rsidRPr="00D0306F" w14:paraId="2730CD7B" w14:textId="77777777" w:rsidTr="00CC3BF4">
              <w:tc>
                <w:tcPr>
                  <w:tcW w:w="0" w:type="auto"/>
                  <w:tcBorders>
                    <w:top w:val="single" w:sz="6" w:space="0" w:color="811CA4"/>
                    <w:left w:val="single" w:sz="6" w:space="0" w:color="811CA4"/>
                    <w:bottom w:val="single" w:sz="6" w:space="0" w:color="811CA4"/>
                    <w:right w:val="single" w:sz="6" w:space="0" w:color="811CA4"/>
                  </w:tcBorders>
                  <w:shd w:val="clear" w:color="auto" w:fill="811CA4"/>
                  <w:vAlign w:val="center"/>
                  <w:hideMark/>
                </w:tcPr>
                <w:p w14:paraId="7C92CF8A"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1647B457"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7DE1A1D" w14:textId="77777777" w:rsidR="006C7AA7" w:rsidRPr="00D0306F" w:rsidRDefault="006C7AA7" w:rsidP="00CC3BF4">
            <w:pPr>
              <w:jc w:val="center"/>
              <w:rPr>
                <w:rFonts w:eastAsia="Times New Roman" w:cs="Arial"/>
              </w:rPr>
            </w:pPr>
            <w:r w:rsidRPr="00D0306F">
              <w:rPr>
                <w:rFonts w:eastAsia="Times New Roman" w:cs="Arial"/>
              </w:rPr>
              <w:t>4.7%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E9CA053" w14:textId="77777777" w:rsidR="006C7AA7" w:rsidRPr="00D0306F" w:rsidRDefault="006C7AA7" w:rsidP="00CC3BF4">
            <w:pPr>
              <w:jc w:val="center"/>
              <w:rPr>
                <w:rFonts w:eastAsia="Times New Roman" w:cs="Arial"/>
              </w:rPr>
            </w:pPr>
            <w:r w:rsidRPr="00D0306F">
              <w:rPr>
                <w:rFonts w:eastAsia="Times New Roman" w:cs="Arial"/>
              </w:rPr>
              <w:t>2</w:t>
            </w:r>
          </w:p>
        </w:tc>
      </w:tr>
      <w:tr w:rsidR="006C7AA7" w:rsidRPr="00D0306F" w14:paraId="70C48501"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24F22628"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8AE8686"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A6BB325" w14:textId="77777777" w:rsidR="006C7AA7" w:rsidRPr="00D0306F" w:rsidRDefault="006C7AA7" w:rsidP="00CC3BF4">
            <w:pPr>
              <w:jc w:val="center"/>
              <w:rPr>
                <w:rFonts w:eastAsia="Times New Roman" w:cs="Arial"/>
              </w:rPr>
            </w:pPr>
            <w:r w:rsidRPr="00D0306F">
              <w:rPr>
                <w:rFonts w:eastAsia="Times New Roman" w:cs="Arial"/>
              </w:rPr>
              <w:t>43</w:t>
            </w:r>
          </w:p>
        </w:tc>
      </w:tr>
      <w:tr w:rsidR="006C7AA7" w:rsidRPr="00D0306F" w14:paraId="30974D40"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3E2F6D27"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C7B3953"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E52FBEB" w14:textId="77777777" w:rsidR="006C7AA7" w:rsidRPr="00D0306F" w:rsidRDefault="006C7AA7" w:rsidP="00CC3BF4">
            <w:pPr>
              <w:jc w:val="center"/>
              <w:rPr>
                <w:rFonts w:eastAsia="Times New Roman" w:cs="Arial"/>
              </w:rPr>
            </w:pPr>
            <w:r w:rsidRPr="00D0306F">
              <w:rPr>
                <w:rFonts w:eastAsia="Times New Roman" w:cs="Arial"/>
              </w:rPr>
              <w:t>76</w:t>
            </w:r>
          </w:p>
        </w:tc>
      </w:tr>
      <w:tr w:rsidR="006C7AA7" w:rsidRPr="00D0306F" w14:paraId="1123CE40" w14:textId="77777777" w:rsidTr="00CC3BF4">
        <w:trPr>
          <w:tblCellSpacing w:w="0" w:type="dxa"/>
          <w:jc w:val="center"/>
        </w:trPr>
        <w:tc>
          <w:tcPr>
            <w:tcW w:w="8920" w:type="dxa"/>
            <w:gridSpan w:val="5"/>
            <w:tcBorders>
              <w:top w:val="single" w:sz="6" w:space="0" w:color="CCCCCC"/>
              <w:right w:val="single" w:sz="6" w:space="0" w:color="CCCCCC"/>
            </w:tcBorders>
            <w:shd w:val="clear" w:color="auto" w:fill="FFFFFF"/>
            <w:tcMar>
              <w:top w:w="120" w:type="dxa"/>
              <w:left w:w="150" w:type="dxa"/>
              <w:bottom w:w="120" w:type="dxa"/>
              <w:right w:w="150" w:type="dxa"/>
            </w:tcMar>
            <w:vAlign w:val="center"/>
            <w:hideMark/>
          </w:tcPr>
          <w:p w14:paraId="377B52CA" w14:textId="77777777" w:rsidR="006C7AA7" w:rsidRPr="00D0306F" w:rsidRDefault="006C7AA7" w:rsidP="00CC3BF4">
            <w:pPr>
              <w:rPr>
                <w:rFonts w:eastAsia="Times New Roman" w:cs="Arial"/>
              </w:rPr>
            </w:pPr>
            <w:r w:rsidRPr="00D0306F">
              <w:rPr>
                <w:rFonts w:eastAsia="Times New Roman" w:cs="Arial"/>
              </w:rPr>
              <w:t>Other: (2)</w:t>
            </w:r>
          </w:p>
        </w:tc>
      </w:tr>
      <w:tr w:rsidR="006C7AA7" w:rsidRPr="00D0306F" w14:paraId="5BC826E9" w14:textId="77777777" w:rsidTr="00CC3BF4">
        <w:trPr>
          <w:tblCellSpacing w:w="0" w:type="dxa"/>
          <w:jc w:val="center"/>
        </w:trPr>
        <w:tc>
          <w:tcPr>
            <w:tcW w:w="8920" w:type="dxa"/>
            <w:gridSpan w:val="5"/>
            <w:tcBorders>
              <w:top w:val="single" w:sz="6" w:space="0" w:color="CCCCCC"/>
              <w:bottom w:val="single" w:sz="6" w:space="0" w:color="CCCCCC"/>
              <w:right w:val="single" w:sz="6" w:space="0" w:color="CCCCCC"/>
            </w:tcBorders>
            <w:shd w:val="clear" w:color="auto" w:fill="FFFFFF"/>
            <w:tcMar>
              <w:top w:w="0" w:type="dxa"/>
              <w:left w:w="420" w:type="dxa"/>
              <w:bottom w:w="0" w:type="dxa"/>
              <w:right w:w="0" w:type="dxa"/>
            </w:tcMar>
            <w:vAlign w:val="center"/>
            <w:hideMark/>
          </w:tcPr>
          <w:tbl>
            <w:tblPr>
              <w:tblW w:w="5000" w:type="pct"/>
              <w:tblBorders>
                <w:left w:val="single" w:sz="6" w:space="0" w:color="CCCCCC"/>
              </w:tblBorders>
              <w:tblCellMar>
                <w:top w:w="15" w:type="dxa"/>
                <w:left w:w="15" w:type="dxa"/>
                <w:bottom w:w="15" w:type="dxa"/>
                <w:right w:w="15" w:type="dxa"/>
              </w:tblCellMar>
              <w:tblLook w:val="04A0" w:firstRow="1" w:lastRow="0" w:firstColumn="1" w:lastColumn="0" w:noHBand="0" w:noVBand="1"/>
            </w:tblPr>
            <w:tblGrid>
              <w:gridCol w:w="284"/>
              <w:gridCol w:w="1800"/>
              <w:gridCol w:w="6386"/>
            </w:tblGrid>
            <w:tr w:rsidR="006C7AA7" w:rsidRPr="00D0306F" w14:paraId="5AECC865"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25AC2FF0" w14:textId="77777777" w:rsidR="006C7AA7" w:rsidRPr="00D0306F" w:rsidRDefault="006C7AA7" w:rsidP="00CC3BF4">
                  <w:pPr>
                    <w:jc w:val="center"/>
                    <w:rPr>
                      <w:rFonts w:eastAsia="Times New Roman" w:cs="Arial"/>
                    </w:rPr>
                  </w:pPr>
                  <w:r w:rsidRPr="00D0306F">
                    <w:rPr>
                      <w:rFonts w:eastAsia="Times New Roman" w:cs="Arial"/>
                    </w:rPr>
                    <w:t>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9B7D6FD"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CBF88B7" w14:textId="77777777" w:rsidR="006C7AA7" w:rsidRPr="00D0306F" w:rsidRDefault="006C7AA7" w:rsidP="00CC3BF4">
                  <w:pPr>
                    <w:rPr>
                      <w:rFonts w:eastAsia="Times New Roman" w:cs="Arial"/>
                    </w:rPr>
                  </w:pPr>
                  <w:r w:rsidRPr="00D0306F">
                    <w:rPr>
                      <w:rFonts w:eastAsia="Times New Roman" w:cs="Arial"/>
                    </w:rPr>
                    <w:t>Blank</w:t>
                  </w:r>
                </w:p>
              </w:tc>
            </w:tr>
            <w:tr w:rsidR="006C7AA7" w:rsidRPr="00D0306F" w14:paraId="3EE2B242"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48D0A488" w14:textId="77777777" w:rsidR="006C7AA7" w:rsidRPr="00D0306F" w:rsidRDefault="006C7AA7" w:rsidP="00CC3BF4">
                  <w:pPr>
                    <w:jc w:val="center"/>
                    <w:rPr>
                      <w:rFonts w:eastAsia="Times New Roman" w:cs="Arial"/>
                    </w:rPr>
                  </w:pPr>
                  <w:r w:rsidRPr="00D0306F">
                    <w:rPr>
                      <w:rFonts w:eastAsia="Times New Roman" w:cs="Arial"/>
                    </w:rPr>
                    <w:t>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744C715"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49623A7" w14:textId="77777777" w:rsidR="006C7AA7" w:rsidRPr="00D0306F" w:rsidRDefault="006C7AA7" w:rsidP="00CC3BF4">
                  <w:pPr>
                    <w:rPr>
                      <w:rFonts w:eastAsia="Times New Roman" w:cs="Arial"/>
                    </w:rPr>
                  </w:pPr>
                  <w:r w:rsidRPr="00D0306F">
                    <w:rPr>
                      <w:rFonts w:eastAsia="Times New Roman" w:cs="Arial"/>
                    </w:rPr>
                    <w:t>Had to go to 4 different ones</w:t>
                  </w:r>
                </w:p>
              </w:tc>
            </w:tr>
          </w:tbl>
          <w:p w14:paraId="19DD59BB" w14:textId="77777777" w:rsidR="006C7AA7" w:rsidRPr="00D0306F" w:rsidRDefault="006C7AA7" w:rsidP="00CC3BF4">
            <w:pPr>
              <w:rPr>
                <w:rFonts w:eastAsia="Times New Roman" w:cs="Arial"/>
              </w:rPr>
            </w:pPr>
          </w:p>
        </w:tc>
      </w:tr>
    </w:tbl>
    <w:p w14:paraId="28899987" w14:textId="77777777" w:rsidR="006C7AA7" w:rsidRPr="00D0306F" w:rsidRDefault="006C7AA7" w:rsidP="006C7AA7">
      <w:pPr>
        <w:rPr>
          <w:rFonts w:cs="Arial"/>
          <w:b/>
          <w:bCs/>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8"/>
        <w:gridCol w:w="2151"/>
        <w:gridCol w:w="3845"/>
        <w:gridCol w:w="1313"/>
        <w:gridCol w:w="1313"/>
      </w:tblGrid>
      <w:tr w:rsidR="006C7AA7" w:rsidRPr="00D0306F" w14:paraId="6F5CFDF4"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41D3A490" w14:textId="77777777" w:rsidR="006C7AA7" w:rsidRPr="00D0306F" w:rsidRDefault="006C7AA7" w:rsidP="00CC3BF4">
            <w:pPr>
              <w:rPr>
                <w:rFonts w:eastAsia="Times New Roman" w:cs="Arial"/>
                <w:b/>
                <w:bCs/>
                <w:color w:val="FFFFFF"/>
              </w:rPr>
            </w:pPr>
            <w:r w:rsidRPr="00D0306F">
              <w:rPr>
                <w:rFonts w:eastAsia="Times New Roman" w:cs="Arial"/>
                <w:b/>
                <w:bCs/>
                <w:color w:val="FFFFFF"/>
              </w:rPr>
              <w:t xml:space="preserve">8. Please could you tell us whether you: </w:t>
            </w:r>
          </w:p>
        </w:tc>
      </w:tr>
      <w:tr w:rsidR="006C7AA7" w:rsidRPr="00D0306F" w14:paraId="60DE78A7"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5D876B15"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2F23DEC5"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0E25F2C0"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47D484D1"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1C794C1" w14:textId="77777777" w:rsidR="006C7AA7" w:rsidRPr="00D0306F" w:rsidRDefault="006C7AA7" w:rsidP="00CC3BF4">
            <w:pPr>
              <w:jc w:val="center"/>
              <w:rPr>
                <w:rFonts w:eastAsia="Times New Roman" w:cs="Arial"/>
              </w:rPr>
            </w:pPr>
            <w:r w:rsidRPr="00D0306F">
              <w:rPr>
                <w:rFonts w:eastAsia="Times New Roman" w:cs="Arial"/>
              </w:rPr>
              <w:t>1</w:t>
            </w:r>
          </w:p>
        </w:tc>
        <w:tc>
          <w:tcPr>
            <w:tcW w:w="215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0A29424" w14:textId="77777777" w:rsidR="006C7AA7" w:rsidRPr="00D0306F" w:rsidRDefault="006C7AA7" w:rsidP="00CC3BF4">
            <w:pPr>
              <w:rPr>
                <w:rFonts w:eastAsia="Times New Roman" w:cs="Arial"/>
              </w:rPr>
            </w:pPr>
            <w:r w:rsidRPr="00D0306F">
              <w:rPr>
                <w:rFonts w:eastAsia="Times New Roman" w:cs="Arial"/>
              </w:rPr>
              <w:t>Always use the same pharmacy</w:t>
            </w:r>
          </w:p>
        </w:tc>
        <w:tc>
          <w:tcPr>
            <w:tcW w:w="3845"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135" w:type="pct"/>
              <w:tblCellMar>
                <w:left w:w="0" w:type="dxa"/>
                <w:right w:w="0" w:type="dxa"/>
              </w:tblCellMar>
              <w:tblLook w:val="04A0" w:firstRow="1" w:lastRow="0" w:firstColumn="1" w:lastColumn="0" w:noHBand="0" w:noVBand="1"/>
            </w:tblPr>
            <w:tblGrid>
              <w:gridCol w:w="2316"/>
            </w:tblGrid>
            <w:tr w:rsidR="006C7AA7" w:rsidRPr="00D0306F" w14:paraId="0BC042BC"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281A15BA"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9CCE8AE"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50758DD" w14:textId="77777777" w:rsidR="006C7AA7" w:rsidRPr="00D0306F" w:rsidRDefault="006C7AA7" w:rsidP="00CC3BF4">
            <w:pPr>
              <w:jc w:val="center"/>
              <w:rPr>
                <w:rFonts w:eastAsia="Times New Roman" w:cs="Arial"/>
              </w:rPr>
            </w:pPr>
            <w:r w:rsidRPr="00D0306F">
              <w:rPr>
                <w:rFonts w:eastAsia="Times New Roman" w:cs="Arial"/>
              </w:rPr>
              <w:t>63.0%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5E90794" w14:textId="77777777" w:rsidR="006C7AA7" w:rsidRPr="00D0306F" w:rsidRDefault="006C7AA7" w:rsidP="00CC3BF4">
            <w:pPr>
              <w:jc w:val="center"/>
              <w:rPr>
                <w:rFonts w:eastAsia="Times New Roman" w:cs="Arial"/>
              </w:rPr>
            </w:pPr>
            <w:r w:rsidRPr="00D0306F">
              <w:rPr>
                <w:rFonts w:eastAsia="Times New Roman" w:cs="Arial"/>
              </w:rPr>
              <w:t>75</w:t>
            </w:r>
          </w:p>
        </w:tc>
      </w:tr>
      <w:tr w:rsidR="006C7AA7" w:rsidRPr="00D0306F" w14:paraId="308E74FA"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EF82DC7" w14:textId="77777777" w:rsidR="006C7AA7" w:rsidRPr="00D0306F" w:rsidRDefault="006C7AA7" w:rsidP="00CC3BF4">
            <w:pPr>
              <w:jc w:val="center"/>
              <w:rPr>
                <w:rFonts w:eastAsia="Times New Roman" w:cs="Arial"/>
              </w:rPr>
            </w:pPr>
            <w:r w:rsidRPr="00D0306F">
              <w:rPr>
                <w:rFonts w:eastAsia="Times New Roman" w:cs="Arial"/>
              </w:rPr>
              <w:t>2</w:t>
            </w:r>
          </w:p>
        </w:tc>
        <w:tc>
          <w:tcPr>
            <w:tcW w:w="215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200FBB1" w14:textId="77777777" w:rsidR="006C7AA7" w:rsidRPr="00D0306F" w:rsidRDefault="006C7AA7" w:rsidP="00CC3BF4">
            <w:pPr>
              <w:rPr>
                <w:rFonts w:eastAsia="Times New Roman" w:cs="Arial"/>
              </w:rPr>
            </w:pPr>
            <w:r w:rsidRPr="00D0306F">
              <w:rPr>
                <w:rFonts w:eastAsia="Times New Roman" w:cs="Arial"/>
              </w:rPr>
              <w:t>Use different pharmacies but I prefer to visit one most often</w:t>
            </w:r>
          </w:p>
        </w:tc>
        <w:tc>
          <w:tcPr>
            <w:tcW w:w="3845"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95" w:type="pct"/>
              <w:tblCellMar>
                <w:left w:w="0" w:type="dxa"/>
                <w:right w:w="0" w:type="dxa"/>
              </w:tblCellMar>
              <w:tblLook w:val="04A0" w:firstRow="1" w:lastRow="0" w:firstColumn="1" w:lastColumn="0" w:noHBand="0" w:noVBand="1"/>
            </w:tblPr>
            <w:tblGrid>
              <w:gridCol w:w="1252"/>
            </w:tblGrid>
            <w:tr w:rsidR="006C7AA7" w:rsidRPr="00D0306F" w14:paraId="31219059"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0AC48B52"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FAB6BB7"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E502CF7" w14:textId="77777777" w:rsidR="006C7AA7" w:rsidRPr="00D0306F" w:rsidRDefault="006C7AA7" w:rsidP="00CC3BF4">
            <w:pPr>
              <w:jc w:val="center"/>
              <w:rPr>
                <w:rFonts w:eastAsia="Times New Roman" w:cs="Arial"/>
              </w:rPr>
            </w:pPr>
            <w:r w:rsidRPr="00D0306F">
              <w:rPr>
                <w:rFonts w:eastAsia="Times New Roman" w:cs="Arial"/>
              </w:rPr>
              <w:t>33.6%</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4D9BF59" w14:textId="77777777" w:rsidR="006C7AA7" w:rsidRPr="00D0306F" w:rsidRDefault="006C7AA7" w:rsidP="00CC3BF4">
            <w:pPr>
              <w:jc w:val="center"/>
              <w:rPr>
                <w:rFonts w:eastAsia="Times New Roman" w:cs="Arial"/>
              </w:rPr>
            </w:pPr>
            <w:r w:rsidRPr="00D0306F">
              <w:rPr>
                <w:rFonts w:eastAsia="Times New Roman" w:cs="Arial"/>
              </w:rPr>
              <w:t>40</w:t>
            </w:r>
          </w:p>
        </w:tc>
      </w:tr>
      <w:tr w:rsidR="006C7AA7" w:rsidRPr="00D0306F" w14:paraId="67F0B292"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42A64C6" w14:textId="77777777" w:rsidR="006C7AA7" w:rsidRPr="00D0306F" w:rsidRDefault="006C7AA7" w:rsidP="00CC3BF4">
            <w:pPr>
              <w:jc w:val="center"/>
              <w:rPr>
                <w:rFonts w:eastAsia="Times New Roman" w:cs="Arial"/>
              </w:rPr>
            </w:pPr>
            <w:r w:rsidRPr="00D0306F">
              <w:rPr>
                <w:rFonts w:eastAsia="Times New Roman" w:cs="Arial"/>
              </w:rPr>
              <w:t>3</w:t>
            </w:r>
          </w:p>
        </w:tc>
        <w:tc>
          <w:tcPr>
            <w:tcW w:w="215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968E47C" w14:textId="77777777" w:rsidR="006C7AA7" w:rsidRPr="00D0306F" w:rsidRDefault="006C7AA7" w:rsidP="00CC3BF4">
            <w:pPr>
              <w:rPr>
                <w:rFonts w:eastAsia="Times New Roman" w:cs="Arial"/>
              </w:rPr>
            </w:pPr>
            <w:r w:rsidRPr="00D0306F">
              <w:rPr>
                <w:rFonts w:eastAsia="Times New Roman" w:cs="Arial"/>
              </w:rPr>
              <w:t>Always use different pharmacies</w:t>
            </w:r>
          </w:p>
        </w:tc>
        <w:tc>
          <w:tcPr>
            <w:tcW w:w="3845"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7" w:type="pct"/>
              <w:tblCellMar>
                <w:left w:w="0" w:type="dxa"/>
                <w:right w:w="0" w:type="dxa"/>
              </w:tblCellMar>
              <w:tblLook w:val="04A0" w:firstRow="1" w:lastRow="0" w:firstColumn="1" w:lastColumn="0" w:noHBand="0" w:noVBand="1"/>
            </w:tblPr>
            <w:tblGrid>
              <w:gridCol w:w="94"/>
            </w:tblGrid>
            <w:tr w:rsidR="006C7AA7" w:rsidRPr="00D0306F" w14:paraId="4E3E1FEA" w14:textId="77777777" w:rsidTr="00CC3BF4">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581239BE"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405B3172"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584A94D" w14:textId="77777777" w:rsidR="006C7AA7" w:rsidRPr="00D0306F" w:rsidRDefault="006C7AA7" w:rsidP="00CC3BF4">
            <w:pPr>
              <w:jc w:val="center"/>
              <w:rPr>
                <w:rFonts w:eastAsia="Times New Roman" w:cs="Arial"/>
              </w:rPr>
            </w:pPr>
            <w:r w:rsidRPr="00D0306F">
              <w:rPr>
                <w:rFonts w:eastAsia="Times New Roman" w:cs="Arial"/>
              </w:rPr>
              <w:t>2.5%</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D5F9C01" w14:textId="77777777" w:rsidR="006C7AA7" w:rsidRPr="00D0306F" w:rsidRDefault="006C7AA7" w:rsidP="00CC3BF4">
            <w:pPr>
              <w:jc w:val="center"/>
              <w:rPr>
                <w:rFonts w:eastAsia="Times New Roman" w:cs="Arial"/>
              </w:rPr>
            </w:pPr>
            <w:r w:rsidRPr="00D0306F">
              <w:rPr>
                <w:rFonts w:eastAsia="Times New Roman" w:cs="Arial"/>
              </w:rPr>
              <w:t>3</w:t>
            </w:r>
          </w:p>
        </w:tc>
      </w:tr>
      <w:tr w:rsidR="006C7AA7" w:rsidRPr="00D0306F" w14:paraId="1E9F3DF2"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7FF6D93" w14:textId="77777777" w:rsidR="006C7AA7" w:rsidRPr="00D0306F" w:rsidRDefault="006C7AA7" w:rsidP="00CC3BF4">
            <w:pPr>
              <w:jc w:val="center"/>
              <w:rPr>
                <w:rFonts w:eastAsia="Times New Roman" w:cs="Arial"/>
              </w:rPr>
            </w:pPr>
            <w:r w:rsidRPr="00D0306F">
              <w:rPr>
                <w:rFonts w:eastAsia="Times New Roman" w:cs="Arial"/>
              </w:rPr>
              <w:t>4</w:t>
            </w:r>
          </w:p>
        </w:tc>
        <w:tc>
          <w:tcPr>
            <w:tcW w:w="215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D1B4E69" w14:textId="77777777" w:rsidR="006C7AA7" w:rsidRPr="00D0306F" w:rsidRDefault="006C7AA7" w:rsidP="00CC3BF4">
            <w:pPr>
              <w:rPr>
                <w:rFonts w:eastAsia="Times New Roman" w:cs="Arial"/>
              </w:rPr>
            </w:pPr>
            <w:r w:rsidRPr="00D0306F">
              <w:rPr>
                <w:rFonts w:eastAsia="Times New Roman" w:cs="Arial"/>
              </w:rPr>
              <w:t>Rarely use a pharmacy</w:t>
            </w:r>
          </w:p>
        </w:tc>
        <w:tc>
          <w:tcPr>
            <w:tcW w:w="3845"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 w:type="pct"/>
              <w:tblCellMar>
                <w:left w:w="0" w:type="dxa"/>
                <w:right w:w="0" w:type="dxa"/>
              </w:tblCellMar>
              <w:tblLook w:val="04A0" w:firstRow="1" w:lastRow="0" w:firstColumn="1" w:lastColumn="0" w:noHBand="0" w:noVBand="1"/>
            </w:tblPr>
            <w:tblGrid>
              <w:gridCol w:w="82"/>
            </w:tblGrid>
            <w:tr w:rsidR="006C7AA7" w:rsidRPr="00D0306F" w14:paraId="05015385" w14:textId="77777777" w:rsidTr="00CC3BF4">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5B9BD9D9"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1EEDC832"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325E674" w14:textId="77777777" w:rsidR="006C7AA7" w:rsidRPr="00D0306F" w:rsidRDefault="006C7AA7" w:rsidP="00CC3BF4">
            <w:pPr>
              <w:jc w:val="center"/>
              <w:rPr>
                <w:rFonts w:eastAsia="Times New Roman" w:cs="Arial"/>
              </w:rPr>
            </w:pPr>
            <w:r w:rsidRPr="00D0306F">
              <w:rPr>
                <w:rFonts w:eastAsia="Times New Roman" w:cs="Arial"/>
              </w:rPr>
              <w:t>0.8%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006C424" w14:textId="77777777" w:rsidR="006C7AA7" w:rsidRPr="00D0306F" w:rsidRDefault="006C7AA7" w:rsidP="00CC3BF4">
            <w:pPr>
              <w:jc w:val="center"/>
              <w:rPr>
                <w:rFonts w:eastAsia="Times New Roman" w:cs="Arial"/>
              </w:rPr>
            </w:pPr>
            <w:r w:rsidRPr="00D0306F">
              <w:rPr>
                <w:rFonts w:eastAsia="Times New Roman" w:cs="Arial"/>
              </w:rPr>
              <w:t>1</w:t>
            </w:r>
          </w:p>
        </w:tc>
      </w:tr>
      <w:tr w:rsidR="006C7AA7" w:rsidRPr="00D0306F" w14:paraId="7AE5A126"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E182E7A" w14:textId="77777777" w:rsidR="006C7AA7" w:rsidRPr="00D0306F" w:rsidRDefault="006C7AA7" w:rsidP="00CC3BF4">
            <w:pPr>
              <w:jc w:val="center"/>
              <w:rPr>
                <w:rFonts w:eastAsia="Times New Roman" w:cs="Arial"/>
              </w:rPr>
            </w:pPr>
            <w:r w:rsidRPr="00D0306F">
              <w:rPr>
                <w:rFonts w:eastAsia="Times New Roman" w:cs="Arial"/>
              </w:rPr>
              <w:t>5</w:t>
            </w:r>
          </w:p>
        </w:tc>
        <w:tc>
          <w:tcPr>
            <w:tcW w:w="215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0BBE352" w14:textId="77777777" w:rsidR="006C7AA7" w:rsidRPr="00D0306F" w:rsidRDefault="006C7AA7" w:rsidP="00CC3BF4">
            <w:pPr>
              <w:rPr>
                <w:rFonts w:eastAsia="Times New Roman" w:cs="Arial"/>
              </w:rPr>
            </w:pPr>
            <w:r w:rsidRPr="00D0306F">
              <w:rPr>
                <w:rFonts w:eastAsia="Times New Roman" w:cs="Arial"/>
              </w:rPr>
              <w:t>Never use a pharmacy</w:t>
            </w:r>
          </w:p>
        </w:tc>
        <w:tc>
          <w:tcPr>
            <w:tcW w:w="3845"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230CBB4D"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A7A2BC6"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BEE2A9C"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7C2977F9"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56642005"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A2D4B56"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6B0152F" w14:textId="77777777" w:rsidR="006C7AA7" w:rsidRPr="00D0306F" w:rsidRDefault="006C7AA7" w:rsidP="00CC3BF4">
            <w:pPr>
              <w:jc w:val="center"/>
              <w:rPr>
                <w:rFonts w:eastAsia="Times New Roman" w:cs="Arial"/>
              </w:rPr>
            </w:pPr>
            <w:r w:rsidRPr="00D0306F">
              <w:rPr>
                <w:rFonts w:eastAsia="Times New Roman" w:cs="Arial"/>
              </w:rPr>
              <w:t>119</w:t>
            </w:r>
          </w:p>
        </w:tc>
      </w:tr>
      <w:tr w:rsidR="006C7AA7" w:rsidRPr="00D0306F" w14:paraId="047F4E1C"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5DEC8BBC"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6B983F0"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6076375" w14:textId="77777777" w:rsidR="006C7AA7" w:rsidRPr="00D0306F" w:rsidRDefault="006C7AA7" w:rsidP="00CC3BF4">
            <w:pPr>
              <w:jc w:val="center"/>
              <w:rPr>
                <w:rFonts w:eastAsia="Times New Roman" w:cs="Arial"/>
              </w:rPr>
            </w:pPr>
            <w:r w:rsidRPr="00D0306F">
              <w:rPr>
                <w:rFonts w:eastAsia="Times New Roman" w:cs="Arial"/>
              </w:rPr>
              <w:t>0</w:t>
            </w:r>
          </w:p>
        </w:tc>
      </w:tr>
    </w:tbl>
    <w:p w14:paraId="22E42A0B" w14:textId="77777777" w:rsidR="006C7AA7" w:rsidRPr="00D0306F" w:rsidRDefault="006C7AA7" w:rsidP="006C7AA7">
      <w:pPr>
        <w:rPr>
          <w:rFonts w:cs="Arial"/>
          <w:b/>
          <w:bCs/>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492"/>
        <w:gridCol w:w="2629"/>
        <w:gridCol w:w="3173"/>
        <w:gridCol w:w="1313"/>
        <w:gridCol w:w="1313"/>
      </w:tblGrid>
      <w:tr w:rsidR="006C7AA7" w:rsidRPr="00D0306F" w14:paraId="3F47BBE7"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262D9F5F" w14:textId="77777777" w:rsidR="006C7AA7" w:rsidRPr="00D0306F" w:rsidRDefault="006C7AA7" w:rsidP="00CC3BF4">
            <w:pPr>
              <w:rPr>
                <w:rFonts w:eastAsia="Times New Roman" w:cs="Arial"/>
                <w:b/>
                <w:bCs/>
                <w:color w:val="FFFFFF"/>
              </w:rPr>
            </w:pPr>
            <w:r w:rsidRPr="00D0306F">
              <w:rPr>
                <w:rFonts w:eastAsia="Times New Roman" w:cs="Arial"/>
                <w:b/>
                <w:bCs/>
                <w:color w:val="FFFFFF"/>
              </w:rPr>
              <w:lastRenderedPageBreak/>
              <w:t xml:space="preserve">9. We would like to know what influences your choice of pharmacy. Please could you tell us why you use this pharmacy? Please tick all the statements that apply to you. </w:t>
            </w:r>
          </w:p>
        </w:tc>
      </w:tr>
      <w:tr w:rsidR="006C7AA7" w:rsidRPr="00D0306F" w14:paraId="4DC55729"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3E007631"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2C31782"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0169AAAD"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7F53BA60"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6AD8F19" w14:textId="77777777" w:rsidR="006C7AA7" w:rsidRPr="00D0306F" w:rsidRDefault="006C7AA7" w:rsidP="00CC3BF4">
            <w:pPr>
              <w:jc w:val="center"/>
              <w:rPr>
                <w:rFonts w:eastAsia="Times New Roman" w:cs="Arial"/>
              </w:rPr>
            </w:pPr>
            <w:r w:rsidRPr="00D0306F">
              <w:rPr>
                <w:rFonts w:eastAsia="Times New Roman" w:cs="Arial"/>
              </w:rPr>
              <w:t>1</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B5770CB" w14:textId="77777777" w:rsidR="006C7AA7" w:rsidRPr="00D0306F" w:rsidRDefault="006C7AA7" w:rsidP="00CC3BF4">
            <w:pPr>
              <w:rPr>
                <w:rFonts w:eastAsia="Times New Roman" w:cs="Arial"/>
              </w:rPr>
            </w:pPr>
            <w:r w:rsidRPr="00D0306F">
              <w:rPr>
                <w:rFonts w:eastAsia="Times New Roman" w:cs="Arial"/>
              </w:rPr>
              <w:t>Close to my home</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347" w:type="pct"/>
              <w:tblCellMar>
                <w:left w:w="0" w:type="dxa"/>
                <w:right w:w="0" w:type="dxa"/>
              </w:tblCellMar>
              <w:tblLook w:val="04A0" w:firstRow="1" w:lastRow="0" w:firstColumn="1" w:lastColumn="0" w:noHBand="0" w:noVBand="1"/>
            </w:tblPr>
            <w:tblGrid>
              <w:gridCol w:w="2023"/>
            </w:tblGrid>
            <w:tr w:rsidR="006C7AA7" w:rsidRPr="00D0306F" w14:paraId="5160E8C0"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148F1D3A"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0DCDEDD0"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028F2CB" w14:textId="77777777" w:rsidR="006C7AA7" w:rsidRPr="00D0306F" w:rsidRDefault="006C7AA7" w:rsidP="00CC3BF4">
            <w:pPr>
              <w:jc w:val="center"/>
              <w:rPr>
                <w:rFonts w:eastAsia="Times New Roman" w:cs="Arial"/>
              </w:rPr>
            </w:pPr>
            <w:r w:rsidRPr="00D0306F">
              <w:rPr>
                <w:rFonts w:eastAsia="Times New Roman" w:cs="Arial"/>
              </w:rPr>
              <w:t>67.2%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DF7325C" w14:textId="77777777" w:rsidR="006C7AA7" w:rsidRPr="00D0306F" w:rsidRDefault="006C7AA7" w:rsidP="00CC3BF4">
            <w:pPr>
              <w:jc w:val="center"/>
              <w:rPr>
                <w:rFonts w:eastAsia="Times New Roman" w:cs="Arial"/>
              </w:rPr>
            </w:pPr>
            <w:r w:rsidRPr="00D0306F">
              <w:rPr>
                <w:rFonts w:eastAsia="Times New Roman" w:cs="Arial"/>
              </w:rPr>
              <w:t>80</w:t>
            </w:r>
          </w:p>
        </w:tc>
      </w:tr>
      <w:tr w:rsidR="006C7AA7" w:rsidRPr="00D0306F" w14:paraId="2AF1AED2"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A21F59A" w14:textId="77777777" w:rsidR="006C7AA7" w:rsidRPr="00D0306F" w:rsidRDefault="006C7AA7" w:rsidP="00CC3BF4">
            <w:pPr>
              <w:jc w:val="center"/>
              <w:rPr>
                <w:rFonts w:eastAsia="Times New Roman" w:cs="Arial"/>
              </w:rPr>
            </w:pPr>
            <w:r w:rsidRPr="00D0306F">
              <w:rPr>
                <w:rFonts w:eastAsia="Times New Roman" w:cs="Arial"/>
              </w:rPr>
              <w:t>2</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3D7F12F" w14:textId="77777777" w:rsidR="006C7AA7" w:rsidRPr="00D0306F" w:rsidRDefault="006C7AA7" w:rsidP="00CC3BF4">
            <w:pPr>
              <w:rPr>
                <w:rFonts w:eastAsia="Times New Roman" w:cs="Arial"/>
              </w:rPr>
            </w:pPr>
            <w:r w:rsidRPr="00D0306F">
              <w:rPr>
                <w:rFonts w:eastAsia="Times New Roman" w:cs="Arial"/>
              </w:rPr>
              <w:t>Close to where I work</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635" w:type="pct"/>
              <w:tblCellMar>
                <w:left w:w="0" w:type="dxa"/>
                <w:right w:w="0" w:type="dxa"/>
              </w:tblCellMar>
              <w:tblLook w:val="04A0" w:firstRow="1" w:lastRow="0" w:firstColumn="1" w:lastColumn="0" w:noHBand="0" w:noVBand="1"/>
            </w:tblPr>
            <w:tblGrid>
              <w:gridCol w:w="384"/>
            </w:tblGrid>
            <w:tr w:rsidR="006C7AA7" w:rsidRPr="00D0306F" w14:paraId="336DAA31"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5E4C628D"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1126F405"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E6C0B9B" w14:textId="77777777" w:rsidR="006C7AA7" w:rsidRPr="00D0306F" w:rsidRDefault="006C7AA7" w:rsidP="00CC3BF4">
            <w:pPr>
              <w:jc w:val="center"/>
              <w:rPr>
                <w:rFonts w:eastAsia="Times New Roman" w:cs="Arial"/>
              </w:rPr>
            </w:pPr>
            <w:r w:rsidRPr="00D0306F">
              <w:rPr>
                <w:rFonts w:eastAsia="Times New Roman" w:cs="Arial"/>
              </w:rPr>
              <w:t>12.6%</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205FE18" w14:textId="77777777" w:rsidR="006C7AA7" w:rsidRPr="00D0306F" w:rsidRDefault="006C7AA7" w:rsidP="00CC3BF4">
            <w:pPr>
              <w:jc w:val="center"/>
              <w:rPr>
                <w:rFonts w:eastAsia="Times New Roman" w:cs="Arial"/>
              </w:rPr>
            </w:pPr>
            <w:r w:rsidRPr="00D0306F">
              <w:rPr>
                <w:rFonts w:eastAsia="Times New Roman" w:cs="Arial"/>
              </w:rPr>
              <w:t>15</w:t>
            </w:r>
          </w:p>
        </w:tc>
      </w:tr>
      <w:tr w:rsidR="006C7AA7" w:rsidRPr="00D0306F" w14:paraId="0271AED3"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4CC6870" w14:textId="77777777" w:rsidR="006C7AA7" w:rsidRPr="00D0306F" w:rsidRDefault="006C7AA7" w:rsidP="00CC3BF4">
            <w:pPr>
              <w:jc w:val="center"/>
              <w:rPr>
                <w:rFonts w:eastAsia="Times New Roman" w:cs="Arial"/>
              </w:rPr>
            </w:pPr>
            <w:r w:rsidRPr="00D0306F">
              <w:rPr>
                <w:rFonts w:eastAsia="Times New Roman" w:cs="Arial"/>
              </w:rPr>
              <w:t>3</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0CF425F" w14:textId="77777777" w:rsidR="006C7AA7" w:rsidRPr="00D0306F" w:rsidRDefault="006C7AA7" w:rsidP="00CC3BF4">
            <w:pPr>
              <w:rPr>
                <w:rFonts w:eastAsia="Times New Roman" w:cs="Arial"/>
              </w:rPr>
            </w:pPr>
            <w:r w:rsidRPr="00D0306F">
              <w:rPr>
                <w:rFonts w:eastAsia="Times New Roman" w:cs="Arial"/>
              </w:rPr>
              <w:t>Close to my doctor</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161" w:type="pct"/>
              <w:tblCellMar>
                <w:left w:w="0" w:type="dxa"/>
                <w:right w:w="0" w:type="dxa"/>
              </w:tblCellMar>
              <w:tblLook w:val="04A0" w:firstRow="1" w:lastRow="0" w:firstColumn="1" w:lastColumn="0" w:noHBand="0" w:noVBand="1"/>
            </w:tblPr>
            <w:tblGrid>
              <w:gridCol w:w="1306"/>
            </w:tblGrid>
            <w:tr w:rsidR="006C7AA7" w:rsidRPr="00D0306F" w14:paraId="54A0267A"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2A31D409"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1EF0E70F"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ADCE63F" w14:textId="77777777" w:rsidR="006C7AA7" w:rsidRPr="00D0306F" w:rsidRDefault="006C7AA7" w:rsidP="00CC3BF4">
            <w:pPr>
              <w:jc w:val="center"/>
              <w:rPr>
                <w:rFonts w:eastAsia="Times New Roman" w:cs="Arial"/>
              </w:rPr>
            </w:pPr>
            <w:r w:rsidRPr="00D0306F">
              <w:rPr>
                <w:rFonts w:eastAsia="Times New Roman" w:cs="Arial"/>
              </w:rPr>
              <w:t>42.9%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779B06B" w14:textId="77777777" w:rsidR="006C7AA7" w:rsidRPr="00D0306F" w:rsidRDefault="006C7AA7" w:rsidP="00CC3BF4">
            <w:pPr>
              <w:jc w:val="center"/>
              <w:rPr>
                <w:rFonts w:eastAsia="Times New Roman" w:cs="Arial"/>
              </w:rPr>
            </w:pPr>
            <w:r w:rsidRPr="00D0306F">
              <w:rPr>
                <w:rFonts w:eastAsia="Times New Roman" w:cs="Arial"/>
              </w:rPr>
              <w:t>51</w:t>
            </w:r>
          </w:p>
        </w:tc>
      </w:tr>
      <w:tr w:rsidR="006C7AA7" w:rsidRPr="00D0306F" w14:paraId="0982FBE0"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E4C7FBC" w14:textId="77777777" w:rsidR="006C7AA7" w:rsidRPr="00D0306F" w:rsidRDefault="006C7AA7" w:rsidP="00CC3BF4">
            <w:pPr>
              <w:jc w:val="center"/>
              <w:rPr>
                <w:rFonts w:eastAsia="Times New Roman" w:cs="Arial"/>
              </w:rPr>
            </w:pPr>
            <w:r w:rsidRPr="00D0306F">
              <w:rPr>
                <w:rFonts w:eastAsia="Times New Roman" w:cs="Arial"/>
              </w:rPr>
              <w:t>4</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7CD3A26" w14:textId="77777777" w:rsidR="006C7AA7" w:rsidRPr="00D0306F" w:rsidRDefault="006C7AA7" w:rsidP="00CC3BF4">
            <w:pPr>
              <w:rPr>
                <w:rFonts w:eastAsia="Times New Roman" w:cs="Arial"/>
              </w:rPr>
            </w:pPr>
            <w:r w:rsidRPr="00D0306F">
              <w:rPr>
                <w:rFonts w:eastAsia="Times New Roman" w:cs="Arial"/>
              </w:rPr>
              <w:t>Close to children’s school or nursery</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7" w:type="pct"/>
              <w:tblCellMar>
                <w:left w:w="0" w:type="dxa"/>
                <w:right w:w="0" w:type="dxa"/>
              </w:tblCellMar>
              <w:tblLook w:val="04A0" w:firstRow="1" w:lastRow="0" w:firstColumn="1" w:lastColumn="0" w:noHBand="0" w:noVBand="1"/>
            </w:tblPr>
            <w:tblGrid>
              <w:gridCol w:w="82"/>
            </w:tblGrid>
            <w:tr w:rsidR="006C7AA7" w:rsidRPr="00D0306F" w14:paraId="49480DD5"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573C8F08"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C477BBE"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D632049" w14:textId="77777777" w:rsidR="006C7AA7" w:rsidRPr="00D0306F" w:rsidRDefault="006C7AA7" w:rsidP="00CC3BF4">
            <w:pPr>
              <w:jc w:val="center"/>
              <w:rPr>
                <w:rFonts w:eastAsia="Times New Roman" w:cs="Arial"/>
              </w:rPr>
            </w:pPr>
            <w:r w:rsidRPr="00D0306F">
              <w:rPr>
                <w:rFonts w:eastAsia="Times New Roman" w:cs="Arial"/>
              </w:rPr>
              <w:t>2.5%</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EDA5887" w14:textId="77777777" w:rsidR="006C7AA7" w:rsidRPr="00D0306F" w:rsidRDefault="006C7AA7" w:rsidP="00CC3BF4">
            <w:pPr>
              <w:jc w:val="center"/>
              <w:rPr>
                <w:rFonts w:eastAsia="Times New Roman" w:cs="Arial"/>
              </w:rPr>
            </w:pPr>
            <w:r w:rsidRPr="00D0306F">
              <w:rPr>
                <w:rFonts w:eastAsia="Times New Roman" w:cs="Arial"/>
              </w:rPr>
              <w:t>3</w:t>
            </w:r>
          </w:p>
        </w:tc>
      </w:tr>
      <w:tr w:rsidR="006C7AA7" w:rsidRPr="00D0306F" w14:paraId="30A781E8"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1058922" w14:textId="77777777" w:rsidR="006C7AA7" w:rsidRPr="00D0306F" w:rsidRDefault="006C7AA7" w:rsidP="00CC3BF4">
            <w:pPr>
              <w:jc w:val="center"/>
              <w:rPr>
                <w:rFonts w:eastAsia="Times New Roman" w:cs="Arial"/>
              </w:rPr>
            </w:pPr>
            <w:r w:rsidRPr="00D0306F">
              <w:rPr>
                <w:rFonts w:eastAsia="Times New Roman" w:cs="Arial"/>
              </w:rPr>
              <w:t>5</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C6A9F23" w14:textId="77777777" w:rsidR="006C7AA7" w:rsidRPr="00D0306F" w:rsidRDefault="006C7AA7" w:rsidP="00CC3BF4">
            <w:pPr>
              <w:rPr>
                <w:rFonts w:eastAsia="Times New Roman" w:cs="Arial"/>
              </w:rPr>
            </w:pPr>
            <w:r w:rsidRPr="00D0306F">
              <w:rPr>
                <w:rFonts w:eastAsia="Times New Roman" w:cs="Arial"/>
              </w:rPr>
              <w:t>Close to other shops</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93" w:type="pct"/>
              <w:tblCellMar>
                <w:left w:w="0" w:type="dxa"/>
                <w:right w:w="0" w:type="dxa"/>
              </w:tblCellMar>
              <w:tblLook w:val="04A0" w:firstRow="1" w:lastRow="0" w:firstColumn="1" w:lastColumn="0" w:noHBand="0" w:noVBand="1"/>
            </w:tblPr>
            <w:tblGrid>
              <w:gridCol w:w="358"/>
            </w:tblGrid>
            <w:tr w:rsidR="006C7AA7" w:rsidRPr="00D0306F" w14:paraId="7B21D3E8"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3167EDFD"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BCB52AE"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22FD087" w14:textId="77777777" w:rsidR="006C7AA7" w:rsidRPr="00D0306F" w:rsidRDefault="006C7AA7" w:rsidP="00CC3BF4">
            <w:pPr>
              <w:jc w:val="center"/>
              <w:rPr>
                <w:rFonts w:eastAsia="Times New Roman" w:cs="Arial"/>
              </w:rPr>
            </w:pPr>
            <w:r w:rsidRPr="00D0306F">
              <w:rPr>
                <w:rFonts w:eastAsia="Times New Roman" w:cs="Arial"/>
              </w:rPr>
              <w:t>11.8%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F5F936D" w14:textId="77777777" w:rsidR="006C7AA7" w:rsidRPr="00D0306F" w:rsidRDefault="006C7AA7" w:rsidP="00CC3BF4">
            <w:pPr>
              <w:jc w:val="center"/>
              <w:rPr>
                <w:rFonts w:eastAsia="Times New Roman" w:cs="Arial"/>
              </w:rPr>
            </w:pPr>
            <w:r w:rsidRPr="00D0306F">
              <w:rPr>
                <w:rFonts w:eastAsia="Times New Roman" w:cs="Arial"/>
              </w:rPr>
              <w:t>14</w:t>
            </w:r>
          </w:p>
        </w:tc>
      </w:tr>
      <w:tr w:rsidR="006C7AA7" w:rsidRPr="00D0306F" w14:paraId="3B2D3C76"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52F7BCC" w14:textId="77777777" w:rsidR="006C7AA7" w:rsidRPr="00D0306F" w:rsidRDefault="006C7AA7" w:rsidP="00CC3BF4">
            <w:pPr>
              <w:jc w:val="center"/>
              <w:rPr>
                <w:rFonts w:eastAsia="Times New Roman" w:cs="Arial"/>
              </w:rPr>
            </w:pPr>
            <w:r w:rsidRPr="00D0306F">
              <w:rPr>
                <w:rFonts w:eastAsia="Times New Roman" w:cs="Arial"/>
              </w:rPr>
              <w:t>6</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9AD04C5" w14:textId="77777777" w:rsidR="006C7AA7" w:rsidRPr="00D0306F" w:rsidRDefault="006C7AA7" w:rsidP="00CC3BF4">
            <w:pPr>
              <w:rPr>
                <w:rFonts w:eastAsia="Times New Roman" w:cs="Arial"/>
              </w:rPr>
            </w:pPr>
            <w:r w:rsidRPr="00D0306F">
              <w:rPr>
                <w:rFonts w:eastAsia="Times New Roman" w:cs="Arial"/>
              </w:rPr>
              <w:t>The location of the pharmacy is easy to get to</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415" w:type="pct"/>
              <w:tblCellMar>
                <w:left w:w="0" w:type="dxa"/>
                <w:right w:w="0" w:type="dxa"/>
              </w:tblCellMar>
              <w:tblLook w:val="04A0" w:firstRow="1" w:lastRow="0" w:firstColumn="1" w:lastColumn="0" w:noHBand="0" w:noVBand="1"/>
            </w:tblPr>
            <w:tblGrid>
              <w:gridCol w:w="1460"/>
            </w:tblGrid>
            <w:tr w:rsidR="006C7AA7" w:rsidRPr="00D0306F" w14:paraId="3486AD08"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6D9CD43A"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2DA8DE67"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268EEBC" w14:textId="77777777" w:rsidR="006C7AA7" w:rsidRPr="00D0306F" w:rsidRDefault="006C7AA7" w:rsidP="00CC3BF4">
            <w:pPr>
              <w:jc w:val="center"/>
              <w:rPr>
                <w:rFonts w:eastAsia="Times New Roman" w:cs="Arial"/>
              </w:rPr>
            </w:pPr>
            <w:r w:rsidRPr="00D0306F">
              <w:rPr>
                <w:rFonts w:eastAsia="Times New Roman" w:cs="Arial"/>
              </w:rPr>
              <w:t>48.7%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E9B698E" w14:textId="77777777" w:rsidR="006C7AA7" w:rsidRPr="00D0306F" w:rsidRDefault="006C7AA7" w:rsidP="00CC3BF4">
            <w:pPr>
              <w:jc w:val="center"/>
              <w:rPr>
                <w:rFonts w:eastAsia="Times New Roman" w:cs="Arial"/>
              </w:rPr>
            </w:pPr>
            <w:r w:rsidRPr="00D0306F">
              <w:rPr>
                <w:rFonts w:eastAsia="Times New Roman" w:cs="Arial"/>
              </w:rPr>
              <w:t>58</w:t>
            </w:r>
          </w:p>
        </w:tc>
      </w:tr>
      <w:tr w:rsidR="006C7AA7" w:rsidRPr="00D0306F" w14:paraId="4DD80DC1"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1754678" w14:textId="77777777" w:rsidR="006C7AA7" w:rsidRPr="00D0306F" w:rsidRDefault="006C7AA7" w:rsidP="00CC3BF4">
            <w:pPr>
              <w:jc w:val="center"/>
              <w:rPr>
                <w:rFonts w:eastAsia="Times New Roman" w:cs="Arial"/>
              </w:rPr>
            </w:pPr>
            <w:r w:rsidRPr="00D0306F">
              <w:rPr>
                <w:rFonts w:eastAsia="Times New Roman" w:cs="Arial"/>
              </w:rPr>
              <w:t>7</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B1D4E00" w14:textId="77777777" w:rsidR="006C7AA7" w:rsidRPr="00D0306F" w:rsidRDefault="006C7AA7" w:rsidP="00CC3BF4">
            <w:pPr>
              <w:rPr>
                <w:rFonts w:eastAsia="Times New Roman" w:cs="Arial"/>
              </w:rPr>
            </w:pPr>
            <w:r w:rsidRPr="00D0306F">
              <w:rPr>
                <w:rFonts w:eastAsia="Times New Roman" w:cs="Arial"/>
              </w:rPr>
              <w:t>It is easy to park at the pharmacy</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398" w:type="pct"/>
              <w:tblCellMar>
                <w:left w:w="0" w:type="dxa"/>
                <w:right w:w="0" w:type="dxa"/>
              </w:tblCellMar>
              <w:tblLook w:val="04A0" w:firstRow="1" w:lastRow="0" w:firstColumn="1" w:lastColumn="0" w:noHBand="0" w:noVBand="1"/>
            </w:tblPr>
            <w:tblGrid>
              <w:gridCol w:w="845"/>
            </w:tblGrid>
            <w:tr w:rsidR="006C7AA7" w:rsidRPr="00D0306F" w14:paraId="7230C49B"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E4618C3"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3F3715B"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D50A46C" w14:textId="77777777" w:rsidR="006C7AA7" w:rsidRPr="00D0306F" w:rsidRDefault="006C7AA7" w:rsidP="00CC3BF4">
            <w:pPr>
              <w:jc w:val="center"/>
              <w:rPr>
                <w:rFonts w:eastAsia="Times New Roman" w:cs="Arial"/>
              </w:rPr>
            </w:pPr>
            <w:r w:rsidRPr="00D0306F">
              <w:rPr>
                <w:rFonts w:eastAsia="Times New Roman" w:cs="Arial"/>
              </w:rPr>
              <w:t>27.7%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9C0A072" w14:textId="77777777" w:rsidR="006C7AA7" w:rsidRPr="00D0306F" w:rsidRDefault="006C7AA7" w:rsidP="00CC3BF4">
            <w:pPr>
              <w:jc w:val="center"/>
              <w:rPr>
                <w:rFonts w:eastAsia="Times New Roman" w:cs="Arial"/>
              </w:rPr>
            </w:pPr>
            <w:r w:rsidRPr="00D0306F">
              <w:rPr>
                <w:rFonts w:eastAsia="Times New Roman" w:cs="Arial"/>
              </w:rPr>
              <w:t>33</w:t>
            </w:r>
          </w:p>
        </w:tc>
      </w:tr>
      <w:tr w:rsidR="006C7AA7" w:rsidRPr="00D0306F" w14:paraId="320BD688"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49484DE" w14:textId="77777777" w:rsidR="006C7AA7" w:rsidRPr="00D0306F" w:rsidRDefault="006C7AA7" w:rsidP="00CC3BF4">
            <w:pPr>
              <w:jc w:val="center"/>
              <w:rPr>
                <w:rFonts w:eastAsia="Times New Roman" w:cs="Arial"/>
              </w:rPr>
            </w:pPr>
            <w:r w:rsidRPr="00D0306F">
              <w:rPr>
                <w:rFonts w:eastAsia="Times New Roman" w:cs="Arial"/>
              </w:rPr>
              <w:t>8</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0BA3E1A" w14:textId="77777777" w:rsidR="006C7AA7" w:rsidRPr="00D0306F" w:rsidRDefault="006C7AA7" w:rsidP="00CC3BF4">
            <w:pPr>
              <w:rPr>
                <w:rFonts w:eastAsia="Times New Roman" w:cs="Arial"/>
              </w:rPr>
            </w:pPr>
            <w:r w:rsidRPr="00D0306F">
              <w:rPr>
                <w:rFonts w:eastAsia="Times New Roman" w:cs="Arial"/>
              </w:rPr>
              <w:t>I can speak to the staff in my preferred language</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54" w:type="pct"/>
              <w:tblCellMar>
                <w:left w:w="0" w:type="dxa"/>
                <w:right w:w="0" w:type="dxa"/>
              </w:tblCellMar>
              <w:tblLook w:val="04A0" w:firstRow="1" w:lastRow="0" w:firstColumn="1" w:lastColumn="0" w:noHBand="0" w:noVBand="1"/>
            </w:tblPr>
            <w:tblGrid>
              <w:gridCol w:w="154"/>
            </w:tblGrid>
            <w:tr w:rsidR="006C7AA7" w:rsidRPr="00D0306F" w14:paraId="37EDF642"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03ED0BE5"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3F0D0B71"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27CB0E2" w14:textId="77777777" w:rsidR="006C7AA7" w:rsidRPr="00D0306F" w:rsidRDefault="006C7AA7" w:rsidP="00CC3BF4">
            <w:pPr>
              <w:jc w:val="center"/>
              <w:rPr>
                <w:rFonts w:eastAsia="Times New Roman" w:cs="Arial"/>
              </w:rPr>
            </w:pPr>
            <w:r w:rsidRPr="00D0306F">
              <w:rPr>
                <w:rFonts w:eastAsia="Times New Roman" w:cs="Arial"/>
              </w:rPr>
              <w:t>5.0%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49ACF34" w14:textId="77777777" w:rsidR="006C7AA7" w:rsidRPr="00D0306F" w:rsidRDefault="006C7AA7" w:rsidP="00CC3BF4">
            <w:pPr>
              <w:jc w:val="center"/>
              <w:rPr>
                <w:rFonts w:eastAsia="Times New Roman" w:cs="Arial"/>
              </w:rPr>
            </w:pPr>
            <w:r w:rsidRPr="00D0306F">
              <w:rPr>
                <w:rFonts w:eastAsia="Times New Roman" w:cs="Arial"/>
              </w:rPr>
              <w:t>6</w:t>
            </w:r>
          </w:p>
        </w:tc>
      </w:tr>
      <w:tr w:rsidR="006C7AA7" w:rsidRPr="00D0306F" w14:paraId="0809EC36"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B31F4AE" w14:textId="77777777" w:rsidR="006C7AA7" w:rsidRPr="00D0306F" w:rsidRDefault="006C7AA7" w:rsidP="00CC3BF4">
            <w:pPr>
              <w:jc w:val="center"/>
              <w:rPr>
                <w:rFonts w:eastAsia="Times New Roman" w:cs="Arial"/>
              </w:rPr>
            </w:pPr>
            <w:r w:rsidRPr="00D0306F">
              <w:rPr>
                <w:rFonts w:eastAsia="Times New Roman" w:cs="Arial"/>
              </w:rPr>
              <w:t>9</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6845F73" w14:textId="77777777" w:rsidR="006C7AA7" w:rsidRPr="00D0306F" w:rsidRDefault="006C7AA7" w:rsidP="00CC3BF4">
            <w:pPr>
              <w:rPr>
                <w:rFonts w:eastAsia="Times New Roman" w:cs="Arial"/>
              </w:rPr>
            </w:pPr>
            <w:r w:rsidRPr="00D0306F">
              <w:rPr>
                <w:rFonts w:eastAsia="Times New Roman" w:cs="Arial"/>
              </w:rPr>
              <w:t>I like and trust the staff who work there</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203" w:type="pct"/>
              <w:tblCellMar>
                <w:left w:w="0" w:type="dxa"/>
                <w:right w:w="0" w:type="dxa"/>
              </w:tblCellMar>
              <w:tblLook w:val="04A0" w:firstRow="1" w:lastRow="0" w:firstColumn="1" w:lastColumn="0" w:noHBand="0" w:noVBand="1"/>
            </w:tblPr>
            <w:tblGrid>
              <w:gridCol w:w="1331"/>
            </w:tblGrid>
            <w:tr w:rsidR="006C7AA7" w:rsidRPr="00D0306F" w14:paraId="329E3577"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6F4E8701"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7A75D2B2"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520E6E9" w14:textId="77777777" w:rsidR="006C7AA7" w:rsidRPr="00D0306F" w:rsidRDefault="006C7AA7" w:rsidP="00CC3BF4">
            <w:pPr>
              <w:jc w:val="center"/>
              <w:rPr>
                <w:rFonts w:eastAsia="Times New Roman" w:cs="Arial"/>
              </w:rPr>
            </w:pPr>
            <w:r w:rsidRPr="00D0306F">
              <w:rPr>
                <w:rFonts w:eastAsia="Times New Roman" w:cs="Arial"/>
              </w:rPr>
              <w:t>43.7%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A473005" w14:textId="77777777" w:rsidR="006C7AA7" w:rsidRPr="00D0306F" w:rsidRDefault="006C7AA7" w:rsidP="00CC3BF4">
            <w:pPr>
              <w:jc w:val="center"/>
              <w:rPr>
                <w:rFonts w:eastAsia="Times New Roman" w:cs="Arial"/>
              </w:rPr>
            </w:pPr>
            <w:r w:rsidRPr="00D0306F">
              <w:rPr>
                <w:rFonts w:eastAsia="Times New Roman" w:cs="Arial"/>
              </w:rPr>
              <w:t>52</w:t>
            </w:r>
          </w:p>
        </w:tc>
      </w:tr>
      <w:tr w:rsidR="006C7AA7" w:rsidRPr="00D0306F" w14:paraId="414BD089"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FB79686" w14:textId="77777777" w:rsidR="006C7AA7" w:rsidRPr="00D0306F" w:rsidRDefault="006C7AA7" w:rsidP="00CC3BF4">
            <w:pPr>
              <w:jc w:val="center"/>
              <w:rPr>
                <w:rFonts w:eastAsia="Times New Roman" w:cs="Arial"/>
              </w:rPr>
            </w:pPr>
            <w:r w:rsidRPr="00D0306F">
              <w:rPr>
                <w:rFonts w:eastAsia="Times New Roman" w:cs="Arial"/>
              </w:rPr>
              <w:t>10</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1169AC0" w14:textId="77777777" w:rsidR="006C7AA7" w:rsidRPr="00D0306F" w:rsidRDefault="006C7AA7" w:rsidP="00CC3BF4">
            <w:pPr>
              <w:rPr>
                <w:rFonts w:eastAsia="Times New Roman" w:cs="Arial"/>
              </w:rPr>
            </w:pPr>
            <w:r w:rsidRPr="00D0306F">
              <w:rPr>
                <w:rFonts w:eastAsia="Times New Roman" w:cs="Arial"/>
              </w:rPr>
              <w:t>The staff know me and look after me</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10" w:type="pct"/>
              <w:tblCellMar>
                <w:left w:w="0" w:type="dxa"/>
                <w:right w:w="0" w:type="dxa"/>
              </w:tblCellMar>
              <w:tblLook w:val="04A0" w:firstRow="1" w:lastRow="0" w:firstColumn="1" w:lastColumn="0" w:noHBand="0" w:noVBand="1"/>
            </w:tblPr>
            <w:tblGrid>
              <w:gridCol w:w="973"/>
            </w:tblGrid>
            <w:tr w:rsidR="006C7AA7" w:rsidRPr="00D0306F" w14:paraId="567E28D6"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1B3B8C32"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40F18F4E"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E137CF4" w14:textId="77777777" w:rsidR="006C7AA7" w:rsidRPr="00D0306F" w:rsidRDefault="006C7AA7" w:rsidP="00CC3BF4">
            <w:pPr>
              <w:jc w:val="center"/>
              <w:rPr>
                <w:rFonts w:eastAsia="Times New Roman" w:cs="Arial"/>
              </w:rPr>
            </w:pPr>
            <w:r w:rsidRPr="00D0306F">
              <w:rPr>
                <w:rFonts w:eastAsia="Times New Roman" w:cs="Arial"/>
              </w:rPr>
              <w:t>32.8%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CAD5969" w14:textId="77777777" w:rsidR="006C7AA7" w:rsidRPr="00D0306F" w:rsidRDefault="006C7AA7" w:rsidP="00CC3BF4">
            <w:pPr>
              <w:jc w:val="center"/>
              <w:rPr>
                <w:rFonts w:eastAsia="Times New Roman" w:cs="Arial"/>
              </w:rPr>
            </w:pPr>
            <w:r w:rsidRPr="00D0306F">
              <w:rPr>
                <w:rFonts w:eastAsia="Times New Roman" w:cs="Arial"/>
              </w:rPr>
              <w:t>39</w:t>
            </w:r>
          </w:p>
        </w:tc>
      </w:tr>
      <w:tr w:rsidR="006C7AA7" w:rsidRPr="00D0306F" w14:paraId="2A914E47"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48BE4E0" w14:textId="77777777" w:rsidR="006C7AA7" w:rsidRPr="00D0306F" w:rsidRDefault="006C7AA7" w:rsidP="00CC3BF4">
            <w:pPr>
              <w:jc w:val="center"/>
              <w:rPr>
                <w:rFonts w:eastAsia="Times New Roman" w:cs="Arial"/>
              </w:rPr>
            </w:pPr>
            <w:r w:rsidRPr="00D0306F">
              <w:rPr>
                <w:rFonts w:eastAsia="Times New Roman" w:cs="Arial"/>
              </w:rPr>
              <w:t>11</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5D81554" w14:textId="77777777" w:rsidR="006C7AA7" w:rsidRPr="00D0306F" w:rsidRDefault="006C7AA7" w:rsidP="00CC3BF4">
            <w:pPr>
              <w:rPr>
                <w:rFonts w:eastAsia="Times New Roman" w:cs="Arial"/>
              </w:rPr>
            </w:pPr>
            <w:r w:rsidRPr="00D0306F">
              <w:rPr>
                <w:rFonts w:eastAsia="Times New Roman" w:cs="Arial"/>
              </w:rPr>
              <w:t>The staff don’t know me</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4" w:type="pct"/>
              <w:tblCellMar>
                <w:left w:w="0" w:type="dxa"/>
                <w:right w:w="0" w:type="dxa"/>
              </w:tblCellMar>
              <w:tblLook w:val="04A0" w:firstRow="1" w:lastRow="0" w:firstColumn="1" w:lastColumn="0" w:noHBand="0" w:noVBand="1"/>
            </w:tblPr>
            <w:tblGrid>
              <w:gridCol w:w="82"/>
            </w:tblGrid>
            <w:tr w:rsidR="006C7AA7" w:rsidRPr="00D0306F" w14:paraId="5491912D"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5DB71AF2"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F7B4E53"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878C454" w14:textId="77777777" w:rsidR="006C7AA7" w:rsidRPr="00D0306F" w:rsidRDefault="006C7AA7" w:rsidP="00CC3BF4">
            <w:pPr>
              <w:jc w:val="center"/>
              <w:rPr>
                <w:rFonts w:eastAsia="Times New Roman" w:cs="Arial"/>
              </w:rPr>
            </w:pPr>
            <w:r w:rsidRPr="00D0306F">
              <w:rPr>
                <w:rFonts w:eastAsia="Times New Roman" w:cs="Arial"/>
              </w:rPr>
              <w:t>1.7%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C10C638" w14:textId="77777777" w:rsidR="006C7AA7" w:rsidRPr="00D0306F" w:rsidRDefault="006C7AA7" w:rsidP="00CC3BF4">
            <w:pPr>
              <w:jc w:val="center"/>
              <w:rPr>
                <w:rFonts w:eastAsia="Times New Roman" w:cs="Arial"/>
              </w:rPr>
            </w:pPr>
            <w:r w:rsidRPr="00D0306F">
              <w:rPr>
                <w:rFonts w:eastAsia="Times New Roman" w:cs="Arial"/>
              </w:rPr>
              <w:t>2</w:t>
            </w:r>
          </w:p>
        </w:tc>
      </w:tr>
      <w:tr w:rsidR="006C7AA7" w:rsidRPr="00D0306F" w14:paraId="2131FDD8"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374BE0E" w14:textId="77777777" w:rsidR="006C7AA7" w:rsidRPr="00D0306F" w:rsidRDefault="006C7AA7" w:rsidP="00CC3BF4">
            <w:pPr>
              <w:jc w:val="center"/>
              <w:rPr>
                <w:rFonts w:eastAsia="Times New Roman" w:cs="Arial"/>
              </w:rPr>
            </w:pPr>
            <w:r w:rsidRPr="00D0306F">
              <w:rPr>
                <w:rFonts w:eastAsia="Times New Roman" w:cs="Arial"/>
              </w:rPr>
              <w:t>12</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0ABE4C5" w14:textId="77777777" w:rsidR="006C7AA7" w:rsidRPr="00D0306F" w:rsidRDefault="006C7AA7" w:rsidP="00CC3BF4">
            <w:pPr>
              <w:rPr>
                <w:rFonts w:eastAsia="Times New Roman" w:cs="Arial"/>
              </w:rPr>
            </w:pPr>
            <w:r w:rsidRPr="00D0306F">
              <w:rPr>
                <w:rFonts w:eastAsia="Times New Roman" w:cs="Arial"/>
              </w:rPr>
              <w:t>I’ve always used this pharmacy</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017" w:type="pct"/>
              <w:tblCellMar>
                <w:left w:w="0" w:type="dxa"/>
                <w:right w:w="0" w:type="dxa"/>
              </w:tblCellMar>
              <w:tblLook w:val="04A0" w:firstRow="1" w:lastRow="0" w:firstColumn="1" w:lastColumn="0" w:noHBand="0" w:noVBand="1"/>
            </w:tblPr>
            <w:tblGrid>
              <w:gridCol w:w="615"/>
            </w:tblGrid>
            <w:tr w:rsidR="006C7AA7" w:rsidRPr="00D0306F" w14:paraId="1D77B35F"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6D74308E"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1428F9B0"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2FF94EE" w14:textId="77777777" w:rsidR="006C7AA7" w:rsidRPr="00D0306F" w:rsidRDefault="006C7AA7" w:rsidP="00CC3BF4">
            <w:pPr>
              <w:jc w:val="center"/>
              <w:rPr>
                <w:rFonts w:eastAsia="Times New Roman" w:cs="Arial"/>
              </w:rPr>
            </w:pPr>
            <w:r w:rsidRPr="00D0306F">
              <w:rPr>
                <w:rFonts w:eastAsia="Times New Roman" w:cs="Arial"/>
              </w:rPr>
              <w:t>21.0%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2012696" w14:textId="77777777" w:rsidR="006C7AA7" w:rsidRPr="00D0306F" w:rsidRDefault="006C7AA7" w:rsidP="00CC3BF4">
            <w:pPr>
              <w:jc w:val="center"/>
              <w:rPr>
                <w:rFonts w:eastAsia="Times New Roman" w:cs="Arial"/>
              </w:rPr>
            </w:pPr>
            <w:r w:rsidRPr="00D0306F">
              <w:rPr>
                <w:rFonts w:eastAsia="Times New Roman" w:cs="Arial"/>
              </w:rPr>
              <w:t>25</w:t>
            </w:r>
          </w:p>
        </w:tc>
      </w:tr>
      <w:tr w:rsidR="006C7AA7" w:rsidRPr="00D0306F" w14:paraId="012A4BBC"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5E41E8A" w14:textId="77777777" w:rsidR="006C7AA7" w:rsidRPr="00D0306F" w:rsidRDefault="006C7AA7" w:rsidP="00CC3BF4">
            <w:pPr>
              <w:jc w:val="center"/>
              <w:rPr>
                <w:rFonts w:eastAsia="Times New Roman" w:cs="Arial"/>
              </w:rPr>
            </w:pPr>
            <w:r w:rsidRPr="00D0306F">
              <w:rPr>
                <w:rFonts w:eastAsia="Times New Roman" w:cs="Arial"/>
              </w:rPr>
              <w:t>13</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B744A27" w14:textId="77777777" w:rsidR="006C7AA7" w:rsidRPr="00D0306F" w:rsidRDefault="006C7AA7" w:rsidP="00CC3BF4">
            <w:pPr>
              <w:rPr>
                <w:rFonts w:eastAsia="Times New Roman" w:cs="Arial"/>
              </w:rPr>
            </w:pPr>
            <w:r w:rsidRPr="00D0306F">
              <w:rPr>
                <w:rFonts w:eastAsia="Times New Roman" w:cs="Arial"/>
              </w:rPr>
              <w:t>The service is quick</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483" w:type="pct"/>
              <w:tblCellMar>
                <w:left w:w="0" w:type="dxa"/>
                <w:right w:w="0" w:type="dxa"/>
              </w:tblCellMar>
              <w:tblLook w:val="04A0" w:firstRow="1" w:lastRow="0" w:firstColumn="1" w:lastColumn="0" w:noHBand="0" w:noVBand="1"/>
            </w:tblPr>
            <w:tblGrid>
              <w:gridCol w:w="896"/>
            </w:tblGrid>
            <w:tr w:rsidR="006C7AA7" w:rsidRPr="00D0306F" w14:paraId="2BBD02A4"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674DB8F2"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0D1B288B"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5EF239A" w14:textId="77777777" w:rsidR="006C7AA7" w:rsidRPr="00D0306F" w:rsidRDefault="006C7AA7" w:rsidP="00CC3BF4">
            <w:pPr>
              <w:jc w:val="center"/>
              <w:rPr>
                <w:rFonts w:eastAsia="Times New Roman" w:cs="Arial"/>
              </w:rPr>
            </w:pPr>
            <w:r w:rsidRPr="00D0306F">
              <w:rPr>
                <w:rFonts w:eastAsia="Times New Roman" w:cs="Arial"/>
              </w:rPr>
              <w:t>30.3%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235B33F" w14:textId="77777777" w:rsidR="006C7AA7" w:rsidRPr="00D0306F" w:rsidRDefault="006C7AA7" w:rsidP="00CC3BF4">
            <w:pPr>
              <w:jc w:val="center"/>
              <w:rPr>
                <w:rFonts w:eastAsia="Times New Roman" w:cs="Arial"/>
              </w:rPr>
            </w:pPr>
            <w:r w:rsidRPr="00D0306F">
              <w:rPr>
                <w:rFonts w:eastAsia="Times New Roman" w:cs="Arial"/>
              </w:rPr>
              <w:t>36</w:t>
            </w:r>
          </w:p>
        </w:tc>
      </w:tr>
      <w:tr w:rsidR="006C7AA7" w:rsidRPr="00D0306F" w14:paraId="765D4742"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EA82896" w14:textId="77777777" w:rsidR="006C7AA7" w:rsidRPr="00D0306F" w:rsidRDefault="006C7AA7" w:rsidP="00CC3BF4">
            <w:pPr>
              <w:jc w:val="center"/>
              <w:rPr>
                <w:rFonts w:eastAsia="Times New Roman" w:cs="Arial"/>
              </w:rPr>
            </w:pPr>
            <w:r w:rsidRPr="00D0306F">
              <w:rPr>
                <w:rFonts w:eastAsia="Times New Roman" w:cs="Arial"/>
              </w:rPr>
              <w:t>14</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429F2AA" w14:textId="77777777" w:rsidR="006C7AA7" w:rsidRPr="00D0306F" w:rsidRDefault="006C7AA7" w:rsidP="00CC3BF4">
            <w:pPr>
              <w:rPr>
                <w:rFonts w:eastAsia="Times New Roman" w:cs="Arial"/>
              </w:rPr>
            </w:pPr>
            <w:r w:rsidRPr="00D0306F">
              <w:rPr>
                <w:rFonts w:eastAsia="Times New Roman" w:cs="Arial"/>
              </w:rPr>
              <w:t>They usually have what I need in stock</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034" w:type="pct"/>
              <w:tblCellMar>
                <w:left w:w="0" w:type="dxa"/>
                <w:right w:w="0" w:type="dxa"/>
              </w:tblCellMar>
              <w:tblLook w:val="04A0" w:firstRow="1" w:lastRow="0" w:firstColumn="1" w:lastColumn="0" w:noHBand="0" w:noVBand="1"/>
            </w:tblPr>
            <w:tblGrid>
              <w:gridCol w:w="1229"/>
            </w:tblGrid>
            <w:tr w:rsidR="006C7AA7" w:rsidRPr="00D0306F" w14:paraId="0E775C3F"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784F1F79"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141A96F6"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B1E0613" w14:textId="77777777" w:rsidR="006C7AA7" w:rsidRPr="00D0306F" w:rsidRDefault="006C7AA7" w:rsidP="00CC3BF4">
            <w:pPr>
              <w:jc w:val="center"/>
              <w:rPr>
                <w:rFonts w:eastAsia="Times New Roman" w:cs="Arial"/>
              </w:rPr>
            </w:pPr>
            <w:r w:rsidRPr="00D0306F">
              <w:rPr>
                <w:rFonts w:eastAsia="Times New Roman" w:cs="Arial"/>
              </w:rPr>
              <w:t>40.3%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9DBF546" w14:textId="77777777" w:rsidR="006C7AA7" w:rsidRPr="00D0306F" w:rsidRDefault="006C7AA7" w:rsidP="00CC3BF4">
            <w:pPr>
              <w:jc w:val="center"/>
              <w:rPr>
                <w:rFonts w:eastAsia="Times New Roman" w:cs="Arial"/>
              </w:rPr>
            </w:pPr>
            <w:r w:rsidRPr="00D0306F">
              <w:rPr>
                <w:rFonts w:eastAsia="Times New Roman" w:cs="Arial"/>
              </w:rPr>
              <w:t>48</w:t>
            </w:r>
          </w:p>
        </w:tc>
      </w:tr>
      <w:tr w:rsidR="006C7AA7" w:rsidRPr="00D0306F" w14:paraId="58C43712"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3839E18" w14:textId="77777777" w:rsidR="006C7AA7" w:rsidRPr="00D0306F" w:rsidRDefault="006C7AA7" w:rsidP="00CC3BF4">
            <w:pPr>
              <w:jc w:val="center"/>
              <w:rPr>
                <w:rFonts w:eastAsia="Times New Roman" w:cs="Arial"/>
              </w:rPr>
            </w:pPr>
            <w:r w:rsidRPr="00D0306F">
              <w:rPr>
                <w:rFonts w:eastAsia="Times New Roman" w:cs="Arial"/>
              </w:rPr>
              <w:t>15</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B54E6F2" w14:textId="77777777" w:rsidR="006C7AA7" w:rsidRPr="00D0306F" w:rsidRDefault="006C7AA7" w:rsidP="00CC3BF4">
            <w:pPr>
              <w:rPr>
                <w:rFonts w:eastAsia="Times New Roman" w:cs="Arial"/>
              </w:rPr>
            </w:pPr>
            <w:r w:rsidRPr="00D0306F">
              <w:rPr>
                <w:rFonts w:eastAsia="Times New Roman" w:cs="Arial"/>
              </w:rPr>
              <w:t>The pharmacy has good opening hours</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313" w:type="pct"/>
              <w:tblCellMar>
                <w:left w:w="0" w:type="dxa"/>
                <w:right w:w="0" w:type="dxa"/>
              </w:tblCellMar>
              <w:tblLook w:val="04A0" w:firstRow="1" w:lastRow="0" w:firstColumn="1" w:lastColumn="0" w:noHBand="0" w:noVBand="1"/>
            </w:tblPr>
            <w:tblGrid>
              <w:gridCol w:w="794"/>
            </w:tblGrid>
            <w:tr w:rsidR="006C7AA7" w:rsidRPr="00D0306F" w14:paraId="01D77309"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232C9EDE"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4164BF37"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1087B7F" w14:textId="77777777" w:rsidR="006C7AA7" w:rsidRPr="00D0306F" w:rsidRDefault="006C7AA7" w:rsidP="00CC3BF4">
            <w:pPr>
              <w:jc w:val="center"/>
              <w:rPr>
                <w:rFonts w:eastAsia="Times New Roman" w:cs="Arial"/>
              </w:rPr>
            </w:pPr>
            <w:r w:rsidRPr="00D0306F">
              <w:rPr>
                <w:rFonts w:eastAsia="Times New Roman" w:cs="Arial"/>
              </w:rPr>
              <w:t>26.1%</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D7691CD" w14:textId="77777777" w:rsidR="006C7AA7" w:rsidRPr="00D0306F" w:rsidRDefault="006C7AA7" w:rsidP="00CC3BF4">
            <w:pPr>
              <w:jc w:val="center"/>
              <w:rPr>
                <w:rFonts w:eastAsia="Times New Roman" w:cs="Arial"/>
              </w:rPr>
            </w:pPr>
            <w:r w:rsidRPr="00D0306F">
              <w:rPr>
                <w:rFonts w:eastAsia="Times New Roman" w:cs="Arial"/>
              </w:rPr>
              <w:t>31</w:t>
            </w:r>
          </w:p>
        </w:tc>
      </w:tr>
      <w:tr w:rsidR="006C7AA7" w:rsidRPr="00D0306F" w14:paraId="5A2D9AE1"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A817FF5" w14:textId="77777777" w:rsidR="006C7AA7" w:rsidRPr="00D0306F" w:rsidRDefault="006C7AA7" w:rsidP="00CC3BF4">
            <w:pPr>
              <w:jc w:val="center"/>
              <w:rPr>
                <w:rFonts w:eastAsia="Times New Roman" w:cs="Arial"/>
              </w:rPr>
            </w:pPr>
            <w:r w:rsidRPr="00D0306F">
              <w:rPr>
                <w:rFonts w:eastAsia="Times New Roman" w:cs="Arial"/>
              </w:rPr>
              <w:t>16</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516D2B6" w14:textId="77777777" w:rsidR="006C7AA7" w:rsidRPr="00D0306F" w:rsidRDefault="006C7AA7" w:rsidP="00CC3BF4">
            <w:pPr>
              <w:rPr>
                <w:rFonts w:eastAsia="Times New Roman" w:cs="Arial"/>
              </w:rPr>
            </w:pPr>
            <w:r w:rsidRPr="00D0306F">
              <w:rPr>
                <w:rFonts w:eastAsia="Times New Roman" w:cs="Arial"/>
              </w:rPr>
              <w:t>The pharmacy collects my prescription and/or delivers my medicines</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144" w:type="pct"/>
              <w:tblCellMar>
                <w:left w:w="0" w:type="dxa"/>
                <w:right w:w="0" w:type="dxa"/>
              </w:tblCellMar>
              <w:tblLook w:val="04A0" w:firstRow="1" w:lastRow="0" w:firstColumn="1" w:lastColumn="0" w:noHBand="0" w:noVBand="1"/>
            </w:tblPr>
            <w:tblGrid>
              <w:gridCol w:w="691"/>
            </w:tblGrid>
            <w:tr w:rsidR="006C7AA7" w:rsidRPr="00D0306F" w14:paraId="46EB844B"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679E81EE"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43EFC40"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F5FF646" w14:textId="77777777" w:rsidR="006C7AA7" w:rsidRPr="00D0306F" w:rsidRDefault="006C7AA7" w:rsidP="00CC3BF4">
            <w:pPr>
              <w:jc w:val="center"/>
              <w:rPr>
                <w:rFonts w:eastAsia="Times New Roman" w:cs="Arial"/>
              </w:rPr>
            </w:pPr>
            <w:r w:rsidRPr="00D0306F">
              <w:rPr>
                <w:rFonts w:eastAsia="Times New Roman" w:cs="Arial"/>
              </w:rPr>
              <w:t>22.7%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F7798CB" w14:textId="77777777" w:rsidR="006C7AA7" w:rsidRPr="00D0306F" w:rsidRDefault="006C7AA7" w:rsidP="00CC3BF4">
            <w:pPr>
              <w:jc w:val="center"/>
              <w:rPr>
                <w:rFonts w:eastAsia="Times New Roman" w:cs="Arial"/>
              </w:rPr>
            </w:pPr>
            <w:r w:rsidRPr="00D0306F">
              <w:rPr>
                <w:rFonts w:eastAsia="Times New Roman" w:cs="Arial"/>
              </w:rPr>
              <w:t>27</w:t>
            </w:r>
          </w:p>
        </w:tc>
      </w:tr>
      <w:tr w:rsidR="006C7AA7" w:rsidRPr="00D0306F" w14:paraId="25C5A48F"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29BA2C0" w14:textId="77777777" w:rsidR="006C7AA7" w:rsidRPr="00D0306F" w:rsidRDefault="006C7AA7" w:rsidP="00CC3BF4">
            <w:pPr>
              <w:jc w:val="center"/>
              <w:rPr>
                <w:rFonts w:eastAsia="Times New Roman" w:cs="Arial"/>
              </w:rPr>
            </w:pPr>
            <w:r w:rsidRPr="00D0306F">
              <w:rPr>
                <w:rFonts w:eastAsia="Times New Roman" w:cs="Arial"/>
              </w:rPr>
              <w:t>17</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7BF60A3" w14:textId="77777777" w:rsidR="006C7AA7" w:rsidRPr="00D0306F" w:rsidRDefault="006C7AA7" w:rsidP="00CC3BF4">
            <w:pPr>
              <w:rPr>
                <w:rFonts w:eastAsia="Times New Roman" w:cs="Arial"/>
              </w:rPr>
            </w:pPr>
            <w:r w:rsidRPr="00D0306F">
              <w:rPr>
                <w:rFonts w:eastAsia="Times New Roman" w:cs="Arial"/>
              </w:rPr>
              <w:t>The pharmacy was recommended to me</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7" w:type="pct"/>
              <w:tblCellMar>
                <w:left w:w="0" w:type="dxa"/>
                <w:right w:w="0" w:type="dxa"/>
              </w:tblCellMar>
              <w:tblLook w:val="04A0" w:firstRow="1" w:lastRow="0" w:firstColumn="1" w:lastColumn="0" w:noHBand="0" w:noVBand="1"/>
            </w:tblPr>
            <w:tblGrid>
              <w:gridCol w:w="82"/>
            </w:tblGrid>
            <w:tr w:rsidR="006C7AA7" w:rsidRPr="00D0306F" w14:paraId="4100C1D8"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13EB3299"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5194007"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4BA2E1A" w14:textId="77777777" w:rsidR="006C7AA7" w:rsidRPr="00D0306F" w:rsidRDefault="006C7AA7" w:rsidP="00CC3BF4">
            <w:pPr>
              <w:jc w:val="center"/>
              <w:rPr>
                <w:rFonts w:eastAsia="Times New Roman" w:cs="Arial"/>
              </w:rPr>
            </w:pPr>
            <w:r w:rsidRPr="00D0306F">
              <w:rPr>
                <w:rFonts w:eastAsia="Times New Roman" w:cs="Arial"/>
              </w:rPr>
              <w:t>2.5%</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58761F4" w14:textId="77777777" w:rsidR="006C7AA7" w:rsidRPr="00D0306F" w:rsidRDefault="006C7AA7" w:rsidP="00CC3BF4">
            <w:pPr>
              <w:jc w:val="center"/>
              <w:rPr>
                <w:rFonts w:eastAsia="Times New Roman" w:cs="Arial"/>
              </w:rPr>
            </w:pPr>
            <w:r w:rsidRPr="00D0306F">
              <w:rPr>
                <w:rFonts w:eastAsia="Times New Roman" w:cs="Arial"/>
              </w:rPr>
              <w:t>3</w:t>
            </w:r>
          </w:p>
        </w:tc>
      </w:tr>
      <w:tr w:rsidR="006C7AA7" w:rsidRPr="00D0306F" w14:paraId="63E5B608"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A46D067" w14:textId="77777777" w:rsidR="006C7AA7" w:rsidRPr="00D0306F" w:rsidRDefault="006C7AA7" w:rsidP="00CC3BF4">
            <w:pPr>
              <w:jc w:val="center"/>
              <w:rPr>
                <w:rFonts w:eastAsia="Times New Roman" w:cs="Arial"/>
              </w:rPr>
            </w:pPr>
            <w:r w:rsidRPr="00D0306F">
              <w:rPr>
                <w:rFonts w:eastAsia="Times New Roman" w:cs="Arial"/>
              </w:rPr>
              <w:lastRenderedPageBreak/>
              <w:t>18</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9B5B9B6" w14:textId="77777777" w:rsidR="006C7AA7" w:rsidRPr="00D0306F" w:rsidRDefault="006C7AA7" w:rsidP="00CC3BF4">
            <w:pPr>
              <w:rPr>
                <w:rFonts w:eastAsia="Times New Roman" w:cs="Arial"/>
              </w:rPr>
            </w:pPr>
            <w:r w:rsidRPr="00D0306F">
              <w:rPr>
                <w:rFonts w:eastAsia="Times New Roman" w:cs="Arial"/>
              </w:rPr>
              <w:t>The pharmacy provides good advice &amp; information</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737" w:type="pct"/>
              <w:tblCellMar>
                <w:left w:w="0" w:type="dxa"/>
                <w:right w:w="0" w:type="dxa"/>
              </w:tblCellMar>
              <w:tblLook w:val="04A0" w:firstRow="1" w:lastRow="0" w:firstColumn="1" w:lastColumn="0" w:noHBand="0" w:noVBand="1"/>
            </w:tblPr>
            <w:tblGrid>
              <w:gridCol w:w="1050"/>
            </w:tblGrid>
            <w:tr w:rsidR="006C7AA7" w:rsidRPr="00D0306F" w14:paraId="2F73B7CD"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BA26118"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055F0466"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9387720" w14:textId="77777777" w:rsidR="006C7AA7" w:rsidRPr="00D0306F" w:rsidRDefault="006C7AA7" w:rsidP="00CC3BF4">
            <w:pPr>
              <w:jc w:val="center"/>
              <w:rPr>
                <w:rFonts w:eastAsia="Times New Roman" w:cs="Arial"/>
              </w:rPr>
            </w:pPr>
            <w:r w:rsidRPr="00D0306F">
              <w:rPr>
                <w:rFonts w:eastAsia="Times New Roman" w:cs="Arial"/>
              </w:rPr>
              <w:t>34.5%</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63ED7B2" w14:textId="77777777" w:rsidR="006C7AA7" w:rsidRPr="00D0306F" w:rsidRDefault="006C7AA7" w:rsidP="00CC3BF4">
            <w:pPr>
              <w:jc w:val="center"/>
              <w:rPr>
                <w:rFonts w:eastAsia="Times New Roman" w:cs="Arial"/>
              </w:rPr>
            </w:pPr>
            <w:r w:rsidRPr="00D0306F">
              <w:rPr>
                <w:rFonts w:eastAsia="Times New Roman" w:cs="Arial"/>
              </w:rPr>
              <w:t>41</w:t>
            </w:r>
          </w:p>
        </w:tc>
      </w:tr>
      <w:tr w:rsidR="006C7AA7" w:rsidRPr="00D0306F" w14:paraId="2510D015"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E85402C" w14:textId="77777777" w:rsidR="006C7AA7" w:rsidRPr="00D0306F" w:rsidRDefault="006C7AA7" w:rsidP="00CC3BF4">
            <w:pPr>
              <w:jc w:val="center"/>
              <w:rPr>
                <w:rFonts w:eastAsia="Times New Roman" w:cs="Arial"/>
              </w:rPr>
            </w:pPr>
            <w:r w:rsidRPr="00D0306F">
              <w:rPr>
                <w:rFonts w:eastAsia="Times New Roman" w:cs="Arial"/>
              </w:rPr>
              <w:t>19</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8FBCE12" w14:textId="77777777" w:rsidR="006C7AA7" w:rsidRPr="00D0306F" w:rsidRDefault="006C7AA7" w:rsidP="00CC3BF4">
            <w:pPr>
              <w:rPr>
                <w:rFonts w:eastAsia="Times New Roman" w:cs="Arial"/>
              </w:rPr>
            </w:pPr>
            <w:r w:rsidRPr="00D0306F">
              <w:rPr>
                <w:rFonts w:eastAsia="Times New Roman" w:cs="Arial"/>
              </w:rPr>
              <w:t>The customer service</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483" w:type="pct"/>
              <w:tblCellMar>
                <w:left w:w="0" w:type="dxa"/>
                <w:right w:w="0" w:type="dxa"/>
              </w:tblCellMar>
              <w:tblLook w:val="04A0" w:firstRow="1" w:lastRow="0" w:firstColumn="1" w:lastColumn="0" w:noHBand="0" w:noVBand="1"/>
            </w:tblPr>
            <w:tblGrid>
              <w:gridCol w:w="896"/>
            </w:tblGrid>
            <w:tr w:rsidR="006C7AA7" w:rsidRPr="00D0306F" w14:paraId="36DAE353"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F1D6C91"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064FA92B"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9198B12" w14:textId="77777777" w:rsidR="006C7AA7" w:rsidRPr="00D0306F" w:rsidRDefault="006C7AA7" w:rsidP="00CC3BF4">
            <w:pPr>
              <w:jc w:val="center"/>
              <w:rPr>
                <w:rFonts w:eastAsia="Times New Roman" w:cs="Arial"/>
              </w:rPr>
            </w:pPr>
            <w:r w:rsidRPr="00D0306F">
              <w:rPr>
                <w:rFonts w:eastAsia="Times New Roman" w:cs="Arial"/>
              </w:rPr>
              <w:t>29.4%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3F91113" w14:textId="77777777" w:rsidR="006C7AA7" w:rsidRPr="00D0306F" w:rsidRDefault="006C7AA7" w:rsidP="00CC3BF4">
            <w:pPr>
              <w:jc w:val="center"/>
              <w:rPr>
                <w:rFonts w:eastAsia="Times New Roman" w:cs="Arial"/>
              </w:rPr>
            </w:pPr>
            <w:r w:rsidRPr="00D0306F">
              <w:rPr>
                <w:rFonts w:eastAsia="Times New Roman" w:cs="Arial"/>
              </w:rPr>
              <w:t>35</w:t>
            </w:r>
          </w:p>
        </w:tc>
      </w:tr>
      <w:tr w:rsidR="006C7AA7" w:rsidRPr="00D0306F" w14:paraId="562A5D6B"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10B88BA" w14:textId="77777777" w:rsidR="006C7AA7" w:rsidRPr="00D0306F" w:rsidRDefault="006C7AA7" w:rsidP="00CC3BF4">
            <w:pPr>
              <w:jc w:val="center"/>
              <w:rPr>
                <w:rFonts w:eastAsia="Times New Roman" w:cs="Arial"/>
              </w:rPr>
            </w:pPr>
            <w:r w:rsidRPr="00D0306F">
              <w:rPr>
                <w:rFonts w:eastAsia="Times New Roman" w:cs="Arial"/>
              </w:rPr>
              <w:t>20</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2890BE9" w14:textId="77777777" w:rsidR="006C7AA7" w:rsidRPr="00D0306F" w:rsidRDefault="006C7AA7" w:rsidP="00CC3BF4">
            <w:pPr>
              <w:rPr>
                <w:rFonts w:eastAsia="Times New Roman" w:cs="Arial"/>
              </w:rPr>
            </w:pPr>
            <w:r w:rsidRPr="00D0306F">
              <w:rPr>
                <w:rFonts w:eastAsia="Times New Roman" w:cs="Arial"/>
              </w:rPr>
              <w:t>It is accessible eg wheelchair/baby buggy friendly</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54" w:type="pct"/>
              <w:tblCellMar>
                <w:left w:w="0" w:type="dxa"/>
                <w:right w:w="0" w:type="dxa"/>
              </w:tblCellMar>
              <w:tblLook w:val="04A0" w:firstRow="1" w:lastRow="0" w:firstColumn="1" w:lastColumn="0" w:noHBand="0" w:noVBand="1"/>
            </w:tblPr>
            <w:tblGrid>
              <w:gridCol w:w="154"/>
            </w:tblGrid>
            <w:tr w:rsidR="006C7AA7" w:rsidRPr="00D0306F" w14:paraId="6A9096B2"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5E9A8FEE"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47F21776"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D7AD9D1" w14:textId="77777777" w:rsidR="006C7AA7" w:rsidRPr="00D0306F" w:rsidRDefault="006C7AA7" w:rsidP="00CC3BF4">
            <w:pPr>
              <w:jc w:val="center"/>
              <w:rPr>
                <w:rFonts w:eastAsia="Times New Roman" w:cs="Arial"/>
              </w:rPr>
            </w:pPr>
            <w:r w:rsidRPr="00D0306F">
              <w:rPr>
                <w:rFonts w:eastAsia="Times New Roman" w:cs="Arial"/>
              </w:rPr>
              <w:t>5.0%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D02F97F" w14:textId="77777777" w:rsidR="006C7AA7" w:rsidRPr="00D0306F" w:rsidRDefault="006C7AA7" w:rsidP="00CC3BF4">
            <w:pPr>
              <w:jc w:val="center"/>
              <w:rPr>
                <w:rFonts w:eastAsia="Times New Roman" w:cs="Arial"/>
              </w:rPr>
            </w:pPr>
            <w:r w:rsidRPr="00D0306F">
              <w:rPr>
                <w:rFonts w:eastAsia="Times New Roman" w:cs="Arial"/>
              </w:rPr>
              <w:t>6</w:t>
            </w:r>
          </w:p>
        </w:tc>
      </w:tr>
      <w:tr w:rsidR="006C7AA7" w:rsidRPr="00D0306F" w14:paraId="0A2D9A45"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24EBB5F" w14:textId="77777777" w:rsidR="006C7AA7" w:rsidRPr="00D0306F" w:rsidRDefault="006C7AA7" w:rsidP="00CC3BF4">
            <w:pPr>
              <w:jc w:val="center"/>
              <w:rPr>
                <w:rFonts w:eastAsia="Times New Roman" w:cs="Arial"/>
              </w:rPr>
            </w:pPr>
            <w:r w:rsidRPr="00D0306F">
              <w:rPr>
                <w:rFonts w:eastAsia="Times New Roman" w:cs="Arial"/>
              </w:rPr>
              <w:t>21</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176FBC3" w14:textId="77777777" w:rsidR="006C7AA7" w:rsidRPr="00D0306F" w:rsidRDefault="006C7AA7" w:rsidP="00CC3BF4">
            <w:pPr>
              <w:rPr>
                <w:rFonts w:eastAsia="Times New Roman" w:cs="Arial"/>
              </w:rPr>
            </w:pPr>
            <w:r w:rsidRPr="00D0306F">
              <w:rPr>
                <w:rFonts w:eastAsia="Times New Roman" w:cs="Arial"/>
              </w:rPr>
              <w:t>It’s a well-known big chain</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66" w:type="pct"/>
              <w:tblCellMar>
                <w:left w:w="0" w:type="dxa"/>
                <w:right w:w="0" w:type="dxa"/>
              </w:tblCellMar>
              <w:tblLook w:val="04A0" w:firstRow="1" w:lastRow="0" w:firstColumn="1" w:lastColumn="0" w:noHBand="0" w:noVBand="1"/>
            </w:tblPr>
            <w:tblGrid>
              <w:gridCol w:w="282"/>
            </w:tblGrid>
            <w:tr w:rsidR="006C7AA7" w:rsidRPr="00D0306F" w14:paraId="082C4089"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1CA52FEC"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24B48C68"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D7B33F2" w14:textId="77777777" w:rsidR="006C7AA7" w:rsidRPr="00D0306F" w:rsidRDefault="006C7AA7" w:rsidP="00CC3BF4">
            <w:pPr>
              <w:jc w:val="center"/>
              <w:rPr>
                <w:rFonts w:eastAsia="Times New Roman" w:cs="Arial"/>
              </w:rPr>
            </w:pPr>
            <w:r w:rsidRPr="00D0306F">
              <w:rPr>
                <w:rFonts w:eastAsia="Times New Roman" w:cs="Arial"/>
              </w:rPr>
              <w:t>9.24%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A848D4D" w14:textId="77777777" w:rsidR="006C7AA7" w:rsidRPr="00D0306F" w:rsidRDefault="006C7AA7" w:rsidP="00CC3BF4">
            <w:pPr>
              <w:jc w:val="center"/>
              <w:rPr>
                <w:rFonts w:eastAsia="Times New Roman" w:cs="Arial"/>
              </w:rPr>
            </w:pPr>
            <w:r w:rsidRPr="00D0306F">
              <w:rPr>
                <w:rFonts w:eastAsia="Times New Roman" w:cs="Arial"/>
              </w:rPr>
              <w:t>11</w:t>
            </w:r>
          </w:p>
        </w:tc>
      </w:tr>
      <w:tr w:rsidR="006C7AA7" w:rsidRPr="00D0306F" w14:paraId="49035E1C"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283EDA2" w14:textId="77777777" w:rsidR="006C7AA7" w:rsidRPr="00D0306F" w:rsidRDefault="006C7AA7" w:rsidP="00CC3BF4">
            <w:pPr>
              <w:jc w:val="center"/>
              <w:rPr>
                <w:rFonts w:eastAsia="Times New Roman" w:cs="Arial"/>
              </w:rPr>
            </w:pPr>
            <w:r w:rsidRPr="00D0306F">
              <w:rPr>
                <w:rFonts w:eastAsia="Times New Roman" w:cs="Arial"/>
              </w:rPr>
              <w:t>22</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A402BE7" w14:textId="77777777" w:rsidR="006C7AA7" w:rsidRPr="00D0306F" w:rsidRDefault="006C7AA7" w:rsidP="00CC3BF4">
            <w:pPr>
              <w:rPr>
                <w:rFonts w:eastAsia="Times New Roman" w:cs="Arial"/>
              </w:rPr>
            </w:pPr>
            <w:r w:rsidRPr="00D0306F">
              <w:rPr>
                <w:rFonts w:eastAsia="Times New Roman" w:cs="Arial"/>
              </w:rPr>
              <w:t>It’s not one of the big chains</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32" w:type="pct"/>
              <w:tblCellMar>
                <w:left w:w="0" w:type="dxa"/>
                <w:right w:w="0" w:type="dxa"/>
              </w:tblCellMar>
              <w:tblLook w:val="04A0" w:firstRow="1" w:lastRow="0" w:firstColumn="1" w:lastColumn="0" w:noHBand="0" w:noVBand="1"/>
            </w:tblPr>
            <w:tblGrid>
              <w:gridCol w:w="563"/>
            </w:tblGrid>
            <w:tr w:rsidR="006C7AA7" w:rsidRPr="00D0306F" w14:paraId="6A4C69F6"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3AE124C5"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1089FEC0"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8FED34F" w14:textId="77777777" w:rsidR="006C7AA7" w:rsidRPr="00D0306F" w:rsidRDefault="006C7AA7" w:rsidP="00CC3BF4">
            <w:pPr>
              <w:jc w:val="center"/>
              <w:rPr>
                <w:rFonts w:eastAsia="Times New Roman" w:cs="Arial"/>
              </w:rPr>
            </w:pPr>
            <w:r w:rsidRPr="00D0306F">
              <w:rPr>
                <w:rFonts w:eastAsia="Times New Roman" w:cs="Arial"/>
              </w:rPr>
              <w:t>19.3%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2FD4316" w14:textId="77777777" w:rsidR="006C7AA7" w:rsidRPr="00D0306F" w:rsidRDefault="006C7AA7" w:rsidP="00CC3BF4">
            <w:pPr>
              <w:jc w:val="center"/>
              <w:rPr>
                <w:rFonts w:eastAsia="Times New Roman" w:cs="Arial"/>
              </w:rPr>
            </w:pPr>
            <w:r w:rsidRPr="00D0306F">
              <w:rPr>
                <w:rFonts w:eastAsia="Times New Roman" w:cs="Arial"/>
              </w:rPr>
              <w:t>23</w:t>
            </w:r>
          </w:p>
        </w:tc>
      </w:tr>
      <w:tr w:rsidR="006C7AA7" w:rsidRPr="00D0306F" w14:paraId="175B1C02"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13E3E14" w14:textId="77777777" w:rsidR="006C7AA7" w:rsidRPr="00D0306F" w:rsidRDefault="006C7AA7" w:rsidP="00CC3BF4">
            <w:pPr>
              <w:jc w:val="center"/>
              <w:rPr>
                <w:rFonts w:eastAsia="Times New Roman" w:cs="Arial"/>
              </w:rPr>
            </w:pPr>
            <w:r w:rsidRPr="00D0306F">
              <w:rPr>
                <w:rFonts w:eastAsia="Times New Roman" w:cs="Arial"/>
              </w:rPr>
              <w:t>23</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BE050F1" w14:textId="77777777" w:rsidR="006C7AA7" w:rsidRPr="00D0306F" w:rsidRDefault="006C7AA7" w:rsidP="00CC3BF4">
            <w:pPr>
              <w:rPr>
                <w:rFonts w:eastAsia="Times New Roman" w:cs="Arial"/>
              </w:rPr>
            </w:pPr>
            <w:r w:rsidRPr="00D0306F">
              <w:rPr>
                <w:rFonts w:eastAsia="Times New Roman" w:cs="Arial"/>
              </w:rPr>
              <w:t>There is a private area if I need to talk to the pharmacist</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483" w:type="pct"/>
              <w:tblCellMar>
                <w:left w:w="0" w:type="dxa"/>
                <w:right w:w="0" w:type="dxa"/>
              </w:tblCellMar>
              <w:tblLook w:val="04A0" w:firstRow="1" w:lastRow="0" w:firstColumn="1" w:lastColumn="0" w:noHBand="0" w:noVBand="1"/>
            </w:tblPr>
            <w:tblGrid>
              <w:gridCol w:w="896"/>
            </w:tblGrid>
            <w:tr w:rsidR="006C7AA7" w:rsidRPr="00D0306F" w14:paraId="415EFAD0"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178E18ED"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73C8D8AC"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B2D39E3" w14:textId="77777777" w:rsidR="006C7AA7" w:rsidRPr="00D0306F" w:rsidRDefault="006C7AA7" w:rsidP="00CC3BF4">
            <w:pPr>
              <w:jc w:val="center"/>
              <w:rPr>
                <w:rFonts w:eastAsia="Times New Roman" w:cs="Arial"/>
              </w:rPr>
            </w:pPr>
            <w:r w:rsidRPr="00D0306F">
              <w:rPr>
                <w:rFonts w:eastAsia="Times New Roman" w:cs="Arial"/>
              </w:rPr>
              <w:t>30.3%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112BFF7" w14:textId="77777777" w:rsidR="006C7AA7" w:rsidRPr="00D0306F" w:rsidRDefault="006C7AA7" w:rsidP="00CC3BF4">
            <w:pPr>
              <w:jc w:val="center"/>
              <w:rPr>
                <w:rFonts w:eastAsia="Times New Roman" w:cs="Arial"/>
              </w:rPr>
            </w:pPr>
            <w:r w:rsidRPr="00D0306F">
              <w:rPr>
                <w:rFonts w:eastAsia="Times New Roman" w:cs="Arial"/>
              </w:rPr>
              <w:t>36</w:t>
            </w:r>
          </w:p>
        </w:tc>
      </w:tr>
      <w:tr w:rsidR="006C7AA7" w:rsidRPr="00D0306F" w14:paraId="4C9862C6"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D4E31D3" w14:textId="77777777" w:rsidR="006C7AA7" w:rsidRPr="00D0306F" w:rsidRDefault="006C7AA7" w:rsidP="00CC3BF4">
            <w:pPr>
              <w:jc w:val="center"/>
              <w:rPr>
                <w:rFonts w:eastAsia="Times New Roman" w:cs="Arial"/>
              </w:rPr>
            </w:pPr>
            <w:r w:rsidRPr="00D0306F">
              <w:rPr>
                <w:rFonts w:eastAsia="Times New Roman" w:cs="Arial"/>
              </w:rPr>
              <w:t>24</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BDA2EDD" w14:textId="77777777" w:rsidR="006C7AA7" w:rsidRPr="00D0306F" w:rsidRDefault="006C7AA7" w:rsidP="00CC3BF4">
            <w:pPr>
              <w:rPr>
                <w:rFonts w:eastAsia="Times New Roman" w:cs="Arial"/>
              </w:rPr>
            </w:pPr>
            <w:r w:rsidRPr="00D0306F">
              <w:rPr>
                <w:rFonts w:eastAsia="Times New Roman" w:cs="Arial"/>
              </w:rPr>
              <w:t>I can order my repeat medicines online or by using their app</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32" w:type="pct"/>
              <w:tblCellMar>
                <w:left w:w="0" w:type="dxa"/>
                <w:right w:w="0" w:type="dxa"/>
              </w:tblCellMar>
              <w:tblLook w:val="04A0" w:firstRow="1" w:lastRow="0" w:firstColumn="1" w:lastColumn="0" w:noHBand="0" w:noVBand="1"/>
            </w:tblPr>
            <w:tblGrid>
              <w:gridCol w:w="563"/>
            </w:tblGrid>
            <w:tr w:rsidR="006C7AA7" w:rsidRPr="00D0306F" w14:paraId="517437D3"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5C44AB80"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728E69D3"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C7EAB20" w14:textId="77777777" w:rsidR="006C7AA7" w:rsidRPr="00D0306F" w:rsidRDefault="006C7AA7" w:rsidP="00CC3BF4">
            <w:pPr>
              <w:jc w:val="center"/>
              <w:rPr>
                <w:rFonts w:eastAsia="Times New Roman" w:cs="Arial"/>
              </w:rPr>
            </w:pPr>
            <w:r w:rsidRPr="00D0306F">
              <w:rPr>
                <w:rFonts w:eastAsia="Times New Roman" w:cs="Arial"/>
              </w:rPr>
              <w:t>18.7%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277E4FD" w14:textId="77777777" w:rsidR="006C7AA7" w:rsidRPr="00D0306F" w:rsidRDefault="006C7AA7" w:rsidP="00CC3BF4">
            <w:pPr>
              <w:jc w:val="center"/>
              <w:rPr>
                <w:rFonts w:eastAsia="Times New Roman" w:cs="Arial"/>
              </w:rPr>
            </w:pPr>
            <w:r w:rsidRPr="00D0306F">
              <w:rPr>
                <w:rFonts w:eastAsia="Times New Roman" w:cs="Arial"/>
              </w:rPr>
              <w:t>22</w:t>
            </w:r>
          </w:p>
        </w:tc>
      </w:tr>
      <w:tr w:rsidR="006C7AA7" w:rsidRPr="00D0306F" w14:paraId="2D200088" w14:textId="77777777" w:rsidTr="00CC3BF4">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D122DDC" w14:textId="77777777" w:rsidR="006C7AA7" w:rsidRPr="00D0306F" w:rsidRDefault="006C7AA7" w:rsidP="00CC3BF4">
            <w:pPr>
              <w:jc w:val="center"/>
              <w:rPr>
                <w:rFonts w:eastAsia="Times New Roman" w:cs="Arial"/>
              </w:rPr>
            </w:pPr>
            <w:r w:rsidRPr="00D0306F">
              <w:rPr>
                <w:rFonts w:eastAsia="Times New Roman" w:cs="Arial"/>
              </w:rPr>
              <w:t>25</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D7618EE" w14:textId="77777777" w:rsidR="006C7AA7" w:rsidRPr="00D0306F" w:rsidRDefault="006C7AA7" w:rsidP="00CC3BF4">
            <w:pPr>
              <w:rPr>
                <w:rFonts w:eastAsia="Times New Roman" w:cs="Arial"/>
              </w:rPr>
            </w:pPr>
            <w:r w:rsidRPr="00D0306F">
              <w:rPr>
                <w:rFonts w:eastAsia="Times New Roman" w:cs="Arial"/>
              </w:rPr>
              <w:t>Other:</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9" w:type="pct"/>
              <w:tblCellMar>
                <w:left w:w="0" w:type="dxa"/>
                <w:right w:w="0" w:type="dxa"/>
              </w:tblCellMar>
              <w:tblLook w:val="04A0" w:firstRow="1" w:lastRow="0" w:firstColumn="1" w:lastColumn="0" w:noHBand="0" w:noVBand="1"/>
            </w:tblPr>
            <w:tblGrid>
              <w:gridCol w:w="102"/>
            </w:tblGrid>
            <w:tr w:rsidR="006C7AA7" w:rsidRPr="00D0306F" w14:paraId="5634A500"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06A72B4C"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3CAAD927"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1597315" w14:textId="77777777" w:rsidR="006C7AA7" w:rsidRPr="00D0306F" w:rsidRDefault="006C7AA7" w:rsidP="00CC3BF4">
            <w:pPr>
              <w:jc w:val="center"/>
              <w:rPr>
                <w:rFonts w:eastAsia="Times New Roman" w:cs="Arial"/>
              </w:rPr>
            </w:pPr>
            <w:r w:rsidRPr="00D0306F">
              <w:rPr>
                <w:rFonts w:eastAsia="Times New Roman" w:cs="Arial"/>
              </w:rPr>
              <w:t>3.4%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FA08BCC" w14:textId="77777777" w:rsidR="006C7AA7" w:rsidRPr="00D0306F" w:rsidRDefault="006C7AA7" w:rsidP="00CC3BF4">
            <w:pPr>
              <w:jc w:val="center"/>
              <w:rPr>
                <w:rFonts w:eastAsia="Times New Roman" w:cs="Arial"/>
              </w:rPr>
            </w:pPr>
            <w:r w:rsidRPr="00D0306F">
              <w:rPr>
                <w:rFonts w:eastAsia="Times New Roman" w:cs="Arial"/>
              </w:rPr>
              <w:t>4</w:t>
            </w:r>
          </w:p>
        </w:tc>
      </w:tr>
      <w:tr w:rsidR="006C7AA7" w:rsidRPr="00D0306F" w14:paraId="5C591D74"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3FC1242B"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F955963"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F932E04" w14:textId="77777777" w:rsidR="006C7AA7" w:rsidRPr="00D0306F" w:rsidRDefault="006C7AA7" w:rsidP="00CC3BF4">
            <w:pPr>
              <w:jc w:val="center"/>
              <w:rPr>
                <w:rFonts w:eastAsia="Times New Roman" w:cs="Arial"/>
              </w:rPr>
            </w:pPr>
            <w:r w:rsidRPr="00D0306F">
              <w:rPr>
                <w:rFonts w:eastAsia="Times New Roman" w:cs="Arial"/>
              </w:rPr>
              <w:t>119</w:t>
            </w:r>
          </w:p>
        </w:tc>
      </w:tr>
      <w:tr w:rsidR="006C7AA7" w:rsidRPr="00D0306F" w14:paraId="245745A1"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61CBC85A"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1D1FD09"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FE52207"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633D682A" w14:textId="77777777" w:rsidTr="00CC3BF4">
        <w:trPr>
          <w:tblCellSpacing w:w="0" w:type="dxa"/>
          <w:jc w:val="center"/>
        </w:trPr>
        <w:tc>
          <w:tcPr>
            <w:tcW w:w="8920" w:type="dxa"/>
            <w:gridSpan w:val="5"/>
            <w:tcBorders>
              <w:top w:val="single" w:sz="6" w:space="0" w:color="CCCCCC"/>
              <w:right w:val="single" w:sz="6" w:space="0" w:color="CCCCCC"/>
            </w:tcBorders>
            <w:shd w:val="clear" w:color="auto" w:fill="FFFFFF"/>
            <w:tcMar>
              <w:top w:w="120" w:type="dxa"/>
              <w:left w:w="150" w:type="dxa"/>
              <w:bottom w:w="120" w:type="dxa"/>
              <w:right w:w="150" w:type="dxa"/>
            </w:tcMar>
            <w:vAlign w:val="center"/>
            <w:hideMark/>
          </w:tcPr>
          <w:p w14:paraId="4316F839" w14:textId="77777777" w:rsidR="006C7AA7" w:rsidRPr="00D0306F" w:rsidRDefault="006C7AA7" w:rsidP="00CC3BF4">
            <w:pPr>
              <w:rPr>
                <w:rFonts w:eastAsia="Times New Roman" w:cs="Arial"/>
              </w:rPr>
            </w:pPr>
            <w:r w:rsidRPr="00D0306F">
              <w:rPr>
                <w:rFonts w:eastAsia="Times New Roman" w:cs="Arial"/>
              </w:rPr>
              <w:t>Other: (4)</w:t>
            </w:r>
          </w:p>
        </w:tc>
      </w:tr>
      <w:tr w:rsidR="006C7AA7" w:rsidRPr="00D0306F" w14:paraId="624ED7EB" w14:textId="77777777" w:rsidTr="00CC3BF4">
        <w:trPr>
          <w:tblCellSpacing w:w="0" w:type="dxa"/>
          <w:jc w:val="center"/>
        </w:trPr>
        <w:tc>
          <w:tcPr>
            <w:tcW w:w="8920" w:type="dxa"/>
            <w:gridSpan w:val="5"/>
            <w:tcBorders>
              <w:top w:val="single" w:sz="6" w:space="0" w:color="CCCCCC"/>
              <w:bottom w:val="single" w:sz="6" w:space="0" w:color="CCCCCC"/>
              <w:right w:val="single" w:sz="6" w:space="0" w:color="CCCCCC"/>
            </w:tcBorders>
            <w:shd w:val="clear" w:color="auto" w:fill="FFFFFF"/>
            <w:tcMar>
              <w:top w:w="0" w:type="dxa"/>
              <w:left w:w="420" w:type="dxa"/>
              <w:bottom w:w="0" w:type="dxa"/>
              <w:right w:w="0" w:type="dxa"/>
            </w:tcMar>
            <w:vAlign w:val="center"/>
            <w:hideMark/>
          </w:tcPr>
          <w:tbl>
            <w:tblPr>
              <w:tblW w:w="5000" w:type="pct"/>
              <w:tblBorders>
                <w:left w:val="single" w:sz="6" w:space="0" w:color="CCCCCC"/>
              </w:tblBorders>
              <w:tblCellMar>
                <w:top w:w="15" w:type="dxa"/>
                <w:left w:w="15" w:type="dxa"/>
                <w:bottom w:w="15" w:type="dxa"/>
                <w:right w:w="15" w:type="dxa"/>
              </w:tblCellMar>
              <w:tblLook w:val="04A0" w:firstRow="1" w:lastRow="0" w:firstColumn="1" w:lastColumn="0" w:noHBand="0" w:noVBand="1"/>
            </w:tblPr>
            <w:tblGrid>
              <w:gridCol w:w="284"/>
              <w:gridCol w:w="1800"/>
              <w:gridCol w:w="6386"/>
            </w:tblGrid>
            <w:tr w:rsidR="006C7AA7" w:rsidRPr="00D0306F" w14:paraId="4F3E7CA1"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45D1FBB5" w14:textId="77777777" w:rsidR="006C7AA7" w:rsidRPr="00D0306F" w:rsidRDefault="006C7AA7" w:rsidP="00CC3BF4">
                  <w:pPr>
                    <w:jc w:val="center"/>
                    <w:rPr>
                      <w:rFonts w:eastAsia="Times New Roman" w:cs="Arial"/>
                    </w:rPr>
                  </w:pPr>
                  <w:r w:rsidRPr="00D0306F">
                    <w:rPr>
                      <w:rFonts w:eastAsia="Times New Roman" w:cs="Arial"/>
                    </w:rPr>
                    <w:t>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3B2308A"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5FCD330" w14:textId="77777777" w:rsidR="006C7AA7" w:rsidRPr="00D0306F" w:rsidRDefault="006C7AA7" w:rsidP="00CC3BF4">
                  <w:pPr>
                    <w:rPr>
                      <w:rFonts w:eastAsia="Times New Roman" w:cs="Arial"/>
                    </w:rPr>
                  </w:pPr>
                  <w:r w:rsidRPr="00D0306F">
                    <w:rPr>
                      <w:rFonts w:eastAsia="Times New Roman" w:cs="Arial"/>
                    </w:rPr>
                    <w:t>Can collect 24/machine in wall</w:t>
                  </w:r>
                </w:p>
              </w:tc>
            </w:tr>
            <w:tr w:rsidR="006C7AA7" w:rsidRPr="00D0306F" w14:paraId="16C40F77"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2B3FFC10" w14:textId="77777777" w:rsidR="006C7AA7" w:rsidRPr="00D0306F" w:rsidRDefault="006C7AA7" w:rsidP="00CC3BF4">
                  <w:pPr>
                    <w:jc w:val="center"/>
                    <w:rPr>
                      <w:rFonts w:eastAsia="Times New Roman" w:cs="Arial"/>
                    </w:rPr>
                  </w:pPr>
                  <w:r w:rsidRPr="00D0306F">
                    <w:rPr>
                      <w:rFonts w:eastAsia="Times New Roman" w:cs="Arial"/>
                    </w:rPr>
                    <w:t>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0B5C7E8"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8C2DDCE" w14:textId="77777777" w:rsidR="006C7AA7" w:rsidRPr="00D0306F" w:rsidRDefault="006C7AA7" w:rsidP="00CC3BF4">
                  <w:pPr>
                    <w:rPr>
                      <w:rFonts w:eastAsia="Times New Roman" w:cs="Arial"/>
                    </w:rPr>
                  </w:pPr>
                  <w:r w:rsidRPr="00D0306F">
                    <w:rPr>
                      <w:rFonts w:eastAsia="Times New Roman" w:cs="Arial"/>
                    </w:rPr>
                    <w:t xml:space="preserve">Which ever pharmacy can give me my medication. Lately it’s been days to wait for medication. One pharmacy told me 4 days to get an asthma pump which I needed to help me breathe. That visit I had to go to 4 pharmacy’s </w:t>
                  </w:r>
                </w:p>
              </w:tc>
            </w:tr>
            <w:tr w:rsidR="006C7AA7" w:rsidRPr="00D0306F" w14:paraId="1AC3F3B4"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7A9203B8" w14:textId="77777777" w:rsidR="006C7AA7" w:rsidRPr="00D0306F" w:rsidRDefault="006C7AA7" w:rsidP="00CC3BF4">
                  <w:pPr>
                    <w:jc w:val="center"/>
                    <w:rPr>
                      <w:rFonts w:eastAsia="Times New Roman" w:cs="Arial"/>
                    </w:rPr>
                  </w:pPr>
                  <w:r w:rsidRPr="00D0306F">
                    <w:rPr>
                      <w:rFonts w:eastAsia="Times New Roman" w:cs="Arial"/>
                    </w:rPr>
                    <w:t>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EA5B296"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5C1115D" w14:textId="77777777" w:rsidR="006C7AA7" w:rsidRPr="00D0306F" w:rsidRDefault="006C7AA7" w:rsidP="00CC3BF4">
                  <w:pPr>
                    <w:rPr>
                      <w:rFonts w:eastAsia="Times New Roman" w:cs="Arial"/>
                    </w:rPr>
                  </w:pPr>
                  <w:r w:rsidRPr="00D0306F">
                    <w:rPr>
                      <w:rFonts w:eastAsia="Times New Roman" w:cs="Arial"/>
                    </w:rPr>
                    <w:t>Vending Machine Collection</w:t>
                  </w:r>
                </w:p>
              </w:tc>
            </w:tr>
            <w:tr w:rsidR="006C7AA7" w:rsidRPr="00D0306F" w14:paraId="740A37EE"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6A690ED7" w14:textId="77777777" w:rsidR="006C7AA7" w:rsidRPr="00D0306F" w:rsidRDefault="006C7AA7" w:rsidP="00CC3BF4">
                  <w:pPr>
                    <w:jc w:val="center"/>
                    <w:rPr>
                      <w:rFonts w:eastAsia="Times New Roman" w:cs="Arial"/>
                    </w:rPr>
                  </w:pPr>
                  <w:r w:rsidRPr="00D0306F">
                    <w:rPr>
                      <w:rFonts w:eastAsia="Times New Roman" w:cs="Arial"/>
                    </w:rPr>
                    <w:t>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B6B2EC3"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9EDD4D1" w14:textId="77777777" w:rsidR="006C7AA7" w:rsidRPr="00D0306F" w:rsidRDefault="006C7AA7" w:rsidP="00CC3BF4">
                  <w:pPr>
                    <w:rPr>
                      <w:rFonts w:eastAsia="Times New Roman" w:cs="Arial"/>
                    </w:rPr>
                  </w:pPr>
                  <w:r w:rsidRPr="00D0306F">
                    <w:rPr>
                      <w:rFonts w:eastAsia="Times New Roman" w:cs="Arial"/>
                    </w:rPr>
                    <w:t xml:space="preserve">Dispensing machine which can be accessed out of hours </w:t>
                  </w:r>
                </w:p>
              </w:tc>
            </w:tr>
          </w:tbl>
          <w:p w14:paraId="471095C7" w14:textId="77777777" w:rsidR="006C7AA7" w:rsidRPr="00D0306F" w:rsidRDefault="006C7AA7" w:rsidP="00CC3BF4">
            <w:pPr>
              <w:rPr>
                <w:rFonts w:eastAsia="Times New Roman" w:cs="Arial"/>
              </w:rPr>
            </w:pPr>
          </w:p>
        </w:tc>
      </w:tr>
    </w:tbl>
    <w:p w14:paraId="05BE5068" w14:textId="77777777" w:rsidR="006C7AA7" w:rsidRPr="00D0306F" w:rsidRDefault="006C7AA7" w:rsidP="006C7AA7">
      <w:pPr>
        <w:rPr>
          <w:rFonts w:eastAsia="Times New Roman" w:cs="Arial"/>
          <w:b/>
          <w:bCs/>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8"/>
        <w:gridCol w:w="2092"/>
        <w:gridCol w:w="3904"/>
        <w:gridCol w:w="1313"/>
        <w:gridCol w:w="1313"/>
      </w:tblGrid>
      <w:tr w:rsidR="006C7AA7" w:rsidRPr="00D0306F" w14:paraId="57ECEA76" w14:textId="77777777" w:rsidTr="00CC3BF4">
        <w:trPr>
          <w:trHeight w:val="600"/>
          <w:tblHeader/>
          <w:tblCellSpacing w:w="0" w:type="dxa"/>
          <w:jc w:val="center"/>
        </w:trPr>
        <w:tc>
          <w:tcPr>
            <w:tcW w:w="0" w:type="auto"/>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711F46D2" w14:textId="77777777" w:rsidR="006C7AA7" w:rsidRPr="00D0306F" w:rsidRDefault="006C7AA7" w:rsidP="00CC3BF4">
            <w:pPr>
              <w:rPr>
                <w:rFonts w:eastAsia="Times New Roman" w:cs="Arial"/>
                <w:b/>
                <w:bCs/>
                <w:color w:val="FFFFFF"/>
              </w:rPr>
            </w:pPr>
            <w:r w:rsidRPr="00D0306F">
              <w:rPr>
                <w:rFonts w:eastAsia="Times New Roman" w:cs="Arial"/>
                <w:b/>
                <w:bCs/>
                <w:color w:val="FFFFFF"/>
              </w:rPr>
              <w:t xml:space="preserve">10. Is there a more convenient and/or closer pharmacy that you don’t use? </w:t>
            </w:r>
          </w:p>
        </w:tc>
      </w:tr>
      <w:tr w:rsidR="006C7AA7" w:rsidRPr="00D0306F" w14:paraId="7785C41E" w14:textId="77777777" w:rsidTr="00CC3BF4">
        <w:trPr>
          <w:trHeight w:val="360"/>
          <w:tblCellSpacing w:w="0" w:type="dxa"/>
          <w:jc w:val="center"/>
        </w:trPr>
        <w:tc>
          <w:tcPr>
            <w:tcW w:w="6885"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36EB9A98"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07967803"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286C6CF"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249115EE"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1C1B9B1" w14:textId="77777777" w:rsidR="006C7AA7" w:rsidRPr="00D0306F" w:rsidRDefault="006C7AA7" w:rsidP="00CC3BF4">
            <w:pPr>
              <w:jc w:val="center"/>
              <w:rPr>
                <w:rFonts w:eastAsia="Times New Roman" w:cs="Arial"/>
              </w:rPr>
            </w:pPr>
            <w:r w:rsidRPr="00D0306F">
              <w:rPr>
                <w:rFonts w:eastAsia="Times New Roman" w:cs="Arial"/>
              </w:rPr>
              <w:t>1</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FFDB2CF" w14:textId="77777777" w:rsidR="006C7AA7" w:rsidRPr="00D0306F" w:rsidRDefault="006C7AA7" w:rsidP="00CC3BF4">
            <w:pPr>
              <w:rPr>
                <w:rFonts w:eastAsia="Times New Roman" w:cs="Arial"/>
              </w:rPr>
            </w:pPr>
            <w:r w:rsidRPr="00D0306F">
              <w:rPr>
                <w:rFonts w:eastAsia="Times New Roman" w:cs="Arial"/>
              </w:rPr>
              <w:t>Yes</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495" w:type="pct"/>
              <w:tblCellMar>
                <w:left w:w="0" w:type="dxa"/>
                <w:right w:w="0" w:type="dxa"/>
              </w:tblCellMar>
              <w:tblLook w:val="04A0" w:firstRow="1" w:lastRow="0" w:firstColumn="1" w:lastColumn="0" w:noHBand="0" w:noVBand="1"/>
            </w:tblPr>
            <w:tblGrid>
              <w:gridCol w:w="1122"/>
            </w:tblGrid>
            <w:tr w:rsidR="006C7AA7" w:rsidRPr="00D0306F" w14:paraId="79D206D7"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22C1A48A"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095D559A"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CA9B336" w14:textId="77777777" w:rsidR="006C7AA7" w:rsidRPr="00D0306F" w:rsidRDefault="006C7AA7" w:rsidP="00CC3BF4">
            <w:pPr>
              <w:jc w:val="center"/>
              <w:rPr>
                <w:rFonts w:eastAsia="Times New Roman" w:cs="Arial"/>
              </w:rPr>
            </w:pPr>
            <w:r w:rsidRPr="00D0306F">
              <w:rPr>
                <w:rFonts w:eastAsia="Times New Roman" w:cs="Arial"/>
              </w:rPr>
              <w:t>29.7%</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54CF648" w14:textId="77777777" w:rsidR="006C7AA7" w:rsidRPr="00D0306F" w:rsidRDefault="006C7AA7" w:rsidP="00CC3BF4">
            <w:pPr>
              <w:jc w:val="center"/>
              <w:rPr>
                <w:rFonts w:eastAsia="Times New Roman" w:cs="Arial"/>
              </w:rPr>
            </w:pPr>
            <w:r w:rsidRPr="00D0306F">
              <w:rPr>
                <w:rFonts w:eastAsia="Times New Roman" w:cs="Arial"/>
              </w:rPr>
              <w:t>35</w:t>
            </w:r>
          </w:p>
        </w:tc>
      </w:tr>
      <w:tr w:rsidR="006C7AA7" w:rsidRPr="00D0306F" w14:paraId="7529A103"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D0302FB" w14:textId="77777777" w:rsidR="006C7AA7" w:rsidRPr="00D0306F" w:rsidRDefault="006C7AA7" w:rsidP="00CC3BF4">
            <w:pPr>
              <w:jc w:val="center"/>
              <w:rPr>
                <w:rFonts w:eastAsia="Times New Roman" w:cs="Arial"/>
              </w:rPr>
            </w:pPr>
            <w:r w:rsidRPr="00D0306F">
              <w:rPr>
                <w:rFonts w:eastAsia="Times New Roman" w:cs="Arial"/>
              </w:rPr>
              <w:lastRenderedPageBreak/>
              <w:t>2</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79647E1" w14:textId="77777777" w:rsidR="006C7AA7" w:rsidRPr="00D0306F" w:rsidRDefault="006C7AA7" w:rsidP="00CC3BF4">
            <w:pPr>
              <w:rPr>
                <w:rFonts w:eastAsia="Times New Roman" w:cs="Arial"/>
              </w:rPr>
            </w:pPr>
            <w:r w:rsidRPr="00D0306F">
              <w:rPr>
                <w:rFonts w:eastAsia="Times New Roman" w:cs="Arial"/>
              </w:rPr>
              <w:t>No</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248" w:type="pct"/>
              <w:tblCellMar>
                <w:left w:w="0" w:type="dxa"/>
                <w:right w:w="0" w:type="dxa"/>
              </w:tblCellMar>
              <w:tblLook w:val="04A0" w:firstRow="1" w:lastRow="0" w:firstColumn="1" w:lastColumn="0" w:noHBand="0" w:noVBand="1"/>
            </w:tblPr>
            <w:tblGrid>
              <w:gridCol w:w="2438"/>
            </w:tblGrid>
            <w:tr w:rsidR="006C7AA7" w:rsidRPr="00D0306F" w14:paraId="6050A13C"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4B503D68"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10466E90"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90C5623" w14:textId="77777777" w:rsidR="006C7AA7" w:rsidRPr="00D0306F" w:rsidRDefault="006C7AA7" w:rsidP="00CC3BF4">
            <w:pPr>
              <w:jc w:val="center"/>
              <w:rPr>
                <w:rFonts w:eastAsia="Times New Roman" w:cs="Arial"/>
              </w:rPr>
            </w:pPr>
            <w:r w:rsidRPr="00D0306F">
              <w:rPr>
                <w:rFonts w:eastAsia="Times New Roman" w:cs="Arial"/>
              </w:rPr>
              <w:t>65.3%</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9517606" w14:textId="77777777" w:rsidR="006C7AA7" w:rsidRPr="00D0306F" w:rsidRDefault="006C7AA7" w:rsidP="00CC3BF4">
            <w:pPr>
              <w:jc w:val="center"/>
              <w:rPr>
                <w:rFonts w:eastAsia="Times New Roman" w:cs="Arial"/>
              </w:rPr>
            </w:pPr>
            <w:r w:rsidRPr="00D0306F">
              <w:rPr>
                <w:rFonts w:eastAsia="Times New Roman" w:cs="Arial"/>
              </w:rPr>
              <w:t>77</w:t>
            </w:r>
          </w:p>
        </w:tc>
      </w:tr>
      <w:tr w:rsidR="006C7AA7" w:rsidRPr="00D0306F" w14:paraId="09F5C5CB"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912F250" w14:textId="77777777" w:rsidR="006C7AA7" w:rsidRPr="00D0306F" w:rsidRDefault="006C7AA7" w:rsidP="00CC3BF4">
            <w:pPr>
              <w:jc w:val="center"/>
              <w:rPr>
                <w:rFonts w:eastAsia="Times New Roman" w:cs="Arial"/>
              </w:rPr>
            </w:pPr>
            <w:r w:rsidRPr="00D0306F">
              <w:rPr>
                <w:rFonts w:eastAsia="Times New Roman" w:cs="Arial"/>
              </w:rPr>
              <w:t>3</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6E6DB93" w14:textId="77777777" w:rsidR="006C7AA7" w:rsidRPr="00D0306F" w:rsidRDefault="006C7AA7" w:rsidP="00CC3BF4">
            <w:pPr>
              <w:rPr>
                <w:rFonts w:eastAsia="Times New Roman" w:cs="Arial"/>
              </w:rPr>
            </w:pPr>
            <w:r w:rsidRPr="00D0306F">
              <w:rPr>
                <w:rFonts w:eastAsia="Times New Roman" w:cs="Arial"/>
              </w:rPr>
              <w:t>Don’t know</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56" w:type="pct"/>
              <w:tblCellMar>
                <w:left w:w="0" w:type="dxa"/>
                <w:right w:w="0" w:type="dxa"/>
              </w:tblCellMar>
              <w:tblLook w:val="04A0" w:firstRow="1" w:lastRow="0" w:firstColumn="1" w:lastColumn="0" w:noHBand="0" w:noVBand="1"/>
            </w:tblPr>
            <w:tblGrid>
              <w:gridCol w:w="192"/>
            </w:tblGrid>
            <w:tr w:rsidR="006C7AA7" w:rsidRPr="00D0306F" w14:paraId="26B0CE53" w14:textId="77777777" w:rsidTr="00CC3BF4">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2182818D"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7E8004B"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A603BA6" w14:textId="77777777" w:rsidR="006C7AA7" w:rsidRPr="00D0306F" w:rsidRDefault="006C7AA7" w:rsidP="00CC3BF4">
            <w:pPr>
              <w:jc w:val="center"/>
              <w:rPr>
                <w:rFonts w:eastAsia="Times New Roman" w:cs="Arial"/>
              </w:rPr>
            </w:pPr>
            <w:r w:rsidRPr="00D0306F">
              <w:rPr>
                <w:rFonts w:eastAsia="Times New Roman" w:cs="Arial"/>
              </w:rPr>
              <w:t>5.1%</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8DD398D" w14:textId="77777777" w:rsidR="006C7AA7" w:rsidRPr="00D0306F" w:rsidRDefault="006C7AA7" w:rsidP="00CC3BF4">
            <w:pPr>
              <w:jc w:val="center"/>
              <w:rPr>
                <w:rFonts w:eastAsia="Times New Roman" w:cs="Arial"/>
              </w:rPr>
            </w:pPr>
            <w:r w:rsidRPr="00D0306F">
              <w:rPr>
                <w:rFonts w:eastAsia="Times New Roman" w:cs="Arial"/>
              </w:rPr>
              <w:t>6</w:t>
            </w:r>
          </w:p>
        </w:tc>
      </w:tr>
      <w:tr w:rsidR="006C7AA7" w:rsidRPr="00D0306F" w14:paraId="27F374C5" w14:textId="77777777" w:rsidTr="00CC3BF4">
        <w:trPr>
          <w:tblCellSpacing w:w="0" w:type="dxa"/>
          <w:jc w:val="center"/>
        </w:trPr>
        <w:tc>
          <w:tcPr>
            <w:tcW w:w="0" w:type="auto"/>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34B1C1FB" w14:textId="77777777" w:rsidR="006C7AA7" w:rsidRPr="00D0306F" w:rsidRDefault="006C7AA7" w:rsidP="00CC3BF4">
            <w:pPr>
              <w:jc w:val="center"/>
              <w:rPr>
                <w:rFonts w:eastAsia="Times New Roman" w:cs="Arial"/>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26B8DBB" w14:textId="77777777" w:rsidR="006C7AA7" w:rsidRPr="00D0306F" w:rsidRDefault="006C7AA7" w:rsidP="00CC3BF4">
            <w:pPr>
              <w:jc w:val="center"/>
              <w:rPr>
                <w:rFonts w:eastAsia="Times New Roman" w:cs="Arial"/>
              </w:rPr>
            </w:pPr>
            <w:r w:rsidRPr="00D0306F">
              <w:rPr>
                <w:rFonts w:eastAsia="Times New Roman" w:cs="Arial"/>
              </w:rPr>
              <w:t>answered</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32906B8" w14:textId="77777777" w:rsidR="006C7AA7" w:rsidRPr="00D0306F" w:rsidRDefault="006C7AA7" w:rsidP="00CC3BF4">
            <w:pPr>
              <w:jc w:val="center"/>
              <w:rPr>
                <w:rFonts w:eastAsia="Times New Roman" w:cs="Arial"/>
              </w:rPr>
            </w:pPr>
            <w:r w:rsidRPr="00D0306F">
              <w:rPr>
                <w:rFonts w:eastAsia="Times New Roman" w:cs="Arial"/>
              </w:rPr>
              <w:t>118</w:t>
            </w:r>
          </w:p>
        </w:tc>
      </w:tr>
      <w:tr w:rsidR="006C7AA7" w:rsidRPr="00D0306F" w14:paraId="3CE84FDC" w14:textId="77777777" w:rsidTr="00CC3BF4">
        <w:trPr>
          <w:tblCellSpacing w:w="0" w:type="dxa"/>
          <w:jc w:val="center"/>
        </w:trPr>
        <w:tc>
          <w:tcPr>
            <w:tcW w:w="0" w:type="auto"/>
            <w:gridSpan w:val="3"/>
            <w:vMerge/>
            <w:tcBorders>
              <w:top w:val="single" w:sz="6" w:space="0" w:color="CCCCCC"/>
              <w:left w:val="nil"/>
              <w:bottom w:val="nil"/>
              <w:right w:val="single" w:sz="6" w:space="0" w:color="CCCCCC"/>
            </w:tcBorders>
            <w:vAlign w:val="center"/>
            <w:hideMark/>
          </w:tcPr>
          <w:p w14:paraId="41D37EAF"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9AFE699" w14:textId="77777777" w:rsidR="006C7AA7" w:rsidRPr="00D0306F" w:rsidRDefault="006C7AA7" w:rsidP="00CC3BF4">
            <w:pPr>
              <w:jc w:val="center"/>
              <w:rPr>
                <w:rFonts w:eastAsia="Times New Roman" w:cs="Arial"/>
              </w:rPr>
            </w:pPr>
            <w:r w:rsidRPr="00D0306F">
              <w:rPr>
                <w:rFonts w:eastAsia="Times New Roman" w:cs="Arial"/>
              </w:rPr>
              <w:t>skipped</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C2E726C" w14:textId="77777777" w:rsidR="006C7AA7" w:rsidRPr="00D0306F" w:rsidRDefault="006C7AA7" w:rsidP="00CC3BF4">
            <w:pPr>
              <w:jc w:val="center"/>
              <w:rPr>
                <w:rFonts w:eastAsia="Times New Roman" w:cs="Arial"/>
              </w:rPr>
            </w:pPr>
            <w:r w:rsidRPr="00D0306F">
              <w:rPr>
                <w:rFonts w:eastAsia="Times New Roman" w:cs="Arial"/>
              </w:rPr>
              <w:t>1</w:t>
            </w:r>
          </w:p>
        </w:tc>
      </w:tr>
    </w:tbl>
    <w:p w14:paraId="374C6E5C" w14:textId="77777777" w:rsidR="006C7AA7" w:rsidRPr="00D0306F" w:rsidRDefault="006C7AA7" w:rsidP="006C7AA7">
      <w:pPr>
        <w:rPr>
          <w:rFonts w:eastAsia="Times New Roman" w:cs="Arial"/>
        </w:rPr>
      </w:pPr>
      <w:r w:rsidRPr="00D0306F">
        <w:rPr>
          <w:rFonts w:eastAsia="Times New Roman" w:cs="Arial"/>
        </w:rPr>
        <w:t> </w:t>
      </w: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468"/>
        <w:gridCol w:w="2406"/>
        <w:gridCol w:w="3420"/>
        <w:gridCol w:w="1313"/>
        <w:gridCol w:w="1313"/>
      </w:tblGrid>
      <w:tr w:rsidR="006C7AA7" w:rsidRPr="00D0306F" w14:paraId="4F2C13AC"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0A32852F" w14:textId="77777777" w:rsidR="006C7AA7" w:rsidRPr="00D0306F" w:rsidRDefault="006C7AA7" w:rsidP="00CC3BF4">
            <w:pPr>
              <w:rPr>
                <w:rFonts w:eastAsia="Times New Roman" w:cs="Arial"/>
                <w:b/>
                <w:bCs/>
                <w:color w:val="FFFFFF"/>
              </w:rPr>
            </w:pPr>
            <w:r w:rsidRPr="00D0306F">
              <w:rPr>
                <w:rFonts w:eastAsia="Times New Roman" w:cs="Arial"/>
                <w:b/>
                <w:bCs/>
                <w:color w:val="FFFFFF"/>
              </w:rPr>
              <w:t xml:space="preserve">11. Please could you tell us why you do not use that pharmacy? </w:t>
            </w:r>
          </w:p>
        </w:tc>
      </w:tr>
      <w:tr w:rsidR="006C7AA7" w:rsidRPr="00D0306F" w14:paraId="5A3D011B"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68FB7EC8"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33B9B92"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70CBEC81"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146284D7" w14:textId="77777777" w:rsidTr="00CC3BF4">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160468B" w14:textId="77777777" w:rsidR="006C7AA7" w:rsidRPr="00D0306F" w:rsidRDefault="006C7AA7" w:rsidP="00CC3BF4">
            <w:pPr>
              <w:jc w:val="center"/>
              <w:rPr>
                <w:rFonts w:eastAsia="Times New Roman" w:cs="Arial"/>
              </w:rPr>
            </w:pPr>
            <w:r w:rsidRPr="00D0306F">
              <w:rPr>
                <w:rFonts w:eastAsia="Times New Roman" w:cs="Arial"/>
              </w:rPr>
              <w:t>1</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57F2541" w14:textId="77777777" w:rsidR="006C7AA7" w:rsidRPr="00D0306F" w:rsidRDefault="006C7AA7" w:rsidP="00CC3BF4">
            <w:pPr>
              <w:rPr>
                <w:rFonts w:eastAsia="Times New Roman" w:cs="Arial"/>
              </w:rPr>
            </w:pPr>
            <w:r w:rsidRPr="00D0306F">
              <w:rPr>
                <w:rFonts w:eastAsia="Times New Roman" w:cs="Arial"/>
              </w:rPr>
              <w:t>It is not easy to park at the pharmacy</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944" w:type="pct"/>
              <w:tblCellMar>
                <w:left w:w="0" w:type="dxa"/>
                <w:right w:w="0" w:type="dxa"/>
              </w:tblCellMar>
              <w:tblLook w:val="04A0" w:firstRow="1" w:lastRow="0" w:firstColumn="1" w:lastColumn="0" w:noHBand="0" w:noVBand="1"/>
            </w:tblPr>
            <w:tblGrid>
              <w:gridCol w:w="1271"/>
            </w:tblGrid>
            <w:tr w:rsidR="006C7AA7" w:rsidRPr="00D0306F" w14:paraId="23784321"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49C4F1AD"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7B41530"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29DC83A" w14:textId="77777777" w:rsidR="006C7AA7" w:rsidRPr="00D0306F" w:rsidRDefault="006C7AA7" w:rsidP="00CC3BF4">
            <w:pPr>
              <w:jc w:val="center"/>
              <w:rPr>
                <w:rFonts w:eastAsia="Times New Roman" w:cs="Arial"/>
              </w:rPr>
            </w:pPr>
            <w:r w:rsidRPr="00D0306F">
              <w:rPr>
                <w:rFonts w:eastAsia="Times New Roman" w:cs="Arial"/>
              </w:rPr>
              <w:t>38.9%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A172139" w14:textId="77777777" w:rsidR="006C7AA7" w:rsidRPr="00D0306F" w:rsidRDefault="006C7AA7" w:rsidP="00CC3BF4">
            <w:pPr>
              <w:jc w:val="center"/>
              <w:rPr>
                <w:rFonts w:eastAsia="Times New Roman" w:cs="Arial"/>
              </w:rPr>
            </w:pPr>
            <w:r w:rsidRPr="00D0306F">
              <w:rPr>
                <w:rFonts w:eastAsia="Times New Roman" w:cs="Arial"/>
              </w:rPr>
              <w:t>14</w:t>
            </w:r>
          </w:p>
        </w:tc>
      </w:tr>
      <w:tr w:rsidR="006C7AA7" w:rsidRPr="00D0306F" w14:paraId="72CF083F" w14:textId="77777777" w:rsidTr="00CC3BF4">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28EEC9F" w14:textId="77777777" w:rsidR="006C7AA7" w:rsidRPr="00D0306F" w:rsidRDefault="006C7AA7" w:rsidP="00CC3BF4">
            <w:pPr>
              <w:jc w:val="center"/>
              <w:rPr>
                <w:rFonts w:eastAsia="Times New Roman" w:cs="Arial"/>
              </w:rPr>
            </w:pPr>
            <w:r w:rsidRPr="00D0306F">
              <w:rPr>
                <w:rFonts w:eastAsia="Times New Roman" w:cs="Arial"/>
              </w:rPr>
              <w:t>2</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018524C" w14:textId="77777777" w:rsidR="006C7AA7" w:rsidRPr="00D0306F" w:rsidRDefault="006C7AA7" w:rsidP="00CC3BF4">
            <w:pPr>
              <w:rPr>
                <w:rFonts w:eastAsia="Times New Roman" w:cs="Arial"/>
              </w:rPr>
            </w:pPr>
            <w:r w:rsidRPr="00D0306F">
              <w:rPr>
                <w:rFonts w:eastAsia="Times New Roman" w:cs="Arial"/>
              </w:rPr>
              <w:t>I have had a bad experience in the past</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72" w:type="pct"/>
              <w:tblCellMar>
                <w:left w:w="0" w:type="dxa"/>
                <w:right w:w="0" w:type="dxa"/>
              </w:tblCellMar>
              <w:tblLook w:val="04A0" w:firstRow="1" w:lastRow="0" w:firstColumn="1" w:lastColumn="0" w:noHBand="0" w:noVBand="1"/>
            </w:tblPr>
            <w:tblGrid>
              <w:gridCol w:w="635"/>
            </w:tblGrid>
            <w:tr w:rsidR="006C7AA7" w:rsidRPr="00D0306F" w14:paraId="235184CB"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201A12D7"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09602C8D"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999D7AB" w14:textId="77777777" w:rsidR="006C7AA7" w:rsidRPr="00D0306F" w:rsidRDefault="006C7AA7" w:rsidP="00CC3BF4">
            <w:pPr>
              <w:jc w:val="center"/>
              <w:rPr>
                <w:rFonts w:eastAsia="Times New Roman" w:cs="Arial"/>
              </w:rPr>
            </w:pPr>
            <w:r w:rsidRPr="00D0306F">
              <w:rPr>
                <w:rFonts w:eastAsia="Times New Roman" w:cs="Arial"/>
              </w:rPr>
              <w:t>19.4%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DF388AC" w14:textId="77777777" w:rsidR="006C7AA7" w:rsidRPr="00D0306F" w:rsidRDefault="006C7AA7" w:rsidP="00CC3BF4">
            <w:pPr>
              <w:jc w:val="center"/>
              <w:rPr>
                <w:rFonts w:eastAsia="Times New Roman" w:cs="Arial"/>
              </w:rPr>
            </w:pPr>
            <w:r w:rsidRPr="00D0306F">
              <w:rPr>
                <w:rFonts w:eastAsia="Times New Roman" w:cs="Arial"/>
              </w:rPr>
              <w:t>7</w:t>
            </w:r>
          </w:p>
        </w:tc>
      </w:tr>
      <w:tr w:rsidR="006C7AA7" w:rsidRPr="00D0306F" w14:paraId="25D7E2FB" w14:textId="77777777" w:rsidTr="00CC3BF4">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B7C49F5" w14:textId="77777777" w:rsidR="006C7AA7" w:rsidRPr="00D0306F" w:rsidRDefault="006C7AA7" w:rsidP="00CC3BF4">
            <w:pPr>
              <w:jc w:val="center"/>
              <w:rPr>
                <w:rFonts w:eastAsia="Times New Roman" w:cs="Arial"/>
              </w:rPr>
            </w:pPr>
            <w:r w:rsidRPr="00D0306F">
              <w:rPr>
                <w:rFonts w:eastAsia="Times New Roman" w:cs="Arial"/>
              </w:rPr>
              <w:t>3</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A2DF33A" w14:textId="77777777" w:rsidR="006C7AA7" w:rsidRPr="00D0306F" w:rsidRDefault="006C7AA7" w:rsidP="00CC3BF4">
            <w:pPr>
              <w:rPr>
                <w:rFonts w:eastAsia="Times New Roman" w:cs="Arial"/>
              </w:rPr>
            </w:pPr>
            <w:r w:rsidRPr="00D0306F">
              <w:rPr>
                <w:rFonts w:eastAsia="Times New Roman" w:cs="Arial"/>
              </w:rPr>
              <w:t>The service is too slow</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222" w:type="pct"/>
              <w:tblCellMar>
                <w:left w:w="0" w:type="dxa"/>
                <w:right w:w="0" w:type="dxa"/>
              </w:tblCellMar>
              <w:tblLook w:val="04A0" w:firstRow="1" w:lastRow="0" w:firstColumn="1" w:lastColumn="0" w:noHBand="0" w:noVBand="1"/>
            </w:tblPr>
            <w:tblGrid>
              <w:gridCol w:w="1453"/>
            </w:tblGrid>
            <w:tr w:rsidR="006C7AA7" w:rsidRPr="00D0306F" w14:paraId="0B3911FC" w14:textId="77777777" w:rsidTr="00CC3BF4">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0FD8CCE4"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2773AB25"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B795F91" w14:textId="77777777" w:rsidR="006C7AA7" w:rsidRPr="00D0306F" w:rsidRDefault="006C7AA7" w:rsidP="00CC3BF4">
            <w:pPr>
              <w:jc w:val="center"/>
              <w:rPr>
                <w:rFonts w:eastAsia="Times New Roman" w:cs="Arial"/>
              </w:rPr>
            </w:pPr>
            <w:r w:rsidRPr="00D0306F">
              <w:rPr>
                <w:rFonts w:eastAsia="Times New Roman" w:cs="Arial"/>
              </w:rPr>
              <w:t>44.4%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A540F33" w14:textId="77777777" w:rsidR="006C7AA7" w:rsidRPr="00D0306F" w:rsidRDefault="006C7AA7" w:rsidP="00CC3BF4">
            <w:pPr>
              <w:jc w:val="center"/>
              <w:rPr>
                <w:rFonts w:eastAsia="Times New Roman" w:cs="Arial"/>
              </w:rPr>
            </w:pPr>
            <w:r w:rsidRPr="00D0306F">
              <w:rPr>
                <w:rFonts w:eastAsia="Times New Roman" w:cs="Arial"/>
              </w:rPr>
              <w:t>16</w:t>
            </w:r>
          </w:p>
        </w:tc>
      </w:tr>
      <w:tr w:rsidR="006C7AA7" w:rsidRPr="00D0306F" w14:paraId="7482875B" w14:textId="77777777" w:rsidTr="00CC3BF4">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62B8DA6" w14:textId="77777777" w:rsidR="006C7AA7" w:rsidRPr="00D0306F" w:rsidRDefault="006C7AA7" w:rsidP="00CC3BF4">
            <w:pPr>
              <w:jc w:val="center"/>
              <w:rPr>
                <w:rFonts w:eastAsia="Times New Roman" w:cs="Arial"/>
              </w:rPr>
            </w:pPr>
            <w:r w:rsidRPr="00D0306F">
              <w:rPr>
                <w:rFonts w:eastAsia="Times New Roman" w:cs="Arial"/>
              </w:rPr>
              <w:t>4</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FE60AAC" w14:textId="77777777" w:rsidR="006C7AA7" w:rsidRPr="00D0306F" w:rsidRDefault="006C7AA7" w:rsidP="00CC3BF4">
            <w:pPr>
              <w:rPr>
                <w:rFonts w:eastAsia="Times New Roman" w:cs="Arial"/>
              </w:rPr>
            </w:pPr>
            <w:r w:rsidRPr="00D0306F">
              <w:rPr>
                <w:rFonts w:eastAsia="Times New Roman" w:cs="Arial"/>
              </w:rPr>
              <w:t>The staff are always changing</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33" w:type="pct"/>
              <w:tblCellMar>
                <w:left w:w="0" w:type="dxa"/>
                <w:right w:w="0" w:type="dxa"/>
              </w:tblCellMar>
              <w:tblLook w:val="04A0" w:firstRow="1" w:lastRow="0" w:firstColumn="1" w:lastColumn="0" w:noHBand="0" w:noVBand="1"/>
            </w:tblPr>
            <w:tblGrid>
              <w:gridCol w:w="545"/>
            </w:tblGrid>
            <w:tr w:rsidR="006C7AA7" w:rsidRPr="00D0306F" w14:paraId="19DBA798" w14:textId="77777777" w:rsidTr="00CC3BF4">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27343B82"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1AB942FE"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04BDCC5" w14:textId="77777777" w:rsidR="006C7AA7" w:rsidRPr="00D0306F" w:rsidRDefault="006C7AA7" w:rsidP="00CC3BF4">
            <w:pPr>
              <w:jc w:val="center"/>
              <w:rPr>
                <w:rFonts w:eastAsia="Times New Roman" w:cs="Arial"/>
              </w:rPr>
            </w:pPr>
            <w:r w:rsidRPr="00D0306F">
              <w:rPr>
                <w:rFonts w:eastAsia="Times New Roman" w:cs="Arial"/>
              </w:rPr>
              <w:t>16.7%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9614AE2" w14:textId="77777777" w:rsidR="006C7AA7" w:rsidRPr="00D0306F" w:rsidRDefault="006C7AA7" w:rsidP="00CC3BF4">
            <w:pPr>
              <w:jc w:val="center"/>
              <w:rPr>
                <w:rFonts w:eastAsia="Times New Roman" w:cs="Arial"/>
              </w:rPr>
            </w:pPr>
            <w:r w:rsidRPr="00D0306F">
              <w:rPr>
                <w:rFonts w:eastAsia="Times New Roman" w:cs="Arial"/>
              </w:rPr>
              <w:t>6</w:t>
            </w:r>
          </w:p>
        </w:tc>
      </w:tr>
      <w:tr w:rsidR="006C7AA7" w:rsidRPr="00D0306F" w14:paraId="03467E2E" w14:textId="77777777" w:rsidTr="00CC3BF4">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E8FA44B" w14:textId="77777777" w:rsidR="006C7AA7" w:rsidRPr="00D0306F" w:rsidRDefault="006C7AA7" w:rsidP="00CC3BF4">
            <w:pPr>
              <w:jc w:val="center"/>
              <w:rPr>
                <w:rFonts w:eastAsia="Times New Roman" w:cs="Arial"/>
              </w:rPr>
            </w:pPr>
            <w:r w:rsidRPr="00D0306F">
              <w:rPr>
                <w:rFonts w:eastAsia="Times New Roman" w:cs="Arial"/>
              </w:rPr>
              <w:t>5</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79EC35C" w14:textId="77777777" w:rsidR="006C7AA7" w:rsidRPr="00D0306F" w:rsidRDefault="006C7AA7" w:rsidP="00CC3BF4">
            <w:pPr>
              <w:rPr>
                <w:rFonts w:eastAsia="Times New Roman" w:cs="Arial"/>
              </w:rPr>
            </w:pPr>
            <w:r w:rsidRPr="00D0306F">
              <w:rPr>
                <w:rFonts w:eastAsia="Times New Roman" w:cs="Arial"/>
              </w:rPr>
              <w:t>The staff don’t know me</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111" w:type="pct"/>
              <w:tblCellMar>
                <w:left w:w="0" w:type="dxa"/>
                <w:right w:w="0" w:type="dxa"/>
              </w:tblCellMar>
              <w:tblLook w:val="04A0" w:firstRow="1" w:lastRow="0" w:firstColumn="1" w:lastColumn="0" w:noHBand="0" w:noVBand="1"/>
            </w:tblPr>
            <w:tblGrid>
              <w:gridCol w:w="726"/>
            </w:tblGrid>
            <w:tr w:rsidR="006C7AA7" w:rsidRPr="00D0306F" w14:paraId="0A4023E0"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20B992C4"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9AD0477"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D913CFE" w14:textId="77777777" w:rsidR="006C7AA7" w:rsidRPr="00D0306F" w:rsidRDefault="006C7AA7" w:rsidP="00CC3BF4">
            <w:pPr>
              <w:jc w:val="center"/>
              <w:rPr>
                <w:rFonts w:eastAsia="Times New Roman" w:cs="Arial"/>
              </w:rPr>
            </w:pPr>
            <w:r w:rsidRPr="00D0306F">
              <w:rPr>
                <w:rFonts w:eastAsia="Times New Roman" w:cs="Arial"/>
              </w:rPr>
              <w:t>22.2%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7DDCE77" w14:textId="77777777" w:rsidR="006C7AA7" w:rsidRPr="00D0306F" w:rsidRDefault="006C7AA7" w:rsidP="00CC3BF4">
            <w:pPr>
              <w:jc w:val="center"/>
              <w:rPr>
                <w:rFonts w:eastAsia="Times New Roman" w:cs="Arial"/>
              </w:rPr>
            </w:pPr>
            <w:r w:rsidRPr="00D0306F">
              <w:rPr>
                <w:rFonts w:eastAsia="Times New Roman" w:cs="Arial"/>
              </w:rPr>
              <w:t>8</w:t>
            </w:r>
          </w:p>
        </w:tc>
      </w:tr>
      <w:tr w:rsidR="006C7AA7" w:rsidRPr="00D0306F" w14:paraId="06D102F1" w14:textId="77777777" w:rsidTr="00CC3BF4">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263611C" w14:textId="77777777" w:rsidR="006C7AA7" w:rsidRPr="00D0306F" w:rsidRDefault="006C7AA7" w:rsidP="00CC3BF4">
            <w:pPr>
              <w:jc w:val="center"/>
              <w:rPr>
                <w:rFonts w:eastAsia="Times New Roman" w:cs="Arial"/>
              </w:rPr>
            </w:pPr>
            <w:r w:rsidRPr="00D0306F">
              <w:rPr>
                <w:rFonts w:eastAsia="Times New Roman" w:cs="Arial"/>
              </w:rPr>
              <w:t>6</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9914411" w14:textId="77777777" w:rsidR="006C7AA7" w:rsidRPr="00D0306F" w:rsidRDefault="006C7AA7" w:rsidP="00CC3BF4">
            <w:pPr>
              <w:rPr>
                <w:rFonts w:eastAsia="Times New Roman" w:cs="Arial"/>
              </w:rPr>
            </w:pPr>
            <w:r w:rsidRPr="00D0306F">
              <w:rPr>
                <w:rFonts w:eastAsia="Times New Roman" w:cs="Arial"/>
              </w:rPr>
              <w:t>I know the staff and would prefer them not to know what medicines I am taking</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16" w:type="pct"/>
              <w:tblCellMar>
                <w:left w:w="0" w:type="dxa"/>
                <w:right w:w="0" w:type="dxa"/>
              </w:tblCellMar>
              <w:tblLook w:val="04A0" w:firstRow="1" w:lastRow="0" w:firstColumn="1" w:lastColumn="0" w:noHBand="0" w:noVBand="1"/>
            </w:tblPr>
            <w:tblGrid>
              <w:gridCol w:w="272"/>
            </w:tblGrid>
            <w:tr w:rsidR="006C7AA7" w:rsidRPr="00D0306F" w14:paraId="295642D2" w14:textId="77777777" w:rsidTr="00CC3BF4">
              <w:tc>
                <w:tcPr>
                  <w:tcW w:w="0" w:type="auto"/>
                  <w:tcBorders>
                    <w:top w:val="single" w:sz="6" w:space="0" w:color="00BCD4"/>
                    <w:left w:val="single" w:sz="6" w:space="0" w:color="00BCD4"/>
                    <w:bottom w:val="single" w:sz="6" w:space="0" w:color="00BCD4"/>
                    <w:right w:val="single" w:sz="6" w:space="0" w:color="00BCD4"/>
                  </w:tcBorders>
                  <w:shd w:val="clear" w:color="auto" w:fill="00BCD4"/>
                  <w:vAlign w:val="center"/>
                  <w:hideMark/>
                </w:tcPr>
                <w:p w14:paraId="54ED294D"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D4E2F94"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B8430EE" w14:textId="77777777" w:rsidR="006C7AA7" w:rsidRPr="00D0306F" w:rsidRDefault="006C7AA7" w:rsidP="00CC3BF4">
            <w:pPr>
              <w:jc w:val="center"/>
              <w:rPr>
                <w:rFonts w:eastAsia="Times New Roman" w:cs="Arial"/>
              </w:rPr>
            </w:pPr>
            <w:r w:rsidRPr="00D0306F">
              <w:rPr>
                <w:rFonts w:eastAsia="Times New Roman" w:cs="Arial"/>
              </w:rPr>
              <w:t>8.3%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9561784" w14:textId="77777777" w:rsidR="006C7AA7" w:rsidRPr="00D0306F" w:rsidRDefault="006C7AA7" w:rsidP="00CC3BF4">
            <w:pPr>
              <w:jc w:val="center"/>
              <w:rPr>
                <w:rFonts w:eastAsia="Times New Roman" w:cs="Arial"/>
              </w:rPr>
            </w:pPr>
            <w:r w:rsidRPr="00D0306F">
              <w:rPr>
                <w:rFonts w:eastAsia="Times New Roman" w:cs="Arial"/>
              </w:rPr>
              <w:t>3</w:t>
            </w:r>
          </w:p>
        </w:tc>
      </w:tr>
      <w:tr w:rsidR="006C7AA7" w:rsidRPr="00D0306F" w14:paraId="5219A383" w14:textId="77777777" w:rsidTr="00CC3BF4">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B6A7ED1" w14:textId="77777777" w:rsidR="006C7AA7" w:rsidRPr="00D0306F" w:rsidRDefault="006C7AA7" w:rsidP="00CC3BF4">
            <w:pPr>
              <w:jc w:val="center"/>
              <w:rPr>
                <w:rFonts w:eastAsia="Times New Roman" w:cs="Arial"/>
              </w:rPr>
            </w:pPr>
            <w:r w:rsidRPr="00D0306F">
              <w:rPr>
                <w:rFonts w:eastAsia="Times New Roman" w:cs="Arial"/>
              </w:rPr>
              <w:t>7</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F8FD24B" w14:textId="77777777" w:rsidR="006C7AA7" w:rsidRPr="00D0306F" w:rsidRDefault="006C7AA7" w:rsidP="00CC3BF4">
            <w:pPr>
              <w:rPr>
                <w:rFonts w:eastAsia="Times New Roman" w:cs="Arial"/>
              </w:rPr>
            </w:pPr>
            <w:r w:rsidRPr="00D0306F">
              <w:rPr>
                <w:rFonts w:eastAsia="Times New Roman" w:cs="Arial"/>
              </w:rPr>
              <w:t>They don’t have what I need in stock</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66" w:type="pct"/>
              <w:tblCellMar>
                <w:left w:w="0" w:type="dxa"/>
                <w:right w:w="0" w:type="dxa"/>
              </w:tblCellMar>
              <w:tblLook w:val="04A0" w:firstRow="1" w:lastRow="0" w:firstColumn="1" w:lastColumn="0" w:noHBand="0" w:noVBand="1"/>
            </w:tblPr>
            <w:tblGrid>
              <w:gridCol w:w="1089"/>
            </w:tblGrid>
            <w:tr w:rsidR="006C7AA7" w:rsidRPr="00D0306F" w14:paraId="6D0D59AF" w14:textId="77777777" w:rsidTr="00CC3BF4">
              <w:tc>
                <w:tcPr>
                  <w:tcW w:w="0" w:type="auto"/>
                  <w:tcBorders>
                    <w:top w:val="single" w:sz="6" w:space="0" w:color="811CA4"/>
                    <w:left w:val="single" w:sz="6" w:space="0" w:color="811CA4"/>
                    <w:bottom w:val="single" w:sz="6" w:space="0" w:color="811CA4"/>
                    <w:right w:val="single" w:sz="6" w:space="0" w:color="811CA4"/>
                  </w:tcBorders>
                  <w:shd w:val="clear" w:color="auto" w:fill="811CA4"/>
                  <w:vAlign w:val="center"/>
                  <w:hideMark/>
                </w:tcPr>
                <w:p w14:paraId="2B837432"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34367F44"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9BD34BD" w14:textId="77777777" w:rsidR="006C7AA7" w:rsidRPr="00D0306F" w:rsidRDefault="006C7AA7" w:rsidP="00CC3BF4">
            <w:pPr>
              <w:jc w:val="center"/>
              <w:rPr>
                <w:rFonts w:eastAsia="Times New Roman" w:cs="Arial"/>
              </w:rPr>
            </w:pPr>
            <w:r w:rsidRPr="00D0306F">
              <w:rPr>
                <w:rFonts w:eastAsia="Times New Roman" w:cs="Arial"/>
              </w:rPr>
              <w:t>33.3%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A9CF2C0" w14:textId="77777777" w:rsidR="006C7AA7" w:rsidRPr="00D0306F" w:rsidRDefault="006C7AA7" w:rsidP="00CC3BF4">
            <w:pPr>
              <w:jc w:val="center"/>
              <w:rPr>
                <w:rFonts w:eastAsia="Times New Roman" w:cs="Arial"/>
              </w:rPr>
            </w:pPr>
            <w:r w:rsidRPr="00D0306F">
              <w:rPr>
                <w:rFonts w:eastAsia="Times New Roman" w:cs="Arial"/>
              </w:rPr>
              <w:t>12</w:t>
            </w:r>
          </w:p>
        </w:tc>
      </w:tr>
      <w:tr w:rsidR="006C7AA7" w:rsidRPr="00D0306F" w14:paraId="283F4A71" w14:textId="77777777" w:rsidTr="00CC3BF4">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CA2CAC8" w14:textId="77777777" w:rsidR="006C7AA7" w:rsidRPr="00D0306F" w:rsidRDefault="006C7AA7" w:rsidP="00CC3BF4">
            <w:pPr>
              <w:jc w:val="center"/>
              <w:rPr>
                <w:rFonts w:eastAsia="Times New Roman" w:cs="Arial"/>
              </w:rPr>
            </w:pPr>
            <w:r w:rsidRPr="00D0306F">
              <w:rPr>
                <w:rFonts w:eastAsia="Times New Roman" w:cs="Arial"/>
              </w:rPr>
              <w:t>8</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C4A2D9A" w14:textId="77777777" w:rsidR="006C7AA7" w:rsidRPr="00D0306F" w:rsidRDefault="006C7AA7" w:rsidP="00CC3BF4">
            <w:pPr>
              <w:rPr>
                <w:rFonts w:eastAsia="Times New Roman" w:cs="Arial"/>
              </w:rPr>
            </w:pPr>
            <w:r w:rsidRPr="00D0306F">
              <w:rPr>
                <w:rFonts w:eastAsia="Times New Roman" w:cs="Arial"/>
              </w:rPr>
              <w:t>The pharmacy does not deliver medicines</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39" w:type="pct"/>
              <w:tblCellMar>
                <w:left w:w="0" w:type="dxa"/>
                <w:right w:w="0" w:type="dxa"/>
              </w:tblCellMar>
              <w:tblLook w:val="04A0" w:firstRow="1" w:lastRow="0" w:firstColumn="1" w:lastColumn="0" w:noHBand="0" w:noVBand="1"/>
            </w:tblPr>
            <w:tblGrid>
              <w:gridCol w:w="91"/>
            </w:tblGrid>
            <w:tr w:rsidR="006C7AA7" w:rsidRPr="00D0306F" w14:paraId="094C79A7" w14:textId="77777777" w:rsidTr="00CC3BF4">
              <w:tc>
                <w:tcPr>
                  <w:tcW w:w="0" w:type="auto"/>
                  <w:tcBorders>
                    <w:top w:val="single" w:sz="6" w:space="0" w:color="E91E63"/>
                    <w:left w:val="single" w:sz="6" w:space="0" w:color="E91E63"/>
                    <w:bottom w:val="single" w:sz="6" w:space="0" w:color="E91E63"/>
                    <w:right w:val="single" w:sz="6" w:space="0" w:color="E91E63"/>
                  </w:tcBorders>
                  <w:shd w:val="clear" w:color="auto" w:fill="E91E63"/>
                  <w:vAlign w:val="center"/>
                  <w:hideMark/>
                </w:tcPr>
                <w:p w14:paraId="54C449B5"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5E3A76D"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99ADD70" w14:textId="77777777" w:rsidR="006C7AA7" w:rsidRPr="00D0306F" w:rsidRDefault="006C7AA7" w:rsidP="00CC3BF4">
            <w:pPr>
              <w:jc w:val="center"/>
              <w:rPr>
                <w:rFonts w:eastAsia="Times New Roman" w:cs="Arial"/>
              </w:rPr>
            </w:pPr>
            <w:r w:rsidRPr="00D0306F">
              <w:rPr>
                <w:rFonts w:eastAsia="Times New Roman" w:cs="Arial"/>
              </w:rPr>
              <w:t>2.8%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52DC72F" w14:textId="77777777" w:rsidR="006C7AA7" w:rsidRPr="00D0306F" w:rsidRDefault="006C7AA7" w:rsidP="00CC3BF4">
            <w:pPr>
              <w:jc w:val="center"/>
              <w:rPr>
                <w:rFonts w:eastAsia="Times New Roman" w:cs="Arial"/>
              </w:rPr>
            </w:pPr>
            <w:r w:rsidRPr="00D0306F">
              <w:rPr>
                <w:rFonts w:eastAsia="Times New Roman" w:cs="Arial"/>
              </w:rPr>
              <w:t>1</w:t>
            </w:r>
          </w:p>
        </w:tc>
      </w:tr>
      <w:tr w:rsidR="006C7AA7" w:rsidRPr="00D0306F" w14:paraId="69BC8158" w14:textId="77777777" w:rsidTr="00CC3BF4">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F1787E7" w14:textId="77777777" w:rsidR="006C7AA7" w:rsidRPr="00D0306F" w:rsidRDefault="006C7AA7" w:rsidP="00CC3BF4">
            <w:pPr>
              <w:jc w:val="center"/>
              <w:rPr>
                <w:rFonts w:eastAsia="Times New Roman" w:cs="Arial"/>
              </w:rPr>
            </w:pPr>
            <w:r w:rsidRPr="00D0306F">
              <w:rPr>
                <w:rFonts w:eastAsia="Times New Roman" w:cs="Arial"/>
              </w:rPr>
              <w:t>9</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4C55AE5" w14:textId="77777777" w:rsidR="006C7AA7" w:rsidRPr="00D0306F" w:rsidRDefault="006C7AA7" w:rsidP="00CC3BF4">
            <w:pPr>
              <w:rPr>
                <w:rFonts w:eastAsia="Times New Roman" w:cs="Arial"/>
              </w:rPr>
            </w:pPr>
            <w:r w:rsidRPr="00D0306F">
              <w:rPr>
                <w:rFonts w:eastAsia="Times New Roman" w:cs="Arial"/>
              </w:rPr>
              <w:t>There is not enough privacy</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55" w:type="pct"/>
              <w:tblCellMar>
                <w:left w:w="0" w:type="dxa"/>
                <w:right w:w="0" w:type="dxa"/>
              </w:tblCellMar>
              <w:tblLook w:val="04A0" w:firstRow="1" w:lastRow="0" w:firstColumn="1" w:lastColumn="0" w:noHBand="0" w:noVBand="1"/>
            </w:tblPr>
            <w:tblGrid>
              <w:gridCol w:w="363"/>
            </w:tblGrid>
            <w:tr w:rsidR="006C7AA7" w:rsidRPr="00D0306F" w14:paraId="74DB635C" w14:textId="77777777" w:rsidTr="00CC3BF4">
              <w:tc>
                <w:tcPr>
                  <w:tcW w:w="0" w:type="auto"/>
                  <w:tcBorders>
                    <w:top w:val="single" w:sz="6" w:space="0" w:color="009688"/>
                    <w:left w:val="single" w:sz="6" w:space="0" w:color="009688"/>
                    <w:bottom w:val="single" w:sz="6" w:space="0" w:color="009688"/>
                    <w:right w:val="single" w:sz="6" w:space="0" w:color="009688"/>
                  </w:tcBorders>
                  <w:shd w:val="clear" w:color="auto" w:fill="009688"/>
                  <w:vAlign w:val="center"/>
                  <w:hideMark/>
                </w:tcPr>
                <w:p w14:paraId="023CE2F4"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1F7FAD86"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030A3DB" w14:textId="77777777" w:rsidR="006C7AA7" w:rsidRPr="00D0306F" w:rsidRDefault="006C7AA7" w:rsidP="00CC3BF4">
            <w:pPr>
              <w:jc w:val="center"/>
              <w:rPr>
                <w:rFonts w:eastAsia="Times New Roman" w:cs="Arial"/>
              </w:rPr>
            </w:pPr>
            <w:r w:rsidRPr="00D0306F">
              <w:rPr>
                <w:rFonts w:eastAsia="Times New Roman" w:cs="Arial"/>
              </w:rPr>
              <w:t>11.1%</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50AC88C" w14:textId="77777777" w:rsidR="006C7AA7" w:rsidRPr="00D0306F" w:rsidRDefault="006C7AA7" w:rsidP="00CC3BF4">
            <w:pPr>
              <w:jc w:val="center"/>
              <w:rPr>
                <w:rFonts w:eastAsia="Times New Roman" w:cs="Arial"/>
              </w:rPr>
            </w:pPr>
            <w:r w:rsidRPr="00D0306F">
              <w:rPr>
                <w:rFonts w:eastAsia="Times New Roman" w:cs="Arial"/>
              </w:rPr>
              <w:t>4</w:t>
            </w:r>
          </w:p>
        </w:tc>
      </w:tr>
      <w:tr w:rsidR="006C7AA7" w:rsidRPr="00D0306F" w14:paraId="78AED49A" w14:textId="77777777" w:rsidTr="00CC3BF4">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FBAF710" w14:textId="77777777" w:rsidR="006C7AA7" w:rsidRPr="00D0306F" w:rsidRDefault="006C7AA7" w:rsidP="00CC3BF4">
            <w:pPr>
              <w:jc w:val="center"/>
              <w:rPr>
                <w:rFonts w:eastAsia="Times New Roman" w:cs="Arial"/>
              </w:rPr>
            </w:pPr>
            <w:r w:rsidRPr="00D0306F">
              <w:rPr>
                <w:rFonts w:eastAsia="Times New Roman" w:cs="Arial"/>
              </w:rPr>
              <w:t>10</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2A528CF" w14:textId="77777777" w:rsidR="006C7AA7" w:rsidRPr="00D0306F" w:rsidRDefault="006C7AA7" w:rsidP="00CC3BF4">
            <w:pPr>
              <w:rPr>
                <w:rFonts w:eastAsia="Times New Roman" w:cs="Arial"/>
              </w:rPr>
            </w:pPr>
            <w:r w:rsidRPr="00D0306F">
              <w:rPr>
                <w:rFonts w:eastAsia="Times New Roman" w:cs="Arial"/>
              </w:rPr>
              <w:t>It’s not open when I need it</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389" w:type="pct"/>
              <w:tblCellMar>
                <w:left w:w="0" w:type="dxa"/>
                <w:right w:w="0" w:type="dxa"/>
              </w:tblCellMar>
              <w:tblLook w:val="04A0" w:firstRow="1" w:lastRow="0" w:firstColumn="1" w:lastColumn="0" w:noHBand="0" w:noVBand="1"/>
            </w:tblPr>
            <w:tblGrid>
              <w:gridCol w:w="908"/>
            </w:tblGrid>
            <w:tr w:rsidR="006C7AA7" w:rsidRPr="00D0306F" w14:paraId="15755184" w14:textId="77777777" w:rsidTr="00CC3BF4">
              <w:tc>
                <w:tcPr>
                  <w:tcW w:w="0" w:type="auto"/>
                  <w:tcBorders>
                    <w:top w:val="single" w:sz="6" w:space="0" w:color="D32F2F"/>
                    <w:left w:val="single" w:sz="6" w:space="0" w:color="D32F2F"/>
                    <w:bottom w:val="single" w:sz="6" w:space="0" w:color="D32F2F"/>
                    <w:right w:val="single" w:sz="6" w:space="0" w:color="D32F2F"/>
                  </w:tcBorders>
                  <w:shd w:val="clear" w:color="auto" w:fill="D32F2F"/>
                  <w:vAlign w:val="center"/>
                  <w:hideMark/>
                </w:tcPr>
                <w:p w14:paraId="551B5AC0"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0C4FFA8"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090AD8B" w14:textId="77777777" w:rsidR="006C7AA7" w:rsidRPr="00D0306F" w:rsidRDefault="006C7AA7" w:rsidP="00CC3BF4">
            <w:pPr>
              <w:jc w:val="center"/>
              <w:rPr>
                <w:rFonts w:eastAsia="Times New Roman" w:cs="Arial"/>
              </w:rPr>
            </w:pPr>
            <w:r w:rsidRPr="00D0306F">
              <w:rPr>
                <w:rFonts w:eastAsia="Times New Roman" w:cs="Arial"/>
              </w:rPr>
              <w:t>27.8%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95E7B59" w14:textId="77777777" w:rsidR="006C7AA7" w:rsidRPr="00D0306F" w:rsidRDefault="006C7AA7" w:rsidP="00CC3BF4">
            <w:pPr>
              <w:jc w:val="center"/>
              <w:rPr>
                <w:rFonts w:eastAsia="Times New Roman" w:cs="Arial"/>
              </w:rPr>
            </w:pPr>
            <w:r w:rsidRPr="00D0306F">
              <w:rPr>
                <w:rFonts w:eastAsia="Times New Roman" w:cs="Arial"/>
              </w:rPr>
              <w:t>10</w:t>
            </w:r>
          </w:p>
        </w:tc>
      </w:tr>
      <w:tr w:rsidR="006C7AA7" w:rsidRPr="00D0306F" w14:paraId="4849A385" w14:textId="77777777" w:rsidTr="00CC3BF4">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61F1EE4" w14:textId="77777777" w:rsidR="006C7AA7" w:rsidRPr="00D0306F" w:rsidRDefault="006C7AA7" w:rsidP="00CC3BF4">
            <w:pPr>
              <w:jc w:val="center"/>
              <w:rPr>
                <w:rFonts w:eastAsia="Times New Roman" w:cs="Arial"/>
              </w:rPr>
            </w:pPr>
            <w:r w:rsidRPr="00D0306F">
              <w:rPr>
                <w:rFonts w:eastAsia="Times New Roman" w:cs="Arial"/>
              </w:rPr>
              <w:t>11</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2F0EFE9" w14:textId="77777777" w:rsidR="006C7AA7" w:rsidRPr="00D0306F" w:rsidRDefault="006C7AA7" w:rsidP="00CC3BF4">
            <w:pPr>
              <w:rPr>
                <w:rFonts w:eastAsia="Times New Roman" w:cs="Arial"/>
              </w:rPr>
            </w:pPr>
            <w:r w:rsidRPr="00D0306F">
              <w:rPr>
                <w:rFonts w:eastAsia="Times New Roman" w:cs="Arial"/>
              </w:rPr>
              <w:t>It’s not wheelchair/baby buggy friendly</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0030AABF"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613007B"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2065724"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6E829727" w14:textId="77777777" w:rsidTr="00CC3BF4">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C12FBEF" w14:textId="77777777" w:rsidR="006C7AA7" w:rsidRPr="00D0306F" w:rsidRDefault="006C7AA7" w:rsidP="00CC3BF4">
            <w:pPr>
              <w:jc w:val="center"/>
              <w:rPr>
                <w:rFonts w:eastAsia="Times New Roman" w:cs="Arial"/>
              </w:rPr>
            </w:pPr>
            <w:r w:rsidRPr="00D0306F">
              <w:rPr>
                <w:rFonts w:eastAsia="Times New Roman" w:cs="Arial"/>
              </w:rPr>
              <w:lastRenderedPageBreak/>
              <w:t>12</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F57EFC5" w14:textId="77777777" w:rsidR="006C7AA7" w:rsidRPr="00D0306F" w:rsidRDefault="006C7AA7" w:rsidP="00CC3BF4">
            <w:pPr>
              <w:rPr>
                <w:rFonts w:eastAsia="Times New Roman" w:cs="Arial"/>
              </w:rPr>
            </w:pPr>
            <w:r w:rsidRPr="00D0306F">
              <w:rPr>
                <w:rFonts w:eastAsia="Times New Roman" w:cs="Arial"/>
              </w:rPr>
              <w:t>Other:</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72" w:type="pct"/>
              <w:tblCellMar>
                <w:left w:w="0" w:type="dxa"/>
                <w:right w:w="0" w:type="dxa"/>
              </w:tblCellMar>
              <w:tblLook w:val="04A0" w:firstRow="1" w:lastRow="0" w:firstColumn="1" w:lastColumn="0" w:noHBand="0" w:noVBand="1"/>
            </w:tblPr>
            <w:tblGrid>
              <w:gridCol w:w="635"/>
            </w:tblGrid>
            <w:tr w:rsidR="006C7AA7" w:rsidRPr="00D0306F" w14:paraId="087AFB1A" w14:textId="77777777" w:rsidTr="00CC3BF4">
              <w:tc>
                <w:tcPr>
                  <w:tcW w:w="0" w:type="auto"/>
                  <w:tcBorders>
                    <w:top w:val="single" w:sz="6" w:space="0" w:color="CDDC39"/>
                    <w:left w:val="single" w:sz="6" w:space="0" w:color="CDDC39"/>
                    <w:bottom w:val="single" w:sz="6" w:space="0" w:color="CDDC39"/>
                    <w:right w:val="single" w:sz="6" w:space="0" w:color="CDDC39"/>
                  </w:tcBorders>
                  <w:shd w:val="clear" w:color="auto" w:fill="CDDC39"/>
                  <w:vAlign w:val="center"/>
                  <w:hideMark/>
                </w:tcPr>
                <w:p w14:paraId="3B961A47"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70FFB7BC"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D389658" w14:textId="77777777" w:rsidR="006C7AA7" w:rsidRPr="00D0306F" w:rsidRDefault="006C7AA7" w:rsidP="00CC3BF4">
            <w:pPr>
              <w:jc w:val="center"/>
              <w:rPr>
                <w:rFonts w:eastAsia="Times New Roman" w:cs="Arial"/>
              </w:rPr>
            </w:pPr>
            <w:r w:rsidRPr="00D0306F">
              <w:rPr>
                <w:rFonts w:eastAsia="Times New Roman" w:cs="Arial"/>
              </w:rPr>
              <w:t>19.4%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EEC68F1" w14:textId="77777777" w:rsidR="006C7AA7" w:rsidRPr="00D0306F" w:rsidRDefault="006C7AA7" w:rsidP="00CC3BF4">
            <w:pPr>
              <w:jc w:val="center"/>
              <w:rPr>
                <w:rFonts w:eastAsia="Times New Roman" w:cs="Arial"/>
              </w:rPr>
            </w:pPr>
            <w:r w:rsidRPr="00D0306F">
              <w:rPr>
                <w:rFonts w:eastAsia="Times New Roman" w:cs="Arial"/>
              </w:rPr>
              <w:t>7</w:t>
            </w:r>
          </w:p>
        </w:tc>
      </w:tr>
      <w:tr w:rsidR="006C7AA7" w:rsidRPr="00D0306F" w14:paraId="79767013"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22ED9673"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FB1872E"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89BBB8A" w14:textId="77777777" w:rsidR="006C7AA7" w:rsidRPr="00D0306F" w:rsidRDefault="006C7AA7" w:rsidP="00CC3BF4">
            <w:pPr>
              <w:jc w:val="center"/>
              <w:rPr>
                <w:rFonts w:eastAsia="Times New Roman" w:cs="Arial"/>
              </w:rPr>
            </w:pPr>
            <w:r w:rsidRPr="00D0306F">
              <w:rPr>
                <w:rFonts w:eastAsia="Times New Roman" w:cs="Arial"/>
              </w:rPr>
              <w:t>36</w:t>
            </w:r>
          </w:p>
        </w:tc>
      </w:tr>
      <w:tr w:rsidR="006C7AA7" w:rsidRPr="00D0306F" w14:paraId="22490CD2"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4FB68C07"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926BD97"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E44038D" w14:textId="77777777" w:rsidR="006C7AA7" w:rsidRPr="00D0306F" w:rsidRDefault="006C7AA7" w:rsidP="00CC3BF4">
            <w:pPr>
              <w:jc w:val="center"/>
              <w:rPr>
                <w:rFonts w:eastAsia="Times New Roman" w:cs="Arial"/>
              </w:rPr>
            </w:pPr>
            <w:r w:rsidRPr="00D0306F">
              <w:rPr>
                <w:rFonts w:eastAsia="Times New Roman" w:cs="Arial"/>
              </w:rPr>
              <w:t>83</w:t>
            </w:r>
          </w:p>
        </w:tc>
      </w:tr>
      <w:tr w:rsidR="006C7AA7" w:rsidRPr="00D0306F" w14:paraId="56389717" w14:textId="77777777" w:rsidTr="00CC3BF4">
        <w:trPr>
          <w:tblCellSpacing w:w="0" w:type="dxa"/>
          <w:jc w:val="center"/>
        </w:trPr>
        <w:tc>
          <w:tcPr>
            <w:tcW w:w="8920" w:type="dxa"/>
            <w:gridSpan w:val="5"/>
            <w:tcBorders>
              <w:top w:val="single" w:sz="6" w:space="0" w:color="CCCCCC"/>
              <w:right w:val="single" w:sz="6" w:space="0" w:color="CCCCCC"/>
            </w:tcBorders>
            <w:shd w:val="clear" w:color="auto" w:fill="FFFFFF"/>
            <w:tcMar>
              <w:top w:w="120" w:type="dxa"/>
              <w:left w:w="150" w:type="dxa"/>
              <w:bottom w:w="120" w:type="dxa"/>
              <w:right w:w="150" w:type="dxa"/>
            </w:tcMar>
            <w:vAlign w:val="center"/>
            <w:hideMark/>
          </w:tcPr>
          <w:p w14:paraId="677D8A89" w14:textId="77777777" w:rsidR="006C7AA7" w:rsidRPr="00D0306F" w:rsidRDefault="006C7AA7" w:rsidP="00CC3BF4">
            <w:pPr>
              <w:rPr>
                <w:rFonts w:eastAsia="Times New Roman" w:cs="Arial"/>
              </w:rPr>
            </w:pPr>
            <w:r w:rsidRPr="00D0306F">
              <w:rPr>
                <w:rFonts w:eastAsia="Times New Roman" w:cs="Arial"/>
              </w:rPr>
              <w:t>Other: (7)</w:t>
            </w:r>
          </w:p>
        </w:tc>
      </w:tr>
      <w:tr w:rsidR="006C7AA7" w:rsidRPr="00D0306F" w14:paraId="0DA91A1A" w14:textId="77777777" w:rsidTr="00CC3BF4">
        <w:trPr>
          <w:tblCellSpacing w:w="0" w:type="dxa"/>
          <w:jc w:val="center"/>
        </w:trPr>
        <w:tc>
          <w:tcPr>
            <w:tcW w:w="8920" w:type="dxa"/>
            <w:gridSpan w:val="5"/>
            <w:tcBorders>
              <w:top w:val="single" w:sz="6" w:space="0" w:color="CCCCCC"/>
              <w:bottom w:val="single" w:sz="6" w:space="0" w:color="CCCCCC"/>
              <w:right w:val="single" w:sz="6" w:space="0" w:color="CCCCCC"/>
            </w:tcBorders>
            <w:shd w:val="clear" w:color="auto" w:fill="FFFFFF"/>
            <w:tcMar>
              <w:top w:w="0" w:type="dxa"/>
              <w:left w:w="420" w:type="dxa"/>
              <w:bottom w:w="0" w:type="dxa"/>
              <w:right w:w="0" w:type="dxa"/>
            </w:tcMar>
            <w:vAlign w:val="center"/>
            <w:hideMark/>
          </w:tcPr>
          <w:tbl>
            <w:tblPr>
              <w:tblW w:w="5000" w:type="pct"/>
              <w:tblBorders>
                <w:left w:val="single" w:sz="6" w:space="0" w:color="CCCCCC"/>
              </w:tblBorders>
              <w:tblCellMar>
                <w:top w:w="15" w:type="dxa"/>
                <w:left w:w="15" w:type="dxa"/>
                <w:bottom w:w="15" w:type="dxa"/>
                <w:right w:w="15" w:type="dxa"/>
              </w:tblCellMar>
              <w:tblLook w:val="04A0" w:firstRow="1" w:lastRow="0" w:firstColumn="1" w:lastColumn="0" w:noHBand="0" w:noVBand="1"/>
            </w:tblPr>
            <w:tblGrid>
              <w:gridCol w:w="284"/>
              <w:gridCol w:w="1800"/>
              <w:gridCol w:w="6386"/>
            </w:tblGrid>
            <w:tr w:rsidR="006C7AA7" w:rsidRPr="00D0306F" w14:paraId="5E4640FF"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540927B8" w14:textId="77777777" w:rsidR="006C7AA7" w:rsidRPr="00D0306F" w:rsidRDefault="006C7AA7" w:rsidP="00CC3BF4">
                  <w:pPr>
                    <w:jc w:val="center"/>
                    <w:rPr>
                      <w:rFonts w:eastAsia="Times New Roman" w:cs="Arial"/>
                    </w:rPr>
                  </w:pPr>
                  <w:r w:rsidRPr="00D0306F">
                    <w:rPr>
                      <w:rFonts w:eastAsia="Times New Roman" w:cs="Arial"/>
                    </w:rPr>
                    <w:t>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E4599ED"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F2F225E" w14:textId="77777777" w:rsidR="006C7AA7" w:rsidRPr="00D0306F" w:rsidRDefault="006C7AA7" w:rsidP="00CC3BF4">
                  <w:pPr>
                    <w:rPr>
                      <w:rFonts w:eastAsia="Times New Roman" w:cs="Arial"/>
                    </w:rPr>
                  </w:pPr>
                  <w:r w:rsidRPr="00D0306F">
                    <w:rPr>
                      <w:rFonts w:eastAsia="Times New Roman" w:cs="Arial"/>
                    </w:rPr>
                    <w:t xml:space="preserve">Takes days to get medication </w:t>
                  </w:r>
                </w:p>
              </w:tc>
            </w:tr>
            <w:tr w:rsidR="006C7AA7" w:rsidRPr="00D0306F" w14:paraId="3A368CF8"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4838501A" w14:textId="77777777" w:rsidR="006C7AA7" w:rsidRPr="00D0306F" w:rsidRDefault="006C7AA7" w:rsidP="00CC3BF4">
                  <w:pPr>
                    <w:jc w:val="center"/>
                    <w:rPr>
                      <w:rFonts w:eastAsia="Times New Roman" w:cs="Arial"/>
                    </w:rPr>
                  </w:pPr>
                  <w:r w:rsidRPr="00D0306F">
                    <w:rPr>
                      <w:rFonts w:eastAsia="Times New Roman" w:cs="Arial"/>
                    </w:rPr>
                    <w:t>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365CAA4"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31BBD35" w14:textId="77777777" w:rsidR="006C7AA7" w:rsidRPr="00D0306F" w:rsidRDefault="006C7AA7" w:rsidP="00CC3BF4">
                  <w:pPr>
                    <w:rPr>
                      <w:rFonts w:eastAsia="Times New Roman" w:cs="Arial"/>
                    </w:rPr>
                  </w:pPr>
                  <w:r w:rsidRPr="00D0306F">
                    <w:rPr>
                      <w:rFonts w:eastAsia="Times New Roman" w:cs="Arial"/>
                    </w:rPr>
                    <w:t>Staff are rude &amp; service is poor</w:t>
                  </w:r>
                </w:p>
              </w:tc>
            </w:tr>
            <w:tr w:rsidR="006C7AA7" w:rsidRPr="00D0306F" w14:paraId="77160CCC"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59CAE374" w14:textId="77777777" w:rsidR="006C7AA7" w:rsidRPr="00D0306F" w:rsidRDefault="006C7AA7" w:rsidP="00CC3BF4">
                  <w:pPr>
                    <w:jc w:val="center"/>
                    <w:rPr>
                      <w:rFonts w:eastAsia="Times New Roman" w:cs="Arial"/>
                    </w:rPr>
                  </w:pPr>
                  <w:r w:rsidRPr="00D0306F">
                    <w:rPr>
                      <w:rFonts w:eastAsia="Times New Roman" w:cs="Arial"/>
                    </w:rPr>
                    <w:t>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784BF6B"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AB04364" w14:textId="77777777" w:rsidR="006C7AA7" w:rsidRPr="00D0306F" w:rsidRDefault="006C7AA7" w:rsidP="00CC3BF4">
                  <w:pPr>
                    <w:rPr>
                      <w:rFonts w:eastAsia="Times New Roman" w:cs="Arial"/>
                    </w:rPr>
                  </w:pPr>
                  <w:r w:rsidRPr="00D0306F">
                    <w:rPr>
                      <w:rFonts w:eastAsia="Times New Roman" w:cs="Arial"/>
                    </w:rPr>
                    <w:t>It’s too busy</w:t>
                  </w:r>
                </w:p>
              </w:tc>
            </w:tr>
            <w:tr w:rsidR="006C7AA7" w:rsidRPr="00D0306F" w14:paraId="359CE02E"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23F5D42A" w14:textId="77777777" w:rsidR="006C7AA7" w:rsidRPr="00D0306F" w:rsidRDefault="006C7AA7" w:rsidP="00CC3BF4">
                  <w:pPr>
                    <w:jc w:val="center"/>
                    <w:rPr>
                      <w:rFonts w:eastAsia="Times New Roman" w:cs="Arial"/>
                    </w:rPr>
                  </w:pPr>
                  <w:r w:rsidRPr="00D0306F">
                    <w:rPr>
                      <w:rFonts w:eastAsia="Times New Roman" w:cs="Arial"/>
                    </w:rPr>
                    <w:t>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8D91205"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A951D96" w14:textId="77777777" w:rsidR="006C7AA7" w:rsidRPr="00D0306F" w:rsidRDefault="006C7AA7" w:rsidP="00CC3BF4">
                  <w:pPr>
                    <w:rPr>
                      <w:rFonts w:eastAsia="Times New Roman" w:cs="Arial"/>
                    </w:rPr>
                  </w:pPr>
                  <w:r w:rsidRPr="00D0306F">
                    <w:rPr>
                      <w:rFonts w:eastAsia="Times New Roman" w:cs="Arial"/>
                    </w:rPr>
                    <w:t xml:space="preserve">Attitude of staff and being told to come back the following day to pick up antibiotics </w:t>
                  </w:r>
                </w:p>
              </w:tc>
            </w:tr>
            <w:tr w:rsidR="006C7AA7" w:rsidRPr="00D0306F" w14:paraId="4B722C1D"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5E5112A3" w14:textId="77777777" w:rsidR="006C7AA7" w:rsidRPr="00D0306F" w:rsidRDefault="006C7AA7" w:rsidP="00CC3BF4">
                  <w:pPr>
                    <w:jc w:val="center"/>
                    <w:rPr>
                      <w:rFonts w:eastAsia="Times New Roman" w:cs="Arial"/>
                    </w:rPr>
                  </w:pPr>
                  <w:r w:rsidRPr="00D0306F">
                    <w:rPr>
                      <w:rFonts w:eastAsia="Times New Roman" w:cs="Arial"/>
                    </w:rPr>
                    <w:t>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744CD75"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58ADDF7" w14:textId="77777777" w:rsidR="006C7AA7" w:rsidRPr="00D0306F" w:rsidRDefault="006C7AA7" w:rsidP="00CC3BF4">
                  <w:pPr>
                    <w:rPr>
                      <w:rFonts w:eastAsia="Times New Roman" w:cs="Arial"/>
                    </w:rPr>
                  </w:pPr>
                  <w:r w:rsidRPr="00D0306F">
                    <w:rPr>
                      <w:rFonts w:eastAsia="Times New Roman" w:cs="Arial"/>
                    </w:rPr>
                    <w:t>They dont have a 24 hour dispensing machine for prescriptions</w:t>
                  </w:r>
                </w:p>
              </w:tc>
            </w:tr>
            <w:tr w:rsidR="006C7AA7" w:rsidRPr="00D0306F" w14:paraId="5BCBAB11"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76133723" w14:textId="77777777" w:rsidR="006C7AA7" w:rsidRPr="00D0306F" w:rsidRDefault="006C7AA7" w:rsidP="00CC3BF4">
                  <w:pPr>
                    <w:jc w:val="center"/>
                    <w:rPr>
                      <w:rFonts w:eastAsia="Times New Roman" w:cs="Arial"/>
                    </w:rPr>
                  </w:pPr>
                  <w:r w:rsidRPr="00D0306F">
                    <w:rPr>
                      <w:rFonts w:eastAsia="Times New Roman" w:cs="Arial"/>
                    </w:rPr>
                    <w:t>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A373B6A"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3EF3B89" w14:textId="77777777" w:rsidR="006C7AA7" w:rsidRPr="00D0306F" w:rsidRDefault="006C7AA7" w:rsidP="00CC3BF4">
                  <w:pPr>
                    <w:rPr>
                      <w:rFonts w:eastAsia="Times New Roman" w:cs="Arial"/>
                    </w:rPr>
                  </w:pPr>
                  <w:r w:rsidRPr="00D0306F">
                    <w:rPr>
                      <w:rFonts w:eastAsia="Times New Roman" w:cs="Arial"/>
                    </w:rPr>
                    <w:t>I have a good relationship with the pharmacist at my preferred pharmacy.</w:t>
                  </w:r>
                </w:p>
              </w:tc>
            </w:tr>
            <w:tr w:rsidR="006C7AA7" w:rsidRPr="00D0306F" w14:paraId="1B62E631"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2F6EA323" w14:textId="77777777" w:rsidR="006C7AA7" w:rsidRPr="00D0306F" w:rsidRDefault="006C7AA7" w:rsidP="00CC3BF4">
                  <w:pPr>
                    <w:jc w:val="center"/>
                    <w:rPr>
                      <w:rFonts w:eastAsia="Times New Roman" w:cs="Arial"/>
                    </w:rPr>
                  </w:pPr>
                  <w:r w:rsidRPr="00D0306F">
                    <w:rPr>
                      <w:rFonts w:eastAsia="Times New Roman" w:cs="Arial"/>
                    </w:rPr>
                    <w:t>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2754823"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85D3910" w14:textId="77777777" w:rsidR="006C7AA7" w:rsidRPr="00D0306F" w:rsidRDefault="006C7AA7" w:rsidP="00CC3BF4">
                  <w:pPr>
                    <w:rPr>
                      <w:rFonts w:eastAsia="Times New Roman" w:cs="Arial"/>
                    </w:rPr>
                  </w:pPr>
                  <w:r w:rsidRPr="00D0306F">
                    <w:rPr>
                      <w:rFonts w:eastAsia="Times New Roman" w:cs="Arial"/>
                    </w:rPr>
                    <w:t>I've heard bad things from others and so haven't used it.</w:t>
                  </w:r>
                </w:p>
              </w:tc>
            </w:tr>
          </w:tbl>
          <w:p w14:paraId="3C25B54D" w14:textId="77777777" w:rsidR="006C7AA7" w:rsidRPr="00D0306F" w:rsidRDefault="006C7AA7" w:rsidP="00CC3BF4">
            <w:pPr>
              <w:rPr>
                <w:rFonts w:eastAsia="Times New Roman" w:cs="Arial"/>
              </w:rPr>
            </w:pPr>
          </w:p>
        </w:tc>
      </w:tr>
    </w:tbl>
    <w:p w14:paraId="2B5B03BB" w14:textId="77777777" w:rsidR="006C7AA7" w:rsidRPr="00D0306F" w:rsidRDefault="006C7AA7" w:rsidP="006C7AA7">
      <w:pPr>
        <w:rPr>
          <w:rFonts w:eastAsia="Times New Roman" w:cs="Arial"/>
        </w:rPr>
      </w:pPr>
    </w:p>
    <w:p w14:paraId="5DAADDD2" w14:textId="77777777" w:rsidR="006C7AA7" w:rsidRPr="00D0306F" w:rsidRDefault="006C7AA7" w:rsidP="006C7AA7">
      <w:pPr>
        <w:rPr>
          <w:rFonts w:eastAsia="Times New Roman" w:cs="Arial"/>
          <w:b/>
          <w:bCs/>
        </w:rPr>
      </w:pPr>
    </w:p>
    <w:p w14:paraId="7F0CA6AA" w14:textId="77777777" w:rsidR="006C7AA7" w:rsidRPr="00D0306F" w:rsidRDefault="006C7AA7" w:rsidP="006C7AA7">
      <w:pPr>
        <w:rPr>
          <w:rFonts w:eastAsia="Times New Roman" w:cs="Arial"/>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306"/>
        <w:gridCol w:w="2224"/>
        <w:gridCol w:w="3764"/>
        <w:gridCol w:w="1313"/>
        <w:gridCol w:w="1313"/>
      </w:tblGrid>
      <w:tr w:rsidR="006C7AA7" w:rsidRPr="00D0306F" w14:paraId="1E3C69F3"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2362BEBF" w14:textId="77777777" w:rsidR="006C7AA7" w:rsidRPr="00D0306F" w:rsidRDefault="006C7AA7" w:rsidP="00CC3BF4">
            <w:pPr>
              <w:rPr>
                <w:rFonts w:eastAsia="Times New Roman" w:cs="Arial"/>
                <w:b/>
                <w:bCs/>
                <w:color w:val="FFFFFF"/>
              </w:rPr>
            </w:pPr>
            <w:r w:rsidRPr="00D0306F">
              <w:rPr>
                <w:rFonts w:eastAsia="Times New Roman" w:cs="Arial"/>
                <w:b/>
                <w:bCs/>
                <w:color w:val="FFFFFF"/>
              </w:rPr>
              <w:t xml:space="preserve">12. If you go to the pharmacy by yourself or with someone, how do you usually get there? </w:t>
            </w:r>
          </w:p>
        </w:tc>
      </w:tr>
      <w:tr w:rsidR="006C7AA7" w:rsidRPr="00D0306F" w14:paraId="40B99641"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0EB94A79"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756ACA76"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CE60E26"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796133EC" w14:textId="77777777" w:rsidTr="00CC3BF4">
        <w:trPr>
          <w:tblCellSpacing w:w="0" w:type="dxa"/>
          <w:jc w:val="center"/>
        </w:trPr>
        <w:tc>
          <w:tcPr>
            <w:tcW w:w="30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AC61C46" w14:textId="77777777" w:rsidR="006C7AA7" w:rsidRPr="00D0306F" w:rsidRDefault="006C7AA7" w:rsidP="00CC3BF4">
            <w:pPr>
              <w:jc w:val="center"/>
              <w:rPr>
                <w:rFonts w:eastAsia="Times New Roman" w:cs="Arial"/>
              </w:rPr>
            </w:pPr>
            <w:r w:rsidRPr="00D0306F">
              <w:rPr>
                <w:rFonts w:eastAsia="Times New Roman" w:cs="Arial"/>
              </w:rPr>
              <w:t>1</w:t>
            </w:r>
          </w:p>
        </w:tc>
        <w:tc>
          <w:tcPr>
            <w:tcW w:w="222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D37690C" w14:textId="77777777" w:rsidR="006C7AA7" w:rsidRPr="00D0306F" w:rsidRDefault="006C7AA7" w:rsidP="00CC3BF4">
            <w:pPr>
              <w:rPr>
                <w:rFonts w:eastAsia="Times New Roman" w:cs="Arial"/>
              </w:rPr>
            </w:pPr>
            <w:r w:rsidRPr="00D0306F">
              <w:rPr>
                <w:rFonts w:eastAsia="Times New Roman" w:cs="Arial"/>
              </w:rPr>
              <w:t>On foot/wheelchair</w:t>
            </w:r>
          </w:p>
        </w:tc>
        <w:tc>
          <w:tcPr>
            <w:tcW w:w="376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313" w:type="pct"/>
              <w:tblCellMar>
                <w:left w:w="0" w:type="dxa"/>
                <w:right w:w="0" w:type="dxa"/>
              </w:tblCellMar>
              <w:tblLook w:val="04A0" w:firstRow="1" w:lastRow="0" w:firstColumn="1" w:lastColumn="0" w:noHBand="0" w:noVBand="1"/>
            </w:tblPr>
            <w:tblGrid>
              <w:gridCol w:w="949"/>
            </w:tblGrid>
            <w:tr w:rsidR="006C7AA7" w:rsidRPr="00D0306F" w14:paraId="378AC951"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21C5AD01"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25A0CFA"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3B0C9E2" w14:textId="77777777" w:rsidR="006C7AA7" w:rsidRPr="00D0306F" w:rsidRDefault="006C7AA7" w:rsidP="00CC3BF4">
            <w:pPr>
              <w:jc w:val="center"/>
              <w:rPr>
                <w:rFonts w:eastAsia="Times New Roman" w:cs="Arial"/>
              </w:rPr>
            </w:pPr>
            <w:r w:rsidRPr="00D0306F">
              <w:rPr>
                <w:rFonts w:eastAsia="Times New Roman" w:cs="Arial"/>
              </w:rPr>
              <w:t>26.9%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03DAEA2" w14:textId="77777777" w:rsidR="006C7AA7" w:rsidRPr="00D0306F" w:rsidRDefault="006C7AA7" w:rsidP="00CC3BF4">
            <w:pPr>
              <w:jc w:val="center"/>
              <w:rPr>
                <w:rFonts w:eastAsia="Times New Roman" w:cs="Arial"/>
              </w:rPr>
            </w:pPr>
            <w:r w:rsidRPr="00D0306F">
              <w:rPr>
                <w:rFonts w:eastAsia="Times New Roman" w:cs="Arial"/>
              </w:rPr>
              <w:t>32</w:t>
            </w:r>
          </w:p>
        </w:tc>
      </w:tr>
      <w:tr w:rsidR="006C7AA7" w:rsidRPr="00D0306F" w14:paraId="492C1827" w14:textId="77777777" w:rsidTr="00CC3BF4">
        <w:trPr>
          <w:tblCellSpacing w:w="0" w:type="dxa"/>
          <w:jc w:val="center"/>
        </w:trPr>
        <w:tc>
          <w:tcPr>
            <w:tcW w:w="30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111D1FB" w14:textId="77777777" w:rsidR="006C7AA7" w:rsidRPr="00D0306F" w:rsidRDefault="006C7AA7" w:rsidP="00CC3BF4">
            <w:pPr>
              <w:jc w:val="center"/>
              <w:rPr>
                <w:rFonts w:eastAsia="Times New Roman" w:cs="Arial"/>
              </w:rPr>
            </w:pPr>
            <w:r w:rsidRPr="00D0306F">
              <w:rPr>
                <w:rFonts w:eastAsia="Times New Roman" w:cs="Arial"/>
              </w:rPr>
              <w:t>2</w:t>
            </w:r>
          </w:p>
        </w:tc>
        <w:tc>
          <w:tcPr>
            <w:tcW w:w="222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3B15DBB" w14:textId="77777777" w:rsidR="006C7AA7" w:rsidRPr="00D0306F" w:rsidRDefault="006C7AA7" w:rsidP="00CC3BF4">
            <w:pPr>
              <w:rPr>
                <w:rFonts w:eastAsia="Times New Roman" w:cs="Arial"/>
              </w:rPr>
            </w:pPr>
            <w:r w:rsidRPr="00D0306F">
              <w:rPr>
                <w:rFonts w:eastAsia="Times New Roman" w:cs="Arial"/>
              </w:rPr>
              <w:t>By bus</w:t>
            </w:r>
          </w:p>
        </w:tc>
        <w:tc>
          <w:tcPr>
            <w:tcW w:w="376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9" w:type="pct"/>
              <w:tblCellMar>
                <w:left w:w="0" w:type="dxa"/>
                <w:right w:w="0" w:type="dxa"/>
              </w:tblCellMar>
              <w:tblLook w:val="04A0" w:firstRow="1" w:lastRow="0" w:firstColumn="1" w:lastColumn="0" w:noHBand="0" w:noVBand="1"/>
            </w:tblPr>
            <w:tblGrid>
              <w:gridCol w:w="122"/>
            </w:tblGrid>
            <w:tr w:rsidR="006C7AA7" w:rsidRPr="00D0306F" w14:paraId="0253C4C6"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066596B8"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2B08EAF"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A5EB69B" w14:textId="77777777" w:rsidR="006C7AA7" w:rsidRPr="00D0306F" w:rsidRDefault="006C7AA7" w:rsidP="00CC3BF4">
            <w:pPr>
              <w:jc w:val="center"/>
              <w:rPr>
                <w:rFonts w:eastAsia="Times New Roman" w:cs="Arial"/>
              </w:rPr>
            </w:pPr>
            <w:r w:rsidRPr="00D0306F">
              <w:rPr>
                <w:rFonts w:eastAsia="Times New Roman" w:cs="Arial"/>
              </w:rPr>
              <w:t>3.4%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E90196D" w14:textId="77777777" w:rsidR="006C7AA7" w:rsidRPr="00D0306F" w:rsidRDefault="006C7AA7" w:rsidP="00CC3BF4">
            <w:pPr>
              <w:jc w:val="center"/>
              <w:rPr>
                <w:rFonts w:eastAsia="Times New Roman" w:cs="Arial"/>
              </w:rPr>
            </w:pPr>
            <w:r w:rsidRPr="00D0306F">
              <w:rPr>
                <w:rFonts w:eastAsia="Times New Roman" w:cs="Arial"/>
              </w:rPr>
              <w:t>4</w:t>
            </w:r>
          </w:p>
        </w:tc>
      </w:tr>
      <w:tr w:rsidR="006C7AA7" w:rsidRPr="00D0306F" w14:paraId="691F8C29" w14:textId="77777777" w:rsidTr="00CC3BF4">
        <w:trPr>
          <w:tblCellSpacing w:w="0" w:type="dxa"/>
          <w:jc w:val="center"/>
        </w:trPr>
        <w:tc>
          <w:tcPr>
            <w:tcW w:w="30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BA77ACB" w14:textId="77777777" w:rsidR="006C7AA7" w:rsidRPr="00D0306F" w:rsidRDefault="006C7AA7" w:rsidP="00CC3BF4">
            <w:pPr>
              <w:jc w:val="center"/>
              <w:rPr>
                <w:rFonts w:eastAsia="Times New Roman" w:cs="Arial"/>
              </w:rPr>
            </w:pPr>
            <w:r w:rsidRPr="00D0306F">
              <w:rPr>
                <w:rFonts w:eastAsia="Times New Roman" w:cs="Arial"/>
              </w:rPr>
              <w:t>3</w:t>
            </w:r>
          </w:p>
        </w:tc>
        <w:tc>
          <w:tcPr>
            <w:tcW w:w="222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31E836E" w14:textId="77777777" w:rsidR="006C7AA7" w:rsidRPr="00D0306F" w:rsidRDefault="006C7AA7" w:rsidP="00CC3BF4">
            <w:pPr>
              <w:rPr>
                <w:rFonts w:eastAsia="Times New Roman" w:cs="Arial"/>
              </w:rPr>
            </w:pPr>
            <w:r w:rsidRPr="00D0306F">
              <w:rPr>
                <w:rFonts w:eastAsia="Times New Roman" w:cs="Arial"/>
              </w:rPr>
              <w:t>By car</w:t>
            </w:r>
          </w:p>
        </w:tc>
        <w:tc>
          <w:tcPr>
            <w:tcW w:w="376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347" w:type="pct"/>
              <w:tblCellMar>
                <w:left w:w="0" w:type="dxa"/>
                <w:right w:w="0" w:type="dxa"/>
              </w:tblCellMar>
              <w:tblLook w:val="04A0" w:firstRow="1" w:lastRow="0" w:firstColumn="1" w:lastColumn="0" w:noHBand="0" w:noVBand="1"/>
            </w:tblPr>
            <w:tblGrid>
              <w:gridCol w:w="2419"/>
            </w:tblGrid>
            <w:tr w:rsidR="006C7AA7" w:rsidRPr="00D0306F" w14:paraId="25B00B10" w14:textId="77777777" w:rsidTr="00CC3BF4">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64A4E9F3"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DA51AFC"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2091BE5" w14:textId="77777777" w:rsidR="006C7AA7" w:rsidRPr="00D0306F" w:rsidRDefault="006C7AA7" w:rsidP="00CC3BF4">
            <w:pPr>
              <w:jc w:val="center"/>
              <w:rPr>
                <w:rFonts w:eastAsia="Times New Roman" w:cs="Arial"/>
              </w:rPr>
            </w:pPr>
            <w:r w:rsidRPr="00D0306F">
              <w:rPr>
                <w:rFonts w:eastAsia="Times New Roman" w:cs="Arial"/>
              </w:rPr>
              <w:t>66.4%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2802530" w14:textId="77777777" w:rsidR="006C7AA7" w:rsidRPr="00D0306F" w:rsidRDefault="006C7AA7" w:rsidP="00CC3BF4">
            <w:pPr>
              <w:jc w:val="center"/>
              <w:rPr>
                <w:rFonts w:eastAsia="Times New Roman" w:cs="Arial"/>
              </w:rPr>
            </w:pPr>
            <w:r w:rsidRPr="00D0306F">
              <w:rPr>
                <w:rFonts w:eastAsia="Times New Roman" w:cs="Arial"/>
              </w:rPr>
              <w:t>79</w:t>
            </w:r>
          </w:p>
        </w:tc>
      </w:tr>
      <w:tr w:rsidR="006C7AA7" w:rsidRPr="00D0306F" w14:paraId="4CFDCF03" w14:textId="77777777" w:rsidTr="00CC3BF4">
        <w:trPr>
          <w:tblCellSpacing w:w="0" w:type="dxa"/>
          <w:jc w:val="center"/>
        </w:trPr>
        <w:tc>
          <w:tcPr>
            <w:tcW w:w="30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A50E60B" w14:textId="77777777" w:rsidR="006C7AA7" w:rsidRPr="00D0306F" w:rsidRDefault="006C7AA7" w:rsidP="00CC3BF4">
            <w:pPr>
              <w:jc w:val="center"/>
              <w:rPr>
                <w:rFonts w:eastAsia="Times New Roman" w:cs="Arial"/>
              </w:rPr>
            </w:pPr>
            <w:r w:rsidRPr="00D0306F">
              <w:rPr>
                <w:rFonts w:eastAsia="Times New Roman" w:cs="Arial"/>
              </w:rPr>
              <w:t>4</w:t>
            </w:r>
          </w:p>
        </w:tc>
        <w:tc>
          <w:tcPr>
            <w:tcW w:w="222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C963C72" w14:textId="77777777" w:rsidR="006C7AA7" w:rsidRPr="00D0306F" w:rsidRDefault="006C7AA7" w:rsidP="00CC3BF4">
            <w:pPr>
              <w:rPr>
                <w:rFonts w:eastAsia="Times New Roman" w:cs="Arial"/>
              </w:rPr>
            </w:pPr>
            <w:r w:rsidRPr="00D0306F">
              <w:rPr>
                <w:rFonts w:eastAsia="Times New Roman" w:cs="Arial"/>
              </w:rPr>
              <w:t>By bike</w:t>
            </w:r>
          </w:p>
        </w:tc>
        <w:tc>
          <w:tcPr>
            <w:tcW w:w="376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 w:type="pct"/>
              <w:tblCellMar>
                <w:left w:w="0" w:type="dxa"/>
                <w:right w:w="0" w:type="dxa"/>
              </w:tblCellMar>
              <w:tblLook w:val="04A0" w:firstRow="1" w:lastRow="0" w:firstColumn="1" w:lastColumn="0" w:noHBand="0" w:noVBand="1"/>
            </w:tblPr>
            <w:tblGrid>
              <w:gridCol w:w="82"/>
            </w:tblGrid>
            <w:tr w:rsidR="006C7AA7" w:rsidRPr="00D0306F" w14:paraId="6F9E8FC2" w14:textId="77777777" w:rsidTr="00CC3BF4">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7A998C0C"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30FDF8CB"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A3E4C34" w14:textId="77777777" w:rsidR="006C7AA7" w:rsidRPr="00D0306F" w:rsidRDefault="006C7AA7" w:rsidP="00CC3BF4">
            <w:pPr>
              <w:jc w:val="center"/>
              <w:rPr>
                <w:rFonts w:eastAsia="Times New Roman" w:cs="Arial"/>
              </w:rPr>
            </w:pPr>
            <w:r w:rsidRPr="00D0306F">
              <w:rPr>
                <w:rFonts w:eastAsia="Times New Roman" w:cs="Arial"/>
              </w:rPr>
              <w:t>0.8%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2FE332A" w14:textId="77777777" w:rsidR="006C7AA7" w:rsidRPr="00D0306F" w:rsidRDefault="006C7AA7" w:rsidP="00CC3BF4">
            <w:pPr>
              <w:jc w:val="center"/>
              <w:rPr>
                <w:rFonts w:eastAsia="Times New Roman" w:cs="Arial"/>
              </w:rPr>
            </w:pPr>
            <w:r w:rsidRPr="00D0306F">
              <w:rPr>
                <w:rFonts w:eastAsia="Times New Roman" w:cs="Arial"/>
              </w:rPr>
              <w:t>1</w:t>
            </w:r>
          </w:p>
        </w:tc>
      </w:tr>
      <w:tr w:rsidR="006C7AA7" w:rsidRPr="00D0306F" w14:paraId="179465F0" w14:textId="77777777" w:rsidTr="00CC3BF4">
        <w:trPr>
          <w:tblCellSpacing w:w="0" w:type="dxa"/>
          <w:jc w:val="center"/>
        </w:trPr>
        <w:tc>
          <w:tcPr>
            <w:tcW w:w="30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FFB907D" w14:textId="77777777" w:rsidR="006C7AA7" w:rsidRPr="00D0306F" w:rsidRDefault="006C7AA7" w:rsidP="00CC3BF4">
            <w:pPr>
              <w:jc w:val="center"/>
              <w:rPr>
                <w:rFonts w:eastAsia="Times New Roman" w:cs="Arial"/>
              </w:rPr>
            </w:pPr>
            <w:r w:rsidRPr="00D0306F">
              <w:rPr>
                <w:rFonts w:eastAsia="Times New Roman" w:cs="Arial"/>
              </w:rPr>
              <w:t>5</w:t>
            </w:r>
          </w:p>
        </w:tc>
        <w:tc>
          <w:tcPr>
            <w:tcW w:w="222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0E2E28E" w14:textId="77777777" w:rsidR="006C7AA7" w:rsidRPr="00D0306F" w:rsidRDefault="006C7AA7" w:rsidP="00CC3BF4">
            <w:pPr>
              <w:rPr>
                <w:rFonts w:eastAsia="Times New Roman" w:cs="Arial"/>
              </w:rPr>
            </w:pPr>
            <w:r w:rsidRPr="00D0306F">
              <w:rPr>
                <w:rFonts w:eastAsia="Times New Roman" w:cs="Arial"/>
              </w:rPr>
              <w:t>By taxi</w:t>
            </w:r>
          </w:p>
        </w:tc>
        <w:tc>
          <w:tcPr>
            <w:tcW w:w="376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4" w:type="pct"/>
              <w:tblCellMar>
                <w:left w:w="0" w:type="dxa"/>
                <w:right w:w="0" w:type="dxa"/>
              </w:tblCellMar>
              <w:tblLook w:val="04A0" w:firstRow="1" w:lastRow="0" w:firstColumn="1" w:lastColumn="0" w:noHBand="0" w:noVBand="1"/>
            </w:tblPr>
            <w:tblGrid>
              <w:gridCol w:w="82"/>
            </w:tblGrid>
            <w:tr w:rsidR="006C7AA7" w:rsidRPr="00D0306F" w14:paraId="0413E810"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0B1A1E95"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0ABA6E8E"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D2FEEAA" w14:textId="77777777" w:rsidR="006C7AA7" w:rsidRPr="00D0306F" w:rsidRDefault="006C7AA7" w:rsidP="00CC3BF4">
            <w:pPr>
              <w:jc w:val="center"/>
              <w:rPr>
                <w:rFonts w:eastAsia="Times New Roman" w:cs="Arial"/>
              </w:rPr>
            </w:pPr>
            <w:r w:rsidRPr="00D0306F">
              <w:rPr>
                <w:rFonts w:eastAsia="Times New Roman" w:cs="Arial"/>
              </w:rPr>
              <w:t>1.7%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2E3C8A0" w14:textId="77777777" w:rsidR="006C7AA7" w:rsidRPr="00D0306F" w:rsidRDefault="006C7AA7" w:rsidP="00CC3BF4">
            <w:pPr>
              <w:jc w:val="center"/>
              <w:rPr>
                <w:rFonts w:eastAsia="Times New Roman" w:cs="Arial"/>
              </w:rPr>
            </w:pPr>
            <w:r w:rsidRPr="00D0306F">
              <w:rPr>
                <w:rFonts w:eastAsia="Times New Roman" w:cs="Arial"/>
              </w:rPr>
              <w:t>2</w:t>
            </w:r>
          </w:p>
        </w:tc>
      </w:tr>
      <w:tr w:rsidR="006C7AA7" w:rsidRPr="00D0306F" w14:paraId="7F8A25F4" w14:textId="77777777" w:rsidTr="00CC3BF4">
        <w:trPr>
          <w:tblCellSpacing w:w="0" w:type="dxa"/>
          <w:jc w:val="center"/>
        </w:trPr>
        <w:tc>
          <w:tcPr>
            <w:tcW w:w="30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3176A6D" w14:textId="77777777" w:rsidR="006C7AA7" w:rsidRPr="00D0306F" w:rsidRDefault="006C7AA7" w:rsidP="00CC3BF4">
            <w:pPr>
              <w:jc w:val="center"/>
              <w:rPr>
                <w:rFonts w:eastAsia="Times New Roman" w:cs="Arial"/>
              </w:rPr>
            </w:pPr>
            <w:r w:rsidRPr="00D0306F">
              <w:rPr>
                <w:rFonts w:eastAsia="Times New Roman" w:cs="Arial"/>
              </w:rPr>
              <w:t>6</w:t>
            </w:r>
          </w:p>
        </w:tc>
        <w:tc>
          <w:tcPr>
            <w:tcW w:w="222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45AA0F4" w14:textId="77777777" w:rsidR="006C7AA7" w:rsidRPr="00D0306F" w:rsidRDefault="006C7AA7" w:rsidP="00CC3BF4">
            <w:pPr>
              <w:rPr>
                <w:rFonts w:eastAsia="Times New Roman" w:cs="Arial"/>
              </w:rPr>
            </w:pPr>
            <w:r w:rsidRPr="00D0306F">
              <w:rPr>
                <w:rFonts w:eastAsia="Times New Roman" w:cs="Arial"/>
              </w:rPr>
              <w:t>By mobility scooter</w:t>
            </w:r>
          </w:p>
        </w:tc>
        <w:tc>
          <w:tcPr>
            <w:tcW w:w="376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43DD83D0"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4168DDE"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04D462F"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1D0C9068" w14:textId="77777777" w:rsidTr="00CC3BF4">
        <w:trPr>
          <w:tblCellSpacing w:w="0" w:type="dxa"/>
          <w:jc w:val="center"/>
        </w:trPr>
        <w:tc>
          <w:tcPr>
            <w:tcW w:w="30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1DEFA46" w14:textId="77777777" w:rsidR="006C7AA7" w:rsidRPr="00D0306F" w:rsidRDefault="006C7AA7" w:rsidP="00CC3BF4">
            <w:pPr>
              <w:jc w:val="center"/>
              <w:rPr>
                <w:rFonts w:eastAsia="Times New Roman" w:cs="Arial"/>
              </w:rPr>
            </w:pPr>
            <w:r w:rsidRPr="00D0306F">
              <w:rPr>
                <w:rFonts w:eastAsia="Times New Roman" w:cs="Arial"/>
              </w:rPr>
              <w:t>7</w:t>
            </w:r>
          </w:p>
        </w:tc>
        <w:tc>
          <w:tcPr>
            <w:tcW w:w="222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2343A5B" w14:textId="77777777" w:rsidR="006C7AA7" w:rsidRPr="00D0306F" w:rsidRDefault="006C7AA7" w:rsidP="00CC3BF4">
            <w:pPr>
              <w:rPr>
                <w:rFonts w:eastAsia="Times New Roman" w:cs="Arial"/>
              </w:rPr>
            </w:pPr>
            <w:r w:rsidRPr="00D0306F">
              <w:rPr>
                <w:rFonts w:eastAsia="Times New Roman" w:cs="Arial"/>
              </w:rPr>
              <w:t>Not applicable</w:t>
            </w:r>
          </w:p>
        </w:tc>
        <w:tc>
          <w:tcPr>
            <w:tcW w:w="376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 w:type="pct"/>
              <w:tblCellMar>
                <w:left w:w="0" w:type="dxa"/>
                <w:right w:w="0" w:type="dxa"/>
              </w:tblCellMar>
              <w:tblLook w:val="04A0" w:firstRow="1" w:lastRow="0" w:firstColumn="1" w:lastColumn="0" w:noHBand="0" w:noVBand="1"/>
            </w:tblPr>
            <w:tblGrid>
              <w:gridCol w:w="82"/>
            </w:tblGrid>
            <w:tr w:rsidR="006C7AA7" w:rsidRPr="00D0306F" w14:paraId="7D7513FD" w14:textId="77777777" w:rsidTr="00CC3BF4">
              <w:tc>
                <w:tcPr>
                  <w:tcW w:w="0" w:type="auto"/>
                  <w:tcBorders>
                    <w:top w:val="single" w:sz="6" w:space="0" w:color="811CA4"/>
                    <w:left w:val="single" w:sz="6" w:space="0" w:color="811CA4"/>
                    <w:bottom w:val="single" w:sz="6" w:space="0" w:color="811CA4"/>
                    <w:right w:val="single" w:sz="6" w:space="0" w:color="811CA4"/>
                  </w:tcBorders>
                  <w:shd w:val="clear" w:color="auto" w:fill="811CA4"/>
                  <w:vAlign w:val="center"/>
                  <w:hideMark/>
                </w:tcPr>
                <w:p w14:paraId="78AF7053"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0F8CCA39"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736A32F" w14:textId="77777777" w:rsidR="006C7AA7" w:rsidRPr="00D0306F" w:rsidRDefault="006C7AA7" w:rsidP="00CC3BF4">
            <w:pPr>
              <w:jc w:val="center"/>
              <w:rPr>
                <w:rFonts w:eastAsia="Times New Roman" w:cs="Arial"/>
              </w:rPr>
            </w:pPr>
            <w:r w:rsidRPr="00D0306F">
              <w:rPr>
                <w:rFonts w:eastAsia="Times New Roman" w:cs="Arial"/>
              </w:rPr>
              <w:t>0.8%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61EF792" w14:textId="77777777" w:rsidR="006C7AA7" w:rsidRPr="00D0306F" w:rsidRDefault="006C7AA7" w:rsidP="00CC3BF4">
            <w:pPr>
              <w:jc w:val="center"/>
              <w:rPr>
                <w:rFonts w:eastAsia="Times New Roman" w:cs="Arial"/>
              </w:rPr>
            </w:pPr>
            <w:r w:rsidRPr="00D0306F">
              <w:rPr>
                <w:rFonts w:eastAsia="Times New Roman" w:cs="Arial"/>
              </w:rPr>
              <w:t>1</w:t>
            </w:r>
          </w:p>
        </w:tc>
      </w:tr>
      <w:tr w:rsidR="006C7AA7" w:rsidRPr="00D0306F" w14:paraId="26CE54CE" w14:textId="77777777" w:rsidTr="00CC3BF4">
        <w:trPr>
          <w:tblCellSpacing w:w="0" w:type="dxa"/>
          <w:jc w:val="center"/>
        </w:trPr>
        <w:tc>
          <w:tcPr>
            <w:tcW w:w="30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60C9CB5" w14:textId="77777777" w:rsidR="006C7AA7" w:rsidRPr="00D0306F" w:rsidRDefault="006C7AA7" w:rsidP="00CC3BF4">
            <w:pPr>
              <w:jc w:val="center"/>
              <w:rPr>
                <w:rFonts w:eastAsia="Times New Roman" w:cs="Arial"/>
              </w:rPr>
            </w:pPr>
            <w:r w:rsidRPr="00D0306F">
              <w:rPr>
                <w:rFonts w:eastAsia="Times New Roman" w:cs="Arial"/>
              </w:rPr>
              <w:t>8</w:t>
            </w:r>
          </w:p>
        </w:tc>
        <w:tc>
          <w:tcPr>
            <w:tcW w:w="222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CE484B3" w14:textId="77777777" w:rsidR="006C7AA7" w:rsidRPr="00D0306F" w:rsidRDefault="006C7AA7" w:rsidP="00CC3BF4">
            <w:pPr>
              <w:rPr>
                <w:rFonts w:eastAsia="Times New Roman" w:cs="Arial"/>
              </w:rPr>
            </w:pPr>
            <w:r w:rsidRPr="00D0306F">
              <w:rPr>
                <w:rFonts w:eastAsia="Times New Roman" w:cs="Arial"/>
              </w:rPr>
              <w:t>Other:</w:t>
            </w:r>
          </w:p>
        </w:tc>
        <w:tc>
          <w:tcPr>
            <w:tcW w:w="376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55C3A2AA"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D443337"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C6DAE8E"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481917D9"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549826CC"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C153048"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3EA21A3" w14:textId="77777777" w:rsidR="006C7AA7" w:rsidRPr="00D0306F" w:rsidRDefault="006C7AA7" w:rsidP="00CC3BF4">
            <w:pPr>
              <w:jc w:val="center"/>
              <w:rPr>
                <w:rFonts w:eastAsia="Times New Roman" w:cs="Arial"/>
              </w:rPr>
            </w:pPr>
            <w:r w:rsidRPr="00D0306F">
              <w:rPr>
                <w:rFonts w:eastAsia="Times New Roman" w:cs="Arial"/>
              </w:rPr>
              <w:t>119</w:t>
            </w:r>
          </w:p>
        </w:tc>
      </w:tr>
      <w:tr w:rsidR="006C7AA7" w:rsidRPr="00D0306F" w14:paraId="39662492"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05B4AB10"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F13465F"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17FA83E" w14:textId="77777777" w:rsidR="006C7AA7" w:rsidRPr="00D0306F" w:rsidRDefault="006C7AA7" w:rsidP="00CC3BF4">
            <w:pPr>
              <w:jc w:val="center"/>
              <w:rPr>
                <w:rFonts w:eastAsia="Times New Roman" w:cs="Arial"/>
              </w:rPr>
            </w:pPr>
            <w:r w:rsidRPr="00D0306F">
              <w:rPr>
                <w:rFonts w:eastAsia="Times New Roman" w:cs="Arial"/>
              </w:rPr>
              <w:t>0</w:t>
            </w:r>
          </w:p>
        </w:tc>
      </w:tr>
    </w:tbl>
    <w:p w14:paraId="1E95CAE9" w14:textId="77777777" w:rsidR="006C7AA7" w:rsidRPr="00D0306F" w:rsidRDefault="006C7AA7" w:rsidP="006C7AA7">
      <w:pPr>
        <w:rPr>
          <w:rFonts w:eastAsia="Times New Roman" w:cs="Arial"/>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8"/>
        <w:gridCol w:w="2122"/>
        <w:gridCol w:w="3874"/>
        <w:gridCol w:w="1313"/>
        <w:gridCol w:w="1313"/>
      </w:tblGrid>
      <w:tr w:rsidR="006C7AA7" w:rsidRPr="00D0306F" w14:paraId="5D7B2C54"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73960643" w14:textId="77777777" w:rsidR="006C7AA7" w:rsidRPr="00D0306F" w:rsidRDefault="006C7AA7" w:rsidP="00CC3BF4">
            <w:pPr>
              <w:rPr>
                <w:rFonts w:eastAsia="Times New Roman" w:cs="Arial"/>
                <w:b/>
                <w:bCs/>
                <w:color w:val="FFFFFF"/>
              </w:rPr>
            </w:pPr>
            <w:r w:rsidRPr="00D0306F">
              <w:rPr>
                <w:rFonts w:eastAsia="Times New Roman" w:cs="Arial"/>
                <w:b/>
                <w:bCs/>
                <w:color w:val="FFFFFF"/>
              </w:rPr>
              <w:lastRenderedPageBreak/>
              <w:t xml:space="preserve">13. ...and how long does it usually take to get there? </w:t>
            </w:r>
          </w:p>
        </w:tc>
      </w:tr>
      <w:tr w:rsidR="006C7AA7" w:rsidRPr="00D0306F" w14:paraId="2C244409"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5960733F"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643224D5"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72BBDD43"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049B8670"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652C7F1" w14:textId="77777777" w:rsidR="006C7AA7" w:rsidRPr="00D0306F" w:rsidRDefault="006C7AA7" w:rsidP="00CC3BF4">
            <w:pPr>
              <w:jc w:val="center"/>
              <w:rPr>
                <w:rFonts w:eastAsia="Times New Roman" w:cs="Arial"/>
              </w:rPr>
            </w:pPr>
            <w:r w:rsidRPr="00D0306F">
              <w:rPr>
                <w:rFonts w:eastAsia="Times New Roman" w:cs="Arial"/>
              </w:rPr>
              <w:t>1</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0CD24A5" w14:textId="77777777" w:rsidR="006C7AA7" w:rsidRPr="00D0306F" w:rsidRDefault="006C7AA7" w:rsidP="00CC3BF4">
            <w:pPr>
              <w:rPr>
                <w:rFonts w:eastAsia="Times New Roman" w:cs="Arial"/>
              </w:rPr>
            </w:pPr>
            <w:r w:rsidRPr="00D0306F">
              <w:rPr>
                <w:rFonts w:eastAsia="Times New Roman" w:cs="Arial"/>
              </w:rPr>
              <w:t>Less than 5 minutes</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24" w:type="pct"/>
              <w:tblCellMar>
                <w:left w:w="0" w:type="dxa"/>
                <w:right w:w="0" w:type="dxa"/>
              </w:tblCellMar>
              <w:tblLook w:val="04A0" w:firstRow="1" w:lastRow="0" w:firstColumn="1" w:lastColumn="0" w:noHBand="0" w:noVBand="1"/>
            </w:tblPr>
            <w:tblGrid>
              <w:gridCol w:w="1209"/>
            </w:tblGrid>
            <w:tr w:rsidR="006C7AA7" w:rsidRPr="00D0306F" w14:paraId="2A6B4ACC"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49039B58"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7121470D"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4AFC0D9" w14:textId="77777777" w:rsidR="006C7AA7" w:rsidRPr="00D0306F" w:rsidRDefault="006C7AA7" w:rsidP="00CC3BF4">
            <w:pPr>
              <w:jc w:val="center"/>
              <w:rPr>
                <w:rFonts w:eastAsia="Times New Roman" w:cs="Arial"/>
              </w:rPr>
            </w:pPr>
            <w:r w:rsidRPr="00D0306F">
              <w:rPr>
                <w:rFonts w:eastAsia="Times New Roman" w:cs="Arial"/>
              </w:rPr>
              <w:t>33.1%</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58619E1" w14:textId="77777777" w:rsidR="006C7AA7" w:rsidRPr="00D0306F" w:rsidRDefault="006C7AA7" w:rsidP="00CC3BF4">
            <w:pPr>
              <w:jc w:val="center"/>
              <w:rPr>
                <w:rFonts w:eastAsia="Times New Roman" w:cs="Arial"/>
              </w:rPr>
            </w:pPr>
            <w:r w:rsidRPr="00D0306F">
              <w:rPr>
                <w:rFonts w:eastAsia="Times New Roman" w:cs="Arial"/>
              </w:rPr>
              <w:t>39</w:t>
            </w:r>
          </w:p>
        </w:tc>
      </w:tr>
      <w:tr w:rsidR="006C7AA7" w:rsidRPr="00D0306F" w14:paraId="2A42503C"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D8124EB" w14:textId="77777777" w:rsidR="006C7AA7" w:rsidRPr="00D0306F" w:rsidRDefault="006C7AA7" w:rsidP="00CC3BF4">
            <w:pPr>
              <w:jc w:val="center"/>
              <w:rPr>
                <w:rFonts w:eastAsia="Times New Roman" w:cs="Arial"/>
              </w:rPr>
            </w:pPr>
            <w:r w:rsidRPr="00D0306F">
              <w:rPr>
                <w:rFonts w:eastAsia="Times New Roman" w:cs="Arial"/>
              </w:rPr>
              <w:t>2</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E7227FC" w14:textId="77777777" w:rsidR="006C7AA7" w:rsidRPr="00D0306F" w:rsidRDefault="006C7AA7" w:rsidP="00CC3BF4">
            <w:pPr>
              <w:rPr>
                <w:rFonts w:eastAsia="Times New Roman" w:cs="Arial"/>
              </w:rPr>
            </w:pPr>
            <w:r w:rsidRPr="00D0306F">
              <w:rPr>
                <w:rFonts w:eastAsia="Times New Roman" w:cs="Arial"/>
              </w:rPr>
              <w:t>Between 5 and 15 minutes</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863" w:type="pct"/>
              <w:tblCellMar>
                <w:left w:w="0" w:type="dxa"/>
                <w:right w:w="0" w:type="dxa"/>
              </w:tblCellMar>
              <w:tblLook w:val="04A0" w:firstRow="1" w:lastRow="0" w:firstColumn="1" w:lastColumn="0" w:noHBand="0" w:noVBand="1"/>
            </w:tblPr>
            <w:tblGrid>
              <w:gridCol w:w="2132"/>
            </w:tblGrid>
            <w:tr w:rsidR="006C7AA7" w:rsidRPr="00D0306F" w14:paraId="6463F03A"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3C74B581"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903BD28"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F7C8A70" w14:textId="77777777" w:rsidR="006C7AA7" w:rsidRPr="00D0306F" w:rsidRDefault="006C7AA7" w:rsidP="00CC3BF4">
            <w:pPr>
              <w:jc w:val="center"/>
              <w:rPr>
                <w:rFonts w:eastAsia="Times New Roman" w:cs="Arial"/>
              </w:rPr>
            </w:pPr>
            <w:r w:rsidRPr="00D0306F">
              <w:rPr>
                <w:rFonts w:eastAsia="Times New Roman" w:cs="Arial"/>
              </w:rPr>
              <w:t>56.8%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7D7BB88" w14:textId="77777777" w:rsidR="006C7AA7" w:rsidRPr="00D0306F" w:rsidRDefault="006C7AA7" w:rsidP="00CC3BF4">
            <w:pPr>
              <w:jc w:val="center"/>
              <w:rPr>
                <w:rFonts w:eastAsia="Times New Roman" w:cs="Arial"/>
              </w:rPr>
            </w:pPr>
            <w:r w:rsidRPr="00D0306F">
              <w:rPr>
                <w:rFonts w:eastAsia="Times New Roman" w:cs="Arial"/>
              </w:rPr>
              <w:t>67</w:t>
            </w:r>
          </w:p>
        </w:tc>
      </w:tr>
      <w:tr w:rsidR="006C7AA7" w:rsidRPr="00D0306F" w14:paraId="770E2FE7"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D0CE324" w14:textId="77777777" w:rsidR="006C7AA7" w:rsidRPr="00D0306F" w:rsidRDefault="006C7AA7" w:rsidP="00CC3BF4">
            <w:pPr>
              <w:jc w:val="center"/>
              <w:rPr>
                <w:rFonts w:eastAsia="Times New Roman" w:cs="Arial"/>
              </w:rPr>
            </w:pPr>
            <w:r w:rsidRPr="00D0306F">
              <w:rPr>
                <w:rFonts w:eastAsia="Times New Roman" w:cs="Arial"/>
              </w:rPr>
              <w:t>3</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272B1A6" w14:textId="77777777" w:rsidR="006C7AA7" w:rsidRPr="00D0306F" w:rsidRDefault="006C7AA7" w:rsidP="00CC3BF4">
            <w:pPr>
              <w:rPr>
                <w:rFonts w:eastAsia="Times New Roman" w:cs="Arial"/>
              </w:rPr>
            </w:pPr>
            <w:r w:rsidRPr="00D0306F">
              <w:rPr>
                <w:rFonts w:eastAsia="Times New Roman" w:cs="Arial"/>
              </w:rPr>
              <w:t>More than 15 minutes but less than 20 minutes</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42" w:type="pct"/>
              <w:tblCellMar>
                <w:left w:w="0" w:type="dxa"/>
                <w:right w:w="0" w:type="dxa"/>
              </w:tblCellMar>
              <w:tblLook w:val="04A0" w:firstRow="1" w:lastRow="0" w:firstColumn="1" w:lastColumn="0" w:noHBand="0" w:noVBand="1"/>
            </w:tblPr>
            <w:tblGrid>
              <w:gridCol w:w="255"/>
            </w:tblGrid>
            <w:tr w:rsidR="006C7AA7" w:rsidRPr="00D0306F" w14:paraId="35DB4D9F" w14:textId="77777777" w:rsidTr="00CC3BF4">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0515F16B"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393D9CA0"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BAE88CF" w14:textId="77777777" w:rsidR="006C7AA7" w:rsidRPr="00D0306F" w:rsidRDefault="006C7AA7" w:rsidP="00CC3BF4">
            <w:pPr>
              <w:jc w:val="center"/>
              <w:rPr>
                <w:rFonts w:eastAsia="Times New Roman" w:cs="Arial"/>
              </w:rPr>
            </w:pPr>
            <w:r w:rsidRPr="00D0306F">
              <w:rPr>
                <w:rFonts w:eastAsia="Times New Roman" w:cs="Arial"/>
              </w:rPr>
              <w:t>6.8%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1C32924" w14:textId="77777777" w:rsidR="006C7AA7" w:rsidRPr="00D0306F" w:rsidRDefault="006C7AA7" w:rsidP="00CC3BF4">
            <w:pPr>
              <w:jc w:val="center"/>
              <w:rPr>
                <w:rFonts w:eastAsia="Times New Roman" w:cs="Arial"/>
              </w:rPr>
            </w:pPr>
            <w:r w:rsidRPr="00D0306F">
              <w:rPr>
                <w:rFonts w:eastAsia="Times New Roman" w:cs="Arial"/>
              </w:rPr>
              <w:t>8</w:t>
            </w:r>
          </w:p>
        </w:tc>
      </w:tr>
      <w:tr w:rsidR="006C7AA7" w:rsidRPr="00D0306F" w14:paraId="14D66FFB"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650AB59" w14:textId="77777777" w:rsidR="006C7AA7" w:rsidRPr="00D0306F" w:rsidRDefault="006C7AA7" w:rsidP="00CC3BF4">
            <w:pPr>
              <w:jc w:val="center"/>
              <w:rPr>
                <w:rFonts w:eastAsia="Times New Roman" w:cs="Arial"/>
              </w:rPr>
            </w:pPr>
            <w:r w:rsidRPr="00D0306F">
              <w:rPr>
                <w:rFonts w:eastAsia="Times New Roman" w:cs="Arial"/>
              </w:rPr>
              <w:t>4</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FCA6E0B" w14:textId="77777777" w:rsidR="006C7AA7" w:rsidRPr="00D0306F" w:rsidRDefault="006C7AA7" w:rsidP="00CC3BF4">
            <w:pPr>
              <w:rPr>
                <w:rFonts w:eastAsia="Times New Roman" w:cs="Arial"/>
              </w:rPr>
            </w:pPr>
            <w:r w:rsidRPr="00D0306F">
              <w:rPr>
                <w:rFonts w:eastAsia="Times New Roman" w:cs="Arial"/>
              </w:rPr>
              <w:t>More than 20 minutes</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71" w:type="pct"/>
              <w:tblCellMar>
                <w:left w:w="0" w:type="dxa"/>
                <w:right w:w="0" w:type="dxa"/>
              </w:tblCellMar>
              <w:tblLook w:val="04A0" w:firstRow="1" w:lastRow="0" w:firstColumn="1" w:lastColumn="0" w:noHBand="0" w:noVBand="1"/>
            </w:tblPr>
            <w:tblGrid>
              <w:gridCol w:w="127"/>
            </w:tblGrid>
            <w:tr w:rsidR="006C7AA7" w:rsidRPr="00D0306F" w14:paraId="7F497D3E" w14:textId="77777777" w:rsidTr="00CC3BF4">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63EC6772"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4156A4E4"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40091ED" w14:textId="77777777" w:rsidR="006C7AA7" w:rsidRPr="00D0306F" w:rsidRDefault="006C7AA7" w:rsidP="00CC3BF4">
            <w:pPr>
              <w:jc w:val="center"/>
              <w:rPr>
                <w:rFonts w:eastAsia="Times New Roman" w:cs="Arial"/>
              </w:rPr>
            </w:pPr>
            <w:r w:rsidRPr="00D0306F">
              <w:rPr>
                <w:rFonts w:eastAsia="Times New Roman" w:cs="Arial"/>
              </w:rPr>
              <w:t>3.4%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4EAF56F" w14:textId="77777777" w:rsidR="006C7AA7" w:rsidRPr="00D0306F" w:rsidRDefault="006C7AA7" w:rsidP="00CC3BF4">
            <w:pPr>
              <w:jc w:val="center"/>
              <w:rPr>
                <w:rFonts w:eastAsia="Times New Roman" w:cs="Arial"/>
              </w:rPr>
            </w:pPr>
            <w:r w:rsidRPr="00D0306F">
              <w:rPr>
                <w:rFonts w:eastAsia="Times New Roman" w:cs="Arial"/>
              </w:rPr>
              <w:t>4</w:t>
            </w:r>
          </w:p>
        </w:tc>
      </w:tr>
      <w:tr w:rsidR="006C7AA7" w:rsidRPr="00D0306F" w14:paraId="0B785E96"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01929CB2"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0920817"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D4D59BC" w14:textId="77777777" w:rsidR="006C7AA7" w:rsidRPr="00D0306F" w:rsidRDefault="006C7AA7" w:rsidP="00CC3BF4">
            <w:pPr>
              <w:jc w:val="center"/>
              <w:rPr>
                <w:rFonts w:eastAsia="Times New Roman" w:cs="Arial"/>
              </w:rPr>
            </w:pPr>
            <w:r w:rsidRPr="00D0306F">
              <w:rPr>
                <w:rFonts w:eastAsia="Times New Roman" w:cs="Arial"/>
              </w:rPr>
              <w:t>118</w:t>
            </w:r>
          </w:p>
        </w:tc>
      </w:tr>
      <w:tr w:rsidR="006C7AA7" w:rsidRPr="00D0306F" w14:paraId="59087E3F"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23D15971"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160F953"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049C49C" w14:textId="77777777" w:rsidR="006C7AA7" w:rsidRPr="00D0306F" w:rsidRDefault="006C7AA7" w:rsidP="00CC3BF4">
            <w:pPr>
              <w:jc w:val="center"/>
              <w:rPr>
                <w:rFonts w:eastAsia="Times New Roman" w:cs="Arial"/>
              </w:rPr>
            </w:pPr>
            <w:r w:rsidRPr="00D0306F">
              <w:rPr>
                <w:rFonts w:eastAsia="Times New Roman" w:cs="Arial"/>
              </w:rPr>
              <w:t>1</w:t>
            </w:r>
          </w:p>
        </w:tc>
      </w:tr>
    </w:tbl>
    <w:p w14:paraId="35E00E2E" w14:textId="77777777" w:rsidR="006C7AA7" w:rsidRPr="00D0306F" w:rsidRDefault="006C7AA7" w:rsidP="006C7AA7">
      <w:pPr>
        <w:rPr>
          <w:rFonts w:eastAsia="Times New Roman" w:cs="Arial"/>
          <w:b/>
          <w:bCs/>
        </w:rPr>
      </w:pPr>
    </w:p>
    <w:p w14:paraId="6F8CC5A3" w14:textId="77777777" w:rsidR="006C7AA7" w:rsidRPr="00D0306F" w:rsidRDefault="006C7AA7" w:rsidP="006C7AA7">
      <w:pPr>
        <w:rPr>
          <w:rFonts w:eastAsia="Times New Roman" w:cs="Arial"/>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8"/>
        <w:gridCol w:w="2136"/>
        <w:gridCol w:w="3860"/>
        <w:gridCol w:w="1313"/>
        <w:gridCol w:w="1313"/>
      </w:tblGrid>
      <w:tr w:rsidR="006C7AA7" w:rsidRPr="00D0306F" w14:paraId="01CA386B" w14:textId="77777777" w:rsidTr="00CC3BF4">
        <w:trPr>
          <w:trHeight w:val="600"/>
          <w:tblHeader/>
          <w:tblCellSpacing w:w="0" w:type="dxa"/>
          <w:jc w:val="center"/>
        </w:trPr>
        <w:tc>
          <w:tcPr>
            <w:tcW w:w="0" w:type="auto"/>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0686F0A2" w14:textId="77777777" w:rsidR="006C7AA7" w:rsidRPr="00D0306F" w:rsidRDefault="006C7AA7" w:rsidP="00CC3BF4">
            <w:pPr>
              <w:rPr>
                <w:rFonts w:eastAsia="Times New Roman" w:cs="Arial"/>
                <w:b/>
                <w:bCs/>
                <w:color w:val="FFFFFF"/>
              </w:rPr>
            </w:pPr>
            <w:r w:rsidRPr="00D0306F">
              <w:rPr>
                <w:rFonts w:eastAsia="Times New Roman" w:cs="Arial"/>
                <w:b/>
                <w:bCs/>
                <w:color w:val="FFFFFF"/>
              </w:rPr>
              <w:t xml:space="preserve">14. Would you say that you usually have difficulty in getting to a pharmacy? </w:t>
            </w:r>
          </w:p>
        </w:tc>
      </w:tr>
      <w:tr w:rsidR="006C7AA7" w:rsidRPr="00D0306F" w14:paraId="23794AF2" w14:textId="77777777" w:rsidTr="00CC3BF4">
        <w:trPr>
          <w:trHeight w:val="360"/>
          <w:tblCellSpacing w:w="0" w:type="dxa"/>
          <w:jc w:val="center"/>
        </w:trPr>
        <w:tc>
          <w:tcPr>
            <w:tcW w:w="6885"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45E311E0"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3319046"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0F78AC5E"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667249C5"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F3CF39C" w14:textId="77777777" w:rsidR="006C7AA7" w:rsidRPr="00D0306F" w:rsidRDefault="006C7AA7" w:rsidP="00CC3BF4">
            <w:pPr>
              <w:jc w:val="center"/>
              <w:rPr>
                <w:rFonts w:eastAsia="Times New Roman" w:cs="Arial"/>
              </w:rPr>
            </w:pPr>
            <w:r w:rsidRPr="00D0306F">
              <w:rPr>
                <w:rFonts w:eastAsia="Times New Roman" w:cs="Arial"/>
              </w:rPr>
              <w:t>1</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05AB5BC" w14:textId="77777777" w:rsidR="006C7AA7" w:rsidRPr="00D0306F" w:rsidRDefault="006C7AA7" w:rsidP="00CC3BF4">
            <w:pPr>
              <w:rPr>
                <w:rFonts w:eastAsia="Times New Roman" w:cs="Arial"/>
              </w:rPr>
            </w:pPr>
            <w:r w:rsidRPr="00D0306F">
              <w:rPr>
                <w:rFonts w:eastAsia="Times New Roman" w:cs="Arial"/>
              </w:rPr>
              <w:t>Yes</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96" w:type="pct"/>
              <w:tblCellMar>
                <w:left w:w="0" w:type="dxa"/>
                <w:right w:w="0" w:type="dxa"/>
              </w:tblCellMar>
              <w:tblLook w:val="04A0" w:firstRow="1" w:lastRow="0" w:firstColumn="1" w:lastColumn="0" w:noHBand="0" w:noVBand="1"/>
            </w:tblPr>
            <w:tblGrid>
              <w:gridCol w:w="220"/>
            </w:tblGrid>
            <w:tr w:rsidR="006C7AA7" w:rsidRPr="00D0306F" w14:paraId="3BF54186"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12FAD620"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4ADF787D"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A1E1FD5" w14:textId="77777777" w:rsidR="006C7AA7" w:rsidRPr="00D0306F" w:rsidRDefault="006C7AA7" w:rsidP="00CC3BF4">
            <w:pPr>
              <w:jc w:val="center"/>
              <w:rPr>
                <w:rFonts w:eastAsia="Times New Roman" w:cs="Arial"/>
              </w:rPr>
            </w:pPr>
            <w:r w:rsidRPr="00D0306F">
              <w:rPr>
                <w:rFonts w:eastAsia="Times New Roman" w:cs="Arial"/>
              </w:rPr>
              <w:t>5.9%</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0B83912" w14:textId="77777777" w:rsidR="006C7AA7" w:rsidRPr="00D0306F" w:rsidRDefault="006C7AA7" w:rsidP="00CC3BF4">
            <w:pPr>
              <w:jc w:val="center"/>
              <w:rPr>
                <w:rFonts w:eastAsia="Times New Roman" w:cs="Arial"/>
              </w:rPr>
            </w:pPr>
            <w:r w:rsidRPr="00D0306F">
              <w:rPr>
                <w:rFonts w:eastAsia="Times New Roman" w:cs="Arial"/>
              </w:rPr>
              <w:t>7</w:t>
            </w:r>
          </w:p>
        </w:tc>
      </w:tr>
      <w:tr w:rsidR="006C7AA7" w:rsidRPr="00D0306F" w14:paraId="307CF0B6"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984E980" w14:textId="77777777" w:rsidR="006C7AA7" w:rsidRPr="00D0306F" w:rsidRDefault="006C7AA7" w:rsidP="00CC3BF4">
            <w:pPr>
              <w:jc w:val="center"/>
              <w:rPr>
                <w:rFonts w:eastAsia="Times New Roman" w:cs="Arial"/>
              </w:rPr>
            </w:pPr>
            <w:r w:rsidRPr="00D0306F">
              <w:rPr>
                <w:rFonts w:eastAsia="Times New Roman" w:cs="Arial"/>
              </w:rPr>
              <w:t>2</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AFEB2AA" w14:textId="77777777" w:rsidR="006C7AA7" w:rsidRPr="00D0306F" w:rsidRDefault="006C7AA7" w:rsidP="00CC3BF4">
            <w:pPr>
              <w:rPr>
                <w:rFonts w:eastAsia="Times New Roman" w:cs="Arial"/>
              </w:rPr>
            </w:pPr>
            <w:r w:rsidRPr="00D0306F">
              <w:rPr>
                <w:rFonts w:eastAsia="Times New Roman" w:cs="Arial"/>
              </w:rPr>
              <w:t>No</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534" w:type="pct"/>
              <w:tblCellMar>
                <w:left w:w="0" w:type="dxa"/>
                <w:right w:w="0" w:type="dxa"/>
              </w:tblCellMar>
              <w:tblLook w:val="04A0" w:firstRow="1" w:lastRow="0" w:firstColumn="1" w:lastColumn="0" w:noHBand="0" w:noVBand="1"/>
            </w:tblPr>
            <w:tblGrid>
              <w:gridCol w:w="3363"/>
            </w:tblGrid>
            <w:tr w:rsidR="006C7AA7" w:rsidRPr="00D0306F" w14:paraId="1A343F6C"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6818CB18"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171D4B2"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6F98EEC" w14:textId="77777777" w:rsidR="006C7AA7" w:rsidRPr="00D0306F" w:rsidRDefault="006C7AA7" w:rsidP="00CC3BF4">
            <w:pPr>
              <w:jc w:val="center"/>
              <w:rPr>
                <w:rFonts w:eastAsia="Times New Roman" w:cs="Arial"/>
              </w:rPr>
            </w:pPr>
            <w:r w:rsidRPr="00D0306F">
              <w:rPr>
                <w:rFonts w:eastAsia="Times New Roman" w:cs="Arial"/>
              </w:rPr>
              <w:t>90.8%</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EECE0E9" w14:textId="77777777" w:rsidR="006C7AA7" w:rsidRPr="00D0306F" w:rsidRDefault="006C7AA7" w:rsidP="00CC3BF4">
            <w:pPr>
              <w:jc w:val="center"/>
              <w:rPr>
                <w:rFonts w:eastAsia="Times New Roman" w:cs="Arial"/>
              </w:rPr>
            </w:pPr>
            <w:r w:rsidRPr="00D0306F">
              <w:rPr>
                <w:rFonts w:eastAsia="Times New Roman" w:cs="Arial"/>
              </w:rPr>
              <w:t>108</w:t>
            </w:r>
          </w:p>
        </w:tc>
      </w:tr>
      <w:tr w:rsidR="006C7AA7" w:rsidRPr="00D0306F" w14:paraId="73E3101B"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42B3415" w14:textId="77777777" w:rsidR="006C7AA7" w:rsidRPr="00D0306F" w:rsidRDefault="006C7AA7" w:rsidP="00CC3BF4">
            <w:pPr>
              <w:jc w:val="center"/>
              <w:rPr>
                <w:rFonts w:eastAsia="Times New Roman" w:cs="Arial"/>
              </w:rPr>
            </w:pPr>
            <w:r w:rsidRPr="00D0306F">
              <w:rPr>
                <w:rFonts w:eastAsia="Times New Roman" w:cs="Arial"/>
              </w:rPr>
              <w:t>3</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879EBC9" w14:textId="77777777" w:rsidR="006C7AA7" w:rsidRPr="00D0306F" w:rsidRDefault="006C7AA7" w:rsidP="00CC3BF4">
            <w:pPr>
              <w:rPr>
                <w:rFonts w:eastAsia="Times New Roman" w:cs="Arial"/>
              </w:rPr>
            </w:pPr>
            <w:r w:rsidRPr="00D0306F">
              <w:rPr>
                <w:rFonts w:eastAsia="Times New Roman" w:cs="Arial"/>
              </w:rPr>
              <w:t>Not applicable</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9" w:type="pct"/>
              <w:tblCellMar>
                <w:left w:w="0" w:type="dxa"/>
                <w:right w:w="0" w:type="dxa"/>
              </w:tblCellMar>
              <w:tblLook w:val="04A0" w:firstRow="1" w:lastRow="0" w:firstColumn="1" w:lastColumn="0" w:noHBand="0" w:noVBand="1"/>
            </w:tblPr>
            <w:tblGrid>
              <w:gridCol w:w="125"/>
            </w:tblGrid>
            <w:tr w:rsidR="006C7AA7" w:rsidRPr="00D0306F" w14:paraId="1987A7F5" w14:textId="77777777" w:rsidTr="00CC3BF4">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085755EA"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04433374"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119ADA1" w14:textId="77777777" w:rsidR="006C7AA7" w:rsidRPr="00D0306F" w:rsidRDefault="006C7AA7" w:rsidP="00CC3BF4">
            <w:pPr>
              <w:jc w:val="center"/>
              <w:rPr>
                <w:rFonts w:eastAsia="Times New Roman" w:cs="Arial"/>
              </w:rPr>
            </w:pPr>
            <w:r w:rsidRPr="00D0306F">
              <w:rPr>
                <w:rFonts w:eastAsia="Times New Roman" w:cs="Arial"/>
              </w:rPr>
              <w:t>3.4%</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126ADB6" w14:textId="77777777" w:rsidR="006C7AA7" w:rsidRPr="00D0306F" w:rsidRDefault="006C7AA7" w:rsidP="00CC3BF4">
            <w:pPr>
              <w:jc w:val="center"/>
              <w:rPr>
                <w:rFonts w:eastAsia="Times New Roman" w:cs="Arial"/>
              </w:rPr>
            </w:pPr>
            <w:r w:rsidRPr="00D0306F">
              <w:rPr>
                <w:rFonts w:eastAsia="Times New Roman" w:cs="Arial"/>
              </w:rPr>
              <w:t>4</w:t>
            </w:r>
          </w:p>
        </w:tc>
      </w:tr>
      <w:tr w:rsidR="006C7AA7" w:rsidRPr="00D0306F" w14:paraId="0E5680A2" w14:textId="77777777" w:rsidTr="00CC3BF4">
        <w:trPr>
          <w:tblCellSpacing w:w="0" w:type="dxa"/>
          <w:jc w:val="center"/>
        </w:trPr>
        <w:tc>
          <w:tcPr>
            <w:tcW w:w="0" w:type="auto"/>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68EDD8B6" w14:textId="77777777" w:rsidR="006C7AA7" w:rsidRPr="00D0306F" w:rsidRDefault="006C7AA7" w:rsidP="00CC3BF4">
            <w:pPr>
              <w:jc w:val="center"/>
              <w:rPr>
                <w:rFonts w:eastAsia="Times New Roman" w:cs="Arial"/>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79FB688" w14:textId="77777777" w:rsidR="006C7AA7" w:rsidRPr="00D0306F" w:rsidRDefault="006C7AA7" w:rsidP="00CC3BF4">
            <w:pPr>
              <w:jc w:val="center"/>
              <w:rPr>
                <w:rFonts w:eastAsia="Times New Roman" w:cs="Arial"/>
              </w:rPr>
            </w:pPr>
            <w:r w:rsidRPr="00D0306F">
              <w:rPr>
                <w:rFonts w:eastAsia="Times New Roman" w:cs="Arial"/>
              </w:rPr>
              <w:t>answered</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52A2EEA" w14:textId="77777777" w:rsidR="006C7AA7" w:rsidRPr="00D0306F" w:rsidRDefault="006C7AA7" w:rsidP="00CC3BF4">
            <w:pPr>
              <w:jc w:val="center"/>
              <w:rPr>
                <w:rFonts w:eastAsia="Times New Roman" w:cs="Arial"/>
              </w:rPr>
            </w:pPr>
            <w:r w:rsidRPr="00D0306F">
              <w:rPr>
                <w:rFonts w:eastAsia="Times New Roman" w:cs="Arial"/>
              </w:rPr>
              <w:t>119</w:t>
            </w:r>
          </w:p>
        </w:tc>
      </w:tr>
      <w:tr w:rsidR="006C7AA7" w:rsidRPr="00D0306F" w14:paraId="6D3B2E30" w14:textId="77777777" w:rsidTr="00CC3BF4">
        <w:trPr>
          <w:tblCellSpacing w:w="0" w:type="dxa"/>
          <w:jc w:val="center"/>
        </w:trPr>
        <w:tc>
          <w:tcPr>
            <w:tcW w:w="0" w:type="auto"/>
            <w:gridSpan w:val="3"/>
            <w:vMerge/>
            <w:tcBorders>
              <w:top w:val="single" w:sz="6" w:space="0" w:color="CCCCCC"/>
              <w:left w:val="nil"/>
              <w:bottom w:val="nil"/>
              <w:right w:val="single" w:sz="6" w:space="0" w:color="CCCCCC"/>
            </w:tcBorders>
            <w:vAlign w:val="center"/>
            <w:hideMark/>
          </w:tcPr>
          <w:p w14:paraId="27916E1E"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13A2F45" w14:textId="77777777" w:rsidR="006C7AA7" w:rsidRPr="00D0306F" w:rsidRDefault="006C7AA7" w:rsidP="00CC3BF4">
            <w:pPr>
              <w:jc w:val="center"/>
              <w:rPr>
                <w:rFonts w:eastAsia="Times New Roman" w:cs="Arial"/>
              </w:rPr>
            </w:pPr>
            <w:r w:rsidRPr="00D0306F">
              <w:rPr>
                <w:rFonts w:eastAsia="Times New Roman" w:cs="Arial"/>
              </w:rPr>
              <w:t>skipped</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03430A7" w14:textId="77777777" w:rsidR="006C7AA7" w:rsidRPr="00D0306F" w:rsidRDefault="006C7AA7" w:rsidP="00CC3BF4">
            <w:pPr>
              <w:jc w:val="center"/>
              <w:rPr>
                <w:rFonts w:eastAsia="Times New Roman" w:cs="Arial"/>
              </w:rPr>
            </w:pPr>
            <w:r w:rsidRPr="00D0306F">
              <w:rPr>
                <w:rFonts w:eastAsia="Times New Roman" w:cs="Arial"/>
              </w:rPr>
              <w:t>0</w:t>
            </w:r>
          </w:p>
        </w:tc>
      </w:tr>
    </w:tbl>
    <w:p w14:paraId="1267D822" w14:textId="77777777" w:rsidR="006C7AA7" w:rsidRPr="00D0306F" w:rsidRDefault="006C7AA7" w:rsidP="006C7AA7">
      <w:pPr>
        <w:rPr>
          <w:rFonts w:eastAsia="Times New Roman" w:cs="Arial"/>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8"/>
        <w:gridCol w:w="5996"/>
        <w:gridCol w:w="1313"/>
        <w:gridCol w:w="1313"/>
      </w:tblGrid>
      <w:tr w:rsidR="006C7AA7" w:rsidRPr="00D0306F" w14:paraId="5E01C871" w14:textId="77777777" w:rsidTr="00CC3BF4">
        <w:trPr>
          <w:trHeight w:val="600"/>
          <w:tblHeader/>
          <w:tblCellSpacing w:w="0" w:type="dxa"/>
          <w:jc w:val="center"/>
        </w:trPr>
        <w:tc>
          <w:tcPr>
            <w:tcW w:w="0" w:type="auto"/>
            <w:gridSpan w:val="4"/>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34DB5968" w14:textId="77777777" w:rsidR="006C7AA7" w:rsidRPr="00D0306F" w:rsidRDefault="006C7AA7" w:rsidP="00CC3BF4">
            <w:pPr>
              <w:rPr>
                <w:rFonts w:eastAsia="Times New Roman" w:cs="Arial"/>
                <w:b/>
                <w:bCs/>
                <w:color w:val="FFFFFF"/>
              </w:rPr>
            </w:pPr>
            <w:r w:rsidRPr="00D0306F">
              <w:rPr>
                <w:rFonts w:eastAsia="Times New Roman" w:cs="Arial"/>
                <w:b/>
                <w:bCs/>
                <w:color w:val="FFFFFF"/>
              </w:rPr>
              <w:t xml:space="preserve">15. If you have difficulty getting to a pharmacy please tell us why </w:t>
            </w:r>
          </w:p>
        </w:tc>
      </w:tr>
      <w:tr w:rsidR="006C7AA7" w:rsidRPr="00D0306F" w14:paraId="334CB554" w14:textId="77777777" w:rsidTr="00CC3BF4">
        <w:trPr>
          <w:trHeight w:val="360"/>
          <w:tblCellSpacing w:w="0" w:type="dxa"/>
          <w:jc w:val="center"/>
        </w:trPr>
        <w:tc>
          <w:tcPr>
            <w:tcW w:w="6885" w:type="dxa"/>
            <w:gridSpan w:val="2"/>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057372D8"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9096923"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913450C"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17987A90"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0D5146F" w14:textId="77777777" w:rsidR="006C7AA7" w:rsidRPr="00D0306F" w:rsidRDefault="006C7AA7" w:rsidP="00CC3BF4">
            <w:pPr>
              <w:jc w:val="center"/>
              <w:rPr>
                <w:rFonts w:eastAsia="Times New Roman" w:cs="Arial"/>
              </w:rPr>
            </w:pPr>
            <w:r w:rsidRPr="00D0306F">
              <w:rPr>
                <w:rFonts w:eastAsia="Times New Roman" w:cs="Arial"/>
              </w:rPr>
              <w:t>1</w:t>
            </w:r>
          </w:p>
        </w:tc>
        <w:tc>
          <w:tcPr>
            <w:tcW w:w="0" w:type="auto"/>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97DB3A7" w14:textId="77777777" w:rsidR="006C7AA7" w:rsidRPr="00D0306F" w:rsidRDefault="006C7AA7" w:rsidP="00CC3BF4">
            <w:pPr>
              <w:rPr>
                <w:rFonts w:eastAsia="Times New Roman" w:cs="Arial"/>
              </w:rPr>
            </w:pPr>
            <w:r w:rsidRPr="00D0306F">
              <w:rPr>
                <w:rFonts w:eastAsia="Times New Roman" w:cs="Arial"/>
              </w:rPr>
              <w:t>Open-Ended Question</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661D287" w14:textId="77777777" w:rsidR="006C7AA7" w:rsidRPr="00D0306F" w:rsidRDefault="006C7AA7" w:rsidP="00CC3BF4">
            <w:pPr>
              <w:jc w:val="center"/>
              <w:rPr>
                <w:rFonts w:eastAsia="Times New Roman" w:cs="Arial"/>
              </w:rPr>
            </w:pPr>
            <w:r w:rsidRPr="00D0306F">
              <w:rPr>
                <w:rFonts w:eastAsia="Times New Roman" w:cs="Arial"/>
              </w:rPr>
              <w:t>100.0%</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1D65C1D" w14:textId="77777777" w:rsidR="006C7AA7" w:rsidRPr="00D0306F" w:rsidRDefault="006C7AA7" w:rsidP="00CC3BF4">
            <w:pPr>
              <w:jc w:val="center"/>
              <w:rPr>
                <w:rFonts w:eastAsia="Times New Roman" w:cs="Arial"/>
              </w:rPr>
            </w:pPr>
            <w:r w:rsidRPr="00D0306F">
              <w:rPr>
                <w:rFonts w:eastAsia="Times New Roman" w:cs="Arial"/>
              </w:rPr>
              <w:t>7</w:t>
            </w:r>
          </w:p>
        </w:tc>
      </w:tr>
      <w:tr w:rsidR="006C7AA7" w:rsidRPr="00D0306F" w14:paraId="02B55BCE" w14:textId="77777777" w:rsidTr="00CC3BF4">
        <w:trPr>
          <w:tblCellSpacing w:w="0" w:type="dxa"/>
          <w:jc w:val="center"/>
        </w:trPr>
        <w:tc>
          <w:tcPr>
            <w:tcW w:w="0" w:type="auto"/>
            <w:gridSpan w:val="4"/>
            <w:tcBorders>
              <w:top w:val="single" w:sz="6" w:space="0" w:color="CCCCCC"/>
              <w:bottom w:val="single" w:sz="6" w:space="0" w:color="CCCCCC"/>
              <w:right w:val="single" w:sz="6" w:space="0" w:color="CCCCCC"/>
            </w:tcBorders>
            <w:shd w:val="clear" w:color="auto" w:fill="FFFFFF"/>
            <w:tcMar>
              <w:top w:w="0" w:type="dxa"/>
              <w:left w:w="420" w:type="dxa"/>
              <w:bottom w:w="0" w:type="dxa"/>
              <w:right w:w="0" w:type="dxa"/>
            </w:tcMar>
            <w:vAlign w:val="center"/>
            <w:hideMark/>
          </w:tcPr>
          <w:tbl>
            <w:tblPr>
              <w:tblW w:w="5000" w:type="pct"/>
              <w:tblBorders>
                <w:left w:val="single" w:sz="6" w:space="0" w:color="CCCCCC"/>
              </w:tblBorders>
              <w:tblCellMar>
                <w:top w:w="15" w:type="dxa"/>
                <w:left w:w="15" w:type="dxa"/>
                <w:bottom w:w="15" w:type="dxa"/>
                <w:right w:w="15" w:type="dxa"/>
              </w:tblCellMar>
              <w:tblLook w:val="04A0" w:firstRow="1" w:lastRow="0" w:firstColumn="1" w:lastColumn="0" w:noHBand="0" w:noVBand="1"/>
            </w:tblPr>
            <w:tblGrid>
              <w:gridCol w:w="284"/>
              <w:gridCol w:w="1800"/>
              <w:gridCol w:w="6386"/>
            </w:tblGrid>
            <w:tr w:rsidR="006C7AA7" w:rsidRPr="00D0306F" w14:paraId="25C51521"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4FA2985E" w14:textId="77777777" w:rsidR="006C7AA7" w:rsidRPr="00D0306F" w:rsidRDefault="006C7AA7" w:rsidP="00CC3BF4">
                  <w:pPr>
                    <w:jc w:val="center"/>
                    <w:rPr>
                      <w:rFonts w:eastAsia="Times New Roman" w:cs="Arial"/>
                    </w:rPr>
                  </w:pPr>
                  <w:r w:rsidRPr="00D0306F">
                    <w:rPr>
                      <w:rFonts w:eastAsia="Times New Roman" w:cs="Arial"/>
                    </w:rPr>
                    <w:t>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BBC2584"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BF80AD9" w14:textId="77777777" w:rsidR="006C7AA7" w:rsidRPr="00D0306F" w:rsidRDefault="006C7AA7" w:rsidP="00CC3BF4">
                  <w:pPr>
                    <w:rPr>
                      <w:rFonts w:eastAsia="Times New Roman" w:cs="Arial"/>
                    </w:rPr>
                  </w:pPr>
                  <w:r w:rsidRPr="00D0306F">
                    <w:rPr>
                      <w:rFonts w:eastAsia="Times New Roman" w:cs="Arial"/>
                    </w:rPr>
                    <w:t xml:space="preserve">Depending on taxi availability </w:t>
                  </w:r>
                </w:p>
              </w:tc>
            </w:tr>
            <w:tr w:rsidR="006C7AA7" w:rsidRPr="00D0306F" w14:paraId="5674BADB"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14C854DA" w14:textId="77777777" w:rsidR="006C7AA7" w:rsidRPr="00D0306F" w:rsidRDefault="006C7AA7" w:rsidP="00CC3BF4">
                  <w:pPr>
                    <w:jc w:val="center"/>
                    <w:rPr>
                      <w:rFonts w:eastAsia="Times New Roman" w:cs="Arial"/>
                    </w:rPr>
                  </w:pPr>
                  <w:r w:rsidRPr="00D0306F">
                    <w:rPr>
                      <w:rFonts w:eastAsia="Times New Roman" w:cs="Arial"/>
                    </w:rPr>
                    <w:t>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46BFC12"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DB22651" w14:textId="77777777" w:rsidR="006C7AA7" w:rsidRPr="00D0306F" w:rsidRDefault="006C7AA7" w:rsidP="00CC3BF4">
                  <w:pPr>
                    <w:rPr>
                      <w:rFonts w:eastAsia="Times New Roman" w:cs="Arial"/>
                    </w:rPr>
                  </w:pPr>
                  <w:r w:rsidRPr="00D0306F">
                    <w:rPr>
                      <w:rFonts w:eastAsia="Times New Roman" w:cs="Arial"/>
                    </w:rPr>
                    <w:t xml:space="preserve">They take so long to give your medication </w:t>
                  </w:r>
                </w:p>
              </w:tc>
            </w:tr>
            <w:tr w:rsidR="006C7AA7" w:rsidRPr="00D0306F" w14:paraId="725E5F67"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57313DB2" w14:textId="77777777" w:rsidR="006C7AA7" w:rsidRPr="00D0306F" w:rsidRDefault="006C7AA7" w:rsidP="00CC3BF4">
                  <w:pPr>
                    <w:jc w:val="center"/>
                    <w:rPr>
                      <w:rFonts w:eastAsia="Times New Roman" w:cs="Arial"/>
                    </w:rPr>
                  </w:pPr>
                  <w:r w:rsidRPr="00D0306F">
                    <w:rPr>
                      <w:rFonts w:eastAsia="Times New Roman" w:cs="Arial"/>
                    </w:rPr>
                    <w:t>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718C336"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C05B786" w14:textId="77777777" w:rsidR="006C7AA7" w:rsidRPr="00D0306F" w:rsidRDefault="006C7AA7" w:rsidP="00CC3BF4">
                  <w:pPr>
                    <w:rPr>
                      <w:rFonts w:eastAsia="Times New Roman" w:cs="Arial"/>
                    </w:rPr>
                  </w:pPr>
                  <w:r w:rsidRPr="00D0306F">
                    <w:rPr>
                      <w:rFonts w:eastAsia="Times New Roman" w:cs="Arial"/>
                    </w:rPr>
                    <w:t xml:space="preserve">Parking in the area is non existent </w:t>
                  </w:r>
                </w:p>
              </w:tc>
            </w:tr>
            <w:tr w:rsidR="006C7AA7" w:rsidRPr="00D0306F" w14:paraId="5671CE5B"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297ED673" w14:textId="77777777" w:rsidR="006C7AA7" w:rsidRPr="00D0306F" w:rsidRDefault="006C7AA7" w:rsidP="00CC3BF4">
                  <w:pPr>
                    <w:jc w:val="center"/>
                    <w:rPr>
                      <w:rFonts w:eastAsia="Times New Roman" w:cs="Arial"/>
                    </w:rPr>
                  </w:pPr>
                  <w:r w:rsidRPr="00D0306F">
                    <w:rPr>
                      <w:rFonts w:eastAsia="Times New Roman" w:cs="Arial"/>
                    </w:rPr>
                    <w:lastRenderedPageBreak/>
                    <w:t>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1F5C024"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BD8C7B2" w14:textId="77777777" w:rsidR="006C7AA7" w:rsidRPr="00D0306F" w:rsidRDefault="006C7AA7" w:rsidP="00CC3BF4">
                  <w:pPr>
                    <w:rPr>
                      <w:rFonts w:eastAsia="Times New Roman" w:cs="Arial"/>
                    </w:rPr>
                  </w:pPr>
                  <w:r w:rsidRPr="00D0306F">
                    <w:rPr>
                      <w:rFonts w:eastAsia="Times New Roman" w:cs="Arial"/>
                    </w:rPr>
                    <w:t>Access and poor opening hours</w:t>
                  </w:r>
                </w:p>
              </w:tc>
            </w:tr>
            <w:tr w:rsidR="006C7AA7" w:rsidRPr="00D0306F" w14:paraId="654C18D7"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67066FF8" w14:textId="77777777" w:rsidR="006C7AA7" w:rsidRPr="00D0306F" w:rsidRDefault="006C7AA7" w:rsidP="00CC3BF4">
                  <w:pPr>
                    <w:jc w:val="center"/>
                    <w:rPr>
                      <w:rFonts w:eastAsia="Times New Roman" w:cs="Arial"/>
                    </w:rPr>
                  </w:pPr>
                  <w:r w:rsidRPr="00D0306F">
                    <w:rPr>
                      <w:rFonts w:eastAsia="Times New Roman" w:cs="Arial"/>
                    </w:rPr>
                    <w:t>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D02610B"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F51EF09" w14:textId="77777777" w:rsidR="006C7AA7" w:rsidRPr="00D0306F" w:rsidRDefault="006C7AA7" w:rsidP="00CC3BF4">
                  <w:pPr>
                    <w:rPr>
                      <w:rFonts w:eastAsia="Times New Roman" w:cs="Arial"/>
                    </w:rPr>
                  </w:pPr>
                  <w:r w:rsidRPr="00D0306F">
                    <w:rPr>
                      <w:rFonts w:eastAsia="Times New Roman" w:cs="Arial"/>
                    </w:rPr>
                    <w:t xml:space="preserve">I work 9-5 </w:t>
                  </w:r>
                </w:p>
              </w:tc>
            </w:tr>
            <w:tr w:rsidR="006C7AA7" w:rsidRPr="00D0306F" w14:paraId="546CE1CE"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3361D183" w14:textId="77777777" w:rsidR="006C7AA7" w:rsidRPr="00D0306F" w:rsidRDefault="006C7AA7" w:rsidP="00CC3BF4">
                  <w:pPr>
                    <w:jc w:val="center"/>
                    <w:rPr>
                      <w:rFonts w:eastAsia="Times New Roman" w:cs="Arial"/>
                    </w:rPr>
                  </w:pPr>
                  <w:r w:rsidRPr="00D0306F">
                    <w:rPr>
                      <w:rFonts w:eastAsia="Times New Roman" w:cs="Arial"/>
                    </w:rPr>
                    <w:t>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AAF6D86"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7098CD7" w14:textId="77777777" w:rsidR="006C7AA7" w:rsidRPr="00D0306F" w:rsidRDefault="006C7AA7" w:rsidP="00CC3BF4">
                  <w:pPr>
                    <w:rPr>
                      <w:rFonts w:eastAsia="Times New Roman" w:cs="Arial"/>
                    </w:rPr>
                  </w:pPr>
                  <w:r w:rsidRPr="00D0306F">
                    <w:rPr>
                      <w:rFonts w:eastAsia="Times New Roman" w:cs="Arial"/>
                    </w:rPr>
                    <w:t xml:space="preserve">I have kidney failure </w:t>
                  </w:r>
                </w:p>
              </w:tc>
            </w:tr>
            <w:tr w:rsidR="006C7AA7" w:rsidRPr="00D0306F" w14:paraId="1679855D"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701F8389" w14:textId="77777777" w:rsidR="006C7AA7" w:rsidRPr="00D0306F" w:rsidRDefault="006C7AA7" w:rsidP="00CC3BF4">
                  <w:pPr>
                    <w:jc w:val="center"/>
                    <w:rPr>
                      <w:rFonts w:eastAsia="Times New Roman" w:cs="Arial"/>
                    </w:rPr>
                  </w:pPr>
                  <w:r w:rsidRPr="00D0306F">
                    <w:rPr>
                      <w:rFonts w:eastAsia="Times New Roman" w:cs="Arial"/>
                    </w:rPr>
                    <w:t>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4060799"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65E308D" w14:textId="77777777" w:rsidR="006C7AA7" w:rsidRPr="00D0306F" w:rsidRDefault="006C7AA7" w:rsidP="00CC3BF4">
                  <w:pPr>
                    <w:rPr>
                      <w:rFonts w:eastAsia="Times New Roman" w:cs="Arial"/>
                    </w:rPr>
                  </w:pPr>
                  <w:r w:rsidRPr="00D0306F">
                    <w:rPr>
                      <w:rFonts w:eastAsia="Times New Roman" w:cs="Arial"/>
                    </w:rPr>
                    <w:t>Mobility issues</w:t>
                  </w:r>
                </w:p>
              </w:tc>
            </w:tr>
          </w:tbl>
          <w:p w14:paraId="4EFE093D" w14:textId="77777777" w:rsidR="006C7AA7" w:rsidRPr="00D0306F" w:rsidRDefault="006C7AA7" w:rsidP="00CC3BF4">
            <w:pPr>
              <w:rPr>
                <w:rFonts w:eastAsia="Times New Roman" w:cs="Arial"/>
              </w:rPr>
            </w:pPr>
          </w:p>
        </w:tc>
      </w:tr>
      <w:tr w:rsidR="006C7AA7" w:rsidRPr="00D0306F" w14:paraId="39ADC321" w14:textId="77777777" w:rsidTr="00CC3BF4">
        <w:trPr>
          <w:tblCellSpacing w:w="0" w:type="dxa"/>
          <w:jc w:val="center"/>
        </w:trPr>
        <w:tc>
          <w:tcPr>
            <w:tcW w:w="0" w:type="auto"/>
            <w:gridSpan w:val="2"/>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028F9DDE"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AA811AF" w14:textId="77777777" w:rsidR="006C7AA7" w:rsidRPr="00D0306F" w:rsidRDefault="006C7AA7" w:rsidP="00CC3BF4">
            <w:pPr>
              <w:jc w:val="center"/>
              <w:rPr>
                <w:rFonts w:eastAsia="Times New Roman" w:cs="Arial"/>
              </w:rPr>
            </w:pPr>
            <w:r w:rsidRPr="00D0306F">
              <w:rPr>
                <w:rFonts w:eastAsia="Times New Roman" w:cs="Arial"/>
              </w:rPr>
              <w:t>answered</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CBB54B6" w14:textId="77777777" w:rsidR="006C7AA7" w:rsidRPr="00D0306F" w:rsidRDefault="006C7AA7" w:rsidP="00CC3BF4">
            <w:pPr>
              <w:jc w:val="center"/>
              <w:rPr>
                <w:rFonts w:eastAsia="Times New Roman" w:cs="Arial"/>
              </w:rPr>
            </w:pPr>
            <w:r w:rsidRPr="00D0306F">
              <w:rPr>
                <w:rFonts w:eastAsia="Times New Roman" w:cs="Arial"/>
              </w:rPr>
              <w:t>7</w:t>
            </w:r>
          </w:p>
        </w:tc>
      </w:tr>
      <w:tr w:rsidR="006C7AA7" w:rsidRPr="00D0306F" w14:paraId="4DD9066C" w14:textId="77777777" w:rsidTr="00CC3BF4">
        <w:trPr>
          <w:tblCellSpacing w:w="0" w:type="dxa"/>
          <w:jc w:val="center"/>
        </w:trPr>
        <w:tc>
          <w:tcPr>
            <w:tcW w:w="0" w:type="auto"/>
            <w:gridSpan w:val="2"/>
            <w:vMerge/>
            <w:tcBorders>
              <w:top w:val="single" w:sz="6" w:space="0" w:color="CCCCCC"/>
              <w:left w:val="nil"/>
              <w:bottom w:val="nil"/>
              <w:right w:val="single" w:sz="6" w:space="0" w:color="CCCCCC"/>
            </w:tcBorders>
            <w:vAlign w:val="center"/>
            <w:hideMark/>
          </w:tcPr>
          <w:p w14:paraId="5A2389F3"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0701BA0" w14:textId="77777777" w:rsidR="006C7AA7" w:rsidRPr="00D0306F" w:rsidRDefault="006C7AA7" w:rsidP="00CC3BF4">
            <w:pPr>
              <w:jc w:val="center"/>
              <w:rPr>
                <w:rFonts w:eastAsia="Times New Roman" w:cs="Arial"/>
              </w:rPr>
            </w:pPr>
            <w:r w:rsidRPr="00D0306F">
              <w:rPr>
                <w:rFonts w:eastAsia="Times New Roman" w:cs="Arial"/>
              </w:rPr>
              <w:t>skipped</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7E095A1" w14:textId="77777777" w:rsidR="006C7AA7" w:rsidRPr="00D0306F" w:rsidRDefault="006C7AA7" w:rsidP="00CC3BF4">
            <w:pPr>
              <w:jc w:val="center"/>
              <w:rPr>
                <w:rFonts w:eastAsia="Times New Roman" w:cs="Arial"/>
              </w:rPr>
            </w:pPr>
            <w:r w:rsidRPr="00D0306F">
              <w:rPr>
                <w:rFonts w:eastAsia="Times New Roman" w:cs="Arial"/>
              </w:rPr>
              <w:t>112</w:t>
            </w:r>
          </w:p>
        </w:tc>
      </w:tr>
    </w:tbl>
    <w:p w14:paraId="19D83B46" w14:textId="77777777" w:rsidR="006C7AA7" w:rsidRPr="00D0306F" w:rsidRDefault="006C7AA7" w:rsidP="006C7AA7">
      <w:pPr>
        <w:rPr>
          <w:rFonts w:eastAsia="Times New Roman" w:cs="Arial"/>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560"/>
        <w:gridCol w:w="2465"/>
        <w:gridCol w:w="3269"/>
        <w:gridCol w:w="1313"/>
        <w:gridCol w:w="1313"/>
      </w:tblGrid>
      <w:tr w:rsidR="006C7AA7" w:rsidRPr="00D0306F" w14:paraId="56D4FBAB"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17669E56" w14:textId="77777777" w:rsidR="006C7AA7" w:rsidRPr="00D0306F" w:rsidRDefault="006C7AA7" w:rsidP="00CC3BF4">
            <w:pPr>
              <w:rPr>
                <w:rFonts w:eastAsia="Times New Roman" w:cs="Arial"/>
                <w:b/>
                <w:bCs/>
                <w:color w:val="FFFFFF"/>
              </w:rPr>
            </w:pPr>
            <w:r w:rsidRPr="00D0306F">
              <w:rPr>
                <w:rFonts w:eastAsia="Times New Roman" w:cs="Arial"/>
                <w:b/>
                <w:bCs/>
                <w:color w:val="FFFFFF"/>
              </w:rPr>
              <w:t xml:space="preserve">16. We would like to know how you find out information about a pharmacy such as opening times or the service being offered. Please tick any or all that apply. </w:t>
            </w:r>
          </w:p>
        </w:tc>
      </w:tr>
      <w:tr w:rsidR="006C7AA7" w:rsidRPr="00D0306F" w14:paraId="0C18E1C1"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43C7B254"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5F1106DF"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2B41885B"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7CD965C3" w14:textId="77777777" w:rsidTr="00CC3BF4">
        <w:trPr>
          <w:tblCellSpacing w:w="0" w:type="dxa"/>
          <w:jc w:val="center"/>
        </w:trPr>
        <w:tc>
          <w:tcPr>
            <w:tcW w:w="56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19962A9" w14:textId="77777777" w:rsidR="006C7AA7" w:rsidRPr="00D0306F" w:rsidRDefault="006C7AA7" w:rsidP="00CC3BF4">
            <w:pPr>
              <w:jc w:val="center"/>
              <w:rPr>
                <w:rFonts w:eastAsia="Times New Roman" w:cs="Arial"/>
              </w:rPr>
            </w:pPr>
            <w:r w:rsidRPr="00D0306F">
              <w:rPr>
                <w:rFonts w:eastAsia="Times New Roman" w:cs="Arial"/>
              </w:rPr>
              <w:t>1</w:t>
            </w:r>
          </w:p>
        </w:tc>
        <w:tc>
          <w:tcPr>
            <w:tcW w:w="246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46AB40D" w14:textId="77777777" w:rsidR="006C7AA7" w:rsidRPr="00D0306F" w:rsidRDefault="006C7AA7" w:rsidP="00CC3BF4">
            <w:pPr>
              <w:rPr>
                <w:rFonts w:eastAsia="Times New Roman" w:cs="Arial"/>
              </w:rPr>
            </w:pPr>
            <w:r w:rsidRPr="00D0306F">
              <w:rPr>
                <w:rFonts w:eastAsia="Times New Roman" w:cs="Arial"/>
              </w:rPr>
              <w:t>I would call them</w:t>
            </w:r>
          </w:p>
        </w:tc>
        <w:tc>
          <w:tcPr>
            <w:tcW w:w="326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525" w:type="pct"/>
              <w:tblCellMar>
                <w:left w:w="0" w:type="dxa"/>
                <w:right w:w="0" w:type="dxa"/>
              </w:tblCellMar>
              <w:tblLook w:val="04A0" w:firstRow="1" w:lastRow="0" w:firstColumn="1" w:lastColumn="0" w:noHBand="0" w:noVBand="1"/>
            </w:tblPr>
            <w:tblGrid>
              <w:gridCol w:w="951"/>
            </w:tblGrid>
            <w:tr w:rsidR="006C7AA7" w:rsidRPr="00D0306F" w14:paraId="0E1C62FA"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6C8A3B93"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720DCBF0"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6559C18" w14:textId="77777777" w:rsidR="006C7AA7" w:rsidRPr="00D0306F" w:rsidRDefault="006C7AA7" w:rsidP="00CC3BF4">
            <w:pPr>
              <w:jc w:val="center"/>
              <w:rPr>
                <w:rFonts w:eastAsia="Times New Roman" w:cs="Arial"/>
              </w:rPr>
            </w:pPr>
            <w:r w:rsidRPr="00D0306F">
              <w:rPr>
                <w:rFonts w:eastAsia="Times New Roman" w:cs="Arial"/>
              </w:rPr>
              <w:t>30.3%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D51F964" w14:textId="77777777" w:rsidR="006C7AA7" w:rsidRPr="00D0306F" w:rsidRDefault="006C7AA7" w:rsidP="00CC3BF4">
            <w:pPr>
              <w:jc w:val="center"/>
              <w:rPr>
                <w:rFonts w:eastAsia="Times New Roman" w:cs="Arial"/>
              </w:rPr>
            </w:pPr>
            <w:r w:rsidRPr="00D0306F">
              <w:rPr>
                <w:rFonts w:eastAsia="Times New Roman" w:cs="Arial"/>
              </w:rPr>
              <w:t>36</w:t>
            </w:r>
          </w:p>
        </w:tc>
      </w:tr>
      <w:tr w:rsidR="006C7AA7" w:rsidRPr="00D0306F" w14:paraId="7E6566E6" w14:textId="77777777" w:rsidTr="00CC3BF4">
        <w:trPr>
          <w:tblCellSpacing w:w="0" w:type="dxa"/>
          <w:jc w:val="center"/>
        </w:trPr>
        <w:tc>
          <w:tcPr>
            <w:tcW w:w="56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B21F488" w14:textId="77777777" w:rsidR="006C7AA7" w:rsidRPr="00D0306F" w:rsidRDefault="006C7AA7" w:rsidP="00CC3BF4">
            <w:pPr>
              <w:jc w:val="center"/>
              <w:rPr>
                <w:rFonts w:eastAsia="Times New Roman" w:cs="Arial"/>
              </w:rPr>
            </w:pPr>
            <w:r w:rsidRPr="00D0306F">
              <w:rPr>
                <w:rFonts w:eastAsia="Times New Roman" w:cs="Arial"/>
              </w:rPr>
              <w:t>2</w:t>
            </w:r>
          </w:p>
        </w:tc>
        <w:tc>
          <w:tcPr>
            <w:tcW w:w="246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0AEE7A4" w14:textId="77777777" w:rsidR="006C7AA7" w:rsidRPr="00D0306F" w:rsidRDefault="006C7AA7" w:rsidP="00CC3BF4">
            <w:pPr>
              <w:rPr>
                <w:rFonts w:eastAsia="Times New Roman" w:cs="Arial"/>
              </w:rPr>
            </w:pPr>
            <w:r w:rsidRPr="00D0306F">
              <w:rPr>
                <w:rFonts w:eastAsia="Times New Roman" w:cs="Arial"/>
              </w:rPr>
              <w:t>I would call NHS 111 Wales or use their website</w:t>
            </w:r>
          </w:p>
        </w:tc>
        <w:tc>
          <w:tcPr>
            <w:tcW w:w="326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51" w:type="pct"/>
              <w:tblCellMar>
                <w:left w:w="0" w:type="dxa"/>
                <w:right w:w="0" w:type="dxa"/>
              </w:tblCellMar>
              <w:tblLook w:val="04A0" w:firstRow="1" w:lastRow="0" w:firstColumn="1" w:lastColumn="0" w:noHBand="0" w:noVBand="1"/>
            </w:tblPr>
            <w:tblGrid>
              <w:gridCol w:w="344"/>
            </w:tblGrid>
            <w:tr w:rsidR="006C7AA7" w:rsidRPr="00D0306F" w14:paraId="23C2AC18"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70F93712"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7E50E69D"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0AC0355" w14:textId="77777777" w:rsidR="006C7AA7" w:rsidRPr="00D0306F" w:rsidRDefault="006C7AA7" w:rsidP="00CC3BF4">
            <w:pPr>
              <w:jc w:val="center"/>
              <w:rPr>
                <w:rFonts w:eastAsia="Times New Roman" w:cs="Arial"/>
              </w:rPr>
            </w:pPr>
            <w:r w:rsidRPr="00D0306F">
              <w:rPr>
                <w:rFonts w:eastAsia="Times New Roman" w:cs="Arial"/>
              </w:rPr>
              <w:t>10.9%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20895BD" w14:textId="77777777" w:rsidR="006C7AA7" w:rsidRPr="00D0306F" w:rsidRDefault="006C7AA7" w:rsidP="00CC3BF4">
            <w:pPr>
              <w:jc w:val="center"/>
              <w:rPr>
                <w:rFonts w:eastAsia="Times New Roman" w:cs="Arial"/>
              </w:rPr>
            </w:pPr>
            <w:r w:rsidRPr="00D0306F">
              <w:rPr>
                <w:rFonts w:eastAsia="Times New Roman" w:cs="Arial"/>
              </w:rPr>
              <w:t>13</w:t>
            </w:r>
          </w:p>
        </w:tc>
      </w:tr>
      <w:tr w:rsidR="006C7AA7" w:rsidRPr="00D0306F" w14:paraId="6C30A8EE" w14:textId="77777777" w:rsidTr="00CC3BF4">
        <w:trPr>
          <w:tblCellSpacing w:w="0" w:type="dxa"/>
          <w:jc w:val="center"/>
        </w:trPr>
        <w:tc>
          <w:tcPr>
            <w:tcW w:w="56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32978CC" w14:textId="77777777" w:rsidR="006C7AA7" w:rsidRPr="00D0306F" w:rsidRDefault="006C7AA7" w:rsidP="00CC3BF4">
            <w:pPr>
              <w:jc w:val="center"/>
              <w:rPr>
                <w:rFonts w:eastAsia="Times New Roman" w:cs="Arial"/>
              </w:rPr>
            </w:pPr>
            <w:r w:rsidRPr="00D0306F">
              <w:rPr>
                <w:rFonts w:eastAsia="Times New Roman" w:cs="Arial"/>
              </w:rPr>
              <w:t>3</w:t>
            </w:r>
          </w:p>
        </w:tc>
        <w:tc>
          <w:tcPr>
            <w:tcW w:w="246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90BEBAC" w14:textId="77777777" w:rsidR="006C7AA7" w:rsidRPr="00D0306F" w:rsidRDefault="006C7AA7" w:rsidP="00CC3BF4">
            <w:pPr>
              <w:rPr>
                <w:rFonts w:eastAsia="Times New Roman" w:cs="Arial"/>
              </w:rPr>
            </w:pPr>
            <w:r w:rsidRPr="00D0306F">
              <w:rPr>
                <w:rFonts w:eastAsia="Times New Roman" w:cs="Arial"/>
              </w:rPr>
              <w:t>I would search the Swansea Bay University Health Board website</w:t>
            </w:r>
          </w:p>
        </w:tc>
        <w:tc>
          <w:tcPr>
            <w:tcW w:w="326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51" w:type="pct"/>
              <w:tblCellMar>
                <w:left w:w="0" w:type="dxa"/>
                <w:right w:w="0" w:type="dxa"/>
              </w:tblCellMar>
              <w:tblLook w:val="04A0" w:firstRow="1" w:lastRow="0" w:firstColumn="1" w:lastColumn="0" w:noHBand="0" w:noVBand="1"/>
            </w:tblPr>
            <w:tblGrid>
              <w:gridCol w:w="344"/>
            </w:tblGrid>
            <w:tr w:rsidR="006C7AA7" w:rsidRPr="00D0306F" w14:paraId="1F5D0918" w14:textId="77777777" w:rsidTr="00CC3BF4">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195CFCDA"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4F32A5A6"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509B987" w14:textId="77777777" w:rsidR="006C7AA7" w:rsidRPr="00D0306F" w:rsidRDefault="006C7AA7" w:rsidP="00CC3BF4">
            <w:pPr>
              <w:jc w:val="center"/>
              <w:rPr>
                <w:rFonts w:eastAsia="Times New Roman" w:cs="Arial"/>
              </w:rPr>
            </w:pPr>
            <w:r w:rsidRPr="00D0306F">
              <w:rPr>
                <w:rFonts w:eastAsia="Times New Roman" w:cs="Arial"/>
              </w:rPr>
              <w:t>10.9%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11F6348" w14:textId="77777777" w:rsidR="006C7AA7" w:rsidRPr="00D0306F" w:rsidRDefault="006C7AA7" w:rsidP="00CC3BF4">
            <w:pPr>
              <w:jc w:val="center"/>
              <w:rPr>
                <w:rFonts w:eastAsia="Times New Roman" w:cs="Arial"/>
              </w:rPr>
            </w:pPr>
            <w:r w:rsidRPr="00D0306F">
              <w:rPr>
                <w:rFonts w:eastAsia="Times New Roman" w:cs="Arial"/>
              </w:rPr>
              <w:t>13</w:t>
            </w:r>
          </w:p>
        </w:tc>
      </w:tr>
      <w:tr w:rsidR="006C7AA7" w:rsidRPr="00D0306F" w14:paraId="728C3D0F" w14:textId="77777777" w:rsidTr="00CC3BF4">
        <w:trPr>
          <w:tblCellSpacing w:w="0" w:type="dxa"/>
          <w:jc w:val="center"/>
        </w:trPr>
        <w:tc>
          <w:tcPr>
            <w:tcW w:w="56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1CDA242" w14:textId="77777777" w:rsidR="006C7AA7" w:rsidRPr="00D0306F" w:rsidRDefault="006C7AA7" w:rsidP="00CC3BF4">
            <w:pPr>
              <w:jc w:val="center"/>
              <w:rPr>
                <w:rFonts w:eastAsia="Times New Roman" w:cs="Arial"/>
              </w:rPr>
            </w:pPr>
            <w:r w:rsidRPr="00D0306F">
              <w:rPr>
                <w:rFonts w:eastAsia="Times New Roman" w:cs="Arial"/>
              </w:rPr>
              <w:t>4</w:t>
            </w:r>
          </w:p>
        </w:tc>
        <w:tc>
          <w:tcPr>
            <w:tcW w:w="246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8D671C0" w14:textId="77777777" w:rsidR="006C7AA7" w:rsidRPr="00D0306F" w:rsidRDefault="006C7AA7" w:rsidP="00CC3BF4">
            <w:pPr>
              <w:rPr>
                <w:rFonts w:eastAsia="Times New Roman" w:cs="Arial"/>
              </w:rPr>
            </w:pPr>
            <w:r w:rsidRPr="00D0306F">
              <w:rPr>
                <w:rFonts w:eastAsia="Times New Roman" w:cs="Arial"/>
              </w:rPr>
              <w:t>I would search the internet</w:t>
            </w:r>
          </w:p>
        </w:tc>
        <w:tc>
          <w:tcPr>
            <w:tcW w:w="326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135" w:type="pct"/>
              <w:tblCellMar>
                <w:left w:w="0" w:type="dxa"/>
                <w:right w:w="0" w:type="dxa"/>
              </w:tblCellMar>
              <w:tblLook w:val="04A0" w:firstRow="1" w:lastRow="0" w:firstColumn="1" w:lastColumn="0" w:noHBand="0" w:noVBand="1"/>
            </w:tblPr>
            <w:tblGrid>
              <w:gridCol w:w="1955"/>
            </w:tblGrid>
            <w:tr w:rsidR="006C7AA7" w:rsidRPr="00D0306F" w14:paraId="1A9BEC84" w14:textId="77777777" w:rsidTr="00CC3BF4">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05D6C04D"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ACD53AD"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20FF7E0" w14:textId="77777777" w:rsidR="006C7AA7" w:rsidRPr="00D0306F" w:rsidRDefault="006C7AA7" w:rsidP="00CC3BF4">
            <w:pPr>
              <w:jc w:val="center"/>
              <w:rPr>
                <w:rFonts w:eastAsia="Times New Roman" w:cs="Arial"/>
              </w:rPr>
            </w:pPr>
            <w:r w:rsidRPr="00D0306F">
              <w:rPr>
                <w:rFonts w:eastAsia="Times New Roman" w:cs="Arial"/>
              </w:rPr>
              <w:t>62.2%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9A53919" w14:textId="77777777" w:rsidR="006C7AA7" w:rsidRPr="00D0306F" w:rsidRDefault="006C7AA7" w:rsidP="00CC3BF4">
            <w:pPr>
              <w:jc w:val="center"/>
              <w:rPr>
                <w:rFonts w:eastAsia="Times New Roman" w:cs="Arial"/>
              </w:rPr>
            </w:pPr>
            <w:r w:rsidRPr="00D0306F">
              <w:rPr>
                <w:rFonts w:eastAsia="Times New Roman" w:cs="Arial"/>
              </w:rPr>
              <w:t>74</w:t>
            </w:r>
          </w:p>
        </w:tc>
      </w:tr>
      <w:tr w:rsidR="006C7AA7" w:rsidRPr="00D0306F" w14:paraId="1681AD7E" w14:textId="77777777" w:rsidTr="00CC3BF4">
        <w:trPr>
          <w:tblCellSpacing w:w="0" w:type="dxa"/>
          <w:jc w:val="center"/>
        </w:trPr>
        <w:tc>
          <w:tcPr>
            <w:tcW w:w="56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90F6582" w14:textId="77777777" w:rsidR="006C7AA7" w:rsidRPr="00D0306F" w:rsidRDefault="006C7AA7" w:rsidP="00CC3BF4">
            <w:pPr>
              <w:jc w:val="center"/>
              <w:rPr>
                <w:rFonts w:eastAsia="Times New Roman" w:cs="Arial"/>
              </w:rPr>
            </w:pPr>
            <w:r w:rsidRPr="00D0306F">
              <w:rPr>
                <w:rFonts w:eastAsia="Times New Roman" w:cs="Arial"/>
              </w:rPr>
              <w:t>5</w:t>
            </w:r>
          </w:p>
        </w:tc>
        <w:tc>
          <w:tcPr>
            <w:tcW w:w="246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EB5E5D9" w14:textId="77777777" w:rsidR="006C7AA7" w:rsidRPr="00D0306F" w:rsidRDefault="006C7AA7" w:rsidP="00CC3BF4">
            <w:pPr>
              <w:rPr>
                <w:rFonts w:eastAsia="Times New Roman" w:cs="Arial"/>
              </w:rPr>
            </w:pPr>
            <w:r w:rsidRPr="00D0306F">
              <w:rPr>
                <w:rFonts w:eastAsia="Times New Roman" w:cs="Arial"/>
              </w:rPr>
              <w:t>I would use social media</w:t>
            </w:r>
          </w:p>
        </w:tc>
        <w:tc>
          <w:tcPr>
            <w:tcW w:w="326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93" w:type="pct"/>
              <w:tblCellMar>
                <w:left w:w="0" w:type="dxa"/>
                <w:right w:w="0" w:type="dxa"/>
              </w:tblCellMar>
              <w:tblLook w:val="04A0" w:firstRow="1" w:lastRow="0" w:firstColumn="1" w:lastColumn="0" w:noHBand="0" w:noVBand="1"/>
            </w:tblPr>
            <w:tblGrid>
              <w:gridCol w:w="370"/>
            </w:tblGrid>
            <w:tr w:rsidR="006C7AA7" w:rsidRPr="00D0306F" w14:paraId="06A3003D"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133F8376"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364CEABE"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FD658E9" w14:textId="77777777" w:rsidR="006C7AA7" w:rsidRPr="00D0306F" w:rsidRDefault="006C7AA7" w:rsidP="00CC3BF4">
            <w:pPr>
              <w:jc w:val="center"/>
              <w:rPr>
                <w:rFonts w:eastAsia="Times New Roman" w:cs="Arial"/>
              </w:rPr>
            </w:pPr>
            <w:r w:rsidRPr="00D0306F">
              <w:rPr>
                <w:rFonts w:eastAsia="Times New Roman" w:cs="Arial"/>
              </w:rPr>
              <w:t>11.8%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D1DACFA" w14:textId="77777777" w:rsidR="006C7AA7" w:rsidRPr="00D0306F" w:rsidRDefault="006C7AA7" w:rsidP="00CC3BF4">
            <w:pPr>
              <w:jc w:val="center"/>
              <w:rPr>
                <w:rFonts w:eastAsia="Times New Roman" w:cs="Arial"/>
              </w:rPr>
            </w:pPr>
            <w:r w:rsidRPr="00D0306F">
              <w:rPr>
                <w:rFonts w:eastAsia="Times New Roman" w:cs="Arial"/>
              </w:rPr>
              <w:t>14</w:t>
            </w:r>
          </w:p>
        </w:tc>
      </w:tr>
      <w:tr w:rsidR="006C7AA7" w:rsidRPr="00D0306F" w14:paraId="2472F704" w14:textId="77777777" w:rsidTr="00CC3BF4">
        <w:trPr>
          <w:tblCellSpacing w:w="0" w:type="dxa"/>
          <w:jc w:val="center"/>
        </w:trPr>
        <w:tc>
          <w:tcPr>
            <w:tcW w:w="56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7E976DF" w14:textId="77777777" w:rsidR="006C7AA7" w:rsidRPr="00D0306F" w:rsidRDefault="006C7AA7" w:rsidP="00CC3BF4">
            <w:pPr>
              <w:jc w:val="center"/>
              <w:rPr>
                <w:rFonts w:eastAsia="Times New Roman" w:cs="Arial"/>
              </w:rPr>
            </w:pPr>
            <w:r w:rsidRPr="00D0306F">
              <w:rPr>
                <w:rFonts w:eastAsia="Times New Roman" w:cs="Arial"/>
              </w:rPr>
              <w:t>6</w:t>
            </w:r>
          </w:p>
        </w:tc>
        <w:tc>
          <w:tcPr>
            <w:tcW w:w="246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281F00D" w14:textId="77777777" w:rsidR="006C7AA7" w:rsidRPr="00D0306F" w:rsidRDefault="006C7AA7" w:rsidP="00CC3BF4">
            <w:pPr>
              <w:rPr>
                <w:rFonts w:eastAsia="Times New Roman" w:cs="Arial"/>
              </w:rPr>
            </w:pPr>
            <w:r w:rsidRPr="00D0306F">
              <w:rPr>
                <w:rFonts w:eastAsia="Times New Roman" w:cs="Arial"/>
              </w:rPr>
              <w:t>I would ask a friend</w:t>
            </w:r>
          </w:p>
        </w:tc>
        <w:tc>
          <w:tcPr>
            <w:tcW w:w="326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4" w:type="pct"/>
              <w:tblCellMar>
                <w:left w:w="0" w:type="dxa"/>
                <w:right w:w="0" w:type="dxa"/>
              </w:tblCellMar>
              <w:tblLook w:val="04A0" w:firstRow="1" w:lastRow="0" w:firstColumn="1" w:lastColumn="0" w:noHBand="0" w:noVBand="1"/>
            </w:tblPr>
            <w:tblGrid>
              <w:gridCol w:w="82"/>
            </w:tblGrid>
            <w:tr w:rsidR="006C7AA7" w:rsidRPr="00D0306F" w14:paraId="35E66A2B" w14:textId="77777777" w:rsidTr="00CC3BF4">
              <w:tc>
                <w:tcPr>
                  <w:tcW w:w="0" w:type="auto"/>
                  <w:tcBorders>
                    <w:top w:val="single" w:sz="6" w:space="0" w:color="00BCD4"/>
                    <w:left w:val="single" w:sz="6" w:space="0" w:color="00BCD4"/>
                    <w:bottom w:val="single" w:sz="6" w:space="0" w:color="00BCD4"/>
                    <w:right w:val="single" w:sz="6" w:space="0" w:color="00BCD4"/>
                  </w:tcBorders>
                  <w:shd w:val="clear" w:color="auto" w:fill="00BCD4"/>
                  <w:vAlign w:val="center"/>
                  <w:hideMark/>
                </w:tcPr>
                <w:p w14:paraId="6DE2EE8C"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383D075"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2E0F45D" w14:textId="77777777" w:rsidR="006C7AA7" w:rsidRPr="00D0306F" w:rsidRDefault="006C7AA7" w:rsidP="00CC3BF4">
            <w:pPr>
              <w:jc w:val="center"/>
              <w:rPr>
                <w:rFonts w:eastAsia="Times New Roman" w:cs="Arial"/>
              </w:rPr>
            </w:pPr>
            <w:r w:rsidRPr="00D0306F">
              <w:rPr>
                <w:rFonts w:eastAsia="Times New Roman" w:cs="Arial"/>
              </w:rPr>
              <w:t>1.7%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B0B8827" w14:textId="77777777" w:rsidR="006C7AA7" w:rsidRPr="00D0306F" w:rsidRDefault="006C7AA7" w:rsidP="00CC3BF4">
            <w:pPr>
              <w:jc w:val="center"/>
              <w:rPr>
                <w:rFonts w:eastAsia="Times New Roman" w:cs="Arial"/>
              </w:rPr>
            </w:pPr>
            <w:r w:rsidRPr="00D0306F">
              <w:rPr>
                <w:rFonts w:eastAsia="Times New Roman" w:cs="Arial"/>
              </w:rPr>
              <w:t>2</w:t>
            </w:r>
          </w:p>
        </w:tc>
      </w:tr>
      <w:tr w:rsidR="006C7AA7" w:rsidRPr="00D0306F" w14:paraId="4F9A9C18" w14:textId="77777777" w:rsidTr="00CC3BF4">
        <w:trPr>
          <w:tblCellSpacing w:w="0" w:type="dxa"/>
          <w:jc w:val="center"/>
        </w:trPr>
        <w:tc>
          <w:tcPr>
            <w:tcW w:w="56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97B2CCB" w14:textId="77777777" w:rsidR="006C7AA7" w:rsidRPr="00D0306F" w:rsidRDefault="006C7AA7" w:rsidP="00CC3BF4">
            <w:pPr>
              <w:jc w:val="center"/>
              <w:rPr>
                <w:rFonts w:eastAsia="Times New Roman" w:cs="Arial"/>
              </w:rPr>
            </w:pPr>
            <w:r w:rsidRPr="00D0306F">
              <w:rPr>
                <w:rFonts w:eastAsia="Times New Roman" w:cs="Arial"/>
              </w:rPr>
              <w:t>7</w:t>
            </w:r>
          </w:p>
        </w:tc>
        <w:tc>
          <w:tcPr>
            <w:tcW w:w="246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5724781" w14:textId="77777777" w:rsidR="006C7AA7" w:rsidRPr="00D0306F" w:rsidRDefault="006C7AA7" w:rsidP="00CC3BF4">
            <w:pPr>
              <w:rPr>
                <w:rFonts w:eastAsia="Times New Roman" w:cs="Arial"/>
              </w:rPr>
            </w:pPr>
            <w:r w:rsidRPr="00D0306F">
              <w:rPr>
                <w:rFonts w:eastAsia="Times New Roman" w:cs="Arial"/>
              </w:rPr>
              <w:t>I would just pop in and ask them</w:t>
            </w:r>
          </w:p>
        </w:tc>
        <w:tc>
          <w:tcPr>
            <w:tcW w:w="326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186" w:type="pct"/>
              <w:tblCellMar>
                <w:left w:w="0" w:type="dxa"/>
                <w:right w:w="0" w:type="dxa"/>
              </w:tblCellMar>
              <w:tblLook w:val="04A0" w:firstRow="1" w:lastRow="0" w:firstColumn="1" w:lastColumn="0" w:noHBand="0" w:noVBand="1"/>
            </w:tblPr>
            <w:tblGrid>
              <w:gridCol w:w="740"/>
            </w:tblGrid>
            <w:tr w:rsidR="006C7AA7" w:rsidRPr="00D0306F" w14:paraId="0B9A7703" w14:textId="77777777" w:rsidTr="00CC3BF4">
              <w:tc>
                <w:tcPr>
                  <w:tcW w:w="0" w:type="auto"/>
                  <w:tcBorders>
                    <w:top w:val="single" w:sz="6" w:space="0" w:color="811CA4"/>
                    <w:left w:val="single" w:sz="6" w:space="0" w:color="811CA4"/>
                    <w:bottom w:val="single" w:sz="6" w:space="0" w:color="811CA4"/>
                    <w:right w:val="single" w:sz="6" w:space="0" w:color="811CA4"/>
                  </w:tcBorders>
                  <w:shd w:val="clear" w:color="auto" w:fill="811CA4"/>
                  <w:vAlign w:val="center"/>
                  <w:hideMark/>
                </w:tcPr>
                <w:p w14:paraId="7C2DFEF2"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3FD4738C"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461AA4F" w14:textId="77777777" w:rsidR="006C7AA7" w:rsidRPr="00D0306F" w:rsidRDefault="006C7AA7" w:rsidP="00CC3BF4">
            <w:pPr>
              <w:jc w:val="center"/>
              <w:rPr>
                <w:rFonts w:eastAsia="Times New Roman" w:cs="Arial"/>
              </w:rPr>
            </w:pPr>
            <w:r w:rsidRPr="00D0306F">
              <w:rPr>
                <w:rFonts w:eastAsia="Times New Roman" w:cs="Arial"/>
              </w:rPr>
              <w:t>24.4%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1CF7A7B" w14:textId="77777777" w:rsidR="006C7AA7" w:rsidRPr="00D0306F" w:rsidRDefault="006C7AA7" w:rsidP="00CC3BF4">
            <w:pPr>
              <w:jc w:val="center"/>
              <w:rPr>
                <w:rFonts w:eastAsia="Times New Roman" w:cs="Arial"/>
              </w:rPr>
            </w:pPr>
            <w:r w:rsidRPr="00D0306F">
              <w:rPr>
                <w:rFonts w:eastAsia="Times New Roman" w:cs="Arial"/>
              </w:rPr>
              <w:t>29</w:t>
            </w:r>
          </w:p>
        </w:tc>
      </w:tr>
      <w:tr w:rsidR="006C7AA7" w:rsidRPr="00D0306F" w14:paraId="7C06C596" w14:textId="77777777" w:rsidTr="00CC3BF4">
        <w:trPr>
          <w:tblCellSpacing w:w="0" w:type="dxa"/>
          <w:jc w:val="center"/>
        </w:trPr>
        <w:tc>
          <w:tcPr>
            <w:tcW w:w="56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96335A2" w14:textId="77777777" w:rsidR="006C7AA7" w:rsidRPr="00D0306F" w:rsidRDefault="006C7AA7" w:rsidP="00CC3BF4">
            <w:pPr>
              <w:jc w:val="center"/>
              <w:rPr>
                <w:rFonts w:eastAsia="Times New Roman" w:cs="Arial"/>
              </w:rPr>
            </w:pPr>
            <w:r w:rsidRPr="00D0306F">
              <w:rPr>
                <w:rFonts w:eastAsia="Times New Roman" w:cs="Arial"/>
              </w:rPr>
              <w:t>8</w:t>
            </w:r>
          </w:p>
        </w:tc>
        <w:tc>
          <w:tcPr>
            <w:tcW w:w="246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E0D7DC9" w14:textId="77777777" w:rsidR="006C7AA7" w:rsidRPr="00D0306F" w:rsidRDefault="006C7AA7" w:rsidP="00CC3BF4">
            <w:pPr>
              <w:rPr>
                <w:rFonts w:eastAsia="Times New Roman" w:cs="Arial"/>
              </w:rPr>
            </w:pPr>
            <w:r w:rsidRPr="00D0306F">
              <w:rPr>
                <w:rFonts w:eastAsia="Times New Roman" w:cs="Arial"/>
              </w:rPr>
              <w:t>Look in the window</w:t>
            </w:r>
          </w:p>
        </w:tc>
        <w:tc>
          <w:tcPr>
            <w:tcW w:w="326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93" w:type="pct"/>
              <w:tblCellMar>
                <w:left w:w="0" w:type="dxa"/>
                <w:right w:w="0" w:type="dxa"/>
              </w:tblCellMar>
              <w:tblLook w:val="04A0" w:firstRow="1" w:lastRow="0" w:firstColumn="1" w:lastColumn="0" w:noHBand="0" w:noVBand="1"/>
            </w:tblPr>
            <w:tblGrid>
              <w:gridCol w:w="370"/>
            </w:tblGrid>
            <w:tr w:rsidR="006C7AA7" w:rsidRPr="00D0306F" w14:paraId="00AFCAAA" w14:textId="77777777" w:rsidTr="00CC3BF4">
              <w:tc>
                <w:tcPr>
                  <w:tcW w:w="0" w:type="auto"/>
                  <w:tcBorders>
                    <w:top w:val="single" w:sz="6" w:space="0" w:color="E91E63"/>
                    <w:left w:val="single" w:sz="6" w:space="0" w:color="E91E63"/>
                    <w:bottom w:val="single" w:sz="6" w:space="0" w:color="E91E63"/>
                    <w:right w:val="single" w:sz="6" w:space="0" w:color="E91E63"/>
                  </w:tcBorders>
                  <w:shd w:val="clear" w:color="auto" w:fill="E91E63"/>
                  <w:vAlign w:val="center"/>
                  <w:hideMark/>
                </w:tcPr>
                <w:p w14:paraId="169F84A1"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72FE9BBE"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CA9CCE0" w14:textId="77777777" w:rsidR="006C7AA7" w:rsidRPr="00D0306F" w:rsidRDefault="006C7AA7" w:rsidP="00CC3BF4">
            <w:pPr>
              <w:jc w:val="center"/>
              <w:rPr>
                <w:rFonts w:eastAsia="Times New Roman" w:cs="Arial"/>
              </w:rPr>
            </w:pPr>
            <w:r w:rsidRPr="00D0306F">
              <w:rPr>
                <w:rFonts w:eastAsia="Times New Roman" w:cs="Arial"/>
              </w:rPr>
              <w:t>12.6%</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9256E57" w14:textId="77777777" w:rsidR="006C7AA7" w:rsidRPr="00D0306F" w:rsidRDefault="006C7AA7" w:rsidP="00CC3BF4">
            <w:pPr>
              <w:jc w:val="center"/>
              <w:rPr>
                <w:rFonts w:eastAsia="Times New Roman" w:cs="Arial"/>
              </w:rPr>
            </w:pPr>
            <w:r w:rsidRPr="00D0306F">
              <w:rPr>
                <w:rFonts w:eastAsia="Times New Roman" w:cs="Arial"/>
              </w:rPr>
              <w:t>15</w:t>
            </w:r>
          </w:p>
        </w:tc>
      </w:tr>
      <w:tr w:rsidR="006C7AA7" w:rsidRPr="00D0306F" w14:paraId="478AD2D1" w14:textId="77777777" w:rsidTr="00CC3BF4">
        <w:trPr>
          <w:tblCellSpacing w:w="0" w:type="dxa"/>
          <w:jc w:val="center"/>
        </w:trPr>
        <w:tc>
          <w:tcPr>
            <w:tcW w:w="56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AD6FE5C" w14:textId="77777777" w:rsidR="006C7AA7" w:rsidRPr="00D0306F" w:rsidRDefault="006C7AA7" w:rsidP="00CC3BF4">
            <w:pPr>
              <w:jc w:val="center"/>
              <w:rPr>
                <w:rFonts w:eastAsia="Times New Roman" w:cs="Arial"/>
              </w:rPr>
            </w:pPr>
            <w:r w:rsidRPr="00D0306F">
              <w:rPr>
                <w:rFonts w:eastAsia="Times New Roman" w:cs="Arial"/>
              </w:rPr>
              <w:t>9</w:t>
            </w:r>
          </w:p>
        </w:tc>
        <w:tc>
          <w:tcPr>
            <w:tcW w:w="246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4E8D46F" w14:textId="77777777" w:rsidR="006C7AA7" w:rsidRPr="00D0306F" w:rsidRDefault="006C7AA7" w:rsidP="00CC3BF4">
            <w:pPr>
              <w:rPr>
                <w:rFonts w:eastAsia="Times New Roman" w:cs="Arial"/>
              </w:rPr>
            </w:pPr>
            <w:r w:rsidRPr="00D0306F">
              <w:rPr>
                <w:rFonts w:eastAsia="Times New Roman" w:cs="Arial"/>
              </w:rPr>
              <w:t>I would find out from reading the local newspaper or magazine</w:t>
            </w:r>
          </w:p>
        </w:tc>
        <w:tc>
          <w:tcPr>
            <w:tcW w:w="326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432A64F7"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C702BE0"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650098B"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5F26C940" w14:textId="77777777" w:rsidTr="00CC3BF4">
        <w:trPr>
          <w:tblCellSpacing w:w="0" w:type="dxa"/>
          <w:jc w:val="center"/>
        </w:trPr>
        <w:tc>
          <w:tcPr>
            <w:tcW w:w="56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3C6740B" w14:textId="77777777" w:rsidR="006C7AA7" w:rsidRPr="00D0306F" w:rsidRDefault="006C7AA7" w:rsidP="00CC3BF4">
            <w:pPr>
              <w:jc w:val="center"/>
              <w:rPr>
                <w:rFonts w:eastAsia="Times New Roman" w:cs="Arial"/>
              </w:rPr>
            </w:pPr>
            <w:r w:rsidRPr="00D0306F">
              <w:rPr>
                <w:rFonts w:eastAsia="Times New Roman" w:cs="Arial"/>
              </w:rPr>
              <w:t>10</w:t>
            </w:r>
          </w:p>
        </w:tc>
        <w:tc>
          <w:tcPr>
            <w:tcW w:w="246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F5E94D9" w14:textId="77777777" w:rsidR="006C7AA7" w:rsidRPr="00D0306F" w:rsidRDefault="006C7AA7" w:rsidP="00CC3BF4">
            <w:pPr>
              <w:rPr>
                <w:rFonts w:eastAsia="Times New Roman" w:cs="Arial"/>
              </w:rPr>
            </w:pPr>
            <w:r w:rsidRPr="00D0306F">
              <w:rPr>
                <w:rFonts w:eastAsia="Times New Roman" w:cs="Arial"/>
              </w:rPr>
              <w:t>Not applicable</w:t>
            </w:r>
          </w:p>
        </w:tc>
        <w:tc>
          <w:tcPr>
            <w:tcW w:w="326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12" w:type="pct"/>
              <w:tblCellMar>
                <w:left w:w="0" w:type="dxa"/>
                <w:right w:w="0" w:type="dxa"/>
              </w:tblCellMar>
              <w:tblLook w:val="04A0" w:firstRow="1" w:lastRow="0" w:firstColumn="1" w:lastColumn="0" w:noHBand="0" w:noVBand="1"/>
            </w:tblPr>
            <w:tblGrid>
              <w:gridCol w:w="132"/>
            </w:tblGrid>
            <w:tr w:rsidR="006C7AA7" w:rsidRPr="00D0306F" w14:paraId="59BF73C3" w14:textId="77777777" w:rsidTr="00CC3BF4">
              <w:tc>
                <w:tcPr>
                  <w:tcW w:w="0" w:type="auto"/>
                  <w:tcBorders>
                    <w:top w:val="single" w:sz="6" w:space="0" w:color="D32F2F"/>
                    <w:left w:val="single" w:sz="6" w:space="0" w:color="D32F2F"/>
                    <w:bottom w:val="single" w:sz="6" w:space="0" w:color="D32F2F"/>
                    <w:right w:val="single" w:sz="6" w:space="0" w:color="D32F2F"/>
                  </w:tcBorders>
                  <w:shd w:val="clear" w:color="auto" w:fill="D32F2F"/>
                  <w:vAlign w:val="center"/>
                  <w:hideMark/>
                </w:tcPr>
                <w:p w14:paraId="4A813447"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20C8F63B"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89AE89C" w14:textId="77777777" w:rsidR="006C7AA7" w:rsidRPr="00D0306F" w:rsidRDefault="006C7AA7" w:rsidP="00CC3BF4">
            <w:pPr>
              <w:jc w:val="center"/>
              <w:rPr>
                <w:rFonts w:eastAsia="Times New Roman" w:cs="Arial"/>
              </w:rPr>
            </w:pPr>
            <w:r w:rsidRPr="00D0306F">
              <w:rPr>
                <w:rFonts w:eastAsia="Times New Roman" w:cs="Arial"/>
              </w:rPr>
              <w:t>4.2%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9DA84D5" w14:textId="77777777" w:rsidR="006C7AA7" w:rsidRPr="00D0306F" w:rsidRDefault="006C7AA7" w:rsidP="00CC3BF4">
            <w:pPr>
              <w:jc w:val="center"/>
              <w:rPr>
                <w:rFonts w:eastAsia="Times New Roman" w:cs="Arial"/>
              </w:rPr>
            </w:pPr>
            <w:r w:rsidRPr="00D0306F">
              <w:rPr>
                <w:rFonts w:eastAsia="Times New Roman" w:cs="Arial"/>
              </w:rPr>
              <w:t>5</w:t>
            </w:r>
          </w:p>
        </w:tc>
      </w:tr>
      <w:tr w:rsidR="006C7AA7" w:rsidRPr="00D0306F" w14:paraId="3914C674" w14:textId="77777777" w:rsidTr="00CC3BF4">
        <w:trPr>
          <w:tblCellSpacing w:w="0" w:type="dxa"/>
          <w:jc w:val="center"/>
        </w:trPr>
        <w:tc>
          <w:tcPr>
            <w:tcW w:w="56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E038F56" w14:textId="77777777" w:rsidR="006C7AA7" w:rsidRPr="00D0306F" w:rsidRDefault="006C7AA7" w:rsidP="00CC3BF4">
            <w:pPr>
              <w:jc w:val="center"/>
              <w:rPr>
                <w:rFonts w:eastAsia="Times New Roman" w:cs="Arial"/>
              </w:rPr>
            </w:pPr>
            <w:r w:rsidRPr="00D0306F">
              <w:rPr>
                <w:rFonts w:eastAsia="Times New Roman" w:cs="Arial"/>
              </w:rPr>
              <w:t>11</w:t>
            </w:r>
          </w:p>
        </w:tc>
        <w:tc>
          <w:tcPr>
            <w:tcW w:w="246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99ED672" w14:textId="77777777" w:rsidR="006C7AA7" w:rsidRPr="00D0306F" w:rsidRDefault="006C7AA7" w:rsidP="00CC3BF4">
            <w:pPr>
              <w:rPr>
                <w:rFonts w:eastAsia="Times New Roman" w:cs="Arial"/>
              </w:rPr>
            </w:pPr>
            <w:r w:rsidRPr="00D0306F">
              <w:rPr>
                <w:rFonts w:eastAsia="Times New Roman" w:cs="Arial"/>
              </w:rPr>
              <w:t>Other:</w:t>
            </w:r>
          </w:p>
        </w:tc>
        <w:tc>
          <w:tcPr>
            <w:tcW w:w="326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96" w:type="pct"/>
              <w:tblCellMar>
                <w:left w:w="0" w:type="dxa"/>
                <w:right w:w="0" w:type="dxa"/>
              </w:tblCellMar>
              <w:tblLook w:val="04A0" w:firstRow="1" w:lastRow="0" w:firstColumn="1" w:lastColumn="0" w:noHBand="0" w:noVBand="1"/>
            </w:tblPr>
            <w:tblGrid>
              <w:gridCol w:w="185"/>
            </w:tblGrid>
            <w:tr w:rsidR="006C7AA7" w:rsidRPr="00D0306F" w14:paraId="70EDF640" w14:textId="77777777" w:rsidTr="00CC3BF4">
              <w:tc>
                <w:tcPr>
                  <w:tcW w:w="0" w:type="auto"/>
                  <w:tcBorders>
                    <w:top w:val="single" w:sz="6" w:space="0" w:color="2196F3"/>
                    <w:left w:val="single" w:sz="6" w:space="0" w:color="2196F3"/>
                    <w:bottom w:val="single" w:sz="6" w:space="0" w:color="2196F3"/>
                    <w:right w:val="single" w:sz="6" w:space="0" w:color="2196F3"/>
                  </w:tcBorders>
                  <w:shd w:val="clear" w:color="auto" w:fill="2196F3"/>
                  <w:vAlign w:val="center"/>
                  <w:hideMark/>
                </w:tcPr>
                <w:p w14:paraId="7D95A528"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740CE5DD"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DDB4FCA" w14:textId="77777777" w:rsidR="006C7AA7" w:rsidRPr="00D0306F" w:rsidRDefault="006C7AA7" w:rsidP="00CC3BF4">
            <w:pPr>
              <w:jc w:val="center"/>
              <w:rPr>
                <w:rFonts w:eastAsia="Times New Roman" w:cs="Arial"/>
              </w:rPr>
            </w:pPr>
            <w:r w:rsidRPr="00D0306F">
              <w:rPr>
                <w:rFonts w:eastAsia="Times New Roman" w:cs="Arial"/>
              </w:rPr>
              <w:t>5.9%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190BFA4" w14:textId="77777777" w:rsidR="006C7AA7" w:rsidRPr="00D0306F" w:rsidRDefault="006C7AA7" w:rsidP="00CC3BF4">
            <w:pPr>
              <w:jc w:val="center"/>
              <w:rPr>
                <w:rFonts w:eastAsia="Times New Roman" w:cs="Arial"/>
              </w:rPr>
            </w:pPr>
            <w:r w:rsidRPr="00D0306F">
              <w:rPr>
                <w:rFonts w:eastAsia="Times New Roman" w:cs="Arial"/>
              </w:rPr>
              <w:t>7</w:t>
            </w:r>
          </w:p>
        </w:tc>
      </w:tr>
      <w:tr w:rsidR="006C7AA7" w:rsidRPr="00D0306F" w14:paraId="737D9EF9"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6D0E1BBE"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14B2C6D"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BF43AB9" w14:textId="77777777" w:rsidR="006C7AA7" w:rsidRPr="00D0306F" w:rsidRDefault="006C7AA7" w:rsidP="00CC3BF4">
            <w:pPr>
              <w:jc w:val="center"/>
              <w:rPr>
                <w:rFonts w:eastAsia="Times New Roman" w:cs="Arial"/>
              </w:rPr>
            </w:pPr>
            <w:r w:rsidRPr="00D0306F">
              <w:rPr>
                <w:rFonts w:eastAsia="Times New Roman" w:cs="Arial"/>
              </w:rPr>
              <w:t>119</w:t>
            </w:r>
          </w:p>
        </w:tc>
      </w:tr>
      <w:tr w:rsidR="006C7AA7" w:rsidRPr="00D0306F" w14:paraId="14322680"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3548B982"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2017E3A"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E545448"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6D7DF146" w14:textId="77777777" w:rsidTr="00CC3BF4">
        <w:trPr>
          <w:tblCellSpacing w:w="0" w:type="dxa"/>
          <w:jc w:val="center"/>
        </w:trPr>
        <w:tc>
          <w:tcPr>
            <w:tcW w:w="8920" w:type="dxa"/>
            <w:gridSpan w:val="5"/>
            <w:tcBorders>
              <w:top w:val="single" w:sz="6" w:space="0" w:color="CCCCCC"/>
              <w:right w:val="single" w:sz="6" w:space="0" w:color="CCCCCC"/>
            </w:tcBorders>
            <w:shd w:val="clear" w:color="auto" w:fill="FFFFFF"/>
            <w:tcMar>
              <w:top w:w="120" w:type="dxa"/>
              <w:left w:w="150" w:type="dxa"/>
              <w:bottom w:w="120" w:type="dxa"/>
              <w:right w:w="150" w:type="dxa"/>
            </w:tcMar>
            <w:vAlign w:val="center"/>
            <w:hideMark/>
          </w:tcPr>
          <w:p w14:paraId="62FBB5E5" w14:textId="77777777" w:rsidR="006C7AA7" w:rsidRPr="00D0306F" w:rsidRDefault="006C7AA7" w:rsidP="00CC3BF4">
            <w:pPr>
              <w:rPr>
                <w:rFonts w:eastAsia="Times New Roman" w:cs="Arial"/>
              </w:rPr>
            </w:pPr>
            <w:r w:rsidRPr="00D0306F">
              <w:rPr>
                <w:rFonts w:eastAsia="Times New Roman" w:cs="Arial"/>
              </w:rPr>
              <w:t>Other: (7)</w:t>
            </w:r>
          </w:p>
        </w:tc>
      </w:tr>
      <w:tr w:rsidR="006C7AA7" w:rsidRPr="00D0306F" w14:paraId="25740845" w14:textId="77777777" w:rsidTr="00CC3BF4">
        <w:trPr>
          <w:tblCellSpacing w:w="0" w:type="dxa"/>
          <w:jc w:val="center"/>
        </w:trPr>
        <w:tc>
          <w:tcPr>
            <w:tcW w:w="8920" w:type="dxa"/>
            <w:gridSpan w:val="5"/>
            <w:tcBorders>
              <w:top w:val="single" w:sz="6" w:space="0" w:color="CCCCCC"/>
              <w:bottom w:val="single" w:sz="6" w:space="0" w:color="CCCCCC"/>
              <w:right w:val="single" w:sz="6" w:space="0" w:color="CCCCCC"/>
            </w:tcBorders>
            <w:shd w:val="clear" w:color="auto" w:fill="FFFFFF"/>
            <w:tcMar>
              <w:top w:w="0" w:type="dxa"/>
              <w:left w:w="420" w:type="dxa"/>
              <w:bottom w:w="0" w:type="dxa"/>
              <w:right w:w="0" w:type="dxa"/>
            </w:tcMar>
            <w:vAlign w:val="center"/>
            <w:hideMark/>
          </w:tcPr>
          <w:tbl>
            <w:tblPr>
              <w:tblW w:w="5000" w:type="pct"/>
              <w:tblBorders>
                <w:left w:val="single" w:sz="6" w:space="0" w:color="CCCCCC"/>
              </w:tblBorders>
              <w:tblCellMar>
                <w:top w:w="15" w:type="dxa"/>
                <w:left w:w="15" w:type="dxa"/>
                <w:bottom w:w="15" w:type="dxa"/>
                <w:right w:w="15" w:type="dxa"/>
              </w:tblCellMar>
              <w:tblLook w:val="04A0" w:firstRow="1" w:lastRow="0" w:firstColumn="1" w:lastColumn="0" w:noHBand="0" w:noVBand="1"/>
            </w:tblPr>
            <w:tblGrid>
              <w:gridCol w:w="284"/>
              <w:gridCol w:w="1800"/>
              <w:gridCol w:w="6386"/>
            </w:tblGrid>
            <w:tr w:rsidR="006C7AA7" w:rsidRPr="00D0306F" w14:paraId="43141D0F"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139DF787" w14:textId="77777777" w:rsidR="006C7AA7" w:rsidRPr="00D0306F" w:rsidRDefault="006C7AA7" w:rsidP="00CC3BF4">
                  <w:pPr>
                    <w:jc w:val="center"/>
                    <w:rPr>
                      <w:rFonts w:eastAsia="Times New Roman" w:cs="Arial"/>
                    </w:rPr>
                  </w:pPr>
                  <w:r w:rsidRPr="00D0306F">
                    <w:rPr>
                      <w:rFonts w:eastAsia="Times New Roman" w:cs="Arial"/>
                    </w:rPr>
                    <w:t>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E2DBB81"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B7F05F4" w14:textId="77777777" w:rsidR="006C7AA7" w:rsidRPr="00D0306F" w:rsidRDefault="006C7AA7" w:rsidP="00CC3BF4">
                  <w:pPr>
                    <w:rPr>
                      <w:rFonts w:eastAsia="Times New Roman" w:cs="Arial"/>
                    </w:rPr>
                  </w:pPr>
                  <w:r w:rsidRPr="00D0306F">
                    <w:rPr>
                      <w:rFonts w:eastAsia="Times New Roman" w:cs="Arial"/>
                    </w:rPr>
                    <w:t xml:space="preserve">Pharmacy own website </w:t>
                  </w:r>
                </w:p>
              </w:tc>
            </w:tr>
            <w:tr w:rsidR="006C7AA7" w:rsidRPr="00D0306F" w14:paraId="3994AB2D"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75ABA3DC" w14:textId="77777777" w:rsidR="006C7AA7" w:rsidRPr="00D0306F" w:rsidRDefault="006C7AA7" w:rsidP="00CC3BF4">
                  <w:pPr>
                    <w:jc w:val="center"/>
                    <w:rPr>
                      <w:rFonts w:eastAsia="Times New Roman" w:cs="Arial"/>
                    </w:rPr>
                  </w:pPr>
                  <w:r w:rsidRPr="00D0306F">
                    <w:rPr>
                      <w:rFonts w:eastAsia="Times New Roman" w:cs="Arial"/>
                    </w:rPr>
                    <w:t>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4BA1FD6"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3644AC2" w14:textId="77777777" w:rsidR="006C7AA7" w:rsidRPr="00D0306F" w:rsidRDefault="006C7AA7" w:rsidP="00CC3BF4">
                  <w:pPr>
                    <w:rPr>
                      <w:rFonts w:eastAsia="Times New Roman" w:cs="Arial"/>
                    </w:rPr>
                  </w:pPr>
                  <w:r w:rsidRPr="00D0306F">
                    <w:rPr>
                      <w:rFonts w:eastAsia="Times New Roman" w:cs="Arial"/>
                    </w:rPr>
                    <w:t>Use the [name] app</w:t>
                  </w:r>
                </w:p>
              </w:tc>
            </w:tr>
            <w:tr w:rsidR="006C7AA7" w:rsidRPr="00D0306F" w14:paraId="67C8C5C4"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1777A7C1" w14:textId="77777777" w:rsidR="006C7AA7" w:rsidRPr="00D0306F" w:rsidRDefault="006C7AA7" w:rsidP="00CC3BF4">
                  <w:pPr>
                    <w:jc w:val="center"/>
                    <w:rPr>
                      <w:rFonts w:eastAsia="Times New Roman" w:cs="Arial"/>
                    </w:rPr>
                  </w:pPr>
                  <w:r w:rsidRPr="00D0306F">
                    <w:rPr>
                      <w:rFonts w:eastAsia="Times New Roman" w:cs="Arial"/>
                    </w:rPr>
                    <w:t>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46B58C0"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5389C17" w14:textId="77777777" w:rsidR="006C7AA7" w:rsidRPr="00D0306F" w:rsidRDefault="006C7AA7" w:rsidP="00CC3BF4">
                  <w:pPr>
                    <w:rPr>
                      <w:rFonts w:eastAsia="Times New Roman" w:cs="Arial"/>
                    </w:rPr>
                  </w:pPr>
                  <w:r w:rsidRPr="00D0306F">
                    <w:rPr>
                      <w:rFonts w:eastAsia="Times New Roman" w:cs="Arial"/>
                    </w:rPr>
                    <w:t xml:space="preserve">I know of pharmacists in the area due to having to visit them all to get medication </w:t>
                  </w:r>
                </w:p>
              </w:tc>
            </w:tr>
            <w:tr w:rsidR="006C7AA7" w:rsidRPr="00D0306F" w14:paraId="19ACDE43"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1C57DEE0" w14:textId="77777777" w:rsidR="006C7AA7" w:rsidRPr="00D0306F" w:rsidRDefault="006C7AA7" w:rsidP="00CC3BF4">
                  <w:pPr>
                    <w:jc w:val="center"/>
                    <w:rPr>
                      <w:rFonts w:eastAsia="Times New Roman" w:cs="Arial"/>
                    </w:rPr>
                  </w:pPr>
                  <w:r w:rsidRPr="00D0306F">
                    <w:rPr>
                      <w:rFonts w:eastAsia="Times New Roman" w:cs="Arial"/>
                    </w:rPr>
                    <w:t>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20DF5B6"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C984C1E" w14:textId="77777777" w:rsidR="006C7AA7" w:rsidRPr="00D0306F" w:rsidRDefault="006C7AA7" w:rsidP="00CC3BF4">
                  <w:pPr>
                    <w:rPr>
                      <w:rFonts w:eastAsia="Times New Roman" w:cs="Arial"/>
                    </w:rPr>
                  </w:pPr>
                  <w:r w:rsidRPr="00D0306F">
                    <w:rPr>
                      <w:rFonts w:eastAsia="Times New Roman" w:cs="Arial"/>
                    </w:rPr>
                    <w:t xml:space="preserve">[name] Pharmacy have a brilliant out of hours dispensing machine </w:t>
                  </w:r>
                </w:p>
              </w:tc>
            </w:tr>
            <w:tr w:rsidR="006C7AA7" w:rsidRPr="00D0306F" w14:paraId="16A3C54E"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17D76F22" w14:textId="77777777" w:rsidR="006C7AA7" w:rsidRPr="00D0306F" w:rsidRDefault="006C7AA7" w:rsidP="00CC3BF4">
                  <w:pPr>
                    <w:jc w:val="center"/>
                    <w:rPr>
                      <w:rFonts w:eastAsia="Times New Roman" w:cs="Arial"/>
                    </w:rPr>
                  </w:pPr>
                  <w:r w:rsidRPr="00D0306F">
                    <w:rPr>
                      <w:rFonts w:eastAsia="Times New Roman" w:cs="Arial"/>
                    </w:rPr>
                    <w:t>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ECF2712"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C1AAE77" w14:textId="77777777" w:rsidR="006C7AA7" w:rsidRPr="00D0306F" w:rsidRDefault="006C7AA7" w:rsidP="00CC3BF4">
                  <w:pPr>
                    <w:rPr>
                      <w:rFonts w:eastAsia="Times New Roman" w:cs="Arial"/>
                    </w:rPr>
                  </w:pPr>
                  <w:r w:rsidRPr="00D0306F">
                    <w:rPr>
                      <w:rFonts w:eastAsia="Times New Roman" w:cs="Arial"/>
                    </w:rPr>
                    <w:t>On text I receive from them</w:t>
                  </w:r>
                </w:p>
              </w:tc>
            </w:tr>
            <w:tr w:rsidR="006C7AA7" w:rsidRPr="00D0306F" w14:paraId="6E27DBF0"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23D4EC0C" w14:textId="77777777" w:rsidR="006C7AA7" w:rsidRPr="00D0306F" w:rsidRDefault="006C7AA7" w:rsidP="00CC3BF4">
                  <w:pPr>
                    <w:jc w:val="center"/>
                    <w:rPr>
                      <w:rFonts w:eastAsia="Times New Roman" w:cs="Arial"/>
                    </w:rPr>
                  </w:pPr>
                  <w:r w:rsidRPr="00D0306F">
                    <w:rPr>
                      <w:rFonts w:eastAsia="Times New Roman" w:cs="Arial"/>
                    </w:rPr>
                    <w:t>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A70505E"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1C7EEFC" w14:textId="77777777" w:rsidR="006C7AA7" w:rsidRPr="00D0306F" w:rsidRDefault="006C7AA7" w:rsidP="00CC3BF4">
                  <w:pPr>
                    <w:rPr>
                      <w:rFonts w:eastAsia="Times New Roman" w:cs="Arial"/>
                    </w:rPr>
                  </w:pPr>
                  <w:r w:rsidRPr="00D0306F">
                    <w:rPr>
                      <w:rFonts w:eastAsia="Times New Roman" w:cs="Arial"/>
                    </w:rPr>
                    <w:t>Google Maps</w:t>
                  </w:r>
                </w:p>
              </w:tc>
            </w:tr>
            <w:tr w:rsidR="006C7AA7" w:rsidRPr="00D0306F" w14:paraId="1881D0CB"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0A2D6E58" w14:textId="77777777" w:rsidR="006C7AA7" w:rsidRPr="00D0306F" w:rsidRDefault="006C7AA7" w:rsidP="00CC3BF4">
                  <w:pPr>
                    <w:jc w:val="center"/>
                    <w:rPr>
                      <w:rFonts w:eastAsia="Times New Roman" w:cs="Arial"/>
                    </w:rPr>
                  </w:pPr>
                  <w:r w:rsidRPr="00D0306F">
                    <w:rPr>
                      <w:rFonts w:eastAsia="Times New Roman" w:cs="Arial"/>
                    </w:rPr>
                    <w:t>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BEEDC98"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59176A7" w14:textId="77777777" w:rsidR="006C7AA7" w:rsidRPr="00D0306F" w:rsidRDefault="006C7AA7" w:rsidP="00CC3BF4">
                  <w:pPr>
                    <w:rPr>
                      <w:rFonts w:eastAsia="Times New Roman" w:cs="Arial"/>
                    </w:rPr>
                  </w:pPr>
                  <w:r w:rsidRPr="00D0306F">
                    <w:rPr>
                      <w:rFonts w:eastAsia="Times New Roman" w:cs="Arial"/>
                    </w:rPr>
                    <w:t>Look at notice on door</w:t>
                  </w:r>
                </w:p>
              </w:tc>
            </w:tr>
          </w:tbl>
          <w:p w14:paraId="4733B358" w14:textId="77777777" w:rsidR="006C7AA7" w:rsidRPr="00D0306F" w:rsidRDefault="006C7AA7" w:rsidP="00CC3BF4">
            <w:pPr>
              <w:rPr>
                <w:rFonts w:eastAsia="Times New Roman" w:cs="Arial"/>
              </w:rPr>
            </w:pPr>
          </w:p>
        </w:tc>
      </w:tr>
    </w:tbl>
    <w:p w14:paraId="6F6DF59D" w14:textId="77777777" w:rsidR="006C7AA7" w:rsidRPr="00D0306F" w:rsidRDefault="006C7AA7" w:rsidP="006C7AA7">
      <w:pPr>
        <w:rPr>
          <w:rFonts w:eastAsia="Times New Roman" w:cs="Arial"/>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320"/>
        <w:gridCol w:w="2160"/>
        <w:gridCol w:w="3814"/>
        <w:gridCol w:w="1313"/>
        <w:gridCol w:w="1313"/>
      </w:tblGrid>
      <w:tr w:rsidR="006C7AA7" w:rsidRPr="00D0306F" w14:paraId="5534909A"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68746ADD" w14:textId="77777777" w:rsidR="006C7AA7" w:rsidRPr="00D0306F" w:rsidRDefault="006C7AA7" w:rsidP="00CC3BF4">
            <w:pPr>
              <w:rPr>
                <w:rFonts w:eastAsia="Times New Roman" w:cs="Arial"/>
                <w:b/>
                <w:bCs/>
                <w:color w:val="FFFFFF"/>
              </w:rPr>
            </w:pPr>
            <w:r w:rsidRPr="00D0306F">
              <w:rPr>
                <w:rFonts w:eastAsia="Times New Roman" w:cs="Arial"/>
                <w:b/>
                <w:bCs/>
                <w:color w:val="FFFFFF"/>
              </w:rPr>
              <w:t xml:space="preserve">17. Do you feel able to discuss something private with your pharmacist? Please tick one. </w:t>
            </w:r>
          </w:p>
        </w:tc>
      </w:tr>
      <w:tr w:rsidR="006C7AA7" w:rsidRPr="00D0306F" w14:paraId="65CB4585"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5C9C487F"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72962732"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056A9B0F"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225228B8" w14:textId="77777777" w:rsidTr="00CC3BF4">
        <w:trPr>
          <w:tblCellSpacing w:w="0" w:type="dxa"/>
          <w:jc w:val="center"/>
        </w:trPr>
        <w:tc>
          <w:tcPr>
            <w:tcW w:w="32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236EC90" w14:textId="77777777" w:rsidR="006C7AA7" w:rsidRPr="00D0306F" w:rsidRDefault="006C7AA7" w:rsidP="00CC3BF4">
            <w:pPr>
              <w:jc w:val="center"/>
              <w:rPr>
                <w:rFonts w:eastAsia="Times New Roman" w:cs="Arial"/>
              </w:rPr>
            </w:pPr>
            <w:r w:rsidRPr="00D0306F">
              <w:rPr>
                <w:rFonts w:eastAsia="Times New Roman" w:cs="Arial"/>
              </w:rPr>
              <w:t>1</w:t>
            </w:r>
          </w:p>
        </w:tc>
        <w:tc>
          <w:tcPr>
            <w:tcW w:w="216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01E23B5" w14:textId="77777777" w:rsidR="006C7AA7" w:rsidRPr="00D0306F" w:rsidRDefault="006C7AA7" w:rsidP="00CC3BF4">
            <w:pPr>
              <w:rPr>
                <w:rFonts w:eastAsia="Times New Roman" w:cs="Arial"/>
              </w:rPr>
            </w:pPr>
            <w:r w:rsidRPr="00D0306F">
              <w:rPr>
                <w:rFonts w:eastAsia="Times New Roman" w:cs="Arial"/>
              </w:rPr>
              <w:t>Yes</w:t>
            </w:r>
          </w:p>
        </w:tc>
        <w:tc>
          <w:tcPr>
            <w:tcW w:w="381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390" w:type="pct"/>
              <w:tblCellMar>
                <w:left w:w="0" w:type="dxa"/>
                <w:right w:w="0" w:type="dxa"/>
              </w:tblCellMar>
              <w:tblLook w:val="04A0" w:firstRow="1" w:lastRow="0" w:firstColumn="1" w:lastColumn="0" w:noHBand="0" w:noVBand="1"/>
            </w:tblPr>
            <w:tblGrid>
              <w:gridCol w:w="2484"/>
            </w:tblGrid>
            <w:tr w:rsidR="006C7AA7" w:rsidRPr="00D0306F" w14:paraId="2D13DDE6"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2F4CB6F7"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E3494EC"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2420FCD" w14:textId="77777777" w:rsidR="006C7AA7" w:rsidRPr="00D0306F" w:rsidRDefault="006C7AA7" w:rsidP="00CC3BF4">
            <w:pPr>
              <w:jc w:val="center"/>
              <w:rPr>
                <w:rFonts w:eastAsia="Times New Roman" w:cs="Arial"/>
              </w:rPr>
            </w:pPr>
            <w:r w:rsidRPr="00D0306F">
              <w:rPr>
                <w:rFonts w:eastAsia="Times New Roman" w:cs="Arial"/>
              </w:rPr>
              <w:t>67.2%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B65253B" w14:textId="77777777" w:rsidR="006C7AA7" w:rsidRPr="00D0306F" w:rsidRDefault="006C7AA7" w:rsidP="00CC3BF4">
            <w:pPr>
              <w:jc w:val="center"/>
              <w:rPr>
                <w:rFonts w:eastAsia="Times New Roman" w:cs="Arial"/>
              </w:rPr>
            </w:pPr>
            <w:r w:rsidRPr="00D0306F">
              <w:rPr>
                <w:rFonts w:eastAsia="Times New Roman" w:cs="Arial"/>
              </w:rPr>
              <w:t>80</w:t>
            </w:r>
          </w:p>
        </w:tc>
      </w:tr>
      <w:tr w:rsidR="006C7AA7" w:rsidRPr="00D0306F" w14:paraId="2F38420F" w14:textId="77777777" w:rsidTr="00CC3BF4">
        <w:trPr>
          <w:tblCellSpacing w:w="0" w:type="dxa"/>
          <w:jc w:val="center"/>
        </w:trPr>
        <w:tc>
          <w:tcPr>
            <w:tcW w:w="32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4F0DE0E" w14:textId="77777777" w:rsidR="006C7AA7" w:rsidRPr="00D0306F" w:rsidRDefault="006C7AA7" w:rsidP="00CC3BF4">
            <w:pPr>
              <w:jc w:val="center"/>
              <w:rPr>
                <w:rFonts w:eastAsia="Times New Roman" w:cs="Arial"/>
              </w:rPr>
            </w:pPr>
            <w:r w:rsidRPr="00D0306F">
              <w:rPr>
                <w:rFonts w:eastAsia="Times New Roman" w:cs="Arial"/>
              </w:rPr>
              <w:t>2</w:t>
            </w:r>
          </w:p>
        </w:tc>
        <w:tc>
          <w:tcPr>
            <w:tcW w:w="216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783964D" w14:textId="77777777" w:rsidR="006C7AA7" w:rsidRPr="00D0306F" w:rsidRDefault="006C7AA7" w:rsidP="00CC3BF4">
            <w:pPr>
              <w:rPr>
                <w:rFonts w:eastAsia="Times New Roman" w:cs="Arial"/>
              </w:rPr>
            </w:pPr>
            <w:r w:rsidRPr="00D0306F">
              <w:rPr>
                <w:rFonts w:eastAsia="Times New Roman" w:cs="Arial"/>
              </w:rPr>
              <w:t>No</w:t>
            </w:r>
          </w:p>
        </w:tc>
        <w:tc>
          <w:tcPr>
            <w:tcW w:w="381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51" w:type="pct"/>
              <w:tblCellMar>
                <w:left w:w="0" w:type="dxa"/>
                <w:right w:w="0" w:type="dxa"/>
              </w:tblCellMar>
              <w:tblLook w:val="04A0" w:firstRow="1" w:lastRow="0" w:firstColumn="1" w:lastColumn="0" w:noHBand="0" w:noVBand="1"/>
            </w:tblPr>
            <w:tblGrid>
              <w:gridCol w:w="404"/>
            </w:tblGrid>
            <w:tr w:rsidR="006C7AA7" w:rsidRPr="00D0306F" w14:paraId="6A411DC8"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3E29F24C"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F206921"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96E1145" w14:textId="77777777" w:rsidR="006C7AA7" w:rsidRPr="00D0306F" w:rsidRDefault="006C7AA7" w:rsidP="00CC3BF4">
            <w:pPr>
              <w:jc w:val="center"/>
              <w:rPr>
                <w:rFonts w:eastAsia="Times New Roman" w:cs="Arial"/>
              </w:rPr>
            </w:pPr>
            <w:r w:rsidRPr="00D0306F">
              <w:rPr>
                <w:rFonts w:eastAsia="Times New Roman" w:cs="Arial"/>
              </w:rPr>
              <w:t>10.9%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E996EB1" w14:textId="77777777" w:rsidR="006C7AA7" w:rsidRPr="00D0306F" w:rsidRDefault="006C7AA7" w:rsidP="00CC3BF4">
            <w:pPr>
              <w:jc w:val="center"/>
              <w:rPr>
                <w:rFonts w:eastAsia="Times New Roman" w:cs="Arial"/>
              </w:rPr>
            </w:pPr>
            <w:r w:rsidRPr="00D0306F">
              <w:rPr>
                <w:rFonts w:eastAsia="Times New Roman" w:cs="Arial"/>
              </w:rPr>
              <w:t>13</w:t>
            </w:r>
          </w:p>
        </w:tc>
      </w:tr>
      <w:tr w:rsidR="006C7AA7" w:rsidRPr="00D0306F" w14:paraId="15A4AD67" w14:textId="77777777" w:rsidTr="00CC3BF4">
        <w:trPr>
          <w:tblCellSpacing w:w="0" w:type="dxa"/>
          <w:jc w:val="center"/>
        </w:trPr>
        <w:tc>
          <w:tcPr>
            <w:tcW w:w="32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C4B1769" w14:textId="77777777" w:rsidR="006C7AA7" w:rsidRPr="00D0306F" w:rsidRDefault="006C7AA7" w:rsidP="00CC3BF4">
            <w:pPr>
              <w:jc w:val="center"/>
              <w:rPr>
                <w:rFonts w:eastAsia="Times New Roman" w:cs="Arial"/>
              </w:rPr>
            </w:pPr>
            <w:r w:rsidRPr="00D0306F">
              <w:rPr>
                <w:rFonts w:eastAsia="Times New Roman" w:cs="Arial"/>
              </w:rPr>
              <w:t>3</w:t>
            </w:r>
          </w:p>
        </w:tc>
        <w:tc>
          <w:tcPr>
            <w:tcW w:w="216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7CDE872" w14:textId="77777777" w:rsidR="006C7AA7" w:rsidRPr="00D0306F" w:rsidRDefault="006C7AA7" w:rsidP="00CC3BF4">
            <w:pPr>
              <w:rPr>
                <w:rFonts w:eastAsia="Times New Roman" w:cs="Arial"/>
              </w:rPr>
            </w:pPr>
            <w:r w:rsidRPr="00D0306F">
              <w:rPr>
                <w:rFonts w:eastAsia="Times New Roman" w:cs="Arial"/>
              </w:rPr>
              <w:t>Never needed to</w:t>
            </w:r>
          </w:p>
        </w:tc>
        <w:tc>
          <w:tcPr>
            <w:tcW w:w="381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47" w:type="pct"/>
              <w:tblCellMar>
                <w:left w:w="0" w:type="dxa"/>
                <w:right w:w="0" w:type="dxa"/>
              </w:tblCellMar>
              <w:tblLook w:val="04A0" w:firstRow="1" w:lastRow="0" w:firstColumn="1" w:lastColumn="0" w:noHBand="0" w:noVBand="1"/>
            </w:tblPr>
            <w:tblGrid>
              <w:gridCol w:w="621"/>
            </w:tblGrid>
            <w:tr w:rsidR="006C7AA7" w:rsidRPr="00D0306F" w14:paraId="1E19A733" w14:textId="77777777" w:rsidTr="00CC3BF4">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015B13F7"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9301968"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54B93DF" w14:textId="77777777" w:rsidR="006C7AA7" w:rsidRPr="00D0306F" w:rsidRDefault="006C7AA7" w:rsidP="00CC3BF4">
            <w:pPr>
              <w:jc w:val="center"/>
              <w:rPr>
                <w:rFonts w:eastAsia="Times New Roman" w:cs="Arial"/>
              </w:rPr>
            </w:pPr>
            <w:r w:rsidRPr="00D0306F">
              <w:rPr>
                <w:rFonts w:eastAsia="Times New Roman" w:cs="Arial"/>
              </w:rPr>
              <w:t>17.7%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F748F27" w14:textId="77777777" w:rsidR="006C7AA7" w:rsidRPr="00D0306F" w:rsidRDefault="006C7AA7" w:rsidP="00CC3BF4">
            <w:pPr>
              <w:jc w:val="center"/>
              <w:rPr>
                <w:rFonts w:eastAsia="Times New Roman" w:cs="Arial"/>
              </w:rPr>
            </w:pPr>
            <w:r w:rsidRPr="00D0306F">
              <w:rPr>
                <w:rFonts w:eastAsia="Times New Roman" w:cs="Arial"/>
              </w:rPr>
              <w:t>21</w:t>
            </w:r>
          </w:p>
        </w:tc>
      </w:tr>
      <w:tr w:rsidR="006C7AA7" w:rsidRPr="00D0306F" w14:paraId="3D73143E" w14:textId="77777777" w:rsidTr="00CC3BF4">
        <w:trPr>
          <w:tblCellSpacing w:w="0" w:type="dxa"/>
          <w:jc w:val="center"/>
        </w:trPr>
        <w:tc>
          <w:tcPr>
            <w:tcW w:w="32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99D00E9" w14:textId="77777777" w:rsidR="006C7AA7" w:rsidRPr="00D0306F" w:rsidRDefault="006C7AA7" w:rsidP="00CC3BF4">
            <w:pPr>
              <w:jc w:val="center"/>
              <w:rPr>
                <w:rFonts w:eastAsia="Times New Roman" w:cs="Arial"/>
              </w:rPr>
            </w:pPr>
            <w:r w:rsidRPr="00D0306F">
              <w:rPr>
                <w:rFonts w:eastAsia="Times New Roman" w:cs="Arial"/>
              </w:rPr>
              <w:t>4</w:t>
            </w:r>
          </w:p>
        </w:tc>
        <w:tc>
          <w:tcPr>
            <w:tcW w:w="216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738E933" w14:textId="77777777" w:rsidR="006C7AA7" w:rsidRPr="00D0306F" w:rsidRDefault="006C7AA7" w:rsidP="00CC3BF4">
            <w:pPr>
              <w:rPr>
                <w:rFonts w:eastAsia="Times New Roman" w:cs="Arial"/>
              </w:rPr>
            </w:pPr>
            <w:r w:rsidRPr="00D0306F">
              <w:rPr>
                <w:rFonts w:eastAsia="Times New Roman" w:cs="Arial"/>
              </w:rPr>
              <w:t>Don’t know</w:t>
            </w:r>
          </w:p>
        </w:tc>
        <w:tc>
          <w:tcPr>
            <w:tcW w:w="381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12" w:type="pct"/>
              <w:tblCellMar>
                <w:left w:w="0" w:type="dxa"/>
                <w:right w:w="0" w:type="dxa"/>
              </w:tblCellMar>
              <w:tblLook w:val="04A0" w:firstRow="1" w:lastRow="0" w:firstColumn="1" w:lastColumn="0" w:noHBand="0" w:noVBand="1"/>
            </w:tblPr>
            <w:tblGrid>
              <w:gridCol w:w="155"/>
            </w:tblGrid>
            <w:tr w:rsidR="006C7AA7" w:rsidRPr="00D0306F" w14:paraId="41C10CA9" w14:textId="77777777" w:rsidTr="00CC3BF4">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6D571B59"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260F7574"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A19B69D" w14:textId="77777777" w:rsidR="006C7AA7" w:rsidRPr="00D0306F" w:rsidRDefault="006C7AA7" w:rsidP="00CC3BF4">
            <w:pPr>
              <w:jc w:val="center"/>
              <w:rPr>
                <w:rFonts w:eastAsia="Times New Roman" w:cs="Arial"/>
              </w:rPr>
            </w:pPr>
            <w:r w:rsidRPr="00D0306F">
              <w:rPr>
                <w:rFonts w:eastAsia="Times New Roman" w:cs="Arial"/>
              </w:rPr>
              <w:t>4.2%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77F65DA" w14:textId="77777777" w:rsidR="006C7AA7" w:rsidRPr="00D0306F" w:rsidRDefault="006C7AA7" w:rsidP="00CC3BF4">
            <w:pPr>
              <w:jc w:val="center"/>
              <w:rPr>
                <w:rFonts w:eastAsia="Times New Roman" w:cs="Arial"/>
              </w:rPr>
            </w:pPr>
            <w:r w:rsidRPr="00D0306F">
              <w:rPr>
                <w:rFonts w:eastAsia="Times New Roman" w:cs="Arial"/>
              </w:rPr>
              <w:t>5</w:t>
            </w:r>
          </w:p>
        </w:tc>
      </w:tr>
      <w:tr w:rsidR="006C7AA7" w:rsidRPr="00D0306F" w14:paraId="1665B6A2"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02DC6345"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BD91240"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19E0655" w14:textId="77777777" w:rsidR="006C7AA7" w:rsidRPr="00D0306F" w:rsidRDefault="006C7AA7" w:rsidP="00CC3BF4">
            <w:pPr>
              <w:jc w:val="center"/>
              <w:rPr>
                <w:rFonts w:eastAsia="Times New Roman" w:cs="Arial"/>
              </w:rPr>
            </w:pPr>
            <w:r w:rsidRPr="00D0306F">
              <w:rPr>
                <w:rFonts w:eastAsia="Times New Roman" w:cs="Arial"/>
              </w:rPr>
              <w:t>119</w:t>
            </w:r>
          </w:p>
        </w:tc>
      </w:tr>
      <w:tr w:rsidR="006C7AA7" w:rsidRPr="00D0306F" w14:paraId="3071C78C"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571C30D4"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F8A15E5"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F76ED13" w14:textId="77777777" w:rsidR="006C7AA7" w:rsidRPr="00D0306F" w:rsidRDefault="006C7AA7" w:rsidP="00CC3BF4">
            <w:pPr>
              <w:jc w:val="center"/>
              <w:rPr>
                <w:rFonts w:eastAsia="Times New Roman" w:cs="Arial"/>
              </w:rPr>
            </w:pPr>
            <w:r w:rsidRPr="00D0306F">
              <w:rPr>
                <w:rFonts w:eastAsia="Times New Roman" w:cs="Arial"/>
              </w:rPr>
              <w:t>0</w:t>
            </w:r>
          </w:p>
        </w:tc>
      </w:tr>
    </w:tbl>
    <w:p w14:paraId="180110F1" w14:textId="77777777" w:rsidR="006C7AA7" w:rsidRPr="00D0306F" w:rsidRDefault="006C7AA7" w:rsidP="006C7AA7">
      <w:pPr>
        <w:rPr>
          <w:rFonts w:eastAsia="Times New Roman" w:cs="Arial"/>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548"/>
        <w:gridCol w:w="2598"/>
        <w:gridCol w:w="3148"/>
        <w:gridCol w:w="1313"/>
        <w:gridCol w:w="1313"/>
      </w:tblGrid>
      <w:tr w:rsidR="006C7AA7" w:rsidRPr="00D0306F" w14:paraId="4C7B1AF5"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7BF3A12C" w14:textId="77777777" w:rsidR="006C7AA7" w:rsidRPr="00D0306F" w:rsidRDefault="006C7AA7" w:rsidP="00CC3BF4">
            <w:pPr>
              <w:rPr>
                <w:rFonts w:eastAsia="Times New Roman" w:cs="Arial"/>
                <w:b/>
                <w:bCs/>
                <w:color w:val="FFFFFF"/>
              </w:rPr>
            </w:pPr>
            <w:r w:rsidRPr="00D0306F">
              <w:rPr>
                <w:rFonts w:eastAsia="Times New Roman" w:cs="Arial"/>
                <w:b/>
                <w:bCs/>
                <w:color w:val="FFFFFF"/>
              </w:rPr>
              <w:t xml:space="preserve">18. Are you aware that you may be able to access the following services from pharmacies as part of the NHS? Please select those that you are aware of </w:t>
            </w:r>
          </w:p>
        </w:tc>
      </w:tr>
      <w:tr w:rsidR="006C7AA7" w:rsidRPr="00D0306F" w14:paraId="52B7B24C"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29C5FA27"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2B1A7925"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1A64527"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6BA59926" w14:textId="77777777" w:rsidTr="00CC3BF4">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C3FF23C" w14:textId="77777777" w:rsidR="006C7AA7" w:rsidRPr="00D0306F" w:rsidRDefault="006C7AA7" w:rsidP="00CC3BF4">
            <w:pPr>
              <w:jc w:val="center"/>
              <w:rPr>
                <w:rFonts w:eastAsia="Times New Roman" w:cs="Arial"/>
              </w:rPr>
            </w:pPr>
            <w:r w:rsidRPr="00D0306F">
              <w:rPr>
                <w:rFonts w:eastAsia="Times New Roman" w:cs="Arial"/>
              </w:rPr>
              <w:t>1</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C3CE5D3" w14:textId="77777777" w:rsidR="006C7AA7" w:rsidRPr="00D0306F" w:rsidRDefault="006C7AA7" w:rsidP="00CC3BF4">
            <w:pPr>
              <w:rPr>
                <w:rFonts w:eastAsia="Times New Roman" w:cs="Arial"/>
              </w:rPr>
            </w:pPr>
            <w:r w:rsidRPr="00D0306F">
              <w:rPr>
                <w:rFonts w:eastAsia="Times New Roman" w:cs="Arial"/>
              </w:rPr>
              <w:t xml:space="preserve">Flu vaccinations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380" w:type="pct"/>
              <w:tblCellMar>
                <w:left w:w="0" w:type="dxa"/>
                <w:right w:w="0" w:type="dxa"/>
              </w:tblCellMar>
              <w:tblLook w:val="04A0" w:firstRow="1" w:lastRow="0" w:firstColumn="1" w:lastColumn="0" w:noHBand="0" w:noVBand="1"/>
            </w:tblPr>
            <w:tblGrid>
              <w:gridCol w:w="2625"/>
            </w:tblGrid>
            <w:tr w:rsidR="006C7AA7" w:rsidRPr="00D0306F" w14:paraId="62FA75DC"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7749BD92"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3D886173"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40F3B2A" w14:textId="77777777" w:rsidR="006C7AA7" w:rsidRPr="00D0306F" w:rsidRDefault="006C7AA7" w:rsidP="00CC3BF4">
            <w:pPr>
              <w:jc w:val="center"/>
              <w:rPr>
                <w:rFonts w:eastAsia="Times New Roman" w:cs="Arial"/>
              </w:rPr>
            </w:pPr>
            <w:r w:rsidRPr="00D0306F">
              <w:rPr>
                <w:rFonts w:eastAsia="Times New Roman" w:cs="Arial"/>
              </w:rPr>
              <w:t>87.7%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75D918D" w14:textId="77777777" w:rsidR="006C7AA7" w:rsidRPr="00D0306F" w:rsidRDefault="006C7AA7" w:rsidP="00CC3BF4">
            <w:pPr>
              <w:jc w:val="center"/>
              <w:rPr>
                <w:rFonts w:eastAsia="Times New Roman" w:cs="Arial"/>
              </w:rPr>
            </w:pPr>
            <w:r w:rsidRPr="00D0306F">
              <w:rPr>
                <w:rFonts w:eastAsia="Times New Roman" w:cs="Arial"/>
              </w:rPr>
              <w:t>100</w:t>
            </w:r>
          </w:p>
        </w:tc>
      </w:tr>
      <w:tr w:rsidR="006C7AA7" w:rsidRPr="00D0306F" w14:paraId="4F7514DF" w14:textId="77777777" w:rsidTr="00CC3BF4">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AF13938" w14:textId="77777777" w:rsidR="006C7AA7" w:rsidRPr="00D0306F" w:rsidRDefault="006C7AA7" w:rsidP="00CC3BF4">
            <w:pPr>
              <w:jc w:val="center"/>
              <w:rPr>
                <w:rFonts w:eastAsia="Times New Roman" w:cs="Arial"/>
              </w:rPr>
            </w:pPr>
            <w:r w:rsidRPr="00D0306F">
              <w:rPr>
                <w:rFonts w:eastAsia="Times New Roman" w:cs="Arial"/>
              </w:rPr>
              <w:t>2</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32D0145" w14:textId="77777777" w:rsidR="006C7AA7" w:rsidRPr="00D0306F" w:rsidRDefault="006C7AA7" w:rsidP="00CC3BF4">
            <w:pPr>
              <w:rPr>
                <w:rFonts w:eastAsia="Times New Roman" w:cs="Arial"/>
              </w:rPr>
            </w:pPr>
            <w:r w:rsidRPr="00D0306F">
              <w:rPr>
                <w:rFonts w:eastAsia="Times New Roman" w:cs="Arial"/>
              </w:rPr>
              <w:t xml:space="preserve">Discharge medicines review service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194" w:type="pct"/>
              <w:tblCellMar>
                <w:left w:w="0" w:type="dxa"/>
                <w:right w:w="0" w:type="dxa"/>
              </w:tblCellMar>
              <w:tblLook w:val="04A0" w:firstRow="1" w:lastRow="0" w:firstColumn="1" w:lastColumn="0" w:noHBand="0" w:noVBand="1"/>
            </w:tblPr>
            <w:tblGrid>
              <w:gridCol w:w="716"/>
            </w:tblGrid>
            <w:tr w:rsidR="006C7AA7" w:rsidRPr="00D0306F" w14:paraId="7A6FF338"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10968B70"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33D299A4"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15CEA71" w14:textId="77777777" w:rsidR="006C7AA7" w:rsidRPr="00D0306F" w:rsidRDefault="006C7AA7" w:rsidP="00CC3BF4">
            <w:pPr>
              <w:jc w:val="center"/>
              <w:rPr>
                <w:rFonts w:eastAsia="Times New Roman" w:cs="Arial"/>
              </w:rPr>
            </w:pPr>
            <w:r w:rsidRPr="00D0306F">
              <w:rPr>
                <w:rFonts w:eastAsia="Times New Roman" w:cs="Arial"/>
              </w:rPr>
              <w:t>23.7%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49ABDED" w14:textId="77777777" w:rsidR="006C7AA7" w:rsidRPr="00D0306F" w:rsidRDefault="006C7AA7" w:rsidP="00CC3BF4">
            <w:pPr>
              <w:jc w:val="center"/>
              <w:rPr>
                <w:rFonts w:eastAsia="Times New Roman" w:cs="Arial"/>
              </w:rPr>
            </w:pPr>
            <w:r w:rsidRPr="00D0306F">
              <w:rPr>
                <w:rFonts w:eastAsia="Times New Roman" w:cs="Arial"/>
              </w:rPr>
              <w:t>27</w:t>
            </w:r>
          </w:p>
        </w:tc>
      </w:tr>
      <w:tr w:rsidR="006C7AA7" w:rsidRPr="00D0306F" w14:paraId="516D97C2" w14:textId="77777777" w:rsidTr="00CC3BF4">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9AE9ECE" w14:textId="77777777" w:rsidR="006C7AA7" w:rsidRPr="00D0306F" w:rsidRDefault="006C7AA7" w:rsidP="00CC3BF4">
            <w:pPr>
              <w:jc w:val="center"/>
              <w:rPr>
                <w:rFonts w:eastAsia="Times New Roman" w:cs="Arial"/>
              </w:rPr>
            </w:pPr>
            <w:r w:rsidRPr="00D0306F">
              <w:rPr>
                <w:rFonts w:eastAsia="Times New Roman" w:cs="Arial"/>
              </w:rPr>
              <w:lastRenderedPageBreak/>
              <w:t>3</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B0F1EFA" w14:textId="77777777" w:rsidR="006C7AA7" w:rsidRPr="00D0306F" w:rsidRDefault="006C7AA7" w:rsidP="00CC3BF4">
            <w:pPr>
              <w:rPr>
                <w:rFonts w:eastAsia="Times New Roman" w:cs="Arial"/>
              </w:rPr>
            </w:pPr>
            <w:r w:rsidRPr="00D0306F">
              <w:rPr>
                <w:rFonts w:eastAsia="Times New Roman" w:cs="Arial"/>
              </w:rPr>
              <w:t xml:space="preserve">Appliance use review service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42" w:type="pct"/>
              <w:tblCellMar>
                <w:left w:w="0" w:type="dxa"/>
                <w:right w:w="0" w:type="dxa"/>
              </w:tblCellMar>
              <w:tblLook w:val="04A0" w:firstRow="1" w:lastRow="0" w:firstColumn="1" w:lastColumn="0" w:noHBand="0" w:noVBand="1"/>
            </w:tblPr>
            <w:tblGrid>
              <w:gridCol w:w="265"/>
            </w:tblGrid>
            <w:tr w:rsidR="006C7AA7" w:rsidRPr="00D0306F" w14:paraId="3B860345"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2E242401"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1F383DCB"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BA75269" w14:textId="77777777" w:rsidR="006C7AA7" w:rsidRPr="00D0306F" w:rsidRDefault="006C7AA7" w:rsidP="00CC3BF4">
            <w:pPr>
              <w:jc w:val="center"/>
              <w:rPr>
                <w:rFonts w:eastAsia="Times New Roman" w:cs="Arial"/>
              </w:rPr>
            </w:pPr>
            <w:r w:rsidRPr="00D0306F">
              <w:rPr>
                <w:rFonts w:eastAsia="Times New Roman" w:cs="Arial"/>
              </w:rPr>
              <w:t>8.8%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D1172CA" w14:textId="77777777" w:rsidR="006C7AA7" w:rsidRPr="00D0306F" w:rsidRDefault="006C7AA7" w:rsidP="00CC3BF4">
            <w:pPr>
              <w:jc w:val="center"/>
              <w:rPr>
                <w:rFonts w:eastAsia="Times New Roman" w:cs="Arial"/>
              </w:rPr>
            </w:pPr>
            <w:r w:rsidRPr="00D0306F">
              <w:rPr>
                <w:rFonts w:eastAsia="Times New Roman" w:cs="Arial"/>
              </w:rPr>
              <w:t>10</w:t>
            </w:r>
          </w:p>
        </w:tc>
      </w:tr>
      <w:tr w:rsidR="006C7AA7" w:rsidRPr="00D0306F" w14:paraId="6CFCFAF9" w14:textId="77777777" w:rsidTr="00CC3BF4">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463C85D" w14:textId="77777777" w:rsidR="006C7AA7" w:rsidRPr="00D0306F" w:rsidRDefault="006C7AA7" w:rsidP="00CC3BF4">
            <w:pPr>
              <w:jc w:val="center"/>
              <w:rPr>
                <w:rFonts w:eastAsia="Times New Roman" w:cs="Arial"/>
              </w:rPr>
            </w:pPr>
            <w:r w:rsidRPr="00D0306F">
              <w:rPr>
                <w:rFonts w:eastAsia="Times New Roman" w:cs="Arial"/>
              </w:rPr>
              <w:t>4</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30A7E4A" w14:textId="77777777" w:rsidR="006C7AA7" w:rsidRPr="00D0306F" w:rsidRDefault="006C7AA7" w:rsidP="00CC3BF4">
            <w:pPr>
              <w:rPr>
                <w:rFonts w:eastAsia="Times New Roman" w:cs="Arial"/>
              </w:rPr>
            </w:pPr>
            <w:r w:rsidRPr="00D0306F">
              <w:rPr>
                <w:rFonts w:eastAsia="Times New Roman" w:cs="Arial"/>
              </w:rPr>
              <w:t>Contraception service which includes the ‘morning after pill’</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212" w:type="pct"/>
              <w:tblCellMar>
                <w:left w:w="0" w:type="dxa"/>
                <w:right w:w="0" w:type="dxa"/>
              </w:tblCellMar>
              <w:tblLook w:val="04A0" w:firstRow="1" w:lastRow="0" w:firstColumn="1" w:lastColumn="0" w:noHBand="0" w:noVBand="1"/>
            </w:tblPr>
            <w:tblGrid>
              <w:gridCol w:w="1326"/>
            </w:tblGrid>
            <w:tr w:rsidR="006C7AA7" w:rsidRPr="00D0306F" w14:paraId="51C6CB05"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349BA2F1"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26765FE"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3C09FAE" w14:textId="77777777" w:rsidR="006C7AA7" w:rsidRPr="00D0306F" w:rsidRDefault="006C7AA7" w:rsidP="00CC3BF4">
            <w:pPr>
              <w:jc w:val="center"/>
              <w:rPr>
                <w:rFonts w:eastAsia="Times New Roman" w:cs="Arial"/>
              </w:rPr>
            </w:pPr>
            <w:r w:rsidRPr="00D0306F">
              <w:rPr>
                <w:rFonts w:eastAsia="Times New Roman" w:cs="Arial"/>
              </w:rPr>
              <w:t>43.9%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FBAD151" w14:textId="77777777" w:rsidR="006C7AA7" w:rsidRPr="00D0306F" w:rsidRDefault="006C7AA7" w:rsidP="00CC3BF4">
            <w:pPr>
              <w:jc w:val="center"/>
              <w:rPr>
                <w:rFonts w:eastAsia="Times New Roman" w:cs="Arial"/>
              </w:rPr>
            </w:pPr>
            <w:r w:rsidRPr="00D0306F">
              <w:rPr>
                <w:rFonts w:eastAsia="Times New Roman" w:cs="Arial"/>
              </w:rPr>
              <w:t>50</w:t>
            </w:r>
          </w:p>
        </w:tc>
      </w:tr>
      <w:tr w:rsidR="006C7AA7" w:rsidRPr="00D0306F" w14:paraId="5687C01C" w14:textId="77777777" w:rsidTr="00CC3BF4">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03507AF" w14:textId="77777777" w:rsidR="006C7AA7" w:rsidRPr="00D0306F" w:rsidRDefault="006C7AA7" w:rsidP="00CC3BF4">
            <w:pPr>
              <w:jc w:val="center"/>
              <w:rPr>
                <w:rFonts w:eastAsia="Times New Roman" w:cs="Arial"/>
              </w:rPr>
            </w:pPr>
            <w:r w:rsidRPr="00D0306F">
              <w:rPr>
                <w:rFonts w:eastAsia="Times New Roman" w:cs="Arial"/>
              </w:rPr>
              <w:t>5</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D74ADB3" w14:textId="77777777" w:rsidR="006C7AA7" w:rsidRPr="00D0306F" w:rsidRDefault="006C7AA7" w:rsidP="00CC3BF4">
            <w:pPr>
              <w:rPr>
                <w:rFonts w:eastAsia="Times New Roman" w:cs="Arial"/>
              </w:rPr>
            </w:pPr>
            <w:r w:rsidRPr="00D0306F">
              <w:rPr>
                <w:rFonts w:eastAsia="Times New Roman" w:cs="Arial"/>
              </w:rPr>
              <w:t>Help to stop smoking</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256" w:type="pct"/>
              <w:tblCellMar>
                <w:left w:w="0" w:type="dxa"/>
                <w:right w:w="0" w:type="dxa"/>
              </w:tblCellMar>
              <w:tblLook w:val="04A0" w:firstRow="1" w:lastRow="0" w:firstColumn="1" w:lastColumn="0" w:noHBand="0" w:noVBand="1"/>
            </w:tblPr>
            <w:tblGrid>
              <w:gridCol w:w="1352"/>
            </w:tblGrid>
            <w:tr w:rsidR="006C7AA7" w:rsidRPr="00D0306F" w14:paraId="628B91CB"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10387FCD"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1F650D0A"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2B1E884" w14:textId="77777777" w:rsidR="006C7AA7" w:rsidRPr="00D0306F" w:rsidRDefault="006C7AA7" w:rsidP="00CC3BF4">
            <w:pPr>
              <w:jc w:val="center"/>
              <w:rPr>
                <w:rFonts w:eastAsia="Times New Roman" w:cs="Arial"/>
              </w:rPr>
            </w:pPr>
            <w:r w:rsidRPr="00D0306F">
              <w:rPr>
                <w:rFonts w:eastAsia="Times New Roman" w:cs="Arial"/>
              </w:rPr>
              <w:t>44.7%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E31C60C" w14:textId="77777777" w:rsidR="006C7AA7" w:rsidRPr="00D0306F" w:rsidRDefault="006C7AA7" w:rsidP="00CC3BF4">
            <w:pPr>
              <w:jc w:val="center"/>
              <w:rPr>
                <w:rFonts w:eastAsia="Times New Roman" w:cs="Arial"/>
              </w:rPr>
            </w:pPr>
            <w:r w:rsidRPr="00D0306F">
              <w:rPr>
                <w:rFonts w:eastAsia="Times New Roman" w:cs="Arial"/>
              </w:rPr>
              <w:t>51</w:t>
            </w:r>
          </w:p>
        </w:tc>
      </w:tr>
      <w:tr w:rsidR="006C7AA7" w:rsidRPr="00D0306F" w14:paraId="3987657F" w14:textId="77777777" w:rsidTr="00CC3BF4">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0E1C56B" w14:textId="77777777" w:rsidR="006C7AA7" w:rsidRPr="00D0306F" w:rsidRDefault="006C7AA7" w:rsidP="00CC3BF4">
            <w:pPr>
              <w:jc w:val="center"/>
              <w:rPr>
                <w:rFonts w:eastAsia="Times New Roman" w:cs="Arial"/>
              </w:rPr>
            </w:pPr>
            <w:r w:rsidRPr="00D0306F">
              <w:rPr>
                <w:rFonts w:eastAsia="Times New Roman" w:cs="Arial"/>
              </w:rPr>
              <w:t>6</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05F6C24" w14:textId="77777777" w:rsidR="006C7AA7" w:rsidRPr="00D0306F" w:rsidRDefault="006C7AA7" w:rsidP="00CC3BF4">
            <w:pPr>
              <w:rPr>
                <w:rFonts w:eastAsia="Times New Roman" w:cs="Arial"/>
              </w:rPr>
            </w:pPr>
            <w:r w:rsidRPr="00D0306F">
              <w:rPr>
                <w:rFonts w:eastAsia="Times New Roman" w:cs="Arial"/>
              </w:rPr>
              <w:t xml:space="preserve">Common ailments scheme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48" w:type="pct"/>
              <w:tblCellMar>
                <w:left w:w="0" w:type="dxa"/>
                <w:right w:w="0" w:type="dxa"/>
              </w:tblCellMar>
              <w:tblLook w:val="04A0" w:firstRow="1" w:lastRow="0" w:firstColumn="1" w:lastColumn="0" w:noHBand="0" w:noVBand="1"/>
            </w:tblPr>
            <w:tblGrid>
              <w:gridCol w:w="2546"/>
            </w:tblGrid>
            <w:tr w:rsidR="006C7AA7" w:rsidRPr="00D0306F" w14:paraId="5A35FDD0"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7C48BDA"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45709AC"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A1B0803" w14:textId="77777777" w:rsidR="006C7AA7" w:rsidRPr="00D0306F" w:rsidRDefault="006C7AA7" w:rsidP="00CC3BF4">
            <w:pPr>
              <w:jc w:val="center"/>
              <w:rPr>
                <w:rFonts w:eastAsia="Times New Roman" w:cs="Arial"/>
              </w:rPr>
            </w:pPr>
            <w:r w:rsidRPr="00D0306F">
              <w:rPr>
                <w:rFonts w:eastAsia="Times New Roman" w:cs="Arial"/>
              </w:rPr>
              <w:t>84.2%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A0F56F1" w14:textId="77777777" w:rsidR="006C7AA7" w:rsidRPr="00D0306F" w:rsidRDefault="006C7AA7" w:rsidP="00CC3BF4">
            <w:pPr>
              <w:jc w:val="center"/>
              <w:rPr>
                <w:rFonts w:eastAsia="Times New Roman" w:cs="Arial"/>
              </w:rPr>
            </w:pPr>
            <w:r w:rsidRPr="00D0306F">
              <w:rPr>
                <w:rFonts w:eastAsia="Times New Roman" w:cs="Arial"/>
              </w:rPr>
              <w:t>96</w:t>
            </w:r>
          </w:p>
        </w:tc>
      </w:tr>
      <w:tr w:rsidR="006C7AA7" w:rsidRPr="00D0306F" w14:paraId="47844FD9" w14:textId="77777777" w:rsidTr="00CC3BF4">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A4D7C0D" w14:textId="77777777" w:rsidR="006C7AA7" w:rsidRPr="00D0306F" w:rsidRDefault="006C7AA7" w:rsidP="00CC3BF4">
            <w:pPr>
              <w:jc w:val="center"/>
              <w:rPr>
                <w:rFonts w:eastAsia="Times New Roman" w:cs="Arial"/>
              </w:rPr>
            </w:pPr>
            <w:r w:rsidRPr="00D0306F">
              <w:rPr>
                <w:rFonts w:eastAsia="Times New Roman" w:cs="Arial"/>
              </w:rPr>
              <w:t>7</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99CBA11" w14:textId="77777777" w:rsidR="006C7AA7" w:rsidRPr="00D0306F" w:rsidRDefault="006C7AA7" w:rsidP="00CC3BF4">
            <w:pPr>
              <w:rPr>
                <w:rFonts w:eastAsia="Times New Roman" w:cs="Arial"/>
              </w:rPr>
            </w:pPr>
            <w:r w:rsidRPr="00D0306F">
              <w:rPr>
                <w:rFonts w:eastAsia="Times New Roman" w:cs="Arial"/>
              </w:rPr>
              <w:t xml:space="preserve">Needle and syringe provision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752" w:type="pct"/>
              <w:tblCellMar>
                <w:left w:w="0" w:type="dxa"/>
                <w:right w:w="0" w:type="dxa"/>
              </w:tblCellMar>
              <w:tblLook w:val="04A0" w:firstRow="1" w:lastRow="0" w:firstColumn="1" w:lastColumn="0" w:noHBand="0" w:noVBand="1"/>
            </w:tblPr>
            <w:tblGrid>
              <w:gridCol w:w="451"/>
            </w:tblGrid>
            <w:tr w:rsidR="006C7AA7" w:rsidRPr="00D0306F" w14:paraId="5F5A8C6F"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7C9AF29E"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2FCA740A"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4D264D3" w14:textId="77777777" w:rsidR="006C7AA7" w:rsidRPr="00D0306F" w:rsidRDefault="006C7AA7" w:rsidP="00CC3BF4">
            <w:pPr>
              <w:jc w:val="center"/>
              <w:rPr>
                <w:rFonts w:eastAsia="Times New Roman" w:cs="Arial"/>
              </w:rPr>
            </w:pPr>
            <w:r w:rsidRPr="00D0306F">
              <w:rPr>
                <w:rFonts w:eastAsia="Times New Roman" w:cs="Arial"/>
              </w:rPr>
              <w:t>14.9%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672A72E" w14:textId="77777777" w:rsidR="006C7AA7" w:rsidRPr="00D0306F" w:rsidRDefault="006C7AA7" w:rsidP="00CC3BF4">
            <w:pPr>
              <w:jc w:val="center"/>
              <w:rPr>
                <w:rFonts w:eastAsia="Times New Roman" w:cs="Arial"/>
              </w:rPr>
            </w:pPr>
            <w:r w:rsidRPr="00D0306F">
              <w:rPr>
                <w:rFonts w:eastAsia="Times New Roman" w:cs="Arial"/>
              </w:rPr>
              <w:t>17</w:t>
            </w:r>
          </w:p>
        </w:tc>
      </w:tr>
      <w:tr w:rsidR="006C7AA7" w:rsidRPr="00D0306F" w14:paraId="488E10F7" w14:textId="77777777" w:rsidTr="00CC3BF4">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9F82441" w14:textId="77777777" w:rsidR="006C7AA7" w:rsidRPr="00D0306F" w:rsidRDefault="006C7AA7" w:rsidP="00CC3BF4">
            <w:pPr>
              <w:jc w:val="center"/>
              <w:rPr>
                <w:rFonts w:eastAsia="Times New Roman" w:cs="Arial"/>
              </w:rPr>
            </w:pPr>
            <w:r w:rsidRPr="00D0306F">
              <w:rPr>
                <w:rFonts w:eastAsia="Times New Roman" w:cs="Arial"/>
              </w:rPr>
              <w:t>8</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F93A514" w14:textId="77777777" w:rsidR="006C7AA7" w:rsidRPr="00D0306F" w:rsidRDefault="006C7AA7" w:rsidP="00CC3BF4">
            <w:pPr>
              <w:rPr>
                <w:rFonts w:eastAsia="Times New Roman" w:cs="Arial"/>
              </w:rPr>
            </w:pPr>
            <w:r w:rsidRPr="00D0306F">
              <w:rPr>
                <w:rFonts w:eastAsia="Times New Roman" w:cs="Arial"/>
              </w:rPr>
              <w:t xml:space="preserve">Supervised administration of medicines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150" w:type="pct"/>
              <w:tblCellMar>
                <w:left w:w="0" w:type="dxa"/>
                <w:right w:w="0" w:type="dxa"/>
              </w:tblCellMar>
              <w:tblLook w:val="04A0" w:firstRow="1" w:lastRow="0" w:firstColumn="1" w:lastColumn="0" w:noHBand="0" w:noVBand="1"/>
            </w:tblPr>
            <w:tblGrid>
              <w:gridCol w:w="689"/>
            </w:tblGrid>
            <w:tr w:rsidR="006C7AA7" w:rsidRPr="00D0306F" w14:paraId="1885A653"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5E30FDCE"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A4A7380"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53DDBED" w14:textId="77777777" w:rsidR="006C7AA7" w:rsidRPr="00D0306F" w:rsidRDefault="006C7AA7" w:rsidP="00CC3BF4">
            <w:pPr>
              <w:jc w:val="center"/>
              <w:rPr>
                <w:rFonts w:eastAsia="Times New Roman" w:cs="Arial"/>
              </w:rPr>
            </w:pPr>
            <w:r w:rsidRPr="00D0306F">
              <w:rPr>
                <w:rFonts w:eastAsia="Times New Roman" w:cs="Arial"/>
              </w:rPr>
              <w:t>22.8%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12AF88D" w14:textId="77777777" w:rsidR="006C7AA7" w:rsidRPr="00D0306F" w:rsidRDefault="006C7AA7" w:rsidP="00CC3BF4">
            <w:pPr>
              <w:jc w:val="center"/>
              <w:rPr>
                <w:rFonts w:eastAsia="Times New Roman" w:cs="Arial"/>
              </w:rPr>
            </w:pPr>
            <w:r w:rsidRPr="00D0306F">
              <w:rPr>
                <w:rFonts w:eastAsia="Times New Roman" w:cs="Arial"/>
              </w:rPr>
              <w:t>26</w:t>
            </w:r>
          </w:p>
        </w:tc>
      </w:tr>
      <w:tr w:rsidR="006C7AA7" w:rsidRPr="00D0306F" w14:paraId="55E3FF04" w14:textId="77777777" w:rsidTr="00CC3BF4">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D2DA21C" w14:textId="77777777" w:rsidR="006C7AA7" w:rsidRPr="00D0306F" w:rsidRDefault="006C7AA7" w:rsidP="00CC3BF4">
            <w:pPr>
              <w:jc w:val="center"/>
              <w:rPr>
                <w:rFonts w:eastAsia="Times New Roman" w:cs="Arial"/>
              </w:rPr>
            </w:pPr>
            <w:r w:rsidRPr="00D0306F">
              <w:rPr>
                <w:rFonts w:eastAsia="Times New Roman" w:cs="Arial"/>
              </w:rPr>
              <w:t>9</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AB0BF80" w14:textId="77777777" w:rsidR="006C7AA7" w:rsidRPr="00D0306F" w:rsidRDefault="006C7AA7" w:rsidP="00CC3BF4">
            <w:pPr>
              <w:rPr>
                <w:rFonts w:eastAsia="Times New Roman" w:cs="Arial"/>
              </w:rPr>
            </w:pPr>
            <w:r w:rsidRPr="00D0306F">
              <w:rPr>
                <w:rFonts w:eastAsia="Times New Roman" w:cs="Arial"/>
              </w:rPr>
              <w:t xml:space="preserve">Emergency medicines supply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725" w:type="pct"/>
              <w:tblCellMar>
                <w:left w:w="0" w:type="dxa"/>
                <w:right w:w="0" w:type="dxa"/>
              </w:tblCellMar>
              <w:tblLook w:val="04A0" w:firstRow="1" w:lastRow="0" w:firstColumn="1" w:lastColumn="0" w:noHBand="0" w:noVBand="1"/>
            </w:tblPr>
            <w:tblGrid>
              <w:gridCol w:w="1034"/>
            </w:tblGrid>
            <w:tr w:rsidR="006C7AA7" w:rsidRPr="00D0306F" w14:paraId="3665C06E"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59AF553C"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7894096F"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23AE07B" w14:textId="77777777" w:rsidR="006C7AA7" w:rsidRPr="00D0306F" w:rsidRDefault="006C7AA7" w:rsidP="00CC3BF4">
            <w:pPr>
              <w:jc w:val="center"/>
              <w:rPr>
                <w:rFonts w:eastAsia="Times New Roman" w:cs="Arial"/>
              </w:rPr>
            </w:pPr>
            <w:r w:rsidRPr="00D0306F">
              <w:rPr>
                <w:rFonts w:eastAsia="Times New Roman" w:cs="Arial"/>
              </w:rPr>
              <w:t>34.2%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7C2C3F3" w14:textId="77777777" w:rsidR="006C7AA7" w:rsidRPr="00D0306F" w:rsidRDefault="006C7AA7" w:rsidP="00CC3BF4">
            <w:pPr>
              <w:jc w:val="center"/>
              <w:rPr>
                <w:rFonts w:eastAsia="Times New Roman" w:cs="Arial"/>
              </w:rPr>
            </w:pPr>
            <w:r w:rsidRPr="00D0306F">
              <w:rPr>
                <w:rFonts w:eastAsia="Times New Roman" w:cs="Arial"/>
              </w:rPr>
              <w:t>39</w:t>
            </w:r>
          </w:p>
        </w:tc>
      </w:tr>
      <w:tr w:rsidR="006C7AA7" w:rsidRPr="00D0306F" w14:paraId="4F5B5B79" w14:textId="77777777" w:rsidTr="00CC3BF4">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6BB3012" w14:textId="77777777" w:rsidR="006C7AA7" w:rsidRPr="00D0306F" w:rsidRDefault="006C7AA7" w:rsidP="00CC3BF4">
            <w:pPr>
              <w:jc w:val="center"/>
              <w:rPr>
                <w:rFonts w:eastAsia="Times New Roman" w:cs="Arial"/>
              </w:rPr>
            </w:pPr>
            <w:r w:rsidRPr="00D0306F">
              <w:rPr>
                <w:rFonts w:eastAsia="Times New Roman" w:cs="Arial"/>
              </w:rPr>
              <w:t>10</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62FE06D" w14:textId="77777777" w:rsidR="006C7AA7" w:rsidRPr="00D0306F" w:rsidRDefault="006C7AA7" w:rsidP="00CC3BF4">
            <w:pPr>
              <w:rPr>
                <w:rFonts w:eastAsia="Times New Roman" w:cs="Arial"/>
              </w:rPr>
            </w:pPr>
            <w:r w:rsidRPr="00D0306F">
              <w:rPr>
                <w:rFonts w:eastAsia="Times New Roman" w:cs="Arial"/>
              </w:rPr>
              <w:t xml:space="preserve">Pharmacist independent prescribing service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947" w:type="pct"/>
              <w:tblCellMar>
                <w:left w:w="0" w:type="dxa"/>
                <w:right w:w="0" w:type="dxa"/>
              </w:tblCellMar>
              <w:tblLook w:val="04A0" w:firstRow="1" w:lastRow="0" w:firstColumn="1" w:lastColumn="0" w:noHBand="0" w:noVBand="1"/>
            </w:tblPr>
            <w:tblGrid>
              <w:gridCol w:w="1167"/>
            </w:tblGrid>
            <w:tr w:rsidR="006C7AA7" w:rsidRPr="00D0306F" w14:paraId="139C08E5"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25C1B727"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40DF5BB"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698FE26" w14:textId="77777777" w:rsidR="006C7AA7" w:rsidRPr="00D0306F" w:rsidRDefault="006C7AA7" w:rsidP="00CC3BF4">
            <w:pPr>
              <w:jc w:val="center"/>
              <w:rPr>
                <w:rFonts w:eastAsia="Times New Roman" w:cs="Arial"/>
              </w:rPr>
            </w:pPr>
            <w:r w:rsidRPr="00D0306F">
              <w:rPr>
                <w:rFonts w:eastAsia="Times New Roman" w:cs="Arial"/>
              </w:rPr>
              <w:t>38.6%</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65AAAE8" w14:textId="77777777" w:rsidR="006C7AA7" w:rsidRPr="00D0306F" w:rsidRDefault="006C7AA7" w:rsidP="00CC3BF4">
            <w:pPr>
              <w:jc w:val="center"/>
              <w:rPr>
                <w:rFonts w:eastAsia="Times New Roman" w:cs="Arial"/>
              </w:rPr>
            </w:pPr>
            <w:r w:rsidRPr="00D0306F">
              <w:rPr>
                <w:rFonts w:eastAsia="Times New Roman" w:cs="Arial"/>
              </w:rPr>
              <w:t>44</w:t>
            </w:r>
          </w:p>
        </w:tc>
      </w:tr>
      <w:tr w:rsidR="006C7AA7" w:rsidRPr="00D0306F" w14:paraId="7D49FB5C" w14:textId="77777777" w:rsidTr="00CC3BF4">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ED11EF3" w14:textId="77777777" w:rsidR="006C7AA7" w:rsidRPr="00D0306F" w:rsidRDefault="006C7AA7" w:rsidP="00CC3BF4">
            <w:pPr>
              <w:jc w:val="center"/>
              <w:rPr>
                <w:rFonts w:eastAsia="Times New Roman" w:cs="Arial"/>
              </w:rPr>
            </w:pPr>
            <w:r w:rsidRPr="00D0306F">
              <w:rPr>
                <w:rFonts w:eastAsia="Times New Roman" w:cs="Arial"/>
              </w:rPr>
              <w:t>11</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79D42FE" w14:textId="77777777" w:rsidR="006C7AA7" w:rsidRPr="00D0306F" w:rsidRDefault="006C7AA7" w:rsidP="00CC3BF4">
            <w:pPr>
              <w:rPr>
                <w:rFonts w:eastAsia="Times New Roman" w:cs="Arial"/>
              </w:rPr>
            </w:pPr>
            <w:r w:rsidRPr="00D0306F">
              <w:rPr>
                <w:rFonts w:eastAsia="Times New Roman" w:cs="Arial"/>
              </w:rPr>
              <w:t>Covid vaccination service</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345" w:type="pct"/>
              <w:tblCellMar>
                <w:left w:w="0" w:type="dxa"/>
                <w:right w:w="0" w:type="dxa"/>
              </w:tblCellMar>
              <w:tblLook w:val="04A0" w:firstRow="1" w:lastRow="0" w:firstColumn="1" w:lastColumn="0" w:noHBand="0" w:noVBand="1"/>
            </w:tblPr>
            <w:tblGrid>
              <w:gridCol w:w="1406"/>
            </w:tblGrid>
            <w:tr w:rsidR="006C7AA7" w:rsidRPr="00D0306F" w14:paraId="0E08F801"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271FE7B6"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091EEB66"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23961E7" w14:textId="77777777" w:rsidR="006C7AA7" w:rsidRPr="00D0306F" w:rsidRDefault="006C7AA7" w:rsidP="00CC3BF4">
            <w:pPr>
              <w:jc w:val="center"/>
              <w:rPr>
                <w:rFonts w:eastAsia="Times New Roman" w:cs="Arial"/>
              </w:rPr>
            </w:pPr>
            <w:r w:rsidRPr="00D0306F">
              <w:rPr>
                <w:rFonts w:eastAsia="Times New Roman" w:cs="Arial"/>
              </w:rPr>
              <w:t>47.4%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E6D9715" w14:textId="77777777" w:rsidR="006C7AA7" w:rsidRPr="00D0306F" w:rsidRDefault="006C7AA7" w:rsidP="00CC3BF4">
            <w:pPr>
              <w:jc w:val="center"/>
              <w:rPr>
                <w:rFonts w:eastAsia="Times New Roman" w:cs="Arial"/>
              </w:rPr>
            </w:pPr>
            <w:r w:rsidRPr="00D0306F">
              <w:rPr>
                <w:rFonts w:eastAsia="Times New Roman" w:cs="Arial"/>
              </w:rPr>
              <w:t>54</w:t>
            </w:r>
          </w:p>
        </w:tc>
      </w:tr>
      <w:tr w:rsidR="006C7AA7" w:rsidRPr="00D0306F" w14:paraId="3601C5CA" w14:textId="77777777" w:rsidTr="00CC3BF4">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A3CFD92" w14:textId="77777777" w:rsidR="006C7AA7" w:rsidRPr="00D0306F" w:rsidRDefault="006C7AA7" w:rsidP="00CC3BF4">
            <w:pPr>
              <w:jc w:val="center"/>
              <w:rPr>
                <w:rFonts w:eastAsia="Times New Roman" w:cs="Arial"/>
              </w:rPr>
            </w:pPr>
            <w:r w:rsidRPr="00D0306F">
              <w:rPr>
                <w:rFonts w:eastAsia="Times New Roman" w:cs="Arial"/>
              </w:rPr>
              <w:t>12</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0D89B56" w14:textId="77777777" w:rsidR="006C7AA7" w:rsidRPr="00D0306F" w:rsidRDefault="006C7AA7" w:rsidP="00CC3BF4">
            <w:pPr>
              <w:rPr>
                <w:rFonts w:eastAsia="Times New Roman" w:cs="Arial"/>
              </w:rPr>
            </w:pPr>
            <w:r w:rsidRPr="00D0306F">
              <w:rPr>
                <w:rFonts w:eastAsia="Times New Roman" w:cs="Arial"/>
              </w:rPr>
              <w:t>Blood-borne virus testing</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09" w:type="pct"/>
              <w:tblCellMar>
                <w:left w:w="0" w:type="dxa"/>
                <w:right w:w="0" w:type="dxa"/>
              </w:tblCellMar>
              <w:tblLook w:val="04A0" w:firstRow="1" w:lastRow="0" w:firstColumn="1" w:lastColumn="0" w:noHBand="0" w:noVBand="1"/>
            </w:tblPr>
            <w:tblGrid>
              <w:gridCol w:w="185"/>
            </w:tblGrid>
            <w:tr w:rsidR="006C7AA7" w:rsidRPr="00D0306F" w14:paraId="2F6E2E00"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00CC0F28"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30E77FE2"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C21C3D3" w14:textId="77777777" w:rsidR="006C7AA7" w:rsidRPr="00D0306F" w:rsidRDefault="006C7AA7" w:rsidP="00CC3BF4">
            <w:pPr>
              <w:jc w:val="center"/>
              <w:rPr>
                <w:rFonts w:eastAsia="Times New Roman" w:cs="Arial"/>
              </w:rPr>
            </w:pPr>
            <w:r w:rsidRPr="00D0306F">
              <w:rPr>
                <w:rFonts w:eastAsia="Times New Roman" w:cs="Arial"/>
              </w:rPr>
              <w:t>6.1%</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662591E" w14:textId="77777777" w:rsidR="006C7AA7" w:rsidRPr="00D0306F" w:rsidRDefault="006C7AA7" w:rsidP="00CC3BF4">
            <w:pPr>
              <w:jc w:val="center"/>
              <w:rPr>
                <w:rFonts w:eastAsia="Times New Roman" w:cs="Arial"/>
              </w:rPr>
            </w:pPr>
            <w:r w:rsidRPr="00D0306F">
              <w:rPr>
                <w:rFonts w:eastAsia="Times New Roman" w:cs="Arial"/>
              </w:rPr>
              <w:t>7</w:t>
            </w:r>
          </w:p>
        </w:tc>
      </w:tr>
      <w:tr w:rsidR="006C7AA7" w:rsidRPr="00D0306F" w14:paraId="3A20A380" w14:textId="77777777" w:rsidTr="00CC3BF4">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D0DB3D1" w14:textId="77777777" w:rsidR="006C7AA7" w:rsidRPr="00D0306F" w:rsidRDefault="006C7AA7" w:rsidP="00CC3BF4">
            <w:pPr>
              <w:jc w:val="center"/>
              <w:rPr>
                <w:rFonts w:eastAsia="Times New Roman" w:cs="Arial"/>
              </w:rPr>
            </w:pPr>
            <w:r w:rsidRPr="00D0306F">
              <w:rPr>
                <w:rFonts w:eastAsia="Times New Roman" w:cs="Arial"/>
              </w:rPr>
              <w:t>13</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1B8462D" w14:textId="77777777" w:rsidR="006C7AA7" w:rsidRPr="00D0306F" w:rsidRDefault="006C7AA7" w:rsidP="00CC3BF4">
            <w:pPr>
              <w:rPr>
                <w:rFonts w:eastAsia="Times New Roman" w:cs="Arial"/>
              </w:rPr>
            </w:pPr>
            <w:r w:rsidRPr="00D0306F">
              <w:rPr>
                <w:rFonts w:eastAsia="Times New Roman" w:cs="Arial"/>
              </w:rPr>
              <w:t>Care home support service</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98" w:type="pct"/>
              <w:tblCellMar>
                <w:left w:w="0" w:type="dxa"/>
                <w:right w:w="0" w:type="dxa"/>
              </w:tblCellMar>
              <w:tblLook w:val="04A0" w:firstRow="1" w:lastRow="0" w:firstColumn="1" w:lastColumn="0" w:noHBand="0" w:noVBand="1"/>
            </w:tblPr>
            <w:tblGrid>
              <w:gridCol w:w="239"/>
            </w:tblGrid>
            <w:tr w:rsidR="006C7AA7" w:rsidRPr="00D0306F" w14:paraId="026DFE31"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6568D987"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0BD51BA"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9F521B2" w14:textId="77777777" w:rsidR="006C7AA7" w:rsidRPr="00D0306F" w:rsidRDefault="006C7AA7" w:rsidP="00CC3BF4">
            <w:pPr>
              <w:jc w:val="center"/>
              <w:rPr>
                <w:rFonts w:eastAsia="Times New Roman" w:cs="Arial"/>
              </w:rPr>
            </w:pPr>
            <w:r w:rsidRPr="00D0306F">
              <w:rPr>
                <w:rFonts w:eastAsia="Times New Roman" w:cs="Arial"/>
              </w:rPr>
              <w:t>7.9%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C1A5AF8" w14:textId="77777777" w:rsidR="006C7AA7" w:rsidRPr="00D0306F" w:rsidRDefault="006C7AA7" w:rsidP="00CC3BF4">
            <w:pPr>
              <w:jc w:val="center"/>
              <w:rPr>
                <w:rFonts w:eastAsia="Times New Roman" w:cs="Arial"/>
              </w:rPr>
            </w:pPr>
            <w:r w:rsidRPr="00D0306F">
              <w:rPr>
                <w:rFonts w:eastAsia="Times New Roman" w:cs="Arial"/>
              </w:rPr>
              <w:t>9</w:t>
            </w:r>
          </w:p>
        </w:tc>
      </w:tr>
      <w:tr w:rsidR="006C7AA7" w:rsidRPr="00D0306F" w14:paraId="5DF3E556" w14:textId="77777777" w:rsidTr="00CC3BF4">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12D4350" w14:textId="77777777" w:rsidR="006C7AA7" w:rsidRPr="00D0306F" w:rsidRDefault="006C7AA7" w:rsidP="00CC3BF4">
            <w:pPr>
              <w:jc w:val="center"/>
              <w:rPr>
                <w:rFonts w:eastAsia="Times New Roman" w:cs="Arial"/>
              </w:rPr>
            </w:pPr>
            <w:r w:rsidRPr="00D0306F">
              <w:rPr>
                <w:rFonts w:eastAsia="Times New Roman" w:cs="Arial"/>
              </w:rPr>
              <w:t>14</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07C176D" w14:textId="77777777" w:rsidR="006C7AA7" w:rsidRPr="00D0306F" w:rsidRDefault="006C7AA7" w:rsidP="00CC3BF4">
            <w:pPr>
              <w:rPr>
                <w:rFonts w:eastAsia="Times New Roman" w:cs="Arial"/>
              </w:rPr>
            </w:pPr>
            <w:r w:rsidRPr="00D0306F">
              <w:rPr>
                <w:rFonts w:eastAsia="Times New Roman" w:cs="Arial"/>
              </w:rPr>
              <w:t xml:space="preserve">Discharge medication review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619" w:type="pct"/>
              <w:tblCellMar>
                <w:left w:w="0" w:type="dxa"/>
                <w:right w:w="0" w:type="dxa"/>
              </w:tblCellMar>
              <w:tblLook w:val="04A0" w:firstRow="1" w:lastRow="0" w:firstColumn="1" w:lastColumn="0" w:noHBand="0" w:noVBand="1"/>
            </w:tblPr>
            <w:tblGrid>
              <w:gridCol w:w="371"/>
            </w:tblGrid>
            <w:tr w:rsidR="006C7AA7" w:rsidRPr="00D0306F" w14:paraId="7D0D0B0B"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039B6F64"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786D9C47"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0115697" w14:textId="77777777" w:rsidR="006C7AA7" w:rsidRPr="00D0306F" w:rsidRDefault="006C7AA7" w:rsidP="00CC3BF4">
            <w:pPr>
              <w:jc w:val="center"/>
              <w:rPr>
                <w:rFonts w:eastAsia="Times New Roman" w:cs="Arial"/>
              </w:rPr>
            </w:pPr>
            <w:r w:rsidRPr="00D0306F">
              <w:rPr>
                <w:rFonts w:eastAsia="Times New Roman" w:cs="Arial"/>
              </w:rPr>
              <w:t>12.3%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433B000" w14:textId="77777777" w:rsidR="006C7AA7" w:rsidRPr="00D0306F" w:rsidRDefault="006C7AA7" w:rsidP="00CC3BF4">
            <w:pPr>
              <w:jc w:val="center"/>
              <w:rPr>
                <w:rFonts w:eastAsia="Times New Roman" w:cs="Arial"/>
              </w:rPr>
            </w:pPr>
            <w:r w:rsidRPr="00D0306F">
              <w:rPr>
                <w:rFonts w:eastAsia="Times New Roman" w:cs="Arial"/>
              </w:rPr>
              <w:t>14</w:t>
            </w:r>
          </w:p>
        </w:tc>
      </w:tr>
      <w:tr w:rsidR="006C7AA7" w:rsidRPr="00D0306F" w14:paraId="5F3A43C1" w14:textId="77777777" w:rsidTr="00CC3BF4">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0B1FF50" w14:textId="77777777" w:rsidR="006C7AA7" w:rsidRPr="00D0306F" w:rsidRDefault="006C7AA7" w:rsidP="00CC3BF4">
            <w:pPr>
              <w:jc w:val="center"/>
              <w:rPr>
                <w:rFonts w:eastAsia="Times New Roman" w:cs="Arial"/>
              </w:rPr>
            </w:pPr>
            <w:r w:rsidRPr="00D0306F">
              <w:rPr>
                <w:rFonts w:eastAsia="Times New Roman" w:cs="Arial"/>
              </w:rPr>
              <w:t>15</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79C8F8D" w14:textId="77777777" w:rsidR="006C7AA7" w:rsidRPr="00D0306F" w:rsidRDefault="006C7AA7" w:rsidP="00CC3BF4">
            <w:pPr>
              <w:rPr>
                <w:rFonts w:eastAsia="Times New Roman" w:cs="Arial"/>
              </w:rPr>
            </w:pPr>
            <w:r w:rsidRPr="00D0306F">
              <w:rPr>
                <w:rFonts w:eastAsia="Times New Roman" w:cs="Arial"/>
              </w:rPr>
              <w:t>Inhaler review service</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752" w:type="pct"/>
              <w:tblCellMar>
                <w:left w:w="0" w:type="dxa"/>
                <w:right w:w="0" w:type="dxa"/>
              </w:tblCellMar>
              <w:tblLook w:val="04A0" w:firstRow="1" w:lastRow="0" w:firstColumn="1" w:lastColumn="0" w:noHBand="0" w:noVBand="1"/>
            </w:tblPr>
            <w:tblGrid>
              <w:gridCol w:w="451"/>
            </w:tblGrid>
            <w:tr w:rsidR="006C7AA7" w:rsidRPr="00D0306F" w14:paraId="398658B9"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C3C1F37"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72067F94"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E5950D1" w14:textId="77777777" w:rsidR="006C7AA7" w:rsidRPr="00D0306F" w:rsidRDefault="006C7AA7" w:rsidP="00CC3BF4">
            <w:pPr>
              <w:jc w:val="center"/>
              <w:rPr>
                <w:rFonts w:eastAsia="Times New Roman" w:cs="Arial"/>
              </w:rPr>
            </w:pPr>
            <w:r w:rsidRPr="00D0306F">
              <w:rPr>
                <w:rFonts w:eastAsia="Times New Roman" w:cs="Arial"/>
              </w:rPr>
              <w:t>14.9%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37E4C19" w14:textId="77777777" w:rsidR="006C7AA7" w:rsidRPr="00D0306F" w:rsidRDefault="006C7AA7" w:rsidP="00CC3BF4">
            <w:pPr>
              <w:jc w:val="center"/>
              <w:rPr>
                <w:rFonts w:eastAsia="Times New Roman" w:cs="Arial"/>
              </w:rPr>
            </w:pPr>
            <w:r w:rsidRPr="00D0306F">
              <w:rPr>
                <w:rFonts w:eastAsia="Times New Roman" w:cs="Arial"/>
              </w:rPr>
              <w:t>17</w:t>
            </w:r>
          </w:p>
        </w:tc>
      </w:tr>
      <w:tr w:rsidR="006C7AA7" w:rsidRPr="00D0306F" w14:paraId="4D74978E" w14:textId="77777777" w:rsidTr="00CC3BF4">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94639CC" w14:textId="77777777" w:rsidR="006C7AA7" w:rsidRPr="00D0306F" w:rsidRDefault="006C7AA7" w:rsidP="00CC3BF4">
            <w:pPr>
              <w:jc w:val="center"/>
              <w:rPr>
                <w:rFonts w:eastAsia="Times New Roman" w:cs="Arial"/>
              </w:rPr>
            </w:pPr>
            <w:r w:rsidRPr="00D0306F">
              <w:rPr>
                <w:rFonts w:eastAsia="Times New Roman" w:cs="Arial"/>
              </w:rPr>
              <w:t>16</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6243C85" w14:textId="77777777" w:rsidR="006C7AA7" w:rsidRPr="00D0306F" w:rsidRDefault="006C7AA7" w:rsidP="00CC3BF4">
            <w:pPr>
              <w:rPr>
                <w:rFonts w:eastAsia="Times New Roman" w:cs="Arial"/>
              </w:rPr>
            </w:pPr>
            <w:r w:rsidRPr="00D0306F">
              <w:rPr>
                <w:rFonts w:eastAsia="Times New Roman" w:cs="Arial"/>
              </w:rPr>
              <w:t xml:space="preserve">Just in case bag service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75" w:type="pct"/>
              <w:tblCellMar>
                <w:left w:w="0" w:type="dxa"/>
                <w:right w:w="0" w:type="dxa"/>
              </w:tblCellMar>
              <w:tblLook w:val="04A0" w:firstRow="1" w:lastRow="0" w:firstColumn="1" w:lastColumn="0" w:noHBand="0" w:noVBand="1"/>
            </w:tblPr>
            <w:tblGrid>
              <w:gridCol w:w="345"/>
            </w:tblGrid>
            <w:tr w:rsidR="006C7AA7" w:rsidRPr="00D0306F" w14:paraId="1E0B0A95"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6732AC5B"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28A1C2B5"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0B765A8" w14:textId="77777777" w:rsidR="006C7AA7" w:rsidRPr="00D0306F" w:rsidRDefault="006C7AA7" w:rsidP="00CC3BF4">
            <w:pPr>
              <w:jc w:val="center"/>
              <w:rPr>
                <w:rFonts w:eastAsia="Times New Roman" w:cs="Arial"/>
              </w:rPr>
            </w:pPr>
            <w:r w:rsidRPr="00D0306F">
              <w:rPr>
                <w:rFonts w:eastAsia="Times New Roman" w:cs="Arial"/>
              </w:rPr>
              <w:t>11.4%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6C3B7F1" w14:textId="77777777" w:rsidR="006C7AA7" w:rsidRPr="00D0306F" w:rsidRDefault="006C7AA7" w:rsidP="00CC3BF4">
            <w:pPr>
              <w:jc w:val="center"/>
              <w:rPr>
                <w:rFonts w:eastAsia="Times New Roman" w:cs="Arial"/>
              </w:rPr>
            </w:pPr>
            <w:r w:rsidRPr="00D0306F">
              <w:rPr>
                <w:rFonts w:eastAsia="Times New Roman" w:cs="Arial"/>
              </w:rPr>
              <w:t>13</w:t>
            </w:r>
          </w:p>
        </w:tc>
      </w:tr>
      <w:tr w:rsidR="006C7AA7" w:rsidRPr="00D0306F" w14:paraId="32E267DA" w14:textId="77777777" w:rsidTr="00CC3BF4">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CE6F7EF" w14:textId="77777777" w:rsidR="006C7AA7" w:rsidRPr="00D0306F" w:rsidRDefault="006C7AA7" w:rsidP="00CC3BF4">
            <w:pPr>
              <w:jc w:val="center"/>
              <w:rPr>
                <w:rFonts w:eastAsia="Times New Roman" w:cs="Arial"/>
              </w:rPr>
            </w:pPr>
            <w:r w:rsidRPr="00D0306F">
              <w:rPr>
                <w:rFonts w:eastAsia="Times New Roman" w:cs="Arial"/>
              </w:rPr>
              <w:t>17</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3C23B08" w14:textId="77777777" w:rsidR="006C7AA7" w:rsidRPr="00D0306F" w:rsidRDefault="006C7AA7" w:rsidP="00CC3BF4">
            <w:pPr>
              <w:rPr>
                <w:rFonts w:eastAsia="Times New Roman" w:cs="Arial"/>
              </w:rPr>
            </w:pPr>
            <w:r w:rsidRPr="00D0306F">
              <w:rPr>
                <w:rFonts w:eastAsia="Times New Roman" w:cs="Arial"/>
              </w:rPr>
              <w:t xml:space="preserve">Medicines administration record service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708" w:type="pct"/>
              <w:tblCellMar>
                <w:left w:w="0" w:type="dxa"/>
                <w:right w:w="0" w:type="dxa"/>
              </w:tblCellMar>
              <w:tblLook w:val="04A0" w:firstRow="1" w:lastRow="0" w:firstColumn="1" w:lastColumn="0" w:noHBand="0" w:noVBand="1"/>
            </w:tblPr>
            <w:tblGrid>
              <w:gridCol w:w="424"/>
            </w:tblGrid>
            <w:tr w:rsidR="006C7AA7" w:rsidRPr="00D0306F" w14:paraId="6FD9858F"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1D5F6605"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06E5C48D"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7B2039B" w14:textId="77777777" w:rsidR="006C7AA7" w:rsidRPr="00D0306F" w:rsidRDefault="006C7AA7" w:rsidP="00CC3BF4">
            <w:pPr>
              <w:jc w:val="center"/>
              <w:rPr>
                <w:rFonts w:eastAsia="Times New Roman" w:cs="Arial"/>
              </w:rPr>
            </w:pPr>
            <w:r w:rsidRPr="00D0306F">
              <w:rPr>
                <w:rFonts w:eastAsia="Times New Roman" w:cs="Arial"/>
              </w:rPr>
              <w:t>14.0%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341157E" w14:textId="77777777" w:rsidR="006C7AA7" w:rsidRPr="00D0306F" w:rsidRDefault="006C7AA7" w:rsidP="00CC3BF4">
            <w:pPr>
              <w:jc w:val="center"/>
              <w:rPr>
                <w:rFonts w:eastAsia="Times New Roman" w:cs="Arial"/>
              </w:rPr>
            </w:pPr>
            <w:r w:rsidRPr="00D0306F">
              <w:rPr>
                <w:rFonts w:eastAsia="Times New Roman" w:cs="Arial"/>
              </w:rPr>
              <w:t>16</w:t>
            </w:r>
          </w:p>
        </w:tc>
      </w:tr>
      <w:tr w:rsidR="006C7AA7" w:rsidRPr="00D0306F" w14:paraId="689200B5" w14:textId="77777777" w:rsidTr="00CC3BF4">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2B6F14F" w14:textId="77777777" w:rsidR="006C7AA7" w:rsidRPr="00D0306F" w:rsidRDefault="006C7AA7" w:rsidP="00CC3BF4">
            <w:pPr>
              <w:jc w:val="center"/>
              <w:rPr>
                <w:rFonts w:eastAsia="Times New Roman" w:cs="Arial"/>
              </w:rPr>
            </w:pPr>
            <w:r w:rsidRPr="00D0306F">
              <w:rPr>
                <w:rFonts w:eastAsia="Times New Roman" w:cs="Arial"/>
              </w:rPr>
              <w:t>18</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F5438BF" w14:textId="77777777" w:rsidR="006C7AA7" w:rsidRPr="00D0306F" w:rsidRDefault="006C7AA7" w:rsidP="00CC3BF4">
            <w:pPr>
              <w:rPr>
                <w:rFonts w:eastAsia="Times New Roman" w:cs="Arial"/>
              </w:rPr>
            </w:pPr>
            <w:r w:rsidRPr="00D0306F">
              <w:rPr>
                <w:rFonts w:eastAsia="Times New Roman" w:cs="Arial"/>
              </w:rPr>
              <w:t xml:space="preserve">Urgent Medication service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29" w:type="pct"/>
              <w:tblCellMar>
                <w:left w:w="0" w:type="dxa"/>
                <w:right w:w="0" w:type="dxa"/>
              </w:tblCellMar>
              <w:tblLook w:val="04A0" w:firstRow="1" w:lastRow="0" w:firstColumn="1" w:lastColumn="0" w:noHBand="0" w:noVBand="1"/>
            </w:tblPr>
            <w:tblGrid>
              <w:gridCol w:w="557"/>
            </w:tblGrid>
            <w:tr w:rsidR="006C7AA7" w:rsidRPr="00D0306F" w14:paraId="3AC34739"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D11B115"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70903251"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6E73ABE" w14:textId="77777777" w:rsidR="006C7AA7" w:rsidRPr="00D0306F" w:rsidRDefault="006C7AA7" w:rsidP="00CC3BF4">
            <w:pPr>
              <w:jc w:val="center"/>
              <w:rPr>
                <w:rFonts w:eastAsia="Times New Roman" w:cs="Arial"/>
              </w:rPr>
            </w:pPr>
            <w:r w:rsidRPr="00D0306F">
              <w:rPr>
                <w:rFonts w:eastAsia="Times New Roman" w:cs="Arial"/>
              </w:rPr>
              <w:t>18.4%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FC58BD3" w14:textId="77777777" w:rsidR="006C7AA7" w:rsidRPr="00D0306F" w:rsidRDefault="006C7AA7" w:rsidP="00CC3BF4">
            <w:pPr>
              <w:jc w:val="center"/>
              <w:rPr>
                <w:rFonts w:eastAsia="Times New Roman" w:cs="Arial"/>
              </w:rPr>
            </w:pPr>
            <w:r w:rsidRPr="00D0306F">
              <w:rPr>
                <w:rFonts w:eastAsia="Times New Roman" w:cs="Arial"/>
              </w:rPr>
              <w:t>21</w:t>
            </w:r>
          </w:p>
        </w:tc>
      </w:tr>
      <w:tr w:rsidR="006C7AA7" w:rsidRPr="00D0306F" w14:paraId="5C1A23CC" w14:textId="77777777" w:rsidTr="00CC3BF4">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431FE8A" w14:textId="77777777" w:rsidR="006C7AA7" w:rsidRPr="00D0306F" w:rsidRDefault="006C7AA7" w:rsidP="00CC3BF4">
            <w:pPr>
              <w:jc w:val="center"/>
              <w:rPr>
                <w:rFonts w:eastAsia="Times New Roman" w:cs="Arial"/>
              </w:rPr>
            </w:pPr>
            <w:r w:rsidRPr="00D0306F">
              <w:rPr>
                <w:rFonts w:eastAsia="Times New Roman" w:cs="Arial"/>
              </w:rPr>
              <w:t>19</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CFEC55B" w14:textId="77777777" w:rsidR="006C7AA7" w:rsidRPr="00D0306F" w:rsidRDefault="006C7AA7" w:rsidP="00CC3BF4">
            <w:pPr>
              <w:rPr>
                <w:rFonts w:eastAsia="Times New Roman" w:cs="Arial"/>
              </w:rPr>
            </w:pPr>
            <w:r w:rsidRPr="00D0306F">
              <w:rPr>
                <w:rFonts w:eastAsia="Times New Roman" w:cs="Arial"/>
              </w:rPr>
              <w:t>No</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65" w:type="pct"/>
              <w:tblCellMar>
                <w:left w:w="0" w:type="dxa"/>
                <w:right w:w="0" w:type="dxa"/>
              </w:tblCellMar>
              <w:tblLook w:val="04A0" w:firstRow="1" w:lastRow="0" w:firstColumn="1" w:lastColumn="0" w:noHBand="0" w:noVBand="1"/>
            </w:tblPr>
            <w:tblGrid>
              <w:gridCol w:w="159"/>
            </w:tblGrid>
            <w:tr w:rsidR="006C7AA7" w:rsidRPr="00D0306F" w14:paraId="681A88F3"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64E60A00"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D04C225"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A98E68D" w14:textId="77777777" w:rsidR="006C7AA7" w:rsidRPr="00D0306F" w:rsidRDefault="006C7AA7" w:rsidP="00CC3BF4">
            <w:pPr>
              <w:jc w:val="center"/>
              <w:rPr>
                <w:rFonts w:eastAsia="Times New Roman" w:cs="Arial"/>
              </w:rPr>
            </w:pPr>
            <w:r w:rsidRPr="00D0306F">
              <w:rPr>
                <w:rFonts w:eastAsia="Times New Roman" w:cs="Arial"/>
              </w:rPr>
              <w:t>5.3%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6D17248" w14:textId="77777777" w:rsidR="006C7AA7" w:rsidRPr="00D0306F" w:rsidRDefault="006C7AA7" w:rsidP="00CC3BF4">
            <w:pPr>
              <w:jc w:val="center"/>
              <w:rPr>
                <w:rFonts w:eastAsia="Times New Roman" w:cs="Arial"/>
              </w:rPr>
            </w:pPr>
            <w:r w:rsidRPr="00D0306F">
              <w:rPr>
                <w:rFonts w:eastAsia="Times New Roman" w:cs="Arial"/>
              </w:rPr>
              <w:t>6</w:t>
            </w:r>
          </w:p>
        </w:tc>
      </w:tr>
      <w:tr w:rsidR="006C7AA7" w:rsidRPr="00D0306F" w14:paraId="040E8569"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71DC3BD2"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8EFEB04"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717B885" w14:textId="77777777" w:rsidR="006C7AA7" w:rsidRPr="00D0306F" w:rsidRDefault="006C7AA7" w:rsidP="00CC3BF4">
            <w:pPr>
              <w:jc w:val="center"/>
              <w:rPr>
                <w:rFonts w:eastAsia="Times New Roman" w:cs="Arial"/>
              </w:rPr>
            </w:pPr>
            <w:r w:rsidRPr="00D0306F">
              <w:rPr>
                <w:rFonts w:eastAsia="Times New Roman" w:cs="Arial"/>
              </w:rPr>
              <w:t>114</w:t>
            </w:r>
          </w:p>
        </w:tc>
      </w:tr>
      <w:tr w:rsidR="006C7AA7" w:rsidRPr="00D0306F" w14:paraId="6D68D09F"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3C20BE5F"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F342950"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F21C3FF" w14:textId="77777777" w:rsidR="006C7AA7" w:rsidRPr="00D0306F" w:rsidRDefault="006C7AA7" w:rsidP="00CC3BF4">
            <w:pPr>
              <w:jc w:val="center"/>
              <w:rPr>
                <w:rFonts w:eastAsia="Times New Roman" w:cs="Arial"/>
              </w:rPr>
            </w:pPr>
            <w:r w:rsidRPr="00D0306F">
              <w:rPr>
                <w:rFonts w:eastAsia="Times New Roman" w:cs="Arial"/>
              </w:rPr>
              <w:t>5</w:t>
            </w:r>
          </w:p>
        </w:tc>
      </w:tr>
    </w:tbl>
    <w:p w14:paraId="69184C6F" w14:textId="77777777" w:rsidR="006C7AA7" w:rsidRPr="00D0306F" w:rsidRDefault="006C7AA7" w:rsidP="006C7AA7">
      <w:pPr>
        <w:rPr>
          <w:rFonts w:eastAsia="Times New Roman" w:cs="Arial"/>
        </w:rPr>
      </w:pPr>
    </w:p>
    <w:p w14:paraId="64393515" w14:textId="77777777" w:rsidR="006C7AA7" w:rsidRPr="00D0306F" w:rsidRDefault="006C7AA7" w:rsidP="006C7AA7">
      <w:pPr>
        <w:rPr>
          <w:rFonts w:eastAsia="Times New Roman" w:cs="Arial"/>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417"/>
        <w:gridCol w:w="2163"/>
        <w:gridCol w:w="3714"/>
        <w:gridCol w:w="1313"/>
        <w:gridCol w:w="1313"/>
      </w:tblGrid>
      <w:tr w:rsidR="006C7AA7" w:rsidRPr="00D0306F" w14:paraId="4D0131A5" w14:textId="77777777" w:rsidTr="00CC3BF4">
        <w:trPr>
          <w:trHeight w:val="600"/>
          <w:tblHeader/>
          <w:tblCellSpacing w:w="0" w:type="dxa"/>
          <w:jc w:val="center"/>
        </w:trPr>
        <w:tc>
          <w:tcPr>
            <w:tcW w:w="0" w:type="auto"/>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01B66304" w14:textId="77777777" w:rsidR="006C7AA7" w:rsidRPr="00D0306F" w:rsidRDefault="006C7AA7" w:rsidP="00CC3BF4">
            <w:pPr>
              <w:rPr>
                <w:rFonts w:eastAsia="Times New Roman" w:cs="Arial"/>
                <w:b/>
                <w:bCs/>
                <w:color w:val="FFFFFF"/>
              </w:rPr>
            </w:pPr>
            <w:r w:rsidRPr="00D0306F">
              <w:rPr>
                <w:rFonts w:eastAsia="Times New Roman" w:cs="Arial"/>
                <w:b/>
                <w:bCs/>
                <w:color w:val="FFFFFF"/>
              </w:rPr>
              <w:t xml:space="preserve">19. Have you used any of the services listed? </w:t>
            </w:r>
          </w:p>
        </w:tc>
      </w:tr>
      <w:tr w:rsidR="006C7AA7" w:rsidRPr="00D0306F" w14:paraId="32953C7A" w14:textId="77777777" w:rsidTr="00CC3BF4">
        <w:trPr>
          <w:trHeight w:val="360"/>
          <w:tblCellSpacing w:w="0" w:type="dxa"/>
          <w:jc w:val="center"/>
        </w:trPr>
        <w:tc>
          <w:tcPr>
            <w:tcW w:w="6885"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41DA72B1"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746EC26B"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58258612"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5F54DCF9"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23DE94B" w14:textId="77777777" w:rsidR="006C7AA7" w:rsidRPr="00D0306F" w:rsidRDefault="006C7AA7" w:rsidP="00CC3BF4">
            <w:pPr>
              <w:jc w:val="center"/>
              <w:rPr>
                <w:rFonts w:eastAsia="Times New Roman" w:cs="Arial"/>
              </w:rPr>
            </w:pPr>
            <w:r w:rsidRPr="00D0306F">
              <w:rPr>
                <w:rFonts w:eastAsia="Times New Roman" w:cs="Arial"/>
              </w:rPr>
              <w:t>1</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C2B94F9" w14:textId="77777777" w:rsidR="006C7AA7" w:rsidRPr="00D0306F" w:rsidRDefault="006C7AA7" w:rsidP="00CC3BF4">
            <w:pPr>
              <w:rPr>
                <w:rFonts w:eastAsia="Times New Roman" w:cs="Arial"/>
              </w:rPr>
            </w:pPr>
            <w:r w:rsidRPr="00D0306F">
              <w:rPr>
                <w:rFonts w:eastAsia="Times New Roman" w:cs="Arial"/>
              </w:rPr>
              <w:t xml:space="preserve">Flu vaccinations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383" w:type="pct"/>
              <w:tblCellMar>
                <w:left w:w="0" w:type="dxa"/>
                <w:right w:w="0" w:type="dxa"/>
              </w:tblCellMar>
              <w:tblLook w:val="04A0" w:firstRow="1" w:lastRow="0" w:firstColumn="1" w:lastColumn="0" w:noHBand="0" w:noVBand="1"/>
            </w:tblPr>
            <w:tblGrid>
              <w:gridCol w:w="1698"/>
            </w:tblGrid>
            <w:tr w:rsidR="006C7AA7" w:rsidRPr="00D0306F" w14:paraId="44DD8D39"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6EFEED2B"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027F8E44"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2816FE9" w14:textId="77777777" w:rsidR="006C7AA7" w:rsidRPr="00D0306F" w:rsidRDefault="006C7AA7" w:rsidP="00CC3BF4">
            <w:pPr>
              <w:jc w:val="center"/>
              <w:rPr>
                <w:rFonts w:eastAsia="Times New Roman" w:cs="Arial"/>
              </w:rPr>
            </w:pPr>
            <w:r w:rsidRPr="00D0306F">
              <w:rPr>
                <w:rFonts w:eastAsia="Times New Roman" w:cs="Arial"/>
              </w:rPr>
              <w:t>48.2%</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AAF3A1A" w14:textId="77777777" w:rsidR="006C7AA7" w:rsidRPr="00D0306F" w:rsidRDefault="006C7AA7" w:rsidP="00CC3BF4">
            <w:pPr>
              <w:jc w:val="center"/>
              <w:rPr>
                <w:rFonts w:eastAsia="Times New Roman" w:cs="Arial"/>
              </w:rPr>
            </w:pPr>
            <w:r w:rsidRPr="00D0306F">
              <w:rPr>
                <w:rFonts w:eastAsia="Times New Roman" w:cs="Arial"/>
              </w:rPr>
              <w:t>52</w:t>
            </w:r>
          </w:p>
        </w:tc>
      </w:tr>
      <w:tr w:rsidR="006C7AA7" w:rsidRPr="00D0306F" w14:paraId="64F503CB"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5AE1B04" w14:textId="77777777" w:rsidR="006C7AA7" w:rsidRPr="00D0306F" w:rsidRDefault="006C7AA7" w:rsidP="00CC3BF4">
            <w:pPr>
              <w:jc w:val="center"/>
              <w:rPr>
                <w:rFonts w:eastAsia="Times New Roman" w:cs="Arial"/>
              </w:rPr>
            </w:pPr>
            <w:r w:rsidRPr="00D0306F">
              <w:rPr>
                <w:rFonts w:eastAsia="Times New Roman" w:cs="Arial"/>
              </w:rPr>
              <w:t>2</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34F4B23" w14:textId="77777777" w:rsidR="006C7AA7" w:rsidRPr="00D0306F" w:rsidRDefault="006C7AA7" w:rsidP="00CC3BF4">
            <w:pPr>
              <w:rPr>
                <w:rFonts w:eastAsia="Times New Roman" w:cs="Arial"/>
              </w:rPr>
            </w:pPr>
            <w:r w:rsidRPr="00D0306F">
              <w:rPr>
                <w:rFonts w:eastAsia="Times New Roman" w:cs="Arial"/>
              </w:rPr>
              <w:t xml:space="preserve">Discharge medicines review service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33" w:type="pct"/>
              <w:tblCellMar>
                <w:left w:w="0" w:type="dxa"/>
                <w:right w:w="0" w:type="dxa"/>
              </w:tblCellMar>
              <w:tblLook w:val="04A0" w:firstRow="1" w:lastRow="0" w:firstColumn="1" w:lastColumn="0" w:noHBand="0" w:noVBand="1"/>
            </w:tblPr>
            <w:tblGrid>
              <w:gridCol w:w="166"/>
            </w:tblGrid>
            <w:tr w:rsidR="006C7AA7" w:rsidRPr="00D0306F" w14:paraId="446AC7DC"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640239A8"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4F8216FE"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CB8E078" w14:textId="77777777" w:rsidR="006C7AA7" w:rsidRPr="00D0306F" w:rsidRDefault="006C7AA7" w:rsidP="00CC3BF4">
            <w:pPr>
              <w:jc w:val="center"/>
              <w:rPr>
                <w:rFonts w:eastAsia="Times New Roman" w:cs="Arial"/>
              </w:rPr>
            </w:pPr>
            <w:r w:rsidRPr="00D0306F">
              <w:rPr>
                <w:rFonts w:eastAsia="Times New Roman" w:cs="Arial"/>
              </w:rPr>
              <w:t>4.6%</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B883F65" w14:textId="77777777" w:rsidR="006C7AA7" w:rsidRPr="00D0306F" w:rsidRDefault="006C7AA7" w:rsidP="00CC3BF4">
            <w:pPr>
              <w:jc w:val="center"/>
              <w:rPr>
                <w:rFonts w:eastAsia="Times New Roman" w:cs="Arial"/>
              </w:rPr>
            </w:pPr>
            <w:r w:rsidRPr="00D0306F">
              <w:rPr>
                <w:rFonts w:eastAsia="Times New Roman" w:cs="Arial"/>
              </w:rPr>
              <w:t>5</w:t>
            </w:r>
          </w:p>
        </w:tc>
      </w:tr>
      <w:tr w:rsidR="006C7AA7" w:rsidRPr="00D0306F" w14:paraId="7AA4EA30"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69F7790" w14:textId="77777777" w:rsidR="006C7AA7" w:rsidRPr="00D0306F" w:rsidRDefault="006C7AA7" w:rsidP="00CC3BF4">
            <w:pPr>
              <w:jc w:val="center"/>
              <w:rPr>
                <w:rFonts w:eastAsia="Times New Roman" w:cs="Arial"/>
              </w:rPr>
            </w:pPr>
            <w:r w:rsidRPr="00D0306F">
              <w:rPr>
                <w:rFonts w:eastAsia="Times New Roman" w:cs="Arial"/>
              </w:rPr>
              <w:t>3</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EBA899B" w14:textId="77777777" w:rsidR="006C7AA7" w:rsidRPr="00D0306F" w:rsidRDefault="006C7AA7" w:rsidP="00CC3BF4">
            <w:pPr>
              <w:rPr>
                <w:rFonts w:eastAsia="Times New Roman" w:cs="Arial"/>
              </w:rPr>
            </w:pPr>
            <w:r w:rsidRPr="00D0306F">
              <w:rPr>
                <w:rFonts w:eastAsia="Times New Roman" w:cs="Arial"/>
              </w:rPr>
              <w:t xml:space="preserve">Appliance use review service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653DE549"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2920387" w14:textId="77777777" w:rsidR="006C7AA7" w:rsidRPr="00D0306F" w:rsidRDefault="006C7AA7" w:rsidP="00CC3BF4">
            <w:pPr>
              <w:jc w:val="center"/>
              <w:rPr>
                <w:rFonts w:eastAsia="Times New Roman" w:cs="Arial"/>
              </w:rPr>
            </w:pPr>
            <w:r w:rsidRPr="00D0306F">
              <w:rPr>
                <w:rFonts w:eastAsia="Times New Roman" w:cs="Arial"/>
              </w:rPr>
              <w:t>0.0%</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69E1C00"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3AAD5D65"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3B92A80" w14:textId="77777777" w:rsidR="006C7AA7" w:rsidRPr="00D0306F" w:rsidRDefault="006C7AA7" w:rsidP="00CC3BF4">
            <w:pPr>
              <w:jc w:val="center"/>
              <w:rPr>
                <w:rFonts w:eastAsia="Times New Roman" w:cs="Arial"/>
              </w:rPr>
            </w:pPr>
            <w:r w:rsidRPr="00D0306F">
              <w:rPr>
                <w:rFonts w:eastAsia="Times New Roman" w:cs="Arial"/>
              </w:rPr>
              <w:t>4</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1A03C1B" w14:textId="77777777" w:rsidR="006C7AA7" w:rsidRPr="00D0306F" w:rsidRDefault="006C7AA7" w:rsidP="00CC3BF4">
            <w:pPr>
              <w:rPr>
                <w:rFonts w:eastAsia="Times New Roman" w:cs="Arial"/>
              </w:rPr>
            </w:pPr>
            <w:r w:rsidRPr="00D0306F">
              <w:rPr>
                <w:rFonts w:eastAsia="Times New Roman" w:cs="Arial"/>
              </w:rPr>
              <w:t>Contraception services which includes the ‘morning after pill’</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14" w:type="pct"/>
              <w:tblCellMar>
                <w:left w:w="0" w:type="dxa"/>
                <w:right w:w="0" w:type="dxa"/>
              </w:tblCellMar>
              <w:tblLook w:val="04A0" w:firstRow="1" w:lastRow="0" w:firstColumn="1" w:lastColumn="0" w:noHBand="0" w:noVBand="1"/>
            </w:tblPr>
            <w:tblGrid>
              <w:gridCol w:w="366"/>
            </w:tblGrid>
            <w:tr w:rsidR="006C7AA7" w:rsidRPr="00D0306F" w14:paraId="55378EF5"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B2E95D9"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4F7420C6"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51A289E" w14:textId="77777777" w:rsidR="006C7AA7" w:rsidRPr="00D0306F" w:rsidRDefault="006C7AA7" w:rsidP="00CC3BF4">
            <w:pPr>
              <w:jc w:val="center"/>
              <w:rPr>
                <w:rFonts w:eastAsia="Times New Roman" w:cs="Arial"/>
              </w:rPr>
            </w:pPr>
            <w:r w:rsidRPr="00D0306F">
              <w:rPr>
                <w:rFonts w:eastAsia="Times New Roman" w:cs="Arial"/>
              </w:rPr>
              <w:t>10.2%</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7950353" w14:textId="77777777" w:rsidR="006C7AA7" w:rsidRPr="00D0306F" w:rsidRDefault="006C7AA7" w:rsidP="00CC3BF4">
            <w:pPr>
              <w:jc w:val="center"/>
              <w:rPr>
                <w:rFonts w:eastAsia="Times New Roman" w:cs="Arial"/>
              </w:rPr>
            </w:pPr>
            <w:r w:rsidRPr="00D0306F">
              <w:rPr>
                <w:rFonts w:eastAsia="Times New Roman" w:cs="Arial"/>
              </w:rPr>
              <w:t>11</w:t>
            </w:r>
          </w:p>
        </w:tc>
      </w:tr>
      <w:tr w:rsidR="006C7AA7" w:rsidRPr="00D0306F" w14:paraId="645AD1CD"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7E4C828" w14:textId="77777777" w:rsidR="006C7AA7" w:rsidRPr="00D0306F" w:rsidRDefault="006C7AA7" w:rsidP="00CC3BF4">
            <w:pPr>
              <w:jc w:val="center"/>
              <w:rPr>
                <w:rFonts w:eastAsia="Times New Roman" w:cs="Arial"/>
              </w:rPr>
            </w:pPr>
            <w:r w:rsidRPr="00D0306F">
              <w:rPr>
                <w:rFonts w:eastAsia="Times New Roman" w:cs="Arial"/>
              </w:rPr>
              <w:t>5</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EDF5F8E" w14:textId="77777777" w:rsidR="006C7AA7" w:rsidRPr="00D0306F" w:rsidRDefault="006C7AA7" w:rsidP="00CC3BF4">
            <w:pPr>
              <w:rPr>
                <w:rFonts w:eastAsia="Times New Roman" w:cs="Arial"/>
              </w:rPr>
            </w:pPr>
            <w:r w:rsidRPr="00D0306F">
              <w:rPr>
                <w:rFonts w:eastAsia="Times New Roman" w:cs="Arial"/>
              </w:rPr>
              <w:t>Help to stop smoking</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27" w:type="pct"/>
              <w:tblCellMar>
                <w:left w:w="0" w:type="dxa"/>
                <w:right w:w="0" w:type="dxa"/>
              </w:tblCellMar>
              <w:tblLook w:val="04A0" w:firstRow="1" w:lastRow="0" w:firstColumn="1" w:lastColumn="0" w:noHBand="0" w:noVBand="1"/>
            </w:tblPr>
            <w:tblGrid>
              <w:gridCol w:w="233"/>
            </w:tblGrid>
            <w:tr w:rsidR="006C7AA7" w:rsidRPr="00D0306F" w14:paraId="7A7E4E5A"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2A6186D4"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A90BCA5"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DA1D9C8" w14:textId="77777777" w:rsidR="006C7AA7" w:rsidRPr="00D0306F" w:rsidRDefault="006C7AA7" w:rsidP="00CC3BF4">
            <w:pPr>
              <w:jc w:val="center"/>
              <w:rPr>
                <w:rFonts w:eastAsia="Times New Roman" w:cs="Arial"/>
              </w:rPr>
            </w:pPr>
            <w:r w:rsidRPr="00D0306F">
              <w:rPr>
                <w:rFonts w:eastAsia="Times New Roman" w:cs="Arial"/>
              </w:rPr>
              <w:t>6.5%</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52CD7AD" w14:textId="77777777" w:rsidR="006C7AA7" w:rsidRPr="00D0306F" w:rsidRDefault="006C7AA7" w:rsidP="00CC3BF4">
            <w:pPr>
              <w:jc w:val="center"/>
              <w:rPr>
                <w:rFonts w:eastAsia="Times New Roman" w:cs="Arial"/>
              </w:rPr>
            </w:pPr>
            <w:r w:rsidRPr="00D0306F">
              <w:rPr>
                <w:rFonts w:eastAsia="Times New Roman" w:cs="Arial"/>
              </w:rPr>
              <w:t>7</w:t>
            </w:r>
          </w:p>
        </w:tc>
      </w:tr>
      <w:tr w:rsidR="006C7AA7" w:rsidRPr="00D0306F" w14:paraId="52E0E6F9"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B2F8A08" w14:textId="77777777" w:rsidR="006C7AA7" w:rsidRPr="00D0306F" w:rsidRDefault="006C7AA7" w:rsidP="00CC3BF4">
            <w:pPr>
              <w:jc w:val="center"/>
              <w:rPr>
                <w:rFonts w:eastAsia="Times New Roman" w:cs="Arial"/>
              </w:rPr>
            </w:pPr>
            <w:r w:rsidRPr="00D0306F">
              <w:rPr>
                <w:rFonts w:eastAsia="Times New Roman" w:cs="Arial"/>
              </w:rPr>
              <w:t>6</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9CEFF3E" w14:textId="77777777" w:rsidR="006C7AA7" w:rsidRPr="00D0306F" w:rsidRDefault="006C7AA7" w:rsidP="00CC3BF4">
            <w:pPr>
              <w:rPr>
                <w:rFonts w:eastAsia="Times New Roman" w:cs="Arial"/>
              </w:rPr>
            </w:pPr>
            <w:r w:rsidRPr="00D0306F">
              <w:rPr>
                <w:rFonts w:eastAsia="Times New Roman" w:cs="Arial"/>
              </w:rPr>
              <w:t xml:space="preserve">Common ailments scheme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990" w:type="pct"/>
              <w:tblCellMar>
                <w:left w:w="0" w:type="dxa"/>
                <w:right w:w="0" w:type="dxa"/>
              </w:tblCellMar>
              <w:tblLook w:val="04A0" w:firstRow="1" w:lastRow="0" w:firstColumn="1" w:lastColumn="0" w:noHBand="0" w:noVBand="1"/>
            </w:tblPr>
            <w:tblGrid>
              <w:gridCol w:w="2131"/>
            </w:tblGrid>
            <w:tr w:rsidR="006C7AA7" w:rsidRPr="00D0306F" w14:paraId="30220529"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5522B90D"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242CBCC7"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352F1B0" w14:textId="77777777" w:rsidR="006C7AA7" w:rsidRPr="00D0306F" w:rsidRDefault="006C7AA7" w:rsidP="00CC3BF4">
            <w:pPr>
              <w:jc w:val="center"/>
              <w:rPr>
                <w:rFonts w:eastAsia="Times New Roman" w:cs="Arial"/>
              </w:rPr>
            </w:pPr>
            <w:r w:rsidRPr="00D0306F">
              <w:rPr>
                <w:rFonts w:eastAsia="Times New Roman" w:cs="Arial"/>
              </w:rPr>
              <w:t>59.3%</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00ECD26" w14:textId="77777777" w:rsidR="006C7AA7" w:rsidRPr="00D0306F" w:rsidRDefault="006C7AA7" w:rsidP="00CC3BF4">
            <w:pPr>
              <w:jc w:val="center"/>
              <w:rPr>
                <w:rFonts w:eastAsia="Times New Roman" w:cs="Arial"/>
              </w:rPr>
            </w:pPr>
            <w:r w:rsidRPr="00D0306F">
              <w:rPr>
                <w:rFonts w:eastAsia="Times New Roman" w:cs="Arial"/>
              </w:rPr>
              <w:t>64</w:t>
            </w:r>
          </w:p>
        </w:tc>
      </w:tr>
      <w:tr w:rsidR="006C7AA7" w:rsidRPr="00D0306F" w14:paraId="4F8B6C5A"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909B2D5" w14:textId="77777777" w:rsidR="006C7AA7" w:rsidRPr="00D0306F" w:rsidRDefault="006C7AA7" w:rsidP="00CC3BF4">
            <w:pPr>
              <w:jc w:val="center"/>
              <w:rPr>
                <w:rFonts w:eastAsia="Times New Roman" w:cs="Arial"/>
              </w:rPr>
            </w:pPr>
            <w:r w:rsidRPr="00D0306F">
              <w:rPr>
                <w:rFonts w:eastAsia="Times New Roman" w:cs="Arial"/>
              </w:rPr>
              <w:t>7</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41E445C" w14:textId="77777777" w:rsidR="006C7AA7" w:rsidRPr="00D0306F" w:rsidRDefault="006C7AA7" w:rsidP="00CC3BF4">
            <w:pPr>
              <w:rPr>
                <w:rFonts w:eastAsia="Times New Roman" w:cs="Arial"/>
              </w:rPr>
            </w:pPr>
            <w:r w:rsidRPr="00D0306F">
              <w:rPr>
                <w:rFonts w:eastAsia="Times New Roman" w:cs="Arial"/>
              </w:rPr>
              <w:t xml:space="preserve">Needle and syringe programme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383152FE"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7499E62" w14:textId="77777777" w:rsidR="006C7AA7" w:rsidRPr="00D0306F" w:rsidRDefault="006C7AA7" w:rsidP="00CC3BF4">
            <w:pPr>
              <w:jc w:val="center"/>
              <w:rPr>
                <w:rFonts w:eastAsia="Times New Roman" w:cs="Arial"/>
              </w:rPr>
            </w:pPr>
            <w:r w:rsidRPr="00D0306F">
              <w:rPr>
                <w:rFonts w:eastAsia="Times New Roman" w:cs="Arial"/>
              </w:rPr>
              <w:t>0.0%</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E4DF3B6"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0B36314C"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2C88D5E" w14:textId="77777777" w:rsidR="006C7AA7" w:rsidRPr="00D0306F" w:rsidRDefault="006C7AA7" w:rsidP="00CC3BF4">
            <w:pPr>
              <w:jc w:val="center"/>
              <w:rPr>
                <w:rFonts w:eastAsia="Times New Roman" w:cs="Arial"/>
              </w:rPr>
            </w:pPr>
            <w:r w:rsidRPr="00D0306F">
              <w:rPr>
                <w:rFonts w:eastAsia="Times New Roman" w:cs="Arial"/>
              </w:rPr>
              <w:t>8</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2E40C5D" w14:textId="77777777" w:rsidR="006C7AA7" w:rsidRPr="00D0306F" w:rsidRDefault="006C7AA7" w:rsidP="00CC3BF4">
            <w:pPr>
              <w:rPr>
                <w:rFonts w:eastAsia="Times New Roman" w:cs="Arial"/>
              </w:rPr>
            </w:pPr>
            <w:r w:rsidRPr="00D0306F">
              <w:rPr>
                <w:rFonts w:eastAsia="Times New Roman" w:cs="Arial"/>
              </w:rPr>
              <w:t xml:space="preserve">Supervised administration of medicines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11BB34FD"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5EC8249" w14:textId="77777777" w:rsidR="006C7AA7" w:rsidRPr="00D0306F" w:rsidRDefault="006C7AA7" w:rsidP="00CC3BF4">
            <w:pPr>
              <w:jc w:val="center"/>
              <w:rPr>
                <w:rFonts w:eastAsia="Times New Roman" w:cs="Arial"/>
              </w:rPr>
            </w:pPr>
            <w:r w:rsidRPr="00D0306F">
              <w:rPr>
                <w:rFonts w:eastAsia="Times New Roman" w:cs="Arial"/>
              </w:rPr>
              <w:t>0.0%</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D4F0315"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59538E96"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90DDD0B" w14:textId="77777777" w:rsidR="006C7AA7" w:rsidRPr="00D0306F" w:rsidRDefault="006C7AA7" w:rsidP="00CC3BF4">
            <w:pPr>
              <w:jc w:val="center"/>
              <w:rPr>
                <w:rFonts w:eastAsia="Times New Roman" w:cs="Arial"/>
              </w:rPr>
            </w:pPr>
            <w:r w:rsidRPr="00D0306F">
              <w:rPr>
                <w:rFonts w:eastAsia="Times New Roman" w:cs="Arial"/>
              </w:rPr>
              <w:t>9</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3E5BDD2" w14:textId="77777777" w:rsidR="006C7AA7" w:rsidRPr="00D0306F" w:rsidRDefault="006C7AA7" w:rsidP="00CC3BF4">
            <w:pPr>
              <w:rPr>
                <w:rFonts w:eastAsia="Times New Roman" w:cs="Arial"/>
              </w:rPr>
            </w:pPr>
            <w:r w:rsidRPr="00D0306F">
              <w:rPr>
                <w:rFonts w:eastAsia="Times New Roman" w:cs="Arial"/>
              </w:rPr>
              <w:t xml:space="preserve">Emergency medicines supply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701" w:type="pct"/>
              <w:tblCellMar>
                <w:left w:w="0" w:type="dxa"/>
                <w:right w:w="0" w:type="dxa"/>
              </w:tblCellMar>
              <w:tblLook w:val="04A0" w:firstRow="1" w:lastRow="0" w:firstColumn="1" w:lastColumn="0" w:noHBand="0" w:noVBand="1"/>
            </w:tblPr>
            <w:tblGrid>
              <w:gridCol w:w="500"/>
            </w:tblGrid>
            <w:tr w:rsidR="006C7AA7" w:rsidRPr="00D0306F" w14:paraId="1DC06CF9"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7FAFFE6C"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7A214A1F"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A2573E8" w14:textId="77777777" w:rsidR="006C7AA7" w:rsidRPr="00D0306F" w:rsidRDefault="006C7AA7" w:rsidP="00CC3BF4">
            <w:pPr>
              <w:jc w:val="center"/>
              <w:rPr>
                <w:rFonts w:eastAsia="Times New Roman" w:cs="Arial"/>
              </w:rPr>
            </w:pPr>
            <w:r w:rsidRPr="00D0306F">
              <w:rPr>
                <w:rFonts w:eastAsia="Times New Roman" w:cs="Arial"/>
              </w:rPr>
              <w:t>13.9%</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9DC73CF" w14:textId="77777777" w:rsidR="006C7AA7" w:rsidRPr="00D0306F" w:rsidRDefault="006C7AA7" w:rsidP="00CC3BF4">
            <w:pPr>
              <w:jc w:val="center"/>
              <w:rPr>
                <w:rFonts w:eastAsia="Times New Roman" w:cs="Arial"/>
              </w:rPr>
            </w:pPr>
            <w:r w:rsidRPr="00D0306F">
              <w:rPr>
                <w:rFonts w:eastAsia="Times New Roman" w:cs="Arial"/>
              </w:rPr>
              <w:t>15</w:t>
            </w:r>
          </w:p>
        </w:tc>
      </w:tr>
      <w:tr w:rsidR="006C7AA7" w:rsidRPr="00D0306F" w14:paraId="5C44815C"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591E7C8" w14:textId="77777777" w:rsidR="006C7AA7" w:rsidRPr="00D0306F" w:rsidRDefault="006C7AA7" w:rsidP="00CC3BF4">
            <w:pPr>
              <w:jc w:val="center"/>
              <w:rPr>
                <w:rFonts w:eastAsia="Times New Roman" w:cs="Arial"/>
              </w:rPr>
            </w:pPr>
            <w:r w:rsidRPr="00D0306F">
              <w:rPr>
                <w:rFonts w:eastAsia="Times New Roman" w:cs="Arial"/>
              </w:rPr>
              <w:t>10</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975D4F2" w14:textId="77777777" w:rsidR="006C7AA7" w:rsidRPr="00D0306F" w:rsidRDefault="006C7AA7" w:rsidP="00CC3BF4">
            <w:pPr>
              <w:rPr>
                <w:rFonts w:eastAsia="Times New Roman" w:cs="Arial"/>
              </w:rPr>
            </w:pPr>
            <w:r w:rsidRPr="00D0306F">
              <w:rPr>
                <w:rFonts w:eastAsia="Times New Roman" w:cs="Arial"/>
              </w:rPr>
              <w:t xml:space="preserve">Pharmacist independent prescribing service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15" w:type="pct"/>
              <w:tblCellMar>
                <w:left w:w="0" w:type="dxa"/>
                <w:right w:w="0" w:type="dxa"/>
              </w:tblCellMar>
              <w:tblLook w:val="04A0" w:firstRow="1" w:lastRow="0" w:firstColumn="1" w:lastColumn="0" w:noHBand="0" w:noVBand="1"/>
            </w:tblPr>
            <w:tblGrid>
              <w:gridCol w:w="866"/>
            </w:tblGrid>
            <w:tr w:rsidR="006C7AA7" w:rsidRPr="00D0306F" w14:paraId="51059071"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38773A55"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D83166A"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8FFD8C5" w14:textId="77777777" w:rsidR="006C7AA7" w:rsidRPr="00D0306F" w:rsidRDefault="006C7AA7" w:rsidP="00CC3BF4">
            <w:pPr>
              <w:jc w:val="center"/>
              <w:rPr>
                <w:rFonts w:eastAsia="Times New Roman" w:cs="Arial"/>
              </w:rPr>
            </w:pPr>
            <w:r w:rsidRPr="00D0306F">
              <w:rPr>
                <w:rFonts w:eastAsia="Times New Roman" w:cs="Arial"/>
              </w:rPr>
              <w:t>24.1%</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A2BC57F" w14:textId="77777777" w:rsidR="006C7AA7" w:rsidRPr="00D0306F" w:rsidRDefault="006C7AA7" w:rsidP="00CC3BF4">
            <w:pPr>
              <w:jc w:val="center"/>
              <w:rPr>
                <w:rFonts w:eastAsia="Times New Roman" w:cs="Arial"/>
              </w:rPr>
            </w:pPr>
            <w:r w:rsidRPr="00D0306F">
              <w:rPr>
                <w:rFonts w:eastAsia="Times New Roman" w:cs="Arial"/>
              </w:rPr>
              <w:t>26</w:t>
            </w:r>
          </w:p>
        </w:tc>
      </w:tr>
      <w:tr w:rsidR="006C7AA7" w:rsidRPr="00D0306F" w14:paraId="3AB33CB5"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B2399A9" w14:textId="77777777" w:rsidR="006C7AA7" w:rsidRPr="00D0306F" w:rsidRDefault="006C7AA7" w:rsidP="00CC3BF4">
            <w:pPr>
              <w:jc w:val="center"/>
              <w:rPr>
                <w:rFonts w:eastAsia="Times New Roman" w:cs="Arial"/>
              </w:rPr>
            </w:pPr>
            <w:r w:rsidRPr="00D0306F">
              <w:rPr>
                <w:rFonts w:eastAsia="Times New Roman" w:cs="Arial"/>
              </w:rPr>
              <w:t>11</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FCAD02C" w14:textId="77777777" w:rsidR="006C7AA7" w:rsidRPr="00D0306F" w:rsidRDefault="006C7AA7" w:rsidP="00CC3BF4">
            <w:pPr>
              <w:rPr>
                <w:rFonts w:eastAsia="Times New Roman" w:cs="Arial"/>
              </w:rPr>
            </w:pPr>
            <w:r w:rsidRPr="00D0306F">
              <w:rPr>
                <w:rFonts w:eastAsia="Times New Roman" w:cs="Arial"/>
              </w:rPr>
              <w:t>Covid vaccination service</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34" w:type="pct"/>
              <w:tblCellMar>
                <w:left w:w="0" w:type="dxa"/>
                <w:right w:w="0" w:type="dxa"/>
              </w:tblCellMar>
              <w:tblLook w:val="04A0" w:firstRow="1" w:lastRow="0" w:firstColumn="1" w:lastColumn="0" w:noHBand="0" w:noVBand="1"/>
            </w:tblPr>
            <w:tblGrid>
              <w:gridCol w:w="666"/>
            </w:tblGrid>
            <w:tr w:rsidR="006C7AA7" w:rsidRPr="00D0306F" w14:paraId="435A49A6"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12A0F16B"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79C82C7C"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F5F8052" w14:textId="77777777" w:rsidR="006C7AA7" w:rsidRPr="00D0306F" w:rsidRDefault="006C7AA7" w:rsidP="00CC3BF4">
            <w:pPr>
              <w:jc w:val="center"/>
              <w:rPr>
                <w:rFonts w:eastAsia="Times New Roman" w:cs="Arial"/>
              </w:rPr>
            </w:pPr>
            <w:r w:rsidRPr="00D0306F">
              <w:rPr>
                <w:rFonts w:eastAsia="Times New Roman" w:cs="Arial"/>
              </w:rPr>
              <w:t>19.4%</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DCA7339" w14:textId="77777777" w:rsidR="006C7AA7" w:rsidRPr="00D0306F" w:rsidRDefault="006C7AA7" w:rsidP="00CC3BF4">
            <w:pPr>
              <w:jc w:val="center"/>
              <w:rPr>
                <w:rFonts w:eastAsia="Times New Roman" w:cs="Arial"/>
              </w:rPr>
            </w:pPr>
            <w:r w:rsidRPr="00D0306F">
              <w:rPr>
                <w:rFonts w:eastAsia="Times New Roman" w:cs="Arial"/>
              </w:rPr>
              <w:t>21</w:t>
            </w:r>
          </w:p>
        </w:tc>
      </w:tr>
      <w:tr w:rsidR="006C7AA7" w:rsidRPr="00D0306F" w14:paraId="43FFEC4A"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92CADEB" w14:textId="77777777" w:rsidR="006C7AA7" w:rsidRPr="00D0306F" w:rsidRDefault="006C7AA7" w:rsidP="00CC3BF4">
            <w:pPr>
              <w:jc w:val="center"/>
              <w:rPr>
                <w:rFonts w:eastAsia="Times New Roman" w:cs="Arial"/>
              </w:rPr>
            </w:pPr>
            <w:r w:rsidRPr="00D0306F">
              <w:rPr>
                <w:rFonts w:eastAsia="Times New Roman" w:cs="Arial"/>
              </w:rPr>
              <w:t>12</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218D2C3" w14:textId="77777777" w:rsidR="006C7AA7" w:rsidRPr="00D0306F" w:rsidRDefault="006C7AA7" w:rsidP="00CC3BF4">
            <w:pPr>
              <w:rPr>
                <w:rFonts w:eastAsia="Times New Roman" w:cs="Arial"/>
              </w:rPr>
            </w:pPr>
            <w:r w:rsidRPr="00D0306F">
              <w:rPr>
                <w:rFonts w:eastAsia="Times New Roman" w:cs="Arial"/>
              </w:rPr>
              <w:t>Blood-borne virus testing</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5D5A33C4"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880D77E" w14:textId="77777777" w:rsidR="006C7AA7" w:rsidRPr="00D0306F" w:rsidRDefault="006C7AA7" w:rsidP="00CC3BF4">
            <w:pPr>
              <w:jc w:val="center"/>
              <w:rPr>
                <w:rFonts w:eastAsia="Times New Roman" w:cs="Arial"/>
              </w:rPr>
            </w:pPr>
            <w:r w:rsidRPr="00D0306F">
              <w:rPr>
                <w:rFonts w:eastAsia="Times New Roman" w:cs="Arial"/>
              </w:rPr>
              <w:t>0.0%</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1D7EF31"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2B74D590"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C18A348" w14:textId="77777777" w:rsidR="006C7AA7" w:rsidRPr="00D0306F" w:rsidRDefault="006C7AA7" w:rsidP="00CC3BF4">
            <w:pPr>
              <w:jc w:val="center"/>
              <w:rPr>
                <w:rFonts w:eastAsia="Times New Roman" w:cs="Arial"/>
              </w:rPr>
            </w:pPr>
            <w:r w:rsidRPr="00D0306F">
              <w:rPr>
                <w:rFonts w:eastAsia="Times New Roman" w:cs="Arial"/>
              </w:rPr>
              <w:lastRenderedPageBreak/>
              <w:t>13</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83CD72C" w14:textId="77777777" w:rsidR="006C7AA7" w:rsidRPr="00D0306F" w:rsidRDefault="006C7AA7" w:rsidP="00CC3BF4">
            <w:pPr>
              <w:rPr>
                <w:rFonts w:eastAsia="Times New Roman" w:cs="Arial"/>
              </w:rPr>
            </w:pPr>
            <w:r w:rsidRPr="00D0306F">
              <w:rPr>
                <w:rFonts w:eastAsia="Times New Roman" w:cs="Arial"/>
              </w:rPr>
              <w:t>Care home support service</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0117A0E9"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284A9AB" w14:textId="77777777" w:rsidR="006C7AA7" w:rsidRPr="00D0306F" w:rsidRDefault="006C7AA7" w:rsidP="00CC3BF4">
            <w:pPr>
              <w:jc w:val="center"/>
              <w:rPr>
                <w:rFonts w:eastAsia="Times New Roman" w:cs="Arial"/>
              </w:rPr>
            </w:pPr>
            <w:r w:rsidRPr="00D0306F">
              <w:rPr>
                <w:rFonts w:eastAsia="Times New Roman" w:cs="Arial"/>
              </w:rPr>
              <w:t>0.0%</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66DC03E"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20A4E8C9"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C31C809" w14:textId="77777777" w:rsidR="006C7AA7" w:rsidRPr="00D0306F" w:rsidRDefault="006C7AA7" w:rsidP="00CC3BF4">
            <w:pPr>
              <w:jc w:val="center"/>
              <w:rPr>
                <w:rFonts w:eastAsia="Times New Roman" w:cs="Arial"/>
              </w:rPr>
            </w:pPr>
            <w:r w:rsidRPr="00D0306F">
              <w:rPr>
                <w:rFonts w:eastAsia="Times New Roman" w:cs="Arial"/>
              </w:rPr>
              <w:t>14</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CD3C920" w14:textId="77777777" w:rsidR="006C7AA7" w:rsidRPr="00D0306F" w:rsidRDefault="006C7AA7" w:rsidP="00CC3BF4">
            <w:pPr>
              <w:rPr>
                <w:rFonts w:eastAsia="Times New Roman" w:cs="Arial"/>
              </w:rPr>
            </w:pPr>
            <w:r w:rsidRPr="00D0306F">
              <w:rPr>
                <w:rFonts w:eastAsia="Times New Roman" w:cs="Arial"/>
              </w:rPr>
              <w:t xml:space="preserve">Discharge medication review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6" w:type="pct"/>
              <w:tblCellMar>
                <w:left w:w="0" w:type="dxa"/>
                <w:right w:w="0" w:type="dxa"/>
              </w:tblCellMar>
              <w:tblLook w:val="04A0" w:firstRow="1" w:lastRow="0" w:firstColumn="1" w:lastColumn="0" w:noHBand="0" w:noVBand="1"/>
            </w:tblPr>
            <w:tblGrid>
              <w:gridCol w:w="82"/>
            </w:tblGrid>
            <w:tr w:rsidR="006C7AA7" w:rsidRPr="00D0306F" w14:paraId="44CFFC19"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3D7B1E2"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7A07327B"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1288C01" w14:textId="77777777" w:rsidR="006C7AA7" w:rsidRPr="00D0306F" w:rsidRDefault="006C7AA7" w:rsidP="00CC3BF4">
            <w:pPr>
              <w:jc w:val="center"/>
              <w:rPr>
                <w:rFonts w:eastAsia="Times New Roman" w:cs="Arial"/>
              </w:rPr>
            </w:pPr>
            <w:r w:rsidRPr="00D0306F">
              <w:rPr>
                <w:rFonts w:eastAsia="Times New Roman" w:cs="Arial"/>
              </w:rPr>
              <w:t>0.9%</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B8FA476" w14:textId="77777777" w:rsidR="006C7AA7" w:rsidRPr="00D0306F" w:rsidRDefault="006C7AA7" w:rsidP="00CC3BF4">
            <w:pPr>
              <w:jc w:val="center"/>
              <w:rPr>
                <w:rFonts w:eastAsia="Times New Roman" w:cs="Arial"/>
              </w:rPr>
            </w:pPr>
            <w:r w:rsidRPr="00D0306F">
              <w:rPr>
                <w:rFonts w:eastAsia="Times New Roman" w:cs="Arial"/>
              </w:rPr>
              <w:t>1</w:t>
            </w:r>
          </w:p>
        </w:tc>
      </w:tr>
      <w:tr w:rsidR="006C7AA7" w:rsidRPr="00D0306F" w14:paraId="1EA6E084"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183228C" w14:textId="77777777" w:rsidR="006C7AA7" w:rsidRPr="00D0306F" w:rsidRDefault="006C7AA7" w:rsidP="00CC3BF4">
            <w:pPr>
              <w:jc w:val="center"/>
              <w:rPr>
                <w:rFonts w:eastAsia="Times New Roman" w:cs="Arial"/>
              </w:rPr>
            </w:pPr>
            <w:r w:rsidRPr="00D0306F">
              <w:rPr>
                <w:rFonts w:eastAsia="Times New Roman" w:cs="Arial"/>
              </w:rPr>
              <w:t>15</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ED14DE8" w14:textId="77777777" w:rsidR="006C7AA7" w:rsidRPr="00D0306F" w:rsidRDefault="006C7AA7" w:rsidP="00CC3BF4">
            <w:pPr>
              <w:rPr>
                <w:rFonts w:eastAsia="Times New Roman" w:cs="Arial"/>
              </w:rPr>
            </w:pPr>
            <w:r w:rsidRPr="00D0306F">
              <w:rPr>
                <w:rFonts w:eastAsia="Times New Roman" w:cs="Arial"/>
              </w:rPr>
              <w:t>Inhaler review service</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3" w:type="pct"/>
              <w:tblCellMar>
                <w:left w:w="0" w:type="dxa"/>
                <w:right w:w="0" w:type="dxa"/>
              </w:tblCellMar>
              <w:tblLook w:val="04A0" w:firstRow="1" w:lastRow="0" w:firstColumn="1" w:lastColumn="0" w:noHBand="0" w:noVBand="1"/>
            </w:tblPr>
            <w:tblGrid>
              <w:gridCol w:w="82"/>
            </w:tblGrid>
            <w:tr w:rsidR="006C7AA7" w:rsidRPr="00D0306F" w14:paraId="67AA15D0"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EA694DF"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0313AE7F"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51A0120" w14:textId="77777777" w:rsidR="006C7AA7" w:rsidRPr="00D0306F" w:rsidRDefault="006C7AA7" w:rsidP="00CC3BF4">
            <w:pPr>
              <w:jc w:val="center"/>
              <w:rPr>
                <w:rFonts w:eastAsia="Times New Roman" w:cs="Arial"/>
              </w:rPr>
            </w:pPr>
            <w:r w:rsidRPr="00D0306F">
              <w:rPr>
                <w:rFonts w:eastAsia="Times New Roman" w:cs="Arial"/>
              </w:rPr>
              <w:t>1.9%</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1A9EAF0" w14:textId="77777777" w:rsidR="006C7AA7" w:rsidRPr="00D0306F" w:rsidRDefault="006C7AA7" w:rsidP="00CC3BF4">
            <w:pPr>
              <w:jc w:val="center"/>
              <w:rPr>
                <w:rFonts w:eastAsia="Times New Roman" w:cs="Arial"/>
              </w:rPr>
            </w:pPr>
            <w:r w:rsidRPr="00D0306F">
              <w:rPr>
                <w:rFonts w:eastAsia="Times New Roman" w:cs="Arial"/>
              </w:rPr>
              <w:t>2</w:t>
            </w:r>
          </w:p>
        </w:tc>
      </w:tr>
      <w:tr w:rsidR="006C7AA7" w:rsidRPr="00D0306F" w14:paraId="6942BE92"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2FFEE04" w14:textId="77777777" w:rsidR="006C7AA7" w:rsidRPr="00D0306F" w:rsidRDefault="006C7AA7" w:rsidP="00CC3BF4">
            <w:pPr>
              <w:jc w:val="center"/>
              <w:rPr>
                <w:rFonts w:eastAsia="Times New Roman" w:cs="Arial"/>
              </w:rPr>
            </w:pPr>
            <w:r w:rsidRPr="00D0306F">
              <w:rPr>
                <w:rFonts w:eastAsia="Times New Roman" w:cs="Arial"/>
              </w:rPr>
              <w:t>16</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F5ABC90" w14:textId="77777777" w:rsidR="006C7AA7" w:rsidRPr="00D0306F" w:rsidRDefault="006C7AA7" w:rsidP="00CC3BF4">
            <w:pPr>
              <w:rPr>
                <w:rFonts w:eastAsia="Times New Roman" w:cs="Arial"/>
              </w:rPr>
            </w:pPr>
            <w:r w:rsidRPr="00D0306F">
              <w:rPr>
                <w:rFonts w:eastAsia="Times New Roman" w:cs="Arial"/>
              </w:rPr>
              <w:t xml:space="preserve">Just in case bag service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3" w:type="pct"/>
              <w:tblCellMar>
                <w:left w:w="0" w:type="dxa"/>
                <w:right w:w="0" w:type="dxa"/>
              </w:tblCellMar>
              <w:tblLook w:val="04A0" w:firstRow="1" w:lastRow="0" w:firstColumn="1" w:lastColumn="0" w:noHBand="0" w:noVBand="1"/>
            </w:tblPr>
            <w:tblGrid>
              <w:gridCol w:w="82"/>
            </w:tblGrid>
            <w:tr w:rsidR="006C7AA7" w:rsidRPr="00D0306F" w14:paraId="7E323E09"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700A121"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882D14F"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DA4AF38" w14:textId="77777777" w:rsidR="006C7AA7" w:rsidRPr="00D0306F" w:rsidRDefault="006C7AA7" w:rsidP="00CC3BF4">
            <w:pPr>
              <w:jc w:val="center"/>
              <w:rPr>
                <w:rFonts w:eastAsia="Times New Roman" w:cs="Arial"/>
              </w:rPr>
            </w:pPr>
            <w:r w:rsidRPr="00D0306F">
              <w:rPr>
                <w:rFonts w:eastAsia="Times New Roman" w:cs="Arial"/>
              </w:rPr>
              <w:t>1.9%</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1E2EA49" w14:textId="77777777" w:rsidR="006C7AA7" w:rsidRPr="00D0306F" w:rsidRDefault="006C7AA7" w:rsidP="00CC3BF4">
            <w:pPr>
              <w:jc w:val="center"/>
              <w:rPr>
                <w:rFonts w:eastAsia="Times New Roman" w:cs="Arial"/>
              </w:rPr>
            </w:pPr>
            <w:r w:rsidRPr="00D0306F">
              <w:rPr>
                <w:rFonts w:eastAsia="Times New Roman" w:cs="Arial"/>
              </w:rPr>
              <w:t>2</w:t>
            </w:r>
          </w:p>
        </w:tc>
      </w:tr>
      <w:tr w:rsidR="006C7AA7" w:rsidRPr="00D0306F" w14:paraId="2DFE0FB0"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095CEE4" w14:textId="77777777" w:rsidR="006C7AA7" w:rsidRPr="00D0306F" w:rsidRDefault="006C7AA7" w:rsidP="00CC3BF4">
            <w:pPr>
              <w:jc w:val="center"/>
              <w:rPr>
                <w:rFonts w:eastAsia="Times New Roman" w:cs="Arial"/>
              </w:rPr>
            </w:pPr>
            <w:r w:rsidRPr="00D0306F">
              <w:rPr>
                <w:rFonts w:eastAsia="Times New Roman" w:cs="Arial"/>
              </w:rPr>
              <w:t>17</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E2ED13A" w14:textId="77777777" w:rsidR="006C7AA7" w:rsidRPr="00D0306F" w:rsidRDefault="006C7AA7" w:rsidP="00CC3BF4">
            <w:pPr>
              <w:rPr>
                <w:rFonts w:eastAsia="Times New Roman" w:cs="Arial"/>
              </w:rPr>
            </w:pPr>
            <w:r w:rsidRPr="00D0306F">
              <w:rPr>
                <w:rFonts w:eastAsia="Times New Roman" w:cs="Arial"/>
              </w:rPr>
              <w:t xml:space="preserve">Medicines administration record service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6" w:type="pct"/>
              <w:tblCellMar>
                <w:left w:w="0" w:type="dxa"/>
                <w:right w:w="0" w:type="dxa"/>
              </w:tblCellMar>
              <w:tblLook w:val="04A0" w:firstRow="1" w:lastRow="0" w:firstColumn="1" w:lastColumn="0" w:noHBand="0" w:noVBand="1"/>
            </w:tblPr>
            <w:tblGrid>
              <w:gridCol w:w="82"/>
            </w:tblGrid>
            <w:tr w:rsidR="006C7AA7" w:rsidRPr="00D0306F" w14:paraId="05FB5DEA"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751D7416"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174E9F78"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E4880AE" w14:textId="77777777" w:rsidR="006C7AA7" w:rsidRPr="00D0306F" w:rsidRDefault="006C7AA7" w:rsidP="00CC3BF4">
            <w:pPr>
              <w:jc w:val="center"/>
              <w:rPr>
                <w:rFonts w:eastAsia="Times New Roman" w:cs="Arial"/>
              </w:rPr>
            </w:pPr>
            <w:r w:rsidRPr="00D0306F">
              <w:rPr>
                <w:rFonts w:eastAsia="Times New Roman" w:cs="Arial"/>
              </w:rPr>
              <w:t>0.9%</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E7D74FD" w14:textId="77777777" w:rsidR="006C7AA7" w:rsidRPr="00D0306F" w:rsidRDefault="006C7AA7" w:rsidP="00CC3BF4">
            <w:pPr>
              <w:jc w:val="center"/>
              <w:rPr>
                <w:rFonts w:eastAsia="Times New Roman" w:cs="Arial"/>
              </w:rPr>
            </w:pPr>
            <w:r w:rsidRPr="00D0306F">
              <w:rPr>
                <w:rFonts w:eastAsia="Times New Roman" w:cs="Arial"/>
              </w:rPr>
              <w:t>1</w:t>
            </w:r>
          </w:p>
        </w:tc>
      </w:tr>
      <w:tr w:rsidR="006C7AA7" w:rsidRPr="00D0306F" w14:paraId="0FB46050"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6AC9D7F" w14:textId="77777777" w:rsidR="006C7AA7" w:rsidRPr="00D0306F" w:rsidRDefault="006C7AA7" w:rsidP="00CC3BF4">
            <w:pPr>
              <w:jc w:val="center"/>
              <w:rPr>
                <w:rFonts w:eastAsia="Times New Roman" w:cs="Arial"/>
              </w:rPr>
            </w:pPr>
            <w:r w:rsidRPr="00D0306F">
              <w:rPr>
                <w:rFonts w:eastAsia="Times New Roman" w:cs="Arial"/>
              </w:rPr>
              <w:t>18</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722BA59" w14:textId="77777777" w:rsidR="006C7AA7" w:rsidRPr="00D0306F" w:rsidRDefault="006C7AA7" w:rsidP="00CC3BF4">
            <w:pPr>
              <w:rPr>
                <w:rFonts w:eastAsia="Times New Roman" w:cs="Arial"/>
              </w:rPr>
            </w:pPr>
            <w:r w:rsidRPr="00D0306F">
              <w:rPr>
                <w:rFonts w:eastAsia="Times New Roman" w:cs="Arial"/>
              </w:rPr>
              <w:t xml:space="preserve">Urgent Medication service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40" w:type="pct"/>
              <w:tblCellMar>
                <w:left w:w="0" w:type="dxa"/>
                <w:right w:w="0" w:type="dxa"/>
              </w:tblCellMar>
              <w:tblLook w:val="04A0" w:firstRow="1" w:lastRow="0" w:firstColumn="1" w:lastColumn="0" w:noHBand="0" w:noVBand="1"/>
            </w:tblPr>
            <w:tblGrid>
              <w:gridCol w:w="100"/>
            </w:tblGrid>
            <w:tr w:rsidR="006C7AA7" w:rsidRPr="00D0306F" w14:paraId="79BD2A1F"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7A53BE6C"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905CEE3"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EDEBC66" w14:textId="77777777" w:rsidR="006C7AA7" w:rsidRPr="00D0306F" w:rsidRDefault="006C7AA7" w:rsidP="00CC3BF4">
            <w:pPr>
              <w:jc w:val="center"/>
              <w:rPr>
                <w:rFonts w:eastAsia="Times New Roman" w:cs="Arial"/>
              </w:rPr>
            </w:pPr>
            <w:r w:rsidRPr="00D0306F">
              <w:rPr>
                <w:rFonts w:eastAsia="Times New Roman" w:cs="Arial"/>
              </w:rPr>
              <w:t>2.8%</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1EE580A" w14:textId="77777777" w:rsidR="006C7AA7" w:rsidRPr="00D0306F" w:rsidRDefault="006C7AA7" w:rsidP="00CC3BF4">
            <w:pPr>
              <w:jc w:val="center"/>
              <w:rPr>
                <w:rFonts w:eastAsia="Times New Roman" w:cs="Arial"/>
              </w:rPr>
            </w:pPr>
            <w:r w:rsidRPr="00D0306F">
              <w:rPr>
                <w:rFonts w:eastAsia="Times New Roman" w:cs="Arial"/>
              </w:rPr>
              <w:t>3</w:t>
            </w:r>
          </w:p>
        </w:tc>
      </w:tr>
      <w:tr w:rsidR="006C7AA7" w:rsidRPr="00D0306F" w14:paraId="451DB55D"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5DF8706" w14:textId="77777777" w:rsidR="006C7AA7" w:rsidRPr="00D0306F" w:rsidRDefault="006C7AA7" w:rsidP="00CC3BF4">
            <w:pPr>
              <w:jc w:val="center"/>
              <w:rPr>
                <w:rFonts w:eastAsia="Times New Roman" w:cs="Arial"/>
              </w:rPr>
            </w:pPr>
            <w:r w:rsidRPr="00D0306F">
              <w:rPr>
                <w:rFonts w:eastAsia="Times New Roman" w:cs="Arial"/>
              </w:rPr>
              <w:t>19</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B4BC03B" w14:textId="77777777" w:rsidR="006C7AA7" w:rsidRPr="00D0306F" w:rsidRDefault="006C7AA7" w:rsidP="00CC3BF4">
            <w:pPr>
              <w:rPr>
                <w:rFonts w:eastAsia="Times New Roman" w:cs="Arial"/>
              </w:rPr>
            </w:pPr>
            <w:r w:rsidRPr="00D0306F">
              <w:rPr>
                <w:rFonts w:eastAsia="Times New Roman" w:cs="Arial"/>
              </w:rPr>
              <w:t>No</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88" w:type="pct"/>
              <w:tblCellMar>
                <w:left w:w="0" w:type="dxa"/>
                <w:right w:w="0" w:type="dxa"/>
              </w:tblCellMar>
              <w:tblLook w:val="04A0" w:firstRow="1" w:lastRow="0" w:firstColumn="1" w:lastColumn="0" w:noHBand="0" w:noVBand="1"/>
            </w:tblPr>
            <w:tblGrid>
              <w:gridCol w:w="633"/>
            </w:tblGrid>
            <w:tr w:rsidR="006C7AA7" w:rsidRPr="00D0306F" w14:paraId="6359148B"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641A631C"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B75FD7F"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88AEBA5" w14:textId="77777777" w:rsidR="006C7AA7" w:rsidRPr="00D0306F" w:rsidRDefault="006C7AA7" w:rsidP="00CC3BF4">
            <w:pPr>
              <w:jc w:val="center"/>
              <w:rPr>
                <w:rFonts w:eastAsia="Times New Roman" w:cs="Arial"/>
              </w:rPr>
            </w:pPr>
            <w:r w:rsidRPr="00D0306F">
              <w:rPr>
                <w:rFonts w:eastAsia="Times New Roman" w:cs="Arial"/>
              </w:rPr>
              <w:t>17.6%</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47EF22E" w14:textId="77777777" w:rsidR="006C7AA7" w:rsidRPr="00D0306F" w:rsidRDefault="006C7AA7" w:rsidP="00CC3BF4">
            <w:pPr>
              <w:jc w:val="center"/>
              <w:rPr>
                <w:rFonts w:eastAsia="Times New Roman" w:cs="Arial"/>
              </w:rPr>
            </w:pPr>
            <w:r w:rsidRPr="00D0306F">
              <w:rPr>
                <w:rFonts w:eastAsia="Times New Roman" w:cs="Arial"/>
              </w:rPr>
              <w:t>19</w:t>
            </w:r>
          </w:p>
        </w:tc>
      </w:tr>
      <w:tr w:rsidR="006C7AA7" w:rsidRPr="00D0306F" w14:paraId="00842152" w14:textId="77777777" w:rsidTr="00CC3BF4">
        <w:trPr>
          <w:tblCellSpacing w:w="0" w:type="dxa"/>
          <w:jc w:val="center"/>
        </w:trPr>
        <w:tc>
          <w:tcPr>
            <w:tcW w:w="0" w:type="auto"/>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1FC384EF" w14:textId="77777777" w:rsidR="006C7AA7" w:rsidRPr="00D0306F" w:rsidRDefault="006C7AA7" w:rsidP="00CC3BF4">
            <w:pPr>
              <w:jc w:val="center"/>
              <w:rPr>
                <w:rFonts w:eastAsia="Times New Roman" w:cs="Arial"/>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ACF77A1" w14:textId="77777777" w:rsidR="006C7AA7" w:rsidRPr="00D0306F" w:rsidRDefault="006C7AA7" w:rsidP="00CC3BF4">
            <w:pPr>
              <w:jc w:val="center"/>
              <w:rPr>
                <w:rFonts w:eastAsia="Times New Roman" w:cs="Arial"/>
              </w:rPr>
            </w:pPr>
            <w:r w:rsidRPr="00D0306F">
              <w:rPr>
                <w:rFonts w:eastAsia="Times New Roman" w:cs="Arial"/>
              </w:rPr>
              <w:t>answered</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42D14CE" w14:textId="77777777" w:rsidR="006C7AA7" w:rsidRPr="00D0306F" w:rsidRDefault="006C7AA7" w:rsidP="00CC3BF4">
            <w:pPr>
              <w:jc w:val="center"/>
              <w:rPr>
                <w:rFonts w:eastAsia="Times New Roman" w:cs="Arial"/>
              </w:rPr>
            </w:pPr>
            <w:r w:rsidRPr="00D0306F">
              <w:rPr>
                <w:rFonts w:eastAsia="Times New Roman" w:cs="Arial"/>
              </w:rPr>
              <w:t>108</w:t>
            </w:r>
          </w:p>
        </w:tc>
      </w:tr>
      <w:tr w:rsidR="006C7AA7" w:rsidRPr="00D0306F" w14:paraId="75D26296" w14:textId="77777777" w:rsidTr="00CC3BF4">
        <w:trPr>
          <w:tblCellSpacing w:w="0" w:type="dxa"/>
          <w:jc w:val="center"/>
        </w:trPr>
        <w:tc>
          <w:tcPr>
            <w:tcW w:w="0" w:type="auto"/>
            <w:gridSpan w:val="3"/>
            <w:vMerge/>
            <w:tcBorders>
              <w:top w:val="single" w:sz="6" w:space="0" w:color="CCCCCC"/>
              <w:left w:val="nil"/>
              <w:bottom w:val="nil"/>
              <w:right w:val="single" w:sz="6" w:space="0" w:color="CCCCCC"/>
            </w:tcBorders>
            <w:vAlign w:val="center"/>
            <w:hideMark/>
          </w:tcPr>
          <w:p w14:paraId="67FEEB47"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994EE3E" w14:textId="77777777" w:rsidR="006C7AA7" w:rsidRPr="00D0306F" w:rsidRDefault="006C7AA7" w:rsidP="00CC3BF4">
            <w:pPr>
              <w:jc w:val="center"/>
              <w:rPr>
                <w:rFonts w:eastAsia="Times New Roman" w:cs="Arial"/>
              </w:rPr>
            </w:pPr>
            <w:r w:rsidRPr="00D0306F">
              <w:rPr>
                <w:rFonts w:eastAsia="Times New Roman" w:cs="Arial"/>
              </w:rPr>
              <w:t>skipped</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1849199" w14:textId="77777777" w:rsidR="006C7AA7" w:rsidRPr="00D0306F" w:rsidRDefault="006C7AA7" w:rsidP="00CC3BF4">
            <w:pPr>
              <w:jc w:val="center"/>
              <w:rPr>
                <w:rFonts w:eastAsia="Times New Roman" w:cs="Arial"/>
              </w:rPr>
            </w:pPr>
            <w:r w:rsidRPr="00D0306F">
              <w:rPr>
                <w:rFonts w:eastAsia="Times New Roman" w:cs="Arial"/>
              </w:rPr>
              <w:t>11</w:t>
            </w:r>
          </w:p>
        </w:tc>
      </w:tr>
    </w:tbl>
    <w:p w14:paraId="231D03B0" w14:textId="77777777" w:rsidR="006C7AA7" w:rsidRPr="00D0306F" w:rsidRDefault="006C7AA7" w:rsidP="006C7AA7">
      <w:pPr>
        <w:rPr>
          <w:rFonts w:eastAsia="Times New Roman" w:cs="Arial"/>
        </w:rPr>
      </w:pPr>
      <w:r w:rsidRPr="00D0306F">
        <w:rPr>
          <w:rFonts w:eastAsia="Times New Roman" w:cs="Arial"/>
        </w:rPr>
        <w:t> </w:t>
      </w: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389"/>
        <w:gridCol w:w="5905"/>
        <w:gridCol w:w="1313"/>
        <w:gridCol w:w="1313"/>
      </w:tblGrid>
      <w:tr w:rsidR="006C7AA7" w:rsidRPr="00D0306F" w14:paraId="024F5175" w14:textId="77777777" w:rsidTr="00CC3BF4">
        <w:trPr>
          <w:trHeight w:val="600"/>
          <w:tblHeader/>
          <w:tblCellSpacing w:w="0" w:type="dxa"/>
          <w:jc w:val="center"/>
        </w:trPr>
        <w:tc>
          <w:tcPr>
            <w:tcW w:w="0" w:type="auto"/>
            <w:gridSpan w:val="4"/>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2B233FB2" w14:textId="2F6B3A0C" w:rsidR="006C7AA7" w:rsidRPr="00D0306F" w:rsidRDefault="006C7AA7" w:rsidP="00CC3BF4">
            <w:pPr>
              <w:rPr>
                <w:rFonts w:eastAsia="Times New Roman" w:cs="Arial"/>
                <w:b/>
                <w:bCs/>
                <w:color w:val="FFFFFF"/>
              </w:rPr>
            </w:pPr>
            <w:r w:rsidRPr="00D0306F">
              <w:rPr>
                <w:rFonts w:eastAsia="Times New Roman" w:cs="Arial"/>
                <w:b/>
                <w:bCs/>
                <w:color w:val="FFFFFF"/>
              </w:rPr>
              <w:t>20. Please tell us about your experience of your local pharmacy services.</w:t>
            </w:r>
            <w:r w:rsidR="00B752FC">
              <w:rPr>
                <w:rFonts w:eastAsia="Times New Roman" w:cs="Arial"/>
                <w:b/>
                <w:bCs/>
                <w:color w:val="FFFFFF"/>
              </w:rPr>
              <w:t xml:space="preserve"> </w:t>
            </w:r>
          </w:p>
        </w:tc>
      </w:tr>
      <w:tr w:rsidR="006C7AA7" w:rsidRPr="00D0306F" w14:paraId="3300C2DD" w14:textId="77777777" w:rsidTr="00CC3BF4">
        <w:trPr>
          <w:trHeight w:val="360"/>
          <w:tblCellSpacing w:w="0" w:type="dxa"/>
          <w:jc w:val="center"/>
        </w:trPr>
        <w:tc>
          <w:tcPr>
            <w:tcW w:w="6885" w:type="dxa"/>
            <w:gridSpan w:val="2"/>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37F4950D"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D06D942"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4AC99909"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7B1B7B79"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F4074E6" w14:textId="77777777" w:rsidR="006C7AA7" w:rsidRPr="00D0306F" w:rsidRDefault="006C7AA7" w:rsidP="00CC3BF4">
            <w:pPr>
              <w:jc w:val="center"/>
              <w:rPr>
                <w:rFonts w:eastAsia="Times New Roman" w:cs="Arial"/>
              </w:rPr>
            </w:pPr>
            <w:r w:rsidRPr="00D0306F">
              <w:rPr>
                <w:rFonts w:eastAsia="Times New Roman" w:cs="Arial"/>
              </w:rPr>
              <w:t>1</w:t>
            </w:r>
          </w:p>
        </w:tc>
        <w:tc>
          <w:tcPr>
            <w:tcW w:w="0" w:type="auto"/>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6D16283" w14:textId="77777777" w:rsidR="006C7AA7" w:rsidRPr="00D0306F" w:rsidRDefault="006C7AA7" w:rsidP="00CC3BF4">
            <w:pPr>
              <w:rPr>
                <w:rFonts w:eastAsia="Times New Roman" w:cs="Arial"/>
              </w:rPr>
            </w:pPr>
            <w:r w:rsidRPr="00D0306F">
              <w:rPr>
                <w:rFonts w:eastAsia="Times New Roman" w:cs="Arial"/>
              </w:rPr>
              <w:t>Open-Ended Question</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9BD15F4" w14:textId="77777777" w:rsidR="006C7AA7" w:rsidRPr="00D0306F" w:rsidRDefault="006C7AA7" w:rsidP="00CC3BF4">
            <w:pPr>
              <w:jc w:val="center"/>
              <w:rPr>
                <w:rFonts w:eastAsia="Times New Roman" w:cs="Arial"/>
              </w:rPr>
            </w:pPr>
            <w:r w:rsidRPr="00D0306F">
              <w:rPr>
                <w:rFonts w:eastAsia="Times New Roman" w:cs="Arial"/>
              </w:rPr>
              <w:t>100.0%</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6000DB9" w14:textId="77777777" w:rsidR="006C7AA7" w:rsidRPr="00D0306F" w:rsidRDefault="006C7AA7" w:rsidP="00CC3BF4">
            <w:pPr>
              <w:jc w:val="center"/>
              <w:rPr>
                <w:rFonts w:eastAsia="Times New Roman" w:cs="Arial"/>
              </w:rPr>
            </w:pPr>
            <w:r w:rsidRPr="00D0306F">
              <w:rPr>
                <w:rFonts w:eastAsia="Times New Roman" w:cs="Arial"/>
              </w:rPr>
              <w:t>95</w:t>
            </w:r>
          </w:p>
        </w:tc>
      </w:tr>
      <w:tr w:rsidR="006C7AA7" w:rsidRPr="00D0306F" w14:paraId="73C78A3D" w14:textId="77777777" w:rsidTr="00CC3BF4">
        <w:trPr>
          <w:tblCellSpacing w:w="0" w:type="dxa"/>
          <w:jc w:val="center"/>
        </w:trPr>
        <w:tc>
          <w:tcPr>
            <w:tcW w:w="0" w:type="auto"/>
            <w:gridSpan w:val="4"/>
            <w:tcBorders>
              <w:top w:val="single" w:sz="6" w:space="0" w:color="CCCCCC"/>
              <w:bottom w:val="single" w:sz="6" w:space="0" w:color="CCCCCC"/>
              <w:right w:val="single" w:sz="6" w:space="0" w:color="CCCCCC"/>
            </w:tcBorders>
            <w:shd w:val="clear" w:color="auto" w:fill="FFFFFF"/>
            <w:tcMar>
              <w:top w:w="0" w:type="dxa"/>
              <w:left w:w="420" w:type="dxa"/>
              <w:bottom w:w="0" w:type="dxa"/>
              <w:right w:w="0" w:type="dxa"/>
            </w:tcMar>
            <w:vAlign w:val="center"/>
            <w:hideMark/>
          </w:tcPr>
          <w:tbl>
            <w:tblPr>
              <w:tblW w:w="5000" w:type="pct"/>
              <w:tblBorders>
                <w:left w:val="single" w:sz="6" w:space="0" w:color="CCCCCC"/>
              </w:tblBorders>
              <w:tblCellMar>
                <w:top w:w="15" w:type="dxa"/>
                <w:left w:w="15" w:type="dxa"/>
                <w:bottom w:w="15" w:type="dxa"/>
                <w:right w:w="15" w:type="dxa"/>
              </w:tblCellMar>
              <w:tblLook w:val="04A0" w:firstRow="1" w:lastRow="0" w:firstColumn="1" w:lastColumn="0" w:noHBand="0" w:noVBand="1"/>
            </w:tblPr>
            <w:tblGrid>
              <w:gridCol w:w="417"/>
              <w:gridCol w:w="1800"/>
              <w:gridCol w:w="6253"/>
            </w:tblGrid>
            <w:tr w:rsidR="006C7AA7" w:rsidRPr="00D0306F" w14:paraId="16B12AF6"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85CC82A" w14:textId="77777777" w:rsidR="006C7AA7" w:rsidRPr="00D0306F" w:rsidRDefault="006C7AA7" w:rsidP="00CC3BF4">
                  <w:pPr>
                    <w:jc w:val="center"/>
                    <w:rPr>
                      <w:rFonts w:eastAsia="Times New Roman" w:cs="Arial"/>
                    </w:rPr>
                  </w:pPr>
                  <w:r w:rsidRPr="00D0306F">
                    <w:rPr>
                      <w:rFonts w:eastAsia="Times New Roman" w:cs="Arial"/>
                    </w:rPr>
                    <w:t>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A77F329"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6B8480E" w14:textId="77777777" w:rsidR="006C7AA7" w:rsidRPr="00D0306F" w:rsidRDefault="006C7AA7" w:rsidP="00CC3BF4">
                  <w:pPr>
                    <w:rPr>
                      <w:rFonts w:eastAsia="Times New Roman" w:cs="Arial"/>
                    </w:rPr>
                  </w:pPr>
                  <w:r w:rsidRPr="00D0306F">
                    <w:rPr>
                      <w:rFonts w:eastAsia="Times New Roman" w:cs="Arial"/>
                    </w:rPr>
                    <w:t>Problems with collection/delivery of repeat prescriptions from GP to pharmacy. Would like to see adoption of electronic prescriptions by every gp practice</w:t>
                  </w:r>
                </w:p>
              </w:tc>
            </w:tr>
            <w:tr w:rsidR="006C7AA7" w:rsidRPr="00D0306F" w14:paraId="02A0FE5C"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5C9EC2C" w14:textId="77777777" w:rsidR="006C7AA7" w:rsidRPr="00D0306F" w:rsidRDefault="006C7AA7" w:rsidP="00CC3BF4">
                  <w:pPr>
                    <w:jc w:val="center"/>
                    <w:rPr>
                      <w:rFonts w:eastAsia="Times New Roman" w:cs="Arial"/>
                    </w:rPr>
                  </w:pPr>
                  <w:r w:rsidRPr="00D0306F">
                    <w:rPr>
                      <w:rFonts w:eastAsia="Times New Roman" w:cs="Arial"/>
                    </w:rPr>
                    <w:t>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E760E6E"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2145F84" w14:textId="77777777" w:rsidR="006C7AA7" w:rsidRPr="00D0306F" w:rsidRDefault="006C7AA7" w:rsidP="00CC3BF4">
                  <w:pPr>
                    <w:rPr>
                      <w:rFonts w:eastAsia="Times New Roman" w:cs="Arial"/>
                    </w:rPr>
                  </w:pPr>
                  <w:r w:rsidRPr="00D0306F">
                    <w:rPr>
                      <w:rFonts w:eastAsia="Times New Roman" w:cs="Arial"/>
                    </w:rPr>
                    <w:t xml:space="preserve">Quick and efficient </w:t>
                  </w:r>
                </w:p>
              </w:tc>
            </w:tr>
            <w:tr w:rsidR="006C7AA7" w:rsidRPr="00D0306F" w14:paraId="5DB6C94D"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54AB3C2" w14:textId="77777777" w:rsidR="006C7AA7" w:rsidRPr="00D0306F" w:rsidRDefault="006C7AA7" w:rsidP="00CC3BF4">
                  <w:pPr>
                    <w:jc w:val="center"/>
                    <w:rPr>
                      <w:rFonts w:eastAsia="Times New Roman" w:cs="Arial"/>
                    </w:rPr>
                  </w:pPr>
                  <w:r w:rsidRPr="00D0306F">
                    <w:rPr>
                      <w:rFonts w:eastAsia="Times New Roman" w:cs="Arial"/>
                    </w:rPr>
                    <w:t>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DDF1D5A"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375EAA1" w14:textId="77777777" w:rsidR="006C7AA7" w:rsidRPr="00D0306F" w:rsidRDefault="006C7AA7" w:rsidP="00CC3BF4">
                  <w:pPr>
                    <w:rPr>
                      <w:rFonts w:eastAsia="Times New Roman" w:cs="Arial"/>
                    </w:rPr>
                  </w:pPr>
                  <w:r w:rsidRPr="00D0306F">
                    <w:rPr>
                      <w:rFonts w:eastAsia="Times New Roman" w:cs="Arial"/>
                    </w:rPr>
                    <w:t>Some great, some terrible. Poor communication. Difficult to get some medicines which are required quickly. Refusal by many to dispense aspirin during pregnancy without prescription despite it being written my doctors and midwives in my notes</w:t>
                  </w:r>
                </w:p>
              </w:tc>
            </w:tr>
            <w:tr w:rsidR="006C7AA7" w:rsidRPr="00D0306F" w14:paraId="34E130FE"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8556C42" w14:textId="77777777" w:rsidR="006C7AA7" w:rsidRPr="00D0306F" w:rsidRDefault="006C7AA7" w:rsidP="00CC3BF4">
                  <w:pPr>
                    <w:jc w:val="center"/>
                    <w:rPr>
                      <w:rFonts w:eastAsia="Times New Roman" w:cs="Arial"/>
                    </w:rPr>
                  </w:pPr>
                  <w:r w:rsidRPr="00D0306F">
                    <w:rPr>
                      <w:rFonts w:eastAsia="Times New Roman" w:cs="Arial"/>
                    </w:rPr>
                    <w:t>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026FF4A"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31C6F28" w14:textId="77777777" w:rsidR="006C7AA7" w:rsidRPr="00D0306F" w:rsidRDefault="006C7AA7" w:rsidP="00CC3BF4">
                  <w:pPr>
                    <w:rPr>
                      <w:rFonts w:eastAsia="Times New Roman" w:cs="Arial"/>
                    </w:rPr>
                  </w:pPr>
                  <w:r w:rsidRPr="00D0306F">
                    <w:rPr>
                      <w:rFonts w:eastAsia="Times New Roman" w:cs="Arial"/>
                    </w:rPr>
                    <w:t xml:space="preserve">Very busy pharmacy. And I feel sorry for staff but always friendly. Had a few issues with out of stock medication due to stock shortages. But usually sorted for me. </w:t>
                  </w:r>
                </w:p>
              </w:tc>
            </w:tr>
            <w:tr w:rsidR="006C7AA7" w:rsidRPr="00D0306F" w14:paraId="591B08EE"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E21437C" w14:textId="77777777" w:rsidR="006C7AA7" w:rsidRPr="00D0306F" w:rsidRDefault="006C7AA7" w:rsidP="00CC3BF4">
                  <w:pPr>
                    <w:jc w:val="center"/>
                    <w:rPr>
                      <w:rFonts w:eastAsia="Times New Roman" w:cs="Arial"/>
                    </w:rPr>
                  </w:pPr>
                  <w:r w:rsidRPr="00D0306F">
                    <w:rPr>
                      <w:rFonts w:eastAsia="Times New Roman" w:cs="Arial"/>
                    </w:rPr>
                    <w:t>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D26C344"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31DCBA9" w14:textId="77777777" w:rsidR="006C7AA7" w:rsidRPr="00D0306F" w:rsidRDefault="006C7AA7" w:rsidP="00CC3BF4">
                  <w:pPr>
                    <w:rPr>
                      <w:rFonts w:eastAsia="Times New Roman" w:cs="Arial"/>
                    </w:rPr>
                  </w:pPr>
                  <w:r w:rsidRPr="00D0306F">
                    <w:rPr>
                      <w:rFonts w:eastAsia="Times New Roman" w:cs="Arial"/>
                    </w:rPr>
                    <w:t xml:space="preserve">My local pharmacy is ok but I wouldn’t say brilliant. I use it for convenience </w:t>
                  </w:r>
                </w:p>
              </w:tc>
            </w:tr>
            <w:tr w:rsidR="006C7AA7" w:rsidRPr="00D0306F" w14:paraId="6B1BE627"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D327A15" w14:textId="77777777" w:rsidR="006C7AA7" w:rsidRPr="00D0306F" w:rsidRDefault="006C7AA7" w:rsidP="00CC3BF4">
                  <w:pPr>
                    <w:jc w:val="center"/>
                    <w:rPr>
                      <w:rFonts w:eastAsia="Times New Roman" w:cs="Arial"/>
                    </w:rPr>
                  </w:pPr>
                  <w:r w:rsidRPr="00D0306F">
                    <w:rPr>
                      <w:rFonts w:eastAsia="Times New Roman" w:cs="Arial"/>
                    </w:rPr>
                    <w:lastRenderedPageBreak/>
                    <w:t>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4827FDA"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D6F8A5C" w14:textId="77777777" w:rsidR="006C7AA7" w:rsidRPr="00D0306F" w:rsidRDefault="006C7AA7" w:rsidP="00CC3BF4">
                  <w:pPr>
                    <w:rPr>
                      <w:rFonts w:eastAsia="Times New Roman" w:cs="Arial"/>
                    </w:rPr>
                  </w:pPr>
                  <w:r w:rsidRPr="00D0306F">
                    <w:rPr>
                      <w:rFonts w:eastAsia="Times New Roman" w:cs="Arial"/>
                    </w:rPr>
                    <w:t xml:space="preserve">Friendly girls </w:t>
                  </w:r>
                </w:p>
              </w:tc>
            </w:tr>
            <w:tr w:rsidR="006C7AA7" w:rsidRPr="00D0306F" w14:paraId="22EEACAF"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8595464" w14:textId="77777777" w:rsidR="006C7AA7" w:rsidRPr="00D0306F" w:rsidRDefault="006C7AA7" w:rsidP="00CC3BF4">
                  <w:pPr>
                    <w:jc w:val="center"/>
                    <w:rPr>
                      <w:rFonts w:eastAsia="Times New Roman" w:cs="Arial"/>
                    </w:rPr>
                  </w:pPr>
                  <w:r w:rsidRPr="00D0306F">
                    <w:rPr>
                      <w:rFonts w:eastAsia="Times New Roman" w:cs="Arial"/>
                    </w:rPr>
                    <w:t>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6073B4D"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E7AAA93" w14:textId="77777777" w:rsidR="006C7AA7" w:rsidRPr="00D0306F" w:rsidRDefault="006C7AA7" w:rsidP="00CC3BF4">
                  <w:pPr>
                    <w:rPr>
                      <w:rFonts w:eastAsia="Times New Roman" w:cs="Arial"/>
                    </w:rPr>
                  </w:pPr>
                  <w:r w:rsidRPr="00D0306F">
                    <w:rPr>
                      <w:rFonts w:eastAsia="Times New Roman" w:cs="Arial"/>
                    </w:rPr>
                    <w:t xml:space="preserve">My pharmacy doesn’t open Saturdays. Parking is awful and queues to be served are long </w:t>
                  </w:r>
                </w:p>
              </w:tc>
            </w:tr>
            <w:tr w:rsidR="006C7AA7" w:rsidRPr="00D0306F" w14:paraId="42BF86CF"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96382E7" w14:textId="77777777" w:rsidR="006C7AA7" w:rsidRPr="00D0306F" w:rsidRDefault="006C7AA7" w:rsidP="00CC3BF4">
                  <w:pPr>
                    <w:jc w:val="center"/>
                    <w:rPr>
                      <w:rFonts w:eastAsia="Times New Roman" w:cs="Arial"/>
                    </w:rPr>
                  </w:pPr>
                  <w:r w:rsidRPr="00D0306F">
                    <w:rPr>
                      <w:rFonts w:eastAsia="Times New Roman" w:cs="Arial"/>
                    </w:rPr>
                    <w:t>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9A19CC7"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808555D" w14:textId="77777777" w:rsidR="006C7AA7" w:rsidRPr="00D0306F" w:rsidRDefault="006C7AA7" w:rsidP="00CC3BF4">
                  <w:pPr>
                    <w:rPr>
                      <w:rFonts w:eastAsia="Times New Roman" w:cs="Arial"/>
                    </w:rPr>
                  </w:pPr>
                  <w:r w:rsidRPr="00D0306F">
                    <w:rPr>
                      <w:rFonts w:eastAsia="Times New Roman" w:cs="Arial"/>
                    </w:rPr>
                    <w:t>Get better service from my chemist than from my GP.</w:t>
                  </w:r>
                </w:p>
              </w:tc>
            </w:tr>
            <w:tr w:rsidR="006C7AA7" w:rsidRPr="00D0306F" w14:paraId="0022D8F2"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8A38B9D" w14:textId="77777777" w:rsidR="006C7AA7" w:rsidRPr="00D0306F" w:rsidRDefault="006C7AA7" w:rsidP="00CC3BF4">
                  <w:pPr>
                    <w:jc w:val="center"/>
                    <w:rPr>
                      <w:rFonts w:eastAsia="Times New Roman" w:cs="Arial"/>
                    </w:rPr>
                  </w:pPr>
                  <w:r w:rsidRPr="00D0306F">
                    <w:rPr>
                      <w:rFonts w:eastAsia="Times New Roman" w:cs="Arial"/>
                    </w:rPr>
                    <w:t>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52FECC3"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A9ACFCD" w14:textId="77777777" w:rsidR="006C7AA7" w:rsidRPr="00D0306F" w:rsidRDefault="006C7AA7" w:rsidP="00CC3BF4">
                  <w:pPr>
                    <w:rPr>
                      <w:rFonts w:eastAsia="Times New Roman" w:cs="Arial"/>
                    </w:rPr>
                  </w:pPr>
                  <w:r w:rsidRPr="00D0306F">
                    <w:rPr>
                      <w:rFonts w:eastAsia="Times New Roman" w:cs="Arial"/>
                    </w:rPr>
                    <w:t xml:space="preserve">The staff are helpful, know me, and are usually quick to attend to my pre ordered prescription </w:t>
                  </w:r>
                </w:p>
              </w:tc>
            </w:tr>
            <w:tr w:rsidR="006C7AA7" w:rsidRPr="00D0306F" w14:paraId="56DEE6DB"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3E97DDA" w14:textId="77777777" w:rsidR="006C7AA7" w:rsidRPr="00D0306F" w:rsidRDefault="006C7AA7" w:rsidP="00CC3BF4">
                  <w:pPr>
                    <w:jc w:val="center"/>
                    <w:rPr>
                      <w:rFonts w:eastAsia="Times New Roman" w:cs="Arial"/>
                    </w:rPr>
                  </w:pPr>
                  <w:r w:rsidRPr="00D0306F">
                    <w:rPr>
                      <w:rFonts w:eastAsia="Times New Roman" w:cs="Arial"/>
                    </w:rPr>
                    <w:t>10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F8DE80B"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20BB9AD" w14:textId="77777777" w:rsidR="006C7AA7" w:rsidRPr="00D0306F" w:rsidRDefault="006C7AA7" w:rsidP="00CC3BF4">
                  <w:pPr>
                    <w:rPr>
                      <w:rFonts w:eastAsia="Times New Roman" w:cs="Arial"/>
                    </w:rPr>
                  </w:pPr>
                  <w:r w:rsidRPr="00D0306F">
                    <w:rPr>
                      <w:rFonts w:eastAsia="Times New Roman" w:cs="Arial"/>
                    </w:rPr>
                    <w:t>I have had to go to a variety of chemist shops to fill a prescription. Been told they shorted my tablets and on going to collect them been told I’d left it too late to complete the prescription which has left me short. Never been asked if I would like an emergency supply of shorted medication</w:t>
                  </w:r>
                </w:p>
              </w:tc>
            </w:tr>
            <w:tr w:rsidR="006C7AA7" w:rsidRPr="00D0306F" w14:paraId="5EF9B8CE"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04B4490" w14:textId="77777777" w:rsidR="006C7AA7" w:rsidRPr="00D0306F" w:rsidRDefault="006C7AA7" w:rsidP="00CC3BF4">
                  <w:pPr>
                    <w:jc w:val="center"/>
                    <w:rPr>
                      <w:rFonts w:eastAsia="Times New Roman" w:cs="Arial"/>
                    </w:rPr>
                  </w:pPr>
                  <w:r w:rsidRPr="00D0306F">
                    <w:rPr>
                      <w:rFonts w:eastAsia="Times New Roman" w:cs="Arial"/>
                    </w:rPr>
                    <w:t>11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2921C76"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A5A8DAB" w14:textId="77777777" w:rsidR="006C7AA7" w:rsidRPr="00D0306F" w:rsidRDefault="006C7AA7" w:rsidP="00CC3BF4">
                  <w:pPr>
                    <w:rPr>
                      <w:rFonts w:eastAsia="Times New Roman" w:cs="Arial"/>
                    </w:rPr>
                  </w:pPr>
                  <w:r w:rsidRPr="00D0306F">
                    <w:rPr>
                      <w:rFonts w:eastAsia="Times New Roman" w:cs="Arial"/>
                    </w:rPr>
                    <w:t>We have great service in ours</w:t>
                  </w:r>
                </w:p>
              </w:tc>
            </w:tr>
            <w:tr w:rsidR="006C7AA7" w:rsidRPr="00D0306F" w14:paraId="0FF20252"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D338EF4" w14:textId="77777777" w:rsidR="006C7AA7" w:rsidRPr="00D0306F" w:rsidRDefault="006C7AA7" w:rsidP="00CC3BF4">
                  <w:pPr>
                    <w:jc w:val="center"/>
                    <w:rPr>
                      <w:rFonts w:eastAsia="Times New Roman" w:cs="Arial"/>
                    </w:rPr>
                  </w:pPr>
                  <w:r w:rsidRPr="00D0306F">
                    <w:rPr>
                      <w:rFonts w:eastAsia="Times New Roman" w:cs="Arial"/>
                    </w:rPr>
                    <w:t>12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DFFF17F"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EE05A38" w14:textId="77777777" w:rsidR="006C7AA7" w:rsidRPr="00D0306F" w:rsidRDefault="006C7AA7" w:rsidP="00CC3BF4">
                  <w:pPr>
                    <w:rPr>
                      <w:rFonts w:eastAsia="Times New Roman" w:cs="Arial"/>
                    </w:rPr>
                  </w:pPr>
                  <w:r w:rsidRPr="00D0306F">
                    <w:rPr>
                      <w:rFonts w:eastAsia="Times New Roman" w:cs="Arial"/>
                    </w:rPr>
                    <w:t xml:space="preserve">Great staff, always polite and incredibly helpful should you have any questions or issues. </w:t>
                  </w:r>
                </w:p>
              </w:tc>
            </w:tr>
            <w:tr w:rsidR="006C7AA7" w:rsidRPr="00D0306F" w14:paraId="45E7E55E"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24FAD73" w14:textId="77777777" w:rsidR="006C7AA7" w:rsidRPr="00D0306F" w:rsidRDefault="006C7AA7" w:rsidP="00CC3BF4">
                  <w:pPr>
                    <w:jc w:val="center"/>
                    <w:rPr>
                      <w:rFonts w:eastAsia="Times New Roman" w:cs="Arial"/>
                    </w:rPr>
                  </w:pPr>
                  <w:r w:rsidRPr="00D0306F">
                    <w:rPr>
                      <w:rFonts w:eastAsia="Times New Roman" w:cs="Arial"/>
                    </w:rPr>
                    <w:t>13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5BDEE51"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26C7596" w14:textId="77777777" w:rsidR="006C7AA7" w:rsidRPr="00D0306F" w:rsidRDefault="006C7AA7" w:rsidP="00CC3BF4">
                  <w:pPr>
                    <w:rPr>
                      <w:rFonts w:eastAsia="Times New Roman" w:cs="Arial"/>
                    </w:rPr>
                  </w:pPr>
                  <w:r w:rsidRPr="00D0306F">
                    <w:rPr>
                      <w:rFonts w:eastAsia="Times New Roman" w:cs="Arial"/>
                    </w:rPr>
                    <w:t xml:space="preserve">Excellent service </w:t>
                  </w:r>
                </w:p>
              </w:tc>
            </w:tr>
            <w:tr w:rsidR="006C7AA7" w:rsidRPr="00D0306F" w14:paraId="544F0542"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C5713F3" w14:textId="77777777" w:rsidR="006C7AA7" w:rsidRPr="00D0306F" w:rsidRDefault="006C7AA7" w:rsidP="00CC3BF4">
                  <w:pPr>
                    <w:jc w:val="center"/>
                    <w:rPr>
                      <w:rFonts w:eastAsia="Times New Roman" w:cs="Arial"/>
                    </w:rPr>
                  </w:pPr>
                  <w:r w:rsidRPr="00D0306F">
                    <w:rPr>
                      <w:rFonts w:eastAsia="Times New Roman" w:cs="Arial"/>
                    </w:rPr>
                    <w:t>14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3A53215"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37F438B" w14:textId="77777777" w:rsidR="006C7AA7" w:rsidRPr="00D0306F" w:rsidRDefault="006C7AA7" w:rsidP="00CC3BF4">
                  <w:pPr>
                    <w:rPr>
                      <w:rFonts w:eastAsia="Times New Roman" w:cs="Arial"/>
                    </w:rPr>
                  </w:pPr>
                  <w:r w:rsidRPr="00D0306F">
                    <w:rPr>
                      <w:rFonts w:eastAsia="Times New Roman" w:cs="Arial"/>
                    </w:rPr>
                    <w:t>Excellent knowledge by pharmacists, excellent customer service</w:t>
                  </w:r>
                </w:p>
              </w:tc>
            </w:tr>
            <w:tr w:rsidR="006C7AA7" w:rsidRPr="00D0306F" w14:paraId="1F1C6C8B"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689A60A" w14:textId="77777777" w:rsidR="006C7AA7" w:rsidRPr="00D0306F" w:rsidRDefault="006C7AA7" w:rsidP="00CC3BF4">
                  <w:pPr>
                    <w:jc w:val="center"/>
                    <w:rPr>
                      <w:rFonts w:eastAsia="Times New Roman" w:cs="Arial"/>
                    </w:rPr>
                  </w:pPr>
                  <w:r w:rsidRPr="00D0306F">
                    <w:rPr>
                      <w:rFonts w:eastAsia="Times New Roman" w:cs="Arial"/>
                    </w:rPr>
                    <w:t>15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9B3D182"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2793614" w14:textId="77777777" w:rsidR="006C7AA7" w:rsidRPr="00D0306F" w:rsidRDefault="006C7AA7" w:rsidP="00CC3BF4">
                  <w:pPr>
                    <w:rPr>
                      <w:rFonts w:eastAsia="Times New Roman" w:cs="Arial"/>
                    </w:rPr>
                  </w:pPr>
                  <w:r w:rsidRPr="00D0306F">
                    <w:rPr>
                      <w:rFonts w:eastAsia="Times New Roman" w:cs="Arial"/>
                    </w:rPr>
                    <w:t>Excellent service and open 7 days a week</w:t>
                  </w:r>
                </w:p>
              </w:tc>
            </w:tr>
            <w:tr w:rsidR="006C7AA7" w:rsidRPr="00D0306F" w14:paraId="4CC6C9C9"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07CCAB8" w14:textId="77777777" w:rsidR="006C7AA7" w:rsidRPr="00D0306F" w:rsidRDefault="006C7AA7" w:rsidP="00CC3BF4">
                  <w:pPr>
                    <w:jc w:val="center"/>
                    <w:rPr>
                      <w:rFonts w:eastAsia="Times New Roman" w:cs="Arial"/>
                    </w:rPr>
                  </w:pPr>
                  <w:r w:rsidRPr="00D0306F">
                    <w:rPr>
                      <w:rFonts w:eastAsia="Times New Roman" w:cs="Arial"/>
                    </w:rPr>
                    <w:t>16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E79AD7D"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D017A89" w14:textId="77777777" w:rsidR="006C7AA7" w:rsidRPr="00D0306F" w:rsidRDefault="006C7AA7" w:rsidP="00CC3BF4">
                  <w:pPr>
                    <w:rPr>
                      <w:rFonts w:eastAsia="Times New Roman" w:cs="Arial"/>
                    </w:rPr>
                  </w:pPr>
                  <w:r w:rsidRPr="00D0306F">
                    <w:rPr>
                      <w:rFonts w:eastAsia="Times New Roman" w:cs="Arial"/>
                    </w:rPr>
                    <w:t xml:space="preserve">Very polite and professional, easy to talk to for advice. </w:t>
                  </w:r>
                </w:p>
              </w:tc>
            </w:tr>
            <w:tr w:rsidR="006C7AA7" w:rsidRPr="00D0306F" w14:paraId="4C49C5BE"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1381311" w14:textId="77777777" w:rsidR="006C7AA7" w:rsidRPr="00D0306F" w:rsidRDefault="006C7AA7" w:rsidP="00CC3BF4">
                  <w:pPr>
                    <w:jc w:val="center"/>
                    <w:rPr>
                      <w:rFonts w:eastAsia="Times New Roman" w:cs="Arial"/>
                    </w:rPr>
                  </w:pPr>
                  <w:r w:rsidRPr="00D0306F">
                    <w:rPr>
                      <w:rFonts w:eastAsia="Times New Roman" w:cs="Arial"/>
                    </w:rPr>
                    <w:t>17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F402DFE"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C3159AB" w14:textId="77777777" w:rsidR="006C7AA7" w:rsidRPr="00D0306F" w:rsidRDefault="006C7AA7" w:rsidP="00CC3BF4">
                  <w:pPr>
                    <w:rPr>
                      <w:rFonts w:eastAsia="Times New Roman" w:cs="Arial"/>
                    </w:rPr>
                  </w:pPr>
                  <w:r w:rsidRPr="00D0306F">
                    <w:rPr>
                      <w:rFonts w:eastAsia="Times New Roman" w:cs="Arial"/>
                    </w:rPr>
                    <w:t xml:space="preserve">They have the best team. From the pharmacist to the counter staff they are amazing </w:t>
                  </w:r>
                </w:p>
              </w:tc>
            </w:tr>
            <w:tr w:rsidR="006C7AA7" w:rsidRPr="00D0306F" w14:paraId="5553C539"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533F4F2" w14:textId="77777777" w:rsidR="006C7AA7" w:rsidRPr="00D0306F" w:rsidRDefault="006C7AA7" w:rsidP="00CC3BF4">
                  <w:pPr>
                    <w:jc w:val="center"/>
                    <w:rPr>
                      <w:rFonts w:eastAsia="Times New Roman" w:cs="Arial"/>
                    </w:rPr>
                  </w:pPr>
                  <w:r w:rsidRPr="00D0306F">
                    <w:rPr>
                      <w:rFonts w:eastAsia="Times New Roman" w:cs="Arial"/>
                    </w:rPr>
                    <w:t>18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548C978"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465ED78" w14:textId="77777777" w:rsidR="006C7AA7" w:rsidRPr="00D0306F" w:rsidRDefault="006C7AA7" w:rsidP="00CC3BF4">
                  <w:pPr>
                    <w:rPr>
                      <w:rFonts w:eastAsia="Times New Roman" w:cs="Arial"/>
                    </w:rPr>
                  </w:pPr>
                  <w:r w:rsidRPr="00D0306F">
                    <w:rPr>
                      <w:rFonts w:eastAsia="Times New Roman" w:cs="Arial"/>
                    </w:rPr>
                    <w:t>Long winded with questions. First wait ages to see a pharmacist, then long time to discuss needs and give details then wait again another 20 to 30 mins for medicines</w:t>
                  </w:r>
                </w:p>
              </w:tc>
            </w:tr>
            <w:tr w:rsidR="006C7AA7" w:rsidRPr="00D0306F" w14:paraId="3E99EB86"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9C1F121" w14:textId="77777777" w:rsidR="006C7AA7" w:rsidRPr="00D0306F" w:rsidRDefault="006C7AA7" w:rsidP="00CC3BF4">
                  <w:pPr>
                    <w:jc w:val="center"/>
                    <w:rPr>
                      <w:rFonts w:eastAsia="Times New Roman" w:cs="Arial"/>
                    </w:rPr>
                  </w:pPr>
                  <w:r w:rsidRPr="00D0306F">
                    <w:rPr>
                      <w:rFonts w:eastAsia="Times New Roman" w:cs="Arial"/>
                    </w:rPr>
                    <w:t>19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04C3529"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6A04C3F" w14:textId="77777777" w:rsidR="006C7AA7" w:rsidRPr="00D0306F" w:rsidRDefault="006C7AA7" w:rsidP="00CC3BF4">
                  <w:pPr>
                    <w:rPr>
                      <w:rFonts w:eastAsia="Times New Roman" w:cs="Arial"/>
                    </w:rPr>
                  </w:pPr>
                  <w:r w:rsidRPr="00D0306F">
                    <w:rPr>
                      <w:rFonts w:eastAsia="Times New Roman" w:cs="Arial"/>
                    </w:rPr>
                    <w:t>Very helpful and pleasant staff, Chemist and staff always very busy but are happy to stop and help if I have a question.</w:t>
                  </w:r>
                </w:p>
              </w:tc>
            </w:tr>
            <w:tr w:rsidR="006C7AA7" w:rsidRPr="00D0306F" w14:paraId="74445A2A"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1ED36F7" w14:textId="77777777" w:rsidR="006C7AA7" w:rsidRPr="00D0306F" w:rsidRDefault="006C7AA7" w:rsidP="00CC3BF4">
                  <w:pPr>
                    <w:jc w:val="center"/>
                    <w:rPr>
                      <w:rFonts w:eastAsia="Times New Roman" w:cs="Arial"/>
                    </w:rPr>
                  </w:pPr>
                  <w:r w:rsidRPr="00D0306F">
                    <w:rPr>
                      <w:rFonts w:eastAsia="Times New Roman" w:cs="Arial"/>
                    </w:rPr>
                    <w:t>20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4627FEA"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1D21A37" w14:textId="77777777" w:rsidR="006C7AA7" w:rsidRPr="00D0306F" w:rsidRDefault="006C7AA7" w:rsidP="00CC3BF4">
                  <w:pPr>
                    <w:rPr>
                      <w:rFonts w:eastAsia="Times New Roman" w:cs="Arial"/>
                    </w:rPr>
                  </w:pPr>
                  <w:r w:rsidRPr="00D0306F">
                    <w:rPr>
                      <w:rFonts w:eastAsia="Times New Roman" w:cs="Arial"/>
                    </w:rPr>
                    <w:t xml:space="preserve">Easy </w:t>
                  </w:r>
                </w:p>
              </w:tc>
            </w:tr>
            <w:tr w:rsidR="006C7AA7" w:rsidRPr="00D0306F" w14:paraId="281F88A9"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D43E136" w14:textId="77777777" w:rsidR="006C7AA7" w:rsidRPr="00D0306F" w:rsidRDefault="006C7AA7" w:rsidP="00CC3BF4">
                  <w:pPr>
                    <w:jc w:val="center"/>
                    <w:rPr>
                      <w:rFonts w:eastAsia="Times New Roman" w:cs="Arial"/>
                    </w:rPr>
                  </w:pPr>
                  <w:r w:rsidRPr="00D0306F">
                    <w:rPr>
                      <w:rFonts w:eastAsia="Times New Roman" w:cs="Arial"/>
                    </w:rPr>
                    <w:t>21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023D160"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92413FC" w14:textId="77777777" w:rsidR="006C7AA7" w:rsidRPr="00D0306F" w:rsidRDefault="006C7AA7" w:rsidP="00CC3BF4">
                  <w:pPr>
                    <w:rPr>
                      <w:rFonts w:eastAsia="Times New Roman" w:cs="Arial"/>
                    </w:rPr>
                  </w:pPr>
                  <w:r w:rsidRPr="00D0306F">
                    <w:rPr>
                      <w:rFonts w:eastAsia="Times New Roman" w:cs="Arial"/>
                    </w:rPr>
                    <w:t xml:space="preserve">Not many local pharmacys cover all of the common ailments scheme... Needed to travel to further pharmacy to be able to utilise as GP would not see me </w:t>
                  </w:r>
                </w:p>
              </w:tc>
            </w:tr>
            <w:tr w:rsidR="006C7AA7" w:rsidRPr="00D0306F" w14:paraId="10032C8F"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CCA7444" w14:textId="77777777" w:rsidR="006C7AA7" w:rsidRPr="00D0306F" w:rsidRDefault="006C7AA7" w:rsidP="00CC3BF4">
                  <w:pPr>
                    <w:jc w:val="center"/>
                    <w:rPr>
                      <w:rFonts w:eastAsia="Times New Roman" w:cs="Arial"/>
                    </w:rPr>
                  </w:pPr>
                  <w:r w:rsidRPr="00D0306F">
                    <w:rPr>
                      <w:rFonts w:eastAsia="Times New Roman" w:cs="Arial"/>
                    </w:rPr>
                    <w:t>22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DDB295F"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BCF0518" w14:textId="77777777" w:rsidR="006C7AA7" w:rsidRPr="00D0306F" w:rsidRDefault="006C7AA7" w:rsidP="00CC3BF4">
                  <w:pPr>
                    <w:rPr>
                      <w:rFonts w:eastAsia="Times New Roman" w:cs="Arial"/>
                    </w:rPr>
                  </w:pPr>
                  <w:r w:rsidRPr="00D0306F">
                    <w:rPr>
                      <w:rFonts w:eastAsia="Times New Roman" w:cs="Arial"/>
                    </w:rPr>
                    <w:t xml:space="preserve">Bit bit and miss </w:t>
                  </w:r>
                </w:p>
              </w:tc>
            </w:tr>
            <w:tr w:rsidR="006C7AA7" w:rsidRPr="00D0306F" w14:paraId="31AAB92A"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4D11E52" w14:textId="77777777" w:rsidR="006C7AA7" w:rsidRPr="00D0306F" w:rsidRDefault="006C7AA7" w:rsidP="00CC3BF4">
                  <w:pPr>
                    <w:jc w:val="center"/>
                    <w:rPr>
                      <w:rFonts w:eastAsia="Times New Roman" w:cs="Arial"/>
                    </w:rPr>
                  </w:pPr>
                  <w:r w:rsidRPr="00D0306F">
                    <w:rPr>
                      <w:rFonts w:eastAsia="Times New Roman" w:cs="Arial"/>
                    </w:rPr>
                    <w:t>23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5852EB8"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15E1725" w14:textId="77777777" w:rsidR="006C7AA7" w:rsidRPr="00D0306F" w:rsidRDefault="006C7AA7" w:rsidP="00CC3BF4">
                  <w:pPr>
                    <w:rPr>
                      <w:rFonts w:eastAsia="Times New Roman" w:cs="Arial"/>
                    </w:rPr>
                  </w:pPr>
                  <w:r w:rsidRPr="00D0306F">
                    <w:rPr>
                      <w:rFonts w:eastAsia="Times New Roman" w:cs="Arial"/>
                    </w:rPr>
                    <w:t>Excellent. At [name] pharmacies</w:t>
                  </w:r>
                </w:p>
              </w:tc>
            </w:tr>
            <w:tr w:rsidR="006C7AA7" w:rsidRPr="00D0306F" w14:paraId="576E152A"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D8E481C" w14:textId="77777777" w:rsidR="006C7AA7" w:rsidRPr="00D0306F" w:rsidRDefault="006C7AA7" w:rsidP="00CC3BF4">
                  <w:pPr>
                    <w:jc w:val="center"/>
                    <w:rPr>
                      <w:rFonts w:eastAsia="Times New Roman" w:cs="Arial"/>
                    </w:rPr>
                  </w:pPr>
                  <w:r w:rsidRPr="00D0306F">
                    <w:rPr>
                      <w:rFonts w:eastAsia="Times New Roman" w:cs="Arial"/>
                    </w:rPr>
                    <w:lastRenderedPageBreak/>
                    <w:t>24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67161CB"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6C179E4" w14:textId="77777777" w:rsidR="006C7AA7" w:rsidRPr="00D0306F" w:rsidRDefault="006C7AA7" w:rsidP="00CC3BF4">
                  <w:pPr>
                    <w:rPr>
                      <w:rFonts w:eastAsia="Times New Roman" w:cs="Arial"/>
                    </w:rPr>
                  </w:pPr>
                  <w:r w:rsidRPr="00D0306F">
                    <w:rPr>
                      <w:rFonts w:eastAsia="Times New Roman" w:cs="Arial"/>
                    </w:rPr>
                    <w:t>[name] pharmacy are absolutely fantastic. The staff always go above and beyond. They've always got a smile on their face and nothing is every an issues. I've had to speak to the manager [name] the pharmacist regarding my husband's medications on a few occasions and nothing has ever been any trouble for them. Would not use another pharmacy.</w:t>
                  </w:r>
                </w:p>
              </w:tc>
            </w:tr>
            <w:tr w:rsidR="006C7AA7" w:rsidRPr="00D0306F" w14:paraId="5405B0B9"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52ED755" w14:textId="77777777" w:rsidR="006C7AA7" w:rsidRPr="00D0306F" w:rsidRDefault="006C7AA7" w:rsidP="00CC3BF4">
                  <w:pPr>
                    <w:jc w:val="center"/>
                    <w:rPr>
                      <w:rFonts w:eastAsia="Times New Roman" w:cs="Arial"/>
                    </w:rPr>
                  </w:pPr>
                  <w:r w:rsidRPr="00D0306F">
                    <w:rPr>
                      <w:rFonts w:eastAsia="Times New Roman" w:cs="Arial"/>
                    </w:rPr>
                    <w:t>25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107A102"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CB8AE5A" w14:textId="77777777" w:rsidR="006C7AA7" w:rsidRPr="00D0306F" w:rsidRDefault="006C7AA7" w:rsidP="00CC3BF4">
                  <w:pPr>
                    <w:rPr>
                      <w:rFonts w:eastAsia="Times New Roman" w:cs="Arial"/>
                    </w:rPr>
                  </w:pPr>
                  <w:r w:rsidRPr="00D0306F">
                    <w:rPr>
                      <w:rFonts w:eastAsia="Times New Roman" w:cs="Arial"/>
                    </w:rPr>
                    <w:t xml:space="preserve">Excellent! [name] in [name] pharmacy is amazing always so helpful and knows the people who come in. I also use Hywel dda pharmacies [name] and [name] and they are equally as lovely and helpful. </w:t>
                  </w:r>
                </w:p>
              </w:tc>
            </w:tr>
            <w:tr w:rsidR="006C7AA7" w:rsidRPr="00D0306F" w14:paraId="2A1BE0FE"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9599720" w14:textId="77777777" w:rsidR="006C7AA7" w:rsidRPr="00D0306F" w:rsidRDefault="006C7AA7" w:rsidP="00CC3BF4">
                  <w:pPr>
                    <w:jc w:val="center"/>
                    <w:rPr>
                      <w:rFonts w:eastAsia="Times New Roman" w:cs="Arial"/>
                    </w:rPr>
                  </w:pPr>
                  <w:r w:rsidRPr="00D0306F">
                    <w:rPr>
                      <w:rFonts w:eastAsia="Times New Roman" w:cs="Arial"/>
                    </w:rPr>
                    <w:t>26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D07925E"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6872825" w14:textId="77777777" w:rsidR="006C7AA7" w:rsidRPr="00D0306F" w:rsidRDefault="006C7AA7" w:rsidP="00CC3BF4">
                  <w:pPr>
                    <w:rPr>
                      <w:rFonts w:eastAsia="Times New Roman" w:cs="Arial"/>
                    </w:rPr>
                  </w:pPr>
                  <w:r w:rsidRPr="00D0306F">
                    <w:rPr>
                      <w:rFonts w:eastAsia="Times New Roman" w:cs="Arial"/>
                    </w:rPr>
                    <w:t xml:space="preserve">Fabulous service! Wouldn't be without them. So helpful </w:t>
                  </w:r>
                </w:p>
              </w:tc>
            </w:tr>
            <w:tr w:rsidR="006C7AA7" w:rsidRPr="00D0306F" w14:paraId="0B8F05F8"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A934A0B" w14:textId="77777777" w:rsidR="006C7AA7" w:rsidRPr="00D0306F" w:rsidRDefault="006C7AA7" w:rsidP="00CC3BF4">
                  <w:pPr>
                    <w:jc w:val="center"/>
                    <w:rPr>
                      <w:rFonts w:eastAsia="Times New Roman" w:cs="Arial"/>
                    </w:rPr>
                  </w:pPr>
                  <w:r w:rsidRPr="00D0306F">
                    <w:rPr>
                      <w:rFonts w:eastAsia="Times New Roman" w:cs="Arial"/>
                    </w:rPr>
                    <w:t>27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F8C2C56"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F8DBCC1" w14:textId="77777777" w:rsidR="006C7AA7" w:rsidRPr="00D0306F" w:rsidRDefault="006C7AA7" w:rsidP="00CC3BF4">
                  <w:pPr>
                    <w:rPr>
                      <w:rFonts w:eastAsia="Times New Roman" w:cs="Arial"/>
                    </w:rPr>
                  </w:pPr>
                  <w:r w:rsidRPr="00D0306F">
                    <w:rPr>
                      <w:rFonts w:eastAsia="Times New Roman" w:cs="Arial"/>
                    </w:rPr>
                    <w:t xml:space="preserve">I use independent pharmacy in [location]. The staff are very helpful and the pharmacist. </w:t>
                  </w:r>
                </w:p>
              </w:tc>
            </w:tr>
            <w:tr w:rsidR="006C7AA7" w:rsidRPr="00D0306F" w14:paraId="145487DD"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8E4A402" w14:textId="77777777" w:rsidR="006C7AA7" w:rsidRPr="00D0306F" w:rsidRDefault="006C7AA7" w:rsidP="00CC3BF4">
                  <w:pPr>
                    <w:jc w:val="center"/>
                    <w:rPr>
                      <w:rFonts w:eastAsia="Times New Roman" w:cs="Arial"/>
                    </w:rPr>
                  </w:pPr>
                  <w:r w:rsidRPr="00D0306F">
                    <w:rPr>
                      <w:rFonts w:eastAsia="Times New Roman" w:cs="Arial"/>
                    </w:rPr>
                    <w:t>28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6749AF2"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26914ED" w14:textId="77777777" w:rsidR="006C7AA7" w:rsidRPr="00D0306F" w:rsidRDefault="006C7AA7" w:rsidP="00CC3BF4">
                  <w:pPr>
                    <w:rPr>
                      <w:rFonts w:eastAsia="Times New Roman" w:cs="Arial"/>
                    </w:rPr>
                  </w:pPr>
                  <w:r w:rsidRPr="00D0306F">
                    <w:rPr>
                      <w:rFonts w:eastAsia="Times New Roman" w:cs="Arial"/>
                    </w:rPr>
                    <w:t>I very rarely go to the pharmacy. But I do get my blood pressure checked there at least twice a year.</w:t>
                  </w:r>
                </w:p>
              </w:tc>
            </w:tr>
            <w:tr w:rsidR="006C7AA7" w:rsidRPr="00D0306F" w14:paraId="38604BA9"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9ECF2DF" w14:textId="77777777" w:rsidR="006C7AA7" w:rsidRPr="00D0306F" w:rsidRDefault="006C7AA7" w:rsidP="00CC3BF4">
                  <w:pPr>
                    <w:jc w:val="center"/>
                    <w:rPr>
                      <w:rFonts w:eastAsia="Times New Roman" w:cs="Arial"/>
                    </w:rPr>
                  </w:pPr>
                  <w:r w:rsidRPr="00D0306F">
                    <w:rPr>
                      <w:rFonts w:eastAsia="Times New Roman" w:cs="Arial"/>
                    </w:rPr>
                    <w:t>29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22E075D"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ADD5706" w14:textId="77777777" w:rsidR="006C7AA7" w:rsidRPr="00D0306F" w:rsidRDefault="006C7AA7" w:rsidP="00CC3BF4">
                  <w:pPr>
                    <w:rPr>
                      <w:rFonts w:eastAsia="Times New Roman" w:cs="Arial"/>
                    </w:rPr>
                  </w:pPr>
                  <w:r w:rsidRPr="00D0306F">
                    <w:rPr>
                      <w:rFonts w:eastAsia="Times New Roman" w:cs="Arial"/>
                    </w:rPr>
                    <w:t>Hardly any stock, many times have to go to alternative pharmacy</w:t>
                  </w:r>
                </w:p>
              </w:tc>
            </w:tr>
            <w:tr w:rsidR="006C7AA7" w:rsidRPr="00D0306F" w14:paraId="77F12A35"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1435B00" w14:textId="77777777" w:rsidR="006C7AA7" w:rsidRPr="00D0306F" w:rsidRDefault="006C7AA7" w:rsidP="00CC3BF4">
                  <w:pPr>
                    <w:jc w:val="center"/>
                    <w:rPr>
                      <w:rFonts w:eastAsia="Times New Roman" w:cs="Arial"/>
                    </w:rPr>
                  </w:pPr>
                  <w:r w:rsidRPr="00D0306F">
                    <w:rPr>
                      <w:rFonts w:eastAsia="Times New Roman" w:cs="Arial"/>
                    </w:rPr>
                    <w:t>30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006E936"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42DB121" w14:textId="77777777" w:rsidR="006C7AA7" w:rsidRPr="00D0306F" w:rsidRDefault="006C7AA7" w:rsidP="00CC3BF4">
                  <w:pPr>
                    <w:rPr>
                      <w:rFonts w:eastAsia="Times New Roman" w:cs="Arial"/>
                    </w:rPr>
                  </w:pPr>
                  <w:r w:rsidRPr="00D0306F">
                    <w:rPr>
                      <w:rFonts w:eastAsia="Times New Roman" w:cs="Arial"/>
                    </w:rPr>
                    <w:t xml:space="preserve">I have had very good service from my local [name] Pharmacy for many years. Hopefully it will not change with the new electronic service starts. </w:t>
                  </w:r>
                </w:p>
              </w:tc>
            </w:tr>
            <w:tr w:rsidR="006C7AA7" w:rsidRPr="00D0306F" w14:paraId="4FF9C109"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9ED30AE" w14:textId="77777777" w:rsidR="006C7AA7" w:rsidRPr="00D0306F" w:rsidRDefault="006C7AA7" w:rsidP="00CC3BF4">
                  <w:pPr>
                    <w:jc w:val="center"/>
                    <w:rPr>
                      <w:rFonts w:eastAsia="Times New Roman" w:cs="Arial"/>
                    </w:rPr>
                  </w:pPr>
                  <w:r w:rsidRPr="00D0306F">
                    <w:rPr>
                      <w:rFonts w:eastAsia="Times New Roman" w:cs="Arial"/>
                    </w:rPr>
                    <w:t>31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B71861D"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D32C699" w14:textId="77777777" w:rsidR="006C7AA7" w:rsidRPr="00D0306F" w:rsidRDefault="006C7AA7" w:rsidP="00CC3BF4">
                  <w:pPr>
                    <w:rPr>
                      <w:rFonts w:eastAsia="Times New Roman" w:cs="Arial"/>
                    </w:rPr>
                  </w:pPr>
                  <w:r w:rsidRPr="00D0306F">
                    <w:rPr>
                      <w:rFonts w:eastAsia="Times New Roman" w:cs="Arial"/>
                    </w:rPr>
                    <w:t xml:space="preserve">Excellent always receive text within 7 days that meds are in machine </w:t>
                  </w:r>
                </w:p>
              </w:tc>
            </w:tr>
            <w:tr w:rsidR="006C7AA7" w:rsidRPr="00D0306F" w14:paraId="70AAE678"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B6F4E03" w14:textId="77777777" w:rsidR="006C7AA7" w:rsidRPr="00D0306F" w:rsidRDefault="006C7AA7" w:rsidP="00CC3BF4">
                  <w:pPr>
                    <w:jc w:val="center"/>
                    <w:rPr>
                      <w:rFonts w:eastAsia="Times New Roman" w:cs="Arial"/>
                    </w:rPr>
                  </w:pPr>
                  <w:r w:rsidRPr="00D0306F">
                    <w:rPr>
                      <w:rFonts w:eastAsia="Times New Roman" w:cs="Arial"/>
                    </w:rPr>
                    <w:t>32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8109777"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F8F89EB" w14:textId="77777777" w:rsidR="006C7AA7" w:rsidRPr="00D0306F" w:rsidRDefault="006C7AA7" w:rsidP="00CC3BF4">
                  <w:pPr>
                    <w:rPr>
                      <w:rFonts w:eastAsia="Times New Roman" w:cs="Arial"/>
                    </w:rPr>
                  </w:pPr>
                  <w:r w:rsidRPr="00D0306F">
                    <w:rPr>
                      <w:rFonts w:eastAsia="Times New Roman" w:cs="Arial"/>
                    </w:rPr>
                    <w:t xml:space="preserve">I went in to discuss issue to see if there was any over the counter cream that could be suggested but even though the pharmacist was in the pharmacy they wouldn’t come out and speak to me as they were too busy </w:t>
                  </w:r>
                </w:p>
              </w:tc>
            </w:tr>
            <w:tr w:rsidR="006C7AA7" w:rsidRPr="00D0306F" w14:paraId="5659E3BF"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7586B39" w14:textId="77777777" w:rsidR="006C7AA7" w:rsidRPr="00D0306F" w:rsidRDefault="006C7AA7" w:rsidP="00CC3BF4">
                  <w:pPr>
                    <w:jc w:val="center"/>
                    <w:rPr>
                      <w:rFonts w:eastAsia="Times New Roman" w:cs="Arial"/>
                    </w:rPr>
                  </w:pPr>
                  <w:r w:rsidRPr="00D0306F">
                    <w:rPr>
                      <w:rFonts w:eastAsia="Times New Roman" w:cs="Arial"/>
                    </w:rPr>
                    <w:t>33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6165D9F"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3127686" w14:textId="77777777" w:rsidR="006C7AA7" w:rsidRPr="00D0306F" w:rsidRDefault="006C7AA7" w:rsidP="00CC3BF4">
                  <w:pPr>
                    <w:rPr>
                      <w:rFonts w:eastAsia="Times New Roman" w:cs="Arial"/>
                    </w:rPr>
                  </w:pPr>
                  <w:r w:rsidRPr="00D0306F">
                    <w:rPr>
                      <w:rFonts w:eastAsia="Times New Roman" w:cs="Arial"/>
                    </w:rPr>
                    <w:t>Shambles</w:t>
                  </w:r>
                  <w:r w:rsidRPr="00D0306F">
                    <w:rPr>
                      <w:rFonts w:eastAsia="Times New Roman" w:cs="Arial"/>
                    </w:rPr>
                    <w:br/>
                    <w:t xml:space="preserve">Constant change of staff </w:t>
                  </w:r>
                  <w:r w:rsidRPr="00D0306F">
                    <w:rPr>
                      <w:rFonts w:eastAsia="Times New Roman" w:cs="Arial"/>
                    </w:rPr>
                    <w:br/>
                    <w:t xml:space="preserve">Lack of supplies </w:t>
                  </w:r>
                  <w:r w:rsidRPr="00D0306F">
                    <w:rPr>
                      <w:rFonts w:eastAsia="Times New Roman" w:cs="Arial"/>
                    </w:rPr>
                    <w:br/>
                    <w:t>All ways keep you waiting or to callback next day</w:t>
                  </w:r>
                  <w:r w:rsidRPr="00D0306F">
                    <w:rPr>
                      <w:rFonts w:eastAsia="Times New Roman" w:cs="Arial"/>
                    </w:rPr>
                    <w:br/>
                    <w:t xml:space="preserve">When asked about the common aliements scheme I’m being told different things , have to make N appt to speak to a pharmacist to discuss common ailments as never one available </w:t>
                  </w:r>
                </w:p>
              </w:tc>
            </w:tr>
            <w:tr w:rsidR="006C7AA7" w:rsidRPr="00D0306F" w14:paraId="12D296AC"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182F3E5" w14:textId="77777777" w:rsidR="006C7AA7" w:rsidRPr="00D0306F" w:rsidRDefault="006C7AA7" w:rsidP="00CC3BF4">
                  <w:pPr>
                    <w:jc w:val="center"/>
                    <w:rPr>
                      <w:rFonts w:eastAsia="Times New Roman" w:cs="Arial"/>
                    </w:rPr>
                  </w:pPr>
                  <w:r w:rsidRPr="00D0306F">
                    <w:rPr>
                      <w:rFonts w:eastAsia="Times New Roman" w:cs="Arial"/>
                    </w:rPr>
                    <w:t>34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7D38C68"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9BE410D" w14:textId="77777777" w:rsidR="006C7AA7" w:rsidRPr="00D0306F" w:rsidRDefault="006C7AA7" w:rsidP="00CC3BF4">
                  <w:pPr>
                    <w:rPr>
                      <w:rFonts w:eastAsia="Times New Roman" w:cs="Arial"/>
                    </w:rPr>
                  </w:pPr>
                  <w:r w:rsidRPr="00D0306F">
                    <w:rPr>
                      <w:rFonts w:eastAsia="Times New Roman" w:cs="Arial"/>
                    </w:rPr>
                    <w:t xml:space="preserve">Generally good but long waiting times, prescriptions not ready and chasing back and forward between surgery and chemist are common. Common ailment scheme is good. Staff are lovely and happy to help but seems to lack organisation at times. </w:t>
                  </w:r>
                </w:p>
              </w:tc>
            </w:tr>
            <w:tr w:rsidR="006C7AA7" w:rsidRPr="00D0306F" w14:paraId="3A1C3199"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3EAFD35" w14:textId="77777777" w:rsidR="006C7AA7" w:rsidRPr="00D0306F" w:rsidRDefault="006C7AA7" w:rsidP="00CC3BF4">
                  <w:pPr>
                    <w:jc w:val="center"/>
                    <w:rPr>
                      <w:rFonts w:eastAsia="Times New Roman" w:cs="Arial"/>
                    </w:rPr>
                  </w:pPr>
                  <w:r w:rsidRPr="00D0306F">
                    <w:rPr>
                      <w:rFonts w:eastAsia="Times New Roman" w:cs="Arial"/>
                    </w:rPr>
                    <w:lastRenderedPageBreak/>
                    <w:t>35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900A0FC"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82CCF5F" w14:textId="77777777" w:rsidR="006C7AA7" w:rsidRPr="00D0306F" w:rsidRDefault="006C7AA7" w:rsidP="00CC3BF4">
                  <w:pPr>
                    <w:rPr>
                      <w:rFonts w:eastAsia="Times New Roman" w:cs="Arial"/>
                    </w:rPr>
                  </w:pPr>
                  <w:r w:rsidRPr="00D0306F">
                    <w:rPr>
                      <w:rFonts w:eastAsia="Times New Roman" w:cs="Arial"/>
                    </w:rPr>
                    <w:t>The local pharmacy(next to surgery) had supply problems with prescriptive medicines and finally closed for several months without notice. I now use a different pharmacy.</w:t>
                  </w:r>
                </w:p>
              </w:tc>
            </w:tr>
            <w:tr w:rsidR="006C7AA7" w:rsidRPr="00D0306F" w14:paraId="0604B735"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6A79C5D" w14:textId="77777777" w:rsidR="006C7AA7" w:rsidRPr="00D0306F" w:rsidRDefault="006C7AA7" w:rsidP="00CC3BF4">
                  <w:pPr>
                    <w:jc w:val="center"/>
                    <w:rPr>
                      <w:rFonts w:eastAsia="Times New Roman" w:cs="Arial"/>
                    </w:rPr>
                  </w:pPr>
                  <w:r w:rsidRPr="00D0306F">
                    <w:rPr>
                      <w:rFonts w:eastAsia="Times New Roman" w:cs="Arial"/>
                    </w:rPr>
                    <w:t>36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7267733"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9B7AA15" w14:textId="77777777" w:rsidR="006C7AA7" w:rsidRPr="00D0306F" w:rsidRDefault="006C7AA7" w:rsidP="00CC3BF4">
                  <w:pPr>
                    <w:rPr>
                      <w:rFonts w:eastAsia="Times New Roman" w:cs="Arial"/>
                    </w:rPr>
                  </w:pPr>
                  <w:r w:rsidRPr="00D0306F">
                    <w:rPr>
                      <w:rFonts w:eastAsia="Times New Roman" w:cs="Arial"/>
                    </w:rPr>
                    <w:t xml:space="preserve">The pharmacist at the Gp is slow and you have to knock an external window to access it. Even during extreme weather. </w:t>
                  </w:r>
                  <w:r w:rsidRPr="00D0306F">
                    <w:rPr>
                      <w:rFonts w:eastAsia="Times New Roman" w:cs="Arial"/>
                    </w:rPr>
                    <w:br/>
                    <w:t xml:space="preserve">The service intakes days to get your medication and they are very unhelpful </w:t>
                  </w:r>
                </w:p>
              </w:tc>
            </w:tr>
            <w:tr w:rsidR="006C7AA7" w:rsidRPr="00D0306F" w14:paraId="12FA481E"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DF51BFB" w14:textId="77777777" w:rsidR="006C7AA7" w:rsidRPr="00D0306F" w:rsidRDefault="006C7AA7" w:rsidP="00CC3BF4">
                  <w:pPr>
                    <w:jc w:val="center"/>
                    <w:rPr>
                      <w:rFonts w:eastAsia="Times New Roman" w:cs="Arial"/>
                    </w:rPr>
                  </w:pPr>
                  <w:r w:rsidRPr="00D0306F">
                    <w:rPr>
                      <w:rFonts w:eastAsia="Times New Roman" w:cs="Arial"/>
                    </w:rPr>
                    <w:t>37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F3F6112"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D7BD729" w14:textId="77777777" w:rsidR="006C7AA7" w:rsidRPr="00D0306F" w:rsidRDefault="006C7AA7" w:rsidP="00CC3BF4">
                  <w:pPr>
                    <w:rPr>
                      <w:rFonts w:eastAsia="Times New Roman" w:cs="Arial"/>
                    </w:rPr>
                  </w:pPr>
                  <w:r w:rsidRPr="00D0306F">
                    <w:rPr>
                      <w:rFonts w:eastAsia="Times New Roman" w:cs="Arial"/>
                    </w:rPr>
                    <w:t xml:space="preserve">Excellent </w:t>
                  </w:r>
                </w:p>
              </w:tc>
            </w:tr>
            <w:tr w:rsidR="006C7AA7" w:rsidRPr="00D0306F" w14:paraId="01DF5700"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6AD6311" w14:textId="77777777" w:rsidR="006C7AA7" w:rsidRPr="00D0306F" w:rsidRDefault="006C7AA7" w:rsidP="00CC3BF4">
                  <w:pPr>
                    <w:jc w:val="center"/>
                    <w:rPr>
                      <w:rFonts w:eastAsia="Times New Roman" w:cs="Arial"/>
                    </w:rPr>
                  </w:pPr>
                  <w:r w:rsidRPr="00D0306F">
                    <w:rPr>
                      <w:rFonts w:eastAsia="Times New Roman" w:cs="Arial"/>
                    </w:rPr>
                    <w:t>38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4BE578B"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5315D90" w14:textId="77777777" w:rsidR="006C7AA7" w:rsidRPr="00D0306F" w:rsidRDefault="006C7AA7" w:rsidP="00CC3BF4">
                  <w:pPr>
                    <w:rPr>
                      <w:rFonts w:eastAsia="Times New Roman" w:cs="Arial"/>
                    </w:rPr>
                  </w:pPr>
                  <w:r w:rsidRPr="00D0306F">
                    <w:rPr>
                      <w:rFonts w:eastAsia="Times New Roman" w:cs="Arial"/>
                    </w:rPr>
                    <w:t>The staff recognise me and are always helpful. If there is a shortage of medicine they will explain my options. They will contact my GP is there is an issue with a prescription.</w:t>
                  </w:r>
                </w:p>
              </w:tc>
            </w:tr>
            <w:tr w:rsidR="006C7AA7" w:rsidRPr="00D0306F" w14:paraId="1B9BEA88"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0194DE0" w14:textId="77777777" w:rsidR="006C7AA7" w:rsidRPr="00D0306F" w:rsidRDefault="006C7AA7" w:rsidP="00CC3BF4">
                  <w:pPr>
                    <w:jc w:val="center"/>
                    <w:rPr>
                      <w:rFonts w:eastAsia="Times New Roman" w:cs="Arial"/>
                    </w:rPr>
                  </w:pPr>
                  <w:r w:rsidRPr="00D0306F">
                    <w:rPr>
                      <w:rFonts w:eastAsia="Times New Roman" w:cs="Arial"/>
                    </w:rPr>
                    <w:t>39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5CD7108"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576049F" w14:textId="77777777" w:rsidR="006C7AA7" w:rsidRPr="00D0306F" w:rsidRDefault="006C7AA7" w:rsidP="00CC3BF4">
                  <w:pPr>
                    <w:rPr>
                      <w:rFonts w:eastAsia="Times New Roman" w:cs="Arial"/>
                    </w:rPr>
                  </w:pPr>
                  <w:r w:rsidRPr="00D0306F">
                    <w:rPr>
                      <w:rFonts w:eastAsia="Times New Roman" w:cs="Arial"/>
                    </w:rPr>
                    <w:t>Always on time, very helpful when needed and easy to access both online and over the telephone.</w:t>
                  </w:r>
                </w:p>
              </w:tc>
            </w:tr>
            <w:tr w:rsidR="006C7AA7" w:rsidRPr="00D0306F" w14:paraId="64C65B36"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78121AC" w14:textId="77777777" w:rsidR="006C7AA7" w:rsidRPr="00D0306F" w:rsidRDefault="006C7AA7" w:rsidP="00CC3BF4">
                  <w:pPr>
                    <w:jc w:val="center"/>
                    <w:rPr>
                      <w:rFonts w:eastAsia="Times New Roman" w:cs="Arial"/>
                    </w:rPr>
                  </w:pPr>
                  <w:r w:rsidRPr="00D0306F">
                    <w:rPr>
                      <w:rFonts w:eastAsia="Times New Roman" w:cs="Arial"/>
                    </w:rPr>
                    <w:t>40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FF59B27"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C4DEE93" w14:textId="77777777" w:rsidR="006C7AA7" w:rsidRPr="00D0306F" w:rsidRDefault="006C7AA7" w:rsidP="00CC3BF4">
                  <w:pPr>
                    <w:rPr>
                      <w:rFonts w:eastAsia="Times New Roman" w:cs="Arial"/>
                    </w:rPr>
                  </w:pPr>
                  <w:r w:rsidRPr="00D0306F">
                    <w:rPr>
                      <w:rFonts w:eastAsia="Times New Roman" w:cs="Arial"/>
                    </w:rPr>
                    <w:t>They provide an excellent, efficient and friendly service in general. The pharmacists provide an excellent service under the common ailment and prescribing scheme which is easy to access and a brilliant way of being seen quickly without ‘wasting’ a GPs appointment if not necessary.</w:t>
                  </w:r>
                  <w:r w:rsidRPr="00D0306F">
                    <w:rPr>
                      <w:rFonts w:eastAsia="Times New Roman" w:cs="Arial"/>
                    </w:rPr>
                    <w:br/>
                    <w:t>They diagnosed and treated me for shingles enabling me to commence anti vitals very quickly which, I feel, lessened the impact of the infection. I have seen them several times for other issues and always received advice every bit as expert and effective as seeing my GP.</w:t>
                  </w:r>
                </w:p>
              </w:tc>
            </w:tr>
            <w:tr w:rsidR="006C7AA7" w:rsidRPr="00D0306F" w14:paraId="696810DF"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8A61058" w14:textId="77777777" w:rsidR="006C7AA7" w:rsidRPr="00D0306F" w:rsidRDefault="006C7AA7" w:rsidP="00CC3BF4">
                  <w:pPr>
                    <w:jc w:val="center"/>
                    <w:rPr>
                      <w:rFonts w:eastAsia="Times New Roman" w:cs="Arial"/>
                    </w:rPr>
                  </w:pPr>
                  <w:r w:rsidRPr="00D0306F">
                    <w:rPr>
                      <w:rFonts w:eastAsia="Times New Roman" w:cs="Arial"/>
                    </w:rPr>
                    <w:t>41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5CDBEC3"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11BFA8F" w14:textId="77777777" w:rsidR="006C7AA7" w:rsidRPr="00D0306F" w:rsidRDefault="006C7AA7" w:rsidP="00CC3BF4">
                  <w:pPr>
                    <w:rPr>
                      <w:rFonts w:eastAsia="Times New Roman" w:cs="Arial"/>
                    </w:rPr>
                  </w:pPr>
                  <w:r w:rsidRPr="00D0306F">
                    <w:rPr>
                      <w:rFonts w:eastAsia="Times New Roman" w:cs="Arial"/>
                    </w:rPr>
                    <w:t xml:space="preserve">Excellent </w:t>
                  </w:r>
                </w:p>
              </w:tc>
            </w:tr>
            <w:tr w:rsidR="006C7AA7" w:rsidRPr="00D0306F" w14:paraId="0A2D85B4"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85C1B71" w14:textId="77777777" w:rsidR="006C7AA7" w:rsidRPr="00D0306F" w:rsidRDefault="006C7AA7" w:rsidP="00CC3BF4">
                  <w:pPr>
                    <w:jc w:val="center"/>
                    <w:rPr>
                      <w:rFonts w:eastAsia="Times New Roman" w:cs="Arial"/>
                    </w:rPr>
                  </w:pPr>
                  <w:r w:rsidRPr="00D0306F">
                    <w:rPr>
                      <w:rFonts w:eastAsia="Times New Roman" w:cs="Arial"/>
                    </w:rPr>
                    <w:t>42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095B57C"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A60446A" w14:textId="77777777" w:rsidR="006C7AA7" w:rsidRPr="00D0306F" w:rsidRDefault="006C7AA7" w:rsidP="00CC3BF4">
                  <w:pPr>
                    <w:rPr>
                      <w:rFonts w:eastAsia="Times New Roman" w:cs="Arial"/>
                    </w:rPr>
                  </w:pPr>
                  <w:r w:rsidRPr="00D0306F">
                    <w:rPr>
                      <w:rFonts w:eastAsia="Times New Roman" w:cs="Arial"/>
                    </w:rPr>
                    <w:t>Well run and efficient</w:t>
                  </w:r>
                </w:p>
              </w:tc>
            </w:tr>
            <w:tr w:rsidR="006C7AA7" w:rsidRPr="00D0306F" w14:paraId="28509A86"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F6F1326" w14:textId="77777777" w:rsidR="006C7AA7" w:rsidRPr="00D0306F" w:rsidRDefault="006C7AA7" w:rsidP="00CC3BF4">
                  <w:pPr>
                    <w:jc w:val="center"/>
                    <w:rPr>
                      <w:rFonts w:eastAsia="Times New Roman" w:cs="Arial"/>
                    </w:rPr>
                  </w:pPr>
                  <w:r w:rsidRPr="00D0306F">
                    <w:rPr>
                      <w:rFonts w:eastAsia="Times New Roman" w:cs="Arial"/>
                    </w:rPr>
                    <w:t>43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33E5A98"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A263F20" w14:textId="77777777" w:rsidR="006C7AA7" w:rsidRPr="00D0306F" w:rsidRDefault="006C7AA7" w:rsidP="00CC3BF4">
                  <w:pPr>
                    <w:rPr>
                      <w:rFonts w:eastAsia="Times New Roman" w:cs="Arial"/>
                    </w:rPr>
                  </w:pPr>
                  <w:r w:rsidRPr="00D0306F">
                    <w:rPr>
                      <w:rFonts w:eastAsia="Times New Roman" w:cs="Arial"/>
                    </w:rPr>
                    <w:t xml:space="preserve">I love my local pharmacy but they don't alway have all my medication in stock and I often have to make several trips to collect my missing medication </w:t>
                  </w:r>
                </w:p>
              </w:tc>
            </w:tr>
            <w:tr w:rsidR="006C7AA7" w:rsidRPr="00D0306F" w14:paraId="20C658C8"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744CFBC" w14:textId="77777777" w:rsidR="006C7AA7" w:rsidRPr="00D0306F" w:rsidRDefault="006C7AA7" w:rsidP="00CC3BF4">
                  <w:pPr>
                    <w:jc w:val="center"/>
                    <w:rPr>
                      <w:rFonts w:eastAsia="Times New Roman" w:cs="Arial"/>
                    </w:rPr>
                  </w:pPr>
                  <w:r w:rsidRPr="00D0306F">
                    <w:rPr>
                      <w:rFonts w:eastAsia="Times New Roman" w:cs="Arial"/>
                    </w:rPr>
                    <w:t>44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5E23CF5"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3495ECB" w14:textId="77777777" w:rsidR="006C7AA7" w:rsidRPr="00D0306F" w:rsidRDefault="006C7AA7" w:rsidP="00CC3BF4">
                  <w:pPr>
                    <w:rPr>
                      <w:rFonts w:eastAsia="Times New Roman" w:cs="Arial"/>
                    </w:rPr>
                  </w:pPr>
                  <w:r w:rsidRPr="00D0306F">
                    <w:rPr>
                      <w:rFonts w:eastAsia="Times New Roman" w:cs="Arial"/>
                    </w:rPr>
                    <w:t xml:space="preserve">Majority of the time, no issues, difficult to park close as im disabled and have difficulties with walking </w:t>
                  </w:r>
                </w:p>
              </w:tc>
            </w:tr>
            <w:tr w:rsidR="006C7AA7" w:rsidRPr="00D0306F" w14:paraId="05AE1449"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448AB9F" w14:textId="77777777" w:rsidR="006C7AA7" w:rsidRPr="00D0306F" w:rsidRDefault="006C7AA7" w:rsidP="00CC3BF4">
                  <w:pPr>
                    <w:jc w:val="center"/>
                    <w:rPr>
                      <w:rFonts w:eastAsia="Times New Roman" w:cs="Arial"/>
                    </w:rPr>
                  </w:pPr>
                  <w:r w:rsidRPr="00D0306F">
                    <w:rPr>
                      <w:rFonts w:eastAsia="Times New Roman" w:cs="Arial"/>
                    </w:rPr>
                    <w:t>45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2ECF118"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6E9E2C8" w14:textId="77777777" w:rsidR="006C7AA7" w:rsidRPr="00D0306F" w:rsidRDefault="006C7AA7" w:rsidP="00CC3BF4">
                  <w:pPr>
                    <w:rPr>
                      <w:rFonts w:eastAsia="Times New Roman" w:cs="Arial"/>
                    </w:rPr>
                  </w:pPr>
                  <w:r w:rsidRPr="00D0306F">
                    <w:rPr>
                      <w:rFonts w:eastAsia="Times New Roman" w:cs="Arial"/>
                    </w:rPr>
                    <w:t>[name] Pharmacy is brilliant in that our prescriptions automatically get sent across the road from the surgery to there. We then get a text message to go to collect the prescription from the automated out of hours machine. Sooo much easier to use when you work full time during the week.</w:t>
                  </w:r>
                </w:p>
              </w:tc>
            </w:tr>
            <w:tr w:rsidR="006C7AA7" w:rsidRPr="00D0306F" w14:paraId="3B10EBBA"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24CF14A" w14:textId="77777777" w:rsidR="006C7AA7" w:rsidRPr="00D0306F" w:rsidRDefault="006C7AA7" w:rsidP="00CC3BF4">
                  <w:pPr>
                    <w:jc w:val="center"/>
                    <w:rPr>
                      <w:rFonts w:eastAsia="Times New Roman" w:cs="Arial"/>
                    </w:rPr>
                  </w:pPr>
                  <w:r w:rsidRPr="00D0306F">
                    <w:rPr>
                      <w:rFonts w:eastAsia="Times New Roman" w:cs="Arial"/>
                    </w:rPr>
                    <w:lastRenderedPageBreak/>
                    <w:t>46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CD16345"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7DA4188" w14:textId="77777777" w:rsidR="006C7AA7" w:rsidRPr="00D0306F" w:rsidRDefault="006C7AA7" w:rsidP="00CC3BF4">
                  <w:pPr>
                    <w:rPr>
                      <w:rFonts w:eastAsia="Times New Roman" w:cs="Arial"/>
                    </w:rPr>
                  </w:pPr>
                  <w:r w:rsidRPr="00D0306F">
                    <w:rPr>
                      <w:rFonts w:eastAsia="Times New Roman" w:cs="Arial"/>
                    </w:rPr>
                    <w:t>Dreadful,rude, kept waiting 45 mins only to be told the meds were not there. Queues down the road.</w:t>
                  </w:r>
                </w:p>
              </w:tc>
            </w:tr>
            <w:tr w:rsidR="006C7AA7" w:rsidRPr="00D0306F" w14:paraId="6AD0EF11"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33018F0" w14:textId="77777777" w:rsidR="006C7AA7" w:rsidRPr="00D0306F" w:rsidRDefault="006C7AA7" w:rsidP="00CC3BF4">
                  <w:pPr>
                    <w:jc w:val="center"/>
                    <w:rPr>
                      <w:rFonts w:eastAsia="Times New Roman" w:cs="Arial"/>
                    </w:rPr>
                  </w:pPr>
                  <w:r w:rsidRPr="00D0306F">
                    <w:rPr>
                      <w:rFonts w:eastAsia="Times New Roman" w:cs="Arial"/>
                    </w:rPr>
                    <w:t>47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73964E9"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FE1218D" w14:textId="77777777" w:rsidR="006C7AA7" w:rsidRPr="00D0306F" w:rsidRDefault="006C7AA7" w:rsidP="00CC3BF4">
                  <w:pPr>
                    <w:rPr>
                      <w:rFonts w:eastAsia="Times New Roman" w:cs="Arial"/>
                    </w:rPr>
                  </w:pPr>
                  <w:r w:rsidRPr="00D0306F">
                    <w:rPr>
                      <w:rFonts w:eastAsia="Times New Roman" w:cs="Arial"/>
                    </w:rPr>
                    <w:t>I use [name] always struggle with supplies.Slow service have to wait 10mins to be seen.Then hours or days to collect medication.I chose a [type of pharmacy] thinking they woukd have more stock, but they don't .So medication always delayed</w:t>
                  </w:r>
                </w:p>
              </w:tc>
            </w:tr>
            <w:tr w:rsidR="006C7AA7" w:rsidRPr="00D0306F" w14:paraId="33E80322"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C705F00" w14:textId="77777777" w:rsidR="006C7AA7" w:rsidRPr="00D0306F" w:rsidRDefault="006C7AA7" w:rsidP="00CC3BF4">
                  <w:pPr>
                    <w:jc w:val="center"/>
                    <w:rPr>
                      <w:rFonts w:eastAsia="Times New Roman" w:cs="Arial"/>
                    </w:rPr>
                  </w:pPr>
                  <w:r w:rsidRPr="00D0306F">
                    <w:rPr>
                      <w:rFonts w:eastAsia="Times New Roman" w:cs="Arial"/>
                    </w:rPr>
                    <w:t>48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DF97EB5"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77EBB65" w14:textId="77777777" w:rsidR="006C7AA7" w:rsidRPr="00D0306F" w:rsidRDefault="006C7AA7" w:rsidP="00CC3BF4">
                  <w:pPr>
                    <w:rPr>
                      <w:rFonts w:eastAsia="Times New Roman" w:cs="Arial"/>
                    </w:rPr>
                  </w:pPr>
                  <w:r w:rsidRPr="00D0306F">
                    <w:rPr>
                      <w:rFonts w:eastAsia="Times New Roman" w:cs="Arial"/>
                    </w:rPr>
                    <w:t>The wait times at some pharmacies lately has been awful.</w:t>
                  </w:r>
                  <w:r w:rsidRPr="00D0306F">
                    <w:rPr>
                      <w:rFonts w:eastAsia="Times New Roman" w:cs="Arial"/>
                    </w:rPr>
                    <w:br/>
                  </w:r>
                  <w:r w:rsidRPr="00D0306F">
                    <w:rPr>
                      <w:rFonts w:eastAsia="Times New Roman" w:cs="Arial"/>
                    </w:rPr>
                    <w:br/>
                    <w:t xml:space="preserve">The pharmacy on [name] pharmacy told me to return in 24 hours to pick up a simple antibiotic and the pharmacy in [name] and [name] also told me it would at least be an hours wait. The prescription had been given to me from out of hours services where I had been up all night unwell and was forced to wait an hour for a prescription whilst feeling unwell which is awful </w:t>
                  </w:r>
                </w:p>
              </w:tc>
            </w:tr>
            <w:tr w:rsidR="006C7AA7" w:rsidRPr="00D0306F" w14:paraId="6D5851F6"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6CD0957" w14:textId="77777777" w:rsidR="006C7AA7" w:rsidRPr="00D0306F" w:rsidRDefault="006C7AA7" w:rsidP="00CC3BF4">
                  <w:pPr>
                    <w:jc w:val="center"/>
                    <w:rPr>
                      <w:rFonts w:eastAsia="Times New Roman" w:cs="Arial"/>
                    </w:rPr>
                  </w:pPr>
                  <w:r w:rsidRPr="00D0306F">
                    <w:rPr>
                      <w:rFonts w:eastAsia="Times New Roman" w:cs="Arial"/>
                    </w:rPr>
                    <w:t>49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2EC2E36"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9B5C521" w14:textId="77777777" w:rsidR="006C7AA7" w:rsidRPr="00D0306F" w:rsidRDefault="006C7AA7" w:rsidP="00CC3BF4">
                  <w:pPr>
                    <w:rPr>
                      <w:rFonts w:eastAsia="Times New Roman" w:cs="Arial"/>
                    </w:rPr>
                  </w:pPr>
                  <w:r w:rsidRPr="00D0306F">
                    <w:rPr>
                      <w:rFonts w:eastAsia="Times New Roman" w:cs="Arial"/>
                    </w:rPr>
                    <w:t xml:space="preserve">I don’t have to visit pharmacy shop as I get texted a code and able to access my prescription at my convenience through a collection point. </w:t>
                  </w:r>
                </w:p>
              </w:tc>
            </w:tr>
            <w:tr w:rsidR="006C7AA7" w:rsidRPr="00D0306F" w14:paraId="0480B109"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04D3570" w14:textId="77777777" w:rsidR="006C7AA7" w:rsidRPr="00D0306F" w:rsidRDefault="006C7AA7" w:rsidP="00CC3BF4">
                  <w:pPr>
                    <w:jc w:val="center"/>
                    <w:rPr>
                      <w:rFonts w:eastAsia="Times New Roman" w:cs="Arial"/>
                    </w:rPr>
                  </w:pPr>
                  <w:r w:rsidRPr="00D0306F">
                    <w:rPr>
                      <w:rFonts w:eastAsia="Times New Roman" w:cs="Arial"/>
                    </w:rPr>
                    <w:t>50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D07F941"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5F21E4A" w14:textId="77777777" w:rsidR="006C7AA7" w:rsidRPr="00D0306F" w:rsidRDefault="006C7AA7" w:rsidP="00CC3BF4">
                  <w:pPr>
                    <w:rPr>
                      <w:rFonts w:eastAsia="Times New Roman" w:cs="Arial"/>
                    </w:rPr>
                  </w:pPr>
                  <w:r w:rsidRPr="00D0306F">
                    <w:rPr>
                      <w:rFonts w:eastAsia="Times New Roman" w:cs="Arial"/>
                    </w:rPr>
                    <w:t xml:space="preserve">Lovely and friendly but they seem overly busy the wait is long </w:t>
                  </w:r>
                </w:p>
              </w:tc>
            </w:tr>
            <w:tr w:rsidR="006C7AA7" w:rsidRPr="00D0306F" w14:paraId="2980E021"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81469EE" w14:textId="77777777" w:rsidR="006C7AA7" w:rsidRPr="00D0306F" w:rsidRDefault="006C7AA7" w:rsidP="00CC3BF4">
                  <w:pPr>
                    <w:jc w:val="center"/>
                    <w:rPr>
                      <w:rFonts w:eastAsia="Times New Roman" w:cs="Arial"/>
                    </w:rPr>
                  </w:pPr>
                  <w:r w:rsidRPr="00D0306F">
                    <w:rPr>
                      <w:rFonts w:eastAsia="Times New Roman" w:cs="Arial"/>
                    </w:rPr>
                    <w:t>51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230AA20"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FFB5F39" w14:textId="77777777" w:rsidR="006C7AA7" w:rsidRPr="00D0306F" w:rsidRDefault="006C7AA7" w:rsidP="00CC3BF4">
                  <w:pPr>
                    <w:rPr>
                      <w:rFonts w:eastAsia="Times New Roman" w:cs="Arial"/>
                    </w:rPr>
                  </w:pPr>
                  <w:r w:rsidRPr="00D0306F">
                    <w:rPr>
                      <w:rFonts w:eastAsia="Times New Roman" w:cs="Arial"/>
                    </w:rPr>
                    <w:t>[name] Pharmacy is a very good pharmacy with useful collection from machine service. Staff are always helpful and friendly.</w:t>
                  </w:r>
                </w:p>
              </w:tc>
            </w:tr>
            <w:tr w:rsidR="006C7AA7" w:rsidRPr="00D0306F" w14:paraId="2707628A"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0232455" w14:textId="77777777" w:rsidR="006C7AA7" w:rsidRPr="00D0306F" w:rsidRDefault="006C7AA7" w:rsidP="00CC3BF4">
                  <w:pPr>
                    <w:jc w:val="center"/>
                    <w:rPr>
                      <w:rFonts w:eastAsia="Times New Roman" w:cs="Arial"/>
                    </w:rPr>
                  </w:pPr>
                  <w:r w:rsidRPr="00D0306F">
                    <w:rPr>
                      <w:rFonts w:eastAsia="Times New Roman" w:cs="Arial"/>
                    </w:rPr>
                    <w:t>52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F35C29E"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C781D42" w14:textId="77777777" w:rsidR="006C7AA7" w:rsidRPr="00D0306F" w:rsidRDefault="006C7AA7" w:rsidP="00CC3BF4">
                  <w:pPr>
                    <w:rPr>
                      <w:rFonts w:eastAsia="Times New Roman" w:cs="Arial"/>
                    </w:rPr>
                  </w:pPr>
                  <w:r w:rsidRPr="00D0306F">
                    <w:rPr>
                      <w:rFonts w:eastAsia="Times New Roman" w:cs="Arial"/>
                    </w:rPr>
                    <w:t>I am generally very satisfied with their repeat prescription delivery service.</w:t>
                  </w:r>
                </w:p>
              </w:tc>
            </w:tr>
            <w:tr w:rsidR="006C7AA7" w:rsidRPr="00D0306F" w14:paraId="5D26CD0E"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15C21D2" w14:textId="77777777" w:rsidR="006C7AA7" w:rsidRPr="00D0306F" w:rsidRDefault="006C7AA7" w:rsidP="00CC3BF4">
                  <w:pPr>
                    <w:jc w:val="center"/>
                    <w:rPr>
                      <w:rFonts w:eastAsia="Times New Roman" w:cs="Arial"/>
                    </w:rPr>
                  </w:pPr>
                  <w:r w:rsidRPr="00D0306F">
                    <w:rPr>
                      <w:rFonts w:eastAsia="Times New Roman" w:cs="Arial"/>
                    </w:rPr>
                    <w:t>53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68A5F64"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57A3A99" w14:textId="77777777" w:rsidR="006C7AA7" w:rsidRPr="00D0306F" w:rsidRDefault="006C7AA7" w:rsidP="00CC3BF4">
                  <w:pPr>
                    <w:rPr>
                      <w:rFonts w:eastAsia="Times New Roman" w:cs="Arial"/>
                    </w:rPr>
                  </w:pPr>
                  <w:r w:rsidRPr="00D0306F">
                    <w:rPr>
                      <w:rFonts w:eastAsia="Times New Roman" w:cs="Arial"/>
                    </w:rPr>
                    <w:t xml:space="preserve">Cannot fault the service </w:t>
                  </w:r>
                </w:p>
              </w:tc>
            </w:tr>
            <w:tr w:rsidR="006C7AA7" w:rsidRPr="00D0306F" w14:paraId="0C5B73FD"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4958B3F" w14:textId="77777777" w:rsidR="006C7AA7" w:rsidRPr="00D0306F" w:rsidRDefault="006C7AA7" w:rsidP="00CC3BF4">
                  <w:pPr>
                    <w:jc w:val="center"/>
                    <w:rPr>
                      <w:rFonts w:eastAsia="Times New Roman" w:cs="Arial"/>
                    </w:rPr>
                  </w:pPr>
                  <w:r w:rsidRPr="00D0306F">
                    <w:rPr>
                      <w:rFonts w:eastAsia="Times New Roman" w:cs="Arial"/>
                    </w:rPr>
                    <w:t>54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80BBEB6"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5A02941" w14:textId="77777777" w:rsidR="006C7AA7" w:rsidRPr="00D0306F" w:rsidRDefault="006C7AA7" w:rsidP="00CC3BF4">
                  <w:pPr>
                    <w:rPr>
                      <w:rFonts w:eastAsia="Times New Roman" w:cs="Arial"/>
                    </w:rPr>
                  </w:pPr>
                  <w:r w:rsidRPr="00D0306F">
                    <w:rPr>
                      <w:rFonts w:eastAsia="Times New Roman" w:cs="Arial"/>
                    </w:rPr>
                    <w:t xml:space="preserve">Friendly, fast reliable service </w:t>
                  </w:r>
                </w:p>
              </w:tc>
            </w:tr>
            <w:tr w:rsidR="006C7AA7" w:rsidRPr="00D0306F" w14:paraId="419884B4"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B7D6E6E" w14:textId="77777777" w:rsidR="006C7AA7" w:rsidRPr="00D0306F" w:rsidRDefault="006C7AA7" w:rsidP="00CC3BF4">
                  <w:pPr>
                    <w:jc w:val="center"/>
                    <w:rPr>
                      <w:rFonts w:eastAsia="Times New Roman" w:cs="Arial"/>
                    </w:rPr>
                  </w:pPr>
                  <w:r w:rsidRPr="00D0306F">
                    <w:rPr>
                      <w:rFonts w:eastAsia="Times New Roman" w:cs="Arial"/>
                    </w:rPr>
                    <w:t>55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6022A50"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C1DE2F5" w14:textId="77777777" w:rsidR="006C7AA7" w:rsidRPr="00D0306F" w:rsidRDefault="006C7AA7" w:rsidP="00CC3BF4">
                  <w:pPr>
                    <w:rPr>
                      <w:rFonts w:eastAsia="Times New Roman" w:cs="Arial"/>
                    </w:rPr>
                  </w:pPr>
                  <w:r w:rsidRPr="00D0306F">
                    <w:rPr>
                      <w:rFonts w:eastAsia="Times New Roman" w:cs="Arial"/>
                    </w:rPr>
                    <w:t xml:space="preserve">[name] are always cheerful, friendly and knowledgeable. They always go above and beyond to assist customers. </w:t>
                  </w:r>
                </w:p>
              </w:tc>
            </w:tr>
            <w:tr w:rsidR="006C7AA7" w:rsidRPr="00D0306F" w14:paraId="73E87A4B"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327D3F8" w14:textId="77777777" w:rsidR="006C7AA7" w:rsidRPr="00D0306F" w:rsidRDefault="006C7AA7" w:rsidP="00CC3BF4">
                  <w:pPr>
                    <w:jc w:val="center"/>
                    <w:rPr>
                      <w:rFonts w:eastAsia="Times New Roman" w:cs="Arial"/>
                    </w:rPr>
                  </w:pPr>
                  <w:r w:rsidRPr="00D0306F">
                    <w:rPr>
                      <w:rFonts w:eastAsia="Times New Roman" w:cs="Arial"/>
                    </w:rPr>
                    <w:t>56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9FB9E1E"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4EDDA9C" w14:textId="77777777" w:rsidR="006C7AA7" w:rsidRPr="00D0306F" w:rsidRDefault="006C7AA7" w:rsidP="00CC3BF4">
                  <w:pPr>
                    <w:rPr>
                      <w:rFonts w:eastAsia="Times New Roman" w:cs="Arial"/>
                    </w:rPr>
                  </w:pPr>
                  <w:r w:rsidRPr="00D0306F">
                    <w:rPr>
                      <w:rFonts w:eastAsia="Times New Roman" w:cs="Arial"/>
                    </w:rPr>
                    <w:t>The [name] Pharmacy has a brilliant out of hours/24 hour prescription dispensing machine. I get a text code to access it. It's easy to park there on my way home from work. [name] Pharmacy is nearer to me but doesn't have any of the above.</w:t>
                  </w:r>
                </w:p>
              </w:tc>
            </w:tr>
            <w:tr w:rsidR="006C7AA7" w:rsidRPr="00D0306F" w14:paraId="7EC53A52"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8A89777" w14:textId="77777777" w:rsidR="006C7AA7" w:rsidRPr="00D0306F" w:rsidRDefault="006C7AA7" w:rsidP="00CC3BF4">
                  <w:pPr>
                    <w:jc w:val="center"/>
                    <w:rPr>
                      <w:rFonts w:eastAsia="Times New Roman" w:cs="Arial"/>
                    </w:rPr>
                  </w:pPr>
                  <w:r w:rsidRPr="00D0306F">
                    <w:rPr>
                      <w:rFonts w:eastAsia="Times New Roman" w:cs="Arial"/>
                    </w:rPr>
                    <w:t>57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6C792C3"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1561736" w14:textId="77777777" w:rsidR="006C7AA7" w:rsidRPr="00D0306F" w:rsidRDefault="006C7AA7" w:rsidP="00CC3BF4">
                  <w:pPr>
                    <w:rPr>
                      <w:rFonts w:eastAsia="Times New Roman" w:cs="Arial"/>
                    </w:rPr>
                  </w:pPr>
                  <w:r w:rsidRPr="00D0306F">
                    <w:rPr>
                      <w:rFonts w:eastAsia="Times New Roman" w:cs="Arial"/>
                    </w:rPr>
                    <w:t xml:space="preserve">[name] is brilliant I order my prescription online and it is delivered within 3 working days I am very happy with their service </w:t>
                  </w:r>
                </w:p>
              </w:tc>
            </w:tr>
            <w:tr w:rsidR="006C7AA7" w:rsidRPr="00D0306F" w14:paraId="7E4215CA"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F5B5578" w14:textId="77777777" w:rsidR="006C7AA7" w:rsidRPr="00D0306F" w:rsidRDefault="006C7AA7" w:rsidP="00CC3BF4">
                  <w:pPr>
                    <w:jc w:val="center"/>
                    <w:rPr>
                      <w:rFonts w:eastAsia="Times New Roman" w:cs="Arial"/>
                    </w:rPr>
                  </w:pPr>
                  <w:r w:rsidRPr="00D0306F">
                    <w:rPr>
                      <w:rFonts w:eastAsia="Times New Roman" w:cs="Arial"/>
                    </w:rPr>
                    <w:lastRenderedPageBreak/>
                    <w:t>58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DEADC33"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60E50E4" w14:textId="77777777" w:rsidR="006C7AA7" w:rsidRPr="00D0306F" w:rsidRDefault="006C7AA7" w:rsidP="00CC3BF4">
                  <w:pPr>
                    <w:rPr>
                      <w:rFonts w:eastAsia="Times New Roman" w:cs="Arial"/>
                    </w:rPr>
                  </w:pPr>
                  <w:r w:rsidRPr="00D0306F">
                    <w:rPr>
                      <w:rFonts w:eastAsia="Times New Roman" w:cs="Arial"/>
                    </w:rPr>
                    <w:t>Receptioniat in surgery advises you to contact pharmacist for consultation. Ring pharmacy no appointments available. Vicous circle then back to GP for appointment to try to speak or see someone</w:t>
                  </w:r>
                </w:p>
              </w:tc>
            </w:tr>
            <w:tr w:rsidR="006C7AA7" w:rsidRPr="00D0306F" w14:paraId="0F2B03BB"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84AD3DA" w14:textId="77777777" w:rsidR="006C7AA7" w:rsidRPr="00D0306F" w:rsidRDefault="006C7AA7" w:rsidP="00CC3BF4">
                  <w:pPr>
                    <w:jc w:val="center"/>
                    <w:rPr>
                      <w:rFonts w:eastAsia="Times New Roman" w:cs="Arial"/>
                    </w:rPr>
                  </w:pPr>
                  <w:r w:rsidRPr="00D0306F">
                    <w:rPr>
                      <w:rFonts w:eastAsia="Times New Roman" w:cs="Arial"/>
                    </w:rPr>
                    <w:t>59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9AE3A91"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C09CDDB" w14:textId="77777777" w:rsidR="006C7AA7" w:rsidRPr="00D0306F" w:rsidRDefault="006C7AA7" w:rsidP="00CC3BF4">
                  <w:pPr>
                    <w:rPr>
                      <w:rFonts w:eastAsia="Times New Roman" w:cs="Arial"/>
                    </w:rPr>
                  </w:pPr>
                  <w:r w:rsidRPr="00D0306F">
                    <w:rPr>
                      <w:rFonts w:eastAsia="Times New Roman" w:cs="Arial"/>
                    </w:rPr>
                    <w:t>Able to have prescriptions sent to pharmacy from GP</w:t>
                  </w:r>
                </w:p>
              </w:tc>
            </w:tr>
            <w:tr w:rsidR="006C7AA7" w:rsidRPr="00D0306F" w14:paraId="64035179"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03AE71E" w14:textId="77777777" w:rsidR="006C7AA7" w:rsidRPr="00D0306F" w:rsidRDefault="006C7AA7" w:rsidP="00CC3BF4">
                  <w:pPr>
                    <w:jc w:val="center"/>
                    <w:rPr>
                      <w:rFonts w:eastAsia="Times New Roman" w:cs="Arial"/>
                    </w:rPr>
                  </w:pPr>
                  <w:r w:rsidRPr="00D0306F">
                    <w:rPr>
                      <w:rFonts w:eastAsia="Times New Roman" w:cs="Arial"/>
                    </w:rPr>
                    <w:t>60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EC116A1"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08E0931" w14:textId="77777777" w:rsidR="006C7AA7" w:rsidRPr="00D0306F" w:rsidRDefault="006C7AA7" w:rsidP="00CC3BF4">
                  <w:pPr>
                    <w:rPr>
                      <w:rFonts w:eastAsia="Times New Roman" w:cs="Arial"/>
                    </w:rPr>
                  </w:pPr>
                  <w:r w:rsidRPr="00D0306F">
                    <w:rPr>
                      <w:rFonts w:eastAsia="Times New Roman" w:cs="Arial"/>
                    </w:rPr>
                    <w:t xml:space="preserve">[name] Pharmacy is very good, staff are very kind and helpful. Sometimes they don't have all tablet's needed. But have them within a few days. </w:t>
                  </w:r>
                  <w:r w:rsidRPr="00D0306F">
                    <w:rPr>
                      <w:rFonts w:eastAsia="Times New Roman" w:cs="Arial"/>
                    </w:rPr>
                    <w:br/>
                    <w:t xml:space="preserve">[name] Pharmacy is terrible, staff are very rude. Go in after seeing doctor with medication thats needed, always told I need to wait 40min or the following day after 2pm. On one occasion went in for antibiotics, this was a Friday 2pm was told it would be available Tuesday after 2pm. They even close for 1hour for lunch. </w:t>
                  </w:r>
                </w:p>
              </w:tc>
            </w:tr>
            <w:tr w:rsidR="006C7AA7" w:rsidRPr="00D0306F" w14:paraId="42DDE8A8"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E598365" w14:textId="77777777" w:rsidR="006C7AA7" w:rsidRPr="00D0306F" w:rsidRDefault="006C7AA7" w:rsidP="00CC3BF4">
                  <w:pPr>
                    <w:jc w:val="center"/>
                    <w:rPr>
                      <w:rFonts w:eastAsia="Times New Roman" w:cs="Arial"/>
                    </w:rPr>
                  </w:pPr>
                  <w:r w:rsidRPr="00D0306F">
                    <w:rPr>
                      <w:rFonts w:eastAsia="Times New Roman" w:cs="Arial"/>
                    </w:rPr>
                    <w:t>61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B12A955"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5F71499" w14:textId="77777777" w:rsidR="006C7AA7" w:rsidRPr="00D0306F" w:rsidRDefault="006C7AA7" w:rsidP="00CC3BF4">
                  <w:pPr>
                    <w:rPr>
                      <w:rFonts w:eastAsia="Times New Roman" w:cs="Arial"/>
                    </w:rPr>
                  </w:pPr>
                  <w:r w:rsidRPr="00D0306F">
                    <w:rPr>
                      <w:rFonts w:eastAsia="Times New Roman" w:cs="Arial"/>
                    </w:rPr>
                    <w:t>I have been with [name] pharmacy 11 yrs. I have recently changed pharmacies as the local one appears to run out of medication ie antibiotics. I have seen a massive decline in my local pharmacy regarding putting somebody else’s medication in my bag. I have monthly repeat prescriptions. They don’t inform you if there are issues with getting hold of your medication ie propranolol if I didn’t think they are late sending me a text to say medication is ready I would have not been able to take my propranolol which is solely for high blood pressure. When I went there told me to find another pharmacy not acceptable as it turned out I had to ask the gp go new script for the propranolol they could get. I was on slow release form.</w:t>
                  </w:r>
                </w:p>
              </w:tc>
            </w:tr>
            <w:tr w:rsidR="006C7AA7" w:rsidRPr="00D0306F" w14:paraId="4E2DBAA8"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6333BEA" w14:textId="77777777" w:rsidR="006C7AA7" w:rsidRPr="00D0306F" w:rsidRDefault="006C7AA7" w:rsidP="00CC3BF4">
                  <w:pPr>
                    <w:jc w:val="center"/>
                    <w:rPr>
                      <w:rFonts w:eastAsia="Times New Roman" w:cs="Arial"/>
                    </w:rPr>
                  </w:pPr>
                  <w:r w:rsidRPr="00D0306F">
                    <w:rPr>
                      <w:rFonts w:eastAsia="Times New Roman" w:cs="Arial"/>
                    </w:rPr>
                    <w:t>62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68E5368"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D2276A1" w14:textId="77777777" w:rsidR="006C7AA7" w:rsidRPr="00D0306F" w:rsidRDefault="006C7AA7" w:rsidP="00CC3BF4">
                  <w:pPr>
                    <w:rPr>
                      <w:rFonts w:eastAsia="Times New Roman" w:cs="Arial"/>
                    </w:rPr>
                  </w:pPr>
                  <w:r w:rsidRPr="00D0306F">
                    <w:rPr>
                      <w:rFonts w:eastAsia="Times New Roman" w:cs="Arial"/>
                    </w:rPr>
                    <w:t>The closest to my home, small community pharmacy offering outstanding service, including personal knowledge if advice needed.</w:t>
                  </w:r>
                </w:p>
              </w:tc>
            </w:tr>
            <w:tr w:rsidR="006C7AA7" w:rsidRPr="00D0306F" w14:paraId="397E9128"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B5E9366" w14:textId="77777777" w:rsidR="006C7AA7" w:rsidRPr="00D0306F" w:rsidRDefault="006C7AA7" w:rsidP="00CC3BF4">
                  <w:pPr>
                    <w:jc w:val="center"/>
                    <w:rPr>
                      <w:rFonts w:eastAsia="Times New Roman" w:cs="Arial"/>
                    </w:rPr>
                  </w:pPr>
                  <w:r w:rsidRPr="00D0306F">
                    <w:rPr>
                      <w:rFonts w:eastAsia="Times New Roman" w:cs="Arial"/>
                    </w:rPr>
                    <w:t>63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6499E21"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14404F2" w14:textId="77777777" w:rsidR="006C7AA7" w:rsidRPr="00D0306F" w:rsidRDefault="006C7AA7" w:rsidP="00CC3BF4">
                  <w:pPr>
                    <w:rPr>
                      <w:rFonts w:eastAsia="Times New Roman" w:cs="Arial"/>
                    </w:rPr>
                  </w:pPr>
                  <w:r w:rsidRPr="00D0306F">
                    <w:rPr>
                      <w:rFonts w:eastAsia="Times New Roman" w:cs="Arial"/>
                    </w:rPr>
                    <w:t>The pharmac based in [location] In the [location], exelent service and advice by all who works there.</w:t>
                  </w:r>
                </w:p>
              </w:tc>
            </w:tr>
            <w:tr w:rsidR="006C7AA7" w:rsidRPr="00D0306F" w14:paraId="78E7394F"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7936BD2" w14:textId="77777777" w:rsidR="006C7AA7" w:rsidRPr="00D0306F" w:rsidRDefault="006C7AA7" w:rsidP="00CC3BF4">
                  <w:pPr>
                    <w:jc w:val="center"/>
                    <w:rPr>
                      <w:rFonts w:eastAsia="Times New Roman" w:cs="Arial"/>
                    </w:rPr>
                  </w:pPr>
                  <w:r w:rsidRPr="00D0306F">
                    <w:rPr>
                      <w:rFonts w:eastAsia="Times New Roman" w:cs="Arial"/>
                    </w:rPr>
                    <w:t>64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D9C2B48"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B355ABF" w14:textId="77777777" w:rsidR="006C7AA7" w:rsidRPr="00D0306F" w:rsidRDefault="006C7AA7" w:rsidP="00CC3BF4">
                  <w:pPr>
                    <w:rPr>
                      <w:rFonts w:eastAsia="Times New Roman" w:cs="Arial"/>
                    </w:rPr>
                  </w:pPr>
                  <w:r w:rsidRPr="00D0306F">
                    <w:rPr>
                      <w:rFonts w:eastAsia="Times New Roman" w:cs="Arial"/>
                    </w:rPr>
                    <w:t xml:space="preserve">Fantastic local pharmacy, staff always go above and beyond. Medication is always in stock </w:t>
                  </w:r>
                </w:p>
              </w:tc>
            </w:tr>
            <w:tr w:rsidR="006C7AA7" w:rsidRPr="00D0306F" w14:paraId="1B63D284"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98E8981" w14:textId="77777777" w:rsidR="006C7AA7" w:rsidRPr="00D0306F" w:rsidRDefault="006C7AA7" w:rsidP="00CC3BF4">
                  <w:pPr>
                    <w:jc w:val="center"/>
                    <w:rPr>
                      <w:rFonts w:eastAsia="Times New Roman" w:cs="Arial"/>
                    </w:rPr>
                  </w:pPr>
                  <w:r w:rsidRPr="00D0306F">
                    <w:rPr>
                      <w:rFonts w:eastAsia="Times New Roman" w:cs="Arial"/>
                    </w:rPr>
                    <w:t>65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C3DF2CE"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F98939C" w14:textId="77777777" w:rsidR="006C7AA7" w:rsidRPr="00D0306F" w:rsidRDefault="006C7AA7" w:rsidP="00CC3BF4">
                  <w:pPr>
                    <w:rPr>
                      <w:rFonts w:eastAsia="Times New Roman" w:cs="Arial"/>
                    </w:rPr>
                  </w:pPr>
                  <w:r w:rsidRPr="00D0306F">
                    <w:rPr>
                      <w:rFonts w:eastAsia="Times New Roman" w:cs="Arial"/>
                    </w:rPr>
                    <w:t>Service between GP and pharmacy working well. I order my repeat medication on line via NHS Wales app and receive text from pharmacy when they are ready to collect.</w:t>
                  </w:r>
                </w:p>
              </w:tc>
            </w:tr>
            <w:tr w:rsidR="006C7AA7" w:rsidRPr="00D0306F" w14:paraId="3EB9632C"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F8FDBC2" w14:textId="77777777" w:rsidR="006C7AA7" w:rsidRPr="00D0306F" w:rsidRDefault="006C7AA7" w:rsidP="00CC3BF4">
                  <w:pPr>
                    <w:jc w:val="center"/>
                    <w:rPr>
                      <w:rFonts w:eastAsia="Times New Roman" w:cs="Arial"/>
                    </w:rPr>
                  </w:pPr>
                  <w:r w:rsidRPr="00D0306F">
                    <w:rPr>
                      <w:rFonts w:eastAsia="Times New Roman" w:cs="Arial"/>
                    </w:rPr>
                    <w:t>66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CEE7818"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38209A8" w14:textId="77777777" w:rsidR="006C7AA7" w:rsidRPr="00D0306F" w:rsidRDefault="006C7AA7" w:rsidP="00CC3BF4">
                  <w:pPr>
                    <w:rPr>
                      <w:rFonts w:eastAsia="Times New Roman" w:cs="Arial"/>
                    </w:rPr>
                  </w:pPr>
                  <w:r w:rsidRPr="00D0306F">
                    <w:rPr>
                      <w:rFonts w:eastAsia="Times New Roman" w:cs="Arial"/>
                    </w:rPr>
                    <w:t xml:space="preserve">Helpful, obliging, kind and efficient </w:t>
                  </w:r>
                </w:p>
              </w:tc>
            </w:tr>
            <w:tr w:rsidR="006C7AA7" w:rsidRPr="00D0306F" w14:paraId="43E79C84"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91E7376" w14:textId="77777777" w:rsidR="006C7AA7" w:rsidRPr="00D0306F" w:rsidRDefault="006C7AA7" w:rsidP="00CC3BF4">
                  <w:pPr>
                    <w:jc w:val="center"/>
                    <w:rPr>
                      <w:rFonts w:eastAsia="Times New Roman" w:cs="Arial"/>
                    </w:rPr>
                  </w:pPr>
                  <w:r w:rsidRPr="00D0306F">
                    <w:rPr>
                      <w:rFonts w:eastAsia="Times New Roman" w:cs="Arial"/>
                    </w:rPr>
                    <w:lastRenderedPageBreak/>
                    <w:t>67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04065F6"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1945E04" w14:textId="77777777" w:rsidR="006C7AA7" w:rsidRPr="00D0306F" w:rsidRDefault="006C7AA7" w:rsidP="00CC3BF4">
                  <w:pPr>
                    <w:rPr>
                      <w:rFonts w:eastAsia="Times New Roman" w:cs="Arial"/>
                    </w:rPr>
                  </w:pPr>
                  <w:r w:rsidRPr="00D0306F">
                    <w:rPr>
                      <w:rFonts w:eastAsia="Times New Roman" w:cs="Arial"/>
                    </w:rPr>
                    <w:t>Great service and friendly staff. Usually has a good supply and if not, is able to get them in within days and will offer to deliver them</w:t>
                  </w:r>
                </w:p>
              </w:tc>
            </w:tr>
            <w:tr w:rsidR="006C7AA7" w:rsidRPr="00D0306F" w14:paraId="32F9CEDF"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76C3E5C" w14:textId="77777777" w:rsidR="006C7AA7" w:rsidRPr="00D0306F" w:rsidRDefault="006C7AA7" w:rsidP="00CC3BF4">
                  <w:pPr>
                    <w:jc w:val="center"/>
                    <w:rPr>
                      <w:rFonts w:eastAsia="Times New Roman" w:cs="Arial"/>
                    </w:rPr>
                  </w:pPr>
                  <w:r w:rsidRPr="00D0306F">
                    <w:rPr>
                      <w:rFonts w:eastAsia="Times New Roman" w:cs="Arial"/>
                    </w:rPr>
                    <w:t>68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EA1110E"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4184ACA" w14:textId="77777777" w:rsidR="006C7AA7" w:rsidRPr="00D0306F" w:rsidRDefault="006C7AA7" w:rsidP="00CC3BF4">
                  <w:pPr>
                    <w:rPr>
                      <w:rFonts w:eastAsia="Times New Roman" w:cs="Arial"/>
                    </w:rPr>
                  </w:pPr>
                  <w:r w:rsidRPr="00D0306F">
                    <w:rPr>
                      <w:rFonts w:eastAsia="Times New Roman" w:cs="Arial"/>
                    </w:rPr>
                    <w:t xml:space="preserve">Really good </w:t>
                  </w:r>
                </w:p>
              </w:tc>
            </w:tr>
            <w:tr w:rsidR="006C7AA7" w:rsidRPr="00D0306F" w14:paraId="0A57E546"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4821049" w14:textId="77777777" w:rsidR="006C7AA7" w:rsidRPr="00D0306F" w:rsidRDefault="006C7AA7" w:rsidP="00CC3BF4">
                  <w:pPr>
                    <w:jc w:val="center"/>
                    <w:rPr>
                      <w:rFonts w:eastAsia="Times New Roman" w:cs="Arial"/>
                    </w:rPr>
                  </w:pPr>
                  <w:r w:rsidRPr="00D0306F">
                    <w:rPr>
                      <w:rFonts w:eastAsia="Times New Roman" w:cs="Arial"/>
                    </w:rPr>
                    <w:t>69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CB7A119"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BAC4175" w14:textId="77777777" w:rsidR="006C7AA7" w:rsidRPr="00D0306F" w:rsidRDefault="006C7AA7" w:rsidP="00CC3BF4">
                  <w:pPr>
                    <w:rPr>
                      <w:rFonts w:eastAsia="Times New Roman" w:cs="Arial"/>
                    </w:rPr>
                  </w:pPr>
                  <w:r w:rsidRPr="00D0306F">
                    <w:rPr>
                      <w:rFonts w:eastAsia="Times New Roman" w:cs="Arial"/>
                    </w:rPr>
                    <w:t xml:space="preserve">I was the only person in the queue gave my prescription to a lady,and she told me it be an hours wait,now like I said I was the only person in the queue and the only person waiting,there were 3 staff behind the counter I seen so how can I wait 1 hour for my medication when the lady already told me that all of my items were in stock,the times are ridiculous for me/people to wait that long for my medication </w:t>
                  </w:r>
                </w:p>
              </w:tc>
            </w:tr>
            <w:tr w:rsidR="006C7AA7" w:rsidRPr="00D0306F" w14:paraId="4E436921"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90351A5" w14:textId="77777777" w:rsidR="006C7AA7" w:rsidRPr="00D0306F" w:rsidRDefault="006C7AA7" w:rsidP="00CC3BF4">
                  <w:pPr>
                    <w:jc w:val="center"/>
                    <w:rPr>
                      <w:rFonts w:eastAsia="Times New Roman" w:cs="Arial"/>
                    </w:rPr>
                  </w:pPr>
                  <w:r w:rsidRPr="00D0306F">
                    <w:rPr>
                      <w:rFonts w:eastAsia="Times New Roman" w:cs="Arial"/>
                    </w:rPr>
                    <w:t>70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F600F04"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32CF1C1" w14:textId="77777777" w:rsidR="006C7AA7" w:rsidRPr="00D0306F" w:rsidRDefault="006C7AA7" w:rsidP="00CC3BF4">
                  <w:pPr>
                    <w:rPr>
                      <w:rFonts w:eastAsia="Times New Roman" w:cs="Arial"/>
                    </w:rPr>
                  </w:pPr>
                  <w:r w:rsidRPr="00D0306F">
                    <w:rPr>
                      <w:rFonts w:eastAsia="Times New Roman" w:cs="Arial"/>
                    </w:rPr>
                    <w:t>The prescribed pharmacist is better than many doctor I see in my GP, but she only here few days. The waiting time for get the medication is ridiculous, short staff? Contract more, that is a service that we all are paying for.</w:t>
                  </w:r>
                </w:p>
              </w:tc>
            </w:tr>
            <w:tr w:rsidR="006C7AA7" w:rsidRPr="00D0306F" w14:paraId="7E24391F"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B250609" w14:textId="77777777" w:rsidR="006C7AA7" w:rsidRPr="00D0306F" w:rsidRDefault="006C7AA7" w:rsidP="00CC3BF4">
                  <w:pPr>
                    <w:jc w:val="center"/>
                    <w:rPr>
                      <w:rFonts w:eastAsia="Times New Roman" w:cs="Arial"/>
                    </w:rPr>
                  </w:pPr>
                  <w:r w:rsidRPr="00D0306F">
                    <w:rPr>
                      <w:rFonts w:eastAsia="Times New Roman" w:cs="Arial"/>
                    </w:rPr>
                    <w:t>71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6654217"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5A53663" w14:textId="77777777" w:rsidR="006C7AA7" w:rsidRPr="00D0306F" w:rsidRDefault="006C7AA7" w:rsidP="00CC3BF4">
                  <w:pPr>
                    <w:rPr>
                      <w:rFonts w:eastAsia="Times New Roman" w:cs="Arial"/>
                    </w:rPr>
                  </w:pPr>
                  <w:r w:rsidRPr="00D0306F">
                    <w:rPr>
                      <w:rFonts w:eastAsia="Times New Roman" w:cs="Arial"/>
                    </w:rPr>
                    <w:t>[name] &amp; staff at [name] pharmacy are superb they always listen to you and always willing to help you. [name] is a fantastic pharmacist his knowledge and expertise is off the scale I rather go to him than the Dr's we be lost in this village without them.</w:t>
                  </w:r>
                </w:p>
              </w:tc>
            </w:tr>
            <w:tr w:rsidR="006C7AA7" w:rsidRPr="00D0306F" w14:paraId="5F2A57D0"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EB04D33" w14:textId="77777777" w:rsidR="006C7AA7" w:rsidRPr="00D0306F" w:rsidRDefault="006C7AA7" w:rsidP="00CC3BF4">
                  <w:pPr>
                    <w:jc w:val="center"/>
                    <w:rPr>
                      <w:rFonts w:eastAsia="Times New Roman" w:cs="Arial"/>
                    </w:rPr>
                  </w:pPr>
                  <w:r w:rsidRPr="00D0306F">
                    <w:rPr>
                      <w:rFonts w:eastAsia="Times New Roman" w:cs="Arial"/>
                    </w:rPr>
                    <w:t>72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C8E8FF1"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434F866" w14:textId="77777777" w:rsidR="006C7AA7" w:rsidRPr="00D0306F" w:rsidRDefault="006C7AA7" w:rsidP="00CC3BF4">
                  <w:pPr>
                    <w:rPr>
                      <w:rFonts w:eastAsia="Times New Roman" w:cs="Arial"/>
                    </w:rPr>
                  </w:pPr>
                  <w:r w:rsidRPr="00D0306F">
                    <w:rPr>
                      <w:rFonts w:eastAsia="Times New Roman" w:cs="Arial"/>
                    </w:rPr>
                    <w:t xml:space="preserve">Excellent and friendly response from staff. Very efficient in providing my repeat prescriptions. Use of text messaging. </w:t>
                  </w:r>
                </w:p>
              </w:tc>
            </w:tr>
            <w:tr w:rsidR="006C7AA7" w:rsidRPr="00D0306F" w14:paraId="15282309"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677C2F1" w14:textId="77777777" w:rsidR="006C7AA7" w:rsidRPr="00D0306F" w:rsidRDefault="006C7AA7" w:rsidP="00CC3BF4">
                  <w:pPr>
                    <w:jc w:val="center"/>
                    <w:rPr>
                      <w:rFonts w:eastAsia="Times New Roman" w:cs="Arial"/>
                    </w:rPr>
                  </w:pPr>
                  <w:r w:rsidRPr="00D0306F">
                    <w:rPr>
                      <w:rFonts w:eastAsia="Times New Roman" w:cs="Arial"/>
                    </w:rPr>
                    <w:t>73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B7E8578"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FD3386A" w14:textId="77777777" w:rsidR="006C7AA7" w:rsidRPr="00D0306F" w:rsidRDefault="006C7AA7" w:rsidP="00CC3BF4">
                  <w:pPr>
                    <w:rPr>
                      <w:rFonts w:eastAsia="Times New Roman" w:cs="Arial"/>
                    </w:rPr>
                  </w:pPr>
                  <w:r w:rsidRPr="00D0306F">
                    <w:rPr>
                      <w:rFonts w:eastAsia="Times New Roman" w:cs="Arial"/>
                    </w:rPr>
                    <w:t xml:space="preserve">Always a terrible queue. Takes an age to locate prescriptions once they've been done. Frequently have items missing that I've got to go back and get when they come back in stock. No privacy to talk. Ask for birthdays and address in front of loads of people in order to get my prescription. Woefully understaffed. Pharmacist is lovely and knowledgeable but has very little time available to talk about medicines or ask advice. </w:t>
                  </w:r>
                </w:p>
              </w:tc>
            </w:tr>
            <w:tr w:rsidR="006C7AA7" w:rsidRPr="00D0306F" w14:paraId="2C4DEEE3"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FD4D2BB" w14:textId="77777777" w:rsidR="006C7AA7" w:rsidRPr="00D0306F" w:rsidRDefault="006C7AA7" w:rsidP="00CC3BF4">
                  <w:pPr>
                    <w:jc w:val="center"/>
                    <w:rPr>
                      <w:rFonts w:eastAsia="Times New Roman" w:cs="Arial"/>
                    </w:rPr>
                  </w:pPr>
                  <w:r w:rsidRPr="00D0306F">
                    <w:rPr>
                      <w:rFonts w:eastAsia="Times New Roman" w:cs="Arial"/>
                    </w:rPr>
                    <w:t>74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2A52E31"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5E9FAF8" w14:textId="77777777" w:rsidR="006C7AA7" w:rsidRPr="00D0306F" w:rsidRDefault="006C7AA7" w:rsidP="00CC3BF4">
                  <w:pPr>
                    <w:rPr>
                      <w:rFonts w:eastAsia="Times New Roman" w:cs="Arial"/>
                    </w:rPr>
                  </w:pPr>
                  <w:r w:rsidRPr="00D0306F">
                    <w:rPr>
                      <w:rFonts w:eastAsia="Times New Roman" w:cs="Arial"/>
                    </w:rPr>
                    <w:t>I use this one even tho I drive pass many as they don’t stock what I need</w:t>
                  </w:r>
                </w:p>
              </w:tc>
            </w:tr>
            <w:tr w:rsidR="006C7AA7" w:rsidRPr="00D0306F" w14:paraId="598B45B1"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4D2386E" w14:textId="77777777" w:rsidR="006C7AA7" w:rsidRPr="00D0306F" w:rsidRDefault="006C7AA7" w:rsidP="00CC3BF4">
                  <w:pPr>
                    <w:jc w:val="center"/>
                    <w:rPr>
                      <w:rFonts w:eastAsia="Times New Roman" w:cs="Arial"/>
                    </w:rPr>
                  </w:pPr>
                  <w:r w:rsidRPr="00D0306F">
                    <w:rPr>
                      <w:rFonts w:eastAsia="Times New Roman" w:cs="Arial"/>
                    </w:rPr>
                    <w:t>75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FCBB61E"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51674CA" w14:textId="77777777" w:rsidR="006C7AA7" w:rsidRPr="00D0306F" w:rsidRDefault="006C7AA7" w:rsidP="00CC3BF4">
                  <w:pPr>
                    <w:rPr>
                      <w:rFonts w:eastAsia="Times New Roman" w:cs="Arial"/>
                    </w:rPr>
                  </w:pPr>
                  <w:r w:rsidRPr="00D0306F">
                    <w:rPr>
                      <w:rFonts w:eastAsia="Times New Roman" w:cs="Arial"/>
                    </w:rPr>
                    <w:t>No issue open 7 days a week</w:t>
                  </w:r>
                </w:p>
              </w:tc>
            </w:tr>
            <w:tr w:rsidR="006C7AA7" w:rsidRPr="00D0306F" w14:paraId="796DE27B"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EFD8F1C" w14:textId="77777777" w:rsidR="006C7AA7" w:rsidRPr="00D0306F" w:rsidRDefault="006C7AA7" w:rsidP="00CC3BF4">
                  <w:pPr>
                    <w:jc w:val="center"/>
                    <w:rPr>
                      <w:rFonts w:eastAsia="Times New Roman" w:cs="Arial"/>
                    </w:rPr>
                  </w:pPr>
                  <w:r w:rsidRPr="00D0306F">
                    <w:rPr>
                      <w:rFonts w:eastAsia="Times New Roman" w:cs="Arial"/>
                    </w:rPr>
                    <w:t>76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0681004"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33B6A67" w14:textId="77777777" w:rsidR="006C7AA7" w:rsidRPr="00D0306F" w:rsidRDefault="006C7AA7" w:rsidP="00CC3BF4">
                  <w:pPr>
                    <w:rPr>
                      <w:rFonts w:eastAsia="Times New Roman" w:cs="Arial"/>
                    </w:rPr>
                  </w:pPr>
                  <w:r w:rsidRPr="00D0306F">
                    <w:rPr>
                      <w:rFonts w:eastAsia="Times New Roman" w:cs="Arial"/>
                    </w:rPr>
                    <w:t>Normally ok service, but asked local pharmacist once for giving up smoking advice &amp; was told they don't provide the service &amp; to "just give them up" then he walked away.</w:t>
                  </w:r>
                </w:p>
              </w:tc>
            </w:tr>
            <w:tr w:rsidR="006C7AA7" w:rsidRPr="00D0306F" w14:paraId="2FC399F8"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7968C90" w14:textId="77777777" w:rsidR="006C7AA7" w:rsidRPr="00D0306F" w:rsidRDefault="006C7AA7" w:rsidP="00CC3BF4">
                  <w:pPr>
                    <w:jc w:val="center"/>
                    <w:rPr>
                      <w:rFonts w:eastAsia="Times New Roman" w:cs="Arial"/>
                    </w:rPr>
                  </w:pPr>
                  <w:r w:rsidRPr="00D0306F">
                    <w:rPr>
                      <w:rFonts w:eastAsia="Times New Roman" w:cs="Arial"/>
                    </w:rPr>
                    <w:t>77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59B17CD"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9ECE2C0" w14:textId="77777777" w:rsidR="006C7AA7" w:rsidRPr="00D0306F" w:rsidRDefault="006C7AA7" w:rsidP="00CC3BF4">
                  <w:pPr>
                    <w:rPr>
                      <w:rFonts w:eastAsia="Times New Roman" w:cs="Arial"/>
                    </w:rPr>
                  </w:pPr>
                  <w:r w:rsidRPr="00D0306F">
                    <w:rPr>
                      <w:rFonts w:eastAsia="Times New Roman" w:cs="Arial"/>
                    </w:rPr>
                    <w:t>Very friendly, very helpful staff, generally often busy as attached to Drs surgery, so have to wait a while at times.</w:t>
                  </w:r>
                </w:p>
              </w:tc>
            </w:tr>
            <w:tr w:rsidR="006C7AA7" w:rsidRPr="00D0306F" w14:paraId="180A6E35"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DF69E19" w14:textId="77777777" w:rsidR="006C7AA7" w:rsidRPr="00D0306F" w:rsidRDefault="006C7AA7" w:rsidP="00CC3BF4">
                  <w:pPr>
                    <w:jc w:val="center"/>
                    <w:rPr>
                      <w:rFonts w:eastAsia="Times New Roman" w:cs="Arial"/>
                    </w:rPr>
                  </w:pPr>
                  <w:r w:rsidRPr="00D0306F">
                    <w:rPr>
                      <w:rFonts w:eastAsia="Times New Roman" w:cs="Arial"/>
                    </w:rPr>
                    <w:lastRenderedPageBreak/>
                    <w:t>78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91C3192"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9A69E0E" w14:textId="77777777" w:rsidR="006C7AA7" w:rsidRPr="00D0306F" w:rsidRDefault="006C7AA7" w:rsidP="00CC3BF4">
                  <w:pPr>
                    <w:rPr>
                      <w:rFonts w:eastAsia="Times New Roman" w:cs="Arial"/>
                    </w:rPr>
                  </w:pPr>
                  <w:r w:rsidRPr="00D0306F">
                    <w:rPr>
                      <w:rFonts w:eastAsia="Times New Roman" w:cs="Arial"/>
                    </w:rPr>
                    <w:t>Good service but GPs are slow to issue repeats</w:t>
                  </w:r>
                </w:p>
              </w:tc>
            </w:tr>
            <w:tr w:rsidR="006C7AA7" w:rsidRPr="00D0306F" w14:paraId="111D2FFC"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332A90A" w14:textId="77777777" w:rsidR="006C7AA7" w:rsidRPr="00D0306F" w:rsidRDefault="006C7AA7" w:rsidP="00CC3BF4">
                  <w:pPr>
                    <w:jc w:val="center"/>
                    <w:rPr>
                      <w:rFonts w:eastAsia="Times New Roman" w:cs="Arial"/>
                    </w:rPr>
                  </w:pPr>
                  <w:r w:rsidRPr="00D0306F">
                    <w:rPr>
                      <w:rFonts w:eastAsia="Times New Roman" w:cs="Arial"/>
                    </w:rPr>
                    <w:t>79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98BD0E8"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3DA19D0" w14:textId="77777777" w:rsidR="006C7AA7" w:rsidRPr="00D0306F" w:rsidRDefault="006C7AA7" w:rsidP="00CC3BF4">
                  <w:pPr>
                    <w:rPr>
                      <w:rFonts w:eastAsia="Times New Roman" w:cs="Arial"/>
                    </w:rPr>
                  </w:pPr>
                  <w:r w:rsidRPr="00D0306F">
                    <w:rPr>
                      <w:rFonts w:eastAsia="Times New Roman" w:cs="Arial"/>
                    </w:rPr>
                    <w:t xml:space="preserve">Overall the service from the pharmacy is very good. Although it can be busy at times, .ost of the staff are friendly and helpful </w:t>
                  </w:r>
                </w:p>
              </w:tc>
            </w:tr>
            <w:tr w:rsidR="006C7AA7" w:rsidRPr="00D0306F" w14:paraId="6F54E842"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7C68DEC" w14:textId="77777777" w:rsidR="006C7AA7" w:rsidRPr="00D0306F" w:rsidRDefault="006C7AA7" w:rsidP="00CC3BF4">
                  <w:pPr>
                    <w:jc w:val="center"/>
                    <w:rPr>
                      <w:rFonts w:eastAsia="Times New Roman" w:cs="Arial"/>
                    </w:rPr>
                  </w:pPr>
                  <w:r w:rsidRPr="00D0306F">
                    <w:rPr>
                      <w:rFonts w:eastAsia="Times New Roman" w:cs="Arial"/>
                    </w:rPr>
                    <w:t>80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73F5321"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364DBE7" w14:textId="77777777" w:rsidR="006C7AA7" w:rsidRPr="00D0306F" w:rsidRDefault="006C7AA7" w:rsidP="00CC3BF4">
                  <w:pPr>
                    <w:rPr>
                      <w:rFonts w:eastAsia="Times New Roman" w:cs="Arial"/>
                    </w:rPr>
                  </w:pPr>
                  <w:r w:rsidRPr="00D0306F">
                    <w:rPr>
                      <w:rFonts w:eastAsia="Times New Roman" w:cs="Arial"/>
                    </w:rPr>
                    <w:t xml:space="preserve">Good and supportive </w:t>
                  </w:r>
                </w:p>
              </w:tc>
            </w:tr>
            <w:tr w:rsidR="006C7AA7" w:rsidRPr="00D0306F" w14:paraId="0846E3CB"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75F26C9" w14:textId="77777777" w:rsidR="006C7AA7" w:rsidRPr="00D0306F" w:rsidRDefault="006C7AA7" w:rsidP="00CC3BF4">
                  <w:pPr>
                    <w:jc w:val="center"/>
                    <w:rPr>
                      <w:rFonts w:eastAsia="Times New Roman" w:cs="Arial"/>
                    </w:rPr>
                  </w:pPr>
                  <w:r w:rsidRPr="00D0306F">
                    <w:rPr>
                      <w:rFonts w:eastAsia="Times New Roman" w:cs="Arial"/>
                    </w:rPr>
                    <w:t>81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85FBBC6"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BB34ABC" w14:textId="77777777" w:rsidR="006C7AA7" w:rsidRPr="00D0306F" w:rsidRDefault="006C7AA7" w:rsidP="00CC3BF4">
                  <w:pPr>
                    <w:rPr>
                      <w:rFonts w:eastAsia="Times New Roman" w:cs="Arial"/>
                    </w:rPr>
                  </w:pPr>
                  <w:r w:rsidRPr="00D0306F">
                    <w:rPr>
                      <w:rFonts w:eastAsia="Times New Roman" w:cs="Arial"/>
                    </w:rPr>
                    <w:t>Whenever I have needed them, I have had no problems accessing the services.</w:t>
                  </w:r>
                </w:p>
              </w:tc>
            </w:tr>
            <w:tr w:rsidR="006C7AA7" w:rsidRPr="00D0306F" w14:paraId="470D1CDF"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29D9FE4" w14:textId="77777777" w:rsidR="006C7AA7" w:rsidRPr="00D0306F" w:rsidRDefault="006C7AA7" w:rsidP="00CC3BF4">
                  <w:pPr>
                    <w:jc w:val="center"/>
                    <w:rPr>
                      <w:rFonts w:eastAsia="Times New Roman" w:cs="Arial"/>
                    </w:rPr>
                  </w:pPr>
                  <w:r w:rsidRPr="00D0306F">
                    <w:rPr>
                      <w:rFonts w:eastAsia="Times New Roman" w:cs="Arial"/>
                    </w:rPr>
                    <w:t>82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40BA9B3"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E79F087" w14:textId="77777777" w:rsidR="006C7AA7" w:rsidRPr="00D0306F" w:rsidRDefault="006C7AA7" w:rsidP="00CC3BF4">
                  <w:pPr>
                    <w:rPr>
                      <w:rFonts w:eastAsia="Times New Roman" w:cs="Arial"/>
                    </w:rPr>
                  </w:pPr>
                  <w:r w:rsidRPr="00D0306F">
                    <w:rPr>
                      <w:rFonts w:eastAsia="Times New Roman" w:cs="Arial"/>
                    </w:rPr>
                    <w:t xml:space="preserve">Always able to help </w:t>
                  </w:r>
                </w:p>
              </w:tc>
            </w:tr>
            <w:tr w:rsidR="006C7AA7" w:rsidRPr="00D0306F" w14:paraId="629F3A29"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D1968D5" w14:textId="77777777" w:rsidR="006C7AA7" w:rsidRPr="00D0306F" w:rsidRDefault="006C7AA7" w:rsidP="00CC3BF4">
                  <w:pPr>
                    <w:jc w:val="center"/>
                    <w:rPr>
                      <w:rFonts w:eastAsia="Times New Roman" w:cs="Arial"/>
                    </w:rPr>
                  </w:pPr>
                  <w:r w:rsidRPr="00D0306F">
                    <w:rPr>
                      <w:rFonts w:eastAsia="Times New Roman" w:cs="Arial"/>
                    </w:rPr>
                    <w:t>83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2D79AB5"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456D7BD" w14:textId="77777777" w:rsidR="006C7AA7" w:rsidRPr="00D0306F" w:rsidRDefault="006C7AA7" w:rsidP="00CC3BF4">
                  <w:pPr>
                    <w:rPr>
                      <w:rFonts w:eastAsia="Times New Roman" w:cs="Arial"/>
                    </w:rPr>
                  </w:pPr>
                  <w:r w:rsidRPr="00D0306F">
                    <w:rPr>
                      <w:rFonts w:eastAsia="Times New Roman" w:cs="Arial"/>
                    </w:rPr>
                    <w:t>I like my local pharmacy staff are friendly and helpful</w:t>
                  </w:r>
                </w:p>
              </w:tc>
            </w:tr>
            <w:tr w:rsidR="006C7AA7" w:rsidRPr="00D0306F" w14:paraId="4E4C6E84"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1872232" w14:textId="77777777" w:rsidR="006C7AA7" w:rsidRPr="00D0306F" w:rsidRDefault="006C7AA7" w:rsidP="00CC3BF4">
                  <w:pPr>
                    <w:jc w:val="center"/>
                    <w:rPr>
                      <w:rFonts w:eastAsia="Times New Roman" w:cs="Arial"/>
                    </w:rPr>
                  </w:pPr>
                  <w:r w:rsidRPr="00D0306F">
                    <w:rPr>
                      <w:rFonts w:eastAsia="Times New Roman" w:cs="Arial"/>
                    </w:rPr>
                    <w:t>84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8378FD7"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695DD02" w14:textId="77777777" w:rsidR="006C7AA7" w:rsidRPr="00D0306F" w:rsidRDefault="006C7AA7" w:rsidP="00CC3BF4">
                  <w:pPr>
                    <w:rPr>
                      <w:rFonts w:eastAsia="Times New Roman" w:cs="Arial"/>
                    </w:rPr>
                  </w:pPr>
                  <w:r w:rsidRPr="00D0306F">
                    <w:rPr>
                      <w:rFonts w:eastAsia="Times New Roman" w:cs="Arial"/>
                    </w:rPr>
                    <w:t xml:space="preserve">Usually use to pick up prescription and annual flu vaccine. Occasionally asked for advice. The Local pharmacy has friendly helpful staff. They have a good range of stock. </w:t>
                  </w:r>
                </w:p>
              </w:tc>
            </w:tr>
            <w:tr w:rsidR="006C7AA7" w:rsidRPr="00D0306F" w14:paraId="4372F3E9"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538A128" w14:textId="77777777" w:rsidR="006C7AA7" w:rsidRPr="00D0306F" w:rsidRDefault="006C7AA7" w:rsidP="00CC3BF4">
                  <w:pPr>
                    <w:jc w:val="center"/>
                    <w:rPr>
                      <w:rFonts w:eastAsia="Times New Roman" w:cs="Arial"/>
                    </w:rPr>
                  </w:pPr>
                  <w:r w:rsidRPr="00D0306F">
                    <w:rPr>
                      <w:rFonts w:eastAsia="Times New Roman" w:cs="Arial"/>
                    </w:rPr>
                    <w:t>85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88B6841"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72B4E98" w14:textId="77777777" w:rsidR="006C7AA7" w:rsidRPr="00D0306F" w:rsidRDefault="006C7AA7" w:rsidP="00CC3BF4">
                  <w:pPr>
                    <w:rPr>
                      <w:rFonts w:eastAsia="Times New Roman" w:cs="Arial"/>
                    </w:rPr>
                  </w:pPr>
                  <w:r w:rsidRPr="00D0306F">
                    <w:rPr>
                      <w:rFonts w:eastAsia="Times New Roman" w:cs="Arial"/>
                    </w:rPr>
                    <w:t>I like the staff, they are friendly and great with my son. They will also go to bat for me with the surgery when the surgery is being difficult/awkward about medications that they've made a mistake with (a prime example when the surgery nearly overdosed my son)</w:t>
                  </w:r>
                </w:p>
              </w:tc>
            </w:tr>
            <w:tr w:rsidR="006C7AA7" w:rsidRPr="00D0306F" w14:paraId="2D93B573"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C04118E" w14:textId="77777777" w:rsidR="006C7AA7" w:rsidRPr="00D0306F" w:rsidRDefault="006C7AA7" w:rsidP="00CC3BF4">
                  <w:pPr>
                    <w:jc w:val="center"/>
                    <w:rPr>
                      <w:rFonts w:eastAsia="Times New Roman" w:cs="Arial"/>
                    </w:rPr>
                  </w:pPr>
                  <w:r w:rsidRPr="00D0306F">
                    <w:rPr>
                      <w:rFonts w:eastAsia="Times New Roman" w:cs="Arial"/>
                    </w:rPr>
                    <w:t>86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3223B3F"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3479E61" w14:textId="77777777" w:rsidR="006C7AA7" w:rsidRPr="00D0306F" w:rsidRDefault="006C7AA7" w:rsidP="00CC3BF4">
                  <w:pPr>
                    <w:rPr>
                      <w:rFonts w:eastAsia="Times New Roman" w:cs="Arial"/>
                    </w:rPr>
                  </w:pPr>
                  <w:r w:rsidRPr="00D0306F">
                    <w:rPr>
                      <w:rFonts w:eastAsia="Times New Roman" w:cs="Arial"/>
                    </w:rPr>
                    <w:t>[name] in [location] town centre is truly awful. The staff are slow and condescending. Called today (Thursday am) with prescription for Atorvostatin 10mg which is a common drug and was told that it would not be available until next Monday afternoon. This was after waiting over 10 minutes for someone to come and serve. There were five people waiting. I walked out and got my tablets later on in another chemist.</w:t>
                  </w:r>
                  <w:r w:rsidRPr="00D0306F">
                    <w:rPr>
                      <w:rFonts w:eastAsia="Times New Roman" w:cs="Arial"/>
                    </w:rPr>
                    <w:br/>
                    <w:t>[name] are appalling every time I go there.</w:t>
                  </w:r>
                </w:p>
              </w:tc>
            </w:tr>
            <w:tr w:rsidR="006C7AA7" w:rsidRPr="00D0306F" w14:paraId="0FC6195A"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6A4B7D3" w14:textId="77777777" w:rsidR="006C7AA7" w:rsidRPr="00D0306F" w:rsidRDefault="006C7AA7" w:rsidP="00CC3BF4">
                  <w:pPr>
                    <w:jc w:val="center"/>
                    <w:rPr>
                      <w:rFonts w:eastAsia="Times New Roman" w:cs="Arial"/>
                    </w:rPr>
                  </w:pPr>
                  <w:r w:rsidRPr="00D0306F">
                    <w:rPr>
                      <w:rFonts w:eastAsia="Times New Roman" w:cs="Arial"/>
                    </w:rPr>
                    <w:t>87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82CD239"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A89B3DD" w14:textId="77777777" w:rsidR="006C7AA7" w:rsidRPr="00D0306F" w:rsidRDefault="006C7AA7" w:rsidP="00CC3BF4">
                  <w:pPr>
                    <w:rPr>
                      <w:rFonts w:eastAsia="Times New Roman" w:cs="Arial"/>
                    </w:rPr>
                  </w:pPr>
                  <w:r w:rsidRPr="00D0306F">
                    <w:rPr>
                      <w:rFonts w:eastAsia="Times New Roman" w:cs="Arial"/>
                    </w:rPr>
                    <w:t>My usual pharmacy has recently had issues issuing repeat prescriptions but I don't know if this is a problem with the [location] GPs repeat prescription system or the pharmacy thenselves</w:t>
                  </w:r>
                </w:p>
              </w:tc>
            </w:tr>
            <w:tr w:rsidR="006C7AA7" w:rsidRPr="00D0306F" w14:paraId="31D23B2D"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DC7531C" w14:textId="77777777" w:rsidR="006C7AA7" w:rsidRPr="00D0306F" w:rsidRDefault="006C7AA7" w:rsidP="00CC3BF4">
                  <w:pPr>
                    <w:jc w:val="center"/>
                    <w:rPr>
                      <w:rFonts w:eastAsia="Times New Roman" w:cs="Arial"/>
                    </w:rPr>
                  </w:pPr>
                  <w:r w:rsidRPr="00D0306F">
                    <w:rPr>
                      <w:rFonts w:eastAsia="Times New Roman" w:cs="Arial"/>
                    </w:rPr>
                    <w:t>88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2CC229B"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C584816" w14:textId="77777777" w:rsidR="006C7AA7" w:rsidRPr="00D0306F" w:rsidRDefault="006C7AA7" w:rsidP="00CC3BF4">
                  <w:pPr>
                    <w:rPr>
                      <w:rFonts w:eastAsia="Times New Roman" w:cs="Arial"/>
                    </w:rPr>
                  </w:pPr>
                  <w:r w:rsidRPr="00D0306F">
                    <w:rPr>
                      <w:rFonts w:eastAsia="Times New Roman" w:cs="Arial"/>
                    </w:rPr>
                    <w:t xml:space="preserve">Fantastic pharmacy staff always super friendly and helpful. They work really hard its always super busy </w:t>
                  </w:r>
                </w:p>
              </w:tc>
            </w:tr>
            <w:tr w:rsidR="006C7AA7" w:rsidRPr="00D0306F" w14:paraId="150511B7"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934F640" w14:textId="77777777" w:rsidR="006C7AA7" w:rsidRPr="00D0306F" w:rsidRDefault="006C7AA7" w:rsidP="00CC3BF4">
                  <w:pPr>
                    <w:jc w:val="center"/>
                    <w:rPr>
                      <w:rFonts w:eastAsia="Times New Roman" w:cs="Arial"/>
                    </w:rPr>
                  </w:pPr>
                  <w:r w:rsidRPr="00D0306F">
                    <w:rPr>
                      <w:rFonts w:eastAsia="Times New Roman" w:cs="Arial"/>
                    </w:rPr>
                    <w:t>89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FD7EB57"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96C2646" w14:textId="77777777" w:rsidR="006C7AA7" w:rsidRPr="00D0306F" w:rsidRDefault="006C7AA7" w:rsidP="00CC3BF4">
                  <w:pPr>
                    <w:rPr>
                      <w:rFonts w:eastAsia="Times New Roman" w:cs="Arial"/>
                    </w:rPr>
                  </w:pPr>
                  <w:r w:rsidRPr="00D0306F">
                    <w:rPr>
                      <w:rFonts w:eastAsia="Times New Roman" w:cs="Arial"/>
                    </w:rPr>
                    <w:t xml:space="preserve">Painful , staff ignore you often. Always a chore and waiting time as staff look over run . </w:t>
                  </w:r>
                </w:p>
              </w:tc>
            </w:tr>
            <w:tr w:rsidR="006C7AA7" w:rsidRPr="00D0306F" w14:paraId="5CAAEBB8"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E855B7D" w14:textId="77777777" w:rsidR="006C7AA7" w:rsidRPr="00D0306F" w:rsidRDefault="006C7AA7" w:rsidP="00CC3BF4">
                  <w:pPr>
                    <w:jc w:val="center"/>
                    <w:rPr>
                      <w:rFonts w:eastAsia="Times New Roman" w:cs="Arial"/>
                    </w:rPr>
                  </w:pPr>
                  <w:r w:rsidRPr="00D0306F">
                    <w:rPr>
                      <w:rFonts w:eastAsia="Times New Roman" w:cs="Arial"/>
                    </w:rPr>
                    <w:t>90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D13CB96"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B761906" w14:textId="77777777" w:rsidR="006C7AA7" w:rsidRPr="00D0306F" w:rsidRDefault="006C7AA7" w:rsidP="00CC3BF4">
                  <w:pPr>
                    <w:rPr>
                      <w:rFonts w:eastAsia="Times New Roman" w:cs="Arial"/>
                    </w:rPr>
                  </w:pPr>
                  <w:r w:rsidRPr="00D0306F">
                    <w:rPr>
                      <w:rFonts w:eastAsia="Times New Roman" w:cs="Arial"/>
                    </w:rPr>
                    <w:t>Generally excellent, but I feel that if they are next to a surgery there is always a long wait for your prescription as seems to be a lack of staff. Also conflict about scripts being sent in.</w:t>
                  </w:r>
                </w:p>
              </w:tc>
            </w:tr>
            <w:tr w:rsidR="006C7AA7" w:rsidRPr="00D0306F" w14:paraId="77002395"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421EB4E" w14:textId="77777777" w:rsidR="006C7AA7" w:rsidRPr="00D0306F" w:rsidRDefault="006C7AA7" w:rsidP="00CC3BF4">
                  <w:pPr>
                    <w:jc w:val="center"/>
                    <w:rPr>
                      <w:rFonts w:eastAsia="Times New Roman" w:cs="Arial"/>
                    </w:rPr>
                  </w:pPr>
                  <w:r w:rsidRPr="00D0306F">
                    <w:rPr>
                      <w:rFonts w:eastAsia="Times New Roman" w:cs="Arial"/>
                    </w:rPr>
                    <w:lastRenderedPageBreak/>
                    <w:t>91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44CD3AC"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2613A23" w14:textId="77777777" w:rsidR="006C7AA7" w:rsidRPr="00D0306F" w:rsidRDefault="006C7AA7" w:rsidP="00CC3BF4">
                  <w:pPr>
                    <w:rPr>
                      <w:rFonts w:eastAsia="Times New Roman" w:cs="Arial"/>
                    </w:rPr>
                  </w:pPr>
                  <w:r w:rsidRPr="00D0306F">
                    <w:rPr>
                      <w:rFonts w:eastAsia="Times New Roman" w:cs="Arial"/>
                    </w:rPr>
                    <w:t>They are friendly and helpful.</w:t>
                  </w:r>
                </w:p>
              </w:tc>
            </w:tr>
            <w:tr w:rsidR="006C7AA7" w:rsidRPr="00D0306F" w14:paraId="472E5B34"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B620749" w14:textId="77777777" w:rsidR="006C7AA7" w:rsidRPr="00D0306F" w:rsidRDefault="006C7AA7" w:rsidP="00CC3BF4">
                  <w:pPr>
                    <w:jc w:val="center"/>
                    <w:rPr>
                      <w:rFonts w:eastAsia="Times New Roman" w:cs="Arial"/>
                    </w:rPr>
                  </w:pPr>
                  <w:r w:rsidRPr="00D0306F">
                    <w:rPr>
                      <w:rFonts w:eastAsia="Times New Roman" w:cs="Arial"/>
                    </w:rPr>
                    <w:t>92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ABE549C"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2C0BD63" w14:textId="77777777" w:rsidR="006C7AA7" w:rsidRPr="00D0306F" w:rsidRDefault="006C7AA7" w:rsidP="00CC3BF4">
                  <w:pPr>
                    <w:rPr>
                      <w:rFonts w:eastAsia="Times New Roman" w:cs="Arial"/>
                    </w:rPr>
                  </w:pPr>
                  <w:r w:rsidRPr="00D0306F">
                    <w:rPr>
                      <w:rFonts w:eastAsia="Times New Roman" w:cs="Arial"/>
                    </w:rPr>
                    <w:t>I always have a pleasant visit to my local pharmacy. The staff are friendly and helpful, always.</w:t>
                  </w:r>
                </w:p>
              </w:tc>
            </w:tr>
            <w:tr w:rsidR="006C7AA7" w:rsidRPr="00D0306F" w14:paraId="07C09CB1"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86DA45E" w14:textId="77777777" w:rsidR="006C7AA7" w:rsidRPr="00D0306F" w:rsidRDefault="006C7AA7" w:rsidP="00CC3BF4">
                  <w:pPr>
                    <w:jc w:val="center"/>
                    <w:rPr>
                      <w:rFonts w:eastAsia="Times New Roman" w:cs="Arial"/>
                    </w:rPr>
                  </w:pPr>
                  <w:r w:rsidRPr="00D0306F">
                    <w:rPr>
                      <w:rFonts w:eastAsia="Times New Roman" w:cs="Arial"/>
                    </w:rPr>
                    <w:t>93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147991F"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2C9EE1D" w14:textId="77777777" w:rsidR="006C7AA7" w:rsidRPr="00D0306F" w:rsidRDefault="006C7AA7" w:rsidP="00CC3BF4">
                  <w:pPr>
                    <w:rPr>
                      <w:rFonts w:eastAsia="Times New Roman" w:cs="Arial"/>
                    </w:rPr>
                  </w:pPr>
                  <w:r w:rsidRPr="00D0306F">
                    <w:rPr>
                      <w:rFonts w:eastAsia="Times New Roman" w:cs="Arial"/>
                    </w:rPr>
                    <w:t xml:space="preserve">Always friendly and chatty. I feel I can ask anything, I don't get embarrassed. </w:t>
                  </w:r>
                </w:p>
              </w:tc>
            </w:tr>
            <w:tr w:rsidR="006C7AA7" w:rsidRPr="00D0306F" w14:paraId="649B55BF"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347DC3A" w14:textId="77777777" w:rsidR="006C7AA7" w:rsidRPr="00D0306F" w:rsidRDefault="006C7AA7" w:rsidP="00CC3BF4">
                  <w:pPr>
                    <w:jc w:val="center"/>
                    <w:rPr>
                      <w:rFonts w:eastAsia="Times New Roman" w:cs="Arial"/>
                    </w:rPr>
                  </w:pPr>
                  <w:r w:rsidRPr="00D0306F">
                    <w:rPr>
                      <w:rFonts w:eastAsia="Times New Roman" w:cs="Arial"/>
                    </w:rPr>
                    <w:t>94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6D85573"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4532410" w14:textId="77777777" w:rsidR="006C7AA7" w:rsidRPr="00D0306F" w:rsidRDefault="006C7AA7" w:rsidP="00CC3BF4">
                  <w:pPr>
                    <w:rPr>
                      <w:rFonts w:eastAsia="Times New Roman" w:cs="Arial"/>
                    </w:rPr>
                  </w:pPr>
                  <w:r w:rsidRPr="00D0306F">
                    <w:rPr>
                      <w:rFonts w:eastAsia="Times New Roman" w:cs="Arial"/>
                    </w:rPr>
                    <w:t>Excellent friendly service.</w:t>
                  </w:r>
                </w:p>
              </w:tc>
            </w:tr>
            <w:tr w:rsidR="006C7AA7" w:rsidRPr="00D0306F" w14:paraId="6BC3595E" w14:textId="77777777" w:rsidTr="00CC3BF4">
              <w:tc>
                <w:tcPr>
                  <w:tcW w:w="270" w:type="dxa"/>
                  <w:tcBorders>
                    <w:top w:val="nil"/>
                    <w:left w:val="nil"/>
                    <w:bottom w:val="nil"/>
                    <w:right w:val="single" w:sz="6" w:space="0" w:color="CCCCCC"/>
                  </w:tcBorders>
                  <w:shd w:val="clear" w:color="auto" w:fill="F5F5F4"/>
                  <w:tcMar>
                    <w:top w:w="75" w:type="dxa"/>
                    <w:left w:w="75" w:type="dxa"/>
                    <w:bottom w:w="75" w:type="dxa"/>
                    <w:right w:w="75" w:type="dxa"/>
                  </w:tcMar>
                  <w:hideMark/>
                </w:tcPr>
                <w:p w14:paraId="36357BB8" w14:textId="77777777" w:rsidR="006C7AA7" w:rsidRPr="00D0306F" w:rsidRDefault="006C7AA7" w:rsidP="00CC3BF4">
                  <w:pPr>
                    <w:jc w:val="center"/>
                    <w:rPr>
                      <w:rFonts w:eastAsia="Times New Roman" w:cs="Arial"/>
                    </w:rPr>
                  </w:pPr>
                  <w:r w:rsidRPr="00D0306F">
                    <w:rPr>
                      <w:rFonts w:eastAsia="Times New Roman" w:cs="Arial"/>
                    </w:rPr>
                    <w:t>95</w:t>
                  </w:r>
                </w:p>
              </w:tc>
              <w:tc>
                <w:tcPr>
                  <w:tcW w:w="1800" w:type="dxa"/>
                  <w:tcBorders>
                    <w:top w:val="nil"/>
                    <w:left w:val="nil"/>
                    <w:bottom w:val="nil"/>
                    <w:right w:val="single" w:sz="6" w:space="0" w:color="CCCCCC"/>
                  </w:tcBorders>
                  <w:shd w:val="clear" w:color="auto" w:fill="FFFFFF"/>
                  <w:noWrap/>
                  <w:tcMar>
                    <w:top w:w="75" w:type="dxa"/>
                    <w:left w:w="75" w:type="dxa"/>
                    <w:bottom w:w="75" w:type="dxa"/>
                    <w:right w:w="75" w:type="dxa"/>
                  </w:tcMar>
                </w:tcPr>
                <w:p w14:paraId="3CD81AEF" w14:textId="77777777" w:rsidR="006C7AA7" w:rsidRPr="00D0306F" w:rsidRDefault="006C7AA7" w:rsidP="00CC3BF4">
                  <w:pPr>
                    <w:jc w:val="center"/>
                    <w:rPr>
                      <w:rFonts w:eastAsia="Times New Roman" w:cs="Arial"/>
                    </w:rPr>
                  </w:pPr>
                </w:p>
              </w:tc>
              <w:tc>
                <w:tcPr>
                  <w:tcW w:w="0" w:type="auto"/>
                  <w:tcBorders>
                    <w:top w:val="nil"/>
                    <w:left w:val="nil"/>
                    <w:bottom w:val="nil"/>
                    <w:right w:val="nil"/>
                  </w:tcBorders>
                  <w:shd w:val="clear" w:color="auto" w:fill="FFFFFF"/>
                  <w:tcMar>
                    <w:top w:w="75" w:type="dxa"/>
                    <w:left w:w="75" w:type="dxa"/>
                    <w:bottom w:w="75" w:type="dxa"/>
                    <w:right w:w="75" w:type="dxa"/>
                  </w:tcMar>
                  <w:hideMark/>
                </w:tcPr>
                <w:p w14:paraId="498E1B8A" w14:textId="77777777" w:rsidR="006C7AA7" w:rsidRPr="00D0306F" w:rsidRDefault="006C7AA7" w:rsidP="00CC3BF4">
                  <w:pPr>
                    <w:rPr>
                      <w:rFonts w:eastAsia="Times New Roman" w:cs="Arial"/>
                    </w:rPr>
                  </w:pPr>
                  <w:r w:rsidRPr="00D0306F">
                    <w:rPr>
                      <w:rFonts w:eastAsia="Times New Roman" w:cs="Arial"/>
                    </w:rPr>
                    <w:t xml:space="preserve">[name] in [location]. Both outlets have super service, and most of all, friendly knowledgeable staff. </w:t>
                  </w:r>
                </w:p>
              </w:tc>
            </w:tr>
            <w:tr w:rsidR="006C7AA7" w:rsidRPr="00D0306F" w14:paraId="17143E93"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40485BFE" w14:textId="77777777" w:rsidR="006C7AA7" w:rsidRPr="00D0306F" w:rsidRDefault="006C7AA7" w:rsidP="00CC3BF4">
                  <w:pPr>
                    <w:jc w:val="center"/>
                    <w:rPr>
                      <w:rFonts w:eastAsia="Times New Roman" w:cs="Arial"/>
                    </w:rPr>
                  </w:pPr>
                  <w:r w:rsidRPr="00D0306F">
                    <w:rPr>
                      <w:rFonts w:eastAsia="Times New Roman" w:cs="Arial"/>
                    </w:rPr>
                    <w:t>96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2FDE808"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tcPr>
                <w:p w14:paraId="51BB3CB1" w14:textId="77777777" w:rsidR="006C7AA7" w:rsidRPr="00D0306F" w:rsidRDefault="006C7AA7" w:rsidP="00CC3BF4">
                  <w:pPr>
                    <w:rPr>
                      <w:rFonts w:eastAsia="Times New Roman" w:cs="Arial"/>
                    </w:rPr>
                  </w:pPr>
                  <w:r w:rsidRPr="00D0306F">
                    <w:rPr>
                      <w:rFonts w:eastAsia="Times New Roman" w:cs="Arial"/>
                    </w:rPr>
                    <w:t>Staff are polite and get their work done as quickly as they can.</w:t>
                  </w:r>
                </w:p>
              </w:tc>
            </w:tr>
          </w:tbl>
          <w:p w14:paraId="7EB152EF" w14:textId="77777777" w:rsidR="006C7AA7" w:rsidRPr="00D0306F" w:rsidRDefault="006C7AA7" w:rsidP="00CC3BF4">
            <w:pPr>
              <w:rPr>
                <w:rFonts w:eastAsia="Times New Roman" w:cs="Arial"/>
              </w:rPr>
            </w:pPr>
          </w:p>
        </w:tc>
      </w:tr>
      <w:tr w:rsidR="006C7AA7" w:rsidRPr="00D0306F" w14:paraId="26DFF7DA" w14:textId="77777777" w:rsidTr="00CC3BF4">
        <w:trPr>
          <w:tblCellSpacing w:w="0" w:type="dxa"/>
          <w:jc w:val="center"/>
        </w:trPr>
        <w:tc>
          <w:tcPr>
            <w:tcW w:w="0" w:type="auto"/>
            <w:gridSpan w:val="2"/>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490F4A42"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AA0A8CE" w14:textId="77777777" w:rsidR="006C7AA7" w:rsidRPr="00D0306F" w:rsidRDefault="006C7AA7" w:rsidP="00CC3BF4">
            <w:pPr>
              <w:jc w:val="center"/>
              <w:rPr>
                <w:rFonts w:eastAsia="Times New Roman" w:cs="Arial"/>
              </w:rPr>
            </w:pPr>
            <w:r w:rsidRPr="00D0306F">
              <w:rPr>
                <w:rFonts w:eastAsia="Times New Roman" w:cs="Arial"/>
              </w:rPr>
              <w:t>answered</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078D714" w14:textId="77777777" w:rsidR="006C7AA7" w:rsidRPr="00D0306F" w:rsidRDefault="006C7AA7" w:rsidP="00CC3BF4">
            <w:pPr>
              <w:jc w:val="center"/>
              <w:rPr>
                <w:rFonts w:eastAsia="Times New Roman" w:cs="Arial"/>
              </w:rPr>
            </w:pPr>
            <w:r w:rsidRPr="00D0306F">
              <w:rPr>
                <w:rFonts w:eastAsia="Times New Roman" w:cs="Arial"/>
              </w:rPr>
              <w:t>96</w:t>
            </w:r>
          </w:p>
        </w:tc>
      </w:tr>
      <w:tr w:rsidR="006C7AA7" w:rsidRPr="00D0306F" w14:paraId="5CAE660F" w14:textId="77777777" w:rsidTr="00CC3BF4">
        <w:trPr>
          <w:tblCellSpacing w:w="0" w:type="dxa"/>
          <w:jc w:val="center"/>
        </w:trPr>
        <w:tc>
          <w:tcPr>
            <w:tcW w:w="0" w:type="auto"/>
            <w:gridSpan w:val="2"/>
            <w:vMerge/>
            <w:tcBorders>
              <w:top w:val="single" w:sz="6" w:space="0" w:color="CCCCCC"/>
              <w:left w:val="nil"/>
              <w:bottom w:val="nil"/>
              <w:right w:val="single" w:sz="6" w:space="0" w:color="CCCCCC"/>
            </w:tcBorders>
            <w:vAlign w:val="center"/>
            <w:hideMark/>
          </w:tcPr>
          <w:p w14:paraId="79343B03" w14:textId="77777777" w:rsidR="006C7AA7" w:rsidRPr="00D0306F" w:rsidRDefault="006C7AA7" w:rsidP="00CC3BF4">
            <w:pPr>
              <w:rPr>
                <w:rFonts w:eastAsia="Times New Roman" w:cs="Arial"/>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3C8D39B" w14:textId="77777777" w:rsidR="006C7AA7" w:rsidRPr="00D0306F" w:rsidRDefault="006C7AA7" w:rsidP="00CC3BF4">
            <w:pPr>
              <w:jc w:val="center"/>
              <w:rPr>
                <w:rFonts w:eastAsia="Times New Roman" w:cs="Arial"/>
              </w:rPr>
            </w:pPr>
            <w:r w:rsidRPr="00D0306F">
              <w:rPr>
                <w:rFonts w:eastAsia="Times New Roman" w:cs="Arial"/>
              </w:rPr>
              <w:t>skipped</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A6AC258" w14:textId="77777777" w:rsidR="006C7AA7" w:rsidRPr="00D0306F" w:rsidRDefault="006C7AA7" w:rsidP="00CC3BF4">
            <w:pPr>
              <w:jc w:val="center"/>
              <w:rPr>
                <w:rFonts w:eastAsia="Times New Roman" w:cs="Arial"/>
              </w:rPr>
            </w:pPr>
            <w:r w:rsidRPr="00D0306F">
              <w:rPr>
                <w:rFonts w:eastAsia="Times New Roman" w:cs="Arial"/>
              </w:rPr>
              <w:t>23</w:t>
            </w:r>
          </w:p>
        </w:tc>
      </w:tr>
    </w:tbl>
    <w:p w14:paraId="298E4137" w14:textId="77777777" w:rsidR="006C7AA7" w:rsidRPr="00D0306F" w:rsidRDefault="006C7AA7" w:rsidP="006C7AA7">
      <w:pPr>
        <w:rPr>
          <w:rFonts w:eastAsia="Times New Roman" w:cs="Arial"/>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431"/>
        <w:gridCol w:w="5803"/>
        <w:gridCol w:w="1343"/>
        <w:gridCol w:w="1343"/>
      </w:tblGrid>
      <w:tr w:rsidR="006C7AA7" w:rsidRPr="00D0306F" w14:paraId="36D42625" w14:textId="77777777" w:rsidTr="00CC3BF4">
        <w:trPr>
          <w:trHeight w:val="600"/>
          <w:tblHeader/>
          <w:tblCellSpacing w:w="0" w:type="dxa"/>
          <w:jc w:val="center"/>
        </w:trPr>
        <w:tc>
          <w:tcPr>
            <w:tcW w:w="8920" w:type="dxa"/>
            <w:gridSpan w:val="4"/>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5168A6CF" w14:textId="457DC02D" w:rsidR="006C7AA7" w:rsidRPr="00D0306F" w:rsidRDefault="006C7AA7" w:rsidP="00CC3BF4">
            <w:pPr>
              <w:rPr>
                <w:rFonts w:eastAsia="Times New Roman" w:cs="Arial"/>
                <w:b/>
                <w:bCs/>
                <w:color w:val="FFFFFF"/>
              </w:rPr>
            </w:pPr>
            <w:r w:rsidRPr="00D0306F">
              <w:rPr>
                <w:rFonts w:eastAsia="Times New Roman" w:cs="Arial"/>
                <w:b/>
                <w:bCs/>
                <w:color w:val="FFFFFF"/>
              </w:rPr>
              <w:t>21. Are there any barriers to you accessing services at your pharmacy that you have not mentioned?</w:t>
            </w:r>
            <w:r w:rsidR="00B752FC">
              <w:rPr>
                <w:rFonts w:eastAsia="Times New Roman" w:cs="Arial"/>
                <w:b/>
                <w:bCs/>
                <w:color w:val="FFFFFF"/>
              </w:rPr>
              <w:t xml:space="preserve"> </w:t>
            </w:r>
          </w:p>
        </w:tc>
      </w:tr>
      <w:tr w:rsidR="006C7AA7" w:rsidRPr="00D0306F" w14:paraId="761EB3E9" w14:textId="77777777" w:rsidTr="00CC3BF4">
        <w:trPr>
          <w:trHeight w:val="360"/>
          <w:tblCellSpacing w:w="0" w:type="dxa"/>
          <w:jc w:val="center"/>
        </w:trPr>
        <w:tc>
          <w:tcPr>
            <w:tcW w:w="6234" w:type="dxa"/>
            <w:gridSpan w:val="2"/>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03C83635"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4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2D43DC9"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4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3531A25"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02FF674E" w14:textId="77777777" w:rsidTr="00CC3BF4">
        <w:trPr>
          <w:tblCellSpacing w:w="0" w:type="dxa"/>
          <w:jc w:val="center"/>
        </w:trPr>
        <w:tc>
          <w:tcPr>
            <w:tcW w:w="431"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2E8F3DF" w14:textId="77777777" w:rsidR="006C7AA7" w:rsidRPr="00D0306F" w:rsidRDefault="006C7AA7" w:rsidP="00CC3BF4">
            <w:pPr>
              <w:jc w:val="center"/>
              <w:rPr>
                <w:rFonts w:eastAsia="Times New Roman" w:cs="Arial"/>
              </w:rPr>
            </w:pPr>
            <w:r w:rsidRPr="00D0306F">
              <w:rPr>
                <w:rFonts w:eastAsia="Times New Roman" w:cs="Arial"/>
              </w:rPr>
              <w:t>1</w:t>
            </w:r>
          </w:p>
        </w:tc>
        <w:tc>
          <w:tcPr>
            <w:tcW w:w="580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DE0802A" w14:textId="77777777" w:rsidR="006C7AA7" w:rsidRPr="00D0306F" w:rsidRDefault="006C7AA7" w:rsidP="00CC3BF4">
            <w:pPr>
              <w:rPr>
                <w:rFonts w:eastAsia="Times New Roman" w:cs="Arial"/>
              </w:rPr>
            </w:pPr>
            <w:r w:rsidRPr="00D0306F">
              <w:rPr>
                <w:rFonts w:eastAsia="Times New Roman" w:cs="Arial"/>
              </w:rPr>
              <w:t>Open-Ended Question</w:t>
            </w:r>
          </w:p>
        </w:tc>
        <w:tc>
          <w:tcPr>
            <w:tcW w:w="134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8A1900A" w14:textId="77777777" w:rsidR="006C7AA7" w:rsidRPr="00D0306F" w:rsidRDefault="006C7AA7" w:rsidP="00CC3BF4">
            <w:pPr>
              <w:jc w:val="center"/>
              <w:rPr>
                <w:rFonts w:eastAsia="Times New Roman" w:cs="Arial"/>
              </w:rPr>
            </w:pPr>
            <w:r w:rsidRPr="00D0306F">
              <w:rPr>
                <w:rFonts w:eastAsia="Times New Roman" w:cs="Arial"/>
              </w:rPr>
              <w:t>100.00%</w:t>
            </w:r>
          </w:p>
        </w:tc>
        <w:tc>
          <w:tcPr>
            <w:tcW w:w="134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91FC618" w14:textId="77777777" w:rsidR="006C7AA7" w:rsidRPr="00D0306F" w:rsidRDefault="006C7AA7" w:rsidP="00CC3BF4">
            <w:pPr>
              <w:jc w:val="center"/>
              <w:rPr>
                <w:rFonts w:eastAsia="Times New Roman" w:cs="Arial"/>
              </w:rPr>
            </w:pPr>
            <w:r w:rsidRPr="00D0306F">
              <w:rPr>
                <w:rFonts w:eastAsia="Times New Roman" w:cs="Arial"/>
              </w:rPr>
              <w:t>72</w:t>
            </w:r>
          </w:p>
        </w:tc>
      </w:tr>
      <w:tr w:rsidR="006C7AA7" w:rsidRPr="00D0306F" w14:paraId="320C2719" w14:textId="77777777" w:rsidTr="00CC3BF4">
        <w:trPr>
          <w:tblCellSpacing w:w="0" w:type="dxa"/>
          <w:jc w:val="center"/>
        </w:trPr>
        <w:tc>
          <w:tcPr>
            <w:tcW w:w="8920" w:type="dxa"/>
            <w:gridSpan w:val="4"/>
            <w:tcBorders>
              <w:top w:val="single" w:sz="6" w:space="0" w:color="CCCCCC"/>
              <w:bottom w:val="single" w:sz="6" w:space="0" w:color="CCCCCC"/>
              <w:right w:val="single" w:sz="6" w:space="0" w:color="CCCCCC"/>
            </w:tcBorders>
            <w:shd w:val="clear" w:color="auto" w:fill="FFFFFF"/>
            <w:tcMar>
              <w:top w:w="0" w:type="dxa"/>
              <w:left w:w="420" w:type="dxa"/>
              <w:bottom w:w="0" w:type="dxa"/>
              <w:right w:w="0" w:type="dxa"/>
            </w:tcMar>
            <w:vAlign w:val="center"/>
            <w:hideMark/>
          </w:tcPr>
          <w:tbl>
            <w:tblPr>
              <w:tblW w:w="5000" w:type="pct"/>
              <w:tblBorders>
                <w:left w:val="single" w:sz="6" w:space="0" w:color="CCCCCC"/>
              </w:tblBorders>
              <w:tblCellMar>
                <w:top w:w="15" w:type="dxa"/>
                <w:left w:w="15" w:type="dxa"/>
                <w:bottom w:w="15" w:type="dxa"/>
                <w:right w:w="15" w:type="dxa"/>
              </w:tblCellMar>
              <w:tblLook w:val="04A0" w:firstRow="1" w:lastRow="0" w:firstColumn="1" w:lastColumn="0" w:noHBand="0" w:noVBand="1"/>
            </w:tblPr>
            <w:tblGrid>
              <w:gridCol w:w="417"/>
              <w:gridCol w:w="1800"/>
              <w:gridCol w:w="6253"/>
            </w:tblGrid>
            <w:tr w:rsidR="006C7AA7" w:rsidRPr="00D0306F" w14:paraId="6C09DBF3"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B2AD3FC" w14:textId="77777777" w:rsidR="006C7AA7" w:rsidRPr="00D0306F" w:rsidRDefault="006C7AA7" w:rsidP="00CC3BF4">
                  <w:pPr>
                    <w:jc w:val="center"/>
                    <w:rPr>
                      <w:rFonts w:eastAsia="Times New Roman" w:cs="Arial"/>
                    </w:rPr>
                  </w:pPr>
                  <w:r w:rsidRPr="00D0306F">
                    <w:rPr>
                      <w:rFonts w:eastAsia="Times New Roman" w:cs="Arial"/>
                    </w:rPr>
                    <w:t>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5132A50"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B4B1FA5"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7E679654"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147DF67" w14:textId="77777777" w:rsidR="006C7AA7" w:rsidRPr="00D0306F" w:rsidRDefault="006C7AA7" w:rsidP="00CC3BF4">
                  <w:pPr>
                    <w:jc w:val="center"/>
                    <w:rPr>
                      <w:rFonts w:eastAsia="Times New Roman" w:cs="Arial"/>
                    </w:rPr>
                  </w:pPr>
                  <w:r w:rsidRPr="00D0306F">
                    <w:rPr>
                      <w:rFonts w:eastAsia="Times New Roman" w:cs="Arial"/>
                    </w:rPr>
                    <w:t>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D52626F"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C972B5E" w14:textId="77777777" w:rsidR="006C7AA7" w:rsidRPr="00D0306F" w:rsidRDefault="006C7AA7" w:rsidP="00CC3BF4">
                  <w:pPr>
                    <w:rPr>
                      <w:rFonts w:eastAsia="Times New Roman" w:cs="Arial"/>
                    </w:rPr>
                  </w:pPr>
                  <w:r w:rsidRPr="00D0306F">
                    <w:rPr>
                      <w:rFonts w:eastAsia="Times New Roman" w:cs="Arial"/>
                    </w:rPr>
                    <w:t>Nothing</w:t>
                  </w:r>
                </w:p>
              </w:tc>
            </w:tr>
            <w:tr w:rsidR="006C7AA7" w:rsidRPr="00D0306F" w14:paraId="0EAD0282"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6FF04FB" w14:textId="77777777" w:rsidR="006C7AA7" w:rsidRPr="00D0306F" w:rsidRDefault="006C7AA7" w:rsidP="00CC3BF4">
                  <w:pPr>
                    <w:jc w:val="center"/>
                    <w:rPr>
                      <w:rFonts w:eastAsia="Times New Roman" w:cs="Arial"/>
                    </w:rPr>
                  </w:pPr>
                  <w:r w:rsidRPr="00D0306F">
                    <w:rPr>
                      <w:rFonts w:eastAsia="Times New Roman" w:cs="Arial"/>
                    </w:rPr>
                    <w:t>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06F03BF"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DEFAC2D"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407A8ECD"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E45E5A2" w14:textId="77777777" w:rsidR="006C7AA7" w:rsidRPr="00D0306F" w:rsidRDefault="006C7AA7" w:rsidP="00CC3BF4">
                  <w:pPr>
                    <w:jc w:val="center"/>
                    <w:rPr>
                      <w:rFonts w:eastAsia="Times New Roman" w:cs="Arial"/>
                    </w:rPr>
                  </w:pPr>
                  <w:r w:rsidRPr="00D0306F">
                    <w:rPr>
                      <w:rFonts w:eastAsia="Times New Roman" w:cs="Arial"/>
                    </w:rPr>
                    <w:t>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A87385D"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08A30B0"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10F91E54"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8C53786" w14:textId="77777777" w:rsidR="006C7AA7" w:rsidRPr="00D0306F" w:rsidRDefault="006C7AA7" w:rsidP="00CC3BF4">
                  <w:pPr>
                    <w:jc w:val="center"/>
                    <w:rPr>
                      <w:rFonts w:eastAsia="Times New Roman" w:cs="Arial"/>
                    </w:rPr>
                  </w:pPr>
                  <w:r w:rsidRPr="00D0306F">
                    <w:rPr>
                      <w:rFonts w:eastAsia="Times New Roman" w:cs="Arial"/>
                    </w:rPr>
                    <w:t>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0EFDC7C"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CEA3B7F"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113ED26C"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00D3B6B" w14:textId="77777777" w:rsidR="006C7AA7" w:rsidRPr="00D0306F" w:rsidRDefault="006C7AA7" w:rsidP="00CC3BF4">
                  <w:pPr>
                    <w:jc w:val="center"/>
                    <w:rPr>
                      <w:rFonts w:eastAsia="Times New Roman" w:cs="Arial"/>
                    </w:rPr>
                  </w:pPr>
                  <w:r w:rsidRPr="00D0306F">
                    <w:rPr>
                      <w:rFonts w:eastAsia="Times New Roman" w:cs="Arial"/>
                    </w:rPr>
                    <w:t>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6AD5139"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211D5AB" w14:textId="77777777" w:rsidR="006C7AA7" w:rsidRPr="00D0306F" w:rsidRDefault="006C7AA7" w:rsidP="00CC3BF4">
                  <w:pPr>
                    <w:rPr>
                      <w:rFonts w:eastAsia="Times New Roman" w:cs="Arial"/>
                    </w:rPr>
                  </w:pPr>
                  <w:r w:rsidRPr="00D0306F">
                    <w:rPr>
                      <w:rFonts w:eastAsia="Times New Roman" w:cs="Arial"/>
                    </w:rPr>
                    <w:t xml:space="preserve">No </w:t>
                  </w:r>
                </w:p>
              </w:tc>
            </w:tr>
            <w:tr w:rsidR="006C7AA7" w:rsidRPr="00D0306F" w14:paraId="74DE2377"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21B2FC9" w14:textId="77777777" w:rsidR="006C7AA7" w:rsidRPr="00D0306F" w:rsidRDefault="006C7AA7" w:rsidP="00CC3BF4">
                  <w:pPr>
                    <w:jc w:val="center"/>
                    <w:rPr>
                      <w:rFonts w:eastAsia="Times New Roman" w:cs="Arial"/>
                    </w:rPr>
                  </w:pPr>
                  <w:r w:rsidRPr="00D0306F">
                    <w:rPr>
                      <w:rFonts w:eastAsia="Times New Roman" w:cs="Arial"/>
                    </w:rPr>
                    <w:t>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804EE7C"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03DFB4A" w14:textId="77777777" w:rsidR="006C7AA7" w:rsidRPr="00D0306F" w:rsidRDefault="006C7AA7" w:rsidP="00CC3BF4">
                  <w:pPr>
                    <w:rPr>
                      <w:rFonts w:eastAsia="Times New Roman" w:cs="Arial"/>
                    </w:rPr>
                  </w:pPr>
                  <w:r w:rsidRPr="00D0306F">
                    <w:rPr>
                      <w:rFonts w:eastAsia="Times New Roman" w:cs="Arial"/>
                    </w:rPr>
                    <w:t xml:space="preserve">No </w:t>
                  </w:r>
                </w:p>
              </w:tc>
            </w:tr>
            <w:tr w:rsidR="006C7AA7" w:rsidRPr="00D0306F" w14:paraId="5F79B42E"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903876B" w14:textId="77777777" w:rsidR="006C7AA7" w:rsidRPr="00D0306F" w:rsidRDefault="006C7AA7" w:rsidP="00CC3BF4">
                  <w:pPr>
                    <w:jc w:val="center"/>
                    <w:rPr>
                      <w:rFonts w:eastAsia="Times New Roman" w:cs="Arial"/>
                    </w:rPr>
                  </w:pPr>
                  <w:r w:rsidRPr="00D0306F">
                    <w:rPr>
                      <w:rFonts w:eastAsia="Times New Roman" w:cs="Arial"/>
                    </w:rPr>
                    <w:t>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76EB8A9"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DAF0C5B"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08F6B1AB"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B024098" w14:textId="77777777" w:rsidR="006C7AA7" w:rsidRPr="00D0306F" w:rsidRDefault="006C7AA7" w:rsidP="00CC3BF4">
                  <w:pPr>
                    <w:jc w:val="center"/>
                    <w:rPr>
                      <w:rFonts w:eastAsia="Times New Roman" w:cs="Arial"/>
                    </w:rPr>
                  </w:pPr>
                  <w:r w:rsidRPr="00D0306F">
                    <w:rPr>
                      <w:rFonts w:eastAsia="Times New Roman" w:cs="Arial"/>
                    </w:rPr>
                    <w:t>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074F90A"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282A4BD" w14:textId="77777777" w:rsidR="006C7AA7" w:rsidRPr="00D0306F" w:rsidRDefault="006C7AA7" w:rsidP="00CC3BF4">
                  <w:pPr>
                    <w:rPr>
                      <w:rFonts w:eastAsia="Times New Roman" w:cs="Arial"/>
                    </w:rPr>
                  </w:pPr>
                  <w:r w:rsidRPr="00D0306F">
                    <w:rPr>
                      <w:rFonts w:eastAsia="Times New Roman" w:cs="Arial"/>
                    </w:rPr>
                    <w:t>None</w:t>
                  </w:r>
                </w:p>
              </w:tc>
            </w:tr>
            <w:tr w:rsidR="006C7AA7" w:rsidRPr="00D0306F" w14:paraId="231ACB12"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B0AA547" w14:textId="77777777" w:rsidR="006C7AA7" w:rsidRPr="00D0306F" w:rsidRDefault="006C7AA7" w:rsidP="00CC3BF4">
                  <w:pPr>
                    <w:jc w:val="center"/>
                    <w:rPr>
                      <w:rFonts w:eastAsia="Times New Roman" w:cs="Arial"/>
                    </w:rPr>
                  </w:pPr>
                  <w:r w:rsidRPr="00D0306F">
                    <w:rPr>
                      <w:rFonts w:eastAsia="Times New Roman" w:cs="Arial"/>
                    </w:rPr>
                    <w:t>10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273872B"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5157449" w14:textId="77777777" w:rsidR="006C7AA7" w:rsidRPr="00D0306F" w:rsidRDefault="006C7AA7" w:rsidP="00CC3BF4">
                  <w:pPr>
                    <w:rPr>
                      <w:rFonts w:eastAsia="Times New Roman" w:cs="Arial"/>
                    </w:rPr>
                  </w:pPr>
                  <w:r w:rsidRPr="00D0306F">
                    <w:rPr>
                      <w:rFonts w:eastAsia="Times New Roman" w:cs="Arial"/>
                    </w:rPr>
                    <w:t xml:space="preserve">Gp surgery sent me to pharmacy for common ailments, but then was referred back to gp so had to wait for an appointment before I could get the prescription to be able to to get the medicine </w:t>
                  </w:r>
                </w:p>
              </w:tc>
            </w:tr>
            <w:tr w:rsidR="006C7AA7" w:rsidRPr="00D0306F" w14:paraId="06CBAD04"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5ED2E01" w14:textId="77777777" w:rsidR="006C7AA7" w:rsidRPr="00D0306F" w:rsidRDefault="006C7AA7" w:rsidP="00CC3BF4">
                  <w:pPr>
                    <w:jc w:val="center"/>
                    <w:rPr>
                      <w:rFonts w:eastAsia="Times New Roman" w:cs="Arial"/>
                    </w:rPr>
                  </w:pPr>
                  <w:r w:rsidRPr="00D0306F">
                    <w:rPr>
                      <w:rFonts w:eastAsia="Times New Roman" w:cs="Arial"/>
                    </w:rPr>
                    <w:t>11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70ACC9C"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45833E5" w14:textId="77777777" w:rsidR="006C7AA7" w:rsidRPr="00D0306F" w:rsidRDefault="006C7AA7" w:rsidP="00CC3BF4">
                  <w:pPr>
                    <w:rPr>
                      <w:rFonts w:eastAsia="Times New Roman" w:cs="Arial"/>
                    </w:rPr>
                  </w:pPr>
                  <w:r w:rsidRPr="00D0306F">
                    <w:rPr>
                      <w:rFonts w:eastAsia="Times New Roman" w:cs="Arial"/>
                    </w:rPr>
                    <w:t>Not enough blue badge spaces around my Chemist - only one at the moment.</w:t>
                  </w:r>
                </w:p>
              </w:tc>
            </w:tr>
            <w:tr w:rsidR="006C7AA7" w:rsidRPr="00D0306F" w14:paraId="6A298181"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EB9173E" w14:textId="77777777" w:rsidR="006C7AA7" w:rsidRPr="00D0306F" w:rsidRDefault="006C7AA7" w:rsidP="00CC3BF4">
                  <w:pPr>
                    <w:jc w:val="center"/>
                    <w:rPr>
                      <w:rFonts w:eastAsia="Times New Roman" w:cs="Arial"/>
                    </w:rPr>
                  </w:pPr>
                  <w:r w:rsidRPr="00D0306F">
                    <w:rPr>
                      <w:rFonts w:eastAsia="Times New Roman" w:cs="Arial"/>
                    </w:rPr>
                    <w:lastRenderedPageBreak/>
                    <w:t>12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DBD867B"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ADCF82B" w14:textId="77777777" w:rsidR="006C7AA7" w:rsidRPr="00D0306F" w:rsidRDefault="006C7AA7" w:rsidP="00CC3BF4">
                  <w:pPr>
                    <w:rPr>
                      <w:rFonts w:eastAsia="Times New Roman" w:cs="Arial"/>
                    </w:rPr>
                  </w:pPr>
                  <w:r w:rsidRPr="00D0306F">
                    <w:rPr>
                      <w:rFonts w:eastAsia="Times New Roman" w:cs="Arial"/>
                    </w:rPr>
                    <w:t xml:space="preserve">Hours of work and pharmacy opening times </w:t>
                  </w:r>
                </w:p>
              </w:tc>
            </w:tr>
            <w:tr w:rsidR="006C7AA7" w:rsidRPr="00D0306F" w14:paraId="0ED45714"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55A23AE" w14:textId="77777777" w:rsidR="006C7AA7" w:rsidRPr="00D0306F" w:rsidRDefault="006C7AA7" w:rsidP="00CC3BF4">
                  <w:pPr>
                    <w:jc w:val="center"/>
                    <w:rPr>
                      <w:rFonts w:eastAsia="Times New Roman" w:cs="Arial"/>
                    </w:rPr>
                  </w:pPr>
                  <w:r w:rsidRPr="00D0306F">
                    <w:rPr>
                      <w:rFonts w:eastAsia="Times New Roman" w:cs="Arial"/>
                    </w:rPr>
                    <w:t>13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E17A0AD"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B7BFE36"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2F751524"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31D5EAE" w14:textId="77777777" w:rsidR="006C7AA7" w:rsidRPr="00D0306F" w:rsidRDefault="006C7AA7" w:rsidP="00CC3BF4">
                  <w:pPr>
                    <w:jc w:val="center"/>
                    <w:rPr>
                      <w:rFonts w:eastAsia="Times New Roman" w:cs="Arial"/>
                    </w:rPr>
                  </w:pPr>
                  <w:r w:rsidRPr="00D0306F">
                    <w:rPr>
                      <w:rFonts w:eastAsia="Times New Roman" w:cs="Arial"/>
                    </w:rPr>
                    <w:t>14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8C5E678"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B275858"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2D5A6F1A"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9B8D295" w14:textId="77777777" w:rsidR="006C7AA7" w:rsidRPr="00D0306F" w:rsidRDefault="006C7AA7" w:rsidP="00CC3BF4">
                  <w:pPr>
                    <w:jc w:val="center"/>
                    <w:rPr>
                      <w:rFonts w:eastAsia="Times New Roman" w:cs="Arial"/>
                    </w:rPr>
                  </w:pPr>
                  <w:r w:rsidRPr="00D0306F">
                    <w:rPr>
                      <w:rFonts w:eastAsia="Times New Roman" w:cs="Arial"/>
                    </w:rPr>
                    <w:t>15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2736311"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FAC3ADA"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7F520E1E"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16501E1" w14:textId="77777777" w:rsidR="006C7AA7" w:rsidRPr="00D0306F" w:rsidRDefault="006C7AA7" w:rsidP="00CC3BF4">
                  <w:pPr>
                    <w:jc w:val="center"/>
                    <w:rPr>
                      <w:rFonts w:eastAsia="Times New Roman" w:cs="Arial"/>
                    </w:rPr>
                  </w:pPr>
                  <w:r w:rsidRPr="00D0306F">
                    <w:rPr>
                      <w:rFonts w:eastAsia="Times New Roman" w:cs="Arial"/>
                    </w:rPr>
                    <w:t>16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B05C884"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7EA3723"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020D917B"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9F499AD" w14:textId="77777777" w:rsidR="006C7AA7" w:rsidRPr="00D0306F" w:rsidRDefault="006C7AA7" w:rsidP="00CC3BF4">
                  <w:pPr>
                    <w:jc w:val="center"/>
                    <w:rPr>
                      <w:rFonts w:eastAsia="Times New Roman" w:cs="Arial"/>
                    </w:rPr>
                  </w:pPr>
                  <w:r w:rsidRPr="00D0306F">
                    <w:rPr>
                      <w:rFonts w:eastAsia="Times New Roman" w:cs="Arial"/>
                    </w:rPr>
                    <w:t>17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7B8303B"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01F0B9E"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42321B25"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D92D06E" w14:textId="77777777" w:rsidR="006C7AA7" w:rsidRPr="00D0306F" w:rsidRDefault="006C7AA7" w:rsidP="00CC3BF4">
                  <w:pPr>
                    <w:jc w:val="center"/>
                    <w:rPr>
                      <w:rFonts w:eastAsia="Times New Roman" w:cs="Arial"/>
                    </w:rPr>
                  </w:pPr>
                  <w:r w:rsidRPr="00D0306F">
                    <w:rPr>
                      <w:rFonts w:eastAsia="Times New Roman" w:cs="Arial"/>
                    </w:rPr>
                    <w:t>18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453075E"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04E9835" w14:textId="77777777" w:rsidR="006C7AA7" w:rsidRPr="00D0306F" w:rsidRDefault="006C7AA7" w:rsidP="00CC3BF4">
                  <w:pPr>
                    <w:rPr>
                      <w:rFonts w:eastAsia="Times New Roman" w:cs="Arial"/>
                    </w:rPr>
                  </w:pPr>
                  <w:r w:rsidRPr="00D0306F">
                    <w:rPr>
                      <w:rFonts w:eastAsia="Times New Roman" w:cs="Arial"/>
                    </w:rPr>
                    <w:t xml:space="preserve">No </w:t>
                  </w:r>
                </w:p>
              </w:tc>
            </w:tr>
            <w:tr w:rsidR="006C7AA7" w:rsidRPr="00D0306F" w14:paraId="49158ABD"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74837E1" w14:textId="77777777" w:rsidR="006C7AA7" w:rsidRPr="00D0306F" w:rsidRDefault="006C7AA7" w:rsidP="00CC3BF4">
                  <w:pPr>
                    <w:jc w:val="center"/>
                    <w:rPr>
                      <w:rFonts w:eastAsia="Times New Roman" w:cs="Arial"/>
                    </w:rPr>
                  </w:pPr>
                  <w:r w:rsidRPr="00D0306F">
                    <w:rPr>
                      <w:rFonts w:eastAsia="Times New Roman" w:cs="Arial"/>
                    </w:rPr>
                    <w:t>19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894799F"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30A9C29"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0860180F"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A785731" w14:textId="77777777" w:rsidR="006C7AA7" w:rsidRPr="00D0306F" w:rsidRDefault="006C7AA7" w:rsidP="00CC3BF4">
                  <w:pPr>
                    <w:jc w:val="center"/>
                    <w:rPr>
                      <w:rFonts w:eastAsia="Times New Roman" w:cs="Arial"/>
                    </w:rPr>
                  </w:pPr>
                  <w:r w:rsidRPr="00D0306F">
                    <w:rPr>
                      <w:rFonts w:eastAsia="Times New Roman" w:cs="Arial"/>
                    </w:rPr>
                    <w:t>20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5B5DE2C"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D1922FD"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4304E867"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987AA40" w14:textId="77777777" w:rsidR="006C7AA7" w:rsidRPr="00D0306F" w:rsidRDefault="006C7AA7" w:rsidP="00CC3BF4">
                  <w:pPr>
                    <w:jc w:val="center"/>
                    <w:rPr>
                      <w:rFonts w:eastAsia="Times New Roman" w:cs="Arial"/>
                    </w:rPr>
                  </w:pPr>
                  <w:r w:rsidRPr="00D0306F">
                    <w:rPr>
                      <w:rFonts w:eastAsia="Times New Roman" w:cs="Arial"/>
                    </w:rPr>
                    <w:t>21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49B38F0"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1E400F1"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27C3418B"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E54A2DE" w14:textId="77777777" w:rsidR="006C7AA7" w:rsidRPr="00D0306F" w:rsidRDefault="006C7AA7" w:rsidP="00CC3BF4">
                  <w:pPr>
                    <w:jc w:val="center"/>
                    <w:rPr>
                      <w:rFonts w:eastAsia="Times New Roman" w:cs="Arial"/>
                    </w:rPr>
                  </w:pPr>
                  <w:r w:rsidRPr="00D0306F">
                    <w:rPr>
                      <w:rFonts w:eastAsia="Times New Roman" w:cs="Arial"/>
                    </w:rPr>
                    <w:t>22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FF8E441"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A598801" w14:textId="77777777" w:rsidR="006C7AA7" w:rsidRPr="00D0306F" w:rsidRDefault="006C7AA7" w:rsidP="00CC3BF4">
                  <w:pPr>
                    <w:rPr>
                      <w:rFonts w:eastAsia="Times New Roman" w:cs="Arial"/>
                    </w:rPr>
                  </w:pPr>
                  <w:r w:rsidRPr="00D0306F">
                    <w:rPr>
                      <w:rFonts w:eastAsia="Times New Roman" w:cs="Arial"/>
                    </w:rPr>
                    <w:t xml:space="preserve">Just attitude of pharmacist </w:t>
                  </w:r>
                </w:p>
              </w:tc>
            </w:tr>
            <w:tr w:rsidR="006C7AA7" w:rsidRPr="00D0306F" w14:paraId="5A1732BF"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8B6274C" w14:textId="77777777" w:rsidR="006C7AA7" w:rsidRPr="00D0306F" w:rsidRDefault="006C7AA7" w:rsidP="00CC3BF4">
                  <w:pPr>
                    <w:jc w:val="center"/>
                    <w:rPr>
                      <w:rFonts w:eastAsia="Times New Roman" w:cs="Arial"/>
                    </w:rPr>
                  </w:pPr>
                  <w:r w:rsidRPr="00D0306F">
                    <w:rPr>
                      <w:rFonts w:eastAsia="Times New Roman" w:cs="Arial"/>
                    </w:rPr>
                    <w:t>23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F0E521F"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3713BFC"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3DFC4DA7"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702C17F" w14:textId="77777777" w:rsidR="006C7AA7" w:rsidRPr="00D0306F" w:rsidRDefault="006C7AA7" w:rsidP="00CC3BF4">
                  <w:pPr>
                    <w:jc w:val="center"/>
                    <w:rPr>
                      <w:rFonts w:eastAsia="Times New Roman" w:cs="Arial"/>
                    </w:rPr>
                  </w:pPr>
                  <w:r w:rsidRPr="00D0306F">
                    <w:rPr>
                      <w:rFonts w:eastAsia="Times New Roman" w:cs="Arial"/>
                    </w:rPr>
                    <w:t>24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FC6057E"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ACDA33D"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59435C2C"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33BC820" w14:textId="77777777" w:rsidR="006C7AA7" w:rsidRPr="00D0306F" w:rsidRDefault="006C7AA7" w:rsidP="00CC3BF4">
                  <w:pPr>
                    <w:jc w:val="center"/>
                    <w:rPr>
                      <w:rFonts w:eastAsia="Times New Roman" w:cs="Arial"/>
                    </w:rPr>
                  </w:pPr>
                  <w:r w:rsidRPr="00D0306F">
                    <w:rPr>
                      <w:rFonts w:eastAsia="Times New Roman" w:cs="Arial"/>
                    </w:rPr>
                    <w:t>25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7793FE6"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1955750" w14:textId="77777777" w:rsidR="006C7AA7" w:rsidRPr="00D0306F" w:rsidRDefault="006C7AA7" w:rsidP="00CC3BF4">
                  <w:pPr>
                    <w:rPr>
                      <w:rFonts w:eastAsia="Times New Roman" w:cs="Arial"/>
                    </w:rPr>
                  </w:pPr>
                  <w:r w:rsidRPr="00D0306F">
                    <w:rPr>
                      <w:rFonts w:eastAsia="Times New Roman" w:cs="Arial"/>
                    </w:rPr>
                    <w:t xml:space="preserve">They don't open at weekends </w:t>
                  </w:r>
                </w:p>
              </w:tc>
            </w:tr>
            <w:tr w:rsidR="006C7AA7" w:rsidRPr="00D0306F" w14:paraId="61798D8C"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833E219" w14:textId="77777777" w:rsidR="006C7AA7" w:rsidRPr="00D0306F" w:rsidRDefault="006C7AA7" w:rsidP="00CC3BF4">
                  <w:pPr>
                    <w:jc w:val="center"/>
                    <w:rPr>
                      <w:rFonts w:eastAsia="Times New Roman" w:cs="Arial"/>
                    </w:rPr>
                  </w:pPr>
                  <w:r w:rsidRPr="00D0306F">
                    <w:rPr>
                      <w:rFonts w:eastAsia="Times New Roman" w:cs="Arial"/>
                    </w:rPr>
                    <w:t>26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9759D6B"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024DE86"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0209D50B"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F383005" w14:textId="77777777" w:rsidR="006C7AA7" w:rsidRPr="00D0306F" w:rsidRDefault="006C7AA7" w:rsidP="00CC3BF4">
                  <w:pPr>
                    <w:jc w:val="center"/>
                    <w:rPr>
                      <w:rFonts w:eastAsia="Times New Roman" w:cs="Arial"/>
                    </w:rPr>
                  </w:pPr>
                  <w:r w:rsidRPr="00D0306F">
                    <w:rPr>
                      <w:rFonts w:eastAsia="Times New Roman" w:cs="Arial"/>
                    </w:rPr>
                    <w:t>27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996E277"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C7AE758"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3E62388A"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E3EB1B4" w14:textId="77777777" w:rsidR="006C7AA7" w:rsidRPr="00D0306F" w:rsidRDefault="006C7AA7" w:rsidP="00CC3BF4">
                  <w:pPr>
                    <w:jc w:val="center"/>
                    <w:rPr>
                      <w:rFonts w:eastAsia="Times New Roman" w:cs="Arial"/>
                    </w:rPr>
                  </w:pPr>
                  <w:r w:rsidRPr="00D0306F">
                    <w:rPr>
                      <w:rFonts w:eastAsia="Times New Roman" w:cs="Arial"/>
                    </w:rPr>
                    <w:t>28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63434C3"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BD8FCAD"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4299049B"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91FC8BE" w14:textId="77777777" w:rsidR="006C7AA7" w:rsidRPr="00D0306F" w:rsidRDefault="006C7AA7" w:rsidP="00CC3BF4">
                  <w:pPr>
                    <w:jc w:val="center"/>
                    <w:rPr>
                      <w:rFonts w:eastAsia="Times New Roman" w:cs="Arial"/>
                    </w:rPr>
                  </w:pPr>
                  <w:r w:rsidRPr="00D0306F">
                    <w:rPr>
                      <w:rFonts w:eastAsia="Times New Roman" w:cs="Arial"/>
                    </w:rPr>
                    <w:t>29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3650D39"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6B90246"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783014AB"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3528B99" w14:textId="77777777" w:rsidR="006C7AA7" w:rsidRPr="00D0306F" w:rsidRDefault="006C7AA7" w:rsidP="00CC3BF4">
                  <w:pPr>
                    <w:jc w:val="center"/>
                    <w:rPr>
                      <w:rFonts w:eastAsia="Times New Roman" w:cs="Arial"/>
                    </w:rPr>
                  </w:pPr>
                  <w:r w:rsidRPr="00D0306F">
                    <w:rPr>
                      <w:rFonts w:eastAsia="Times New Roman" w:cs="Arial"/>
                    </w:rPr>
                    <w:t>30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0C22588"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32687B0"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5D23D1BD"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795EAFE" w14:textId="77777777" w:rsidR="006C7AA7" w:rsidRPr="00D0306F" w:rsidRDefault="006C7AA7" w:rsidP="00CC3BF4">
                  <w:pPr>
                    <w:jc w:val="center"/>
                    <w:rPr>
                      <w:rFonts w:eastAsia="Times New Roman" w:cs="Arial"/>
                    </w:rPr>
                  </w:pPr>
                  <w:r w:rsidRPr="00D0306F">
                    <w:rPr>
                      <w:rFonts w:eastAsia="Times New Roman" w:cs="Arial"/>
                    </w:rPr>
                    <w:t>31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D650163"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6F3417B" w14:textId="77777777" w:rsidR="006C7AA7" w:rsidRPr="00D0306F" w:rsidRDefault="006C7AA7" w:rsidP="00CC3BF4">
                  <w:pPr>
                    <w:rPr>
                      <w:rFonts w:eastAsia="Times New Roman" w:cs="Arial"/>
                    </w:rPr>
                  </w:pPr>
                  <w:r w:rsidRPr="00D0306F">
                    <w:rPr>
                      <w:rFonts w:eastAsia="Times New Roman" w:cs="Arial"/>
                    </w:rPr>
                    <w:t>Opening hours</w:t>
                  </w:r>
                </w:p>
              </w:tc>
            </w:tr>
            <w:tr w:rsidR="006C7AA7" w:rsidRPr="00D0306F" w14:paraId="49DD81AE"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232397E" w14:textId="77777777" w:rsidR="006C7AA7" w:rsidRPr="00D0306F" w:rsidRDefault="006C7AA7" w:rsidP="00CC3BF4">
                  <w:pPr>
                    <w:jc w:val="center"/>
                    <w:rPr>
                      <w:rFonts w:eastAsia="Times New Roman" w:cs="Arial"/>
                    </w:rPr>
                  </w:pPr>
                  <w:r w:rsidRPr="00D0306F">
                    <w:rPr>
                      <w:rFonts w:eastAsia="Times New Roman" w:cs="Arial"/>
                    </w:rPr>
                    <w:t>32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BD47DF4"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1F0B1B0" w14:textId="77777777" w:rsidR="006C7AA7" w:rsidRPr="00D0306F" w:rsidRDefault="006C7AA7" w:rsidP="00CC3BF4">
                  <w:pPr>
                    <w:rPr>
                      <w:rFonts w:eastAsia="Times New Roman" w:cs="Arial"/>
                    </w:rPr>
                  </w:pPr>
                  <w:r w:rsidRPr="00D0306F">
                    <w:rPr>
                      <w:rFonts w:eastAsia="Times New Roman" w:cs="Arial"/>
                    </w:rPr>
                    <w:t>Unaware of help outside common ailments scheme</w:t>
                  </w:r>
                </w:p>
              </w:tc>
            </w:tr>
            <w:tr w:rsidR="006C7AA7" w:rsidRPr="00D0306F" w14:paraId="31103312"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1C4DAC2" w14:textId="77777777" w:rsidR="006C7AA7" w:rsidRPr="00D0306F" w:rsidRDefault="006C7AA7" w:rsidP="00CC3BF4">
                  <w:pPr>
                    <w:jc w:val="center"/>
                    <w:rPr>
                      <w:rFonts w:eastAsia="Times New Roman" w:cs="Arial"/>
                    </w:rPr>
                  </w:pPr>
                  <w:r w:rsidRPr="00D0306F">
                    <w:rPr>
                      <w:rFonts w:eastAsia="Times New Roman" w:cs="Arial"/>
                    </w:rPr>
                    <w:t>33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809298F"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28C07B2" w14:textId="77777777" w:rsidR="006C7AA7" w:rsidRPr="00D0306F" w:rsidRDefault="006C7AA7" w:rsidP="00CC3BF4">
                  <w:pPr>
                    <w:rPr>
                      <w:rFonts w:eastAsia="Times New Roman" w:cs="Arial"/>
                    </w:rPr>
                  </w:pPr>
                  <w:r w:rsidRPr="00D0306F">
                    <w:rPr>
                      <w:rFonts w:eastAsia="Times New Roman" w:cs="Arial"/>
                    </w:rPr>
                    <w:t xml:space="preserve">Hours </w:t>
                  </w:r>
                </w:p>
              </w:tc>
            </w:tr>
            <w:tr w:rsidR="006C7AA7" w:rsidRPr="00D0306F" w14:paraId="47966553"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5841999" w14:textId="77777777" w:rsidR="006C7AA7" w:rsidRPr="00D0306F" w:rsidRDefault="006C7AA7" w:rsidP="00CC3BF4">
                  <w:pPr>
                    <w:jc w:val="center"/>
                    <w:rPr>
                      <w:rFonts w:eastAsia="Times New Roman" w:cs="Arial"/>
                    </w:rPr>
                  </w:pPr>
                  <w:r w:rsidRPr="00D0306F">
                    <w:rPr>
                      <w:rFonts w:eastAsia="Times New Roman" w:cs="Arial"/>
                    </w:rPr>
                    <w:t>34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7D6D72D"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809B5F6" w14:textId="77777777" w:rsidR="006C7AA7" w:rsidRPr="00D0306F" w:rsidRDefault="006C7AA7" w:rsidP="00CC3BF4">
                  <w:pPr>
                    <w:rPr>
                      <w:rFonts w:eastAsia="Times New Roman" w:cs="Arial"/>
                    </w:rPr>
                  </w:pPr>
                  <w:r w:rsidRPr="00D0306F">
                    <w:rPr>
                      <w:rFonts w:eastAsia="Times New Roman" w:cs="Arial"/>
                    </w:rPr>
                    <w:t>None</w:t>
                  </w:r>
                </w:p>
              </w:tc>
            </w:tr>
            <w:tr w:rsidR="006C7AA7" w:rsidRPr="00D0306F" w14:paraId="2F58A3DA"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FB9FB83" w14:textId="77777777" w:rsidR="006C7AA7" w:rsidRPr="00D0306F" w:rsidRDefault="006C7AA7" w:rsidP="00CC3BF4">
                  <w:pPr>
                    <w:jc w:val="center"/>
                    <w:rPr>
                      <w:rFonts w:eastAsia="Times New Roman" w:cs="Arial"/>
                    </w:rPr>
                  </w:pPr>
                  <w:r w:rsidRPr="00D0306F">
                    <w:rPr>
                      <w:rFonts w:eastAsia="Times New Roman" w:cs="Arial"/>
                    </w:rPr>
                    <w:t>35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CF2D30A"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A97099E"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6B7FE36D"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692B789" w14:textId="77777777" w:rsidR="006C7AA7" w:rsidRPr="00D0306F" w:rsidRDefault="006C7AA7" w:rsidP="00CC3BF4">
                  <w:pPr>
                    <w:jc w:val="center"/>
                    <w:rPr>
                      <w:rFonts w:eastAsia="Times New Roman" w:cs="Arial"/>
                    </w:rPr>
                  </w:pPr>
                  <w:r w:rsidRPr="00D0306F">
                    <w:rPr>
                      <w:rFonts w:eastAsia="Times New Roman" w:cs="Arial"/>
                    </w:rPr>
                    <w:t>36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597FEB3"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31303A6"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2DCE0ADF"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444AA8F" w14:textId="77777777" w:rsidR="006C7AA7" w:rsidRPr="00D0306F" w:rsidRDefault="006C7AA7" w:rsidP="00CC3BF4">
                  <w:pPr>
                    <w:jc w:val="center"/>
                    <w:rPr>
                      <w:rFonts w:eastAsia="Times New Roman" w:cs="Arial"/>
                    </w:rPr>
                  </w:pPr>
                  <w:r w:rsidRPr="00D0306F">
                    <w:rPr>
                      <w:rFonts w:eastAsia="Times New Roman" w:cs="Arial"/>
                    </w:rPr>
                    <w:t>37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9500165"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D526A8B" w14:textId="77777777" w:rsidR="006C7AA7" w:rsidRPr="00D0306F" w:rsidRDefault="006C7AA7" w:rsidP="00CC3BF4">
                  <w:pPr>
                    <w:rPr>
                      <w:rFonts w:eastAsia="Times New Roman" w:cs="Arial"/>
                    </w:rPr>
                  </w:pPr>
                  <w:r w:rsidRPr="00D0306F">
                    <w:rPr>
                      <w:rFonts w:eastAsia="Times New Roman" w:cs="Arial"/>
                    </w:rPr>
                    <w:t xml:space="preserve">No. </w:t>
                  </w:r>
                </w:p>
              </w:tc>
            </w:tr>
            <w:tr w:rsidR="006C7AA7" w:rsidRPr="00D0306F" w14:paraId="4EB7BA69"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483E593" w14:textId="77777777" w:rsidR="006C7AA7" w:rsidRPr="00D0306F" w:rsidRDefault="006C7AA7" w:rsidP="00CC3BF4">
                  <w:pPr>
                    <w:jc w:val="center"/>
                    <w:rPr>
                      <w:rFonts w:eastAsia="Times New Roman" w:cs="Arial"/>
                    </w:rPr>
                  </w:pPr>
                  <w:r w:rsidRPr="00D0306F">
                    <w:rPr>
                      <w:rFonts w:eastAsia="Times New Roman" w:cs="Arial"/>
                    </w:rPr>
                    <w:t>38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30B2D10"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ECCB7E6" w14:textId="77777777" w:rsidR="006C7AA7" w:rsidRPr="00D0306F" w:rsidRDefault="006C7AA7" w:rsidP="00CC3BF4">
                  <w:pPr>
                    <w:rPr>
                      <w:rFonts w:eastAsia="Times New Roman" w:cs="Arial"/>
                    </w:rPr>
                  </w:pPr>
                  <w:r w:rsidRPr="00D0306F">
                    <w:rPr>
                      <w:rFonts w:eastAsia="Times New Roman" w:cs="Arial"/>
                    </w:rPr>
                    <w:t>Generally all don't offer out of hours dispensing machines.</w:t>
                  </w:r>
                </w:p>
              </w:tc>
            </w:tr>
            <w:tr w:rsidR="006C7AA7" w:rsidRPr="00D0306F" w14:paraId="57F7C78A"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9772F66" w14:textId="77777777" w:rsidR="006C7AA7" w:rsidRPr="00D0306F" w:rsidRDefault="006C7AA7" w:rsidP="00CC3BF4">
                  <w:pPr>
                    <w:jc w:val="center"/>
                    <w:rPr>
                      <w:rFonts w:eastAsia="Times New Roman" w:cs="Arial"/>
                    </w:rPr>
                  </w:pPr>
                  <w:r w:rsidRPr="00D0306F">
                    <w:rPr>
                      <w:rFonts w:eastAsia="Times New Roman" w:cs="Arial"/>
                    </w:rPr>
                    <w:t>39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C62536A"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326F0FD"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462432E4"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7AEEAB9" w14:textId="77777777" w:rsidR="006C7AA7" w:rsidRPr="00D0306F" w:rsidRDefault="006C7AA7" w:rsidP="00CC3BF4">
                  <w:pPr>
                    <w:jc w:val="center"/>
                    <w:rPr>
                      <w:rFonts w:eastAsia="Times New Roman" w:cs="Arial"/>
                    </w:rPr>
                  </w:pPr>
                  <w:r w:rsidRPr="00D0306F">
                    <w:rPr>
                      <w:rFonts w:eastAsia="Times New Roman" w:cs="Arial"/>
                    </w:rPr>
                    <w:t>40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C6FA321"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1D226B9" w14:textId="77777777" w:rsidR="006C7AA7" w:rsidRPr="00D0306F" w:rsidRDefault="006C7AA7" w:rsidP="00CC3BF4">
                  <w:pPr>
                    <w:rPr>
                      <w:rFonts w:eastAsia="Times New Roman" w:cs="Arial"/>
                    </w:rPr>
                  </w:pPr>
                  <w:r w:rsidRPr="00D0306F">
                    <w:rPr>
                      <w:rFonts w:eastAsia="Times New Roman" w:cs="Arial"/>
                    </w:rPr>
                    <w:t xml:space="preserve">It would be helpful if the pharmacy opened on a weekend </w:t>
                  </w:r>
                </w:p>
              </w:tc>
            </w:tr>
            <w:tr w:rsidR="006C7AA7" w:rsidRPr="00D0306F" w14:paraId="5B900210"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5C12AB1" w14:textId="77777777" w:rsidR="006C7AA7" w:rsidRPr="00D0306F" w:rsidRDefault="006C7AA7" w:rsidP="00CC3BF4">
                  <w:pPr>
                    <w:jc w:val="center"/>
                    <w:rPr>
                      <w:rFonts w:eastAsia="Times New Roman" w:cs="Arial"/>
                    </w:rPr>
                  </w:pPr>
                  <w:r w:rsidRPr="00D0306F">
                    <w:rPr>
                      <w:rFonts w:eastAsia="Times New Roman" w:cs="Arial"/>
                    </w:rPr>
                    <w:lastRenderedPageBreak/>
                    <w:t>41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E8FCEA7"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DF78401" w14:textId="77777777" w:rsidR="006C7AA7" w:rsidRPr="00D0306F" w:rsidRDefault="006C7AA7" w:rsidP="00CC3BF4">
                  <w:pPr>
                    <w:rPr>
                      <w:rFonts w:eastAsia="Times New Roman" w:cs="Arial"/>
                    </w:rPr>
                  </w:pPr>
                  <w:r w:rsidRPr="00D0306F">
                    <w:rPr>
                      <w:rFonts w:eastAsia="Times New Roman" w:cs="Arial"/>
                    </w:rPr>
                    <w:t xml:space="preserve">Opening hours, no late evening service. Again them closing fir lunch. </w:t>
                  </w:r>
                </w:p>
              </w:tc>
            </w:tr>
            <w:tr w:rsidR="006C7AA7" w:rsidRPr="00D0306F" w14:paraId="16D73C6B"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EAC08A3" w14:textId="77777777" w:rsidR="006C7AA7" w:rsidRPr="00D0306F" w:rsidRDefault="006C7AA7" w:rsidP="00CC3BF4">
                  <w:pPr>
                    <w:jc w:val="center"/>
                    <w:rPr>
                      <w:rFonts w:eastAsia="Times New Roman" w:cs="Arial"/>
                    </w:rPr>
                  </w:pPr>
                  <w:r w:rsidRPr="00D0306F">
                    <w:rPr>
                      <w:rFonts w:eastAsia="Times New Roman" w:cs="Arial"/>
                    </w:rPr>
                    <w:t>42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8D43379"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FC79621"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46D549BA"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A3592D6" w14:textId="77777777" w:rsidR="006C7AA7" w:rsidRPr="00D0306F" w:rsidRDefault="006C7AA7" w:rsidP="00CC3BF4">
                  <w:pPr>
                    <w:jc w:val="center"/>
                    <w:rPr>
                      <w:rFonts w:eastAsia="Times New Roman" w:cs="Arial"/>
                    </w:rPr>
                  </w:pPr>
                  <w:r w:rsidRPr="00D0306F">
                    <w:rPr>
                      <w:rFonts w:eastAsia="Times New Roman" w:cs="Arial"/>
                    </w:rPr>
                    <w:t>43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44EFDE6"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56F3871"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3F8024AF"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F7A3604" w14:textId="77777777" w:rsidR="006C7AA7" w:rsidRPr="00D0306F" w:rsidRDefault="006C7AA7" w:rsidP="00CC3BF4">
                  <w:pPr>
                    <w:jc w:val="center"/>
                    <w:rPr>
                      <w:rFonts w:eastAsia="Times New Roman" w:cs="Arial"/>
                    </w:rPr>
                  </w:pPr>
                  <w:r w:rsidRPr="00D0306F">
                    <w:rPr>
                      <w:rFonts w:eastAsia="Times New Roman" w:cs="Arial"/>
                    </w:rPr>
                    <w:t>44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E77224E"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B6BBEB7"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47AA9172"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20C1BE0" w14:textId="77777777" w:rsidR="006C7AA7" w:rsidRPr="00D0306F" w:rsidRDefault="006C7AA7" w:rsidP="00CC3BF4">
                  <w:pPr>
                    <w:jc w:val="center"/>
                    <w:rPr>
                      <w:rFonts w:eastAsia="Times New Roman" w:cs="Arial"/>
                    </w:rPr>
                  </w:pPr>
                  <w:r w:rsidRPr="00D0306F">
                    <w:rPr>
                      <w:rFonts w:eastAsia="Times New Roman" w:cs="Arial"/>
                    </w:rPr>
                    <w:t>45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5963319"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E330DF0"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3CAB18F2"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59A9369" w14:textId="77777777" w:rsidR="006C7AA7" w:rsidRPr="00D0306F" w:rsidRDefault="006C7AA7" w:rsidP="00CC3BF4">
                  <w:pPr>
                    <w:jc w:val="center"/>
                    <w:rPr>
                      <w:rFonts w:eastAsia="Times New Roman" w:cs="Arial"/>
                    </w:rPr>
                  </w:pPr>
                  <w:r w:rsidRPr="00D0306F">
                    <w:rPr>
                      <w:rFonts w:eastAsia="Times New Roman" w:cs="Arial"/>
                    </w:rPr>
                    <w:t>46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6160A8C"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69F69CF" w14:textId="77777777" w:rsidR="006C7AA7" w:rsidRPr="00D0306F" w:rsidRDefault="006C7AA7" w:rsidP="00CC3BF4">
                  <w:pPr>
                    <w:rPr>
                      <w:rFonts w:eastAsia="Times New Roman" w:cs="Arial"/>
                    </w:rPr>
                  </w:pPr>
                  <w:r w:rsidRPr="00D0306F">
                    <w:rPr>
                      <w:rFonts w:eastAsia="Times New Roman" w:cs="Arial"/>
                    </w:rPr>
                    <w:t xml:space="preserve">The attitude of staff in pharmacies is awful. Just when you don’t feel well anyway and they are so rude. Not one pharmacy I’ve been to has brilliant customer service </w:t>
                  </w:r>
                </w:p>
              </w:tc>
            </w:tr>
            <w:tr w:rsidR="006C7AA7" w:rsidRPr="00D0306F" w14:paraId="261D58D0"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AE8C13A" w14:textId="77777777" w:rsidR="006C7AA7" w:rsidRPr="00D0306F" w:rsidRDefault="006C7AA7" w:rsidP="00CC3BF4">
                  <w:pPr>
                    <w:jc w:val="center"/>
                    <w:rPr>
                      <w:rFonts w:eastAsia="Times New Roman" w:cs="Arial"/>
                    </w:rPr>
                  </w:pPr>
                  <w:r w:rsidRPr="00D0306F">
                    <w:rPr>
                      <w:rFonts w:eastAsia="Times New Roman" w:cs="Arial"/>
                    </w:rPr>
                    <w:t>47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E498239"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515885F" w14:textId="77777777" w:rsidR="006C7AA7" w:rsidRPr="00D0306F" w:rsidRDefault="006C7AA7" w:rsidP="00CC3BF4">
                  <w:pPr>
                    <w:rPr>
                      <w:rFonts w:eastAsia="Times New Roman" w:cs="Arial"/>
                    </w:rPr>
                  </w:pPr>
                  <w:r w:rsidRPr="00D0306F">
                    <w:rPr>
                      <w:rFonts w:eastAsia="Times New Roman" w:cs="Arial"/>
                    </w:rPr>
                    <w:t>Rarely see welsh speaking pharmacists</w:t>
                  </w:r>
                </w:p>
              </w:tc>
            </w:tr>
            <w:tr w:rsidR="006C7AA7" w:rsidRPr="00D0306F" w14:paraId="0BB93050"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EE4F529" w14:textId="77777777" w:rsidR="006C7AA7" w:rsidRPr="00D0306F" w:rsidRDefault="006C7AA7" w:rsidP="00CC3BF4">
                  <w:pPr>
                    <w:jc w:val="center"/>
                    <w:rPr>
                      <w:rFonts w:eastAsia="Times New Roman" w:cs="Arial"/>
                    </w:rPr>
                  </w:pPr>
                  <w:r w:rsidRPr="00D0306F">
                    <w:rPr>
                      <w:rFonts w:eastAsia="Times New Roman" w:cs="Arial"/>
                    </w:rPr>
                    <w:t>48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09DF851"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74C0DC7"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6EAF7250"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A7F1632" w14:textId="77777777" w:rsidR="006C7AA7" w:rsidRPr="00D0306F" w:rsidRDefault="006C7AA7" w:rsidP="00CC3BF4">
                  <w:pPr>
                    <w:jc w:val="center"/>
                    <w:rPr>
                      <w:rFonts w:eastAsia="Times New Roman" w:cs="Arial"/>
                    </w:rPr>
                  </w:pPr>
                  <w:r w:rsidRPr="00D0306F">
                    <w:rPr>
                      <w:rFonts w:eastAsia="Times New Roman" w:cs="Arial"/>
                    </w:rPr>
                    <w:t>49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88371A7"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5ABE650"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583BA13A"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BC14C70" w14:textId="77777777" w:rsidR="006C7AA7" w:rsidRPr="00D0306F" w:rsidRDefault="006C7AA7" w:rsidP="00CC3BF4">
                  <w:pPr>
                    <w:jc w:val="center"/>
                    <w:rPr>
                      <w:rFonts w:eastAsia="Times New Roman" w:cs="Arial"/>
                    </w:rPr>
                  </w:pPr>
                  <w:r w:rsidRPr="00D0306F">
                    <w:rPr>
                      <w:rFonts w:eastAsia="Times New Roman" w:cs="Arial"/>
                    </w:rPr>
                    <w:t>50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19E5BC0"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332A047" w14:textId="77777777" w:rsidR="006C7AA7" w:rsidRPr="00D0306F" w:rsidRDefault="006C7AA7" w:rsidP="00CC3BF4">
                  <w:pPr>
                    <w:rPr>
                      <w:rFonts w:eastAsia="Times New Roman" w:cs="Arial"/>
                    </w:rPr>
                  </w:pPr>
                  <w:r w:rsidRPr="00D0306F">
                    <w:rPr>
                      <w:rFonts w:eastAsia="Times New Roman" w:cs="Arial"/>
                    </w:rPr>
                    <w:t>Now where to sit when waiting. As a disabled person its difficult when you have to wait some considerable time.</w:t>
                  </w:r>
                </w:p>
              </w:tc>
            </w:tr>
            <w:tr w:rsidR="006C7AA7" w:rsidRPr="00D0306F" w14:paraId="18D4A6AC"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2A51B52" w14:textId="77777777" w:rsidR="006C7AA7" w:rsidRPr="00D0306F" w:rsidRDefault="006C7AA7" w:rsidP="00CC3BF4">
                  <w:pPr>
                    <w:jc w:val="center"/>
                    <w:rPr>
                      <w:rFonts w:eastAsia="Times New Roman" w:cs="Arial"/>
                    </w:rPr>
                  </w:pPr>
                  <w:r w:rsidRPr="00D0306F">
                    <w:rPr>
                      <w:rFonts w:eastAsia="Times New Roman" w:cs="Arial"/>
                    </w:rPr>
                    <w:t>51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315C5D3"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552E980"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2828F3E3"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10ADFCA" w14:textId="77777777" w:rsidR="006C7AA7" w:rsidRPr="00D0306F" w:rsidRDefault="006C7AA7" w:rsidP="00CC3BF4">
                  <w:pPr>
                    <w:jc w:val="center"/>
                    <w:rPr>
                      <w:rFonts w:eastAsia="Times New Roman" w:cs="Arial"/>
                    </w:rPr>
                  </w:pPr>
                  <w:r w:rsidRPr="00D0306F">
                    <w:rPr>
                      <w:rFonts w:eastAsia="Times New Roman" w:cs="Arial"/>
                    </w:rPr>
                    <w:t>52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hideMark/>
                </w:tcPr>
                <w:p w14:paraId="093810EB"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6EDB441"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52004C35"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6210FE0" w14:textId="77777777" w:rsidR="006C7AA7" w:rsidRPr="00D0306F" w:rsidRDefault="006C7AA7" w:rsidP="00CC3BF4">
                  <w:pPr>
                    <w:jc w:val="center"/>
                    <w:rPr>
                      <w:rFonts w:eastAsia="Times New Roman" w:cs="Arial"/>
                    </w:rPr>
                  </w:pPr>
                  <w:r w:rsidRPr="00D0306F">
                    <w:rPr>
                      <w:rFonts w:eastAsia="Times New Roman" w:cs="Arial"/>
                    </w:rPr>
                    <w:t>53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D6AD7FE"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6ED2064" w14:textId="77777777" w:rsidR="006C7AA7" w:rsidRPr="00D0306F" w:rsidRDefault="006C7AA7" w:rsidP="00CC3BF4">
                  <w:pPr>
                    <w:rPr>
                      <w:rFonts w:eastAsia="Times New Roman" w:cs="Arial"/>
                    </w:rPr>
                  </w:pPr>
                  <w:r w:rsidRPr="00D0306F">
                    <w:rPr>
                      <w:rFonts w:eastAsia="Times New Roman" w:cs="Arial"/>
                    </w:rPr>
                    <w:t>Being immunocompromised, I can't get antibiotics from a pharmacist under the commom ailments scheme if I have an infection such as strep throat, so have to try &amp; see a gp.</w:t>
                  </w:r>
                </w:p>
              </w:tc>
            </w:tr>
            <w:tr w:rsidR="006C7AA7" w:rsidRPr="00D0306F" w14:paraId="254BD60A"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07869B6" w14:textId="77777777" w:rsidR="006C7AA7" w:rsidRPr="00D0306F" w:rsidRDefault="006C7AA7" w:rsidP="00CC3BF4">
                  <w:pPr>
                    <w:jc w:val="center"/>
                    <w:rPr>
                      <w:rFonts w:eastAsia="Times New Roman" w:cs="Arial"/>
                    </w:rPr>
                  </w:pPr>
                  <w:r w:rsidRPr="00D0306F">
                    <w:rPr>
                      <w:rFonts w:eastAsia="Times New Roman" w:cs="Arial"/>
                    </w:rPr>
                    <w:t>54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67C70DD"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F02B0F6"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2B2BF1AB"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95EFD18" w14:textId="77777777" w:rsidR="006C7AA7" w:rsidRPr="00D0306F" w:rsidRDefault="006C7AA7" w:rsidP="00CC3BF4">
                  <w:pPr>
                    <w:jc w:val="center"/>
                    <w:rPr>
                      <w:rFonts w:eastAsia="Times New Roman" w:cs="Arial"/>
                    </w:rPr>
                  </w:pPr>
                  <w:r w:rsidRPr="00D0306F">
                    <w:rPr>
                      <w:rFonts w:eastAsia="Times New Roman" w:cs="Arial"/>
                    </w:rPr>
                    <w:t>55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C207C26"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547B65E" w14:textId="77777777" w:rsidR="006C7AA7" w:rsidRPr="00D0306F" w:rsidRDefault="006C7AA7" w:rsidP="00CC3BF4">
                  <w:pPr>
                    <w:rPr>
                      <w:rFonts w:eastAsia="Times New Roman" w:cs="Arial"/>
                    </w:rPr>
                  </w:pPr>
                  <w:r w:rsidRPr="00D0306F">
                    <w:rPr>
                      <w:rFonts w:eastAsia="Times New Roman" w:cs="Arial"/>
                    </w:rPr>
                    <w:t>Opening hours</w:t>
                  </w:r>
                </w:p>
              </w:tc>
            </w:tr>
            <w:tr w:rsidR="006C7AA7" w:rsidRPr="00D0306F" w14:paraId="458E83C5"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FE2E577" w14:textId="77777777" w:rsidR="006C7AA7" w:rsidRPr="00D0306F" w:rsidRDefault="006C7AA7" w:rsidP="00CC3BF4">
                  <w:pPr>
                    <w:jc w:val="center"/>
                    <w:rPr>
                      <w:rFonts w:eastAsia="Times New Roman" w:cs="Arial"/>
                    </w:rPr>
                  </w:pPr>
                  <w:r w:rsidRPr="00D0306F">
                    <w:rPr>
                      <w:rFonts w:eastAsia="Times New Roman" w:cs="Arial"/>
                    </w:rPr>
                    <w:t>56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E89F6D9"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DCFBCE6" w14:textId="77777777" w:rsidR="006C7AA7" w:rsidRPr="00D0306F" w:rsidRDefault="006C7AA7" w:rsidP="00CC3BF4">
                  <w:pPr>
                    <w:rPr>
                      <w:rFonts w:eastAsia="Times New Roman" w:cs="Arial"/>
                    </w:rPr>
                  </w:pPr>
                  <w:r w:rsidRPr="00D0306F">
                    <w:rPr>
                      <w:rFonts w:eastAsia="Times New Roman" w:cs="Arial"/>
                    </w:rPr>
                    <w:t xml:space="preserve">There are sometimes delays in getting medication due to the GP taking a very long time to send across prescriptions and/or errors with the prescriptions. </w:t>
                  </w:r>
                </w:p>
              </w:tc>
            </w:tr>
            <w:tr w:rsidR="006C7AA7" w:rsidRPr="00D0306F" w14:paraId="4756B8F5"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761E999" w14:textId="77777777" w:rsidR="006C7AA7" w:rsidRPr="00D0306F" w:rsidRDefault="006C7AA7" w:rsidP="00CC3BF4">
                  <w:pPr>
                    <w:jc w:val="center"/>
                    <w:rPr>
                      <w:rFonts w:eastAsia="Times New Roman" w:cs="Arial"/>
                    </w:rPr>
                  </w:pPr>
                  <w:r w:rsidRPr="00D0306F">
                    <w:rPr>
                      <w:rFonts w:eastAsia="Times New Roman" w:cs="Arial"/>
                    </w:rPr>
                    <w:t>57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24B3B91"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B39113A"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688AFA16"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5027581" w14:textId="77777777" w:rsidR="006C7AA7" w:rsidRPr="00D0306F" w:rsidRDefault="006C7AA7" w:rsidP="00CC3BF4">
                  <w:pPr>
                    <w:jc w:val="center"/>
                    <w:rPr>
                      <w:rFonts w:eastAsia="Times New Roman" w:cs="Arial"/>
                    </w:rPr>
                  </w:pPr>
                  <w:r w:rsidRPr="00D0306F">
                    <w:rPr>
                      <w:rFonts w:eastAsia="Times New Roman" w:cs="Arial"/>
                    </w:rPr>
                    <w:t>58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A62C249"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9C43DFE" w14:textId="77777777" w:rsidR="006C7AA7" w:rsidRPr="00D0306F" w:rsidRDefault="006C7AA7" w:rsidP="00CC3BF4">
                  <w:pPr>
                    <w:rPr>
                      <w:rFonts w:eastAsia="Times New Roman" w:cs="Arial"/>
                    </w:rPr>
                  </w:pPr>
                  <w:r w:rsidRPr="00D0306F">
                    <w:rPr>
                      <w:rFonts w:eastAsia="Times New Roman" w:cs="Arial"/>
                    </w:rPr>
                    <w:t>No, just not needed most of them</w:t>
                  </w:r>
                </w:p>
              </w:tc>
            </w:tr>
            <w:tr w:rsidR="006C7AA7" w:rsidRPr="00D0306F" w14:paraId="72D69720"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6A8FC67" w14:textId="77777777" w:rsidR="006C7AA7" w:rsidRPr="00D0306F" w:rsidRDefault="006C7AA7" w:rsidP="00CC3BF4">
                  <w:pPr>
                    <w:jc w:val="center"/>
                    <w:rPr>
                      <w:rFonts w:eastAsia="Times New Roman" w:cs="Arial"/>
                    </w:rPr>
                  </w:pPr>
                  <w:r w:rsidRPr="00D0306F">
                    <w:rPr>
                      <w:rFonts w:eastAsia="Times New Roman" w:cs="Arial"/>
                    </w:rPr>
                    <w:t>59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BE7D02A"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7299F71"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64837130"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D70A81A" w14:textId="77777777" w:rsidR="006C7AA7" w:rsidRPr="00D0306F" w:rsidRDefault="006C7AA7" w:rsidP="00CC3BF4">
                  <w:pPr>
                    <w:jc w:val="center"/>
                    <w:rPr>
                      <w:rFonts w:eastAsia="Times New Roman" w:cs="Arial"/>
                    </w:rPr>
                  </w:pPr>
                  <w:r w:rsidRPr="00D0306F">
                    <w:rPr>
                      <w:rFonts w:eastAsia="Times New Roman" w:cs="Arial"/>
                    </w:rPr>
                    <w:t>60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5EDC27D"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D4B1578"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31B3C47E"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19A1B0D" w14:textId="77777777" w:rsidR="006C7AA7" w:rsidRPr="00D0306F" w:rsidRDefault="006C7AA7" w:rsidP="00CC3BF4">
                  <w:pPr>
                    <w:jc w:val="center"/>
                    <w:rPr>
                      <w:rFonts w:eastAsia="Times New Roman" w:cs="Arial"/>
                    </w:rPr>
                  </w:pPr>
                  <w:r w:rsidRPr="00D0306F">
                    <w:rPr>
                      <w:rFonts w:eastAsia="Times New Roman" w:cs="Arial"/>
                    </w:rPr>
                    <w:t>61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00C88AE"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BE45592" w14:textId="77777777" w:rsidR="006C7AA7" w:rsidRPr="00D0306F" w:rsidRDefault="006C7AA7" w:rsidP="00CC3BF4">
                  <w:pPr>
                    <w:rPr>
                      <w:rFonts w:eastAsia="Times New Roman" w:cs="Arial"/>
                    </w:rPr>
                  </w:pPr>
                  <w:r w:rsidRPr="00D0306F">
                    <w:rPr>
                      <w:rFonts w:eastAsia="Times New Roman" w:cs="Arial"/>
                    </w:rPr>
                    <w:t>Harder to pick up an emergency prescription out of hours. Have to travel much further.</w:t>
                  </w:r>
                </w:p>
              </w:tc>
            </w:tr>
            <w:tr w:rsidR="006C7AA7" w:rsidRPr="00D0306F" w14:paraId="08226297"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885D264" w14:textId="77777777" w:rsidR="006C7AA7" w:rsidRPr="00D0306F" w:rsidRDefault="006C7AA7" w:rsidP="00CC3BF4">
                  <w:pPr>
                    <w:jc w:val="center"/>
                    <w:rPr>
                      <w:rFonts w:eastAsia="Times New Roman" w:cs="Arial"/>
                    </w:rPr>
                  </w:pPr>
                  <w:r w:rsidRPr="00D0306F">
                    <w:rPr>
                      <w:rFonts w:eastAsia="Times New Roman" w:cs="Arial"/>
                    </w:rPr>
                    <w:t>62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0E51E25"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0C246CA"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0B7CD847"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A2CFEF8" w14:textId="77777777" w:rsidR="006C7AA7" w:rsidRPr="00D0306F" w:rsidRDefault="006C7AA7" w:rsidP="00CC3BF4">
                  <w:pPr>
                    <w:jc w:val="center"/>
                    <w:rPr>
                      <w:rFonts w:eastAsia="Times New Roman" w:cs="Arial"/>
                    </w:rPr>
                  </w:pPr>
                  <w:r w:rsidRPr="00D0306F">
                    <w:rPr>
                      <w:rFonts w:eastAsia="Times New Roman" w:cs="Arial"/>
                    </w:rPr>
                    <w:t>63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B3E27D8"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A8B4257" w14:textId="77777777" w:rsidR="006C7AA7" w:rsidRPr="00D0306F" w:rsidRDefault="006C7AA7" w:rsidP="00CC3BF4">
                  <w:pPr>
                    <w:rPr>
                      <w:rFonts w:eastAsia="Times New Roman" w:cs="Arial"/>
                    </w:rPr>
                  </w:pPr>
                  <w:r w:rsidRPr="00D0306F">
                    <w:rPr>
                      <w:rFonts w:eastAsia="Times New Roman" w:cs="Arial"/>
                    </w:rPr>
                    <w:t>Opening times</w:t>
                  </w:r>
                </w:p>
              </w:tc>
            </w:tr>
            <w:tr w:rsidR="006C7AA7" w:rsidRPr="00D0306F" w14:paraId="0C43EA50"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F81D902" w14:textId="77777777" w:rsidR="006C7AA7" w:rsidRPr="00D0306F" w:rsidRDefault="006C7AA7" w:rsidP="00CC3BF4">
                  <w:pPr>
                    <w:jc w:val="center"/>
                    <w:rPr>
                      <w:rFonts w:eastAsia="Times New Roman" w:cs="Arial"/>
                    </w:rPr>
                  </w:pPr>
                  <w:r w:rsidRPr="00D0306F">
                    <w:rPr>
                      <w:rFonts w:eastAsia="Times New Roman" w:cs="Arial"/>
                    </w:rPr>
                    <w:lastRenderedPageBreak/>
                    <w:t>64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36F0AED"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60300D7"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3C024925"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480A700" w14:textId="77777777" w:rsidR="006C7AA7" w:rsidRPr="00D0306F" w:rsidRDefault="006C7AA7" w:rsidP="00CC3BF4">
                  <w:pPr>
                    <w:jc w:val="center"/>
                    <w:rPr>
                      <w:rFonts w:eastAsia="Times New Roman" w:cs="Arial"/>
                    </w:rPr>
                  </w:pPr>
                  <w:r w:rsidRPr="00D0306F">
                    <w:rPr>
                      <w:rFonts w:eastAsia="Times New Roman" w:cs="Arial"/>
                    </w:rPr>
                    <w:t>65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6937DB8"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34AEA11" w14:textId="77777777" w:rsidR="006C7AA7" w:rsidRPr="00D0306F" w:rsidRDefault="006C7AA7" w:rsidP="00CC3BF4">
                  <w:pPr>
                    <w:rPr>
                      <w:rFonts w:eastAsia="Times New Roman" w:cs="Arial"/>
                    </w:rPr>
                  </w:pPr>
                  <w:r w:rsidRPr="00D0306F">
                    <w:rPr>
                      <w:rFonts w:eastAsia="Times New Roman" w:cs="Arial"/>
                    </w:rPr>
                    <w:t xml:space="preserve">Always too busy inside and often people waiting outside too. Staff are not approachable. </w:t>
                  </w:r>
                </w:p>
              </w:tc>
            </w:tr>
            <w:tr w:rsidR="006C7AA7" w:rsidRPr="00D0306F" w14:paraId="4DCA39F0"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EBCE868" w14:textId="77777777" w:rsidR="006C7AA7" w:rsidRPr="00D0306F" w:rsidRDefault="006C7AA7" w:rsidP="00CC3BF4">
                  <w:pPr>
                    <w:jc w:val="center"/>
                    <w:rPr>
                      <w:rFonts w:eastAsia="Times New Roman" w:cs="Arial"/>
                    </w:rPr>
                  </w:pPr>
                  <w:r w:rsidRPr="00D0306F">
                    <w:rPr>
                      <w:rFonts w:eastAsia="Times New Roman" w:cs="Arial"/>
                    </w:rPr>
                    <w:t>66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02CC10F"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FF75023" w14:textId="77777777" w:rsidR="006C7AA7" w:rsidRPr="00D0306F" w:rsidRDefault="006C7AA7" w:rsidP="00CC3BF4">
                  <w:pPr>
                    <w:rPr>
                      <w:rFonts w:eastAsia="Times New Roman" w:cs="Arial"/>
                    </w:rPr>
                  </w:pPr>
                  <w:r w:rsidRPr="00D0306F">
                    <w:rPr>
                      <w:rFonts w:eastAsia="Times New Roman" w:cs="Arial"/>
                    </w:rPr>
                    <w:t xml:space="preserve">Surgery blames pharmacy if script is not there + vice versa. Not good for patients! Could be better, longer opening hours e.g weekends + later/ earlier to suit all. </w:t>
                  </w:r>
                </w:p>
              </w:tc>
            </w:tr>
            <w:tr w:rsidR="006C7AA7" w:rsidRPr="00D0306F" w14:paraId="26800A70"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21D8354" w14:textId="77777777" w:rsidR="006C7AA7" w:rsidRPr="00D0306F" w:rsidRDefault="006C7AA7" w:rsidP="00CC3BF4">
                  <w:pPr>
                    <w:jc w:val="center"/>
                    <w:rPr>
                      <w:rFonts w:eastAsia="Times New Roman" w:cs="Arial"/>
                    </w:rPr>
                  </w:pPr>
                  <w:r w:rsidRPr="00D0306F">
                    <w:rPr>
                      <w:rFonts w:eastAsia="Times New Roman" w:cs="Arial"/>
                    </w:rPr>
                    <w:t>67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14410DF"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B480F4E"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170403C0"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91D4222" w14:textId="77777777" w:rsidR="006C7AA7" w:rsidRPr="00D0306F" w:rsidRDefault="006C7AA7" w:rsidP="00CC3BF4">
                  <w:pPr>
                    <w:jc w:val="center"/>
                    <w:rPr>
                      <w:rFonts w:eastAsia="Times New Roman" w:cs="Arial"/>
                    </w:rPr>
                  </w:pPr>
                  <w:r w:rsidRPr="00D0306F">
                    <w:rPr>
                      <w:rFonts w:eastAsia="Times New Roman" w:cs="Arial"/>
                    </w:rPr>
                    <w:t>68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27EC4DB"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452C95F"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7206D7F0"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010A61C" w14:textId="77777777" w:rsidR="006C7AA7" w:rsidRPr="00D0306F" w:rsidRDefault="006C7AA7" w:rsidP="00CC3BF4">
                  <w:pPr>
                    <w:jc w:val="center"/>
                    <w:rPr>
                      <w:rFonts w:eastAsia="Times New Roman" w:cs="Arial"/>
                    </w:rPr>
                  </w:pPr>
                  <w:r w:rsidRPr="00D0306F">
                    <w:rPr>
                      <w:rFonts w:eastAsia="Times New Roman" w:cs="Arial"/>
                    </w:rPr>
                    <w:t>69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9C12CFA"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2E7647D"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3AF58F9A"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B970BCD" w14:textId="77777777" w:rsidR="006C7AA7" w:rsidRPr="00D0306F" w:rsidRDefault="006C7AA7" w:rsidP="00CC3BF4">
                  <w:pPr>
                    <w:jc w:val="center"/>
                    <w:rPr>
                      <w:rFonts w:eastAsia="Times New Roman" w:cs="Arial"/>
                    </w:rPr>
                  </w:pPr>
                  <w:r w:rsidRPr="00D0306F">
                    <w:rPr>
                      <w:rFonts w:eastAsia="Times New Roman" w:cs="Arial"/>
                    </w:rPr>
                    <w:t>70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CAC6375"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C704AE2"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4FB5BA66"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992D611" w14:textId="77777777" w:rsidR="006C7AA7" w:rsidRPr="00D0306F" w:rsidRDefault="006C7AA7" w:rsidP="00CC3BF4">
                  <w:pPr>
                    <w:jc w:val="center"/>
                    <w:rPr>
                      <w:rFonts w:eastAsia="Times New Roman" w:cs="Arial"/>
                    </w:rPr>
                  </w:pPr>
                  <w:r w:rsidRPr="00D0306F">
                    <w:rPr>
                      <w:rFonts w:eastAsia="Times New Roman" w:cs="Arial"/>
                    </w:rPr>
                    <w:t>71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12B4330"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3BD4967" w14:textId="77777777" w:rsidR="006C7AA7" w:rsidRPr="00D0306F" w:rsidRDefault="006C7AA7" w:rsidP="00CC3BF4">
                  <w:pPr>
                    <w:rPr>
                      <w:rFonts w:eastAsia="Times New Roman" w:cs="Arial"/>
                    </w:rPr>
                  </w:pPr>
                  <w:r w:rsidRPr="00D0306F">
                    <w:rPr>
                      <w:rFonts w:eastAsia="Times New Roman" w:cs="Arial"/>
                    </w:rPr>
                    <w:t xml:space="preserve">Holiday opening hours. </w:t>
                  </w:r>
                </w:p>
              </w:tc>
            </w:tr>
            <w:tr w:rsidR="006C7AA7" w:rsidRPr="00D0306F" w14:paraId="167F4FCD"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9BCCDEC" w14:textId="77777777" w:rsidR="006C7AA7" w:rsidRPr="00D0306F" w:rsidRDefault="006C7AA7" w:rsidP="00CC3BF4">
                  <w:pPr>
                    <w:jc w:val="center"/>
                    <w:rPr>
                      <w:rFonts w:eastAsia="Times New Roman" w:cs="Arial"/>
                    </w:rPr>
                  </w:pPr>
                  <w:r w:rsidRPr="00D0306F">
                    <w:rPr>
                      <w:rFonts w:eastAsia="Times New Roman" w:cs="Arial"/>
                    </w:rPr>
                    <w:t>72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hideMark/>
                </w:tcPr>
                <w:p w14:paraId="2B349BAC"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C44CD29" w14:textId="77777777" w:rsidR="006C7AA7" w:rsidRPr="00D0306F" w:rsidRDefault="006C7AA7" w:rsidP="00CC3BF4">
                  <w:pPr>
                    <w:rPr>
                      <w:rFonts w:eastAsia="Times New Roman" w:cs="Arial"/>
                    </w:rPr>
                  </w:pPr>
                  <w:r w:rsidRPr="00D0306F">
                    <w:rPr>
                      <w:rFonts w:eastAsia="Times New Roman" w:cs="Arial"/>
                    </w:rPr>
                    <w:t>No</w:t>
                  </w:r>
                </w:p>
              </w:tc>
            </w:tr>
            <w:tr w:rsidR="006C7AA7" w:rsidRPr="00D0306F" w14:paraId="70314B81" w14:textId="77777777" w:rsidTr="00CC3BF4">
              <w:tc>
                <w:tcPr>
                  <w:tcW w:w="270" w:type="dxa"/>
                  <w:tcBorders>
                    <w:top w:val="single" w:sz="6" w:space="0" w:color="CCCCCC"/>
                    <w:left w:val="nil"/>
                    <w:bottom w:val="single" w:sz="6" w:space="0" w:color="CCCCCC"/>
                    <w:right w:val="single" w:sz="6" w:space="0" w:color="CCCCCC"/>
                  </w:tcBorders>
                  <w:shd w:val="clear" w:color="auto" w:fill="F5F5F4"/>
                  <w:tcMar>
                    <w:top w:w="75" w:type="dxa"/>
                    <w:left w:w="75" w:type="dxa"/>
                    <w:bottom w:w="75" w:type="dxa"/>
                    <w:right w:w="75" w:type="dxa"/>
                  </w:tcMar>
                </w:tcPr>
                <w:p w14:paraId="2D251DE7" w14:textId="77777777" w:rsidR="006C7AA7" w:rsidRPr="00D0306F" w:rsidRDefault="006C7AA7" w:rsidP="00CC3BF4">
                  <w:pPr>
                    <w:jc w:val="center"/>
                    <w:rPr>
                      <w:rFonts w:eastAsia="Times New Roman" w:cs="Arial"/>
                    </w:rPr>
                  </w:pPr>
                  <w:r w:rsidRPr="00D0306F">
                    <w:rPr>
                      <w:rFonts w:eastAsia="Times New Roman" w:cs="Arial"/>
                    </w:rPr>
                    <w:t>73</w:t>
                  </w:r>
                </w:p>
              </w:tc>
              <w:tc>
                <w:tcPr>
                  <w:tcW w:w="1800" w:type="dxa"/>
                  <w:tcBorders>
                    <w:top w:val="single" w:sz="6" w:space="0" w:color="CCCCCC"/>
                    <w:left w:val="nil"/>
                    <w:bottom w:val="single" w:sz="6" w:space="0" w:color="CCCCCC"/>
                    <w:right w:val="single" w:sz="6" w:space="0" w:color="CCCCCC"/>
                  </w:tcBorders>
                  <w:shd w:val="clear" w:color="auto" w:fill="FFFFFF"/>
                  <w:noWrap/>
                  <w:tcMar>
                    <w:top w:w="75" w:type="dxa"/>
                    <w:left w:w="75" w:type="dxa"/>
                    <w:bottom w:w="75" w:type="dxa"/>
                    <w:right w:w="75" w:type="dxa"/>
                  </w:tcMar>
                </w:tcPr>
                <w:p w14:paraId="03F8E3C4" w14:textId="77777777" w:rsidR="006C7AA7" w:rsidRPr="00D0306F" w:rsidRDefault="006C7AA7" w:rsidP="00CC3BF4">
                  <w:pPr>
                    <w:jc w:val="center"/>
                    <w:rPr>
                      <w:rFonts w:eastAsia="Times New Roman" w:cs="Arial"/>
                    </w:rPr>
                  </w:pPr>
                </w:p>
              </w:tc>
              <w:tc>
                <w:tcPr>
                  <w:tcW w:w="0" w:type="auto"/>
                  <w:tcBorders>
                    <w:top w:val="single" w:sz="6" w:space="0" w:color="CCCCCC"/>
                    <w:left w:val="nil"/>
                    <w:bottom w:val="single" w:sz="6" w:space="0" w:color="CCCCCC"/>
                    <w:right w:val="nil"/>
                  </w:tcBorders>
                  <w:shd w:val="clear" w:color="auto" w:fill="FFFFFF"/>
                  <w:tcMar>
                    <w:top w:w="75" w:type="dxa"/>
                    <w:left w:w="75" w:type="dxa"/>
                    <w:bottom w:w="75" w:type="dxa"/>
                    <w:right w:w="75" w:type="dxa"/>
                  </w:tcMar>
                </w:tcPr>
                <w:p w14:paraId="7E467632" w14:textId="77777777" w:rsidR="006C7AA7" w:rsidRPr="00D0306F" w:rsidRDefault="006C7AA7" w:rsidP="00CC3BF4">
                  <w:pPr>
                    <w:rPr>
                      <w:rFonts w:eastAsia="Times New Roman" w:cs="Arial"/>
                    </w:rPr>
                  </w:pPr>
                  <w:r w:rsidRPr="00D0306F">
                    <w:rPr>
                      <w:rFonts w:eastAsia="Times New Roman" w:cs="Arial"/>
                    </w:rPr>
                    <w:t>No</w:t>
                  </w:r>
                </w:p>
              </w:tc>
            </w:tr>
          </w:tbl>
          <w:p w14:paraId="2E2A9112" w14:textId="77777777" w:rsidR="006C7AA7" w:rsidRPr="00D0306F" w:rsidRDefault="006C7AA7" w:rsidP="00CC3BF4">
            <w:pPr>
              <w:rPr>
                <w:rFonts w:eastAsia="Times New Roman" w:cs="Arial"/>
              </w:rPr>
            </w:pPr>
          </w:p>
        </w:tc>
      </w:tr>
      <w:tr w:rsidR="006C7AA7" w:rsidRPr="00D0306F" w14:paraId="0AB7E7DC" w14:textId="77777777" w:rsidTr="00CC3BF4">
        <w:trPr>
          <w:tblCellSpacing w:w="0" w:type="dxa"/>
          <w:jc w:val="center"/>
        </w:trPr>
        <w:tc>
          <w:tcPr>
            <w:tcW w:w="6234" w:type="dxa"/>
            <w:gridSpan w:val="2"/>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1744AF78" w14:textId="77777777" w:rsidR="006C7AA7" w:rsidRPr="00D0306F" w:rsidRDefault="006C7AA7" w:rsidP="00CC3BF4">
            <w:pPr>
              <w:rPr>
                <w:rFonts w:eastAsia="Times New Roman" w:cs="Arial"/>
              </w:rPr>
            </w:pPr>
          </w:p>
        </w:tc>
        <w:tc>
          <w:tcPr>
            <w:tcW w:w="134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10C49B6" w14:textId="77777777" w:rsidR="006C7AA7" w:rsidRPr="00D0306F" w:rsidRDefault="006C7AA7" w:rsidP="00CC3BF4">
            <w:pPr>
              <w:jc w:val="center"/>
              <w:rPr>
                <w:rFonts w:eastAsia="Times New Roman" w:cs="Arial"/>
              </w:rPr>
            </w:pPr>
            <w:r w:rsidRPr="00D0306F">
              <w:rPr>
                <w:rFonts w:eastAsia="Times New Roman" w:cs="Arial"/>
              </w:rPr>
              <w:t>answered</w:t>
            </w:r>
          </w:p>
        </w:tc>
        <w:tc>
          <w:tcPr>
            <w:tcW w:w="134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F74B106" w14:textId="77777777" w:rsidR="006C7AA7" w:rsidRPr="00D0306F" w:rsidRDefault="006C7AA7" w:rsidP="00CC3BF4">
            <w:pPr>
              <w:jc w:val="center"/>
              <w:rPr>
                <w:rFonts w:eastAsia="Times New Roman" w:cs="Arial"/>
              </w:rPr>
            </w:pPr>
            <w:r w:rsidRPr="00D0306F">
              <w:rPr>
                <w:rFonts w:eastAsia="Times New Roman" w:cs="Arial"/>
              </w:rPr>
              <w:t>73</w:t>
            </w:r>
          </w:p>
        </w:tc>
      </w:tr>
      <w:tr w:rsidR="006C7AA7" w:rsidRPr="00D0306F" w14:paraId="3152ABC2" w14:textId="77777777" w:rsidTr="00CC3BF4">
        <w:trPr>
          <w:tblCellSpacing w:w="0" w:type="dxa"/>
          <w:jc w:val="center"/>
        </w:trPr>
        <w:tc>
          <w:tcPr>
            <w:tcW w:w="6234" w:type="dxa"/>
            <w:gridSpan w:val="2"/>
            <w:vMerge/>
            <w:tcBorders>
              <w:top w:val="single" w:sz="6" w:space="0" w:color="CCCCCC"/>
              <w:left w:val="nil"/>
              <w:bottom w:val="nil"/>
              <w:right w:val="single" w:sz="6" w:space="0" w:color="CCCCCC"/>
            </w:tcBorders>
            <w:vAlign w:val="center"/>
            <w:hideMark/>
          </w:tcPr>
          <w:p w14:paraId="4C468AA2" w14:textId="77777777" w:rsidR="006C7AA7" w:rsidRPr="00D0306F" w:rsidRDefault="006C7AA7" w:rsidP="00CC3BF4">
            <w:pPr>
              <w:rPr>
                <w:rFonts w:eastAsia="Times New Roman" w:cs="Arial"/>
              </w:rPr>
            </w:pPr>
          </w:p>
        </w:tc>
        <w:tc>
          <w:tcPr>
            <w:tcW w:w="134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9414D08" w14:textId="77777777" w:rsidR="006C7AA7" w:rsidRPr="00D0306F" w:rsidRDefault="006C7AA7" w:rsidP="00CC3BF4">
            <w:pPr>
              <w:jc w:val="center"/>
              <w:rPr>
                <w:rFonts w:eastAsia="Times New Roman" w:cs="Arial"/>
              </w:rPr>
            </w:pPr>
            <w:r w:rsidRPr="00D0306F">
              <w:rPr>
                <w:rFonts w:eastAsia="Times New Roman" w:cs="Arial"/>
              </w:rPr>
              <w:t>skipped</w:t>
            </w:r>
          </w:p>
        </w:tc>
        <w:tc>
          <w:tcPr>
            <w:tcW w:w="134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9350020" w14:textId="77777777" w:rsidR="006C7AA7" w:rsidRPr="00D0306F" w:rsidRDefault="006C7AA7" w:rsidP="00CC3BF4">
            <w:pPr>
              <w:jc w:val="center"/>
              <w:rPr>
                <w:rFonts w:eastAsia="Times New Roman" w:cs="Arial"/>
              </w:rPr>
            </w:pPr>
            <w:r w:rsidRPr="00D0306F">
              <w:rPr>
                <w:rFonts w:eastAsia="Times New Roman" w:cs="Arial"/>
              </w:rPr>
              <w:t>46</w:t>
            </w:r>
          </w:p>
        </w:tc>
      </w:tr>
    </w:tbl>
    <w:p w14:paraId="4B940D0A" w14:textId="77777777" w:rsidR="006C7AA7" w:rsidRPr="00D0306F" w:rsidRDefault="006C7AA7" w:rsidP="006C7AA7">
      <w:pPr>
        <w:rPr>
          <w:rFonts w:eastAsia="Times New Roman" w:cs="Arial"/>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8"/>
        <w:gridCol w:w="2099"/>
        <w:gridCol w:w="3897"/>
        <w:gridCol w:w="1313"/>
        <w:gridCol w:w="1313"/>
      </w:tblGrid>
      <w:tr w:rsidR="006C7AA7" w:rsidRPr="00D0306F" w14:paraId="682EBFF4"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09C51120" w14:textId="77777777" w:rsidR="006C7AA7" w:rsidRPr="00D0306F" w:rsidRDefault="006C7AA7" w:rsidP="00CC3BF4">
            <w:pPr>
              <w:rPr>
                <w:rFonts w:eastAsia="Times New Roman" w:cs="Arial"/>
                <w:b/>
                <w:bCs/>
                <w:color w:val="FFFFFF"/>
              </w:rPr>
            </w:pPr>
            <w:r w:rsidRPr="00D0306F">
              <w:rPr>
                <w:rFonts w:eastAsia="Times New Roman" w:cs="Arial"/>
                <w:b/>
                <w:bCs/>
                <w:color w:val="FFFFFF"/>
              </w:rPr>
              <w:t xml:space="preserve">22. Age - please indicate your age range by ticking the appropriate box </w:t>
            </w:r>
          </w:p>
        </w:tc>
      </w:tr>
      <w:tr w:rsidR="006C7AA7" w:rsidRPr="00D0306F" w14:paraId="526C36B5"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6486F0D8"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27D27C51"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50F7EDD7"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3EBBB221"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C7BA349" w14:textId="77777777" w:rsidR="006C7AA7" w:rsidRPr="00D0306F" w:rsidRDefault="006C7AA7" w:rsidP="00CC3BF4">
            <w:pPr>
              <w:jc w:val="center"/>
              <w:rPr>
                <w:rFonts w:eastAsia="Times New Roman" w:cs="Arial"/>
              </w:rPr>
            </w:pPr>
            <w:r w:rsidRPr="00D0306F">
              <w:rPr>
                <w:rFonts w:eastAsia="Times New Roman" w:cs="Arial"/>
              </w:rPr>
              <w:t>1</w:t>
            </w:r>
          </w:p>
        </w:tc>
        <w:tc>
          <w:tcPr>
            <w:tcW w:w="209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E33DFB7" w14:textId="77777777" w:rsidR="006C7AA7" w:rsidRPr="00D0306F" w:rsidRDefault="006C7AA7" w:rsidP="00CC3BF4">
            <w:pPr>
              <w:rPr>
                <w:rFonts w:eastAsia="Times New Roman" w:cs="Arial"/>
              </w:rPr>
            </w:pPr>
            <w:r w:rsidRPr="00D0306F">
              <w:rPr>
                <w:rFonts w:eastAsia="Times New Roman" w:cs="Arial"/>
              </w:rPr>
              <w:t>0-15 years</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371A5229"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7CED134"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43C775B"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3A485DA4"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1AD6E2F" w14:textId="77777777" w:rsidR="006C7AA7" w:rsidRPr="00D0306F" w:rsidRDefault="006C7AA7" w:rsidP="00CC3BF4">
            <w:pPr>
              <w:jc w:val="center"/>
              <w:rPr>
                <w:rFonts w:eastAsia="Times New Roman" w:cs="Arial"/>
              </w:rPr>
            </w:pPr>
            <w:r w:rsidRPr="00D0306F">
              <w:rPr>
                <w:rFonts w:eastAsia="Times New Roman" w:cs="Arial"/>
              </w:rPr>
              <w:t>2</w:t>
            </w:r>
          </w:p>
        </w:tc>
        <w:tc>
          <w:tcPr>
            <w:tcW w:w="209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568E4E1" w14:textId="77777777" w:rsidR="006C7AA7" w:rsidRPr="00D0306F" w:rsidRDefault="006C7AA7" w:rsidP="00CC3BF4">
            <w:pPr>
              <w:rPr>
                <w:rFonts w:eastAsia="Times New Roman" w:cs="Arial"/>
              </w:rPr>
            </w:pPr>
            <w:r w:rsidRPr="00D0306F">
              <w:rPr>
                <w:rFonts w:eastAsia="Times New Roman" w:cs="Arial"/>
              </w:rPr>
              <w:t>16-24 years</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 w:type="pct"/>
              <w:tblCellMar>
                <w:left w:w="0" w:type="dxa"/>
                <w:right w:w="0" w:type="dxa"/>
              </w:tblCellMar>
              <w:tblLook w:val="04A0" w:firstRow="1" w:lastRow="0" w:firstColumn="1" w:lastColumn="0" w:noHBand="0" w:noVBand="1"/>
            </w:tblPr>
            <w:tblGrid>
              <w:gridCol w:w="82"/>
            </w:tblGrid>
            <w:tr w:rsidR="006C7AA7" w:rsidRPr="00D0306F" w14:paraId="5FF2340F"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1421637B"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9C3FD23"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ED311D1" w14:textId="77777777" w:rsidR="006C7AA7" w:rsidRPr="00D0306F" w:rsidRDefault="006C7AA7" w:rsidP="00CC3BF4">
            <w:pPr>
              <w:jc w:val="center"/>
              <w:rPr>
                <w:rFonts w:eastAsia="Times New Roman" w:cs="Arial"/>
              </w:rPr>
            </w:pPr>
            <w:r w:rsidRPr="00D0306F">
              <w:rPr>
                <w:rFonts w:eastAsia="Times New Roman" w:cs="Arial"/>
              </w:rPr>
              <w:t>0.9%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25F3A32" w14:textId="77777777" w:rsidR="006C7AA7" w:rsidRPr="00D0306F" w:rsidRDefault="006C7AA7" w:rsidP="00CC3BF4">
            <w:pPr>
              <w:jc w:val="center"/>
              <w:rPr>
                <w:rFonts w:eastAsia="Times New Roman" w:cs="Arial"/>
              </w:rPr>
            </w:pPr>
            <w:r w:rsidRPr="00D0306F">
              <w:rPr>
                <w:rFonts w:eastAsia="Times New Roman" w:cs="Arial"/>
              </w:rPr>
              <w:t>1</w:t>
            </w:r>
          </w:p>
        </w:tc>
      </w:tr>
      <w:tr w:rsidR="006C7AA7" w:rsidRPr="00D0306F" w14:paraId="62C5944D"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53D2F61" w14:textId="77777777" w:rsidR="006C7AA7" w:rsidRPr="00D0306F" w:rsidRDefault="006C7AA7" w:rsidP="00CC3BF4">
            <w:pPr>
              <w:jc w:val="center"/>
              <w:rPr>
                <w:rFonts w:eastAsia="Times New Roman" w:cs="Arial"/>
              </w:rPr>
            </w:pPr>
            <w:r w:rsidRPr="00D0306F">
              <w:rPr>
                <w:rFonts w:eastAsia="Times New Roman" w:cs="Arial"/>
              </w:rPr>
              <w:t>3</w:t>
            </w:r>
          </w:p>
        </w:tc>
        <w:tc>
          <w:tcPr>
            <w:tcW w:w="209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74F44B4" w14:textId="77777777" w:rsidR="006C7AA7" w:rsidRPr="00D0306F" w:rsidRDefault="006C7AA7" w:rsidP="00CC3BF4">
            <w:pPr>
              <w:rPr>
                <w:rFonts w:eastAsia="Times New Roman" w:cs="Arial"/>
              </w:rPr>
            </w:pPr>
            <w:r w:rsidRPr="00D0306F">
              <w:rPr>
                <w:rFonts w:eastAsia="Times New Roman" w:cs="Arial"/>
              </w:rPr>
              <w:t>25-34 years</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99" w:type="pct"/>
              <w:tblCellMar>
                <w:left w:w="0" w:type="dxa"/>
                <w:right w:w="0" w:type="dxa"/>
              </w:tblCellMar>
              <w:tblLook w:val="04A0" w:firstRow="1" w:lastRow="0" w:firstColumn="1" w:lastColumn="0" w:noHBand="0" w:noVBand="1"/>
            </w:tblPr>
            <w:tblGrid>
              <w:gridCol w:w="224"/>
            </w:tblGrid>
            <w:tr w:rsidR="006C7AA7" w:rsidRPr="00D0306F" w14:paraId="6B0E70A1" w14:textId="77777777" w:rsidTr="00CC3BF4">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570B642A"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2403B45F"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D2B58EF" w14:textId="77777777" w:rsidR="006C7AA7" w:rsidRPr="00D0306F" w:rsidRDefault="006C7AA7" w:rsidP="00CC3BF4">
            <w:pPr>
              <w:jc w:val="center"/>
              <w:rPr>
                <w:rFonts w:eastAsia="Times New Roman" w:cs="Arial"/>
              </w:rPr>
            </w:pPr>
            <w:r w:rsidRPr="00D0306F">
              <w:rPr>
                <w:rFonts w:eastAsia="Times New Roman" w:cs="Arial"/>
              </w:rPr>
              <w:t>5.9%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2FF9A0C" w14:textId="77777777" w:rsidR="006C7AA7" w:rsidRPr="00D0306F" w:rsidRDefault="006C7AA7" w:rsidP="00CC3BF4">
            <w:pPr>
              <w:jc w:val="center"/>
              <w:rPr>
                <w:rFonts w:eastAsia="Times New Roman" w:cs="Arial"/>
              </w:rPr>
            </w:pPr>
            <w:r w:rsidRPr="00D0306F">
              <w:rPr>
                <w:rFonts w:eastAsia="Times New Roman" w:cs="Arial"/>
              </w:rPr>
              <w:t>7</w:t>
            </w:r>
          </w:p>
        </w:tc>
      </w:tr>
      <w:tr w:rsidR="006C7AA7" w:rsidRPr="00D0306F" w14:paraId="6896D702"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0D734EC" w14:textId="77777777" w:rsidR="006C7AA7" w:rsidRPr="00D0306F" w:rsidRDefault="006C7AA7" w:rsidP="00CC3BF4">
            <w:pPr>
              <w:jc w:val="center"/>
              <w:rPr>
                <w:rFonts w:eastAsia="Times New Roman" w:cs="Arial"/>
              </w:rPr>
            </w:pPr>
            <w:r w:rsidRPr="00D0306F">
              <w:rPr>
                <w:rFonts w:eastAsia="Times New Roman" w:cs="Arial"/>
              </w:rPr>
              <w:t>4</w:t>
            </w:r>
          </w:p>
        </w:tc>
        <w:tc>
          <w:tcPr>
            <w:tcW w:w="209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B16319A" w14:textId="77777777" w:rsidR="006C7AA7" w:rsidRPr="00D0306F" w:rsidRDefault="006C7AA7" w:rsidP="00CC3BF4">
            <w:pPr>
              <w:rPr>
                <w:rFonts w:eastAsia="Times New Roman" w:cs="Arial"/>
              </w:rPr>
            </w:pPr>
            <w:r w:rsidRPr="00D0306F">
              <w:rPr>
                <w:rFonts w:eastAsia="Times New Roman" w:cs="Arial"/>
              </w:rPr>
              <w:t>35-44 years</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684" w:type="pct"/>
              <w:tblCellMar>
                <w:left w:w="0" w:type="dxa"/>
                <w:right w:w="0" w:type="dxa"/>
              </w:tblCellMar>
              <w:tblLook w:val="04A0" w:firstRow="1" w:lastRow="0" w:firstColumn="1" w:lastColumn="0" w:noHBand="0" w:noVBand="1"/>
            </w:tblPr>
            <w:tblGrid>
              <w:gridCol w:w="512"/>
            </w:tblGrid>
            <w:tr w:rsidR="006C7AA7" w:rsidRPr="00D0306F" w14:paraId="53165625" w14:textId="77777777" w:rsidTr="00CC3BF4">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4D79C20D"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1AF3B916"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3104D33" w14:textId="77777777" w:rsidR="006C7AA7" w:rsidRPr="00D0306F" w:rsidRDefault="006C7AA7" w:rsidP="00CC3BF4">
            <w:pPr>
              <w:jc w:val="center"/>
              <w:rPr>
                <w:rFonts w:eastAsia="Times New Roman" w:cs="Arial"/>
              </w:rPr>
            </w:pPr>
            <w:r w:rsidRPr="00D0306F">
              <w:rPr>
                <w:rFonts w:eastAsia="Times New Roman" w:cs="Arial"/>
              </w:rPr>
              <w:t>13.6%</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36E4696" w14:textId="77777777" w:rsidR="006C7AA7" w:rsidRPr="00D0306F" w:rsidRDefault="006C7AA7" w:rsidP="00CC3BF4">
            <w:pPr>
              <w:jc w:val="center"/>
              <w:rPr>
                <w:rFonts w:eastAsia="Times New Roman" w:cs="Arial"/>
              </w:rPr>
            </w:pPr>
            <w:r w:rsidRPr="00D0306F">
              <w:rPr>
                <w:rFonts w:eastAsia="Times New Roman" w:cs="Arial"/>
              </w:rPr>
              <w:t>16</w:t>
            </w:r>
          </w:p>
        </w:tc>
      </w:tr>
      <w:tr w:rsidR="006C7AA7" w:rsidRPr="00D0306F" w14:paraId="6363A6D1"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DC364EE" w14:textId="77777777" w:rsidR="006C7AA7" w:rsidRPr="00D0306F" w:rsidRDefault="006C7AA7" w:rsidP="00CC3BF4">
            <w:pPr>
              <w:jc w:val="center"/>
              <w:rPr>
                <w:rFonts w:eastAsia="Times New Roman" w:cs="Arial"/>
              </w:rPr>
            </w:pPr>
            <w:r w:rsidRPr="00D0306F">
              <w:rPr>
                <w:rFonts w:eastAsia="Times New Roman" w:cs="Arial"/>
              </w:rPr>
              <w:t>5</w:t>
            </w:r>
          </w:p>
        </w:tc>
        <w:tc>
          <w:tcPr>
            <w:tcW w:w="209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C03EC4E" w14:textId="77777777" w:rsidR="006C7AA7" w:rsidRPr="00D0306F" w:rsidRDefault="006C7AA7" w:rsidP="00CC3BF4">
            <w:pPr>
              <w:rPr>
                <w:rFonts w:eastAsia="Times New Roman" w:cs="Arial"/>
              </w:rPr>
            </w:pPr>
            <w:r w:rsidRPr="00D0306F">
              <w:rPr>
                <w:rFonts w:eastAsia="Times New Roman" w:cs="Arial"/>
              </w:rPr>
              <w:t>45-54 years</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40" w:type="pct"/>
              <w:tblCellMar>
                <w:left w:w="0" w:type="dxa"/>
                <w:right w:w="0" w:type="dxa"/>
              </w:tblCellMar>
              <w:tblLook w:val="04A0" w:firstRow="1" w:lastRow="0" w:firstColumn="1" w:lastColumn="0" w:noHBand="0" w:noVBand="1"/>
            </w:tblPr>
            <w:tblGrid>
              <w:gridCol w:w="704"/>
            </w:tblGrid>
            <w:tr w:rsidR="006C7AA7" w:rsidRPr="00D0306F" w14:paraId="41736AE1"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D8D5144"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03D81707"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3F8207E" w14:textId="77777777" w:rsidR="006C7AA7" w:rsidRPr="00D0306F" w:rsidRDefault="006C7AA7" w:rsidP="00CC3BF4">
            <w:pPr>
              <w:jc w:val="center"/>
              <w:rPr>
                <w:rFonts w:eastAsia="Times New Roman" w:cs="Arial"/>
              </w:rPr>
            </w:pPr>
            <w:r w:rsidRPr="00D0306F">
              <w:rPr>
                <w:rFonts w:eastAsia="Times New Roman" w:cs="Arial"/>
              </w:rPr>
              <w:t>18.6%</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103370C" w14:textId="77777777" w:rsidR="006C7AA7" w:rsidRPr="00D0306F" w:rsidRDefault="006C7AA7" w:rsidP="00CC3BF4">
            <w:pPr>
              <w:jc w:val="center"/>
              <w:rPr>
                <w:rFonts w:eastAsia="Times New Roman" w:cs="Arial"/>
              </w:rPr>
            </w:pPr>
            <w:r w:rsidRPr="00D0306F">
              <w:rPr>
                <w:rFonts w:eastAsia="Times New Roman" w:cs="Arial"/>
              </w:rPr>
              <w:t>22</w:t>
            </w:r>
          </w:p>
        </w:tc>
      </w:tr>
      <w:tr w:rsidR="006C7AA7" w:rsidRPr="00D0306F" w14:paraId="5E0AE687"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1038981" w14:textId="77777777" w:rsidR="006C7AA7" w:rsidRPr="00D0306F" w:rsidRDefault="006C7AA7" w:rsidP="00CC3BF4">
            <w:pPr>
              <w:jc w:val="center"/>
              <w:rPr>
                <w:rFonts w:eastAsia="Times New Roman" w:cs="Arial"/>
              </w:rPr>
            </w:pPr>
            <w:r w:rsidRPr="00D0306F">
              <w:rPr>
                <w:rFonts w:eastAsia="Times New Roman" w:cs="Arial"/>
              </w:rPr>
              <w:t>6</w:t>
            </w:r>
          </w:p>
        </w:tc>
        <w:tc>
          <w:tcPr>
            <w:tcW w:w="209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FBECAB7" w14:textId="77777777" w:rsidR="006C7AA7" w:rsidRPr="00D0306F" w:rsidRDefault="006C7AA7" w:rsidP="00CC3BF4">
            <w:pPr>
              <w:rPr>
                <w:rFonts w:eastAsia="Times New Roman" w:cs="Arial"/>
              </w:rPr>
            </w:pPr>
            <w:r w:rsidRPr="00D0306F">
              <w:rPr>
                <w:rFonts w:eastAsia="Times New Roman" w:cs="Arial"/>
              </w:rPr>
              <w:t>55-64 years</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367" w:type="pct"/>
              <w:tblCellMar>
                <w:left w:w="0" w:type="dxa"/>
                <w:right w:w="0" w:type="dxa"/>
              </w:tblCellMar>
              <w:tblLook w:val="04A0" w:firstRow="1" w:lastRow="0" w:firstColumn="1" w:lastColumn="0" w:noHBand="0" w:noVBand="1"/>
            </w:tblPr>
            <w:tblGrid>
              <w:gridCol w:w="1024"/>
            </w:tblGrid>
            <w:tr w:rsidR="006C7AA7" w:rsidRPr="00D0306F" w14:paraId="5385929F" w14:textId="77777777" w:rsidTr="00CC3BF4">
              <w:tc>
                <w:tcPr>
                  <w:tcW w:w="0" w:type="auto"/>
                  <w:tcBorders>
                    <w:top w:val="single" w:sz="6" w:space="0" w:color="00BCD4"/>
                    <w:left w:val="single" w:sz="6" w:space="0" w:color="00BCD4"/>
                    <w:bottom w:val="single" w:sz="6" w:space="0" w:color="00BCD4"/>
                    <w:right w:val="single" w:sz="6" w:space="0" w:color="00BCD4"/>
                  </w:tcBorders>
                  <w:shd w:val="clear" w:color="auto" w:fill="00BCD4"/>
                  <w:vAlign w:val="center"/>
                  <w:hideMark/>
                </w:tcPr>
                <w:p w14:paraId="5573B8CE"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4656CB28"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ABC9EDE" w14:textId="77777777" w:rsidR="006C7AA7" w:rsidRPr="00D0306F" w:rsidRDefault="006C7AA7" w:rsidP="00CC3BF4">
            <w:pPr>
              <w:jc w:val="center"/>
              <w:rPr>
                <w:rFonts w:eastAsia="Times New Roman" w:cs="Arial"/>
              </w:rPr>
            </w:pPr>
            <w:r w:rsidRPr="00D0306F">
              <w:rPr>
                <w:rFonts w:eastAsia="Times New Roman" w:cs="Arial"/>
              </w:rPr>
              <w:t>27.1%</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1275C41" w14:textId="77777777" w:rsidR="006C7AA7" w:rsidRPr="00D0306F" w:rsidRDefault="006C7AA7" w:rsidP="00CC3BF4">
            <w:pPr>
              <w:jc w:val="center"/>
              <w:rPr>
                <w:rFonts w:eastAsia="Times New Roman" w:cs="Arial"/>
              </w:rPr>
            </w:pPr>
            <w:r w:rsidRPr="00D0306F">
              <w:rPr>
                <w:rFonts w:eastAsia="Times New Roman" w:cs="Arial"/>
              </w:rPr>
              <w:t>32</w:t>
            </w:r>
          </w:p>
        </w:tc>
      </w:tr>
      <w:tr w:rsidR="006C7AA7" w:rsidRPr="00D0306F" w14:paraId="708A2A0B"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33ABCBB" w14:textId="77777777" w:rsidR="006C7AA7" w:rsidRPr="00D0306F" w:rsidRDefault="006C7AA7" w:rsidP="00CC3BF4">
            <w:pPr>
              <w:jc w:val="center"/>
              <w:rPr>
                <w:rFonts w:eastAsia="Times New Roman" w:cs="Arial"/>
              </w:rPr>
            </w:pPr>
            <w:r w:rsidRPr="00D0306F">
              <w:rPr>
                <w:rFonts w:eastAsia="Times New Roman" w:cs="Arial"/>
              </w:rPr>
              <w:t>7</w:t>
            </w:r>
          </w:p>
        </w:tc>
        <w:tc>
          <w:tcPr>
            <w:tcW w:w="209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F67489E" w14:textId="77777777" w:rsidR="006C7AA7" w:rsidRPr="00D0306F" w:rsidRDefault="006C7AA7" w:rsidP="00CC3BF4">
            <w:pPr>
              <w:rPr>
                <w:rFonts w:eastAsia="Times New Roman" w:cs="Arial"/>
              </w:rPr>
            </w:pPr>
            <w:r w:rsidRPr="00D0306F">
              <w:rPr>
                <w:rFonts w:eastAsia="Times New Roman" w:cs="Arial"/>
              </w:rPr>
              <w:t>65-74 years</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82" w:type="pct"/>
              <w:tblCellMar>
                <w:left w:w="0" w:type="dxa"/>
                <w:right w:w="0" w:type="dxa"/>
              </w:tblCellMar>
              <w:tblLook w:val="04A0" w:firstRow="1" w:lastRow="0" w:firstColumn="1" w:lastColumn="0" w:noHBand="0" w:noVBand="1"/>
            </w:tblPr>
            <w:tblGrid>
              <w:gridCol w:w="960"/>
            </w:tblGrid>
            <w:tr w:rsidR="006C7AA7" w:rsidRPr="00D0306F" w14:paraId="47C6593D" w14:textId="77777777" w:rsidTr="00CC3BF4">
              <w:tc>
                <w:tcPr>
                  <w:tcW w:w="0" w:type="auto"/>
                  <w:tcBorders>
                    <w:top w:val="single" w:sz="6" w:space="0" w:color="811CA4"/>
                    <w:left w:val="single" w:sz="6" w:space="0" w:color="811CA4"/>
                    <w:bottom w:val="single" w:sz="6" w:space="0" w:color="811CA4"/>
                    <w:right w:val="single" w:sz="6" w:space="0" w:color="811CA4"/>
                  </w:tcBorders>
                  <w:shd w:val="clear" w:color="auto" w:fill="811CA4"/>
                  <w:vAlign w:val="center"/>
                  <w:hideMark/>
                </w:tcPr>
                <w:p w14:paraId="1859CAD0"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1F5A6489"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9CF9A68" w14:textId="77777777" w:rsidR="006C7AA7" w:rsidRPr="00D0306F" w:rsidRDefault="006C7AA7" w:rsidP="00CC3BF4">
            <w:pPr>
              <w:jc w:val="center"/>
              <w:rPr>
                <w:rFonts w:eastAsia="Times New Roman" w:cs="Arial"/>
              </w:rPr>
            </w:pPr>
            <w:r w:rsidRPr="00D0306F">
              <w:rPr>
                <w:rFonts w:eastAsia="Times New Roman" w:cs="Arial"/>
              </w:rPr>
              <w:t>25.4%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C63824A" w14:textId="77777777" w:rsidR="006C7AA7" w:rsidRPr="00D0306F" w:rsidRDefault="006C7AA7" w:rsidP="00CC3BF4">
            <w:pPr>
              <w:jc w:val="center"/>
              <w:rPr>
                <w:rFonts w:eastAsia="Times New Roman" w:cs="Arial"/>
              </w:rPr>
            </w:pPr>
            <w:r w:rsidRPr="00D0306F">
              <w:rPr>
                <w:rFonts w:eastAsia="Times New Roman" w:cs="Arial"/>
              </w:rPr>
              <w:t>30</w:t>
            </w:r>
          </w:p>
        </w:tc>
      </w:tr>
      <w:tr w:rsidR="006C7AA7" w:rsidRPr="00D0306F" w14:paraId="72896964"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F7BEE0A" w14:textId="77777777" w:rsidR="006C7AA7" w:rsidRPr="00D0306F" w:rsidRDefault="006C7AA7" w:rsidP="00CC3BF4">
            <w:pPr>
              <w:jc w:val="center"/>
              <w:rPr>
                <w:rFonts w:eastAsia="Times New Roman" w:cs="Arial"/>
              </w:rPr>
            </w:pPr>
            <w:r w:rsidRPr="00D0306F">
              <w:rPr>
                <w:rFonts w:eastAsia="Times New Roman" w:cs="Arial"/>
              </w:rPr>
              <w:t>8</w:t>
            </w:r>
          </w:p>
        </w:tc>
        <w:tc>
          <w:tcPr>
            <w:tcW w:w="209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067F430" w14:textId="77777777" w:rsidR="006C7AA7" w:rsidRPr="00D0306F" w:rsidRDefault="006C7AA7" w:rsidP="00CC3BF4">
            <w:pPr>
              <w:rPr>
                <w:rFonts w:eastAsia="Times New Roman" w:cs="Arial"/>
              </w:rPr>
            </w:pPr>
            <w:r w:rsidRPr="00D0306F">
              <w:rPr>
                <w:rFonts w:eastAsia="Times New Roman" w:cs="Arial"/>
              </w:rPr>
              <w:t>75 and above</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84" w:type="pct"/>
              <w:tblCellMar>
                <w:left w:w="0" w:type="dxa"/>
                <w:right w:w="0" w:type="dxa"/>
              </w:tblCellMar>
              <w:tblLook w:val="04A0" w:firstRow="1" w:lastRow="0" w:firstColumn="1" w:lastColumn="0" w:noHBand="0" w:noVBand="1"/>
            </w:tblPr>
            <w:tblGrid>
              <w:gridCol w:w="288"/>
            </w:tblGrid>
            <w:tr w:rsidR="006C7AA7" w:rsidRPr="00D0306F" w14:paraId="5693562C" w14:textId="77777777" w:rsidTr="00CC3BF4">
              <w:tc>
                <w:tcPr>
                  <w:tcW w:w="0" w:type="auto"/>
                  <w:tcBorders>
                    <w:top w:val="single" w:sz="6" w:space="0" w:color="E91E63"/>
                    <w:left w:val="single" w:sz="6" w:space="0" w:color="E91E63"/>
                    <w:bottom w:val="single" w:sz="6" w:space="0" w:color="E91E63"/>
                    <w:right w:val="single" w:sz="6" w:space="0" w:color="E91E63"/>
                  </w:tcBorders>
                  <w:shd w:val="clear" w:color="auto" w:fill="E91E63"/>
                  <w:vAlign w:val="center"/>
                  <w:hideMark/>
                </w:tcPr>
                <w:p w14:paraId="3F0FA756"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D5DBE35"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056EA7E" w14:textId="77777777" w:rsidR="006C7AA7" w:rsidRPr="00D0306F" w:rsidRDefault="006C7AA7" w:rsidP="00CC3BF4">
            <w:pPr>
              <w:jc w:val="center"/>
              <w:rPr>
                <w:rFonts w:eastAsia="Times New Roman" w:cs="Arial"/>
              </w:rPr>
            </w:pPr>
            <w:r w:rsidRPr="00D0306F">
              <w:rPr>
                <w:rFonts w:eastAsia="Times New Roman" w:cs="Arial"/>
              </w:rPr>
              <w:t>8.5%</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16ECBB2" w14:textId="77777777" w:rsidR="006C7AA7" w:rsidRPr="00D0306F" w:rsidRDefault="006C7AA7" w:rsidP="00CC3BF4">
            <w:pPr>
              <w:jc w:val="center"/>
              <w:rPr>
                <w:rFonts w:eastAsia="Times New Roman" w:cs="Arial"/>
              </w:rPr>
            </w:pPr>
            <w:r w:rsidRPr="00D0306F">
              <w:rPr>
                <w:rFonts w:eastAsia="Times New Roman" w:cs="Arial"/>
              </w:rPr>
              <w:t>10</w:t>
            </w:r>
          </w:p>
        </w:tc>
      </w:tr>
      <w:tr w:rsidR="006C7AA7" w:rsidRPr="00D0306F" w14:paraId="3B3657A8"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1C9D1997"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1EB7DDC"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248501D" w14:textId="77777777" w:rsidR="006C7AA7" w:rsidRPr="00D0306F" w:rsidRDefault="006C7AA7" w:rsidP="00CC3BF4">
            <w:pPr>
              <w:jc w:val="center"/>
              <w:rPr>
                <w:rFonts w:eastAsia="Times New Roman" w:cs="Arial"/>
              </w:rPr>
            </w:pPr>
            <w:r w:rsidRPr="00D0306F">
              <w:rPr>
                <w:rFonts w:eastAsia="Times New Roman" w:cs="Arial"/>
              </w:rPr>
              <w:t>118</w:t>
            </w:r>
          </w:p>
        </w:tc>
      </w:tr>
      <w:tr w:rsidR="006C7AA7" w:rsidRPr="00D0306F" w14:paraId="22C40BDF"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2ECD89D2"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E2D0333"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FE08110" w14:textId="77777777" w:rsidR="006C7AA7" w:rsidRPr="00D0306F" w:rsidRDefault="006C7AA7" w:rsidP="00CC3BF4">
            <w:pPr>
              <w:jc w:val="center"/>
              <w:rPr>
                <w:rFonts w:eastAsia="Times New Roman" w:cs="Arial"/>
              </w:rPr>
            </w:pPr>
            <w:r w:rsidRPr="00D0306F">
              <w:rPr>
                <w:rFonts w:eastAsia="Times New Roman" w:cs="Arial"/>
              </w:rPr>
              <w:t>1</w:t>
            </w:r>
          </w:p>
        </w:tc>
      </w:tr>
    </w:tbl>
    <w:p w14:paraId="5608214F" w14:textId="77777777" w:rsidR="006C7AA7" w:rsidRPr="00D0306F" w:rsidRDefault="006C7AA7" w:rsidP="006C7AA7">
      <w:pPr>
        <w:rPr>
          <w:rFonts w:eastAsia="Times New Roman" w:cs="Arial"/>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8"/>
        <w:gridCol w:w="2115"/>
        <w:gridCol w:w="3881"/>
        <w:gridCol w:w="1313"/>
        <w:gridCol w:w="1313"/>
      </w:tblGrid>
      <w:tr w:rsidR="006C7AA7" w:rsidRPr="00D0306F" w14:paraId="49431571"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10F2AF7D" w14:textId="7FC82068" w:rsidR="006C7AA7" w:rsidRPr="00D0306F" w:rsidRDefault="006C7AA7" w:rsidP="00CC3BF4">
            <w:pPr>
              <w:rPr>
                <w:rFonts w:eastAsia="Times New Roman" w:cs="Arial"/>
                <w:b/>
                <w:bCs/>
                <w:color w:val="FFFFFF"/>
              </w:rPr>
            </w:pPr>
            <w:r w:rsidRPr="00D0306F">
              <w:rPr>
                <w:rFonts w:eastAsia="Times New Roman" w:cs="Arial"/>
                <w:b/>
                <w:bCs/>
                <w:color w:val="FFFFFF"/>
              </w:rPr>
              <w:lastRenderedPageBreak/>
              <w:t>23. Gender identity - at birth were you described as:</w:t>
            </w:r>
            <w:r w:rsidR="00B752FC">
              <w:rPr>
                <w:rFonts w:eastAsia="Times New Roman" w:cs="Arial"/>
                <w:b/>
                <w:bCs/>
                <w:color w:val="FFFFFF"/>
              </w:rPr>
              <w:t xml:space="preserve"> </w:t>
            </w:r>
          </w:p>
        </w:tc>
      </w:tr>
      <w:tr w:rsidR="006C7AA7" w:rsidRPr="00D0306F" w14:paraId="1DA6C155"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2D9A7162"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8FC9492"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2CDC61F5"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251E9108"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1539EBD" w14:textId="77777777" w:rsidR="006C7AA7" w:rsidRPr="00D0306F" w:rsidRDefault="006C7AA7" w:rsidP="00CC3BF4">
            <w:pPr>
              <w:jc w:val="center"/>
              <w:rPr>
                <w:rFonts w:eastAsia="Times New Roman" w:cs="Arial"/>
              </w:rPr>
            </w:pPr>
            <w:r w:rsidRPr="00D0306F">
              <w:rPr>
                <w:rFonts w:eastAsia="Times New Roman" w:cs="Arial"/>
              </w:rPr>
              <w:t>1</w:t>
            </w:r>
          </w:p>
        </w:tc>
        <w:tc>
          <w:tcPr>
            <w:tcW w:w="211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FFD8FBB" w14:textId="77777777" w:rsidR="006C7AA7" w:rsidRPr="00D0306F" w:rsidRDefault="006C7AA7" w:rsidP="00CC3BF4">
            <w:pPr>
              <w:rPr>
                <w:rFonts w:eastAsia="Times New Roman" w:cs="Arial"/>
              </w:rPr>
            </w:pPr>
            <w:r w:rsidRPr="00D0306F">
              <w:rPr>
                <w:rFonts w:eastAsia="Times New Roman" w:cs="Arial"/>
              </w:rPr>
              <w:t>Female</w:t>
            </w:r>
          </w:p>
        </w:tc>
        <w:tc>
          <w:tcPr>
            <w:tcW w:w="388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068" w:type="pct"/>
              <w:tblCellMar>
                <w:left w:w="0" w:type="dxa"/>
                <w:right w:w="0" w:type="dxa"/>
              </w:tblCellMar>
              <w:tblLook w:val="04A0" w:firstRow="1" w:lastRow="0" w:firstColumn="1" w:lastColumn="0" w:noHBand="0" w:noVBand="1"/>
            </w:tblPr>
            <w:tblGrid>
              <w:gridCol w:w="3035"/>
            </w:tblGrid>
            <w:tr w:rsidR="006C7AA7" w:rsidRPr="00D0306F" w14:paraId="0667C56C"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5D7FAEF5"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60D8099"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F0B488B" w14:textId="77777777" w:rsidR="006C7AA7" w:rsidRPr="00D0306F" w:rsidRDefault="006C7AA7" w:rsidP="00CC3BF4">
            <w:pPr>
              <w:jc w:val="center"/>
              <w:rPr>
                <w:rFonts w:eastAsia="Times New Roman" w:cs="Arial"/>
              </w:rPr>
            </w:pPr>
            <w:r w:rsidRPr="00D0306F">
              <w:rPr>
                <w:rFonts w:eastAsia="Times New Roman" w:cs="Arial"/>
              </w:rPr>
              <w:t>80.7%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EEAE9F7" w14:textId="77777777" w:rsidR="006C7AA7" w:rsidRPr="00D0306F" w:rsidRDefault="006C7AA7" w:rsidP="00CC3BF4">
            <w:pPr>
              <w:jc w:val="center"/>
              <w:rPr>
                <w:rFonts w:eastAsia="Times New Roman" w:cs="Arial"/>
              </w:rPr>
            </w:pPr>
            <w:r w:rsidRPr="00D0306F">
              <w:rPr>
                <w:rFonts w:eastAsia="Times New Roman" w:cs="Arial"/>
              </w:rPr>
              <w:t>96</w:t>
            </w:r>
          </w:p>
        </w:tc>
      </w:tr>
      <w:tr w:rsidR="006C7AA7" w:rsidRPr="00D0306F" w14:paraId="6377BB1D"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0AEB3C1" w14:textId="77777777" w:rsidR="006C7AA7" w:rsidRPr="00D0306F" w:rsidRDefault="006C7AA7" w:rsidP="00CC3BF4">
            <w:pPr>
              <w:jc w:val="center"/>
              <w:rPr>
                <w:rFonts w:eastAsia="Times New Roman" w:cs="Arial"/>
              </w:rPr>
            </w:pPr>
            <w:r w:rsidRPr="00D0306F">
              <w:rPr>
                <w:rFonts w:eastAsia="Times New Roman" w:cs="Arial"/>
              </w:rPr>
              <w:t>2</w:t>
            </w:r>
          </w:p>
        </w:tc>
        <w:tc>
          <w:tcPr>
            <w:tcW w:w="211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932B067" w14:textId="77777777" w:rsidR="006C7AA7" w:rsidRPr="00D0306F" w:rsidRDefault="006C7AA7" w:rsidP="00CC3BF4">
            <w:pPr>
              <w:rPr>
                <w:rFonts w:eastAsia="Times New Roman" w:cs="Arial"/>
              </w:rPr>
            </w:pPr>
            <w:r w:rsidRPr="00D0306F">
              <w:rPr>
                <w:rFonts w:eastAsia="Times New Roman" w:cs="Arial"/>
              </w:rPr>
              <w:t>Male</w:t>
            </w:r>
          </w:p>
        </w:tc>
        <w:tc>
          <w:tcPr>
            <w:tcW w:w="388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32" w:type="pct"/>
              <w:tblCellMar>
                <w:left w:w="0" w:type="dxa"/>
                <w:right w:w="0" w:type="dxa"/>
              </w:tblCellMar>
              <w:tblLook w:val="04A0" w:firstRow="1" w:lastRow="0" w:firstColumn="1" w:lastColumn="0" w:noHBand="0" w:noVBand="1"/>
            </w:tblPr>
            <w:tblGrid>
              <w:gridCol w:w="695"/>
            </w:tblGrid>
            <w:tr w:rsidR="006C7AA7" w:rsidRPr="00D0306F" w14:paraId="7F48041B"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58A64F96"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08D27F1E"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E634664" w14:textId="77777777" w:rsidR="006C7AA7" w:rsidRPr="00D0306F" w:rsidRDefault="006C7AA7" w:rsidP="00CC3BF4">
            <w:pPr>
              <w:jc w:val="center"/>
              <w:rPr>
                <w:rFonts w:eastAsia="Times New Roman" w:cs="Arial"/>
              </w:rPr>
            </w:pPr>
            <w:r w:rsidRPr="00D0306F">
              <w:rPr>
                <w:rFonts w:eastAsia="Times New Roman" w:cs="Arial"/>
              </w:rPr>
              <w:t>19.3%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1902F6A" w14:textId="77777777" w:rsidR="006C7AA7" w:rsidRPr="00D0306F" w:rsidRDefault="006C7AA7" w:rsidP="00CC3BF4">
            <w:pPr>
              <w:jc w:val="center"/>
              <w:rPr>
                <w:rFonts w:eastAsia="Times New Roman" w:cs="Arial"/>
              </w:rPr>
            </w:pPr>
            <w:r w:rsidRPr="00D0306F">
              <w:rPr>
                <w:rFonts w:eastAsia="Times New Roman" w:cs="Arial"/>
              </w:rPr>
              <w:t>23</w:t>
            </w:r>
          </w:p>
        </w:tc>
      </w:tr>
      <w:tr w:rsidR="006C7AA7" w:rsidRPr="00D0306F" w14:paraId="4105C94C"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3523DED" w14:textId="77777777" w:rsidR="006C7AA7" w:rsidRPr="00D0306F" w:rsidRDefault="006C7AA7" w:rsidP="00CC3BF4">
            <w:pPr>
              <w:jc w:val="center"/>
              <w:rPr>
                <w:rFonts w:eastAsia="Times New Roman" w:cs="Arial"/>
              </w:rPr>
            </w:pPr>
            <w:r w:rsidRPr="00D0306F">
              <w:rPr>
                <w:rFonts w:eastAsia="Times New Roman" w:cs="Arial"/>
              </w:rPr>
              <w:t>3</w:t>
            </w:r>
          </w:p>
        </w:tc>
        <w:tc>
          <w:tcPr>
            <w:tcW w:w="211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51E6047" w14:textId="77777777" w:rsidR="006C7AA7" w:rsidRPr="00D0306F" w:rsidRDefault="006C7AA7" w:rsidP="00CC3BF4">
            <w:pPr>
              <w:rPr>
                <w:rFonts w:eastAsia="Times New Roman" w:cs="Arial"/>
              </w:rPr>
            </w:pPr>
            <w:r w:rsidRPr="00D0306F">
              <w:rPr>
                <w:rFonts w:eastAsia="Times New Roman" w:cs="Arial"/>
              </w:rPr>
              <w:t>Intersex</w:t>
            </w:r>
          </w:p>
        </w:tc>
        <w:tc>
          <w:tcPr>
            <w:tcW w:w="388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79603997"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B8E56B8"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EA1D219"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54A93C78"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60835A3" w14:textId="77777777" w:rsidR="006C7AA7" w:rsidRPr="00D0306F" w:rsidRDefault="006C7AA7" w:rsidP="00CC3BF4">
            <w:pPr>
              <w:jc w:val="center"/>
              <w:rPr>
                <w:rFonts w:eastAsia="Times New Roman" w:cs="Arial"/>
              </w:rPr>
            </w:pPr>
            <w:r w:rsidRPr="00D0306F">
              <w:rPr>
                <w:rFonts w:eastAsia="Times New Roman" w:cs="Arial"/>
              </w:rPr>
              <w:t>4</w:t>
            </w:r>
          </w:p>
        </w:tc>
        <w:tc>
          <w:tcPr>
            <w:tcW w:w="211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3FE7D90" w14:textId="77777777" w:rsidR="006C7AA7" w:rsidRPr="00D0306F" w:rsidRDefault="006C7AA7" w:rsidP="00CC3BF4">
            <w:pPr>
              <w:rPr>
                <w:rFonts w:eastAsia="Times New Roman" w:cs="Arial"/>
              </w:rPr>
            </w:pPr>
            <w:r w:rsidRPr="00D0306F">
              <w:rPr>
                <w:rFonts w:eastAsia="Times New Roman" w:cs="Arial"/>
              </w:rPr>
              <w:t>Prefer not to say</w:t>
            </w:r>
          </w:p>
        </w:tc>
        <w:tc>
          <w:tcPr>
            <w:tcW w:w="388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6523E4DD"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D0FCD2D"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23EF77C"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48B61CED"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B819B10" w14:textId="77777777" w:rsidR="006C7AA7" w:rsidRPr="00D0306F" w:rsidRDefault="006C7AA7" w:rsidP="00CC3BF4">
            <w:pPr>
              <w:jc w:val="center"/>
              <w:rPr>
                <w:rFonts w:eastAsia="Times New Roman" w:cs="Arial"/>
              </w:rPr>
            </w:pPr>
            <w:r w:rsidRPr="00D0306F">
              <w:rPr>
                <w:rFonts w:eastAsia="Times New Roman" w:cs="Arial"/>
              </w:rPr>
              <w:t>5</w:t>
            </w:r>
          </w:p>
        </w:tc>
        <w:tc>
          <w:tcPr>
            <w:tcW w:w="211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6269BFD" w14:textId="77777777" w:rsidR="006C7AA7" w:rsidRPr="00D0306F" w:rsidRDefault="006C7AA7" w:rsidP="00CC3BF4">
            <w:pPr>
              <w:rPr>
                <w:rFonts w:eastAsia="Times New Roman" w:cs="Arial"/>
              </w:rPr>
            </w:pPr>
            <w:r w:rsidRPr="00D0306F">
              <w:rPr>
                <w:rFonts w:eastAsia="Times New Roman" w:cs="Arial"/>
              </w:rPr>
              <w:t>Other (please state):</w:t>
            </w:r>
          </w:p>
        </w:tc>
        <w:tc>
          <w:tcPr>
            <w:tcW w:w="388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023B1766"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FFD5968"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55BAAD9"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04401EAD"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0D807EA0"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5868164"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41E94D2" w14:textId="77777777" w:rsidR="006C7AA7" w:rsidRPr="00D0306F" w:rsidRDefault="006C7AA7" w:rsidP="00CC3BF4">
            <w:pPr>
              <w:jc w:val="center"/>
              <w:rPr>
                <w:rFonts w:eastAsia="Times New Roman" w:cs="Arial"/>
              </w:rPr>
            </w:pPr>
            <w:r w:rsidRPr="00D0306F">
              <w:rPr>
                <w:rFonts w:eastAsia="Times New Roman" w:cs="Arial"/>
              </w:rPr>
              <w:t>119</w:t>
            </w:r>
          </w:p>
        </w:tc>
      </w:tr>
      <w:tr w:rsidR="006C7AA7" w:rsidRPr="00D0306F" w14:paraId="41CD8EB4"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2AE572EB"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F767152"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DE6295C" w14:textId="77777777" w:rsidR="006C7AA7" w:rsidRPr="00D0306F" w:rsidRDefault="006C7AA7" w:rsidP="00CC3BF4">
            <w:pPr>
              <w:jc w:val="center"/>
              <w:rPr>
                <w:rFonts w:eastAsia="Times New Roman" w:cs="Arial"/>
              </w:rPr>
            </w:pPr>
            <w:r w:rsidRPr="00D0306F">
              <w:rPr>
                <w:rFonts w:eastAsia="Times New Roman" w:cs="Arial"/>
              </w:rPr>
              <w:t>0</w:t>
            </w:r>
          </w:p>
        </w:tc>
      </w:tr>
    </w:tbl>
    <w:p w14:paraId="05E878E5" w14:textId="77777777" w:rsidR="006C7AA7" w:rsidRPr="00D0306F" w:rsidRDefault="006C7AA7" w:rsidP="006C7AA7">
      <w:pPr>
        <w:rPr>
          <w:rFonts w:eastAsia="Times New Roman" w:cs="Arial"/>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8"/>
        <w:gridCol w:w="2115"/>
        <w:gridCol w:w="3881"/>
        <w:gridCol w:w="1313"/>
        <w:gridCol w:w="1313"/>
      </w:tblGrid>
      <w:tr w:rsidR="006C7AA7" w:rsidRPr="00D0306F" w14:paraId="40812E59"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42729314" w14:textId="77777777" w:rsidR="006C7AA7" w:rsidRPr="00D0306F" w:rsidRDefault="006C7AA7" w:rsidP="00CC3BF4">
            <w:pPr>
              <w:rPr>
                <w:rFonts w:eastAsia="Times New Roman" w:cs="Arial"/>
                <w:b/>
                <w:bCs/>
                <w:color w:val="FFFFFF"/>
              </w:rPr>
            </w:pPr>
            <w:r w:rsidRPr="00D0306F">
              <w:rPr>
                <w:rFonts w:eastAsia="Times New Roman" w:cs="Arial"/>
                <w:b/>
                <w:bCs/>
                <w:color w:val="FFFFFF"/>
              </w:rPr>
              <w:t xml:space="preserve">24. Gender identity - which of the following describes how you think of yourself </w:t>
            </w:r>
          </w:p>
        </w:tc>
      </w:tr>
      <w:tr w:rsidR="006C7AA7" w:rsidRPr="00D0306F" w14:paraId="409D1F4A"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36DBDC22"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2B98C8FD"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F635413"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77938B31"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6C6312C" w14:textId="77777777" w:rsidR="006C7AA7" w:rsidRPr="00D0306F" w:rsidRDefault="006C7AA7" w:rsidP="00CC3BF4">
            <w:pPr>
              <w:jc w:val="center"/>
              <w:rPr>
                <w:rFonts w:eastAsia="Times New Roman" w:cs="Arial"/>
              </w:rPr>
            </w:pPr>
            <w:r w:rsidRPr="00D0306F">
              <w:rPr>
                <w:rFonts w:eastAsia="Times New Roman" w:cs="Arial"/>
              </w:rPr>
              <w:t>1</w:t>
            </w:r>
          </w:p>
        </w:tc>
        <w:tc>
          <w:tcPr>
            <w:tcW w:w="211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C595646" w14:textId="77777777" w:rsidR="006C7AA7" w:rsidRPr="00D0306F" w:rsidRDefault="006C7AA7" w:rsidP="00CC3BF4">
            <w:pPr>
              <w:rPr>
                <w:rFonts w:eastAsia="Times New Roman" w:cs="Arial"/>
              </w:rPr>
            </w:pPr>
            <w:r w:rsidRPr="00D0306F">
              <w:rPr>
                <w:rFonts w:eastAsia="Times New Roman" w:cs="Arial"/>
              </w:rPr>
              <w:t>Female</w:t>
            </w:r>
          </w:p>
        </w:tc>
        <w:tc>
          <w:tcPr>
            <w:tcW w:w="388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008" w:type="pct"/>
              <w:tblCellMar>
                <w:left w:w="0" w:type="dxa"/>
                <w:right w:w="0" w:type="dxa"/>
              </w:tblCellMar>
              <w:tblLook w:val="04A0" w:firstRow="1" w:lastRow="0" w:firstColumn="1" w:lastColumn="0" w:noHBand="0" w:noVBand="1"/>
            </w:tblPr>
            <w:tblGrid>
              <w:gridCol w:w="2990"/>
            </w:tblGrid>
            <w:tr w:rsidR="006C7AA7" w:rsidRPr="00D0306F" w14:paraId="0DCD1F53"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6A4FADD8"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11375D31"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3FED075" w14:textId="77777777" w:rsidR="006C7AA7" w:rsidRPr="00D0306F" w:rsidRDefault="006C7AA7" w:rsidP="00CC3BF4">
            <w:pPr>
              <w:jc w:val="center"/>
              <w:rPr>
                <w:rFonts w:eastAsia="Times New Roman" w:cs="Arial"/>
              </w:rPr>
            </w:pPr>
            <w:r w:rsidRPr="00D0306F">
              <w:rPr>
                <w:rFonts w:eastAsia="Times New Roman" w:cs="Arial"/>
              </w:rPr>
              <w:t>79.5%</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18FE010" w14:textId="77777777" w:rsidR="006C7AA7" w:rsidRPr="00D0306F" w:rsidRDefault="006C7AA7" w:rsidP="00CC3BF4">
            <w:pPr>
              <w:jc w:val="center"/>
              <w:rPr>
                <w:rFonts w:eastAsia="Times New Roman" w:cs="Arial"/>
              </w:rPr>
            </w:pPr>
            <w:r w:rsidRPr="00D0306F">
              <w:rPr>
                <w:rFonts w:eastAsia="Times New Roman" w:cs="Arial"/>
              </w:rPr>
              <w:t>93</w:t>
            </w:r>
          </w:p>
        </w:tc>
      </w:tr>
      <w:tr w:rsidR="006C7AA7" w:rsidRPr="00D0306F" w14:paraId="39B0E013"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24FDEA5" w14:textId="77777777" w:rsidR="006C7AA7" w:rsidRPr="00D0306F" w:rsidRDefault="006C7AA7" w:rsidP="00CC3BF4">
            <w:pPr>
              <w:jc w:val="center"/>
              <w:rPr>
                <w:rFonts w:eastAsia="Times New Roman" w:cs="Arial"/>
              </w:rPr>
            </w:pPr>
            <w:r w:rsidRPr="00D0306F">
              <w:rPr>
                <w:rFonts w:eastAsia="Times New Roman" w:cs="Arial"/>
              </w:rPr>
              <w:t>2</w:t>
            </w:r>
          </w:p>
        </w:tc>
        <w:tc>
          <w:tcPr>
            <w:tcW w:w="211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D1D45EA" w14:textId="77777777" w:rsidR="006C7AA7" w:rsidRPr="00D0306F" w:rsidRDefault="006C7AA7" w:rsidP="00CC3BF4">
            <w:pPr>
              <w:rPr>
                <w:rFonts w:eastAsia="Times New Roman" w:cs="Arial"/>
              </w:rPr>
            </w:pPr>
            <w:r w:rsidRPr="00D0306F">
              <w:rPr>
                <w:rFonts w:eastAsia="Times New Roman" w:cs="Arial"/>
              </w:rPr>
              <w:t>Male</w:t>
            </w:r>
          </w:p>
        </w:tc>
        <w:tc>
          <w:tcPr>
            <w:tcW w:w="388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48" w:type="pct"/>
              <w:tblCellMar>
                <w:left w:w="0" w:type="dxa"/>
                <w:right w:w="0" w:type="dxa"/>
              </w:tblCellMar>
              <w:tblLook w:val="04A0" w:firstRow="1" w:lastRow="0" w:firstColumn="1" w:lastColumn="0" w:noHBand="0" w:noVBand="1"/>
            </w:tblPr>
            <w:tblGrid>
              <w:gridCol w:w="707"/>
            </w:tblGrid>
            <w:tr w:rsidR="006C7AA7" w:rsidRPr="00D0306F" w14:paraId="72397523"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67102A73"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214FA71E"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7CAF6DB" w14:textId="77777777" w:rsidR="006C7AA7" w:rsidRPr="00D0306F" w:rsidRDefault="006C7AA7" w:rsidP="00CC3BF4">
            <w:pPr>
              <w:jc w:val="center"/>
              <w:rPr>
                <w:rFonts w:eastAsia="Times New Roman" w:cs="Arial"/>
              </w:rPr>
            </w:pPr>
            <w:r w:rsidRPr="00D0306F">
              <w:rPr>
                <w:rFonts w:eastAsia="Times New Roman" w:cs="Arial"/>
              </w:rPr>
              <w:t>19.7%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06CD194" w14:textId="77777777" w:rsidR="006C7AA7" w:rsidRPr="00D0306F" w:rsidRDefault="006C7AA7" w:rsidP="00CC3BF4">
            <w:pPr>
              <w:jc w:val="center"/>
              <w:rPr>
                <w:rFonts w:eastAsia="Times New Roman" w:cs="Arial"/>
              </w:rPr>
            </w:pPr>
            <w:r w:rsidRPr="00D0306F">
              <w:rPr>
                <w:rFonts w:eastAsia="Times New Roman" w:cs="Arial"/>
              </w:rPr>
              <w:t>23</w:t>
            </w:r>
          </w:p>
        </w:tc>
      </w:tr>
      <w:tr w:rsidR="006C7AA7" w:rsidRPr="00D0306F" w14:paraId="712A310F"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191136A" w14:textId="77777777" w:rsidR="006C7AA7" w:rsidRPr="00D0306F" w:rsidRDefault="006C7AA7" w:rsidP="00CC3BF4">
            <w:pPr>
              <w:jc w:val="center"/>
              <w:rPr>
                <w:rFonts w:eastAsia="Times New Roman" w:cs="Arial"/>
              </w:rPr>
            </w:pPr>
            <w:r w:rsidRPr="00D0306F">
              <w:rPr>
                <w:rFonts w:eastAsia="Times New Roman" w:cs="Arial"/>
              </w:rPr>
              <w:t>3</w:t>
            </w:r>
          </w:p>
        </w:tc>
        <w:tc>
          <w:tcPr>
            <w:tcW w:w="211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5A2B388" w14:textId="77777777" w:rsidR="006C7AA7" w:rsidRPr="00D0306F" w:rsidRDefault="006C7AA7" w:rsidP="00CC3BF4">
            <w:pPr>
              <w:rPr>
                <w:rFonts w:eastAsia="Times New Roman" w:cs="Arial"/>
              </w:rPr>
            </w:pPr>
            <w:r w:rsidRPr="00D0306F">
              <w:rPr>
                <w:rFonts w:eastAsia="Times New Roman" w:cs="Arial"/>
              </w:rPr>
              <w:t>Intersex</w:t>
            </w:r>
          </w:p>
        </w:tc>
        <w:tc>
          <w:tcPr>
            <w:tcW w:w="388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0DCE4313"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CEFDB23"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8B6A023"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3D3A8F0D"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AA8FE30" w14:textId="77777777" w:rsidR="006C7AA7" w:rsidRPr="00D0306F" w:rsidRDefault="006C7AA7" w:rsidP="00CC3BF4">
            <w:pPr>
              <w:jc w:val="center"/>
              <w:rPr>
                <w:rFonts w:eastAsia="Times New Roman" w:cs="Arial"/>
              </w:rPr>
            </w:pPr>
            <w:r w:rsidRPr="00D0306F">
              <w:rPr>
                <w:rFonts w:eastAsia="Times New Roman" w:cs="Arial"/>
              </w:rPr>
              <w:t>4</w:t>
            </w:r>
          </w:p>
        </w:tc>
        <w:tc>
          <w:tcPr>
            <w:tcW w:w="211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02C6D73" w14:textId="77777777" w:rsidR="006C7AA7" w:rsidRPr="00D0306F" w:rsidRDefault="006C7AA7" w:rsidP="00CC3BF4">
            <w:pPr>
              <w:rPr>
                <w:rFonts w:eastAsia="Times New Roman" w:cs="Arial"/>
              </w:rPr>
            </w:pPr>
            <w:r w:rsidRPr="00D0306F">
              <w:rPr>
                <w:rFonts w:eastAsia="Times New Roman" w:cs="Arial"/>
              </w:rPr>
              <w:t>Prefer not to say</w:t>
            </w:r>
          </w:p>
        </w:tc>
        <w:tc>
          <w:tcPr>
            <w:tcW w:w="388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3" w:type="pct"/>
              <w:tblCellMar>
                <w:left w:w="0" w:type="dxa"/>
                <w:right w:w="0" w:type="dxa"/>
              </w:tblCellMar>
              <w:tblLook w:val="04A0" w:firstRow="1" w:lastRow="0" w:firstColumn="1" w:lastColumn="0" w:noHBand="0" w:noVBand="1"/>
            </w:tblPr>
            <w:tblGrid>
              <w:gridCol w:w="82"/>
            </w:tblGrid>
            <w:tr w:rsidR="006C7AA7" w:rsidRPr="00D0306F" w14:paraId="6F092F61" w14:textId="77777777" w:rsidTr="00CC3BF4">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036FB1EB"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4E6B801E"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D1EDDB0" w14:textId="77777777" w:rsidR="006C7AA7" w:rsidRPr="00D0306F" w:rsidRDefault="006C7AA7" w:rsidP="00CC3BF4">
            <w:pPr>
              <w:jc w:val="center"/>
              <w:rPr>
                <w:rFonts w:eastAsia="Times New Roman" w:cs="Arial"/>
              </w:rPr>
            </w:pPr>
            <w:r w:rsidRPr="00D0306F">
              <w:rPr>
                <w:rFonts w:eastAsia="Times New Roman" w:cs="Arial"/>
              </w:rPr>
              <w:t>0.9%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42B53CB" w14:textId="77777777" w:rsidR="006C7AA7" w:rsidRPr="00D0306F" w:rsidRDefault="006C7AA7" w:rsidP="00CC3BF4">
            <w:pPr>
              <w:jc w:val="center"/>
              <w:rPr>
                <w:rFonts w:eastAsia="Times New Roman" w:cs="Arial"/>
              </w:rPr>
            </w:pPr>
            <w:r w:rsidRPr="00D0306F">
              <w:rPr>
                <w:rFonts w:eastAsia="Times New Roman" w:cs="Arial"/>
              </w:rPr>
              <w:t>1</w:t>
            </w:r>
          </w:p>
        </w:tc>
      </w:tr>
      <w:tr w:rsidR="006C7AA7" w:rsidRPr="00D0306F" w14:paraId="025F0CEE"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A8ECCC1" w14:textId="77777777" w:rsidR="006C7AA7" w:rsidRPr="00D0306F" w:rsidRDefault="006C7AA7" w:rsidP="00CC3BF4">
            <w:pPr>
              <w:jc w:val="center"/>
              <w:rPr>
                <w:rFonts w:eastAsia="Times New Roman" w:cs="Arial"/>
              </w:rPr>
            </w:pPr>
            <w:r w:rsidRPr="00D0306F">
              <w:rPr>
                <w:rFonts w:eastAsia="Times New Roman" w:cs="Arial"/>
              </w:rPr>
              <w:t>5</w:t>
            </w:r>
          </w:p>
        </w:tc>
        <w:tc>
          <w:tcPr>
            <w:tcW w:w="211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351B23A" w14:textId="77777777" w:rsidR="006C7AA7" w:rsidRPr="00D0306F" w:rsidRDefault="006C7AA7" w:rsidP="00CC3BF4">
            <w:pPr>
              <w:rPr>
                <w:rFonts w:eastAsia="Times New Roman" w:cs="Arial"/>
              </w:rPr>
            </w:pPr>
            <w:r w:rsidRPr="00D0306F">
              <w:rPr>
                <w:rFonts w:eastAsia="Times New Roman" w:cs="Arial"/>
              </w:rPr>
              <w:t>Other (please state):</w:t>
            </w:r>
          </w:p>
        </w:tc>
        <w:tc>
          <w:tcPr>
            <w:tcW w:w="388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102F11B2"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8C69D19"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685B433"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433B9188"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137FB871"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5D38073"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DF38B80" w14:textId="77777777" w:rsidR="006C7AA7" w:rsidRPr="00D0306F" w:rsidRDefault="006C7AA7" w:rsidP="00CC3BF4">
            <w:pPr>
              <w:jc w:val="center"/>
              <w:rPr>
                <w:rFonts w:eastAsia="Times New Roman" w:cs="Arial"/>
              </w:rPr>
            </w:pPr>
            <w:r w:rsidRPr="00D0306F">
              <w:rPr>
                <w:rFonts w:eastAsia="Times New Roman" w:cs="Arial"/>
              </w:rPr>
              <w:t>117</w:t>
            </w:r>
          </w:p>
        </w:tc>
      </w:tr>
      <w:tr w:rsidR="006C7AA7" w:rsidRPr="00D0306F" w14:paraId="3B3437E9"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5F4AD4B0"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4CE4C50"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95273E1" w14:textId="77777777" w:rsidR="006C7AA7" w:rsidRPr="00D0306F" w:rsidRDefault="006C7AA7" w:rsidP="00CC3BF4">
            <w:pPr>
              <w:jc w:val="center"/>
              <w:rPr>
                <w:rFonts w:eastAsia="Times New Roman" w:cs="Arial"/>
              </w:rPr>
            </w:pPr>
            <w:r w:rsidRPr="00D0306F">
              <w:rPr>
                <w:rFonts w:eastAsia="Times New Roman" w:cs="Arial"/>
              </w:rPr>
              <w:t>2</w:t>
            </w:r>
          </w:p>
        </w:tc>
      </w:tr>
    </w:tbl>
    <w:p w14:paraId="5D51AFD2" w14:textId="77777777" w:rsidR="006C7AA7" w:rsidRPr="00D0306F" w:rsidRDefault="006C7AA7" w:rsidP="006C7AA7">
      <w:pPr>
        <w:rPr>
          <w:rFonts w:eastAsia="Times New Roman" w:cs="Arial"/>
          <w:b/>
          <w:bCs/>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330"/>
        <w:gridCol w:w="2146"/>
        <w:gridCol w:w="3818"/>
        <w:gridCol w:w="1313"/>
        <w:gridCol w:w="1313"/>
      </w:tblGrid>
      <w:tr w:rsidR="006C7AA7" w:rsidRPr="00D0306F" w14:paraId="3769FE16"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21D304C0" w14:textId="28B59C3A" w:rsidR="006C7AA7" w:rsidRPr="00D0306F" w:rsidRDefault="006C7AA7" w:rsidP="00CC3BF4">
            <w:pPr>
              <w:rPr>
                <w:rFonts w:eastAsia="Times New Roman" w:cs="Arial"/>
                <w:b/>
                <w:bCs/>
                <w:color w:val="FFFFFF"/>
              </w:rPr>
            </w:pPr>
            <w:r w:rsidRPr="00D0306F">
              <w:rPr>
                <w:rFonts w:eastAsia="Times New Roman" w:cs="Arial"/>
                <w:b/>
                <w:bCs/>
                <w:color w:val="FFFFFF"/>
              </w:rPr>
              <w:t>25. Pregnancy and maternity - are you currently pregnant, or have you been pregnant in the last year?</w:t>
            </w:r>
            <w:r w:rsidR="00B752FC">
              <w:rPr>
                <w:rFonts w:eastAsia="Times New Roman" w:cs="Arial"/>
                <w:b/>
                <w:bCs/>
                <w:color w:val="FFFFFF"/>
              </w:rPr>
              <w:t xml:space="preserve"> </w:t>
            </w:r>
          </w:p>
        </w:tc>
      </w:tr>
      <w:tr w:rsidR="006C7AA7" w:rsidRPr="00D0306F" w14:paraId="03E45AD2" w14:textId="77777777" w:rsidTr="00CC3BF4">
        <w:trPr>
          <w:trHeight w:val="360"/>
          <w:tblCellSpacing w:w="0" w:type="dxa"/>
          <w:jc w:val="center"/>
        </w:trPr>
        <w:tc>
          <w:tcPr>
            <w:tcW w:w="6868"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78455EA4"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026"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84CB2D1"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026"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5174AB81"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7DF450DA" w14:textId="77777777" w:rsidTr="00CC3BF4">
        <w:trPr>
          <w:tblCellSpacing w:w="0" w:type="dxa"/>
          <w:jc w:val="center"/>
        </w:trPr>
        <w:tc>
          <w:tcPr>
            <w:tcW w:w="33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A7CCD6E" w14:textId="77777777" w:rsidR="006C7AA7" w:rsidRPr="00D0306F" w:rsidRDefault="006C7AA7" w:rsidP="00CC3BF4">
            <w:pPr>
              <w:jc w:val="center"/>
              <w:rPr>
                <w:rFonts w:eastAsia="Times New Roman" w:cs="Arial"/>
              </w:rPr>
            </w:pPr>
            <w:r w:rsidRPr="00D0306F">
              <w:rPr>
                <w:rFonts w:eastAsia="Times New Roman" w:cs="Arial"/>
              </w:rPr>
              <w:t>1</w:t>
            </w:r>
          </w:p>
        </w:tc>
        <w:tc>
          <w:tcPr>
            <w:tcW w:w="22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0E1D611" w14:textId="77777777" w:rsidR="006C7AA7" w:rsidRPr="00D0306F" w:rsidRDefault="006C7AA7" w:rsidP="00CC3BF4">
            <w:pPr>
              <w:rPr>
                <w:rFonts w:eastAsia="Times New Roman" w:cs="Arial"/>
              </w:rPr>
            </w:pPr>
            <w:r w:rsidRPr="00D0306F">
              <w:rPr>
                <w:rFonts w:eastAsia="Times New Roman" w:cs="Arial"/>
              </w:rPr>
              <w:t>Yes</w:t>
            </w:r>
          </w:p>
        </w:tc>
        <w:tc>
          <w:tcPr>
            <w:tcW w:w="423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02DE339B" w14:textId="77777777" w:rsidR="006C7AA7" w:rsidRPr="00D0306F" w:rsidRDefault="006C7AA7" w:rsidP="00CC3BF4">
            <w:pPr>
              <w:rPr>
                <w:rFonts w:eastAsia="Times New Roman" w:cs="Arial"/>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16E643A" w14:textId="77777777" w:rsidR="006C7AA7" w:rsidRPr="00D0306F" w:rsidRDefault="006C7AA7" w:rsidP="00CC3BF4">
            <w:pPr>
              <w:jc w:val="center"/>
              <w:rPr>
                <w:rFonts w:eastAsia="Times New Roman" w:cs="Arial"/>
              </w:rPr>
            </w:pPr>
            <w:r w:rsidRPr="00D0306F">
              <w:rPr>
                <w:rFonts w:eastAsia="Times New Roman" w:cs="Arial"/>
              </w:rPr>
              <w:t>0.0%</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307D147"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48613A2A" w14:textId="77777777" w:rsidTr="00CC3BF4">
        <w:trPr>
          <w:tblCellSpacing w:w="0" w:type="dxa"/>
          <w:jc w:val="center"/>
        </w:trPr>
        <w:tc>
          <w:tcPr>
            <w:tcW w:w="33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0CEC704" w14:textId="77777777" w:rsidR="006C7AA7" w:rsidRPr="00D0306F" w:rsidRDefault="006C7AA7" w:rsidP="00CC3BF4">
            <w:pPr>
              <w:jc w:val="center"/>
              <w:rPr>
                <w:rFonts w:eastAsia="Times New Roman" w:cs="Arial"/>
              </w:rPr>
            </w:pPr>
            <w:r w:rsidRPr="00D0306F">
              <w:rPr>
                <w:rFonts w:eastAsia="Times New Roman" w:cs="Arial"/>
              </w:rPr>
              <w:t>2</w:t>
            </w:r>
          </w:p>
        </w:tc>
        <w:tc>
          <w:tcPr>
            <w:tcW w:w="22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7B595D5" w14:textId="77777777" w:rsidR="006C7AA7" w:rsidRPr="00D0306F" w:rsidRDefault="006C7AA7" w:rsidP="00CC3BF4">
            <w:pPr>
              <w:rPr>
                <w:rFonts w:eastAsia="Times New Roman" w:cs="Arial"/>
              </w:rPr>
            </w:pPr>
            <w:r w:rsidRPr="00D0306F">
              <w:rPr>
                <w:rFonts w:eastAsia="Times New Roman" w:cs="Arial"/>
              </w:rPr>
              <w:t>No</w:t>
            </w:r>
          </w:p>
        </w:tc>
        <w:tc>
          <w:tcPr>
            <w:tcW w:w="423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000" w:type="pct"/>
              <w:tblCellMar>
                <w:left w:w="0" w:type="dxa"/>
                <w:right w:w="0" w:type="dxa"/>
              </w:tblCellMar>
              <w:tblLook w:val="04A0" w:firstRow="1" w:lastRow="0" w:firstColumn="1" w:lastColumn="0" w:noHBand="0" w:noVBand="1"/>
            </w:tblPr>
            <w:tblGrid>
              <w:gridCol w:w="3667"/>
            </w:tblGrid>
            <w:tr w:rsidR="006C7AA7" w:rsidRPr="00D0306F" w14:paraId="1571F7CE"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4C41DAC1"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03C5D92" w14:textId="77777777" w:rsidR="006C7AA7" w:rsidRPr="00D0306F" w:rsidRDefault="006C7AA7" w:rsidP="00CC3BF4">
            <w:pPr>
              <w:rPr>
                <w:rFonts w:eastAsia="Times New Roman" w:cs="Arial"/>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6DE8BAC" w14:textId="77777777" w:rsidR="006C7AA7" w:rsidRPr="00D0306F" w:rsidRDefault="006C7AA7" w:rsidP="00CC3BF4">
            <w:pPr>
              <w:jc w:val="center"/>
              <w:rPr>
                <w:rFonts w:eastAsia="Times New Roman" w:cs="Arial"/>
              </w:rPr>
            </w:pPr>
            <w:r w:rsidRPr="00D0306F">
              <w:rPr>
                <w:rFonts w:eastAsia="Times New Roman" w:cs="Arial"/>
              </w:rPr>
              <w:t>100.0%</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2A112F7" w14:textId="77777777" w:rsidR="006C7AA7" w:rsidRPr="00D0306F" w:rsidRDefault="006C7AA7" w:rsidP="00CC3BF4">
            <w:pPr>
              <w:jc w:val="center"/>
              <w:rPr>
                <w:rFonts w:eastAsia="Times New Roman" w:cs="Arial"/>
              </w:rPr>
            </w:pPr>
            <w:r w:rsidRPr="00D0306F">
              <w:rPr>
                <w:rFonts w:eastAsia="Times New Roman" w:cs="Arial"/>
              </w:rPr>
              <w:t>116</w:t>
            </w:r>
          </w:p>
        </w:tc>
      </w:tr>
      <w:tr w:rsidR="006C7AA7" w:rsidRPr="00D0306F" w14:paraId="2D37E7E7" w14:textId="77777777" w:rsidTr="00CC3BF4">
        <w:trPr>
          <w:tblCellSpacing w:w="0" w:type="dxa"/>
          <w:jc w:val="center"/>
        </w:trPr>
        <w:tc>
          <w:tcPr>
            <w:tcW w:w="33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5012C15" w14:textId="77777777" w:rsidR="006C7AA7" w:rsidRPr="00D0306F" w:rsidRDefault="006C7AA7" w:rsidP="00CC3BF4">
            <w:pPr>
              <w:jc w:val="center"/>
              <w:rPr>
                <w:rFonts w:eastAsia="Times New Roman" w:cs="Arial"/>
              </w:rPr>
            </w:pPr>
            <w:r w:rsidRPr="00D0306F">
              <w:rPr>
                <w:rFonts w:eastAsia="Times New Roman" w:cs="Arial"/>
              </w:rPr>
              <w:t>3</w:t>
            </w:r>
          </w:p>
        </w:tc>
        <w:tc>
          <w:tcPr>
            <w:tcW w:w="22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904FEC4" w14:textId="77777777" w:rsidR="006C7AA7" w:rsidRPr="00D0306F" w:rsidRDefault="006C7AA7" w:rsidP="00CC3BF4">
            <w:pPr>
              <w:rPr>
                <w:rFonts w:eastAsia="Times New Roman" w:cs="Arial"/>
              </w:rPr>
            </w:pPr>
            <w:r w:rsidRPr="00D0306F">
              <w:rPr>
                <w:rFonts w:eastAsia="Times New Roman" w:cs="Arial"/>
              </w:rPr>
              <w:t>Prefer not to say</w:t>
            </w:r>
          </w:p>
        </w:tc>
        <w:tc>
          <w:tcPr>
            <w:tcW w:w="423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3FAE7693" w14:textId="77777777" w:rsidR="006C7AA7" w:rsidRPr="00D0306F" w:rsidRDefault="006C7AA7" w:rsidP="00CC3BF4">
            <w:pPr>
              <w:rPr>
                <w:rFonts w:eastAsia="Times New Roman" w:cs="Arial"/>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307C949" w14:textId="77777777" w:rsidR="006C7AA7" w:rsidRPr="00D0306F" w:rsidRDefault="006C7AA7" w:rsidP="00CC3BF4">
            <w:pPr>
              <w:jc w:val="center"/>
              <w:rPr>
                <w:rFonts w:eastAsia="Times New Roman" w:cs="Arial"/>
              </w:rPr>
            </w:pPr>
            <w:r w:rsidRPr="00D0306F">
              <w:rPr>
                <w:rFonts w:eastAsia="Times New Roman" w:cs="Arial"/>
              </w:rPr>
              <w:t>0.0%</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CC1ADDD"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1655FA34" w14:textId="77777777" w:rsidTr="00CC3BF4">
        <w:trPr>
          <w:tblCellSpacing w:w="0" w:type="dxa"/>
          <w:jc w:val="center"/>
        </w:trPr>
        <w:tc>
          <w:tcPr>
            <w:tcW w:w="6868"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54C8630E" w14:textId="77777777" w:rsidR="006C7AA7" w:rsidRPr="00D0306F" w:rsidRDefault="006C7AA7" w:rsidP="00CC3BF4">
            <w:pPr>
              <w:jc w:val="center"/>
              <w:rPr>
                <w:rFonts w:eastAsia="Times New Roman" w:cs="Arial"/>
              </w:rPr>
            </w:pPr>
          </w:p>
        </w:tc>
        <w:tc>
          <w:tcPr>
            <w:tcW w:w="1026"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68CFDA2" w14:textId="77777777" w:rsidR="006C7AA7" w:rsidRPr="00D0306F" w:rsidRDefault="006C7AA7" w:rsidP="00CC3BF4">
            <w:pPr>
              <w:jc w:val="center"/>
              <w:rPr>
                <w:rFonts w:eastAsia="Times New Roman" w:cs="Arial"/>
              </w:rPr>
            </w:pPr>
            <w:r w:rsidRPr="00D0306F">
              <w:rPr>
                <w:rFonts w:eastAsia="Times New Roman" w:cs="Arial"/>
              </w:rPr>
              <w:t>answered</w:t>
            </w:r>
          </w:p>
        </w:tc>
        <w:tc>
          <w:tcPr>
            <w:tcW w:w="1026"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9EAF8C3" w14:textId="77777777" w:rsidR="006C7AA7" w:rsidRPr="00D0306F" w:rsidRDefault="006C7AA7" w:rsidP="00CC3BF4">
            <w:pPr>
              <w:jc w:val="center"/>
              <w:rPr>
                <w:rFonts w:eastAsia="Times New Roman" w:cs="Arial"/>
              </w:rPr>
            </w:pPr>
            <w:r w:rsidRPr="00D0306F">
              <w:rPr>
                <w:rFonts w:eastAsia="Times New Roman" w:cs="Arial"/>
              </w:rPr>
              <w:t>116</w:t>
            </w:r>
          </w:p>
        </w:tc>
      </w:tr>
      <w:tr w:rsidR="006C7AA7" w:rsidRPr="00D0306F" w14:paraId="441E98C1" w14:textId="77777777" w:rsidTr="00CC3BF4">
        <w:trPr>
          <w:tblCellSpacing w:w="0" w:type="dxa"/>
          <w:jc w:val="center"/>
        </w:trPr>
        <w:tc>
          <w:tcPr>
            <w:tcW w:w="6868" w:type="dxa"/>
            <w:gridSpan w:val="3"/>
            <w:vMerge/>
            <w:tcBorders>
              <w:top w:val="single" w:sz="6" w:space="0" w:color="CCCCCC"/>
              <w:left w:val="nil"/>
              <w:bottom w:val="nil"/>
              <w:right w:val="single" w:sz="6" w:space="0" w:color="CCCCCC"/>
            </w:tcBorders>
            <w:vAlign w:val="center"/>
            <w:hideMark/>
          </w:tcPr>
          <w:p w14:paraId="7B6C5A8E" w14:textId="77777777" w:rsidR="006C7AA7" w:rsidRPr="00D0306F" w:rsidRDefault="006C7AA7" w:rsidP="00CC3BF4">
            <w:pPr>
              <w:rPr>
                <w:rFonts w:eastAsia="Times New Roman" w:cs="Arial"/>
              </w:rPr>
            </w:pPr>
          </w:p>
        </w:tc>
        <w:tc>
          <w:tcPr>
            <w:tcW w:w="1026"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6DAE63C" w14:textId="77777777" w:rsidR="006C7AA7" w:rsidRPr="00D0306F" w:rsidRDefault="006C7AA7" w:rsidP="00CC3BF4">
            <w:pPr>
              <w:jc w:val="center"/>
              <w:rPr>
                <w:rFonts w:eastAsia="Times New Roman" w:cs="Arial"/>
              </w:rPr>
            </w:pPr>
            <w:r w:rsidRPr="00D0306F">
              <w:rPr>
                <w:rFonts w:eastAsia="Times New Roman" w:cs="Arial"/>
              </w:rPr>
              <w:t>skipped</w:t>
            </w:r>
          </w:p>
        </w:tc>
        <w:tc>
          <w:tcPr>
            <w:tcW w:w="1026"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6BF4DF6" w14:textId="77777777" w:rsidR="006C7AA7" w:rsidRPr="00D0306F" w:rsidRDefault="006C7AA7" w:rsidP="00CC3BF4">
            <w:pPr>
              <w:jc w:val="center"/>
              <w:rPr>
                <w:rFonts w:eastAsia="Times New Roman" w:cs="Arial"/>
              </w:rPr>
            </w:pPr>
            <w:r w:rsidRPr="00D0306F">
              <w:rPr>
                <w:rFonts w:eastAsia="Times New Roman" w:cs="Arial"/>
              </w:rPr>
              <w:t>3</w:t>
            </w:r>
          </w:p>
        </w:tc>
      </w:tr>
    </w:tbl>
    <w:p w14:paraId="64D6FB67" w14:textId="77777777" w:rsidR="006C7AA7" w:rsidRPr="00D0306F" w:rsidRDefault="006C7AA7" w:rsidP="006C7AA7">
      <w:pPr>
        <w:rPr>
          <w:rFonts w:eastAsia="Times New Roman" w:cs="Arial"/>
        </w:rPr>
      </w:pPr>
    </w:p>
    <w:p w14:paraId="26778FB6" w14:textId="77777777" w:rsidR="006C7AA7" w:rsidRPr="00D0306F" w:rsidRDefault="006C7AA7" w:rsidP="006C7AA7">
      <w:pPr>
        <w:rPr>
          <w:rFonts w:eastAsia="Times New Roman" w:cs="Arial"/>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9"/>
        <w:gridCol w:w="2098"/>
        <w:gridCol w:w="3897"/>
        <w:gridCol w:w="1313"/>
        <w:gridCol w:w="1313"/>
      </w:tblGrid>
      <w:tr w:rsidR="006C7AA7" w:rsidRPr="00D0306F" w14:paraId="14C02A7A"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53D1052B" w14:textId="0FCA2248" w:rsidR="006C7AA7" w:rsidRPr="00D0306F" w:rsidRDefault="006C7AA7" w:rsidP="00CC3BF4">
            <w:pPr>
              <w:rPr>
                <w:rFonts w:eastAsia="Times New Roman" w:cs="Arial"/>
                <w:b/>
                <w:bCs/>
                <w:color w:val="FFFFFF"/>
              </w:rPr>
            </w:pPr>
            <w:r w:rsidRPr="00D0306F">
              <w:rPr>
                <w:rFonts w:eastAsia="Times New Roman" w:cs="Arial"/>
                <w:b/>
                <w:bCs/>
                <w:color w:val="FFFFFF"/>
              </w:rPr>
              <w:t>26. Pregnancy and maternity - Have you taken maternity leave within the past year?</w:t>
            </w:r>
            <w:r w:rsidR="00B752FC">
              <w:rPr>
                <w:rFonts w:eastAsia="Times New Roman" w:cs="Arial"/>
                <w:b/>
                <w:bCs/>
                <w:color w:val="FFFFFF"/>
              </w:rPr>
              <w:t xml:space="preserve"> </w:t>
            </w:r>
          </w:p>
        </w:tc>
      </w:tr>
      <w:tr w:rsidR="006C7AA7" w:rsidRPr="00D0306F" w14:paraId="0DDC570A" w14:textId="77777777" w:rsidTr="00CC3BF4">
        <w:trPr>
          <w:trHeight w:val="360"/>
          <w:tblCellSpacing w:w="0" w:type="dxa"/>
          <w:jc w:val="center"/>
        </w:trPr>
        <w:tc>
          <w:tcPr>
            <w:tcW w:w="6868"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2B2A345B"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026"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0D275D14"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026"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A2A8FD3"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3A9DCE1C"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903D5C0" w14:textId="77777777" w:rsidR="006C7AA7" w:rsidRPr="00D0306F" w:rsidRDefault="006C7AA7" w:rsidP="00CC3BF4">
            <w:pPr>
              <w:jc w:val="center"/>
              <w:rPr>
                <w:rFonts w:eastAsia="Times New Roman" w:cs="Arial"/>
              </w:rPr>
            </w:pPr>
            <w:r w:rsidRPr="00D0306F">
              <w:rPr>
                <w:rFonts w:eastAsia="Times New Roman" w:cs="Arial"/>
              </w:rPr>
              <w:t>1</w:t>
            </w:r>
          </w:p>
        </w:tc>
        <w:tc>
          <w:tcPr>
            <w:tcW w:w="224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32C0CA8" w14:textId="77777777" w:rsidR="006C7AA7" w:rsidRPr="00D0306F" w:rsidRDefault="006C7AA7" w:rsidP="00CC3BF4">
            <w:pPr>
              <w:rPr>
                <w:rFonts w:eastAsia="Times New Roman" w:cs="Arial"/>
              </w:rPr>
            </w:pPr>
            <w:r w:rsidRPr="00D0306F">
              <w:rPr>
                <w:rFonts w:eastAsia="Times New Roman" w:cs="Arial"/>
              </w:rPr>
              <w:t>Yes</w:t>
            </w:r>
          </w:p>
        </w:tc>
        <w:tc>
          <w:tcPr>
            <w:tcW w:w="432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4" w:type="pct"/>
              <w:tblCellMar>
                <w:left w:w="0" w:type="dxa"/>
                <w:right w:w="0" w:type="dxa"/>
              </w:tblCellMar>
              <w:tblLook w:val="04A0" w:firstRow="1" w:lastRow="0" w:firstColumn="1" w:lastColumn="0" w:noHBand="0" w:noVBand="1"/>
            </w:tblPr>
            <w:tblGrid>
              <w:gridCol w:w="82"/>
            </w:tblGrid>
            <w:tr w:rsidR="006C7AA7" w:rsidRPr="00D0306F" w14:paraId="0DC216D6"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4BEE3DB5"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9F2BE32" w14:textId="77777777" w:rsidR="006C7AA7" w:rsidRPr="00D0306F" w:rsidRDefault="006C7AA7" w:rsidP="00CC3BF4">
            <w:pPr>
              <w:rPr>
                <w:rFonts w:eastAsia="Times New Roman" w:cs="Arial"/>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07775AF" w14:textId="77777777" w:rsidR="006C7AA7" w:rsidRPr="00D0306F" w:rsidRDefault="006C7AA7" w:rsidP="00CC3BF4">
            <w:pPr>
              <w:jc w:val="center"/>
              <w:rPr>
                <w:rFonts w:eastAsia="Times New Roman" w:cs="Arial"/>
              </w:rPr>
            </w:pPr>
            <w:r w:rsidRPr="00D0306F">
              <w:rPr>
                <w:rFonts w:eastAsia="Times New Roman" w:cs="Arial"/>
              </w:rPr>
              <w:t>0.9%</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1EA752C" w14:textId="77777777" w:rsidR="006C7AA7" w:rsidRPr="00D0306F" w:rsidRDefault="006C7AA7" w:rsidP="00CC3BF4">
            <w:pPr>
              <w:jc w:val="center"/>
              <w:rPr>
                <w:rFonts w:eastAsia="Times New Roman" w:cs="Arial"/>
              </w:rPr>
            </w:pPr>
            <w:r w:rsidRPr="00D0306F">
              <w:rPr>
                <w:rFonts w:eastAsia="Times New Roman" w:cs="Arial"/>
              </w:rPr>
              <w:t>1</w:t>
            </w:r>
          </w:p>
        </w:tc>
      </w:tr>
      <w:tr w:rsidR="006C7AA7" w:rsidRPr="00D0306F" w14:paraId="66CDAA56"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2F8D9B1" w14:textId="77777777" w:rsidR="006C7AA7" w:rsidRPr="00D0306F" w:rsidRDefault="006C7AA7" w:rsidP="00CC3BF4">
            <w:pPr>
              <w:jc w:val="center"/>
              <w:rPr>
                <w:rFonts w:eastAsia="Times New Roman" w:cs="Arial"/>
              </w:rPr>
            </w:pPr>
            <w:r w:rsidRPr="00D0306F">
              <w:rPr>
                <w:rFonts w:eastAsia="Times New Roman" w:cs="Arial"/>
              </w:rPr>
              <w:t>2</w:t>
            </w:r>
          </w:p>
        </w:tc>
        <w:tc>
          <w:tcPr>
            <w:tcW w:w="224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FC44D1E" w14:textId="77777777" w:rsidR="006C7AA7" w:rsidRPr="00D0306F" w:rsidRDefault="006C7AA7" w:rsidP="00CC3BF4">
            <w:pPr>
              <w:rPr>
                <w:rFonts w:eastAsia="Times New Roman" w:cs="Arial"/>
              </w:rPr>
            </w:pPr>
            <w:r w:rsidRPr="00D0306F">
              <w:rPr>
                <w:rFonts w:eastAsia="Times New Roman" w:cs="Arial"/>
              </w:rPr>
              <w:t>No</w:t>
            </w:r>
          </w:p>
        </w:tc>
        <w:tc>
          <w:tcPr>
            <w:tcW w:w="432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956" w:type="pct"/>
              <w:tblCellMar>
                <w:left w:w="0" w:type="dxa"/>
                <w:right w:w="0" w:type="dxa"/>
              </w:tblCellMar>
              <w:tblLook w:val="04A0" w:firstRow="1" w:lastRow="0" w:firstColumn="1" w:lastColumn="0" w:noHBand="0" w:noVBand="1"/>
            </w:tblPr>
            <w:tblGrid>
              <w:gridCol w:w="3713"/>
            </w:tblGrid>
            <w:tr w:rsidR="006C7AA7" w:rsidRPr="00D0306F" w14:paraId="63FE3726"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18CF4E5E"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2A96A631" w14:textId="77777777" w:rsidR="006C7AA7" w:rsidRPr="00D0306F" w:rsidRDefault="006C7AA7" w:rsidP="00CC3BF4">
            <w:pPr>
              <w:rPr>
                <w:rFonts w:eastAsia="Times New Roman" w:cs="Arial"/>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072632A" w14:textId="77777777" w:rsidR="006C7AA7" w:rsidRPr="00D0306F" w:rsidRDefault="006C7AA7" w:rsidP="00CC3BF4">
            <w:pPr>
              <w:jc w:val="center"/>
              <w:rPr>
                <w:rFonts w:eastAsia="Times New Roman" w:cs="Arial"/>
              </w:rPr>
            </w:pPr>
            <w:r w:rsidRPr="00D0306F">
              <w:rPr>
                <w:rFonts w:eastAsia="Times New Roman" w:cs="Arial"/>
              </w:rPr>
              <w:t>99.1%</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F533964" w14:textId="77777777" w:rsidR="006C7AA7" w:rsidRPr="00D0306F" w:rsidRDefault="006C7AA7" w:rsidP="00CC3BF4">
            <w:pPr>
              <w:jc w:val="center"/>
              <w:rPr>
                <w:rFonts w:eastAsia="Times New Roman" w:cs="Arial"/>
              </w:rPr>
            </w:pPr>
            <w:r w:rsidRPr="00D0306F">
              <w:rPr>
                <w:rFonts w:eastAsia="Times New Roman" w:cs="Arial"/>
              </w:rPr>
              <w:t>114</w:t>
            </w:r>
          </w:p>
        </w:tc>
      </w:tr>
      <w:tr w:rsidR="006C7AA7" w:rsidRPr="00D0306F" w14:paraId="190C72C1" w14:textId="77777777" w:rsidTr="00CC3BF4">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B0C8C91" w14:textId="77777777" w:rsidR="006C7AA7" w:rsidRPr="00D0306F" w:rsidRDefault="006C7AA7" w:rsidP="00CC3BF4">
            <w:pPr>
              <w:jc w:val="center"/>
              <w:rPr>
                <w:rFonts w:eastAsia="Times New Roman" w:cs="Arial"/>
              </w:rPr>
            </w:pPr>
            <w:r w:rsidRPr="00D0306F">
              <w:rPr>
                <w:rFonts w:eastAsia="Times New Roman" w:cs="Arial"/>
              </w:rPr>
              <w:t>3</w:t>
            </w:r>
          </w:p>
        </w:tc>
        <w:tc>
          <w:tcPr>
            <w:tcW w:w="224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B798306" w14:textId="77777777" w:rsidR="006C7AA7" w:rsidRPr="00D0306F" w:rsidRDefault="006C7AA7" w:rsidP="00CC3BF4">
            <w:pPr>
              <w:rPr>
                <w:rFonts w:eastAsia="Times New Roman" w:cs="Arial"/>
              </w:rPr>
            </w:pPr>
            <w:r w:rsidRPr="00D0306F">
              <w:rPr>
                <w:rFonts w:eastAsia="Times New Roman" w:cs="Arial"/>
              </w:rPr>
              <w:t>Prefer not to say</w:t>
            </w:r>
          </w:p>
        </w:tc>
        <w:tc>
          <w:tcPr>
            <w:tcW w:w="432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6FA449D4" w14:textId="77777777" w:rsidR="006C7AA7" w:rsidRPr="00D0306F" w:rsidRDefault="006C7AA7" w:rsidP="00CC3BF4">
            <w:pPr>
              <w:rPr>
                <w:rFonts w:eastAsia="Times New Roman" w:cs="Arial"/>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CB14341" w14:textId="77777777" w:rsidR="006C7AA7" w:rsidRPr="00D0306F" w:rsidRDefault="006C7AA7" w:rsidP="00CC3BF4">
            <w:pPr>
              <w:jc w:val="center"/>
              <w:rPr>
                <w:rFonts w:eastAsia="Times New Roman" w:cs="Arial"/>
              </w:rPr>
            </w:pPr>
            <w:r w:rsidRPr="00D0306F">
              <w:rPr>
                <w:rFonts w:eastAsia="Times New Roman" w:cs="Arial"/>
              </w:rPr>
              <w:t>0.0%</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76DC432"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7ECB7F29" w14:textId="77777777" w:rsidTr="00CC3BF4">
        <w:trPr>
          <w:tblCellSpacing w:w="0" w:type="dxa"/>
          <w:jc w:val="center"/>
        </w:trPr>
        <w:tc>
          <w:tcPr>
            <w:tcW w:w="6868"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0D9B1F9F" w14:textId="77777777" w:rsidR="006C7AA7" w:rsidRPr="00D0306F" w:rsidRDefault="006C7AA7" w:rsidP="00CC3BF4">
            <w:pPr>
              <w:jc w:val="center"/>
              <w:rPr>
                <w:rFonts w:eastAsia="Times New Roman" w:cs="Arial"/>
              </w:rPr>
            </w:pPr>
          </w:p>
        </w:tc>
        <w:tc>
          <w:tcPr>
            <w:tcW w:w="1026"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318D182" w14:textId="77777777" w:rsidR="006C7AA7" w:rsidRPr="00D0306F" w:rsidRDefault="006C7AA7" w:rsidP="00CC3BF4">
            <w:pPr>
              <w:jc w:val="center"/>
              <w:rPr>
                <w:rFonts w:eastAsia="Times New Roman" w:cs="Arial"/>
              </w:rPr>
            </w:pPr>
            <w:r w:rsidRPr="00D0306F">
              <w:rPr>
                <w:rFonts w:eastAsia="Times New Roman" w:cs="Arial"/>
              </w:rPr>
              <w:t>answered</w:t>
            </w:r>
          </w:p>
        </w:tc>
        <w:tc>
          <w:tcPr>
            <w:tcW w:w="1026"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A2A2B4A" w14:textId="77777777" w:rsidR="006C7AA7" w:rsidRPr="00D0306F" w:rsidRDefault="006C7AA7" w:rsidP="00CC3BF4">
            <w:pPr>
              <w:jc w:val="center"/>
              <w:rPr>
                <w:rFonts w:eastAsia="Times New Roman" w:cs="Arial"/>
              </w:rPr>
            </w:pPr>
            <w:r w:rsidRPr="00D0306F">
              <w:rPr>
                <w:rFonts w:eastAsia="Times New Roman" w:cs="Arial"/>
              </w:rPr>
              <w:t>115</w:t>
            </w:r>
          </w:p>
        </w:tc>
      </w:tr>
      <w:tr w:rsidR="006C7AA7" w:rsidRPr="00D0306F" w14:paraId="6C649113" w14:textId="77777777" w:rsidTr="00CC3BF4">
        <w:trPr>
          <w:tblCellSpacing w:w="0" w:type="dxa"/>
          <w:jc w:val="center"/>
        </w:trPr>
        <w:tc>
          <w:tcPr>
            <w:tcW w:w="6868" w:type="dxa"/>
            <w:gridSpan w:val="3"/>
            <w:vMerge/>
            <w:tcBorders>
              <w:top w:val="single" w:sz="6" w:space="0" w:color="CCCCCC"/>
              <w:left w:val="nil"/>
              <w:bottom w:val="nil"/>
              <w:right w:val="single" w:sz="6" w:space="0" w:color="CCCCCC"/>
            </w:tcBorders>
            <w:vAlign w:val="center"/>
            <w:hideMark/>
          </w:tcPr>
          <w:p w14:paraId="5FDA3A75" w14:textId="77777777" w:rsidR="006C7AA7" w:rsidRPr="00D0306F" w:rsidRDefault="006C7AA7" w:rsidP="00CC3BF4">
            <w:pPr>
              <w:rPr>
                <w:rFonts w:eastAsia="Times New Roman" w:cs="Arial"/>
              </w:rPr>
            </w:pPr>
          </w:p>
        </w:tc>
        <w:tc>
          <w:tcPr>
            <w:tcW w:w="1026"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201905E" w14:textId="77777777" w:rsidR="006C7AA7" w:rsidRPr="00D0306F" w:rsidRDefault="006C7AA7" w:rsidP="00CC3BF4">
            <w:pPr>
              <w:jc w:val="center"/>
              <w:rPr>
                <w:rFonts w:eastAsia="Times New Roman" w:cs="Arial"/>
              </w:rPr>
            </w:pPr>
            <w:r w:rsidRPr="00D0306F">
              <w:rPr>
                <w:rFonts w:eastAsia="Times New Roman" w:cs="Arial"/>
              </w:rPr>
              <w:t>skipped</w:t>
            </w:r>
          </w:p>
        </w:tc>
        <w:tc>
          <w:tcPr>
            <w:tcW w:w="1026"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10C3546" w14:textId="77777777" w:rsidR="006C7AA7" w:rsidRPr="00D0306F" w:rsidRDefault="006C7AA7" w:rsidP="00CC3BF4">
            <w:pPr>
              <w:jc w:val="center"/>
              <w:rPr>
                <w:rFonts w:eastAsia="Times New Roman" w:cs="Arial"/>
              </w:rPr>
            </w:pPr>
            <w:r w:rsidRPr="00D0306F">
              <w:rPr>
                <w:rFonts w:eastAsia="Times New Roman" w:cs="Arial"/>
              </w:rPr>
              <w:t>4</w:t>
            </w:r>
          </w:p>
        </w:tc>
      </w:tr>
    </w:tbl>
    <w:p w14:paraId="691E6D27" w14:textId="77777777" w:rsidR="006C7AA7" w:rsidRPr="00D0306F" w:rsidRDefault="006C7AA7" w:rsidP="006C7AA7">
      <w:pPr>
        <w:rPr>
          <w:rFonts w:eastAsia="Times New Roman" w:cs="Arial"/>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8"/>
        <w:gridCol w:w="2122"/>
        <w:gridCol w:w="3874"/>
        <w:gridCol w:w="1313"/>
        <w:gridCol w:w="1313"/>
      </w:tblGrid>
      <w:tr w:rsidR="006C7AA7" w:rsidRPr="00D0306F" w14:paraId="0B60C93A"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4F4E56B2" w14:textId="6F15877E" w:rsidR="006C7AA7" w:rsidRPr="00D0306F" w:rsidRDefault="006C7AA7" w:rsidP="00CC3BF4">
            <w:pPr>
              <w:rPr>
                <w:rFonts w:eastAsia="Times New Roman" w:cs="Arial"/>
                <w:b/>
                <w:bCs/>
                <w:color w:val="FFFFFF"/>
              </w:rPr>
            </w:pPr>
            <w:r w:rsidRPr="00D0306F">
              <w:rPr>
                <w:rFonts w:eastAsia="Times New Roman" w:cs="Arial"/>
                <w:b/>
                <w:bCs/>
                <w:color w:val="FFFFFF"/>
              </w:rPr>
              <w:t>27. National identity - how would you describe your national identity?</w:t>
            </w:r>
            <w:r w:rsidR="00B752FC">
              <w:rPr>
                <w:rFonts w:eastAsia="Times New Roman" w:cs="Arial"/>
                <w:b/>
                <w:bCs/>
                <w:color w:val="FFFFFF"/>
              </w:rPr>
              <w:t xml:space="preserve"> </w:t>
            </w:r>
          </w:p>
        </w:tc>
      </w:tr>
      <w:tr w:rsidR="006C7AA7" w:rsidRPr="00D0306F" w14:paraId="6399A356"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1B147264"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7A752244"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7AB096E4"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039046BF"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81BF37C" w14:textId="77777777" w:rsidR="006C7AA7" w:rsidRPr="00D0306F" w:rsidRDefault="006C7AA7" w:rsidP="00CC3BF4">
            <w:pPr>
              <w:jc w:val="center"/>
              <w:rPr>
                <w:rFonts w:eastAsia="Times New Roman" w:cs="Arial"/>
              </w:rPr>
            </w:pPr>
            <w:r w:rsidRPr="00D0306F">
              <w:rPr>
                <w:rFonts w:eastAsia="Times New Roman" w:cs="Arial"/>
              </w:rPr>
              <w:t>1</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3589C57" w14:textId="77777777" w:rsidR="006C7AA7" w:rsidRPr="00D0306F" w:rsidRDefault="006C7AA7" w:rsidP="00CC3BF4">
            <w:pPr>
              <w:rPr>
                <w:rFonts w:eastAsia="Times New Roman" w:cs="Arial"/>
              </w:rPr>
            </w:pPr>
            <w:r w:rsidRPr="00D0306F">
              <w:rPr>
                <w:rFonts w:eastAsia="Times New Roman" w:cs="Arial"/>
              </w:rPr>
              <w:t>Welsh</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559" w:type="pct"/>
              <w:tblCellMar>
                <w:left w:w="0" w:type="dxa"/>
                <w:right w:w="0" w:type="dxa"/>
              </w:tblCellMar>
              <w:tblLook w:val="04A0" w:firstRow="1" w:lastRow="0" w:firstColumn="1" w:lastColumn="0" w:noHBand="0" w:noVBand="1"/>
            </w:tblPr>
            <w:tblGrid>
              <w:gridCol w:w="2650"/>
            </w:tblGrid>
            <w:tr w:rsidR="006C7AA7" w:rsidRPr="00D0306F" w14:paraId="3455E664"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7972633C"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E744BE4"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E904132" w14:textId="77777777" w:rsidR="006C7AA7" w:rsidRPr="00D0306F" w:rsidRDefault="006C7AA7" w:rsidP="00CC3BF4">
            <w:pPr>
              <w:jc w:val="center"/>
              <w:rPr>
                <w:rFonts w:eastAsia="Times New Roman" w:cs="Arial"/>
              </w:rPr>
            </w:pPr>
            <w:r w:rsidRPr="00D0306F">
              <w:rPr>
                <w:rFonts w:eastAsia="Times New Roman" w:cs="Arial"/>
              </w:rPr>
              <w:t>71.4%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F21ED0F" w14:textId="77777777" w:rsidR="006C7AA7" w:rsidRPr="00D0306F" w:rsidRDefault="006C7AA7" w:rsidP="00CC3BF4">
            <w:pPr>
              <w:jc w:val="center"/>
              <w:rPr>
                <w:rFonts w:eastAsia="Times New Roman" w:cs="Arial"/>
              </w:rPr>
            </w:pPr>
            <w:r w:rsidRPr="00D0306F">
              <w:rPr>
                <w:rFonts w:eastAsia="Times New Roman" w:cs="Arial"/>
              </w:rPr>
              <w:t>85</w:t>
            </w:r>
          </w:p>
        </w:tc>
      </w:tr>
      <w:tr w:rsidR="006C7AA7" w:rsidRPr="00D0306F" w14:paraId="313A4DAA"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0F6CF3F" w14:textId="77777777" w:rsidR="006C7AA7" w:rsidRPr="00D0306F" w:rsidRDefault="006C7AA7" w:rsidP="00CC3BF4">
            <w:pPr>
              <w:jc w:val="center"/>
              <w:rPr>
                <w:rFonts w:eastAsia="Times New Roman" w:cs="Arial"/>
              </w:rPr>
            </w:pPr>
            <w:r w:rsidRPr="00D0306F">
              <w:rPr>
                <w:rFonts w:eastAsia="Times New Roman" w:cs="Arial"/>
              </w:rPr>
              <w:t>2</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7799721" w14:textId="77777777" w:rsidR="006C7AA7" w:rsidRPr="00D0306F" w:rsidRDefault="006C7AA7" w:rsidP="00CC3BF4">
            <w:pPr>
              <w:rPr>
                <w:rFonts w:eastAsia="Times New Roman" w:cs="Arial"/>
              </w:rPr>
            </w:pPr>
            <w:r w:rsidRPr="00D0306F">
              <w:rPr>
                <w:rFonts w:eastAsia="Times New Roman" w:cs="Arial"/>
              </w:rPr>
              <w:t>English</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54" w:type="pct"/>
              <w:tblCellMar>
                <w:left w:w="0" w:type="dxa"/>
                <w:right w:w="0" w:type="dxa"/>
              </w:tblCellMar>
              <w:tblLook w:val="04A0" w:firstRow="1" w:lastRow="0" w:firstColumn="1" w:lastColumn="0" w:noHBand="0" w:noVBand="1"/>
            </w:tblPr>
            <w:tblGrid>
              <w:gridCol w:w="189"/>
            </w:tblGrid>
            <w:tr w:rsidR="006C7AA7" w:rsidRPr="00D0306F" w14:paraId="7D0ECED8"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7EA78E66"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3C2234F9"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756FBB8" w14:textId="77777777" w:rsidR="006C7AA7" w:rsidRPr="00D0306F" w:rsidRDefault="006C7AA7" w:rsidP="00CC3BF4">
            <w:pPr>
              <w:jc w:val="center"/>
              <w:rPr>
                <w:rFonts w:eastAsia="Times New Roman" w:cs="Arial"/>
              </w:rPr>
            </w:pPr>
            <w:r w:rsidRPr="00D0306F">
              <w:rPr>
                <w:rFonts w:eastAsia="Times New Roman" w:cs="Arial"/>
              </w:rPr>
              <w:t>5.0%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F036B5B" w14:textId="77777777" w:rsidR="006C7AA7" w:rsidRPr="00D0306F" w:rsidRDefault="006C7AA7" w:rsidP="00CC3BF4">
            <w:pPr>
              <w:jc w:val="center"/>
              <w:rPr>
                <w:rFonts w:eastAsia="Times New Roman" w:cs="Arial"/>
              </w:rPr>
            </w:pPr>
            <w:r w:rsidRPr="00D0306F">
              <w:rPr>
                <w:rFonts w:eastAsia="Times New Roman" w:cs="Arial"/>
              </w:rPr>
              <w:t>6</w:t>
            </w:r>
          </w:p>
        </w:tc>
      </w:tr>
      <w:tr w:rsidR="006C7AA7" w:rsidRPr="00D0306F" w14:paraId="5C9862B0"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4C230CD" w14:textId="77777777" w:rsidR="006C7AA7" w:rsidRPr="00D0306F" w:rsidRDefault="006C7AA7" w:rsidP="00CC3BF4">
            <w:pPr>
              <w:jc w:val="center"/>
              <w:rPr>
                <w:rFonts w:eastAsia="Times New Roman" w:cs="Arial"/>
              </w:rPr>
            </w:pPr>
            <w:r w:rsidRPr="00D0306F">
              <w:rPr>
                <w:rFonts w:eastAsia="Times New Roman" w:cs="Arial"/>
              </w:rPr>
              <w:t>3</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8D6EB3C" w14:textId="77777777" w:rsidR="006C7AA7" w:rsidRPr="00D0306F" w:rsidRDefault="006C7AA7" w:rsidP="00CC3BF4">
            <w:pPr>
              <w:rPr>
                <w:rFonts w:eastAsia="Times New Roman" w:cs="Arial"/>
              </w:rPr>
            </w:pPr>
            <w:r w:rsidRPr="00D0306F">
              <w:rPr>
                <w:rFonts w:eastAsia="Times New Roman" w:cs="Arial"/>
              </w:rPr>
              <w:t>Scottish</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4" w:type="pct"/>
              <w:tblCellMar>
                <w:left w:w="0" w:type="dxa"/>
                <w:right w:w="0" w:type="dxa"/>
              </w:tblCellMar>
              <w:tblLook w:val="04A0" w:firstRow="1" w:lastRow="0" w:firstColumn="1" w:lastColumn="0" w:noHBand="0" w:noVBand="1"/>
            </w:tblPr>
            <w:tblGrid>
              <w:gridCol w:w="82"/>
            </w:tblGrid>
            <w:tr w:rsidR="006C7AA7" w:rsidRPr="00D0306F" w14:paraId="6053075C" w14:textId="77777777" w:rsidTr="00CC3BF4">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780B3090"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C4E48C8"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24B243C" w14:textId="77777777" w:rsidR="006C7AA7" w:rsidRPr="00D0306F" w:rsidRDefault="006C7AA7" w:rsidP="00CC3BF4">
            <w:pPr>
              <w:jc w:val="center"/>
              <w:rPr>
                <w:rFonts w:eastAsia="Times New Roman" w:cs="Arial"/>
              </w:rPr>
            </w:pPr>
            <w:r w:rsidRPr="00D0306F">
              <w:rPr>
                <w:rFonts w:eastAsia="Times New Roman" w:cs="Arial"/>
              </w:rPr>
              <w:t>1.7%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7B9C3C6" w14:textId="77777777" w:rsidR="006C7AA7" w:rsidRPr="00D0306F" w:rsidRDefault="006C7AA7" w:rsidP="00CC3BF4">
            <w:pPr>
              <w:jc w:val="center"/>
              <w:rPr>
                <w:rFonts w:eastAsia="Times New Roman" w:cs="Arial"/>
              </w:rPr>
            </w:pPr>
            <w:r w:rsidRPr="00D0306F">
              <w:rPr>
                <w:rFonts w:eastAsia="Times New Roman" w:cs="Arial"/>
              </w:rPr>
              <w:t>2</w:t>
            </w:r>
          </w:p>
        </w:tc>
      </w:tr>
      <w:tr w:rsidR="006C7AA7" w:rsidRPr="00D0306F" w14:paraId="2BD473B0"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D0ED905" w14:textId="77777777" w:rsidR="006C7AA7" w:rsidRPr="00D0306F" w:rsidRDefault="006C7AA7" w:rsidP="00CC3BF4">
            <w:pPr>
              <w:jc w:val="center"/>
              <w:rPr>
                <w:rFonts w:eastAsia="Times New Roman" w:cs="Arial"/>
              </w:rPr>
            </w:pPr>
            <w:r w:rsidRPr="00D0306F">
              <w:rPr>
                <w:rFonts w:eastAsia="Times New Roman" w:cs="Arial"/>
              </w:rPr>
              <w:t>4</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DA881EA" w14:textId="77777777" w:rsidR="006C7AA7" w:rsidRPr="00D0306F" w:rsidRDefault="006C7AA7" w:rsidP="00CC3BF4">
            <w:pPr>
              <w:rPr>
                <w:rFonts w:eastAsia="Times New Roman" w:cs="Arial"/>
              </w:rPr>
            </w:pPr>
            <w:r w:rsidRPr="00D0306F">
              <w:rPr>
                <w:rFonts w:eastAsia="Times New Roman" w:cs="Arial"/>
              </w:rPr>
              <w:t>Northern Irish</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648CB377"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4CDC4AF"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4FF28FE"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5BE9444E"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066F17F" w14:textId="77777777" w:rsidR="006C7AA7" w:rsidRPr="00D0306F" w:rsidRDefault="006C7AA7" w:rsidP="00CC3BF4">
            <w:pPr>
              <w:jc w:val="center"/>
              <w:rPr>
                <w:rFonts w:eastAsia="Times New Roman" w:cs="Arial"/>
              </w:rPr>
            </w:pPr>
            <w:r w:rsidRPr="00D0306F">
              <w:rPr>
                <w:rFonts w:eastAsia="Times New Roman" w:cs="Arial"/>
              </w:rPr>
              <w:t>5</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84B3E59" w14:textId="77777777" w:rsidR="006C7AA7" w:rsidRPr="00D0306F" w:rsidRDefault="006C7AA7" w:rsidP="00CC3BF4">
            <w:pPr>
              <w:rPr>
                <w:rFonts w:eastAsia="Times New Roman" w:cs="Arial"/>
              </w:rPr>
            </w:pPr>
            <w:r w:rsidRPr="00D0306F">
              <w:rPr>
                <w:rFonts w:eastAsia="Times New Roman" w:cs="Arial"/>
              </w:rPr>
              <w:t>Irish</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4" w:type="pct"/>
              <w:tblCellMar>
                <w:left w:w="0" w:type="dxa"/>
                <w:right w:w="0" w:type="dxa"/>
              </w:tblCellMar>
              <w:tblLook w:val="04A0" w:firstRow="1" w:lastRow="0" w:firstColumn="1" w:lastColumn="0" w:noHBand="0" w:noVBand="1"/>
            </w:tblPr>
            <w:tblGrid>
              <w:gridCol w:w="82"/>
            </w:tblGrid>
            <w:tr w:rsidR="006C7AA7" w:rsidRPr="00D0306F" w14:paraId="7800CE1F"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59A3B26C"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1F062E3"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E0E8066" w14:textId="77777777" w:rsidR="006C7AA7" w:rsidRPr="00D0306F" w:rsidRDefault="006C7AA7" w:rsidP="00CC3BF4">
            <w:pPr>
              <w:jc w:val="center"/>
              <w:rPr>
                <w:rFonts w:eastAsia="Times New Roman" w:cs="Arial"/>
              </w:rPr>
            </w:pPr>
            <w:r w:rsidRPr="00D0306F">
              <w:rPr>
                <w:rFonts w:eastAsia="Times New Roman" w:cs="Arial"/>
              </w:rPr>
              <w:t>1.7%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D608C0A" w14:textId="77777777" w:rsidR="006C7AA7" w:rsidRPr="00D0306F" w:rsidRDefault="006C7AA7" w:rsidP="00CC3BF4">
            <w:pPr>
              <w:jc w:val="center"/>
              <w:rPr>
                <w:rFonts w:eastAsia="Times New Roman" w:cs="Arial"/>
              </w:rPr>
            </w:pPr>
            <w:r w:rsidRPr="00D0306F">
              <w:rPr>
                <w:rFonts w:eastAsia="Times New Roman" w:cs="Arial"/>
              </w:rPr>
              <w:t>2</w:t>
            </w:r>
          </w:p>
        </w:tc>
      </w:tr>
      <w:tr w:rsidR="006C7AA7" w:rsidRPr="00D0306F" w14:paraId="16BE397F"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EEE5B06" w14:textId="77777777" w:rsidR="006C7AA7" w:rsidRPr="00D0306F" w:rsidRDefault="006C7AA7" w:rsidP="00CC3BF4">
            <w:pPr>
              <w:jc w:val="center"/>
              <w:rPr>
                <w:rFonts w:eastAsia="Times New Roman" w:cs="Arial"/>
              </w:rPr>
            </w:pPr>
            <w:r w:rsidRPr="00D0306F">
              <w:rPr>
                <w:rFonts w:eastAsia="Times New Roman" w:cs="Arial"/>
              </w:rPr>
              <w:t>6</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926C43B" w14:textId="77777777" w:rsidR="006C7AA7" w:rsidRPr="00D0306F" w:rsidRDefault="006C7AA7" w:rsidP="00CC3BF4">
            <w:pPr>
              <w:rPr>
                <w:rFonts w:eastAsia="Times New Roman" w:cs="Arial"/>
              </w:rPr>
            </w:pPr>
            <w:r w:rsidRPr="00D0306F">
              <w:rPr>
                <w:rFonts w:eastAsia="Times New Roman" w:cs="Arial"/>
              </w:rPr>
              <w:t>British</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47" w:type="pct"/>
              <w:tblCellMar>
                <w:left w:w="0" w:type="dxa"/>
                <w:right w:w="0" w:type="dxa"/>
              </w:tblCellMar>
              <w:tblLook w:val="04A0" w:firstRow="1" w:lastRow="0" w:firstColumn="1" w:lastColumn="0" w:noHBand="0" w:noVBand="1"/>
            </w:tblPr>
            <w:tblGrid>
              <w:gridCol w:w="631"/>
            </w:tblGrid>
            <w:tr w:rsidR="006C7AA7" w:rsidRPr="00D0306F" w14:paraId="6243388B" w14:textId="77777777" w:rsidTr="00CC3BF4">
              <w:tc>
                <w:tcPr>
                  <w:tcW w:w="0" w:type="auto"/>
                  <w:tcBorders>
                    <w:top w:val="single" w:sz="6" w:space="0" w:color="00BCD4"/>
                    <w:left w:val="single" w:sz="6" w:space="0" w:color="00BCD4"/>
                    <w:bottom w:val="single" w:sz="6" w:space="0" w:color="00BCD4"/>
                    <w:right w:val="single" w:sz="6" w:space="0" w:color="00BCD4"/>
                  </w:tcBorders>
                  <w:shd w:val="clear" w:color="auto" w:fill="00BCD4"/>
                  <w:vAlign w:val="center"/>
                  <w:hideMark/>
                </w:tcPr>
                <w:p w14:paraId="1F42D71D"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47DD1180"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6F52FA6" w14:textId="77777777" w:rsidR="006C7AA7" w:rsidRPr="00D0306F" w:rsidRDefault="006C7AA7" w:rsidP="00CC3BF4">
            <w:pPr>
              <w:jc w:val="center"/>
              <w:rPr>
                <w:rFonts w:eastAsia="Times New Roman" w:cs="Arial"/>
              </w:rPr>
            </w:pPr>
            <w:r w:rsidRPr="00D0306F">
              <w:rPr>
                <w:rFonts w:eastAsia="Times New Roman" w:cs="Arial"/>
              </w:rPr>
              <w:t>16.8%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731A61C" w14:textId="77777777" w:rsidR="006C7AA7" w:rsidRPr="00D0306F" w:rsidRDefault="006C7AA7" w:rsidP="00CC3BF4">
            <w:pPr>
              <w:jc w:val="center"/>
              <w:rPr>
                <w:rFonts w:eastAsia="Times New Roman" w:cs="Arial"/>
              </w:rPr>
            </w:pPr>
            <w:r w:rsidRPr="00D0306F">
              <w:rPr>
                <w:rFonts w:eastAsia="Times New Roman" w:cs="Arial"/>
              </w:rPr>
              <w:t>20</w:t>
            </w:r>
          </w:p>
        </w:tc>
      </w:tr>
      <w:tr w:rsidR="006C7AA7" w:rsidRPr="00D0306F" w14:paraId="687A5349"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AB06EE4" w14:textId="77777777" w:rsidR="006C7AA7" w:rsidRPr="00D0306F" w:rsidRDefault="006C7AA7" w:rsidP="00CC3BF4">
            <w:pPr>
              <w:jc w:val="center"/>
              <w:rPr>
                <w:rFonts w:eastAsia="Times New Roman" w:cs="Arial"/>
              </w:rPr>
            </w:pPr>
            <w:r w:rsidRPr="00D0306F">
              <w:rPr>
                <w:rFonts w:eastAsia="Times New Roman" w:cs="Arial"/>
              </w:rPr>
              <w:t>7</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D9AEBAE" w14:textId="77777777" w:rsidR="006C7AA7" w:rsidRPr="00D0306F" w:rsidRDefault="006C7AA7" w:rsidP="00CC3BF4">
            <w:pPr>
              <w:rPr>
                <w:rFonts w:eastAsia="Times New Roman" w:cs="Arial"/>
              </w:rPr>
            </w:pPr>
            <w:r w:rsidRPr="00D0306F">
              <w:rPr>
                <w:rFonts w:eastAsia="Times New Roman" w:cs="Arial"/>
              </w:rPr>
              <w:t>Prefer not to say</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3B505DA9"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525E228"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961D020"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1FD1EFAC"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7D9F46E" w14:textId="77777777" w:rsidR="006C7AA7" w:rsidRPr="00D0306F" w:rsidRDefault="006C7AA7" w:rsidP="00CC3BF4">
            <w:pPr>
              <w:jc w:val="center"/>
              <w:rPr>
                <w:rFonts w:eastAsia="Times New Roman" w:cs="Arial"/>
              </w:rPr>
            </w:pPr>
            <w:r w:rsidRPr="00D0306F">
              <w:rPr>
                <w:rFonts w:eastAsia="Times New Roman" w:cs="Arial"/>
              </w:rPr>
              <w:t>8</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F8302CB" w14:textId="77777777" w:rsidR="006C7AA7" w:rsidRPr="00D0306F" w:rsidRDefault="006C7AA7" w:rsidP="00CC3BF4">
            <w:pPr>
              <w:rPr>
                <w:rFonts w:eastAsia="Times New Roman" w:cs="Arial"/>
              </w:rPr>
            </w:pPr>
            <w:r w:rsidRPr="00D0306F">
              <w:rPr>
                <w:rFonts w:eastAsia="Times New Roman" w:cs="Arial"/>
              </w:rPr>
              <w:t>Other (please specify):</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9" w:type="pct"/>
              <w:tblCellMar>
                <w:left w:w="0" w:type="dxa"/>
                <w:right w:w="0" w:type="dxa"/>
              </w:tblCellMar>
              <w:tblLook w:val="04A0" w:firstRow="1" w:lastRow="0" w:firstColumn="1" w:lastColumn="0" w:noHBand="0" w:noVBand="1"/>
            </w:tblPr>
            <w:tblGrid>
              <w:gridCol w:w="126"/>
            </w:tblGrid>
            <w:tr w:rsidR="006C7AA7" w:rsidRPr="00D0306F" w14:paraId="780BAAB5" w14:textId="77777777" w:rsidTr="00CC3BF4">
              <w:tc>
                <w:tcPr>
                  <w:tcW w:w="0" w:type="auto"/>
                  <w:tcBorders>
                    <w:top w:val="single" w:sz="6" w:space="0" w:color="E91E63"/>
                    <w:left w:val="single" w:sz="6" w:space="0" w:color="E91E63"/>
                    <w:bottom w:val="single" w:sz="6" w:space="0" w:color="E91E63"/>
                    <w:right w:val="single" w:sz="6" w:space="0" w:color="E91E63"/>
                  </w:tcBorders>
                  <w:shd w:val="clear" w:color="auto" w:fill="E91E63"/>
                  <w:vAlign w:val="center"/>
                  <w:hideMark/>
                </w:tcPr>
                <w:p w14:paraId="200EEFA1"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72A0DCEF"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048AE58" w14:textId="77777777" w:rsidR="006C7AA7" w:rsidRPr="00D0306F" w:rsidRDefault="006C7AA7" w:rsidP="00CC3BF4">
            <w:pPr>
              <w:jc w:val="center"/>
              <w:rPr>
                <w:rFonts w:eastAsia="Times New Roman" w:cs="Arial"/>
              </w:rPr>
            </w:pPr>
            <w:r w:rsidRPr="00D0306F">
              <w:rPr>
                <w:rFonts w:eastAsia="Times New Roman" w:cs="Arial"/>
              </w:rPr>
              <w:t>3.4%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F5520A4" w14:textId="77777777" w:rsidR="006C7AA7" w:rsidRPr="00D0306F" w:rsidRDefault="006C7AA7" w:rsidP="00CC3BF4">
            <w:pPr>
              <w:jc w:val="center"/>
              <w:rPr>
                <w:rFonts w:eastAsia="Times New Roman" w:cs="Arial"/>
              </w:rPr>
            </w:pPr>
            <w:r w:rsidRPr="00D0306F">
              <w:rPr>
                <w:rFonts w:eastAsia="Times New Roman" w:cs="Arial"/>
              </w:rPr>
              <w:t>4</w:t>
            </w:r>
          </w:p>
        </w:tc>
      </w:tr>
      <w:tr w:rsidR="006C7AA7" w:rsidRPr="00D0306F" w14:paraId="41A952A3"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53E466E2"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C4BDE4A"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59BB632" w14:textId="77777777" w:rsidR="006C7AA7" w:rsidRPr="00D0306F" w:rsidRDefault="006C7AA7" w:rsidP="00CC3BF4">
            <w:pPr>
              <w:jc w:val="center"/>
              <w:rPr>
                <w:rFonts w:eastAsia="Times New Roman" w:cs="Arial"/>
              </w:rPr>
            </w:pPr>
            <w:r w:rsidRPr="00D0306F">
              <w:rPr>
                <w:rFonts w:eastAsia="Times New Roman" w:cs="Arial"/>
              </w:rPr>
              <w:t>119</w:t>
            </w:r>
          </w:p>
        </w:tc>
      </w:tr>
      <w:tr w:rsidR="006C7AA7" w:rsidRPr="00D0306F" w14:paraId="0A3AF65A"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17D41314"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DECB444"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CCC71EA"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71831570" w14:textId="77777777" w:rsidTr="00CC3BF4">
        <w:trPr>
          <w:tblCellSpacing w:w="0" w:type="dxa"/>
          <w:jc w:val="center"/>
        </w:trPr>
        <w:tc>
          <w:tcPr>
            <w:tcW w:w="8920" w:type="dxa"/>
            <w:gridSpan w:val="5"/>
            <w:tcBorders>
              <w:top w:val="single" w:sz="6" w:space="0" w:color="CCCCCC"/>
              <w:right w:val="single" w:sz="6" w:space="0" w:color="CCCCCC"/>
            </w:tcBorders>
            <w:shd w:val="clear" w:color="auto" w:fill="FFFFFF"/>
            <w:tcMar>
              <w:top w:w="120" w:type="dxa"/>
              <w:left w:w="150" w:type="dxa"/>
              <w:bottom w:w="120" w:type="dxa"/>
              <w:right w:w="150" w:type="dxa"/>
            </w:tcMar>
            <w:vAlign w:val="center"/>
            <w:hideMark/>
          </w:tcPr>
          <w:p w14:paraId="13099418" w14:textId="77777777" w:rsidR="006C7AA7" w:rsidRPr="00D0306F" w:rsidRDefault="006C7AA7" w:rsidP="00CC3BF4">
            <w:pPr>
              <w:rPr>
                <w:rFonts w:eastAsia="Times New Roman" w:cs="Arial"/>
              </w:rPr>
            </w:pPr>
            <w:r w:rsidRPr="00D0306F">
              <w:rPr>
                <w:rFonts w:eastAsia="Times New Roman" w:cs="Arial"/>
              </w:rPr>
              <w:t>Other (please specify): (4)</w:t>
            </w:r>
          </w:p>
        </w:tc>
      </w:tr>
      <w:tr w:rsidR="006C7AA7" w:rsidRPr="00D0306F" w14:paraId="5BA66BBC" w14:textId="77777777" w:rsidTr="00CC3BF4">
        <w:trPr>
          <w:tblCellSpacing w:w="0" w:type="dxa"/>
          <w:jc w:val="center"/>
        </w:trPr>
        <w:tc>
          <w:tcPr>
            <w:tcW w:w="8920" w:type="dxa"/>
            <w:gridSpan w:val="5"/>
            <w:tcBorders>
              <w:top w:val="single" w:sz="6" w:space="0" w:color="CCCCCC"/>
              <w:bottom w:val="single" w:sz="6" w:space="0" w:color="CCCCCC"/>
              <w:right w:val="single" w:sz="6" w:space="0" w:color="CCCCCC"/>
            </w:tcBorders>
            <w:shd w:val="clear" w:color="auto" w:fill="FFFFFF"/>
            <w:tcMar>
              <w:top w:w="0" w:type="dxa"/>
              <w:left w:w="420" w:type="dxa"/>
              <w:bottom w:w="0" w:type="dxa"/>
              <w:right w:w="0" w:type="dxa"/>
            </w:tcMar>
            <w:vAlign w:val="center"/>
            <w:hideMark/>
          </w:tcPr>
          <w:tbl>
            <w:tblPr>
              <w:tblW w:w="5000" w:type="pct"/>
              <w:tblBorders>
                <w:left w:val="single" w:sz="6" w:space="0" w:color="CCCCCC"/>
              </w:tblBorders>
              <w:tblCellMar>
                <w:top w:w="15" w:type="dxa"/>
                <w:left w:w="15" w:type="dxa"/>
                <w:bottom w:w="15" w:type="dxa"/>
                <w:right w:w="15" w:type="dxa"/>
              </w:tblCellMar>
              <w:tblLook w:val="04A0" w:firstRow="1" w:lastRow="0" w:firstColumn="1" w:lastColumn="0" w:noHBand="0" w:noVBand="1"/>
            </w:tblPr>
            <w:tblGrid>
              <w:gridCol w:w="284"/>
              <w:gridCol w:w="1800"/>
              <w:gridCol w:w="6386"/>
            </w:tblGrid>
            <w:tr w:rsidR="006C7AA7" w:rsidRPr="00D0306F" w14:paraId="27138980"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CDA56C8" w14:textId="77777777" w:rsidR="006C7AA7" w:rsidRPr="00D0306F" w:rsidRDefault="006C7AA7" w:rsidP="00CC3BF4">
                  <w:pPr>
                    <w:jc w:val="center"/>
                    <w:rPr>
                      <w:rFonts w:eastAsia="Times New Roman" w:cs="Arial"/>
                    </w:rPr>
                  </w:pPr>
                  <w:r w:rsidRPr="00D0306F">
                    <w:rPr>
                      <w:rFonts w:eastAsia="Times New Roman" w:cs="Arial"/>
                    </w:rPr>
                    <w:t>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F40227A"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A778AC6" w14:textId="77777777" w:rsidR="006C7AA7" w:rsidRPr="00D0306F" w:rsidRDefault="006C7AA7" w:rsidP="00CC3BF4">
                  <w:pPr>
                    <w:rPr>
                      <w:rFonts w:eastAsia="Times New Roman" w:cs="Arial"/>
                    </w:rPr>
                  </w:pPr>
                  <w:r w:rsidRPr="00D0306F">
                    <w:rPr>
                      <w:rFonts w:eastAsia="Times New Roman" w:cs="Arial"/>
                    </w:rPr>
                    <w:t>Italian</w:t>
                  </w:r>
                </w:p>
              </w:tc>
            </w:tr>
            <w:tr w:rsidR="006C7AA7" w:rsidRPr="00D0306F" w14:paraId="4D2CA875"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38EB67D" w14:textId="77777777" w:rsidR="006C7AA7" w:rsidRPr="00D0306F" w:rsidRDefault="006C7AA7" w:rsidP="00CC3BF4">
                  <w:pPr>
                    <w:jc w:val="center"/>
                    <w:rPr>
                      <w:rFonts w:eastAsia="Times New Roman" w:cs="Arial"/>
                    </w:rPr>
                  </w:pPr>
                  <w:r w:rsidRPr="00D0306F">
                    <w:rPr>
                      <w:rFonts w:eastAsia="Times New Roman" w:cs="Arial"/>
                    </w:rPr>
                    <w:t>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4FB9BBA"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391D888" w14:textId="77777777" w:rsidR="006C7AA7" w:rsidRPr="00D0306F" w:rsidRDefault="006C7AA7" w:rsidP="00CC3BF4">
                  <w:pPr>
                    <w:rPr>
                      <w:rFonts w:eastAsia="Times New Roman" w:cs="Arial"/>
                    </w:rPr>
                  </w:pPr>
                  <w:r w:rsidRPr="00D0306F">
                    <w:rPr>
                      <w:rFonts w:eastAsia="Times New Roman" w:cs="Arial"/>
                    </w:rPr>
                    <w:t>European</w:t>
                  </w:r>
                </w:p>
              </w:tc>
            </w:tr>
            <w:tr w:rsidR="006C7AA7" w:rsidRPr="00D0306F" w14:paraId="52D7D8FF"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5475C2E" w14:textId="77777777" w:rsidR="006C7AA7" w:rsidRPr="00D0306F" w:rsidRDefault="006C7AA7" w:rsidP="00CC3BF4">
                  <w:pPr>
                    <w:jc w:val="center"/>
                    <w:rPr>
                      <w:rFonts w:eastAsia="Times New Roman" w:cs="Arial"/>
                    </w:rPr>
                  </w:pPr>
                  <w:r w:rsidRPr="00D0306F">
                    <w:rPr>
                      <w:rFonts w:eastAsia="Times New Roman" w:cs="Arial"/>
                    </w:rPr>
                    <w:lastRenderedPageBreak/>
                    <w:t>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DA83C15"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A15D6A3" w14:textId="77777777" w:rsidR="006C7AA7" w:rsidRPr="00D0306F" w:rsidRDefault="006C7AA7" w:rsidP="00CC3BF4">
                  <w:pPr>
                    <w:rPr>
                      <w:rFonts w:eastAsia="Times New Roman" w:cs="Arial"/>
                    </w:rPr>
                  </w:pPr>
                  <w:r w:rsidRPr="00D0306F">
                    <w:rPr>
                      <w:rFonts w:eastAsia="Times New Roman" w:cs="Arial"/>
                    </w:rPr>
                    <w:t>South African</w:t>
                  </w:r>
                </w:p>
              </w:tc>
            </w:tr>
            <w:tr w:rsidR="006C7AA7" w:rsidRPr="00D0306F" w14:paraId="6C0A6428"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DAC87CD" w14:textId="77777777" w:rsidR="006C7AA7" w:rsidRPr="00D0306F" w:rsidRDefault="006C7AA7" w:rsidP="00CC3BF4">
                  <w:pPr>
                    <w:jc w:val="center"/>
                    <w:rPr>
                      <w:rFonts w:eastAsia="Times New Roman" w:cs="Arial"/>
                    </w:rPr>
                  </w:pPr>
                  <w:r w:rsidRPr="00D0306F">
                    <w:rPr>
                      <w:rFonts w:eastAsia="Times New Roman" w:cs="Arial"/>
                    </w:rPr>
                    <w:t>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EE2A329"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79A0DA5" w14:textId="77777777" w:rsidR="006C7AA7" w:rsidRPr="00D0306F" w:rsidRDefault="006C7AA7" w:rsidP="00CC3BF4">
                  <w:pPr>
                    <w:rPr>
                      <w:rFonts w:eastAsia="Times New Roman" w:cs="Arial"/>
                    </w:rPr>
                  </w:pPr>
                  <w:r w:rsidRPr="00D0306F">
                    <w:rPr>
                      <w:rFonts w:eastAsia="Times New Roman" w:cs="Arial"/>
                    </w:rPr>
                    <w:t>African</w:t>
                  </w:r>
                </w:p>
              </w:tc>
            </w:tr>
          </w:tbl>
          <w:p w14:paraId="65B13E0D" w14:textId="77777777" w:rsidR="006C7AA7" w:rsidRPr="00D0306F" w:rsidRDefault="006C7AA7" w:rsidP="00CC3BF4">
            <w:pPr>
              <w:rPr>
                <w:rFonts w:eastAsia="Times New Roman" w:cs="Arial"/>
              </w:rPr>
            </w:pPr>
          </w:p>
        </w:tc>
      </w:tr>
    </w:tbl>
    <w:p w14:paraId="1A800489" w14:textId="77777777" w:rsidR="006C7AA7" w:rsidRPr="00D0306F" w:rsidRDefault="006C7AA7" w:rsidP="006C7AA7">
      <w:pPr>
        <w:rPr>
          <w:rFonts w:eastAsia="Times New Roman" w:cs="Arial"/>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8"/>
        <w:gridCol w:w="2119"/>
        <w:gridCol w:w="3877"/>
        <w:gridCol w:w="1313"/>
        <w:gridCol w:w="1313"/>
      </w:tblGrid>
      <w:tr w:rsidR="006C7AA7" w:rsidRPr="00D0306F" w14:paraId="31C69C8B"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3C3AAB33" w14:textId="06BC24C6" w:rsidR="006C7AA7" w:rsidRPr="00D0306F" w:rsidRDefault="006C7AA7" w:rsidP="00CC3BF4">
            <w:pPr>
              <w:rPr>
                <w:rFonts w:eastAsia="Times New Roman" w:cs="Arial"/>
                <w:b/>
                <w:bCs/>
                <w:color w:val="FFFFFF"/>
              </w:rPr>
            </w:pPr>
            <w:r w:rsidRPr="00D0306F">
              <w:rPr>
                <w:rFonts w:eastAsia="Times New Roman" w:cs="Arial"/>
                <w:b/>
                <w:bCs/>
                <w:color w:val="FFFFFF"/>
              </w:rPr>
              <w:t>28. Ethnic group - what is your ethnic group?</w:t>
            </w:r>
            <w:r w:rsidR="00B752FC">
              <w:rPr>
                <w:rFonts w:eastAsia="Times New Roman" w:cs="Arial"/>
                <w:b/>
                <w:bCs/>
                <w:color w:val="FFFFFF"/>
              </w:rPr>
              <w:t xml:space="preserve"> </w:t>
            </w:r>
          </w:p>
        </w:tc>
      </w:tr>
      <w:tr w:rsidR="006C7AA7" w:rsidRPr="00D0306F" w14:paraId="0EA25962"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2B70523F"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0F0FF4E2"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72324C34"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7E199583"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54BCD10" w14:textId="77777777" w:rsidR="006C7AA7" w:rsidRPr="00D0306F" w:rsidRDefault="006C7AA7" w:rsidP="00CC3BF4">
            <w:pPr>
              <w:jc w:val="center"/>
              <w:rPr>
                <w:rFonts w:eastAsia="Times New Roman" w:cs="Arial"/>
              </w:rPr>
            </w:pPr>
            <w:r w:rsidRPr="00D0306F">
              <w:rPr>
                <w:rFonts w:eastAsia="Times New Roman" w:cs="Arial"/>
              </w:rPr>
              <w:t>1</w:t>
            </w:r>
          </w:p>
        </w:tc>
        <w:tc>
          <w:tcPr>
            <w:tcW w:w="211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80684BA" w14:textId="77777777" w:rsidR="006C7AA7" w:rsidRPr="00D0306F" w:rsidRDefault="006C7AA7" w:rsidP="00CC3BF4">
            <w:pPr>
              <w:rPr>
                <w:rFonts w:eastAsia="Times New Roman" w:cs="Arial"/>
              </w:rPr>
            </w:pPr>
            <w:r w:rsidRPr="00D0306F">
              <w:rPr>
                <w:rFonts w:eastAsia="Times New Roman" w:cs="Arial"/>
              </w:rPr>
              <w:t>White</w:t>
            </w:r>
          </w:p>
        </w:tc>
        <w:tc>
          <w:tcPr>
            <w:tcW w:w="387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957" w:type="pct"/>
              <w:tblCellMar>
                <w:left w:w="0" w:type="dxa"/>
                <w:right w:w="0" w:type="dxa"/>
              </w:tblCellMar>
              <w:tblLook w:val="04A0" w:firstRow="1" w:lastRow="0" w:firstColumn="1" w:lastColumn="0" w:noHBand="0" w:noVBand="1"/>
            </w:tblPr>
            <w:tblGrid>
              <w:gridCol w:w="3694"/>
            </w:tblGrid>
            <w:tr w:rsidR="006C7AA7" w:rsidRPr="00D0306F" w14:paraId="5C6B2CC4"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3D1EA9F7"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16A13259"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1153D53" w14:textId="77777777" w:rsidR="006C7AA7" w:rsidRPr="00D0306F" w:rsidRDefault="006C7AA7" w:rsidP="00CC3BF4">
            <w:pPr>
              <w:jc w:val="center"/>
              <w:rPr>
                <w:rFonts w:eastAsia="Times New Roman" w:cs="Arial"/>
              </w:rPr>
            </w:pPr>
            <w:r w:rsidRPr="00D0306F">
              <w:rPr>
                <w:rFonts w:eastAsia="Times New Roman" w:cs="Arial"/>
              </w:rPr>
              <w:t>99.2%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6DE6D72" w14:textId="77777777" w:rsidR="006C7AA7" w:rsidRPr="00D0306F" w:rsidRDefault="006C7AA7" w:rsidP="00CC3BF4">
            <w:pPr>
              <w:jc w:val="center"/>
              <w:rPr>
                <w:rFonts w:eastAsia="Times New Roman" w:cs="Arial"/>
              </w:rPr>
            </w:pPr>
            <w:r w:rsidRPr="00D0306F">
              <w:rPr>
                <w:rFonts w:eastAsia="Times New Roman" w:cs="Arial"/>
              </w:rPr>
              <w:t>118</w:t>
            </w:r>
          </w:p>
        </w:tc>
      </w:tr>
      <w:tr w:rsidR="006C7AA7" w:rsidRPr="00D0306F" w14:paraId="70C4D94C"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689C065" w14:textId="77777777" w:rsidR="006C7AA7" w:rsidRPr="00D0306F" w:rsidRDefault="006C7AA7" w:rsidP="00CC3BF4">
            <w:pPr>
              <w:jc w:val="center"/>
              <w:rPr>
                <w:rFonts w:eastAsia="Times New Roman" w:cs="Arial"/>
              </w:rPr>
            </w:pPr>
            <w:r w:rsidRPr="00D0306F">
              <w:rPr>
                <w:rFonts w:eastAsia="Times New Roman" w:cs="Arial"/>
              </w:rPr>
              <w:t>2</w:t>
            </w:r>
          </w:p>
        </w:tc>
        <w:tc>
          <w:tcPr>
            <w:tcW w:w="211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DA6BBA1" w14:textId="77777777" w:rsidR="006C7AA7" w:rsidRPr="00D0306F" w:rsidRDefault="006C7AA7" w:rsidP="00CC3BF4">
            <w:pPr>
              <w:rPr>
                <w:rFonts w:eastAsia="Times New Roman" w:cs="Arial"/>
              </w:rPr>
            </w:pPr>
            <w:r w:rsidRPr="00D0306F">
              <w:rPr>
                <w:rFonts w:eastAsia="Times New Roman" w:cs="Arial"/>
              </w:rPr>
              <w:t>Mixed / Mixed British</w:t>
            </w:r>
          </w:p>
        </w:tc>
        <w:tc>
          <w:tcPr>
            <w:tcW w:w="387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607900A1"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D1A04F8"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A3D67D4"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6A953948"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AD13C09" w14:textId="77777777" w:rsidR="006C7AA7" w:rsidRPr="00D0306F" w:rsidRDefault="006C7AA7" w:rsidP="00CC3BF4">
            <w:pPr>
              <w:jc w:val="center"/>
              <w:rPr>
                <w:rFonts w:eastAsia="Times New Roman" w:cs="Arial"/>
              </w:rPr>
            </w:pPr>
            <w:r w:rsidRPr="00D0306F">
              <w:rPr>
                <w:rFonts w:eastAsia="Times New Roman" w:cs="Arial"/>
              </w:rPr>
              <w:t>3</w:t>
            </w:r>
          </w:p>
        </w:tc>
        <w:tc>
          <w:tcPr>
            <w:tcW w:w="211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7F8EFD2" w14:textId="77777777" w:rsidR="006C7AA7" w:rsidRPr="00D0306F" w:rsidRDefault="006C7AA7" w:rsidP="00CC3BF4">
            <w:pPr>
              <w:rPr>
                <w:rFonts w:eastAsia="Times New Roman" w:cs="Arial"/>
              </w:rPr>
            </w:pPr>
            <w:r w:rsidRPr="00D0306F">
              <w:rPr>
                <w:rFonts w:eastAsia="Times New Roman" w:cs="Arial"/>
              </w:rPr>
              <w:t>Black / Black British</w:t>
            </w:r>
          </w:p>
        </w:tc>
        <w:tc>
          <w:tcPr>
            <w:tcW w:w="387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0415413B"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E74242A"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89C2DC9"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0EECE446"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9C36102" w14:textId="77777777" w:rsidR="006C7AA7" w:rsidRPr="00D0306F" w:rsidRDefault="006C7AA7" w:rsidP="00CC3BF4">
            <w:pPr>
              <w:jc w:val="center"/>
              <w:rPr>
                <w:rFonts w:eastAsia="Times New Roman" w:cs="Arial"/>
              </w:rPr>
            </w:pPr>
            <w:r w:rsidRPr="00D0306F">
              <w:rPr>
                <w:rFonts w:eastAsia="Times New Roman" w:cs="Arial"/>
              </w:rPr>
              <w:t>4</w:t>
            </w:r>
          </w:p>
        </w:tc>
        <w:tc>
          <w:tcPr>
            <w:tcW w:w="211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76D9278" w14:textId="77777777" w:rsidR="006C7AA7" w:rsidRPr="00D0306F" w:rsidRDefault="006C7AA7" w:rsidP="00CC3BF4">
            <w:pPr>
              <w:rPr>
                <w:rFonts w:eastAsia="Times New Roman" w:cs="Arial"/>
              </w:rPr>
            </w:pPr>
            <w:r w:rsidRPr="00D0306F">
              <w:rPr>
                <w:rFonts w:eastAsia="Times New Roman" w:cs="Arial"/>
              </w:rPr>
              <w:t>Asian / Asian British</w:t>
            </w:r>
          </w:p>
        </w:tc>
        <w:tc>
          <w:tcPr>
            <w:tcW w:w="387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2198F277"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39A9627"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C7EFE41"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528736A1"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0FE110C" w14:textId="77777777" w:rsidR="006C7AA7" w:rsidRPr="00D0306F" w:rsidRDefault="006C7AA7" w:rsidP="00CC3BF4">
            <w:pPr>
              <w:jc w:val="center"/>
              <w:rPr>
                <w:rFonts w:eastAsia="Times New Roman" w:cs="Arial"/>
              </w:rPr>
            </w:pPr>
            <w:r w:rsidRPr="00D0306F">
              <w:rPr>
                <w:rFonts w:eastAsia="Times New Roman" w:cs="Arial"/>
              </w:rPr>
              <w:t>5</w:t>
            </w:r>
          </w:p>
        </w:tc>
        <w:tc>
          <w:tcPr>
            <w:tcW w:w="211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DE0B501" w14:textId="77777777" w:rsidR="006C7AA7" w:rsidRPr="00D0306F" w:rsidRDefault="006C7AA7" w:rsidP="00CC3BF4">
            <w:pPr>
              <w:rPr>
                <w:rFonts w:eastAsia="Times New Roman" w:cs="Arial"/>
              </w:rPr>
            </w:pPr>
            <w:r w:rsidRPr="00D0306F">
              <w:rPr>
                <w:rFonts w:eastAsia="Times New Roman" w:cs="Arial"/>
              </w:rPr>
              <w:t>Arab</w:t>
            </w:r>
          </w:p>
        </w:tc>
        <w:tc>
          <w:tcPr>
            <w:tcW w:w="387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508CB151"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07B54FB"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677F1E1"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2BC63648"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8479BED" w14:textId="77777777" w:rsidR="006C7AA7" w:rsidRPr="00D0306F" w:rsidRDefault="006C7AA7" w:rsidP="00CC3BF4">
            <w:pPr>
              <w:jc w:val="center"/>
              <w:rPr>
                <w:rFonts w:eastAsia="Times New Roman" w:cs="Arial"/>
              </w:rPr>
            </w:pPr>
            <w:r w:rsidRPr="00D0306F">
              <w:rPr>
                <w:rFonts w:eastAsia="Times New Roman" w:cs="Arial"/>
              </w:rPr>
              <w:t>6</w:t>
            </w:r>
          </w:p>
        </w:tc>
        <w:tc>
          <w:tcPr>
            <w:tcW w:w="211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E3599FA" w14:textId="77777777" w:rsidR="006C7AA7" w:rsidRPr="00D0306F" w:rsidRDefault="006C7AA7" w:rsidP="00CC3BF4">
            <w:pPr>
              <w:rPr>
                <w:rFonts w:eastAsia="Times New Roman" w:cs="Arial"/>
              </w:rPr>
            </w:pPr>
            <w:r w:rsidRPr="00D0306F">
              <w:rPr>
                <w:rFonts w:eastAsia="Times New Roman" w:cs="Arial"/>
              </w:rPr>
              <w:t>Prefer not to say</w:t>
            </w:r>
          </w:p>
        </w:tc>
        <w:tc>
          <w:tcPr>
            <w:tcW w:w="387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49610594"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A1FDEFA"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3B9D8FD"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5203A84D"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E1D2FDC" w14:textId="77777777" w:rsidR="006C7AA7" w:rsidRPr="00D0306F" w:rsidRDefault="006C7AA7" w:rsidP="00CC3BF4">
            <w:pPr>
              <w:jc w:val="center"/>
              <w:rPr>
                <w:rFonts w:eastAsia="Times New Roman" w:cs="Arial"/>
              </w:rPr>
            </w:pPr>
            <w:r w:rsidRPr="00D0306F">
              <w:rPr>
                <w:rFonts w:eastAsia="Times New Roman" w:cs="Arial"/>
              </w:rPr>
              <w:t>7</w:t>
            </w:r>
          </w:p>
        </w:tc>
        <w:tc>
          <w:tcPr>
            <w:tcW w:w="211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0C2049A" w14:textId="77777777" w:rsidR="006C7AA7" w:rsidRPr="00D0306F" w:rsidRDefault="006C7AA7" w:rsidP="00CC3BF4">
            <w:pPr>
              <w:rPr>
                <w:rFonts w:eastAsia="Times New Roman" w:cs="Arial"/>
              </w:rPr>
            </w:pPr>
            <w:r w:rsidRPr="00D0306F">
              <w:rPr>
                <w:rFonts w:eastAsia="Times New Roman" w:cs="Arial"/>
              </w:rPr>
              <w:t>Other (please specify):</w:t>
            </w:r>
          </w:p>
        </w:tc>
        <w:tc>
          <w:tcPr>
            <w:tcW w:w="387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 w:type="pct"/>
              <w:tblCellMar>
                <w:left w:w="0" w:type="dxa"/>
                <w:right w:w="0" w:type="dxa"/>
              </w:tblCellMar>
              <w:tblLook w:val="04A0" w:firstRow="1" w:lastRow="0" w:firstColumn="1" w:lastColumn="0" w:noHBand="0" w:noVBand="1"/>
            </w:tblPr>
            <w:tblGrid>
              <w:gridCol w:w="82"/>
            </w:tblGrid>
            <w:tr w:rsidR="006C7AA7" w:rsidRPr="00D0306F" w14:paraId="1357EC97" w14:textId="77777777" w:rsidTr="00CC3BF4">
              <w:tc>
                <w:tcPr>
                  <w:tcW w:w="0" w:type="auto"/>
                  <w:tcBorders>
                    <w:top w:val="single" w:sz="6" w:space="0" w:color="811CA4"/>
                    <w:left w:val="single" w:sz="6" w:space="0" w:color="811CA4"/>
                    <w:bottom w:val="single" w:sz="6" w:space="0" w:color="811CA4"/>
                    <w:right w:val="single" w:sz="6" w:space="0" w:color="811CA4"/>
                  </w:tcBorders>
                  <w:shd w:val="clear" w:color="auto" w:fill="811CA4"/>
                  <w:vAlign w:val="center"/>
                  <w:hideMark/>
                </w:tcPr>
                <w:p w14:paraId="5E37878C"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2F1C1175"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2D67C9C" w14:textId="77777777" w:rsidR="006C7AA7" w:rsidRPr="00D0306F" w:rsidRDefault="006C7AA7" w:rsidP="00CC3BF4">
            <w:pPr>
              <w:jc w:val="center"/>
              <w:rPr>
                <w:rFonts w:eastAsia="Times New Roman" w:cs="Arial"/>
              </w:rPr>
            </w:pPr>
            <w:r w:rsidRPr="00D0306F">
              <w:rPr>
                <w:rFonts w:eastAsia="Times New Roman" w:cs="Arial"/>
              </w:rPr>
              <w:t>0.8%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97754F9" w14:textId="77777777" w:rsidR="006C7AA7" w:rsidRPr="00D0306F" w:rsidRDefault="006C7AA7" w:rsidP="00CC3BF4">
            <w:pPr>
              <w:jc w:val="center"/>
              <w:rPr>
                <w:rFonts w:eastAsia="Times New Roman" w:cs="Arial"/>
              </w:rPr>
            </w:pPr>
            <w:r w:rsidRPr="00D0306F">
              <w:rPr>
                <w:rFonts w:eastAsia="Times New Roman" w:cs="Arial"/>
              </w:rPr>
              <w:t>1</w:t>
            </w:r>
          </w:p>
        </w:tc>
      </w:tr>
      <w:tr w:rsidR="006C7AA7" w:rsidRPr="00D0306F" w14:paraId="0DB5C11A"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715C75A0"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3196B4C"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135F2F1" w14:textId="77777777" w:rsidR="006C7AA7" w:rsidRPr="00D0306F" w:rsidRDefault="006C7AA7" w:rsidP="00CC3BF4">
            <w:pPr>
              <w:jc w:val="center"/>
              <w:rPr>
                <w:rFonts w:eastAsia="Times New Roman" w:cs="Arial"/>
              </w:rPr>
            </w:pPr>
            <w:r w:rsidRPr="00D0306F">
              <w:rPr>
                <w:rFonts w:eastAsia="Times New Roman" w:cs="Arial"/>
              </w:rPr>
              <w:t>119</w:t>
            </w:r>
          </w:p>
        </w:tc>
      </w:tr>
      <w:tr w:rsidR="006C7AA7" w:rsidRPr="00D0306F" w14:paraId="093146F6"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10BDB9BD"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98B5052"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09542D2"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2B622554" w14:textId="77777777" w:rsidTr="00CC3BF4">
        <w:trPr>
          <w:tblCellSpacing w:w="0" w:type="dxa"/>
          <w:jc w:val="center"/>
        </w:trPr>
        <w:tc>
          <w:tcPr>
            <w:tcW w:w="8920" w:type="dxa"/>
            <w:gridSpan w:val="5"/>
            <w:tcBorders>
              <w:top w:val="single" w:sz="6" w:space="0" w:color="CCCCCC"/>
              <w:right w:val="single" w:sz="6" w:space="0" w:color="CCCCCC"/>
            </w:tcBorders>
            <w:shd w:val="clear" w:color="auto" w:fill="FFFFFF"/>
            <w:tcMar>
              <w:top w:w="120" w:type="dxa"/>
              <w:left w:w="150" w:type="dxa"/>
              <w:bottom w:w="120" w:type="dxa"/>
              <w:right w:w="150" w:type="dxa"/>
            </w:tcMar>
            <w:vAlign w:val="center"/>
            <w:hideMark/>
          </w:tcPr>
          <w:p w14:paraId="427C0895" w14:textId="77777777" w:rsidR="006C7AA7" w:rsidRPr="00D0306F" w:rsidRDefault="006C7AA7" w:rsidP="00CC3BF4">
            <w:pPr>
              <w:rPr>
                <w:rFonts w:eastAsia="Times New Roman" w:cs="Arial"/>
              </w:rPr>
            </w:pPr>
            <w:r w:rsidRPr="00D0306F">
              <w:rPr>
                <w:rFonts w:eastAsia="Times New Roman" w:cs="Arial"/>
              </w:rPr>
              <w:t>Other (please specify): (1)</w:t>
            </w:r>
          </w:p>
        </w:tc>
      </w:tr>
      <w:tr w:rsidR="006C7AA7" w:rsidRPr="00D0306F" w14:paraId="3A4F2D89" w14:textId="77777777" w:rsidTr="00CC3BF4">
        <w:trPr>
          <w:tblCellSpacing w:w="0" w:type="dxa"/>
          <w:jc w:val="center"/>
        </w:trPr>
        <w:tc>
          <w:tcPr>
            <w:tcW w:w="8920" w:type="dxa"/>
            <w:gridSpan w:val="5"/>
            <w:tcBorders>
              <w:top w:val="single" w:sz="6" w:space="0" w:color="CCCCCC"/>
              <w:bottom w:val="single" w:sz="6" w:space="0" w:color="CCCCCC"/>
              <w:right w:val="single" w:sz="6" w:space="0" w:color="CCCCCC"/>
            </w:tcBorders>
            <w:shd w:val="clear" w:color="auto" w:fill="FFFFFF"/>
            <w:tcMar>
              <w:top w:w="0" w:type="dxa"/>
              <w:left w:w="420" w:type="dxa"/>
              <w:bottom w:w="0" w:type="dxa"/>
              <w:right w:w="0" w:type="dxa"/>
            </w:tcMar>
            <w:vAlign w:val="center"/>
            <w:hideMark/>
          </w:tcPr>
          <w:tbl>
            <w:tblPr>
              <w:tblW w:w="5000" w:type="pct"/>
              <w:tblBorders>
                <w:left w:val="single" w:sz="6" w:space="0" w:color="CCCCCC"/>
              </w:tblBorders>
              <w:tblCellMar>
                <w:top w:w="15" w:type="dxa"/>
                <w:left w:w="15" w:type="dxa"/>
                <w:bottom w:w="15" w:type="dxa"/>
                <w:right w:w="15" w:type="dxa"/>
              </w:tblCellMar>
              <w:tblLook w:val="04A0" w:firstRow="1" w:lastRow="0" w:firstColumn="1" w:lastColumn="0" w:noHBand="0" w:noVBand="1"/>
            </w:tblPr>
            <w:tblGrid>
              <w:gridCol w:w="284"/>
              <w:gridCol w:w="1800"/>
              <w:gridCol w:w="6386"/>
            </w:tblGrid>
            <w:tr w:rsidR="006C7AA7" w:rsidRPr="00D0306F" w14:paraId="4C113C8D"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F3EE240" w14:textId="77777777" w:rsidR="006C7AA7" w:rsidRPr="00D0306F" w:rsidRDefault="006C7AA7" w:rsidP="00CC3BF4">
                  <w:pPr>
                    <w:jc w:val="center"/>
                    <w:rPr>
                      <w:rFonts w:eastAsia="Times New Roman" w:cs="Arial"/>
                    </w:rPr>
                  </w:pPr>
                  <w:r w:rsidRPr="00D0306F">
                    <w:rPr>
                      <w:rFonts w:eastAsia="Times New Roman" w:cs="Arial"/>
                    </w:rPr>
                    <w:t>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hideMark/>
                </w:tcPr>
                <w:p w14:paraId="5A7AB02D"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FC5A32A" w14:textId="77777777" w:rsidR="006C7AA7" w:rsidRPr="00D0306F" w:rsidRDefault="006C7AA7" w:rsidP="00CC3BF4">
                  <w:pPr>
                    <w:rPr>
                      <w:rFonts w:eastAsia="Times New Roman" w:cs="Arial"/>
                    </w:rPr>
                  </w:pPr>
                  <w:r w:rsidRPr="00D0306F">
                    <w:rPr>
                      <w:rFonts w:eastAsia="Times New Roman" w:cs="Arial"/>
                    </w:rPr>
                    <w:t>African</w:t>
                  </w:r>
                </w:p>
              </w:tc>
            </w:tr>
          </w:tbl>
          <w:p w14:paraId="4C4CD333" w14:textId="77777777" w:rsidR="006C7AA7" w:rsidRPr="00D0306F" w:rsidRDefault="006C7AA7" w:rsidP="00CC3BF4">
            <w:pPr>
              <w:rPr>
                <w:rFonts w:eastAsia="Times New Roman" w:cs="Arial"/>
              </w:rPr>
            </w:pPr>
          </w:p>
        </w:tc>
      </w:tr>
    </w:tbl>
    <w:p w14:paraId="0A92AABA" w14:textId="77777777" w:rsidR="006C7AA7" w:rsidRPr="00D0306F" w:rsidRDefault="006C7AA7" w:rsidP="006C7AA7">
      <w:pPr>
        <w:rPr>
          <w:rFonts w:eastAsia="Times New Roman" w:cs="Arial"/>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8"/>
        <w:gridCol w:w="2176"/>
        <w:gridCol w:w="3820"/>
        <w:gridCol w:w="1313"/>
        <w:gridCol w:w="1313"/>
      </w:tblGrid>
      <w:tr w:rsidR="006C7AA7" w:rsidRPr="00D0306F" w14:paraId="6AE28C89"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37AC5FC3" w14:textId="77777777" w:rsidR="006C7AA7" w:rsidRPr="00D0306F" w:rsidRDefault="006C7AA7" w:rsidP="00CC3BF4">
            <w:pPr>
              <w:rPr>
                <w:rFonts w:eastAsia="Times New Roman" w:cs="Arial"/>
                <w:b/>
                <w:bCs/>
                <w:color w:val="FFFFFF"/>
              </w:rPr>
            </w:pPr>
            <w:r w:rsidRPr="00D0306F">
              <w:rPr>
                <w:rFonts w:eastAsia="Times New Roman" w:cs="Arial"/>
                <w:b/>
                <w:bCs/>
                <w:color w:val="FFFFFF"/>
              </w:rPr>
              <w:t xml:space="preserve">29. How would you describe your sexual orientation? Please tick one box </w:t>
            </w:r>
          </w:p>
        </w:tc>
      </w:tr>
      <w:tr w:rsidR="006C7AA7" w:rsidRPr="00D0306F" w14:paraId="41A2E0BC"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103655AA"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0F8111D5"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6595DF42"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7AE3C4AE"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0946C82" w14:textId="77777777" w:rsidR="006C7AA7" w:rsidRPr="00D0306F" w:rsidRDefault="006C7AA7" w:rsidP="00CC3BF4">
            <w:pPr>
              <w:jc w:val="center"/>
              <w:rPr>
                <w:rFonts w:eastAsia="Times New Roman" w:cs="Arial"/>
              </w:rPr>
            </w:pPr>
            <w:r w:rsidRPr="00D0306F">
              <w:rPr>
                <w:rFonts w:eastAsia="Times New Roman" w:cs="Arial"/>
              </w:rPr>
              <w:t>1</w:t>
            </w:r>
          </w:p>
        </w:tc>
        <w:tc>
          <w:tcPr>
            <w:tcW w:w="217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9137364" w14:textId="77777777" w:rsidR="006C7AA7" w:rsidRPr="00D0306F" w:rsidRDefault="006C7AA7" w:rsidP="00CC3BF4">
            <w:pPr>
              <w:rPr>
                <w:rFonts w:eastAsia="Times New Roman" w:cs="Arial"/>
              </w:rPr>
            </w:pPr>
            <w:r w:rsidRPr="00D0306F">
              <w:rPr>
                <w:rFonts w:eastAsia="Times New Roman" w:cs="Arial"/>
              </w:rPr>
              <w:t>Heterosexual/ Straight</w:t>
            </w:r>
          </w:p>
        </w:tc>
        <w:tc>
          <w:tcPr>
            <w:tcW w:w="38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661" w:type="pct"/>
              <w:tblCellMar>
                <w:left w:w="0" w:type="dxa"/>
                <w:right w:w="0" w:type="dxa"/>
              </w:tblCellMar>
              <w:tblLook w:val="04A0" w:firstRow="1" w:lastRow="0" w:firstColumn="1" w:lastColumn="0" w:noHBand="0" w:noVBand="1"/>
            </w:tblPr>
            <w:tblGrid>
              <w:gridCol w:w="3420"/>
            </w:tblGrid>
            <w:tr w:rsidR="006C7AA7" w:rsidRPr="00D0306F" w14:paraId="540E33AB"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7A3EBE0F"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3FE10874"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70E221B" w14:textId="77777777" w:rsidR="006C7AA7" w:rsidRPr="00D0306F" w:rsidRDefault="006C7AA7" w:rsidP="00CC3BF4">
            <w:pPr>
              <w:jc w:val="center"/>
              <w:rPr>
                <w:rFonts w:eastAsia="Times New Roman" w:cs="Arial"/>
              </w:rPr>
            </w:pPr>
            <w:r w:rsidRPr="00D0306F">
              <w:rPr>
                <w:rFonts w:eastAsia="Times New Roman" w:cs="Arial"/>
              </w:rPr>
              <w:t>93.3%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43F4917" w14:textId="77777777" w:rsidR="006C7AA7" w:rsidRPr="00D0306F" w:rsidRDefault="006C7AA7" w:rsidP="00CC3BF4">
            <w:pPr>
              <w:jc w:val="center"/>
              <w:rPr>
                <w:rFonts w:eastAsia="Times New Roman" w:cs="Arial"/>
              </w:rPr>
            </w:pPr>
            <w:r w:rsidRPr="00D0306F">
              <w:rPr>
                <w:rFonts w:eastAsia="Times New Roman" w:cs="Arial"/>
              </w:rPr>
              <w:t>111</w:t>
            </w:r>
          </w:p>
        </w:tc>
      </w:tr>
      <w:tr w:rsidR="006C7AA7" w:rsidRPr="00D0306F" w14:paraId="4EB05CC9"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EFD3270" w14:textId="77777777" w:rsidR="006C7AA7" w:rsidRPr="00D0306F" w:rsidRDefault="006C7AA7" w:rsidP="00CC3BF4">
            <w:pPr>
              <w:jc w:val="center"/>
              <w:rPr>
                <w:rFonts w:eastAsia="Times New Roman" w:cs="Arial"/>
              </w:rPr>
            </w:pPr>
            <w:r w:rsidRPr="00D0306F">
              <w:rPr>
                <w:rFonts w:eastAsia="Times New Roman" w:cs="Arial"/>
              </w:rPr>
              <w:t>2</w:t>
            </w:r>
          </w:p>
        </w:tc>
        <w:tc>
          <w:tcPr>
            <w:tcW w:w="217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284A378" w14:textId="77777777" w:rsidR="006C7AA7" w:rsidRPr="00D0306F" w:rsidRDefault="006C7AA7" w:rsidP="00CC3BF4">
            <w:pPr>
              <w:rPr>
                <w:rFonts w:eastAsia="Times New Roman" w:cs="Arial"/>
              </w:rPr>
            </w:pPr>
            <w:r w:rsidRPr="00D0306F">
              <w:rPr>
                <w:rFonts w:eastAsia="Times New Roman" w:cs="Arial"/>
              </w:rPr>
              <w:t>Gay / Lesbian</w:t>
            </w:r>
          </w:p>
        </w:tc>
        <w:tc>
          <w:tcPr>
            <w:tcW w:w="38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12" w:type="pct"/>
              <w:tblCellMar>
                <w:left w:w="0" w:type="dxa"/>
                <w:right w:w="0" w:type="dxa"/>
              </w:tblCellMar>
              <w:tblLook w:val="04A0" w:firstRow="1" w:lastRow="0" w:firstColumn="1" w:lastColumn="0" w:noHBand="0" w:noVBand="1"/>
            </w:tblPr>
            <w:tblGrid>
              <w:gridCol w:w="156"/>
            </w:tblGrid>
            <w:tr w:rsidR="006C7AA7" w:rsidRPr="00D0306F" w14:paraId="281721CA"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557FEF96"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1A780320"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91C93B5" w14:textId="77777777" w:rsidR="006C7AA7" w:rsidRPr="00D0306F" w:rsidRDefault="006C7AA7" w:rsidP="00CC3BF4">
            <w:pPr>
              <w:jc w:val="center"/>
              <w:rPr>
                <w:rFonts w:eastAsia="Times New Roman" w:cs="Arial"/>
              </w:rPr>
            </w:pPr>
            <w:r w:rsidRPr="00D0306F">
              <w:rPr>
                <w:rFonts w:eastAsia="Times New Roman" w:cs="Arial"/>
              </w:rPr>
              <w:t>4.2%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85B3942" w14:textId="77777777" w:rsidR="006C7AA7" w:rsidRPr="00D0306F" w:rsidRDefault="006C7AA7" w:rsidP="00CC3BF4">
            <w:pPr>
              <w:jc w:val="center"/>
              <w:rPr>
                <w:rFonts w:eastAsia="Times New Roman" w:cs="Arial"/>
              </w:rPr>
            </w:pPr>
            <w:r w:rsidRPr="00D0306F">
              <w:rPr>
                <w:rFonts w:eastAsia="Times New Roman" w:cs="Arial"/>
              </w:rPr>
              <w:t>5</w:t>
            </w:r>
          </w:p>
        </w:tc>
      </w:tr>
      <w:tr w:rsidR="006C7AA7" w:rsidRPr="00D0306F" w14:paraId="6DA53506"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EE4739E" w14:textId="77777777" w:rsidR="006C7AA7" w:rsidRPr="00D0306F" w:rsidRDefault="006C7AA7" w:rsidP="00CC3BF4">
            <w:pPr>
              <w:jc w:val="center"/>
              <w:rPr>
                <w:rFonts w:eastAsia="Times New Roman" w:cs="Arial"/>
              </w:rPr>
            </w:pPr>
            <w:r w:rsidRPr="00D0306F">
              <w:rPr>
                <w:rFonts w:eastAsia="Times New Roman" w:cs="Arial"/>
              </w:rPr>
              <w:t>3</w:t>
            </w:r>
          </w:p>
        </w:tc>
        <w:tc>
          <w:tcPr>
            <w:tcW w:w="217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D34641D" w14:textId="77777777" w:rsidR="006C7AA7" w:rsidRPr="00D0306F" w:rsidRDefault="006C7AA7" w:rsidP="00CC3BF4">
            <w:pPr>
              <w:rPr>
                <w:rFonts w:eastAsia="Times New Roman" w:cs="Arial"/>
              </w:rPr>
            </w:pPr>
            <w:r w:rsidRPr="00D0306F">
              <w:rPr>
                <w:rFonts w:eastAsia="Times New Roman" w:cs="Arial"/>
              </w:rPr>
              <w:t>Bisexual</w:t>
            </w:r>
          </w:p>
        </w:tc>
        <w:tc>
          <w:tcPr>
            <w:tcW w:w="38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5DF1A611"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A7CCBFF"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0AAA5BE"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1F9E715A"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5F02090" w14:textId="77777777" w:rsidR="006C7AA7" w:rsidRPr="00D0306F" w:rsidRDefault="006C7AA7" w:rsidP="00CC3BF4">
            <w:pPr>
              <w:jc w:val="center"/>
              <w:rPr>
                <w:rFonts w:eastAsia="Times New Roman" w:cs="Arial"/>
              </w:rPr>
            </w:pPr>
            <w:r w:rsidRPr="00D0306F">
              <w:rPr>
                <w:rFonts w:eastAsia="Times New Roman" w:cs="Arial"/>
              </w:rPr>
              <w:t>4</w:t>
            </w:r>
          </w:p>
        </w:tc>
        <w:tc>
          <w:tcPr>
            <w:tcW w:w="217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81E180B" w14:textId="77777777" w:rsidR="006C7AA7" w:rsidRPr="00D0306F" w:rsidRDefault="006C7AA7" w:rsidP="00CC3BF4">
            <w:pPr>
              <w:rPr>
                <w:rFonts w:eastAsia="Times New Roman" w:cs="Arial"/>
              </w:rPr>
            </w:pPr>
            <w:r w:rsidRPr="00D0306F">
              <w:rPr>
                <w:rFonts w:eastAsia="Times New Roman" w:cs="Arial"/>
              </w:rPr>
              <w:t>Prefer not to answer</w:t>
            </w:r>
          </w:p>
        </w:tc>
        <w:tc>
          <w:tcPr>
            <w:tcW w:w="38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4" w:type="pct"/>
              <w:tblCellMar>
                <w:left w:w="0" w:type="dxa"/>
                <w:right w:w="0" w:type="dxa"/>
              </w:tblCellMar>
              <w:tblLook w:val="04A0" w:firstRow="1" w:lastRow="0" w:firstColumn="1" w:lastColumn="0" w:noHBand="0" w:noVBand="1"/>
            </w:tblPr>
            <w:tblGrid>
              <w:gridCol w:w="82"/>
            </w:tblGrid>
            <w:tr w:rsidR="006C7AA7" w:rsidRPr="00D0306F" w14:paraId="244AEDEF" w14:textId="77777777" w:rsidTr="00CC3BF4">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558D2ED8"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996BF04"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72AEA72" w14:textId="77777777" w:rsidR="006C7AA7" w:rsidRPr="00D0306F" w:rsidRDefault="006C7AA7" w:rsidP="00CC3BF4">
            <w:pPr>
              <w:jc w:val="center"/>
              <w:rPr>
                <w:rFonts w:eastAsia="Times New Roman" w:cs="Arial"/>
              </w:rPr>
            </w:pPr>
            <w:r w:rsidRPr="00D0306F">
              <w:rPr>
                <w:rFonts w:eastAsia="Times New Roman" w:cs="Arial"/>
              </w:rPr>
              <w:t>1.7%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4710A22" w14:textId="77777777" w:rsidR="006C7AA7" w:rsidRPr="00D0306F" w:rsidRDefault="006C7AA7" w:rsidP="00CC3BF4">
            <w:pPr>
              <w:jc w:val="center"/>
              <w:rPr>
                <w:rFonts w:eastAsia="Times New Roman" w:cs="Arial"/>
              </w:rPr>
            </w:pPr>
            <w:r w:rsidRPr="00D0306F">
              <w:rPr>
                <w:rFonts w:eastAsia="Times New Roman" w:cs="Arial"/>
              </w:rPr>
              <w:t>2</w:t>
            </w:r>
          </w:p>
        </w:tc>
      </w:tr>
      <w:tr w:rsidR="006C7AA7" w:rsidRPr="00D0306F" w14:paraId="34489267"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C6F499D" w14:textId="77777777" w:rsidR="006C7AA7" w:rsidRPr="00D0306F" w:rsidRDefault="006C7AA7" w:rsidP="00CC3BF4">
            <w:pPr>
              <w:jc w:val="center"/>
              <w:rPr>
                <w:rFonts w:eastAsia="Times New Roman" w:cs="Arial"/>
              </w:rPr>
            </w:pPr>
            <w:r w:rsidRPr="00D0306F">
              <w:rPr>
                <w:rFonts w:eastAsia="Times New Roman" w:cs="Arial"/>
              </w:rPr>
              <w:lastRenderedPageBreak/>
              <w:t>5</w:t>
            </w:r>
          </w:p>
        </w:tc>
        <w:tc>
          <w:tcPr>
            <w:tcW w:w="217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467BD2F" w14:textId="77777777" w:rsidR="006C7AA7" w:rsidRPr="00D0306F" w:rsidRDefault="006C7AA7" w:rsidP="00CC3BF4">
            <w:pPr>
              <w:rPr>
                <w:rFonts w:eastAsia="Times New Roman" w:cs="Arial"/>
              </w:rPr>
            </w:pPr>
            <w:r w:rsidRPr="00D0306F">
              <w:rPr>
                <w:rFonts w:eastAsia="Times New Roman" w:cs="Arial"/>
              </w:rPr>
              <w:t>Other (please specify):</w:t>
            </w:r>
          </w:p>
        </w:tc>
        <w:tc>
          <w:tcPr>
            <w:tcW w:w="38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 w:type="pct"/>
              <w:tblCellMar>
                <w:left w:w="0" w:type="dxa"/>
                <w:right w:w="0" w:type="dxa"/>
              </w:tblCellMar>
              <w:tblLook w:val="04A0" w:firstRow="1" w:lastRow="0" w:firstColumn="1" w:lastColumn="0" w:noHBand="0" w:noVBand="1"/>
            </w:tblPr>
            <w:tblGrid>
              <w:gridCol w:w="82"/>
            </w:tblGrid>
            <w:tr w:rsidR="006C7AA7" w:rsidRPr="00D0306F" w14:paraId="6AE3CF31"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AD1BA45"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40907ABE"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1C1B341" w14:textId="77777777" w:rsidR="006C7AA7" w:rsidRPr="00D0306F" w:rsidRDefault="006C7AA7" w:rsidP="00CC3BF4">
            <w:pPr>
              <w:jc w:val="center"/>
              <w:rPr>
                <w:rFonts w:eastAsia="Times New Roman" w:cs="Arial"/>
              </w:rPr>
            </w:pPr>
            <w:r w:rsidRPr="00D0306F">
              <w:rPr>
                <w:rFonts w:eastAsia="Times New Roman" w:cs="Arial"/>
              </w:rPr>
              <w:t>0.8%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F066B1F" w14:textId="77777777" w:rsidR="006C7AA7" w:rsidRPr="00D0306F" w:rsidRDefault="006C7AA7" w:rsidP="00CC3BF4">
            <w:pPr>
              <w:jc w:val="center"/>
              <w:rPr>
                <w:rFonts w:eastAsia="Times New Roman" w:cs="Arial"/>
              </w:rPr>
            </w:pPr>
            <w:r w:rsidRPr="00D0306F">
              <w:rPr>
                <w:rFonts w:eastAsia="Times New Roman" w:cs="Arial"/>
              </w:rPr>
              <w:t>1</w:t>
            </w:r>
          </w:p>
        </w:tc>
      </w:tr>
      <w:tr w:rsidR="006C7AA7" w:rsidRPr="00D0306F" w14:paraId="3494FDBC"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5F2559D9"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6F4D145"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90D0C12" w14:textId="77777777" w:rsidR="006C7AA7" w:rsidRPr="00D0306F" w:rsidRDefault="006C7AA7" w:rsidP="00CC3BF4">
            <w:pPr>
              <w:jc w:val="center"/>
              <w:rPr>
                <w:rFonts w:eastAsia="Times New Roman" w:cs="Arial"/>
              </w:rPr>
            </w:pPr>
            <w:r w:rsidRPr="00D0306F">
              <w:rPr>
                <w:rFonts w:eastAsia="Times New Roman" w:cs="Arial"/>
              </w:rPr>
              <w:t>119</w:t>
            </w:r>
          </w:p>
        </w:tc>
      </w:tr>
      <w:tr w:rsidR="006C7AA7" w:rsidRPr="00D0306F" w14:paraId="2D14D10E"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52D6DE0D"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81180E0"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289D748"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57AB75BD" w14:textId="77777777" w:rsidTr="00CC3BF4">
        <w:trPr>
          <w:tblCellSpacing w:w="0" w:type="dxa"/>
          <w:jc w:val="center"/>
        </w:trPr>
        <w:tc>
          <w:tcPr>
            <w:tcW w:w="8920" w:type="dxa"/>
            <w:gridSpan w:val="5"/>
            <w:tcBorders>
              <w:top w:val="single" w:sz="6" w:space="0" w:color="CCCCCC"/>
              <w:right w:val="single" w:sz="6" w:space="0" w:color="CCCCCC"/>
            </w:tcBorders>
            <w:shd w:val="clear" w:color="auto" w:fill="FFFFFF"/>
            <w:tcMar>
              <w:top w:w="120" w:type="dxa"/>
              <w:left w:w="150" w:type="dxa"/>
              <w:bottom w:w="120" w:type="dxa"/>
              <w:right w:w="150" w:type="dxa"/>
            </w:tcMar>
            <w:vAlign w:val="center"/>
            <w:hideMark/>
          </w:tcPr>
          <w:p w14:paraId="12A4CF25" w14:textId="77777777" w:rsidR="006C7AA7" w:rsidRPr="00D0306F" w:rsidRDefault="006C7AA7" w:rsidP="00CC3BF4">
            <w:pPr>
              <w:rPr>
                <w:rFonts w:eastAsia="Times New Roman" w:cs="Arial"/>
              </w:rPr>
            </w:pPr>
            <w:r w:rsidRPr="00D0306F">
              <w:rPr>
                <w:rFonts w:eastAsia="Times New Roman" w:cs="Arial"/>
              </w:rPr>
              <w:t>Other (please specify): (1)</w:t>
            </w:r>
          </w:p>
        </w:tc>
      </w:tr>
      <w:tr w:rsidR="006C7AA7" w:rsidRPr="00D0306F" w14:paraId="00596014" w14:textId="77777777" w:rsidTr="00CC3BF4">
        <w:trPr>
          <w:tblCellSpacing w:w="0" w:type="dxa"/>
          <w:jc w:val="center"/>
        </w:trPr>
        <w:tc>
          <w:tcPr>
            <w:tcW w:w="8920" w:type="dxa"/>
            <w:gridSpan w:val="5"/>
            <w:tcBorders>
              <w:top w:val="single" w:sz="6" w:space="0" w:color="CCCCCC"/>
              <w:bottom w:val="single" w:sz="6" w:space="0" w:color="CCCCCC"/>
              <w:right w:val="single" w:sz="6" w:space="0" w:color="CCCCCC"/>
            </w:tcBorders>
            <w:shd w:val="clear" w:color="auto" w:fill="FFFFFF"/>
            <w:tcMar>
              <w:top w:w="0" w:type="dxa"/>
              <w:left w:w="420" w:type="dxa"/>
              <w:bottom w:w="0" w:type="dxa"/>
              <w:right w:w="0" w:type="dxa"/>
            </w:tcMar>
            <w:vAlign w:val="center"/>
            <w:hideMark/>
          </w:tcPr>
          <w:tbl>
            <w:tblPr>
              <w:tblW w:w="5000" w:type="pct"/>
              <w:tblBorders>
                <w:left w:val="single" w:sz="6" w:space="0" w:color="CCCCCC"/>
              </w:tblBorders>
              <w:tblCellMar>
                <w:top w:w="15" w:type="dxa"/>
                <w:left w:w="15" w:type="dxa"/>
                <w:bottom w:w="15" w:type="dxa"/>
                <w:right w:w="15" w:type="dxa"/>
              </w:tblCellMar>
              <w:tblLook w:val="04A0" w:firstRow="1" w:lastRow="0" w:firstColumn="1" w:lastColumn="0" w:noHBand="0" w:noVBand="1"/>
            </w:tblPr>
            <w:tblGrid>
              <w:gridCol w:w="284"/>
              <w:gridCol w:w="1800"/>
              <w:gridCol w:w="6386"/>
            </w:tblGrid>
            <w:tr w:rsidR="006C7AA7" w:rsidRPr="00D0306F" w14:paraId="3B0CC45F"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7D0AF72" w14:textId="77777777" w:rsidR="006C7AA7" w:rsidRPr="00D0306F" w:rsidRDefault="006C7AA7" w:rsidP="00CC3BF4">
                  <w:pPr>
                    <w:jc w:val="center"/>
                    <w:rPr>
                      <w:rFonts w:eastAsia="Times New Roman" w:cs="Arial"/>
                    </w:rPr>
                  </w:pPr>
                  <w:r w:rsidRPr="00D0306F">
                    <w:rPr>
                      <w:rFonts w:eastAsia="Times New Roman" w:cs="Arial"/>
                    </w:rPr>
                    <w:t>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hideMark/>
                </w:tcPr>
                <w:p w14:paraId="4BE795CF"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E6B0789" w14:textId="77777777" w:rsidR="006C7AA7" w:rsidRPr="00D0306F" w:rsidRDefault="006C7AA7" w:rsidP="00CC3BF4">
                  <w:pPr>
                    <w:rPr>
                      <w:rFonts w:eastAsia="Times New Roman" w:cs="Arial"/>
                    </w:rPr>
                  </w:pPr>
                  <w:r w:rsidRPr="00D0306F">
                    <w:rPr>
                      <w:rFonts w:eastAsia="Times New Roman" w:cs="Arial"/>
                    </w:rPr>
                    <w:t>Asexual</w:t>
                  </w:r>
                </w:p>
              </w:tc>
            </w:tr>
          </w:tbl>
          <w:p w14:paraId="73D653CA" w14:textId="77777777" w:rsidR="006C7AA7" w:rsidRPr="00D0306F" w:rsidRDefault="006C7AA7" w:rsidP="00CC3BF4">
            <w:pPr>
              <w:rPr>
                <w:rFonts w:eastAsia="Times New Roman" w:cs="Arial"/>
              </w:rPr>
            </w:pPr>
          </w:p>
        </w:tc>
      </w:tr>
    </w:tbl>
    <w:p w14:paraId="7FC77DC2" w14:textId="77777777" w:rsidR="006C7AA7" w:rsidRPr="00D0306F" w:rsidRDefault="006C7AA7" w:rsidP="006C7AA7">
      <w:pPr>
        <w:rPr>
          <w:rFonts w:eastAsia="Times New Roman" w:cs="Arial"/>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417"/>
        <w:gridCol w:w="2178"/>
        <w:gridCol w:w="3699"/>
        <w:gridCol w:w="1313"/>
        <w:gridCol w:w="1313"/>
      </w:tblGrid>
      <w:tr w:rsidR="006C7AA7" w:rsidRPr="00D0306F" w14:paraId="159B470F"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233078E9" w14:textId="77777777" w:rsidR="006C7AA7" w:rsidRPr="00D0306F" w:rsidRDefault="006C7AA7" w:rsidP="00CC3BF4">
            <w:pPr>
              <w:rPr>
                <w:rFonts w:eastAsia="Times New Roman" w:cs="Arial"/>
                <w:b/>
                <w:bCs/>
                <w:color w:val="FFFFFF"/>
              </w:rPr>
            </w:pPr>
            <w:r w:rsidRPr="00D0306F">
              <w:rPr>
                <w:rFonts w:eastAsia="Times New Roman" w:cs="Arial"/>
                <w:b/>
                <w:bCs/>
                <w:color w:val="FFFFFF"/>
              </w:rPr>
              <w:t xml:space="preserve">30. Religion or belief - what is your religion? </w:t>
            </w:r>
          </w:p>
        </w:tc>
      </w:tr>
      <w:tr w:rsidR="006C7AA7" w:rsidRPr="00D0306F" w14:paraId="4C3023DD" w14:textId="77777777" w:rsidTr="00CC3BF4">
        <w:trPr>
          <w:trHeight w:val="360"/>
          <w:tblCellSpacing w:w="0" w:type="dxa"/>
          <w:jc w:val="center"/>
        </w:trPr>
        <w:tc>
          <w:tcPr>
            <w:tcW w:w="6868"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0101B7B6"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026"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9F16981"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026"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7D695007"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415A2700" w14:textId="77777777" w:rsidTr="00CC3BF4">
        <w:trPr>
          <w:tblCellSpacing w:w="0" w:type="dxa"/>
          <w:jc w:val="center"/>
        </w:trPr>
        <w:tc>
          <w:tcPr>
            <w:tcW w:w="351"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DDCB0EC" w14:textId="77777777" w:rsidR="006C7AA7" w:rsidRPr="00D0306F" w:rsidRDefault="006C7AA7" w:rsidP="00CC3BF4">
            <w:pPr>
              <w:jc w:val="center"/>
              <w:rPr>
                <w:rFonts w:eastAsia="Times New Roman" w:cs="Arial"/>
              </w:rPr>
            </w:pPr>
            <w:r w:rsidRPr="00D0306F">
              <w:rPr>
                <w:rFonts w:eastAsia="Times New Roman" w:cs="Arial"/>
              </w:rPr>
              <w:t>1</w:t>
            </w:r>
          </w:p>
        </w:tc>
        <w:tc>
          <w:tcPr>
            <w:tcW w:w="223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67C2D31" w14:textId="77777777" w:rsidR="006C7AA7" w:rsidRPr="00D0306F" w:rsidRDefault="006C7AA7" w:rsidP="00CC3BF4">
            <w:pPr>
              <w:rPr>
                <w:rFonts w:eastAsia="Times New Roman" w:cs="Arial"/>
              </w:rPr>
            </w:pPr>
            <w:r w:rsidRPr="00D0306F">
              <w:rPr>
                <w:rFonts w:eastAsia="Times New Roman" w:cs="Arial"/>
              </w:rPr>
              <w:t>Christian (all denominations)</w:t>
            </w:r>
          </w:p>
        </w:tc>
        <w:tc>
          <w:tcPr>
            <w:tcW w:w="427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818" w:type="pct"/>
              <w:tblCellMar>
                <w:left w:w="0" w:type="dxa"/>
                <w:right w:w="0" w:type="dxa"/>
              </w:tblCellMar>
              <w:tblLook w:val="04A0" w:firstRow="1" w:lastRow="0" w:firstColumn="1" w:lastColumn="0" w:noHBand="0" w:noVBand="1"/>
            </w:tblPr>
            <w:tblGrid>
              <w:gridCol w:w="2000"/>
            </w:tblGrid>
            <w:tr w:rsidR="006C7AA7" w:rsidRPr="00D0306F" w14:paraId="0ADAEBD6"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24DE9A87"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0B962C77" w14:textId="77777777" w:rsidR="006C7AA7" w:rsidRPr="00D0306F" w:rsidRDefault="006C7AA7" w:rsidP="00CC3BF4">
            <w:pPr>
              <w:rPr>
                <w:rFonts w:eastAsia="Times New Roman" w:cs="Arial"/>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B347BCB" w14:textId="77777777" w:rsidR="006C7AA7" w:rsidRPr="00D0306F" w:rsidRDefault="006C7AA7" w:rsidP="00CC3BF4">
            <w:pPr>
              <w:jc w:val="center"/>
              <w:rPr>
                <w:rFonts w:eastAsia="Times New Roman" w:cs="Arial"/>
              </w:rPr>
            </w:pPr>
            <w:r w:rsidRPr="00D0306F">
              <w:rPr>
                <w:rFonts w:eastAsia="Times New Roman" w:cs="Arial"/>
              </w:rPr>
              <w:t>56.8%</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77DD4D1" w14:textId="77777777" w:rsidR="006C7AA7" w:rsidRPr="00D0306F" w:rsidRDefault="006C7AA7" w:rsidP="00CC3BF4">
            <w:pPr>
              <w:jc w:val="center"/>
              <w:rPr>
                <w:rFonts w:eastAsia="Times New Roman" w:cs="Arial"/>
              </w:rPr>
            </w:pPr>
            <w:r w:rsidRPr="00D0306F">
              <w:rPr>
                <w:rFonts w:eastAsia="Times New Roman" w:cs="Arial"/>
              </w:rPr>
              <w:t>63</w:t>
            </w:r>
          </w:p>
        </w:tc>
      </w:tr>
      <w:tr w:rsidR="006C7AA7" w:rsidRPr="00D0306F" w14:paraId="4305923C" w14:textId="77777777" w:rsidTr="00CC3BF4">
        <w:trPr>
          <w:tblCellSpacing w:w="0" w:type="dxa"/>
          <w:jc w:val="center"/>
        </w:trPr>
        <w:tc>
          <w:tcPr>
            <w:tcW w:w="351"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A96F302" w14:textId="77777777" w:rsidR="006C7AA7" w:rsidRPr="00D0306F" w:rsidRDefault="006C7AA7" w:rsidP="00CC3BF4">
            <w:pPr>
              <w:jc w:val="center"/>
              <w:rPr>
                <w:rFonts w:eastAsia="Times New Roman" w:cs="Arial"/>
              </w:rPr>
            </w:pPr>
            <w:r w:rsidRPr="00D0306F">
              <w:rPr>
                <w:rFonts w:eastAsia="Times New Roman" w:cs="Arial"/>
              </w:rPr>
              <w:t>2</w:t>
            </w:r>
          </w:p>
        </w:tc>
        <w:tc>
          <w:tcPr>
            <w:tcW w:w="223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BF55C8E" w14:textId="77777777" w:rsidR="006C7AA7" w:rsidRPr="00D0306F" w:rsidRDefault="006C7AA7" w:rsidP="00CC3BF4">
            <w:pPr>
              <w:rPr>
                <w:rFonts w:eastAsia="Times New Roman" w:cs="Arial"/>
              </w:rPr>
            </w:pPr>
            <w:r w:rsidRPr="00D0306F">
              <w:rPr>
                <w:rFonts w:eastAsia="Times New Roman" w:cs="Arial"/>
              </w:rPr>
              <w:t>Buddhist</w:t>
            </w:r>
          </w:p>
        </w:tc>
        <w:tc>
          <w:tcPr>
            <w:tcW w:w="427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5" w:type="pct"/>
              <w:tblCellMar>
                <w:left w:w="0" w:type="dxa"/>
                <w:right w:w="0" w:type="dxa"/>
              </w:tblCellMar>
              <w:tblLook w:val="04A0" w:firstRow="1" w:lastRow="0" w:firstColumn="1" w:lastColumn="0" w:noHBand="0" w:noVBand="1"/>
            </w:tblPr>
            <w:tblGrid>
              <w:gridCol w:w="82"/>
            </w:tblGrid>
            <w:tr w:rsidR="006C7AA7" w:rsidRPr="00D0306F" w14:paraId="772ABB8A"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1EECA2B5"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3D698968" w14:textId="77777777" w:rsidR="006C7AA7" w:rsidRPr="00D0306F" w:rsidRDefault="006C7AA7" w:rsidP="00CC3BF4">
            <w:pPr>
              <w:rPr>
                <w:rFonts w:eastAsia="Times New Roman" w:cs="Arial"/>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4C92065" w14:textId="77777777" w:rsidR="006C7AA7" w:rsidRPr="00D0306F" w:rsidRDefault="006C7AA7" w:rsidP="00CC3BF4">
            <w:pPr>
              <w:jc w:val="center"/>
              <w:rPr>
                <w:rFonts w:eastAsia="Times New Roman" w:cs="Arial"/>
              </w:rPr>
            </w:pPr>
            <w:r w:rsidRPr="00D0306F">
              <w:rPr>
                <w:rFonts w:eastAsia="Times New Roman" w:cs="Arial"/>
              </w:rPr>
              <w:t>0.9%</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2EC6C5B" w14:textId="77777777" w:rsidR="006C7AA7" w:rsidRPr="00D0306F" w:rsidRDefault="006C7AA7" w:rsidP="00CC3BF4">
            <w:pPr>
              <w:jc w:val="center"/>
              <w:rPr>
                <w:rFonts w:eastAsia="Times New Roman" w:cs="Arial"/>
              </w:rPr>
            </w:pPr>
            <w:r w:rsidRPr="00D0306F">
              <w:rPr>
                <w:rFonts w:eastAsia="Times New Roman" w:cs="Arial"/>
              </w:rPr>
              <w:t>1</w:t>
            </w:r>
          </w:p>
        </w:tc>
      </w:tr>
      <w:tr w:rsidR="006C7AA7" w:rsidRPr="00D0306F" w14:paraId="1229ED4B" w14:textId="77777777" w:rsidTr="00CC3BF4">
        <w:trPr>
          <w:tblCellSpacing w:w="0" w:type="dxa"/>
          <w:jc w:val="center"/>
        </w:trPr>
        <w:tc>
          <w:tcPr>
            <w:tcW w:w="351"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7C7E3F6" w14:textId="77777777" w:rsidR="006C7AA7" w:rsidRPr="00D0306F" w:rsidRDefault="006C7AA7" w:rsidP="00CC3BF4">
            <w:pPr>
              <w:jc w:val="center"/>
              <w:rPr>
                <w:rFonts w:eastAsia="Times New Roman" w:cs="Arial"/>
              </w:rPr>
            </w:pPr>
            <w:r w:rsidRPr="00D0306F">
              <w:rPr>
                <w:rFonts w:eastAsia="Times New Roman" w:cs="Arial"/>
              </w:rPr>
              <w:t>3</w:t>
            </w:r>
          </w:p>
        </w:tc>
        <w:tc>
          <w:tcPr>
            <w:tcW w:w="223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A812EE1" w14:textId="77777777" w:rsidR="006C7AA7" w:rsidRPr="00D0306F" w:rsidRDefault="006C7AA7" w:rsidP="00CC3BF4">
            <w:pPr>
              <w:rPr>
                <w:rFonts w:eastAsia="Times New Roman" w:cs="Arial"/>
              </w:rPr>
            </w:pPr>
            <w:r w:rsidRPr="00D0306F">
              <w:rPr>
                <w:rFonts w:eastAsia="Times New Roman" w:cs="Arial"/>
              </w:rPr>
              <w:t>Hindu</w:t>
            </w:r>
          </w:p>
        </w:tc>
        <w:tc>
          <w:tcPr>
            <w:tcW w:w="427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28F057C3" w14:textId="77777777" w:rsidR="006C7AA7" w:rsidRPr="00D0306F" w:rsidRDefault="006C7AA7" w:rsidP="00CC3BF4">
            <w:pPr>
              <w:rPr>
                <w:rFonts w:eastAsia="Times New Roman" w:cs="Arial"/>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763AE81" w14:textId="77777777" w:rsidR="006C7AA7" w:rsidRPr="00D0306F" w:rsidRDefault="006C7AA7" w:rsidP="00CC3BF4">
            <w:pPr>
              <w:jc w:val="center"/>
              <w:rPr>
                <w:rFonts w:eastAsia="Times New Roman" w:cs="Arial"/>
              </w:rPr>
            </w:pPr>
            <w:r w:rsidRPr="00D0306F">
              <w:rPr>
                <w:rFonts w:eastAsia="Times New Roman" w:cs="Arial"/>
              </w:rPr>
              <w:t>0.0%</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62A5C76"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545A4F09" w14:textId="77777777" w:rsidTr="00CC3BF4">
        <w:trPr>
          <w:tblCellSpacing w:w="0" w:type="dxa"/>
          <w:jc w:val="center"/>
        </w:trPr>
        <w:tc>
          <w:tcPr>
            <w:tcW w:w="351"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D81023A" w14:textId="77777777" w:rsidR="006C7AA7" w:rsidRPr="00D0306F" w:rsidRDefault="006C7AA7" w:rsidP="00CC3BF4">
            <w:pPr>
              <w:jc w:val="center"/>
              <w:rPr>
                <w:rFonts w:eastAsia="Times New Roman" w:cs="Arial"/>
              </w:rPr>
            </w:pPr>
            <w:r w:rsidRPr="00D0306F">
              <w:rPr>
                <w:rFonts w:eastAsia="Times New Roman" w:cs="Arial"/>
              </w:rPr>
              <w:t>4</w:t>
            </w:r>
          </w:p>
        </w:tc>
        <w:tc>
          <w:tcPr>
            <w:tcW w:w="223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93F5CD1" w14:textId="77777777" w:rsidR="006C7AA7" w:rsidRPr="00D0306F" w:rsidRDefault="006C7AA7" w:rsidP="00CC3BF4">
            <w:pPr>
              <w:rPr>
                <w:rFonts w:eastAsia="Times New Roman" w:cs="Arial"/>
              </w:rPr>
            </w:pPr>
            <w:r w:rsidRPr="00D0306F">
              <w:rPr>
                <w:rFonts w:eastAsia="Times New Roman" w:cs="Arial"/>
              </w:rPr>
              <w:t>Muslim</w:t>
            </w:r>
          </w:p>
        </w:tc>
        <w:tc>
          <w:tcPr>
            <w:tcW w:w="427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5ED86736" w14:textId="77777777" w:rsidR="006C7AA7" w:rsidRPr="00D0306F" w:rsidRDefault="006C7AA7" w:rsidP="00CC3BF4">
            <w:pPr>
              <w:rPr>
                <w:rFonts w:eastAsia="Times New Roman" w:cs="Arial"/>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EFC5FAE" w14:textId="77777777" w:rsidR="006C7AA7" w:rsidRPr="00D0306F" w:rsidRDefault="006C7AA7" w:rsidP="00CC3BF4">
            <w:pPr>
              <w:jc w:val="center"/>
              <w:rPr>
                <w:rFonts w:eastAsia="Times New Roman" w:cs="Arial"/>
              </w:rPr>
            </w:pPr>
            <w:r w:rsidRPr="00D0306F">
              <w:rPr>
                <w:rFonts w:eastAsia="Times New Roman" w:cs="Arial"/>
              </w:rPr>
              <w:t>0.0%</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2EF609E"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500B3B50" w14:textId="77777777" w:rsidTr="00CC3BF4">
        <w:trPr>
          <w:tblCellSpacing w:w="0" w:type="dxa"/>
          <w:jc w:val="center"/>
        </w:trPr>
        <w:tc>
          <w:tcPr>
            <w:tcW w:w="351"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796EA9B" w14:textId="77777777" w:rsidR="006C7AA7" w:rsidRPr="00D0306F" w:rsidRDefault="006C7AA7" w:rsidP="00CC3BF4">
            <w:pPr>
              <w:jc w:val="center"/>
              <w:rPr>
                <w:rFonts w:eastAsia="Times New Roman" w:cs="Arial"/>
              </w:rPr>
            </w:pPr>
            <w:r w:rsidRPr="00D0306F">
              <w:rPr>
                <w:rFonts w:eastAsia="Times New Roman" w:cs="Arial"/>
              </w:rPr>
              <w:t>5</w:t>
            </w:r>
          </w:p>
        </w:tc>
        <w:tc>
          <w:tcPr>
            <w:tcW w:w="223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3B30A15" w14:textId="77777777" w:rsidR="006C7AA7" w:rsidRPr="00D0306F" w:rsidRDefault="006C7AA7" w:rsidP="00CC3BF4">
            <w:pPr>
              <w:rPr>
                <w:rFonts w:eastAsia="Times New Roman" w:cs="Arial"/>
              </w:rPr>
            </w:pPr>
            <w:r w:rsidRPr="00D0306F">
              <w:rPr>
                <w:rFonts w:eastAsia="Times New Roman" w:cs="Arial"/>
              </w:rPr>
              <w:t>Sikh</w:t>
            </w:r>
          </w:p>
        </w:tc>
        <w:tc>
          <w:tcPr>
            <w:tcW w:w="427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6696B64C" w14:textId="77777777" w:rsidR="006C7AA7" w:rsidRPr="00D0306F" w:rsidRDefault="006C7AA7" w:rsidP="00CC3BF4">
            <w:pPr>
              <w:rPr>
                <w:rFonts w:eastAsia="Times New Roman" w:cs="Arial"/>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EDC6650" w14:textId="77777777" w:rsidR="006C7AA7" w:rsidRPr="00D0306F" w:rsidRDefault="006C7AA7" w:rsidP="00CC3BF4">
            <w:pPr>
              <w:jc w:val="center"/>
              <w:rPr>
                <w:rFonts w:eastAsia="Times New Roman" w:cs="Arial"/>
              </w:rPr>
            </w:pPr>
            <w:r w:rsidRPr="00D0306F">
              <w:rPr>
                <w:rFonts w:eastAsia="Times New Roman" w:cs="Arial"/>
              </w:rPr>
              <w:t>0.0%</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84DE9B3"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6862786E" w14:textId="77777777" w:rsidTr="00CC3BF4">
        <w:trPr>
          <w:tblCellSpacing w:w="0" w:type="dxa"/>
          <w:jc w:val="center"/>
        </w:trPr>
        <w:tc>
          <w:tcPr>
            <w:tcW w:w="351"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9EF4A3F" w14:textId="77777777" w:rsidR="006C7AA7" w:rsidRPr="00D0306F" w:rsidRDefault="006C7AA7" w:rsidP="00CC3BF4">
            <w:pPr>
              <w:jc w:val="center"/>
              <w:rPr>
                <w:rFonts w:eastAsia="Times New Roman" w:cs="Arial"/>
              </w:rPr>
            </w:pPr>
            <w:r w:rsidRPr="00D0306F">
              <w:rPr>
                <w:rFonts w:eastAsia="Times New Roman" w:cs="Arial"/>
              </w:rPr>
              <w:t>6</w:t>
            </w:r>
          </w:p>
        </w:tc>
        <w:tc>
          <w:tcPr>
            <w:tcW w:w="223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C003917" w14:textId="77777777" w:rsidR="006C7AA7" w:rsidRPr="00D0306F" w:rsidRDefault="006C7AA7" w:rsidP="00CC3BF4">
            <w:pPr>
              <w:rPr>
                <w:rFonts w:eastAsia="Times New Roman" w:cs="Arial"/>
              </w:rPr>
            </w:pPr>
            <w:r w:rsidRPr="00D0306F">
              <w:rPr>
                <w:rFonts w:eastAsia="Times New Roman" w:cs="Arial"/>
              </w:rPr>
              <w:t>Jewish</w:t>
            </w:r>
          </w:p>
        </w:tc>
        <w:tc>
          <w:tcPr>
            <w:tcW w:w="427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3F9AF7E7" w14:textId="77777777" w:rsidR="006C7AA7" w:rsidRPr="00D0306F" w:rsidRDefault="006C7AA7" w:rsidP="00CC3BF4">
            <w:pPr>
              <w:rPr>
                <w:rFonts w:eastAsia="Times New Roman" w:cs="Arial"/>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7253CE0" w14:textId="77777777" w:rsidR="006C7AA7" w:rsidRPr="00D0306F" w:rsidRDefault="006C7AA7" w:rsidP="00CC3BF4">
            <w:pPr>
              <w:jc w:val="center"/>
              <w:rPr>
                <w:rFonts w:eastAsia="Times New Roman" w:cs="Arial"/>
              </w:rPr>
            </w:pPr>
            <w:r w:rsidRPr="00D0306F">
              <w:rPr>
                <w:rFonts w:eastAsia="Times New Roman" w:cs="Arial"/>
              </w:rPr>
              <w:t>0.0%</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A9D1CB1"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7BB28F23" w14:textId="77777777" w:rsidTr="00CC3BF4">
        <w:trPr>
          <w:tblCellSpacing w:w="0" w:type="dxa"/>
          <w:jc w:val="center"/>
        </w:trPr>
        <w:tc>
          <w:tcPr>
            <w:tcW w:w="351"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4B314C4" w14:textId="77777777" w:rsidR="006C7AA7" w:rsidRPr="00D0306F" w:rsidRDefault="006C7AA7" w:rsidP="00CC3BF4">
            <w:pPr>
              <w:jc w:val="center"/>
              <w:rPr>
                <w:rFonts w:eastAsia="Times New Roman" w:cs="Arial"/>
              </w:rPr>
            </w:pPr>
            <w:r w:rsidRPr="00D0306F">
              <w:rPr>
                <w:rFonts w:eastAsia="Times New Roman" w:cs="Arial"/>
              </w:rPr>
              <w:t>7</w:t>
            </w:r>
          </w:p>
        </w:tc>
        <w:tc>
          <w:tcPr>
            <w:tcW w:w="223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5305FE6" w14:textId="77777777" w:rsidR="006C7AA7" w:rsidRPr="00D0306F" w:rsidRDefault="006C7AA7" w:rsidP="00CC3BF4">
            <w:pPr>
              <w:rPr>
                <w:rFonts w:eastAsia="Times New Roman" w:cs="Arial"/>
              </w:rPr>
            </w:pPr>
            <w:r w:rsidRPr="00D0306F">
              <w:rPr>
                <w:rFonts w:eastAsia="Times New Roman" w:cs="Arial"/>
              </w:rPr>
              <w:t>Atheist</w:t>
            </w:r>
          </w:p>
        </w:tc>
        <w:tc>
          <w:tcPr>
            <w:tcW w:w="427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2BDBB2FA" w14:textId="77777777" w:rsidR="006C7AA7" w:rsidRPr="00D0306F" w:rsidRDefault="006C7AA7" w:rsidP="00CC3BF4">
            <w:pPr>
              <w:rPr>
                <w:rFonts w:eastAsia="Times New Roman" w:cs="Arial"/>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66DF20B" w14:textId="77777777" w:rsidR="006C7AA7" w:rsidRPr="00D0306F" w:rsidRDefault="006C7AA7" w:rsidP="00CC3BF4">
            <w:pPr>
              <w:jc w:val="center"/>
              <w:rPr>
                <w:rFonts w:eastAsia="Times New Roman" w:cs="Arial"/>
              </w:rPr>
            </w:pPr>
            <w:r w:rsidRPr="00D0306F">
              <w:rPr>
                <w:rFonts w:eastAsia="Times New Roman" w:cs="Arial"/>
              </w:rPr>
              <w:t>0.0%</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2EB65F0"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0A5599CF" w14:textId="77777777" w:rsidTr="00CC3BF4">
        <w:trPr>
          <w:tblCellSpacing w:w="0" w:type="dxa"/>
          <w:jc w:val="center"/>
        </w:trPr>
        <w:tc>
          <w:tcPr>
            <w:tcW w:w="351"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C2A2196" w14:textId="77777777" w:rsidR="006C7AA7" w:rsidRPr="00D0306F" w:rsidRDefault="006C7AA7" w:rsidP="00CC3BF4">
            <w:pPr>
              <w:jc w:val="center"/>
              <w:rPr>
                <w:rFonts w:eastAsia="Times New Roman" w:cs="Arial"/>
              </w:rPr>
            </w:pPr>
            <w:r w:rsidRPr="00D0306F">
              <w:rPr>
                <w:rFonts w:eastAsia="Times New Roman" w:cs="Arial"/>
              </w:rPr>
              <w:t>8</w:t>
            </w:r>
          </w:p>
        </w:tc>
        <w:tc>
          <w:tcPr>
            <w:tcW w:w="223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7573250" w14:textId="77777777" w:rsidR="006C7AA7" w:rsidRPr="00D0306F" w:rsidRDefault="006C7AA7" w:rsidP="00CC3BF4">
            <w:pPr>
              <w:rPr>
                <w:rFonts w:eastAsia="Times New Roman" w:cs="Arial"/>
              </w:rPr>
            </w:pPr>
            <w:r w:rsidRPr="00D0306F">
              <w:rPr>
                <w:rFonts w:eastAsia="Times New Roman" w:cs="Arial"/>
              </w:rPr>
              <w:t>No religion</w:t>
            </w:r>
          </w:p>
        </w:tc>
        <w:tc>
          <w:tcPr>
            <w:tcW w:w="427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863" w:type="pct"/>
              <w:tblCellMar>
                <w:left w:w="0" w:type="dxa"/>
                <w:right w:w="0" w:type="dxa"/>
              </w:tblCellMar>
              <w:tblLook w:val="04A0" w:firstRow="1" w:lastRow="0" w:firstColumn="1" w:lastColumn="0" w:noHBand="0" w:noVBand="1"/>
            </w:tblPr>
            <w:tblGrid>
              <w:gridCol w:w="1322"/>
            </w:tblGrid>
            <w:tr w:rsidR="006C7AA7" w:rsidRPr="00D0306F" w14:paraId="51FAEAE0" w14:textId="77777777" w:rsidTr="00CC3BF4">
              <w:tc>
                <w:tcPr>
                  <w:tcW w:w="0" w:type="auto"/>
                  <w:tcBorders>
                    <w:top w:val="single" w:sz="6" w:space="0" w:color="E91E63"/>
                    <w:left w:val="single" w:sz="6" w:space="0" w:color="E91E63"/>
                    <w:bottom w:val="single" w:sz="6" w:space="0" w:color="E91E63"/>
                    <w:right w:val="single" w:sz="6" w:space="0" w:color="E91E63"/>
                  </w:tcBorders>
                  <w:shd w:val="clear" w:color="auto" w:fill="E91E63"/>
                  <w:vAlign w:val="center"/>
                  <w:hideMark/>
                </w:tcPr>
                <w:p w14:paraId="7731F117"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22118664" w14:textId="77777777" w:rsidR="006C7AA7" w:rsidRPr="00D0306F" w:rsidRDefault="006C7AA7" w:rsidP="00CC3BF4">
            <w:pPr>
              <w:rPr>
                <w:rFonts w:eastAsia="Times New Roman" w:cs="Arial"/>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55D7D34" w14:textId="77777777" w:rsidR="006C7AA7" w:rsidRPr="00D0306F" w:rsidRDefault="006C7AA7" w:rsidP="00CC3BF4">
            <w:pPr>
              <w:jc w:val="center"/>
              <w:rPr>
                <w:rFonts w:eastAsia="Times New Roman" w:cs="Arial"/>
              </w:rPr>
            </w:pPr>
            <w:r w:rsidRPr="00D0306F">
              <w:rPr>
                <w:rFonts w:eastAsia="Times New Roman" w:cs="Arial"/>
              </w:rPr>
              <w:t>36.9%</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E98E352" w14:textId="77777777" w:rsidR="006C7AA7" w:rsidRPr="00D0306F" w:rsidRDefault="006C7AA7" w:rsidP="00CC3BF4">
            <w:pPr>
              <w:jc w:val="center"/>
              <w:rPr>
                <w:rFonts w:eastAsia="Times New Roman" w:cs="Arial"/>
              </w:rPr>
            </w:pPr>
            <w:r w:rsidRPr="00D0306F">
              <w:rPr>
                <w:rFonts w:eastAsia="Times New Roman" w:cs="Arial"/>
              </w:rPr>
              <w:t>41</w:t>
            </w:r>
          </w:p>
        </w:tc>
      </w:tr>
      <w:tr w:rsidR="006C7AA7" w:rsidRPr="00D0306F" w14:paraId="63F4D346" w14:textId="77777777" w:rsidTr="00CC3BF4">
        <w:trPr>
          <w:tblCellSpacing w:w="0" w:type="dxa"/>
          <w:jc w:val="center"/>
        </w:trPr>
        <w:tc>
          <w:tcPr>
            <w:tcW w:w="351"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0FA4596" w14:textId="77777777" w:rsidR="006C7AA7" w:rsidRPr="00D0306F" w:rsidRDefault="006C7AA7" w:rsidP="00CC3BF4">
            <w:pPr>
              <w:jc w:val="center"/>
              <w:rPr>
                <w:rFonts w:eastAsia="Times New Roman" w:cs="Arial"/>
              </w:rPr>
            </w:pPr>
            <w:r w:rsidRPr="00D0306F">
              <w:rPr>
                <w:rFonts w:eastAsia="Times New Roman" w:cs="Arial"/>
              </w:rPr>
              <w:t>9</w:t>
            </w:r>
          </w:p>
        </w:tc>
        <w:tc>
          <w:tcPr>
            <w:tcW w:w="223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C4C457C" w14:textId="77777777" w:rsidR="006C7AA7" w:rsidRPr="00D0306F" w:rsidRDefault="006C7AA7" w:rsidP="00CC3BF4">
            <w:pPr>
              <w:rPr>
                <w:rFonts w:eastAsia="Times New Roman" w:cs="Arial"/>
              </w:rPr>
            </w:pPr>
            <w:r w:rsidRPr="00D0306F">
              <w:rPr>
                <w:rFonts w:eastAsia="Times New Roman" w:cs="Arial"/>
              </w:rPr>
              <w:t>Prefer not to say</w:t>
            </w:r>
          </w:p>
        </w:tc>
        <w:tc>
          <w:tcPr>
            <w:tcW w:w="427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82" w:type="pct"/>
              <w:tblCellMar>
                <w:left w:w="0" w:type="dxa"/>
                <w:right w:w="0" w:type="dxa"/>
              </w:tblCellMar>
              <w:tblLook w:val="04A0" w:firstRow="1" w:lastRow="0" w:firstColumn="1" w:lastColumn="0" w:noHBand="0" w:noVBand="1"/>
            </w:tblPr>
            <w:tblGrid>
              <w:gridCol w:w="129"/>
            </w:tblGrid>
            <w:tr w:rsidR="006C7AA7" w:rsidRPr="00D0306F" w14:paraId="75251227" w14:textId="77777777" w:rsidTr="00CC3BF4">
              <w:tc>
                <w:tcPr>
                  <w:tcW w:w="0" w:type="auto"/>
                  <w:tcBorders>
                    <w:top w:val="single" w:sz="6" w:space="0" w:color="009688"/>
                    <w:left w:val="single" w:sz="6" w:space="0" w:color="009688"/>
                    <w:bottom w:val="single" w:sz="6" w:space="0" w:color="009688"/>
                    <w:right w:val="single" w:sz="6" w:space="0" w:color="009688"/>
                  </w:tcBorders>
                  <w:shd w:val="clear" w:color="auto" w:fill="009688"/>
                  <w:vAlign w:val="center"/>
                  <w:hideMark/>
                </w:tcPr>
                <w:p w14:paraId="45129684"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2A3657F5" w14:textId="77777777" w:rsidR="006C7AA7" w:rsidRPr="00D0306F" w:rsidRDefault="006C7AA7" w:rsidP="00CC3BF4">
            <w:pPr>
              <w:rPr>
                <w:rFonts w:eastAsia="Times New Roman" w:cs="Arial"/>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1D91A2A" w14:textId="77777777" w:rsidR="006C7AA7" w:rsidRPr="00D0306F" w:rsidRDefault="006C7AA7" w:rsidP="00CC3BF4">
            <w:pPr>
              <w:jc w:val="center"/>
              <w:rPr>
                <w:rFonts w:eastAsia="Times New Roman" w:cs="Arial"/>
              </w:rPr>
            </w:pPr>
            <w:r w:rsidRPr="00D0306F">
              <w:rPr>
                <w:rFonts w:eastAsia="Times New Roman" w:cs="Arial"/>
              </w:rPr>
              <w:t>3.6%</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0CD6DAA" w14:textId="77777777" w:rsidR="006C7AA7" w:rsidRPr="00D0306F" w:rsidRDefault="006C7AA7" w:rsidP="00CC3BF4">
            <w:pPr>
              <w:jc w:val="center"/>
              <w:rPr>
                <w:rFonts w:eastAsia="Times New Roman" w:cs="Arial"/>
              </w:rPr>
            </w:pPr>
            <w:r w:rsidRPr="00D0306F">
              <w:rPr>
                <w:rFonts w:eastAsia="Times New Roman" w:cs="Arial"/>
              </w:rPr>
              <w:t>4</w:t>
            </w:r>
          </w:p>
        </w:tc>
      </w:tr>
      <w:tr w:rsidR="006C7AA7" w:rsidRPr="00D0306F" w14:paraId="50DEE9E7" w14:textId="77777777" w:rsidTr="00CC3BF4">
        <w:trPr>
          <w:tblCellSpacing w:w="0" w:type="dxa"/>
          <w:jc w:val="center"/>
        </w:trPr>
        <w:tc>
          <w:tcPr>
            <w:tcW w:w="351"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259FDF7" w14:textId="77777777" w:rsidR="006C7AA7" w:rsidRPr="00D0306F" w:rsidRDefault="006C7AA7" w:rsidP="00CC3BF4">
            <w:pPr>
              <w:jc w:val="center"/>
              <w:rPr>
                <w:rFonts w:eastAsia="Times New Roman" w:cs="Arial"/>
              </w:rPr>
            </w:pPr>
            <w:r w:rsidRPr="00D0306F">
              <w:rPr>
                <w:rFonts w:eastAsia="Times New Roman" w:cs="Arial"/>
              </w:rPr>
              <w:t>10</w:t>
            </w:r>
          </w:p>
        </w:tc>
        <w:tc>
          <w:tcPr>
            <w:tcW w:w="223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170B5CA" w14:textId="77777777" w:rsidR="006C7AA7" w:rsidRPr="00D0306F" w:rsidRDefault="006C7AA7" w:rsidP="00CC3BF4">
            <w:pPr>
              <w:rPr>
                <w:rFonts w:eastAsia="Times New Roman" w:cs="Arial"/>
              </w:rPr>
            </w:pPr>
            <w:r w:rsidRPr="00D0306F">
              <w:rPr>
                <w:rFonts w:eastAsia="Times New Roman" w:cs="Arial"/>
              </w:rPr>
              <w:t>Other (please specify):</w:t>
            </w:r>
          </w:p>
        </w:tc>
        <w:tc>
          <w:tcPr>
            <w:tcW w:w="427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1" w:type="pct"/>
              <w:tblCellMar>
                <w:left w:w="0" w:type="dxa"/>
                <w:right w:w="0" w:type="dxa"/>
              </w:tblCellMar>
              <w:tblLook w:val="04A0" w:firstRow="1" w:lastRow="0" w:firstColumn="1" w:lastColumn="0" w:noHBand="0" w:noVBand="1"/>
            </w:tblPr>
            <w:tblGrid>
              <w:gridCol w:w="82"/>
            </w:tblGrid>
            <w:tr w:rsidR="006C7AA7" w:rsidRPr="00D0306F" w14:paraId="4D4B97FF" w14:textId="77777777" w:rsidTr="00CC3BF4">
              <w:tc>
                <w:tcPr>
                  <w:tcW w:w="0" w:type="auto"/>
                  <w:tcBorders>
                    <w:top w:val="single" w:sz="6" w:space="0" w:color="D32F2F"/>
                    <w:left w:val="single" w:sz="6" w:space="0" w:color="D32F2F"/>
                    <w:bottom w:val="single" w:sz="6" w:space="0" w:color="D32F2F"/>
                    <w:right w:val="single" w:sz="6" w:space="0" w:color="D32F2F"/>
                  </w:tcBorders>
                  <w:shd w:val="clear" w:color="auto" w:fill="D32F2F"/>
                  <w:vAlign w:val="center"/>
                  <w:hideMark/>
                </w:tcPr>
                <w:p w14:paraId="2BFABDAE"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812FF08" w14:textId="77777777" w:rsidR="006C7AA7" w:rsidRPr="00D0306F" w:rsidRDefault="006C7AA7" w:rsidP="00CC3BF4">
            <w:pPr>
              <w:rPr>
                <w:rFonts w:eastAsia="Times New Roman" w:cs="Arial"/>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BCEB73D" w14:textId="77777777" w:rsidR="006C7AA7" w:rsidRPr="00D0306F" w:rsidRDefault="006C7AA7" w:rsidP="00CC3BF4">
            <w:pPr>
              <w:jc w:val="center"/>
              <w:rPr>
                <w:rFonts w:eastAsia="Times New Roman" w:cs="Arial"/>
              </w:rPr>
            </w:pPr>
            <w:r w:rsidRPr="00D0306F">
              <w:rPr>
                <w:rFonts w:eastAsia="Times New Roman" w:cs="Arial"/>
              </w:rPr>
              <w:t>1.8%</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4587721" w14:textId="77777777" w:rsidR="006C7AA7" w:rsidRPr="00D0306F" w:rsidRDefault="006C7AA7" w:rsidP="00CC3BF4">
            <w:pPr>
              <w:jc w:val="center"/>
              <w:rPr>
                <w:rFonts w:eastAsia="Times New Roman" w:cs="Arial"/>
              </w:rPr>
            </w:pPr>
            <w:r w:rsidRPr="00D0306F">
              <w:rPr>
                <w:rFonts w:eastAsia="Times New Roman" w:cs="Arial"/>
              </w:rPr>
              <w:t>2</w:t>
            </w:r>
          </w:p>
        </w:tc>
      </w:tr>
      <w:tr w:rsidR="006C7AA7" w:rsidRPr="00D0306F" w14:paraId="0823717F" w14:textId="77777777" w:rsidTr="00CC3BF4">
        <w:trPr>
          <w:tblCellSpacing w:w="0" w:type="dxa"/>
          <w:jc w:val="center"/>
        </w:trPr>
        <w:tc>
          <w:tcPr>
            <w:tcW w:w="6868"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12C0369C" w14:textId="77777777" w:rsidR="006C7AA7" w:rsidRPr="00D0306F" w:rsidRDefault="006C7AA7" w:rsidP="00CC3BF4">
            <w:pPr>
              <w:jc w:val="center"/>
              <w:rPr>
                <w:rFonts w:eastAsia="Times New Roman" w:cs="Arial"/>
              </w:rPr>
            </w:pPr>
          </w:p>
        </w:tc>
        <w:tc>
          <w:tcPr>
            <w:tcW w:w="1026"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2FBC387" w14:textId="77777777" w:rsidR="006C7AA7" w:rsidRPr="00D0306F" w:rsidRDefault="006C7AA7" w:rsidP="00CC3BF4">
            <w:pPr>
              <w:jc w:val="center"/>
              <w:rPr>
                <w:rFonts w:eastAsia="Times New Roman" w:cs="Arial"/>
              </w:rPr>
            </w:pPr>
            <w:r w:rsidRPr="00D0306F">
              <w:rPr>
                <w:rFonts w:eastAsia="Times New Roman" w:cs="Arial"/>
              </w:rPr>
              <w:t>answered</w:t>
            </w:r>
          </w:p>
        </w:tc>
        <w:tc>
          <w:tcPr>
            <w:tcW w:w="1026"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F890F79" w14:textId="77777777" w:rsidR="006C7AA7" w:rsidRPr="00D0306F" w:rsidRDefault="006C7AA7" w:rsidP="00CC3BF4">
            <w:pPr>
              <w:jc w:val="center"/>
              <w:rPr>
                <w:rFonts w:eastAsia="Times New Roman" w:cs="Arial"/>
              </w:rPr>
            </w:pPr>
            <w:r w:rsidRPr="00D0306F">
              <w:rPr>
                <w:rFonts w:eastAsia="Times New Roman" w:cs="Arial"/>
              </w:rPr>
              <w:t>111</w:t>
            </w:r>
          </w:p>
        </w:tc>
      </w:tr>
      <w:tr w:rsidR="006C7AA7" w:rsidRPr="00D0306F" w14:paraId="54F42087" w14:textId="77777777" w:rsidTr="00CC3BF4">
        <w:trPr>
          <w:tblCellSpacing w:w="0" w:type="dxa"/>
          <w:jc w:val="center"/>
        </w:trPr>
        <w:tc>
          <w:tcPr>
            <w:tcW w:w="6868" w:type="dxa"/>
            <w:gridSpan w:val="3"/>
            <w:vMerge/>
            <w:tcBorders>
              <w:top w:val="single" w:sz="6" w:space="0" w:color="CCCCCC"/>
              <w:left w:val="nil"/>
              <w:bottom w:val="nil"/>
              <w:right w:val="single" w:sz="6" w:space="0" w:color="CCCCCC"/>
            </w:tcBorders>
            <w:vAlign w:val="center"/>
            <w:hideMark/>
          </w:tcPr>
          <w:p w14:paraId="52C5D520" w14:textId="77777777" w:rsidR="006C7AA7" w:rsidRPr="00D0306F" w:rsidRDefault="006C7AA7" w:rsidP="00CC3BF4">
            <w:pPr>
              <w:rPr>
                <w:rFonts w:eastAsia="Times New Roman" w:cs="Arial"/>
              </w:rPr>
            </w:pPr>
          </w:p>
        </w:tc>
        <w:tc>
          <w:tcPr>
            <w:tcW w:w="1026"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A8E0B1D" w14:textId="77777777" w:rsidR="006C7AA7" w:rsidRPr="00D0306F" w:rsidRDefault="006C7AA7" w:rsidP="00CC3BF4">
            <w:pPr>
              <w:jc w:val="center"/>
              <w:rPr>
                <w:rFonts w:eastAsia="Times New Roman" w:cs="Arial"/>
              </w:rPr>
            </w:pPr>
            <w:r w:rsidRPr="00D0306F">
              <w:rPr>
                <w:rFonts w:eastAsia="Times New Roman" w:cs="Arial"/>
              </w:rPr>
              <w:t>skipped</w:t>
            </w:r>
          </w:p>
        </w:tc>
        <w:tc>
          <w:tcPr>
            <w:tcW w:w="1026"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64D0CE3" w14:textId="77777777" w:rsidR="006C7AA7" w:rsidRPr="00D0306F" w:rsidRDefault="006C7AA7" w:rsidP="00CC3BF4">
            <w:pPr>
              <w:jc w:val="center"/>
              <w:rPr>
                <w:rFonts w:eastAsia="Times New Roman" w:cs="Arial"/>
              </w:rPr>
            </w:pPr>
            <w:r w:rsidRPr="00D0306F">
              <w:rPr>
                <w:rFonts w:eastAsia="Times New Roman" w:cs="Arial"/>
              </w:rPr>
              <w:t>8</w:t>
            </w:r>
          </w:p>
        </w:tc>
      </w:tr>
      <w:tr w:rsidR="006C7AA7" w:rsidRPr="00D0306F" w14:paraId="30359FBB" w14:textId="77777777" w:rsidTr="00CC3BF4">
        <w:trPr>
          <w:tblCellSpacing w:w="0" w:type="dxa"/>
          <w:jc w:val="center"/>
        </w:trPr>
        <w:tc>
          <w:tcPr>
            <w:tcW w:w="8920" w:type="dxa"/>
            <w:gridSpan w:val="5"/>
            <w:tcBorders>
              <w:top w:val="single" w:sz="6" w:space="0" w:color="CCCCCC"/>
              <w:right w:val="single" w:sz="6" w:space="0" w:color="CCCCCC"/>
            </w:tcBorders>
            <w:shd w:val="clear" w:color="auto" w:fill="FFFFFF"/>
            <w:tcMar>
              <w:top w:w="120" w:type="dxa"/>
              <w:left w:w="150" w:type="dxa"/>
              <w:bottom w:w="120" w:type="dxa"/>
              <w:right w:w="150" w:type="dxa"/>
            </w:tcMar>
            <w:vAlign w:val="center"/>
            <w:hideMark/>
          </w:tcPr>
          <w:p w14:paraId="3490C07F" w14:textId="77777777" w:rsidR="006C7AA7" w:rsidRPr="00D0306F" w:rsidRDefault="006C7AA7" w:rsidP="00CC3BF4">
            <w:pPr>
              <w:rPr>
                <w:rFonts w:eastAsia="Times New Roman" w:cs="Arial"/>
              </w:rPr>
            </w:pPr>
            <w:r w:rsidRPr="00D0306F">
              <w:rPr>
                <w:rFonts w:eastAsia="Times New Roman" w:cs="Arial"/>
              </w:rPr>
              <w:t>Other (please specify): (2)</w:t>
            </w:r>
          </w:p>
        </w:tc>
      </w:tr>
      <w:tr w:rsidR="006C7AA7" w:rsidRPr="00D0306F" w14:paraId="591AEA65" w14:textId="77777777" w:rsidTr="00CC3BF4">
        <w:trPr>
          <w:tblCellSpacing w:w="0" w:type="dxa"/>
          <w:jc w:val="center"/>
        </w:trPr>
        <w:tc>
          <w:tcPr>
            <w:tcW w:w="8920" w:type="dxa"/>
            <w:gridSpan w:val="5"/>
            <w:tcBorders>
              <w:top w:val="single" w:sz="6" w:space="0" w:color="CCCCCC"/>
              <w:bottom w:val="single" w:sz="6" w:space="0" w:color="CCCCCC"/>
              <w:right w:val="single" w:sz="6" w:space="0" w:color="CCCCCC"/>
            </w:tcBorders>
            <w:shd w:val="clear" w:color="auto" w:fill="FFFFFF"/>
            <w:tcMar>
              <w:top w:w="0" w:type="dxa"/>
              <w:left w:w="420" w:type="dxa"/>
              <w:bottom w:w="0" w:type="dxa"/>
              <w:right w:w="0" w:type="dxa"/>
            </w:tcMar>
            <w:vAlign w:val="center"/>
            <w:hideMark/>
          </w:tcPr>
          <w:tbl>
            <w:tblPr>
              <w:tblW w:w="5000" w:type="pct"/>
              <w:tblBorders>
                <w:left w:val="single" w:sz="6" w:space="0" w:color="CCCCCC"/>
              </w:tblBorders>
              <w:tblCellMar>
                <w:top w:w="15" w:type="dxa"/>
                <w:left w:w="15" w:type="dxa"/>
                <w:bottom w:w="15" w:type="dxa"/>
                <w:right w:w="15" w:type="dxa"/>
              </w:tblCellMar>
              <w:tblLook w:val="04A0" w:firstRow="1" w:lastRow="0" w:firstColumn="1" w:lastColumn="0" w:noHBand="0" w:noVBand="1"/>
            </w:tblPr>
            <w:tblGrid>
              <w:gridCol w:w="284"/>
              <w:gridCol w:w="1800"/>
              <w:gridCol w:w="6386"/>
            </w:tblGrid>
            <w:tr w:rsidR="006C7AA7" w:rsidRPr="00D0306F" w14:paraId="75AFE4BA"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43D8960" w14:textId="77777777" w:rsidR="006C7AA7" w:rsidRPr="00D0306F" w:rsidRDefault="006C7AA7" w:rsidP="00CC3BF4">
                  <w:pPr>
                    <w:jc w:val="center"/>
                    <w:rPr>
                      <w:rFonts w:eastAsia="Times New Roman" w:cs="Arial"/>
                    </w:rPr>
                  </w:pPr>
                  <w:r w:rsidRPr="00D0306F">
                    <w:rPr>
                      <w:rFonts w:eastAsia="Times New Roman" w:cs="Arial"/>
                    </w:rPr>
                    <w:t>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7CBE372"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3E14F67" w14:textId="77777777" w:rsidR="006C7AA7" w:rsidRPr="00D0306F" w:rsidRDefault="006C7AA7" w:rsidP="00CC3BF4">
                  <w:pPr>
                    <w:rPr>
                      <w:rFonts w:eastAsia="Times New Roman" w:cs="Arial"/>
                    </w:rPr>
                  </w:pPr>
                  <w:r w:rsidRPr="00D0306F">
                    <w:rPr>
                      <w:rFonts w:eastAsia="Times New Roman" w:cs="Arial"/>
                    </w:rPr>
                    <w:t xml:space="preserve">Spiritual </w:t>
                  </w:r>
                </w:p>
              </w:tc>
            </w:tr>
            <w:tr w:rsidR="006C7AA7" w:rsidRPr="00D0306F" w14:paraId="3B7A8496" w14:textId="77777777" w:rsidTr="00CC3BF4">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7E6AA41" w14:textId="77777777" w:rsidR="006C7AA7" w:rsidRPr="00D0306F" w:rsidRDefault="006C7AA7" w:rsidP="00CC3BF4">
                  <w:pPr>
                    <w:jc w:val="center"/>
                    <w:rPr>
                      <w:rFonts w:eastAsia="Times New Roman" w:cs="Arial"/>
                    </w:rPr>
                  </w:pPr>
                  <w:r w:rsidRPr="00D0306F">
                    <w:rPr>
                      <w:rFonts w:eastAsia="Times New Roman" w:cs="Arial"/>
                    </w:rPr>
                    <w:t>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71E7506" w14:textId="77777777" w:rsidR="006C7AA7" w:rsidRPr="00D0306F" w:rsidRDefault="006C7AA7" w:rsidP="00CC3BF4">
                  <w:pPr>
                    <w:jc w:val="center"/>
                    <w:rPr>
                      <w:rFonts w:eastAsia="Times New Roman" w:cs="Arial"/>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67C594C" w14:textId="77777777" w:rsidR="006C7AA7" w:rsidRPr="00D0306F" w:rsidRDefault="006C7AA7" w:rsidP="00CC3BF4">
                  <w:pPr>
                    <w:rPr>
                      <w:rFonts w:eastAsia="Times New Roman" w:cs="Arial"/>
                    </w:rPr>
                  </w:pPr>
                  <w:r w:rsidRPr="00D0306F">
                    <w:rPr>
                      <w:rFonts w:eastAsia="Times New Roman" w:cs="Arial"/>
                    </w:rPr>
                    <w:t>U messed these questions up</w:t>
                  </w:r>
                </w:p>
              </w:tc>
            </w:tr>
          </w:tbl>
          <w:p w14:paraId="663D4F5F" w14:textId="77777777" w:rsidR="006C7AA7" w:rsidRPr="00D0306F" w:rsidRDefault="006C7AA7" w:rsidP="00CC3BF4">
            <w:pPr>
              <w:rPr>
                <w:rFonts w:eastAsia="Times New Roman" w:cs="Arial"/>
              </w:rPr>
            </w:pPr>
          </w:p>
        </w:tc>
      </w:tr>
    </w:tbl>
    <w:p w14:paraId="789EFA55" w14:textId="77777777" w:rsidR="006C7AA7" w:rsidRPr="00D0306F" w:rsidRDefault="006C7AA7" w:rsidP="006C7AA7">
      <w:pPr>
        <w:rPr>
          <w:rFonts w:eastAsia="Times New Roman" w:cs="Arial"/>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9"/>
        <w:gridCol w:w="2098"/>
        <w:gridCol w:w="3897"/>
        <w:gridCol w:w="1313"/>
        <w:gridCol w:w="1313"/>
      </w:tblGrid>
      <w:tr w:rsidR="006C7AA7" w:rsidRPr="00D0306F" w14:paraId="5CA5A3ED"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05F68053" w14:textId="528AB010" w:rsidR="006C7AA7" w:rsidRPr="00D0306F" w:rsidRDefault="006C7AA7" w:rsidP="00CC3BF4">
            <w:pPr>
              <w:rPr>
                <w:rFonts w:eastAsia="Times New Roman" w:cs="Arial"/>
                <w:b/>
                <w:bCs/>
                <w:color w:val="FFFFFF"/>
              </w:rPr>
            </w:pPr>
            <w:r w:rsidRPr="00D0306F">
              <w:rPr>
                <w:rFonts w:eastAsia="Times New Roman" w:cs="Arial"/>
                <w:b/>
                <w:bCs/>
                <w:color w:val="FFFFFF"/>
              </w:rPr>
              <w:lastRenderedPageBreak/>
              <w:t>31. Marital status - are you married or in a civil partnership?</w:t>
            </w:r>
            <w:r w:rsidR="00B752FC">
              <w:rPr>
                <w:rFonts w:eastAsia="Times New Roman" w:cs="Arial"/>
                <w:b/>
                <w:bCs/>
                <w:color w:val="FFFFFF"/>
              </w:rPr>
              <w:t xml:space="preserve"> </w:t>
            </w:r>
          </w:p>
        </w:tc>
      </w:tr>
      <w:tr w:rsidR="006C7AA7" w:rsidRPr="00D0306F" w14:paraId="5F88099D"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598EA8A4"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50E88AD9"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0423768F"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6E6F9F97" w14:textId="77777777" w:rsidTr="00CC3BF4">
        <w:trPr>
          <w:tblCellSpacing w:w="0" w:type="dxa"/>
          <w:jc w:val="center"/>
        </w:trPr>
        <w:tc>
          <w:tcPr>
            <w:tcW w:w="299"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0E5B8AF" w14:textId="77777777" w:rsidR="006C7AA7" w:rsidRPr="00D0306F" w:rsidRDefault="006C7AA7" w:rsidP="00CC3BF4">
            <w:pPr>
              <w:jc w:val="center"/>
              <w:rPr>
                <w:rFonts w:eastAsia="Times New Roman" w:cs="Arial"/>
              </w:rPr>
            </w:pPr>
            <w:r w:rsidRPr="00D0306F">
              <w:rPr>
                <w:rFonts w:eastAsia="Times New Roman" w:cs="Arial"/>
              </w:rPr>
              <w:t>1</w:t>
            </w:r>
          </w:p>
        </w:tc>
        <w:tc>
          <w:tcPr>
            <w:tcW w:w="20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7EAD397" w14:textId="77777777" w:rsidR="006C7AA7" w:rsidRPr="00D0306F" w:rsidRDefault="006C7AA7" w:rsidP="00CC3BF4">
            <w:pPr>
              <w:rPr>
                <w:rFonts w:eastAsia="Times New Roman" w:cs="Arial"/>
              </w:rPr>
            </w:pPr>
            <w:r w:rsidRPr="00D0306F">
              <w:rPr>
                <w:rFonts w:eastAsia="Times New Roman" w:cs="Arial"/>
              </w:rPr>
              <w:t>Yes</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347" w:type="pct"/>
              <w:tblCellMar>
                <w:left w:w="0" w:type="dxa"/>
                <w:right w:w="0" w:type="dxa"/>
              </w:tblCellMar>
              <w:tblLook w:val="04A0" w:firstRow="1" w:lastRow="0" w:firstColumn="1" w:lastColumn="0" w:noHBand="0" w:noVBand="1"/>
            </w:tblPr>
            <w:tblGrid>
              <w:gridCol w:w="2508"/>
            </w:tblGrid>
            <w:tr w:rsidR="006C7AA7" w:rsidRPr="00D0306F" w14:paraId="37B3275F"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56C3FC4E"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EFA4060"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1848D0D" w14:textId="77777777" w:rsidR="006C7AA7" w:rsidRPr="00D0306F" w:rsidRDefault="006C7AA7" w:rsidP="00CC3BF4">
            <w:pPr>
              <w:jc w:val="center"/>
              <w:rPr>
                <w:rFonts w:eastAsia="Times New Roman" w:cs="Arial"/>
              </w:rPr>
            </w:pPr>
            <w:r w:rsidRPr="00D0306F">
              <w:rPr>
                <w:rFonts w:eastAsia="Times New Roman" w:cs="Arial"/>
              </w:rPr>
              <w:t>67.2%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523EE09" w14:textId="77777777" w:rsidR="006C7AA7" w:rsidRPr="00D0306F" w:rsidRDefault="006C7AA7" w:rsidP="00CC3BF4">
            <w:pPr>
              <w:jc w:val="center"/>
              <w:rPr>
                <w:rFonts w:eastAsia="Times New Roman" w:cs="Arial"/>
              </w:rPr>
            </w:pPr>
            <w:r w:rsidRPr="00D0306F">
              <w:rPr>
                <w:rFonts w:eastAsia="Times New Roman" w:cs="Arial"/>
              </w:rPr>
              <w:t>80</w:t>
            </w:r>
          </w:p>
        </w:tc>
      </w:tr>
      <w:tr w:rsidR="006C7AA7" w:rsidRPr="00D0306F" w14:paraId="39F02D9A" w14:textId="77777777" w:rsidTr="00CC3BF4">
        <w:trPr>
          <w:tblCellSpacing w:w="0" w:type="dxa"/>
          <w:jc w:val="center"/>
        </w:trPr>
        <w:tc>
          <w:tcPr>
            <w:tcW w:w="299"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B4A5945" w14:textId="77777777" w:rsidR="006C7AA7" w:rsidRPr="00D0306F" w:rsidRDefault="006C7AA7" w:rsidP="00CC3BF4">
            <w:pPr>
              <w:jc w:val="center"/>
              <w:rPr>
                <w:rFonts w:eastAsia="Times New Roman" w:cs="Arial"/>
              </w:rPr>
            </w:pPr>
            <w:r w:rsidRPr="00D0306F">
              <w:rPr>
                <w:rFonts w:eastAsia="Times New Roman" w:cs="Arial"/>
              </w:rPr>
              <w:t>2</w:t>
            </w:r>
          </w:p>
        </w:tc>
        <w:tc>
          <w:tcPr>
            <w:tcW w:w="20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E4F77D1" w14:textId="77777777" w:rsidR="006C7AA7" w:rsidRPr="00D0306F" w:rsidRDefault="006C7AA7" w:rsidP="00CC3BF4">
            <w:pPr>
              <w:rPr>
                <w:rFonts w:eastAsia="Times New Roman" w:cs="Arial"/>
              </w:rPr>
            </w:pPr>
            <w:r w:rsidRPr="00D0306F">
              <w:rPr>
                <w:rFonts w:eastAsia="Times New Roman" w:cs="Arial"/>
              </w:rPr>
              <w:t>No</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10" w:type="pct"/>
              <w:tblCellMar>
                <w:left w:w="0" w:type="dxa"/>
                <w:right w:w="0" w:type="dxa"/>
              </w:tblCellMar>
              <w:tblLook w:val="04A0" w:firstRow="1" w:lastRow="0" w:firstColumn="1" w:lastColumn="0" w:noHBand="0" w:noVBand="1"/>
            </w:tblPr>
            <w:tblGrid>
              <w:gridCol w:w="1206"/>
            </w:tblGrid>
            <w:tr w:rsidR="006C7AA7" w:rsidRPr="00D0306F" w14:paraId="2C8334BD"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49B47F44"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408AF2C1"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D8FA384" w14:textId="77777777" w:rsidR="006C7AA7" w:rsidRPr="00D0306F" w:rsidRDefault="006C7AA7" w:rsidP="00CC3BF4">
            <w:pPr>
              <w:jc w:val="center"/>
              <w:rPr>
                <w:rFonts w:eastAsia="Times New Roman" w:cs="Arial"/>
              </w:rPr>
            </w:pPr>
            <w:r w:rsidRPr="00D0306F">
              <w:rPr>
                <w:rFonts w:eastAsia="Times New Roman" w:cs="Arial"/>
              </w:rPr>
              <w:t>31.9%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A80CAC7" w14:textId="77777777" w:rsidR="006C7AA7" w:rsidRPr="00D0306F" w:rsidRDefault="006C7AA7" w:rsidP="00CC3BF4">
            <w:pPr>
              <w:jc w:val="center"/>
              <w:rPr>
                <w:rFonts w:eastAsia="Times New Roman" w:cs="Arial"/>
              </w:rPr>
            </w:pPr>
            <w:r w:rsidRPr="00D0306F">
              <w:rPr>
                <w:rFonts w:eastAsia="Times New Roman" w:cs="Arial"/>
              </w:rPr>
              <w:t>38</w:t>
            </w:r>
          </w:p>
        </w:tc>
      </w:tr>
      <w:tr w:rsidR="006C7AA7" w:rsidRPr="00D0306F" w14:paraId="238171B6" w14:textId="77777777" w:rsidTr="00CC3BF4">
        <w:trPr>
          <w:tblCellSpacing w:w="0" w:type="dxa"/>
          <w:jc w:val="center"/>
        </w:trPr>
        <w:tc>
          <w:tcPr>
            <w:tcW w:w="299"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E1249C8" w14:textId="77777777" w:rsidR="006C7AA7" w:rsidRPr="00D0306F" w:rsidRDefault="006C7AA7" w:rsidP="00CC3BF4">
            <w:pPr>
              <w:jc w:val="center"/>
              <w:rPr>
                <w:rFonts w:eastAsia="Times New Roman" w:cs="Arial"/>
              </w:rPr>
            </w:pPr>
            <w:r w:rsidRPr="00D0306F">
              <w:rPr>
                <w:rFonts w:eastAsia="Times New Roman" w:cs="Arial"/>
              </w:rPr>
              <w:t>3</w:t>
            </w:r>
          </w:p>
        </w:tc>
        <w:tc>
          <w:tcPr>
            <w:tcW w:w="20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EA55985" w14:textId="77777777" w:rsidR="006C7AA7" w:rsidRPr="00D0306F" w:rsidRDefault="006C7AA7" w:rsidP="00CC3BF4">
            <w:pPr>
              <w:rPr>
                <w:rFonts w:eastAsia="Times New Roman" w:cs="Arial"/>
              </w:rPr>
            </w:pPr>
            <w:r w:rsidRPr="00D0306F">
              <w:rPr>
                <w:rFonts w:eastAsia="Times New Roman" w:cs="Arial"/>
              </w:rPr>
              <w:t>Prefer not to say</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 w:type="pct"/>
              <w:tblCellMar>
                <w:left w:w="0" w:type="dxa"/>
                <w:right w:w="0" w:type="dxa"/>
              </w:tblCellMar>
              <w:tblLook w:val="04A0" w:firstRow="1" w:lastRow="0" w:firstColumn="1" w:lastColumn="0" w:noHBand="0" w:noVBand="1"/>
            </w:tblPr>
            <w:tblGrid>
              <w:gridCol w:w="82"/>
            </w:tblGrid>
            <w:tr w:rsidR="006C7AA7" w:rsidRPr="00D0306F" w14:paraId="6B6D2DA2" w14:textId="77777777" w:rsidTr="00CC3BF4">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18681152"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567C9E8E"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5DB8D6C" w14:textId="77777777" w:rsidR="006C7AA7" w:rsidRPr="00D0306F" w:rsidRDefault="006C7AA7" w:rsidP="00CC3BF4">
            <w:pPr>
              <w:jc w:val="center"/>
              <w:rPr>
                <w:rFonts w:eastAsia="Times New Roman" w:cs="Arial"/>
              </w:rPr>
            </w:pPr>
            <w:r w:rsidRPr="00D0306F">
              <w:rPr>
                <w:rFonts w:eastAsia="Times New Roman" w:cs="Arial"/>
              </w:rPr>
              <w:t>0.8%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2CD27EC" w14:textId="77777777" w:rsidR="006C7AA7" w:rsidRPr="00D0306F" w:rsidRDefault="006C7AA7" w:rsidP="00CC3BF4">
            <w:pPr>
              <w:jc w:val="center"/>
              <w:rPr>
                <w:rFonts w:eastAsia="Times New Roman" w:cs="Arial"/>
              </w:rPr>
            </w:pPr>
            <w:r w:rsidRPr="00D0306F">
              <w:rPr>
                <w:rFonts w:eastAsia="Times New Roman" w:cs="Arial"/>
              </w:rPr>
              <w:t>1</w:t>
            </w:r>
          </w:p>
        </w:tc>
      </w:tr>
      <w:tr w:rsidR="006C7AA7" w:rsidRPr="00D0306F" w14:paraId="4A68DE3F"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37F418F4"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A6E0735"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A17496E" w14:textId="77777777" w:rsidR="006C7AA7" w:rsidRPr="00D0306F" w:rsidRDefault="006C7AA7" w:rsidP="00CC3BF4">
            <w:pPr>
              <w:jc w:val="center"/>
              <w:rPr>
                <w:rFonts w:eastAsia="Times New Roman" w:cs="Arial"/>
              </w:rPr>
            </w:pPr>
            <w:r w:rsidRPr="00D0306F">
              <w:rPr>
                <w:rFonts w:eastAsia="Times New Roman" w:cs="Arial"/>
              </w:rPr>
              <w:t>119</w:t>
            </w:r>
          </w:p>
        </w:tc>
      </w:tr>
      <w:tr w:rsidR="006C7AA7" w:rsidRPr="00D0306F" w14:paraId="38FE1E09"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3422F632"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C4BB7CD"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FD712EE" w14:textId="77777777" w:rsidR="006C7AA7" w:rsidRPr="00D0306F" w:rsidRDefault="006C7AA7" w:rsidP="00CC3BF4">
            <w:pPr>
              <w:jc w:val="center"/>
              <w:rPr>
                <w:rFonts w:eastAsia="Times New Roman" w:cs="Arial"/>
              </w:rPr>
            </w:pPr>
            <w:r w:rsidRPr="00D0306F">
              <w:rPr>
                <w:rFonts w:eastAsia="Times New Roman" w:cs="Arial"/>
              </w:rPr>
              <w:t>0</w:t>
            </w:r>
          </w:p>
        </w:tc>
      </w:tr>
    </w:tbl>
    <w:p w14:paraId="07D3167D" w14:textId="77777777" w:rsidR="006C7AA7" w:rsidRPr="00D0306F" w:rsidRDefault="006C7AA7" w:rsidP="006C7AA7">
      <w:pPr>
        <w:rPr>
          <w:rFonts w:eastAsia="Times New Roman" w:cs="Arial"/>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9"/>
        <w:gridCol w:w="2098"/>
        <w:gridCol w:w="3897"/>
        <w:gridCol w:w="1313"/>
        <w:gridCol w:w="1313"/>
      </w:tblGrid>
      <w:tr w:rsidR="006C7AA7" w:rsidRPr="00D0306F" w14:paraId="086075B0"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48127D5F" w14:textId="34683C27" w:rsidR="006C7AA7" w:rsidRPr="00D0306F" w:rsidRDefault="006C7AA7" w:rsidP="00CC3BF4">
            <w:pPr>
              <w:rPr>
                <w:rFonts w:eastAsia="Times New Roman" w:cs="Arial"/>
                <w:b/>
                <w:bCs/>
                <w:color w:val="FFFFFF"/>
              </w:rPr>
            </w:pPr>
            <w:r w:rsidRPr="00D0306F">
              <w:rPr>
                <w:rFonts w:eastAsia="Times New Roman" w:cs="Arial"/>
                <w:b/>
                <w:bCs/>
                <w:color w:val="FFFFFF"/>
              </w:rPr>
              <w:t>32. Disability - do you consider yourself to have a disability?</w:t>
            </w:r>
            <w:r w:rsidR="00B752FC">
              <w:rPr>
                <w:rFonts w:eastAsia="Times New Roman" w:cs="Arial"/>
                <w:b/>
                <w:bCs/>
                <w:color w:val="FFFFFF"/>
              </w:rPr>
              <w:t xml:space="preserve"> </w:t>
            </w:r>
          </w:p>
        </w:tc>
      </w:tr>
      <w:tr w:rsidR="006C7AA7" w:rsidRPr="00D0306F" w14:paraId="7B8CF692"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778FA20C"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5C48A0A4"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69479E33"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40D3685A" w14:textId="77777777" w:rsidTr="00CC3BF4">
        <w:trPr>
          <w:tblCellSpacing w:w="0" w:type="dxa"/>
          <w:jc w:val="center"/>
        </w:trPr>
        <w:tc>
          <w:tcPr>
            <w:tcW w:w="299"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9DC3C64" w14:textId="77777777" w:rsidR="006C7AA7" w:rsidRPr="00D0306F" w:rsidRDefault="006C7AA7" w:rsidP="00CC3BF4">
            <w:pPr>
              <w:jc w:val="center"/>
              <w:rPr>
                <w:rFonts w:eastAsia="Times New Roman" w:cs="Arial"/>
              </w:rPr>
            </w:pPr>
            <w:r w:rsidRPr="00D0306F">
              <w:rPr>
                <w:rFonts w:eastAsia="Times New Roman" w:cs="Arial"/>
              </w:rPr>
              <w:t>1</w:t>
            </w:r>
          </w:p>
        </w:tc>
        <w:tc>
          <w:tcPr>
            <w:tcW w:w="20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105C42F" w14:textId="77777777" w:rsidR="006C7AA7" w:rsidRPr="00D0306F" w:rsidRDefault="006C7AA7" w:rsidP="00CC3BF4">
            <w:pPr>
              <w:rPr>
                <w:rFonts w:eastAsia="Times New Roman" w:cs="Arial"/>
              </w:rPr>
            </w:pPr>
            <w:r w:rsidRPr="00D0306F">
              <w:rPr>
                <w:rFonts w:eastAsia="Times New Roman" w:cs="Arial"/>
              </w:rPr>
              <w:t>Yes</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410" w:type="pct"/>
              <w:tblCellMar>
                <w:left w:w="0" w:type="dxa"/>
                <w:right w:w="0" w:type="dxa"/>
              </w:tblCellMar>
              <w:tblLook w:val="04A0" w:firstRow="1" w:lastRow="0" w:firstColumn="1" w:lastColumn="0" w:noHBand="0" w:noVBand="1"/>
            </w:tblPr>
            <w:tblGrid>
              <w:gridCol w:w="1056"/>
            </w:tblGrid>
            <w:tr w:rsidR="006C7AA7" w:rsidRPr="00D0306F" w14:paraId="71EF69FE"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15442295"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08C23A80"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E4AF27B" w14:textId="77777777" w:rsidR="006C7AA7" w:rsidRPr="00D0306F" w:rsidRDefault="006C7AA7" w:rsidP="00CC3BF4">
            <w:pPr>
              <w:jc w:val="center"/>
              <w:rPr>
                <w:rFonts w:eastAsia="Times New Roman" w:cs="Arial"/>
              </w:rPr>
            </w:pPr>
            <w:r w:rsidRPr="00D0306F">
              <w:rPr>
                <w:rFonts w:eastAsia="Times New Roman" w:cs="Arial"/>
              </w:rPr>
              <w:t>27.9%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C451214" w14:textId="77777777" w:rsidR="006C7AA7" w:rsidRPr="00D0306F" w:rsidRDefault="006C7AA7" w:rsidP="00CC3BF4">
            <w:pPr>
              <w:jc w:val="center"/>
              <w:rPr>
                <w:rFonts w:eastAsia="Times New Roman" w:cs="Arial"/>
              </w:rPr>
            </w:pPr>
            <w:r w:rsidRPr="00D0306F">
              <w:rPr>
                <w:rFonts w:eastAsia="Times New Roman" w:cs="Arial"/>
              </w:rPr>
              <w:t>33</w:t>
            </w:r>
          </w:p>
        </w:tc>
      </w:tr>
      <w:tr w:rsidR="006C7AA7" w:rsidRPr="00D0306F" w14:paraId="7EA664FD" w14:textId="77777777" w:rsidTr="00CC3BF4">
        <w:trPr>
          <w:tblCellSpacing w:w="0" w:type="dxa"/>
          <w:jc w:val="center"/>
        </w:trPr>
        <w:tc>
          <w:tcPr>
            <w:tcW w:w="299"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9570B6E" w14:textId="77777777" w:rsidR="006C7AA7" w:rsidRPr="00D0306F" w:rsidRDefault="006C7AA7" w:rsidP="00CC3BF4">
            <w:pPr>
              <w:jc w:val="center"/>
              <w:rPr>
                <w:rFonts w:eastAsia="Times New Roman" w:cs="Arial"/>
              </w:rPr>
            </w:pPr>
            <w:r w:rsidRPr="00D0306F">
              <w:rPr>
                <w:rFonts w:eastAsia="Times New Roman" w:cs="Arial"/>
              </w:rPr>
              <w:t>2</w:t>
            </w:r>
          </w:p>
        </w:tc>
        <w:tc>
          <w:tcPr>
            <w:tcW w:w="20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B5E406B" w14:textId="77777777" w:rsidR="006C7AA7" w:rsidRPr="00D0306F" w:rsidRDefault="006C7AA7" w:rsidP="00CC3BF4">
            <w:pPr>
              <w:rPr>
                <w:rFonts w:eastAsia="Times New Roman" w:cs="Arial"/>
              </w:rPr>
            </w:pPr>
            <w:r w:rsidRPr="00D0306F">
              <w:rPr>
                <w:rFonts w:eastAsia="Times New Roman" w:cs="Arial"/>
              </w:rPr>
              <w:t>No</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547" w:type="pct"/>
              <w:tblCellMar>
                <w:left w:w="0" w:type="dxa"/>
                <w:right w:w="0" w:type="dxa"/>
              </w:tblCellMar>
              <w:tblLook w:val="04A0" w:firstRow="1" w:lastRow="0" w:firstColumn="1" w:lastColumn="0" w:noHBand="0" w:noVBand="1"/>
            </w:tblPr>
            <w:tblGrid>
              <w:gridCol w:w="2657"/>
            </w:tblGrid>
            <w:tr w:rsidR="006C7AA7" w:rsidRPr="00D0306F" w14:paraId="62A2F8B8"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19DA3153"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212C9432"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63E047A" w14:textId="77777777" w:rsidR="006C7AA7" w:rsidRPr="00D0306F" w:rsidRDefault="006C7AA7" w:rsidP="00CC3BF4">
            <w:pPr>
              <w:jc w:val="center"/>
              <w:rPr>
                <w:rFonts w:eastAsia="Times New Roman" w:cs="Arial"/>
              </w:rPr>
            </w:pPr>
            <w:r w:rsidRPr="00D0306F">
              <w:rPr>
                <w:rFonts w:eastAsia="Times New Roman" w:cs="Arial"/>
              </w:rPr>
              <w:t>71.2%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43E8CA4" w14:textId="77777777" w:rsidR="006C7AA7" w:rsidRPr="00D0306F" w:rsidRDefault="006C7AA7" w:rsidP="00CC3BF4">
            <w:pPr>
              <w:jc w:val="center"/>
              <w:rPr>
                <w:rFonts w:eastAsia="Times New Roman" w:cs="Arial"/>
              </w:rPr>
            </w:pPr>
            <w:r w:rsidRPr="00D0306F">
              <w:rPr>
                <w:rFonts w:eastAsia="Times New Roman" w:cs="Arial"/>
              </w:rPr>
              <w:t>84</w:t>
            </w:r>
          </w:p>
        </w:tc>
      </w:tr>
      <w:tr w:rsidR="006C7AA7" w:rsidRPr="00D0306F" w14:paraId="6A060D91" w14:textId="77777777" w:rsidTr="00CC3BF4">
        <w:trPr>
          <w:tblCellSpacing w:w="0" w:type="dxa"/>
          <w:jc w:val="center"/>
        </w:trPr>
        <w:tc>
          <w:tcPr>
            <w:tcW w:w="299"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07D2FF3" w14:textId="77777777" w:rsidR="006C7AA7" w:rsidRPr="00D0306F" w:rsidRDefault="006C7AA7" w:rsidP="00CC3BF4">
            <w:pPr>
              <w:jc w:val="center"/>
              <w:rPr>
                <w:rFonts w:eastAsia="Times New Roman" w:cs="Arial"/>
              </w:rPr>
            </w:pPr>
            <w:r w:rsidRPr="00D0306F">
              <w:rPr>
                <w:rFonts w:eastAsia="Times New Roman" w:cs="Arial"/>
              </w:rPr>
              <w:t>3</w:t>
            </w:r>
          </w:p>
        </w:tc>
        <w:tc>
          <w:tcPr>
            <w:tcW w:w="20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DA568CC" w14:textId="77777777" w:rsidR="006C7AA7" w:rsidRPr="00D0306F" w:rsidRDefault="006C7AA7" w:rsidP="00CC3BF4">
            <w:pPr>
              <w:rPr>
                <w:rFonts w:eastAsia="Times New Roman" w:cs="Arial"/>
              </w:rPr>
            </w:pPr>
            <w:r w:rsidRPr="00D0306F">
              <w:rPr>
                <w:rFonts w:eastAsia="Times New Roman" w:cs="Arial"/>
              </w:rPr>
              <w:t>Prefer not to say</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 w:type="pct"/>
              <w:tblCellMar>
                <w:left w:w="0" w:type="dxa"/>
                <w:right w:w="0" w:type="dxa"/>
              </w:tblCellMar>
              <w:tblLook w:val="04A0" w:firstRow="1" w:lastRow="0" w:firstColumn="1" w:lastColumn="0" w:noHBand="0" w:noVBand="1"/>
            </w:tblPr>
            <w:tblGrid>
              <w:gridCol w:w="82"/>
            </w:tblGrid>
            <w:tr w:rsidR="006C7AA7" w:rsidRPr="00D0306F" w14:paraId="3C42B7C7" w14:textId="77777777" w:rsidTr="00CC3BF4">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7DB24D0C"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6910EDA"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5F3BEEC" w14:textId="77777777" w:rsidR="006C7AA7" w:rsidRPr="00D0306F" w:rsidRDefault="006C7AA7" w:rsidP="00CC3BF4">
            <w:pPr>
              <w:jc w:val="center"/>
              <w:rPr>
                <w:rFonts w:eastAsia="Times New Roman" w:cs="Arial"/>
              </w:rPr>
            </w:pPr>
            <w:r w:rsidRPr="00D0306F">
              <w:rPr>
                <w:rFonts w:eastAsia="Times New Roman" w:cs="Arial"/>
              </w:rPr>
              <w:t>0.9%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2F05BFE" w14:textId="77777777" w:rsidR="006C7AA7" w:rsidRPr="00D0306F" w:rsidRDefault="006C7AA7" w:rsidP="00CC3BF4">
            <w:pPr>
              <w:jc w:val="center"/>
              <w:rPr>
                <w:rFonts w:eastAsia="Times New Roman" w:cs="Arial"/>
              </w:rPr>
            </w:pPr>
            <w:r w:rsidRPr="00D0306F">
              <w:rPr>
                <w:rFonts w:eastAsia="Times New Roman" w:cs="Arial"/>
              </w:rPr>
              <w:t>1</w:t>
            </w:r>
          </w:p>
        </w:tc>
      </w:tr>
      <w:tr w:rsidR="006C7AA7" w:rsidRPr="00D0306F" w14:paraId="1215061D"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05435BE8"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42979CC"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6324886" w14:textId="77777777" w:rsidR="006C7AA7" w:rsidRPr="00D0306F" w:rsidRDefault="006C7AA7" w:rsidP="00CC3BF4">
            <w:pPr>
              <w:jc w:val="center"/>
              <w:rPr>
                <w:rFonts w:eastAsia="Times New Roman" w:cs="Arial"/>
              </w:rPr>
            </w:pPr>
            <w:r w:rsidRPr="00D0306F">
              <w:rPr>
                <w:rFonts w:eastAsia="Times New Roman" w:cs="Arial"/>
              </w:rPr>
              <w:t>118</w:t>
            </w:r>
          </w:p>
        </w:tc>
      </w:tr>
      <w:tr w:rsidR="006C7AA7" w:rsidRPr="00D0306F" w14:paraId="3F22F678"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4B983A4F"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A01D63F"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384F7CB" w14:textId="77777777" w:rsidR="006C7AA7" w:rsidRPr="00D0306F" w:rsidRDefault="006C7AA7" w:rsidP="00CC3BF4">
            <w:pPr>
              <w:jc w:val="center"/>
              <w:rPr>
                <w:rFonts w:eastAsia="Times New Roman" w:cs="Arial"/>
              </w:rPr>
            </w:pPr>
            <w:r w:rsidRPr="00D0306F">
              <w:rPr>
                <w:rFonts w:eastAsia="Times New Roman" w:cs="Arial"/>
              </w:rPr>
              <w:t>1</w:t>
            </w:r>
          </w:p>
        </w:tc>
      </w:tr>
    </w:tbl>
    <w:p w14:paraId="3B563DA0" w14:textId="77777777" w:rsidR="006C7AA7" w:rsidRPr="00D0306F" w:rsidRDefault="006C7AA7" w:rsidP="006C7AA7">
      <w:pPr>
        <w:rPr>
          <w:rFonts w:eastAsia="Times New Roman" w:cs="Arial"/>
          <w:b/>
          <w:bCs/>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8"/>
        <w:gridCol w:w="2119"/>
        <w:gridCol w:w="3877"/>
        <w:gridCol w:w="1313"/>
        <w:gridCol w:w="1313"/>
      </w:tblGrid>
      <w:tr w:rsidR="006C7AA7" w:rsidRPr="00D0306F" w14:paraId="30B52328"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7686E968" w14:textId="1521E781" w:rsidR="006C7AA7" w:rsidRPr="00D0306F" w:rsidRDefault="006C7AA7" w:rsidP="00CC3BF4">
            <w:pPr>
              <w:rPr>
                <w:rFonts w:eastAsia="Times New Roman" w:cs="Arial"/>
                <w:b/>
                <w:bCs/>
                <w:color w:val="FFFFFF"/>
              </w:rPr>
            </w:pPr>
            <w:r w:rsidRPr="00D0306F">
              <w:rPr>
                <w:rFonts w:eastAsia="Times New Roman" w:cs="Arial"/>
                <w:b/>
                <w:bCs/>
                <w:color w:val="FFFFFF"/>
              </w:rPr>
              <w:t>33. Language - what is your preferred language?</w:t>
            </w:r>
            <w:r w:rsidR="00B752FC">
              <w:rPr>
                <w:rFonts w:eastAsia="Times New Roman" w:cs="Arial"/>
                <w:b/>
                <w:bCs/>
                <w:color w:val="FFFFFF"/>
              </w:rPr>
              <w:t xml:space="preserve"> </w:t>
            </w:r>
          </w:p>
        </w:tc>
      </w:tr>
      <w:tr w:rsidR="006C7AA7" w:rsidRPr="00D0306F" w14:paraId="1405A34C"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3012906C"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533B3F5F"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22FB0BEF"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4803A723"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7565B6C" w14:textId="77777777" w:rsidR="006C7AA7" w:rsidRPr="00D0306F" w:rsidRDefault="006C7AA7" w:rsidP="00CC3BF4">
            <w:pPr>
              <w:jc w:val="center"/>
              <w:rPr>
                <w:rFonts w:eastAsia="Times New Roman" w:cs="Arial"/>
              </w:rPr>
            </w:pPr>
            <w:r w:rsidRPr="00D0306F">
              <w:rPr>
                <w:rFonts w:eastAsia="Times New Roman" w:cs="Arial"/>
              </w:rPr>
              <w:t>1</w:t>
            </w:r>
          </w:p>
        </w:tc>
        <w:tc>
          <w:tcPr>
            <w:tcW w:w="211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6FE1CA6" w14:textId="77777777" w:rsidR="006C7AA7" w:rsidRPr="00D0306F" w:rsidRDefault="006C7AA7" w:rsidP="00CC3BF4">
            <w:pPr>
              <w:rPr>
                <w:rFonts w:eastAsia="Times New Roman" w:cs="Arial"/>
              </w:rPr>
            </w:pPr>
            <w:r w:rsidRPr="00D0306F">
              <w:rPr>
                <w:rFonts w:eastAsia="Times New Roman" w:cs="Arial"/>
              </w:rPr>
              <w:t>English</w:t>
            </w:r>
          </w:p>
        </w:tc>
        <w:tc>
          <w:tcPr>
            <w:tcW w:w="387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703" w:type="pct"/>
              <w:tblCellMar>
                <w:left w:w="0" w:type="dxa"/>
                <w:right w:w="0" w:type="dxa"/>
              </w:tblCellMar>
              <w:tblLook w:val="04A0" w:firstRow="1" w:lastRow="0" w:firstColumn="1" w:lastColumn="0" w:noHBand="0" w:noVBand="1"/>
            </w:tblPr>
            <w:tblGrid>
              <w:gridCol w:w="3505"/>
            </w:tblGrid>
            <w:tr w:rsidR="006C7AA7" w:rsidRPr="00D0306F" w14:paraId="070FB620"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5D9DBAAF"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00CAA858"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9A8ECB7" w14:textId="77777777" w:rsidR="006C7AA7" w:rsidRPr="00D0306F" w:rsidRDefault="006C7AA7" w:rsidP="00CC3BF4">
            <w:pPr>
              <w:jc w:val="center"/>
              <w:rPr>
                <w:rFonts w:eastAsia="Times New Roman" w:cs="Arial"/>
              </w:rPr>
            </w:pPr>
            <w:r w:rsidRPr="00D0306F">
              <w:rPr>
                <w:rFonts w:eastAsia="Times New Roman" w:cs="Arial"/>
              </w:rPr>
              <w:t>93.3%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08E23E3" w14:textId="77777777" w:rsidR="006C7AA7" w:rsidRPr="00D0306F" w:rsidRDefault="006C7AA7" w:rsidP="00CC3BF4">
            <w:pPr>
              <w:jc w:val="center"/>
              <w:rPr>
                <w:rFonts w:eastAsia="Times New Roman" w:cs="Arial"/>
              </w:rPr>
            </w:pPr>
            <w:r w:rsidRPr="00D0306F">
              <w:rPr>
                <w:rFonts w:eastAsia="Times New Roman" w:cs="Arial"/>
              </w:rPr>
              <w:t>111</w:t>
            </w:r>
          </w:p>
        </w:tc>
      </w:tr>
      <w:tr w:rsidR="006C7AA7" w:rsidRPr="00D0306F" w14:paraId="4C02CD1A"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F2FC43A" w14:textId="77777777" w:rsidR="006C7AA7" w:rsidRPr="00D0306F" w:rsidRDefault="006C7AA7" w:rsidP="00CC3BF4">
            <w:pPr>
              <w:jc w:val="center"/>
              <w:rPr>
                <w:rFonts w:eastAsia="Times New Roman" w:cs="Arial"/>
              </w:rPr>
            </w:pPr>
            <w:r w:rsidRPr="00D0306F">
              <w:rPr>
                <w:rFonts w:eastAsia="Times New Roman" w:cs="Arial"/>
              </w:rPr>
              <w:t>2</w:t>
            </w:r>
          </w:p>
        </w:tc>
        <w:tc>
          <w:tcPr>
            <w:tcW w:w="211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687CF17" w14:textId="77777777" w:rsidR="006C7AA7" w:rsidRPr="00D0306F" w:rsidRDefault="006C7AA7" w:rsidP="00CC3BF4">
            <w:pPr>
              <w:rPr>
                <w:rFonts w:eastAsia="Times New Roman" w:cs="Arial"/>
              </w:rPr>
            </w:pPr>
            <w:r w:rsidRPr="00D0306F">
              <w:rPr>
                <w:rFonts w:eastAsia="Times New Roman" w:cs="Arial"/>
              </w:rPr>
              <w:t>Welsh</w:t>
            </w:r>
          </w:p>
        </w:tc>
        <w:tc>
          <w:tcPr>
            <w:tcW w:w="387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54" w:type="pct"/>
              <w:tblCellMar>
                <w:left w:w="0" w:type="dxa"/>
                <w:right w:w="0" w:type="dxa"/>
              </w:tblCellMar>
              <w:tblLook w:val="04A0" w:firstRow="1" w:lastRow="0" w:firstColumn="1" w:lastColumn="0" w:noHBand="0" w:noVBand="1"/>
            </w:tblPr>
            <w:tblGrid>
              <w:gridCol w:w="189"/>
            </w:tblGrid>
            <w:tr w:rsidR="006C7AA7" w:rsidRPr="00D0306F" w14:paraId="269BCF5A"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5320A662"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426E69B1"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0D97568" w14:textId="77777777" w:rsidR="006C7AA7" w:rsidRPr="00D0306F" w:rsidRDefault="006C7AA7" w:rsidP="00CC3BF4">
            <w:pPr>
              <w:jc w:val="center"/>
              <w:rPr>
                <w:rFonts w:eastAsia="Times New Roman" w:cs="Arial"/>
              </w:rPr>
            </w:pPr>
            <w:r w:rsidRPr="00D0306F">
              <w:rPr>
                <w:rFonts w:eastAsia="Times New Roman" w:cs="Arial"/>
              </w:rPr>
              <w:t>5.9%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179E2E8" w14:textId="77777777" w:rsidR="006C7AA7" w:rsidRPr="00D0306F" w:rsidRDefault="006C7AA7" w:rsidP="00CC3BF4">
            <w:pPr>
              <w:jc w:val="center"/>
              <w:rPr>
                <w:rFonts w:eastAsia="Times New Roman" w:cs="Arial"/>
              </w:rPr>
            </w:pPr>
            <w:r w:rsidRPr="00D0306F">
              <w:rPr>
                <w:rFonts w:eastAsia="Times New Roman" w:cs="Arial"/>
              </w:rPr>
              <w:t>7</w:t>
            </w:r>
          </w:p>
        </w:tc>
      </w:tr>
      <w:tr w:rsidR="006C7AA7" w:rsidRPr="00D0306F" w14:paraId="73EF879B"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2832AB9" w14:textId="77777777" w:rsidR="006C7AA7" w:rsidRPr="00D0306F" w:rsidRDefault="006C7AA7" w:rsidP="00CC3BF4">
            <w:pPr>
              <w:jc w:val="center"/>
              <w:rPr>
                <w:rFonts w:eastAsia="Times New Roman" w:cs="Arial"/>
              </w:rPr>
            </w:pPr>
            <w:r w:rsidRPr="00D0306F">
              <w:rPr>
                <w:rFonts w:eastAsia="Times New Roman" w:cs="Arial"/>
              </w:rPr>
              <w:t>3</w:t>
            </w:r>
          </w:p>
        </w:tc>
        <w:tc>
          <w:tcPr>
            <w:tcW w:w="211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D0AD19A" w14:textId="77777777" w:rsidR="006C7AA7" w:rsidRPr="00D0306F" w:rsidRDefault="006C7AA7" w:rsidP="00CC3BF4">
            <w:pPr>
              <w:rPr>
                <w:rFonts w:eastAsia="Times New Roman" w:cs="Arial"/>
              </w:rPr>
            </w:pPr>
            <w:r w:rsidRPr="00D0306F">
              <w:rPr>
                <w:rFonts w:eastAsia="Times New Roman" w:cs="Arial"/>
              </w:rPr>
              <w:t>Prefer not to say</w:t>
            </w:r>
          </w:p>
        </w:tc>
        <w:tc>
          <w:tcPr>
            <w:tcW w:w="387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 w:type="pct"/>
              <w:tblCellMar>
                <w:left w:w="0" w:type="dxa"/>
                <w:right w:w="0" w:type="dxa"/>
              </w:tblCellMar>
              <w:tblLook w:val="04A0" w:firstRow="1" w:lastRow="0" w:firstColumn="1" w:lastColumn="0" w:noHBand="0" w:noVBand="1"/>
            </w:tblPr>
            <w:tblGrid>
              <w:gridCol w:w="82"/>
            </w:tblGrid>
            <w:tr w:rsidR="006C7AA7" w:rsidRPr="00D0306F" w14:paraId="01ECA854" w14:textId="77777777" w:rsidTr="00CC3BF4">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4317C4FB"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F025B81"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87D5E86" w14:textId="77777777" w:rsidR="006C7AA7" w:rsidRPr="00D0306F" w:rsidRDefault="006C7AA7" w:rsidP="00CC3BF4">
            <w:pPr>
              <w:jc w:val="center"/>
              <w:rPr>
                <w:rFonts w:eastAsia="Times New Roman" w:cs="Arial"/>
              </w:rPr>
            </w:pPr>
            <w:r w:rsidRPr="00D0306F">
              <w:rPr>
                <w:rFonts w:eastAsia="Times New Roman" w:cs="Arial"/>
              </w:rPr>
              <w:t>0.8%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CA0126D" w14:textId="77777777" w:rsidR="006C7AA7" w:rsidRPr="00D0306F" w:rsidRDefault="006C7AA7" w:rsidP="00CC3BF4">
            <w:pPr>
              <w:jc w:val="center"/>
              <w:rPr>
                <w:rFonts w:eastAsia="Times New Roman" w:cs="Arial"/>
              </w:rPr>
            </w:pPr>
            <w:r w:rsidRPr="00D0306F">
              <w:rPr>
                <w:rFonts w:eastAsia="Times New Roman" w:cs="Arial"/>
              </w:rPr>
              <w:t>1</w:t>
            </w:r>
          </w:p>
        </w:tc>
      </w:tr>
      <w:tr w:rsidR="006C7AA7" w:rsidRPr="00D0306F" w14:paraId="29D0D4D7"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732455C" w14:textId="77777777" w:rsidR="006C7AA7" w:rsidRPr="00D0306F" w:rsidRDefault="006C7AA7" w:rsidP="00CC3BF4">
            <w:pPr>
              <w:jc w:val="center"/>
              <w:rPr>
                <w:rFonts w:eastAsia="Times New Roman" w:cs="Arial"/>
              </w:rPr>
            </w:pPr>
            <w:r w:rsidRPr="00D0306F">
              <w:rPr>
                <w:rFonts w:eastAsia="Times New Roman" w:cs="Arial"/>
              </w:rPr>
              <w:t>4</w:t>
            </w:r>
          </w:p>
        </w:tc>
        <w:tc>
          <w:tcPr>
            <w:tcW w:w="211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E9BC498" w14:textId="77777777" w:rsidR="006C7AA7" w:rsidRPr="00D0306F" w:rsidRDefault="006C7AA7" w:rsidP="00CC3BF4">
            <w:pPr>
              <w:rPr>
                <w:rFonts w:eastAsia="Times New Roman" w:cs="Arial"/>
              </w:rPr>
            </w:pPr>
            <w:r w:rsidRPr="00D0306F">
              <w:rPr>
                <w:rFonts w:eastAsia="Times New Roman" w:cs="Arial"/>
              </w:rPr>
              <w:t>Other (please specify):</w:t>
            </w:r>
          </w:p>
        </w:tc>
        <w:tc>
          <w:tcPr>
            <w:tcW w:w="387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68D1E3D1"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71DB8A5"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A41651D"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65765A7C"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4B8204A3"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5F8B476"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12FE524" w14:textId="77777777" w:rsidR="006C7AA7" w:rsidRPr="00D0306F" w:rsidRDefault="006C7AA7" w:rsidP="00CC3BF4">
            <w:pPr>
              <w:jc w:val="center"/>
              <w:rPr>
                <w:rFonts w:eastAsia="Times New Roman" w:cs="Arial"/>
              </w:rPr>
            </w:pPr>
            <w:r w:rsidRPr="00D0306F">
              <w:rPr>
                <w:rFonts w:eastAsia="Times New Roman" w:cs="Arial"/>
              </w:rPr>
              <w:t>119</w:t>
            </w:r>
          </w:p>
        </w:tc>
      </w:tr>
      <w:tr w:rsidR="006C7AA7" w:rsidRPr="00D0306F" w14:paraId="303C9F06"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087A4109"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51D9EA8"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C5C6932" w14:textId="77777777" w:rsidR="006C7AA7" w:rsidRPr="00D0306F" w:rsidRDefault="006C7AA7" w:rsidP="00CC3BF4">
            <w:pPr>
              <w:jc w:val="center"/>
              <w:rPr>
                <w:rFonts w:eastAsia="Times New Roman" w:cs="Arial"/>
              </w:rPr>
            </w:pPr>
            <w:r w:rsidRPr="00D0306F">
              <w:rPr>
                <w:rFonts w:eastAsia="Times New Roman" w:cs="Arial"/>
              </w:rPr>
              <w:t>0</w:t>
            </w:r>
          </w:p>
        </w:tc>
      </w:tr>
    </w:tbl>
    <w:p w14:paraId="20AD6666" w14:textId="77777777" w:rsidR="006C7AA7" w:rsidRPr="00D0306F" w:rsidRDefault="006C7AA7" w:rsidP="006C7AA7">
      <w:pPr>
        <w:rPr>
          <w:rFonts w:eastAsia="Times New Roman" w:cs="Arial"/>
          <w:b/>
          <w:bCs/>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8"/>
        <w:gridCol w:w="2150"/>
        <w:gridCol w:w="3846"/>
        <w:gridCol w:w="1313"/>
        <w:gridCol w:w="1313"/>
      </w:tblGrid>
      <w:tr w:rsidR="006C7AA7" w:rsidRPr="00D0306F" w14:paraId="64741A90"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373E19E4" w14:textId="77777777" w:rsidR="006C7AA7" w:rsidRPr="00D0306F" w:rsidRDefault="006C7AA7" w:rsidP="00CC3BF4">
            <w:pPr>
              <w:rPr>
                <w:rFonts w:eastAsia="Times New Roman" w:cs="Arial"/>
                <w:b/>
                <w:bCs/>
                <w:color w:val="FFFFFF"/>
              </w:rPr>
            </w:pPr>
            <w:r w:rsidRPr="00D0306F">
              <w:rPr>
                <w:rFonts w:eastAsia="Times New Roman" w:cs="Arial"/>
                <w:b/>
                <w:bCs/>
                <w:color w:val="FFFFFF"/>
              </w:rPr>
              <w:lastRenderedPageBreak/>
              <w:t xml:space="preserve">34. Language - can you understand, speak, read or write Welsh </w:t>
            </w:r>
          </w:p>
        </w:tc>
      </w:tr>
      <w:tr w:rsidR="006C7AA7" w:rsidRPr="00D0306F" w14:paraId="3BDB28BB"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552C053D"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4D1E9D4"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5404165F"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47FCAA09"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1B66F30" w14:textId="77777777" w:rsidR="006C7AA7" w:rsidRPr="00D0306F" w:rsidRDefault="006C7AA7" w:rsidP="00CC3BF4">
            <w:pPr>
              <w:jc w:val="center"/>
              <w:rPr>
                <w:rFonts w:eastAsia="Times New Roman" w:cs="Arial"/>
              </w:rPr>
            </w:pPr>
            <w:r w:rsidRPr="00D0306F">
              <w:rPr>
                <w:rFonts w:eastAsia="Times New Roman" w:cs="Arial"/>
              </w:rPr>
              <w:t>1</w:t>
            </w:r>
          </w:p>
        </w:tc>
        <w:tc>
          <w:tcPr>
            <w:tcW w:w="21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ED47BCD" w14:textId="77777777" w:rsidR="006C7AA7" w:rsidRPr="00D0306F" w:rsidRDefault="006C7AA7" w:rsidP="00CC3BF4">
            <w:pPr>
              <w:rPr>
                <w:rFonts w:eastAsia="Times New Roman" w:cs="Arial"/>
              </w:rPr>
            </w:pPr>
            <w:r w:rsidRPr="00D0306F">
              <w:rPr>
                <w:rFonts w:eastAsia="Times New Roman" w:cs="Arial"/>
              </w:rPr>
              <w:t>Understand spoken Welsh</w:t>
            </w:r>
          </w:p>
        </w:tc>
        <w:tc>
          <w:tcPr>
            <w:tcW w:w="384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39" w:type="pct"/>
              <w:tblCellMar>
                <w:left w:w="0" w:type="dxa"/>
                <w:right w:w="0" w:type="dxa"/>
              </w:tblCellMar>
              <w:tblLook w:val="04A0" w:firstRow="1" w:lastRow="0" w:firstColumn="1" w:lastColumn="0" w:noHBand="0" w:noVBand="1"/>
            </w:tblPr>
            <w:tblGrid>
              <w:gridCol w:w="916"/>
            </w:tblGrid>
            <w:tr w:rsidR="006C7AA7" w:rsidRPr="00D0306F" w14:paraId="5684F68A"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289E2883"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45F2FAE0"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58F4F0D" w14:textId="77777777" w:rsidR="006C7AA7" w:rsidRPr="00D0306F" w:rsidRDefault="006C7AA7" w:rsidP="00CC3BF4">
            <w:pPr>
              <w:jc w:val="center"/>
              <w:rPr>
                <w:rFonts w:eastAsia="Times New Roman" w:cs="Arial"/>
              </w:rPr>
            </w:pPr>
            <w:r w:rsidRPr="00D0306F">
              <w:rPr>
                <w:rFonts w:eastAsia="Times New Roman" w:cs="Arial"/>
              </w:rPr>
              <w:t>24.6%</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5D859E0" w14:textId="77777777" w:rsidR="006C7AA7" w:rsidRPr="00D0306F" w:rsidRDefault="006C7AA7" w:rsidP="00CC3BF4">
            <w:pPr>
              <w:jc w:val="center"/>
              <w:rPr>
                <w:rFonts w:eastAsia="Times New Roman" w:cs="Arial"/>
              </w:rPr>
            </w:pPr>
            <w:r w:rsidRPr="00D0306F">
              <w:rPr>
                <w:rFonts w:eastAsia="Times New Roman" w:cs="Arial"/>
              </w:rPr>
              <w:t>29</w:t>
            </w:r>
          </w:p>
        </w:tc>
      </w:tr>
      <w:tr w:rsidR="006C7AA7" w:rsidRPr="00D0306F" w14:paraId="46E35ADB"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313F5EF" w14:textId="77777777" w:rsidR="006C7AA7" w:rsidRPr="00D0306F" w:rsidRDefault="006C7AA7" w:rsidP="00CC3BF4">
            <w:pPr>
              <w:jc w:val="center"/>
              <w:rPr>
                <w:rFonts w:eastAsia="Times New Roman" w:cs="Arial"/>
              </w:rPr>
            </w:pPr>
            <w:r w:rsidRPr="00D0306F">
              <w:rPr>
                <w:rFonts w:eastAsia="Times New Roman" w:cs="Arial"/>
              </w:rPr>
              <w:t>2</w:t>
            </w:r>
          </w:p>
        </w:tc>
        <w:tc>
          <w:tcPr>
            <w:tcW w:w="21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FCEA36B" w14:textId="77777777" w:rsidR="006C7AA7" w:rsidRPr="00D0306F" w:rsidRDefault="006C7AA7" w:rsidP="00CC3BF4">
            <w:pPr>
              <w:rPr>
                <w:rFonts w:eastAsia="Times New Roman" w:cs="Arial"/>
              </w:rPr>
            </w:pPr>
            <w:r w:rsidRPr="00D0306F">
              <w:rPr>
                <w:rFonts w:eastAsia="Times New Roman" w:cs="Arial"/>
              </w:rPr>
              <w:t>Speak Welsh</w:t>
            </w:r>
          </w:p>
        </w:tc>
        <w:tc>
          <w:tcPr>
            <w:tcW w:w="384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726" w:type="pct"/>
              <w:tblCellMar>
                <w:left w:w="0" w:type="dxa"/>
                <w:right w:w="0" w:type="dxa"/>
              </w:tblCellMar>
              <w:tblLook w:val="04A0" w:firstRow="1" w:lastRow="0" w:firstColumn="1" w:lastColumn="0" w:noHBand="0" w:noVBand="1"/>
            </w:tblPr>
            <w:tblGrid>
              <w:gridCol w:w="537"/>
            </w:tblGrid>
            <w:tr w:rsidR="006C7AA7" w:rsidRPr="00D0306F" w14:paraId="376A5761"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656038A7"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05A6EF9F"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0434FE5" w14:textId="77777777" w:rsidR="006C7AA7" w:rsidRPr="00D0306F" w:rsidRDefault="006C7AA7" w:rsidP="00CC3BF4">
            <w:pPr>
              <w:jc w:val="center"/>
              <w:rPr>
                <w:rFonts w:eastAsia="Times New Roman" w:cs="Arial"/>
              </w:rPr>
            </w:pPr>
            <w:r w:rsidRPr="00D0306F">
              <w:rPr>
                <w:rFonts w:eastAsia="Times New Roman" w:cs="Arial"/>
              </w:rPr>
              <w:t>15.3%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15CF9AD" w14:textId="77777777" w:rsidR="006C7AA7" w:rsidRPr="00D0306F" w:rsidRDefault="006C7AA7" w:rsidP="00CC3BF4">
            <w:pPr>
              <w:jc w:val="center"/>
              <w:rPr>
                <w:rFonts w:eastAsia="Times New Roman" w:cs="Arial"/>
              </w:rPr>
            </w:pPr>
            <w:r w:rsidRPr="00D0306F">
              <w:rPr>
                <w:rFonts w:eastAsia="Times New Roman" w:cs="Arial"/>
              </w:rPr>
              <w:t>18</w:t>
            </w:r>
          </w:p>
        </w:tc>
      </w:tr>
      <w:tr w:rsidR="006C7AA7" w:rsidRPr="00D0306F" w14:paraId="669D212D"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B216AD0" w14:textId="77777777" w:rsidR="006C7AA7" w:rsidRPr="00D0306F" w:rsidRDefault="006C7AA7" w:rsidP="00CC3BF4">
            <w:pPr>
              <w:jc w:val="center"/>
              <w:rPr>
                <w:rFonts w:eastAsia="Times New Roman" w:cs="Arial"/>
              </w:rPr>
            </w:pPr>
            <w:r w:rsidRPr="00D0306F">
              <w:rPr>
                <w:rFonts w:eastAsia="Times New Roman" w:cs="Arial"/>
              </w:rPr>
              <w:t>3</w:t>
            </w:r>
          </w:p>
        </w:tc>
        <w:tc>
          <w:tcPr>
            <w:tcW w:w="21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C0B6C93" w14:textId="77777777" w:rsidR="006C7AA7" w:rsidRPr="00D0306F" w:rsidRDefault="006C7AA7" w:rsidP="00CC3BF4">
            <w:pPr>
              <w:rPr>
                <w:rFonts w:eastAsia="Times New Roman" w:cs="Arial"/>
              </w:rPr>
            </w:pPr>
            <w:r w:rsidRPr="00D0306F">
              <w:rPr>
                <w:rFonts w:eastAsia="Times New Roman" w:cs="Arial"/>
              </w:rPr>
              <w:t>Read Welsh</w:t>
            </w:r>
          </w:p>
        </w:tc>
        <w:tc>
          <w:tcPr>
            <w:tcW w:w="384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83" w:type="pct"/>
              <w:tblCellMar>
                <w:left w:w="0" w:type="dxa"/>
                <w:right w:w="0" w:type="dxa"/>
              </w:tblCellMar>
              <w:tblLook w:val="04A0" w:firstRow="1" w:lastRow="0" w:firstColumn="1" w:lastColumn="0" w:noHBand="0" w:noVBand="1"/>
            </w:tblPr>
            <w:tblGrid>
              <w:gridCol w:w="726"/>
            </w:tblGrid>
            <w:tr w:rsidR="006C7AA7" w:rsidRPr="00D0306F" w14:paraId="0039D2E4" w14:textId="77777777" w:rsidTr="00CC3BF4">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0D513A64"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455C3005"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CAB1CAF" w14:textId="77777777" w:rsidR="006C7AA7" w:rsidRPr="00D0306F" w:rsidRDefault="006C7AA7" w:rsidP="00CC3BF4">
            <w:pPr>
              <w:jc w:val="center"/>
              <w:rPr>
                <w:rFonts w:eastAsia="Times New Roman" w:cs="Arial"/>
              </w:rPr>
            </w:pPr>
            <w:r w:rsidRPr="00D0306F">
              <w:rPr>
                <w:rFonts w:eastAsia="Times New Roman" w:cs="Arial"/>
              </w:rPr>
              <w:t>19.5%</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B78713D" w14:textId="77777777" w:rsidR="006C7AA7" w:rsidRPr="00D0306F" w:rsidRDefault="006C7AA7" w:rsidP="00CC3BF4">
            <w:pPr>
              <w:jc w:val="center"/>
              <w:rPr>
                <w:rFonts w:eastAsia="Times New Roman" w:cs="Arial"/>
              </w:rPr>
            </w:pPr>
            <w:r w:rsidRPr="00D0306F">
              <w:rPr>
                <w:rFonts w:eastAsia="Times New Roman" w:cs="Arial"/>
              </w:rPr>
              <w:t>23</w:t>
            </w:r>
          </w:p>
        </w:tc>
      </w:tr>
      <w:tr w:rsidR="006C7AA7" w:rsidRPr="00D0306F" w14:paraId="76806394"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50EAA64" w14:textId="77777777" w:rsidR="006C7AA7" w:rsidRPr="00D0306F" w:rsidRDefault="006C7AA7" w:rsidP="00CC3BF4">
            <w:pPr>
              <w:jc w:val="center"/>
              <w:rPr>
                <w:rFonts w:eastAsia="Times New Roman" w:cs="Arial"/>
              </w:rPr>
            </w:pPr>
            <w:r w:rsidRPr="00D0306F">
              <w:rPr>
                <w:rFonts w:eastAsia="Times New Roman" w:cs="Arial"/>
              </w:rPr>
              <w:t>4</w:t>
            </w:r>
          </w:p>
        </w:tc>
        <w:tc>
          <w:tcPr>
            <w:tcW w:w="21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EAB9F83" w14:textId="77777777" w:rsidR="006C7AA7" w:rsidRPr="00D0306F" w:rsidRDefault="006C7AA7" w:rsidP="00CC3BF4">
            <w:pPr>
              <w:rPr>
                <w:rFonts w:eastAsia="Times New Roman" w:cs="Arial"/>
              </w:rPr>
            </w:pPr>
            <w:r w:rsidRPr="00D0306F">
              <w:rPr>
                <w:rFonts w:eastAsia="Times New Roman" w:cs="Arial"/>
              </w:rPr>
              <w:t>Write Welsh</w:t>
            </w:r>
          </w:p>
        </w:tc>
        <w:tc>
          <w:tcPr>
            <w:tcW w:w="384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12" w:type="pct"/>
              <w:tblCellMar>
                <w:left w:w="0" w:type="dxa"/>
                <w:right w:w="0" w:type="dxa"/>
              </w:tblCellMar>
              <w:tblLook w:val="04A0" w:firstRow="1" w:lastRow="0" w:firstColumn="1" w:lastColumn="0" w:noHBand="0" w:noVBand="1"/>
            </w:tblPr>
            <w:tblGrid>
              <w:gridCol w:w="600"/>
            </w:tblGrid>
            <w:tr w:rsidR="006C7AA7" w:rsidRPr="00D0306F" w14:paraId="1FF04EEC" w14:textId="77777777" w:rsidTr="00CC3BF4">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69132E9E"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6110804F"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11748F7" w14:textId="77777777" w:rsidR="006C7AA7" w:rsidRPr="00D0306F" w:rsidRDefault="006C7AA7" w:rsidP="00CC3BF4">
            <w:pPr>
              <w:jc w:val="center"/>
              <w:rPr>
                <w:rFonts w:eastAsia="Times New Roman" w:cs="Arial"/>
              </w:rPr>
            </w:pPr>
            <w:r w:rsidRPr="00D0306F">
              <w:rPr>
                <w:rFonts w:eastAsia="Times New Roman" w:cs="Arial"/>
              </w:rPr>
              <w:t>16.1%</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55705A6" w14:textId="77777777" w:rsidR="006C7AA7" w:rsidRPr="00D0306F" w:rsidRDefault="006C7AA7" w:rsidP="00CC3BF4">
            <w:pPr>
              <w:jc w:val="center"/>
              <w:rPr>
                <w:rFonts w:eastAsia="Times New Roman" w:cs="Arial"/>
              </w:rPr>
            </w:pPr>
            <w:r w:rsidRPr="00D0306F">
              <w:rPr>
                <w:rFonts w:eastAsia="Times New Roman" w:cs="Arial"/>
              </w:rPr>
              <w:t>19</w:t>
            </w:r>
          </w:p>
        </w:tc>
      </w:tr>
      <w:tr w:rsidR="006C7AA7" w:rsidRPr="00D0306F" w14:paraId="7BB609BF"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6792066" w14:textId="77777777" w:rsidR="006C7AA7" w:rsidRPr="00D0306F" w:rsidRDefault="006C7AA7" w:rsidP="00CC3BF4">
            <w:pPr>
              <w:jc w:val="center"/>
              <w:rPr>
                <w:rFonts w:eastAsia="Times New Roman" w:cs="Arial"/>
              </w:rPr>
            </w:pPr>
            <w:r w:rsidRPr="00D0306F">
              <w:rPr>
                <w:rFonts w:eastAsia="Times New Roman" w:cs="Arial"/>
              </w:rPr>
              <w:t>5</w:t>
            </w:r>
          </w:p>
        </w:tc>
        <w:tc>
          <w:tcPr>
            <w:tcW w:w="21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FDCB7CD" w14:textId="77777777" w:rsidR="006C7AA7" w:rsidRPr="00D0306F" w:rsidRDefault="006C7AA7" w:rsidP="00CC3BF4">
            <w:pPr>
              <w:rPr>
                <w:rFonts w:eastAsia="Times New Roman" w:cs="Arial"/>
              </w:rPr>
            </w:pPr>
            <w:r w:rsidRPr="00D0306F">
              <w:rPr>
                <w:rFonts w:eastAsia="Times New Roman" w:cs="Arial"/>
              </w:rPr>
              <w:t>None of the above</w:t>
            </w:r>
          </w:p>
        </w:tc>
        <w:tc>
          <w:tcPr>
            <w:tcW w:w="384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333" w:type="pct"/>
              <w:tblCellMar>
                <w:left w:w="0" w:type="dxa"/>
                <w:right w:w="0" w:type="dxa"/>
              </w:tblCellMar>
              <w:tblLook w:val="04A0" w:firstRow="1" w:lastRow="0" w:firstColumn="1" w:lastColumn="0" w:noHBand="0" w:noVBand="1"/>
            </w:tblPr>
            <w:tblGrid>
              <w:gridCol w:w="2463"/>
            </w:tblGrid>
            <w:tr w:rsidR="006C7AA7" w:rsidRPr="00D0306F" w14:paraId="37326BDB" w14:textId="77777777" w:rsidTr="00CC3BF4">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31843001"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24609411"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81D0C0C" w14:textId="77777777" w:rsidR="006C7AA7" w:rsidRPr="00D0306F" w:rsidRDefault="006C7AA7" w:rsidP="00CC3BF4">
            <w:pPr>
              <w:jc w:val="center"/>
              <w:rPr>
                <w:rFonts w:eastAsia="Times New Roman" w:cs="Arial"/>
              </w:rPr>
            </w:pPr>
            <w:r w:rsidRPr="00D0306F">
              <w:rPr>
                <w:rFonts w:eastAsia="Times New Roman" w:cs="Arial"/>
              </w:rPr>
              <w:t>66.1%</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D63E0DA" w14:textId="77777777" w:rsidR="006C7AA7" w:rsidRPr="00D0306F" w:rsidRDefault="006C7AA7" w:rsidP="00CC3BF4">
            <w:pPr>
              <w:jc w:val="center"/>
              <w:rPr>
                <w:rFonts w:eastAsia="Times New Roman" w:cs="Arial"/>
              </w:rPr>
            </w:pPr>
            <w:r w:rsidRPr="00D0306F">
              <w:rPr>
                <w:rFonts w:eastAsia="Times New Roman" w:cs="Arial"/>
              </w:rPr>
              <w:t>78</w:t>
            </w:r>
          </w:p>
        </w:tc>
      </w:tr>
      <w:tr w:rsidR="006C7AA7" w:rsidRPr="00D0306F" w14:paraId="305180E1" w14:textId="77777777" w:rsidTr="00CC3BF4">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1A0DCA6" w14:textId="77777777" w:rsidR="006C7AA7" w:rsidRPr="00D0306F" w:rsidRDefault="006C7AA7" w:rsidP="00CC3BF4">
            <w:pPr>
              <w:jc w:val="center"/>
              <w:rPr>
                <w:rFonts w:eastAsia="Times New Roman" w:cs="Arial"/>
              </w:rPr>
            </w:pPr>
            <w:r w:rsidRPr="00D0306F">
              <w:rPr>
                <w:rFonts w:eastAsia="Times New Roman" w:cs="Arial"/>
              </w:rPr>
              <w:t>6</w:t>
            </w:r>
          </w:p>
        </w:tc>
        <w:tc>
          <w:tcPr>
            <w:tcW w:w="21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33D944F" w14:textId="77777777" w:rsidR="006C7AA7" w:rsidRPr="00D0306F" w:rsidRDefault="006C7AA7" w:rsidP="00CC3BF4">
            <w:pPr>
              <w:rPr>
                <w:rFonts w:eastAsia="Times New Roman" w:cs="Arial"/>
              </w:rPr>
            </w:pPr>
            <w:r w:rsidRPr="00D0306F">
              <w:rPr>
                <w:rFonts w:eastAsia="Times New Roman" w:cs="Arial"/>
              </w:rPr>
              <w:t>Prefer not to say</w:t>
            </w:r>
          </w:p>
        </w:tc>
        <w:tc>
          <w:tcPr>
            <w:tcW w:w="384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8" w:type="pct"/>
              <w:tblCellMar>
                <w:left w:w="0" w:type="dxa"/>
                <w:right w:w="0" w:type="dxa"/>
              </w:tblCellMar>
              <w:tblLook w:val="04A0" w:firstRow="1" w:lastRow="0" w:firstColumn="1" w:lastColumn="0" w:noHBand="0" w:noVBand="1"/>
            </w:tblPr>
            <w:tblGrid>
              <w:gridCol w:w="95"/>
            </w:tblGrid>
            <w:tr w:rsidR="006C7AA7" w:rsidRPr="00D0306F" w14:paraId="6E09DEF2" w14:textId="77777777" w:rsidTr="00CC3BF4">
              <w:tc>
                <w:tcPr>
                  <w:tcW w:w="0" w:type="auto"/>
                  <w:tcBorders>
                    <w:top w:val="single" w:sz="6" w:space="0" w:color="00BCD4"/>
                    <w:left w:val="single" w:sz="6" w:space="0" w:color="00BCD4"/>
                    <w:bottom w:val="single" w:sz="6" w:space="0" w:color="00BCD4"/>
                    <w:right w:val="single" w:sz="6" w:space="0" w:color="00BCD4"/>
                  </w:tcBorders>
                  <w:shd w:val="clear" w:color="auto" w:fill="00BCD4"/>
                  <w:vAlign w:val="center"/>
                  <w:hideMark/>
                </w:tcPr>
                <w:p w14:paraId="4C6F89E4"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0BBAD211"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9199C3D" w14:textId="77777777" w:rsidR="006C7AA7" w:rsidRPr="00D0306F" w:rsidRDefault="006C7AA7" w:rsidP="00CC3BF4">
            <w:pPr>
              <w:jc w:val="center"/>
              <w:rPr>
                <w:rFonts w:eastAsia="Times New Roman" w:cs="Arial"/>
              </w:rPr>
            </w:pPr>
            <w:r w:rsidRPr="00D0306F">
              <w:rPr>
                <w:rFonts w:eastAsia="Times New Roman" w:cs="Arial"/>
              </w:rPr>
              <w:t>2.5%</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68B7D45" w14:textId="77777777" w:rsidR="006C7AA7" w:rsidRPr="00D0306F" w:rsidRDefault="006C7AA7" w:rsidP="00CC3BF4">
            <w:pPr>
              <w:jc w:val="center"/>
              <w:rPr>
                <w:rFonts w:eastAsia="Times New Roman" w:cs="Arial"/>
              </w:rPr>
            </w:pPr>
            <w:r w:rsidRPr="00D0306F">
              <w:rPr>
                <w:rFonts w:eastAsia="Times New Roman" w:cs="Arial"/>
              </w:rPr>
              <w:t>3</w:t>
            </w:r>
          </w:p>
        </w:tc>
      </w:tr>
      <w:tr w:rsidR="006C7AA7" w:rsidRPr="00D0306F" w14:paraId="33064FDD"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41CA1626"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0C0848E"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4A9D968" w14:textId="77777777" w:rsidR="006C7AA7" w:rsidRPr="00D0306F" w:rsidRDefault="006C7AA7" w:rsidP="00CC3BF4">
            <w:pPr>
              <w:jc w:val="center"/>
              <w:rPr>
                <w:rFonts w:eastAsia="Times New Roman" w:cs="Arial"/>
              </w:rPr>
            </w:pPr>
            <w:r w:rsidRPr="00D0306F">
              <w:rPr>
                <w:rFonts w:eastAsia="Times New Roman" w:cs="Arial"/>
              </w:rPr>
              <w:t>118</w:t>
            </w:r>
          </w:p>
        </w:tc>
      </w:tr>
      <w:tr w:rsidR="006C7AA7" w:rsidRPr="00D0306F" w14:paraId="7AE10E5B"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143291A7"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30A6844"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14EE62C" w14:textId="77777777" w:rsidR="006C7AA7" w:rsidRPr="00D0306F" w:rsidRDefault="006C7AA7" w:rsidP="00CC3BF4">
            <w:pPr>
              <w:jc w:val="center"/>
              <w:rPr>
                <w:rFonts w:eastAsia="Times New Roman" w:cs="Arial"/>
              </w:rPr>
            </w:pPr>
            <w:r w:rsidRPr="00D0306F">
              <w:rPr>
                <w:rFonts w:eastAsia="Times New Roman" w:cs="Arial"/>
              </w:rPr>
              <w:t>1</w:t>
            </w:r>
          </w:p>
        </w:tc>
      </w:tr>
    </w:tbl>
    <w:p w14:paraId="26F0BA50" w14:textId="77777777" w:rsidR="006C7AA7" w:rsidRPr="00D0306F" w:rsidRDefault="006C7AA7" w:rsidP="006C7AA7">
      <w:pPr>
        <w:rPr>
          <w:rFonts w:eastAsia="Times New Roman" w:cs="Arial"/>
          <w:b/>
          <w:bCs/>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416"/>
        <w:gridCol w:w="2273"/>
        <w:gridCol w:w="3605"/>
        <w:gridCol w:w="1313"/>
        <w:gridCol w:w="1313"/>
      </w:tblGrid>
      <w:tr w:rsidR="006C7AA7" w:rsidRPr="00D0306F" w14:paraId="317623D2" w14:textId="77777777" w:rsidTr="00CC3BF4">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7C284F46" w14:textId="3257BCC6" w:rsidR="006C7AA7" w:rsidRPr="00D0306F" w:rsidRDefault="006C7AA7" w:rsidP="00CC3BF4">
            <w:pPr>
              <w:rPr>
                <w:rFonts w:eastAsia="Times New Roman" w:cs="Arial"/>
                <w:b/>
                <w:bCs/>
                <w:color w:val="FFFFFF"/>
              </w:rPr>
            </w:pPr>
            <w:r w:rsidRPr="00D0306F">
              <w:rPr>
                <w:rFonts w:eastAsia="Times New Roman" w:cs="Arial"/>
                <w:b/>
                <w:bCs/>
                <w:color w:val="FFFFFF"/>
              </w:rPr>
              <w:t>35. Caring responsibilities - do you look after or give help or support to family members, friends, neighbours or others because of either (a) long term physical or mental ill health or disability or (b) problems relating to old age?</w:t>
            </w:r>
            <w:r w:rsidR="00B752FC">
              <w:rPr>
                <w:rFonts w:eastAsia="Times New Roman" w:cs="Arial"/>
                <w:b/>
                <w:bCs/>
                <w:color w:val="FFFFFF"/>
              </w:rPr>
              <w:t xml:space="preserve"> </w:t>
            </w:r>
          </w:p>
        </w:tc>
      </w:tr>
      <w:tr w:rsidR="006C7AA7" w:rsidRPr="00D0306F" w14:paraId="373354DC" w14:textId="77777777" w:rsidTr="00CC3BF4">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1C48FEA4" w14:textId="77777777" w:rsidR="006C7AA7" w:rsidRPr="00D0306F" w:rsidRDefault="006C7AA7" w:rsidP="00CC3BF4">
            <w:pPr>
              <w:rPr>
                <w:rFonts w:eastAsia="Times New Roman" w:cs="Arial"/>
                <w:b/>
                <w:bCs/>
              </w:rPr>
            </w:pPr>
            <w:r w:rsidRPr="00D0306F">
              <w:rPr>
                <w:rFonts w:eastAsia="Times New Roman" w:cs="Arial"/>
                <w:b/>
                <w:bCs/>
              </w:rPr>
              <w:t>Answer Choices</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75D9AC4" w14:textId="77777777" w:rsidR="006C7AA7" w:rsidRPr="00D0306F" w:rsidRDefault="006C7AA7" w:rsidP="00CC3BF4">
            <w:pPr>
              <w:jc w:val="center"/>
              <w:rPr>
                <w:rFonts w:eastAsia="Times New Roman" w:cs="Arial"/>
                <w:b/>
                <w:bCs/>
              </w:rPr>
            </w:pPr>
            <w:r w:rsidRPr="00D0306F">
              <w:rPr>
                <w:rFonts w:eastAsia="Times New Roman" w:cs="Arial"/>
                <w:b/>
                <w:bCs/>
              </w:rPr>
              <w:t>Response Percent</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D072C18" w14:textId="77777777" w:rsidR="006C7AA7" w:rsidRPr="00D0306F" w:rsidRDefault="006C7AA7" w:rsidP="00CC3BF4">
            <w:pPr>
              <w:jc w:val="center"/>
              <w:rPr>
                <w:rFonts w:eastAsia="Times New Roman" w:cs="Arial"/>
                <w:b/>
                <w:bCs/>
              </w:rPr>
            </w:pPr>
            <w:r w:rsidRPr="00D0306F">
              <w:rPr>
                <w:rFonts w:eastAsia="Times New Roman" w:cs="Arial"/>
                <w:b/>
                <w:bCs/>
              </w:rPr>
              <w:t>Response Total</w:t>
            </w:r>
          </w:p>
        </w:tc>
      </w:tr>
      <w:tr w:rsidR="006C7AA7" w:rsidRPr="00D0306F" w14:paraId="42B11596" w14:textId="77777777" w:rsidTr="00CC3BF4">
        <w:trPr>
          <w:tblCellSpacing w:w="0" w:type="dxa"/>
          <w:jc w:val="center"/>
        </w:trPr>
        <w:tc>
          <w:tcPr>
            <w:tcW w:w="41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74B41FB" w14:textId="77777777" w:rsidR="006C7AA7" w:rsidRPr="00D0306F" w:rsidRDefault="006C7AA7" w:rsidP="00CC3BF4">
            <w:pPr>
              <w:jc w:val="center"/>
              <w:rPr>
                <w:rFonts w:eastAsia="Times New Roman" w:cs="Arial"/>
              </w:rPr>
            </w:pPr>
            <w:r w:rsidRPr="00D0306F">
              <w:rPr>
                <w:rFonts w:eastAsia="Times New Roman" w:cs="Arial"/>
              </w:rPr>
              <w:t>1</w:t>
            </w:r>
          </w:p>
        </w:tc>
        <w:tc>
          <w:tcPr>
            <w:tcW w:w="227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D2F0DA8" w14:textId="77777777" w:rsidR="006C7AA7" w:rsidRPr="00D0306F" w:rsidRDefault="006C7AA7" w:rsidP="00CC3BF4">
            <w:pPr>
              <w:rPr>
                <w:rFonts w:eastAsia="Times New Roman" w:cs="Arial"/>
              </w:rPr>
            </w:pPr>
            <w:r w:rsidRPr="00D0306F">
              <w:rPr>
                <w:rFonts w:eastAsia="Times New Roman" w:cs="Arial"/>
              </w:rPr>
              <w:t>Yes</w:t>
            </w:r>
          </w:p>
        </w:tc>
        <w:tc>
          <w:tcPr>
            <w:tcW w:w="3605"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094" w:type="pct"/>
              <w:tblCellMar>
                <w:left w:w="0" w:type="dxa"/>
                <w:right w:w="0" w:type="dxa"/>
              </w:tblCellMar>
              <w:tblLook w:val="04A0" w:firstRow="1" w:lastRow="0" w:firstColumn="1" w:lastColumn="0" w:noHBand="0" w:noVBand="1"/>
            </w:tblPr>
            <w:tblGrid>
              <w:gridCol w:w="1447"/>
            </w:tblGrid>
            <w:tr w:rsidR="006C7AA7" w:rsidRPr="00D0306F" w14:paraId="02AC8AE2" w14:textId="77777777" w:rsidTr="00CC3BF4">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012BA6D9"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3058AE7C"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52A9ABB" w14:textId="77777777" w:rsidR="006C7AA7" w:rsidRPr="00D0306F" w:rsidRDefault="006C7AA7" w:rsidP="00CC3BF4">
            <w:pPr>
              <w:jc w:val="center"/>
              <w:rPr>
                <w:rFonts w:eastAsia="Times New Roman" w:cs="Arial"/>
              </w:rPr>
            </w:pPr>
            <w:r w:rsidRPr="00D0306F">
              <w:rPr>
                <w:rFonts w:eastAsia="Times New Roman" w:cs="Arial"/>
              </w:rPr>
              <w:t>41.5%</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E7ED4A8" w14:textId="77777777" w:rsidR="006C7AA7" w:rsidRPr="00D0306F" w:rsidRDefault="006C7AA7" w:rsidP="00CC3BF4">
            <w:pPr>
              <w:jc w:val="center"/>
              <w:rPr>
                <w:rFonts w:eastAsia="Times New Roman" w:cs="Arial"/>
              </w:rPr>
            </w:pPr>
            <w:r w:rsidRPr="00D0306F">
              <w:rPr>
                <w:rFonts w:eastAsia="Times New Roman" w:cs="Arial"/>
              </w:rPr>
              <w:t>49</w:t>
            </w:r>
          </w:p>
        </w:tc>
      </w:tr>
      <w:tr w:rsidR="006C7AA7" w:rsidRPr="00D0306F" w14:paraId="2B9AF721" w14:textId="77777777" w:rsidTr="00CC3BF4">
        <w:trPr>
          <w:tblCellSpacing w:w="0" w:type="dxa"/>
          <w:jc w:val="center"/>
        </w:trPr>
        <w:tc>
          <w:tcPr>
            <w:tcW w:w="41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E95EC31" w14:textId="77777777" w:rsidR="006C7AA7" w:rsidRPr="00D0306F" w:rsidRDefault="006C7AA7" w:rsidP="00CC3BF4">
            <w:pPr>
              <w:jc w:val="center"/>
              <w:rPr>
                <w:rFonts w:eastAsia="Times New Roman" w:cs="Arial"/>
              </w:rPr>
            </w:pPr>
            <w:r w:rsidRPr="00D0306F">
              <w:rPr>
                <w:rFonts w:eastAsia="Times New Roman" w:cs="Arial"/>
              </w:rPr>
              <w:t>2</w:t>
            </w:r>
          </w:p>
        </w:tc>
        <w:tc>
          <w:tcPr>
            <w:tcW w:w="227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892DF53" w14:textId="77777777" w:rsidR="006C7AA7" w:rsidRPr="00D0306F" w:rsidRDefault="006C7AA7" w:rsidP="00CC3BF4">
            <w:pPr>
              <w:rPr>
                <w:rFonts w:eastAsia="Times New Roman" w:cs="Arial"/>
              </w:rPr>
            </w:pPr>
            <w:r w:rsidRPr="00D0306F">
              <w:rPr>
                <w:rFonts w:eastAsia="Times New Roman" w:cs="Arial"/>
              </w:rPr>
              <w:t>No</w:t>
            </w:r>
          </w:p>
        </w:tc>
        <w:tc>
          <w:tcPr>
            <w:tcW w:w="3605"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906" w:type="pct"/>
              <w:tblCellMar>
                <w:left w:w="0" w:type="dxa"/>
                <w:right w:w="0" w:type="dxa"/>
              </w:tblCellMar>
              <w:tblLook w:val="04A0" w:firstRow="1" w:lastRow="0" w:firstColumn="1" w:lastColumn="0" w:noHBand="0" w:noVBand="1"/>
            </w:tblPr>
            <w:tblGrid>
              <w:gridCol w:w="2007"/>
            </w:tblGrid>
            <w:tr w:rsidR="006C7AA7" w:rsidRPr="00D0306F" w14:paraId="35763599" w14:textId="77777777" w:rsidTr="00CC3BF4">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358E76F4" w14:textId="77777777" w:rsidR="006C7AA7" w:rsidRPr="00D0306F" w:rsidRDefault="006C7AA7" w:rsidP="00CC3BF4">
                  <w:pPr>
                    <w:spacing w:line="15" w:lineRule="atLeast"/>
                    <w:rPr>
                      <w:rFonts w:eastAsia="Times New Roman" w:cs="Arial"/>
                    </w:rPr>
                  </w:pPr>
                  <w:r w:rsidRPr="00D0306F">
                    <w:rPr>
                      <w:rFonts w:eastAsia="Times New Roman" w:cs="Arial"/>
                    </w:rPr>
                    <w:t> </w:t>
                  </w:r>
                </w:p>
              </w:tc>
            </w:tr>
          </w:tbl>
          <w:p w14:paraId="12F308F3"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0AB0801" w14:textId="77777777" w:rsidR="006C7AA7" w:rsidRPr="00D0306F" w:rsidRDefault="006C7AA7" w:rsidP="00CC3BF4">
            <w:pPr>
              <w:jc w:val="center"/>
              <w:rPr>
                <w:rFonts w:eastAsia="Times New Roman" w:cs="Arial"/>
              </w:rPr>
            </w:pPr>
            <w:r w:rsidRPr="00D0306F">
              <w:rPr>
                <w:rFonts w:eastAsia="Times New Roman" w:cs="Arial"/>
              </w:rPr>
              <w:t>58.5%</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C5ECAE9" w14:textId="77777777" w:rsidR="006C7AA7" w:rsidRPr="00D0306F" w:rsidRDefault="006C7AA7" w:rsidP="00CC3BF4">
            <w:pPr>
              <w:jc w:val="center"/>
              <w:rPr>
                <w:rFonts w:eastAsia="Times New Roman" w:cs="Arial"/>
              </w:rPr>
            </w:pPr>
            <w:r w:rsidRPr="00D0306F">
              <w:rPr>
                <w:rFonts w:eastAsia="Times New Roman" w:cs="Arial"/>
              </w:rPr>
              <w:t>69</w:t>
            </w:r>
          </w:p>
        </w:tc>
      </w:tr>
      <w:tr w:rsidR="006C7AA7" w:rsidRPr="00D0306F" w14:paraId="772EF162" w14:textId="77777777" w:rsidTr="00CC3BF4">
        <w:trPr>
          <w:tblCellSpacing w:w="0" w:type="dxa"/>
          <w:jc w:val="center"/>
        </w:trPr>
        <w:tc>
          <w:tcPr>
            <w:tcW w:w="41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3078673" w14:textId="77777777" w:rsidR="006C7AA7" w:rsidRPr="00D0306F" w:rsidRDefault="006C7AA7" w:rsidP="00CC3BF4">
            <w:pPr>
              <w:jc w:val="center"/>
              <w:rPr>
                <w:rFonts w:eastAsia="Times New Roman" w:cs="Arial"/>
              </w:rPr>
            </w:pPr>
            <w:r w:rsidRPr="00D0306F">
              <w:rPr>
                <w:rFonts w:eastAsia="Times New Roman" w:cs="Arial"/>
              </w:rPr>
              <w:t>3</w:t>
            </w:r>
          </w:p>
        </w:tc>
        <w:tc>
          <w:tcPr>
            <w:tcW w:w="227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2BDE557" w14:textId="77777777" w:rsidR="006C7AA7" w:rsidRPr="00D0306F" w:rsidRDefault="006C7AA7" w:rsidP="00CC3BF4">
            <w:pPr>
              <w:rPr>
                <w:rFonts w:eastAsia="Times New Roman" w:cs="Arial"/>
              </w:rPr>
            </w:pPr>
            <w:r w:rsidRPr="00D0306F">
              <w:rPr>
                <w:rFonts w:eastAsia="Times New Roman" w:cs="Arial"/>
              </w:rPr>
              <w:t>Prefer not to say</w:t>
            </w:r>
          </w:p>
        </w:tc>
        <w:tc>
          <w:tcPr>
            <w:tcW w:w="3605"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4A13DBF3"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6E9CC99" w14:textId="77777777" w:rsidR="006C7AA7" w:rsidRPr="00D0306F" w:rsidRDefault="006C7AA7" w:rsidP="00CC3BF4">
            <w:pPr>
              <w:jc w:val="center"/>
              <w:rPr>
                <w:rFonts w:eastAsia="Times New Roman" w:cs="Arial"/>
              </w:rPr>
            </w:pPr>
            <w:r w:rsidRPr="00D0306F">
              <w:rPr>
                <w:rFonts w:eastAsia="Times New Roman" w:cs="Arial"/>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25AF9D4" w14:textId="77777777" w:rsidR="006C7AA7" w:rsidRPr="00D0306F" w:rsidRDefault="006C7AA7" w:rsidP="00CC3BF4">
            <w:pPr>
              <w:jc w:val="center"/>
              <w:rPr>
                <w:rFonts w:eastAsia="Times New Roman" w:cs="Arial"/>
              </w:rPr>
            </w:pPr>
            <w:r w:rsidRPr="00D0306F">
              <w:rPr>
                <w:rFonts w:eastAsia="Times New Roman" w:cs="Arial"/>
              </w:rPr>
              <w:t>0</w:t>
            </w:r>
          </w:p>
        </w:tc>
      </w:tr>
      <w:tr w:rsidR="006C7AA7" w:rsidRPr="00D0306F" w14:paraId="13550A15" w14:textId="77777777" w:rsidTr="00CC3BF4">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5EEF45B9" w14:textId="77777777" w:rsidR="006C7AA7" w:rsidRPr="00D0306F" w:rsidRDefault="006C7AA7" w:rsidP="00CC3BF4">
            <w:pPr>
              <w:jc w:val="cente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C52A433" w14:textId="77777777" w:rsidR="006C7AA7" w:rsidRPr="00D0306F" w:rsidRDefault="006C7AA7" w:rsidP="00CC3BF4">
            <w:pPr>
              <w:jc w:val="center"/>
              <w:rPr>
                <w:rFonts w:eastAsia="Times New Roman" w:cs="Arial"/>
              </w:rPr>
            </w:pPr>
            <w:r w:rsidRPr="00D0306F">
              <w:rPr>
                <w:rFonts w:eastAsia="Times New Roman" w:cs="Arial"/>
              </w:rPr>
              <w:t>answered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971F1C6" w14:textId="77777777" w:rsidR="006C7AA7" w:rsidRPr="00D0306F" w:rsidRDefault="006C7AA7" w:rsidP="00CC3BF4">
            <w:pPr>
              <w:jc w:val="center"/>
              <w:rPr>
                <w:rFonts w:eastAsia="Times New Roman" w:cs="Arial"/>
              </w:rPr>
            </w:pPr>
            <w:r w:rsidRPr="00D0306F">
              <w:rPr>
                <w:rFonts w:eastAsia="Times New Roman" w:cs="Arial"/>
              </w:rPr>
              <w:t>118</w:t>
            </w:r>
          </w:p>
        </w:tc>
      </w:tr>
      <w:tr w:rsidR="006C7AA7" w:rsidRPr="00D0306F" w14:paraId="55944DBA" w14:textId="77777777" w:rsidTr="00CC3BF4">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4070703E" w14:textId="77777777" w:rsidR="006C7AA7" w:rsidRPr="00D0306F" w:rsidRDefault="006C7AA7" w:rsidP="00CC3BF4">
            <w:pPr>
              <w:rPr>
                <w:rFonts w:eastAsia="Times New Roman" w:cs="Arial"/>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48EBF3C" w14:textId="77777777" w:rsidR="006C7AA7" w:rsidRPr="00D0306F" w:rsidRDefault="006C7AA7" w:rsidP="00CC3BF4">
            <w:pPr>
              <w:jc w:val="center"/>
              <w:rPr>
                <w:rFonts w:eastAsia="Times New Roman" w:cs="Arial"/>
              </w:rPr>
            </w:pPr>
            <w:r w:rsidRPr="00D0306F">
              <w:rPr>
                <w:rFonts w:eastAsia="Times New Roman" w:cs="Arial"/>
              </w:rPr>
              <w:t>skipped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34B29ED" w14:textId="77777777" w:rsidR="006C7AA7" w:rsidRPr="00D0306F" w:rsidRDefault="006C7AA7" w:rsidP="00CC3BF4">
            <w:pPr>
              <w:jc w:val="center"/>
              <w:rPr>
                <w:rFonts w:eastAsia="Times New Roman" w:cs="Arial"/>
              </w:rPr>
            </w:pPr>
            <w:r w:rsidRPr="00D0306F">
              <w:rPr>
                <w:rFonts w:eastAsia="Times New Roman" w:cs="Arial"/>
              </w:rPr>
              <w:t>1</w:t>
            </w:r>
          </w:p>
        </w:tc>
      </w:tr>
    </w:tbl>
    <w:p w14:paraId="3576B03D" w14:textId="77777777" w:rsidR="006C7AA7" w:rsidRPr="00D0306F" w:rsidRDefault="006C7AA7" w:rsidP="006C7AA7">
      <w:pPr>
        <w:rPr>
          <w:rFonts w:eastAsia="Times New Roman" w:cs="Arial"/>
        </w:rPr>
      </w:pPr>
    </w:p>
    <w:p w14:paraId="2553DB92" w14:textId="0EA4F3F6" w:rsidR="0060083C" w:rsidRPr="00D0306F" w:rsidRDefault="0060083C">
      <w:pPr>
        <w:spacing w:after="160" w:line="278" w:lineRule="auto"/>
        <w:rPr>
          <w:rFonts w:cs="Arial"/>
          <w:b/>
          <w:bCs/>
        </w:rPr>
      </w:pPr>
      <w:r w:rsidRPr="00D0306F">
        <w:rPr>
          <w:rFonts w:cs="Arial"/>
          <w:b/>
          <w:bCs/>
        </w:rPr>
        <w:br w:type="page"/>
      </w:r>
    </w:p>
    <w:p w14:paraId="2D6F1F03" w14:textId="30B52274" w:rsidR="00E3097A" w:rsidRPr="00D0306F" w:rsidRDefault="00E3097A" w:rsidP="00E3097A">
      <w:pPr>
        <w:pStyle w:val="Heading1"/>
        <w:rPr>
          <w:rFonts w:eastAsia="Aptos"/>
          <w:sz w:val="28"/>
          <w:szCs w:val="28"/>
        </w:rPr>
      </w:pPr>
      <w:bookmarkStart w:id="54" w:name="_Toc235185396"/>
      <w:r w:rsidRPr="00D0306F">
        <w:rPr>
          <w:rFonts w:eastAsia="Aptos"/>
          <w:sz w:val="28"/>
          <w:szCs w:val="28"/>
          <w:lang w:val="en-US"/>
        </w:rPr>
        <w:lastRenderedPageBreak/>
        <w:t xml:space="preserve">Appendix I – </w:t>
      </w:r>
      <w:r w:rsidR="00A502DF" w:rsidRPr="00D0306F">
        <w:rPr>
          <w:rFonts w:eastAsia="Aptos"/>
          <w:sz w:val="28"/>
          <w:szCs w:val="28"/>
          <w:lang w:val="en-US"/>
        </w:rPr>
        <w:t>p</w:t>
      </w:r>
      <w:r w:rsidRPr="00D0306F">
        <w:rPr>
          <w:rFonts w:eastAsia="Aptos"/>
          <w:sz w:val="28"/>
          <w:szCs w:val="28"/>
          <w:lang w:val="en-US"/>
        </w:rPr>
        <w:t>harmacy contractor questionnaire</w:t>
      </w:r>
      <w:bookmarkEnd w:id="54"/>
      <w:r w:rsidRPr="00D0306F">
        <w:rPr>
          <w:rFonts w:eastAsia="Aptos"/>
          <w:sz w:val="28"/>
          <w:szCs w:val="28"/>
        </w:rPr>
        <w:t> </w:t>
      </w:r>
    </w:p>
    <w:p w14:paraId="692FCAE1" w14:textId="77777777" w:rsidR="006C7AA7" w:rsidRPr="00D0306F" w:rsidRDefault="006C7AA7" w:rsidP="00ED57F2">
      <w:pPr>
        <w:rPr>
          <w:rFonts w:cs="Arial"/>
          <w:b/>
          <w:bCs/>
        </w:rPr>
      </w:pPr>
    </w:p>
    <w:p w14:paraId="72D3A198" w14:textId="77777777" w:rsidR="00432349" w:rsidRPr="00432349" w:rsidRDefault="00432349" w:rsidP="00ED57F2">
      <w:pPr>
        <w:rPr>
          <w:rFonts w:eastAsia="Aptos" w:cs="Times New Roman"/>
        </w:rPr>
      </w:pPr>
      <w:r w:rsidRPr="00432349">
        <w:rPr>
          <w:rFonts w:eastAsia="Aptos" w:cs="Times New Roman"/>
          <w:lang w:val="en-US"/>
        </w:rPr>
        <w:t>Swansea Bay University Health Board is preparing its next pharmaceutical needs assessment or PNA which is due to be published by 1 October 2026 and we need your help to gather some information to support its development.</w:t>
      </w:r>
      <w:r w:rsidRPr="00432349">
        <w:rPr>
          <w:rFonts w:eastAsia="Aptos" w:cs="Times New Roman"/>
        </w:rPr>
        <w:t> </w:t>
      </w:r>
    </w:p>
    <w:p w14:paraId="3BEB3C54" w14:textId="77777777" w:rsidR="00432349" w:rsidRPr="00432349" w:rsidRDefault="00432349" w:rsidP="00ED57F2">
      <w:pPr>
        <w:rPr>
          <w:rFonts w:eastAsia="Aptos" w:cs="Times New Roman"/>
        </w:rPr>
      </w:pPr>
    </w:p>
    <w:p w14:paraId="4A7642F3" w14:textId="77777777" w:rsidR="00432349" w:rsidRPr="00432349" w:rsidRDefault="00432349" w:rsidP="00ED57F2">
      <w:pPr>
        <w:rPr>
          <w:rFonts w:eastAsia="Aptos" w:cs="Times New Roman"/>
        </w:rPr>
      </w:pPr>
      <w:r w:rsidRPr="00432349">
        <w:rPr>
          <w:rFonts w:eastAsia="Aptos" w:cs="Times New Roman"/>
          <w:lang w:val="en-US"/>
        </w:rPr>
        <w:t>In developing the questionnaire, we are only asking for information that is needed but is not routinely held or collected. As you will see we have kept the questionnaire as short as possible.</w:t>
      </w:r>
      <w:r w:rsidRPr="00432349">
        <w:rPr>
          <w:rFonts w:eastAsia="Aptos" w:cs="Times New Roman"/>
        </w:rPr>
        <w:t> </w:t>
      </w:r>
    </w:p>
    <w:p w14:paraId="35F3355A" w14:textId="77777777" w:rsidR="00432349" w:rsidRPr="00432349" w:rsidRDefault="00432349" w:rsidP="00ED57F2">
      <w:pPr>
        <w:rPr>
          <w:rFonts w:eastAsia="Aptos" w:cs="Times New Roman"/>
        </w:rPr>
      </w:pPr>
    </w:p>
    <w:p w14:paraId="4E5285B3" w14:textId="77777777" w:rsidR="00432349" w:rsidRPr="00432349" w:rsidRDefault="00432349" w:rsidP="00ED57F2">
      <w:pPr>
        <w:rPr>
          <w:rFonts w:eastAsia="Aptos" w:cs="Times New Roman"/>
        </w:rPr>
      </w:pPr>
      <w:r w:rsidRPr="00432349">
        <w:rPr>
          <w:rFonts w:eastAsia="Aptos" w:cs="Times New Roman"/>
          <w:lang w:val="en-US"/>
        </w:rPr>
        <w:t>While available until 27</w:t>
      </w:r>
      <w:r w:rsidRPr="00432349">
        <w:rPr>
          <w:rFonts w:eastAsia="Aptos" w:cs="Times New Roman"/>
          <w:vertAlign w:val="superscript"/>
          <w:lang w:val="en-US"/>
        </w:rPr>
        <w:t>th</w:t>
      </w:r>
      <w:r w:rsidRPr="00432349">
        <w:rPr>
          <w:rFonts w:eastAsia="Aptos" w:cs="Times New Roman"/>
          <w:lang w:val="en-US"/>
        </w:rPr>
        <w:t xml:space="preserve"> March 2026 we would encourage you to complete the questionnaire now.</w:t>
      </w:r>
      <w:r w:rsidRPr="00432349">
        <w:rPr>
          <w:rFonts w:eastAsia="Aptos" w:cs="Times New Roman"/>
        </w:rPr>
        <w:t> We have communicated with both head offices and branches about this questionnaire – please therefore check with your head office, if there is one, as to whether you should complete this questionnaire or whether it will be done by the head office.</w:t>
      </w:r>
    </w:p>
    <w:p w14:paraId="4EE01338" w14:textId="77777777" w:rsidR="00432349" w:rsidRPr="00432349" w:rsidRDefault="00432349" w:rsidP="00ED57F2">
      <w:pPr>
        <w:rPr>
          <w:rFonts w:eastAsia="Aptos" w:cs="Times New Roman"/>
        </w:rPr>
      </w:pPr>
    </w:p>
    <w:p w14:paraId="054E3A77" w14:textId="4D8E095D" w:rsidR="00432349" w:rsidRPr="00432349" w:rsidRDefault="00432349" w:rsidP="00ED57F2">
      <w:pPr>
        <w:rPr>
          <w:rFonts w:eastAsia="Aptos" w:cs="Times New Roman"/>
          <w:b/>
          <w:bCs/>
        </w:rPr>
      </w:pPr>
      <w:r w:rsidRPr="00432349">
        <w:rPr>
          <w:rFonts w:eastAsia="Aptos" w:cs="Times New Roman"/>
          <w:lang w:val="en-US"/>
        </w:rPr>
        <w:t>For queries relating to the information requested or the answers required please email </w:t>
      </w:r>
      <w:hyperlink r:id="rId65" w:history="1">
        <w:r w:rsidR="004F50FE" w:rsidRPr="00D0306F">
          <w:rPr>
            <w:rStyle w:val="Hyperlink"/>
            <w:color w:val="0000FF"/>
            <w:lang w:val="en-US"/>
          </w:rPr>
          <w:t>SBU.CommunityPharmacyOffice@wales.nhs.uk</w:t>
        </w:r>
      </w:hyperlink>
      <w:r w:rsidRPr="00432349">
        <w:rPr>
          <w:rFonts w:eastAsia="Aptos" w:cs="Times New Roman"/>
          <w:lang w:val="en-US"/>
        </w:rPr>
        <w:t> with a subject title of ‘SBUHB PNA contractor questionnaire’.</w:t>
      </w:r>
      <w:r w:rsidRPr="00432349">
        <w:rPr>
          <w:rFonts w:eastAsia="Aptos" w:cs="Times New Roman"/>
        </w:rPr>
        <w:t> </w:t>
      </w:r>
    </w:p>
    <w:p w14:paraId="2525A905" w14:textId="77777777" w:rsidR="00432349" w:rsidRPr="00432349" w:rsidRDefault="00432349" w:rsidP="00ED57F2">
      <w:pPr>
        <w:rPr>
          <w:rFonts w:eastAsia="Aptos" w:cs="Times New Roman"/>
        </w:rPr>
      </w:pPr>
      <w:r w:rsidRPr="00432349">
        <w:rPr>
          <w:rFonts w:eastAsia="Aptos" w:cs="Times New Roman"/>
        </w:rPr>
        <w:t> </w:t>
      </w:r>
    </w:p>
    <w:tbl>
      <w:tblPr>
        <w:tblW w:w="836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11"/>
        <w:gridCol w:w="2749"/>
      </w:tblGrid>
      <w:tr w:rsidR="00432349" w:rsidRPr="00432349" w14:paraId="65E57FDD" w14:textId="77777777" w:rsidTr="00432349">
        <w:trPr>
          <w:trHeight w:val="630"/>
        </w:trPr>
        <w:tc>
          <w:tcPr>
            <w:tcW w:w="5095" w:type="dxa"/>
            <w:tcBorders>
              <w:top w:val="single" w:sz="6" w:space="0" w:color="000000"/>
              <w:left w:val="single" w:sz="6" w:space="0" w:color="000000"/>
              <w:bottom w:val="single" w:sz="6" w:space="0" w:color="000000"/>
              <w:right w:val="single" w:sz="6" w:space="0" w:color="000000"/>
            </w:tcBorders>
            <w:hideMark/>
          </w:tcPr>
          <w:p w14:paraId="30D1EABA" w14:textId="77777777" w:rsidR="00432349" w:rsidRPr="00432349" w:rsidRDefault="00432349" w:rsidP="00ED57F2">
            <w:pPr>
              <w:ind w:left="127" w:right="252"/>
              <w:rPr>
                <w:rFonts w:eastAsia="Aptos" w:cs="Times New Roman"/>
              </w:rPr>
            </w:pPr>
            <w:r w:rsidRPr="00432349">
              <w:rPr>
                <w:rFonts w:eastAsia="Aptos" w:cs="Times New Roman"/>
                <w:lang w:val="en-US"/>
              </w:rPr>
              <w:t>Contractor code (ODS code)</w:t>
            </w:r>
            <w:r w:rsidRPr="00432349">
              <w:rPr>
                <w:rFonts w:eastAsia="Aptos" w:cs="Times New Roman"/>
              </w:rPr>
              <w:t> </w:t>
            </w:r>
          </w:p>
        </w:tc>
        <w:tc>
          <w:tcPr>
            <w:tcW w:w="3265" w:type="dxa"/>
            <w:tcBorders>
              <w:top w:val="single" w:sz="6" w:space="0" w:color="000000"/>
              <w:left w:val="single" w:sz="6" w:space="0" w:color="000000"/>
              <w:bottom w:val="single" w:sz="6" w:space="0" w:color="000000"/>
              <w:right w:val="single" w:sz="6" w:space="0" w:color="000000"/>
            </w:tcBorders>
            <w:hideMark/>
          </w:tcPr>
          <w:p w14:paraId="0026A71C" w14:textId="77777777" w:rsidR="00432349" w:rsidRPr="00432349" w:rsidRDefault="00432349" w:rsidP="00ED57F2">
            <w:pPr>
              <w:ind w:left="127" w:right="-174"/>
              <w:rPr>
                <w:rFonts w:eastAsia="Aptos" w:cs="Times New Roman"/>
              </w:rPr>
            </w:pPr>
            <w:r w:rsidRPr="00432349">
              <w:rPr>
                <w:rFonts w:eastAsia="Aptos" w:cs="Times New Roman"/>
              </w:rPr>
              <w:t> </w:t>
            </w:r>
          </w:p>
        </w:tc>
      </w:tr>
      <w:tr w:rsidR="00432349" w:rsidRPr="00432349" w14:paraId="4CDE7897" w14:textId="77777777" w:rsidTr="00432349">
        <w:trPr>
          <w:trHeight w:val="768"/>
        </w:trPr>
        <w:tc>
          <w:tcPr>
            <w:tcW w:w="5095" w:type="dxa"/>
            <w:tcBorders>
              <w:top w:val="single" w:sz="6" w:space="0" w:color="000000"/>
              <w:left w:val="single" w:sz="6" w:space="0" w:color="000000"/>
              <w:bottom w:val="single" w:sz="6" w:space="0" w:color="000000"/>
              <w:right w:val="single" w:sz="6" w:space="0" w:color="000000"/>
            </w:tcBorders>
            <w:hideMark/>
          </w:tcPr>
          <w:p w14:paraId="30671EF3" w14:textId="77777777" w:rsidR="00432349" w:rsidRPr="00432349" w:rsidRDefault="00432349" w:rsidP="00ED57F2">
            <w:pPr>
              <w:ind w:left="127" w:right="252"/>
              <w:rPr>
                <w:rFonts w:eastAsia="Aptos" w:cs="Times New Roman"/>
              </w:rPr>
            </w:pPr>
            <w:r w:rsidRPr="00432349">
              <w:rPr>
                <w:rFonts w:eastAsia="Aptos" w:cs="Times New Roman"/>
                <w:lang w:val="en-US"/>
              </w:rPr>
              <w:t>Name of contractor (i.e. name owning the partnership or company</w:t>
            </w:r>
            <w:r w:rsidRPr="00432349">
              <w:rPr>
                <w:rFonts w:eastAsia="Aptos" w:cs="Times New Roman"/>
              </w:rPr>
              <w:t> </w:t>
            </w:r>
            <w:r w:rsidRPr="00432349">
              <w:rPr>
                <w:rFonts w:eastAsia="Aptos" w:cs="Times New Roman"/>
                <w:lang w:val="en-US"/>
              </w:rPr>
              <w:t>pharmacy business)</w:t>
            </w:r>
            <w:r w:rsidRPr="00432349">
              <w:rPr>
                <w:rFonts w:eastAsia="Aptos" w:cs="Times New Roman"/>
              </w:rPr>
              <w:t> </w:t>
            </w:r>
          </w:p>
        </w:tc>
        <w:tc>
          <w:tcPr>
            <w:tcW w:w="3265" w:type="dxa"/>
            <w:tcBorders>
              <w:top w:val="single" w:sz="6" w:space="0" w:color="000000"/>
              <w:left w:val="single" w:sz="6" w:space="0" w:color="000000"/>
              <w:bottom w:val="single" w:sz="6" w:space="0" w:color="000000"/>
              <w:right w:val="single" w:sz="6" w:space="0" w:color="000000"/>
            </w:tcBorders>
            <w:hideMark/>
          </w:tcPr>
          <w:p w14:paraId="7F1B1415" w14:textId="77777777" w:rsidR="00432349" w:rsidRPr="00432349" w:rsidRDefault="00432349" w:rsidP="00ED57F2">
            <w:pPr>
              <w:ind w:left="127" w:right="-174"/>
              <w:rPr>
                <w:rFonts w:eastAsia="Aptos" w:cs="Times New Roman"/>
              </w:rPr>
            </w:pPr>
            <w:r w:rsidRPr="00432349">
              <w:rPr>
                <w:rFonts w:eastAsia="Aptos" w:cs="Times New Roman"/>
              </w:rPr>
              <w:t> </w:t>
            </w:r>
          </w:p>
        </w:tc>
      </w:tr>
      <w:tr w:rsidR="00432349" w:rsidRPr="00432349" w14:paraId="597C6CB4" w14:textId="77777777" w:rsidTr="00432349">
        <w:trPr>
          <w:trHeight w:val="645"/>
        </w:trPr>
        <w:tc>
          <w:tcPr>
            <w:tcW w:w="5095" w:type="dxa"/>
            <w:tcBorders>
              <w:top w:val="single" w:sz="6" w:space="0" w:color="000000"/>
              <w:left w:val="single" w:sz="6" w:space="0" w:color="000000"/>
              <w:bottom w:val="single" w:sz="6" w:space="0" w:color="000000"/>
              <w:right w:val="single" w:sz="6" w:space="0" w:color="000000"/>
            </w:tcBorders>
            <w:hideMark/>
          </w:tcPr>
          <w:p w14:paraId="0DC52894" w14:textId="77777777" w:rsidR="00432349" w:rsidRPr="00432349" w:rsidRDefault="00432349" w:rsidP="00ED57F2">
            <w:pPr>
              <w:ind w:left="127" w:right="252"/>
              <w:rPr>
                <w:rFonts w:eastAsia="Aptos" w:cs="Times New Roman"/>
              </w:rPr>
            </w:pPr>
            <w:r w:rsidRPr="00432349">
              <w:rPr>
                <w:rFonts w:eastAsia="Aptos" w:cs="Times New Roman"/>
                <w:lang w:val="en-US"/>
              </w:rPr>
              <w:t>Trading name</w:t>
            </w:r>
            <w:r w:rsidRPr="00432349">
              <w:rPr>
                <w:rFonts w:eastAsia="Aptos" w:cs="Times New Roman"/>
              </w:rPr>
              <w:t> </w:t>
            </w:r>
          </w:p>
        </w:tc>
        <w:tc>
          <w:tcPr>
            <w:tcW w:w="3265" w:type="dxa"/>
            <w:tcBorders>
              <w:top w:val="single" w:sz="6" w:space="0" w:color="000000"/>
              <w:left w:val="single" w:sz="6" w:space="0" w:color="000000"/>
              <w:bottom w:val="single" w:sz="6" w:space="0" w:color="000000"/>
              <w:right w:val="single" w:sz="6" w:space="0" w:color="000000"/>
            </w:tcBorders>
            <w:hideMark/>
          </w:tcPr>
          <w:p w14:paraId="5FB26292" w14:textId="77777777" w:rsidR="00432349" w:rsidRPr="00432349" w:rsidRDefault="00432349" w:rsidP="00ED57F2">
            <w:pPr>
              <w:ind w:left="127" w:right="-174"/>
              <w:rPr>
                <w:rFonts w:eastAsia="Aptos" w:cs="Times New Roman"/>
              </w:rPr>
            </w:pPr>
            <w:r w:rsidRPr="00432349">
              <w:rPr>
                <w:rFonts w:eastAsia="Aptos" w:cs="Times New Roman"/>
              </w:rPr>
              <w:t> </w:t>
            </w:r>
          </w:p>
        </w:tc>
      </w:tr>
      <w:tr w:rsidR="00432349" w:rsidRPr="00432349" w14:paraId="52294C79" w14:textId="77777777" w:rsidTr="00432349">
        <w:trPr>
          <w:trHeight w:val="630"/>
        </w:trPr>
        <w:tc>
          <w:tcPr>
            <w:tcW w:w="5095" w:type="dxa"/>
            <w:tcBorders>
              <w:top w:val="single" w:sz="6" w:space="0" w:color="000000"/>
              <w:left w:val="single" w:sz="6" w:space="0" w:color="000000"/>
              <w:bottom w:val="single" w:sz="6" w:space="0" w:color="000000"/>
              <w:right w:val="single" w:sz="6" w:space="0" w:color="000000"/>
            </w:tcBorders>
            <w:hideMark/>
          </w:tcPr>
          <w:p w14:paraId="1563244A" w14:textId="77777777" w:rsidR="00432349" w:rsidRPr="00432349" w:rsidRDefault="00432349" w:rsidP="00ED57F2">
            <w:pPr>
              <w:ind w:left="127" w:right="252"/>
              <w:rPr>
                <w:rFonts w:eastAsia="Aptos" w:cs="Times New Roman"/>
              </w:rPr>
            </w:pPr>
            <w:r w:rsidRPr="00432349">
              <w:rPr>
                <w:rFonts w:eastAsia="Aptos" w:cs="Times New Roman"/>
                <w:lang w:val="en-US"/>
              </w:rPr>
              <w:t>Address of the premises</w:t>
            </w:r>
            <w:r w:rsidRPr="00432349">
              <w:rPr>
                <w:rFonts w:eastAsia="Aptos" w:cs="Times New Roman"/>
              </w:rPr>
              <w:t> </w:t>
            </w:r>
          </w:p>
        </w:tc>
        <w:tc>
          <w:tcPr>
            <w:tcW w:w="3265" w:type="dxa"/>
            <w:tcBorders>
              <w:top w:val="single" w:sz="6" w:space="0" w:color="000000"/>
              <w:left w:val="single" w:sz="6" w:space="0" w:color="000000"/>
              <w:bottom w:val="single" w:sz="6" w:space="0" w:color="000000"/>
              <w:right w:val="single" w:sz="6" w:space="0" w:color="000000"/>
            </w:tcBorders>
            <w:hideMark/>
          </w:tcPr>
          <w:p w14:paraId="1773D7C5" w14:textId="77777777" w:rsidR="00432349" w:rsidRPr="00432349" w:rsidRDefault="00432349" w:rsidP="00ED57F2">
            <w:pPr>
              <w:ind w:left="127" w:right="-174"/>
              <w:rPr>
                <w:rFonts w:eastAsia="Aptos" w:cs="Times New Roman"/>
              </w:rPr>
            </w:pPr>
            <w:r w:rsidRPr="00432349">
              <w:rPr>
                <w:rFonts w:eastAsia="Aptos" w:cs="Times New Roman"/>
              </w:rPr>
              <w:t> </w:t>
            </w:r>
          </w:p>
        </w:tc>
      </w:tr>
      <w:tr w:rsidR="00432349" w:rsidRPr="00432349" w14:paraId="3699D356" w14:textId="77777777" w:rsidTr="00432349">
        <w:trPr>
          <w:trHeight w:val="630"/>
        </w:trPr>
        <w:tc>
          <w:tcPr>
            <w:tcW w:w="5095" w:type="dxa"/>
            <w:tcBorders>
              <w:top w:val="single" w:sz="6" w:space="0" w:color="000000"/>
              <w:left w:val="single" w:sz="6" w:space="0" w:color="000000"/>
              <w:bottom w:val="single" w:sz="6" w:space="0" w:color="000000"/>
              <w:right w:val="single" w:sz="6" w:space="0" w:color="000000"/>
            </w:tcBorders>
            <w:hideMark/>
          </w:tcPr>
          <w:p w14:paraId="1567A8BC" w14:textId="77777777" w:rsidR="00432349" w:rsidRPr="00432349" w:rsidRDefault="00432349" w:rsidP="00ED57F2">
            <w:pPr>
              <w:ind w:left="127" w:right="252"/>
              <w:rPr>
                <w:rFonts w:eastAsia="Aptos" w:cs="Times New Roman"/>
              </w:rPr>
            </w:pPr>
            <w:r w:rsidRPr="00432349">
              <w:rPr>
                <w:rFonts w:eastAsia="Aptos" w:cs="Times New Roman"/>
                <w:lang w:val="en-US"/>
              </w:rPr>
              <w:t>Premises email address</w:t>
            </w:r>
            <w:r w:rsidRPr="00432349">
              <w:rPr>
                <w:rFonts w:eastAsia="Aptos" w:cs="Times New Roman"/>
              </w:rPr>
              <w:t> </w:t>
            </w:r>
          </w:p>
        </w:tc>
        <w:tc>
          <w:tcPr>
            <w:tcW w:w="3265" w:type="dxa"/>
            <w:tcBorders>
              <w:top w:val="single" w:sz="6" w:space="0" w:color="000000"/>
              <w:left w:val="single" w:sz="6" w:space="0" w:color="000000"/>
              <w:bottom w:val="single" w:sz="6" w:space="0" w:color="000000"/>
              <w:right w:val="single" w:sz="6" w:space="0" w:color="000000"/>
            </w:tcBorders>
            <w:hideMark/>
          </w:tcPr>
          <w:p w14:paraId="44C0E18E" w14:textId="77777777" w:rsidR="00432349" w:rsidRPr="00432349" w:rsidRDefault="00432349" w:rsidP="00ED57F2">
            <w:pPr>
              <w:ind w:left="127" w:right="-174"/>
              <w:rPr>
                <w:rFonts w:eastAsia="Aptos" w:cs="Times New Roman"/>
              </w:rPr>
            </w:pPr>
            <w:r w:rsidRPr="00432349">
              <w:rPr>
                <w:rFonts w:eastAsia="Aptos" w:cs="Times New Roman"/>
              </w:rPr>
              <w:t> </w:t>
            </w:r>
          </w:p>
        </w:tc>
      </w:tr>
      <w:tr w:rsidR="00432349" w:rsidRPr="00432349" w14:paraId="24AC5DB9" w14:textId="77777777" w:rsidTr="00432349">
        <w:trPr>
          <w:trHeight w:val="630"/>
        </w:trPr>
        <w:tc>
          <w:tcPr>
            <w:tcW w:w="5095" w:type="dxa"/>
            <w:tcBorders>
              <w:top w:val="single" w:sz="6" w:space="0" w:color="000000"/>
              <w:left w:val="single" w:sz="6" w:space="0" w:color="000000"/>
              <w:bottom w:val="single" w:sz="6" w:space="0" w:color="000000"/>
              <w:right w:val="single" w:sz="6" w:space="0" w:color="000000"/>
            </w:tcBorders>
            <w:hideMark/>
          </w:tcPr>
          <w:p w14:paraId="464D6069" w14:textId="77777777" w:rsidR="00432349" w:rsidRPr="00432349" w:rsidRDefault="00432349" w:rsidP="00ED57F2">
            <w:pPr>
              <w:ind w:left="127" w:right="252"/>
              <w:rPr>
                <w:rFonts w:eastAsia="Aptos" w:cs="Times New Roman"/>
              </w:rPr>
            </w:pPr>
            <w:r w:rsidRPr="00432349">
              <w:rPr>
                <w:rFonts w:eastAsia="Aptos" w:cs="Times New Roman"/>
                <w:lang w:val="en-US"/>
              </w:rPr>
              <w:t>Premises telephone</w:t>
            </w:r>
            <w:r w:rsidRPr="00432349">
              <w:rPr>
                <w:rFonts w:eastAsia="Aptos" w:cs="Times New Roman"/>
              </w:rPr>
              <w:t> </w:t>
            </w:r>
          </w:p>
        </w:tc>
        <w:tc>
          <w:tcPr>
            <w:tcW w:w="3265" w:type="dxa"/>
            <w:tcBorders>
              <w:top w:val="single" w:sz="6" w:space="0" w:color="000000"/>
              <w:left w:val="single" w:sz="6" w:space="0" w:color="000000"/>
              <w:bottom w:val="single" w:sz="6" w:space="0" w:color="000000"/>
              <w:right w:val="single" w:sz="6" w:space="0" w:color="000000"/>
            </w:tcBorders>
            <w:hideMark/>
          </w:tcPr>
          <w:p w14:paraId="217871A4" w14:textId="77777777" w:rsidR="00432349" w:rsidRPr="00432349" w:rsidRDefault="00432349" w:rsidP="00ED57F2">
            <w:pPr>
              <w:ind w:left="127" w:right="-174"/>
              <w:rPr>
                <w:rFonts w:eastAsia="Aptos" w:cs="Times New Roman"/>
              </w:rPr>
            </w:pPr>
            <w:r w:rsidRPr="00432349">
              <w:rPr>
                <w:rFonts w:eastAsia="Aptos" w:cs="Times New Roman"/>
              </w:rPr>
              <w:t> </w:t>
            </w:r>
          </w:p>
        </w:tc>
      </w:tr>
      <w:tr w:rsidR="00432349" w:rsidRPr="00432349" w14:paraId="48343A08" w14:textId="77777777" w:rsidTr="00432349">
        <w:trPr>
          <w:trHeight w:val="630"/>
        </w:trPr>
        <w:tc>
          <w:tcPr>
            <w:tcW w:w="5095" w:type="dxa"/>
            <w:tcBorders>
              <w:top w:val="single" w:sz="6" w:space="0" w:color="000000"/>
              <w:left w:val="single" w:sz="6" w:space="0" w:color="000000"/>
              <w:bottom w:val="single" w:sz="6" w:space="0" w:color="000000"/>
              <w:right w:val="single" w:sz="6" w:space="0" w:color="000000"/>
            </w:tcBorders>
            <w:hideMark/>
          </w:tcPr>
          <w:p w14:paraId="03943E14" w14:textId="77777777" w:rsidR="00432349" w:rsidRPr="00432349" w:rsidRDefault="00432349" w:rsidP="00ED57F2">
            <w:pPr>
              <w:ind w:left="127" w:right="252"/>
              <w:rPr>
                <w:rFonts w:eastAsia="Aptos" w:cs="Times New Roman"/>
              </w:rPr>
            </w:pPr>
            <w:r w:rsidRPr="00432349">
              <w:rPr>
                <w:rFonts w:eastAsia="Aptos" w:cs="Times New Roman"/>
                <w:lang w:val="en-US"/>
              </w:rPr>
              <w:t>Premises fax (if applicable)</w:t>
            </w:r>
            <w:r w:rsidRPr="00432349">
              <w:rPr>
                <w:rFonts w:eastAsia="Aptos" w:cs="Times New Roman"/>
              </w:rPr>
              <w:t> </w:t>
            </w:r>
          </w:p>
        </w:tc>
        <w:tc>
          <w:tcPr>
            <w:tcW w:w="3265" w:type="dxa"/>
            <w:tcBorders>
              <w:top w:val="single" w:sz="6" w:space="0" w:color="000000"/>
              <w:left w:val="single" w:sz="6" w:space="0" w:color="000000"/>
              <w:bottom w:val="single" w:sz="6" w:space="0" w:color="000000"/>
              <w:right w:val="single" w:sz="6" w:space="0" w:color="000000"/>
            </w:tcBorders>
            <w:hideMark/>
          </w:tcPr>
          <w:p w14:paraId="691E3DC2" w14:textId="77777777" w:rsidR="00432349" w:rsidRPr="00432349" w:rsidRDefault="00432349" w:rsidP="00ED57F2">
            <w:pPr>
              <w:ind w:left="127" w:right="-174"/>
              <w:rPr>
                <w:rFonts w:eastAsia="Aptos" w:cs="Times New Roman"/>
              </w:rPr>
            </w:pPr>
            <w:r w:rsidRPr="00432349">
              <w:rPr>
                <w:rFonts w:eastAsia="Aptos" w:cs="Times New Roman"/>
              </w:rPr>
              <w:t> </w:t>
            </w:r>
          </w:p>
        </w:tc>
      </w:tr>
      <w:tr w:rsidR="00432349" w:rsidRPr="00432349" w14:paraId="1DAD718A" w14:textId="77777777" w:rsidTr="00432349">
        <w:trPr>
          <w:trHeight w:val="630"/>
        </w:trPr>
        <w:tc>
          <w:tcPr>
            <w:tcW w:w="5095" w:type="dxa"/>
            <w:tcBorders>
              <w:top w:val="single" w:sz="6" w:space="0" w:color="000000"/>
              <w:left w:val="single" w:sz="6" w:space="0" w:color="000000"/>
              <w:bottom w:val="single" w:sz="6" w:space="0" w:color="000000"/>
              <w:right w:val="single" w:sz="6" w:space="0" w:color="000000"/>
            </w:tcBorders>
            <w:hideMark/>
          </w:tcPr>
          <w:p w14:paraId="16A316BB" w14:textId="77777777" w:rsidR="00432349" w:rsidRPr="00432349" w:rsidRDefault="00432349" w:rsidP="00ED57F2">
            <w:pPr>
              <w:ind w:left="127" w:right="252"/>
              <w:rPr>
                <w:rFonts w:eastAsia="Aptos" w:cs="Times New Roman"/>
              </w:rPr>
            </w:pPr>
            <w:r w:rsidRPr="00432349">
              <w:rPr>
                <w:rFonts w:eastAsia="Aptos" w:cs="Times New Roman"/>
                <w:lang w:val="en-US"/>
              </w:rPr>
              <w:t>Premises website address (if applicable)</w:t>
            </w:r>
            <w:r w:rsidRPr="00432349">
              <w:rPr>
                <w:rFonts w:eastAsia="Aptos" w:cs="Times New Roman"/>
              </w:rPr>
              <w:t> </w:t>
            </w:r>
          </w:p>
        </w:tc>
        <w:tc>
          <w:tcPr>
            <w:tcW w:w="3265" w:type="dxa"/>
            <w:tcBorders>
              <w:top w:val="single" w:sz="6" w:space="0" w:color="000000"/>
              <w:left w:val="single" w:sz="6" w:space="0" w:color="000000"/>
              <w:bottom w:val="single" w:sz="6" w:space="0" w:color="000000"/>
              <w:right w:val="single" w:sz="6" w:space="0" w:color="000000"/>
            </w:tcBorders>
            <w:hideMark/>
          </w:tcPr>
          <w:p w14:paraId="09ABC4E6" w14:textId="77777777" w:rsidR="00432349" w:rsidRPr="00432349" w:rsidRDefault="00432349" w:rsidP="00ED57F2">
            <w:pPr>
              <w:ind w:left="127" w:right="-174"/>
              <w:rPr>
                <w:rFonts w:eastAsia="Aptos" w:cs="Times New Roman"/>
              </w:rPr>
            </w:pPr>
            <w:r w:rsidRPr="00432349">
              <w:rPr>
                <w:rFonts w:eastAsia="Aptos" w:cs="Times New Roman"/>
              </w:rPr>
              <w:t> </w:t>
            </w:r>
          </w:p>
        </w:tc>
      </w:tr>
      <w:tr w:rsidR="00432349" w:rsidRPr="00432349" w14:paraId="3F07B8D7" w14:textId="77777777" w:rsidTr="00432349">
        <w:trPr>
          <w:trHeight w:val="825"/>
        </w:trPr>
        <w:tc>
          <w:tcPr>
            <w:tcW w:w="5095" w:type="dxa"/>
            <w:tcBorders>
              <w:top w:val="single" w:sz="6" w:space="0" w:color="000000"/>
              <w:left w:val="single" w:sz="6" w:space="0" w:color="000000"/>
              <w:bottom w:val="single" w:sz="6" w:space="0" w:color="000000"/>
              <w:right w:val="single" w:sz="6" w:space="0" w:color="000000"/>
            </w:tcBorders>
            <w:hideMark/>
          </w:tcPr>
          <w:p w14:paraId="21E987A3" w14:textId="77777777" w:rsidR="00432349" w:rsidRPr="00432349" w:rsidRDefault="00432349" w:rsidP="00ED57F2">
            <w:pPr>
              <w:ind w:left="127" w:right="252"/>
              <w:rPr>
                <w:rFonts w:eastAsia="Aptos" w:cs="Times New Roman"/>
              </w:rPr>
            </w:pPr>
            <w:r w:rsidRPr="00432349">
              <w:rPr>
                <w:rFonts w:eastAsia="Aptos" w:cs="Times New Roman"/>
                <w:lang w:val="en-US"/>
              </w:rPr>
              <w:t>Can the health board store the above information and use it to contact you?</w:t>
            </w:r>
            <w:r w:rsidRPr="00432349">
              <w:rPr>
                <w:rFonts w:eastAsia="Aptos" w:cs="Times New Roman"/>
              </w:rPr>
              <w:t> </w:t>
            </w:r>
          </w:p>
        </w:tc>
        <w:tc>
          <w:tcPr>
            <w:tcW w:w="3265" w:type="dxa"/>
            <w:tcBorders>
              <w:top w:val="single" w:sz="6" w:space="0" w:color="000000"/>
              <w:left w:val="single" w:sz="6" w:space="0" w:color="000000"/>
              <w:bottom w:val="single" w:sz="6" w:space="0" w:color="000000"/>
              <w:right w:val="single" w:sz="6" w:space="0" w:color="000000"/>
            </w:tcBorders>
            <w:hideMark/>
          </w:tcPr>
          <w:p w14:paraId="17053D27" w14:textId="6522AB28" w:rsidR="00432349" w:rsidRPr="00432349" w:rsidRDefault="00000000" w:rsidP="00ED57F2">
            <w:pPr>
              <w:ind w:left="127" w:right="-174"/>
              <w:rPr>
                <w:rFonts w:eastAsia="Aptos" w:cs="Times New Roman"/>
              </w:rPr>
            </w:pPr>
            <w:sdt>
              <w:sdtPr>
                <w:rPr>
                  <w:rFonts w:eastAsia="Aptos" w:cs="Times New Roman"/>
                  <w:lang w:val="en-US"/>
                </w:rPr>
                <w:id w:val="-1373457156"/>
                <w14:checkbox>
                  <w14:checked w14:val="0"/>
                  <w14:checkedState w14:val="2612" w14:font="MS Gothic"/>
                  <w14:uncheckedState w14:val="2610" w14:font="MS Gothic"/>
                </w14:checkbox>
              </w:sdtPr>
              <w:sdtContent>
                <w:r w:rsidR="00432349" w:rsidRPr="00432349">
                  <w:rPr>
                    <w:rFonts w:eastAsia="Aptos" w:cs="Times New Roman" w:hint="eastAsia"/>
                    <w:lang w:val="en-US"/>
                  </w:rPr>
                  <w:t>☐</w:t>
                </w:r>
              </w:sdtContent>
            </w:sdt>
            <w:r w:rsidR="00B752FC">
              <w:rPr>
                <w:rFonts w:eastAsia="Aptos" w:cs="Times New Roman"/>
                <w:lang w:val="en-US"/>
              </w:rPr>
              <w:t xml:space="preserve"> </w:t>
            </w:r>
            <w:r w:rsidR="00432349" w:rsidRPr="00432349">
              <w:rPr>
                <w:rFonts w:eastAsia="Aptos" w:cs="Times New Roman"/>
                <w:lang w:val="en-US"/>
              </w:rPr>
              <w:t>Yes</w:t>
            </w:r>
            <w:r w:rsidR="00432349" w:rsidRPr="00432349">
              <w:rPr>
                <w:rFonts w:eastAsia="Aptos" w:cs="Times New Roman"/>
              </w:rPr>
              <w:tab/>
            </w:r>
            <w:sdt>
              <w:sdtPr>
                <w:rPr>
                  <w:rFonts w:eastAsia="Aptos" w:cs="Times New Roman"/>
                </w:rPr>
                <w:id w:val="45411587"/>
                <w14:checkbox>
                  <w14:checked w14:val="0"/>
                  <w14:checkedState w14:val="2612" w14:font="MS Gothic"/>
                  <w14:uncheckedState w14:val="2610" w14:font="MS Gothic"/>
                </w14:checkbox>
              </w:sdtPr>
              <w:sdtContent>
                <w:r w:rsidR="00432349" w:rsidRPr="00432349">
                  <w:rPr>
                    <w:rFonts w:eastAsia="Aptos" w:cs="Times New Roman" w:hint="eastAsia"/>
                  </w:rPr>
                  <w:t>☐</w:t>
                </w:r>
              </w:sdtContent>
            </w:sdt>
            <w:r w:rsidR="00432349" w:rsidRPr="00432349">
              <w:rPr>
                <w:rFonts w:eastAsia="Aptos" w:cs="Times New Roman"/>
              </w:rPr>
              <w:t xml:space="preserve"> </w:t>
            </w:r>
            <w:r w:rsidR="00432349" w:rsidRPr="00432349">
              <w:rPr>
                <w:rFonts w:eastAsia="Aptos" w:cs="Times New Roman"/>
                <w:lang w:val="en-US"/>
              </w:rPr>
              <w:t>No</w:t>
            </w:r>
            <w:r w:rsidR="00432349" w:rsidRPr="00432349">
              <w:rPr>
                <w:rFonts w:eastAsia="Aptos" w:cs="Times New Roman"/>
              </w:rPr>
              <w:t> </w:t>
            </w:r>
          </w:p>
        </w:tc>
      </w:tr>
    </w:tbl>
    <w:p w14:paraId="264AE85F" w14:textId="77777777" w:rsidR="00432349" w:rsidRPr="00432349" w:rsidRDefault="00432349" w:rsidP="00ED57F2">
      <w:pPr>
        <w:rPr>
          <w:rFonts w:eastAsia="Aptos" w:cs="Times New Roman"/>
        </w:rPr>
      </w:pPr>
      <w:r w:rsidRPr="00432349">
        <w:rPr>
          <w:rFonts w:eastAsia="Aptos" w:cs="Times New Roman"/>
        </w:rPr>
        <w:t> </w:t>
      </w:r>
    </w:p>
    <w:p w14:paraId="22C15D4E" w14:textId="77777777" w:rsidR="00432349" w:rsidRPr="00432349" w:rsidRDefault="00432349" w:rsidP="00ED57F2">
      <w:pPr>
        <w:rPr>
          <w:rFonts w:eastAsia="Aptos" w:cs="Times New Roman"/>
          <w:b/>
          <w:bCs/>
          <w:lang w:val="en-US"/>
        </w:rPr>
      </w:pPr>
      <w:r w:rsidRPr="00432349">
        <w:rPr>
          <w:rFonts w:eastAsia="Aptos" w:cs="Times New Roman"/>
          <w:b/>
          <w:bCs/>
          <w:lang w:val="en-US"/>
        </w:rPr>
        <w:t>Consultation facilities</w:t>
      </w:r>
    </w:p>
    <w:p w14:paraId="6F25362D" w14:textId="77777777" w:rsidR="00432349" w:rsidRPr="00432349" w:rsidRDefault="00432349" w:rsidP="00ED57F2">
      <w:pPr>
        <w:rPr>
          <w:rFonts w:eastAsia="Aptos" w:cs="Times New Roman"/>
          <w:lang w:val="en-US"/>
        </w:rPr>
      </w:pPr>
    </w:p>
    <w:p w14:paraId="019C4913" w14:textId="77777777" w:rsidR="00432349" w:rsidRPr="00432349" w:rsidRDefault="00432349" w:rsidP="00ED57F2">
      <w:pPr>
        <w:rPr>
          <w:rFonts w:eastAsia="Aptos" w:cs="Times New Roman"/>
        </w:rPr>
      </w:pPr>
      <w:r w:rsidRPr="00432349">
        <w:rPr>
          <w:rFonts w:eastAsia="Aptos" w:cs="Times New Roman"/>
        </w:rPr>
        <w:t>Are the premises accessible by wheelchair?</w:t>
      </w:r>
      <w:r w:rsidRPr="00432349">
        <w:rPr>
          <w:rFonts w:eastAsia="Aptos" w:cs="Times New Roman"/>
        </w:rPr>
        <w:tab/>
      </w:r>
      <w:sdt>
        <w:sdtPr>
          <w:rPr>
            <w:rFonts w:eastAsia="Aptos" w:cs="Times New Roman"/>
            <w:lang w:val="en-US"/>
          </w:rPr>
          <w:id w:val="-1000426910"/>
          <w14:checkbox>
            <w14:checked w14:val="0"/>
            <w14:checkedState w14:val="2612" w14:font="MS Gothic"/>
            <w14:uncheckedState w14:val="2610" w14:font="MS Gothic"/>
          </w14:checkbox>
        </w:sdtPr>
        <w:sdtContent>
          <w:r w:rsidRPr="00432349">
            <w:rPr>
              <w:rFonts w:eastAsia="Aptos" w:cs="Times New Roman" w:hint="eastAsia"/>
              <w:lang w:val="en-US"/>
            </w:rPr>
            <w:t>☐</w:t>
          </w:r>
        </w:sdtContent>
      </w:sdt>
      <w:r w:rsidRPr="00432349">
        <w:rPr>
          <w:rFonts w:eastAsia="Aptos" w:cs="Times New Roman"/>
          <w:lang w:val="en-US"/>
        </w:rPr>
        <w:t xml:space="preserve"> Yes</w:t>
      </w:r>
      <w:r w:rsidRPr="00432349">
        <w:rPr>
          <w:rFonts w:eastAsia="Aptos" w:cs="Times New Roman"/>
        </w:rPr>
        <w:tab/>
      </w:r>
      <w:r w:rsidRPr="00432349">
        <w:rPr>
          <w:rFonts w:eastAsia="Aptos" w:cs="Times New Roman"/>
        </w:rPr>
        <w:tab/>
      </w:r>
      <w:sdt>
        <w:sdtPr>
          <w:rPr>
            <w:rFonts w:eastAsia="Aptos" w:cs="Times New Roman"/>
          </w:rPr>
          <w:id w:val="-1186209992"/>
          <w14:checkbox>
            <w14:checked w14:val="0"/>
            <w14:checkedState w14:val="2612" w14:font="MS Gothic"/>
            <w14:uncheckedState w14:val="2610" w14:font="MS Gothic"/>
          </w14:checkbox>
        </w:sdtPr>
        <w:sdtContent>
          <w:r w:rsidRPr="00432349">
            <w:rPr>
              <w:rFonts w:eastAsia="Aptos" w:cs="Times New Roman" w:hint="eastAsia"/>
            </w:rPr>
            <w:t>☐</w:t>
          </w:r>
        </w:sdtContent>
      </w:sdt>
      <w:r w:rsidRPr="00432349">
        <w:rPr>
          <w:rFonts w:eastAsia="Aptos" w:cs="Times New Roman"/>
        </w:rPr>
        <w:t xml:space="preserve"> </w:t>
      </w:r>
      <w:r w:rsidRPr="00432349">
        <w:rPr>
          <w:rFonts w:eastAsia="Aptos" w:cs="Times New Roman"/>
          <w:lang w:val="en-US"/>
        </w:rPr>
        <w:t>No</w:t>
      </w:r>
      <w:r w:rsidRPr="00432349">
        <w:rPr>
          <w:rFonts w:eastAsia="Aptos" w:cs="Times New Roman"/>
        </w:rPr>
        <w:t> </w:t>
      </w:r>
    </w:p>
    <w:p w14:paraId="63AC0098" w14:textId="77777777" w:rsidR="00432349" w:rsidRPr="00432349" w:rsidRDefault="00432349" w:rsidP="00ED57F2">
      <w:pPr>
        <w:rPr>
          <w:rFonts w:eastAsia="Aptos" w:cs="Times New Roman"/>
        </w:rPr>
      </w:pPr>
      <w:r w:rsidRPr="00432349">
        <w:rPr>
          <w:rFonts w:eastAsia="Aptos" w:cs="Times New Roman"/>
        </w:rPr>
        <w:t> </w:t>
      </w:r>
    </w:p>
    <w:p w14:paraId="589FA4E1" w14:textId="77777777" w:rsidR="00432349" w:rsidRPr="00432349" w:rsidRDefault="00432349" w:rsidP="00ED57F2">
      <w:pPr>
        <w:rPr>
          <w:rFonts w:eastAsia="Aptos" w:cs="Times New Roman"/>
        </w:rPr>
      </w:pPr>
      <w:r w:rsidRPr="00432349">
        <w:rPr>
          <w:rFonts w:eastAsia="Aptos" w:cs="Times New Roman"/>
        </w:rPr>
        <w:t>Is a consultation area:</w:t>
      </w:r>
    </w:p>
    <w:p w14:paraId="7F8532FC" w14:textId="77777777" w:rsidR="00432349" w:rsidRPr="00432349" w:rsidRDefault="00432349" w:rsidP="00ED57F2">
      <w:pPr>
        <w:rPr>
          <w:rFonts w:eastAsia="Aptos" w:cs="Times New Roman"/>
        </w:rPr>
      </w:pPr>
    </w:p>
    <w:p w14:paraId="3401F94A" w14:textId="77777777" w:rsidR="00432349" w:rsidRPr="00432349" w:rsidRDefault="00432349" w:rsidP="00B76905">
      <w:pPr>
        <w:numPr>
          <w:ilvl w:val="0"/>
          <w:numId w:val="281"/>
        </w:numPr>
        <w:contextualSpacing/>
        <w:rPr>
          <w:rFonts w:eastAsia="Aptos" w:cs="Times New Roman"/>
          <w:lang w:val="en-US"/>
        </w:rPr>
      </w:pPr>
      <w:r w:rsidRPr="00432349">
        <w:rPr>
          <w:rFonts w:eastAsia="Aptos" w:cs="Times New Roman"/>
          <w:lang w:val="en-US"/>
        </w:rPr>
        <w:lastRenderedPageBreak/>
        <w:t xml:space="preserve">available (including wheelchair access), or </w:t>
      </w:r>
      <w:r w:rsidRPr="00432349">
        <w:rPr>
          <w:rFonts w:eastAsia="Aptos" w:cs="Times New Roman"/>
          <w:lang w:val="en-US"/>
        </w:rPr>
        <w:tab/>
      </w:r>
      <w:r w:rsidRPr="00432349">
        <w:rPr>
          <w:rFonts w:eastAsia="Aptos" w:cs="Times New Roman"/>
          <w:lang w:val="en-US"/>
        </w:rPr>
        <w:tab/>
      </w:r>
      <w:sdt>
        <w:sdtPr>
          <w:rPr>
            <w:rFonts w:eastAsia="Aptos" w:cs="Times New Roman"/>
            <w:lang w:val="en-US"/>
          </w:rPr>
          <w:id w:val="-354429070"/>
          <w14:checkbox>
            <w14:checked w14:val="0"/>
            <w14:checkedState w14:val="2612" w14:font="MS Gothic"/>
            <w14:uncheckedState w14:val="2610" w14:font="MS Gothic"/>
          </w14:checkbox>
        </w:sdtPr>
        <w:sdtContent>
          <w:r w:rsidRPr="00432349">
            <w:rPr>
              <w:rFonts w:eastAsia="Aptos" w:cs="Times New Roman" w:hint="eastAsia"/>
              <w:lang w:val="en-US"/>
            </w:rPr>
            <w:t>☐</w:t>
          </w:r>
        </w:sdtContent>
      </w:sdt>
      <w:r w:rsidRPr="00432349">
        <w:rPr>
          <w:rFonts w:eastAsia="Aptos" w:cs="Times New Roman"/>
          <w:lang w:val="en-US"/>
        </w:rPr>
        <w:t xml:space="preserve"> Yes</w:t>
      </w:r>
    </w:p>
    <w:p w14:paraId="107D8BA9" w14:textId="77777777" w:rsidR="00432349" w:rsidRPr="00432349" w:rsidRDefault="00432349" w:rsidP="00B76905">
      <w:pPr>
        <w:numPr>
          <w:ilvl w:val="0"/>
          <w:numId w:val="281"/>
        </w:numPr>
        <w:contextualSpacing/>
        <w:rPr>
          <w:rFonts w:eastAsia="Aptos" w:cs="Times New Roman"/>
          <w:lang w:val="en-US"/>
        </w:rPr>
      </w:pPr>
      <w:r w:rsidRPr="00432349">
        <w:rPr>
          <w:rFonts w:eastAsia="Aptos" w:cs="Times New Roman"/>
          <w:lang w:val="en-US"/>
        </w:rPr>
        <w:t xml:space="preserve">available (without wheelchair access), or </w:t>
      </w:r>
      <w:r w:rsidRPr="00432349">
        <w:rPr>
          <w:rFonts w:eastAsia="Aptos" w:cs="Times New Roman"/>
          <w:lang w:val="en-US"/>
        </w:rPr>
        <w:tab/>
      </w:r>
      <w:r w:rsidRPr="00432349">
        <w:rPr>
          <w:rFonts w:eastAsia="Aptos" w:cs="Times New Roman"/>
          <w:lang w:val="en-US"/>
        </w:rPr>
        <w:tab/>
      </w:r>
      <w:sdt>
        <w:sdtPr>
          <w:rPr>
            <w:rFonts w:eastAsia="Aptos" w:cs="Times New Roman"/>
            <w:lang w:val="en-US"/>
          </w:rPr>
          <w:id w:val="1440565784"/>
          <w14:checkbox>
            <w14:checked w14:val="0"/>
            <w14:checkedState w14:val="2612" w14:font="MS Gothic"/>
            <w14:uncheckedState w14:val="2610" w14:font="MS Gothic"/>
          </w14:checkbox>
        </w:sdtPr>
        <w:sdtContent>
          <w:r w:rsidRPr="00432349">
            <w:rPr>
              <w:rFonts w:eastAsia="Aptos" w:cs="Times New Roman" w:hint="eastAsia"/>
              <w:lang w:val="en-US"/>
            </w:rPr>
            <w:t>☐</w:t>
          </w:r>
        </w:sdtContent>
      </w:sdt>
      <w:r w:rsidRPr="00432349">
        <w:rPr>
          <w:rFonts w:eastAsia="Aptos" w:cs="Times New Roman"/>
          <w:lang w:val="en-US"/>
        </w:rPr>
        <w:t xml:space="preserve"> Yes</w:t>
      </w:r>
    </w:p>
    <w:p w14:paraId="749D8779" w14:textId="77777777" w:rsidR="00432349" w:rsidRPr="00432349" w:rsidRDefault="00432349" w:rsidP="00B76905">
      <w:pPr>
        <w:numPr>
          <w:ilvl w:val="0"/>
          <w:numId w:val="281"/>
        </w:numPr>
        <w:contextualSpacing/>
        <w:rPr>
          <w:rFonts w:eastAsia="Aptos" w:cs="Times New Roman"/>
          <w:lang w:val="en-US"/>
        </w:rPr>
      </w:pPr>
      <w:r w:rsidRPr="00432349">
        <w:rPr>
          <w:rFonts w:eastAsia="Aptos" w:cs="Times New Roman"/>
          <w:lang w:val="en-US"/>
        </w:rPr>
        <w:t xml:space="preserve">planned within the next 12 months, or </w:t>
      </w:r>
      <w:r w:rsidRPr="00432349">
        <w:rPr>
          <w:rFonts w:eastAsia="Aptos" w:cs="Times New Roman"/>
          <w:lang w:val="en-US"/>
        </w:rPr>
        <w:tab/>
      </w:r>
      <w:r w:rsidRPr="00432349">
        <w:rPr>
          <w:rFonts w:eastAsia="Aptos" w:cs="Times New Roman"/>
          <w:lang w:val="en-US"/>
        </w:rPr>
        <w:tab/>
      </w:r>
      <w:r w:rsidRPr="00432349">
        <w:rPr>
          <w:rFonts w:eastAsia="Aptos" w:cs="Times New Roman"/>
          <w:lang w:val="en-US"/>
        </w:rPr>
        <w:tab/>
      </w:r>
      <w:sdt>
        <w:sdtPr>
          <w:rPr>
            <w:rFonts w:eastAsia="Aptos" w:cs="Times New Roman"/>
            <w:lang w:val="en-US"/>
          </w:rPr>
          <w:id w:val="-1568487457"/>
          <w14:checkbox>
            <w14:checked w14:val="0"/>
            <w14:checkedState w14:val="2612" w14:font="MS Gothic"/>
            <w14:uncheckedState w14:val="2610" w14:font="MS Gothic"/>
          </w14:checkbox>
        </w:sdtPr>
        <w:sdtContent>
          <w:r w:rsidRPr="00432349">
            <w:rPr>
              <w:rFonts w:eastAsia="Aptos" w:cs="Times New Roman" w:hint="eastAsia"/>
              <w:lang w:val="en-US"/>
            </w:rPr>
            <w:t>☐</w:t>
          </w:r>
        </w:sdtContent>
      </w:sdt>
      <w:r w:rsidRPr="00432349">
        <w:rPr>
          <w:rFonts w:eastAsia="Aptos" w:cs="Times New Roman"/>
          <w:lang w:val="en-US"/>
        </w:rPr>
        <w:t xml:space="preserve"> Yes</w:t>
      </w:r>
    </w:p>
    <w:p w14:paraId="28D11AC4" w14:textId="77777777" w:rsidR="00432349" w:rsidRPr="00432349" w:rsidRDefault="00432349" w:rsidP="00B76905">
      <w:pPr>
        <w:numPr>
          <w:ilvl w:val="0"/>
          <w:numId w:val="281"/>
        </w:numPr>
        <w:contextualSpacing/>
        <w:rPr>
          <w:rFonts w:eastAsia="Aptos" w:cs="Times New Roman"/>
          <w:lang w:val="en-US"/>
        </w:rPr>
      </w:pPr>
      <w:r w:rsidRPr="00432349">
        <w:rPr>
          <w:rFonts w:eastAsia="Aptos" w:cs="Times New Roman"/>
          <w:lang w:val="en-US"/>
        </w:rPr>
        <w:t>other (specify)</w:t>
      </w:r>
      <w:r w:rsidRPr="00432349">
        <w:rPr>
          <w:rFonts w:eastAsia="Aptos" w:cs="Times New Roman"/>
          <w:lang w:val="en-US"/>
        </w:rPr>
        <w:tab/>
      </w:r>
      <w:r w:rsidRPr="00432349">
        <w:rPr>
          <w:rFonts w:eastAsia="Aptos" w:cs="Times New Roman"/>
        </w:rPr>
        <w:t> </w:t>
      </w:r>
      <w:sdt>
        <w:sdtPr>
          <w:rPr>
            <w:rFonts w:eastAsia="Calibri" w:cs="Arial"/>
          </w:rPr>
          <w:id w:val="-1774474121"/>
          <w:placeholder>
            <w:docPart w:val="C9A08BB2BA814ED4BC4C4C191628D03D"/>
          </w:placeholder>
          <w:showingPlcHdr/>
        </w:sdtPr>
        <w:sdtContent>
          <w:r w:rsidRPr="00432349">
            <w:rPr>
              <w:rFonts w:ascii="Aptos" w:eastAsia="Aptos" w:hAnsi="Aptos" w:cs="Times New Roman"/>
              <w:color w:val="666666"/>
            </w:rPr>
            <w:t>Click or tap here to enter text.</w:t>
          </w:r>
        </w:sdtContent>
      </w:sdt>
    </w:p>
    <w:p w14:paraId="78FC9456" w14:textId="77777777" w:rsidR="00432349" w:rsidRPr="00432349" w:rsidRDefault="00432349" w:rsidP="00ED57F2">
      <w:pPr>
        <w:ind w:left="127"/>
        <w:rPr>
          <w:rFonts w:eastAsia="Aptos" w:cs="Times New Roman"/>
        </w:rPr>
      </w:pPr>
    </w:p>
    <w:p w14:paraId="0CD39DDB" w14:textId="77777777" w:rsidR="00432349" w:rsidRPr="00432349" w:rsidRDefault="00432349" w:rsidP="00ED57F2">
      <w:pPr>
        <w:ind w:left="127"/>
        <w:rPr>
          <w:rFonts w:eastAsia="Aptos" w:cs="Times New Roman"/>
        </w:rPr>
      </w:pPr>
      <w:r w:rsidRPr="00432349">
        <w:rPr>
          <w:rFonts w:eastAsia="Aptos" w:cs="Times New Roman"/>
        </w:rPr>
        <w:t>(Please select one option.)</w:t>
      </w:r>
    </w:p>
    <w:p w14:paraId="2D5BA2B7" w14:textId="77777777" w:rsidR="00432349" w:rsidRPr="00432349" w:rsidRDefault="00432349" w:rsidP="00ED57F2">
      <w:pPr>
        <w:ind w:left="127"/>
        <w:rPr>
          <w:rFonts w:eastAsia="Aptos" w:cs="Times New Roman"/>
        </w:rPr>
      </w:pPr>
    </w:p>
    <w:p w14:paraId="2F7E1D40" w14:textId="77777777" w:rsidR="00432349" w:rsidRPr="00432349" w:rsidRDefault="00432349" w:rsidP="00ED57F2">
      <w:pPr>
        <w:ind w:left="127"/>
        <w:rPr>
          <w:rFonts w:eastAsia="Aptos" w:cs="Times New Roman"/>
        </w:rPr>
      </w:pPr>
      <w:r w:rsidRPr="00432349">
        <w:rPr>
          <w:rFonts w:eastAsia="Aptos" w:cs="Times New Roman"/>
        </w:rPr>
        <w:t>Where there is a consultation area:</w:t>
      </w:r>
    </w:p>
    <w:p w14:paraId="1434E0C4" w14:textId="77777777" w:rsidR="00432349" w:rsidRPr="00432349" w:rsidRDefault="00432349" w:rsidP="00ED57F2">
      <w:pPr>
        <w:ind w:left="127"/>
        <w:rPr>
          <w:rFonts w:eastAsia="Aptos" w:cs="Times New Roman"/>
        </w:rPr>
      </w:pPr>
    </w:p>
    <w:p w14:paraId="4B9F81BD" w14:textId="77777777" w:rsidR="00432349" w:rsidRPr="00432349" w:rsidRDefault="00432349" w:rsidP="00B76905">
      <w:pPr>
        <w:numPr>
          <w:ilvl w:val="0"/>
          <w:numId w:val="282"/>
        </w:numPr>
        <w:ind w:left="709" w:hanging="222"/>
        <w:contextualSpacing/>
        <w:rPr>
          <w:rFonts w:eastAsia="Aptos" w:cs="Times New Roman"/>
        </w:rPr>
      </w:pPr>
      <w:r w:rsidRPr="00432349">
        <w:rPr>
          <w:rFonts w:eastAsia="Aptos" w:cs="Times New Roman"/>
          <w:lang w:val="en-US"/>
        </w:rPr>
        <w:t>is it a closed room?</w:t>
      </w:r>
      <w:r w:rsidRPr="00432349">
        <w:rPr>
          <w:rFonts w:eastAsia="Aptos" w:cs="Times New Roman"/>
          <w:lang w:val="en-US"/>
        </w:rPr>
        <w:tab/>
      </w:r>
      <w:r w:rsidRPr="00432349">
        <w:rPr>
          <w:rFonts w:eastAsia="Aptos" w:cs="Times New Roman"/>
          <w:lang w:val="en-US"/>
        </w:rPr>
        <w:tab/>
      </w:r>
      <w:r w:rsidRPr="00432349">
        <w:rPr>
          <w:rFonts w:eastAsia="Aptos" w:cs="Times New Roman"/>
          <w:lang w:val="en-US"/>
        </w:rPr>
        <w:tab/>
      </w:r>
      <w:r w:rsidRPr="00432349">
        <w:rPr>
          <w:rFonts w:eastAsia="Aptos" w:cs="Times New Roman"/>
          <w:lang w:val="en-US"/>
        </w:rPr>
        <w:tab/>
      </w:r>
      <w:r w:rsidRPr="00432349">
        <w:rPr>
          <w:rFonts w:eastAsia="Aptos" w:cs="Times New Roman"/>
          <w:lang w:val="en-US"/>
        </w:rPr>
        <w:tab/>
      </w:r>
      <w:r w:rsidRPr="00432349">
        <w:rPr>
          <w:rFonts w:eastAsia="Aptos" w:cs="Times New Roman"/>
          <w:lang w:val="en-US"/>
        </w:rPr>
        <w:tab/>
      </w:r>
      <w:r w:rsidRPr="00432349">
        <w:rPr>
          <w:rFonts w:eastAsia="Aptos" w:cs="Times New Roman"/>
          <w:lang w:val="en-US"/>
        </w:rPr>
        <w:tab/>
      </w:r>
      <w:sdt>
        <w:sdtPr>
          <w:rPr>
            <w:rFonts w:eastAsia="Aptos" w:cs="Times New Roman"/>
            <w:lang w:val="en-US"/>
          </w:rPr>
          <w:id w:val="21139089"/>
          <w14:checkbox>
            <w14:checked w14:val="0"/>
            <w14:checkedState w14:val="2612" w14:font="MS Gothic"/>
            <w14:uncheckedState w14:val="2610" w14:font="MS Gothic"/>
          </w14:checkbox>
        </w:sdtPr>
        <w:sdtContent>
          <w:r w:rsidRPr="00432349">
            <w:rPr>
              <w:rFonts w:eastAsia="Aptos" w:cs="Times New Roman" w:hint="eastAsia"/>
              <w:lang w:val="en-US"/>
            </w:rPr>
            <w:t>☐</w:t>
          </w:r>
        </w:sdtContent>
      </w:sdt>
      <w:r w:rsidRPr="00432349">
        <w:rPr>
          <w:rFonts w:eastAsia="Aptos" w:cs="Times New Roman"/>
          <w:lang w:val="en-US"/>
        </w:rPr>
        <w:t xml:space="preserve"> Yes</w:t>
      </w:r>
    </w:p>
    <w:p w14:paraId="78CB3183" w14:textId="77777777" w:rsidR="00432349" w:rsidRPr="00432349" w:rsidRDefault="00432349" w:rsidP="00B76905">
      <w:pPr>
        <w:numPr>
          <w:ilvl w:val="0"/>
          <w:numId w:val="282"/>
        </w:numPr>
        <w:ind w:left="709" w:hanging="222"/>
        <w:contextualSpacing/>
        <w:rPr>
          <w:rFonts w:eastAsia="Aptos" w:cs="Times New Roman"/>
        </w:rPr>
      </w:pPr>
      <w:r w:rsidRPr="00432349">
        <w:rPr>
          <w:rFonts w:eastAsia="Aptos" w:cs="Times New Roman"/>
          <w:lang w:val="en-US"/>
        </w:rPr>
        <w:t xml:space="preserve">is it a designated area where both the patient and </w:t>
      </w:r>
      <w:r w:rsidRPr="00432349">
        <w:rPr>
          <w:rFonts w:eastAsia="Aptos" w:cs="Times New Roman"/>
          <w:lang w:val="en-US"/>
        </w:rPr>
        <w:tab/>
      </w:r>
      <w:r w:rsidRPr="00432349">
        <w:rPr>
          <w:rFonts w:eastAsia="Aptos" w:cs="Times New Roman"/>
          <w:lang w:val="en-US"/>
        </w:rPr>
        <w:tab/>
      </w:r>
      <w:r w:rsidRPr="00432349">
        <w:rPr>
          <w:rFonts w:eastAsia="Aptos" w:cs="Times New Roman"/>
          <w:lang w:val="en-US"/>
        </w:rPr>
        <w:tab/>
        <w:t>pharmacist can sit down together?</w:t>
      </w:r>
      <w:r w:rsidRPr="00432349">
        <w:rPr>
          <w:rFonts w:eastAsia="Aptos" w:cs="Times New Roman"/>
        </w:rPr>
        <w:t> </w:t>
      </w:r>
      <w:r w:rsidRPr="00432349">
        <w:rPr>
          <w:rFonts w:eastAsia="Aptos" w:cs="Times New Roman"/>
        </w:rPr>
        <w:tab/>
      </w:r>
      <w:r w:rsidRPr="00432349">
        <w:rPr>
          <w:rFonts w:eastAsia="Aptos" w:cs="Times New Roman"/>
        </w:rPr>
        <w:tab/>
      </w:r>
      <w:r w:rsidRPr="00432349">
        <w:rPr>
          <w:rFonts w:eastAsia="Aptos" w:cs="Times New Roman"/>
        </w:rPr>
        <w:tab/>
      </w:r>
      <w:r w:rsidRPr="00432349">
        <w:rPr>
          <w:rFonts w:eastAsia="Aptos" w:cs="Times New Roman"/>
        </w:rPr>
        <w:tab/>
      </w:r>
      <w:bookmarkStart w:id="55" w:name="_Hlk219274248"/>
      <w:r w:rsidRPr="00432349">
        <w:rPr>
          <w:rFonts w:ascii="MS Gothic" w:eastAsia="MS Gothic" w:hAnsi="MS Gothic" w:cs="Times New Roman" w:hint="eastAsia"/>
          <w:lang w:val="en-US"/>
        </w:rPr>
        <w:t>☐</w:t>
      </w:r>
      <w:r w:rsidRPr="00432349">
        <w:rPr>
          <w:rFonts w:eastAsia="Aptos" w:cs="Times New Roman"/>
          <w:lang w:val="en-US"/>
        </w:rPr>
        <w:t xml:space="preserve"> Yes</w:t>
      </w:r>
    </w:p>
    <w:bookmarkEnd w:id="55"/>
    <w:p w14:paraId="35AE09FF" w14:textId="77777777" w:rsidR="00432349" w:rsidRPr="00432349" w:rsidRDefault="00432349" w:rsidP="00B76905">
      <w:pPr>
        <w:numPr>
          <w:ilvl w:val="0"/>
          <w:numId w:val="282"/>
        </w:numPr>
        <w:ind w:left="709" w:hanging="222"/>
        <w:contextualSpacing/>
        <w:rPr>
          <w:rFonts w:eastAsia="Aptos" w:cs="Times New Roman"/>
        </w:rPr>
      </w:pPr>
      <w:r w:rsidRPr="00432349">
        <w:rPr>
          <w:rFonts w:eastAsia="Aptos" w:cs="Times New Roman"/>
          <w:lang w:val="en-US"/>
        </w:rPr>
        <w:t xml:space="preserve">are the patient and pharmacist able to talk at normal </w:t>
      </w:r>
      <w:r w:rsidRPr="00432349">
        <w:rPr>
          <w:rFonts w:eastAsia="Aptos" w:cs="Times New Roman"/>
          <w:lang w:val="en-US"/>
        </w:rPr>
        <w:tab/>
      </w:r>
      <w:r w:rsidRPr="00432349">
        <w:rPr>
          <w:rFonts w:eastAsia="Aptos" w:cs="Times New Roman"/>
          <w:lang w:val="en-US"/>
        </w:rPr>
        <w:tab/>
      </w:r>
      <w:r w:rsidRPr="00432349">
        <w:rPr>
          <w:rFonts w:eastAsia="Aptos" w:cs="Times New Roman"/>
          <w:lang w:val="en-US"/>
        </w:rPr>
        <w:tab/>
      </w:r>
      <w:r w:rsidRPr="00432349">
        <w:rPr>
          <w:rFonts w:eastAsia="Aptos" w:cs="Times New Roman"/>
          <w:lang w:val="en-US"/>
        </w:rPr>
        <w:tab/>
        <w:t xml:space="preserve">volumes without being overheard by pharmacy staff </w:t>
      </w:r>
      <w:r w:rsidRPr="00432349">
        <w:rPr>
          <w:rFonts w:eastAsia="Aptos" w:cs="Times New Roman"/>
          <w:lang w:val="en-US"/>
        </w:rPr>
        <w:tab/>
      </w:r>
      <w:r w:rsidRPr="00432349">
        <w:rPr>
          <w:rFonts w:eastAsia="Aptos" w:cs="Times New Roman"/>
          <w:lang w:val="en-US"/>
        </w:rPr>
        <w:tab/>
      </w:r>
      <w:sdt>
        <w:sdtPr>
          <w:rPr>
            <w:rFonts w:eastAsia="Aptos" w:cs="Times New Roman"/>
            <w:lang w:val="en-US"/>
          </w:rPr>
          <w:id w:val="-468977538"/>
          <w14:checkbox>
            <w14:checked w14:val="0"/>
            <w14:checkedState w14:val="2612" w14:font="MS Gothic"/>
            <w14:uncheckedState w14:val="2610" w14:font="MS Gothic"/>
          </w14:checkbox>
        </w:sdtPr>
        <w:sdtContent>
          <w:r w:rsidRPr="00432349">
            <w:rPr>
              <w:rFonts w:eastAsia="Aptos" w:cs="Times New Roman" w:hint="eastAsia"/>
              <w:lang w:val="en-US"/>
            </w:rPr>
            <w:t>☐</w:t>
          </w:r>
        </w:sdtContent>
      </w:sdt>
      <w:r w:rsidRPr="00432349">
        <w:rPr>
          <w:rFonts w:eastAsia="Aptos" w:cs="Times New Roman"/>
          <w:lang w:val="en-US"/>
        </w:rPr>
        <w:t xml:space="preserve"> Yes</w:t>
      </w:r>
    </w:p>
    <w:p w14:paraId="70C25027" w14:textId="77777777" w:rsidR="00432349" w:rsidRPr="00432349" w:rsidRDefault="00432349" w:rsidP="00ED57F2">
      <w:pPr>
        <w:ind w:left="127"/>
        <w:rPr>
          <w:rFonts w:eastAsia="Aptos" w:cs="Times New Roman"/>
        </w:rPr>
      </w:pPr>
      <w:r w:rsidRPr="00432349">
        <w:rPr>
          <w:rFonts w:eastAsia="Aptos" w:cs="Times New Roman"/>
          <w:lang w:val="en-US"/>
        </w:rPr>
        <w:tab/>
        <w:t>or visitors to the pharmacy?</w:t>
      </w:r>
      <w:r w:rsidRPr="00432349">
        <w:rPr>
          <w:rFonts w:eastAsia="Aptos" w:cs="Times New Roman"/>
        </w:rPr>
        <w:t> </w:t>
      </w:r>
    </w:p>
    <w:p w14:paraId="6A035D80" w14:textId="77777777" w:rsidR="00432349" w:rsidRPr="00432349" w:rsidRDefault="00432349" w:rsidP="00B76905">
      <w:pPr>
        <w:numPr>
          <w:ilvl w:val="0"/>
          <w:numId w:val="282"/>
        </w:numPr>
        <w:ind w:left="709" w:hanging="222"/>
        <w:contextualSpacing/>
        <w:rPr>
          <w:rFonts w:eastAsia="Aptos" w:cs="Times New Roman"/>
        </w:rPr>
      </w:pPr>
      <w:r w:rsidRPr="00432349">
        <w:rPr>
          <w:rFonts w:eastAsia="Aptos" w:cs="Times New Roman"/>
        </w:rPr>
        <w:t xml:space="preserve">is it clearly designated as an area for confidential </w:t>
      </w:r>
      <w:r w:rsidRPr="00432349">
        <w:rPr>
          <w:rFonts w:eastAsia="Aptos" w:cs="Times New Roman"/>
        </w:rPr>
        <w:tab/>
      </w:r>
      <w:r w:rsidRPr="00432349">
        <w:rPr>
          <w:rFonts w:eastAsia="Aptos" w:cs="Times New Roman"/>
        </w:rPr>
        <w:tab/>
      </w:r>
      <w:r w:rsidRPr="00432349">
        <w:rPr>
          <w:rFonts w:eastAsia="Aptos" w:cs="Times New Roman"/>
        </w:rPr>
        <w:tab/>
        <w:t xml:space="preserve">consultations, distinct from the general public areas </w:t>
      </w:r>
      <w:r w:rsidRPr="00432349">
        <w:rPr>
          <w:rFonts w:eastAsia="Aptos" w:cs="Times New Roman"/>
        </w:rPr>
        <w:tab/>
      </w:r>
      <w:r w:rsidRPr="00432349">
        <w:rPr>
          <w:rFonts w:eastAsia="Aptos" w:cs="Times New Roman"/>
          <w:lang w:val="en-US"/>
        </w:rPr>
        <w:tab/>
      </w:r>
      <w:sdt>
        <w:sdtPr>
          <w:rPr>
            <w:rFonts w:eastAsia="Aptos" w:cs="Times New Roman"/>
            <w:lang w:val="en-US"/>
          </w:rPr>
          <w:id w:val="1797251706"/>
          <w14:checkbox>
            <w14:checked w14:val="0"/>
            <w14:checkedState w14:val="2612" w14:font="MS Gothic"/>
            <w14:uncheckedState w14:val="2610" w14:font="MS Gothic"/>
          </w14:checkbox>
        </w:sdtPr>
        <w:sdtContent>
          <w:r w:rsidRPr="00432349">
            <w:rPr>
              <w:rFonts w:eastAsia="Aptos" w:cs="Times New Roman" w:hint="eastAsia"/>
              <w:lang w:val="en-US"/>
            </w:rPr>
            <w:t>☐</w:t>
          </w:r>
        </w:sdtContent>
      </w:sdt>
      <w:r w:rsidRPr="00432349">
        <w:rPr>
          <w:rFonts w:eastAsia="Aptos" w:cs="Times New Roman"/>
          <w:lang w:val="en-US"/>
        </w:rPr>
        <w:t xml:space="preserve"> Yes</w:t>
      </w:r>
      <w:r w:rsidRPr="00432349">
        <w:rPr>
          <w:rFonts w:eastAsia="Aptos" w:cs="Times New Roman"/>
        </w:rPr>
        <w:tab/>
      </w:r>
      <w:r w:rsidRPr="00432349">
        <w:rPr>
          <w:rFonts w:eastAsia="Aptos" w:cs="Times New Roman"/>
        </w:rPr>
        <w:tab/>
      </w:r>
      <w:r w:rsidRPr="00432349">
        <w:rPr>
          <w:rFonts w:eastAsia="Aptos" w:cs="Times New Roman"/>
        </w:rPr>
        <w:tab/>
        <w:t>of the pharmacy?</w:t>
      </w:r>
    </w:p>
    <w:p w14:paraId="1E26D876" w14:textId="77777777" w:rsidR="00432349" w:rsidRPr="00432349" w:rsidRDefault="00432349" w:rsidP="00ED57F2">
      <w:pPr>
        <w:ind w:left="709" w:hanging="222"/>
        <w:rPr>
          <w:rFonts w:eastAsia="Aptos" w:cs="Times New Roman"/>
        </w:rPr>
      </w:pPr>
    </w:p>
    <w:p w14:paraId="534ADBFE" w14:textId="77777777" w:rsidR="00432349" w:rsidRPr="00432349" w:rsidRDefault="00432349" w:rsidP="00ED57F2">
      <w:pPr>
        <w:rPr>
          <w:rFonts w:eastAsia="Aptos" w:cs="Times New Roman"/>
        </w:rPr>
      </w:pPr>
      <w:r w:rsidRPr="00432349">
        <w:rPr>
          <w:rFonts w:eastAsia="Aptos" w:cs="Times New Roman"/>
          <w:lang w:val="en-US"/>
        </w:rPr>
        <w:t xml:space="preserve">Do you have Welsh speakers in your staff? </w:t>
      </w:r>
      <w:r w:rsidRPr="00432349">
        <w:rPr>
          <w:rFonts w:eastAsia="Aptos" w:cs="Times New Roman"/>
          <w:lang w:val="en-US"/>
        </w:rPr>
        <w:tab/>
      </w:r>
      <w:r w:rsidRPr="00432349">
        <w:rPr>
          <w:rFonts w:eastAsia="Aptos" w:cs="Times New Roman"/>
          <w:lang w:val="en-US"/>
        </w:rPr>
        <w:tab/>
      </w:r>
      <w:r w:rsidRPr="00432349">
        <w:rPr>
          <w:rFonts w:eastAsia="Aptos" w:cs="Times New Roman"/>
          <w:lang w:val="en-US"/>
        </w:rPr>
        <w:tab/>
      </w:r>
      <w:r w:rsidRPr="00432349">
        <w:rPr>
          <w:rFonts w:eastAsia="Aptos" w:cs="Times New Roman"/>
          <w:lang w:val="en-US"/>
        </w:rPr>
        <w:tab/>
      </w:r>
      <w:r w:rsidRPr="00432349">
        <w:rPr>
          <w:rFonts w:eastAsia="Aptos" w:cs="Times New Roman"/>
          <w:lang w:val="en-US"/>
        </w:rPr>
        <w:tab/>
      </w:r>
      <w:r w:rsidRPr="00432349">
        <w:rPr>
          <w:rFonts w:eastAsia="Aptos" w:cs="Times New Roman"/>
          <w:lang w:val="en-US"/>
        </w:rPr>
        <w:tab/>
      </w:r>
      <w:r w:rsidRPr="00432349">
        <w:rPr>
          <w:rFonts w:eastAsia="Aptos" w:cs="Times New Roman"/>
          <w:lang w:val="en-US"/>
        </w:rPr>
        <w:tab/>
      </w:r>
      <w:r w:rsidRPr="00432349">
        <w:rPr>
          <w:rFonts w:eastAsia="Aptos" w:cs="Times New Roman"/>
          <w:lang w:val="en-US"/>
        </w:rPr>
        <w:tab/>
      </w:r>
      <w:r w:rsidRPr="00432349">
        <w:rPr>
          <w:rFonts w:eastAsia="Aptos" w:cs="Times New Roman"/>
          <w:lang w:val="en-US"/>
        </w:rPr>
        <w:tab/>
      </w:r>
      <w:r w:rsidRPr="00432349">
        <w:rPr>
          <w:rFonts w:eastAsia="Aptos" w:cs="Times New Roman"/>
          <w:lang w:val="en-US"/>
        </w:rPr>
        <w:tab/>
      </w:r>
      <w:sdt>
        <w:sdtPr>
          <w:rPr>
            <w:rFonts w:eastAsia="Aptos" w:cs="Times New Roman"/>
            <w:lang w:val="en-US"/>
          </w:rPr>
          <w:id w:val="-1251349779"/>
          <w14:checkbox>
            <w14:checked w14:val="0"/>
            <w14:checkedState w14:val="2612" w14:font="MS Gothic"/>
            <w14:uncheckedState w14:val="2610" w14:font="MS Gothic"/>
          </w14:checkbox>
        </w:sdtPr>
        <w:sdtContent>
          <w:r w:rsidRPr="00432349">
            <w:rPr>
              <w:rFonts w:eastAsia="Aptos" w:cs="Times New Roman" w:hint="eastAsia"/>
              <w:lang w:val="en-US"/>
            </w:rPr>
            <w:t>☐</w:t>
          </w:r>
        </w:sdtContent>
      </w:sdt>
      <w:r w:rsidRPr="00432349">
        <w:rPr>
          <w:rFonts w:eastAsia="Aptos" w:cs="Times New Roman"/>
          <w:lang w:val="en-US"/>
        </w:rPr>
        <w:t xml:space="preserve"> Yes</w:t>
      </w:r>
      <w:r w:rsidRPr="00432349">
        <w:rPr>
          <w:rFonts w:eastAsia="Aptos" w:cs="Times New Roman"/>
        </w:rPr>
        <w:tab/>
      </w:r>
    </w:p>
    <w:p w14:paraId="79E670CB" w14:textId="77777777" w:rsidR="00432349" w:rsidRPr="00432349" w:rsidRDefault="00432349" w:rsidP="00ED57F2">
      <w:pPr>
        <w:rPr>
          <w:rFonts w:eastAsia="Aptos" w:cs="Times New Roman"/>
        </w:rPr>
      </w:pPr>
    </w:p>
    <w:p w14:paraId="18820D91" w14:textId="3828A271" w:rsidR="00432349" w:rsidRPr="00432349" w:rsidRDefault="00432349" w:rsidP="00ED57F2">
      <w:pPr>
        <w:rPr>
          <w:rFonts w:eastAsia="Aptos" w:cs="Times New Roman"/>
        </w:rPr>
      </w:pPr>
      <w:r w:rsidRPr="00432349">
        <w:rPr>
          <w:rFonts w:eastAsia="Aptos" w:cs="Times New Roman"/>
        </w:rPr>
        <w:t>Are any other languages spoken by staff (in addition to English)?</w:t>
      </w:r>
      <w:r w:rsidR="00B752FC">
        <w:rPr>
          <w:rFonts w:eastAsia="Aptos" w:cs="Times New Roman"/>
        </w:rPr>
        <w:t xml:space="preserve"> </w:t>
      </w:r>
      <w:sdt>
        <w:sdtPr>
          <w:rPr>
            <w:rFonts w:eastAsia="Aptos" w:cs="Times New Roman"/>
            <w:lang w:val="en-US"/>
          </w:rPr>
          <w:id w:val="-1494089185"/>
          <w14:checkbox>
            <w14:checked w14:val="0"/>
            <w14:checkedState w14:val="2612" w14:font="MS Gothic"/>
            <w14:uncheckedState w14:val="2610" w14:font="MS Gothic"/>
          </w14:checkbox>
        </w:sdtPr>
        <w:sdtContent>
          <w:r w:rsidRPr="00432349">
            <w:rPr>
              <w:rFonts w:eastAsia="Aptos" w:cs="Times New Roman" w:hint="eastAsia"/>
              <w:lang w:val="en-US"/>
            </w:rPr>
            <w:t>☐</w:t>
          </w:r>
        </w:sdtContent>
      </w:sdt>
      <w:r w:rsidRPr="00432349">
        <w:rPr>
          <w:rFonts w:eastAsia="Aptos" w:cs="Times New Roman"/>
          <w:lang w:val="en-US"/>
        </w:rPr>
        <w:t xml:space="preserve"> Yes</w:t>
      </w:r>
      <w:r w:rsidRPr="00432349">
        <w:rPr>
          <w:rFonts w:eastAsia="Aptos" w:cs="Times New Roman"/>
        </w:rPr>
        <w:tab/>
      </w:r>
      <w:sdt>
        <w:sdtPr>
          <w:rPr>
            <w:rFonts w:eastAsia="Aptos" w:cs="Times New Roman"/>
          </w:rPr>
          <w:id w:val="-1495791291"/>
          <w14:checkbox>
            <w14:checked w14:val="0"/>
            <w14:checkedState w14:val="2612" w14:font="MS Gothic"/>
            <w14:uncheckedState w14:val="2610" w14:font="MS Gothic"/>
          </w14:checkbox>
        </w:sdtPr>
        <w:sdtContent>
          <w:r w:rsidRPr="00432349">
            <w:rPr>
              <w:rFonts w:eastAsia="Aptos" w:cs="Times New Roman" w:hint="eastAsia"/>
            </w:rPr>
            <w:t>☐</w:t>
          </w:r>
        </w:sdtContent>
      </w:sdt>
      <w:r w:rsidRPr="00432349">
        <w:rPr>
          <w:rFonts w:eastAsia="Aptos" w:cs="Times New Roman"/>
        </w:rPr>
        <w:t xml:space="preserve"> </w:t>
      </w:r>
      <w:r w:rsidRPr="00432349">
        <w:rPr>
          <w:rFonts w:eastAsia="Aptos" w:cs="Times New Roman"/>
          <w:lang w:val="en-US"/>
        </w:rPr>
        <w:t>No</w:t>
      </w:r>
      <w:r w:rsidRPr="00432349">
        <w:rPr>
          <w:rFonts w:eastAsia="Aptos" w:cs="Times New Roman"/>
        </w:rPr>
        <w:t> </w:t>
      </w:r>
    </w:p>
    <w:p w14:paraId="504F23DB" w14:textId="77777777" w:rsidR="00432349" w:rsidRPr="00432349" w:rsidRDefault="00432349" w:rsidP="00ED57F2">
      <w:pPr>
        <w:rPr>
          <w:rFonts w:eastAsia="Aptos" w:cs="Times New Roman"/>
        </w:rPr>
      </w:pPr>
      <w:r w:rsidRPr="00432349">
        <w:rPr>
          <w:rFonts w:eastAsia="Aptos" w:cs="Times New Roman"/>
        </w:rPr>
        <w:t>If you have ticked “Yes”, please list the languages below.</w:t>
      </w:r>
    </w:p>
    <w:p w14:paraId="071F5A89" w14:textId="77777777" w:rsidR="00432349" w:rsidRPr="00432349" w:rsidRDefault="00432349" w:rsidP="00ED57F2">
      <w:pPr>
        <w:rPr>
          <w:rFonts w:eastAsia="Aptos" w:cs="Times New Roman"/>
        </w:rPr>
      </w:pPr>
    </w:p>
    <w:p w14:paraId="58E0E24E" w14:textId="77777777" w:rsidR="00432349" w:rsidRPr="00432349" w:rsidRDefault="00000000" w:rsidP="00ED57F2">
      <w:pPr>
        <w:rPr>
          <w:rFonts w:eastAsia="Calibri" w:cs="Arial"/>
        </w:rPr>
      </w:pPr>
      <w:sdt>
        <w:sdtPr>
          <w:rPr>
            <w:rFonts w:eastAsia="Calibri" w:cs="Arial"/>
          </w:rPr>
          <w:id w:val="-1656226977"/>
          <w:placeholder>
            <w:docPart w:val="73183830FCDA4EA19B6B81F0CF39CEA0"/>
          </w:placeholder>
          <w:showingPlcHdr/>
        </w:sdtPr>
        <w:sdtContent>
          <w:r w:rsidR="00432349" w:rsidRPr="00432349">
            <w:rPr>
              <w:rFonts w:ascii="Aptos" w:eastAsia="Aptos" w:hAnsi="Aptos" w:cs="Times New Roman"/>
              <w:color w:val="666666"/>
            </w:rPr>
            <w:t>Click or tap here to enter text.</w:t>
          </w:r>
        </w:sdtContent>
      </w:sdt>
    </w:p>
    <w:p w14:paraId="4656AE71" w14:textId="77777777" w:rsidR="00432349" w:rsidRPr="00432349" w:rsidRDefault="00432349" w:rsidP="00ED57F2">
      <w:pPr>
        <w:rPr>
          <w:rFonts w:eastAsia="Aptos" w:cs="Times New Roman"/>
        </w:rPr>
      </w:pPr>
    </w:p>
    <w:p w14:paraId="066EF24E" w14:textId="77777777" w:rsidR="00432349" w:rsidRPr="00432349" w:rsidRDefault="00432349" w:rsidP="00ED57F2">
      <w:pPr>
        <w:rPr>
          <w:rFonts w:eastAsia="Aptos" w:cs="Times New Roman"/>
          <w:b/>
          <w:bCs/>
        </w:rPr>
      </w:pPr>
      <w:r w:rsidRPr="00432349">
        <w:rPr>
          <w:rFonts w:eastAsia="Aptos" w:cs="Times New Roman"/>
          <w:b/>
          <w:bCs/>
          <w:lang w:val="en-US"/>
        </w:rPr>
        <w:t>Services</w:t>
      </w:r>
      <w:r w:rsidRPr="00432349">
        <w:rPr>
          <w:rFonts w:eastAsia="Aptos" w:cs="Times New Roman"/>
          <w:b/>
          <w:bCs/>
        </w:rPr>
        <w:t> </w:t>
      </w:r>
    </w:p>
    <w:p w14:paraId="69525839" w14:textId="77777777" w:rsidR="00432349" w:rsidRPr="00432349" w:rsidRDefault="00432349" w:rsidP="00ED57F2">
      <w:pPr>
        <w:rPr>
          <w:rFonts w:eastAsia="Aptos" w:cs="Times New Roman"/>
          <w:b/>
          <w:bCs/>
        </w:rPr>
      </w:pPr>
    </w:p>
    <w:p w14:paraId="170F8443" w14:textId="77777777" w:rsidR="00432349" w:rsidRPr="00432349" w:rsidRDefault="00432349" w:rsidP="00ED57F2">
      <w:pPr>
        <w:rPr>
          <w:rFonts w:eastAsia="Aptos" w:cs="Times New Roman"/>
        </w:rPr>
      </w:pPr>
      <w:r w:rsidRPr="00432349">
        <w:rPr>
          <w:rFonts w:eastAsia="Aptos" w:cs="Times New Roman"/>
          <w:lang w:val="en-US"/>
        </w:rPr>
        <w:t>Does the pharmacy dispense appliances?</w:t>
      </w:r>
      <w:r w:rsidRPr="00432349">
        <w:rPr>
          <w:rFonts w:eastAsia="Aptos" w:cs="Times New Roman"/>
        </w:rPr>
        <w:t> </w:t>
      </w:r>
    </w:p>
    <w:p w14:paraId="4951B3FD" w14:textId="77777777" w:rsidR="00432349" w:rsidRPr="00432349" w:rsidRDefault="00432349" w:rsidP="00ED57F2">
      <w:pPr>
        <w:rPr>
          <w:rFonts w:eastAsia="Aptos" w:cs="Times New Roman"/>
        </w:rPr>
      </w:pPr>
    </w:p>
    <w:p w14:paraId="5E72CCD8" w14:textId="77777777" w:rsidR="00432349" w:rsidRPr="00432349" w:rsidRDefault="00432349" w:rsidP="00B76905">
      <w:pPr>
        <w:numPr>
          <w:ilvl w:val="0"/>
          <w:numId w:val="282"/>
        </w:numPr>
        <w:contextualSpacing/>
        <w:rPr>
          <w:rFonts w:eastAsia="Aptos" w:cs="Times New Roman"/>
        </w:rPr>
      </w:pPr>
      <w:r w:rsidRPr="00432349">
        <w:rPr>
          <w:rFonts w:eastAsia="Aptos" w:cs="Times New Roman"/>
        </w:rPr>
        <w:t>Yes, all types</w:t>
      </w:r>
      <w:r w:rsidRPr="00432349">
        <w:rPr>
          <w:rFonts w:eastAsia="Aptos" w:cs="Times New Roman"/>
        </w:rPr>
        <w:tab/>
      </w:r>
      <w:r w:rsidRPr="00432349">
        <w:rPr>
          <w:rFonts w:eastAsia="Aptos" w:cs="Times New Roman"/>
        </w:rPr>
        <w:tab/>
      </w:r>
      <w:r w:rsidRPr="00432349">
        <w:rPr>
          <w:rFonts w:eastAsia="Aptos" w:cs="Times New Roman"/>
        </w:rPr>
        <w:tab/>
      </w:r>
      <w:r w:rsidRPr="00432349">
        <w:rPr>
          <w:rFonts w:eastAsia="Aptos" w:cs="Times New Roman"/>
        </w:rPr>
        <w:tab/>
      </w:r>
      <w:r w:rsidRPr="00432349">
        <w:rPr>
          <w:rFonts w:eastAsia="Aptos" w:cs="Times New Roman"/>
        </w:rPr>
        <w:tab/>
      </w:r>
      <w:r w:rsidRPr="00432349">
        <w:rPr>
          <w:rFonts w:eastAsia="Aptos" w:cs="Times New Roman"/>
        </w:rPr>
        <w:tab/>
      </w:r>
      <w:sdt>
        <w:sdtPr>
          <w:rPr>
            <w:rFonts w:ascii="MS Gothic" w:eastAsia="MS Gothic" w:hAnsi="MS Gothic" w:cs="Times New Roman" w:hint="eastAsia"/>
            <w:lang w:val="en-US"/>
          </w:rPr>
          <w:id w:val="839121751"/>
          <w14:checkbox>
            <w14:checked w14:val="0"/>
            <w14:checkedState w14:val="2612" w14:font="MS Gothic"/>
            <w14:uncheckedState w14:val="2610" w14:font="MS Gothic"/>
          </w14:checkbox>
        </w:sdtPr>
        <w:sdtContent>
          <w:r w:rsidRPr="00432349">
            <w:rPr>
              <w:rFonts w:ascii="MS Gothic" w:eastAsia="MS Gothic" w:hAnsi="MS Gothic" w:cs="Times New Roman" w:hint="eastAsia"/>
              <w:lang w:val="en-US"/>
            </w:rPr>
            <w:t>☐</w:t>
          </w:r>
        </w:sdtContent>
      </w:sdt>
      <w:r w:rsidRPr="00432349">
        <w:rPr>
          <w:rFonts w:eastAsia="Aptos" w:cs="Times New Roman"/>
          <w:lang w:val="en-US"/>
        </w:rPr>
        <w:t xml:space="preserve"> Yes</w:t>
      </w:r>
      <w:r w:rsidRPr="00432349">
        <w:rPr>
          <w:rFonts w:eastAsia="Aptos" w:cs="Times New Roman"/>
        </w:rPr>
        <w:tab/>
      </w:r>
    </w:p>
    <w:p w14:paraId="52991290" w14:textId="77777777" w:rsidR="00432349" w:rsidRPr="00432349" w:rsidRDefault="00432349" w:rsidP="00B76905">
      <w:pPr>
        <w:numPr>
          <w:ilvl w:val="0"/>
          <w:numId w:val="282"/>
        </w:numPr>
        <w:contextualSpacing/>
        <w:rPr>
          <w:rFonts w:eastAsia="Aptos" w:cs="Times New Roman"/>
        </w:rPr>
      </w:pPr>
      <w:r w:rsidRPr="00432349">
        <w:rPr>
          <w:rFonts w:eastAsia="Aptos" w:cs="Times New Roman"/>
        </w:rPr>
        <w:t>Yes, excluding stoma appliances</w:t>
      </w:r>
      <w:r w:rsidRPr="00432349">
        <w:rPr>
          <w:rFonts w:eastAsia="Aptos" w:cs="Times New Roman"/>
        </w:rPr>
        <w:tab/>
      </w:r>
      <w:r w:rsidRPr="00432349">
        <w:rPr>
          <w:rFonts w:eastAsia="Aptos" w:cs="Times New Roman"/>
        </w:rPr>
        <w:tab/>
      </w:r>
      <w:r w:rsidRPr="00432349">
        <w:rPr>
          <w:rFonts w:eastAsia="Aptos" w:cs="Times New Roman"/>
        </w:rPr>
        <w:tab/>
      </w:r>
      <w:sdt>
        <w:sdtPr>
          <w:rPr>
            <w:rFonts w:ascii="MS Gothic" w:eastAsia="MS Gothic" w:hAnsi="MS Gothic" w:cs="Times New Roman" w:hint="eastAsia"/>
            <w:lang w:val="en-US"/>
          </w:rPr>
          <w:id w:val="421617090"/>
          <w14:checkbox>
            <w14:checked w14:val="0"/>
            <w14:checkedState w14:val="2612" w14:font="MS Gothic"/>
            <w14:uncheckedState w14:val="2610" w14:font="MS Gothic"/>
          </w14:checkbox>
        </w:sdtPr>
        <w:sdtContent>
          <w:r w:rsidRPr="00432349">
            <w:rPr>
              <w:rFonts w:ascii="MS Gothic" w:eastAsia="MS Gothic" w:hAnsi="MS Gothic" w:cs="Times New Roman" w:hint="eastAsia"/>
              <w:lang w:val="en-US"/>
            </w:rPr>
            <w:t>☐</w:t>
          </w:r>
        </w:sdtContent>
      </w:sdt>
      <w:r w:rsidRPr="00432349">
        <w:rPr>
          <w:rFonts w:eastAsia="Aptos" w:cs="Times New Roman"/>
          <w:lang w:val="en-US"/>
        </w:rPr>
        <w:t xml:space="preserve"> Yes</w:t>
      </w:r>
      <w:r w:rsidRPr="00432349">
        <w:rPr>
          <w:rFonts w:eastAsia="Aptos" w:cs="Times New Roman"/>
        </w:rPr>
        <w:tab/>
      </w:r>
    </w:p>
    <w:p w14:paraId="5D3983A6" w14:textId="77777777" w:rsidR="00432349" w:rsidRPr="00432349" w:rsidRDefault="00432349" w:rsidP="00B76905">
      <w:pPr>
        <w:numPr>
          <w:ilvl w:val="0"/>
          <w:numId w:val="282"/>
        </w:numPr>
        <w:contextualSpacing/>
        <w:rPr>
          <w:rFonts w:eastAsia="Aptos" w:cs="Times New Roman"/>
        </w:rPr>
      </w:pPr>
      <w:r w:rsidRPr="00432349">
        <w:rPr>
          <w:rFonts w:eastAsia="Aptos" w:cs="Times New Roman"/>
        </w:rPr>
        <w:t>Yes, excluding incontinence appliances</w:t>
      </w:r>
      <w:r w:rsidRPr="00432349">
        <w:rPr>
          <w:rFonts w:eastAsia="Aptos" w:cs="Times New Roman"/>
        </w:rPr>
        <w:tab/>
      </w:r>
      <w:r w:rsidRPr="00432349">
        <w:rPr>
          <w:rFonts w:eastAsia="Aptos" w:cs="Times New Roman"/>
        </w:rPr>
        <w:tab/>
      </w:r>
      <w:r w:rsidRPr="00432349">
        <w:rPr>
          <w:rFonts w:eastAsia="Aptos" w:cs="Times New Roman"/>
        </w:rPr>
        <w:tab/>
      </w:r>
      <w:sdt>
        <w:sdtPr>
          <w:rPr>
            <w:rFonts w:ascii="MS Gothic" w:eastAsia="MS Gothic" w:hAnsi="MS Gothic" w:cs="Times New Roman" w:hint="eastAsia"/>
            <w:lang w:val="en-US"/>
          </w:rPr>
          <w:id w:val="331115162"/>
          <w14:checkbox>
            <w14:checked w14:val="0"/>
            <w14:checkedState w14:val="2612" w14:font="MS Gothic"/>
            <w14:uncheckedState w14:val="2610" w14:font="MS Gothic"/>
          </w14:checkbox>
        </w:sdtPr>
        <w:sdtContent>
          <w:r w:rsidRPr="00432349">
            <w:rPr>
              <w:rFonts w:ascii="MS Gothic" w:eastAsia="MS Gothic" w:hAnsi="MS Gothic" w:cs="Times New Roman" w:hint="eastAsia"/>
              <w:lang w:val="en-US"/>
            </w:rPr>
            <w:t>☐</w:t>
          </w:r>
        </w:sdtContent>
      </w:sdt>
      <w:r w:rsidRPr="00432349">
        <w:rPr>
          <w:rFonts w:eastAsia="Aptos" w:cs="Times New Roman"/>
          <w:lang w:val="en-US"/>
        </w:rPr>
        <w:t xml:space="preserve"> Yes</w:t>
      </w:r>
      <w:r w:rsidRPr="00432349">
        <w:rPr>
          <w:rFonts w:eastAsia="Aptos" w:cs="Times New Roman"/>
        </w:rPr>
        <w:tab/>
      </w:r>
    </w:p>
    <w:p w14:paraId="79162985" w14:textId="77777777" w:rsidR="00432349" w:rsidRPr="00432349" w:rsidRDefault="00432349" w:rsidP="00B76905">
      <w:pPr>
        <w:numPr>
          <w:ilvl w:val="0"/>
          <w:numId w:val="282"/>
        </w:numPr>
        <w:contextualSpacing/>
        <w:rPr>
          <w:rFonts w:eastAsia="Aptos" w:cs="Times New Roman"/>
        </w:rPr>
      </w:pPr>
      <w:r w:rsidRPr="00432349">
        <w:rPr>
          <w:rFonts w:eastAsia="Aptos" w:cs="Times New Roman"/>
        </w:rPr>
        <w:t>Yes, excluding stoma and incontinence appliances</w:t>
      </w:r>
      <w:r w:rsidRPr="00432349">
        <w:rPr>
          <w:rFonts w:eastAsia="Aptos" w:cs="Times New Roman"/>
        </w:rPr>
        <w:tab/>
      </w:r>
      <w:sdt>
        <w:sdtPr>
          <w:rPr>
            <w:rFonts w:ascii="MS Gothic" w:eastAsia="MS Gothic" w:hAnsi="MS Gothic" w:cs="Times New Roman" w:hint="eastAsia"/>
            <w:lang w:val="en-US"/>
          </w:rPr>
          <w:id w:val="323948417"/>
          <w14:checkbox>
            <w14:checked w14:val="0"/>
            <w14:checkedState w14:val="2612" w14:font="MS Gothic"/>
            <w14:uncheckedState w14:val="2610" w14:font="MS Gothic"/>
          </w14:checkbox>
        </w:sdtPr>
        <w:sdtContent>
          <w:r w:rsidRPr="00432349">
            <w:rPr>
              <w:rFonts w:ascii="MS Gothic" w:eastAsia="MS Gothic" w:hAnsi="MS Gothic" w:cs="Times New Roman" w:hint="eastAsia"/>
              <w:lang w:val="en-US"/>
            </w:rPr>
            <w:t>☐</w:t>
          </w:r>
        </w:sdtContent>
      </w:sdt>
      <w:r w:rsidRPr="00432349">
        <w:rPr>
          <w:rFonts w:eastAsia="Aptos" w:cs="Times New Roman"/>
          <w:lang w:val="en-US"/>
        </w:rPr>
        <w:t xml:space="preserve"> Yes</w:t>
      </w:r>
      <w:r w:rsidRPr="00432349">
        <w:rPr>
          <w:rFonts w:eastAsia="Aptos" w:cs="Times New Roman"/>
        </w:rPr>
        <w:tab/>
      </w:r>
    </w:p>
    <w:p w14:paraId="5E9DC36C" w14:textId="77777777" w:rsidR="00432349" w:rsidRPr="00432349" w:rsidRDefault="00432349" w:rsidP="00B76905">
      <w:pPr>
        <w:numPr>
          <w:ilvl w:val="0"/>
          <w:numId w:val="282"/>
        </w:numPr>
        <w:contextualSpacing/>
        <w:rPr>
          <w:rFonts w:eastAsia="Aptos" w:cs="Times New Roman"/>
        </w:rPr>
      </w:pPr>
      <w:r w:rsidRPr="00432349">
        <w:rPr>
          <w:rFonts w:eastAsia="Aptos" w:cs="Times New Roman"/>
        </w:rPr>
        <w:t>Yes, just dressings</w:t>
      </w:r>
      <w:r w:rsidRPr="00432349">
        <w:rPr>
          <w:rFonts w:eastAsia="Aptos" w:cs="Times New Roman"/>
        </w:rPr>
        <w:tab/>
      </w:r>
      <w:r w:rsidRPr="00432349">
        <w:rPr>
          <w:rFonts w:eastAsia="Aptos" w:cs="Times New Roman"/>
        </w:rPr>
        <w:tab/>
      </w:r>
      <w:r w:rsidRPr="00432349">
        <w:rPr>
          <w:rFonts w:eastAsia="Aptos" w:cs="Times New Roman"/>
        </w:rPr>
        <w:tab/>
      </w:r>
      <w:r w:rsidRPr="00432349">
        <w:rPr>
          <w:rFonts w:eastAsia="Aptos" w:cs="Times New Roman"/>
        </w:rPr>
        <w:tab/>
      </w:r>
      <w:r w:rsidRPr="00432349">
        <w:rPr>
          <w:rFonts w:eastAsia="Aptos" w:cs="Times New Roman"/>
        </w:rPr>
        <w:tab/>
      </w:r>
      <w:r w:rsidRPr="00432349">
        <w:rPr>
          <w:rFonts w:eastAsia="Aptos" w:cs="Times New Roman"/>
        </w:rPr>
        <w:tab/>
      </w:r>
      <w:sdt>
        <w:sdtPr>
          <w:rPr>
            <w:rFonts w:ascii="MS Gothic" w:eastAsia="MS Gothic" w:hAnsi="MS Gothic" w:cs="Times New Roman" w:hint="eastAsia"/>
            <w:lang w:val="en-US"/>
          </w:rPr>
          <w:id w:val="1280371933"/>
          <w14:checkbox>
            <w14:checked w14:val="0"/>
            <w14:checkedState w14:val="2612" w14:font="MS Gothic"/>
            <w14:uncheckedState w14:val="2610" w14:font="MS Gothic"/>
          </w14:checkbox>
        </w:sdtPr>
        <w:sdtContent>
          <w:r w:rsidRPr="00432349">
            <w:rPr>
              <w:rFonts w:ascii="MS Gothic" w:eastAsia="MS Gothic" w:hAnsi="MS Gothic" w:cs="Times New Roman" w:hint="eastAsia"/>
              <w:lang w:val="en-US"/>
            </w:rPr>
            <w:t>☐</w:t>
          </w:r>
        </w:sdtContent>
      </w:sdt>
      <w:r w:rsidRPr="00432349">
        <w:rPr>
          <w:rFonts w:eastAsia="Aptos" w:cs="Times New Roman"/>
          <w:lang w:val="en-US"/>
        </w:rPr>
        <w:t xml:space="preserve"> Yes</w:t>
      </w:r>
      <w:r w:rsidRPr="00432349">
        <w:rPr>
          <w:rFonts w:eastAsia="Aptos" w:cs="Times New Roman"/>
        </w:rPr>
        <w:tab/>
      </w:r>
    </w:p>
    <w:p w14:paraId="054B191E" w14:textId="77777777" w:rsidR="00432349" w:rsidRPr="00432349" w:rsidRDefault="00432349" w:rsidP="00B76905">
      <w:pPr>
        <w:numPr>
          <w:ilvl w:val="0"/>
          <w:numId w:val="282"/>
        </w:numPr>
        <w:contextualSpacing/>
        <w:rPr>
          <w:rFonts w:eastAsia="Aptos" w:cs="Times New Roman"/>
        </w:rPr>
      </w:pPr>
      <w:r w:rsidRPr="00432349">
        <w:rPr>
          <w:rFonts w:eastAsia="Aptos" w:cs="Times New Roman"/>
        </w:rPr>
        <w:t>Other</w:t>
      </w:r>
      <w:r w:rsidRPr="00432349">
        <w:rPr>
          <w:rFonts w:eastAsia="Aptos" w:cs="Times New Roman"/>
        </w:rPr>
        <w:tab/>
        <w:t xml:space="preserve"> </w:t>
      </w:r>
      <w:sdt>
        <w:sdtPr>
          <w:rPr>
            <w:rFonts w:eastAsia="Calibri" w:cs="Arial"/>
          </w:rPr>
          <w:id w:val="-485008577"/>
          <w:placeholder>
            <w:docPart w:val="B83D0CA1B04B443BAAC93AF4E30A3BDB"/>
          </w:placeholder>
          <w:showingPlcHdr/>
        </w:sdtPr>
        <w:sdtContent>
          <w:r w:rsidRPr="00432349">
            <w:rPr>
              <w:rFonts w:ascii="Aptos" w:eastAsia="Aptos" w:hAnsi="Aptos" w:cs="Times New Roman"/>
              <w:color w:val="666666"/>
            </w:rPr>
            <w:t>Click or tap here to enter text.</w:t>
          </w:r>
        </w:sdtContent>
      </w:sdt>
    </w:p>
    <w:p w14:paraId="40FDBF58" w14:textId="77777777" w:rsidR="00432349" w:rsidRPr="00432349" w:rsidRDefault="00432349" w:rsidP="00B76905">
      <w:pPr>
        <w:numPr>
          <w:ilvl w:val="0"/>
          <w:numId w:val="282"/>
        </w:numPr>
        <w:contextualSpacing/>
        <w:rPr>
          <w:rFonts w:eastAsia="Aptos" w:cs="Times New Roman"/>
        </w:rPr>
      </w:pPr>
      <w:r w:rsidRPr="00432349">
        <w:rPr>
          <w:rFonts w:eastAsia="Aptos" w:cs="Times New Roman"/>
        </w:rPr>
        <w:t>None</w:t>
      </w:r>
      <w:r w:rsidRPr="00432349">
        <w:rPr>
          <w:rFonts w:eastAsia="Aptos" w:cs="Times New Roman"/>
        </w:rPr>
        <w:tab/>
      </w:r>
      <w:r w:rsidRPr="00432349">
        <w:rPr>
          <w:rFonts w:eastAsia="Aptos" w:cs="Times New Roman"/>
        </w:rPr>
        <w:tab/>
      </w:r>
      <w:r w:rsidRPr="00432349">
        <w:rPr>
          <w:rFonts w:eastAsia="Aptos" w:cs="Times New Roman"/>
        </w:rPr>
        <w:tab/>
      </w:r>
      <w:r w:rsidRPr="00432349">
        <w:rPr>
          <w:rFonts w:eastAsia="Aptos" w:cs="Times New Roman"/>
        </w:rPr>
        <w:tab/>
      </w:r>
      <w:r w:rsidRPr="00432349">
        <w:rPr>
          <w:rFonts w:eastAsia="Aptos" w:cs="Times New Roman"/>
        </w:rPr>
        <w:tab/>
      </w:r>
      <w:r w:rsidRPr="00432349">
        <w:rPr>
          <w:rFonts w:eastAsia="Aptos" w:cs="Times New Roman"/>
        </w:rPr>
        <w:tab/>
      </w:r>
      <w:r w:rsidRPr="00432349">
        <w:rPr>
          <w:rFonts w:eastAsia="Aptos" w:cs="Times New Roman"/>
        </w:rPr>
        <w:tab/>
      </w:r>
      <w:r w:rsidRPr="00432349">
        <w:rPr>
          <w:rFonts w:eastAsia="Aptos" w:cs="Times New Roman"/>
        </w:rPr>
        <w:tab/>
      </w:r>
      <w:sdt>
        <w:sdtPr>
          <w:rPr>
            <w:rFonts w:ascii="MS Gothic" w:eastAsia="MS Gothic" w:hAnsi="MS Gothic" w:cs="Times New Roman" w:hint="eastAsia"/>
            <w:lang w:val="en-US"/>
          </w:rPr>
          <w:id w:val="-1372609712"/>
          <w14:checkbox>
            <w14:checked w14:val="0"/>
            <w14:checkedState w14:val="2612" w14:font="MS Gothic"/>
            <w14:uncheckedState w14:val="2610" w14:font="MS Gothic"/>
          </w14:checkbox>
        </w:sdtPr>
        <w:sdtContent>
          <w:r w:rsidRPr="00432349">
            <w:rPr>
              <w:rFonts w:ascii="MS Gothic" w:eastAsia="MS Gothic" w:hAnsi="MS Gothic" w:cs="Times New Roman" w:hint="eastAsia"/>
              <w:lang w:val="en-US"/>
            </w:rPr>
            <w:t>☐</w:t>
          </w:r>
        </w:sdtContent>
      </w:sdt>
      <w:r w:rsidRPr="00432349">
        <w:rPr>
          <w:rFonts w:eastAsia="Aptos" w:cs="Times New Roman"/>
          <w:lang w:val="en-US"/>
        </w:rPr>
        <w:t xml:space="preserve"> Yes</w:t>
      </w:r>
      <w:r w:rsidRPr="00432349">
        <w:rPr>
          <w:rFonts w:eastAsia="Aptos" w:cs="Times New Roman"/>
        </w:rPr>
        <w:tab/>
      </w:r>
    </w:p>
    <w:p w14:paraId="61A27606" w14:textId="77777777" w:rsidR="00432349" w:rsidRPr="00432349" w:rsidRDefault="00432349" w:rsidP="00ED57F2">
      <w:pPr>
        <w:rPr>
          <w:rFonts w:eastAsia="Aptos" w:cs="Times New Roman"/>
        </w:rPr>
      </w:pPr>
    </w:p>
    <w:p w14:paraId="3096A2F7" w14:textId="77777777" w:rsidR="00432349" w:rsidRPr="00432349" w:rsidRDefault="00432349" w:rsidP="00ED57F2">
      <w:pPr>
        <w:rPr>
          <w:rFonts w:eastAsia="Aptos" w:cs="Times New Roman"/>
          <w:b/>
          <w:bCs/>
        </w:rPr>
      </w:pPr>
      <w:r w:rsidRPr="00432349">
        <w:rPr>
          <w:rFonts w:eastAsia="Aptos" w:cs="Times New Roman"/>
          <w:b/>
          <w:bCs/>
          <w:lang w:val="en-US"/>
        </w:rPr>
        <w:t>Non-commissioned services</w:t>
      </w:r>
      <w:r w:rsidRPr="00432349">
        <w:rPr>
          <w:rFonts w:eastAsia="Aptos" w:cs="Times New Roman"/>
          <w:b/>
          <w:bCs/>
        </w:rPr>
        <w:t> </w:t>
      </w:r>
    </w:p>
    <w:p w14:paraId="1DF6AEF5" w14:textId="77777777" w:rsidR="00432349" w:rsidRPr="00432349" w:rsidRDefault="00432349" w:rsidP="00ED57F2">
      <w:pPr>
        <w:rPr>
          <w:rFonts w:eastAsia="Aptos" w:cs="Times New Roman"/>
          <w:lang w:val="en-US"/>
        </w:rPr>
      </w:pPr>
    </w:p>
    <w:p w14:paraId="1BA29C96" w14:textId="77777777" w:rsidR="00432349" w:rsidRPr="00432349" w:rsidRDefault="00432349" w:rsidP="00ED57F2">
      <w:pPr>
        <w:rPr>
          <w:rFonts w:eastAsia="Aptos" w:cs="Times New Roman"/>
        </w:rPr>
      </w:pPr>
      <w:r w:rsidRPr="00432349">
        <w:rPr>
          <w:rFonts w:eastAsia="Aptos" w:cs="Times New Roman"/>
          <w:lang w:val="en-US"/>
        </w:rPr>
        <w:t>Does the pharmacy provide any of the following?</w:t>
      </w:r>
      <w:r w:rsidRPr="00432349">
        <w:rPr>
          <w:rFonts w:eastAsia="Aptos" w:cs="Times New Roman"/>
        </w:rPr>
        <w:t> </w:t>
      </w:r>
    </w:p>
    <w:p w14:paraId="485DE715" w14:textId="77777777" w:rsidR="00432349" w:rsidRPr="00432349" w:rsidRDefault="00432349" w:rsidP="00ED57F2">
      <w:pPr>
        <w:rPr>
          <w:rFonts w:eastAsia="Aptos" w:cs="Times New Roman"/>
        </w:rPr>
      </w:pPr>
    </w:p>
    <w:p w14:paraId="5576DA22" w14:textId="77777777" w:rsidR="00432349" w:rsidRPr="00432349" w:rsidRDefault="00432349" w:rsidP="00B76905">
      <w:pPr>
        <w:numPr>
          <w:ilvl w:val="0"/>
          <w:numId w:val="283"/>
        </w:numPr>
        <w:contextualSpacing/>
        <w:rPr>
          <w:rFonts w:eastAsia="Aptos" w:cs="Times New Roman"/>
        </w:rPr>
      </w:pPr>
      <w:r w:rsidRPr="00432349">
        <w:rPr>
          <w:rFonts w:eastAsia="Aptos" w:cs="Times New Roman"/>
        </w:rPr>
        <w:t xml:space="preserve">Collection of prescriptions from GP practices </w:t>
      </w:r>
      <w:r w:rsidRPr="00432349">
        <w:rPr>
          <w:rFonts w:eastAsia="Aptos" w:cs="Times New Roman"/>
        </w:rPr>
        <w:tab/>
      </w:r>
      <w:r w:rsidRPr="00432349">
        <w:rPr>
          <w:rFonts w:eastAsia="Aptos" w:cs="Times New Roman"/>
        </w:rPr>
        <w:tab/>
      </w:r>
      <w:sdt>
        <w:sdtPr>
          <w:rPr>
            <w:rFonts w:ascii="MS Gothic" w:eastAsia="MS Gothic" w:hAnsi="MS Gothic" w:cs="Times New Roman" w:hint="eastAsia"/>
            <w:lang w:val="en-US"/>
          </w:rPr>
          <w:id w:val="-2085908233"/>
          <w14:checkbox>
            <w14:checked w14:val="0"/>
            <w14:checkedState w14:val="2612" w14:font="MS Gothic"/>
            <w14:uncheckedState w14:val="2610" w14:font="MS Gothic"/>
          </w14:checkbox>
        </w:sdtPr>
        <w:sdtContent>
          <w:r w:rsidRPr="00432349">
            <w:rPr>
              <w:rFonts w:ascii="MS Gothic" w:eastAsia="MS Gothic" w:hAnsi="MS Gothic" w:cs="Times New Roman" w:hint="eastAsia"/>
              <w:lang w:val="en-US"/>
            </w:rPr>
            <w:t>☐</w:t>
          </w:r>
        </w:sdtContent>
      </w:sdt>
      <w:r w:rsidRPr="00432349">
        <w:rPr>
          <w:rFonts w:eastAsia="Aptos" w:cs="Times New Roman"/>
          <w:lang w:val="en-US"/>
        </w:rPr>
        <w:t xml:space="preserve"> Yes</w:t>
      </w:r>
    </w:p>
    <w:p w14:paraId="1ADF10EE" w14:textId="45C1E305" w:rsidR="00432349" w:rsidRPr="00432349" w:rsidRDefault="00432349" w:rsidP="00B76905">
      <w:pPr>
        <w:numPr>
          <w:ilvl w:val="0"/>
          <w:numId w:val="283"/>
        </w:numPr>
        <w:contextualSpacing/>
        <w:rPr>
          <w:rFonts w:eastAsia="Aptos" w:cs="Times New Roman"/>
        </w:rPr>
      </w:pPr>
      <w:r w:rsidRPr="00432349">
        <w:rPr>
          <w:rFonts w:eastAsia="Aptos" w:cs="Times New Roman"/>
        </w:rPr>
        <w:t xml:space="preserve">Delivery of dispensed medicines – free of charge </w:t>
      </w:r>
      <w:r w:rsidRPr="00432349">
        <w:rPr>
          <w:rFonts w:eastAsia="Aptos" w:cs="Times New Roman"/>
        </w:rPr>
        <w:tab/>
      </w:r>
      <w:sdt>
        <w:sdtPr>
          <w:rPr>
            <w:rFonts w:ascii="MS Gothic" w:eastAsia="MS Gothic" w:hAnsi="MS Gothic" w:cs="Times New Roman" w:hint="eastAsia"/>
            <w:lang w:val="en-US"/>
          </w:rPr>
          <w:id w:val="1234432028"/>
          <w14:checkbox>
            <w14:checked w14:val="0"/>
            <w14:checkedState w14:val="2612" w14:font="MS Gothic"/>
            <w14:uncheckedState w14:val="2610" w14:font="MS Gothic"/>
          </w14:checkbox>
        </w:sdtPr>
        <w:sdtContent>
          <w:r w:rsidRPr="00432349">
            <w:rPr>
              <w:rFonts w:ascii="MS Gothic" w:eastAsia="MS Gothic" w:hAnsi="MS Gothic" w:cs="Times New Roman" w:hint="eastAsia"/>
              <w:lang w:val="en-US"/>
            </w:rPr>
            <w:t>☐</w:t>
          </w:r>
        </w:sdtContent>
      </w:sdt>
      <w:r w:rsidRPr="00432349">
        <w:rPr>
          <w:rFonts w:eastAsia="Aptos" w:cs="Times New Roman"/>
          <w:lang w:val="en-US"/>
        </w:rPr>
        <w:t xml:space="preserve"> Yes</w:t>
      </w:r>
      <w:r w:rsidRPr="00432349">
        <w:rPr>
          <w:rFonts w:eastAsia="Aptos" w:cs="Times New Roman"/>
        </w:rPr>
        <w:tab/>
      </w:r>
      <w:r w:rsidRPr="00432349">
        <w:rPr>
          <w:rFonts w:eastAsia="Aptos" w:cs="Times New Roman"/>
        </w:rPr>
        <w:tab/>
      </w:r>
      <w:r w:rsidRPr="00432349">
        <w:rPr>
          <w:rFonts w:eastAsia="Aptos" w:cs="Times New Roman"/>
        </w:rPr>
        <w:tab/>
      </w:r>
      <w:r w:rsidR="00B752FC">
        <w:rPr>
          <w:rFonts w:eastAsia="Aptos" w:cs="Times New Roman"/>
        </w:rPr>
        <w:t xml:space="preserve"> </w:t>
      </w:r>
      <w:r w:rsidRPr="00432349">
        <w:rPr>
          <w:rFonts w:eastAsia="Aptos" w:cs="Times New Roman"/>
        </w:rPr>
        <w:t xml:space="preserve">on request </w:t>
      </w:r>
    </w:p>
    <w:p w14:paraId="64C89C39" w14:textId="77777777" w:rsidR="00432349" w:rsidRPr="00432349" w:rsidRDefault="00432349" w:rsidP="00B76905">
      <w:pPr>
        <w:numPr>
          <w:ilvl w:val="0"/>
          <w:numId w:val="283"/>
        </w:numPr>
        <w:ind w:left="426" w:hanging="66"/>
        <w:contextualSpacing/>
        <w:rPr>
          <w:rFonts w:eastAsia="Aptos" w:cs="Times New Roman"/>
        </w:rPr>
      </w:pPr>
      <w:r w:rsidRPr="00432349">
        <w:rPr>
          <w:rFonts w:eastAsia="Aptos" w:cs="Times New Roman"/>
        </w:rPr>
        <w:lastRenderedPageBreak/>
        <w:t xml:space="preserve">Delivery of dispensed medicines – selected patient </w:t>
      </w:r>
      <w:r w:rsidRPr="00432349">
        <w:rPr>
          <w:rFonts w:eastAsia="Aptos" w:cs="Times New Roman"/>
        </w:rPr>
        <w:tab/>
      </w:r>
      <w:sdt>
        <w:sdtPr>
          <w:rPr>
            <w:rFonts w:ascii="MS Gothic" w:eastAsia="MS Gothic" w:hAnsi="MS Gothic" w:cs="Times New Roman" w:hint="eastAsia"/>
            <w:lang w:val="en-US"/>
          </w:rPr>
          <w:id w:val="1305201543"/>
          <w14:checkbox>
            <w14:checked w14:val="0"/>
            <w14:checkedState w14:val="2612" w14:font="MS Gothic"/>
            <w14:uncheckedState w14:val="2610" w14:font="MS Gothic"/>
          </w14:checkbox>
        </w:sdtPr>
        <w:sdtContent>
          <w:r w:rsidRPr="00432349">
            <w:rPr>
              <w:rFonts w:ascii="MS Gothic" w:eastAsia="MS Gothic" w:hAnsi="MS Gothic" w:cs="Times New Roman" w:hint="eastAsia"/>
              <w:lang w:val="en-US"/>
            </w:rPr>
            <w:t>☐</w:t>
          </w:r>
        </w:sdtContent>
      </w:sdt>
      <w:r w:rsidRPr="00432349">
        <w:rPr>
          <w:rFonts w:eastAsia="Aptos" w:cs="Times New Roman"/>
          <w:lang w:val="en-US"/>
        </w:rPr>
        <w:t xml:space="preserve"> Yes</w:t>
      </w:r>
      <w:r w:rsidRPr="00432349">
        <w:rPr>
          <w:rFonts w:eastAsia="Aptos" w:cs="Times New Roman"/>
        </w:rPr>
        <w:tab/>
      </w:r>
      <w:r w:rsidRPr="00432349">
        <w:rPr>
          <w:rFonts w:eastAsia="Aptos" w:cs="Times New Roman"/>
        </w:rPr>
        <w:tab/>
      </w:r>
      <w:r w:rsidRPr="00432349">
        <w:rPr>
          <w:rFonts w:eastAsia="Aptos" w:cs="Times New Roman"/>
        </w:rPr>
        <w:tab/>
      </w:r>
      <w:r w:rsidRPr="00432349">
        <w:rPr>
          <w:rFonts w:eastAsia="Aptos" w:cs="Times New Roman"/>
        </w:rPr>
        <w:tab/>
        <w:t>groups (list criteria)</w:t>
      </w:r>
    </w:p>
    <w:p w14:paraId="7F1E2C91" w14:textId="77777777" w:rsidR="00432349" w:rsidRPr="00432349" w:rsidRDefault="00000000" w:rsidP="00ED57F2">
      <w:pPr>
        <w:ind w:firstLine="720"/>
        <w:rPr>
          <w:rFonts w:eastAsia="Aptos" w:cs="Times New Roman"/>
        </w:rPr>
      </w:pPr>
      <w:sdt>
        <w:sdtPr>
          <w:rPr>
            <w:rFonts w:eastAsia="Calibri" w:cs="Arial"/>
          </w:rPr>
          <w:id w:val="-875154295"/>
          <w:placeholder>
            <w:docPart w:val="F908250E8F394E7D91F6EFF454B82F4B"/>
          </w:placeholder>
          <w:showingPlcHdr/>
        </w:sdtPr>
        <w:sdtContent>
          <w:r w:rsidR="00432349" w:rsidRPr="00432349">
            <w:rPr>
              <w:rFonts w:ascii="Aptos" w:eastAsia="Aptos" w:hAnsi="Aptos" w:cs="Times New Roman"/>
              <w:color w:val="666666"/>
            </w:rPr>
            <w:t>Click or tap here to enter text.</w:t>
          </w:r>
        </w:sdtContent>
      </w:sdt>
    </w:p>
    <w:p w14:paraId="05F999E8" w14:textId="77777777" w:rsidR="00432349" w:rsidRPr="00432349" w:rsidRDefault="00432349" w:rsidP="00B76905">
      <w:pPr>
        <w:numPr>
          <w:ilvl w:val="0"/>
          <w:numId w:val="283"/>
        </w:numPr>
        <w:contextualSpacing/>
        <w:rPr>
          <w:rFonts w:eastAsia="Aptos" w:cs="Times New Roman"/>
        </w:rPr>
      </w:pPr>
      <w:r w:rsidRPr="00432349">
        <w:rPr>
          <w:rFonts w:eastAsia="Aptos" w:cs="Times New Roman"/>
        </w:rPr>
        <w:t xml:space="preserve">Delivery of dispensed medicines – selected areas </w:t>
      </w:r>
      <w:r w:rsidRPr="00432349">
        <w:rPr>
          <w:rFonts w:eastAsia="Aptos" w:cs="Times New Roman"/>
        </w:rPr>
        <w:tab/>
      </w:r>
      <w:sdt>
        <w:sdtPr>
          <w:rPr>
            <w:rFonts w:ascii="MS Gothic" w:eastAsia="MS Gothic" w:hAnsi="MS Gothic" w:cs="Times New Roman" w:hint="eastAsia"/>
            <w:lang w:val="en-US"/>
          </w:rPr>
          <w:id w:val="891161184"/>
          <w14:checkbox>
            <w14:checked w14:val="0"/>
            <w14:checkedState w14:val="2612" w14:font="MS Gothic"/>
            <w14:uncheckedState w14:val="2610" w14:font="MS Gothic"/>
          </w14:checkbox>
        </w:sdtPr>
        <w:sdtContent>
          <w:r w:rsidRPr="00432349">
            <w:rPr>
              <w:rFonts w:ascii="MS Gothic" w:eastAsia="MS Gothic" w:hAnsi="MS Gothic" w:cs="Times New Roman" w:hint="eastAsia"/>
              <w:lang w:val="en-US"/>
            </w:rPr>
            <w:t>☐</w:t>
          </w:r>
        </w:sdtContent>
      </w:sdt>
      <w:r w:rsidRPr="00432349">
        <w:rPr>
          <w:rFonts w:eastAsia="Aptos" w:cs="Times New Roman"/>
          <w:lang w:val="en-US"/>
        </w:rPr>
        <w:t xml:space="preserve"> Yes</w:t>
      </w:r>
      <w:r w:rsidRPr="00432349">
        <w:rPr>
          <w:rFonts w:eastAsia="Aptos" w:cs="Times New Roman"/>
        </w:rPr>
        <w:tab/>
      </w:r>
      <w:r w:rsidRPr="00432349">
        <w:rPr>
          <w:rFonts w:eastAsia="Aptos" w:cs="Times New Roman"/>
        </w:rPr>
        <w:tab/>
      </w:r>
      <w:r w:rsidRPr="00432349">
        <w:rPr>
          <w:rFonts w:eastAsia="Aptos" w:cs="Times New Roman"/>
        </w:rPr>
        <w:tab/>
        <w:t xml:space="preserve"> (list areas)</w:t>
      </w:r>
    </w:p>
    <w:p w14:paraId="53921A2B" w14:textId="77777777" w:rsidR="00432349" w:rsidRPr="00432349" w:rsidRDefault="00000000" w:rsidP="00ED57F2">
      <w:pPr>
        <w:ind w:firstLine="720"/>
        <w:rPr>
          <w:rFonts w:eastAsia="Aptos" w:cs="Times New Roman"/>
        </w:rPr>
      </w:pPr>
      <w:sdt>
        <w:sdtPr>
          <w:rPr>
            <w:rFonts w:eastAsia="Calibri" w:cs="Arial"/>
          </w:rPr>
          <w:id w:val="-214810980"/>
          <w:placeholder>
            <w:docPart w:val="F93262592A28486097CFF6044BB7568F"/>
          </w:placeholder>
          <w:showingPlcHdr/>
        </w:sdtPr>
        <w:sdtContent>
          <w:r w:rsidR="00432349" w:rsidRPr="00432349">
            <w:rPr>
              <w:rFonts w:ascii="Aptos" w:eastAsia="Aptos" w:hAnsi="Aptos" w:cs="Times New Roman"/>
              <w:color w:val="666666"/>
            </w:rPr>
            <w:t>Click or tap here to enter text.</w:t>
          </w:r>
        </w:sdtContent>
      </w:sdt>
    </w:p>
    <w:p w14:paraId="30E5D5A0" w14:textId="77777777" w:rsidR="00432349" w:rsidRPr="00432349" w:rsidRDefault="00432349" w:rsidP="00B76905">
      <w:pPr>
        <w:numPr>
          <w:ilvl w:val="0"/>
          <w:numId w:val="283"/>
        </w:numPr>
        <w:contextualSpacing/>
        <w:rPr>
          <w:rFonts w:eastAsia="Aptos" w:cs="Times New Roman"/>
        </w:rPr>
      </w:pPr>
      <w:r w:rsidRPr="00432349">
        <w:rPr>
          <w:rFonts w:eastAsia="Aptos" w:cs="Times New Roman"/>
        </w:rPr>
        <w:t>Delivery of dispensed medicines – chargeable</w:t>
      </w:r>
      <w:r w:rsidRPr="00432349">
        <w:rPr>
          <w:rFonts w:eastAsia="Aptos" w:cs="Times New Roman"/>
        </w:rPr>
        <w:tab/>
      </w:r>
      <w:r w:rsidRPr="00432349">
        <w:rPr>
          <w:rFonts w:eastAsia="Aptos" w:cs="Times New Roman"/>
        </w:rPr>
        <w:tab/>
      </w:r>
      <w:sdt>
        <w:sdtPr>
          <w:rPr>
            <w:rFonts w:ascii="MS Gothic" w:eastAsia="MS Gothic" w:hAnsi="MS Gothic" w:cs="Times New Roman" w:hint="eastAsia"/>
            <w:lang w:val="en-US"/>
          </w:rPr>
          <w:id w:val="582421006"/>
          <w14:checkbox>
            <w14:checked w14:val="0"/>
            <w14:checkedState w14:val="2612" w14:font="MS Gothic"/>
            <w14:uncheckedState w14:val="2610" w14:font="MS Gothic"/>
          </w14:checkbox>
        </w:sdtPr>
        <w:sdtContent>
          <w:r w:rsidRPr="00432349">
            <w:rPr>
              <w:rFonts w:ascii="MS Gothic" w:eastAsia="MS Gothic" w:hAnsi="MS Gothic" w:cs="Times New Roman" w:hint="eastAsia"/>
              <w:lang w:val="en-US"/>
            </w:rPr>
            <w:t>☐</w:t>
          </w:r>
        </w:sdtContent>
      </w:sdt>
      <w:r w:rsidRPr="00432349">
        <w:rPr>
          <w:rFonts w:eastAsia="Aptos" w:cs="Times New Roman"/>
          <w:lang w:val="en-US"/>
        </w:rPr>
        <w:t xml:space="preserve"> Yes</w:t>
      </w:r>
      <w:r w:rsidRPr="00432349">
        <w:rPr>
          <w:rFonts w:eastAsia="Aptos" w:cs="Times New Roman"/>
        </w:rPr>
        <w:tab/>
      </w:r>
    </w:p>
    <w:p w14:paraId="69695E21" w14:textId="77777777" w:rsidR="00432349" w:rsidRPr="00432349" w:rsidRDefault="00432349" w:rsidP="00B76905">
      <w:pPr>
        <w:numPr>
          <w:ilvl w:val="0"/>
          <w:numId w:val="283"/>
        </w:numPr>
        <w:contextualSpacing/>
        <w:rPr>
          <w:rFonts w:eastAsia="Aptos" w:cs="Times New Roman"/>
        </w:rPr>
      </w:pPr>
      <w:r w:rsidRPr="00432349">
        <w:rPr>
          <w:rFonts w:eastAsia="Aptos" w:cs="Times New Roman"/>
        </w:rPr>
        <w:t>Automated collection point</w:t>
      </w:r>
      <w:r w:rsidRPr="00432349">
        <w:rPr>
          <w:rFonts w:eastAsia="Aptos" w:cs="Times New Roman"/>
        </w:rPr>
        <w:tab/>
      </w:r>
      <w:r w:rsidRPr="00432349">
        <w:rPr>
          <w:rFonts w:eastAsia="Aptos" w:cs="Times New Roman"/>
        </w:rPr>
        <w:tab/>
      </w:r>
      <w:r w:rsidRPr="00432349">
        <w:rPr>
          <w:rFonts w:eastAsia="Aptos" w:cs="Times New Roman"/>
        </w:rPr>
        <w:tab/>
      </w:r>
      <w:r w:rsidRPr="00432349">
        <w:rPr>
          <w:rFonts w:eastAsia="Aptos" w:cs="Times New Roman"/>
        </w:rPr>
        <w:tab/>
      </w:r>
      <w:r w:rsidRPr="00432349">
        <w:rPr>
          <w:rFonts w:eastAsia="Aptos" w:cs="Times New Roman"/>
        </w:rPr>
        <w:tab/>
      </w:r>
      <w:sdt>
        <w:sdtPr>
          <w:rPr>
            <w:rFonts w:ascii="MS Gothic" w:eastAsia="MS Gothic" w:hAnsi="MS Gothic" w:cs="Times New Roman" w:hint="eastAsia"/>
            <w:lang w:val="en-US"/>
          </w:rPr>
          <w:id w:val="-509671663"/>
          <w14:checkbox>
            <w14:checked w14:val="0"/>
            <w14:checkedState w14:val="2612" w14:font="MS Gothic"/>
            <w14:uncheckedState w14:val="2610" w14:font="MS Gothic"/>
          </w14:checkbox>
        </w:sdtPr>
        <w:sdtContent>
          <w:r w:rsidRPr="00432349">
            <w:rPr>
              <w:rFonts w:ascii="MS Gothic" w:eastAsia="MS Gothic" w:hAnsi="MS Gothic" w:cs="Times New Roman" w:hint="eastAsia"/>
              <w:lang w:val="en-US"/>
            </w:rPr>
            <w:t>☐</w:t>
          </w:r>
        </w:sdtContent>
      </w:sdt>
      <w:r w:rsidRPr="00432349">
        <w:rPr>
          <w:rFonts w:eastAsia="Aptos" w:cs="Times New Roman"/>
          <w:lang w:val="en-US"/>
        </w:rPr>
        <w:t xml:space="preserve"> Yes</w:t>
      </w:r>
    </w:p>
    <w:p w14:paraId="0A4D0503" w14:textId="77777777" w:rsidR="00432349" w:rsidRPr="00432349" w:rsidRDefault="00432349" w:rsidP="00ED57F2">
      <w:pPr>
        <w:rPr>
          <w:rFonts w:eastAsia="Aptos" w:cs="Times New Roman"/>
        </w:rPr>
      </w:pPr>
      <w:r w:rsidRPr="00432349">
        <w:rPr>
          <w:rFonts w:eastAsia="Aptos" w:cs="Times New Roman"/>
        </w:rPr>
        <w:t> </w:t>
      </w:r>
    </w:p>
    <w:p w14:paraId="47C60294" w14:textId="77777777" w:rsidR="00432349" w:rsidRPr="00432349" w:rsidRDefault="00432349" w:rsidP="00ED57F2">
      <w:pPr>
        <w:rPr>
          <w:rFonts w:eastAsia="Aptos" w:cs="Times New Roman"/>
        </w:rPr>
      </w:pPr>
      <w:r w:rsidRPr="00432349">
        <w:rPr>
          <w:rFonts w:eastAsia="Aptos" w:cs="Times New Roman"/>
          <w:lang w:val="en-US"/>
        </w:rPr>
        <w:t>In your opinion is there a requirement for an existing additional clinical service which is not currently provided in your area? If so, what is the particular requirement and why.</w:t>
      </w:r>
      <w:r w:rsidRPr="00432349">
        <w:rPr>
          <w:rFonts w:eastAsia="Aptos" w:cs="Times New Roman"/>
        </w:rPr>
        <w:t> </w:t>
      </w:r>
    </w:p>
    <w:p w14:paraId="125DD457" w14:textId="77777777" w:rsidR="00432349" w:rsidRPr="00432349" w:rsidRDefault="00432349" w:rsidP="00ED57F2">
      <w:pPr>
        <w:rPr>
          <w:rFonts w:eastAsia="Aptos" w:cs="Times New Roman"/>
        </w:rPr>
      </w:pPr>
    </w:p>
    <w:tbl>
      <w:tblPr>
        <w:tblStyle w:val="TableGrid"/>
        <w:tblW w:w="0" w:type="auto"/>
        <w:tblInd w:w="0" w:type="dxa"/>
        <w:tblLook w:val="04A0" w:firstRow="1" w:lastRow="0" w:firstColumn="1" w:lastColumn="0" w:noHBand="0" w:noVBand="1"/>
      </w:tblPr>
      <w:tblGrid>
        <w:gridCol w:w="9016"/>
      </w:tblGrid>
      <w:tr w:rsidR="00432349" w:rsidRPr="00432349" w14:paraId="008A6E53" w14:textId="77777777" w:rsidTr="00432349">
        <w:tc>
          <w:tcPr>
            <w:tcW w:w="9016" w:type="dxa"/>
            <w:tcBorders>
              <w:top w:val="single" w:sz="4" w:space="0" w:color="auto"/>
              <w:left w:val="single" w:sz="4" w:space="0" w:color="auto"/>
              <w:bottom w:val="single" w:sz="4" w:space="0" w:color="auto"/>
              <w:right w:val="single" w:sz="4" w:space="0" w:color="auto"/>
            </w:tcBorders>
          </w:tcPr>
          <w:p w14:paraId="34A7C8A6" w14:textId="77777777" w:rsidR="00432349" w:rsidRPr="00432349" w:rsidRDefault="00432349" w:rsidP="00ED57F2"/>
          <w:p w14:paraId="23C9673E" w14:textId="77777777" w:rsidR="00432349" w:rsidRPr="00432349" w:rsidRDefault="00432349" w:rsidP="00ED57F2"/>
        </w:tc>
      </w:tr>
    </w:tbl>
    <w:p w14:paraId="59B70D7D" w14:textId="77777777" w:rsidR="00432349" w:rsidRPr="00432349" w:rsidRDefault="00432349" w:rsidP="00ED57F2">
      <w:pPr>
        <w:rPr>
          <w:rFonts w:eastAsia="Aptos" w:cs="Times New Roman"/>
        </w:rPr>
      </w:pPr>
    </w:p>
    <w:p w14:paraId="5E8D5C1C" w14:textId="77777777" w:rsidR="00432349" w:rsidRPr="00432349" w:rsidRDefault="00432349" w:rsidP="00ED57F2">
      <w:pPr>
        <w:rPr>
          <w:rFonts w:eastAsia="Aptos" w:cs="Times New Roman"/>
        </w:rPr>
      </w:pPr>
      <w:r w:rsidRPr="00432349">
        <w:rPr>
          <w:rFonts w:eastAsia="Aptos" w:cs="Times New Roman"/>
          <w:lang w:val="en-US"/>
        </w:rPr>
        <w:t>In your opinion is there a requirement for a new service that is currently not available? If so, what is the particular requirement and why.</w:t>
      </w:r>
      <w:r w:rsidRPr="00432349">
        <w:rPr>
          <w:rFonts w:eastAsia="Aptos" w:cs="Times New Roman"/>
        </w:rPr>
        <w:t> </w:t>
      </w:r>
    </w:p>
    <w:p w14:paraId="70139275" w14:textId="77777777" w:rsidR="00432349" w:rsidRPr="00432349" w:rsidRDefault="00432349" w:rsidP="00ED57F2">
      <w:pPr>
        <w:rPr>
          <w:rFonts w:eastAsia="Aptos" w:cs="Times New Roman"/>
        </w:rPr>
      </w:pPr>
      <w:r w:rsidRPr="00432349">
        <w:rPr>
          <w:rFonts w:eastAsia="Aptos" w:cs="Times New Roman"/>
        </w:rPr>
        <w:t> </w:t>
      </w:r>
    </w:p>
    <w:tbl>
      <w:tblPr>
        <w:tblStyle w:val="TableGrid"/>
        <w:tblW w:w="0" w:type="auto"/>
        <w:tblInd w:w="0" w:type="dxa"/>
        <w:tblLook w:val="04A0" w:firstRow="1" w:lastRow="0" w:firstColumn="1" w:lastColumn="0" w:noHBand="0" w:noVBand="1"/>
      </w:tblPr>
      <w:tblGrid>
        <w:gridCol w:w="9016"/>
      </w:tblGrid>
      <w:tr w:rsidR="00432349" w:rsidRPr="00432349" w14:paraId="5707631B" w14:textId="77777777" w:rsidTr="00432349">
        <w:tc>
          <w:tcPr>
            <w:tcW w:w="9016" w:type="dxa"/>
            <w:tcBorders>
              <w:top w:val="single" w:sz="4" w:space="0" w:color="auto"/>
              <w:left w:val="single" w:sz="4" w:space="0" w:color="auto"/>
              <w:bottom w:val="single" w:sz="4" w:space="0" w:color="auto"/>
              <w:right w:val="single" w:sz="4" w:space="0" w:color="auto"/>
            </w:tcBorders>
          </w:tcPr>
          <w:p w14:paraId="39E68F1C" w14:textId="77777777" w:rsidR="00432349" w:rsidRPr="00432349" w:rsidRDefault="00432349" w:rsidP="00ED57F2"/>
          <w:p w14:paraId="5D0D01B5" w14:textId="77777777" w:rsidR="00432349" w:rsidRPr="00432349" w:rsidRDefault="00432349" w:rsidP="00ED57F2"/>
        </w:tc>
      </w:tr>
    </w:tbl>
    <w:p w14:paraId="5171E14B" w14:textId="77777777" w:rsidR="00432349" w:rsidRPr="00432349" w:rsidRDefault="00432349" w:rsidP="00ED57F2">
      <w:pPr>
        <w:rPr>
          <w:rFonts w:eastAsia="Aptos" w:cs="Times New Roman"/>
        </w:rPr>
      </w:pPr>
    </w:p>
    <w:p w14:paraId="18DCD5F6" w14:textId="77777777" w:rsidR="00432349" w:rsidRPr="00432349" w:rsidRDefault="00432349" w:rsidP="00ED57F2">
      <w:pPr>
        <w:rPr>
          <w:rFonts w:eastAsia="Aptos" w:cs="Times New Roman"/>
          <w:b/>
          <w:bCs/>
        </w:rPr>
      </w:pPr>
      <w:r w:rsidRPr="00432349">
        <w:rPr>
          <w:rFonts w:eastAsia="Aptos" w:cs="Times New Roman"/>
          <w:b/>
          <w:bCs/>
          <w:lang w:val="en-US"/>
        </w:rPr>
        <w:t>Capacity</w:t>
      </w:r>
      <w:r w:rsidRPr="00432349">
        <w:rPr>
          <w:rFonts w:eastAsia="Aptos" w:cs="Times New Roman"/>
          <w:b/>
          <w:bCs/>
        </w:rPr>
        <w:t> </w:t>
      </w:r>
    </w:p>
    <w:p w14:paraId="6B08FE6E" w14:textId="77777777" w:rsidR="00432349" w:rsidRPr="00432349" w:rsidRDefault="00432349" w:rsidP="00ED57F2">
      <w:pPr>
        <w:rPr>
          <w:rFonts w:eastAsia="Aptos" w:cs="Times New Roman"/>
        </w:rPr>
      </w:pPr>
      <w:r w:rsidRPr="00432349">
        <w:rPr>
          <w:rFonts w:eastAsia="Aptos" w:cs="Times New Roman"/>
        </w:rPr>
        <w:t> </w:t>
      </w:r>
    </w:p>
    <w:p w14:paraId="5315A76A" w14:textId="77777777" w:rsidR="00432349" w:rsidRPr="00432349" w:rsidRDefault="00432349" w:rsidP="00ED57F2">
      <w:pPr>
        <w:rPr>
          <w:rFonts w:eastAsia="Aptos" w:cs="Arial"/>
        </w:rPr>
      </w:pPr>
      <w:r w:rsidRPr="00432349">
        <w:rPr>
          <w:rFonts w:eastAsia="Aptos" w:cs="Arial"/>
        </w:rPr>
        <w:t xml:space="preserve">We need to understand your current capacity and whether or not you can meet an increased demand for the pharmaceutical services you provide. With this in mind please select the options that best reflect your situation at the moment with regard to your premises and staffing levels. We appreciate that the position may well change and will therefore treat your response as being at a fixed point in time. </w:t>
      </w:r>
    </w:p>
    <w:p w14:paraId="00C46541" w14:textId="77777777" w:rsidR="00432349" w:rsidRPr="00432349" w:rsidRDefault="00432349" w:rsidP="00ED57F2">
      <w:pPr>
        <w:rPr>
          <w:rFonts w:eastAsia="Aptos" w:cs="Arial"/>
        </w:rPr>
      </w:pPr>
    </w:p>
    <w:tbl>
      <w:tblPr>
        <w:tblW w:w="91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735"/>
        <w:gridCol w:w="1284"/>
        <w:gridCol w:w="1127"/>
      </w:tblGrid>
      <w:tr w:rsidR="00432349" w:rsidRPr="00432349" w14:paraId="7E032B22" w14:textId="77777777" w:rsidTr="00432349">
        <w:tc>
          <w:tcPr>
            <w:tcW w:w="67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6D16A1" w14:textId="77777777" w:rsidR="00432349" w:rsidRPr="00432349" w:rsidRDefault="00432349" w:rsidP="00ED57F2">
            <w:pPr>
              <w:rPr>
                <w:rFonts w:eastAsia="Aptos" w:cs="Arial"/>
              </w:rPr>
            </w:pPr>
          </w:p>
        </w:tc>
        <w:tc>
          <w:tcPr>
            <w:tcW w:w="12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909D1D1" w14:textId="77777777" w:rsidR="00432349" w:rsidRPr="00432349" w:rsidRDefault="00432349" w:rsidP="00ED57F2">
            <w:pPr>
              <w:rPr>
                <w:rFonts w:eastAsia="Aptos" w:cs="Arial"/>
                <w:b/>
                <w:bCs/>
              </w:rPr>
            </w:pPr>
            <w:r w:rsidRPr="00432349">
              <w:rPr>
                <w:rFonts w:eastAsia="Aptos" w:cs="Arial"/>
                <w:b/>
                <w:bCs/>
              </w:rPr>
              <w:t>Premises</w:t>
            </w:r>
          </w:p>
        </w:tc>
        <w:tc>
          <w:tcPr>
            <w:tcW w:w="1127" w:type="dxa"/>
            <w:tcBorders>
              <w:top w:val="single" w:sz="4" w:space="0" w:color="auto"/>
              <w:left w:val="single" w:sz="4" w:space="0" w:color="auto"/>
              <w:bottom w:val="single" w:sz="4" w:space="0" w:color="auto"/>
              <w:right w:val="single" w:sz="4" w:space="0" w:color="auto"/>
            </w:tcBorders>
            <w:hideMark/>
          </w:tcPr>
          <w:p w14:paraId="48C30E2A" w14:textId="77777777" w:rsidR="00432349" w:rsidRPr="00432349" w:rsidRDefault="00432349" w:rsidP="00ED57F2">
            <w:pPr>
              <w:ind w:left="56"/>
              <w:contextualSpacing/>
              <w:rPr>
                <w:rFonts w:eastAsia="Aptos" w:cs="Arial"/>
                <w:b/>
                <w:bCs/>
              </w:rPr>
            </w:pPr>
            <w:r w:rsidRPr="00432349">
              <w:rPr>
                <w:rFonts w:eastAsia="Aptos" w:cs="Arial"/>
                <w:b/>
                <w:bCs/>
              </w:rPr>
              <w:t>Staffing levels</w:t>
            </w:r>
          </w:p>
        </w:tc>
      </w:tr>
      <w:tr w:rsidR="00432349" w:rsidRPr="00432349" w14:paraId="7FD1D566" w14:textId="77777777" w:rsidTr="00432349">
        <w:tc>
          <w:tcPr>
            <w:tcW w:w="67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A9ABB4D" w14:textId="77777777" w:rsidR="00432349" w:rsidRPr="00432349" w:rsidRDefault="00432349" w:rsidP="00ED57F2">
            <w:pPr>
              <w:rPr>
                <w:rFonts w:eastAsia="Aptos" w:cs="Arial"/>
              </w:rPr>
            </w:pPr>
            <w:r w:rsidRPr="00432349">
              <w:rPr>
                <w:rFonts w:eastAsia="Aptos" w:cs="Arial"/>
              </w:rPr>
              <w:t>We have sufficient capacity to manage the increase in demand in our area.</w:t>
            </w:r>
          </w:p>
        </w:tc>
        <w:tc>
          <w:tcPr>
            <w:tcW w:w="12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104DDD" w14:textId="2C3A4468" w:rsidR="00432349" w:rsidRPr="00432349" w:rsidRDefault="00000000" w:rsidP="00ED57F2">
            <w:pPr>
              <w:rPr>
                <w:rFonts w:eastAsia="Aptos" w:cs="Arial"/>
              </w:rPr>
            </w:pPr>
            <w:sdt>
              <w:sdtPr>
                <w:rPr>
                  <w:rFonts w:eastAsia="Aptos" w:cs="Arial"/>
                </w:rPr>
                <w:id w:val="1087569128"/>
                <w14:checkbox>
                  <w14:checked w14:val="0"/>
                  <w14:checkedState w14:val="2612" w14:font="MS Gothic"/>
                  <w14:uncheckedState w14:val="2610" w14:font="MS Gothic"/>
                </w14:checkbox>
              </w:sdtPr>
              <w:sdtContent>
                <w:r w:rsidR="00432349" w:rsidRPr="00432349">
                  <w:rPr>
                    <w:rFonts w:eastAsia="Aptos" w:cs="Arial" w:hint="eastAsia"/>
                  </w:rPr>
                  <w:t>☐</w:t>
                </w:r>
              </w:sdtContent>
            </w:sdt>
            <w:r w:rsidR="00B752FC">
              <w:rPr>
                <w:rFonts w:eastAsia="Aptos" w:cs="Arial"/>
              </w:rPr>
              <w:t xml:space="preserve"> </w:t>
            </w:r>
            <w:r w:rsidR="00432349" w:rsidRPr="00432349">
              <w:rPr>
                <w:rFonts w:eastAsia="Aptos" w:cs="Arial"/>
              </w:rPr>
              <w:t>Yes</w:t>
            </w:r>
          </w:p>
        </w:tc>
        <w:tc>
          <w:tcPr>
            <w:tcW w:w="1127" w:type="dxa"/>
            <w:tcBorders>
              <w:top w:val="single" w:sz="4" w:space="0" w:color="auto"/>
              <w:left w:val="single" w:sz="4" w:space="0" w:color="auto"/>
              <w:bottom w:val="single" w:sz="4" w:space="0" w:color="auto"/>
              <w:right w:val="single" w:sz="4" w:space="0" w:color="auto"/>
            </w:tcBorders>
            <w:hideMark/>
          </w:tcPr>
          <w:p w14:paraId="75880FC4" w14:textId="0A248D61" w:rsidR="00432349" w:rsidRPr="00432349" w:rsidRDefault="00000000" w:rsidP="00ED57F2">
            <w:pPr>
              <w:rPr>
                <w:rFonts w:eastAsia="Aptos" w:cs="Arial"/>
              </w:rPr>
            </w:pPr>
            <w:sdt>
              <w:sdtPr>
                <w:rPr>
                  <w:rFonts w:eastAsia="Aptos" w:cs="Arial"/>
                </w:rPr>
                <w:id w:val="-1303005101"/>
                <w14:checkbox>
                  <w14:checked w14:val="0"/>
                  <w14:checkedState w14:val="2612" w14:font="MS Gothic"/>
                  <w14:uncheckedState w14:val="2610" w14:font="MS Gothic"/>
                </w14:checkbox>
              </w:sdtPr>
              <w:sdtContent>
                <w:r w:rsidR="00432349" w:rsidRPr="00432349">
                  <w:rPr>
                    <w:rFonts w:eastAsia="Aptos" w:cs="Arial" w:hint="eastAsia"/>
                  </w:rPr>
                  <w:t>☐</w:t>
                </w:r>
              </w:sdtContent>
            </w:sdt>
            <w:r w:rsidR="00B752FC">
              <w:rPr>
                <w:rFonts w:eastAsia="Aptos" w:cs="Arial"/>
              </w:rPr>
              <w:t xml:space="preserve"> </w:t>
            </w:r>
            <w:r w:rsidR="00432349" w:rsidRPr="00432349">
              <w:rPr>
                <w:rFonts w:eastAsia="Aptos" w:cs="Arial"/>
              </w:rPr>
              <w:t>Yes</w:t>
            </w:r>
          </w:p>
        </w:tc>
      </w:tr>
      <w:tr w:rsidR="00432349" w:rsidRPr="00432349" w14:paraId="21FD4E76" w14:textId="77777777" w:rsidTr="00432349">
        <w:tc>
          <w:tcPr>
            <w:tcW w:w="67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F4AC5B" w14:textId="77777777" w:rsidR="00432349" w:rsidRPr="00432349" w:rsidRDefault="00432349" w:rsidP="00ED57F2">
            <w:pPr>
              <w:rPr>
                <w:rFonts w:eastAsia="Aptos" w:cs="Arial"/>
              </w:rPr>
            </w:pPr>
            <w:r w:rsidRPr="00432349">
              <w:rPr>
                <w:rFonts w:eastAsia="Aptos" w:cs="Arial"/>
              </w:rPr>
              <w:t>We don’t have sufficient capacity at present but could make adjustments to manage the increase in demand in our area.</w:t>
            </w:r>
          </w:p>
        </w:tc>
        <w:tc>
          <w:tcPr>
            <w:tcW w:w="12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884F41A" w14:textId="0EE31BAE" w:rsidR="00432349" w:rsidRPr="00432349" w:rsidRDefault="00000000" w:rsidP="00ED57F2">
            <w:pPr>
              <w:rPr>
                <w:rFonts w:eastAsia="Aptos" w:cs="Arial"/>
              </w:rPr>
            </w:pPr>
            <w:sdt>
              <w:sdtPr>
                <w:rPr>
                  <w:rFonts w:eastAsia="Aptos" w:cs="Arial"/>
                </w:rPr>
                <w:id w:val="-1125381798"/>
                <w14:checkbox>
                  <w14:checked w14:val="0"/>
                  <w14:checkedState w14:val="2612" w14:font="MS Gothic"/>
                  <w14:uncheckedState w14:val="2610" w14:font="MS Gothic"/>
                </w14:checkbox>
              </w:sdtPr>
              <w:sdtContent>
                <w:r w:rsidR="00432349" w:rsidRPr="00432349">
                  <w:rPr>
                    <w:rFonts w:eastAsia="Aptos" w:cs="Arial" w:hint="eastAsia"/>
                  </w:rPr>
                  <w:t>☐</w:t>
                </w:r>
              </w:sdtContent>
            </w:sdt>
            <w:r w:rsidR="00B752FC">
              <w:rPr>
                <w:rFonts w:eastAsia="Aptos" w:cs="Arial"/>
              </w:rPr>
              <w:t xml:space="preserve"> </w:t>
            </w:r>
            <w:r w:rsidR="00432349" w:rsidRPr="00432349">
              <w:rPr>
                <w:rFonts w:eastAsia="Aptos" w:cs="Arial"/>
              </w:rPr>
              <w:t>Yes</w:t>
            </w:r>
          </w:p>
        </w:tc>
        <w:tc>
          <w:tcPr>
            <w:tcW w:w="1127" w:type="dxa"/>
            <w:tcBorders>
              <w:top w:val="single" w:sz="4" w:space="0" w:color="auto"/>
              <w:left w:val="single" w:sz="4" w:space="0" w:color="auto"/>
              <w:bottom w:val="single" w:sz="4" w:space="0" w:color="auto"/>
              <w:right w:val="single" w:sz="4" w:space="0" w:color="auto"/>
            </w:tcBorders>
            <w:hideMark/>
          </w:tcPr>
          <w:p w14:paraId="7F956980" w14:textId="1B57B843" w:rsidR="00432349" w:rsidRPr="00432349" w:rsidRDefault="00000000" w:rsidP="00ED57F2">
            <w:pPr>
              <w:rPr>
                <w:rFonts w:eastAsia="Aptos" w:cs="Arial"/>
              </w:rPr>
            </w:pPr>
            <w:sdt>
              <w:sdtPr>
                <w:rPr>
                  <w:rFonts w:eastAsia="Aptos" w:cs="Arial"/>
                </w:rPr>
                <w:id w:val="-1237315283"/>
                <w14:checkbox>
                  <w14:checked w14:val="0"/>
                  <w14:checkedState w14:val="2612" w14:font="MS Gothic"/>
                  <w14:uncheckedState w14:val="2610" w14:font="MS Gothic"/>
                </w14:checkbox>
              </w:sdtPr>
              <w:sdtContent>
                <w:r w:rsidR="00432349" w:rsidRPr="00432349">
                  <w:rPr>
                    <w:rFonts w:eastAsia="Aptos" w:cs="Arial" w:hint="eastAsia"/>
                  </w:rPr>
                  <w:t>☐</w:t>
                </w:r>
              </w:sdtContent>
            </w:sdt>
            <w:r w:rsidR="00B752FC">
              <w:rPr>
                <w:rFonts w:eastAsia="Aptos" w:cs="Arial"/>
              </w:rPr>
              <w:t xml:space="preserve"> </w:t>
            </w:r>
            <w:r w:rsidR="00432349" w:rsidRPr="00432349">
              <w:rPr>
                <w:rFonts w:eastAsia="Aptos" w:cs="Arial"/>
              </w:rPr>
              <w:t>Yes</w:t>
            </w:r>
          </w:p>
        </w:tc>
      </w:tr>
      <w:tr w:rsidR="00432349" w:rsidRPr="00432349" w14:paraId="30A47D06" w14:textId="77777777" w:rsidTr="00432349">
        <w:tc>
          <w:tcPr>
            <w:tcW w:w="67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B7BB32" w14:textId="77777777" w:rsidR="00432349" w:rsidRPr="00432349" w:rsidRDefault="00432349" w:rsidP="00ED57F2">
            <w:pPr>
              <w:rPr>
                <w:rFonts w:eastAsia="Aptos" w:cs="Arial"/>
              </w:rPr>
            </w:pPr>
            <w:r w:rsidRPr="00432349">
              <w:rPr>
                <w:rFonts w:eastAsia="Aptos" w:cs="Arial"/>
              </w:rPr>
              <w:t>We don’t have sufficient capacity and would have difficulty in managing an increase in demand.</w:t>
            </w:r>
          </w:p>
        </w:tc>
        <w:tc>
          <w:tcPr>
            <w:tcW w:w="12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C9514BA" w14:textId="66F0CEB1" w:rsidR="00432349" w:rsidRPr="00432349" w:rsidRDefault="00000000" w:rsidP="00ED57F2">
            <w:pPr>
              <w:rPr>
                <w:rFonts w:eastAsia="Aptos" w:cs="Arial"/>
              </w:rPr>
            </w:pPr>
            <w:sdt>
              <w:sdtPr>
                <w:rPr>
                  <w:rFonts w:eastAsia="Aptos" w:cs="Arial"/>
                </w:rPr>
                <w:id w:val="1568610047"/>
                <w14:checkbox>
                  <w14:checked w14:val="0"/>
                  <w14:checkedState w14:val="2612" w14:font="MS Gothic"/>
                  <w14:uncheckedState w14:val="2610" w14:font="MS Gothic"/>
                </w14:checkbox>
              </w:sdtPr>
              <w:sdtContent>
                <w:r w:rsidR="00432349" w:rsidRPr="00432349">
                  <w:rPr>
                    <w:rFonts w:eastAsia="Aptos" w:cs="Arial" w:hint="eastAsia"/>
                  </w:rPr>
                  <w:t>☐</w:t>
                </w:r>
              </w:sdtContent>
            </w:sdt>
            <w:r w:rsidR="00B752FC">
              <w:rPr>
                <w:rFonts w:eastAsia="Aptos" w:cs="Arial"/>
              </w:rPr>
              <w:t xml:space="preserve"> </w:t>
            </w:r>
            <w:r w:rsidR="00432349" w:rsidRPr="00432349">
              <w:rPr>
                <w:rFonts w:eastAsia="Aptos" w:cs="Arial"/>
              </w:rPr>
              <w:t>Yes</w:t>
            </w:r>
          </w:p>
        </w:tc>
        <w:tc>
          <w:tcPr>
            <w:tcW w:w="1127" w:type="dxa"/>
            <w:tcBorders>
              <w:top w:val="single" w:sz="4" w:space="0" w:color="auto"/>
              <w:left w:val="single" w:sz="4" w:space="0" w:color="auto"/>
              <w:bottom w:val="single" w:sz="4" w:space="0" w:color="auto"/>
              <w:right w:val="single" w:sz="4" w:space="0" w:color="auto"/>
            </w:tcBorders>
            <w:hideMark/>
          </w:tcPr>
          <w:p w14:paraId="5E48F9D0" w14:textId="0B5BEF2C" w:rsidR="00432349" w:rsidRPr="00432349" w:rsidRDefault="00000000" w:rsidP="00ED57F2">
            <w:pPr>
              <w:rPr>
                <w:rFonts w:eastAsia="Aptos" w:cs="Arial"/>
              </w:rPr>
            </w:pPr>
            <w:sdt>
              <w:sdtPr>
                <w:rPr>
                  <w:rFonts w:eastAsia="Aptos" w:cs="Arial"/>
                </w:rPr>
                <w:id w:val="-493339238"/>
                <w14:checkbox>
                  <w14:checked w14:val="0"/>
                  <w14:checkedState w14:val="2612" w14:font="MS Gothic"/>
                  <w14:uncheckedState w14:val="2610" w14:font="MS Gothic"/>
                </w14:checkbox>
              </w:sdtPr>
              <w:sdtContent>
                <w:r w:rsidR="00432349" w:rsidRPr="00432349">
                  <w:rPr>
                    <w:rFonts w:eastAsia="Aptos" w:cs="Arial" w:hint="eastAsia"/>
                  </w:rPr>
                  <w:t>☐</w:t>
                </w:r>
              </w:sdtContent>
            </w:sdt>
            <w:r w:rsidR="00B752FC">
              <w:rPr>
                <w:rFonts w:eastAsia="Aptos" w:cs="Arial"/>
              </w:rPr>
              <w:t xml:space="preserve"> </w:t>
            </w:r>
            <w:r w:rsidR="00432349" w:rsidRPr="00432349">
              <w:rPr>
                <w:rFonts w:eastAsia="Aptos" w:cs="Arial"/>
              </w:rPr>
              <w:t>Yes</w:t>
            </w:r>
          </w:p>
        </w:tc>
      </w:tr>
    </w:tbl>
    <w:p w14:paraId="315D2E91" w14:textId="77777777" w:rsidR="00432349" w:rsidRPr="00432349" w:rsidRDefault="00432349" w:rsidP="00ED57F2">
      <w:pPr>
        <w:rPr>
          <w:rFonts w:eastAsia="Aptos" w:cs="Times New Roman"/>
        </w:rPr>
      </w:pPr>
    </w:p>
    <w:p w14:paraId="5ED02CEB" w14:textId="77777777" w:rsidR="00432349" w:rsidRPr="00432349" w:rsidRDefault="00432349" w:rsidP="00ED57F2">
      <w:pPr>
        <w:rPr>
          <w:rFonts w:eastAsia="Aptos" w:cs="Times New Roman"/>
          <w:b/>
          <w:bCs/>
        </w:rPr>
      </w:pPr>
      <w:r w:rsidRPr="00432349">
        <w:rPr>
          <w:rFonts w:eastAsia="Aptos" w:cs="Times New Roman"/>
          <w:b/>
          <w:bCs/>
          <w:lang w:val="en-US"/>
        </w:rPr>
        <w:t>Business development</w:t>
      </w:r>
      <w:r w:rsidRPr="00432349">
        <w:rPr>
          <w:rFonts w:eastAsia="Aptos" w:cs="Times New Roman"/>
          <w:b/>
          <w:bCs/>
        </w:rPr>
        <w:t> </w:t>
      </w:r>
    </w:p>
    <w:p w14:paraId="73580EB5" w14:textId="77777777" w:rsidR="00432349" w:rsidRPr="00432349" w:rsidRDefault="00432349" w:rsidP="00ED57F2">
      <w:pPr>
        <w:rPr>
          <w:rFonts w:eastAsia="Aptos" w:cs="Times New Roman"/>
          <w:b/>
          <w:bCs/>
        </w:rPr>
      </w:pPr>
    </w:p>
    <w:p w14:paraId="14391FB5" w14:textId="77777777" w:rsidR="00432349" w:rsidRPr="00432349" w:rsidRDefault="00432349" w:rsidP="00ED57F2">
      <w:pPr>
        <w:rPr>
          <w:rFonts w:eastAsia="Aptos" w:cs="Times New Roman"/>
        </w:rPr>
      </w:pPr>
      <w:r w:rsidRPr="00432349">
        <w:rPr>
          <w:rFonts w:eastAsia="Aptos" w:cs="Times New Roman"/>
          <w:lang w:val="en-US"/>
        </w:rPr>
        <w:t>Do you have any plans to develop or expand your premises or service provision?</w:t>
      </w:r>
      <w:r w:rsidRPr="00432349">
        <w:rPr>
          <w:rFonts w:eastAsia="Aptos" w:cs="Times New Roman"/>
        </w:rPr>
        <w:t> </w:t>
      </w:r>
    </w:p>
    <w:p w14:paraId="6E82103C" w14:textId="77777777" w:rsidR="00432349" w:rsidRPr="00432349" w:rsidRDefault="00432349" w:rsidP="00ED57F2">
      <w:pPr>
        <w:rPr>
          <w:rFonts w:eastAsia="Aptos" w:cs="Times New Roman"/>
        </w:rPr>
      </w:pPr>
    </w:p>
    <w:p w14:paraId="0EB5B174" w14:textId="77777777" w:rsidR="00432349" w:rsidRPr="00432349" w:rsidRDefault="00000000" w:rsidP="00ED57F2">
      <w:pPr>
        <w:rPr>
          <w:rFonts w:eastAsia="Aptos" w:cs="Times New Roman"/>
        </w:rPr>
      </w:pPr>
      <w:sdt>
        <w:sdtPr>
          <w:rPr>
            <w:rFonts w:eastAsia="Aptos" w:cs="Times New Roman"/>
            <w:lang w:val="en-US"/>
          </w:rPr>
          <w:id w:val="1735814591"/>
          <w14:checkbox>
            <w14:checked w14:val="0"/>
            <w14:checkedState w14:val="2612" w14:font="MS Gothic"/>
            <w14:uncheckedState w14:val="2610" w14:font="MS Gothic"/>
          </w14:checkbox>
        </w:sdtPr>
        <w:sdtContent>
          <w:r w:rsidR="00432349" w:rsidRPr="00432349">
            <w:rPr>
              <w:rFonts w:eastAsia="Aptos" w:cs="Times New Roman" w:hint="eastAsia"/>
              <w:lang w:val="en-US"/>
            </w:rPr>
            <w:t>☐</w:t>
          </w:r>
        </w:sdtContent>
      </w:sdt>
      <w:r w:rsidR="00432349" w:rsidRPr="00432349">
        <w:rPr>
          <w:rFonts w:eastAsia="Aptos" w:cs="Times New Roman"/>
          <w:lang w:val="en-US"/>
        </w:rPr>
        <w:t> Yes </w:t>
      </w:r>
      <w:r w:rsidR="00432349" w:rsidRPr="00432349">
        <w:rPr>
          <w:rFonts w:eastAsia="Aptos" w:cs="Times New Roman"/>
        </w:rPr>
        <w:tab/>
      </w:r>
      <w:sdt>
        <w:sdtPr>
          <w:rPr>
            <w:rFonts w:eastAsia="Aptos" w:cs="Times New Roman"/>
          </w:rPr>
          <w:id w:val="-1325204680"/>
          <w14:checkbox>
            <w14:checked w14:val="0"/>
            <w14:checkedState w14:val="2612" w14:font="MS Gothic"/>
            <w14:uncheckedState w14:val="2610" w14:font="MS Gothic"/>
          </w14:checkbox>
        </w:sdtPr>
        <w:sdtContent>
          <w:r w:rsidR="00432349" w:rsidRPr="00432349">
            <w:rPr>
              <w:rFonts w:eastAsia="Aptos" w:cs="Times New Roman" w:hint="eastAsia"/>
            </w:rPr>
            <w:t>☐</w:t>
          </w:r>
        </w:sdtContent>
      </w:sdt>
      <w:r w:rsidR="00432349" w:rsidRPr="00432349">
        <w:rPr>
          <w:rFonts w:eastAsia="Aptos" w:cs="Times New Roman"/>
        </w:rPr>
        <w:t xml:space="preserve"> </w:t>
      </w:r>
      <w:r w:rsidR="00432349" w:rsidRPr="00432349">
        <w:rPr>
          <w:rFonts w:eastAsia="Aptos" w:cs="Times New Roman"/>
          <w:lang w:val="en-US"/>
        </w:rPr>
        <w:t>No</w:t>
      </w:r>
      <w:r w:rsidR="00432349" w:rsidRPr="00432349">
        <w:rPr>
          <w:rFonts w:eastAsia="Aptos" w:cs="Times New Roman"/>
        </w:rPr>
        <w:t> </w:t>
      </w:r>
    </w:p>
    <w:p w14:paraId="6B657918" w14:textId="77777777" w:rsidR="00432349" w:rsidRPr="00432349" w:rsidRDefault="00432349" w:rsidP="00ED57F2">
      <w:pPr>
        <w:rPr>
          <w:rFonts w:eastAsia="Aptos" w:cs="Times New Roman"/>
        </w:rPr>
      </w:pPr>
    </w:p>
    <w:p w14:paraId="2EE37246" w14:textId="77777777" w:rsidR="00432349" w:rsidRPr="00432349" w:rsidRDefault="00432349" w:rsidP="00ED57F2">
      <w:pPr>
        <w:rPr>
          <w:rFonts w:eastAsia="Aptos" w:cs="Times New Roman"/>
        </w:rPr>
      </w:pPr>
      <w:r w:rsidRPr="00432349">
        <w:rPr>
          <w:rFonts w:eastAsia="Aptos" w:cs="Times New Roman"/>
        </w:rPr>
        <w:t>If yes, please provide details.</w:t>
      </w:r>
    </w:p>
    <w:p w14:paraId="66A3B846" w14:textId="77777777" w:rsidR="00432349" w:rsidRPr="00432349" w:rsidRDefault="00432349" w:rsidP="00ED57F2">
      <w:pPr>
        <w:rPr>
          <w:rFonts w:eastAsia="Aptos" w:cs="Times New Roman"/>
        </w:rPr>
      </w:pPr>
    </w:p>
    <w:tbl>
      <w:tblPr>
        <w:tblStyle w:val="TableGrid"/>
        <w:tblW w:w="0" w:type="auto"/>
        <w:tblInd w:w="0" w:type="dxa"/>
        <w:tblLook w:val="04A0" w:firstRow="1" w:lastRow="0" w:firstColumn="1" w:lastColumn="0" w:noHBand="0" w:noVBand="1"/>
      </w:tblPr>
      <w:tblGrid>
        <w:gridCol w:w="9016"/>
      </w:tblGrid>
      <w:tr w:rsidR="00432349" w:rsidRPr="00432349" w14:paraId="4277519E" w14:textId="77777777" w:rsidTr="00432349">
        <w:tc>
          <w:tcPr>
            <w:tcW w:w="9016" w:type="dxa"/>
            <w:tcBorders>
              <w:top w:val="single" w:sz="4" w:space="0" w:color="auto"/>
              <w:left w:val="single" w:sz="4" w:space="0" w:color="auto"/>
              <w:bottom w:val="single" w:sz="4" w:space="0" w:color="auto"/>
              <w:right w:val="single" w:sz="4" w:space="0" w:color="auto"/>
            </w:tcBorders>
          </w:tcPr>
          <w:p w14:paraId="31E15542" w14:textId="77777777" w:rsidR="00432349" w:rsidRPr="00432349" w:rsidRDefault="00432349" w:rsidP="00ED57F2"/>
          <w:p w14:paraId="2C909A2C" w14:textId="77777777" w:rsidR="00432349" w:rsidRPr="00432349" w:rsidRDefault="00432349" w:rsidP="00ED57F2"/>
        </w:tc>
      </w:tr>
    </w:tbl>
    <w:p w14:paraId="7682E6BF" w14:textId="77777777" w:rsidR="00432349" w:rsidRPr="00432349" w:rsidRDefault="00432349" w:rsidP="00ED57F2">
      <w:pPr>
        <w:rPr>
          <w:rFonts w:eastAsia="Aptos" w:cs="Times New Roman"/>
        </w:rPr>
      </w:pPr>
    </w:p>
    <w:p w14:paraId="16DB311D" w14:textId="77777777" w:rsidR="00432349" w:rsidRPr="00432349" w:rsidRDefault="00432349" w:rsidP="00ED57F2">
      <w:pPr>
        <w:rPr>
          <w:rFonts w:eastAsia="Aptos" w:cs="Times New Roman"/>
          <w:lang w:val="en-US"/>
        </w:rPr>
      </w:pPr>
      <w:r w:rsidRPr="00432349">
        <w:rPr>
          <w:rFonts w:eastAsia="Aptos" w:cs="Times New Roman"/>
          <w:lang w:val="en-US"/>
        </w:rPr>
        <w:t>Do you have any plans to amend your opening hours?</w:t>
      </w:r>
    </w:p>
    <w:p w14:paraId="71F7E599" w14:textId="77777777" w:rsidR="00432349" w:rsidRPr="00432349" w:rsidRDefault="00432349" w:rsidP="00ED57F2">
      <w:pPr>
        <w:rPr>
          <w:rFonts w:eastAsia="Aptos" w:cs="Times New Roman"/>
          <w:lang w:val="en-US"/>
        </w:rPr>
      </w:pPr>
    </w:p>
    <w:p w14:paraId="4E300409" w14:textId="2134FC62" w:rsidR="00432349" w:rsidRPr="00432349" w:rsidRDefault="00432349" w:rsidP="00ED57F2">
      <w:pPr>
        <w:rPr>
          <w:rFonts w:eastAsia="Aptos" w:cs="Times New Roman"/>
          <w:lang w:val="en-US"/>
        </w:rPr>
      </w:pPr>
      <w:r w:rsidRPr="00432349">
        <w:rPr>
          <w:rFonts w:eastAsia="Aptos" w:cs="Times New Roman"/>
          <w:lang w:val="en-US"/>
        </w:rPr>
        <w:t>Yes</w:t>
      </w:r>
      <w:r w:rsidR="00B752FC">
        <w:rPr>
          <w:rFonts w:eastAsia="Aptos" w:cs="Times New Roman"/>
          <w:lang w:val="en-US"/>
        </w:rPr>
        <w:t xml:space="preserve"> </w:t>
      </w:r>
      <w:r w:rsidRPr="00432349">
        <w:rPr>
          <w:rFonts w:eastAsia="Aptos" w:cs="Times New Roman"/>
          <w:lang w:val="en-US"/>
        </w:rPr>
        <w:t>No</w:t>
      </w:r>
    </w:p>
    <w:p w14:paraId="2317A503" w14:textId="77777777" w:rsidR="00432349" w:rsidRPr="00432349" w:rsidRDefault="00432349" w:rsidP="00ED57F2">
      <w:pPr>
        <w:rPr>
          <w:rFonts w:eastAsia="Aptos" w:cs="Times New Roman"/>
          <w:lang w:val="en-US"/>
        </w:rPr>
      </w:pPr>
    </w:p>
    <w:p w14:paraId="5D223277" w14:textId="3C1CC3DD" w:rsidR="00432349" w:rsidRPr="00432349" w:rsidRDefault="00432349" w:rsidP="00ED57F2">
      <w:pPr>
        <w:rPr>
          <w:rFonts w:eastAsia="Aptos" w:cs="Times New Roman"/>
          <w:lang w:val="en-US"/>
        </w:rPr>
      </w:pPr>
      <w:r w:rsidRPr="00432349">
        <w:rPr>
          <w:rFonts w:eastAsia="Aptos" w:cs="Times New Roman"/>
          <w:lang w:val="en-US"/>
        </w:rPr>
        <w:t>If yes, please provide details:</w:t>
      </w:r>
    </w:p>
    <w:p w14:paraId="03F6D8EC" w14:textId="77777777" w:rsidR="00432349" w:rsidRPr="00432349" w:rsidRDefault="00432349" w:rsidP="00ED57F2">
      <w:pPr>
        <w:rPr>
          <w:rFonts w:eastAsia="Aptos" w:cs="Times New Roman"/>
          <w:lang w:val="en-US"/>
        </w:rPr>
      </w:pPr>
    </w:p>
    <w:p w14:paraId="0E3B37ED" w14:textId="77777777" w:rsidR="003E5FD2" w:rsidRPr="003E5FD2" w:rsidRDefault="003E5FD2" w:rsidP="003E5FD2">
      <w:pPr>
        <w:pBdr>
          <w:top w:val="single" w:sz="4" w:space="1" w:color="auto"/>
          <w:left w:val="single" w:sz="4" w:space="4" w:color="auto"/>
          <w:bottom w:val="single" w:sz="4" w:space="1" w:color="auto"/>
          <w:right w:val="single" w:sz="4" w:space="4" w:color="auto"/>
          <w:between w:val="single" w:sz="4" w:space="1" w:color="auto"/>
          <w:bar w:val="single" w:sz="4" w:color="auto"/>
        </w:pBdr>
        <w:rPr>
          <w:rFonts w:eastAsia="Aptos" w:cs="Times New Roman"/>
        </w:rPr>
      </w:pPr>
    </w:p>
    <w:p w14:paraId="2FEC9979" w14:textId="77777777" w:rsidR="00432349" w:rsidRPr="00432349" w:rsidRDefault="00432349" w:rsidP="00ED57F2">
      <w:pPr>
        <w:rPr>
          <w:rFonts w:eastAsia="Aptos" w:cs="Times New Roman"/>
        </w:rPr>
      </w:pPr>
    </w:p>
    <w:p w14:paraId="22C8723A" w14:textId="77777777" w:rsidR="00432349" w:rsidRPr="00432349" w:rsidRDefault="00432349" w:rsidP="00ED57F2">
      <w:pPr>
        <w:rPr>
          <w:rFonts w:eastAsia="Aptos" w:cs="Times New Roman"/>
          <w:b/>
          <w:bCs/>
          <w:lang w:val="en-US"/>
        </w:rPr>
      </w:pPr>
      <w:r w:rsidRPr="00432349">
        <w:rPr>
          <w:rFonts w:eastAsia="Aptos" w:cs="Times New Roman"/>
          <w:b/>
          <w:bCs/>
          <w:lang w:val="en-US"/>
        </w:rPr>
        <w:t>Details of the person completing this form:</w:t>
      </w:r>
    </w:p>
    <w:p w14:paraId="7ED2E88B" w14:textId="77777777" w:rsidR="00432349" w:rsidRPr="00432349" w:rsidRDefault="00432349" w:rsidP="00ED57F2">
      <w:pPr>
        <w:rPr>
          <w:rFonts w:eastAsia="Aptos" w:cs="Times New Roman"/>
          <w:lang w:val="en-US"/>
        </w:rPr>
      </w:pPr>
    </w:p>
    <w:p w14:paraId="7C3015A7" w14:textId="77777777" w:rsidR="00432349" w:rsidRPr="00432349" w:rsidRDefault="00432349" w:rsidP="00ED57F2">
      <w:pPr>
        <w:rPr>
          <w:rFonts w:eastAsia="Aptos" w:cs="Times New Roman"/>
          <w:lang w:val="en-US"/>
        </w:rPr>
      </w:pPr>
      <w:r w:rsidRPr="00432349">
        <w:rPr>
          <w:rFonts w:eastAsia="Aptos" w:cs="Times New Roman"/>
          <w:lang w:val="en-US"/>
        </w:rPr>
        <w:t xml:space="preserve">Contact name of the person completing the questionnaire, in case we need to discuss your response with you. </w:t>
      </w:r>
    </w:p>
    <w:p w14:paraId="5BBB9CEE" w14:textId="77777777" w:rsidR="00432349" w:rsidRPr="00432349" w:rsidRDefault="00432349" w:rsidP="00ED57F2">
      <w:pPr>
        <w:rPr>
          <w:rFonts w:eastAsia="Aptos" w:cs="Times New Roman"/>
          <w:lang w:val="en-US"/>
        </w:rPr>
      </w:pPr>
    </w:p>
    <w:p w14:paraId="47803AA4" w14:textId="77777777" w:rsidR="00432349" w:rsidRPr="00432349" w:rsidRDefault="00000000" w:rsidP="00ED57F2">
      <w:pPr>
        <w:rPr>
          <w:rFonts w:eastAsia="Aptos" w:cs="Times New Roman"/>
          <w:lang w:val="en-US"/>
        </w:rPr>
      </w:pPr>
      <w:sdt>
        <w:sdtPr>
          <w:rPr>
            <w:rFonts w:eastAsia="Calibri" w:cs="Arial"/>
          </w:rPr>
          <w:id w:val="605857749"/>
          <w:placeholder>
            <w:docPart w:val="D9491CDC36B645EE8DA62338D25BC98F"/>
          </w:placeholder>
          <w:showingPlcHdr/>
        </w:sdtPr>
        <w:sdtContent>
          <w:r w:rsidR="00432349" w:rsidRPr="00432349">
            <w:rPr>
              <w:rFonts w:ascii="Aptos" w:eastAsia="Aptos" w:hAnsi="Aptos" w:cs="Times New Roman"/>
              <w:color w:val="666666"/>
            </w:rPr>
            <w:t>Click or tap here to enter text.</w:t>
          </w:r>
        </w:sdtContent>
      </w:sdt>
    </w:p>
    <w:p w14:paraId="1D5679CD" w14:textId="77777777" w:rsidR="00432349" w:rsidRPr="00432349" w:rsidRDefault="00432349" w:rsidP="00ED57F2">
      <w:pPr>
        <w:rPr>
          <w:rFonts w:eastAsia="Aptos" w:cs="Times New Roman"/>
          <w:lang w:val="en-US"/>
        </w:rPr>
      </w:pPr>
    </w:p>
    <w:p w14:paraId="198B673F" w14:textId="77777777" w:rsidR="00432349" w:rsidRPr="00432349" w:rsidRDefault="00432349" w:rsidP="00ED57F2">
      <w:pPr>
        <w:rPr>
          <w:rFonts w:eastAsia="Aptos" w:cs="Times New Roman"/>
          <w:lang w:val="en-US"/>
        </w:rPr>
      </w:pPr>
      <w:r w:rsidRPr="00432349">
        <w:rPr>
          <w:rFonts w:eastAsia="Aptos" w:cs="Times New Roman"/>
          <w:lang w:val="en-US"/>
        </w:rPr>
        <w:t>Contact email address</w:t>
      </w:r>
    </w:p>
    <w:p w14:paraId="14049117" w14:textId="77777777" w:rsidR="00432349" w:rsidRPr="00432349" w:rsidRDefault="00432349" w:rsidP="00ED57F2">
      <w:pPr>
        <w:rPr>
          <w:rFonts w:eastAsia="Aptos" w:cs="Times New Roman"/>
          <w:lang w:val="en-US"/>
        </w:rPr>
      </w:pPr>
    </w:p>
    <w:p w14:paraId="0E3ED17C" w14:textId="77777777" w:rsidR="00432349" w:rsidRPr="00432349" w:rsidRDefault="00000000" w:rsidP="00ED57F2">
      <w:pPr>
        <w:rPr>
          <w:rFonts w:eastAsia="Aptos" w:cs="Times New Roman"/>
        </w:rPr>
      </w:pPr>
      <w:sdt>
        <w:sdtPr>
          <w:rPr>
            <w:rFonts w:eastAsia="Calibri" w:cs="Arial"/>
          </w:rPr>
          <w:id w:val="1738050854"/>
          <w:placeholder>
            <w:docPart w:val="DB057BF7C4DB49C4829A4C0BCBA0F456"/>
          </w:placeholder>
          <w:showingPlcHdr/>
        </w:sdtPr>
        <w:sdtContent>
          <w:r w:rsidR="00432349" w:rsidRPr="00432349">
            <w:rPr>
              <w:rFonts w:ascii="Aptos" w:eastAsia="Aptos" w:hAnsi="Aptos" w:cs="Times New Roman"/>
              <w:color w:val="666666"/>
            </w:rPr>
            <w:t>Click or tap here to enter text.</w:t>
          </w:r>
        </w:sdtContent>
      </w:sdt>
    </w:p>
    <w:p w14:paraId="1AF74962" w14:textId="77777777" w:rsidR="00432349" w:rsidRPr="00432349" w:rsidRDefault="00432349" w:rsidP="00ED57F2">
      <w:pPr>
        <w:rPr>
          <w:rFonts w:eastAsia="Aptos" w:cs="Times New Roman"/>
        </w:rPr>
      </w:pPr>
    </w:p>
    <w:p w14:paraId="1B2DDED6" w14:textId="56E2399F" w:rsidR="00D33F81" w:rsidRPr="00D0306F" w:rsidRDefault="00D33F81">
      <w:pPr>
        <w:spacing w:after="160" w:line="278" w:lineRule="auto"/>
      </w:pPr>
      <w:r w:rsidRPr="00D0306F">
        <w:br w:type="page"/>
      </w:r>
    </w:p>
    <w:p w14:paraId="0716A985" w14:textId="18399505" w:rsidR="00D33F81" w:rsidRPr="00D0306F" w:rsidRDefault="00D33F81" w:rsidP="00D33F81">
      <w:pPr>
        <w:pStyle w:val="Heading1"/>
        <w:rPr>
          <w:rFonts w:eastAsia="Aptos"/>
          <w:sz w:val="28"/>
          <w:szCs w:val="28"/>
        </w:rPr>
      </w:pPr>
      <w:bookmarkStart w:id="56" w:name="_Toc235185397"/>
      <w:r w:rsidRPr="00D0306F">
        <w:rPr>
          <w:rFonts w:eastAsia="Aptos"/>
          <w:sz w:val="28"/>
          <w:szCs w:val="28"/>
          <w:lang w:val="en-US"/>
        </w:rPr>
        <w:lastRenderedPageBreak/>
        <w:t>Appendix J – dispensing GP practice questionnaire</w:t>
      </w:r>
      <w:bookmarkEnd w:id="56"/>
      <w:r w:rsidRPr="00D0306F">
        <w:rPr>
          <w:rFonts w:eastAsia="Aptos"/>
          <w:sz w:val="28"/>
          <w:szCs w:val="28"/>
        </w:rPr>
        <w:t> </w:t>
      </w:r>
    </w:p>
    <w:p w14:paraId="741747EE" w14:textId="77777777" w:rsidR="004F20AA" w:rsidRPr="004F20AA" w:rsidRDefault="004F20AA" w:rsidP="009142AA">
      <w:pPr>
        <w:rPr>
          <w:rFonts w:eastAsia="Aptos" w:cs="Arial"/>
        </w:rPr>
      </w:pPr>
    </w:p>
    <w:p w14:paraId="3C2F60C2" w14:textId="77777777" w:rsidR="004F20AA" w:rsidRPr="004F20AA" w:rsidRDefault="004F20AA" w:rsidP="009142AA">
      <w:pPr>
        <w:rPr>
          <w:rFonts w:eastAsia="Aptos" w:cs="Arial"/>
        </w:rPr>
      </w:pPr>
      <w:r w:rsidRPr="004F20AA">
        <w:rPr>
          <w:rFonts w:eastAsia="Aptos" w:cs="Arial"/>
          <w:lang w:val="en-US"/>
        </w:rPr>
        <w:t>Swansea Bay University Health Board is preparing its next pharmaceutical needs assessment or PNA which is due to be published by 1 October 2026 and we need your help to gather some information to support its development.</w:t>
      </w:r>
      <w:r w:rsidRPr="004F20AA">
        <w:rPr>
          <w:rFonts w:eastAsia="Aptos" w:cs="Arial"/>
        </w:rPr>
        <w:t> </w:t>
      </w:r>
    </w:p>
    <w:p w14:paraId="009FD084" w14:textId="77777777" w:rsidR="004F20AA" w:rsidRPr="004F20AA" w:rsidRDefault="004F20AA" w:rsidP="009142AA">
      <w:pPr>
        <w:rPr>
          <w:rFonts w:eastAsia="Aptos" w:cs="Arial"/>
        </w:rPr>
      </w:pPr>
    </w:p>
    <w:p w14:paraId="0E0F09DC" w14:textId="77777777" w:rsidR="004F20AA" w:rsidRPr="004F20AA" w:rsidRDefault="004F20AA" w:rsidP="009142AA">
      <w:pPr>
        <w:rPr>
          <w:rFonts w:eastAsia="Aptos" w:cs="Arial"/>
          <w:lang w:val="en-US"/>
        </w:rPr>
      </w:pPr>
      <w:r w:rsidRPr="004F20AA">
        <w:rPr>
          <w:rFonts w:eastAsia="Aptos" w:cs="Arial"/>
          <w:lang w:val="en-US"/>
        </w:rPr>
        <w:t>In developing the questionnaire, we are only asking for information that is needed </w:t>
      </w:r>
    </w:p>
    <w:p w14:paraId="71F9EF59" w14:textId="77777777" w:rsidR="004F20AA" w:rsidRPr="004F20AA" w:rsidRDefault="004F20AA" w:rsidP="009142AA">
      <w:pPr>
        <w:rPr>
          <w:rFonts w:eastAsia="Aptos" w:cs="Arial"/>
        </w:rPr>
      </w:pPr>
      <w:r w:rsidRPr="004F20AA">
        <w:rPr>
          <w:rFonts w:eastAsia="Aptos" w:cs="Arial"/>
          <w:lang w:val="en-US"/>
        </w:rPr>
        <w:t>but is not routinely held or collected. As you will see we have kept the questionnaire as short as possible.</w:t>
      </w:r>
      <w:r w:rsidRPr="004F20AA">
        <w:rPr>
          <w:rFonts w:eastAsia="Aptos" w:cs="Arial"/>
        </w:rPr>
        <w:t> </w:t>
      </w:r>
    </w:p>
    <w:p w14:paraId="1C60180B" w14:textId="77777777" w:rsidR="004F20AA" w:rsidRPr="004F20AA" w:rsidRDefault="004F20AA" w:rsidP="009142AA">
      <w:pPr>
        <w:rPr>
          <w:rFonts w:eastAsia="Aptos" w:cs="Arial"/>
        </w:rPr>
      </w:pPr>
    </w:p>
    <w:p w14:paraId="2D870CAE" w14:textId="77777777" w:rsidR="004F20AA" w:rsidRPr="004F20AA" w:rsidRDefault="004F20AA" w:rsidP="009142AA">
      <w:pPr>
        <w:rPr>
          <w:rFonts w:eastAsia="Aptos" w:cs="Arial"/>
        </w:rPr>
      </w:pPr>
      <w:r w:rsidRPr="004F20AA">
        <w:rPr>
          <w:rFonts w:eastAsia="Aptos" w:cs="Arial"/>
          <w:lang w:val="en-US"/>
        </w:rPr>
        <w:t>While available until the 11</w:t>
      </w:r>
      <w:r w:rsidRPr="004F20AA">
        <w:rPr>
          <w:rFonts w:eastAsia="Aptos" w:cs="Arial"/>
          <w:vertAlign w:val="superscript"/>
          <w:lang w:val="en-US"/>
        </w:rPr>
        <w:t>th</w:t>
      </w:r>
      <w:r w:rsidRPr="004F20AA">
        <w:rPr>
          <w:rFonts w:eastAsia="Aptos" w:cs="Arial"/>
          <w:lang w:val="en-US"/>
        </w:rPr>
        <w:t xml:space="preserve"> of March 2026 we would encourage you to complete the questionnaire now.</w:t>
      </w:r>
      <w:r w:rsidRPr="004F20AA">
        <w:rPr>
          <w:rFonts w:eastAsia="Aptos" w:cs="Arial"/>
        </w:rPr>
        <w:t> </w:t>
      </w:r>
    </w:p>
    <w:p w14:paraId="30FE28E8" w14:textId="77777777" w:rsidR="004F20AA" w:rsidRPr="004F20AA" w:rsidRDefault="004F20AA" w:rsidP="009142AA">
      <w:pPr>
        <w:rPr>
          <w:rFonts w:eastAsia="Aptos" w:cs="Arial"/>
        </w:rPr>
      </w:pPr>
    </w:p>
    <w:p w14:paraId="217420E1" w14:textId="77777777" w:rsidR="004F20AA" w:rsidRPr="004F20AA" w:rsidRDefault="004F20AA" w:rsidP="009142AA">
      <w:pPr>
        <w:rPr>
          <w:rFonts w:eastAsia="Aptos" w:cs="Arial"/>
          <w:b/>
          <w:bCs/>
        </w:rPr>
      </w:pPr>
      <w:r w:rsidRPr="004F20AA">
        <w:rPr>
          <w:rFonts w:eastAsia="Aptos" w:cs="Arial"/>
          <w:lang w:val="en-US"/>
        </w:rPr>
        <w:t>For queries relating to the information requested or the answers required please email </w:t>
      </w:r>
      <w:hyperlink r:id="rId66" w:history="1">
        <w:r w:rsidRPr="004F20AA">
          <w:rPr>
            <w:rFonts w:eastAsia="Aptos" w:cs="Arial"/>
            <w:color w:val="0000FF"/>
            <w:u w:val="single"/>
            <w:lang w:val="en-US"/>
          </w:rPr>
          <w:t>SBU.CommunityPharmacyOffice@wales.nhs.uk</w:t>
        </w:r>
      </w:hyperlink>
      <w:r w:rsidRPr="004F20AA">
        <w:rPr>
          <w:rFonts w:eastAsia="Aptos" w:cs="Arial"/>
          <w:lang w:val="en-US"/>
        </w:rPr>
        <w:t xml:space="preserve"> with a subject title of ‘SBUHB PNA contractor questionnaire’.</w:t>
      </w:r>
      <w:r w:rsidRPr="004F20AA">
        <w:rPr>
          <w:rFonts w:eastAsia="Aptos" w:cs="Arial"/>
        </w:rPr>
        <w:t> </w:t>
      </w:r>
    </w:p>
    <w:p w14:paraId="7F1E0DFC" w14:textId="77777777" w:rsidR="004F20AA" w:rsidRPr="004F20AA" w:rsidRDefault="004F20AA" w:rsidP="009142AA">
      <w:pPr>
        <w:rPr>
          <w:rFonts w:eastAsia="Aptos" w:cs="Arial"/>
        </w:rPr>
      </w:pPr>
    </w:p>
    <w:p w14:paraId="3F0B69DE" w14:textId="77777777" w:rsidR="004F20AA" w:rsidRPr="004F20AA" w:rsidRDefault="004F20AA" w:rsidP="009142AA">
      <w:pPr>
        <w:rPr>
          <w:rFonts w:eastAsia="Aptos" w:cs="Arial"/>
          <w:lang w:val="en-US"/>
        </w:rPr>
      </w:pPr>
      <w:r w:rsidRPr="004F20AA">
        <w:rPr>
          <w:rFonts w:eastAsia="Aptos" w:cs="Arial"/>
          <w:lang w:val="en-US"/>
        </w:rPr>
        <w:t>Please insert the name of the practice you are completing the questionnaire on behalf of:</w:t>
      </w:r>
    </w:p>
    <w:p w14:paraId="33E94417" w14:textId="77777777" w:rsidR="004F20AA" w:rsidRPr="004F20AA" w:rsidRDefault="004F20AA" w:rsidP="009142AA">
      <w:pPr>
        <w:rPr>
          <w:rFonts w:eastAsia="Aptos" w:cs="Arial"/>
          <w:lang w:val="en-US"/>
        </w:rPr>
      </w:pPr>
    </w:p>
    <w:p w14:paraId="16E5E30D" w14:textId="77777777" w:rsidR="004F20AA" w:rsidRPr="004F20AA" w:rsidRDefault="00000000" w:rsidP="009142AA">
      <w:pPr>
        <w:rPr>
          <w:rFonts w:eastAsia="Aptos" w:cs="Arial"/>
        </w:rPr>
      </w:pPr>
      <w:sdt>
        <w:sdtPr>
          <w:rPr>
            <w:rFonts w:eastAsia="Calibri" w:cs="Arial"/>
          </w:rPr>
          <w:id w:val="552741119"/>
          <w:placeholder>
            <w:docPart w:val="736F4F5CD0FF499CA0E7CF3497596F55"/>
          </w:placeholder>
          <w:showingPlcHdr/>
        </w:sdtPr>
        <w:sdtContent>
          <w:r w:rsidR="004F20AA" w:rsidRPr="004F20AA">
            <w:rPr>
              <w:rFonts w:eastAsia="Aptos" w:cs="Arial"/>
              <w:color w:val="666666"/>
            </w:rPr>
            <w:t>Click or tap here to enter text.</w:t>
          </w:r>
        </w:sdtContent>
      </w:sdt>
    </w:p>
    <w:p w14:paraId="0C442226" w14:textId="603262E7" w:rsidR="004F20AA" w:rsidRPr="004F20AA" w:rsidRDefault="00B752FC" w:rsidP="009142AA">
      <w:pPr>
        <w:rPr>
          <w:rFonts w:eastAsia="Aptos" w:cs="Arial"/>
        </w:rPr>
      </w:pPr>
      <w:r>
        <w:rPr>
          <w:rFonts w:eastAsia="Aptos" w:cs="Arial"/>
        </w:rPr>
        <w:t xml:space="preserve"> </w:t>
      </w:r>
    </w:p>
    <w:p w14:paraId="2CDEB6AA" w14:textId="77777777" w:rsidR="004F20AA" w:rsidRPr="004F20AA" w:rsidRDefault="004F20AA" w:rsidP="009142AA">
      <w:pPr>
        <w:rPr>
          <w:rFonts w:eastAsia="Aptos" w:cs="Arial"/>
        </w:rPr>
      </w:pPr>
      <w:r w:rsidRPr="004F20AA">
        <w:rPr>
          <w:rFonts w:eastAsia="Aptos" w:cs="Arial"/>
          <w:lang w:val="en-US"/>
        </w:rPr>
        <w:t>Please insert the address or addresses of the premises for which the practice has premises approve to dispense from:</w:t>
      </w:r>
      <w:r w:rsidRPr="004F20AA">
        <w:rPr>
          <w:rFonts w:eastAsia="Aptos" w:cs="Arial"/>
        </w:rPr>
        <w:t> </w:t>
      </w:r>
    </w:p>
    <w:p w14:paraId="77126DB3" w14:textId="77777777" w:rsidR="004F20AA" w:rsidRPr="004F20AA" w:rsidRDefault="004F20AA" w:rsidP="009142AA">
      <w:pPr>
        <w:rPr>
          <w:rFonts w:eastAsia="Aptos" w:cs="Arial"/>
        </w:rPr>
      </w:pPr>
    </w:p>
    <w:p w14:paraId="190752FB" w14:textId="77777777" w:rsidR="004F20AA" w:rsidRPr="004F20AA" w:rsidRDefault="00000000" w:rsidP="009142AA">
      <w:pPr>
        <w:rPr>
          <w:rFonts w:eastAsia="Calibri" w:cs="Arial"/>
        </w:rPr>
      </w:pPr>
      <w:sdt>
        <w:sdtPr>
          <w:rPr>
            <w:rFonts w:eastAsia="Calibri" w:cs="Arial"/>
          </w:rPr>
          <w:id w:val="-405770187"/>
          <w:placeholder>
            <w:docPart w:val="31ABF1CEABFF4582BE2C93C6676D5A22"/>
          </w:placeholder>
          <w:showingPlcHdr/>
        </w:sdtPr>
        <w:sdtContent>
          <w:r w:rsidR="004F20AA" w:rsidRPr="004F20AA">
            <w:rPr>
              <w:rFonts w:eastAsia="Aptos" w:cs="Arial"/>
              <w:color w:val="666666"/>
            </w:rPr>
            <w:t>Click or tap here to enter text.</w:t>
          </w:r>
        </w:sdtContent>
      </w:sdt>
    </w:p>
    <w:p w14:paraId="490730D6" w14:textId="30417901" w:rsidR="004F20AA" w:rsidRPr="004F20AA" w:rsidRDefault="00B752FC" w:rsidP="009142AA">
      <w:pPr>
        <w:rPr>
          <w:rFonts w:eastAsia="Aptos" w:cs="Arial"/>
        </w:rPr>
      </w:pPr>
      <w:r>
        <w:rPr>
          <w:rFonts w:eastAsia="Aptos" w:cs="Arial"/>
        </w:rPr>
        <w:t xml:space="preserve"> </w:t>
      </w:r>
    </w:p>
    <w:p w14:paraId="33E970C9" w14:textId="77777777" w:rsidR="004F20AA" w:rsidRPr="004F20AA" w:rsidRDefault="004F20AA" w:rsidP="009142AA">
      <w:pPr>
        <w:rPr>
          <w:rFonts w:eastAsia="Aptos" w:cs="Arial"/>
          <w:b/>
          <w:bCs/>
        </w:rPr>
      </w:pPr>
      <w:r w:rsidRPr="004F20AA">
        <w:rPr>
          <w:rFonts w:eastAsia="Aptos" w:cs="Arial"/>
          <w:b/>
          <w:bCs/>
          <w:lang w:val="en-US"/>
        </w:rPr>
        <w:t>Please complete the table below in respect of the times at which the dispensary is open using the 24 hour clock.</w:t>
      </w:r>
      <w:r w:rsidRPr="004F20AA">
        <w:rPr>
          <w:rFonts w:eastAsia="Aptos" w:cs="Arial"/>
          <w:b/>
          <w:bCs/>
        </w:rPr>
        <w:t> </w:t>
      </w:r>
    </w:p>
    <w:p w14:paraId="1D98B034" w14:textId="77777777" w:rsidR="004F20AA" w:rsidRPr="004F20AA" w:rsidRDefault="004F20AA" w:rsidP="009142AA">
      <w:pPr>
        <w:rPr>
          <w:rFonts w:eastAsia="Aptos" w:cs="Arial"/>
        </w:rPr>
      </w:pPr>
      <w:r w:rsidRPr="004F20AA">
        <w:rPr>
          <w:rFonts w:eastAsia="Aptos" w:cs="Arial"/>
        </w:rPr>
        <w:t> </w:t>
      </w:r>
    </w:p>
    <w:tbl>
      <w:tblPr>
        <w:tblW w:w="90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0"/>
        <w:gridCol w:w="2625"/>
        <w:gridCol w:w="2625"/>
        <w:gridCol w:w="2280"/>
      </w:tblGrid>
      <w:tr w:rsidR="004F20AA" w:rsidRPr="004F20AA" w14:paraId="385F7595" w14:textId="77777777" w:rsidTr="009142AA">
        <w:trPr>
          <w:trHeight w:val="869"/>
        </w:trPr>
        <w:tc>
          <w:tcPr>
            <w:tcW w:w="1470" w:type="dxa"/>
            <w:tcBorders>
              <w:top w:val="single" w:sz="6" w:space="0" w:color="000000"/>
              <w:left w:val="single" w:sz="6" w:space="0" w:color="000000"/>
              <w:bottom w:val="single" w:sz="6" w:space="0" w:color="000000"/>
              <w:right w:val="single" w:sz="6" w:space="0" w:color="000000"/>
            </w:tcBorders>
            <w:hideMark/>
          </w:tcPr>
          <w:p w14:paraId="05AC84EC" w14:textId="77777777" w:rsidR="004F20AA" w:rsidRPr="004F20AA" w:rsidRDefault="004F20AA" w:rsidP="009142AA">
            <w:pPr>
              <w:rPr>
                <w:rFonts w:eastAsia="Aptos" w:cs="Arial"/>
              </w:rPr>
            </w:pPr>
            <w:r w:rsidRPr="004F20AA">
              <w:rPr>
                <w:rFonts w:eastAsia="Aptos" w:cs="Arial"/>
              </w:rPr>
              <w:t> </w:t>
            </w:r>
          </w:p>
        </w:tc>
        <w:tc>
          <w:tcPr>
            <w:tcW w:w="2625" w:type="dxa"/>
            <w:tcBorders>
              <w:top w:val="single" w:sz="6" w:space="0" w:color="000000"/>
              <w:left w:val="single" w:sz="6" w:space="0" w:color="000000"/>
              <w:bottom w:val="single" w:sz="6" w:space="0" w:color="000000"/>
              <w:right w:val="single" w:sz="6" w:space="0" w:color="000000"/>
            </w:tcBorders>
            <w:hideMark/>
          </w:tcPr>
          <w:p w14:paraId="467416E5" w14:textId="77777777" w:rsidR="004F20AA" w:rsidRPr="004F20AA" w:rsidRDefault="004F20AA" w:rsidP="009142AA">
            <w:pPr>
              <w:rPr>
                <w:rFonts w:eastAsia="Aptos" w:cs="Arial"/>
                <w:lang w:val="en-US"/>
              </w:rPr>
            </w:pPr>
            <w:r w:rsidRPr="004F20AA">
              <w:rPr>
                <w:rFonts w:eastAsia="Aptos" w:cs="Arial"/>
                <w:lang w:val="en-US"/>
              </w:rPr>
              <w:t xml:space="preserve">Address – </w:t>
            </w:r>
          </w:p>
        </w:tc>
        <w:tc>
          <w:tcPr>
            <w:tcW w:w="2625" w:type="dxa"/>
            <w:tcBorders>
              <w:top w:val="single" w:sz="6" w:space="0" w:color="000000"/>
              <w:left w:val="single" w:sz="6" w:space="0" w:color="000000"/>
              <w:bottom w:val="single" w:sz="6" w:space="0" w:color="000000"/>
              <w:right w:val="single" w:sz="6" w:space="0" w:color="000000"/>
            </w:tcBorders>
            <w:hideMark/>
          </w:tcPr>
          <w:p w14:paraId="6E9F1BC4" w14:textId="77777777" w:rsidR="004F20AA" w:rsidRPr="004F20AA" w:rsidRDefault="004F20AA" w:rsidP="009142AA">
            <w:pPr>
              <w:rPr>
                <w:rFonts w:eastAsia="Aptos" w:cs="Arial"/>
              </w:rPr>
            </w:pPr>
            <w:r w:rsidRPr="004F20AA">
              <w:rPr>
                <w:rFonts w:eastAsia="Aptos" w:cs="Arial"/>
                <w:lang w:val="en-US"/>
              </w:rPr>
              <w:t>Address –</w:t>
            </w:r>
            <w:r w:rsidRPr="004F20AA">
              <w:rPr>
                <w:rFonts w:eastAsia="Aptos" w:cs="Arial"/>
              </w:rPr>
              <w:t> </w:t>
            </w:r>
          </w:p>
        </w:tc>
        <w:tc>
          <w:tcPr>
            <w:tcW w:w="2280" w:type="dxa"/>
            <w:tcBorders>
              <w:top w:val="single" w:sz="6" w:space="0" w:color="000000"/>
              <w:left w:val="single" w:sz="6" w:space="0" w:color="000000"/>
              <w:bottom w:val="single" w:sz="6" w:space="0" w:color="000000"/>
              <w:right w:val="single" w:sz="6" w:space="0" w:color="000000"/>
            </w:tcBorders>
            <w:hideMark/>
          </w:tcPr>
          <w:p w14:paraId="68F92077" w14:textId="77777777" w:rsidR="004F20AA" w:rsidRPr="004F20AA" w:rsidRDefault="004F20AA" w:rsidP="009142AA">
            <w:pPr>
              <w:rPr>
                <w:rFonts w:eastAsia="Aptos" w:cs="Arial"/>
              </w:rPr>
            </w:pPr>
            <w:r w:rsidRPr="004F20AA">
              <w:rPr>
                <w:rFonts w:eastAsia="Aptos" w:cs="Arial"/>
                <w:lang w:val="en-US"/>
              </w:rPr>
              <w:t>Address -</w:t>
            </w:r>
            <w:r w:rsidRPr="004F20AA">
              <w:rPr>
                <w:rFonts w:eastAsia="Aptos" w:cs="Arial"/>
              </w:rPr>
              <w:t> </w:t>
            </w:r>
          </w:p>
        </w:tc>
      </w:tr>
      <w:tr w:rsidR="004F20AA" w:rsidRPr="004F20AA" w14:paraId="3937B694" w14:textId="77777777" w:rsidTr="004F20AA">
        <w:trPr>
          <w:trHeight w:val="486"/>
        </w:trPr>
        <w:tc>
          <w:tcPr>
            <w:tcW w:w="1470" w:type="dxa"/>
            <w:tcBorders>
              <w:top w:val="single" w:sz="6" w:space="0" w:color="000000"/>
              <w:left w:val="single" w:sz="6" w:space="0" w:color="000000"/>
              <w:bottom w:val="single" w:sz="6" w:space="0" w:color="000000"/>
              <w:right w:val="single" w:sz="6" w:space="0" w:color="000000"/>
            </w:tcBorders>
            <w:hideMark/>
          </w:tcPr>
          <w:p w14:paraId="412EB4BD" w14:textId="77777777" w:rsidR="004F20AA" w:rsidRPr="004F20AA" w:rsidRDefault="004F20AA" w:rsidP="009142AA">
            <w:pPr>
              <w:rPr>
                <w:rFonts w:eastAsia="Aptos" w:cs="Arial"/>
              </w:rPr>
            </w:pPr>
            <w:r w:rsidRPr="004F20AA">
              <w:rPr>
                <w:rFonts w:eastAsia="Aptos" w:cs="Arial"/>
                <w:lang w:val="en-US"/>
              </w:rPr>
              <w:t>Monday</w:t>
            </w:r>
            <w:r w:rsidRPr="004F20AA">
              <w:rPr>
                <w:rFonts w:eastAsia="Aptos" w:cs="Arial"/>
              </w:rPr>
              <w:t> </w:t>
            </w:r>
          </w:p>
        </w:tc>
        <w:tc>
          <w:tcPr>
            <w:tcW w:w="2625" w:type="dxa"/>
            <w:tcBorders>
              <w:top w:val="single" w:sz="6" w:space="0" w:color="000000"/>
              <w:left w:val="single" w:sz="6" w:space="0" w:color="000000"/>
              <w:bottom w:val="single" w:sz="6" w:space="0" w:color="000000"/>
              <w:right w:val="single" w:sz="6" w:space="0" w:color="000000"/>
            </w:tcBorders>
          </w:tcPr>
          <w:p w14:paraId="37D887CF" w14:textId="77777777" w:rsidR="004F20AA" w:rsidRPr="004F20AA" w:rsidRDefault="004F20AA" w:rsidP="009142AA">
            <w:pPr>
              <w:rPr>
                <w:rFonts w:eastAsia="Aptos" w:cs="Arial"/>
              </w:rPr>
            </w:pPr>
          </w:p>
        </w:tc>
        <w:tc>
          <w:tcPr>
            <w:tcW w:w="2625" w:type="dxa"/>
            <w:tcBorders>
              <w:top w:val="single" w:sz="6" w:space="0" w:color="000000"/>
              <w:left w:val="single" w:sz="6" w:space="0" w:color="000000"/>
              <w:bottom w:val="single" w:sz="6" w:space="0" w:color="000000"/>
              <w:right w:val="single" w:sz="6" w:space="0" w:color="000000"/>
            </w:tcBorders>
            <w:hideMark/>
          </w:tcPr>
          <w:p w14:paraId="08DEDF2D" w14:textId="77777777" w:rsidR="004F20AA" w:rsidRPr="004F20AA" w:rsidRDefault="004F20AA" w:rsidP="009142AA">
            <w:pPr>
              <w:rPr>
                <w:rFonts w:eastAsia="Aptos" w:cs="Arial"/>
              </w:rPr>
            </w:pPr>
            <w:r w:rsidRPr="004F20AA">
              <w:rPr>
                <w:rFonts w:eastAsia="Aptos" w:cs="Arial"/>
              </w:rPr>
              <w:t> </w:t>
            </w:r>
          </w:p>
        </w:tc>
        <w:tc>
          <w:tcPr>
            <w:tcW w:w="2280" w:type="dxa"/>
            <w:tcBorders>
              <w:top w:val="single" w:sz="6" w:space="0" w:color="000000"/>
              <w:left w:val="single" w:sz="6" w:space="0" w:color="000000"/>
              <w:bottom w:val="single" w:sz="6" w:space="0" w:color="000000"/>
              <w:right w:val="single" w:sz="6" w:space="0" w:color="000000"/>
            </w:tcBorders>
            <w:hideMark/>
          </w:tcPr>
          <w:p w14:paraId="6924860E" w14:textId="77777777" w:rsidR="004F20AA" w:rsidRPr="004F20AA" w:rsidRDefault="004F20AA" w:rsidP="009142AA">
            <w:pPr>
              <w:rPr>
                <w:rFonts w:eastAsia="Aptos" w:cs="Arial"/>
              </w:rPr>
            </w:pPr>
            <w:r w:rsidRPr="004F20AA">
              <w:rPr>
                <w:rFonts w:eastAsia="Aptos" w:cs="Arial"/>
              </w:rPr>
              <w:t> </w:t>
            </w:r>
          </w:p>
        </w:tc>
      </w:tr>
      <w:tr w:rsidR="004F20AA" w:rsidRPr="004F20AA" w14:paraId="7991845F" w14:textId="77777777" w:rsidTr="004F20AA">
        <w:trPr>
          <w:trHeight w:val="450"/>
        </w:trPr>
        <w:tc>
          <w:tcPr>
            <w:tcW w:w="1470" w:type="dxa"/>
            <w:tcBorders>
              <w:top w:val="single" w:sz="6" w:space="0" w:color="000000"/>
              <w:left w:val="single" w:sz="6" w:space="0" w:color="000000"/>
              <w:bottom w:val="single" w:sz="6" w:space="0" w:color="000000"/>
              <w:right w:val="single" w:sz="6" w:space="0" w:color="000000"/>
            </w:tcBorders>
            <w:hideMark/>
          </w:tcPr>
          <w:p w14:paraId="29643065" w14:textId="77777777" w:rsidR="004F20AA" w:rsidRPr="004F20AA" w:rsidRDefault="004F20AA" w:rsidP="009142AA">
            <w:pPr>
              <w:rPr>
                <w:rFonts w:eastAsia="Aptos" w:cs="Arial"/>
              </w:rPr>
            </w:pPr>
            <w:r w:rsidRPr="004F20AA">
              <w:rPr>
                <w:rFonts w:eastAsia="Aptos" w:cs="Arial"/>
                <w:lang w:val="en-US"/>
              </w:rPr>
              <w:t>Tuesday</w:t>
            </w:r>
            <w:r w:rsidRPr="004F20AA">
              <w:rPr>
                <w:rFonts w:eastAsia="Aptos" w:cs="Arial"/>
              </w:rPr>
              <w:t> </w:t>
            </w:r>
          </w:p>
        </w:tc>
        <w:tc>
          <w:tcPr>
            <w:tcW w:w="2625" w:type="dxa"/>
            <w:tcBorders>
              <w:top w:val="single" w:sz="6" w:space="0" w:color="000000"/>
              <w:left w:val="single" w:sz="6" w:space="0" w:color="000000"/>
              <w:bottom w:val="single" w:sz="6" w:space="0" w:color="000000"/>
              <w:right w:val="single" w:sz="6" w:space="0" w:color="000000"/>
            </w:tcBorders>
          </w:tcPr>
          <w:p w14:paraId="03A16A5D" w14:textId="77777777" w:rsidR="004F20AA" w:rsidRPr="004F20AA" w:rsidRDefault="004F20AA" w:rsidP="009142AA">
            <w:pPr>
              <w:rPr>
                <w:rFonts w:eastAsia="Aptos" w:cs="Arial"/>
              </w:rPr>
            </w:pPr>
          </w:p>
        </w:tc>
        <w:tc>
          <w:tcPr>
            <w:tcW w:w="2625" w:type="dxa"/>
            <w:tcBorders>
              <w:top w:val="single" w:sz="6" w:space="0" w:color="000000"/>
              <w:left w:val="single" w:sz="6" w:space="0" w:color="000000"/>
              <w:bottom w:val="single" w:sz="6" w:space="0" w:color="000000"/>
              <w:right w:val="single" w:sz="6" w:space="0" w:color="000000"/>
            </w:tcBorders>
            <w:hideMark/>
          </w:tcPr>
          <w:p w14:paraId="627A12D4" w14:textId="77777777" w:rsidR="004F20AA" w:rsidRPr="004F20AA" w:rsidRDefault="004F20AA" w:rsidP="009142AA">
            <w:pPr>
              <w:rPr>
                <w:rFonts w:eastAsia="Aptos" w:cs="Arial"/>
              </w:rPr>
            </w:pPr>
            <w:r w:rsidRPr="004F20AA">
              <w:rPr>
                <w:rFonts w:eastAsia="Aptos" w:cs="Arial"/>
              </w:rPr>
              <w:t> </w:t>
            </w:r>
          </w:p>
        </w:tc>
        <w:tc>
          <w:tcPr>
            <w:tcW w:w="2280" w:type="dxa"/>
            <w:tcBorders>
              <w:top w:val="single" w:sz="6" w:space="0" w:color="000000"/>
              <w:left w:val="single" w:sz="6" w:space="0" w:color="000000"/>
              <w:bottom w:val="single" w:sz="6" w:space="0" w:color="000000"/>
              <w:right w:val="single" w:sz="6" w:space="0" w:color="000000"/>
            </w:tcBorders>
            <w:hideMark/>
          </w:tcPr>
          <w:p w14:paraId="00312CD4" w14:textId="77777777" w:rsidR="004F20AA" w:rsidRPr="004F20AA" w:rsidRDefault="004F20AA" w:rsidP="009142AA">
            <w:pPr>
              <w:rPr>
                <w:rFonts w:eastAsia="Aptos" w:cs="Arial"/>
              </w:rPr>
            </w:pPr>
            <w:r w:rsidRPr="004F20AA">
              <w:rPr>
                <w:rFonts w:eastAsia="Aptos" w:cs="Arial"/>
              </w:rPr>
              <w:t> </w:t>
            </w:r>
          </w:p>
        </w:tc>
      </w:tr>
      <w:tr w:rsidR="004F20AA" w:rsidRPr="004F20AA" w14:paraId="5420E4C0" w14:textId="77777777" w:rsidTr="004F20AA">
        <w:trPr>
          <w:trHeight w:val="420"/>
        </w:trPr>
        <w:tc>
          <w:tcPr>
            <w:tcW w:w="1470" w:type="dxa"/>
            <w:tcBorders>
              <w:top w:val="single" w:sz="6" w:space="0" w:color="000000"/>
              <w:left w:val="single" w:sz="6" w:space="0" w:color="000000"/>
              <w:bottom w:val="single" w:sz="6" w:space="0" w:color="000000"/>
              <w:right w:val="single" w:sz="6" w:space="0" w:color="000000"/>
            </w:tcBorders>
            <w:hideMark/>
          </w:tcPr>
          <w:p w14:paraId="5E903C07" w14:textId="77777777" w:rsidR="004F20AA" w:rsidRPr="004F20AA" w:rsidRDefault="004F20AA" w:rsidP="009142AA">
            <w:pPr>
              <w:rPr>
                <w:rFonts w:eastAsia="Aptos" w:cs="Arial"/>
              </w:rPr>
            </w:pPr>
            <w:r w:rsidRPr="004F20AA">
              <w:rPr>
                <w:rFonts w:eastAsia="Aptos" w:cs="Arial"/>
                <w:lang w:val="en-US"/>
              </w:rPr>
              <w:t>Wednesday</w:t>
            </w:r>
            <w:r w:rsidRPr="004F20AA">
              <w:rPr>
                <w:rFonts w:eastAsia="Aptos" w:cs="Arial"/>
              </w:rPr>
              <w:t> </w:t>
            </w:r>
          </w:p>
        </w:tc>
        <w:tc>
          <w:tcPr>
            <w:tcW w:w="2625" w:type="dxa"/>
            <w:tcBorders>
              <w:top w:val="single" w:sz="6" w:space="0" w:color="000000"/>
              <w:left w:val="single" w:sz="6" w:space="0" w:color="000000"/>
              <w:bottom w:val="single" w:sz="6" w:space="0" w:color="000000"/>
              <w:right w:val="single" w:sz="6" w:space="0" w:color="000000"/>
            </w:tcBorders>
          </w:tcPr>
          <w:p w14:paraId="5E5BC902" w14:textId="77777777" w:rsidR="004F20AA" w:rsidRPr="004F20AA" w:rsidRDefault="004F20AA" w:rsidP="009142AA">
            <w:pPr>
              <w:rPr>
                <w:rFonts w:eastAsia="Aptos" w:cs="Arial"/>
              </w:rPr>
            </w:pPr>
          </w:p>
        </w:tc>
        <w:tc>
          <w:tcPr>
            <w:tcW w:w="2625" w:type="dxa"/>
            <w:tcBorders>
              <w:top w:val="single" w:sz="6" w:space="0" w:color="000000"/>
              <w:left w:val="single" w:sz="6" w:space="0" w:color="000000"/>
              <w:bottom w:val="single" w:sz="6" w:space="0" w:color="000000"/>
              <w:right w:val="single" w:sz="6" w:space="0" w:color="000000"/>
            </w:tcBorders>
            <w:hideMark/>
          </w:tcPr>
          <w:p w14:paraId="023B4439" w14:textId="77777777" w:rsidR="004F20AA" w:rsidRPr="004F20AA" w:rsidRDefault="004F20AA" w:rsidP="009142AA">
            <w:pPr>
              <w:rPr>
                <w:rFonts w:eastAsia="Aptos" w:cs="Arial"/>
              </w:rPr>
            </w:pPr>
            <w:r w:rsidRPr="004F20AA">
              <w:rPr>
                <w:rFonts w:eastAsia="Aptos" w:cs="Arial"/>
              </w:rPr>
              <w:t> </w:t>
            </w:r>
          </w:p>
        </w:tc>
        <w:tc>
          <w:tcPr>
            <w:tcW w:w="2280" w:type="dxa"/>
            <w:tcBorders>
              <w:top w:val="single" w:sz="6" w:space="0" w:color="000000"/>
              <w:left w:val="single" w:sz="6" w:space="0" w:color="000000"/>
              <w:bottom w:val="single" w:sz="6" w:space="0" w:color="000000"/>
              <w:right w:val="single" w:sz="6" w:space="0" w:color="000000"/>
            </w:tcBorders>
            <w:hideMark/>
          </w:tcPr>
          <w:p w14:paraId="36B4E0CD" w14:textId="77777777" w:rsidR="004F20AA" w:rsidRPr="004F20AA" w:rsidRDefault="004F20AA" w:rsidP="009142AA">
            <w:pPr>
              <w:rPr>
                <w:rFonts w:eastAsia="Aptos" w:cs="Arial"/>
              </w:rPr>
            </w:pPr>
            <w:r w:rsidRPr="004F20AA">
              <w:rPr>
                <w:rFonts w:eastAsia="Aptos" w:cs="Arial"/>
              </w:rPr>
              <w:t> </w:t>
            </w:r>
          </w:p>
        </w:tc>
      </w:tr>
      <w:tr w:rsidR="004F20AA" w:rsidRPr="004F20AA" w14:paraId="36C40149" w14:textId="77777777" w:rsidTr="004F20AA">
        <w:trPr>
          <w:trHeight w:val="435"/>
        </w:trPr>
        <w:tc>
          <w:tcPr>
            <w:tcW w:w="1470" w:type="dxa"/>
            <w:tcBorders>
              <w:top w:val="single" w:sz="6" w:space="0" w:color="000000"/>
              <w:left w:val="single" w:sz="6" w:space="0" w:color="000000"/>
              <w:bottom w:val="single" w:sz="6" w:space="0" w:color="000000"/>
              <w:right w:val="single" w:sz="6" w:space="0" w:color="000000"/>
            </w:tcBorders>
            <w:hideMark/>
          </w:tcPr>
          <w:p w14:paraId="0CF48726" w14:textId="77777777" w:rsidR="004F20AA" w:rsidRPr="004F20AA" w:rsidRDefault="004F20AA" w:rsidP="009142AA">
            <w:pPr>
              <w:rPr>
                <w:rFonts w:eastAsia="Aptos" w:cs="Arial"/>
              </w:rPr>
            </w:pPr>
            <w:r w:rsidRPr="004F20AA">
              <w:rPr>
                <w:rFonts w:eastAsia="Aptos" w:cs="Arial"/>
                <w:lang w:val="en-US"/>
              </w:rPr>
              <w:t>Thursday</w:t>
            </w:r>
            <w:r w:rsidRPr="004F20AA">
              <w:rPr>
                <w:rFonts w:eastAsia="Aptos" w:cs="Arial"/>
              </w:rPr>
              <w:t> </w:t>
            </w:r>
          </w:p>
        </w:tc>
        <w:tc>
          <w:tcPr>
            <w:tcW w:w="2625" w:type="dxa"/>
            <w:tcBorders>
              <w:top w:val="single" w:sz="6" w:space="0" w:color="000000"/>
              <w:left w:val="single" w:sz="6" w:space="0" w:color="000000"/>
              <w:bottom w:val="single" w:sz="6" w:space="0" w:color="000000"/>
              <w:right w:val="single" w:sz="6" w:space="0" w:color="000000"/>
            </w:tcBorders>
          </w:tcPr>
          <w:p w14:paraId="1BF177C7" w14:textId="77777777" w:rsidR="004F20AA" w:rsidRPr="004F20AA" w:rsidRDefault="004F20AA" w:rsidP="009142AA">
            <w:pPr>
              <w:rPr>
                <w:rFonts w:eastAsia="Aptos" w:cs="Arial"/>
              </w:rPr>
            </w:pPr>
          </w:p>
        </w:tc>
        <w:tc>
          <w:tcPr>
            <w:tcW w:w="2625" w:type="dxa"/>
            <w:tcBorders>
              <w:top w:val="single" w:sz="6" w:space="0" w:color="000000"/>
              <w:left w:val="single" w:sz="6" w:space="0" w:color="000000"/>
              <w:bottom w:val="single" w:sz="6" w:space="0" w:color="000000"/>
              <w:right w:val="single" w:sz="6" w:space="0" w:color="000000"/>
            </w:tcBorders>
            <w:hideMark/>
          </w:tcPr>
          <w:p w14:paraId="198CBEE6" w14:textId="77777777" w:rsidR="004F20AA" w:rsidRPr="004F20AA" w:rsidRDefault="004F20AA" w:rsidP="009142AA">
            <w:pPr>
              <w:rPr>
                <w:rFonts w:eastAsia="Aptos" w:cs="Arial"/>
              </w:rPr>
            </w:pPr>
            <w:r w:rsidRPr="004F20AA">
              <w:rPr>
                <w:rFonts w:eastAsia="Aptos" w:cs="Arial"/>
              </w:rPr>
              <w:t> </w:t>
            </w:r>
          </w:p>
        </w:tc>
        <w:tc>
          <w:tcPr>
            <w:tcW w:w="2280" w:type="dxa"/>
            <w:tcBorders>
              <w:top w:val="single" w:sz="6" w:space="0" w:color="000000"/>
              <w:left w:val="single" w:sz="6" w:space="0" w:color="000000"/>
              <w:bottom w:val="single" w:sz="6" w:space="0" w:color="000000"/>
              <w:right w:val="single" w:sz="6" w:space="0" w:color="000000"/>
            </w:tcBorders>
            <w:hideMark/>
          </w:tcPr>
          <w:p w14:paraId="47843A79" w14:textId="77777777" w:rsidR="004F20AA" w:rsidRPr="004F20AA" w:rsidRDefault="004F20AA" w:rsidP="009142AA">
            <w:pPr>
              <w:rPr>
                <w:rFonts w:eastAsia="Aptos" w:cs="Arial"/>
              </w:rPr>
            </w:pPr>
            <w:r w:rsidRPr="004F20AA">
              <w:rPr>
                <w:rFonts w:eastAsia="Aptos" w:cs="Arial"/>
              </w:rPr>
              <w:t> </w:t>
            </w:r>
          </w:p>
        </w:tc>
      </w:tr>
      <w:tr w:rsidR="004F20AA" w:rsidRPr="004F20AA" w14:paraId="7CF3C55B" w14:textId="77777777" w:rsidTr="004F20AA">
        <w:trPr>
          <w:trHeight w:val="427"/>
        </w:trPr>
        <w:tc>
          <w:tcPr>
            <w:tcW w:w="1470" w:type="dxa"/>
            <w:tcBorders>
              <w:top w:val="single" w:sz="6" w:space="0" w:color="000000"/>
              <w:left w:val="single" w:sz="6" w:space="0" w:color="000000"/>
              <w:bottom w:val="single" w:sz="6" w:space="0" w:color="000000"/>
              <w:right w:val="single" w:sz="6" w:space="0" w:color="000000"/>
            </w:tcBorders>
            <w:hideMark/>
          </w:tcPr>
          <w:p w14:paraId="18721262" w14:textId="77777777" w:rsidR="004F20AA" w:rsidRPr="004F20AA" w:rsidRDefault="004F20AA" w:rsidP="009142AA">
            <w:pPr>
              <w:rPr>
                <w:rFonts w:eastAsia="Aptos" w:cs="Arial"/>
              </w:rPr>
            </w:pPr>
            <w:r w:rsidRPr="004F20AA">
              <w:rPr>
                <w:rFonts w:eastAsia="Aptos" w:cs="Arial"/>
                <w:lang w:val="en-US"/>
              </w:rPr>
              <w:t>Friday</w:t>
            </w:r>
            <w:r w:rsidRPr="004F20AA">
              <w:rPr>
                <w:rFonts w:eastAsia="Aptos" w:cs="Arial"/>
              </w:rPr>
              <w:t> </w:t>
            </w:r>
          </w:p>
        </w:tc>
        <w:tc>
          <w:tcPr>
            <w:tcW w:w="2625" w:type="dxa"/>
            <w:tcBorders>
              <w:top w:val="single" w:sz="6" w:space="0" w:color="000000"/>
              <w:left w:val="single" w:sz="6" w:space="0" w:color="000000"/>
              <w:bottom w:val="single" w:sz="6" w:space="0" w:color="000000"/>
              <w:right w:val="single" w:sz="6" w:space="0" w:color="000000"/>
            </w:tcBorders>
          </w:tcPr>
          <w:p w14:paraId="6B37EA4D" w14:textId="77777777" w:rsidR="004F20AA" w:rsidRPr="004F20AA" w:rsidRDefault="004F20AA" w:rsidP="009142AA">
            <w:pPr>
              <w:rPr>
                <w:rFonts w:eastAsia="Aptos" w:cs="Arial"/>
              </w:rPr>
            </w:pPr>
          </w:p>
        </w:tc>
        <w:tc>
          <w:tcPr>
            <w:tcW w:w="2625" w:type="dxa"/>
            <w:tcBorders>
              <w:top w:val="single" w:sz="6" w:space="0" w:color="000000"/>
              <w:left w:val="single" w:sz="6" w:space="0" w:color="000000"/>
              <w:bottom w:val="single" w:sz="6" w:space="0" w:color="000000"/>
              <w:right w:val="single" w:sz="6" w:space="0" w:color="000000"/>
            </w:tcBorders>
            <w:hideMark/>
          </w:tcPr>
          <w:p w14:paraId="5B248EB9" w14:textId="77777777" w:rsidR="004F20AA" w:rsidRPr="004F20AA" w:rsidRDefault="004F20AA" w:rsidP="009142AA">
            <w:pPr>
              <w:rPr>
                <w:rFonts w:eastAsia="Aptos" w:cs="Arial"/>
              </w:rPr>
            </w:pPr>
            <w:r w:rsidRPr="004F20AA">
              <w:rPr>
                <w:rFonts w:eastAsia="Aptos" w:cs="Arial"/>
              </w:rPr>
              <w:t> </w:t>
            </w:r>
          </w:p>
        </w:tc>
        <w:tc>
          <w:tcPr>
            <w:tcW w:w="2280" w:type="dxa"/>
            <w:tcBorders>
              <w:top w:val="single" w:sz="6" w:space="0" w:color="000000"/>
              <w:left w:val="single" w:sz="6" w:space="0" w:color="000000"/>
              <w:bottom w:val="single" w:sz="6" w:space="0" w:color="000000"/>
              <w:right w:val="single" w:sz="6" w:space="0" w:color="000000"/>
            </w:tcBorders>
            <w:hideMark/>
          </w:tcPr>
          <w:p w14:paraId="248427B3" w14:textId="77777777" w:rsidR="004F20AA" w:rsidRPr="004F20AA" w:rsidRDefault="004F20AA" w:rsidP="009142AA">
            <w:pPr>
              <w:rPr>
                <w:rFonts w:eastAsia="Aptos" w:cs="Arial"/>
              </w:rPr>
            </w:pPr>
            <w:r w:rsidRPr="004F20AA">
              <w:rPr>
                <w:rFonts w:eastAsia="Aptos" w:cs="Arial"/>
              </w:rPr>
              <w:t> </w:t>
            </w:r>
          </w:p>
        </w:tc>
      </w:tr>
      <w:tr w:rsidR="004F20AA" w:rsidRPr="004F20AA" w14:paraId="5D2D57A8" w14:textId="77777777" w:rsidTr="004F20AA">
        <w:trPr>
          <w:trHeight w:val="450"/>
        </w:trPr>
        <w:tc>
          <w:tcPr>
            <w:tcW w:w="1470" w:type="dxa"/>
            <w:tcBorders>
              <w:top w:val="single" w:sz="6" w:space="0" w:color="000000"/>
              <w:left w:val="single" w:sz="6" w:space="0" w:color="000000"/>
              <w:bottom w:val="single" w:sz="6" w:space="0" w:color="000000"/>
              <w:right w:val="single" w:sz="6" w:space="0" w:color="000000"/>
            </w:tcBorders>
            <w:hideMark/>
          </w:tcPr>
          <w:p w14:paraId="2EE73144" w14:textId="77777777" w:rsidR="004F20AA" w:rsidRPr="004F20AA" w:rsidRDefault="004F20AA" w:rsidP="009142AA">
            <w:pPr>
              <w:rPr>
                <w:rFonts w:eastAsia="Aptos" w:cs="Arial"/>
              </w:rPr>
            </w:pPr>
            <w:r w:rsidRPr="004F20AA">
              <w:rPr>
                <w:rFonts w:eastAsia="Aptos" w:cs="Arial"/>
                <w:lang w:val="en-US"/>
              </w:rPr>
              <w:t>Saturday</w:t>
            </w:r>
            <w:r w:rsidRPr="004F20AA">
              <w:rPr>
                <w:rFonts w:eastAsia="Aptos" w:cs="Arial"/>
              </w:rPr>
              <w:t> </w:t>
            </w:r>
          </w:p>
        </w:tc>
        <w:tc>
          <w:tcPr>
            <w:tcW w:w="2625" w:type="dxa"/>
            <w:tcBorders>
              <w:top w:val="single" w:sz="6" w:space="0" w:color="000000"/>
              <w:left w:val="single" w:sz="6" w:space="0" w:color="000000"/>
              <w:bottom w:val="single" w:sz="6" w:space="0" w:color="000000"/>
              <w:right w:val="single" w:sz="6" w:space="0" w:color="000000"/>
            </w:tcBorders>
            <w:hideMark/>
          </w:tcPr>
          <w:p w14:paraId="7659C542" w14:textId="77777777" w:rsidR="004F20AA" w:rsidRPr="004F20AA" w:rsidRDefault="004F20AA" w:rsidP="009142AA">
            <w:pPr>
              <w:rPr>
                <w:rFonts w:eastAsia="Aptos" w:cs="Arial"/>
              </w:rPr>
            </w:pPr>
            <w:r w:rsidRPr="004F20AA">
              <w:rPr>
                <w:rFonts w:eastAsia="Aptos" w:cs="Arial"/>
              </w:rPr>
              <w:t> </w:t>
            </w:r>
          </w:p>
        </w:tc>
        <w:tc>
          <w:tcPr>
            <w:tcW w:w="2625" w:type="dxa"/>
            <w:tcBorders>
              <w:top w:val="single" w:sz="6" w:space="0" w:color="000000"/>
              <w:left w:val="single" w:sz="6" w:space="0" w:color="000000"/>
              <w:bottom w:val="single" w:sz="6" w:space="0" w:color="000000"/>
              <w:right w:val="single" w:sz="6" w:space="0" w:color="000000"/>
            </w:tcBorders>
            <w:hideMark/>
          </w:tcPr>
          <w:p w14:paraId="6CF160B9" w14:textId="77777777" w:rsidR="004F20AA" w:rsidRPr="004F20AA" w:rsidRDefault="004F20AA" w:rsidP="009142AA">
            <w:pPr>
              <w:rPr>
                <w:rFonts w:eastAsia="Aptos" w:cs="Arial"/>
              </w:rPr>
            </w:pPr>
            <w:r w:rsidRPr="004F20AA">
              <w:rPr>
                <w:rFonts w:eastAsia="Aptos" w:cs="Arial"/>
              </w:rPr>
              <w:t> </w:t>
            </w:r>
          </w:p>
        </w:tc>
        <w:tc>
          <w:tcPr>
            <w:tcW w:w="2280" w:type="dxa"/>
            <w:tcBorders>
              <w:top w:val="single" w:sz="6" w:space="0" w:color="000000"/>
              <w:left w:val="single" w:sz="6" w:space="0" w:color="000000"/>
              <w:bottom w:val="single" w:sz="6" w:space="0" w:color="000000"/>
              <w:right w:val="single" w:sz="6" w:space="0" w:color="000000"/>
            </w:tcBorders>
            <w:hideMark/>
          </w:tcPr>
          <w:p w14:paraId="03187AD8" w14:textId="77777777" w:rsidR="004F20AA" w:rsidRPr="004F20AA" w:rsidRDefault="004F20AA" w:rsidP="009142AA">
            <w:pPr>
              <w:rPr>
                <w:rFonts w:eastAsia="Aptos" w:cs="Arial"/>
              </w:rPr>
            </w:pPr>
            <w:r w:rsidRPr="004F20AA">
              <w:rPr>
                <w:rFonts w:eastAsia="Aptos" w:cs="Arial"/>
              </w:rPr>
              <w:t> </w:t>
            </w:r>
          </w:p>
        </w:tc>
      </w:tr>
      <w:tr w:rsidR="004F20AA" w:rsidRPr="004F20AA" w14:paraId="694485A2" w14:textId="77777777" w:rsidTr="004F20AA">
        <w:trPr>
          <w:trHeight w:val="370"/>
        </w:trPr>
        <w:tc>
          <w:tcPr>
            <w:tcW w:w="1470" w:type="dxa"/>
            <w:tcBorders>
              <w:top w:val="single" w:sz="6" w:space="0" w:color="000000"/>
              <w:left w:val="single" w:sz="6" w:space="0" w:color="000000"/>
              <w:bottom w:val="single" w:sz="6" w:space="0" w:color="000000"/>
              <w:right w:val="single" w:sz="6" w:space="0" w:color="000000"/>
            </w:tcBorders>
            <w:hideMark/>
          </w:tcPr>
          <w:p w14:paraId="2F88A1CD" w14:textId="77777777" w:rsidR="004F20AA" w:rsidRPr="004F20AA" w:rsidRDefault="004F20AA" w:rsidP="009142AA">
            <w:pPr>
              <w:rPr>
                <w:rFonts w:eastAsia="Aptos" w:cs="Arial"/>
              </w:rPr>
            </w:pPr>
            <w:r w:rsidRPr="004F20AA">
              <w:rPr>
                <w:rFonts w:eastAsia="Aptos" w:cs="Arial"/>
                <w:lang w:val="en-US"/>
              </w:rPr>
              <w:t>Sunday</w:t>
            </w:r>
            <w:r w:rsidRPr="004F20AA">
              <w:rPr>
                <w:rFonts w:eastAsia="Aptos" w:cs="Arial"/>
              </w:rPr>
              <w:t> </w:t>
            </w:r>
          </w:p>
        </w:tc>
        <w:tc>
          <w:tcPr>
            <w:tcW w:w="2625" w:type="dxa"/>
            <w:tcBorders>
              <w:top w:val="single" w:sz="6" w:space="0" w:color="000000"/>
              <w:left w:val="single" w:sz="6" w:space="0" w:color="000000"/>
              <w:bottom w:val="single" w:sz="6" w:space="0" w:color="000000"/>
              <w:right w:val="single" w:sz="6" w:space="0" w:color="000000"/>
            </w:tcBorders>
            <w:hideMark/>
          </w:tcPr>
          <w:p w14:paraId="27B3F0D1" w14:textId="77777777" w:rsidR="004F20AA" w:rsidRPr="004F20AA" w:rsidRDefault="004F20AA" w:rsidP="009142AA">
            <w:pPr>
              <w:rPr>
                <w:rFonts w:eastAsia="Aptos" w:cs="Arial"/>
              </w:rPr>
            </w:pPr>
            <w:r w:rsidRPr="004F20AA">
              <w:rPr>
                <w:rFonts w:eastAsia="Aptos" w:cs="Arial"/>
              </w:rPr>
              <w:t> </w:t>
            </w:r>
          </w:p>
        </w:tc>
        <w:tc>
          <w:tcPr>
            <w:tcW w:w="2625" w:type="dxa"/>
            <w:tcBorders>
              <w:top w:val="single" w:sz="6" w:space="0" w:color="000000"/>
              <w:left w:val="single" w:sz="6" w:space="0" w:color="000000"/>
              <w:bottom w:val="single" w:sz="6" w:space="0" w:color="000000"/>
              <w:right w:val="single" w:sz="6" w:space="0" w:color="000000"/>
            </w:tcBorders>
            <w:hideMark/>
          </w:tcPr>
          <w:p w14:paraId="3D2A565F" w14:textId="77777777" w:rsidR="004F20AA" w:rsidRPr="004F20AA" w:rsidRDefault="004F20AA" w:rsidP="009142AA">
            <w:pPr>
              <w:rPr>
                <w:rFonts w:eastAsia="Aptos" w:cs="Arial"/>
              </w:rPr>
            </w:pPr>
            <w:r w:rsidRPr="004F20AA">
              <w:rPr>
                <w:rFonts w:eastAsia="Aptos" w:cs="Arial"/>
              </w:rPr>
              <w:t> </w:t>
            </w:r>
          </w:p>
        </w:tc>
        <w:tc>
          <w:tcPr>
            <w:tcW w:w="2280" w:type="dxa"/>
            <w:tcBorders>
              <w:top w:val="single" w:sz="6" w:space="0" w:color="000000"/>
              <w:left w:val="single" w:sz="6" w:space="0" w:color="000000"/>
              <w:bottom w:val="single" w:sz="6" w:space="0" w:color="000000"/>
              <w:right w:val="single" w:sz="6" w:space="0" w:color="000000"/>
            </w:tcBorders>
            <w:hideMark/>
          </w:tcPr>
          <w:p w14:paraId="1C404930" w14:textId="77777777" w:rsidR="004F20AA" w:rsidRPr="004F20AA" w:rsidRDefault="004F20AA" w:rsidP="009142AA">
            <w:pPr>
              <w:rPr>
                <w:rFonts w:eastAsia="Aptos" w:cs="Arial"/>
              </w:rPr>
            </w:pPr>
            <w:r w:rsidRPr="004F20AA">
              <w:rPr>
                <w:rFonts w:eastAsia="Aptos" w:cs="Arial"/>
              </w:rPr>
              <w:t> </w:t>
            </w:r>
          </w:p>
        </w:tc>
      </w:tr>
    </w:tbl>
    <w:p w14:paraId="04C797D5" w14:textId="77777777" w:rsidR="004F20AA" w:rsidRPr="004F20AA" w:rsidRDefault="004F20AA" w:rsidP="009142AA">
      <w:pPr>
        <w:rPr>
          <w:rFonts w:eastAsia="Aptos" w:cs="Arial"/>
        </w:rPr>
      </w:pPr>
      <w:r w:rsidRPr="004F20AA">
        <w:rPr>
          <w:rFonts w:eastAsia="Aptos" w:cs="Arial"/>
        </w:rPr>
        <w:t> </w:t>
      </w:r>
    </w:p>
    <w:p w14:paraId="78188325" w14:textId="77777777" w:rsidR="004F20AA" w:rsidRPr="004F20AA" w:rsidRDefault="004F20AA" w:rsidP="009142AA">
      <w:pPr>
        <w:rPr>
          <w:rFonts w:eastAsia="Aptos" w:cs="Arial"/>
          <w:b/>
          <w:bCs/>
        </w:rPr>
      </w:pPr>
      <w:r w:rsidRPr="004F20AA">
        <w:rPr>
          <w:rFonts w:eastAsia="Aptos" w:cs="Arial"/>
          <w:b/>
          <w:bCs/>
          <w:lang w:val="en-US"/>
        </w:rPr>
        <w:t>Are appliances dispensed from the premises?</w:t>
      </w:r>
      <w:r w:rsidRPr="004F20AA">
        <w:rPr>
          <w:rFonts w:eastAsia="Aptos" w:cs="Arial"/>
          <w:b/>
          <w:bCs/>
        </w:rPr>
        <w:t> </w:t>
      </w:r>
    </w:p>
    <w:p w14:paraId="5F6C0831" w14:textId="77777777" w:rsidR="004F20AA" w:rsidRPr="004F20AA" w:rsidRDefault="004F20AA" w:rsidP="009142AA">
      <w:pPr>
        <w:rPr>
          <w:rFonts w:eastAsia="Aptos" w:cs="Arial"/>
          <w:b/>
          <w:bCs/>
        </w:rPr>
      </w:pPr>
    </w:p>
    <w:p w14:paraId="4E83336A" w14:textId="5C5FE201" w:rsidR="004F20AA" w:rsidRPr="004F20AA" w:rsidRDefault="004F20AA" w:rsidP="00B76905">
      <w:pPr>
        <w:numPr>
          <w:ilvl w:val="0"/>
          <w:numId w:val="282"/>
        </w:numPr>
        <w:contextualSpacing/>
        <w:rPr>
          <w:rFonts w:eastAsia="Aptos" w:cs="Arial"/>
        </w:rPr>
      </w:pPr>
      <w:r w:rsidRPr="004F20AA">
        <w:rPr>
          <w:rFonts w:eastAsia="Aptos" w:cs="Arial"/>
        </w:rPr>
        <w:t>Yes, all types</w:t>
      </w:r>
      <w:r w:rsidRPr="004F20AA">
        <w:rPr>
          <w:rFonts w:eastAsia="Aptos" w:cs="Arial"/>
        </w:rPr>
        <w:tab/>
      </w:r>
      <w:r w:rsidRPr="004F20AA">
        <w:rPr>
          <w:rFonts w:eastAsia="Aptos" w:cs="Arial"/>
        </w:rPr>
        <w:tab/>
      </w:r>
      <w:r w:rsidRPr="004F20AA">
        <w:rPr>
          <w:rFonts w:eastAsia="Aptos" w:cs="Arial"/>
        </w:rPr>
        <w:tab/>
      </w:r>
      <w:r w:rsidRPr="004F20AA">
        <w:rPr>
          <w:rFonts w:eastAsia="Aptos" w:cs="Arial"/>
        </w:rPr>
        <w:tab/>
      </w:r>
      <w:r w:rsidRPr="004F20AA">
        <w:rPr>
          <w:rFonts w:eastAsia="Aptos" w:cs="Arial"/>
        </w:rPr>
        <w:tab/>
      </w:r>
      <w:r w:rsidRPr="004F20AA">
        <w:rPr>
          <w:rFonts w:eastAsia="Aptos" w:cs="Arial"/>
        </w:rPr>
        <w:tab/>
      </w:r>
      <w:sdt>
        <w:sdtPr>
          <w:rPr>
            <w:rFonts w:eastAsia="MS Gothic" w:cs="Arial"/>
            <w:lang w:val="en-US"/>
          </w:rPr>
          <w:id w:val="329265134"/>
          <w14:checkbox>
            <w14:checked w14:val="0"/>
            <w14:checkedState w14:val="2612" w14:font="MS Gothic"/>
            <w14:uncheckedState w14:val="2610" w14:font="MS Gothic"/>
          </w14:checkbox>
        </w:sdtPr>
        <w:sdtContent>
          <w:r w:rsidRPr="004F20AA">
            <w:rPr>
              <w:rFonts w:ascii="Segoe UI Symbol" w:eastAsia="MS Gothic" w:hAnsi="Segoe UI Symbol" w:cs="Segoe UI Symbol"/>
              <w:lang w:val="en-US"/>
            </w:rPr>
            <w:t>☐</w:t>
          </w:r>
        </w:sdtContent>
      </w:sdt>
      <w:r w:rsidRPr="004F20AA">
        <w:rPr>
          <w:rFonts w:eastAsia="Aptos" w:cs="Arial"/>
          <w:lang w:val="en-US"/>
        </w:rPr>
        <w:t xml:space="preserve"> Yes</w:t>
      </w:r>
      <w:r w:rsidRPr="004F20AA">
        <w:rPr>
          <w:rFonts w:eastAsia="Aptos" w:cs="Arial"/>
        </w:rPr>
        <w:tab/>
      </w:r>
    </w:p>
    <w:p w14:paraId="48AC0D07" w14:textId="77777777" w:rsidR="004F20AA" w:rsidRPr="004F20AA" w:rsidRDefault="004F20AA" w:rsidP="00B76905">
      <w:pPr>
        <w:numPr>
          <w:ilvl w:val="0"/>
          <w:numId w:val="282"/>
        </w:numPr>
        <w:contextualSpacing/>
        <w:rPr>
          <w:rFonts w:eastAsia="Aptos" w:cs="Arial"/>
        </w:rPr>
      </w:pPr>
      <w:r w:rsidRPr="004F20AA">
        <w:rPr>
          <w:rFonts w:eastAsia="Aptos" w:cs="Arial"/>
        </w:rPr>
        <w:t>Yes, excluding stoma appliances</w:t>
      </w:r>
      <w:r w:rsidRPr="004F20AA">
        <w:rPr>
          <w:rFonts w:eastAsia="Aptos" w:cs="Arial"/>
        </w:rPr>
        <w:tab/>
      </w:r>
      <w:r w:rsidRPr="004F20AA">
        <w:rPr>
          <w:rFonts w:eastAsia="Aptos" w:cs="Arial"/>
        </w:rPr>
        <w:tab/>
      </w:r>
      <w:r w:rsidRPr="004F20AA">
        <w:rPr>
          <w:rFonts w:eastAsia="Aptos" w:cs="Arial"/>
        </w:rPr>
        <w:tab/>
      </w:r>
      <w:sdt>
        <w:sdtPr>
          <w:rPr>
            <w:rFonts w:eastAsia="MS Gothic" w:cs="Arial"/>
            <w:lang w:val="en-US"/>
          </w:rPr>
          <w:id w:val="382990078"/>
          <w14:checkbox>
            <w14:checked w14:val="0"/>
            <w14:checkedState w14:val="2612" w14:font="MS Gothic"/>
            <w14:uncheckedState w14:val="2610" w14:font="MS Gothic"/>
          </w14:checkbox>
        </w:sdtPr>
        <w:sdtContent>
          <w:r w:rsidRPr="004F20AA">
            <w:rPr>
              <w:rFonts w:ascii="Segoe UI Symbol" w:eastAsia="MS Gothic" w:hAnsi="Segoe UI Symbol" w:cs="Segoe UI Symbol"/>
              <w:lang w:val="en-US"/>
            </w:rPr>
            <w:t>☐</w:t>
          </w:r>
        </w:sdtContent>
      </w:sdt>
      <w:r w:rsidRPr="004F20AA">
        <w:rPr>
          <w:rFonts w:eastAsia="Aptos" w:cs="Arial"/>
          <w:lang w:val="en-US"/>
        </w:rPr>
        <w:t xml:space="preserve"> Yes</w:t>
      </w:r>
      <w:r w:rsidRPr="004F20AA">
        <w:rPr>
          <w:rFonts w:eastAsia="Aptos" w:cs="Arial"/>
        </w:rPr>
        <w:tab/>
      </w:r>
    </w:p>
    <w:p w14:paraId="0B7CA18F" w14:textId="77777777" w:rsidR="004F20AA" w:rsidRPr="004F20AA" w:rsidRDefault="004F20AA" w:rsidP="009142AA">
      <w:pPr>
        <w:ind w:left="847"/>
        <w:contextualSpacing/>
        <w:rPr>
          <w:rFonts w:eastAsia="Aptos" w:cs="Arial"/>
        </w:rPr>
      </w:pPr>
    </w:p>
    <w:p w14:paraId="474EA086" w14:textId="77777777" w:rsidR="004F20AA" w:rsidRPr="004F20AA" w:rsidRDefault="004F20AA" w:rsidP="00B76905">
      <w:pPr>
        <w:numPr>
          <w:ilvl w:val="0"/>
          <w:numId w:val="282"/>
        </w:numPr>
        <w:contextualSpacing/>
        <w:rPr>
          <w:rFonts w:eastAsia="Aptos" w:cs="Arial"/>
        </w:rPr>
      </w:pPr>
      <w:r w:rsidRPr="004F20AA">
        <w:rPr>
          <w:rFonts w:eastAsia="Aptos" w:cs="Arial"/>
        </w:rPr>
        <w:t>Yes, excluding incontinence appliances</w:t>
      </w:r>
      <w:r w:rsidRPr="004F20AA">
        <w:rPr>
          <w:rFonts w:eastAsia="Aptos" w:cs="Arial"/>
        </w:rPr>
        <w:tab/>
      </w:r>
      <w:r w:rsidRPr="004F20AA">
        <w:rPr>
          <w:rFonts w:eastAsia="Aptos" w:cs="Arial"/>
        </w:rPr>
        <w:tab/>
      </w:r>
      <w:r w:rsidRPr="004F20AA">
        <w:rPr>
          <w:rFonts w:eastAsia="Aptos" w:cs="Arial"/>
        </w:rPr>
        <w:tab/>
      </w:r>
      <w:sdt>
        <w:sdtPr>
          <w:rPr>
            <w:rFonts w:eastAsia="MS Gothic" w:cs="Arial"/>
            <w:lang w:val="en-US"/>
          </w:rPr>
          <w:id w:val="-388119032"/>
          <w14:checkbox>
            <w14:checked w14:val="0"/>
            <w14:checkedState w14:val="2612" w14:font="MS Gothic"/>
            <w14:uncheckedState w14:val="2610" w14:font="MS Gothic"/>
          </w14:checkbox>
        </w:sdtPr>
        <w:sdtContent>
          <w:r w:rsidRPr="004F20AA">
            <w:rPr>
              <w:rFonts w:ascii="Segoe UI Symbol" w:eastAsia="MS Gothic" w:hAnsi="Segoe UI Symbol" w:cs="Segoe UI Symbol"/>
              <w:lang w:val="en-US"/>
            </w:rPr>
            <w:t>☐</w:t>
          </w:r>
        </w:sdtContent>
      </w:sdt>
      <w:r w:rsidRPr="004F20AA">
        <w:rPr>
          <w:rFonts w:eastAsia="Aptos" w:cs="Arial"/>
          <w:lang w:val="en-US"/>
        </w:rPr>
        <w:t xml:space="preserve"> Yes</w:t>
      </w:r>
      <w:r w:rsidRPr="004F20AA">
        <w:rPr>
          <w:rFonts w:eastAsia="Aptos" w:cs="Arial"/>
        </w:rPr>
        <w:tab/>
      </w:r>
    </w:p>
    <w:p w14:paraId="418BFE65" w14:textId="77777777" w:rsidR="004F20AA" w:rsidRPr="004F20AA" w:rsidRDefault="004F20AA" w:rsidP="00B76905">
      <w:pPr>
        <w:numPr>
          <w:ilvl w:val="0"/>
          <w:numId w:val="282"/>
        </w:numPr>
        <w:contextualSpacing/>
        <w:rPr>
          <w:rFonts w:eastAsia="Aptos" w:cs="Arial"/>
        </w:rPr>
      </w:pPr>
      <w:r w:rsidRPr="004F20AA">
        <w:rPr>
          <w:rFonts w:eastAsia="Aptos" w:cs="Arial"/>
        </w:rPr>
        <w:t>Yes, excluding stoma and incontinence appliances</w:t>
      </w:r>
      <w:r w:rsidRPr="004F20AA">
        <w:rPr>
          <w:rFonts w:eastAsia="Aptos" w:cs="Arial"/>
        </w:rPr>
        <w:tab/>
      </w:r>
      <w:sdt>
        <w:sdtPr>
          <w:rPr>
            <w:rFonts w:eastAsia="MS Gothic" w:cs="Arial"/>
            <w:lang w:val="en-US"/>
          </w:rPr>
          <w:id w:val="-1723659391"/>
          <w14:checkbox>
            <w14:checked w14:val="0"/>
            <w14:checkedState w14:val="2612" w14:font="MS Gothic"/>
            <w14:uncheckedState w14:val="2610" w14:font="MS Gothic"/>
          </w14:checkbox>
        </w:sdtPr>
        <w:sdtContent>
          <w:r w:rsidRPr="004F20AA">
            <w:rPr>
              <w:rFonts w:ascii="Segoe UI Symbol" w:eastAsia="MS Gothic" w:hAnsi="Segoe UI Symbol" w:cs="Segoe UI Symbol"/>
              <w:lang w:val="en-US"/>
            </w:rPr>
            <w:t>☐</w:t>
          </w:r>
        </w:sdtContent>
      </w:sdt>
      <w:r w:rsidRPr="004F20AA">
        <w:rPr>
          <w:rFonts w:eastAsia="Aptos" w:cs="Arial"/>
          <w:lang w:val="en-US"/>
        </w:rPr>
        <w:t xml:space="preserve"> Yes</w:t>
      </w:r>
      <w:r w:rsidRPr="004F20AA">
        <w:rPr>
          <w:rFonts w:eastAsia="Aptos" w:cs="Arial"/>
        </w:rPr>
        <w:tab/>
      </w:r>
    </w:p>
    <w:p w14:paraId="6EF90F04" w14:textId="77777777" w:rsidR="004F20AA" w:rsidRPr="004F20AA" w:rsidRDefault="004F20AA" w:rsidP="00B76905">
      <w:pPr>
        <w:numPr>
          <w:ilvl w:val="0"/>
          <w:numId w:val="282"/>
        </w:numPr>
        <w:contextualSpacing/>
        <w:rPr>
          <w:rFonts w:eastAsia="Aptos" w:cs="Arial"/>
        </w:rPr>
      </w:pPr>
      <w:r w:rsidRPr="004F20AA">
        <w:rPr>
          <w:rFonts w:eastAsia="Aptos" w:cs="Arial"/>
        </w:rPr>
        <w:t>Yes, just dressings</w:t>
      </w:r>
      <w:r w:rsidRPr="004F20AA">
        <w:rPr>
          <w:rFonts w:eastAsia="Aptos" w:cs="Arial"/>
        </w:rPr>
        <w:tab/>
      </w:r>
      <w:r w:rsidRPr="004F20AA">
        <w:rPr>
          <w:rFonts w:eastAsia="Aptos" w:cs="Arial"/>
        </w:rPr>
        <w:tab/>
      </w:r>
      <w:r w:rsidRPr="004F20AA">
        <w:rPr>
          <w:rFonts w:eastAsia="Aptos" w:cs="Arial"/>
        </w:rPr>
        <w:tab/>
      </w:r>
      <w:r w:rsidRPr="004F20AA">
        <w:rPr>
          <w:rFonts w:eastAsia="Aptos" w:cs="Arial"/>
        </w:rPr>
        <w:tab/>
      </w:r>
      <w:r w:rsidRPr="004F20AA">
        <w:rPr>
          <w:rFonts w:eastAsia="Aptos" w:cs="Arial"/>
        </w:rPr>
        <w:tab/>
      </w:r>
      <w:r w:rsidRPr="004F20AA">
        <w:rPr>
          <w:rFonts w:eastAsia="Aptos" w:cs="Arial"/>
        </w:rPr>
        <w:tab/>
      </w:r>
      <w:sdt>
        <w:sdtPr>
          <w:rPr>
            <w:rFonts w:eastAsia="MS Gothic" w:cs="Arial"/>
            <w:lang w:val="en-US"/>
          </w:rPr>
          <w:id w:val="-1860105740"/>
          <w14:checkbox>
            <w14:checked w14:val="0"/>
            <w14:checkedState w14:val="2612" w14:font="MS Gothic"/>
            <w14:uncheckedState w14:val="2610" w14:font="MS Gothic"/>
          </w14:checkbox>
        </w:sdtPr>
        <w:sdtContent>
          <w:r w:rsidRPr="004F20AA">
            <w:rPr>
              <w:rFonts w:ascii="Segoe UI Symbol" w:eastAsia="MS Gothic" w:hAnsi="Segoe UI Symbol" w:cs="Segoe UI Symbol"/>
              <w:lang w:val="en-US"/>
            </w:rPr>
            <w:t>☐</w:t>
          </w:r>
        </w:sdtContent>
      </w:sdt>
      <w:r w:rsidRPr="004F20AA">
        <w:rPr>
          <w:rFonts w:eastAsia="Aptos" w:cs="Arial"/>
          <w:lang w:val="en-US"/>
        </w:rPr>
        <w:t xml:space="preserve"> Yes</w:t>
      </w:r>
      <w:r w:rsidRPr="004F20AA">
        <w:rPr>
          <w:rFonts w:eastAsia="Aptos" w:cs="Arial"/>
        </w:rPr>
        <w:tab/>
      </w:r>
    </w:p>
    <w:p w14:paraId="241F155E" w14:textId="77777777" w:rsidR="004F20AA" w:rsidRPr="004F20AA" w:rsidRDefault="004F20AA" w:rsidP="00B76905">
      <w:pPr>
        <w:numPr>
          <w:ilvl w:val="0"/>
          <w:numId w:val="282"/>
        </w:numPr>
        <w:contextualSpacing/>
        <w:rPr>
          <w:rFonts w:eastAsia="Aptos" w:cs="Arial"/>
        </w:rPr>
      </w:pPr>
      <w:r w:rsidRPr="004F20AA">
        <w:rPr>
          <w:rFonts w:eastAsia="Aptos" w:cs="Arial"/>
        </w:rPr>
        <w:t>Other</w:t>
      </w:r>
      <w:r w:rsidRPr="004F20AA">
        <w:rPr>
          <w:rFonts w:eastAsia="Aptos" w:cs="Arial"/>
        </w:rPr>
        <w:tab/>
        <w:t xml:space="preserve"> </w:t>
      </w:r>
      <w:sdt>
        <w:sdtPr>
          <w:rPr>
            <w:rFonts w:eastAsia="Calibri" w:cs="Arial"/>
          </w:rPr>
          <w:id w:val="758175397"/>
          <w:placeholder>
            <w:docPart w:val="ABE0D7F78286426FA284EDFCD0650F42"/>
          </w:placeholder>
          <w:showingPlcHdr/>
        </w:sdtPr>
        <w:sdtContent>
          <w:r w:rsidRPr="004F20AA">
            <w:rPr>
              <w:rFonts w:eastAsia="Aptos" w:cs="Arial"/>
              <w:color w:val="666666"/>
            </w:rPr>
            <w:t>Click or tap here to enter text.</w:t>
          </w:r>
        </w:sdtContent>
      </w:sdt>
    </w:p>
    <w:p w14:paraId="69C35518" w14:textId="77777777" w:rsidR="004F20AA" w:rsidRPr="004F20AA" w:rsidRDefault="004F20AA" w:rsidP="00B76905">
      <w:pPr>
        <w:numPr>
          <w:ilvl w:val="0"/>
          <w:numId w:val="282"/>
        </w:numPr>
        <w:contextualSpacing/>
        <w:rPr>
          <w:rFonts w:eastAsia="Aptos" w:cs="Arial"/>
        </w:rPr>
      </w:pPr>
      <w:r w:rsidRPr="004F20AA">
        <w:rPr>
          <w:rFonts w:eastAsia="Aptos" w:cs="Arial"/>
        </w:rPr>
        <w:t>None</w:t>
      </w:r>
      <w:r w:rsidRPr="004F20AA">
        <w:rPr>
          <w:rFonts w:eastAsia="Aptos" w:cs="Arial"/>
        </w:rPr>
        <w:tab/>
      </w:r>
      <w:r w:rsidRPr="004F20AA">
        <w:rPr>
          <w:rFonts w:eastAsia="Aptos" w:cs="Arial"/>
        </w:rPr>
        <w:tab/>
      </w:r>
      <w:r w:rsidRPr="004F20AA">
        <w:rPr>
          <w:rFonts w:eastAsia="Aptos" w:cs="Arial"/>
        </w:rPr>
        <w:tab/>
      </w:r>
      <w:r w:rsidRPr="004F20AA">
        <w:rPr>
          <w:rFonts w:eastAsia="Aptos" w:cs="Arial"/>
        </w:rPr>
        <w:tab/>
      </w:r>
      <w:r w:rsidRPr="004F20AA">
        <w:rPr>
          <w:rFonts w:eastAsia="Aptos" w:cs="Arial"/>
        </w:rPr>
        <w:tab/>
      </w:r>
      <w:r w:rsidRPr="004F20AA">
        <w:rPr>
          <w:rFonts w:eastAsia="Aptos" w:cs="Arial"/>
        </w:rPr>
        <w:tab/>
      </w:r>
      <w:r w:rsidRPr="004F20AA">
        <w:rPr>
          <w:rFonts w:eastAsia="Aptos" w:cs="Arial"/>
        </w:rPr>
        <w:tab/>
      </w:r>
      <w:r w:rsidRPr="004F20AA">
        <w:rPr>
          <w:rFonts w:eastAsia="Aptos" w:cs="Arial"/>
        </w:rPr>
        <w:tab/>
      </w:r>
      <w:sdt>
        <w:sdtPr>
          <w:rPr>
            <w:rFonts w:eastAsia="MS Gothic" w:cs="Arial"/>
            <w:lang w:val="en-US"/>
          </w:rPr>
          <w:id w:val="-564646296"/>
          <w14:checkbox>
            <w14:checked w14:val="0"/>
            <w14:checkedState w14:val="2612" w14:font="MS Gothic"/>
            <w14:uncheckedState w14:val="2610" w14:font="MS Gothic"/>
          </w14:checkbox>
        </w:sdtPr>
        <w:sdtContent>
          <w:r w:rsidRPr="004F20AA">
            <w:rPr>
              <w:rFonts w:ascii="Segoe UI Symbol" w:eastAsia="MS Gothic" w:hAnsi="Segoe UI Symbol" w:cs="Segoe UI Symbol"/>
              <w:lang w:val="en-US"/>
            </w:rPr>
            <w:t>☐</w:t>
          </w:r>
        </w:sdtContent>
      </w:sdt>
      <w:r w:rsidRPr="004F20AA">
        <w:rPr>
          <w:rFonts w:eastAsia="Aptos" w:cs="Arial"/>
          <w:lang w:val="en-US"/>
        </w:rPr>
        <w:t xml:space="preserve"> Yes</w:t>
      </w:r>
      <w:r w:rsidRPr="004F20AA">
        <w:rPr>
          <w:rFonts w:eastAsia="Aptos" w:cs="Arial"/>
        </w:rPr>
        <w:tab/>
      </w:r>
    </w:p>
    <w:p w14:paraId="05A4659F" w14:textId="77777777" w:rsidR="004F20AA" w:rsidRPr="004F20AA" w:rsidRDefault="004F20AA" w:rsidP="009142AA">
      <w:pPr>
        <w:rPr>
          <w:rFonts w:eastAsia="Aptos" w:cs="Arial"/>
        </w:rPr>
      </w:pPr>
    </w:p>
    <w:p w14:paraId="0EDB2775" w14:textId="77777777" w:rsidR="004F20AA" w:rsidRPr="004F20AA" w:rsidRDefault="004F20AA" w:rsidP="009142AA">
      <w:pPr>
        <w:rPr>
          <w:rFonts w:eastAsia="Aptos" w:cs="Arial"/>
          <w:b/>
          <w:bCs/>
        </w:rPr>
      </w:pPr>
      <w:r w:rsidRPr="004F20AA">
        <w:rPr>
          <w:rFonts w:eastAsia="Aptos" w:cs="Arial"/>
          <w:b/>
          <w:bCs/>
          <w:lang w:val="en-US"/>
        </w:rPr>
        <w:t>Delivery of dispensed items</w:t>
      </w:r>
      <w:r w:rsidRPr="004F20AA">
        <w:rPr>
          <w:rFonts w:eastAsia="Aptos" w:cs="Arial"/>
          <w:b/>
          <w:bCs/>
        </w:rPr>
        <w:t> </w:t>
      </w:r>
    </w:p>
    <w:p w14:paraId="08856ACE" w14:textId="77777777" w:rsidR="004F20AA" w:rsidRPr="004F20AA" w:rsidRDefault="004F20AA" w:rsidP="009142AA">
      <w:pPr>
        <w:rPr>
          <w:rFonts w:eastAsia="Aptos" w:cs="Arial"/>
        </w:rPr>
      </w:pPr>
      <w:r w:rsidRPr="004F20AA">
        <w:rPr>
          <w:rFonts w:eastAsia="Aptos" w:cs="Arial"/>
        </w:rPr>
        <w:t> </w:t>
      </w:r>
    </w:p>
    <w:p w14:paraId="015F1644" w14:textId="77777777" w:rsidR="004F20AA" w:rsidRPr="004F20AA" w:rsidRDefault="004F20AA" w:rsidP="009142AA">
      <w:pPr>
        <w:rPr>
          <w:rFonts w:eastAsia="Aptos" w:cs="Arial"/>
        </w:rPr>
      </w:pPr>
      <w:r w:rsidRPr="004F20AA">
        <w:rPr>
          <w:rFonts w:eastAsia="Aptos" w:cs="Arial"/>
          <w:lang w:val="en-US"/>
        </w:rPr>
        <w:t>Does the dispensary provide any of the following?</w:t>
      </w:r>
      <w:r w:rsidRPr="004F20AA">
        <w:rPr>
          <w:rFonts w:eastAsia="Aptos" w:cs="Arial"/>
        </w:rPr>
        <w:t> </w:t>
      </w:r>
    </w:p>
    <w:p w14:paraId="37E5CF5F" w14:textId="77777777" w:rsidR="004F20AA" w:rsidRPr="004F20AA" w:rsidRDefault="004F20AA" w:rsidP="009142AA">
      <w:pPr>
        <w:rPr>
          <w:rFonts w:eastAsia="Aptos" w:cs="Arial"/>
        </w:rPr>
      </w:pPr>
    </w:p>
    <w:p w14:paraId="065150D9" w14:textId="77777777" w:rsidR="004F20AA" w:rsidRPr="004F20AA" w:rsidRDefault="004F20AA" w:rsidP="00B76905">
      <w:pPr>
        <w:numPr>
          <w:ilvl w:val="0"/>
          <w:numId w:val="283"/>
        </w:numPr>
        <w:contextualSpacing/>
        <w:rPr>
          <w:rFonts w:eastAsia="Aptos" w:cs="Arial"/>
        </w:rPr>
      </w:pPr>
      <w:r w:rsidRPr="004F20AA">
        <w:rPr>
          <w:rFonts w:eastAsia="Aptos" w:cs="Arial"/>
        </w:rPr>
        <w:t xml:space="preserve">Delivery of dispensed medicines – free of charge </w:t>
      </w:r>
      <w:r w:rsidRPr="004F20AA">
        <w:rPr>
          <w:rFonts w:eastAsia="Aptos" w:cs="Arial"/>
        </w:rPr>
        <w:tab/>
      </w:r>
      <w:sdt>
        <w:sdtPr>
          <w:rPr>
            <w:rFonts w:eastAsia="MS Gothic" w:cs="Arial"/>
            <w:lang w:val="en-US"/>
          </w:rPr>
          <w:id w:val="-1955393676"/>
          <w14:checkbox>
            <w14:checked w14:val="0"/>
            <w14:checkedState w14:val="2612" w14:font="MS Gothic"/>
            <w14:uncheckedState w14:val="2610" w14:font="MS Gothic"/>
          </w14:checkbox>
        </w:sdtPr>
        <w:sdtContent>
          <w:r w:rsidRPr="004F20AA">
            <w:rPr>
              <w:rFonts w:ascii="Segoe UI Symbol" w:eastAsia="MS Gothic" w:hAnsi="Segoe UI Symbol" w:cs="Segoe UI Symbol"/>
              <w:lang w:val="en-US"/>
            </w:rPr>
            <w:t>☐</w:t>
          </w:r>
        </w:sdtContent>
      </w:sdt>
      <w:r w:rsidRPr="004F20AA">
        <w:rPr>
          <w:rFonts w:eastAsia="Aptos" w:cs="Arial"/>
          <w:lang w:val="en-US"/>
        </w:rPr>
        <w:t xml:space="preserve"> Yes</w:t>
      </w:r>
      <w:r w:rsidRPr="004F20AA">
        <w:rPr>
          <w:rFonts w:eastAsia="Aptos" w:cs="Arial"/>
        </w:rPr>
        <w:tab/>
      </w:r>
      <w:r w:rsidRPr="004F20AA">
        <w:rPr>
          <w:rFonts w:eastAsia="Aptos" w:cs="Arial"/>
        </w:rPr>
        <w:tab/>
      </w:r>
    </w:p>
    <w:p w14:paraId="789751E5" w14:textId="77777777" w:rsidR="004F20AA" w:rsidRPr="004F20AA" w:rsidRDefault="004F20AA" w:rsidP="009142AA">
      <w:pPr>
        <w:ind w:left="720"/>
        <w:contextualSpacing/>
        <w:rPr>
          <w:rFonts w:eastAsia="Aptos" w:cs="Arial"/>
        </w:rPr>
      </w:pPr>
      <w:r w:rsidRPr="004F20AA">
        <w:rPr>
          <w:rFonts w:eastAsia="Aptos" w:cs="Arial"/>
        </w:rPr>
        <w:t xml:space="preserve">on request </w:t>
      </w:r>
    </w:p>
    <w:p w14:paraId="5624980E" w14:textId="77777777" w:rsidR="004F20AA" w:rsidRPr="004F20AA" w:rsidRDefault="004F20AA" w:rsidP="00B76905">
      <w:pPr>
        <w:numPr>
          <w:ilvl w:val="0"/>
          <w:numId w:val="283"/>
        </w:numPr>
        <w:ind w:left="426" w:hanging="66"/>
        <w:contextualSpacing/>
        <w:rPr>
          <w:rFonts w:eastAsia="Aptos" w:cs="Arial"/>
        </w:rPr>
      </w:pPr>
      <w:r w:rsidRPr="004F20AA">
        <w:rPr>
          <w:rFonts w:eastAsia="Aptos" w:cs="Arial"/>
        </w:rPr>
        <w:t xml:space="preserve">Delivery of dispensed medicines – selected patient </w:t>
      </w:r>
      <w:r w:rsidRPr="004F20AA">
        <w:rPr>
          <w:rFonts w:eastAsia="Aptos" w:cs="Arial"/>
        </w:rPr>
        <w:tab/>
      </w:r>
      <w:sdt>
        <w:sdtPr>
          <w:rPr>
            <w:rFonts w:eastAsia="MS Gothic" w:cs="Arial"/>
            <w:lang w:val="en-US"/>
          </w:rPr>
          <w:id w:val="438107746"/>
          <w14:checkbox>
            <w14:checked w14:val="0"/>
            <w14:checkedState w14:val="2612" w14:font="MS Gothic"/>
            <w14:uncheckedState w14:val="2610" w14:font="MS Gothic"/>
          </w14:checkbox>
        </w:sdtPr>
        <w:sdtContent>
          <w:r w:rsidRPr="004F20AA">
            <w:rPr>
              <w:rFonts w:ascii="Segoe UI Symbol" w:eastAsia="MS Gothic" w:hAnsi="Segoe UI Symbol" w:cs="Segoe UI Symbol"/>
              <w:lang w:val="en-US"/>
            </w:rPr>
            <w:t>☐</w:t>
          </w:r>
        </w:sdtContent>
      </w:sdt>
      <w:r w:rsidRPr="004F20AA">
        <w:rPr>
          <w:rFonts w:eastAsia="Aptos" w:cs="Arial"/>
          <w:lang w:val="en-US"/>
        </w:rPr>
        <w:t xml:space="preserve"> Yes</w:t>
      </w:r>
      <w:r w:rsidRPr="004F20AA">
        <w:rPr>
          <w:rFonts w:eastAsia="Aptos" w:cs="Arial"/>
        </w:rPr>
        <w:tab/>
      </w:r>
      <w:r w:rsidRPr="004F20AA">
        <w:rPr>
          <w:rFonts w:eastAsia="Aptos" w:cs="Arial"/>
        </w:rPr>
        <w:tab/>
      </w:r>
      <w:r w:rsidRPr="004F20AA">
        <w:rPr>
          <w:rFonts w:eastAsia="Aptos" w:cs="Arial"/>
        </w:rPr>
        <w:tab/>
      </w:r>
      <w:r w:rsidRPr="004F20AA">
        <w:rPr>
          <w:rFonts w:eastAsia="Aptos" w:cs="Arial"/>
        </w:rPr>
        <w:tab/>
        <w:t>groups (list criteria)</w:t>
      </w:r>
    </w:p>
    <w:p w14:paraId="54EA36D6" w14:textId="63255C71" w:rsidR="004F20AA" w:rsidRPr="004F20AA" w:rsidRDefault="00000000" w:rsidP="009142AA">
      <w:pPr>
        <w:ind w:firstLine="720"/>
        <w:rPr>
          <w:rFonts w:eastAsia="Aptos" w:cs="Arial"/>
        </w:rPr>
      </w:pPr>
      <w:sdt>
        <w:sdtPr>
          <w:rPr>
            <w:rFonts w:eastAsia="Calibri" w:cs="Arial"/>
          </w:rPr>
          <w:id w:val="1674682277"/>
          <w:placeholder>
            <w:docPart w:val="72C94589F7C34E0C82D5D48A41169D3B"/>
          </w:placeholder>
          <w:showingPlcHdr/>
        </w:sdtPr>
        <w:sdtContent>
          <w:r w:rsidR="009142AA" w:rsidRPr="00D0306F">
            <w:rPr>
              <w:rStyle w:val="PlaceholderText"/>
              <w:rFonts w:asciiTheme="minorHAnsi" w:eastAsiaTheme="minorEastAsia" w:hAnsiTheme="minorHAnsi"/>
            </w:rPr>
            <w:t>Click or tap here to enter text.</w:t>
          </w:r>
        </w:sdtContent>
      </w:sdt>
    </w:p>
    <w:p w14:paraId="08EFFE93" w14:textId="77777777" w:rsidR="004F20AA" w:rsidRPr="004F20AA" w:rsidRDefault="004F20AA" w:rsidP="00B76905">
      <w:pPr>
        <w:numPr>
          <w:ilvl w:val="0"/>
          <w:numId w:val="283"/>
        </w:numPr>
        <w:contextualSpacing/>
        <w:rPr>
          <w:rFonts w:eastAsia="Aptos" w:cs="Arial"/>
        </w:rPr>
      </w:pPr>
      <w:r w:rsidRPr="004F20AA">
        <w:rPr>
          <w:rFonts w:eastAsia="Aptos" w:cs="Arial"/>
        </w:rPr>
        <w:t xml:space="preserve">Delivery of dispensed medicines – selected areas </w:t>
      </w:r>
      <w:r w:rsidRPr="004F20AA">
        <w:rPr>
          <w:rFonts w:eastAsia="Aptos" w:cs="Arial"/>
        </w:rPr>
        <w:tab/>
      </w:r>
      <w:sdt>
        <w:sdtPr>
          <w:rPr>
            <w:rFonts w:eastAsia="MS Gothic" w:cs="Arial"/>
            <w:lang w:val="en-US"/>
          </w:rPr>
          <w:id w:val="-431354081"/>
          <w14:checkbox>
            <w14:checked w14:val="0"/>
            <w14:checkedState w14:val="2612" w14:font="MS Gothic"/>
            <w14:uncheckedState w14:val="2610" w14:font="MS Gothic"/>
          </w14:checkbox>
        </w:sdtPr>
        <w:sdtContent>
          <w:r w:rsidRPr="004F20AA">
            <w:rPr>
              <w:rFonts w:ascii="Segoe UI Symbol" w:eastAsia="MS Gothic" w:hAnsi="Segoe UI Symbol" w:cs="Segoe UI Symbol"/>
              <w:lang w:val="en-US"/>
            </w:rPr>
            <w:t>☐</w:t>
          </w:r>
        </w:sdtContent>
      </w:sdt>
      <w:r w:rsidRPr="004F20AA">
        <w:rPr>
          <w:rFonts w:eastAsia="Aptos" w:cs="Arial"/>
          <w:lang w:val="en-US"/>
        </w:rPr>
        <w:t xml:space="preserve"> Yes</w:t>
      </w:r>
      <w:r w:rsidRPr="004F20AA">
        <w:rPr>
          <w:rFonts w:eastAsia="Aptos" w:cs="Arial"/>
        </w:rPr>
        <w:tab/>
      </w:r>
      <w:r w:rsidRPr="004F20AA">
        <w:rPr>
          <w:rFonts w:eastAsia="Aptos" w:cs="Arial"/>
        </w:rPr>
        <w:tab/>
      </w:r>
      <w:r w:rsidRPr="004F20AA">
        <w:rPr>
          <w:rFonts w:eastAsia="Aptos" w:cs="Arial"/>
        </w:rPr>
        <w:tab/>
        <w:t xml:space="preserve"> (list areas)</w:t>
      </w:r>
    </w:p>
    <w:p w14:paraId="7A060A77" w14:textId="77777777" w:rsidR="004F20AA" w:rsidRPr="004F20AA" w:rsidRDefault="00000000" w:rsidP="009142AA">
      <w:pPr>
        <w:ind w:firstLine="720"/>
        <w:rPr>
          <w:rFonts w:eastAsia="Aptos" w:cs="Arial"/>
        </w:rPr>
      </w:pPr>
      <w:sdt>
        <w:sdtPr>
          <w:rPr>
            <w:rFonts w:eastAsia="Calibri" w:cs="Arial"/>
          </w:rPr>
          <w:id w:val="1506170820"/>
          <w:placeholder>
            <w:docPart w:val="913B8FA6C36A401884A83BCC971EE91E"/>
          </w:placeholder>
          <w:showingPlcHdr/>
        </w:sdtPr>
        <w:sdtContent>
          <w:r w:rsidR="004F20AA" w:rsidRPr="004F20AA">
            <w:rPr>
              <w:rFonts w:eastAsia="Aptos" w:cs="Arial"/>
              <w:color w:val="666666"/>
            </w:rPr>
            <w:t>Click or tap here to enter text.</w:t>
          </w:r>
        </w:sdtContent>
      </w:sdt>
    </w:p>
    <w:p w14:paraId="43454CB0" w14:textId="77777777" w:rsidR="004F20AA" w:rsidRPr="004F20AA" w:rsidRDefault="004F20AA" w:rsidP="00B76905">
      <w:pPr>
        <w:numPr>
          <w:ilvl w:val="0"/>
          <w:numId w:val="283"/>
        </w:numPr>
        <w:contextualSpacing/>
        <w:rPr>
          <w:rFonts w:eastAsia="Aptos" w:cs="Arial"/>
        </w:rPr>
      </w:pPr>
      <w:r w:rsidRPr="004F20AA">
        <w:rPr>
          <w:rFonts w:eastAsia="Aptos" w:cs="Arial"/>
        </w:rPr>
        <w:t>Delivery of dispensed medicines – chargeable</w:t>
      </w:r>
      <w:r w:rsidRPr="004F20AA">
        <w:rPr>
          <w:rFonts w:eastAsia="Aptos" w:cs="Arial"/>
        </w:rPr>
        <w:tab/>
      </w:r>
      <w:r w:rsidRPr="004F20AA">
        <w:rPr>
          <w:rFonts w:eastAsia="Aptos" w:cs="Arial"/>
        </w:rPr>
        <w:tab/>
      </w:r>
      <w:sdt>
        <w:sdtPr>
          <w:rPr>
            <w:rFonts w:eastAsia="MS Gothic" w:cs="Arial"/>
            <w:lang w:val="en-US"/>
          </w:rPr>
          <w:id w:val="1531606752"/>
          <w14:checkbox>
            <w14:checked w14:val="0"/>
            <w14:checkedState w14:val="2612" w14:font="MS Gothic"/>
            <w14:uncheckedState w14:val="2610" w14:font="MS Gothic"/>
          </w14:checkbox>
        </w:sdtPr>
        <w:sdtContent>
          <w:r w:rsidRPr="004F20AA">
            <w:rPr>
              <w:rFonts w:ascii="Segoe UI Symbol" w:eastAsia="MS Gothic" w:hAnsi="Segoe UI Symbol" w:cs="Segoe UI Symbol"/>
              <w:lang w:val="en-US"/>
            </w:rPr>
            <w:t>☐</w:t>
          </w:r>
        </w:sdtContent>
      </w:sdt>
      <w:r w:rsidRPr="004F20AA">
        <w:rPr>
          <w:rFonts w:eastAsia="Aptos" w:cs="Arial"/>
          <w:lang w:val="en-US"/>
        </w:rPr>
        <w:t xml:space="preserve"> Yes</w:t>
      </w:r>
      <w:r w:rsidRPr="004F20AA">
        <w:rPr>
          <w:rFonts w:eastAsia="Aptos" w:cs="Arial"/>
        </w:rPr>
        <w:tab/>
      </w:r>
    </w:p>
    <w:p w14:paraId="7B2E1066" w14:textId="77777777" w:rsidR="004F20AA" w:rsidRPr="004F20AA" w:rsidRDefault="004F20AA" w:rsidP="00B76905">
      <w:pPr>
        <w:numPr>
          <w:ilvl w:val="0"/>
          <w:numId w:val="283"/>
        </w:numPr>
        <w:contextualSpacing/>
        <w:rPr>
          <w:rFonts w:eastAsia="Aptos" w:cs="Arial"/>
        </w:rPr>
      </w:pPr>
      <w:r w:rsidRPr="004F20AA">
        <w:rPr>
          <w:rFonts w:eastAsia="Aptos" w:cs="Arial"/>
        </w:rPr>
        <w:t>Automated collection point</w:t>
      </w:r>
      <w:r w:rsidRPr="004F20AA">
        <w:rPr>
          <w:rFonts w:eastAsia="Aptos" w:cs="Arial"/>
        </w:rPr>
        <w:tab/>
      </w:r>
      <w:r w:rsidRPr="004F20AA">
        <w:rPr>
          <w:rFonts w:eastAsia="Aptos" w:cs="Arial"/>
        </w:rPr>
        <w:tab/>
      </w:r>
      <w:r w:rsidRPr="004F20AA">
        <w:rPr>
          <w:rFonts w:eastAsia="Aptos" w:cs="Arial"/>
        </w:rPr>
        <w:tab/>
      </w:r>
      <w:r w:rsidRPr="004F20AA">
        <w:rPr>
          <w:rFonts w:eastAsia="Aptos" w:cs="Arial"/>
        </w:rPr>
        <w:tab/>
      </w:r>
      <w:r w:rsidRPr="004F20AA">
        <w:rPr>
          <w:rFonts w:eastAsia="Aptos" w:cs="Arial"/>
        </w:rPr>
        <w:tab/>
      </w:r>
      <w:sdt>
        <w:sdtPr>
          <w:rPr>
            <w:rFonts w:eastAsia="MS Gothic" w:cs="Arial"/>
            <w:lang w:val="en-US"/>
          </w:rPr>
          <w:id w:val="-1091779782"/>
          <w14:checkbox>
            <w14:checked w14:val="0"/>
            <w14:checkedState w14:val="2612" w14:font="MS Gothic"/>
            <w14:uncheckedState w14:val="2610" w14:font="MS Gothic"/>
          </w14:checkbox>
        </w:sdtPr>
        <w:sdtContent>
          <w:r w:rsidRPr="004F20AA">
            <w:rPr>
              <w:rFonts w:ascii="Segoe UI Symbol" w:eastAsia="MS Gothic" w:hAnsi="Segoe UI Symbol" w:cs="Segoe UI Symbol"/>
              <w:lang w:val="en-US"/>
            </w:rPr>
            <w:t>☐</w:t>
          </w:r>
        </w:sdtContent>
      </w:sdt>
      <w:r w:rsidRPr="004F20AA">
        <w:rPr>
          <w:rFonts w:eastAsia="Aptos" w:cs="Arial"/>
          <w:lang w:val="en-US"/>
        </w:rPr>
        <w:t xml:space="preserve"> Yes</w:t>
      </w:r>
    </w:p>
    <w:p w14:paraId="313815BD" w14:textId="77777777" w:rsidR="004F20AA" w:rsidRPr="004F20AA" w:rsidRDefault="004F20AA" w:rsidP="009142AA">
      <w:pPr>
        <w:rPr>
          <w:rFonts w:eastAsia="Aptos" w:cs="Arial"/>
        </w:rPr>
      </w:pPr>
    </w:p>
    <w:p w14:paraId="4FA6B0BA" w14:textId="77777777" w:rsidR="004F20AA" w:rsidRPr="004F20AA" w:rsidRDefault="004F20AA" w:rsidP="009142AA">
      <w:pPr>
        <w:rPr>
          <w:rFonts w:eastAsia="Aptos" w:cs="Arial"/>
          <w:lang w:val="en-US"/>
        </w:rPr>
      </w:pPr>
      <w:r w:rsidRPr="004F20AA">
        <w:rPr>
          <w:rFonts w:eastAsia="Aptos" w:cs="Arial"/>
          <w:b/>
          <w:bCs/>
          <w:lang w:val="en-US"/>
        </w:rPr>
        <w:t>Languages</w:t>
      </w:r>
    </w:p>
    <w:p w14:paraId="48D6AAD5" w14:textId="77777777" w:rsidR="004F20AA" w:rsidRPr="004F20AA" w:rsidRDefault="004F20AA" w:rsidP="009142AA">
      <w:pPr>
        <w:rPr>
          <w:rFonts w:eastAsia="Aptos" w:cs="Arial"/>
          <w:lang w:val="en-US"/>
        </w:rPr>
      </w:pPr>
    </w:p>
    <w:p w14:paraId="6E64905B" w14:textId="77777777" w:rsidR="004F20AA" w:rsidRPr="004F20AA" w:rsidRDefault="004F20AA" w:rsidP="009142AA">
      <w:pPr>
        <w:rPr>
          <w:rFonts w:eastAsia="Aptos" w:cs="Arial"/>
        </w:rPr>
      </w:pPr>
      <w:r w:rsidRPr="004F20AA">
        <w:rPr>
          <w:rFonts w:eastAsia="Aptos" w:cs="Arial"/>
          <w:lang w:val="en-US"/>
        </w:rPr>
        <w:t xml:space="preserve">Do you have Welsh speakers in your staff? </w:t>
      </w:r>
      <w:r w:rsidRPr="004F20AA">
        <w:rPr>
          <w:rFonts w:eastAsia="Aptos" w:cs="Arial"/>
          <w:lang w:val="en-US"/>
        </w:rPr>
        <w:tab/>
      </w:r>
      <w:r w:rsidRPr="004F20AA">
        <w:rPr>
          <w:rFonts w:eastAsia="Aptos" w:cs="Arial"/>
          <w:lang w:val="en-US"/>
        </w:rPr>
        <w:tab/>
      </w:r>
      <w:r w:rsidRPr="004F20AA">
        <w:rPr>
          <w:rFonts w:eastAsia="Aptos" w:cs="Arial"/>
          <w:lang w:val="en-US"/>
        </w:rPr>
        <w:tab/>
      </w:r>
      <w:sdt>
        <w:sdtPr>
          <w:rPr>
            <w:rFonts w:eastAsia="Aptos" w:cs="Arial"/>
            <w:lang w:val="en-US"/>
          </w:rPr>
          <w:id w:val="-312875289"/>
          <w14:checkbox>
            <w14:checked w14:val="0"/>
            <w14:checkedState w14:val="2612" w14:font="MS Gothic"/>
            <w14:uncheckedState w14:val="2610" w14:font="MS Gothic"/>
          </w14:checkbox>
        </w:sdtPr>
        <w:sdtContent>
          <w:r w:rsidRPr="004F20AA">
            <w:rPr>
              <w:rFonts w:ascii="Segoe UI Symbol" w:eastAsia="Aptos" w:hAnsi="Segoe UI Symbol" w:cs="Segoe UI Symbol"/>
              <w:lang w:val="en-US"/>
            </w:rPr>
            <w:t>☐</w:t>
          </w:r>
        </w:sdtContent>
      </w:sdt>
      <w:r w:rsidRPr="004F20AA">
        <w:rPr>
          <w:rFonts w:eastAsia="Aptos" w:cs="Arial"/>
          <w:lang w:val="en-US"/>
        </w:rPr>
        <w:t xml:space="preserve"> Yes</w:t>
      </w:r>
      <w:r w:rsidRPr="004F20AA">
        <w:rPr>
          <w:rFonts w:eastAsia="Aptos" w:cs="Arial"/>
        </w:rPr>
        <w:tab/>
      </w:r>
    </w:p>
    <w:p w14:paraId="2302F13D" w14:textId="77777777" w:rsidR="004F20AA" w:rsidRPr="004F20AA" w:rsidRDefault="004F20AA" w:rsidP="009142AA">
      <w:pPr>
        <w:rPr>
          <w:rFonts w:eastAsia="Aptos" w:cs="Arial"/>
          <w:b/>
          <w:bCs/>
          <w:lang w:val="en-US"/>
        </w:rPr>
      </w:pPr>
    </w:p>
    <w:p w14:paraId="42ED8681" w14:textId="7F27680E" w:rsidR="004F20AA" w:rsidRPr="004F20AA" w:rsidRDefault="004F20AA" w:rsidP="009142AA">
      <w:pPr>
        <w:rPr>
          <w:rFonts w:eastAsia="Aptos" w:cs="Arial"/>
        </w:rPr>
      </w:pPr>
      <w:r w:rsidRPr="004F20AA">
        <w:rPr>
          <w:rFonts w:eastAsia="Aptos" w:cs="Arial"/>
        </w:rPr>
        <w:t>Are any other languages spoken by staff (in addition to English)?</w:t>
      </w:r>
      <w:r w:rsidR="00B752FC">
        <w:rPr>
          <w:rFonts w:eastAsia="Aptos" w:cs="Arial"/>
        </w:rPr>
        <w:t xml:space="preserve"> </w:t>
      </w:r>
      <w:sdt>
        <w:sdtPr>
          <w:rPr>
            <w:rFonts w:eastAsia="Aptos" w:cs="Arial"/>
            <w:lang w:val="en-US"/>
          </w:rPr>
          <w:id w:val="-2048904551"/>
          <w14:checkbox>
            <w14:checked w14:val="0"/>
            <w14:checkedState w14:val="2612" w14:font="MS Gothic"/>
            <w14:uncheckedState w14:val="2610" w14:font="MS Gothic"/>
          </w14:checkbox>
        </w:sdtPr>
        <w:sdtContent>
          <w:r w:rsidRPr="004F20AA">
            <w:rPr>
              <w:rFonts w:ascii="Segoe UI Symbol" w:eastAsia="Aptos" w:hAnsi="Segoe UI Symbol" w:cs="Segoe UI Symbol"/>
              <w:lang w:val="en-US"/>
            </w:rPr>
            <w:t>☐</w:t>
          </w:r>
        </w:sdtContent>
      </w:sdt>
      <w:r w:rsidRPr="004F20AA">
        <w:rPr>
          <w:rFonts w:eastAsia="Aptos" w:cs="Arial"/>
          <w:lang w:val="en-US"/>
        </w:rPr>
        <w:t xml:space="preserve"> Yes</w:t>
      </w:r>
      <w:r w:rsidRPr="004F20AA">
        <w:rPr>
          <w:rFonts w:eastAsia="Aptos" w:cs="Arial"/>
        </w:rPr>
        <w:tab/>
      </w:r>
      <w:sdt>
        <w:sdtPr>
          <w:rPr>
            <w:rFonts w:eastAsia="Aptos" w:cs="Arial"/>
          </w:rPr>
          <w:id w:val="2036998616"/>
          <w14:checkbox>
            <w14:checked w14:val="0"/>
            <w14:checkedState w14:val="2612" w14:font="MS Gothic"/>
            <w14:uncheckedState w14:val="2610" w14:font="MS Gothic"/>
          </w14:checkbox>
        </w:sdtPr>
        <w:sdtContent>
          <w:r w:rsidRPr="004F20AA">
            <w:rPr>
              <w:rFonts w:ascii="Segoe UI Symbol" w:eastAsia="Aptos" w:hAnsi="Segoe UI Symbol" w:cs="Segoe UI Symbol"/>
            </w:rPr>
            <w:t>☐</w:t>
          </w:r>
        </w:sdtContent>
      </w:sdt>
      <w:r w:rsidRPr="004F20AA">
        <w:rPr>
          <w:rFonts w:eastAsia="Aptos" w:cs="Arial"/>
        </w:rPr>
        <w:t xml:space="preserve"> </w:t>
      </w:r>
      <w:r w:rsidRPr="004F20AA">
        <w:rPr>
          <w:rFonts w:eastAsia="Aptos" w:cs="Arial"/>
          <w:lang w:val="en-US"/>
        </w:rPr>
        <w:t>No</w:t>
      </w:r>
      <w:r w:rsidRPr="004F20AA">
        <w:rPr>
          <w:rFonts w:eastAsia="Aptos" w:cs="Arial"/>
        </w:rPr>
        <w:t> </w:t>
      </w:r>
    </w:p>
    <w:p w14:paraId="2D4DD86F" w14:textId="77777777" w:rsidR="004F20AA" w:rsidRPr="004F20AA" w:rsidRDefault="004F20AA" w:rsidP="009142AA">
      <w:pPr>
        <w:rPr>
          <w:rFonts w:eastAsia="Aptos" w:cs="Arial"/>
        </w:rPr>
      </w:pPr>
      <w:r w:rsidRPr="004F20AA">
        <w:rPr>
          <w:rFonts w:eastAsia="Aptos" w:cs="Arial"/>
        </w:rPr>
        <w:t>If you have ticked “Yes”, please list the services below.</w:t>
      </w:r>
    </w:p>
    <w:p w14:paraId="1E74DE70" w14:textId="77777777" w:rsidR="004F20AA" w:rsidRPr="004F20AA" w:rsidRDefault="004F20AA" w:rsidP="009142AA">
      <w:pPr>
        <w:rPr>
          <w:rFonts w:eastAsia="Aptos" w:cs="Arial"/>
          <w:b/>
          <w:bCs/>
        </w:rPr>
      </w:pPr>
    </w:p>
    <w:p w14:paraId="04862670" w14:textId="77777777" w:rsidR="004F20AA" w:rsidRPr="004F20AA" w:rsidRDefault="00000000" w:rsidP="009142AA">
      <w:pPr>
        <w:rPr>
          <w:rFonts w:eastAsia="Aptos" w:cs="Arial"/>
          <w:b/>
          <w:bCs/>
        </w:rPr>
      </w:pPr>
      <w:sdt>
        <w:sdtPr>
          <w:rPr>
            <w:rFonts w:eastAsia="Calibri" w:cs="Arial"/>
          </w:rPr>
          <w:id w:val="-1112748425"/>
          <w:placeholder>
            <w:docPart w:val="79EC372AA07340F78FFAB01ABB7945ED"/>
          </w:placeholder>
          <w:showingPlcHdr/>
        </w:sdtPr>
        <w:sdtContent>
          <w:r w:rsidR="004F20AA" w:rsidRPr="004F20AA">
            <w:rPr>
              <w:rFonts w:eastAsia="Aptos" w:cs="Arial"/>
              <w:color w:val="666666"/>
            </w:rPr>
            <w:t>Click or tap here to enter text.</w:t>
          </w:r>
        </w:sdtContent>
      </w:sdt>
    </w:p>
    <w:p w14:paraId="297D4F8F" w14:textId="77777777" w:rsidR="004F20AA" w:rsidRPr="004F20AA" w:rsidRDefault="004F20AA" w:rsidP="009142AA">
      <w:pPr>
        <w:rPr>
          <w:rFonts w:eastAsia="Aptos" w:cs="Arial"/>
        </w:rPr>
      </w:pPr>
      <w:r w:rsidRPr="004F20AA">
        <w:rPr>
          <w:rFonts w:eastAsia="Aptos" w:cs="Arial"/>
        </w:rPr>
        <w:t> </w:t>
      </w:r>
    </w:p>
    <w:p w14:paraId="4761F59E" w14:textId="77777777" w:rsidR="004F20AA" w:rsidRPr="004F20AA" w:rsidRDefault="004F20AA" w:rsidP="009142AA">
      <w:pPr>
        <w:rPr>
          <w:rFonts w:eastAsia="Aptos" w:cs="Arial"/>
          <w:b/>
          <w:bCs/>
        </w:rPr>
      </w:pPr>
      <w:r w:rsidRPr="004F20AA">
        <w:rPr>
          <w:rFonts w:eastAsia="Aptos" w:cs="Arial"/>
          <w:b/>
          <w:bCs/>
          <w:lang w:val="en-US"/>
        </w:rPr>
        <w:t>Capacity</w:t>
      </w:r>
      <w:r w:rsidRPr="004F20AA">
        <w:rPr>
          <w:rFonts w:eastAsia="Aptos" w:cs="Arial"/>
          <w:b/>
          <w:bCs/>
        </w:rPr>
        <w:t> </w:t>
      </w:r>
    </w:p>
    <w:p w14:paraId="141891FB" w14:textId="77777777" w:rsidR="004F20AA" w:rsidRPr="004F20AA" w:rsidRDefault="004F20AA" w:rsidP="009142AA">
      <w:pPr>
        <w:rPr>
          <w:rFonts w:eastAsia="Aptos" w:cs="Arial"/>
        </w:rPr>
      </w:pPr>
      <w:r w:rsidRPr="004F20AA">
        <w:rPr>
          <w:rFonts w:eastAsia="Aptos" w:cs="Arial"/>
        </w:rPr>
        <w:t> </w:t>
      </w:r>
    </w:p>
    <w:p w14:paraId="0DA50D06" w14:textId="77777777" w:rsidR="004F20AA" w:rsidRPr="004F20AA" w:rsidRDefault="004F20AA" w:rsidP="009142AA">
      <w:pPr>
        <w:rPr>
          <w:rFonts w:eastAsia="Aptos" w:cs="Arial"/>
        </w:rPr>
      </w:pPr>
      <w:r w:rsidRPr="004F20AA">
        <w:rPr>
          <w:rFonts w:eastAsia="Aptos" w:cs="Arial"/>
        </w:rPr>
        <w:t xml:space="preserve">We need to understand your current capacity and whether or not you can meet an increased demand for the pharmaceutical services you provide. With this in mind please select the options that best reflect your situation at the moment with regard to your premises and staffing levels. We appreciate that the position may well change and will therefore treat your response as being at a fixed point in time. </w:t>
      </w:r>
    </w:p>
    <w:p w14:paraId="0FF1538F" w14:textId="77777777" w:rsidR="004F20AA" w:rsidRPr="004F20AA" w:rsidRDefault="004F20AA" w:rsidP="009142AA">
      <w:pPr>
        <w:rPr>
          <w:rFonts w:eastAsia="Aptos" w:cs="Arial"/>
        </w:rPr>
      </w:pPr>
    </w:p>
    <w:tbl>
      <w:tblPr>
        <w:tblW w:w="91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735"/>
        <w:gridCol w:w="1284"/>
        <w:gridCol w:w="1127"/>
      </w:tblGrid>
      <w:tr w:rsidR="004F20AA" w:rsidRPr="004F20AA" w14:paraId="75247A47" w14:textId="77777777" w:rsidTr="004F20AA">
        <w:tc>
          <w:tcPr>
            <w:tcW w:w="67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1F4727" w14:textId="77777777" w:rsidR="004F20AA" w:rsidRPr="004F20AA" w:rsidRDefault="004F20AA" w:rsidP="009142AA">
            <w:pPr>
              <w:rPr>
                <w:rFonts w:eastAsia="Aptos" w:cs="Arial"/>
              </w:rPr>
            </w:pPr>
          </w:p>
        </w:tc>
        <w:tc>
          <w:tcPr>
            <w:tcW w:w="12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F97178" w14:textId="77777777" w:rsidR="004F20AA" w:rsidRPr="004F20AA" w:rsidRDefault="004F20AA" w:rsidP="009142AA">
            <w:pPr>
              <w:rPr>
                <w:rFonts w:eastAsia="Aptos" w:cs="Arial"/>
                <w:b/>
                <w:bCs/>
              </w:rPr>
            </w:pPr>
            <w:r w:rsidRPr="004F20AA">
              <w:rPr>
                <w:rFonts w:eastAsia="Aptos" w:cs="Arial"/>
                <w:b/>
                <w:bCs/>
              </w:rPr>
              <w:t>Premises</w:t>
            </w:r>
          </w:p>
        </w:tc>
        <w:tc>
          <w:tcPr>
            <w:tcW w:w="1127" w:type="dxa"/>
            <w:tcBorders>
              <w:top w:val="single" w:sz="4" w:space="0" w:color="auto"/>
              <w:left w:val="single" w:sz="4" w:space="0" w:color="auto"/>
              <w:bottom w:val="single" w:sz="4" w:space="0" w:color="auto"/>
              <w:right w:val="single" w:sz="4" w:space="0" w:color="auto"/>
            </w:tcBorders>
            <w:hideMark/>
          </w:tcPr>
          <w:p w14:paraId="5682DB50" w14:textId="77777777" w:rsidR="004F20AA" w:rsidRPr="004F20AA" w:rsidRDefault="004F20AA" w:rsidP="009142AA">
            <w:pPr>
              <w:ind w:left="56"/>
              <w:contextualSpacing/>
              <w:rPr>
                <w:rFonts w:eastAsia="Aptos" w:cs="Arial"/>
                <w:b/>
                <w:bCs/>
              </w:rPr>
            </w:pPr>
            <w:r w:rsidRPr="004F20AA">
              <w:rPr>
                <w:rFonts w:eastAsia="Aptos" w:cs="Arial"/>
                <w:b/>
                <w:bCs/>
              </w:rPr>
              <w:t>Staffing levels</w:t>
            </w:r>
          </w:p>
        </w:tc>
      </w:tr>
      <w:tr w:rsidR="004F20AA" w:rsidRPr="004F20AA" w14:paraId="27DD1970" w14:textId="77777777" w:rsidTr="004F20AA">
        <w:tc>
          <w:tcPr>
            <w:tcW w:w="67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373FD6B" w14:textId="77777777" w:rsidR="004F20AA" w:rsidRPr="004F20AA" w:rsidRDefault="004F20AA" w:rsidP="009142AA">
            <w:pPr>
              <w:rPr>
                <w:rFonts w:eastAsia="Aptos" w:cs="Arial"/>
              </w:rPr>
            </w:pPr>
            <w:r w:rsidRPr="004F20AA">
              <w:rPr>
                <w:rFonts w:eastAsia="Aptos" w:cs="Arial"/>
              </w:rPr>
              <w:t>We have sufficient capacity to manage the increase in demand in our area.</w:t>
            </w:r>
          </w:p>
        </w:tc>
        <w:tc>
          <w:tcPr>
            <w:tcW w:w="12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CD9CA7" w14:textId="7077404C" w:rsidR="004F20AA" w:rsidRPr="004F20AA" w:rsidRDefault="00000000" w:rsidP="009142AA">
            <w:pPr>
              <w:rPr>
                <w:rFonts w:eastAsia="Aptos" w:cs="Arial"/>
              </w:rPr>
            </w:pPr>
            <w:sdt>
              <w:sdtPr>
                <w:rPr>
                  <w:rFonts w:eastAsia="Aptos" w:cs="Arial"/>
                </w:rPr>
                <w:id w:val="-1178423813"/>
                <w14:checkbox>
                  <w14:checked w14:val="0"/>
                  <w14:checkedState w14:val="2612" w14:font="MS Gothic"/>
                  <w14:uncheckedState w14:val="2610" w14:font="MS Gothic"/>
                </w14:checkbox>
              </w:sdtPr>
              <w:sdtContent>
                <w:r w:rsidR="004F20AA" w:rsidRPr="004F20AA">
                  <w:rPr>
                    <w:rFonts w:ascii="Segoe UI Symbol" w:eastAsia="Aptos" w:hAnsi="Segoe UI Symbol" w:cs="Segoe UI Symbol"/>
                  </w:rPr>
                  <w:t>☐</w:t>
                </w:r>
              </w:sdtContent>
            </w:sdt>
            <w:r w:rsidR="00B752FC">
              <w:rPr>
                <w:rFonts w:eastAsia="Aptos" w:cs="Arial"/>
              </w:rPr>
              <w:t xml:space="preserve"> </w:t>
            </w:r>
            <w:r w:rsidR="004F20AA" w:rsidRPr="004F20AA">
              <w:rPr>
                <w:rFonts w:eastAsia="Aptos" w:cs="Arial"/>
              </w:rPr>
              <w:t>Yes</w:t>
            </w:r>
          </w:p>
        </w:tc>
        <w:tc>
          <w:tcPr>
            <w:tcW w:w="1127" w:type="dxa"/>
            <w:tcBorders>
              <w:top w:val="single" w:sz="4" w:space="0" w:color="auto"/>
              <w:left w:val="single" w:sz="4" w:space="0" w:color="auto"/>
              <w:bottom w:val="single" w:sz="4" w:space="0" w:color="auto"/>
              <w:right w:val="single" w:sz="4" w:space="0" w:color="auto"/>
            </w:tcBorders>
            <w:hideMark/>
          </w:tcPr>
          <w:p w14:paraId="61FFA801" w14:textId="65D0FC33" w:rsidR="004F20AA" w:rsidRPr="004F20AA" w:rsidRDefault="00000000" w:rsidP="009142AA">
            <w:pPr>
              <w:rPr>
                <w:rFonts w:eastAsia="Aptos" w:cs="Arial"/>
              </w:rPr>
            </w:pPr>
            <w:sdt>
              <w:sdtPr>
                <w:rPr>
                  <w:rFonts w:eastAsia="Aptos" w:cs="Arial"/>
                </w:rPr>
                <w:id w:val="-916554803"/>
                <w14:checkbox>
                  <w14:checked w14:val="0"/>
                  <w14:checkedState w14:val="2612" w14:font="MS Gothic"/>
                  <w14:uncheckedState w14:val="2610" w14:font="MS Gothic"/>
                </w14:checkbox>
              </w:sdtPr>
              <w:sdtContent>
                <w:r w:rsidR="004F20AA" w:rsidRPr="004F20AA">
                  <w:rPr>
                    <w:rFonts w:ascii="Segoe UI Symbol" w:eastAsia="Aptos" w:hAnsi="Segoe UI Symbol" w:cs="Segoe UI Symbol"/>
                  </w:rPr>
                  <w:t>☐</w:t>
                </w:r>
              </w:sdtContent>
            </w:sdt>
            <w:r w:rsidR="00B752FC">
              <w:rPr>
                <w:rFonts w:eastAsia="Aptos" w:cs="Arial"/>
              </w:rPr>
              <w:t xml:space="preserve"> </w:t>
            </w:r>
            <w:r w:rsidR="004F20AA" w:rsidRPr="004F20AA">
              <w:rPr>
                <w:rFonts w:eastAsia="Aptos" w:cs="Arial"/>
              </w:rPr>
              <w:t>Yes</w:t>
            </w:r>
          </w:p>
        </w:tc>
      </w:tr>
      <w:tr w:rsidR="004F20AA" w:rsidRPr="004F20AA" w14:paraId="0F166C06" w14:textId="77777777" w:rsidTr="004F20AA">
        <w:tc>
          <w:tcPr>
            <w:tcW w:w="67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25A6D1" w14:textId="77777777" w:rsidR="004F20AA" w:rsidRPr="004F20AA" w:rsidRDefault="004F20AA" w:rsidP="009142AA">
            <w:pPr>
              <w:rPr>
                <w:rFonts w:eastAsia="Aptos" w:cs="Arial"/>
              </w:rPr>
            </w:pPr>
            <w:r w:rsidRPr="004F20AA">
              <w:rPr>
                <w:rFonts w:eastAsia="Aptos" w:cs="Arial"/>
              </w:rPr>
              <w:t>We don’t have sufficient capacity at present but could make adjustments to manage the increase in demand in our area.</w:t>
            </w:r>
          </w:p>
        </w:tc>
        <w:tc>
          <w:tcPr>
            <w:tcW w:w="12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7D848F" w14:textId="6B5CB2AB" w:rsidR="004F20AA" w:rsidRPr="004F20AA" w:rsidRDefault="00000000" w:rsidP="009142AA">
            <w:pPr>
              <w:rPr>
                <w:rFonts w:eastAsia="Aptos" w:cs="Arial"/>
              </w:rPr>
            </w:pPr>
            <w:sdt>
              <w:sdtPr>
                <w:rPr>
                  <w:rFonts w:eastAsia="Aptos" w:cs="Arial"/>
                </w:rPr>
                <w:id w:val="-1312707917"/>
                <w14:checkbox>
                  <w14:checked w14:val="0"/>
                  <w14:checkedState w14:val="2612" w14:font="MS Gothic"/>
                  <w14:uncheckedState w14:val="2610" w14:font="MS Gothic"/>
                </w14:checkbox>
              </w:sdtPr>
              <w:sdtContent>
                <w:r w:rsidR="004F20AA" w:rsidRPr="004F20AA">
                  <w:rPr>
                    <w:rFonts w:ascii="Segoe UI Symbol" w:eastAsia="Aptos" w:hAnsi="Segoe UI Symbol" w:cs="Segoe UI Symbol"/>
                  </w:rPr>
                  <w:t>☐</w:t>
                </w:r>
              </w:sdtContent>
            </w:sdt>
            <w:r w:rsidR="00B752FC">
              <w:rPr>
                <w:rFonts w:eastAsia="Aptos" w:cs="Arial"/>
              </w:rPr>
              <w:t xml:space="preserve"> </w:t>
            </w:r>
            <w:r w:rsidR="004F20AA" w:rsidRPr="004F20AA">
              <w:rPr>
                <w:rFonts w:eastAsia="Aptos" w:cs="Arial"/>
              </w:rPr>
              <w:t>Yes</w:t>
            </w:r>
          </w:p>
        </w:tc>
        <w:tc>
          <w:tcPr>
            <w:tcW w:w="1127" w:type="dxa"/>
            <w:tcBorders>
              <w:top w:val="single" w:sz="4" w:space="0" w:color="auto"/>
              <w:left w:val="single" w:sz="4" w:space="0" w:color="auto"/>
              <w:bottom w:val="single" w:sz="4" w:space="0" w:color="auto"/>
              <w:right w:val="single" w:sz="4" w:space="0" w:color="auto"/>
            </w:tcBorders>
            <w:hideMark/>
          </w:tcPr>
          <w:p w14:paraId="75531340" w14:textId="4BE05A70" w:rsidR="004F20AA" w:rsidRPr="004F20AA" w:rsidRDefault="00000000" w:rsidP="009142AA">
            <w:pPr>
              <w:rPr>
                <w:rFonts w:eastAsia="Aptos" w:cs="Arial"/>
              </w:rPr>
            </w:pPr>
            <w:sdt>
              <w:sdtPr>
                <w:rPr>
                  <w:rFonts w:eastAsia="Aptos" w:cs="Arial"/>
                </w:rPr>
                <w:id w:val="-367298390"/>
                <w14:checkbox>
                  <w14:checked w14:val="0"/>
                  <w14:checkedState w14:val="2612" w14:font="MS Gothic"/>
                  <w14:uncheckedState w14:val="2610" w14:font="MS Gothic"/>
                </w14:checkbox>
              </w:sdtPr>
              <w:sdtContent>
                <w:r w:rsidR="004F20AA" w:rsidRPr="004F20AA">
                  <w:rPr>
                    <w:rFonts w:ascii="Segoe UI Symbol" w:eastAsia="Aptos" w:hAnsi="Segoe UI Symbol" w:cs="Segoe UI Symbol"/>
                  </w:rPr>
                  <w:t>☐</w:t>
                </w:r>
              </w:sdtContent>
            </w:sdt>
            <w:r w:rsidR="00B752FC">
              <w:rPr>
                <w:rFonts w:eastAsia="Aptos" w:cs="Arial"/>
              </w:rPr>
              <w:t xml:space="preserve"> </w:t>
            </w:r>
            <w:r w:rsidR="004F20AA" w:rsidRPr="004F20AA">
              <w:rPr>
                <w:rFonts w:eastAsia="Aptos" w:cs="Arial"/>
              </w:rPr>
              <w:t>Yes</w:t>
            </w:r>
          </w:p>
        </w:tc>
      </w:tr>
      <w:tr w:rsidR="004F20AA" w:rsidRPr="004F20AA" w14:paraId="0BCF92E9" w14:textId="77777777" w:rsidTr="004F20AA">
        <w:tc>
          <w:tcPr>
            <w:tcW w:w="67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A3AD9B3" w14:textId="77777777" w:rsidR="004F20AA" w:rsidRPr="004F20AA" w:rsidRDefault="004F20AA" w:rsidP="009142AA">
            <w:pPr>
              <w:rPr>
                <w:rFonts w:eastAsia="Aptos" w:cs="Arial"/>
              </w:rPr>
            </w:pPr>
            <w:r w:rsidRPr="004F20AA">
              <w:rPr>
                <w:rFonts w:eastAsia="Aptos" w:cs="Arial"/>
              </w:rPr>
              <w:t>We don’t have sufficient capacity and would have difficulty in managing an increase in demand.</w:t>
            </w:r>
          </w:p>
        </w:tc>
        <w:tc>
          <w:tcPr>
            <w:tcW w:w="12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BE98B8" w14:textId="0CC8C5C7" w:rsidR="004F20AA" w:rsidRPr="004F20AA" w:rsidRDefault="00000000" w:rsidP="009142AA">
            <w:pPr>
              <w:rPr>
                <w:rFonts w:eastAsia="Aptos" w:cs="Arial"/>
              </w:rPr>
            </w:pPr>
            <w:sdt>
              <w:sdtPr>
                <w:rPr>
                  <w:rFonts w:eastAsia="Aptos" w:cs="Arial"/>
                </w:rPr>
                <w:id w:val="1823070418"/>
                <w14:checkbox>
                  <w14:checked w14:val="0"/>
                  <w14:checkedState w14:val="2612" w14:font="MS Gothic"/>
                  <w14:uncheckedState w14:val="2610" w14:font="MS Gothic"/>
                </w14:checkbox>
              </w:sdtPr>
              <w:sdtContent>
                <w:r w:rsidR="004F20AA" w:rsidRPr="004F20AA">
                  <w:rPr>
                    <w:rFonts w:ascii="Segoe UI Symbol" w:eastAsia="Aptos" w:hAnsi="Segoe UI Symbol" w:cs="Segoe UI Symbol"/>
                  </w:rPr>
                  <w:t>☐</w:t>
                </w:r>
              </w:sdtContent>
            </w:sdt>
            <w:r w:rsidR="00B752FC">
              <w:rPr>
                <w:rFonts w:eastAsia="Aptos" w:cs="Arial"/>
              </w:rPr>
              <w:t xml:space="preserve"> </w:t>
            </w:r>
            <w:r w:rsidR="004F20AA" w:rsidRPr="004F20AA">
              <w:rPr>
                <w:rFonts w:eastAsia="Aptos" w:cs="Arial"/>
              </w:rPr>
              <w:t>Yes</w:t>
            </w:r>
          </w:p>
        </w:tc>
        <w:tc>
          <w:tcPr>
            <w:tcW w:w="1127" w:type="dxa"/>
            <w:tcBorders>
              <w:top w:val="single" w:sz="4" w:space="0" w:color="auto"/>
              <w:left w:val="single" w:sz="4" w:space="0" w:color="auto"/>
              <w:bottom w:val="single" w:sz="4" w:space="0" w:color="auto"/>
              <w:right w:val="single" w:sz="4" w:space="0" w:color="auto"/>
            </w:tcBorders>
            <w:hideMark/>
          </w:tcPr>
          <w:p w14:paraId="20F5ABE1" w14:textId="4F1532AF" w:rsidR="004F20AA" w:rsidRPr="004F20AA" w:rsidRDefault="00000000" w:rsidP="009142AA">
            <w:pPr>
              <w:rPr>
                <w:rFonts w:eastAsia="Aptos" w:cs="Arial"/>
              </w:rPr>
            </w:pPr>
            <w:sdt>
              <w:sdtPr>
                <w:rPr>
                  <w:rFonts w:eastAsia="Aptos" w:cs="Arial"/>
                </w:rPr>
                <w:id w:val="1451359051"/>
                <w14:checkbox>
                  <w14:checked w14:val="0"/>
                  <w14:checkedState w14:val="2612" w14:font="MS Gothic"/>
                  <w14:uncheckedState w14:val="2610" w14:font="MS Gothic"/>
                </w14:checkbox>
              </w:sdtPr>
              <w:sdtContent>
                <w:r w:rsidR="004F20AA" w:rsidRPr="004F20AA">
                  <w:rPr>
                    <w:rFonts w:ascii="Segoe UI Symbol" w:eastAsia="Aptos" w:hAnsi="Segoe UI Symbol" w:cs="Segoe UI Symbol"/>
                  </w:rPr>
                  <w:t>☐</w:t>
                </w:r>
              </w:sdtContent>
            </w:sdt>
            <w:r w:rsidR="00B752FC">
              <w:rPr>
                <w:rFonts w:eastAsia="Aptos" w:cs="Arial"/>
              </w:rPr>
              <w:t xml:space="preserve"> </w:t>
            </w:r>
            <w:r w:rsidR="004F20AA" w:rsidRPr="004F20AA">
              <w:rPr>
                <w:rFonts w:eastAsia="Aptos" w:cs="Arial"/>
              </w:rPr>
              <w:t>Yes</w:t>
            </w:r>
          </w:p>
        </w:tc>
      </w:tr>
    </w:tbl>
    <w:p w14:paraId="3543A2A7" w14:textId="77777777" w:rsidR="004F20AA" w:rsidRPr="004F20AA" w:rsidRDefault="004F20AA" w:rsidP="009142AA">
      <w:pPr>
        <w:rPr>
          <w:rFonts w:eastAsia="Aptos" w:cs="Arial"/>
        </w:rPr>
      </w:pPr>
      <w:r w:rsidRPr="004F20AA">
        <w:rPr>
          <w:rFonts w:eastAsia="Aptos" w:cs="Arial"/>
        </w:rPr>
        <w:t> </w:t>
      </w:r>
    </w:p>
    <w:p w14:paraId="7EC3A85F" w14:textId="77777777" w:rsidR="004F20AA" w:rsidRPr="004F20AA" w:rsidRDefault="004F20AA" w:rsidP="009142AA">
      <w:pPr>
        <w:rPr>
          <w:rFonts w:eastAsia="Aptos" w:cs="Arial"/>
          <w:b/>
          <w:bCs/>
        </w:rPr>
      </w:pPr>
      <w:r w:rsidRPr="004F20AA">
        <w:rPr>
          <w:rFonts w:eastAsia="Aptos" w:cs="Arial"/>
          <w:b/>
          <w:bCs/>
          <w:lang w:val="en-US"/>
        </w:rPr>
        <w:lastRenderedPageBreak/>
        <w:t>Business development</w:t>
      </w:r>
      <w:r w:rsidRPr="004F20AA">
        <w:rPr>
          <w:rFonts w:eastAsia="Aptos" w:cs="Arial"/>
          <w:b/>
          <w:bCs/>
        </w:rPr>
        <w:t> </w:t>
      </w:r>
    </w:p>
    <w:p w14:paraId="331F3E32" w14:textId="77777777" w:rsidR="004F20AA" w:rsidRPr="004F20AA" w:rsidRDefault="004F20AA" w:rsidP="009142AA">
      <w:pPr>
        <w:rPr>
          <w:rFonts w:eastAsia="Aptos" w:cs="Arial"/>
          <w:b/>
          <w:bCs/>
        </w:rPr>
      </w:pPr>
    </w:p>
    <w:p w14:paraId="50A1DD67" w14:textId="77777777" w:rsidR="004F20AA" w:rsidRPr="004F20AA" w:rsidRDefault="004F20AA" w:rsidP="009142AA">
      <w:pPr>
        <w:rPr>
          <w:rFonts w:eastAsia="Aptos" w:cs="Arial"/>
        </w:rPr>
      </w:pPr>
      <w:r w:rsidRPr="004F20AA">
        <w:rPr>
          <w:rFonts w:eastAsia="Aptos" w:cs="Arial"/>
          <w:lang w:val="en-US"/>
        </w:rPr>
        <w:t>Do you have any plans to expand your premises?</w:t>
      </w:r>
      <w:r w:rsidRPr="004F20AA">
        <w:rPr>
          <w:rFonts w:eastAsia="Aptos" w:cs="Arial"/>
        </w:rPr>
        <w:t> </w:t>
      </w:r>
    </w:p>
    <w:p w14:paraId="6CB79F11" w14:textId="77777777" w:rsidR="004F20AA" w:rsidRPr="004F20AA" w:rsidRDefault="004F20AA" w:rsidP="009142AA">
      <w:pPr>
        <w:rPr>
          <w:rFonts w:eastAsia="Aptos" w:cs="Arial"/>
        </w:rPr>
      </w:pPr>
    </w:p>
    <w:p w14:paraId="5B5E4988" w14:textId="77777777" w:rsidR="004F20AA" w:rsidRPr="004F20AA" w:rsidRDefault="00000000" w:rsidP="009142AA">
      <w:pPr>
        <w:rPr>
          <w:rFonts w:eastAsia="Aptos" w:cs="Arial"/>
        </w:rPr>
      </w:pPr>
      <w:sdt>
        <w:sdtPr>
          <w:rPr>
            <w:rFonts w:eastAsia="Aptos" w:cs="Arial"/>
            <w:lang w:val="en-US"/>
          </w:rPr>
          <w:id w:val="-362905946"/>
          <w14:checkbox>
            <w14:checked w14:val="0"/>
            <w14:checkedState w14:val="2612" w14:font="MS Gothic"/>
            <w14:uncheckedState w14:val="2610" w14:font="MS Gothic"/>
          </w14:checkbox>
        </w:sdtPr>
        <w:sdtContent>
          <w:r w:rsidR="004F20AA" w:rsidRPr="004F20AA">
            <w:rPr>
              <w:rFonts w:ascii="Segoe UI Symbol" w:eastAsia="Aptos" w:hAnsi="Segoe UI Symbol" w:cs="Segoe UI Symbol"/>
              <w:lang w:val="en-US"/>
            </w:rPr>
            <w:t>☐</w:t>
          </w:r>
        </w:sdtContent>
      </w:sdt>
      <w:r w:rsidR="004F20AA" w:rsidRPr="004F20AA">
        <w:rPr>
          <w:rFonts w:eastAsia="Aptos" w:cs="Arial"/>
          <w:lang w:val="en-US"/>
        </w:rPr>
        <w:t> Yes </w:t>
      </w:r>
      <w:r w:rsidR="004F20AA" w:rsidRPr="004F20AA">
        <w:rPr>
          <w:rFonts w:eastAsia="Aptos" w:cs="Arial"/>
        </w:rPr>
        <w:tab/>
      </w:r>
      <w:sdt>
        <w:sdtPr>
          <w:rPr>
            <w:rFonts w:eastAsia="Aptos" w:cs="Arial"/>
          </w:rPr>
          <w:id w:val="126053006"/>
          <w14:checkbox>
            <w14:checked w14:val="0"/>
            <w14:checkedState w14:val="2612" w14:font="MS Gothic"/>
            <w14:uncheckedState w14:val="2610" w14:font="MS Gothic"/>
          </w14:checkbox>
        </w:sdtPr>
        <w:sdtContent>
          <w:r w:rsidR="004F20AA" w:rsidRPr="004F20AA">
            <w:rPr>
              <w:rFonts w:ascii="Segoe UI Symbol" w:eastAsia="Aptos" w:hAnsi="Segoe UI Symbol" w:cs="Segoe UI Symbol"/>
            </w:rPr>
            <w:t>☐</w:t>
          </w:r>
        </w:sdtContent>
      </w:sdt>
      <w:r w:rsidR="004F20AA" w:rsidRPr="004F20AA">
        <w:rPr>
          <w:rFonts w:eastAsia="Aptos" w:cs="Arial"/>
        </w:rPr>
        <w:t xml:space="preserve"> </w:t>
      </w:r>
      <w:r w:rsidR="004F20AA" w:rsidRPr="004F20AA">
        <w:rPr>
          <w:rFonts w:eastAsia="Aptos" w:cs="Arial"/>
          <w:lang w:val="en-US"/>
        </w:rPr>
        <w:t>No</w:t>
      </w:r>
      <w:r w:rsidR="004F20AA" w:rsidRPr="004F20AA">
        <w:rPr>
          <w:rFonts w:eastAsia="Aptos" w:cs="Arial"/>
        </w:rPr>
        <w:t> </w:t>
      </w:r>
    </w:p>
    <w:p w14:paraId="4B37D812" w14:textId="77777777" w:rsidR="004F20AA" w:rsidRPr="004F20AA" w:rsidRDefault="004F20AA" w:rsidP="009142AA">
      <w:pPr>
        <w:rPr>
          <w:rFonts w:eastAsia="Aptos" w:cs="Arial"/>
        </w:rPr>
      </w:pPr>
    </w:p>
    <w:p w14:paraId="3869196F" w14:textId="77777777" w:rsidR="004F20AA" w:rsidRPr="004F20AA" w:rsidRDefault="004F20AA" w:rsidP="009142AA">
      <w:pPr>
        <w:rPr>
          <w:rFonts w:eastAsia="Aptos" w:cs="Arial"/>
        </w:rPr>
      </w:pPr>
      <w:r w:rsidRPr="004F20AA">
        <w:rPr>
          <w:rFonts w:eastAsia="Aptos" w:cs="Arial"/>
        </w:rPr>
        <w:t>If yes, please provide details.</w:t>
      </w:r>
    </w:p>
    <w:p w14:paraId="33018A92" w14:textId="77777777" w:rsidR="004F20AA" w:rsidRPr="004F20AA" w:rsidRDefault="004F20AA" w:rsidP="009142AA">
      <w:pPr>
        <w:rPr>
          <w:rFonts w:eastAsia="Aptos" w:cs="Arial"/>
        </w:rPr>
      </w:pPr>
    </w:p>
    <w:tbl>
      <w:tblPr>
        <w:tblStyle w:val="TableGrid"/>
        <w:tblW w:w="0" w:type="auto"/>
        <w:tblInd w:w="0" w:type="dxa"/>
        <w:tblLook w:val="04A0" w:firstRow="1" w:lastRow="0" w:firstColumn="1" w:lastColumn="0" w:noHBand="0" w:noVBand="1"/>
      </w:tblPr>
      <w:tblGrid>
        <w:gridCol w:w="9016"/>
      </w:tblGrid>
      <w:tr w:rsidR="004F20AA" w:rsidRPr="004F20AA" w14:paraId="425D2279" w14:textId="77777777" w:rsidTr="004F20AA">
        <w:tc>
          <w:tcPr>
            <w:tcW w:w="9016" w:type="dxa"/>
            <w:tcBorders>
              <w:top w:val="single" w:sz="4" w:space="0" w:color="auto"/>
              <w:left w:val="single" w:sz="4" w:space="0" w:color="auto"/>
              <w:bottom w:val="single" w:sz="4" w:space="0" w:color="auto"/>
              <w:right w:val="single" w:sz="4" w:space="0" w:color="auto"/>
            </w:tcBorders>
          </w:tcPr>
          <w:p w14:paraId="5D2DD54F" w14:textId="77777777" w:rsidR="004F20AA" w:rsidRPr="004F20AA" w:rsidRDefault="004F20AA" w:rsidP="009142AA">
            <w:pPr>
              <w:rPr>
                <w:rFonts w:cs="Arial"/>
              </w:rPr>
            </w:pPr>
            <w:bookmarkStart w:id="57" w:name="_Hlk223455102"/>
          </w:p>
        </w:tc>
      </w:tr>
      <w:bookmarkEnd w:id="57"/>
    </w:tbl>
    <w:p w14:paraId="0A004F95" w14:textId="77777777" w:rsidR="004F20AA" w:rsidRPr="004F20AA" w:rsidRDefault="004F20AA" w:rsidP="009142AA">
      <w:pPr>
        <w:rPr>
          <w:rFonts w:eastAsia="Aptos" w:cs="Arial"/>
        </w:rPr>
      </w:pPr>
    </w:p>
    <w:p w14:paraId="48F9AF84" w14:textId="77777777" w:rsidR="004F20AA" w:rsidRPr="004F20AA" w:rsidRDefault="004F20AA" w:rsidP="009142AA">
      <w:pPr>
        <w:rPr>
          <w:rFonts w:eastAsia="Aptos" w:cs="Arial"/>
          <w:lang w:val="en-US"/>
        </w:rPr>
      </w:pPr>
      <w:r w:rsidRPr="004F20AA">
        <w:rPr>
          <w:rFonts w:eastAsia="Aptos" w:cs="Arial"/>
          <w:lang w:val="en-US"/>
        </w:rPr>
        <w:t>Do you have any plans to amend your dispensing opening hours?</w:t>
      </w:r>
    </w:p>
    <w:p w14:paraId="2DCF311F" w14:textId="77777777" w:rsidR="004F20AA" w:rsidRPr="004F20AA" w:rsidRDefault="004F20AA" w:rsidP="009142AA">
      <w:pPr>
        <w:rPr>
          <w:rFonts w:eastAsia="Aptos" w:cs="Arial"/>
          <w:lang w:val="en-US"/>
        </w:rPr>
      </w:pPr>
    </w:p>
    <w:p w14:paraId="009C47C2" w14:textId="77777777" w:rsidR="004F20AA" w:rsidRPr="004F20AA" w:rsidRDefault="00000000" w:rsidP="009142AA">
      <w:pPr>
        <w:rPr>
          <w:rFonts w:eastAsia="Aptos" w:cs="Arial"/>
        </w:rPr>
      </w:pPr>
      <w:sdt>
        <w:sdtPr>
          <w:rPr>
            <w:rFonts w:eastAsia="Aptos" w:cs="Arial"/>
            <w:lang w:val="en-US"/>
          </w:rPr>
          <w:id w:val="1118876099"/>
          <w14:checkbox>
            <w14:checked w14:val="0"/>
            <w14:checkedState w14:val="2612" w14:font="MS Gothic"/>
            <w14:uncheckedState w14:val="2610" w14:font="MS Gothic"/>
          </w14:checkbox>
        </w:sdtPr>
        <w:sdtContent>
          <w:r w:rsidR="004F20AA" w:rsidRPr="004F20AA">
            <w:rPr>
              <w:rFonts w:ascii="Segoe UI Symbol" w:eastAsia="Aptos" w:hAnsi="Segoe UI Symbol" w:cs="Segoe UI Symbol"/>
              <w:lang w:val="en-US"/>
            </w:rPr>
            <w:t>☐</w:t>
          </w:r>
        </w:sdtContent>
      </w:sdt>
      <w:r w:rsidR="004F20AA" w:rsidRPr="004F20AA">
        <w:rPr>
          <w:rFonts w:eastAsia="Aptos" w:cs="Arial"/>
          <w:lang w:val="en-US"/>
        </w:rPr>
        <w:t> Yes </w:t>
      </w:r>
      <w:r w:rsidR="004F20AA" w:rsidRPr="004F20AA">
        <w:rPr>
          <w:rFonts w:eastAsia="Aptos" w:cs="Arial"/>
        </w:rPr>
        <w:tab/>
      </w:r>
      <w:sdt>
        <w:sdtPr>
          <w:rPr>
            <w:rFonts w:eastAsia="Aptos" w:cs="Arial"/>
          </w:rPr>
          <w:id w:val="-563868046"/>
          <w14:checkbox>
            <w14:checked w14:val="0"/>
            <w14:checkedState w14:val="2612" w14:font="MS Gothic"/>
            <w14:uncheckedState w14:val="2610" w14:font="MS Gothic"/>
          </w14:checkbox>
        </w:sdtPr>
        <w:sdtContent>
          <w:r w:rsidR="004F20AA" w:rsidRPr="004F20AA">
            <w:rPr>
              <w:rFonts w:ascii="Segoe UI Symbol" w:eastAsia="Aptos" w:hAnsi="Segoe UI Symbol" w:cs="Segoe UI Symbol"/>
            </w:rPr>
            <w:t>☐</w:t>
          </w:r>
        </w:sdtContent>
      </w:sdt>
      <w:r w:rsidR="004F20AA" w:rsidRPr="004F20AA">
        <w:rPr>
          <w:rFonts w:eastAsia="Aptos" w:cs="Arial"/>
        </w:rPr>
        <w:t xml:space="preserve"> </w:t>
      </w:r>
      <w:r w:rsidR="004F20AA" w:rsidRPr="004F20AA">
        <w:rPr>
          <w:rFonts w:eastAsia="Aptos" w:cs="Arial"/>
          <w:lang w:val="en-US"/>
        </w:rPr>
        <w:t>No</w:t>
      </w:r>
      <w:r w:rsidR="004F20AA" w:rsidRPr="004F20AA">
        <w:rPr>
          <w:rFonts w:eastAsia="Aptos" w:cs="Arial"/>
        </w:rPr>
        <w:t> </w:t>
      </w:r>
    </w:p>
    <w:p w14:paraId="06799A9F" w14:textId="77777777" w:rsidR="004F20AA" w:rsidRPr="004F20AA" w:rsidRDefault="004F20AA" w:rsidP="009142AA">
      <w:pPr>
        <w:rPr>
          <w:rFonts w:eastAsia="Aptos" w:cs="Arial"/>
          <w:lang w:val="en-US"/>
        </w:rPr>
      </w:pPr>
    </w:p>
    <w:p w14:paraId="022D81A2" w14:textId="77777777" w:rsidR="004F20AA" w:rsidRPr="004F20AA" w:rsidRDefault="004F20AA" w:rsidP="009142AA">
      <w:pPr>
        <w:rPr>
          <w:rFonts w:eastAsia="Aptos" w:cs="Arial"/>
          <w:lang w:val="en-US"/>
        </w:rPr>
      </w:pPr>
      <w:r w:rsidRPr="004F20AA">
        <w:rPr>
          <w:rFonts w:eastAsia="Aptos" w:cs="Arial"/>
          <w:lang w:val="en-US"/>
        </w:rPr>
        <w:t>If yes, please provide details:</w:t>
      </w:r>
    </w:p>
    <w:p w14:paraId="26D2E7D9" w14:textId="77777777" w:rsidR="004F20AA" w:rsidRPr="004F20AA" w:rsidRDefault="004F20AA" w:rsidP="009142AA">
      <w:pPr>
        <w:rPr>
          <w:rFonts w:eastAsia="Aptos" w:cs="Arial"/>
          <w:b/>
          <w:bCs/>
          <w:lang w:val="en-US"/>
        </w:rPr>
      </w:pPr>
    </w:p>
    <w:p w14:paraId="041528AF" w14:textId="77777777" w:rsidR="004F20AA" w:rsidRPr="004F20AA" w:rsidRDefault="004F20AA" w:rsidP="009142AA">
      <w:pPr>
        <w:pBdr>
          <w:top w:val="single" w:sz="4" w:space="1" w:color="auto"/>
          <w:left w:val="single" w:sz="4" w:space="4" w:color="auto"/>
          <w:bottom w:val="single" w:sz="4" w:space="1" w:color="auto"/>
          <w:right w:val="single" w:sz="4" w:space="4" w:color="auto"/>
        </w:pBdr>
        <w:rPr>
          <w:rFonts w:eastAsia="Aptos" w:cs="Arial"/>
        </w:rPr>
      </w:pPr>
    </w:p>
    <w:p w14:paraId="3AC6871C" w14:textId="77777777" w:rsidR="004F20AA" w:rsidRPr="004F20AA" w:rsidRDefault="004F20AA" w:rsidP="009142AA">
      <w:pPr>
        <w:rPr>
          <w:rFonts w:eastAsia="Aptos" w:cs="Arial"/>
          <w:b/>
          <w:bCs/>
          <w:lang w:val="en-US"/>
        </w:rPr>
      </w:pPr>
    </w:p>
    <w:p w14:paraId="6D3A0639" w14:textId="77777777" w:rsidR="004F20AA" w:rsidRPr="004F20AA" w:rsidRDefault="004F20AA" w:rsidP="009142AA">
      <w:pPr>
        <w:rPr>
          <w:rFonts w:eastAsia="Aptos" w:cs="Arial"/>
          <w:b/>
          <w:bCs/>
        </w:rPr>
      </w:pPr>
      <w:r w:rsidRPr="004F20AA">
        <w:rPr>
          <w:rFonts w:eastAsia="Aptos" w:cs="Arial"/>
          <w:b/>
          <w:bCs/>
          <w:lang w:val="en-US"/>
        </w:rPr>
        <w:t>Other dispensing related services</w:t>
      </w:r>
      <w:r w:rsidRPr="004F20AA">
        <w:rPr>
          <w:rFonts w:eastAsia="Aptos" w:cs="Arial"/>
          <w:b/>
          <w:bCs/>
        </w:rPr>
        <w:t> </w:t>
      </w:r>
    </w:p>
    <w:p w14:paraId="660DBCBB" w14:textId="77777777" w:rsidR="004F20AA" w:rsidRPr="004F20AA" w:rsidRDefault="004F20AA" w:rsidP="009142AA">
      <w:pPr>
        <w:rPr>
          <w:rFonts w:eastAsia="Aptos" w:cs="Arial"/>
        </w:rPr>
      </w:pPr>
      <w:r w:rsidRPr="004F20AA">
        <w:rPr>
          <w:rFonts w:eastAsia="Aptos" w:cs="Arial"/>
        </w:rPr>
        <w:t> </w:t>
      </w:r>
    </w:p>
    <w:p w14:paraId="380E2DDF" w14:textId="77777777" w:rsidR="004F20AA" w:rsidRPr="004F20AA" w:rsidRDefault="004F20AA" w:rsidP="009142AA">
      <w:pPr>
        <w:rPr>
          <w:rFonts w:eastAsia="Aptos" w:cs="Arial"/>
          <w:lang w:val="en-US"/>
        </w:rPr>
      </w:pPr>
      <w:r w:rsidRPr="004F20AA">
        <w:rPr>
          <w:rFonts w:eastAsia="Aptos" w:cs="Arial"/>
          <w:lang w:val="en-US"/>
        </w:rPr>
        <w:t xml:space="preserve">Please can you provide details of any other activities that you provide related to your dispensing service, for example MARs charts, ‘just in case packs’ and patient sharps. </w:t>
      </w:r>
    </w:p>
    <w:p w14:paraId="130298FC" w14:textId="77777777" w:rsidR="004F20AA" w:rsidRPr="004F20AA" w:rsidRDefault="004F20AA" w:rsidP="009142AA">
      <w:pPr>
        <w:rPr>
          <w:rFonts w:eastAsia="Aptos" w:cs="Arial"/>
          <w:lang w:val="en-US"/>
        </w:rPr>
      </w:pPr>
    </w:p>
    <w:p w14:paraId="65B3AE45" w14:textId="77777777" w:rsidR="004F20AA" w:rsidRPr="004F20AA" w:rsidRDefault="004F20AA" w:rsidP="009142AA">
      <w:pPr>
        <w:rPr>
          <w:rFonts w:eastAsia="Aptos" w:cs="Arial"/>
        </w:rPr>
      </w:pPr>
      <w:r w:rsidRPr="004F20AA">
        <w:rPr>
          <w:rFonts w:eastAsia="Aptos" w:cs="Arial"/>
        </w:rPr>
        <w:t> </w:t>
      </w:r>
      <w:sdt>
        <w:sdtPr>
          <w:rPr>
            <w:rFonts w:eastAsia="Calibri" w:cs="Arial"/>
          </w:rPr>
          <w:id w:val="325328792"/>
          <w:placeholder>
            <w:docPart w:val="241E1E1F6322457F8F31A6855F346609"/>
          </w:placeholder>
          <w:showingPlcHdr/>
        </w:sdtPr>
        <w:sdtContent>
          <w:r w:rsidRPr="004F20AA">
            <w:rPr>
              <w:rFonts w:eastAsia="Aptos" w:cs="Arial"/>
              <w:color w:val="666666"/>
            </w:rPr>
            <w:t>Click or tap here to enter text.</w:t>
          </w:r>
        </w:sdtContent>
      </w:sdt>
    </w:p>
    <w:p w14:paraId="39318C25" w14:textId="77777777" w:rsidR="004F20AA" w:rsidRPr="004F20AA" w:rsidRDefault="004F20AA" w:rsidP="009142AA">
      <w:pPr>
        <w:rPr>
          <w:rFonts w:eastAsia="Aptos" w:cs="Arial"/>
          <w:b/>
          <w:bCs/>
          <w:lang w:val="en-US"/>
        </w:rPr>
      </w:pPr>
      <w:r w:rsidRPr="004F20AA">
        <w:rPr>
          <w:rFonts w:eastAsia="Aptos" w:cs="Arial"/>
        </w:rPr>
        <w:t> </w:t>
      </w:r>
    </w:p>
    <w:p w14:paraId="3CDA43AE" w14:textId="77777777" w:rsidR="004F20AA" w:rsidRPr="004F20AA" w:rsidRDefault="004F20AA" w:rsidP="009142AA">
      <w:pPr>
        <w:rPr>
          <w:rFonts w:eastAsia="Aptos" w:cs="Arial"/>
          <w:b/>
          <w:bCs/>
          <w:lang w:val="en-US"/>
        </w:rPr>
      </w:pPr>
      <w:r w:rsidRPr="004F20AA">
        <w:rPr>
          <w:rFonts w:eastAsia="Aptos" w:cs="Arial"/>
          <w:b/>
          <w:bCs/>
          <w:lang w:val="en-US"/>
        </w:rPr>
        <w:t>Details of the person completing this form:</w:t>
      </w:r>
    </w:p>
    <w:p w14:paraId="1C6334B1" w14:textId="77777777" w:rsidR="004F20AA" w:rsidRPr="004F20AA" w:rsidRDefault="004F20AA" w:rsidP="009142AA">
      <w:pPr>
        <w:rPr>
          <w:rFonts w:eastAsia="Aptos" w:cs="Arial"/>
          <w:lang w:val="en-US"/>
        </w:rPr>
      </w:pPr>
    </w:p>
    <w:p w14:paraId="24E932E9" w14:textId="77777777" w:rsidR="004F20AA" w:rsidRPr="004F20AA" w:rsidRDefault="004F20AA" w:rsidP="009142AA">
      <w:pPr>
        <w:rPr>
          <w:rFonts w:eastAsia="Aptos" w:cs="Arial"/>
          <w:lang w:val="en-US"/>
        </w:rPr>
      </w:pPr>
      <w:r w:rsidRPr="004F20AA">
        <w:rPr>
          <w:rFonts w:eastAsia="Aptos" w:cs="Arial"/>
          <w:lang w:val="en-US"/>
        </w:rPr>
        <w:t xml:space="preserve">Contact name of the person completing the questionnaire, in case we need to discuss your response with you. </w:t>
      </w:r>
    </w:p>
    <w:p w14:paraId="2152C87F" w14:textId="77777777" w:rsidR="004F20AA" w:rsidRPr="004F20AA" w:rsidRDefault="004F20AA" w:rsidP="009142AA">
      <w:pPr>
        <w:rPr>
          <w:rFonts w:eastAsia="Aptos" w:cs="Arial"/>
          <w:lang w:val="en-US"/>
        </w:rPr>
      </w:pPr>
    </w:p>
    <w:p w14:paraId="7FE27E49" w14:textId="77777777" w:rsidR="004F20AA" w:rsidRPr="004F20AA" w:rsidRDefault="00000000" w:rsidP="009142AA">
      <w:pPr>
        <w:rPr>
          <w:rFonts w:eastAsia="Aptos" w:cs="Arial"/>
          <w:lang w:val="en-US"/>
        </w:rPr>
      </w:pPr>
      <w:sdt>
        <w:sdtPr>
          <w:rPr>
            <w:rFonts w:eastAsia="Calibri" w:cs="Arial"/>
          </w:rPr>
          <w:id w:val="1418973831"/>
          <w:placeholder>
            <w:docPart w:val="BB0CC36303814C72B6C330454A509033"/>
          </w:placeholder>
          <w:showingPlcHdr/>
        </w:sdtPr>
        <w:sdtContent>
          <w:r w:rsidR="004F20AA" w:rsidRPr="004F20AA">
            <w:rPr>
              <w:rFonts w:eastAsia="Aptos" w:cs="Arial"/>
              <w:color w:val="666666"/>
            </w:rPr>
            <w:t>Click or tap here to enter text.</w:t>
          </w:r>
        </w:sdtContent>
      </w:sdt>
    </w:p>
    <w:p w14:paraId="2F13A1AB" w14:textId="77777777" w:rsidR="004F20AA" w:rsidRPr="004F20AA" w:rsidRDefault="004F20AA" w:rsidP="009142AA">
      <w:pPr>
        <w:rPr>
          <w:rFonts w:eastAsia="Aptos" w:cs="Arial"/>
          <w:lang w:val="en-US"/>
        </w:rPr>
      </w:pPr>
    </w:p>
    <w:p w14:paraId="1F2DED5F" w14:textId="77777777" w:rsidR="004F20AA" w:rsidRPr="004F20AA" w:rsidRDefault="004F20AA" w:rsidP="009142AA">
      <w:pPr>
        <w:rPr>
          <w:rFonts w:eastAsia="Aptos" w:cs="Arial"/>
          <w:lang w:val="en-US"/>
        </w:rPr>
      </w:pPr>
      <w:r w:rsidRPr="004F20AA">
        <w:rPr>
          <w:rFonts w:eastAsia="Aptos" w:cs="Arial"/>
          <w:lang w:val="en-US"/>
        </w:rPr>
        <w:t>Contact email address</w:t>
      </w:r>
    </w:p>
    <w:p w14:paraId="3FF81D98" w14:textId="77777777" w:rsidR="004F20AA" w:rsidRPr="004F20AA" w:rsidRDefault="004F20AA" w:rsidP="009142AA">
      <w:pPr>
        <w:rPr>
          <w:rFonts w:eastAsia="Aptos" w:cs="Arial"/>
          <w:lang w:val="en-US"/>
        </w:rPr>
      </w:pPr>
    </w:p>
    <w:p w14:paraId="3FC972EF" w14:textId="00309F36" w:rsidR="006C7AA7" w:rsidRPr="00D0306F" w:rsidRDefault="00000000" w:rsidP="009142AA">
      <w:pPr>
        <w:rPr>
          <w:rFonts w:eastAsia="Calibri" w:cs="Arial"/>
        </w:rPr>
      </w:pPr>
      <w:sdt>
        <w:sdtPr>
          <w:rPr>
            <w:rFonts w:eastAsia="Calibri" w:cs="Arial"/>
          </w:rPr>
          <w:id w:val="805055489"/>
          <w:placeholder>
            <w:docPart w:val="B2E9004C78EC4ABDA7730AB35924C815"/>
          </w:placeholder>
          <w:showingPlcHdr/>
        </w:sdtPr>
        <w:sdtContent>
          <w:r w:rsidR="004F20AA" w:rsidRPr="004F20AA">
            <w:rPr>
              <w:rFonts w:eastAsia="Aptos" w:cs="Arial"/>
              <w:color w:val="666666"/>
            </w:rPr>
            <w:t>Click or tap here to enter text.</w:t>
          </w:r>
        </w:sdtContent>
      </w:sdt>
    </w:p>
    <w:p w14:paraId="33644AFF" w14:textId="6920FCE4" w:rsidR="009142AA" w:rsidRPr="00D0306F" w:rsidRDefault="009142AA">
      <w:pPr>
        <w:spacing w:after="160" w:line="278" w:lineRule="auto"/>
        <w:rPr>
          <w:rFonts w:cs="Arial"/>
        </w:rPr>
      </w:pPr>
      <w:r w:rsidRPr="00D0306F">
        <w:rPr>
          <w:rFonts w:cs="Arial"/>
        </w:rPr>
        <w:br w:type="page"/>
      </w:r>
    </w:p>
    <w:p w14:paraId="45D78AC1" w14:textId="77777777" w:rsidR="0038739D" w:rsidRPr="00D0306F" w:rsidRDefault="0038739D" w:rsidP="0038739D">
      <w:pPr>
        <w:pStyle w:val="Heading1"/>
        <w:rPr>
          <w:rFonts w:eastAsia="Times New Roman"/>
          <w:sz w:val="28"/>
          <w:szCs w:val="28"/>
        </w:rPr>
      </w:pPr>
      <w:bookmarkStart w:id="58" w:name="_Toc71037184"/>
      <w:bookmarkStart w:id="59" w:name="_Toc235185398"/>
      <w:r w:rsidRPr="00D0306F">
        <w:rPr>
          <w:rFonts w:eastAsia="Times New Roman"/>
          <w:sz w:val="28"/>
          <w:szCs w:val="28"/>
        </w:rPr>
        <w:lastRenderedPageBreak/>
        <w:t>Appendix K – consultation report</w:t>
      </w:r>
      <w:bookmarkEnd w:id="58"/>
      <w:bookmarkEnd w:id="59"/>
    </w:p>
    <w:p w14:paraId="78F2DD89" w14:textId="77777777" w:rsidR="0038739D" w:rsidRPr="0038739D" w:rsidRDefault="0038739D" w:rsidP="0038739D">
      <w:pPr>
        <w:spacing w:after="200"/>
        <w:contextualSpacing/>
        <w:rPr>
          <w:rFonts w:eastAsia="Aptos" w:cs="Arial"/>
          <w:kern w:val="0"/>
          <w:sz w:val="22"/>
          <w:szCs w:val="22"/>
          <w14:ligatures w14:val="none"/>
        </w:rPr>
      </w:pPr>
    </w:p>
    <w:p w14:paraId="1829BF4B" w14:textId="77777777" w:rsidR="0038739D" w:rsidRPr="0038739D" w:rsidRDefault="0038739D" w:rsidP="0038739D">
      <w:pPr>
        <w:rPr>
          <w:rFonts w:ascii="Aptos" w:eastAsia="Aptos" w:hAnsi="Aptos" w:cs="Times New Roman"/>
          <w:kern w:val="0"/>
          <w:sz w:val="22"/>
          <w:szCs w:val="22"/>
          <w14:ligatures w14:val="none"/>
        </w:rPr>
      </w:pPr>
      <w:r w:rsidRPr="0038739D">
        <w:rPr>
          <w:rFonts w:eastAsia="Aptos" w:cs="Arial"/>
          <w:kern w:val="0"/>
          <w14:ligatures w14:val="none"/>
        </w:rPr>
        <w:t>To be inserted after the consultation.</w:t>
      </w:r>
    </w:p>
    <w:p w14:paraId="3192A9D8" w14:textId="022D18B4" w:rsidR="0038739D" w:rsidRPr="00D0306F" w:rsidRDefault="0038739D">
      <w:pPr>
        <w:spacing w:after="160" w:line="278" w:lineRule="auto"/>
        <w:rPr>
          <w:rFonts w:cs="Arial"/>
        </w:rPr>
      </w:pPr>
      <w:r w:rsidRPr="00D0306F">
        <w:rPr>
          <w:rFonts w:cs="Arial"/>
        </w:rPr>
        <w:br w:type="page"/>
      </w:r>
    </w:p>
    <w:p w14:paraId="7489D33A" w14:textId="77777777" w:rsidR="00924C9C" w:rsidRDefault="00924C9C" w:rsidP="00F022BB">
      <w:pPr>
        <w:pStyle w:val="Heading1"/>
        <w:rPr>
          <w:rFonts w:eastAsia="Times New Roman"/>
          <w:sz w:val="28"/>
          <w:szCs w:val="28"/>
        </w:rPr>
        <w:sectPr w:rsidR="00924C9C" w:rsidSect="005D0420">
          <w:type w:val="continuous"/>
          <w:pgSz w:w="11906" w:h="16838"/>
          <w:pgMar w:top="1440" w:right="1440" w:bottom="1440" w:left="1440" w:header="708" w:footer="708" w:gutter="0"/>
          <w:cols w:space="708"/>
          <w:titlePg/>
          <w:docGrid w:linePitch="360"/>
        </w:sectPr>
      </w:pPr>
    </w:p>
    <w:p w14:paraId="7EDBD8B8" w14:textId="45CAC7F4" w:rsidR="00F022BB" w:rsidRPr="00D0306F" w:rsidRDefault="00F022BB" w:rsidP="00F022BB">
      <w:pPr>
        <w:pStyle w:val="Heading1"/>
        <w:rPr>
          <w:rFonts w:eastAsia="Times New Roman"/>
          <w:sz w:val="28"/>
          <w:szCs w:val="28"/>
        </w:rPr>
      </w:pPr>
      <w:bookmarkStart w:id="60" w:name="_Toc235185399"/>
      <w:r w:rsidRPr="00D0306F">
        <w:rPr>
          <w:rFonts w:eastAsia="Times New Roman"/>
          <w:sz w:val="28"/>
          <w:szCs w:val="28"/>
        </w:rPr>
        <w:lastRenderedPageBreak/>
        <w:t xml:space="preserve">Appendix L – </w:t>
      </w:r>
      <w:r w:rsidR="000F4F61" w:rsidRPr="00D0306F">
        <w:rPr>
          <w:rFonts w:eastAsia="Times New Roman"/>
          <w:sz w:val="28"/>
          <w:szCs w:val="28"/>
        </w:rPr>
        <w:t>pharmacy opening hours</w:t>
      </w:r>
      <w:bookmarkEnd w:id="60"/>
    </w:p>
    <w:p w14:paraId="4D79CFA3" w14:textId="77777777" w:rsidR="000F4F61" w:rsidRPr="00D0306F" w:rsidRDefault="000F4F61" w:rsidP="000F4F6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0"/>
        <w:gridCol w:w="1551"/>
        <w:gridCol w:w="1197"/>
        <w:gridCol w:w="1204"/>
        <w:gridCol w:w="1205"/>
        <w:gridCol w:w="1550"/>
        <w:gridCol w:w="1374"/>
        <w:gridCol w:w="1205"/>
        <w:gridCol w:w="1244"/>
        <w:gridCol w:w="1378"/>
      </w:tblGrid>
      <w:tr w:rsidR="00B84D31" w:rsidRPr="003C1CBF" w14:paraId="1A6E3B64" w14:textId="77777777" w:rsidTr="00B84D31">
        <w:trPr>
          <w:tblHeader/>
        </w:trPr>
        <w:tc>
          <w:tcPr>
            <w:tcW w:w="1270" w:type="dxa"/>
          </w:tcPr>
          <w:p w14:paraId="5BA372E3" w14:textId="77777777" w:rsidR="003C1CBF" w:rsidRPr="003C1CBF" w:rsidRDefault="003C1CBF" w:rsidP="003C1CBF">
            <w:pPr>
              <w:spacing w:after="200" w:line="276" w:lineRule="auto"/>
              <w:rPr>
                <w:rFonts w:eastAsia="MS Mincho" w:cs="Arial"/>
                <w:kern w:val="0"/>
                <w:lang w:val="en-US"/>
                <w14:ligatures w14:val="none"/>
              </w:rPr>
            </w:pPr>
            <w:r w:rsidRPr="003C1CBF">
              <w:rPr>
                <w:rFonts w:eastAsia="MS Mincho" w:cs="Arial"/>
                <w:b/>
                <w:kern w:val="0"/>
                <w:lang w:val="en-US"/>
                <w14:ligatures w14:val="none"/>
              </w:rPr>
              <w:t>Cluster</w:t>
            </w:r>
          </w:p>
        </w:tc>
        <w:tc>
          <w:tcPr>
            <w:tcW w:w="1551" w:type="dxa"/>
          </w:tcPr>
          <w:p w14:paraId="287B435C" w14:textId="77777777" w:rsidR="003C1CBF" w:rsidRPr="003C1CBF" w:rsidRDefault="003C1CBF" w:rsidP="003C1CBF">
            <w:pPr>
              <w:spacing w:after="200" w:line="276" w:lineRule="auto"/>
              <w:rPr>
                <w:rFonts w:eastAsia="MS Mincho" w:cs="Arial"/>
                <w:kern w:val="0"/>
                <w:lang w:val="en-US"/>
                <w14:ligatures w14:val="none"/>
              </w:rPr>
            </w:pPr>
            <w:r w:rsidRPr="003C1CBF">
              <w:rPr>
                <w:rFonts w:eastAsia="MS Mincho" w:cs="Arial"/>
                <w:b/>
                <w:kern w:val="0"/>
                <w:lang w:val="en-US"/>
                <w14:ligatures w14:val="none"/>
              </w:rPr>
              <w:t>Pharmacy</w:t>
            </w:r>
          </w:p>
        </w:tc>
        <w:tc>
          <w:tcPr>
            <w:tcW w:w="1197" w:type="dxa"/>
          </w:tcPr>
          <w:p w14:paraId="1BD3F28C" w14:textId="77777777" w:rsidR="003C1CBF" w:rsidRPr="003C1CBF" w:rsidRDefault="003C1CBF" w:rsidP="003C1CBF">
            <w:pPr>
              <w:spacing w:after="200" w:line="276" w:lineRule="auto"/>
              <w:rPr>
                <w:rFonts w:eastAsia="MS Mincho" w:cs="Arial"/>
                <w:kern w:val="0"/>
                <w:lang w:val="en-US"/>
                <w14:ligatures w14:val="none"/>
              </w:rPr>
            </w:pPr>
            <w:r w:rsidRPr="003C1CBF">
              <w:rPr>
                <w:rFonts w:eastAsia="MS Mincho" w:cs="Arial"/>
                <w:b/>
                <w:kern w:val="0"/>
                <w:lang w:val="en-US"/>
                <w14:ligatures w14:val="none"/>
              </w:rPr>
              <w:t>Type</w:t>
            </w:r>
          </w:p>
        </w:tc>
        <w:tc>
          <w:tcPr>
            <w:tcW w:w="1204" w:type="dxa"/>
          </w:tcPr>
          <w:p w14:paraId="2D0C9B55" w14:textId="5015707B" w:rsidR="003C1CBF" w:rsidRPr="003C1CBF" w:rsidRDefault="003C1CBF" w:rsidP="003C1CBF">
            <w:pPr>
              <w:spacing w:after="200" w:line="276" w:lineRule="auto"/>
              <w:rPr>
                <w:rFonts w:eastAsia="MS Mincho" w:cs="Arial"/>
                <w:kern w:val="0"/>
                <w:lang w:val="en-US"/>
                <w14:ligatures w14:val="none"/>
              </w:rPr>
            </w:pPr>
            <w:r w:rsidRPr="003C1CBF">
              <w:rPr>
                <w:rFonts w:eastAsia="MS Mincho" w:cs="Arial"/>
                <w:b/>
                <w:kern w:val="0"/>
                <w:lang w:val="en-US"/>
                <w14:ligatures w14:val="none"/>
              </w:rPr>
              <w:t>Mon</w:t>
            </w:r>
            <w:r>
              <w:rPr>
                <w:rFonts w:eastAsia="MS Mincho" w:cs="Arial"/>
                <w:b/>
                <w:kern w:val="0"/>
                <w:lang w:val="en-US"/>
                <w14:ligatures w14:val="none"/>
              </w:rPr>
              <w:t>day</w:t>
            </w:r>
          </w:p>
        </w:tc>
        <w:tc>
          <w:tcPr>
            <w:tcW w:w="1205" w:type="dxa"/>
          </w:tcPr>
          <w:p w14:paraId="57AFE7BD" w14:textId="42066435" w:rsidR="003C1CBF" w:rsidRPr="003C1CBF" w:rsidRDefault="003C1CBF" w:rsidP="003C1CBF">
            <w:pPr>
              <w:spacing w:after="200" w:line="276" w:lineRule="auto"/>
              <w:rPr>
                <w:rFonts w:eastAsia="MS Mincho" w:cs="Arial"/>
                <w:kern w:val="0"/>
                <w:lang w:val="en-US"/>
                <w14:ligatures w14:val="none"/>
              </w:rPr>
            </w:pPr>
            <w:r w:rsidRPr="003C1CBF">
              <w:rPr>
                <w:rFonts w:eastAsia="MS Mincho" w:cs="Arial"/>
                <w:b/>
                <w:kern w:val="0"/>
                <w:lang w:val="en-US"/>
                <w14:ligatures w14:val="none"/>
              </w:rPr>
              <w:t>Tue</w:t>
            </w:r>
            <w:r>
              <w:rPr>
                <w:rFonts w:eastAsia="MS Mincho" w:cs="Arial"/>
                <w:b/>
                <w:kern w:val="0"/>
                <w:lang w:val="en-US"/>
                <w14:ligatures w14:val="none"/>
              </w:rPr>
              <w:t>sday</w:t>
            </w:r>
          </w:p>
        </w:tc>
        <w:tc>
          <w:tcPr>
            <w:tcW w:w="1550" w:type="dxa"/>
          </w:tcPr>
          <w:p w14:paraId="125A3207" w14:textId="340F5AE9" w:rsidR="003C1CBF" w:rsidRPr="003C1CBF" w:rsidRDefault="003C1CBF" w:rsidP="003C1CBF">
            <w:pPr>
              <w:spacing w:after="200" w:line="276" w:lineRule="auto"/>
              <w:rPr>
                <w:rFonts w:eastAsia="MS Mincho" w:cs="Arial"/>
                <w:kern w:val="0"/>
                <w:lang w:val="en-US"/>
                <w14:ligatures w14:val="none"/>
              </w:rPr>
            </w:pPr>
            <w:r w:rsidRPr="003C1CBF">
              <w:rPr>
                <w:rFonts w:eastAsia="MS Mincho" w:cs="Arial"/>
                <w:b/>
                <w:kern w:val="0"/>
                <w:lang w:val="en-US"/>
                <w14:ligatures w14:val="none"/>
              </w:rPr>
              <w:t>Wed</w:t>
            </w:r>
            <w:r>
              <w:rPr>
                <w:rFonts w:eastAsia="MS Mincho" w:cs="Arial"/>
                <w:b/>
                <w:kern w:val="0"/>
                <w:lang w:val="en-US"/>
                <w14:ligatures w14:val="none"/>
              </w:rPr>
              <w:t>nesday</w:t>
            </w:r>
          </w:p>
        </w:tc>
        <w:tc>
          <w:tcPr>
            <w:tcW w:w="1374" w:type="dxa"/>
          </w:tcPr>
          <w:p w14:paraId="293DED64" w14:textId="06FB05A0" w:rsidR="003C1CBF" w:rsidRPr="003C1CBF" w:rsidRDefault="003C1CBF" w:rsidP="003C1CBF">
            <w:pPr>
              <w:spacing w:after="200" w:line="276" w:lineRule="auto"/>
              <w:rPr>
                <w:rFonts w:eastAsia="MS Mincho" w:cs="Arial"/>
                <w:kern w:val="0"/>
                <w:lang w:val="en-US"/>
                <w14:ligatures w14:val="none"/>
              </w:rPr>
            </w:pPr>
            <w:r w:rsidRPr="003C1CBF">
              <w:rPr>
                <w:rFonts w:eastAsia="MS Mincho" w:cs="Arial"/>
                <w:b/>
                <w:kern w:val="0"/>
                <w:lang w:val="en-US"/>
                <w14:ligatures w14:val="none"/>
              </w:rPr>
              <w:t>Thu</w:t>
            </w:r>
            <w:r>
              <w:rPr>
                <w:rFonts w:eastAsia="MS Mincho" w:cs="Arial"/>
                <w:b/>
                <w:kern w:val="0"/>
                <w:lang w:val="en-US"/>
                <w14:ligatures w14:val="none"/>
              </w:rPr>
              <w:t>rsday</w:t>
            </w:r>
          </w:p>
        </w:tc>
        <w:tc>
          <w:tcPr>
            <w:tcW w:w="1205" w:type="dxa"/>
          </w:tcPr>
          <w:p w14:paraId="47C8EDAB" w14:textId="4D334EF3" w:rsidR="003C1CBF" w:rsidRPr="003C1CBF" w:rsidRDefault="003C1CBF" w:rsidP="003C1CBF">
            <w:pPr>
              <w:spacing w:after="200" w:line="276" w:lineRule="auto"/>
              <w:rPr>
                <w:rFonts w:eastAsia="MS Mincho" w:cs="Arial"/>
                <w:kern w:val="0"/>
                <w:lang w:val="en-US"/>
                <w14:ligatures w14:val="none"/>
              </w:rPr>
            </w:pPr>
            <w:r w:rsidRPr="003C1CBF">
              <w:rPr>
                <w:rFonts w:eastAsia="MS Mincho" w:cs="Arial"/>
                <w:b/>
                <w:kern w:val="0"/>
                <w:lang w:val="en-US"/>
                <w14:ligatures w14:val="none"/>
              </w:rPr>
              <w:t>Fri</w:t>
            </w:r>
            <w:r>
              <w:rPr>
                <w:rFonts w:eastAsia="MS Mincho" w:cs="Arial"/>
                <w:b/>
                <w:kern w:val="0"/>
                <w:lang w:val="en-US"/>
                <w14:ligatures w14:val="none"/>
              </w:rPr>
              <w:t>day</w:t>
            </w:r>
          </w:p>
        </w:tc>
        <w:tc>
          <w:tcPr>
            <w:tcW w:w="1244" w:type="dxa"/>
          </w:tcPr>
          <w:p w14:paraId="025298E2" w14:textId="2F1F8CBD" w:rsidR="003C1CBF" w:rsidRPr="003C1CBF" w:rsidRDefault="003C1CBF" w:rsidP="003C1CBF">
            <w:pPr>
              <w:spacing w:after="200" w:line="276" w:lineRule="auto"/>
              <w:rPr>
                <w:rFonts w:eastAsia="MS Mincho" w:cs="Arial"/>
                <w:kern w:val="0"/>
                <w:lang w:val="en-US"/>
                <w14:ligatures w14:val="none"/>
              </w:rPr>
            </w:pPr>
            <w:r w:rsidRPr="003C1CBF">
              <w:rPr>
                <w:rFonts w:eastAsia="MS Mincho" w:cs="Arial"/>
                <w:b/>
                <w:kern w:val="0"/>
                <w:lang w:val="en-US"/>
                <w14:ligatures w14:val="none"/>
              </w:rPr>
              <w:t>Sat</w:t>
            </w:r>
            <w:r>
              <w:rPr>
                <w:rFonts w:eastAsia="MS Mincho" w:cs="Arial"/>
                <w:b/>
                <w:kern w:val="0"/>
                <w:lang w:val="en-US"/>
                <w14:ligatures w14:val="none"/>
              </w:rPr>
              <w:t>urday</w:t>
            </w:r>
          </w:p>
        </w:tc>
        <w:tc>
          <w:tcPr>
            <w:tcW w:w="1378" w:type="dxa"/>
          </w:tcPr>
          <w:p w14:paraId="35BFCED3" w14:textId="549217F2" w:rsidR="003C1CBF" w:rsidRPr="003C1CBF" w:rsidRDefault="003C1CBF" w:rsidP="003C1CBF">
            <w:pPr>
              <w:spacing w:after="200" w:line="276" w:lineRule="auto"/>
              <w:rPr>
                <w:rFonts w:eastAsia="MS Mincho" w:cs="Arial"/>
                <w:kern w:val="0"/>
                <w:lang w:val="en-US"/>
                <w14:ligatures w14:val="none"/>
              </w:rPr>
            </w:pPr>
            <w:r w:rsidRPr="003C1CBF">
              <w:rPr>
                <w:rFonts w:eastAsia="MS Mincho" w:cs="Arial"/>
                <w:b/>
                <w:kern w:val="0"/>
                <w:lang w:val="en-US"/>
                <w14:ligatures w14:val="none"/>
              </w:rPr>
              <w:t>Sun</w:t>
            </w:r>
            <w:r>
              <w:rPr>
                <w:rFonts w:eastAsia="MS Mincho" w:cs="Arial"/>
                <w:b/>
                <w:kern w:val="0"/>
                <w:lang w:val="en-US"/>
                <w14:ligatures w14:val="none"/>
              </w:rPr>
              <w:t>day</w:t>
            </w:r>
          </w:p>
        </w:tc>
      </w:tr>
      <w:tr w:rsidR="003C1CBF" w:rsidRPr="003C1CBF" w14:paraId="2A00835F" w14:textId="77777777" w:rsidTr="00B84D31">
        <w:trPr>
          <w:trHeight w:val="1302"/>
        </w:trPr>
        <w:tc>
          <w:tcPr>
            <w:tcW w:w="1270" w:type="dxa"/>
            <w:vMerge w:val="restart"/>
          </w:tcPr>
          <w:p w14:paraId="11E9216E" w14:textId="77777777" w:rsidR="003C1CBF" w:rsidRPr="003C1CBF" w:rsidRDefault="003C1CBF" w:rsidP="003C1CBF">
            <w:pPr>
              <w:rPr>
                <w:rFonts w:eastAsia="MS Mincho" w:cs="Arial"/>
                <w:kern w:val="0"/>
                <w:lang w:val="en-US"/>
                <w14:ligatures w14:val="none"/>
              </w:rPr>
            </w:pPr>
          </w:p>
          <w:p w14:paraId="37B431FB" w14:textId="77777777" w:rsidR="003C1CBF" w:rsidRPr="003C1CBF" w:rsidRDefault="003C1CBF" w:rsidP="003C1CBF">
            <w:pPr>
              <w:rPr>
                <w:rFonts w:eastAsia="MS Mincho" w:cs="Arial"/>
                <w:kern w:val="0"/>
                <w:lang w:val="en-US"/>
                <w14:ligatures w14:val="none"/>
              </w:rPr>
            </w:pPr>
          </w:p>
          <w:p w14:paraId="16EE4CCB" w14:textId="77777777" w:rsidR="003C1CBF" w:rsidRPr="003C1CBF" w:rsidRDefault="003C1CBF" w:rsidP="003C1CBF">
            <w:pPr>
              <w:rPr>
                <w:rFonts w:eastAsia="MS Mincho" w:cs="Arial"/>
                <w:kern w:val="0"/>
                <w:lang w:val="en-US"/>
                <w14:ligatures w14:val="none"/>
              </w:rPr>
            </w:pPr>
          </w:p>
          <w:p w14:paraId="4F04BCB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Afan</w:t>
            </w:r>
          </w:p>
          <w:p w14:paraId="03C8C8CC" w14:textId="77777777" w:rsidR="003C1CBF" w:rsidRPr="003C1CBF" w:rsidRDefault="003C1CBF" w:rsidP="003C1CBF">
            <w:pPr>
              <w:rPr>
                <w:rFonts w:eastAsia="MS Mincho" w:cs="Arial"/>
                <w:kern w:val="0"/>
                <w:lang w:val="en-US"/>
                <w14:ligatures w14:val="none"/>
              </w:rPr>
            </w:pPr>
          </w:p>
        </w:tc>
        <w:tc>
          <w:tcPr>
            <w:tcW w:w="1551" w:type="dxa"/>
            <w:vMerge w:val="restart"/>
          </w:tcPr>
          <w:p w14:paraId="48CBE771" w14:textId="77777777" w:rsidR="003C1CBF" w:rsidRPr="003C1CBF" w:rsidRDefault="003C1CBF" w:rsidP="003C1CBF">
            <w:pPr>
              <w:rPr>
                <w:rFonts w:eastAsia="MS Mincho" w:cs="Arial"/>
                <w:kern w:val="0"/>
                <w:lang w:val="en-US"/>
                <w14:ligatures w14:val="none"/>
              </w:rPr>
            </w:pPr>
          </w:p>
          <w:p w14:paraId="517AAFC5" w14:textId="77777777" w:rsidR="003C1CBF" w:rsidRPr="003C1CBF" w:rsidRDefault="003C1CBF" w:rsidP="003C1CBF">
            <w:pPr>
              <w:rPr>
                <w:rFonts w:eastAsia="MS Mincho" w:cs="Arial"/>
                <w:kern w:val="0"/>
                <w:lang w:val="en-US"/>
                <w14:ligatures w14:val="none"/>
              </w:rPr>
            </w:pPr>
          </w:p>
          <w:p w14:paraId="6AB5EA9C" w14:textId="77777777" w:rsidR="003C1CBF" w:rsidRPr="003C1CBF" w:rsidRDefault="003C1CBF" w:rsidP="003C1CBF">
            <w:pPr>
              <w:rPr>
                <w:rFonts w:eastAsia="MS Mincho" w:cs="Arial"/>
                <w:kern w:val="0"/>
                <w:lang w:val="en-US"/>
                <w14:ligatures w14:val="none"/>
              </w:rPr>
            </w:pPr>
          </w:p>
          <w:p w14:paraId="5FF65EE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A D Richards Pharmacy</w:t>
            </w:r>
          </w:p>
        </w:tc>
        <w:tc>
          <w:tcPr>
            <w:tcW w:w="1197" w:type="dxa"/>
            <w:shd w:val="clear" w:color="auto" w:fill="D9D9D9"/>
          </w:tcPr>
          <w:p w14:paraId="09A3A3E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65D3A28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14:15-17:30</w:t>
            </w:r>
          </w:p>
        </w:tc>
        <w:tc>
          <w:tcPr>
            <w:tcW w:w="1205" w:type="dxa"/>
            <w:shd w:val="clear" w:color="auto" w:fill="D9D9D9"/>
          </w:tcPr>
          <w:p w14:paraId="030F8F3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14:15-17:30</w:t>
            </w:r>
          </w:p>
        </w:tc>
        <w:tc>
          <w:tcPr>
            <w:tcW w:w="1550" w:type="dxa"/>
            <w:shd w:val="clear" w:color="auto" w:fill="D9D9D9"/>
          </w:tcPr>
          <w:p w14:paraId="06F69105" w14:textId="14C69626"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14:15-17:30</w:t>
            </w:r>
          </w:p>
        </w:tc>
        <w:tc>
          <w:tcPr>
            <w:tcW w:w="1374" w:type="dxa"/>
            <w:shd w:val="clear" w:color="auto" w:fill="D9D9D9"/>
          </w:tcPr>
          <w:p w14:paraId="3C26245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14:15-17:30</w:t>
            </w:r>
          </w:p>
        </w:tc>
        <w:tc>
          <w:tcPr>
            <w:tcW w:w="1205" w:type="dxa"/>
            <w:shd w:val="clear" w:color="auto" w:fill="D9D9D9"/>
          </w:tcPr>
          <w:p w14:paraId="1E4CFEE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shd w:val="clear" w:color="auto" w:fill="D9D9D9"/>
          </w:tcPr>
          <w:p w14:paraId="0ADCB92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shd w:val="clear" w:color="auto" w:fill="D9D9D9"/>
          </w:tcPr>
          <w:p w14:paraId="50B77B4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2BCCAB4D" w14:textId="77777777" w:rsidTr="00B84D31">
        <w:tc>
          <w:tcPr>
            <w:tcW w:w="1270" w:type="dxa"/>
            <w:vMerge/>
          </w:tcPr>
          <w:p w14:paraId="70BC98AB" w14:textId="77777777" w:rsidR="003C1CBF" w:rsidRPr="003C1CBF" w:rsidRDefault="003C1CBF" w:rsidP="003C1CBF">
            <w:pPr>
              <w:rPr>
                <w:rFonts w:eastAsia="MS Mincho" w:cs="Arial"/>
                <w:kern w:val="0"/>
                <w:lang w:val="en-US"/>
                <w14:ligatures w14:val="none"/>
              </w:rPr>
            </w:pPr>
          </w:p>
        </w:tc>
        <w:tc>
          <w:tcPr>
            <w:tcW w:w="1551" w:type="dxa"/>
            <w:vMerge/>
          </w:tcPr>
          <w:p w14:paraId="0E39CB11" w14:textId="77777777" w:rsidR="003C1CBF" w:rsidRPr="003C1CBF" w:rsidRDefault="003C1CBF" w:rsidP="003C1CBF">
            <w:pPr>
              <w:rPr>
                <w:rFonts w:eastAsia="MS Mincho" w:cs="Arial"/>
                <w:kern w:val="0"/>
                <w:lang w:val="en-US"/>
                <w14:ligatures w14:val="none"/>
              </w:rPr>
            </w:pPr>
          </w:p>
        </w:tc>
        <w:tc>
          <w:tcPr>
            <w:tcW w:w="1197" w:type="dxa"/>
          </w:tcPr>
          <w:p w14:paraId="5A2FF0D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7C38362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14:15-17:30</w:t>
            </w:r>
          </w:p>
        </w:tc>
        <w:tc>
          <w:tcPr>
            <w:tcW w:w="1205" w:type="dxa"/>
          </w:tcPr>
          <w:p w14:paraId="1381AD1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14:15-17:30</w:t>
            </w:r>
          </w:p>
        </w:tc>
        <w:tc>
          <w:tcPr>
            <w:tcW w:w="1550" w:type="dxa"/>
          </w:tcPr>
          <w:p w14:paraId="70DB07A0" w14:textId="032EAA2B"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14:15-17:30</w:t>
            </w:r>
          </w:p>
        </w:tc>
        <w:tc>
          <w:tcPr>
            <w:tcW w:w="1374" w:type="dxa"/>
          </w:tcPr>
          <w:p w14:paraId="1DC07A0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14:15-17:30</w:t>
            </w:r>
          </w:p>
        </w:tc>
        <w:tc>
          <w:tcPr>
            <w:tcW w:w="1205" w:type="dxa"/>
          </w:tcPr>
          <w:p w14:paraId="7C15ACB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tcPr>
          <w:p w14:paraId="668FCA5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tcPr>
          <w:p w14:paraId="355227C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22A3DE92" w14:textId="77777777" w:rsidTr="00B84D31">
        <w:tc>
          <w:tcPr>
            <w:tcW w:w="1270" w:type="dxa"/>
            <w:vMerge w:val="restart"/>
          </w:tcPr>
          <w:p w14:paraId="65D470AD" w14:textId="77777777" w:rsidR="003C1CBF" w:rsidRPr="003C1CBF" w:rsidRDefault="003C1CBF" w:rsidP="003C1CBF">
            <w:pPr>
              <w:rPr>
                <w:rFonts w:eastAsia="MS Mincho" w:cs="Arial"/>
                <w:kern w:val="0"/>
                <w:lang w:val="en-US"/>
                <w14:ligatures w14:val="none"/>
              </w:rPr>
            </w:pPr>
          </w:p>
          <w:p w14:paraId="21F39689" w14:textId="77777777" w:rsidR="003C1CBF" w:rsidRPr="003C1CBF" w:rsidRDefault="003C1CBF" w:rsidP="003C1CBF">
            <w:pPr>
              <w:rPr>
                <w:rFonts w:eastAsia="MS Mincho" w:cs="Arial"/>
                <w:kern w:val="0"/>
                <w:lang w:val="en-US"/>
                <w14:ligatures w14:val="none"/>
              </w:rPr>
            </w:pPr>
          </w:p>
          <w:p w14:paraId="18E2B8A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Afan</w:t>
            </w:r>
          </w:p>
        </w:tc>
        <w:tc>
          <w:tcPr>
            <w:tcW w:w="1551" w:type="dxa"/>
            <w:vMerge w:val="restart"/>
          </w:tcPr>
          <w:p w14:paraId="4CD27898" w14:textId="77777777" w:rsidR="003C1CBF" w:rsidRPr="003C1CBF" w:rsidRDefault="003C1CBF" w:rsidP="003C1CBF">
            <w:pPr>
              <w:rPr>
                <w:rFonts w:eastAsia="MS Mincho" w:cs="Arial"/>
                <w:kern w:val="0"/>
                <w:lang w:val="en-US"/>
                <w14:ligatures w14:val="none"/>
              </w:rPr>
            </w:pPr>
          </w:p>
          <w:p w14:paraId="41693337" w14:textId="77777777" w:rsidR="003C1CBF" w:rsidRPr="003C1CBF" w:rsidRDefault="003C1CBF" w:rsidP="003C1CBF">
            <w:pPr>
              <w:rPr>
                <w:rFonts w:eastAsia="MS Mincho" w:cs="Arial"/>
                <w:kern w:val="0"/>
                <w:lang w:val="en-US"/>
                <w14:ligatures w14:val="none"/>
              </w:rPr>
            </w:pPr>
          </w:p>
          <w:p w14:paraId="7BDE903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Allied, Aberavon</w:t>
            </w:r>
          </w:p>
          <w:p w14:paraId="244F292E" w14:textId="77777777" w:rsidR="003C1CBF" w:rsidRPr="003C1CBF" w:rsidRDefault="003C1CBF" w:rsidP="003C1CBF">
            <w:pPr>
              <w:rPr>
                <w:rFonts w:eastAsia="MS Mincho" w:cs="Arial"/>
                <w:kern w:val="0"/>
                <w:lang w:val="en-US"/>
                <w14:ligatures w14:val="none"/>
              </w:rPr>
            </w:pPr>
          </w:p>
        </w:tc>
        <w:tc>
          <w:tcPr>
            <w:tcW w:w="1197" w:type="dxa"/>
            <w:shd w:val="clear" w:color="auto" w:fill="D9D9D9"/>
          </w:tcPr>
          <w:p w14:paraId="0BEBA12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69922E0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14:00-17:00</w:t>
            </w:r>
          </w:p>
        </w:tc>
        <w:tc>
          <w:tcPr>
            <w:tcW w:w="1205" w:type="dxa"/>
            <w:shd w:val="clear" w:color="auto" w:fill="D9D9D9"/>
          </w:tcPr>
          <w:p w14:paraId="27FCD31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14:00-17:00</w:t>
            </w:r>
          </w:p>
        </w:tc>
        <w:tc>
          <w:tcPr>
            <w:tcW w:w="1550" w:type="dxa"/>
            <w:shd w:val="clear" w:color="auto" w:fill="D9D9D9"/>
          </w:tcPr>
          <w:p w14:paraId="293A8EDE" w14:textId="1074E999"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14:00-17:00</w:t>
            </w:r>
          </w:p>
        </w:tc>
        <w:tc>
          <w:tcPr>
            <w:tcW w:w="1374" w:type="dxa"/>
            <w:shd w:val="clear" w:color="auto" w:fill="D9D9D9"/>
          </w:tcPr>
          <w:p w14:paraId="4687A40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14:00-17:00</w:t>
            </w:r>
          </w:p>
        </w:tc>
        <w:tc>
          <w:tcPr>
            <w:tcW w:w="1205" w:type="dxa"/>
            <w:shd w:val="clear" w:color="auto" w:fill="D9D9D9"/>
          </w:tcPr>
          <w:p w14:paraId="5CAB8D8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44" w:type="dxa"/>
            <w:shd w:val="clear" w:color="auto" w:fill="D9D9D9"/>
          </w:tcPr>
          <w:p w14:paraId="3C618C1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05477D7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13E47C81" w14:textId="77777777" w:rsidTr="00B84D31">
        <w:tc>
          <w:tcPr>
            <w:tcW w:w="1270" w:type="dxa"/>
            <w:vMerge/>
          </w:tcPr>
          <w:p w14:paraId="039E5950" w14:textId="77777777" w:rsidR="003C1CBF" w:rsidRPr="003C1CBF" w:rsidRDefault="003C1CBF" w:rsidP="003C1CBF">
            <w:pPr>
              <w:rPr>
                <w:rFonts w:eastAsia="MS Mincho" w:cs="Arial"/>
                <w:kern w:val="0"/>
                <w:lang w:val="en-US"/>
                <w14:ligatures w14:val="none"/>
              </w:rPr>
            </w:pPr>
          </w:p>
        </w:tc>
        <w:tc>
          <w:tcPr>
            <w:tcW w:w="1551" w:type="dxa"/>
            <w:vMerge/>
          </w:tcPr>
          <w:p w14:paraId="6CD51678" w14:textId="77777777" w:rsidR="003C1CBF" w:rsidRPr="003C1CBF" w:rsidRDefault="003C1CBF" w:rsidP="003C1CBF">
            <w:pPr>
              <w:rPr>
                <w:rFonts w:eastAsia="MS Mincho" w:cs="Arial"/>
                <w:kern w:val="0"/>
                <w:lang w:val="en-US"/>
                <w14:ligatures w14:val="none"/>
              </w:rPr>
            </w:pPr>
          </w:p>
        </w:tc>
        <w:tc>
          <w:tcPr>
            <w:tcW w:w="1197" w:type="dxa"/>
          </w:tcPr>
          <w:p w14:paraId="45CBF39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3C4C438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54C6F51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6FB67BC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46B67E9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622455A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26F5E05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41AC8E8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2568BF7" w14:textId="77777777" w:rsidTr="00B84D31">
        <w:tc>
          <w:tcPr>
            <w:tcW w:w="1270" w:type="dxa"/>
            <w:vMerge w:val="restart"/>
          </w:tcPr>
          <w:p w14:paraId="3F8921D4" w14:textId="77777777" w:rsidR="003C1CBF" w:rsidRPr="003C1CBF" w:rsidRDefault="003C1CBF" w:rsidP="003C1CBF">
            <w:pPr>
              <w:rPr>
                <w:rFonts w:eastAsia="MS Mincho" w:cs="Arial"/>
                <w:kern w:val="0"/>
                <w:lang w:val="en-US"/>
                <w14:ligatures w14:val="none"/>
              </w:rPr>
            </w:pPr>
          </w:p>
          <w:p w14:paraId="0AE38801" w14:textId="77777777" w:rsidR="003C1CBF" w:rsidRPr="003C1CBF" w:rsidRDefault="003C1CBF" w:rsidP="003C1CBF">
            <w:pPr>
              <w:rPr>
                <w:rFonts w:eastAsia="MS Mincho" w:cs="Arial"/>
                <w:kern w:val="0"/>
                <w:lang w:val="en-US"/>
                <w14:ligatures w14:val="none"/>
              </w:rPr>
            </w:pPr>
          </w:p>
          <w:p w14:paraId="55E53480" w14:textId="77777777" w:rsidR="003C1CBF" w:rsidRPr="003C1CBF" w:rsidRDefault="003C1CBF" w:rsidP="003C1CBF">
            <w:pPr>
              <w:rPr>
                <w:rFonts w:eastAsia="MS Mincho" w:cs="Arial"/>
                <w:kern w:val="0"/>
                <w:lang w:val="en-US"/>
                <w14:ligatures w14:val="none"/>
              </w:rPr>
            </w:pPr>
          </w:p>
          <w:p w14:paraId="551BFDC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Afan</w:t>
            </w:r>
          </w:p>
        </w:tc>
        <w:tc>
          <w:tcPr>
            <w:tcW w:w="1551" w:type="dxa"/>
            <w:vMerge w:val="restart"/>
          </w:tcPr>
          <w:p w14:paraId="2DE45925" w14:textId="77777777" w:rsidR="003C1CBF" w:rsidRPr="003C1CBF" w:rsidRDefault="003C1CBF" w:rsidP="003C1CBF">
            <w:pPr>
              <w:rPr>
                <w:rFonts w:eastAsia="MS Mincho" w:cs="Arial"/>
                <w:kern w:val="0"/>
                <w:lang w:val="en-US"/>
                <w14:ligatures w14:val="none"/>
              </w:rPr>
            </w:pPr>
          </w:p>
          <w:p w14:paraId="2C3CB8B5" w14:textId="77777777" w:rsidR="003C1CBF" w:rsidRPr="003C1CBF" w:rsidRDefault="003C1CBF" w:rsidP="003C1CBF">
            <w:pPr>
              <w:rPr>
                <w:rFonts w:eastAsia="MS Mincho" w:cs="Arial"/>
                <w:kern w:val="0"/>
                <w:lang w:val="en-US"/>
                <w14:ligatures w14:val="none"/>
              </w:rPr>
            </w:pPr>
          </w:p>
          <w:p w14:paraId="3086D08C" w14:textId="77777777" w:rsidR="003C1CBF" w:rsidRPr="003C1CBF" w:rsidRDefault="003C1CBF" w:rsidP="003C1CBF">
            <w:pPr>
              <w:rPr>
                <w:rFonts w:eastAsia="MS Mincho" w:cs="Arial"/>
                <w:kern w:val="0"/>
                <w:lang w:val="en-US"/>
                <w14:ligatures w14:val="none"/>
              </w:rPr>
            </w:pPr>
          </w:p>
          <w:p w14:paraId="3EFB47B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Allied, Port Talbot</w:t>
            </w:r>
          </w:p>
        </w:tc>
        <w:tc>
          <w:tcPr>
            <w:tcW w:w="1197" w:type="dxa"/>
            <w:shd w:val="clear" w:color="auto" w:fill="D9D9D9"/>
          </w:tcPr>
          <w:p w14:paraId="48FA8AC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4EA9B0B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09:00-12:30 / 14:00-18:00</w:t>
            </w:r>
          </w:p>
        </w:tc>
        <w:tc>
          <w:tcPr>
            <w:tcW w:w="1205" w:type="dxa"/>
            <w:shd w:val="clear" w:color="auto" w:fill="D9D9D9"/>
          </w:tcPr>
          <w:p w14:paraId="5EEDCCA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09:00-12:30 / 14:00-18:00</w:t>
            </w:r>
          </w:p>
        </w:tc>
        <w:tc>
          <w:tcPr>
            <w:tcW w:w="1550" w:type="dxa"/>
            <w:shd w:val="clear" w:color="auto" w:fill="D9D9D9"/>
          </w:tcPr>
          <w:p w14:paraId="63CFF608" w14:textId="542F39B0"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09:00-12:30 14:00-18:00</w:t>
            </w:r>
          </w:p>
        </w:tc>
        <w:tc>
          <w:tcPr>
            <w:tcW w:w="1374" w:type="dxa"/>
            <w:shd w:val="clear" w:color="auto" w:fill="D9D9D9"/>
          </w:tcPr>
          <w:p w14:paraId="3C1E7DE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09:00-12:30 / 14:00-18:00</w:t>
            </w:r>
          </w:p>
        </w:tc>
        <w:tc>
          <w:tcPr>
            <w:tcW w:w="1205" w:type="dxa"/>
            <w:shd w:val="clear" w:color="auto" w:fill="D9D9D9"/>
          </w:tcPr>
          <w:p w14:paraId="78D1D1F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247043D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shd w:val="clear" w:color="auto" w:fill="D9D9D9"/>
          </w:tcPr>
          <w:p w14:paraId="01E7BD5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14:00-16:00</w:t>
            </w:r>
          </w:p>
        </w:tc>
      </w:tr>
      <w:tr w:rsidR="003C1CBF" w:rsidRPr="003C1CBF" w14:paraId="43EA0E30" w14:textId="77777777" w:rsidTr="00B84D31">
        <w:tc>
          <w:tcPr>
            <w:tcW w:w="1270" w:type="dxa"/>
            <w:vMerge/>
          </w:tcPr>
          <w:p w14:paraId="3D445DC5" w14:textId="77777777" w:rsidR="003C1CBF" w:rsidRPr="003C1CBF" w:rsidRDefault="003C1CBF" w:rsidP="003C1CBF">
            <w:pPr>
              <w:rPr>
                <w:rFonts w:eastAsia="MS Mincho" w:cs="Arial"/>
                <w:kern w:val="0"/>
                <w:lang w:val="en-US"/>
                <w14:ligatures w14:val="none"/>
              </w:rPr>
            </w:pPr>
          </w:p>
        </w:tc>
        <w:tc>
          <w:tcPr>
            <w:tcW w:w="1551" w:type="dxa"/>
            <w:vMerge/>
          </w:tcPr>
          <w:p w14:paraId="02CE33A6" w14:textId="77777777" w:rsidR="003C1CBF" w:rsidRPr="003C1CBF" w:rsidRDefault="003C1CBF" w:rsidP="003C1CBF">
            <w:pPr>
              <w:rPr>
                <w:rFonts w:eastAsia="MS Mincho" w:cs="Arial"/>
                <w:kern w:val="0"/>
                <w:lang w:val="en-US"/>
                <w14:ligatures w14:val="none"/>
              </w:rPr>
            </w:pPr>
          </w:p>
        </w:tc>
        <w:tc>
          <w:tcPr>
            <w:tcW w:w="1197" w:type="dxa"/>
          </w:tcPr>
          <w:p w14:paraId="3BA01C0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08611A2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08:30-19:00</w:t>
            </w:r>
          </w:p>
        </w:tc>
        <w:tc>
          <w:tcPr>
            <w:tcW w:w="1205" w:type="dxa"/>
          </w:tcPr>
          <w:p w14:paraId="10345B0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08:30-19:00</w:t>
            </w:r>
          </w:p>
        </w:tc>
        <w:tc>
          <w:tcPr>
            <w:tcW w:w="1550" w:type="dxa"/>
          </w:tcPr>
          <w:p w14:paraId="4395CD4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08:30-19:00</w:t>
            </w:r>
          </w:p>
        </w:tc>
        <w:tc>
          <w:tcPr>
            <w:tcW w:w="1374" w:type="dxa"/>
          </w:tcPr>
          <w:p w14:paraId="64EFEDA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08:30-19:00</w:t>
            </w:r>
          </w:p>
        </w:tc>
        <w:tc>
          <w:tcPr>
            <w:tcW w:w="1205" w:type="dxa"/>
          </w:tcPr>
          <w:p w14:paraId="637E3FD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08:30-19:00</w:t>
            </w:r>
          </w:p>
        </w:tc>
        <w:tc>
          <w:tcPr>
            <w:tcW w:w="1244" w:type="dxa"/>
          </w:tcPr>
          <w:p w14:paraId="7D632EA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8" w:type="dxa"/>
          </w:tcPr>
          <w:p w14:paraId="6102CFC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11:00-16:00 / 17:00-22:00</w:t>
            </w:r>
          </w:p>
        </w:tc>
      </w:tr>
      <w:tr w:rsidR="003C1CBF" w:rsidRPr="003C1CBF" w14:paraId="7F8F83EC" w14:textId="77777777" w:rsidTr="00B84D31">
        <w:tc>
          <w:tcPr>
            <w:tcW w:w="1270" w:type="dxa"/>
            <w:vMerge w:val="restart"/>
          </w:tcPr>
          <w:p w14:paraId="052F1BD0" w14:textId="77777777" w:rsidR="003C1CBF" w:rsidRPr="003C1CBF" w:rsidRDefault="003C1CBF" w:rsidP="003C1CBF">
            <w:pPr>
              <w:rPr>
                <w:rFonts w:eastAsia="MS Mincho" w:cs="Arial"/>
                <w:kern w:val="0"/>
                <w:lang w:val="en-US"/>
                <w14:ligatures w14:val="none"/>
              </w:rPr>
            </w:pPr>
          </w:p>
          <w:p w14:paraId="7B4A9BE7" w14:textId="77777777" w:rsidR="003C1CBF" w:rsidRPr="003C1CBF" w:rsidRDefault="003C1CBF" w:rsidP="003C1CBF">
            <w:pPr>
              <w:rPr>
                <w:rFonts w:eastAsia="MS Mincho" w:cs="Arial"/>
                <w:kern w:val="0"/>
                <w:lang w:val="en-US"/>
                <w14:ligatures w14:val="none"/>
              </w:rPr>
            </w:pPr>
          </w:p>
          <w:p w14:paraId="784BE69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Afan</w:t>
            </w:r>
          </w:p>
        </w:tc>
        <w:tc>
          <w:tcPr>
            <w:tcW w:w="1551" w:type="dxa"/>
            <w:vMerge w:val="restart"/>
          </w:tcPr>
          <w:p w14:paraId="12DA7B30" w14:textId="77777777" w:rsidR="003C1CBF" w:rsidRPr="003C1CBF" w:rsidRDefault="003C1CBF" w:rsidP="003C1CBF">
            <w:pPr>
              <w:rPr>
                <w:rFonts w:eastAsia="MS Mincho" w:cs="Arial"/>
                <w:kern w:val="0"/>
                <w:lang w:val="en-US"/>
                <w14:ligatures w14:val="none"/>
              </w:rPr>
            </w:pPr>
          </w:p>
          <w:p w14:paraId="62B4A0CD" w14:textId="77777777" w:rsidR="003C1CBF" w:rsidRPr="003C1CBF" w:rsidRDefault="003C1CBF" w:rsidP="003C1CBF">
            <w:pPr>
              <w:rPr>
                <w:rFonts w:eastAsia="MS Mincho" w:cs="Arial"/>
                <w:kern w:val="0"/>
                <w:lang w:val="en-US"/>
                <w14:ligatures w14:val="none"/>
              </w:rPr>
            </w:pPr>
          </w:p>
          <w:p w14:paraId="4689B36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Allied, Sandfields</w:t>
            </w:r>
          </w:p>
        </w:tc>
        <w:tc>
          <w:tcPr>
            <w:tcW w:w="1197" w:type="dxa"/>
            <w:shd w:val="clear" w:color="auto" w:fill="D9D9D9"/>
          </w:tcPr>
          <w:p w14:paraId="2BB596C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7066D20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14:30-18:00</w:t>
            </w:r>
          </w:p>
        </w:tc>
        <w:tc>
          <w:tcPr>
            <w:tcW w:w="1205" w:type="dxa"/>
            <w:shd w:val="clear" w:color="auto" w:fill="D9D9D9"/>
          </w:tcPr>
          <w:p w14:paraId="3394EA3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14:30-18:00</w:t>
            </w:r>
          </w:p>
        </w:tc>
        <w:tc>
          <w:tcPr>
            <w:tcW w:w="1550" w:type="dxa"/>
            <w:shd w:val="clear" w:color="auto" w:fill="D9D9D9"/>
          </w:tcPr>
          <w:p w14:paraId="72E9B09E" w14:textId="4AC67A69"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14:30-18:00</w:t>
            </w:r>
          </w:p>
        </w:tc>
        <w:tc>
          <w:tcPr>
            <w:tcW w:w="1374" w:type="dxa"/>
            <w:shd w:val="clear" w:color="auto" w:fill="D9D9D9"/>
          </w:tcPr>
          <w:p w14:paraId="0A29948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14:30-18:00</w:t>
            </w:r>
          </w:p>
        </w:tc>
        <w:tc>
          <w:tcPr>
            <w:tcW w:w="1205" w:type="dxa"/>
            <w:shd w:val="clear" w:color="auto" w:fill="D9D9D9"/>
          </w:tcPr>
          <w:p w14:paraId="78341E6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027FAFC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09:00-11:30</w:t>
            </w:r>
          </w:p>
        </w:tc>
        <w:tc>
          <w:tcPr>
            <w:tcW w:w="1378" w:type="dxa"/>
            <w:shd w:val="clear" w:color="auto" w:fill="D9D9D9"/>
          </w:tcPr>
          <w:p w14:paraId="77868B0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75526141" w14:textId="77777777" w:rsidTr="00B84D31">
        <w:tc>
          <w:tcPr>
            <w:tcW w:w="1270" w:type="dxa"/>
            <w:vMerge/>
          </w:tcPr>
          <w:p w14:paraId="3FC4EE7E" w14:textId="77777777" w:rsidR="003C1CBF" w:rsidRPr="003C1CBF" w:rsidRDefault="003C1CBF" w:rsidP="003C1CBF">
            <w:pPr>
              <w:rPr>
                <w:rFonts w:eastAsia="MS Mincho" w:cs="Arial"/>
                <w:kern w:val="0"/>
                <w:lang w:val="en-US"/>
                <w14:ligatures w14:val="none"/>
              </w:rPr>
            </w:pPr>
          </w:p>
        </w:tc>
        <w:tc>
          <w:tcPr>
            <w:tcW w:w="1551" w:type="dxa"/>
            <w:vMerge/>
          </w:tcPr>
          <w:p w14:paraId="00FE380F" w14:textId="77777777" w:rsidR="003C1CBF" w:rsidRPr="003C1CBF" w:rsidRDefault="003C1CBF" w:rsidP="003C1CBF">
            <w:pPr>
              <w:rPr>
                <w:rFonts w:eastAsia="MS Mincho" w:cs="Arial"/>
                <w:kern w:val="0"/>
                <w:lang w:val="en-US"/>
                <w14:ligatures w14:val="none"/>
              </w:rPr>
            </w:pPr>
          </w:p>
        </w:tc>
        <w:tc>
          <w:tcPr>
            <w:tcW w:w="1197" w:type="dxa"/>
          </w:tcPr>
          <w:p w14:paraId="33B95A9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68D4FCB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4DF0D89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2BB290B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7C66B79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0B9DE00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42A8C4D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tcPr>
          <w:p w14:paraId="5F9514F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68CCDD5" w14:textId="77777777" w:rsidTr="00B84D31">
        <w:tc>
          <w:tcPr>
            <w:tcW w:w="1270" w:type="dxa"/>
            <w:vMerge w:val="restart"/>
          </w:tcPr>
          <w:p w14:paraId="746A01C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Afan</w:t>
            </w:r>
          </w:p>
        </w:tc>
        <w:tc>
          <w:tcPr>
            <w:tcW w:w="1551" w:type="dxa"/>
            <w:vMerge w:val="restart"/>
          </w:tcPr>
          <w:p w14:paraId="21D3499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Baglan Pharmacy</w:t>
            </w:r>
          </w:p>
        </w:tc>
        <w:tc>
          <w:tcPr>
            <w:tcW w:w="1197" w:type="dxa"/>
            <w:shd w:val="clear" w:color="auto" w:fill="D9D9D9"/>
          </w:tcPr>
          <w:p w14:paraId="41BA3FE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21316C6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13:30-17:30</w:t>
            </w:r>
          </w:p>
        </w:tc>
        <w:tc>
          <w:tcPr>
            <w:tcW w:w="1205" w:type="dxa"/>
            <w:shd w:val="clear" w:color="auto" w:fill="D9D9D9"/>
          </w:tcPr>
          <w:p w14:paraId="0018D18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13:30-17:30</w:t>
            </w:r>
          </w:p>
        </w:tc>
        <w:tc>
          <w:tcPr>
            <w:tcW w:w="1550" w:type="dxa"/>
            <w:shd w:val="clear" w:color="auto" w:fill="D9D9D9"/>
          </w:tcPr>
          <w:p w14:paraId="532B42FE" w14:textId="7552CEF5"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13:30-17:30</w:t>
            </w:r>
          </w:p>
        </w:tc>
        <w:tc>
          <w:tcPr>
            <w:tcW w:w="1374" w:type="dxa"/>
            <w:shd w:val="clear" w:color="auto" w:fill="D9D9D9"/>
          </w:tcPr>
          <w:p w14:paraId="3DB5FC6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13:30-17:30</w:t>
            </w:r>
          </w:p>
        </w:tc>
        <w:tc>
          <w:tcPr>
            <w:tcW w:w="1205" w:type="dxa"/>
            <w:shd w:val="clear" w:color="auto" w:fill="D9D9D9"/>
          </w:tcPr>
          <w:p w14:paraId="09A061F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shd w:val="clear" w:color="auto" w:fill="D9D9D9"/>
          </w:tcPr>
          <w:p w14:paraId="68DA3DA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177D21F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02C7A098" w14:textId="77777777" w:rsidTr="00B84D31">
        <w:tc>
          <w:tcPr>
            <w:tcW w:w="1270" w:type="dxa"/>
            <w:vMerge/>
          </w:tcPr>
          <w:p w14:paraId="52C13AB2" w14:textId="77777777" w:rsidR="003C1CBF" w:rsidRPr="003C1CBF" w:rsidRDefault="003C1CBF" w:rsidP="003C1CBF">
            <w:pPr>
              <w:rPr>
                <w:rFonts w:eastAsia="MS Mincho" w:cs="Arial"/>
                <w:kern w:val="0"/>
                <w:lang w:val="en-US"/>
                <w14:ligatures w14:val="none"/>
              </w:rPr>
            </w:pPr>
          </w:p>
        </w:tc>
        <w:tc>
          <w:tcPr>
            <w:tcW w:w="1551" w:type="dxa"/>
            <w:vMerge/>
          </w:tcPr>
          <w:p w14:paraId="59F5A218" w14:textId="77777777" w:rsidR="003C1CBF" w:rsidRPr="003C1CBF" w:rsidRDefault="003C1CBF" w:rsidP="003C1CBF">
            <w:pPr>
              <w:rPr>
                <w:rFonts w:eastAsia="MS Mincho" w:cs="Arial"/>
                <w:kern w:val="0"/>
                <w:lang w:val="en-US"/>
                <w14:ligatures w14:val="none"/>
              </w:rPr>
            </w:pPr>
          </w:p>
        </w:tc>
        <w:tc>
          <w:tcPr>
            <w:tcW w:w="1197" w:type="dxa"/>
          </w:tcPr>
          <w:p w14:paraId="3F584DF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39B4792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13:30-17:30</w:t>
            </w:r>
          </w:p>
        </w:tc>
        <w:tc>
          <w:tcPr>
            <w:tcW w:w="1205" w:type="dxa"/>
          </w:tcPr>
          <w:p w14:paraId="5B99181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13:30-17:30</w:t>
            </w:r>
          </w:p>
        </w:tc>
        <w:tc>
          <w:tcPr>
            <w:tcW w:w="1550" w:type="dxa"/>
          </w:tcPr>
          <w:p w14:paraId="1B3D6640" w14:textId="50C0EC7B"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13:30-17:30</w:t>
            </w:r>
          </w:p>
        </w:tc>
        <w:tc>
          <w:tcPr>
            <w:tcW w:w="1374" w:type="dxa"/>
          </w:tcPr>
          <w:p w14:paraId="1D88547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13:30-17:30</w:t>
            </w:r>
          </w:p>
        </w:tc>
        <w:tc>
          <w:tcPr>
            <w:tcW w:w="1205" w:type="dxa"/>
          </w:tcPr>
          <w:p w14:paraId="121CD09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tcPr>
          <w:p w14:paraId="767BF52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0C786BA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5265406C" w14:textId="77777777" w:rsidTr="00B84D31">
        <w:tc>
          <w:tcPr>
            <w:tcW w:w="1270" w:type="dxa"/>
            <w:vMerge w:val="restart"/>
          </w:tcPr>
          <w:p w14:paraId="3F68AB67" w14:textId="77777777" w:rsidR="003C1CBF" w:rsidRPr="003C1CBF" w:rsidRDefault="003C1CBF" w:rsidP="003C1CBF">
            <w:pPr>
              <w:rPr>
                <w:rFonts w:eastAsia="MS Mincho" w:cs="Arial"/>
                <w:kern w:val="0"/>
                <w:lang w:val="en-US"/>
                <w14:ligatures w14:val="none"/>
              </w:rPr>
            </w:pPr>
          </w:p>
          <w:p w14:paraId="2D847380" w14:textId="77777777" w:rsidR="003C1CBF" w:rsidRPr="003C1CBF" w:rsidRDefault="003C1CBF" w:rsidP="003C1CBF">
            <w:pPr>
              <w:rPr>
                <w:rFonts w:eastAsia="MS Mincho" w:cs="Arial"/>
                <w:kern w:val="0"/>
                <w:lang w:val="en-US"/>
                <w14:ligatures w14:val="none"/>
              </w:rPr>
            </w:pPr>
          </w:p>
          <w:p w14:paraId="4D4FC14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Afan</w:t>
            </w:r>
          </w:p>
        </w:tc>
        <w:tc>
          <w:tcPr>
            <w:tcW w:w="1551" w:type="dxa"/>
            <w:vMerge w:val="restart"/>
          </w:tcPr>
          <w:p w14:paraId="07B5A698" w14:textId="77777777" w:rsidR="003C1CBF" w:rsidRPr="003C1CBF" w:rsidRDefault="003C1CBF" w:rsidP="003C1CBF">
            <w:pPr>
              <w:rPr>
                <w:rFonts w:eastAsia="MS Mincho" w:cs="Arial"/>
                <w:kern w:val="0"/>
                <w:lang w:val="en-US"/>
                <w14:ligatures w14:val="none"/>
              </w:rPr>
            </w:pPr>
          </w:p>
          <w:p w14:paraId="5EC4CFBC" w14:textId="77777777" w:rsidR="003C1CBF" w:rsidRPr="003C1CBF" w:rsidRDefault="003C1CBF" w:rsidP="003C1CBF">
            <w:pPr>
              <w:rPr>
                <w:rFonts w:eastAsia="MS Mincho" w:cs="Arial"/>
                <w:kern w:val="0"/>
                <w:lang w:val="en-US"/>
                <w14:ligatures w14:val="none"/>
              </w:rPr>
            </w:pPr>
          </w:p>
          <w:p w14:paraId="3F625A2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Boots, Aberavon</w:t>
            </w:r>
          </w:p>
        </w:tc>
        <w:tc>
          <w:tcPr>
            <w:tcW w:w="1197" w:type="dxa"/>
          </w:tcPr>
          <w:p w14:paraId="3B2A6C5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658BAA2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09:00-14:00 / 15:00-17:00</w:t>
            </w:r>
          </w:p>
        </w:tc>
        <w:tc>
          <w:tcPr>
            <w:tcW w:w="1205" w:type="dxa"/>
            <w:shd w:val="clear" w:color="auto" w:fill="D9D9D9"/>
          </w:tcPr>
          <w:p w14:paraId="3A0ADAB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09:00-14:00 / 15:00-17:00</w:t>
            </w:r>
          </w:p>
        </w:tc>
        <w:tc>
          <w:tcPr>
            <w:tcW w:w="1550" w:type="dxa"/>
            <w:shd w:val="clear" w:color="auto" w:fill="D9D9D9"/>
          </w:tcPr>
          <w:p w14:paraId="4D750B00" w14:textId="057E67DD"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09:00-14:00 15:00-17:00</w:t>
            </w:r>
          </w:p>
        </w:tc>
        <w:tc>
          <w:tcPr>
            <w:tcW w:w="1374" w:type="dxa"/>
            <w:shd w:val="clear" w:color="auto" w:fill="D9D9D9"/>
          </w:tcPr>
          <w:p w14:paraId="1E33D02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09:00-14:00 / 15:00-17:00</w:t>
            </w:r>
          </w:p>
        </w:tc>
        <w:tc>
          <w:tcPr>
            <w:tcW w:w="1205" w:type="dxa"/>
            <w:shd w:val="clear" w:color="auto" w:fill="D9D9D9"/>
          </w:tcPr>
          <w:p w14:paraId="44C510C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44" w:type="dxa"/>
            <w:shd w:val="clear" w:color="auto" w:fill="D9D9D9"/>
          </w:tcPr>
          <w:p w14:paraId="57218D5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09:00-14:00 / 15:00-16:00</w:t>
            </w:r>
          </w:p>
        </w:tc>
        <w:tc>
          <w:tcPr>
            <w:tcW w:w="1378" w:type="dxa"/>
            <w:shd w:val="clear" w:color="auto" w:fill="D9D9D9"/>
          </w:tcPr>
          <w:p w14:paraId="3D39184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2B023774" w14:textId="77777777" w:rsidTr="00B84D31">
        <w:tc>
          <w:tcPr>
            <w:tcW w:w="1270" w:type="dxa"/>
            <w:vMerge/>
          </w:tcPr>
          <w:p w14:paraId="116546E7" w14:textId="77777777" w:rsidR="003C1CBF" w:rsidRPr="003C1CBF" w:rsidRDefault="003C1CBF" w:rsidP="003C1CBF">
            <w:pPr>
              <w:rPr>
                <w:rFonts w:eastAsia="MS Mincho" w:cs="Arial"/>
                <w:kern w:val="0"/>
                <w:lang w:val="en-US"/>
                <w14:ligatures w14:val="none"/>
              </w:rPr>
            </w:pPr>
          </w:p>
        </w:tc>
        <w:tc>
          <w:tcPr>
            <w:tcW w:w="1551" w:type="dxa"/>
            <w:vMerge/>
          </w:tcPr>
          <w:p w14:paraId="755DD352" w14:textId="77777777" w:rsidR="003C1CBF" w:rsidRPr="003C1CBF" w:rsidRDefault="003C1CBF" w:rsidP="003C1CBF">
            <w:pPr>
              <w:rPr>
                <w:rFonts w:eastAsia="MS Mincho" w:cs="Arial"/>
                <w:kern w:val="0"/>
                <w:lang w:val="en-US"/>
                <w14:ligatures w14:val="none"/>
              </w:rPr>
            </w:pPr>
          </w:p>
        </w:tc>
        <w:tc>
          <w:tcPr>
            <w:tcW w:w="1197" w:type="dxa"/>
          </w:tcPr>
          <w:p w14:paraId="2B80F4F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0D426B1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tcPr>
          <w:p w14:paraId="4813368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550" w:type="dxa"/>
          </w:tcPr>
          <w:p w14:paraId="241EFB4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374" w:type="dxa"/>
          </w:tcPr>
          <w:p w14:paraId="539BD69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tcPr>
          <w:p w14:paraId="1C85723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44" w:type="dxa"/>
          </w:tcPr>
          <w:p w14:paraId="467AB93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378" w:type="dxa"/>
          </w:tcPr>
          <w:p w14:paraId="6D21212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93DC4DA" w14:textId="77777777" w:rsidTr="00B84D31">
        <w:tc>
          <w:tcPr>
            <w:tcW w:w="1270" w:type="dxa"/>
            <w:vMerge w:val="restart"/>
          </w:tcPr>
          <w:p w14:paraId="0F1625E6" w14:textId="77777777" w:rsidR="003C1CBF" w:rsidRPr="003C1CBF" w:rsidRDefault="003C1CBF" w:rsidP="003C1CBF">
            <w:pPr>
              <w:rPr>
                <w:rFonts w:eastAsia="MS Mincho" w:cs="Arial"/>
                <w:kern w:val="0"/>
                <w:lang w:val="en-US"/>
                <w14:ligatures w14:val="none"/>
              </w:rPr>
            </w:pPr>
          </w:p>
          <w:p w14:paraId="5FB8AA57" w14:textId="77777777" w:rsidR="003C1CBF" w:rsidRPr="003C1CBF" w:rsidRDefault="003C1CBF" w:rsidP="003C1CBF">
            <w:pPr>
              <w:rPr>
                <w:rFonts w:eastAsia="MS Mincho" w:cs="Arial"/>
                <w:kern w:val="0"/>
                <w:lang w:val="en-US"/>
                <w14:ligatures w14:val="none"/>
              </w:rPr>
            </w:pPr>
          </w:p>
          <w:p w14:paraId="4A6BB7E0" w14:textId="77777777" w:rsidR="003C1CBF" w:rsidRPr="003C1CBF" w:rsidRDefault="003C1CBF" w:rsidP="003C1CBF">
            <w:pPr>
              <w:rPr>
                <w:rFonts w:eastAsia="MS Mincho" w:cs="Arial"/>
                <w:kern w:val="0"/>
                <w:lang w:val="en-US"/>
                <w14:ligatures w14:val="none"/>
              </w:rPr>
            </w:pPr>
          </w:p>
          <w:p w14:paraId="2179F84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Afan</w:t>
            </w:r>
          </w:p>
        </w:tc>
        <w:tc>
          <w:tcPr>
            <w:tcW w:w="1551" w:type="dxa"/>
            <w:vMerge w:val="restart"/>
          </w:tcPr>
          <w:p w14:paraId="5F365E7C" w14:textId="77777777" w:rsidR="003C1CBF" w:rsidRPr="003C1CBF" w:rsidRDefault="003C1CBF" w:rsidP="003C1CBF">
            <w:pPr>
              <w:rPr>
                <w:rFonts w:eastAsia="MS Mincho" w:cs="Arial"/>
                <w:kern w:val="0"/>
                <w:lang w:val="en-US"/>
                <w14:ligatures w14:val="none"/>
              </w:rPr>
            </w:pPr>
          </w:p>
          <w:p w14:paraId="43D398B5" w14:textId="77777777" w:rsidR="003C1CBF" w:rsidRPr="003C1CBF" w:rsidRDefault="003C1CBF" w:rsidP="003C1CBF">
            <w:pPr>
              <w:rPr>
                <w:rFonts w:eastAsia="MS Mincho" w:cs="Arial"/>
                <w:kern w:val="0"/>
                <w:lang w:val="en-US"/>
                <w14:ligatures w14:val="none"/>
              </w:rPr>
            </w:pPr>
          </w:p>
          <w:p w14:paraId="2796338B" w14:textId="77777777" w:rsidR="003C1CBF" w:rsidRPr="003C1CBF" w:rsidRDefault="003C1CBF" w:rsidP="003C1CBF">
            <w:pPr>
              <w:rPr>
                <w:rFonts w:eastAsia="MS Mincho" w:cs="Arial"/>
                <w:kern w:val="0"/>
                <w:lang w:val="en-US"/>
                <w14:ligatures w14:val="none"/>
              </w:rPr>
            </w:pPr>
          </w:p>
          <w:p w14:paraId="4844228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MW Phillips, Blaengwynfi</w:t>
            </w:r>
          </w:p>
        </w:tc>
        <w:tc>
          <w:tcPr>
            <w:tcW w:w="1197" w:type="dxa"/>
            <w:shd w:val="clear" w:color="auto" w:fill="D9D9D9"/>
          </w:tcPr>
          <w:p w14:paraId="78ED765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48E318D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13:30-18:00</w:t>
            </w:r>
          </w:p>
        </w:tc>
        <w:tc>
          <w:tcPr>
            <w:tcW w:w="1205" w:type="dxa"/>
            <w:shd w:val="clear" w:color="auto" w:fill="D9D9D9"/>
          </w:tcPr>
          <w:p w14:paraId="4B3CD38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13:30-17:00</w:t>
            </w:r>
          </w:p>
        </w:tc>
        <w:tc>
          <w:tcPr>
            <w:tcW w:w="1550" w:type="dxa"/>
            <w:shd w:val="clear" w:color="auto" w:fill="D9D9D9"/>
          </w:tcPr>
          <w:p w14:paraId="778C0A07" w14:textId="40F9CF3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13:30-17:30</w:t>
            </w:r>
          </w:p>
        </w:tc>
        <w:tc>
          <w:tcPr>
            <w:tcW w:w="1374" w:type="dxa"/>
            <w:shd w:val="clear" w:color="auto" w:fill="D9D9D9"/>
          </w:tcPr>
          <w:p w14:paraId="5269B7E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13:30-18:00</w:t>
            </w:r>
          </w:p>
        </w:tc>
        <w:tc>
          <w:tcPr>
            <w:tcW w:w="1205" w:type="dxa"/>
            <w:shd w:val="clear" w:color="auto" w:fill="D9D9D9"/>
          </w:tcPr>
          <w:p w14:paraId="3CC0575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44" w:type="dxa"/>
            <w:shd w:val="clear" w:color="auto" w:fill="D9D9D9"/>
          </w:tcPr>
          <w:p w14:paraId="39E41A5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7ED47FF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ACC0DAF" w14:textId="77777777" w:rsidTr="00B84D31">
        <w:tc>
          <w:tcPr>
            <w:tcW w:w="1270" w:type="dxa"/>
            <w:vMerge/>
          </w:tcPr>
          <w:p w14:paraId="11B5B9F0" w14:textId="77777777" w:rsidR="003C1CBF" w:rsidRPr="003C1CBF" w:rsidRDefault="003C1CBF" w:rsidP="003C1CBF">
            <w:pPr>
              <w:rPr>
                <w:rFonts w:eastAsia="MS Mincho" w:cs="Arial"/>
                <w:kern w:val="0"/>
                <w:lang w:val="en-US"/>
                <w14:ligatures w14:val="none"/>
              </w:rPr>
            </w:pPr>
          </w:p>
        </w:tc>
        <w:tc>
          <w:tcPr>
            <w:tcW w:w="1551" w:type="dxa"/>
            <w:vMerge/>
          </w:tcPr>
          <w:p w14:paraId="03AADE65" w14:textId="77777777" w:rsidR="003C1CBF" w:rsidRPr="003C1CBF" w:rsidRDefault="003C1CBF" w:rsidP="003C1CBF">
            <w:pPr>
              <w:rPr>
                <w:rFonts w:eastAsia="MS Mincho" w:cs="Arial"/>
                <w:kern w:val="0"/>
                <w:lang w:val="en-US"/>
                <w14:ligatures w14:val="none"/>
              </w:rPr>
            </w:pPr>
          </w:p>
        </w:tc>
        <w:tc>
          <w:tcPr>
            <w:tcW w:w="1197" w:type="dxa"/>
          </w:tcPr>
          <w:p w14:paraId="4D2270A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3D47A33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13:30-18:00</w:t>
            </w:r>
          </w:p>
        </w:tc>
        <w:tc>
          <w:tcPr>
            <w:tcW w:w="1205" w:type="dxa"/>
          </w:tcPr>
          <w:p w14:paraId="004D167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13:30-17:00</w:t>
            </w:r>
          </w:p>
        </w:tc>
        <w:tc>
          <w:tcPr>
            <w:tcW w:w="1550" w:type="dxa"/>
          </w:tcPr>
          <w:p w14:paraId="28640137" w14:textId="735EECAD"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13:30-17:30</w:t>
            </w:r>
          </w:p>
        </w:tc>
        <w:tc>
          <w:tcPr>
            <w:tcW w:w="1374" w:type="dxa"/>
          </w:tcPr>
          <w:p w14:paraId="1F8F6BF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13:30-18:00</w:t>
            </w:r>
          </w:p>
        </w:tc>
        <w:tc>
          <w:tcPr>
            <w:tcW w:w="1205" w:type="dxa"/>
          </w:tcPr>
          <w:p w14:paraId="5C2E4B9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44" w:type="dxa"/>
          </w:tcPr>
          <w:p w14:paraId="771767D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57F706C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1F99308D" w14:textId="77777777" w:rsidTr="00B84D31">
        <w:tc>
          <w:tcPr>
            <w:tcW w:w="1270" w:type="dxa"/>
            <w:vMerge w:val="restart"/>
          </w:tcPr>
          <w:p w14:paraId="4135C30C" w14:textId="77777777" w:rsidR="003C1CBF" w:rsidRPr="003C1CBF" w:rsidRDefault="003C1CBF" w:rsidP="003C1CBF">
            <w:pPr>
              <w:rPr>
                <w:rFonts w:eastAsia="MS Mincho" w:cs="Arial"/>
                <w:kern w:val="0"/>
                <w:lang w:val="en-US"/>
                <w14:ligatures w14:val="none"/>
              </w:rPr>
            </w:pPr>
          </w:p>
          <w:p w14:paraId="46888058" w14:textId="77777777" w:rsidR="003C1CBF" w:rsidRPr="003C1CBF" w:rsidRDefault="003C1CBF" w:rsidP="003C1CBF">
            <w:pPr>
              <w:rPr>
                <w:rFonts w:eastAsia="MS Mincho" w:cs="Arial"/>
                <w:kern w:val="0"/>
                <w:lang w:val="en-US"/>
                <w14:ligatures w14:val="none"/>
              </w:rPr>
            </w:pPr>
          </w:p>
          <w:p w14:paraId="7DB099C4" w14:textId="77777777" w:rsidR="003C1CBF" w:rsidRPr="003C1CBF" w:rsidRDefault="003C1CBF" w:rsidP="003C1CBF">
            <w:pPr>
              <w:rPr>
                <w:rFonts w:eastAsia="MS Mincho" w:cs="Arial"/>
                <w:kern w:val="0"/>
                <w:lang w:val="en-US"/>
                <w14:ligatures w14:val="none"/>
              </w:rPr>
            </w:pPr>
          </w:p>
          <w:p w14:paraId="7B07E05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Afan</w:t>
            </w:r>
          </w:p>
        </w:tc>
        <w:tc>
          <w:tcPr>
            <w:tcW w:w="1551" w:type="dxa"/>
            <w:vMerge w:val="restart"/>
          </w:tcPr>
          <w:p w14:paraId="7835AE2F" w14:textId="77777777" w:rsidR="003C1CBF" w:rsidRPr="003C1CBF" w:rsidRDefault="003C1CBF" w:rsidP="003C1CBF">
            <w:pPr>
              <w:rPr>
                <w:rFonts w:eastAsia="MS Mincho" w:cs="Arial"/>
                <w:kern w:val="0"/>
                <w:lang w:val="en-US"/>
                <w14:ligatures w14:val="none"/>
              </w:rPr>
            </w:pPr>
          </w:p>
          <w:p w14:paraId="3E683FC7" w14:textId="77777777" w:rsidR="003C1CBF" w:rsidRPr="003C1CBF" w:rsidRDefault="003C1CBF" w:rsidP="003C1CBF">
            <w:pPr>
              <w:rPr>
                <w:rFonts w:eastAsia="MS Mincho" w:cs="Arial"/>
                <w:kern w:val="0"/>
                <w:lang w:val="en-US"/>
                <w14:ligatures w14:val="none"/>
              </w:rPr>
            </w:pPr>
          </w:p>
          <w:p w14:paraId="40639520" w14:textId="77777777" w:rsidR="003C1CBF" w:rsidRPr="003C1CBF" w:rsidRDefault="003C1CBF" w:rsidP="003C1CBF">
            <w:pPr>
              <w:rPr>
                <w:rFonts w:eastAsia="MS Mincho" w:cs="Arial"/>
                <w:kern w:val="0"/>
                <w:lang w:val="en-US"/>
                <w14:ligatures w14:val="none"/>
              </w:rPr>
            </w:pPr>
          </w:p>
          <w:p w14:paraId="475CD2A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MW Phillips, Cymmer</w:t>
            </w:r>
          </w:p>
        </w:tc>
        <w:tc>
          <w:tcPr>
            <w:tcW w:w="1197" w:type="dxa"/>
            <w:shd w:val="clear" w:color="auto" w:fill="D9D9D9"/>
          </w:tcPr>
          <w:p w14:paraId="4F0B1FD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78D0A77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77B624F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21B55813" w14:textId="7E187E66"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shd w:val="clear" w:color="auto" w:fill="D9D9D9"/>
          </w:tcPr>
          <w:p w14:paraId="45008ED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4175BCC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5CD902B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0C4A75E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5404EDAC" w14:textId="77777777" w:rsidTr="00B84D31">
        <w:tc>
          <w:tcPr>
            <w:tcW w:w="1270" w:type="dxa"/>
            <w:vMerge/>
          </w:tcPr>
          <w:p w14:paraId="52E855B5" w14:textId="77777777" w:rsidR="003C1CBF" w:rsidRPr="003C1CBF" w:rsidRDefault="003C1CBF" w:rsidP="003C1CBF">
            <w:pPr>
              <w:rPr>
                <w:rFonts w:eastAsia="MS Mincho" w:cs="Arial"/>
                <w:kern w:val="0"/>
                <w:lang w:val="en-US"/>
                <w14:ligatures w14:val="none"/>
              </w:rPr>
            </w:pPr>
          </w:p>
        </w:tc>
        <w:tc>
          <w:tcPr>
            <w:tcW w:w="1551" w:type="dxa"/>
            <w:vMerge/>
          </w:tcPr>
          <w:p w14:paraId="362CDB58" w14:textId="77777777" w:rsidR="003C1CBF" w:rsidRPr="003C1CBF" w:rsidRDefault="003C1CBF" w:rsidP="003C1CBF">
            <w:pPr>
              <w:rPr>
                <w:rFonts w:eastAsia="MS Mincho" w:cs="Arial"/>
                <w:kern w:val="0"/>
                <w:lang w:val="en-US"/>
                <w14:ligatures w14:val="none"/>
              </w:rPr>
            </w:pPr>
          </w:p>
        </w:tc>
        <w:tc>
          <w:tcPr>
            <w:tcW w:w="1197" w:type="dxa"/>
          </w:tcPr>
          <w:p w14:paraId="71E7899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5A96891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 xml:space="preserve">09:00-13:00 / </w:t>
            </w:r>
            <w:r w:rsidRPr="003C1CBF">
              <w:rPr>
                <w:rFonts w:eastAsia="MS Mincho" w:cs="Arial"/>
                <w:kern w:val="0"/>
                <w:lang w:val="en-US"/>
                <w14:ligatures w14:val="none"/>
              </w:rPr>
              <w:lastRenderedPageBreak/>
              <w:t>14:00-18:00</w:t>
            </w:r>
          </w:p>
        </w:tc>
        <w:tc>
          <w:tcPr>
            <w:tcW w:w="1205" w:type="dxa"/>
          </w:tcPr>
          <w:p w14:paraId="5C1762A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 xml:space="preserve">09:00-13:00 / </w:t>
            </w:r>
            <w:r w:rsidRPr="003C1CBF">
              <w:rPr>
                <w:rFonts w:eastAsia="MS Mincho" w:cs="Arial"/>
                <w:kern w:val="0"/>
                <w:lang w:val="en-US"/>
                <w14:ligatures w14:val="none"/>
              </w:rPr>
              <w:lastRenderedPageBreak/>
              <w:t>14:00-18:00</w:t>
            </w:r>
          </w:p>
        </w:tc>
        <w:tc>
          <w:tcPr>
            <w:tcW w:w="1550" w:type="dxa"/>
          </w:tcPr>
          <w:p w14:paraId="0831365B" w14:textId="73D025AC"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09:00-13:00 14:00-18:00</w:t>
            </w:r>
          </w:p>
        </w:tc>
        <w:tc>
          <w:tcPr>
            <w:tcW w:w="1374" w:type="dxa"/>
          </w:tcPr>
          <w:p w14:paraId="62FEFAA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 xml:space="preserve">09:00-13:00 / </w:t>
            </w:r>
            <w:r w:rsidRPr="003C1CBF">
              <w:rPr>
                <w:rFonts w:eastAsia="MS Mincho" w:cs="Arial"/>
                <w:kern w:val="0"/>
                <w:lang w:val="en-US"/>
                <w14:ligatures w14:val="none"/>
              </w:rPr>
              <w:lastRenderedPageBreak/>
              <w:t>14:00-18:00</w:t>
            </w:r>
          </w:p>
        </w:tc>
        <w:tc>
          <w:tcPr>
            <w:tcW w:w="1205" w:type="dxa"/>
          </w:tcPr>
          <w:p w14:paraId="6AE3B2D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09:00-18:00</w:t>
            </w:r>
          </w:p>
        </w:tc>
        <w:tc>
          <w:tcPr>
            <w:tcW w:w="1244" w:type="dxa"/>
          </w:tcPr>
          <w:p w14:paraId="3C509C7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7B8FBAF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43FAB46D" w14:textId="77777777" w:rsidTr="00B84D31">
        <w:tc>
          <w:tcPr>
            <w:tcW w:w="1270" w:type="dxa"/>
            <w:vMerge w:val="restart"/>
          </w:tcPr>
          <w:p w14:paraId="5C1ECC3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Afan</w:t>
            </w:r>
          </w:p>
        </w:tc>
        <w:tc>
          <w:tcPr>
            <w:tcW w:w="1551" w:type="dxa"/>
            <w:vMerge w:val="restart"/>
          </w:tcPr>
          <w:p w14:paraId="248CD63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Sandfields Pharmacy</w:t>
            </w:r>
          </w:p>
        </w:tc>
        <w:tc>
          <w:tcPr>
            <w:tcW w:w="1197" w:type="dxa"/>
            <w:shd w:val="clear" w:color="auto" w:fill="D9D9D9"/>
          </w:tcPr>
          <w:p w14:paraId="4A03927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0617A55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542E017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shd w:val="clear" w:color="auto" w:fill="D9D9D9"/>
          </w:tcPr>
          <w:p w14:paraId="03FA574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shd w:val="clear" w:color="auto" w:fill="D9D9D9"/>
          </w:tcPr>
          <w:p w14:paraId="35F2B84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3B9436D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40088EA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09:30-11:30</w:t>
            </w:r>
          </w:p>
        </w:tc>
        <w:tc>
          <w:tcPr>
            <w:tcW w:w="1378" w:type="dxa"/>
            <w:shd w:val="clear" w:color="auto" w:fill="D9D9D9"/>
          </w:tcPr>
          <w:p w14:paraId="2356620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24AB2611" w14:textId="77777777" w:rsidTr="00B84D31">
        <w:tc>
          <w:tcPr>
            <w:tcW w:w="1270" w:type="dxa"/>
            <w:vMerge/>
          </w:tcPr>
          <w:p w14:paraId="03E8A14D" w14:textId="77777777" w:rsidR="003C1CBF" w:rsidRPr="003C1CBF" w:rsidRDefault="003C1CBF" w:rsidP="003C1CBF">
            <w:pPr>
              <w:rPr>
                <w:rFonts w:eastAsia="MS Mincho" w:cs="Arial"/>
                <w:kern w:val="0"/>
                <w:lang w:val="en-US"/>
                <w14:ligatures w14:val="none"/>
              </w:rPr>
            </w:pPr>
          </w:p>
        </w:tc>
        <w:tc>
          <w:tcPr>
            <w:tcW w:w="1551" w:type="dxa"/>
            <w:vMerge/>
          </w:tcPr>
          <w:p w14:paraId="0E80C970" w14:textId="77777777" w:rsidR="003C1CBF" w:rsidRPr="003C1CBF" w:rsidRDefault="003C1CBF" w:rsidP="003C1CBF">
            <w:pPr>
              <w:rPr>
                <w:rFonts w:eastAsia="MS Mincho" w:cs="Arial"/>
                <w:kern w:val="0"/>
                <w:lang w:val="en-US"/>
                <w14:ligatures w14:val="none"/>
              </w:rPr>
            </w:pPr>
          </w:p>
        </w:tc>
        <w:tc>
          <w:tcPr>
            <w:tcW w:w="1197" w:type="dxa"/>
          </w:tcPr>
          <w:p w14:paraId="7DBC859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445D924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54C2607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3FFBED4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3EC9B4A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5B241C9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1368E5D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tcPr>
          <w:p w14:paraId="3A45D93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CE3B78E" w14:textId="77777777" w:rsidTr="00B84D31">
        <w:tc>
          <w:tcPr>
            <w:tcW w:w="1270" w:type="dxa"/>
            <w:vMerge w:val="restart"/>
          </w:tcPr>
          <w:p w14:paraId="54E02328" w14:textId="77777777" w:rsidR="003C1CBF" w:rsidRPr="003C1CBF" w:rsidRDefault="003C1CBF" w:rsidP="003C1CBF">
            <w:pPr>
              <w:rPr>
                <w:rFonts w:eastAsia="MS Mincho" w:cs="Arial"/>
                <w:kern w:val="0"/>
                <w:lang w:val="en-US"/>
                <w14:ligatures w14:val="none"/>
              </w:rPr>
            </w:pPr>
          </w:p>
          <w:p w14:paraId="35B18C3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Afan</w:t>
            </w:r>
          </w:p>
        </w:tc>
        <w:tc>
          <w:tcPr>
            <w:tcW w:w="1551" w:type="dxa"/>
            <w:vMerge w:val="restart"/>
          </w:tcPr>
          <w:p w14:paraId="775D469D" w14:textId="77777777" w:rsidR="003C1CBF" w:rsidRPr="003C1CBF" w:rsidRDefault="003C1CBF" w:rsidP="003C1CBF">
            <w:pPr>
              <w:rPr>
                <w:rFonts w:eastAsia="MS Mincho" w:cs="Arial"/>
                <w:kern w:val="0"/>
                <w:lang w:val="en-US"/>
                <w14:ligatures w14:val="none"/>
              </w:rPr>
            </w:pPr>
          </w:p>
          <w:p w14:paraId="506AE20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Taibach Pharmacy</w:t>
            </w:r>
          </w:p>
        </w:tc>
        <w:tc>
          <w:tcPr>
            <w:tcW w:w="1197" w:type="dxa"/>
            <w:shd w:val="clear" w:color="auto" w:fill="D9D9D9"/>
          </w:tcPr>
          <w:p w14:paraId="2F6F180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53F91EA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shd w:val="clear" w:color="auto" w:fill="D9D9D9"/>
          </w:tcPr>
          <w:p w14:paraId="1718E3C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550" w:type="dxa"/>
            <w:shd w:val="clear" w:color="auto" w:fill="D9D9D9"/>
          </w:tcPr>
          <w:p w14:paraId="30E7023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4" w:type="dxa"/>
            <w:shd w:val="clear" w:color="auto" w:fill="D9D9D9"/>
          </w:tcPr>
          <w:p w14:paraId="294DB9C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09:00-16:00</w:t>
            </w:r>
          </w:p>
        </w:tc>
        <w:tc>
          <w:tcPr>
            <w:tcW w:w="1205" w:type="dxa"/>
            <w:shd w:val="clear" w:color="auto" w:fill="D9D9D9"/>
          </w:tcPr>
          <w:p w14:paraId="25DDA69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shd w:val="clear" w:color="auto" w:fill="D9D9D9"/>
          </w:tcPr>
          <w:p w14:paraId="434BF24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5399587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1C441C38" w14:textId="77777777" w:rsidTr="00B84D31">
        <w:tc>
          <w:tcPr>
            <w:tcW w:w="1270" w:type="dxa"/>
            <w:vMerge/>
          </w:tcPr>
          <w:p w14:paraId="070592C3" w14:textId="77777777" w:rsidR="003C1CBF" w:rsidRPr="003C1CBF" w:rsidRDefault="003C1CBF" w:rsidP="003C1CBF">
            <w:pPr>
              <w:rPr>
                <w:rFonts w:eastAsia="MS Mincho" w:cs="Arial"/>
                <w:kern w:val="0"/>
                <w:lang w:val="en-US"/>
                <w14:ligatures w14:val="none"/>
              </w:rPr>
            </w:pPr>
          </w:p>
        </w:tc>
        <w:tc>
          <w:tcPr>
            <w:tcW w:w="1551" w:type="dxa"/>
            <w:vMerge/>
          </w:tcPr>
          <w:p w14:paraId="7BDC03F3" w14:textId="77777777" w:rsidR="003C1CBF" w:rsidRPr="003C1CBF" w:rsidRDefault="003C1CBF" w:rsidP="003C1CBF">
            <w:pPr>
              <w:rPr>
                <w:rFonts w:eastAsia="MS Mincho" w:cs="Arial"/>
                <w:kern w:val="0"/>
                <w:lang w:val="en-US"/>
                <w14:ligatures w14:val="none"/>
              </w:rPr>
            </w:pPr>
          </w:p>
        </w:tc>
        <w:tc>
          <w:tcPr>
            <w:tcW w:w="1197" w:type="dxa"/>
          </w:tcPr>
          <w:p w14:paraId="42907B8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3BE1079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42EC581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7FFC1AF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05A40AF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0145824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62A3510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2E69649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556B3A24" w14:textId="77777777" w:rsidTr="00B84D31">
        <w:tc>
          <w:tcPr>
            <w:tcW w:w="1270" w:type="dxa"/>
            <w:vMerge w:val="restart"/>
          </w:tcPr>
          <w:p w14:paraId="7BFB486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Afan</w:t>
            </w:r>
          </w:p>
        </w:tc>
        <w:tc>
          <w:tcPr>
            <w:tcW w:w="1551" w:type="dxa"/>
            <w:vMerge w:val="restart"/>
          </w:tcPr>
          <w:p w14:paraId="7214F91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Aberavon</w:t>
            </w:r>
          </w:p>
        </w:tc>
        <w:tc>
          <w:tcPr>
            <w:tcW w:w="1197" w:type="dxa"/>
            <w:shd w:val="clear" w:color="auto" w:fill="D9D9D9"/>
          </w:tcPr>
          <w:p w14:paraId="29A4122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16599B0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069CC66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550" w:type="dxa"/>
            <w:shd w:val="clear" w:color="auto" w:fill="D9D9D9"/>
          </w:tcPr>
          <w:p w14:paraId="4774A1C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374" w:type="dxa"/>
            <w:shd w:val="clear" w:color="auto" w:fill="D9D9D9"/>
          </w:tcPr>
          <w:p w14:paraId="607038B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4C3DDA3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44" w:type="dxa"/>
            <w:shd w:val="clear" w:color="auto" w:fill="D9D9D9"/>
          </w:tcPr>
          <w:p w14:paraId="7BE9603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431D484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D9B2B83" w14:textId="77777777" w:rsidTr="00B84D31">
        <w:tc>
          <w:tcPr>
            <w:tcW w:w="1270" w:type="dxa"/>
            <w:vMerge/>
          </w:tcPr>
          <w:p w14:paraId="0DA24934" w14:textId="77777777" w:rsidR="003C1CBF" w:rsidRPr="003C1CBF" w:rsidRDefault="003C1CBF" w:rsidP="003C1CBF">
            <w:pPr>
              <w:rPr>
                <w:rFonts w:eastAsia="MS Mincho" w:cs="Arial"/>
                <w:kern w:val="0"/>
                <w:lang w:val="en-US"/>
                <w14:ligatures w14:val="none"/>
              </w:rPr>
            </w:pPr>
          </w:p>
        </w:tc>
        <w:tc>
          <w:tcPr>
            <w:tcW w:w="1551" w:type="dxa"/>
            <w:vMerge/>
          </w:tcPr>
          <w:p w14:paraId="25DF065E" w14:textId="77777777" w:rsidR="003C1CBF" w:rsidRPr="003C1CBF" w:rsidRDefault="003C1CBF" w:rsidP="003C1CBF">
            <w:pPr>
              <w:rPr>
                <w:rFonts w:eastAsia="MS Mincho" w:cs="Arial"/>
                <w:kern w:val="0"/>
                <w:lang w:val="en-US"/>
                <w14:ligatures w14:val="none"/>
              </w:rPr>
            </w:pPr>
          </w:p>
        </w:tc>
        <w:tc>
          <w:tcPr>
            <w:tcW w:w="1197" w:type="dxa"/>
          </w:tcPr>
          <w:p w14:paraId="7803F9A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4B8D234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009044A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550" w:type="dxa"/>
          </w:tcPr>
          <w:p w14:paraId="39A5671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4" w:type="dxa"/>
          </w:tcPr>
          <w:p w14:paraId="196FF92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77B71E4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tcPr>
          <w:p w14:paraId="47111E9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76D0A6C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0CA4F34E" w14:textId="77777777" w:rsidTr="00B84D31">
        <w:tc>
          <w:tcPr>
            <w:tcW w:w="1270" w:type="dxa"/>
            <w:vMerge w:val="restart"/>
          </w:tcPr>
          <w:p w14:paraId="04E106F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Afan</w:t>
            </w:r>
          </w:p>
          <w:p w14:paraId="47D46142" w14:textId="77777777" w:rsidR="003C1CBF" w:rsidRPr="003C1CBF" w:rsidRDefault="003C1CBF" w:rsidP="003C1CBF">
            <w:pPr>
              <w:rPr>
                <w:rFonts w:eastAsia="MS Mincho" w:cs="Arial"/>
                <w:kern w:val="0"/>
                <w:lang w:val="en-US"/>
                <w14:ligatures w14:val="none"/>
              </w:rPr>
            </w:pPr>
          </w:p>
          <w:p w14:paraId="39A3F7AB" w14:textId="77777777" w:rsidR="003C1CBF" w:rsidRPr="003C1CBF" w:rsidRDefault="003C1CBF" w:rsidP="003C1CBF">
            <w:pPr>
              <w:rPr>
                <w:rFonts w:eastAsia="MS Mincho" w:cs="Arial"/>
                <w:kern w:val="0"/>
                <w:lang w:val="en-US"/>
                <w14:ligatures w14:val="none"/>
              </w:rPr>
            </w:pPr>
          </w:p>
        </w:tc>
        <w:tc>
          <w:tcPr>
            <w:tcW w:w="1551" w:type="dxa"/>
            <w:vMerge w:val="restart"/>
          </w:tcPr>
          <w:p w14:paraId="62613B0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Station Road, Port Talbot</w:t>
            </w:r>
          </w:p>
        </w:tc>
        <w:tc>
          <w:tcPr>
            <w:tcW w:w="1197" w:type="dxa"/>
            <w:shd w:val="clear" w:color="auto" w:fill="D9D9D9"/>
          </w:tcPr>
          <w:p w14:paraId="4722689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0E12412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6D5AD4D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550" w:type="dxa"/>
            <w:shd w:val="clear" w:color="auto" w:fill="D9D9D9"/>
          </w:tcPr>
          <w:p w14:paraId="50A3AA6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374" w:type="dxa"/>
            <w:shd w:val="clear" w:color="auto" w:fill="D9D9D9"/>
          </w:tcPr>
          <w:p w14:paraId="31CDD02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3FB7E0C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44" w:type="dxa"/>
            <w:shd w:val="clear" w:color="auto" w:fill="D9D9D9"/>
          </w:tcPr>
          <w:p w14:paraId="0C37265C" w14:textId="77777777" w:rsidR="003C1CBF" w:rsidRPr="003C1CBF" w:rsidRDefault="003C1CBF" w:rsidP="003C1CBF">
            <w:pPr>
              <w:rPr>
                <w:rFonts w:eastAsia="MS Mincho" w:cs="Arial"/>
                <w:kern w:val="0"/>
                <w:lang w:val="en-US"/>
                <w14:ligatures w14:val="none"/>
              </w:rPr>
            </w:pPr>
          </w:p>
        </w:tc>
        <w:tc>
          <w:tcPr>
            <w:tcW w:w="1378" w:type="dxa"/>
            <w:shd w:val="clear" w:color="auto" w:fill="D9D9D9"/>
          </w:tcPr>
          <w:p w14:paraId="3AC758C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A4B9030" w14:textId="77777777" w:rsidTr="00B84D31">
        <w:tc>
          <w:tcPr>
            <w:tcW w:w="1270" w:type="dxa"/>
            <w:vMerge/>
          </w:tcPr>
          <w:p w14:paraId="2F16AF3C" w14:textId="77777777" w:rsidR="003C1CBF" w:rsidRPr="003C1CBF" w:rsidRDefault="003C1CBF" w:rsidP="003C1CBF">
            <w:pPr>
              <w:rPr>
                <w:rFonts w:eastAsia="MS Mincho" w:cs="Arial"/>
                <w:kern w:val="0"/>
                <w:lang w:val="en-US"/>
                <w14:ligatures w14:val="none"/>
              </w:rPr>
            </w:pPr>
          </w:p>
        </w:tc>
        <w:tc>
          <w:tcPr>
            <w:tcW w:w="1551" w:type="dxa"/>
            <w:vMerge/>
          </w:tcPr>
          <w:p w14:paraId="144D579B" w14:textId="77777777" w:rsidR="003C1CBF" w:rsidRPr="003C1CBF" w:rsidRDefault="003C1CBF" w:rsidP="003C1CBF">
            <w:pPr>
              <w:rPr>
                <w:rFonts w:eastAsia="MS Mincho" w:cs="Arial"/>
                <w:kern w:val="0"/>
                <w:lang w:val="en-US"/>
                <w14:ligatures w14:val="none"/>
              </w:rPr>
            </w:pPr>
          </w:p>
        </w:tc>
        <w:tc>
          <w:tcPr>
            <w:tcW w:w="1197" w:type="dxa"/>
          </w:tcPr>
          <w:p w14:paraId="7626A1B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43178DA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79A1155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550" w:type="dxa"/>
          </w:tcPr>
          <w:p w14:paraId="33BD22E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4" w:type="dxa"/>
          </w:tcPr>
          <w:p w14:paraId="79F169B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3D714AE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tcPr>
          <w:p w14:paraId="3E52529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w:t>
            </w:r>
          </w:p>
        </w:tc>
        <w:tc>
          <w:tcPr>
            <w:tcW w:w="1378" w:type="dxa"/>
          </w:tcPr>
          <w:p w14:paraId="7737FF5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2C69EC06" w14:textId="77777777" w:rsidTr="00B84D31">
        <w:tc>
          <w:tcPr>
            <w:tcW w:w="1270" w:type="dxa"/>
            <w:vMerge w:val="restart"/>
          </w:tcPr>
          <w:p w14:paraId="7FE74458" w14:textId="77777777" w:rsidR="003C1CBF" w:rsidRPr="003C1CBF" w:rsidRDefault="003C1CBF" w:rsidP="003C1CBF">
            <w:pPr>
              <w:rPr>
                <w:rFonts w:eastAsia="MS Mincho" w:cs="Arial"/>
                <w:kern w:val="0"/>
                <w:lang w:val="en-US"/>
                <w14:ligatures w14:val="none"/>
              </w:rPr>
            </w:pPr>
          </w:p>
          <w:p w14:paraId="6635EC0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Afan</w:t>
            </w:r>
          </w:p>
        </w:tc>
        <w:tc>
          <w:tcPr>
            <w:tcW w:w="1551" w:type="dxa"/>
            <w:vMerge w:val="restart"/>
          </w:tcPr>
          <w:p w14:paraId="3DAD1014" w14:textId="77777777" w:rsidR="003C1CBF" w:rsidRPr="003C1CBF" w:rsidRDefault="003C1CBF" w:rsidP="003C1CBF">
            <w:pPr>
              <w:rPr>
                <w:rFonts w:eastAsia="MS Mincho" w:cs="Arial"/>
                <w:kern w:val="0"/>
                <w:lang w:val="en-US"/>
                <w14:ligatures w14:val="none"/>
              </w:rPr>
            </w:pPr>
          </w:p>
          <w:p w14:paraId="334E9DF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William and Wheeler Pharmacy</w:t>
            </w:r>
          </w:p>
        </w:tc>
        <w:tc>
          <w:tcPr>
            <w:tcW w:w="1197" w:type="dxa"/>
            <w:shd w:val="clear" w:color="auto" w:fill="D9D9D9"/>
          </w:tcPr>
          <w:p w14:paraId="6A0DF5B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3499A05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04A9F2E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06D8E0C4" w14:textId="6EC6A80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shd w:val="clear" w:color="auto" w:fill="D9D9D9"/>
          </w:tcPr>
          <w:p w14:paraId="493365F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53DAA4D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05F3BC15" w14:textId="77777777" w:rsidR="003C1CBF" w:rsidRPr="003C1CBF" w:rsidRDefault="003C1CBF" w:rsidP="003C1CBF">
            <w:pPr>
              <w:rPr>
                <w:rFonts w:eastAsia="MS Mincho" w:cs="Arial"/>
                <w:kern w:val="0"/>
                <w:lang w:val="en-US"/>
                <w14:ligatures w14:val="none"/>
              </w:rPr>
            </w:pPr>
          </w:p>
        </w:tc>
        <w:tc>
          <w:tcPr>
            <w:tcW w:w="1378" w:type="dxa"/>
            <w:shd w:val="clear" w:color="auto" w:fill="D9D9D9"/>
          </w:tcPr>
          <w:p w14:paraId="7283268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61AC2DEE" w14:textId="77777777" w:rsidTr="00B84D31">
        <w:tc>
          <w:tcPr>
            <w:tcW w:w="1270" w:type="dxa"/>
            <w:vMerge/>
          </w:tcPr>
          <w:p w14:paraId="76907A11" w14:textId="77777777" w:rsidR="003C1CBF" w:rsidRPr="003C1CBF" w:rsidRDefault="003C1CBF" w:rsidP="003C1CBF">
            <w:pPr>
              <w:rPr>
                <w:rFonts w:eastAsia="MS Mincho" w:cs="Arial"/>
                <w:kern w:val="0"/>
                <w:lang w:val="en-US"/>
                <w14:ligatures w14:val="none"/>
              </w:rPr>
            </w:pPr>
          </w:p>
        </w:tc>
        <w:tc>
          <w:tcPr>
            <w:tcW w:w="1551" w:type="dxa"/>
            <w:vMerge/>
          </w:tcPr>
          <w:p w14:paraId="1FA7E0DA" w14:textId="77777777" w:rsidR="003C1CBF" w:rsidRPr="003C1CBF" w:rsidRDefault="003C1CBF" w:rsidP="003C1CBF">
            <w:pPr>
              <w:rPr>
                <w:rFonts w:eastAsia="MS Mincho" w:cs="Arial"/>
                <w:kern w:val="0"/>
                <w:lang w:val="en-US"/>
                <w14:ligatures w14:val="none"/>
              </w:rPr>
            </w:pPr>
          </w:p>
        </w:tc>
        <w:tc>
          <w:tcPr>
            <w:tcW w:w="1197" w:type="dxa"/>
          </w:tcPr>
          <w:p w14:paraId="0669DCA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26426A6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5CF9B22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7235A61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0F30B0B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59F854E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26DD84B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tcPr>
          <w:p w14:paraId="1B3880A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90490D8" w14:textId="77777777" w:rsidTr="00B84D31">
        <w:tc>
          <w:tcPr>
            <w:tcW w:w="1270" w:type="dxa"/>
            <w:vMerge w:val="restart"/>
          </w:tcPr>
          <w:p w14:paraId="256AE432" w14:textId="77777777" w:rsidR="003C1CBF" w:rsidRPr="003C1CBF" w:rsidRDefault="003C1CBF" w:rsidP="003C1CBF">
            <w:pPr>
              <w:rPr>
                <w:rFonts w:eastAsia="MS Mincho" w:cs="Arial"/>
                <w:kern w:val="0"/>
                <w:lang w:val="en-US"/>
                <w14:ligatures w14:val="none"/>
              </w:rPr>
            </w:pPr>
          </w:p>
          <w:p w14:paraId="10C118C0" w14:textId="77777777" w:rsidR="003C1CBF" w:rsidRPr="003C1CBF" w:rsidRDefault="003C1CBF" w:rsidP="003C1CBF">
            <w:pPr>
              <w:rPr>
                <w:rFonts w:eastAsia="MS Mincho" w:cs="Arial"/>
                <w:kern w:val="0"/>
                <w:lang w:val="en-US"/>
                <w14:ligatures w14:val="none"/>
              </w:rPr>
            </w:pPr>
          </w:p>
          <w:p w14:paraId="5ADF3545" w14:textId="77777777" w:rsidR="003C1CBF" w:rsidRPr="003C1CBF" w:rsidRDefault="003C1CBF" w:rsidP="003C1CBF">
            <w:pPr>
              <w:rPr>
                <w:rFonts w:eastAsia="MS Mincho" w:cs="Arial"/>
                <w:kern w:val="0"/>
                <w:lang w:val="en-US"/>
                <w14:ligatures w14:val="none"/>
              </w:rPr>
            </w:pPr>
          </w:p>
          <w:p w14:paraId="400B88C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Bay</w:t>
            </w:r>
          </w:p>
        </w:tc>
        <w:tc>
          <w:tcPr>
            <w:tcW w:w="1551" w:type="dxa"/>
            <w:vMerge w:val="restart"/>
          </w:tcPr>
          <w:p w14:paraId="158A5B83" w14:textId="77777777" w:rsidR="003C1CBF" w:rsidRPr="003C1CBF" w:rsidRDefault="003C1CBF" w:rsidP="003C1CBF">
            <w:pPr>
              <w:rPr>
                <w:rFonts w:eastAsia="MS Mincho" w:cs="Arial"/>
                <w:kern w:val="0"/>
                <w:lang w:val="en-US"/>
                <w14:ligatures w14:val="none"/>
              </w:rPr>
            </w:pPr>
          </w:p>
          <w:p w14:paraId="77E56CAE" w14:textId="77777777" w:rsidR="003C1CBF" w:rsidRPr="003C1CBF" w:rsidRDefault="003C1CBF" w:rsidP="003C1CBF">
            <w:pPr>
              <w:rPr>
                <w:rFonts w:eastAsia="MS Mincho" w:cs="Arial"/>
                <w:kern w:val="0"/>
                <w:lang w:val="en-US"/>
                <w14:ligatures w14:val="none"/>
              </w:rPr>
            </w:pPr>
          </w:p>
          <w:p w14:paraId="378742FA" w14:textId="77777777" w:rsidR="003C1CBF" w:rsidRPr="003C1CBF" w:rsidRDefault="003C1CBF" w:rsidP="003C1CBF">
            <w:pPr>
              <w:rPr>
                <w:rFonts w:eastAsia="MS Mincho" w:cs="Arial"/>
                <w:kern w:val="0"/>
                <w:lang w:val="en-US"/>
                <w14:ligatures w14:val="none"/>
              </w:rPr>
            </w:pPr>
          </w:p>
          <w:p w14:paraId="5B213CB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Boots, Mumbles</w:t>
            </w:r>
          </w:p>
        </w:tc>
        <w:tc>
          <w:tcPr>
            <w:tcW w:w="1197" w:type="dxa"/>
            <w:shd w:val="clear" w:color="auto" w:fill="D9D9D9"/>
          </w:tcPr>
          <w:p w14:paraId="25235F1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Core</w:t>
            </w:r>
          </w:p>
        </w:tc>
        <w:tc>
          <w:tcPr>
            <w:tcW w:w="1204" w:type="dxa"/>
            <w:shd w:val="clear" w:color="auto" w:fill="D9D9D9"/>
          </w:tcPr>
          <w:p w14:paraId="590500E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09:30-13:00 / 14:00-17:30</w:t>
            </w:r>
          </w:p>
        </w:tc>
        <w:tc>
          <w:tcPr>
            <w:tcW w:w="1205" w:type="dxa"/>
            <w:shd w:val="clear" w:color="auto" w:fill="D9D9D9"/>
          </w:tcPr>
          <w:p w14:paraId="3000733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09:30-13:00 / 14:00-17:30</w:t>
            </w:r>
          </w:p>
        </w:tc>
        <w:tc>
          <w:tcPr>
            <w:tcW w:w="1550" w:type="dxa"/>
            <w:shd w:val="clear" w:color="auto" w:fill="D9D9D9"/>
          </w:tcPr>
          <w:p w14:paraId="1C4FC70A" w14:textId="7D0B8360"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09:30-13:00 14:00-17:30</w:t>
            </w:r>
          </w:p>
        </w:tc>
        <w:tc>
          <w:tcPr>
            <w:tcW w:w="1374" w:type="dxa"/>
            <w:shd w:val="clear" w:color="auto" w:fill="D9D9D9"/>
          </w:tcPr>
          <w:p w14:paraId="3B9392D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09:30-13:00 / 14:00-17:30</w:t>
            </w:r>
          </w:p>
        </w:tc>
        <w:tc>
          <w:tcPr>
            <w:tcW w:w="1205" w:type="dxa"/>
            <w:shd w:val="clear" w:color="auto" w:fill="D9D9D9"/>
          </w:tcPr>
          <w:p w14:paraId="2776060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09:30-17:30</w:t>
            </w:r>
          </w:p>
        </w:tc>
        <w:tc>
          <w:tcPr>
            <w:tcW w:w="1244" w:type="dxa"/>
            <w:shd w:val="clear" w:color="auto" w:fill="D9D9D9"/>
          </w:tcPr>
          <w:p w14:paraId="75D1D09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09:30-13:00 / 14:00-15:30</w:t>
            </w:r>
          </w:p>
        </w:tc>
        <w:tc>
          <w:tcPr>
            <w:tcW w:w="1378" w:type="dxa"/>
            <w:shd w:val="clear" w:color="auto" w:fill="D9D9D9"/>
          </w:tcPr>
          <w:p w14:paraId="0D3B5A5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4825EFD5" w14:textId="77777777" w:rsidTr="00B84D31">
        <w:tc>
          <w:tcPr>
            <w:tcW w:w="1270" w:type="dxa"/>
            <w:vMerge/>
          </w:tcPr>
          <w:p w14:paraId="7F3589E1" w14:textId="77777777" w:rsidR="003C1CBF" w:rsidRPr="003C1CBF" w:rsidRDefault="003C1CBF" w:rsidP="003C1CBF">
            <w:pPr>
              <w:rPr>
                <w:rFonts w:eastAsia="MS Mincho" w:cs="Arial"/>
                <w:kern w:val="0"/>
                <w:lang w:val="en-US"/>
                <w14:ligatures w14:val="none"/>
              </w:rPr>
            </w:pPr>
          </w:p>
        </w:tc>
        <w:tc>
          <w:tcPr>
            <w:tcW w:w="1551" w:type="dxa"/>
            <w:vMerge/>
          </w:tcPr>
          <w:p w14:paraId="43F76DA8" w14:textId="77777777" w:rsidR="003C1CBF" w:rsidRPr="003C1CBF" w:rsidRDefault="003C1CBF" w:rsidP="003C1CBF">
            <w:pPr>
              <w:rPr>
                <w:rFonts w:eastAsia="MS Mincho" w:cs="Arial"/>
                <w:kern w:val="0"/>
                <w:lang w:val="en-US"/>
                <w14:ligatures w14:val="none"/>
              </w:rPr>
            </w:pPr>
          </w:p>
        </w:tc>
        <w:tc>
          <w:tcPr>
            <w:tcW w:w="1197" w:type="dxa"/>
          </w:tcPr>
          <w:p w14:paraId="063695A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7719114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09:30-17:30</w:t>
            </w:r>
          </w:p>
        </w:tc>
        <w:tc>
          <w:tcPr>
            <w:tcW w:w="1205" w:type="dxa"/>
          </w:tcPr>
          <w:p w14:paraId="17B874D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09:30-17:30</w:t>
            </w:r>
          </w:p>
        </w:tc>
        <w:tc>
          <w:tcPr>
            <w:tcW w:w="1550" w:type="dxa"/>
          </w:tcPr>
          <w:p w14:paraId="1A66F77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09:30-17:30</w:t>
            </w:r>
          </w:p>
        </w:tc>
        <w:tc>
          <w:tcPr>
            <w:tcW w:w="1374" w:type="dxa"/>
          </w:tcPr>
          <w:p w14:paraId="7B30027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09:30-17:30</w:t>
            </w:r>
          </w:p>
        </w:tc>
        <w:tc>
          <w:tcPr>
            <w:tcW w:w="1205" w:type="dxa"/>
          </w:tcPr>
          <w:p w14:paraId="7BDA991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09:30-17:30</w:t>
            </w:r>
          </w:p>
        </w:tc>
        <w:tc>
          <w:tcPr>
            <w:tcW w:w="1244" w:type="dxa"/>
          </w:tcPr>
          <w:p w14:paraId="0C2F104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09:30-17:30</w:t>
            </w:r>
          </w:p>
        </w:tc>
        <w:tc>
          <w:tcPr>
            <w:tcW w:w="1378" w:type="dxa"/>
          </w:tcPr>
          <w:p w14:paraId="0490F57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F90D239" w14:textId="77777777" w:rsidTr="00B84D31">
        <w:tc>
          <w:tcPr>
            <w:tcW w:w="1270" w:type="dxa"/>
            <w:vMerge w:val="restart"/>
          </w:tcPr>
          <w:p w14:paraId="726EA627" w14:textId="77777777" w:rsidR="003C1CBF" w:rsidRPr="003C1CBF" w:rsidRDefault="003C1CBF" w:rsidP="003C1CBF">
            <w:pPr>
              <w:rPr>
                <w:rFonts w:eastAsia="MS Mincho" w:cs="Arial"/>
                <w:kern w:val="0"/>
                <w:lang w:val="en-US"/>
                <w14:ligatures w14:val="none"/>
              </w:rPr>
            </w:pPr>
          </w:p>
          <w:p w14:paraId="19E915F7" w14:textId="77777777" w:rsidR="003C1CBF" w:rsidRPr="003C1CBF" w:rsidRDefault="003C1CBF" w:rsidP="003C1CBF">
            <w:pPr>
              <w:rPr>
                <w:rFonts w:eastAsia="MS Mincho" w:cs="Arial"/>
                <w:kern w:val="0"/>
                <w:lang w:val="en-US"/>
                <w14:ligatures w14:val="none"/>
              </w:rPr>
            </w:pPr>
          </w:p>
          <w:p w14:paraId="1DFC5882" w14:textId="77777777" w:rsidR="003C1CBF" w:rsidRPr="003C1CBF" w:rsidRDefault="003C1CBF" w:rsidP="003C1CBF">
            <w:pPr>
              <w:rPr>
                <w:rFonts w:eastAsia="MS Mincho" w:cs="Arial"/>
                <w:kern w:val="0"/>
                <w:lang w:val="en-US"/>
                <w14:ligatures w14:val="none"/>
              </w:rPr>
            </w:pPr>
          </w:p>
          <w:p w14:paraId="74DC3A6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Bay</w:t>
            </w:r>
          </w:p>
        </w:tc>
        <w:tc>
          <w:tcPr>
            <w:tcW w:w="1551" w:type="dxa"/>
            <w:vMerge w:val="restart"/>
          </w:tcPr>
          <w:p w14:paraId="3FB9970D" w14:textId="77777777" w:rsidR="003C1CBF" w:rsidRPr="003C1CBF" w:rsidRDefault="003C1CBF" w:rsidP="003C1CBF">
            <w:pPr>
              <w:rPr>
                <w:rFonts w:eastAsia="MS Mincho" w:cs="Arial"/>
                <w:kern w:val="0"/>
                <w:lang w:val="en-US"/>
                <w14:ligatures w14:val="none"/>
              </w:rPr>
            </w:pPr>
          </w:p>
          <w:p w14:paraId="4DE49D85" w14:textId="77777777" w:rsidR="003C1CBF" w:rsidRPr="003C1CBF" w:rsidRDefault="003C1CBF" w:rsidP="003C1CBF">
            <w:pPr>
              <w:rPr>
                <w:rFonts w:eastAsia="MS Mincho" w:cs="Arial"/>
                <w:kern w:val="0"/>
                <w:lang w:val="en-US"/>
                <w14:ligatures w14:val="none"/>
              </w:rPr>
            </w:pPr>
          </w:p>
          <w:p w14:paraId="567BE250" w14:textId="77777777" w:rsidR="003C1CBF" w:rsidRPr="003C1CBF" w:rsidRDefault="003C1CBF" w:rsidP="003C1CBF">
            <w:pPr>
              <w:rPr>
                <w:rFonts w:eastAsia="MS Mincho" w:cs="Arial"/>
                <w:kern w:val="0"/>
                <w:lang w:val="en-US"/>
                <w14:ligatures w14:val="none"/>
              </w:rPr>
            </w:pPr>
          </w:p>
          <w:p w14:paraId="69A5FF9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Boots, Uplands</w:t>
            </w:r>
          </w:p>
        </w:tc>
        <w:tc>
          <w:tcPr>
            <w:tcW w:w="1197" w:type="dxa"/>
            <w:shd w:val="clear" w:color="auto" w:fill="D9D9D9"/>
          </w:tcPr>
          <w:p w14:paraId="204B063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793B4FD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09:30-13:30 / 14:30-17:30</w:t>
            </w:r>
          </w:p>
        </w:tc>
        <w:tc>
          <w:tcPr>
            <w:tcW w:w="1205" w:type="dxa"/>
            <w:shd w:val="clear" w:color="auto" w:fill="D9D9D9"/>
          </w:tcPr>
          <w:p w14:paraId="7371CFD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09:30-13:30 / 14:30-17:30</w:t>
            </w:r>
          </w:p>
        </w:tc>
        <w:tc>
          <w:tcPr>
            <w:tcW w:w="1550" w:type="dxa"/>
            <w:shd w:val="clear" w:color="auto" w:fill="D9D9D9"/>
          </w:tcPr>
          <w:p w14:paraId="703FD09C" w14:textId="6DBDD6DF"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09:30-13:30 14:30-17:30</w:t>
            </w:r>
          </w:p>
        </w:tc>
        <w:tc>
          <w:tcPr>
            <w:tcW w:w="1374" w:type="dxa"/>
            <w:shd w:val="clear" w:color="auto" w:fill="D9D9D9"/>
          </w:tcPr>
          <w:p w14:paraId="5B32D89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09:30-13:30 / 14:30-17:30</w:t>
            </w:r>
          </w:p>
        </w:tc>
        <w:tc>
          <w:tcPr>
            <w:tcW w:w="1205" w:type="dxa"/>
            <w:shd w:val="clear" w:color="auto" w:fill="D9D9D9"/>
          </w:tcPr>
          <w:p w14:paraId="48AC3D0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09:30-17:30</w:t>
            </w:r>
          </w:p>
        </w:tc>
        <w:tc>
          <w:tcPr>
            <w:tcW w:w="1244" w:type="dxa"/>
            <w:shd w:val="clear" w:color="auto" w:fill="D9D9D9"/>
          </w:tcPr>
          <w:p w14:paraId="12ADE80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09:30-13:00 / 14:00-15:30</w:t>
            </w:r>
          </w:p>
        </w:tc>
        <w:tc>
          <w:tcPr>
            <w:tcW w:w="1378" w:type="dxa"/>
            <w:shd w:val="clear" w:color="auto" w:fill="D9D9D9"/>
          </w:tcPr>
          <w:p w14:paraId="34ABD82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443E48E8" w14:textId="77777777" w:rsidTr="00B84D31">
        <w:tc>
          <w:tcPr>
            <w:tcW w:w="1270" w:type="dxa"/>
            <w:vMerge/>
          </w:tcPr>
          <w:p w14:paraId="31DD9E10" w14:textId="77777777" w:rsidR="003C1CBF" w:rsidRPr="003C1CBF" w:rsidRDefault="003C1CBF" w:rsidP="003C1CBF">
            <w:pPr>
              <w:rPr>
                <w:rFonts w:eastAsia="MS Mincho" w:cs="Arial"/>
                <w:kern w:val="0"/>
                <w:lang w:val="en-US"/>
                <w14:ligatures w14:val="none"/>
              </w:rPr>
            </w:pPr>
          </w:p>
        </w:tc>
        <w:tc>
          <w:tcPr>
            <w:tcW w:w="1551" w:type="dxa"/>
            <w:vMerge/>
          </w:tcPr>
          <w:p w14:paraId="1E059EFC" w14:textId="77777777" w:rsidR="003C1CBF" w:rsidRPr="003C1CBF" w:rsidRDefault="003C1CBF" w:rsidP="003C1CBF">
            <w:pPr>
              <w:rPr>
                <w:rFonts w:eastAsia="MS Mincho" w:cs="Arial"/>
                <w:kern w:val="0"/>
                <w:lang w:val="en-US"/>
                <w14:ligatures w14:val="none"/>
              </w:rPr>
            </w:pPr>
          </w:p>
        </w:tc>
        <w:tc>
          <w:tcPr>
            <w:tcW w:w="1197" w:type="dxa"/>
          </w:tcPr>
          <w:p w14:paraId="58B0F4D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17AE17B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0CD10DD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4B0BDD3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2131B1F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0A8417D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08922EF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8" w:type="dxa"/>
          </w:tcPr>
          <w:p w14:paraId="6B1FF67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1FE3B4AE" w14:textId="77777777" w:rsidTr="00B84D31">
        <w:tc>
          <w:tcPr>
            <w:tcW w:w="1270" w:type="dxa"/>
            <w:vMerge w:val="restart"/>
          </w:tcPr>
          <w:p w14:paraId="247FCFDD" w14:textId="77777777" w:rsidR="003C1CBF" w:rsidRPr="003C1CBF" w:rsidRDefault="003C1CBF" w:rsidP="003C1CBF">
            <w:pPr>
              <w:rPr>
                <w:rFonts w:eastAsia="MS Mincho" w:cs="Arial"/>
                <w:kern w:val="0"/>
                <w:lang w:val="en-US"/>
                <w14:ligatures w14:val="none"/>
              </w:rPr>
            </w:pPr>
          </w:p>
          <w:p w14:paraId="5656141F" w14:textId="77777777" w:rsidR="003C1CBF" w:rsidRPr="003C1CBF" w:rsidRDefault="003C1CBF" w:rsidP="003C1CBF">
            <w:pPr>
              <w:rPr>
                <w:rFonts w:eastAsia="MS Mincho" w:cs="Arial"/>
                <w:kern w:val="0"/>
                <w:lang w:val="en-US"/>
                <w14:ligatures w14:val="none"/>
              </w:rPr>
            </w:pPr>
          </w:p>
          <w:p w14:paraId="3F4EC40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Bay</w:t>
            </w:r>
          </w:p>
        </w:tc>
        <w:tc>
          <w:tcPr>
            <w:tcW w:w="1551" w:type="dxa"/>
            <w:vMerge w:val="restart"/>
          </w:tcPr>
          <w:p w14:paraId="4BC20C91" w14:textId="77777777" w:rsidR="003C1CBF" w:rsidRPr="003C1CBF" w:rsidRDefault="003C1CBF" w:rsidP="003C1CBF">
            <w:pPr>
              <w:rPr>
                <w:rFonts w:eastAsia="MS Mincho" w:cs="Arial"/>
                <w:kern w:val="0"/>
                <w:lang w:val="en-US"/>
                <w14:ligatures w14:val="none"/>
              </w:rPr>
            </w:pPr>
          </w:p>
          <w:p w14:paraId="6E68E4F9" w14:textId="77777777" w:rsidR="003C1CBF" w:rsidRPr="003C1CBF" w:rsidRDefault="003C1CBF" w:rsidP="003C1CBF">
            <w:pPr>
              <w:rPr>
                <w:rFonts w:eastAsia="MS Mincho" w:cs="Arial"/>
                <w:kern w:val="0"/>
                <w:lang w:val="en-US"/>
                <w14:ligatures w14:val="none"/>
              </w:rPr>
            </w:pPr>
          </w:p>
          <w:p w14:paraId="49251D8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Castle Pharmacy</w:t>
            </w:r>
          </w:p>
        </w:tc>
        <w:tc>
          <w:tcPr>
            <w:tcW w:w="1197" w:type="dxa"/>
            <w:shd w:val="clear" w:color="auto" w:fill="D9D9D9"/>
          </w:tcPr>
          <w:p w14:paraId="2FEB255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6B04CEF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328437A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15574FB2" w14:textId="58A5A2E6"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shd w:val="clear" w:color="auto" w:fill="D9D9D9"/>
          </w:tcPr>
          <w:p w14:paraId="51990D3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779D07F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5E477AC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773DFB6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5F09E64D" w14:textId="77777777" w:rsidTr="00B84D31">
        <w:tc>
          <w:tcPr>
            <w:tcW w:w="1270" w:type="dxa"/>
            <w:vMerge/>
          </w:tcPr>
          <w:p w14:paraId="7D974BA7" w14:textId="77777777" w:rsidR="003C1CBF" w:rsidRPr="003C1CBF" w:rsidRDefault="003C1CBF" w:rsidP="003C1CBF">
            <w:pPr>
              <w:rPr>
                <w:rFonts w:eastAsia="MS Mincho" w:cs="Arial"/>
                <w:kern w:val="0"/>
                <w:lang w:val="en-US"/>
                <w14:ligatures w14:val="none"/>
              </w:rPr>
            </w:pPr>
          </w:p>
        </w:tc>
        <w:tc>
          <w:tcPr>
            <w:tcW w:w="1551" w:type="dxa"/>
            <w:vMerge/>
          </w:tcPr>
          <w:p w14:paraId="303E3AB5" w14:textId="77777777" w:rsidR="003C1CBF" w:rsidRPr="003C1CBF" w:rsidRDefault="003C1CBF" w:rsidP="003C1CBF">
            <w:pPr>
              <w:rPr>
                <w:rFonts w:eastAsia="MS Mincho" w:cs="Arial"/>
                <w:kern w:val="0"/>
                <w:lang w:val="en-US"/>
                <w14:ligatures w14:val="none"/>
              </w:rPr>
            </w:pPr>
          </w:p>
        </w:tc>
        <w:tc>
          <w:tcPr>
            <w:tcW w:w="1197" w:type="dxa"/>
          </w:tcPr>
          <w:p w14:paraId="5E5F011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7DBA29F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tcPr>
          <w:p w14:paraId="69E9F68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tcPr>
          <w:p w14:paraId="4FA35942" w14:textId="4251AF5B"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tcPr>
          <w:p w14:paraId="48A4060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tcPr>
          <w:p w14:paraId="578723B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7671E4A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0A5E4F0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1168783F" w14:textId="77777777" w:rsidTr="00B84D31">
        <w:tc>
          <w:tcPr>
            <w:tcW w:w="1270" w:type="dxa"/>
            <w:vMerge w:val="restart"/>
          </w:tcPr>
          <w:p w14:paraId="19D50B5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Bay</w:t>
            </w:r>
          </w:p>
        </w:tc>
        <w:tc>
          <w:tcPr>
            <w:tcW w:w="1551" w:type="dxa"/>
            <w:vMerge w:val="restart"/>
          </w:tcPr>
          <w:p w14:paraId="1D21BE2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Kevin Thomas, Killay</w:t>
            </w:r>
          </w:p>
        </w:tc>
        <w:tc>
          <w:tcPr>
            <w:tcW w:w="1197" w:type="dxa"/>
            <w:shd w:val="clear" w:color="auto" w:fill="D9D9D9"/>
          </w:tcPr>
          <w:p w14:paraId="328805E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275749C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5AB74A5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shd w:val="clear" w:color="auto" w:fill="D9D9D9"/>
          </w:tcPr>
          <w:p w14:paraId="44ABB1A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shd w:val="clear" w:color="auto" w:fill="D9D9D9"/>
          </w:tcPr>
          <w:p w14:paraId="09CB9A3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62E88A3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0E0C714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0E63455B" w14:textId="77777777" w:rsidR="003C1CBF" w:rsidRPr="003C1CBF" w:rsidRDefault="003C1CBF" w:rsidP="003C1CBF">
            <w:pPr>
              <w:rPr>
                <w:rFonts w:eastAsia="MS Mincho" w:cs="Arial"/>
                <w:kern w:val="0"/>
                <w:lang w:val="en-US"/>
                <w14:ligatures w14:val="none"/>
              </w:rPr>
            </w:pPr>
          </w:p>
        </w:tc>
      </w:tr>
      <w:tr w:rsidR="003C1CBF" w:rsidRPr="003C1CBF" w14:paraId="350BFAE8" w14:textId="77777777" w:rsidTr="00B84D31">
        <w:tc>
          <w:tcPr>
            <w:tcW w:w="1270" w:type="dxa"/>
            <w:vMerge/>
          </w:tcPr>
          <w:p w14:paraId="6FD9C799" w14:textId="77777777" w:rsidR="003C1CBF" w:rsidRPr="003C1CBF" w:rsidRDefault="003C1CBF" w:rsidP="003C1CBF">
            <w:pPr>
              <w:rPr>
                <w:rFonts w:eastAsia="MS Mincho" w:cs="Arial"/>
                <w:kern w:val="0"/>
                <w:lang w:val="en-US"/>
                <w14:ligatures w14:val="none"/>
              </w:rPr>
            </w:pPr>
          </w:p>
        </w:tc>
        <w:tc>
          <w:tcPr>
            <w:tcW w:w="1551" w:type="dxa"/>
            <w:vMerge/>
          </w:tcPr>
          <w:p w14:paraId="10CB3A10" w14:textId="77777777" w:rsidR="003C1CBF" w:rsidRPr="003C1CBF" w:rsidRDefault="003C1CBF" w:rsidP="003C1CBF">
            <w:pPr>
              <w:rPr>
                <w:rFonts w:eastAsia="MS Mincho" w:cs="Arial"/>
                <w:kern w:val="0"/>
                <w:lang w:val="en-US"/>
                <w14:ligatures w14:val="none"/>
              </w:rPr>
            </w:pPr>
          </w:p>
        </w:tc>
        <w:tc>
          <w:tcPr>
            <w:tcW w:w="1197" w:type="dxa"/>
          </w:tcPr>
          <w:p w14:paraId="5F7F267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2BF48FD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05" w:type="dxa"/>
          </w:tcPr>
          <w:p w14:paraId="603EB2F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550" w:type="dxa"/>
          </w:tcPr>
          <w:p w14:paraId="6064D71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374" w:type="dxa"/>
          </w:tcPr>
          <w:p w14:paraId="179B948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05" w:type="dxa"/>
          </w:tcPr>
          <w:p w14:paraId="469CA68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44" w:type="dxa"/>
          </w:tcPr>
          <w:p w14:paraId="02AC589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28CF556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16:00-18:00</w:t>
            </w:r>
          </w:p>
        </w:tc>
      </w:tr>
      <w:tr w:rsidR="003C1CBF" w:rsidRPr="003C1CBF" w14:paraId="18C1850C" w14:textId="77777777" w:rsidTr="00B84D31">
        <w:trPr>
          <w:trHeight w:val="593"/>
        </w:trPr>
        <w:tc>
          <w:tcPr>
            <w:tcW w:w="1270" w:type="dxa"/>
            <w:vMerge w:val="restart"/>
          </w:tcPr>
          <w:p w14:paraId="27A5606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Bay</w:t>
            </w:r>
          </w:p>
        </w:tc>
        <w:tc>
          <w:tcPr>
            <w:tcW w:w="1551" w:type="dxa"/>
            <w:vMerge w:val="restart"/>
          </w:tcPr>
          <w:p w14:paraId="0E6F821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Kevin Thomas, Mumbles</w:t>
            </w:r>
          </w:p>
        </w:tc>
        <w:tc>
          <w:tcPr>
            <w:tcW w:w="1197" w:type="dxa"/>
            <w:shd w:val="clear" w:color="auto" w:fill="D9D9D9"/>
          </w:tcPr>
          <w:p w14:paraId="66DE9B2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04F3D9A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shd w:val="clear" w:color="auto" w:fill="D9D9D9"/>
          </w:tcPr>
          <w:p w14:paraId="19F0A58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550" w:type="dxa"/>
            <w:shd w:val="clear" w:color="auto" w:fill="D9D9D9"/>
          </w:tcPr>
          <w:p w14:paraId="400AA35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4" w:type="dxa"/>
            <w:shd w:val="clear" w:color="auto" w:fill="D9D9D9"/>
          </w:tcPr>
          <w:p w14:paraId="73298AD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shd w:val="clear" w:color="auto" w:fill="D9D9D9"/>
          </w:tcPr>
          <w:p w14:paraId="1BC0171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08:30-17:30</w:t>
            </w:r>
          </w:p>
        </w:tc>
        <w:tc>
          <w:tcPr>
            <w:tcW w:w="1244" w:type="dxa"/>
            <w:shd w:val="clear" w:color="auto" w:fill="D9D9D9"/>
          </w:tcPr>
          <w:p w14:paraId="3342EE87" w14:textId="77777777" w:rsidR="003C1CBF" w:rsidRPr="003C1CBF" w:rsidRDefault="003C1CBF" w:rsidP="003C1CBF">
            <w:pPr>
              <w:rPr>
                <w:rFonts w:eastAsia="MS Mincho" w:cs="Arial"/>
                <w:kern w:val="0"/>
                <w:lang w:val="en-US"/>
                <w14:ligatures w14:val="none"/>
              </w:rPr>
            </w:pPr>
          </w:p>
        </w:tc>
        <w:tc>
          <w:tcPr>
            <w:tcW w:w="1378" w:type="dxa"/>
            <w:shd w:val="clear" w:color="auto" w:fill="D9D9D9"/>
          </w:tcPr>
          <w:p w14:paraId="29C57FB8" w14:textId="77777777" w:rsidR="003C1CBF" w:rsidRPr="003C1CBF" w:rsidRDefault="003C1CBF" w:rsidP="003C1CBF">
            <w:pPr>
              <w:rPr>
                <w:rFonts w:eastAsia="MS Mincho" w:cs="Arial"/>
                <w:kern w:val="0"/>
                <w:lang w:val="en-US"/>
                <w14:ligatures w14:val="none"/>
              </w:rPr>
            </w:pPr>
          </w:p>
        </w:tc>
      </w:tr>
      <w:tr w:rsidR="003C1CBF" w:rsidRPr="003C1CBF" w14:paraId="76EB0997" w14:textId="77777777" w:rsidTr="00B84D31">
        <w:tc>
          <w:tcPr>
            <w:tcW w:w="1270" w:type="dxa"/>
            <w:vMerge/>
          </w:tcPr>
          <w:p w14:paraId="5319D09C" w14:textId="77777777" w:rsidR="003C1CBF" w:rsidRPr="003C1CBF" w:rsidRDefault="003C1CBF" w:rsidP="003C1CBF">
            <w:pPr>
              <w:rPr>
                <w:rFonts w:eastAsia="MS Mincho" w:cs="Arial"/>
                <w:kern w:val="0"/>
                <w:lang w:val="en-US"/>
                <w14:ligatures w14:val="none"/>
              </w:rPr>
            </w:pPr>
          </w:p>
        </w:tc>
        <w:tc>
          <w:tcPr>
            <w:tcW w:w="1551" w:type="dxa"/>
            <w:vMerge/>
          </w:tcPr>
          <w:p w14:paraId="2064D3CE" w14:textId="77777777" w:rsidR="003C1CBF" w:rsidRPr="003C1CBF" w:rsidRDefault="003C1CBF" w:rsidP="003C1CBF">
            <w:pPr>
              <w:rPr>
                <w:rFonts w:eastAsia="MS Mincho" w:cs="Arial"/>
                <w:kern w:val="0"/>
                <w:lang w:val="en-US"/>
                <w14:ligatures w14:val="none"/>
              </w:rPr>
            </w:pPr>
          </w:p>
        </w:tc>
        <w:tc>
          <w:tcPr>
            <w:tcW w:w="1197" w:type="dxa"/>
          </w:tcPr>
          <w:p w14:paraId="571E453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3F528F2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5D4B614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2FE0AA6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58F60CA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7251523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44" w:type="dxa"/>
          </w:tcPr>
          <w:p w14:paraId="34CAF99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w:t>
            </w:r>
          </w:p>
        </w:tc>
        <w:tc>
          <w:tcPr>
            <w:tcW w:w="1378" w:type="dxa"/>
          </w:tcPr>
          <w:p w14:paraId="69D6F7B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13:30-15:30</w:t>
            </w:r>
          </w:p>
        </w:tc>
      </w:tr>
      <w:tr w:rsidR="003C1CBF" w:rsidRPr="003C1CBF" w14:paraId="530FF3D8" w14:textId="77777777" w:rsidTr="00B84D31">
        <w:tc>
          <w:tcPr>
            <w:tcW w:w="1270" w:type="dxa"/>
            <w:vMerge w:val="restart"/>
          </w:tcPr>
          <w:p w14:paraId="31DBD05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Bay</w:t>
            </w:r>
          </w:p>
        </w:tc>
        <w:tc>
          <w:tcPr>
            <w:tcW w:w="1551" w:type="dxa"/>
            <w:vMerge w:val="restart"/>
          </w:tcPr>
          <w:p w14:paraId="58D404B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Kevin Thomas, Tycoch</w:t>
            </w:r>
          </w:p>
        </w:tc>
        <w:tc>
          <w:tcPr>
            <w:tcW w:w="1197" w:type="dxa"/>
            <w:shd w:val="clear" w:color="auto" w:fill="D9D9D9"/>
          </w:tcPr>
          <w:p w14:paraId="58C52D3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1F6500F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00E3812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550" w:type="dxa"/>
            <w:shd w:val="clear" w:color="auto" w:fill="D9D9D9"/>
          </w:tcPr>
          <w:p w14:paraId="32DE016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374" w:type="dxa"/>
            <w:shd w:val="clear" w:color="auto" w:fill="D9D9D9"/>
          </w:tcPr>
          <w:p w14:paraId="09E845D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2ECB959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44" w:type="dxa"/>
            <w:shd w:val="clear" w:color="auto" w:fill="D9D9D9"/>
          </w:tcPr>
          <w:p w14:paraId="5336B38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7493542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24E327B3" w14:textId="77777777" w:rsidTr="00B84D31">
        <w:tc>
          <w:tcPr>
            <w:tcW w:w="1270" w:type="dxa"/>
            <w:vMerge/>
          </w:tcPr>
          <w:p w14:paraId="260A8E98" w14:textId="77777777" w:rsidR="003C1CBF" w:rsidRPr="003C1CBF" w:rsidRDefault="003C1CBF" w:rsidP="003C1CBF">
            <w:pPr>
              <w:rPr>
                <w:rFonts w:eastAsia="MS Mincho" w:cs="Arial"/>
                <w:kern w:val="0"/>
                <w:lang w:val="en-US"/>
                <w14:ligatures w14:val="none"/>
              </w:rPr>
            </w:pPr>
          </w:p>
        </w:tc>
        <w:tc>
          <w:tcPr>
            <w:tcW w:w="1551" w:type="dxa"/>
            <w:vMerge/>
          </w:tcPr>
          <w:p w14:paraId="7E0D30FC" w14:textId="77777777" w:rsidR="003C1CBF" w:rsidRPr="003C1CBF" w:rsidRDefault="003C1CBF" w:rsidP="003C1CBF">
            <w:pPr>
              <w:rPr>
                <w:rFonts w:eastAsia="MS Mincho" w:cs="Arial"/>
                <w:kern w:val="0"/>
                <w:lang w:val="en-US"/>
                <w14:ligatures w14:val="none"/>
              </w:rPr>
            </w:pPr>
          </w:p>
        </w:tc>
        <w:tc>
          <w:tcPr>
            <w:tcW w:w="1197" w:type="dxa"/>
          </w:tcPr>
          <w:p w14:paraId="5B1D369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0AC4599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29AD865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550" w:type="dxa"/>
          </w:tcPr>
          <w:p w14:paraId="01078FF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4" w:type="dxa"/>
          </w:tcPr>
          <w:p w14:paraId="1A2A16A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5BB4A39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tcPr>
          <w:p w14:paraId="3BF3EA4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176F538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1214C991" w14:textId="77777777" w:rsidTr="00B84D31">
        <w:tc>
          <w:tcPr>
            <w:tcW w:w="1270" w:type="dxa"/>
            <w:vMerge w:val="restart"/>
          </w:tcPr>
          <w:p w14:paraId="3976BB7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Bay</w:t>
            </w:r>
          </w:p>
        </w:tc>
        <w:tc>
          <w:tcPr>
            <w:tcW w:w="1551" w:type="dxa"/>
            <w:vMerge w:val="restart"/>
          </w:tcPr>
          <w:p w14:paraId="1B02C25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Medihub, Killay</w:t>
            </w:r>
          </w:p>
        </w:tc>
        <w:tc>
          <w:tcPr>
            <w:tcW w:w="1197" w:type="dxa"/>
            <w:shd w:val="clear" w:color="auto" w:fill="D9D9D9"/>
          </w:tcPr>
          <w:p w14:paraId="53E62B9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4024261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 xml:space="preserve">09:00-13:30 / </w:t>
            </w:r>
            <w:r w:rsidRPr="003C1CBF">
              <w:rPr>
                <w:rFonts w:eastAsia="MS Mincho" w:cs="Arial"/>
                <w:kern w:val="0"/>
                <w:lang w:val="en-US"/>
                <w14:ligatures w14:val="none"/>
              </w:rPr>
              <w:lastRenderedPageBreak/>
              <w:t>14:30-17:30</w:t>
            </w:r>
          </w:p>
        </w:tc>
        <w:tc>
          <w:tcPr>
            <w:tcW w:w="1205" w:type="dxa"/>
            <w:shd w:val="clear" w:color="auto" w:fill="D9D9D9"/>
          </w:tcPr>
          <w:p w14:paraId="45D6041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 xml:space="preserve">09:00-13:30 / </w:t>
            </w:r>
            <w:r w:rsidRPr="003C1CBF">
              <w:rPr>
                <w:rFonts w:eastAsia="MS Mincho" w:cs="Arial"/>
                <w:kern w:val="0"/>
                <w:lang w:val="en-US"/>
                <w14:ligatures w14:val="none"/>
              </w:rPr>
              <w:lastRenderedPageBreak/>
              <w:t>14:30-17:30</w:t>
            </w:r>
          </w:p>
        </w:tc>
        <w:tc>
          <w:tcPr>
            <w:tcW w:w="1550" w:type="dxa"/>
            <w:shd w:val="clear" w:color="auto" w:fill="D9D9D9"/>
          </w:tcPr>
          <w:p w14:paraId="3E67C7FD" w14:textId="5194B2DC"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09:00-13:30 14:30-17:30</w:t>
            </w:r>
          </w:p>
        </w:tc>
        <w:tc>
          <w:tcPr>
            <w:tcW w:w="1374" w:type="dxa"/>
            <w:shd w:val="clear" w:color="auto" w:fill="D9D9D9"/>
          </w:tcPr>
          <w:p w14:paraId="2E70026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 xml:space="preserve">09:00-13:30 / </w:t>
            </w:r>
            <w:r w:rsidRPr="003C1CBF">
              <w:rPr>
                <w:rFonts w:eastAsia="MS Mincho" w:cs="Arial"/>
                <w:kern w:val="0"/>
                <w:lang w:val="en-US"/>
                <w14:ligatures w14:val="none"/>
              </w:rPr>
              <w:lastRenderedPageBreak/>
              <w:t>14:30-17:30</w:t>
            </w:r>
          </w:p>
        </w:tc>
        <w:tc>
          <w:tcPr>
            <w:tcW w:w="1205" w:type="dxa"/>
            <w:shd w:val="clear" w:color="auto" w:fill="D9D9D9"/>
          </w:tcPr>
          <w:p w14:paraId="1A1862C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09:00-17:30</w:t>
            </w:r>
          </w:p>
        </w:tc>
        <w:tc>
          <w:tcPr>
            <w:tcW w:w="1244" w:type="dxa"/>
            <w:shd w:val="clear" w:color="auto" w:fill="D9D9D9"/>
          </w:tcPr>
          <w:p w14:paraId="3491A1A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shd w:val="clear" w:color="auto" w:fill="D9D9D9"/>
          </w:tcPr>
          <w:p w14:paraId="51F3D3E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0CDFA21E" w14:textId="77777777" w:rsidTr="00B84D31">
        <w:tc>
          <w:tcPr>
            <w:tcW w:w="1270" w:type="dxa"/>
            <w:vMerge/>
          </w:tcPr>
          <w:p w14:paraId="42857D31" w14:textId="77777777" w:rsidR="003C1CBF" w:rsidRPr="003C1CBF" w:rsidRDefault="003C1CBF" w:rsidP="003C1CBF">
            <w:pPr>
              <w:rPr>
                <w:rFonts w:eastAsia="MS Mincho" w:cs="Arial"/>
                <w:kern w:val="0"/>
                <w:lang w:val="en-US"/>
                <w14:ligatures w14:val="none"/>
              </w:rPr>
            </w:pPr>
          </w:p>
        </w:tc>
        <w:tc>
          <w:tcPr>
            <w:tcW w:w="1551" w:type="dxa"/>
            <w:vMerge/>
          </w:tcPr>
          <w:p w14:paraId="16209F83" w14:textId="77777777" w:rsidR="003C1CBF" w:rsidRPr="003C1CBF" w:rsidRDefault="003C1CBF" w:rsidP="003C1CBF">
            <w:pPr>
              <w:rPr>
                <w:rFonts w:eastAsia="MS Mincho" w:cs="Arial"/>
                <w:kern w:val="0"/>
                <w:lang w:val="en-US"/>
                <w14:ligatures w14:val="none"/>
              </w:rPr>
            </w:pPr>
          </w:p>
        </w:tc>
        <w:tc>
          <w:tcPr>
            <w:tcW w:w="1197" w:type="dxa"/>
          </w:tcPr>
          <w:p w14:paraId="7C942ED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5BD5EE8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392CBE2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0486F95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49175F8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20B8CCB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6C920F9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tcPr>
          <w:p w14:paraId="3A6D443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6FC61BE3" w14:textId="77777777" w:rsidTr="00B84D31">
        <w:tc>
          <w:tcPr>
            <w:tcW w:w="1270" w:type="dxa"/>
            <w:vMerge w:val="restart"/>
          </w:tcPr>
          <w:p w14:paraId="7A5B171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Bay</w:t>
            </w:r>
          </w:p>
        </w:tc>
        <w:tc>
          <w:tcPr>
            <w:tcW w:w="1551" w:type="dxa"/>
            <w:vMerge w:val="restart"/>
          </w:tcPr>
          <w:p w14:paraId="13919E0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Newbury Pharmacy</w:t>
            </w:r>
          </w:p>
        </w:tc>
        <w:tc>
          <w:tcPr>
            <w:tcW w:w="1197" w:type="dxa"/>
            <w:shd w:val="clear" w:color="auto" w:fill="D9D9D9"/>
          </w:tcPr>
          <w:p w14:paraId="54694AB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6663265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04C2C0B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550" w:type="dxa"/>
            <w:shd w:val="clear" w:color="auto" w:fill="D9D9D9"/>
          </w:tcPr>
          <w:p w14:paraId="3E6899B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374" w:type="dxa"/>
            <w:shd w:val="clear" w:color="auto" w:fill="D9D9D9"/>
          </w:tcPr>
          <w:p w14:paraId="4DDD6B1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4261AC3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44" w:type="dxa"/>
            <w:shd w:val="clear" w:color="auto" w:fill="D9D9D9"/>
          </w:tcPr>
          <w:p w14:paraId="3817AA0B" w14:textId="77777777" w:rsidR="003C1CBF" w:rsidRPr="003C1CBF" w:rsidRDefault="003C1CBF" w:rsidP="003C1CBF">
            <w:pPr>
              <w:rPr>
                <w:rFonts w:eastAsia="MS Mincho" w:cs="Arial"/>
                <w:kern w:val="0"/>
                <w:lang w:val="en-US"/>
                <w14:ligatures w14:val="none"/>
              </w:rPr>
            </w:pPr>
          </w:p>
        </w:tc>
        <w:tc>
          <w:tcPr>
            <w:tcW w:w="1378" w:type="dxa"/>
            <w:shd w:val="clear" w:color="auto" w:fill="D9D9D9"/>
          </w:tcPr>
          <w:p w14:paraId="7EE3447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5AA3D1B" w14:textId="77777777" w:rsidTr="00B84D31">
        <w:tc>
          <w:tcPr>
            <w:tcW w:w="1270" w:type="dxa"/>
            <w:vMerge/>
          </w:tcPr>
          <w:p w14:paraId="1E28B626" w14:textId="77777777" w:rsidR="003C1CBF" w:rsidRPr="003C1CBF" w:rsidRDefault="003C1CBF" w:rsidP="003C1CBF">
            <w:pPr>
              <w:rPr>
                <w:rFonts w:eastAsia="MS Mincho" w:cs="Arial"/>
                <w:kern w:val="0"/>
                <w:lang w:val="en-US"/>
                <w14:ligatures w14:val="none"/>
              </w:rPr>
            </w:pPr>
          </w:p>
        </w:tc>
        <w:tc>
          <w:tcPr>
            <w:tcW w:w="1551" w:type="dxa"/>
            <w:vMerge/>
          </w:tcPr>
          <w:p w14:paraId="1AE08BD3" w14:textId="77777777" w:rsidR="003C1CBF" w:rsidRPr="003C1CBF" w:rsidRDefault="003C1CBF" w:rsidP="003C1CBF">
            <w:pPr>
              <w:rPr>
                <w:rFonts w:eastAsia="MS Mincho" w:cs="Arial"/>
                <w:kern w:val="0"/>
                <w:lang w:val="en-US"/>
                <w14:ligatures w14:val="none"/>
              </w:rPr>
            </w:pPr>
          </w:p>
        </w:tc>
        <w:tc>
          <w:tcPr>
            <w:tcW w:w="1197" w:type="dxa"/>
          </w:tcPr>
          <w:p w14:paraId="3360E41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271AEFF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tcPr>
          <w:p w14:paraId="4F73C31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550" w:type="dxa"/>
          </w:tcPr>
          <w:p w14:paraId="27115C8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374" w:type="dxa"/>
          </w:tcPr>
          <w:p w14:paraId="601829F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tcPr>
          <w:p w14:paraId="1A0FEBE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44" w:type="dxa"/>
          </w:tcPr>
          <w:p w14:paraId="6FD92B8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tcPr>
          <w:p w14:paraId="796869A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0BFE3A05" w14:textId="77777777" w:rsidTr="00B84D31">
        <w:tc>
          <w:tcPr>
            <w:tcW w:w="1270" w:type="dxa"/>
            <w:vMerge w:val="restart"/>
          </w:tcPr>
          <w:p w14:paraId="5EF6FE03" w14:textId="77777777" w:rsidR="003C1CBF" w:rsidRPr="003C1CBF" w:rsidRDefault="003C1CBF" w:rsidP="003C1CBF">
            <w:pPr>
              <w:rPr>
                <w:rFonts w:eastAsia="MS Mincho" w:cs="Arial"/>
                <w:kern w:val="0"/>
                <w:lang w:val="en-US"/>
                <w14:ligatures w14:val="none"/>
              </w:rPr>
            </w:pPr>
          </w:p>
          <w:p w14:paraId="447BA4B0" w14:textId="77777777" w:rsidR="003C1CBF" w:rsidRPr="003C1CBF" w:rsidRDefault="003C1CBF" w:rsidP="003C1CBF">
            <w:pPr>
              <w:rPr>
                <w:rFonts w:eastAsia="MS Mincho" w:cs="Arial"/>
                <w:kern w:val="0"/>
                <w:lang w:val="en-US"/>
                <w14:ligatures w14:val="none"/>
              </w:rPr>
            </w:pPr>
          </w:p>
          <w:p w14:paraId="5669C77B" w14:textId="77777777" w:rsidR="003C1CBF" w:rsidRPr="003C1CBF" w:rsidRDefault="003C1CBF" w:rsidP="003C1CBF">
            <w:pPr>
              <w:rPr>
                <w:rFonts w:eastAsia="MS Mincho" w:cs="Arial"/>
                <w:kern w:val="0"/>
                <w:lang w:val="en-US"/>
                <w14:ligatures w14:val="none"/>
              </w:rPr>
            </w:pPr>
          </w:p>
          <w:p w14:paraId="3316A7D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Bay</w:t>
            </w:r>
          </w:p>
        </w:tc>
        <w:tc>
          <w:tcPr>
            <w:tcW w:w="1551" w:type="dxa"/>
            <w:vMerge w:val="restart"/>
          </w:tcPr>
          <w:p w14:paraId="07314A4F" w14:textId="77777777" w:rsidR="003C1CBF" w:rsidRPr="003C1CBF" w:rsidRDefault="003C1CBF" w:rsidP="003C1CBF">
            <w:pPr>
              <w:rPr>
                <w:rFonts w:eastAsia="MS Mincho" w:cs="Arial"/>
                <w:kern w:val="0"/>
                <w:lang w:val="en-US"/>
                <w14:ligatures w14:val="none"/>
              </w:rPr>
            </w:pPr>
          </w:p>
          <w:p w14:paraId="08FC6775" w14:textId="77777777" w:rsidR="003C1CBF" w:rsidRPr="003C1CBF" w:rsidRDefault="003C1CBF" w:rsidP="003C1CBF">
            <w:pPr>
              <w:rPr>
                <w:rFonts w:eastAsia="MS Mincho" w:cs="Arial"/>
                <w:kern w:val="0"/>
                <w:lang w:val="en-US"/>
                <w14:ligatures w14:val="none"/>
              </w:rPr>
            </w:pPr>
          </w:p>
          <w:p w14:paraId="5619B42A" w14:textId="77777777" w:rsidR="003C1CBF" w:rsidRPr="003C1CBF" w:rsidRDefault="003C1CBF" w:rsidP="003C1CBF">
            <w:pPr>
              <w:rPr>
                <w:rFonts w:eastAsia="MS Mincho" w:cs="Arial"/>
                <w:kern w:val="0"/>
                <w:lang w:val="en-US"/>
                <w14:ligatures w14:val="none"/>
              </w:rPr>
            </w:pPr>
          </w:p>
          <w:p w14:paraId="3321A61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Scurlage Pharmacy</w:t>
            </w:r>
          </w:p>
        </w:tc>
        <w:tc>
          <w:tcPr>
            <w:tcW w:w="1197" w:type="dxa"/>
            <w:shd w:val="clear" w:color="auto" w:fill="D9D9D9"/>
          </w:tcPr>
          <w:p w14:paraId="2CEDC3B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3879BA3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13:30-18:00</w:t>
            </w:r>
          </w:p>
        </w:tc>
        <w:tc>
          <w:tcPr>
            <w:tcW w:w="1205" w:type="dxa"/>
            <w:shd w:val="clear" w:color="auto" w:fill="D9D9D9"/>
          </w:tcPr>
          <w:p w14:paraId="30E8AF8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13:30-17:30</w:t>
            </w:r>
          </w:p>
        </w:tc>
        <w:tc>
          <w:tcPr>
            <w:tcW w:w="1550" w:type="dxa"/>
            <w:shd w:val="clear" w:color="auto" w:fill="D9D9D9"/>
          </w:tcPr>
          <w:p w14:paraId="69A3DEE8" w14:textId="69C5679B"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13:30-18:00</w:t>
            </w:r>
          </w:p>
        </w:tc>
        <w:tc>
          <w:tcPr>
            <w:tcW w:w="1374" w:type="dxa"/>
            <w:shd w:val="clear" w:color="auto" w:fill="D9D9D9"/>
          </w:tcPr>
          <w:p w14:paraId="4EAB61F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13:30-17:30</w:t>
            </w:r>
          </w:p>
        </w:tc>
        <w:tc>
          <w:tcPr>
            <w:tcW w:w="1205" w:type="dxa"/>
            <w:shd w:val="clear" w:color="auto" w:fill="D9D9D9"/>
          </w:tcPr>
          <w:p w14:paraId="1FD9377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6B318CB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66EF78E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0E704713" w14:textId="77777777" w:rsidTr="00B84D31">
        <w:tc>
          <w:tcPr>
            <w:tcW w:w="1270" w:type="dxa"/>
            <w:vMerge/>
          </w:tcPr>
          <w:p w14:paraId="33048E36" w14:textId="77777777" w:rsidR="003C1CBF" w:rsidRPr="003C1CBF" w:rsidRDefault="003C1CBF" w:rsidP="003C1CBF">
            <w:pPr>
              <w:rPr>
                <w:rFonts w:eastAsia="MS Mincho" w:cs="Arial"/>
                <w:kern w:val="0"/>
                <w:lang w:val="en-US"/>
                <w14:ligatures w14:val="none"/>
              </w:rPr>
            </w:pPr>
          </w:p>
        </w:tc>
        <w:tc>
          <w:tcPr>
            <w:tcW w:w="1551" w:type="dxa"/>
            <w:vMerge/>
          </w:tcPr>
          <w:p w14:paraId="50D07087" w14:textId="77777777" w:rsidR="003C1CBF" w:rsidRPr="003C1CBF" w:rsidRDefault="003C1CBF" w:rsidP="003C1CBF">
            <w:pPr>
              <w:rPr>
                <w:rFonts w:eastAsia="MS Mincho" w:cs="Arial"/>
                <w:kern w:val="0"/>
                <w:lang w:val="en-US"/>
                <w14:ligatures w14:val="none"/>
              </w:rPr>
            </w:pPr>
          </w:p>
        </w:tc>
        <w:tc>
          <w:tcPr>
            <w:tcW w:w="1197" w:type="dxa"/>
          </w:tcPr>
          <w:p w14:paraId="6779CCB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46B0B63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13:30-18:00</w:t>
            </w:r>
          </w:p>
        </w:tc>
        <w:tc>
          <w:tcPr>
            <w:tcW w:w="1205" w:type="dxa"/>
          </w:tcPr>
          <w:p w14:paraId="044A6AD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13:30-17:30</w:t>
            </w:r>
          </w:p>
        </w:tc>
        <w:tc>
          <w:tcPr>
            <w:tcW w:w="1550" w:type="dxa"/>
          </w:tcPr>
          <w:p w14:paraId="35F1894E" w14:textId="7830D84E"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13:30-18:00</w:t>
            </w:r>
          </w:p>
        </w:tc>
        <w:tc>
          <w:tcPr>
            <w:tcW w:w="1374" w:type="dxa"/>
          </w:tcPr>
          <w:p w14:paraId="0E2D4EF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13:30-17:30</w:t>
            </w:r>
          </w:p>
        </w:tc>
        <w:tc>
          <w:tcPr>
            <w:tcW w:w="1205" w:type="dxa"/>
          </w:tcPr>
          <w:p w14:paraId="7B3AA36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139BB28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571CFF0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8F83403" w14:textId="77777777" w:rsidTr="00B84D31">
        <w:tc>
          <w:tcPr>
            <w:tcW w:w="1270" w:type="dxa"/>
            <w:vMerge w:val="restart"/>
          </w:tcPr>
          <w:p w14:paraId="046358B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Bay</w:t>
            </w:r>
          </w:p>
        </w:tc>
        <w:tc>
          <w:tcPr>
            <w:tcW w:w="1551" w:type="dxa"/>
            <w:vMerge w:val="restart"/>
          </w:tcPr>
          <w:p w14:paraId="724FB39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Alderwood, West Cross</w:t>
            </w:r>
          </w:p>
        </w:tc>
        <w:tc>
          <w:tcPr>
            <w:tcW w:w="1197" w:type="dxa"/>
            <w:shd w:val="clear" w:color="auto" w:fill="D9D9D9"/>
          </w:tcPr>
          <w:p w14:paraId="76A9371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54B25C3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09:00-13:30 / 14:00-17:30</w:t>
            </w:r>
          </w:p>
        </w:tc>
        <w:tc>
          <w:tcPr>
            <w:tcW w:w="1205" w:type="dxa"/>
            <w:shd w:val="clear" w:color="auto" w:fill="D9D9D9"/>
          </w:tcPr>
          <w:p w14:paraId="5988B07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09:00-13:30 / 14:00-17:30</w:t>
            </w:r>
          </w:p>
        </w:tc>
        <w:tc>
          <w:tcPr>
            <w:tcW w:w="1550" w:type="dxa"/>
            <w:shd w:val="clear" w:color="auto" w:fill="D9D9D9"/>
          </w:tcPr>
          <w:p w14:paraId="6BE713E1" w14:textId="30F73FE2"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09:00-13:30 14:00-17:30</w:t>
            </w:r>
          </w:p>
        </w:tc>
        <w:tc>
          <w:tcPr>
            <w:tcW w:w="1374" w:type="dxa"/>
            <w:shd w:val="clear" w:color="auto" w:fill="D9D9D9"/>
          </w:tcPr>
          <w:p w14:paraId="1AF29D9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09:00-13:30 / 14:00-17:30</w:t>
            </w:r>
          </w:p>
        </w:tc>
        <w:tc>
          <w:tcPr>
            <w:tcW w:w="1205" w:type="dxa"/>
            <w:shd w:val="clear" w:color="auto" w:fill="D9D9D9"/>
          </w:tcPr>
          <w:p w14:paraId="689497A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shd w:val="clear" w:color="auto" w:fill="D9D9D9"/>
          </w:tcPr>
          <w:p w14:paraId="2789B2F0" w14:textId="77777777" w:rsidR="003C1CBF" w:rsidRPr="003C1CBF" w:rsidRDefault="003C1CBF" w:rsidP="003C1CBF">
            <w:pPr>
              <w:rPr>
                <w:rFonts w:eastAsia="MS Mincho" w:cs="Arial"/>
                <w:kern w:val="0"/>
                <w:lang w:val="en-US"/>
                <w14:ligatures w14:val="none"/>
              </w:rPr>
            </w:pPr>
          </w:p>
        </w:tc>
        <w:tc>
          <w:tcPr>
            <w:tcW w:w="1378" w:type="dxa"/>
            <w:shd w:val="clear" w:color="auto" w:fill="D9D9D9"/>
          </w:tcPr>
          <w:p w14:paraId="68A2648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08F98522" w14:textId="77777777" w:rsidTr="00B84D31">
        <w:tc>
          <w:tcPr>
            <w:tcW w:w="1270" w:type="dxa"/>
            <w:vMerge/>
          </w:tcPr>
          <w:p w14:paraId="24F0392C" w14:textId="77777777" w:rsidR="003C1CBF" w:rsidRPr="003C1CBF" w:rsidRDefault="003C1CBF" w:rsidP="003C1CBF">
            <w:pPr>
              <w:rPr>
                <w:rFonts w:eastAsia="MS Mincho" w:cs="Arial"/>
                <w:kern w:val="0"/>
                <w:lang w:val="en-US"/>
                <w14:ligatures w14:val="none"/>
              </w:rPr>
            </w:pPr>
          </w:p>
        </w:tc>
        <w:tc>
          <w:tcPr>
            <w:tcW w:w="1551" w:type="dxa"/>
            <w:vMerge/>
          </w:tcPr>
          <w:p w14:paraId="2ECE1DE9" w14:textId="77777777" w:rsidR="003C1CBF" w:rsidRPr="003C1CBF" w:rsidRDefault="003C1CBF" w:rsidP="003C1CBF">
            <w:pPr>
              <w:rPr>
                <w:rFonts w:eastAsia="MS Mincho" w:cs="Arial"/>
                <w:kern w:val="0"/>
                <w:lang w:val="en-US"/>
                <w14:ligatures w14:val="none"/>
              </w:rPr>
            </w:pPr>
          </w:p>
        </w:tc>
        <w:tc>
          <w:tcPr>
            <w:tcW w:w="1197" w:type="dxa"/>
          </w:tcPr>
          <w:p w14:paraId="345E2DB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1C0C968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29F88D9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550" w:type="dxa"/>
          </w:tcPr>
          <w:p w14:paraId="3F5CC90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4" w:type="dxa"/>
          </w:tcPr>
          <w:p w14:paraId="6599C07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5679F07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tcPr>
          <w:p w14:paraId="1F0B17D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tcPr>
          <w:p w14:paraId="079F653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79113CAC" w14:textId="77777777" w:rsidTr="00B84D31">
        <w:tc>
          <w:tcPr>
            <w:tcW w:w="1270" w:type="dxa"/>
            <w:vMerge w:val="restart"/>
          </w:tcPr>
          <w:p w14:paraId="677520A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Bay</w:t>
            </w:r>
          </w:p>
        </w:tc>
        <w:tc>
          <w:tcPr>
            <w:tcW w:w="1551" w:type="dxa"/>
            <w:vMerge w:val="restart"/>
          </w:tcPr>
          <w:p w14:paraId="13725C1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Murton</w:t>
            </w:r>
          </w:p>
        </w:tc>
        <w:tc>
          <w:tcPr>
            <w:tcW w:w="1197" w:type="dxa"/>
            <w:shd w:val="clear" w:color="auto" w:fill="D9D9D9"/>
          </w:tcPr>
          <w:p w14:paraId="2543CBC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34EC661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08:30-13:00 / 13:30-17:00</w:t>
            </w:r>
          </w:p>
        </w:tc>
        <w:tc>
          <w:tcPr>
            <w:tcW w:w="1205" w:type="dxa"/>
            <w:shd w:val="clear" w:color="auto" w:fill="D9D9D9"/>
          </w:tcPr>
          <w:p w14:paraId="6C150B9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08:30-13:00 / 13:30-17:00</w:t>
            </w:r>
          </w:p>
        </w:tc>
        <w:tc>
          <w:tcPr>
            <w:tcW w:w="1550" w:type="dxa"/>
            <w:shd w:val="clear" w:color="auto" w:fill="D9D9D9"/>
          </w:tcPr>
          <w:p w14:paraId="7E6AA97F" w14:textId="6281B490"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08:30-13:00 13:30-17:00</w:t>
            </w:r>
          </w:p>
        </w:tc>
        <w:tc>
          <w:tcPr>
            <w:tcW w:w="1374" w:type="dxa"/>
            <w:shd w:val="clear" w:color="auto" w:fill="D9D9D9"/>
          </w:tcPr>
          <w:p w14:paraId="5CF560E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08:30-13:00 / 13:30-17:00</w:t>
            </w:r>
          </w:p>
        </w:tc>
        <w:tc>
          <w:tcPr>
            <w:tcW w:w="1205" w:type="dxa"/>
            <w:shd w:val="clear" w:color="auto" w:fill="D9D9D9"/>
          </w:tcPr>
          <w:p w14:paraId="4C9349D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08:30-17:00</w:t>
            </w:r>
          </w:p>
        </w:tc>
        <w:tc>
          <w:tcPr>
            <w:tcW w:w="1244" w:type="dxa"/>
            <w:shd w:val="clear" w:color="auto" w:fill="D9D9D9"/>
          </w:tcPr>
          <w:p w14:paraId="4983D73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61E3BE8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E67B064" w14:textId="77777777" w:rsidTr="00B84D31">
        <w:tc>
          <w:tcPr>
            <w:tcW w:w="1270" w:type="dxa"/>
            <w:vMerge/>
          </w:tcPr>
          <w:p w14:paraId="25518773" w14:textId="77777777" w:rsidR="003C1CBF" w:rsidRPr="003C1CBF" w:rsidRDefault="003C1CBF" w:rsidP="003C1CBF">
            <w:pPr>
              <w:rPr>
                <w:rFonts w:eastAsia="MS Mincho" w:cs="Arial"/>
                <w:kern w:val="0"/>
                <w:lang w:val="en-US"/>
                <w14:ligatures w14:val="none"/>
              </w:rPr>
            </w:pPr>
          </w:p>
        </w:tc>
        <w:tc>
          <w:tcPr>
            <w:tcW w:w="1551" w:type="dxa"/>
            <w:vMerge/>
          </w:tcPr>
          <w:p w14:paraId="43C60F15" w14:textId="77777777" w:rsidR="003C1CBF" w:rsidRPr="003C1CBF" w:rsidRDefault="003C1CBF" w:rsidP="003C1CBF">
            <w:pPr>
              <w:rPr>
                <w:rFonts w:eastAsia="MS Mincho" w:cs="Arial"/>
                <w:kern w:val="0"/>
                <w:lang w:val="en-US"/>
                <w14:ligatures w14:val="none"/>
              </w:rPr>
            </w:pPr>
          </w:p>
        </w:tc>
        <w:tc>
          <w:tcPr>
            <w:tcW w:w="1197" w:type="dxa"/>
          </w:tcPr>
          <w:p w14:paraId="203D7D5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71FE048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08:30-13:00 / 13:30-17:30</w:t>
            </w:r>
          </w:p>
        </w:tc>
        <w:tc>
          <w:tcPr>
            <w:tcW w:w="1205" w:type="dxa"/>
          </w:tcPr>
          <w:p w14:paraId="38FFFF3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08:30-13:00 / 13:30-17:30</w:t>
            </w:r>
          </w:p>
        </w:tc>
        <w:tc>
          <w:tcPr>
            <w:tcW w:w="1550" w:type="dxa"/>
          </w:tcPr>
          <w:p w14:paraId="4FEFA57F" w14:textId="7C4929CE"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08:30-13:00 13:30-17:00</w:t>
            </w:r>
          </w:p>
        </w:tc>
        <w:tc>
          <w:tcPr>
            <w:tcW w:w="1374" w:type="dxa"/>
          </w:tcPr>
          <w:p w14:paraId="37ACC6E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08:30-13:00 / 13:30-17:00</w:t>
            </w:r>
          </w:p>
        </w:tc>
        <w:tc>
          <w:tcPr>
            <w:tcW w:w="1205" w:type="dxa"/>
          </w:tcPr>
          <w:p w14:paraId="7A57C74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08:30-17:00</w:t>
            </w:r>
          </w:p>
        </w:tc>
        <w:tc>
          <w:tcPr>
            <w:tcW w:w="1244" w:type="dxa"/>
          </w:tcPr>
          <w:p w14:paraId="14862CC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7A7039D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6879F53F" w14:textId="77777777" w:rsidTr="00B84D31">
        <w:tc>
          <w:tcPr>
            <w:tcW w:w="1270" w:type="dxa"/>
            <w:vMerge w:val="restart"/>
          </w:tcPr>
          <w:p w14:paraId="2AE6CAAA" w14:textId="77777777" w:rsidR="003C1CBF" w:rsidRPr="003C1CBF" w:rsidRDefault="003C1CBF" w:rsidP="003C1CBF">
            <w:pPr>
              <w:rPr>
                <w:rFonts w:eastAsia="MS Mincho" w:cs="Arial"/>
                <w:kern w:val="0"/>
                <w:lang w:val="en-US"/>
                <w14:ligatures w14:val="none"/>
              </w:rPr>
            </w:pPr>
          </w:p>
          <w:p w14:paraId="72F9A988" w14:textId="77777777" w:rsidR="003C1CBF" w:rsidRPr="003C1CBF" w:rsidRDefault="003C1CBF" w:rsidP="003C1CBF">
            <w:pPr>
              <w:rPr>
                <w:rFonts w:eastAsia="MS Mincho" w:cs="Arial"/>
                <w:kern w:val="0"/>
                <w:lang w:val="en-US"/>
                <w14:ligatures w14:val="none"/>
              </w:rPr>
            </w:pPr>
          </w:p>
          <w:p w14:paraId="6EE9B513" w14:textId="77777777" w:rsidR="003C1CBF" w:rsidRPr="003C1CBF" w:rsidRDefault="003C1CBF" w:rsidP="003C1CBF">
            <w:pPr>
              <w:rPr>
                <w:rFonts w:eastAsia="MS Mincho" w:cs="Arial"/>
                <w:kern w:val="0"/>
                <w:lang w:val="en-US"/>
                <w14:ligatures w14:val="none"/>
              </w:rPr>
            </w:pPr>
          </w:p>
          <w:p w14:paraId="16D47EA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Bay</w:t>
            </w:r>
          </w:p>
        </w:tc>
        <w:tc>
          <w:tcPr>
            <w:tcW w:w="1551" w:type="dxa"/>
            <w:vMerge w:val="restart"/>
          </w:tcPr>
          <w:p w14:paraId="710CBEE3" w14:textId="77777777" w:rsidR="003C1CBF" w:rsidRPr="003C1CBF" w:rsidRDefault="003C1CBF" w:rsidP="003C1CBF">
            <w:pPr>
              <w:rPr>
                <w:rFonts w:eastAsia="MS Mincho" w:cs="Arial"/>
                <w:kern w:val="0"/>
                <w:lang w:val="en-US"/>
                <w14:ligatures w14:val="none"/>
              </w:rPr>
            </w:pPr>
          </w:p>
          <w:p w14:paraId="1103F6F7" w14:textId="77777777" w:rsidR="003C1CBF" w:rsidRPr="003C1CBF" w:rsidRDefault="003C1CBF" w:rsidP="003C1CBF">
            <w:pPr>
              <w:rPr>
                <w:rFonts w:eastAsia="MS Mincho" w:cs="Arial"/>
                <w:kern w:val="0"/>
                <w:lang w:val="en-US"/>
                <w14:ligatures w14:val="none"/>
              </w:rPr>
            </w:pPr>
          </w:p>
          <w:p w14:paraId="602615C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Pennard Surgery</w:t>
            </w:r>
          </w:p>
        </w:tc>
        <w:tc>
          <w:tcPr>
            <w:tcW w:w="1197" w:type="dxa"/>
            <w:shd w:val="clear" w:color="auto" w:fill="D9D9D9"/>
          </w:tcPr>
          <w:p w14:paraId="301F62E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3F21A39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08:45-13:00 / 14:00-18:00</w:t>
            </w:r>
          </w:p>
        </w:tc>
        <w:tc>
          <w:tcPr>
            <w:tcW w:w="1205" w:type="dxa"/>
            <w:shd w:val="clear" w:color="auto" w:fill="D9D9D9"/>
          </w:tcPr>
          <w:p w14:paraId="088E8F4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601AACEB" w14:textId="2D3EA06A"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08:45-12:00 12:00-13:00</w:t>
            </w:r>
          </w:p>
        </w:tc>
        <w:tc>
          <w:tcPr>
            <w:tcW w:w="1374" w:type="dxa"/>
            <w:shd w:val="clear" w:color="auto" w:fill="D9D9D9"/>
          </w:tcPr>
          <w:p w14:paraId="7A689A5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08:45-13:00 / 14:00-18:00</w:t>
            </w:r>
          </w:p>
        </w:tc>
        <w:tc>
          <w:tcPr>
            <w:tcW w:w="1205" w:type="dxa"/>
            <w:shd w:val="clear" w:color="auto" w:fill="D9D9D9"/>
          </w:tcPr>
          <w:p w14:paraId="19F52BA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08:45-18:00</w:t>
            </w:r>
          </w:p>
        </w:tc>
        <w:tc>
          <w:tcPr>
            <w:tcW w:w="1244" w:type="dxa"/>
            <w:shd w:val="clear" w:color="auto" w:fill="D9D9D9"/>
          </w:tcPr>
          <w:p w14:paraId="6D98AD3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shd w:val="clear" w:color="auto" w:fill="D9D9D9"/>
          </w:tcPr>
          <w:p w14:paraId="1539E10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68F55DDE" w14:textId="77777777" w:rsidTr="00B84D31">
        <w:tc>
          <w:tcPr>
            <w:tcW w:w="1270" w:type="dxa"/>
            <w:vMerge/>
          </w:tcPr>
          <w:p w14:paraId="29C264D4" w14:textId="77777777" w:rsidR="003C1CBF" w:rsidRPr="003C1CBF" w:rsidRDefault="003C1CBF" w:rsidP="003C1CBF">
            <w:pPr>
              <w:rPr>
                <w:rFonts w:eastAsia="MS Mincho" w:cs="Arial"/>
                <w:kern w:val="0"/>
                <w:lang w:val="en-US"/>
                <w14:ligatures w14:val="none"/>
              </w:rPr>
            </w:pPr>
          </w:p>
        </w:tc>
        <w:tc>
          <w:tcPr>
            <w:tcW w:w="1551" w:type="dxa"/>
            <w:vMerge/>
          </w:tcPr>
          <w:p w14:paraId="21A2E4EC" w14:textId="77777777" w:rsidR="003C1CBF" w:rsidRPr="003C1CBF" w:rsidRDefault="003C1CBF" w:rsidP="003C1CBF">
            <w:pPr>
              <w:rPr>
                <w:rFonts w:eastAsia="MS Mincho" w:cs="Arial"/>
                <w:kern w:val="0"/>
                <w:lang w:val="en-US"/>
                <w14:ligatures w14:val="none"/>
              </w:rPr>
            </w:pPr>
          </w:p>
        </w:tc>
        <w:tc>
          <w:tcPr>
            <w:tcW w:w="1197" w:type="dxa"/>
          </w:tcPr>
          <w:p w14:paraId="0134E54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654CFA2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08:45-13:00 / 14:00-18:00</w:t>
            </w:r>
          </w:p>
        </w:tc>
        <w:tc>
          <w:tcPr>
            <w:tcW w:w="1205" w:type="dxa"/>
          </w:tcPr>
          <w:p w14:paraId="5525CC2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tcPr>
          <w:p w14:paraId="26164153" w14:textId="55ECEB7C"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08:45-12:00 12:00-13:00</w:t>
            </w:r>
          </w:p>
        </w:tc>
        <w:tc>
          <w:tcPr>
            <w:tcW w:w="1374" w:type="dxa"/>
          </w:tcPr>
          <w:p w14:paraId="3ED4CD5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08:45-13:00 / 14:00-18:00</w:t>
            </w:r>
          </w:p>
        </w:tc>
        <w:tc>
          <w:tcPr>
            <w:tcW w:w="1205" w:type="dxa"/>
          </w:tcPr>
          <w:p w14:paraId="04D75C2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08:45-18:00</w:t>
            </w:r>
          </w:p>
        </w:tc>
        <w:tc>
          <w:tcPr>
            <w:tcW w:w="1244" w:type="dxa"/>
          </w:tcPr>
          <w:p w14:paraId="54F7F9B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tcPr>
          <w:p w14:paraId="4833093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9DA8DE8" w14:textId="77777777" w:rsidTr="00B84D31">
        <w:tc>
          <w:tcPr>
            <w:tcW w:w="1270" w:type="dxa"/>
            <w:vMerge w:val="restart"/>
          </w:tcPr>
          <w:p w14:paraId="281EF42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Bay</w:t>
            </w:r>
          </w:p>
          <w:p w14:paraId="4689423A" w14:textId="77777777" w:rsidR="003C1CBF" w:rsidRPr="003C1CBF" w:rsidRDefault="003C1CBF" w:rsidP="003C1CBF">
            <w:pPr>
              <w:rPr>
                <w:rFonts w:eastAsia="MS Mincho" w:cs="Arial"/>
                <w:kern w:val="0"/>
                <w:lang w:val="en-US"/>
                <w14:ligatures w14:val="none"/>
              </w:rPr>
            </w:pPr>
          </w:p>
        </w:tc>
        <w:tc>
          <w:tcPr>
            <w:tcW w:w="1551" w:type="dxa"/>
            <w:vMerge w:val="restart"/>
          </w:tcPr>
          <w:p w14:paraId="1ABE7E8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Sketty</w:t>
            </w:r>
          </w:p>
        </w:tc>
        <w:tc>
          <w:tcPr>
            <w:tcW w:w="1197" w:type="dxa"/>
            <w:shd w:val="clear" w:color="auto" w:fill="D9D9D9"/>
          </w:tcPr>
          <w:p w14:paraId="19095B5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1700C41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13703AE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shd w:val="clear" w:color="auto" w:fill="D9D9D9"/>
          </w:tcPr>
          <w:p w14:paraId="53910D8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shd w:val="clear" w:color="auto" w:fill="D9D9D9"/>
          </w:tcPr>
          <w:p w14:paraId="7EC1E5A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6F9485D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2FE0910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5529A63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764BB170" w14:textId="77777777" w:rsidTr="00B84D31">
        <w:tc>
          <w:tcPr>
            <w:tcW w:w="1270" w:type="dxa"/>
            <w:vMerge/>
          </w:tcPr>
          <w:p w14:paraId="1082D5C6" w14:textId="77777777" w:rsidR="003C1CBF" w:rsidRPr="003C1CBF" w:rsidRDefault="003C1CBF" w:rsidP="003C1CBF">
            <w:pPr>
              <w:rPr>
                <w:rFonts w:eastAsia="MS Mincho" w:cs="Arial"/>
                <w:kern w:val="0"/>
                <w:lang w:val="en-US"/>
                <w14:ligatures w14:val="none"/>
              </w:rPr>
            </w:pPr>
          </w:p>
        </w:tc>
        <w:tc>
          <w:tcPr>
            <w:tcW w:w="1551" w:type="dxa"/>
            <w:vMerge/>
          </w:tcPr>
          <w:p w14:paraId="064FD444" w14:textId="77777777" w:rsidR="003C1CBF" w:rsidRPr="003C1CBF" w:rsidRDefault="003C1CBF" w:rsidP="003C1CBF">
            <w:pPr>
              <w:rPr>
                <w:rFonts w:eastAsia="MS Mincho" w:cs="Arial"/>
                <w:kern w:val="0"/>
                <w:lang w:val="en-US"/>
                <w14:ligatures w14:val="none"/>
              </w:rPr>
            </w:pPr>
          </w:p>
        </w:tc>
        <w:tc>
          <w:tcPr>
            <w:tcW w:w="1197" w:type="dxa"/>
          </w:tcPr>
          <w:p w14:paraId="3F8EE52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67FB038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23C4435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3B592C6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6708B77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54743B5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0A150E9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64DC664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71B0005D" w14:textId="77777777" w:rsidTr="00B84D31">
        <w:tc>
          <w:tcPr>
            <w:tcW w:w="1270" w:type="dxa"/>
            <w:vMerge w:val="restart"/>
          </w:tcPr>
          <w:p w14:paraId="50E3101F" w14:textId="77777777" w:rsidR="003C1CBF" w:rsidRPr="003C1CBF" w:rsidRDefault="003C1CBF" w:rsidP="003C1CBF">
            <w:pPr>
              <w:rPr>
                <w:rFonts w:eastAsia="MS Mincho" w:cs="Arial"/>
                <w:kern w:val="0"/>
                <w:lang w:val="en-US"/>
                <w14:ligatures w14:val="none"/>
              </w:rPr>
            </w:pPr>
          </w:p>
          <w:p w14:paraId="31EE479C" w14:textId="77777777" w:rsidR="003C1CBF" w:rsidRPr="003C1CBF" w:rsidRDefault="003C1CBF" w:rsidP="003C1CBF">
            <w:pPr>
              <w:rPr>
                <w:rFonts w:eastAsia="MS Mincho" w:cs="Arial"/>
                <w:kern w:val="0"/>
                <w:lang w:val="en-US"/>
                <w14:ligatures w14:val="none"/>
              </w:rPr>
            </w:pPr>
          </w:p>
          <w:p w14:paraId="1D3DF70D" w14:textId="77777777" w:rsidR="003C1CBF" w:rsidRPr="003C1CBF" w:rsidRDefault="003C1CBF" w:rsidP="003C1CBF">
            <w:pPr>
              <w:rPr>
                <w:rFonts w:eastAsia="MS Mincho" w:cs="Arial"/>
                <w:kern w:val="0"/>
                <w:lang w:val="en-US"/>
                <w14:ligatures w14:val="none"/>
              </w:rPr>
            </w:pPr>
          </w:p>
          <w:p w14:paraId="6D3B7D3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Bay</w:t>
            </w:r>
          </w:p>
        </w:tc>
        <w:tc>
          <w:tcPr>
            <w:tcW w:w="1551" w:type="dxa"/>
            <w:vMerge w:val="restart"/>
          </w:tcPr>
          <w:p w14:paraId="1E3FC2D5" w14:textId="77777777" w:rsidR="003C1CBF" w:rsidRPr="003C1CBF" w:rsidRDefault="003C1CBF" w:rsidP="003C1CBF">
            <w:pPr>
              <w:rPr>
                <w:rFonts w:eastAsia="MS Mincho" w:cs="Arial"/>
                <w:kern w:val="0"/>
                <w:lang w:val="en-US"/>
                <w14:ligatures w14:val="none"/>
              </w:rPr>
            </w:pPr>
          </w:p>
          <w:p w14:paraId="0F223807" w14:textId="77777777" w:rsidR="003C1CBF" w:rsidRPr="003C1CBF" w:rsidRDefault="003C1CBF" w:rsidP="003C1CBF">
            <w:pPr>
              <w:rPr>
                <w:rFonts w:eastAsia="MS Mincho" w:cs="Arial"/>
                <w:kern w:val="0"/>
                <w:lang w:val="en-US"/>
                <w14:ligatures w14:val="none"/>
              </w:rPr>
            </w:pPr>
          </w:p>
          <w:p w14:paraId="2ECC256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Sketty Park</w:t>
            </w:r>
          </w:p>
        </w:tc>
        <w:tc>
          <w:tcPr>
            <w:tcW w:w="1197" w:type="dxa"/>
            <w:shd w:val="clear" w:color="auto" w:fill="D9D9D9"/>
          </w:tcPr>
          <w:p w14:paraId="68C4D25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61C6243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0968AFF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103484D5" w14:textId="55DBAA5A"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shd w:val="clear" w:color="auto" w:fill="D9D9D9"/>
          </w:tcPr>
          <w:p w14:paraId="49D8A5E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1760CC6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778D9A0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0E5BC56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71560739" w14:textId="77777777" w:rsidTr="00B84D31">
        <w:tc>
          <w:tcPr>
            <w:tcW w:w="1270" w:type="dxa"/>
            <w:vMerge/>
          </w:tcPr>
          <w:p w14:paraId="080ADFBB" w14:textId="77777777" w:rsidR="003C1CBF" w:rsidRPr="003C1CBF" w:rsidRDefault="003C1CBF" w:rsidP="003C1CBF">
            <w:pPr>
              <w:rPr>
                <w:rFonts w:eastAsia="MS Mincho" w:cs="Arial"/>
                <w:kern w:val="0"/>
                <w:lang w:val="en-US"/>
                <w14:ligatures w14:val="none"/>
              </w:rPr>
            </w:pPr>
          </w:p>
        </w:tc>
        <w:tc>
          <w:tcPr>
            <w:tcW w:w="1551" w:type="dxa"/>
            <w:vMerge/>
          </w:tcPr>
          <w:p w14:paraId="2435CACC" w14:textId="77777777" w:rsidR="003C1CBF" w:rsidRPr="003C1CBF" w:rsidRDefault="003C1CBF" w:rsidP="003C1CBF">
            <w:pPr>
              <w:rPr>
                <w:rFonts w:eastAsia="MS Mincho" w:cs="Arial"/>
                <w:kern w:val="0"/>
                <w:lang w:val="en-US"/>
                <w14:ligatures w14:val="none"/>
              </w:rPr>
            </w:pPr>
          </w:p>
        </w:tc>
        <w:tc>
          <w:tcPr>
            <w:tcW w:w="1197" w:type="dxa"/>
          </w:tcPr>
          <w:p w14:paraId="3EB1C0F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44456B5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3633189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6142E64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5E88AC3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3C44DC2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38BEBA4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07FC33A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259191FC" w14:textId="77777777" w:rsidTr="00B84D31">
        <w:tc>
          <w:tcPr>
            <w:tcW w:w="1270" w:type="dxa"/>
            <w:vMerge w:val="restart"/>
          </w:tcPr>
          <w:p w14:paraId="0C5FFE16" w14:textId="77777777" w:rsidR="003C1CBF" w:rsidRPr="003C1CBF" w:rsidRDefault="003C1CBF" w:rsidP="003C1CBF">
            <w:pPr>
              <w:rPr>
                <w:rFonts w:eastAsia="MS Mincho" w:cs="Arial"/>
                <w:kern w:val="0"/>
                <w:lang w:val="en-US"/>
                <w14:ligatures w14:val="none"/>
              </w:rPr>
            </w:pPr>
          </w:p>
          <w:p w14:paraId="59A3468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Bay</w:t>
            </w:r>
          </w:p>
        </w:tc>
        <w:tc>
          <w:tcPr>
            <w:tcW w:w="1551" w:type="dxa"/>
            <w:vMerge w:val="restart"/>
          </w:tcPr>
          <w:p w14:paraId="67D51C74" w14:textId="77777777" w:rsidR="003C1CBF" w:rsidRPr="003C1CBF" w:rsidRDefault="003C1CBF" w:rsidP="003C1CBF">
            <w:pPr>
              <w:rPr>
                <w:rFonts w:eastAsia="MS Mincho" w:cs="Arial"/>
                <w:kern w:val="0"/>
                <w:lang w:val="en-US"/>
                <w14:ligatures w14:val="none"/>
              </w:rPr>
            </w:pPr>
          </w:p>
          <w:p w14:paraId="75B17A8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Uplands</w:t>
            </w:r>
          </w:p>
        </w:tc>
        <w:tc>
          <w:tcPr>
            <w:tcW w:w="1197" w:type="dxa"/>
            <w:shd w:val="clear" w:color="auto" w:fill="D9D9D9"/>
          </w:tcPr>
          <w:p w14:paraId="34B7B9C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075F14F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65B4CD8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643DA6E8" w14:textId="48881068"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shd w:val="clear" w:color="auto" w:fill="D9D9D9"/>
          </w:tcPr>
          <w:p w14:paraId="2C38FD9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2164F4C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391034B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3DC40F7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6C2960FE" w14:textId="77777777" w:rsidTr="00B84D31">
        <w:tc>
          <w:tcPr>
            <w:tcW w:w="1270" w:type="dxa"/>
            <w:vMerge/>
          </w:tcPr>
          <w:p w14:paraId="5C9A36E7" w14:textId="77777777" w:rsidR="003C1CBF" w:rsidRPr="003C1CBF" w:rsidRDefault="003C1CBF" w:rsidP="003C1CBF">
            <w:pPr>
              <w:rPr>
                <w:rFonts w:eastAsia="MS Mincho" w:cs="Arial"/>
                <w:kern w:val="0"/>
                <w:lang w:val="en-US"/>
                <w14:ligatures w14:val="none"/>
              </w:rPr>
            </w:pPr>
          </w:p>
        </w:tc>
        <w:tc>
          <w:tcPr>
            <w:tcW w:w="1551" w:type="dxa"/>
            <w:vMerge/>
          </w:tcPr>
          <w:p w14:paraId="23392B43" w14:textId="77777777" w:rsidR="003C1CBF" w:rsidRPr="003C1CBF" w:rsidRDefault="003C1CBF" w:rsidP="003C1CBF">
            <w:pPr>
              <w:rPr>
                <w:rFonts w:eastAsia="MS Mincho" w:cs="Arial"/>
                <w:kern w:val="0"/>
                <w:lang w:val="en-US"/>
                <w14:ligatures w14:val="none"/>
              </w:rPr>
            </w:pPr>
          </w:p>
        </w:tc>
        <w:tc>
          <w:tcPr>
            <w:tcW w:w="1197" w:type="dxa"/>
          </w:tcPr>
          <w:p w14:paraId="633D800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496592D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08:45-18:00</w:t>
            </w:r>
          </w:p>
        </w:tc>
        <w:tc>
          <w:tcPr>
            <w:tcW w:w="1205" w:type="dxa"/>
          </w:tcPr>
          <w:p w14:paraId="58BE229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08:45-18:00</w:t>
            </w:r>
          </w:p>
        </w:tc>
        <w:tc>
          <w:tcPr>
            <w:tcW w:w="1550" w:type="dxa"/>
          </w:tcPr>
          <w:p w14:paraId="114192F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08:45-18:00</w:t>
            </w:r>
          </w:p>
        </w:tc>
        <w:tc>
          <w:tcPr>
            <w:tcW w:w="1374" w:type="dxa"/>
          </w:tcPr>
          <w:p w14:paraId="1BB093C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08:45-18:00</w:t>
            </w:r>
          </w:p>
        </w:tc>
        <w:tc>
          <w:tcPr>
            <w:tcW w:w="1205" w:type="dxa"/>
          </w:tcPr>
          <w:p w14:paraId="6021348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08:45-18:00</w:t>
            </w:r>
          </w:p>
        </w:tc>
        <w:tc>
          <w:tcPr>
            <w:tcW w:w="1244" w:type="dxa"/>
          </w:tcPr>
          <w:p w14:paraId="74E8B13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1DE4C36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130817E4" w14:textId="77777777" w:rsidTr="00B84D31">
        <w:tc>
          <w:tcPr>
            <w:tcW w:w="1270" w:type="dxa"/>
            <w:vMerge w:val="restart"/>
          </w:tcPr>
          <w:p w14:paraId="0A7AE5EA" w14:textId="77777777" w:rsidR="003C1CBF" w:rsidRPr="003C1CBF" w:rsidRDefault="003C1CBF" w:rsidP="003C1CBF">
            <w:pPr>
              <w:rPr>
                <w:rFonts w:eastAsia="MS Mincho" w:cs="Arial"/>
                <w:kern w:val="0"/>
                <w:lang w:val="en-US"/>
                <w14:ligatures w14:val="none"/>
              </w:rPr>
            </w:pPr>
          </w:p>
          <w:p w14:paraId="27D2FC61" w14:textId="77777777" w:rsidR="003C1CBF" w:rsidRPr="003C1CBF" w:rsidRDefault="003C1CBF" w:rsidP="003C1CBF">
            <w:pPr>
              <w:rPr>
                <w:rFonts w:eastAsia="MS Mincho" w:cs="Arial"/>
                <w:kern w:val="0"/>
                <w:lang w:val="en-US"/>
                <w14:ligatures w14:val="none"/>
              </w:rPr>
            </w:pPr>
          </w:p>
          <w:p w14:paraId="6428DBD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Bay</w:t>
            </w:r>
          </w:p>
          <w:p w14:paraId="0E85E52D" w14:textId="77777777" w:rsidR="003C1CBF" w:rsidRPr="003C1CBF" w:rsidRDefault="003C1CBF" w:rsidP="003C1CBF">
            <w:pPr>
              <w:rPr>
                <w:rFonts w:eastAsia="MS Mincho" w:cs="Arial"/>
                <w:kern w:val="0"/>
                <w:lang w:val="en-US"/>
                <w14:ligatures w14:val="none"/>
              </w:rPr>
            </w:pPr>
          </w:p>
        </w:tc>
        <w:tc>
          <w:tcPr>
            <w:tcW w:w="1551" w:type="dxa"/>
            <w:vMerge w:val="restart"/>
          </w:tcPr>
          <w:p w14:paraId="41B5B9AD" w14:textId="77777777" w:rsidR="003C1CBF" w:rsidRPr="003C1CBF" w:rsidRDefault="003C1CBF" w:rsidP="003C1CBF">
            <w:pPr>
              <w:rPr>
                <w:rFonts w:eastAsia="MS Mincho" w:cs="Arial"/>
                <w:kern w:val="0"/>
                <w:lang w:val="en-US"/>
                <w14:ligatures w14:val="none"/>
              </w:rPr>
            </w:pPr>
          </w:p>
          <w:p w14:paraId="73A102E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 xml:space="preserve">Well </w:t>
            </w:r>
          </w:p>
          <w:p w14:paraId="02F8543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Pharmacy, West Cross Lane</w:t>
            </w:r>
          </w:p>
        </w:tc>
        <w:tc>
          <w:tcPr>
            <w:tcW w:w="1197" w:type="dxa"/>
            <w:shd w:val="clear" w:color="auto" w:fill="D9D9D9"/>
          </w:tcPr>
          <w:p w14:paraId="0BC2CFB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4BA7793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72E3479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143E0AA7" w14:textId="3260DF08"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shd w:val="clear" w:color="auto" w:fill="D9D9D9"/>
          </w:tcPr>
          <w:p w14:paraId="2B2B755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09:00-13:30 / 14:00-17:30</w:t>
            </w:r>
          </w:p>
        </w:tc>
        <w:tc>
          <w:tcPr>
            <w:tcW w:w="1205" w:type="dxa"/>
            <w:shd w:val="clear" w:color="auto" w:fill="D9D9D9"/>
          </w:tcPr>
          <w:p w14:paraId="3D409DA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72ED322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10AB347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575D5F20" w14:textId="77777777" w:rsidTr="00B84D31">
        <w:tc>
          <w:tcPr>
            <w:tcW w:w="1270" w:type="dxa"/>
            <w:vMerge/>
          </w:tcPr>
          <w:p w14:paraId="38893FD3" w14:textId="77777777" w:rsidR="003C1CBF" w:rsidRPr="003C1CBF" w:rsidRDefault="003C1CBF" w:rsidP="003C1CBF">
            <w:pPr>
              <w:rPr>
                <w:rFonts w:eastAsia="MS Mincho" w:cs="Arial"/>
                <w:kern w:val="0"/>
                <w:lang w:val="en-US"/>
                <w14:ligatures w14:val="none"/>
              </w:rPr>
            </w:pPr>
          </w:p>
        </w:tc>
        <w:tc>
          <w:tcPr>
            <w:tcW w:w="1551" w:type="dxa"/>
            <w:vMerge/>
          </w:tcPr>
          <w:p w14:paraId="04624BC3" w14:textId="77777777" w:rsidR="003C1CBF" w:rsidRPr="003C1CBF" w:rsidRDefault="003C1CBF" w:rsidP="003C1CBF">
            <w:pPr>
              <w:rPr>
                <w:rFonts w:eastAsia="MS Mincho" w:cs="Arial"/>
                <w:kern w:val="0"/>
                <w:lang w:val="en-US"/>
                <w14:ligatures w14:val="none"/>
              </w:rPr>
            </w:pPr>
          </w:p>
        </w:tc>
        <w:tc>
          <w:tcPr>
            <w:tcW w:w="1197" w:type="dxa"/>
          </w:tcPr>
          <w:p w14:paraId="4A011D9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27D98BC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5FD3AA7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5640071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715C4E4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7D34B71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6A61B6F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41B4FD1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777572A5" w14:textId="77777777" w:rsidTr="00B84D31">
        <w:tc>
          <w:tcPr>
            <w:tcW w:w="1270" w:type="dxa"/>
            <w:vMerge w:val="restart"/>
          </w:tcPr>
          <w:p w14:paraId="34172252" w14:textId="77777777" w:rsidR="003C1CBF" w:rsidRPr="003C1CBF" w:rsidRDefault="003C1CBF" w:rsidP="003C1CBF">
            <w:pPr>
              <w:rPr>
                <w:rFonts w:eastAsia="MS Mincho" w:cs="Arial"/>
                <w:kern w:val="0"/>
                <w:lang w:val="en-US"/>
                <w14:ligatures w14:val="none"/>
              </w:rPr>
            </w:pPr>
          </w:p>
          <w:p w14:paraId="768C798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City</w:t>
            </w:r>
          </w:p>
        </w:tc>
        <w:tc>
          <w:tcPr>
            <w:tcW w:w="1551" w:type="dxa"/>
            <w:vMerge w:val="restart"/>
          </w:tcPr>
          <w:p w14:paraId="061E4247" w14:textId="77777777" w:rsidR="003C1CBF" w:rsidRPr="003C1CBF" w:rsidRDefault="003C1CBF" w:rsidP="003C1CBF">
            <w:pPr>
              <w:rPr>
                <w:rFonts w:eastAsia="MS Mincho" w:cs="Arial"/>
                <w:kern w:val="0"/>
                <w:lang w:val="en-US"/>
                <w14:ligatures w14:val="none"/>
              </w:rPr>
            </w:pPr>
          </w:p>
          <w:p w14:paraId="51E14D5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Boots, Quadrant</w:t>
            </w:r>
          </w:p>
        </w:tc>
        <w:tc>
          <w:tcPr>
            <w:tcW w:w="1197" w:type="dxa"/>
            <w:shd w:val="clear" w:color="auto" w:fill="D9D9D9"/>
          </w:tcPr>
          <w:p w14:paraId="4B621C7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0DEACAB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08:30-16:30</w:t>
            </w:r>
          </w:p>
        </w:tc>
        <w:tc>
          <w:tcPr>
            <w:tcW w:w="1205" w:type="dxa"/>
            <w:shd w:val="clear" w:color="auto" w:fill="D9D9D9"/>
          </w:tcPr>
          <w:p w14:paraId="03706F6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08:30-16:30</w:t>
            </w:r>
          </w:p>
        </w:tc>
        <w:tc>
          <w:tcPr>
            <w:tcW w:w="1550" w:type="dxa"/>
            <w:shd w:val="clear" w:color="auto" w:fill="D9D9D9"/>
          </w:tcPr>
          <w:p w14:paraId="0B6EABD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08:30-16:30</w:t>
            </w:r>
          </w:p>
        </w:tc>
        <w:tc>
          <w:tcPr>
            <w:tcW w:w="1374" w:type="dxa"/>
            <w:shd w:val="clear" w:color="auto" w:fill="D9D9D9"/>
          </w:tcPr>
          <w:p w14:paraId="2FC346C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08:30-16:30</w:t>
            </w:r>
          </w:p>
        </w:tc>
        <w:tc>
          <w:tcPr>
            <w:tcW w:w="1205" w:type="dxa"/>
            <w:shd w:val="clear" w:color="auto" w:fill="D9D9D9"/>
          </w:tcPr>
          <w:p w14:paraId="717DFFF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08:30-16:30</w:t>
            </w:r>
          </w:p>
        </w:tc>
        <w:tc>
          <w:tcPr>
            <w:tcW w:w="1244" w:type="dxa"/>
            <w:shd w:val="clear" w:color="auto" w:fill="D9D9D9"/>
          </w:tcPr>
          <w:p w14:paraId="09D10311" w14:textId="77777777" w:rsidR="003C1CBF" w:rsidRPr="003C1CBF" w:rsidRDefault="003C1CBF" w:rsidP="003C1CBF">
            <w:pPr>
              <w:rPr>
                <w:rFonts w:eastAsia="MS Mincho" w:cs="Arial"/>
                <w:kern w:val="0"/>
                <w:lang w:val="en-US"/>
                <w14:ligatures w14:val="none"/>
              </w:rPr>
            </w:pPr>
          </w:p>
        </w:tc>
        <w:tc>
          <w:tcPr>
            <w:tcW w:w="1378" w:type="dxa"/>
            <w:shd w:val="clear" w:color="auto" w:fill="D9D9D9"/>
          </w:tcPr>
          <w:p w14:paraId="326F6B55" w14:textId="77777777" w:rsidR="003C1CBF" w:rsidRPr="003C1CBF" w:rsidRDefault="003C1CBF" w:rsidP="003C1CBF">
            <w:pPr>
              <w:rPr>
                <w:rFonts w:eastAsia="MS Mincho" w:cs="Arial"/>
                <w:kern w:val="0"/>
                <w:lang w:val="en-US"/>
                <w14:ligatures w14:val="none"/>
              </w:rPr>
            </w:pPr>
          </w:p>
        </w:tc>
      </w:tr>
      <w:tr w:rsidR="003C1CBF" w:rsidRPr="003C1CBF" w14:paraId="2A826B36" w14:textId="77777777" w:rsidTr="00B84D31">
        <w:tc>
          <w:tcPr>
            <w:tcW w:w="1270" w:type="dxa"/>
            <w:vMerge/>
          </w:tcPr>
          <w:p w14:paraId="6FBC0AD1" w14:textId="77777777" w:rsidR="003C1CBF" w:rsidRPr="003C1CBF" w:rsidRDefault="003C1CBF" w:rsidP="003C1CBF">
            <w:pPr>
              <w:rPr>
                <w:rFonts w:eastAsia="MS Mincho" w:cs="Arial"/>
                <w:kern w:val="0"/>
                <w:lang w:val="en-US"/>
                <w14:ligatures w14:val="none"/>
              </w:rPr>
            </w:pPr>
          </w:p>
        </w:tc>
        <w:tc>
          <w:tcPr>
            <w:tcW w:w="1551" w:type="dxa"/>
            <w:vMerge/>
          </w:tcPr>
          <w:p w14:paraId="1BF7DCE7" w14:textId="77777777" w:rsidR="003C1CBF" w:rsidRPr="003C1CBF" w:rsidRDefault="003C1CBF" w:rsidP="003C1CBF">
            <w:pPr>
              <w:rPr>
                <w:rFonts w:eastAsia="MS Mincho" w:cs="Arial"/>
                <w:kern w:val="0"/>
                <w:lang w:val="en-US"/>
                <w14:ligatures w14:val="none"/>
              </w:rPr>
            </w:pPr>
          </w:p>
        </w:tc>
        <w:tc>
          <w:tcPr>
            <w:tcW w:w="1197" w:type="dxa"/>
          </w:tcPr>
          <w:p w14:paraId="0EE24FD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1B1D3D8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08:30-17:30</w:t>
            </w:r>
          </w:p>
        </w:tc>
        <w:tc>
          <w:tcPr>
            <w:tcW w:w="1205" w:type="dxa"/>
          </w:tcPr>
          <w:p w14:paraId="4BCF134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08:30-17:30</w:t>
            </w:r>
          </w:p>
        </w:tc>
        <w:tc>
          <w:tcPr>
            <w:tcW w:w="1550" w:type="dxa"/>
          </w:tcPr>
          <w:p w14:paraId="6223687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08:30-17:30</w:t>
            </w:r>
          </w:p>
        </w:tc>
        <w:tc>
          <w:tcPr>
            <w:tcW w:w="1374" w:type="dxa"/>
          </w:tcPr>
          <w:p w14:paraId="036B05E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08:30-17:30</w:t>
            </w:r>
          </w:p>
        </w:tc>
        <w:tc>
          <w:tcPr>
            <w:tcW w:w="1205" w:type="dxa"/>
          </w:tcPr>
          <w:p w14:paraId="3BCF427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08:30-17:30</w:t>
            </w:r>
          </w:p>
        </w:tc>
        <w:tc>
          <w:tcPr>
            <w:tcW w:w="1244" w:type="dxa"/>
          </w:tcPr>
          <w:p w14:paraId="1936BD1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8" w:type="dxa"/>
          </w:tcPr>
          <w:p w14:paraId="64018CC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10:30-16:30</w:t>
            </w:r>
          </w:p>
        </w:tc>
      </w:tr>
      <w:tr w:rsidR="003C1CBF" w:rsidRPr="003C1CBF" w14:paraId="51C5FB56" w14:textId="77777777" w:rsidTr="00B84D31">
        <w:tc>
          <w:tcPr>
            <w:tcW w:w="1270" w:type="dxa"/>
            <w:vMerge w:val="restart"/>
          </w:tcPr>
          <w:p w14:paraId="6857C3F1" w14:textId="77777777" w:rsidR="003C1CBF" w:rsidRPr="003C1CBF" w:rsidRDefault="003C1CBF" w:rsidP="003C1CBF">
            <w:pPr>
              <w:rPr>
                <w:rFonts w:eastAsia="MS Mincho" w:cs="Arial"/>
                <w:kern w:val="0"/>
                <w:lang w:val="en-US"/>
                <w14:ligatures w14:val="none"/>
              </w:rPr>
            </w:pPr>
          </w:p>
          <w:p w14:paraId="0A04DFC7" w14:textId="77777777" w:rsidR="003C1CBF" w:rsidRPr="003C1CBF" w:rsidRDefault="003C1CBF" w:rsidP="003C1CBF">
            <w:pPr>
              <w:rPr>
                <w:rFonts w:eastAsia="MS Mincho" w:cs="Arial"/>
                <w:kern w:val="0"/>
                <w:lang w:val="en-US"/>
                <w14:ligatures w14:val="none"/>
              </w:rPr>
            </w:pPr>
          </w:p>
          <w:p w14:paraId="780985FE" w14:textId="77777777" w:rsidR="003C1CBF" w:rsidRPr="003C1CBF" w:rsidRDefault="003C1CBF" w:rsidP="003C1CBF">
            <w:pPr>
              <w:rPr>
                <w:rFonts w:eastAsia="MS Mincho" w:cs="Arial"/>
                <w:kern w:val="0"/>
                <w:lang w:val="en-US"/>
                <w14:ligatures w14:val="none"/>
              </w:rPr>
            </w:pPr>
          </w:p>
          <w:p w14:paraId="2066640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City</w:t>
            </w:r>
          </w:p>
        </w:tc>
        <w:tc>
          <w:tcPr>
            <w:tcW w:w="1551" w:type="dxa"/>
            <w:vMerge w:val="restart"/>
          </w:tcPr>
          <w:p w14:paraId="131812AC" w14:textId="77777777" w:rsidR="003C1CBF" w:rsidRPr="003C1CBF" w:rsidRDefault="003C1CBF" w:rsidP="003C1CBF">
            <w:pPr>
              <w:rPr>
                <w:rFonts w:eastAsia="MS Mincho" w:cs="Arial"/>
                <w:kern w:val="0"/>
                <w:lang w:val="en-US"/>
                <w14:ligatures w14:val="none"/>
              </w:rPr>
            </w:pPr>
          </w:p>
          <w:p w14:paraId="1D9117D2" w14:textId="77777777" w:rsidR="003C1CBF" w:rsidRPr="003C1CBF" w:rsidRDefault="003C1CBF" w:rsidP="003C1CBF">
            <w:pPr>
              <w:rPr>
                <w:rFonts w:eastAsia="MS Mincho" w:cs="Arial"/>
                <w:kern w:val="0"/>
                <w:lang w:val="en-US"/>
                <w14:ligatures w14:val="none"/>
              </w:rPr>
            </w:pPr>
          </w:p>
          <w:p w14:paraId="624B83C4" w14:textId="77777777" w:rsidR="003C1CBF" w:rsidRPr="003C1CBF" w:rsidRDefault="003C1CBF" w:rsidP="003C1CBF">
            <w:pPr>
              <w:rPr>
                <w:rFonts w:eastAsia="MS Mincho" w:cs="Arial"/>
                <w:kern w:val="0"/>
                <w:lang w:val="en-US"/>
                <w14:ligatures w14:val="none"/>
              </w:rPr>
            </w:pPr>
          </w:p>
          <w:p w14:paraId="060AE40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Kevin Thomas, Bonymaen</w:t>
            </w:r>
          </w:p>
        </w:tc>
        <w:tc>
          <w:tcPr>
            <w:tcW w:w="1197" w:type="dxa"/>
            <w:shd w:val="clear" w:color="auto" w:fill="D9D9D9"/>
          </w:tcPr>
          <w:p w14:paraId="6ADB852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028F755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549489F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617D3433" w14:textId="75540B5F"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shd w:val="clear" w:color="auto" w:fill="D9D9D9"/>
          </w:tcPr>
          <w:p w14:paraId="1B48823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47B82AD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7F50FA3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609BBD9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772F1B05" w14:textId="77777777" w:rsidTr="00B84D31">
        <w:tc>
          <w:tcPr>
            <w:tcW w:w="1270" w:type="dxa"/>
            <w:vMerge/>
          </w:tcPr>
          <w:p w14:paraId="33480123" w14:textId="77777777" w:rsidR="003C1CBF" w:rsidRPr="003C1CBF" w:rsidRDefault="003C1CBF" w:rsidP="003C1CBF">
            <w:pPr>
              <w:rPr>
                <w:rFonts w:eastAsia="MS Mincho" w:cs="Arial"/>
                <w:kern w:val="0"/>
                <w:lang w:val="en-US"/>
                <w14:ligatures w14:val="none"/>
              </w:rPr>
            </w:pPr>
          </w:p>
        </w:tc>
        <w:tc>
          <w:tcPr>
            <w:tcW w:w="1551" w:type="dxa"/>
            <w:vMerge/>
          </w:tcPr>
          <w:p w14:paraId="6C606EF5" w14:textId="77777777" w:rsidR="003C1CBF" w:rsidRPr="003C1CBF" w:rsidRDefault="003C1CBF" w:rsidP="003C1CBF">
            <w:pPr>
              <w:rPr>
                <w:rFonts w:eastAsia="MS Mincho" w:cs="Arial"/>
                <w:kern w:val="0"/>
                <w:lang w:val="en-US"/>
                <w14:ligatures w14:val="none"/>
              </w:rPr>
            </w:pPr>
          </w:p>
        </w:tc>
        <w:tc>
          <w:tcPr>
            <w:tcW w:w="1197" w:type="dxa"/>
          </w:tcPr>
          <w:p w14:paraId="4A8DA5A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3718492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tcPr>
          <w:p w14:paraId="39BAA54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tcPr>
          <w:p w14:paraId="486334F0" w14:textId="5D0584C3"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tcPr>
          <w:p w14:paraId="20F2B21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tcPr>
          <w:p w14:paraId="19A7844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4A89B8A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207D04D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600AE3DF" w14:textId="77777777" w:rsidTr="00B84D31">
        <w:tc>
          <w:tcPr>
            <w:tcW w:w="1270" w:type="dxa"/>
            <w:vMerge w:val="restart"/>
          </w:tcPr>
          <w:p w14:paraId="652C7F22" w14:textId="77777777" w:rsidR="003C1CBF" w:rsidRPr="003C1CBF" w:rsidRDefault="003C1CBF" w:rsidP="003C1CBF">
            <w:pPr>
              <w:rPr>
                <w:rFonts w:eastAsia="MS Mincho" w:cs="Arial"/>
                <w:kern w:val="0"/>
                <w:lang w:val="en-US"/>
                <w14:ligatures w14:val="none"/>
              </w:rPr>
            </w:pPr>
          </w:p>
          <w:p w14:paraId="77161FFA" w14:textId="77777777" w:rsidR="003C1CBF" w:rsidRPr="003C1CBF" w:rsidRDefault="003C1CBF" w:rsidP="003C1CBF">
            <w:pPr>
              <w:rPr>
                <w:rFonts w:eastAsia="MS Mincho" w:cs="Arial"/>
                <w:kern w:val="0"/>
                <w:lang w:val="en-US"/>
                <w14:ligatures w14:val="none"/>
              </w:rPr>
            </w:pPr>
          </w:p>
          <w:p w14:paraId="26D5B7DA" w14:textId="77777777" w:rsidR="003C1CBF" w:rsidRPr="003C1CBF" w:rsidRDefault="003C1CBF" w:rsidP="003C1CBF">
            <w:pPr>
              <w:rPr>
                <w:rFonts w:eastAsia="MS Mincho" w:cs="Arial"/>
                <w:kern w:val="0"/>
                <w:lang w:val="en-US"/>
                <w14:ligatures w14:val="none"/>
              </w:rPr>
            </w:pPr>
          </w:p>
          <w:p w14:paraId="6FFAEDC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City</w:t>
            </w:r>
          </w:p>
        </w:tc>
        <w:tc>
          <w:tcPr>
            <w:tcW w:w="1551" w:type="dxa"/>
            <w:vMerge w:val="restart"/>
          </w:tcPr>
          <w:p w14:paraId="087FCA80" w14:textId="77777777" w:rsidR="003C1CBF" w:rsidRPr="003C1CBF" w:rsidRDefault="003C1CBF" w:rsidP="003C1CBF">
            <w:pPr>
              <w:rPr>
                <w:rFonts w:eastAsia="MS Mincho" w:cs="Arial"/>
                <w:kern w:val="0"/>
                <w:lang w:val="en-US"/>
                <w14:ligatures w14:val="none"/>
              </w:rPr>
            </w:pPr>
          </w:p>
          <w:p w14:paraId="29884BC5" w14:textId="77777777" w:rsidR="003C1CBF" w:rsidRPr="003C1CBF" w:rsidRDefault="003C1CBF" w:rsidP="003C1CBF">
            <w:pPr>
              <w:rPr>
                <w:rFonts w:eastAsia="MS Mincho" w:cs="Arial"/>
                <w:kern w:val="0"/>
                <w:lang w:val="en-US"/>
                <w14:ligatures w14:val="none"/>
              </w:rPr>
            </w:pPr>
          </w:p>
          <w:p w14:paraId="6CCF920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Kevin Thomas, Hafod</w:t>
            </w:r>
          </w:p>
        </w:tc>
        <w:tc>
          <w:tcPr>
            <w:tcW w:w="1197" w:type="dxa"/>
            <w:shd w:val="clear" w:color="auto" w:fill="D9D9D9"/>
          </w:tcPr>
          <w:p w14:paraId="722282C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310074A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7987C21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682EF37B" w14:textId="5408C329"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shd w:val="clear" w:color="auto" w:fill="D9D9D9"/>
          </w:tcPr>
          <w:p w14:paraId="6C3F95D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5E634E7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22C6EA0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440DC9F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683393F3" w14:textId="77777777" w:rsidTr="00B84D31">
        <w:tc>
          <w:tcPr>
            <w:tcW w:w="1270" w:type="dxa"/>
            <w:vMerge/>
          </w:tcPr>
          <w:p w14:paraId="1CD4D09C" w14:textId="77777777" w:rsidR="003C1CBF" w:rsidRPr="003C1CBF" w:rsidRDefault="003C1CBF" w:rsidP="003C1CBF">
            <w:pPr>
              <w:rPr>
                <w:rFonts w:eastAsia="MS Mincho" w:cs="Arial"/>
                <w:kern w:val="0"/>
                <w:lang w:val="en-US"/>
                <w14:ligatures w14:val="none"/>
              </w:rPr>
            </w:pPr>
          </w:p>
        </w:tc>
        <w:tc>
          <w:tcPr>
            <w:tcW w:w="1551" w:type="dxa"/>
            <w:vMerge/>
          </w:tcPr>
          <w:p w14:paraId="2B53A80C" w14:textId="77777777" w:rsidR="003C1CBF" w:rsidRPr="003C1CBF" w:rsidRDefault="003C1CBF" w:rsidP="003C1CBF">
            <w:pPr>
              <w:rPr>
                <w:rFonts w:eastAsia="MS Mincho" w:cs="Arial"/>
                <w:kern w:val="0"/>
                <w:lang w:val="en-US"/>
                <w14:ligatures w14:val="none"/>
              </w:rPr>
            </w:pPr>
          </w:p>
        </w:tc>
        <w:tc>
          <w:tcPr>
            <w:tcW w:w="1197" w:type="dxa"/>
          </w:tcPr>
          <w:p w14:paraId="436290C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3757FF0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tcPr>
          <w:p w14:paraId="45DF6AE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tcPr>
          <w:p w14:paraId="27145AE9" w14:textId="349DE7D2"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tcPr>
          <w:p w14:paraId="52F06B5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tcPr>
          <w:p w14:paraId="6C51F7F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1FA37E8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5E39BDC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5CF92286" w14:textId="77777777" w:rsidTr="00B84D31">
        <w:tc>
          <w:tcPr>
            <w:tcW w:w="1270" w:type="dxa"/>
            <w:vMerge w:val="restart"/>
          </w:tcPr>
          <w:p w14:paraId="1DBFC4B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City</w:t>
            </w:r>
          </w:p>
        </w:tc>
        <w:tc>
          <w:tcPr>
            <w:tcW w:w="1551" w:type="dxa"/>
            <w:vMerge w:val="restart"/>
          </w:tcPr>
          <w:p w14:paraId="60EB835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Kevin Thomas, St Helens</w:t>
            </w:r>
          </w:p>
        </w:tc>
        <w:tc>
          <w:tcPr>
            <w:tcW w:w="1197" w:type="dxa"/>
            <w:shd w:val="clear" w:color="auto" w:fill="D9D9D9"/>
          </w:tcPr>
          <w:p w14:paraId="461A840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0248288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2547CC6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shd w:val="clear" w:color="auto" w:fill="D9D9D9"/>
          </w:tcPr>
          <w:p w14:paraId="4E78C9C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shd w:val="clear" w:color="auto" w:fill="D9D9D9"/>
          </w:tcPr>
          <w:p w14:paraId="0AE1EA0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17DAF4D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45F0AD9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shd w:val="clear" w:color="auto" w:fill="D9D9D9"/>
          </w:tcPr>
          <w:p w14:paraId="3D400B2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4247EA9C" w14:textId="77777777" w:rsidTr="00B84D31">
        <w:tc>
          <w:tcPr>
            <w:tcW w:w="1270" w:type="dxa"/>
            <w:vMerge/>
          </w:tcPr>
          <w:p w14:paraId="5CAE4778" w14:textId="77777777" w:rsidR="003C1CBF" w:rsidRPr="003C1CBF" w:rsidRDefault="003C1CBF" w:rsidP="003C1CBF">
            <w:pPr>
              <w:rPr>
                <w:rFonts w:eastAsia="MS Mincho" w:cs="Arial"/>
                <w:kern w:val="0"/>
                <w:lang w:val="en-US"/>
                <w14:ligatures w14:val="none"/>
              </w:rPr>
            </w:pPr>
          </w:p>
        </w:tc>
        <w:tc>
          <w:tcPr>
            <w:tcW w:w="1551" w:type="dxa"/>
            <w:vMerge/>
          </w:tcPr>
          <w:p w14:paraId="24F8A9CD" w14:textId="77777777" w:rsidR="003C1CBF" w:rsidRPr="003C1CBF" w:rsidRDefault="003C1CBF" w:rsidP="003C1CBF">
            <w:pPr>
              <w:rPr>
                <w:rFonts w:eastAsia="MS Mincho" w:cs="Arial"/>
                <w:kern w:val="0"/>
                <w:lang w:val="en-US"/>
                <w14:ligatures w14:val="none"/>
              </w:rPr>
            </w:pPr>
          </w:p>
        </w:tc>
        <w:tc>
          <w:tcPr>
            <w:tcW w:w="1197" w:type="dxa"/>
          </w:tcPr>
          <w:p w14:paraId="7296E3D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21AF2B5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581F3F4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41CADB2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1E477ED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37DA56C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4E40B5A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tcPr>
          <w:p w14:paraId="23850CC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4568B7A" w14:textId="77777777" w:rsidTr="00B84D31">
        <w:tc>
          <w:tcPr>
            <w:tcW w:w="1270" w:type="dxa"/>
            <w:vMerge w:val="restart"/>
          </w:tcPr>
          <w:p w14:paraId="5C0044F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City</w:t>
            </w:r>
          </w:p>
        </w:tc>
        <w:tc>
          <w:tcPr>
            <w:tcW w:w="1551" w:type="dxa"/>
            <w:vMerge w:val="restart"/>
          </w:tcPr>
          <w:p w14:paraId="116310A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Kevin Thomas, St Thomas</w:t>
            </w:r>
          </w:p>
        </w:tc>
        <w:tc>
          <w:tcPr>
            <w:tcW w:w="1197" w:type="dxa"/>
            <w:shd w:val="clear" w:color="auto" w:fill="D9D9D9"/>
          </w:tcPr>
          <w:p w14:paraId="2082846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4A1D291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shd w:val="clear" w:color="auto" w:fill="D9D9D9"/>
          </w:tcPr>
          <w:p w14:paraId="5BBD7B5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550" w:type="dxa"/>
            <w:shd w:val="clear" w:color="auto" w:fill="D9D9D9"/>
          </w:tcPr>
          <w:p w14:paraId="0F31B6B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4" w:type="dxa"/>
            <w:shd w:val="clear" w:color="auto" w:fill="D9D9D9"/>
          </w:tcPr>
          <w:p w14:paraId="013B327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shd w:val="clear" w:color="auto" w:fill="D9D9D9"/>
          </w:tcPr>
          <w:p w14:paraId="570CE57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shd w:val="clear" w:color="auto" w:fill="D9D9D9"/>
          </w:tcPr>
          <w:p w14:paraId="24CBC9F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390FF5D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6C644EB4" w14:textId="77777777" w:rsidTr="00B84D31">
        <w:tc>
          <w:tcPr>
            <w:tcW w:w="1270" w:type="dxa"/>
            <w:vMerge/>
          </w:tcPr>
          <w:p w14:paraId="77318967" w14:textId="77777777" w:rsidR="003C1CBF" w:rsidRPr="003C1CBF" w:rsidRDefault="003C1CBF" w:rsidP="003C1CBF">
            <w:pPr>
              <w:rPr>
                <w:rFonts w:eastAsia="MS Mincho" w:cs="Arial"/>
                <w:kern w:val="0"/>
                <w:lang w:val="en-US"/>
                <w14:ligatures w14:val="none"/>
              </w:rPr>
            </w:pPr>
          </w:p>
        </w:tc>
        <w:tc>
          <w:tcPr>
            <w:tcW w:w="1551" w:type="dxa"/>
            <w:vMerge/>
          </w:tcPr>
          <w:p w14:paraId="42713C90" w14:textId="77777777" w:rsidR="003C1CBF" w:rsidRPr="003C1CBF" w:rsidRDefault="003C1CBF" w:rsidP="003C1CBF">
            <w:pPr>
              <w:rPr>
                <w:rFonts w:eastAsia="MS Mincho" w:cs="Arial"/>
                <w:kern w:val="0"/>
                <w:lang w:val="en-US"/>
                <w14:ligatures w14:val="none"/>
              </w:rPr>
            </w:pPr>
          </w:p>
        </w:tc>
        <w:tc>
          <w:tcPr>
            <w:tcW w:w="1197" w:type="dxa"/>
          </w:tcPr>
          <w:p w14:paraId="0D2D3BC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1B5BF8F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326C1A1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550" w:type="dxa"/>
          </w:tcPr>
          <w:p w14:paraId="7831BAD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4" w:type="dxa"/>
          </w:tcPr>
          <w:p w14:paraId="26D8FBA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6D3B2F2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tcPr>
          <w:p w14:paraId="128BC95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17B741C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66AE180C" w14:textId="77777777" w:rsidTr="00B84D31">
        <w:tc>
          <w:tcPr>
            <w:tcW w:w="1270" w:type="dxa"/>
            <w:vMerge w:val="restart"/>
          </w:tcPr>
          <w:p w14:paraId="5F2C4B8C" w14:textId="77777777" w:rsidR="003C1CBF" w:rsidRPr="003C1CBF" w:rsidRDefault="003C1CBF" w:rsidP="003C1CBF">
            <w:pPr>
              <w:rPr>
                <w:rFonts w:eastAsia="MS Mincho" w:cs="Arial"/>
                <w:kern w:val="0"/>
                <w:lang w:val="en-US"/>
                <w14:ligatures w14:val="none"/>
              </w:rPr>
            </w:pPr>
          </w:p>
          <w:p w14:paraId="415B12F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City</w:t>
            </w:r>
          </w:p>
        </w:tc>
        <w:tc>
          <w:tcPr>
            <w:tcW w:w="1551" w:type="dxa"/>
            <w:vMerge w:val="restart"/>
          </w:tcPr>
          <w:p w14:paraId="5DF2CCFE" w14:textId="77777777" w:rsidR="003C1CBF" w:rsidRPr="003C1CBF" w:rsidRDefault="003C1CBF" w:rsidP="003C1CBF">
            <w:pPr>
              <w:rPr>
                <w:rFonts w:eastAsia="MS Mincho" w:cs="Arial"/>
                <w:kern w:val="0"/>
                <w:lang w:val="en-US"/>
                <w14:ligatures w14:val="none"/>
              </w:rPr>
            </w:pPr>
          </w:p>
          <w:p w14:paraId="46AF088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Mountain View Pharmacy</w:t>
            </w:r>
          </w:p>
        </w:tc>
        <w:tc>
          <w:tcPr>
            <w:tcW w:w="1197" w:type="dxa"/>
            <w:shd w:val="clear" w:color="auto" w:fill="D9D9D9"/>
          </w:tcPr>
          <w:p w14:paraId="43E6541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Core</w:t>
            </w:r>
          </w:p>
        </w:tc>
        <w:tc>
          <w:tcPr>
            <w:tcW w:w="1204" w:type="dxa"/>
            <w:shd w:val="clear" w:color="auto" w:fill="D9D9D9"/>
          </w:tcPr>
          <w:p w14:paraId="7633FF2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 xml:space="preserve">09:00-13:00 / </w:t>
            </w:r>
            <w:r w:rsidRPr="003C1CBF">
              <w:rPr>
                <w:rFonts w:eastAsia="MS Mincho" w:cs="Arial"/>
                <w:kern w:val="0"/>
                <w:lang w:val="en-US"/>
                <w14:ligatures w14:val="none"/>
              </w:rPr>
              <w:lastRenderedPageBreak/>
              <w:t>14:00-18:00</w:t>
            </w:r>
          </w:p>
        </w:tc>
        <w:tc>
          <w:tcPr>
            <w:tcW w:w="1205" w:type="dxa"/>
            <w:shd w:val="clear" w:color="auto" w:fill="D9D9D9"/>
          </w:tcPr>
          <w:p w14:paraId="43D008A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 xml:space="preserve">09:00-13:00 / </w:t>
            </w:r>
            <w:r w:rsidRPr="003C1CBF">
              <w:rPr>
                <w:rFonts w:eastAsia="MS Mincho" w:cs="Arial"/>
                <w:kern w:val="0"/>
                <w:lang w:val="en-US"/>
                <w14:ligatures w14:val="none"/>
              </w:rPr>
              <w:lastRenderedPageBreak/>
              <w:t>14:00-18:00</w:t>
            </w:r>
          </w:p>
        </w:tc>
        <w:tc>
          <w:tcPr>
            <w:tcW w:w="1550" w:type="dxa"/>
            <w:shd w:val="clear" w:color="auto" w:fill="D9D9D9"/>
          </w:tcPr>
          <w:p w14:paraId="1EE8E32F" w14:textId="497E3C70"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09:00-13:00 14:00-18:00</w:t>
            </w:r>
          </w:p>
        </w:tc>
        <w:tc>
          <w:tcPr>
            <w:tcW w:w="1374" w:type="dxa"/>
            <w:shd w:val="clear" w:color="auto" w:fill="D9D9D9"/>
          </w:tcPr>
          <w:p w14:paraId="676046D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 xml:space="preserve">09:00-13:00 / </w:t>
            </w:r>
            <w:r w:rsidRPr="003C1CBF">
              <w:rPr>
                <w:rFonts w:eastAsia="MS Mincho" w:cs="Arial"/>
                <w:kern w:val="0"/>
                <w:lang w:val="en-US"/>
                <w14:ligatures w14:val="none"/>
              </w:rPr>
              <w:lastRenderedPageBreak/>
              <w:t>14:00-18:00</w:t>
            </w:r>
          </w:p>
        </w:tc>
        <w:tc>
          <w:tcPr>
            <w:tcW w:w="1205" w:type="dxa"/>
            <w:shd w:val="clear" w:color="auto" w:fill="D9D9D9"/>
          </w:tcPr>
          <w:p w14:paraId="738B360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09:00-18:00</w:t>
            </w:r>
          </w:p>
        </w:tc>
        <w:tc>
          <w:tcPr>
            <w:tcW w:w="1244" w:type="dxa"/>
            <w:shd w:val="clear" w:color="auto" w:fill="D9D9D9"/>
          </w:tcPr>
          <w:p w14:paraId="3EA43E5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3DF7CE3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7A4C2A88" w14:textId="77777777" w:rsidTr="00B84D31">
        <w:tc>
          <w:tcPr>
            <w:tcW w:w="1270" w:type="dxa"/>
            <w:vMerge/>
          </w:tcPr>
          <w:p w14:paraId="3FDD73EE" w14:textId="77777777" w:rsidR="003C1CBF" w:rsidRPr="003C1CBF" w:rsidRDefault="003C1CBF" w:rsidP="003C1CBF">
            <w:pPr>
              <w:rPr>
                <w:rFonts w:eastAsia="MS Mincho" w:cs="Arial"/>
                <w:kern w:val="0"/>
                <w:lang w:val="en-US"/>
                <w14:ligatures w14:val="none"/>
              </w:rPr>
            </w:pPr>
          </w:p>
        </w:tc>
        <w:tc>
          <w:tcPr>
            <w:tcW w:w="1551" w:type="dxa"/>
            <w:vMerge/>
          </w:tcPr>
          <w:p w14:paraId="2DB536B2" w14:textId="77777777" w:rsidR="003C1CBF" w:rsidRPr="003C1CBF" w:rsidRDefault="003C1CBF" w:rsidP="003C1CBF">
            <w:pPr>
              <w:rPr>
                <w:rFonts w:eastAsia="MS Mincho" w:cs="Arial"/>
                <w:kern w:val="0"/>
                <w:lang w:val="en-US"/>
                <w14:ligatures w14:val="none"/>
              </w:rPr>
            </w:pPr>
          </w:p>
        </w:tc>
        <w:tc>
          <w:tcPr>
            <w:tcW w:w="1197" w:type="dxa"/>
          </w:tcPr>
          <w:p w14:paraId="1C001E3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4B93C56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7F08B45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0BFB691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46FB580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336C884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65B55BD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79923D7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540645C0" w14:textId="77777777" w:rsidTr="00B84D31">
        <w:tc>
          <w:tcPr>
            <w:tcW w:w="1270" w:type="dxa"/>
            <w:vMerge w:val="restart"/>
          </w:tcPr>
          <w:p w14:paraId="5708A7CE" w14:textId="77777777" w:rsidR="003C1CBF" w:rsidRPr="003C1CBF" w:rsidRDefault="003C1CBF" w:rsidP="003C1CBF">
            <w:pPr>
              <w:rPr>
                <w:rFonts w:eastAsia="MS Mincho" w:cs="Arial"/>
                <w:kern w:val="0"/>
                <w:lang w:val="en-US"/>
                <w14:ligatures w14:val="none"/>
              </w:rPr>
            </w:pPr>
          </w:p>
          <w:p w14:paraId="021A622E" w14:textId="77777777" w:rsidR="003C1CBF" w:rsidRPr="003C1CBF" w:rsidRDefault="003C1CBF" w:rsidP="003C1CBF">
            <w:pPr>
              <w:rPr>
                <w:rFonts w:eastAsia="MS Mincho" w:cs="Arial"/>
                <w:kern w:val="0"/>
                <w:lang w:val="en-US"/>
                <w14:ligatures w14:val="none"/>
              </w:rPr>
            </w:pPr>
          </w:p>
          <w:p w14:paraId="4935381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City</w:t>
            </w:r>
          </w:p>
        </w:tc>
        <w:tc>
          <w:tcPr>
            <w:tcW w:w="1551" w:type="dxa"/>
            <w:vMerge w:val="restart"/>
          </w:tcPr>
          <w:p w14:paraId="19B642E6" w14:textId="77777777" w:rsidR="003C1CBF" w:rsidRPr="003C1CBF" w:rsidRDefault="003C1CBF" w:rsidP="003C1CBF">
            <w:pPr>
              <w:rPr>
                <w:rFonts w:eastAsia="MS Mincho" w:cs="Arial"/>
                <w:kern w:val="0"/>
                <w:lang w:val="en-US"/>
                <w14:ligatures w14:val="none"/>
              </w:rPr>
            </w:pPr>
          </w:p>
          <w:p w14:paraId="003128EE" w14:textId="77777777" w:rsidR="003C1CBF" w:rsidRPr="003C1CBF" w:rsidRDefault="003C1CBF" w:rsidP="003C1CBF">
            <w:pPr>
              <w:rPr>
                <w:rFonts w:eastAsia="MS Mincho" w:cs="Arial"/>
                <w:kern w:val="0"/>
                <w:lang w:val="en-US"/>
                <w14:ligatures w14:val="none"/>
              </w:rPr>
            </w:pPr>
          </w:p>
          <w:p w14:paraId="78FBEED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Superdrug Pharmacy</w:t>
            </w:r>
          </w:p>
        </w:tc>
        <w:tc>
          <w:tcPr>
            <w:tcW w:w="1197" w:type="dxa"/>
            <w:shd w:val="clear" w:color="auto" w:fill="D9D9D9"/>
          </w:tcPr>
          <w:p w14:paraId="74070A7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4D298DC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15:00-17:30</w:t>
            </w:r>
          </w:p>
        </w:tc>
        <w:tc>
          <w:tcPr>
            <w:tcW w:w="1205" w:type="dxa"/>
            <w:shd w:val="clear" w:color="auto" w:fill="D9D9D9"/>
          </w:tcPr>
          <w:p w14:paraId="4E30488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15:00-17:30</w:t>
            </w:r>
          </w:p>
        </w:tc>
        <w:tc>
          <w:tcPr>
            <w:tcW w:w="1550" w:type="dxa"/>
            <w:shd w:val="clear" w:color="auto" w:fill="D9D9D9"/>
          </w:tcPr>
          <w:p w14:paraId="2D5B6951" w14:textId="05E3FC83"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15:00-17:30</w:t>
            </w:r>
          </w:p>
        </w:tc>
        <w:tc>
          <w:tcPr>
            <w:tcW w:w="1374" w:type="dxa"/>
            <w:shd w:val="clear" w:color="auto" w:fill="D9D9D9"/>
          </w:tcPr>
          <w:p w14:paraId="26E40F1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15:00-17:30</w:t>
            </w:r>
          </w:p>
        </w:tc>
        <w:tc>
          <w:tcPr>
            <w:tcW w:w="1205" w:type="dxa"/>
            <w:shd w:val="clear" w:color="auto" w:fill="D9D9D9"/>
          </w:tcPr>
          <w:p w14:paraId="16237D7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shd w:val="clear" w:color="auto" w:fill="D9D9D9"/>
          </w:tcPr>
          <w:p w14:paraId="6A91C44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09:00-13:30 / 14:30-17:30</w:t>
            </w:r>
          </w:p>
        </w:tc>
        <w:tc>
          <w:tcPr>
            <w:tcW w:w="1378" w:type="dxa"/>
            <w:shd w:val="clear" w:color="auto" w:fill="D9D9D9"/>
          </w:tcPr>
          <w:p w14:paraId="7522D30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6E021636" w14:textId="77777777" w:rsidTr="00B84D31">
        <w:tc>
          <w:tcPr>
            <w:tcW w:w="1270" w:type="dxa"/>
            <w:vMerge/>
          </w:tcPr>
          <w:p w14:paraId="0FAEB5FD" w14:textId="77777777" w:rsidR="003C1CBF" w:rsidRPr="003C1CBF" w:rsidRDefault="003C1CBF" w:rsidP="003C1CBF">
            <w:pPr>
              <w:rPr>
                <w:rFonts w:eastAsia="MS Mincho" w:cs="Arial"/>
                <w:kern w:val="0"/>
                <w:lang w:val="en-US"/>
                <w14:ligatures w14:val="none"/>
              </w:rPr>
            </w:pPr>
          </w:p>
        </w:tc>
        <w:tc>
          <w:tcPr>
            <w:tcW w:w="1551" w:type="dxa"/>
            <w:vMerge/>
          </w:tcPr>
          <w:p w14:paraId="3C885937" w14:textId="77777777" w:rsidR="003C1CBF" w:rsidRPr="003C1CBF" w:rsidRDefault="003C1CBF" w:rsidP="003C1CBF">
            <w:pPr>
              <w:rPr>
                <w:rFonts w:eastAsia="MS Mincho" w:cs="Arial"/>
                <w:kern w:val="0"/>
                <w:lang w:val="en-US"/>
                <w14:ligatures w14:val="none"/>
              </w:rPr>
            </w:pPr>
          </w:p>
        </w:tc>
        <w:tc>
          <w:tcPr>
            <w:tcW w:w="1197" w:type="dxa"/>
          </w:tcPr>
          <w:p w14:paraId="55D3768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2C78352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08:30-17:30</w:t>
            </w:r>
          </w:p>
        </w:tc>
        <w:tc>
          <w:tcPr>
            <w:tcW w:w="1205" w:type="dxa"/>
          </w:tcPr>
          <w:p w14:paraId="1A9BCD8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08:30-17:30</w:t>
            </w:r>
          </w:p>
        </w:tc>
        <w:tc>
          <w:tcPr>
            <w:tcW w:w="1550" w:type="dxa"/>
          </w:tcPr>
          <w:p w14:paraId="6629260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08:30-17:30</w:t>
            </w:r>
          </w:p>
        </w:tc>
        <w:tc>
          <w:tcPr>
            <w:tcW w:w="1374" w:type="dxa"/>
          </w:tcPr>
          <w:p w14:paraId="53A6021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08:30-17:30</w:t>
            </w:r>
          </w:p>
        </w:tc>
        <w:tc>
          <w:tcPr>
            <w:tcW w:w="1205" w:type="dxa"/>
          </w:tcPr>
          <w:p w14:paraId="22ABE54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08:30-17:30</w:t>
            </w:r>
          </w:p>
        </w:tc>
        <w:tc>
          <w:tcPr>
            <w:tcW w:w="1244" w:type="dxa"/>
          </w:tcPr>
          <w:p w14:paraId="3786DCD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8" w:type="dxa"/>
          </w:tcPr>
          <w:p w14:paraId="4BD2B8A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7E350B0F" w14:textId="77777777" w:rsidTr="00B84D31">
        <w:tc>
          <w:tcPr>
            <w:tcW w:w="1270" w:type="dxa"/>
            <w:vMerge w:val="restart"/>
          </w:tcPr>
          <w:p w14:paraId="611AFD04" w14:textId="77777777" w:rsidR="003C1CBF" w:rsidRPr="003C1CBF" w:rsidRDefault="003C1CBF" w:rsidP="003C1CBF">
            <w:pPr>
              <w:rPr>
                <w:rFonts w:eastAsia="MS Mincho" w:cs="Arial"/>
                <w:kern w:val="0"/>
                <w:lang w:val="en-US"/>
                <w14:ligatures w14:val="none"/>
              </w:rPr>
            </w:pPr>
          </w:p>
          <w:p w14:paraId="636975C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City</w:t>
            </w:r>
          </w:p>
        </w:tc>
        <w:tc>
          <w:tcPr>
            <w:tcW w:w="1551" w:type="dxa"/>
            <w:vMerge w:val="restart"/>
          </w:tcPr>
          <w:p w14:paraId="5FD7CEF2" w14:textId="77777777" w:rsidR="003C1CBF" w:rsidRPr="003C1CBF" w:rsidRDefault="003C1CBF" w:rsidP="003C1CBF">
            <w:pPr>
              <w:rPr>
                <w:rFonts w:eastAsia="MS Mincho" w:cs="Arial"/>
                <w:kern w:val="0"/>
                <w:lang w:val="en-US"/>
                <w14:ligatures w14:val="none"/>
              </w:rPr>
            </w:pPr>
          </w:p>
          <w:p w14:paraId="752B059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Beacon Centre</w:t>
            </w:r>
          </w:p>
        </w:tc>
        <w:tc>
          <w:tcPr>
            <w:tcW w:w="1197" w:type="dxa"/>
            <w:shd w:val="clear" w:color="auto" w:fill="D9D9D9"/>
          </w:tcPr>
          <w:p w14:paraId="0E82260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31F8DE6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337856A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2AA03016" w14:textId="3681E5F8"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shd w:val="clear" w:color="auto" w:fill="D9D9D9"/>
          </w:tcPr>
          <w:p w14:paraId="5E618E6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13:00-17:00</w:t>
            </w:r>
          </w:p>
        </w:tc>
        <w:tc>
          <w:tcPr>
            <w:tcW w:w="1205" w:type="dxa"/>
            <w:shd w:val="clear" w:color="auto" w:fill="D9D9D9"/>
          </w:tcPr>
          <w:p w14:paraId="5FA14AD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49C17EF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1F2F8CB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0EDDEE39" w14:textId="77777777" w:rsidTr="00B84D31">
        <w:tc>
          <w:tcPr>
            <w:tcW w:w="1270" w:type="dxa"/>
            <w:vMerge/>
          </w:tcPr>
          <w:p w14:paraId="53F63775" w14:textId="77777777" w:rsidR="003C1CBF" w:rsidRPr="003C1CBF" w:rsidRDefault="003C1CBF" w:rsidP="003C1CBF">
            <w:pPr>
              <w:rPr>
                <w:rFonts w:eastAsia="MS Mincho" w:cs="Arial"/>
                <w:kern w:val="0"/>
                <w:lang w:val="en-US"/>
                <w14:ligatures w14:val="none"/>
              </w:rPr>
            </w:pPr>
          </w:p>
        </w:tc>
        <w:tc>
          <w:tcPr>
            <w:tcW w:w="1551" w:type="dxa"/>
            <w:vMerge/>
          </w:tcPr>
          <w:p w14:paraId="27BA6AD5" w14:textId="77777777" w:rsidR="003C1CBF" w:rsidRPr="003C1CBF" w:rsidRDefault="003C1CBF" w:rsidP="003C1CBF">
            <w:pPr>
              <w:rPr>
                <w:rFonts w:eastAsia="MS Mincho" w:cs="Arial"/>
                <w:kern w:val="0"/>
                <w:lang w:val="en-US"/>
                <w14:ligatures w14:val="none"/>
              </w:rPr>
            </w:pPr>
          </w:p>
        </w:tc>
        <w:tc>
          <w:tcPr>
            <w:tcW w:w="1197" w:type="dxa"/>
          </w:tcPr>
          <w:p w14:paraId="35A1335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043C434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08:00-18:00</w:t>
            </w:r>
          </w:p>
        </w:tc>
        <w:tc>
          <w:tcPr>
            <w:tcW w:w="1205" w:type="dxa"/>
          </w:tcPr>
          <w:p w14:paraId="16EE32D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08:00-18:00</w:t>
            </w:r>
          </w:p>
        </w:tc>
        <w:tc>
          <w:tcPr>
            <w:tcW w:w="1550" w:type="dxa"/>
          </w:tcPr>
          <w:p w14:paraId="4B2059F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08:00-18:00</w:t>
            </w:r>
          </w:p>
        </w:tc>
        <w:tc>
          <w:tcPr>
            <w:tcW w:w="1374" w:type="dxa"/>
          </w:tcPr>
          <w:p w14:paraId="33280AA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08:00-18:00</w:t>
            </w:r>
          </w:p>
        </w:tc>
        <w:tc>
          <w:tcPr>
            <w:tcW w:w="1205" w:type="dxa"/>
          </w:tcPr>
          <w:p w14:paraId="222CC1A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08:00-18:00</w:t>
            </w:r>
          </w:p>
        </w:tc>
        <w:tc>
          <w:tcPr>
            <w:tcW w:w="1244" w:type="dxa"/>
          </w:tcPr>
          <w:p w14:paraId="2A0D93C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65EB4C6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74B934DA" w14:textId="77777777" w:rsidTr="00B84D31">
        <w:tc>
          <w:tcPr>
            <w:tcW w:w="1270" w:type="dxa"/>
            <w:vMerge w:val="restart"/>
          </w:tcPr>
          <w:p w14:paraId="7308B10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City</w:t>
            </w:r>
          </w:p>
        </w:tc>
        <w:tc>
          <w:tcPr>
            <w:tcW w:w="1551" w:type="dxa"/>
            <w:vMerge w:val="restart"/>
          </w:tcPr>
          <w:p w14:paraId="2F7C862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ell Pharmacy, Greenhill</w:t>
            </w:r>
          </w:p>
        </w:tc>
        <w:tc>
          <w:tcPr>
            <w:tcW w:w="1197" w:type="dxa"/>
            <w:shd w:val="clear" w:color="auto" w:fill="D9D9D9"/>
          </w:tcPr>
          <w:p w14:paraId="5734595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0E55500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79EAFC9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shd w:val="clear" w:color="auto" w:fill="D9D9D9"/>
          </w:tcPr>
          <w:p w14:paraId="46E84E7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shd w:val="clear" w:color="auto" w:fill="D9D9D9"/>
          </w:tcPr>
          <w:p w14:paraId="59164A5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w:t>
            </w:r>
          </w:p>
        </w:tc>
        <w:tc>
          <w:tcPr>
            <w:tcW w:w="1205" w:type="dxa"/>
            <w:shd w:val="clear" w:color="auto" w:fill="D9D9D9"/>
          </w:tcPr>
          <w:p w14:paraId="472F177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74A50A7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7A8FABA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57BC07E8" w14:textId="77777777" w:rsidTr="00B84D31">
        <w:tc>
          <w:tcPr>
            <w:tcW w:w="1270" w:type="dxa"/>
            <w:vMerge/>
          </w:tcPr>
          <w:p w14:paraId="002D93E6" w14:textId="77777777" w:rsidR="003C1CBF" w:rsidRPr="003C1CBF" w:rsidRDefault="003C1CBF" w:rsidP="003C1CBF">
            <w:pPr>
              <w:rPr>
                <w:rFonts w:eastAsia="MS Mincho" w:cs="Arial"/>
                <w:kern w:val="0"/>
                <w:lang w:val="en-US"/>
                <w14:ligatures w14:val="none"/>
              </w:rPr>
            </w:pPr>
          </w:p>
        </w:tc>
        <w:tc>
          <w:tcPr>
            <w:tcW w:w="1551" w:type="dxa"/>
            <w:vMerge/>
          </w:tcPr>
          <w:p w14:paraId="6F8F860A" w14:textId="77777777" w:rsidR="003C1CBF" w:rsidRPr="003C1CBF" w:rsidRDefault="003C1CBF" w:rsidP="003C1CBF">
            <w:pPr>
              <w:rPr>
                <w:rFonts w:eastAsia="MS Mincho" w:cs="Arial"/>
                <w:kern w:val="0"/>
                <w:lang w:val="en-US"/>
                <w14:ligatures w14:val="none"/>
              </w:rPr>
            </w:pPr>
          </w:p>
        </w:tc>
        <w:tc>
          <w:tcPr>
            <w:tcW w:w="1197" w:type="dxa"/>
          </w:tcPr>
          <w:p w14:paraId="7016234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1C53FD0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5D1F1C8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0D976F1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058CC63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w:t>
            </w:r>
          </w:p>
        </w:tc>
        <w:tc>
          <w:tcPr>
            <w:tcW w:w="1205" w:type="dxa"/>
          </w:tcPr>
          <w:p w14:paraId="049C895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044E91C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553B1C5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6909750B" w14:textId="77777777" w:rsidTr="00B84D31">
        <w:tc>
          <w:tcPr>
            <w:tcW w:w="1270" w:type="dxa"/>
            <w:vMerge w:val="restart"/>
          </w:tcPr>
          <w:p w14:paraId="63882D3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City</w:t>
            </w:r>
          </w:p>
        </w:tc>
        <w:tc>
          <w:tcPr>
            <w:tcW w:w="1551" w:type="dxa"/>
            <w:vMerge w:val="restart"/>
          </w:tcPr>
          <w:p w14:paraId="7A3C74D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High Street, Swansea</w:t>
            </w:r>
          </w:p>
        </w:tc>
        <w:tc>
          <w:tcPr>
            <w:tcW w:w="1197" w:type="dxa"/>
            <w:shd w:val="clear" w:color="auto" w:fill="D9D9D9"/>
          </w:tcPr>
          <w:p w14:paraId="7C5A793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35E87C5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shd w:val="clear" w:color="auto" w:fill="D9D9D9"/>
          </w:tcPr>
          <w:p w14:paraId="32F79F6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550" w:type="dxa"/>
            <w:shd w:val="clear" w:color="auto" w:fill="D9D9D9"/>
          </w:tcPr>
          <w:p w14:paraId="60AA0A6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4" w:type="dxa"/>
            <w:shd w:val="clear" w:color="auto" w:fill="D9D9D9"/>
          </w:tcPr>
          <w:p w14:paraId="765EEEA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shd w:val="clear" w:color="auto" w:fill="D9D9D9"/>
          </w:tcPr>
          <w:p w14:paraId="32F694E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shd w:val="clear" w:color="auto" w:fill="D9D9D9"/>
          </w:tcPr>
          <w:p w14:paraId="38BBFF2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1F3901D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25F4FD49" w14:textId="77777777" w:rsidTr="00B84D31">
        <w:tc>
          <w:tcPr>
            <w:tcW w:w="1270" w:type="dxa"/>
            <w:vMerge/>
          </w:tcPr>
          <w:p w14:paraId="2ADC0735" w14:textId="77777777" w:rsidR="003C1CBF" w:rsidRPr="003C1CBF" w:rsidRDefault="003C1CBF" w:rsidP="003C1CBF">
            <w:pPr>
              <w:rPr>
                <w:rFonts w:eastAsia="MS Mincho" w:cs="Arial"/>
                <w:kern w:val="0"/>
                <w:lang w:val="en-US"/>
                <w14:ligatures w14:val="none"/>
              </w:rPr>
            </w:pPr>
          </w:p>
        </w:tc>
        <w:tc>
          <w:tcPr>
            <w:tcW w:w="1551" w:type="dxa"/>
            <w:vMerge/>
          </w:tcPr>
          <w:p w14:paraId="560D386C" w14:textId="77777777" w:rsidR="003C1CBF" w:rsidRPr="003C1CBF" w:rsidRDefault="003C1CBF" w:rsidP="003C1CBF">
            <w:pPr>
              <w:rPr>
                <w:rFonts w:eastAsia="MS Mincho" w:cs="Arial"/>
                <w:kern w:val="0"/>
                <w:lang w:val="en-US"/>
                <w14:ligatures w14:val="none"/>
              </w:rPr>
            </w:pPr>
          </w:p>
        </w:tc>
        <w:tc>
          <w:tcPr>
            <w:tcW w:w="1197" w:type="dxa"/>
          </w:tcPr>
          <w:p w14:paraId="543A5B9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5DD9110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08:30-17:30</w:t>
            </w:r>
          </w:p>
        </w:tc>
        <w:tc>
          <w:tcPr>
            <w:tcW w:w="1205" w:type="dxa"/>
          </w:tcPr>
          <w:p w14:paraId="6B6E99C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08:30-17:30</w:t>
            </w:r>
          </w:p>
        </w:tc>
        <w:tc>
          <w:tcPr>
            <w:tcW w:w="1550" w:type="dxa"/>
          </w:tcPr>
          <w:p w14:paraId="0D0E1A2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08:30-17:30</w:t>
            </w:r>
          </w:p>
        </w:tc>
        <w:tc>
          <w:tcPr>
            <w:tcW w:w="1374" w:type="dxa"/>
          </w:tcPr>
          <w:p w14:paraId="710ECA5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08:30-17:30</w:t>
            </w:r>
          </w:p>
        </w:tc>
        <w:tc>
          <w:tcPr>
            <w:tcW w:w="1205" w:type="dxa"/>
          </w:tcPr>
          <w:p w14:paraId="5F75934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08:30-17:30</w:t>
            </w:r>
          </w:p>
        </w:tc>
        <w:tc>
          <w:tcPr>
            <w:tcW w:w="1244" w:type="dxa"/>
          </w:tcPr>
          <w:p w14:paraId="3CA091D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7708C18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5EA9CE47" w14:textId="77777777" w:rsidTr="00B84D31">
        <w:tc>
          <w:tcPr>
            <w:tcW w:w="1270" w:type="dxa"/>
            <w:vMerge w:val="restart"/>
          </w:tcPr>
          <w:p w14:paraId="42A597A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City</w:t>
            </w:r>
          </w:p>
        </w:tc>
        <w:tc>
          <w:tcPr>
            <w:tcW w:w="1551" w:type="dxa"/>
            <w:vMerge w:val="restart"/>
          </w:tcPr>
          <w:p w14:paraId="65B711F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Kingsway, Swansea</w:t>
            </w:r>
          </w:p>
        </w:tc>
        <w:tc>
          <w:tcPr>
            <w:tcW w:w="1197" w:type="dxa"/>
            <w:shd w:val="clear" w:color="auto" w:fill="D9D9D9"/>
          </w:tcPr>
          <w:p w14:paraId="3B38409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7811B15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59CE7A4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6135DDDE" w14:textId="7728F77E"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shd w:val="clear" w:color="auto" w:fill="D9D9D9"/>
          </w:tcPr>
          <w:p w14:paraId="6A8D72F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4F7FC44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739A6049" w14:textId="77777777" w:rsidR="003C1CBF" w:rsidRPr="003C1CBF" w:rsidRDefault="003C1CBF" w:rsidP="003C1CBF">
            <w:pPr>
              <w:rPr>
                <w:rFonts w:eastAsia="MS Mincho" w:cs="Arial"/>
                <w:kern w:val="0"/>
                <w:lang w:val="en-US"/>
                <w14:ligatures w14:val="none"/>
              </w:rPr>
            </w:pPr>
          </w:p>
        </w:tc>
        <w:tc>
          <w:tcPr>
            <w:tcW w:w="1378" w:type="dxa"/>
            <w:shd w:val="clear" w:color="auto" w:fill="D9D9D9"/>
          </w:tcPr>
          <w:p w14:paraId="046CD81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7B472172" w14:textId="77777777" w:rsidTr="00B84D31">
        <w:tc>
          <w:tcPr>
            <w:tcW w:w="1270" w:type="dxa"/>
            <w:vMerge/>
          </w:tcPr>
          <w:p w14:paraId="335B6C49" w14:textId="77777777" w:rsidR="003C1CBF" w:rsidRPr="003C1CBF" w:rsidRDefault="003C1CBF" w:rsidP="003C1CBF">
            <w:pPr>
              <w:rPr>
                <w:rFonts w:eastAsia="MS Mincho" w:cs="Arial"/>
                <w:kern w:val="0"/>
                <w:lang w:val="en-US"/>
                <w14:ligatures w14:val="none"/>
              </w:rPr>
            </w:pPr>
          </w:p>
        </w:tc>
        <w:tc>
          <w:tcPr>
            <w:tcW w:w="1551" w:type="dxa"/>
            <w:vMerge/>
          </w:tcPr>
          <w:p w14:paraId="5555F4F9" w14:textId="77777777" w:rsidR="003C1CBF" w:rsidRPr="003C1CBF" w:rsidRDefault="003C1CBF" w:rsidP="003C1CBF">
            <w:pPr>
              <w:rPr>
                <w:rFonts w:eastAsia="MS Mincho" w:cs="Arial"/>
                <w:kern w:val="0"/>
                <w:lang w:val="en-US"/>
                <w14:ligatures w14:val="none"/>
              </w:rPr>
            </w:pPr>
          </w:p>
        </w:tc>
        <w:tc>
          <w:tcPr>
            <w:tcW w:w="1197" w:type="dxa"/>
          </w:tcPr>
          <w:p w14:paraId="5DA3E71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73E5807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05" w:type="dxa"/>
          </w:tcPr>
          <w:p w14:paraId="467E8C5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550" w:type="dxa"/>
          </w:tcPr>
          <w:p w14:paraId="7FDB563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374" w:type="dxa"/>
          </w:tcPr>
          <w:p w14:paraId="1C86C5E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05" w:type="dxa"/>
          </w:tcPr>
          <w:p w14:paraId="7962438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44" w:type="dxa"/>
          </w:tcPr>
          <w:p w14:paraId="49C6208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w:t>
            </w:r>
          </w:p>
        </w:tc>
        <w:tc>
          <w:tcPr>
            <w:tcW w:w="1378" w:type="dxa"/>
          </w:tcPr>
          <w:p w14:paraId="50DAF71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1B0CDE6E" w14:textId="77777777" w:rsidTr="00B84D31">
        <w:tc>
          <w:tcPr>
            <w:tcW w:w="1270" w:type="dxa"/>
            <w:vMerge w:val="restart"/>
          </w:tcPr>
          <w:p w14:paraId="72DB13AA" w14:textId="77777777" w:rsidR="003C1CBF" w:rsidRPr="003C1CBF" w:rsidRDefault="003C1CBF" w:rsidP="003C1CBF">
            <w:pPr>
              <w:rPr>
                <w:rFonts w:eastAsia="MS Mincho" w:cs="Arial"/>
                <w:kern w:val="0"/>
                <w:lang w:val="en-US"/>
                <w14:ligatures w14:val="none"/>
              </w:rPr>
            </w:pPr>
          </w:p>
          <w:p w14:paraId="598E475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City</w:t>
            </w:r>
          </w:p>
        </w:tc>
        <w:tc>
          <w:tcPr>
            <w:tcW w:w="1551" w:type="dxa"/>
            <w:vMerge w:val="restart"/>
          </w:tcPr>
          <w:p w14:paraId="42537B58" w14:textId="77777777" w:rsidR="003C1CBF" w:rsidRPr="003C1CBF" w:rsidRDefault="003C1CBF" w:rsidP="003C1CBF">
            <w:pPr>
              <w:rPr>
                <w:rFonts w:eastAsia="MS Mincho" w:cs="Arial"/>
                <w:kern w:val="0"/>
                <w:lang w:val="en-US"/>
                <w14:ligatures w14:val="none"/>
              </w:rPr>
            </w:pPr>
          </w:p>
          <w:p w14:paraId="17AFB54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St Helens</w:t>
            </w:r>
          </w:p>
        </w:tc>
        <w:tc>
          <w:tcPr>
            <w:tcW w:w="1197" w:type="dxa"/>
            <w:shd w:val="clear" w:color="auto" w:fill="D9D9D9"/>
          </w:tcPr>
          <w:p w14:paraId="4ACA94F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58C1098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0097D61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5BFDEE5A" w14:textId="44FA53DD"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shd w:val="clear" w:color="auto" w:fill="D9D9D9"/>
          </w:tcPr>
          <w:p w14:paraId="37ADC80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20E008A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4DB9443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577ABF6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6E3D6F42" w14:textId="77777777" w:rsidTr="00B84D31">
        <w:tc>
          <w:tcPr>
            <w:tcW w:w="1270" w:type="dxa"/>
            <w:vMerge/>
          </w:tcPr>
          <w:p w14:paraId="57BDF4E8" w14:textId="77777777" w:rsidR="003C1CBF" w:rsidRPr="003C1CBF" w:rsidRDefault="003C1CBF" w:rsidP="003C1CBF">
            <w:pPr>
              <w:rPr>
                <w:rFonts w:eastAsia="MS Mincho" w:cs="Arial"/>
                <w:kern w:val="0"/>
                <w:lang w:val="en-US"/>
                <w14:ligatures w14:val="none"/>
              </w:rPr>
            </w:pPr>
          </w:p>
        </w:tc>
        <w:tc>
          <w:tcPr>
            <w:tcW w:w="1551" w:type="dxa"/>
            <w:vMerge/>
          </w:tcPr>
          <w:p w14:paraId="2D69450B" w14:textId="77777777" w:rsidR="003C1CBF" w:rsidRPr="003C1CBF" w:rsidRDefault="003C1CBF" w:rsidP="003C1CBF">
            <w:pPr>
              <w:rPr>
                <w:rFonts w:eastAsia="MS Mincho" w:cs="Arial"/>
                <w:kern w:val="0"/>
                <w:lang w:val="en-US"/>
                <w14:ligatures w14:val="none"/>
              </w:rPr>
            </w:pPr>
          </w:p>
        </w:tc>
        <w:tc>
          <w:tcPr>
            <w:tcW w:w="1197" w:type="dxa"/>
          </w:tcPr>
          <w:p w14:paraId="3A8A8BE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70257BF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05" w:type="dxa"/>
          </w:tcPr>
          <w:p w14:paraId="6910F61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550" w:type="dxa"/>
          </w:tcPr>
          <w:p w14:paraId="4ABE927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374" w:type="dxa"/>
          </w:tcPr>
          <w:p w14:paraId="0C0600E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05" w:type="dxa"/>
          </w:tcPr>
          <w:p w14:paraId="5D5E5D3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44" w:type="dxa"/>
          </w:tcPr>
          <w:p w14:paraId="0829D32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47965B6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228D2027" w14:textId="77777777" w:rsidTr="00B84D31">
        <w:tc>
          <w:tcPr>
            <w:tcW w:w="1270" w:type="dxa"/>
            <w:vMerge w:val="restart"/>
          </w:tcPr>
          <w:p w14:paraId="45E225F2" w14:textId="77777777" w:rsidR="003C1CBF" w:rsidRPr="003C1CBF" w:rsidRDefault="003C1CBF" w:rsidP="003C1CBF">
            <w:pPr>
              <w:rPr>
                <w:rFonts w:eastAsia="MS Mincho" w:cs="Arial"/>
                <w:kern w:val="0"/>
                <w:lang w:val="en-US"/>
                <w14:ligatures w14:val="none"/>
              </w:rPr>
            </w:pPr>
          </w:p>
          <w:p w14:paraId="0FD68F3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City</w:t>
            </w:r>
          </w:p>
        </w:tc>
        <w:tc>
          <w:tcPr>
            <w:tcW w:w="1551" w:type="dxa"/>
            <w:vMerge w:val="restart"/>
          </w:tcPr>
          <w:p w14:paraId="35409303" w14:textId="77777777" w:rsidR="003C1CBF" w:rsidRPr="003C1CBF" w:rsidRDefault="003C1CBF" w:rsidP="003C1CBF">
            <w:pPr>
              <w:rPr>
                <w:rFonts w:eastAsia="MS Mincho" w:cs="Arial"/>
                <w:kern w:val="0"/>
                <w:lang w:val="en-US"/>
                <w14:ligatures w14:val="none"/>
              </w:rPr>
            </w:pPr>
          </w:p>
          <w:p w14:paraId="09549AC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Townhill</w:t>
            </w:r>
          </w:p>
        </w:tc>
        <w:tc>
          <w:tcPr>
            <w:tcW w:w="1197" w:type="dxa"/>
            <w:shd w:val="clear" w:color="auto" w:fill="D9D9D9"/>
          </w:tcPr>
          <w:p w14:paraId="0DC1AE9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5A538D7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52676B1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550" w:type="dxa"/>
            <w:shd w:val="clear" w:color="auto" w:fill="D9D9D9"/>
          </w:tcPr>
          <w:p w14:paraId="64854A0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374" w:type="dxa"/>
            <w:shd w:val="clear" w:color="auto" w:fill="D9D9D9"/>
          </w:tcPr>
          <w:p w14:paraId="68757FC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7EB3C69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44" w:type="dxa"/>
            <w:shd w:val="clear" w:color="auto" w:fill="D9D9D9"/>
          </w:tcPr>
          <w:p w14:paraId="51D66BC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29F1210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7C9132D1" w14:textId="77777777" w:rsidTr="00B84D31">
        <w:tc>
          <w:tcPr>
            <w:tcW w:w="1270" w:type="dxa"/>
            <w:vMerge/>
          </w:tcPr>
          <w:p w14:paraId="1B172F65" w14:textId="77777777" w:rsidR="003C1CBF" w:rsidRPr="003C1CBF" w:rsidRDefault="003C1CBF" w:rsidP="003C1CBF">
            <w:pPr>
              <w:rPr>
                <w:rFonts w:eastAsia="MS Mincho" w:cs="Arial"/>
                <w:kern w:val="0"/>
                <w:lang w:val="en-US"/>
                <w14:ligatures w14:val="none"/>
              </w:rPr>
            </w:pPr>
          </w:p>
        </w:tc>
        <w:tc>
          <w:tcPr>
            <w:tcW w:w="1551" w:type="dxa"/>
            <w:vMerge/>
          </w:tcPr>
          <w:p w14:paraId="6381E425" w14:textId="77777777" w:rsidR="003C1CBF" w:rsidRPr="003C1CBF" w:rsidRDefault="003C1CBF" w:rsidP="003C1CBF">
            <w:pPr>
              <w:rPr>
                <w:rFonts w:eastAsia="MS Mincho" w:cs="Arial"/>
                <w:kern w:val="0"/>
                <w:lang w:val="en-US"/>
                <w14:ligatures w14:val="none"/>
              </w:rPr>
            </w:pPr>
          </w:p>
        </w:tc>
        <w:tc>
          <w:tcPr>
            <w:tcW w:w="1197" w:type="dxa"/>
          </w:tcPr>
          <w:p w14:paraId="091A50F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51A0A7F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1B5863D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28FB9A1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5752E31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21DE731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6DF2511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041D8C0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27630E95" w14:textId="77777777" w:rsidTr="00B84D31">
        <w:tc>
          <w:tcPr>
            <w:tcW w:w="1270" w:type="dxa"/>
            <w:vMerge w:val="restart"/>
          </w:tcPr>
          <w:p w14:paraId="6957730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City</w:t>
            </w:r>
          </w:p>
        </w:tc>
        <w:tc>
          <w:tcPr>
            <w:tcW w:w="1551" w:type="dxa"/>
            <w:vMerge w:val="restart"/>
          </w:tcPr>
          <w:p w14:paraId="5AE5FF7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Ysgol Street Pharmacy</w:t>
            </w:r>
          </w:p>
        </w:tc>
        <w:tc>
          <w:tcPr>
            <w:tcW w:w="1197" w:type="dxa"/>
            <w:shd w:val="clear" w:color="auto" w:fill="D9D9D9"/>
          </w:tcPr>
          <w:p w14:paraId="448612C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668A5B7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64E4C16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shd w:val="clear" w:color="auto" w:fill="D9D9D9"/>
          </w:tcPr>
          <w:p w14:paraId="36DC2A9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09:00-12:00-18:00</w:t>
            </w:r>
          </w:p>
        </w:tc>
        <w:tc>
          <w:tcPr>
            <w:tcW w:w="1374" w:type="dxa"/>
            <w:shd w:val="clear" w:color="auto" w:fill="D9D9D9"/>
          </w:tcPr>
          <w:p w14:paraId="375BAA9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09:00-12:00-16:00</w:t>
            </w:r>
          </w:p>
        </w:tc>
        <w:tc>
          <w:tcPr>
            <w:tcW w:w="1205" w:type="dxa"/>
            <w:shd w:val="clear" w:color="auto" w:fill="D9D9D9"/>
          </w:tcPr>
          <w:p w14:paraId="52AC4FB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377B697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148AAED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50C7B730" w14:textId="77777777" w:rsidTr="00B84D31">
        <w:tc>
          <w:tcPr>
            <w:tcW w:w="1270" w:type="dxa"/>
            <w:vMerge/>
          </w:tcPr>
          <w:p w14:paraId="1E3329BF" w14:textId="77777777" w:rsidR="003C1CBF" w:rsidRPr="003C1CBF" w:rsidRDefault="003C1CBF" w:rsidP="003C1CBF">
            <w:pPr>
              <w:rPr>
                <w:rFonts w:eastAsia="MS Mincho" w:cs="Arial"/>
                <w:kern w:val="0"/>
                <w:lang w:val="en-US"/>
                <w14:ligatures w14:val="none"/>
              </w:rPr>
            </w:pPr>
          </w:p>
        </w:tc>
        <w:tc>
          <w:tcPr>
            <w:tcW w:w="1551" w:type="dxa"/>
            <w:vMerge/>
          </w:tcPr>
          <w:p w14:paraId="2BD54008" w14:textId="77777777" w:rsidR="003C1CBF" w:rsidRPr="003C1CBF" w:rsidRDefault="003C1CBF" w:rsidP="003C1CBF">
            <w:pPr>
              <w:rPr>
                <w:rFonts w:eastAsia="MS Mincho" w:cs="Arial"/>
                <w:kern w:val="0"/>
                <w:lang w:val="en-US"/>
                <w14:ligatures w14:val="none"/>
              </w:rPr>
            </w:pPr>
          </w:p>
        </w:tc>
        <w:tc>
          <w:tcPr>
            <w:tcW w:w="1197" w:type="dxa"/>
          </w:tcPr>
          <w:p w14:paraId="2F063CD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1D59A87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13A1210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277C885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6F87756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09:00-16:00</w:t>
            </w:r>
          </w:p>
        </w:tc>
        <w:tc>
          <w:tcPr>
            <w:tcW w:w="1205" w:type="dxa"/>
          </w:tcPr>
          <w:p w14:paraId="3AAFDDA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07D7964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74ADF61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022B6C70" w14:textId="77777777" w:rsidTr="00B84D31">
        <w:tc>
          <w:tcPr>
            <w:tcW w:w="1270" w:type="dxa"/>
            <w:vMerge w:val="restart"/>
          </w:tcPr>
          <w:p w14:paraId="18CB81A2" w14:textId="77777777" w:rsidR="003C1CBF" w:rsidRPr="003C1CBF" w:rsidRDefault="003C1CBF" w:rsidP="003C1CBF">
            <w:pPr>
              <w:rPr>
                <w:rFonts w:eastAsia="MS Mincho" w:cs="Arial"/>
                <w:kern w:val="0"/>
                <w:lang w:val="en-US"/>
                <w14:ligatures w14:val="none"/>
              </w:rPr>
            </w:pPr>
          </w:p>
          <w:p w14:paraId="5238EB7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Cwmtawe</w:t>
            </w:r>
          </w:p>
        </w:tc>
        <w:tc>
          <w:tcPr>
            <w:tcW w:w="1551" w:type="dxa"/>
            <w:vMerge w:val="restart"/>
          </w:tcPr>
          <w:p w14:paraId="6CAEC065" w14:textId="77777777" w:rsidR="003C1CBF" w:rsidRPr="003C1CBF" w:rsidRDefault="003C1CBF" w:rsidP="003C1CBF">
            <w:pPr>
              <w:rPr>
                <w:rFonts w:eastAsia="MS Mincho" w:cs="Arial"/>
                <w:kern w:val="0"/>
                <w:lang w:val="en-US"/>
                <w14:ligatures w14:val="none"/>
              </w:rPr>
            </w:pPr>
          </w:p>
          <w:p w14:paraId="0717E66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Allied, 50 Sway Rd, Morriston</w:t>
            </w:r>
          </w:p>
        </w:tc>
        <w:tc>
          <w:tcPr>
            <w:tcW w:w="1197" w:type="dxa"/>
            <w:shd w:val="clear" w:color="auto" w:fill="D9D9D9"/>
          </w:tcPr>
          <w:p w14:paraId="3AEF56E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0AE6F44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09:00-13:30 / 15:00-18:00</w:t>
            </w:r>
          </w:p>
        </w:tc>
        <w:tc>
          <w:tcPr>
            <w:tcW w:w="1205" w:type="dxa"/>
            <w:shd w:val="clear" w:color="auto" w:fill="D9D9D9"/>
          </w:tcPr>
          <w:p w14:paraId="59361F6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09:00-13:30 / 15:00-18:00</w:t>
            </w:r>
          </w:p>
        </w:tc>
        <w:tc>
          <w:tcPr>
            <w:tcW w:w="1550" w:type="dxa"/>
            <w:shd w:val="clear" w:color="auto" w:fill="D9D9D9"/>
          </w:tcPr>
          <w:p w14:paraId="0C5ED968" w14:textId="335E152D"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09:00-13:30 15:00-18:00</w:t>
            </w:r>
          </w:p>
        </w:tc>
        <w:tc>
          <w:tcPr>
            <w:tcW w:w="1374" w:type="dxa"/>
            <w:shd w:val="clear" w:color="auto" w:fill="D9D9D9"/>
          </w:tcPr>
          <w:p w14:paraId="2DC7265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09:00-13:30 / 15:00-18:00</w:t>
            </w:r>
          </w:p>
        </w:tc>
        <w:tc>
          <w:tcPr>
            <w:tcW w:w="1205" w:type="dxa"/>
            <w:shd w:val="clear" w:color="auto" w:fill="D9D9D9"/>
          </w:tcPr>
          <w:p w14:paraId="4C170DA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2B74B4E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10:30-13:00</w:t>
            </w:r>
          </w:p>
        </w:tc>
        <w:tc>
          <w:tcPr>
            <w:tcW w:w="1378" w:type="dxa"/>
            <w:shd w:val="clear" w:color="auto" w:fill="D9D9D9"/>
          </w:tcPr>
          <w:p w14:paraId="374C38CA" w14:textId="77777777" w:rsidR="003C1CBF" w:rsidRPr="003C1CBF" w:rsidRDefault="003C1CBF" w:rsidP="003C1CBF">
            <w:pPr>
              <w:rPr>
                <w:rFonts w:eastAsia="MS Mincho" w:cs="Arial"/>
                <w:kern w:val="0"/>
                <w:lang w:val="en-US"/>
                <w14:ligatures w14:val="none"/>
              </w:rPr>
            </w:pPr>
          </w:p>
        </w:tc>
      </w:tr>
      <w:tr w:rsidR="003C1CBF" w:rsidRPr="003C1CBF" w14:paraId="5EBCF004" w14:textId="77777777" w:rsidTr="00B84D31">
        <w:tc>
          <w:tcPr>
            <w:tcW w:w="1270" w:type="dxa"/>
            <w:vMerge/>
          </w:tcPr>
          <w:p w14:paraId="56EBAA00" w14:textId="77777777" w:rsidR="003C1CBF" w:rsidRPr="003C1CBF" w:rsidRDefault="003C1CBF" w:rsidP="003C1CBF">
            <w:pPr>
              <w:rPr>
                <w:rFonts w:eastAsia="MS Mincho" w:cs="Arial"/>
                <w:kern w:val="0"/>
                <w:lang w:val="en-US"/>
                <w14:ligatures w14:val="none"/>
              </w:rPr>
            </w:pPr>
          </w:p>
        </w:tc>
        <w:tc>
          <w:tcPr>
            <w:tcW w:w="1551" w:type="dxa"/>
            <w:vMerge/>
          </w:tcPr>
          <w:p w14:paraId="29E5AD60" w14:textId="77777777" w:rsidR="003C1CBF" w:rsidRPr="003C1CBF" w:rsidRDefault="003C1CBF" w:rsidP="003C1CBF">
            <w:pPr>
              <w:rPr>
                <w:rFonts w:eastAsia="MS Mincho" w:cs="Arial"/>
                <w:kern w:val="0"/>
                <w:lang w:val="en-US"/>
                <w14:ligatures w14:val="none"/>
              </w:rPr>
            </w:pPr>
          </w:p>
        </w:tc>
        <w:tc>
          <w:tcPr>
            <w:tcW w:w="1197" w:type="dxa"/>
          </w:tcPr>
          <w:p w14:paraId="6B39118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0761E66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51D08AD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486AD49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4569613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76C3711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42D57D3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w:t>
            </w:r>
          </w:p>
        </w:tc>
        <w:tc>
          <w:tcPr>
            <w:tcW w:w="1378" w:type="dxa"/>
          </w:tcPr>
          <w:p w14:paraId="1331209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17:00-18:00</w:t>
            </w:r>
          </w:p>
        </w:tc>
      </w:tr>
      <w:tr w:rsidR="007371FD" w:rsidRPr="003C1CBF" w14:paraId="432DD14D" w14:textId="77777777" w:rsidTr="008622BA">
        <w:tc>
          <w:tcPr>
            <w:tcW w:w="1270" w:type="dxa"/>
            <w:vMerge w:val="restart"/>
          </w:tcPr>
          <w:p w14:paraId="1150A026" w14:textId="77777777" w:rsidR="007371FD" w:rsidRPr="003C1CBF" w:rsidRDefault="007371FD" w:rsidP="007371FD">
            <w:pPr>
              <w:rPr>
                <w:rFonts w:eastAsia="MS Mincho" w:cs="Arial"/>
                <w:kern w:val="0"/>
                <w:lang w:val="en-US"/>
                <w14:ligatures w14:val="none"/>
              </w:rPr>
            </w:pPr>
          </w:p>
          <w:p w14:paraId="5D1C8B59" w14:textId="77777777" w:rsidR="007371FD" w:rsidRPr="003C1CBF" w:rsidRDefault="007371FD" w:rsidP="007371FD">
            <w:pPr>
              <w:rPr>
                <w:rFonts w:eastAsia="MS Mincho" w:cs="Arial"/>
                <w:kern w:val="0"/>
                <w:lang w:val="en-US"/>
                <w14:ligatures w14:val="none"/>
              </w:rPr>
            </w:pPr>
          </w:p>
          <w:p w14:paraId="2B1AC25B" w14:textId="77777777" w:rsidR="007371FD" w:rsidRPr="003C1CBF" w:rsidRDefault="007371FD" w:rsidP="007371FD">
            <w:pPr>
              <w:rPr>
                <w:rFonts w:eastAsia="MS Mincho" w:cs="Arial"/>
                <w:kern w:val="0"/>
                <w:lang w:val="en-US"/>
                <w14:ligatures w14:val="none"/>
              </w:rPr>
            </w:pPr>
            <w:r w:rsidRPr="003C1CBF">
              <w:rPr>
                <w:rFonts w:eastAsia="MS Mincho" w:cs="Arial"/>
                <w:kern w:val="0"/>
                <w:lang w:val="en-US"/>
                <w14:ligatures w14:val="none"/>
              </w:rPr>
              <w:t>Cwmtawe</w:t>
            </w:r>
          </w:p>
        </w:tc>
        <w:tc>
          <w:tcPr>
            <w:tcW w:w="1551" w:type="dxa"/>
            <w:vMerge w:val="restart"/>
          </w:tcPr>
          <w:p w14:paraId="3C9EDB8D" w14:textId="77777777" w:rsidR="007371FD" w:rsidRPr="003C1CBF" w:rsidRDefault="007371FD" w:rsidP="007371FD">
            <w:pPr>
              <w:rPr>
                <w:rFonts w:eastAsia="MS Mincho" w:cs="Arial"/>
                <w:kern w:val="0"/>
                <w:lang w:val="en-US"/>
                <w14:ligatures w14:val="none"/>
              </w:rPr>
            </w:pPr>
          </w:p>
          <w:p w14:paraId="3559766E" w14:textId="77777777" w:rsidR="007371FD" w:rsidRPr="003C1CBF" w:rsidRDefault="007371FD" w:rsidP="007371FD">
            <w:pPr>
              <w:rPr>
                <w:rFonts w:eastAsia="MS Mincho" w:cs="Arial"/>
                <w:kern w:val="0"/>
                <w:lang w:val="en-US"/>
                <w14:ligatures w14:val="none"/>
              </w:rPr>
            </w:pPr>
            <w:r w:rsidRPr="003C1CBF">
              <w:rPr>
                <w:rFonts w:eastAsia="MS Mincho" w:cs="Arial"/>
                <w:kern w:val="0"/>
                <w:lang w:val="en-US"/>
                <w14:ligatures w14:val="none"/>
              </w:rPr>
              <w:t>Allied, 67 Sway Rd, Morriston</w:t>
            </w:r>
          </w:p>
        </w:tc>
        <w:tc>
          <w:tcPr>
            <w:tcW w:w="1197" w:type="dxa"/>
            <w:shd w:val="clear" w:color="auto" w:fill="D9D9D9"/>
          </w:tcPr>
          <w:p w14:paraId="44213B5E" w14:textId="77777777" w:rsidR="007371FD" w:rsidRPr="003C1CBF" w:rsidRDefault="007371FD" w:rsidP="007371FD">
            <w:pPr>
              <w:rPr>
                <w:rFonts w:eastAsia="MS Mincho" w:cs="Arial"/>
                <w:kern w:val="0"/>
                <w:lang w:val="en-US"/>
                <w14:ligatures w14:val="none"/>
              </w:rPr>
            </w:pPr>
            <w:r w:rsidRPr="003C1CBF">
              <w:rPr>
                <w:rFonts w:eastAsia="MS Mincho" w:cs="Arial"/>
                <w:kern w:val="0"/>
                <w:lang w:val="en-US"/>
                <w14:ligatures w14:val="none"/>
              </w:rPr>
              <w:t>Core</w:t>
            </w:r>
          </w:p>
        </w:tc>
        <w:tc>
          <w:tcPr>
            <w:tcW w:w="12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EF6415" w14:textId="7FF9AFE5" w:rsidR="007371FD" w:rsidRPr="003C1CBF" w:rsidRDefault="007371FD" w:rsidP="007371FD">
            <w:pPr>
              <w:rPr>
                <w:rFonts w:eastAsia="MS Mincho" w:cs="Arial"/>
                <w:kern w:val="0"/>
                <w:lang w:val="en-US"/>
                <w14:ligatures w14:val="none"/>
              </w:rPr>
            </w:pPr>
            <w:r>
              <w:rPr>
                <w:rFonts w:cs="Arial"/>
              </w:rPr>
              <w:t>09:00-13:00 / 14:00-18:00</w:t>
            </w:r>
          </w:p>
        </w:tc>
        <w:tc>
          <w:tcPr>
            <w:tcW w:w="12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FDF58C9" w14:textId="60BB6907" w:rsidR="007371FD" w:rsidRPr="003C1CBF" w:rsidRDefault="007371FD" w:rsidP="007371FD">
            <w:pPr>
              <w:rPr>
                <w:rFonts w:eastAsia="MS Mincho" w:cs="Arial"/>
                <w:kern w:val="0"/>
                <w:lang w:val="en-US"/>
                <w14:ligatures w14:val="none"/>
              </w:rPr>
            </w:pPr>
            <w:r>
              <w:rPr>
                <w:rFonts w:cs="Arial"/>
              </w:rPr>
              <w:t>09:00-13:00 / 14:00-18:00</w:t>
            </w:r>
          </w:p>
        </w:tc>
        <w:tc>
          <w:tcPr>
            <w:tcW w:w="15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5E0B16" w14:textId="2758105E" w:rsidR="007371FD" w:rsidRPr="003C1CBF" w:rsidRDefault="007371FD" w:rsidP="007371FD">
            <w:pPr>
              <w:rPr>
                <w:rFonts w:eastAsia="MS Mincho" w:cs="Arial"/>
                <w:kern w:val="0"/>
                <w:lang w:val="en-US"/>
                <w14:ligatures w14:val="none"/>
              </w:rPr>
            </w:pPr>
            <w:r>
              <w:rPr>
                <w:rFonts w:cs="Arial"/>
              </w:rPr>
              <w:t>09:00-13:00 / 14:00-18:00</w:t>
            </w:r>
          </w:p>
        </w:tc>
        <w:tc>
          <w:tcPr>
            <w:tcW w:w="137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DC0C67" w14:textId="4A1F8D74" w:rsidR="007371FD" w:rsidRPr="003C1CBF" w:rsidRDefault="007371FD" w:rsidP="007371FD">
            <w:pPr>
              <w:rPr>
                <w:rFonts w:eastAsia="MS Mincho" w:cs="Arial"/>
                <w:kern w:val="0"/>
                <w:lang w:val="en-US"/>
                <w14:ligatures w14:val="none"/>
              </w:rPr>
            </w:pPr>
            <w:r>
              <w:rPr>
                <w:rFonts w:cs="Arial"/>
              </w:rPr>
              <w:t>09:00-13:00 / 14:00-18:00</w:t>
            </w:r>
          </w:p>
        </w:tc>
        <w:tc>
          <w:tcPr>
            <w:tcW w:w="12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4D4BB37" w14:textId="24C87C19" w:rsidR="007371FD" w:rsidRPr="003C1CBF" w:rsidRDefault="007371FD" w:rsidP="007371FD">
            <w:pPr>
              <w:rPr>
                <w:rFonts w:eastAsia="MS Mincho" w:cs="Arial"/>
                <w:kern w:val="0"/>
                <w:lang w:val="en-US"/>
                <w14:ligatures w14:val="none"/>
              </w:rPr>
            </w:pPr>
            <w:r>
              <w:rPr>
                <w:rFonts w:cs="Arial"/>
              </w:rPr>
              <w:t>09:00-13:00 / 14:00-18:00</w:t>
            </w:r>
          </w:p>
        </w:tc>
        <w:tc>
          <w:tcPr>
            <w:tcW w:w="124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1EE0C2" w14:textId="4A75C030" w:rsidR="007371FD" w:rsidRPr="003C1CBF" w:rsidRDefault="007371FD" w:rsidP="007371FD">
            <w:pPr>
              <w:rPr>
                <w:rFonts w:eastAsia="MS Mincho" w:cs="Arial"/>
                <w:kern w:val="0"/>
                <w:lang w:val="en-US"/>
                <w14:ligatures w14:val="none"/>
              </w:rPr>
            </w:pPr>
            <w:r>
              <w:rPr>
                <w:rFonts w:cs="Arial"/>
              </w:rPr>
              <w:t>Closed</w:t>
            </w:r>
          </w:p>
        </w:tc>
        <w:tc>
          <w:tcPr>
            <w:tcW w:w="13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A139A9" w14:textId="12F294EA" w:rsidR="007371FD" w:rsidRPr="003C1CBF" w:rsidRDefault="007371FD" w:rsidP="007371FD">
            <w:pPr>
              <w:rPr>
                <w:rFonts w:eastAsia="MS Mincho" w:cs="Arial"/>
                <w:kern w:val="0"/>
                <w:lang w:val="en-US"/>
                <w14:ligatures w14:val="none"/>
              </w:rPr>
            </w:pPr>
            <w:r>
              <w:rPr>
                <w:rFonts w:cs="Arial"/>
              </w:rPr>
              <w:t>Closed</w:t>
            </w:r>
          </w:p>
        </w:tc>
      </w:tr>
      <w:tr w:rsidR="007371FD" w:rsidRPr="003C1CBF" w14:paraId="67275A35" w14:textId="77777777" w:rsidTr="008622BA">
        <w:tc>
          <w:tcPr>
            <w:tcW w:w="1270" w:type="dxa"/>
            <w:vMerge/>
          </w:tcPr>
          <w:p w14:paraId="4FC346B2" w14:textId="77777777" w:rsidR="007371FD" w:rsidRPr="003C1CBF" w:rsidRDefault="007371FD" w:rsidP="007371FD">
            <w:pPr>
              <w:rPr>
                <w:rFonts w:eastAsia="MS Mincho" w:cs="Arial"/>
                <w:kern w:val="0"/>
                <w:lang w:val="en-US"/>
                <w14:ligatures w14:val="none"/>
              </w:rPr>
            </w:pPr>
          </w:p>
        </w:tc>
        <w:tc>
          <w:tcPr>
            <w:tcW w:w="1551" w:type="dxa"/>
            <w:vMerge/>
          </w:tcPr>
          <w:p w14:paraId="117BFEB2" w14:textId="77777777" w:rsidR="007371FD" w:rsidRPr="003C1CBF" w:rsidRDefault="007371FD" w:rsidP="007371FD">
            <w:pPr>
              <w:rPr>
                <w:rFonts w:eastAsia="MS Mincho" w:cs="Arial"/>
                <w:kern w:val="0"/>
                <w:lang w:val="en-US"/>
                <w14:ligatures w14:val="none"/>
              </w:rPr>
            </w:pPr>
          </w:p>
        </w:tc>
        <w:tc>
          <w:tcPr>
            <w:tcW w:w="1197" w:type="dxa"/>
          </w:tcPr>
          <w:p w14:paraId="5CE6B8F2" w14:textId="77777777" w:rsidR="007371FD" w:rsidRPr="003C1CBF" w:rsidRDefault="007371FD" w:rsidP="007371FD">
            <w:pPr>
              <w:rPr>
                <w:rFonts w:eastAsia="MS Mincho" w:cs="Arial"/>
                <w:kern w:val="0"/>
                <w:lang w:val="en-US"/>
                <w14:ligatures w14:val="none"/>
              </w:rPr>
            </w:pPr>
            <w:r w:rsidRPr="003C1CBF">
              <w:rPr>
                <w:rFonts w:eastAsia="MS Mincho" w:cs="Arial"/>
                <w:kern w:val="0"/>
                <w:lang w:val="en-US"/>
                <w14:ligatures w14:val="none"/>
              </w:rPr>
              <w:t>Total</w:t>
            </w:r>
          </w:p>
        </w:tc>
        <w:tc>
          <w:tcPr>
            <w:tcW w:w="1204" w:type="dxa"/>
            <w:tcBorders>
              <w:top w:val="single" w:sz="4" w:space="0" w:color="auto"/>
              <w:left w:val="single" w:sz="4" w:space="0" w:color="auto"/>
              <w:bottom w:val="single" w:sz="4" w:space="0" w:color="auto"/>
              <w:right w:val="single" w:sz="4" w:space="0" w:color="auto"/>
            </w:tcBorders>
          </w:tcPr>
          <w:p w14:paraId="1A52044B" w14:textId="75041D75" w:rsidR="007371FD" w:rsidRPr="003C1CBF" w:rsidRDefault="007371FD" w:rsidP="007371FD">
            <w:pPr>
              <w:rPr>
                <w:rFonts w:eastAsia="MS Mincho" w:cs="Arial"/>
                <w:kern w:val="0"/>
                <w:lang w:val="en-US"/>
                <w14:ligatures w14:val="none"/>
              </w:rPr>
            </w:pPr>
            <w:r>
              <w:rPr>
                <w:rFonts w:cs="Arial"/>
              </w:rPr>
              <w:t>09:00-18:00</w:t>
            </w:r>
          </w:p>
        </w:tc>
        <w:tc>
          <w:tcPr>
            <w:tcW w:w="1205" w:type="dxa"/>
            <w:tcBorders>
              <w:top w:val="single" w:sz="4" w:space="0" w:color="auto"/>
              <w:left w:val="single" w:sz="4" w:space="0" w:color="auto"/>
              <w:bottom w:val="single" w:sz="4" w:space="0" w:color="auto"/>
              <w:right w:val="single" w:sz="4" w:space="0" w:color="auto"/>
            </w:tcBorders>
          </w:tcPr>
          <w:p w14:paraId="577B65B2" w14:textId="0B6C0EFC" w:rsidR="007371FD" w:rsidRPr="003C1CBF" w:rsidRDefault="007371FD" w:rsidP="007371FD">
            <w:pPr>
              <w:rPr>
                <w:rFonts w:eastAsia="MS Mincho" w:cs="Arial"/>
                <w:kern w:val="0"/>
                <w:lang w:val="en-US"/>
                <w14:ligatures w14:val="none"/>
              </w:rPr>
            </w:pPr>
            <w:r>
              <w:rPr>
                <w:rFonts w:cs="Arial"/>
              </w:rPr>
              <w:t>09:00-18:00</w:t>
            </w:r>
          </w:p>
        </w:tc>
        <w:tc>
          <w:tcPr>
            <w:tcW w:w="1550" w:type="dxa"/>
            <w:tcBorders>
              <w:top w:val="single" w:sz="4" w:space="0" w:color="auto"/>
              <w:left w:val="single" w:sz="4" w:space="0" w:color="auto"/>
              <w:bottom w:val="single" w:sz="4" w:space="0" w:color="auto"/>
              <w:right w:val="single" w:sz="4" w:space="0" w:color="auto"/>
            </w:tcBorders>
          </w:tcPr>
          <w:p w14:paraId="33F93D33" w14:textId="2BD4FE5C" w:rsidR="007371FD" w:rsidRPr="003C1CBF" w:rsidRDefault="007371FD" w:rsidP="007371FD">
            <w:pPr>
              <w:rPr>
                <w:rFonts w:eastAsia="MS Mincho" w:cs="Arial"/>
                <w:kern w:val="0"/>
                <w:lang w:val="en-US"/>
                <w14:ligatures w14:val="none"/>
              </w:rPr>
            </w:pPr>
            <w:r>
              <w:rPr>
                <w:rFonts w:cs="Arial"/>
              </w:rPr>
              <w:t>09:00-18:00</w:t>
            </w:r>
          </w:p>
        </w:tc>
        <w:tc>
          <w:tcPr>
            <w:tcW w:w="1374" w:type="dxa"/>
            <w:tcBorders>
              <w:top w:val="single" w:sz="4" w:space="0" w:color="auto"/>
              <w:left w:val="single" w:sz="4" w:space="0" w:color="auto"/>
              <w:bottom w:val="single" w:sz="4" w:space="0" w:color="auto"/>
              <w:right w:val="single" w:sz="4" w:space="0" w:color="auto"/>
            </w:tcBorders>
          </w:tcPr>
          <w:p w14:paraId="7BAD97B4" w14:textId="119279B7" w:rsidR="007371FD" w:rsidRPr="003C1CBF" w:rsidRDefault="007371FD" w:rsidP="007371FD">
            <w:pPr>
              <w:rPr>
                <w:rFonts w:eastAsia="MS Mincho" w:cs="Arial"/>
                <w:kern w:val="0"/>
                <w:lang w:val="en-US"/>
                <w14:ligatures w14:val="none"/>
              </w:rPr>
            </w:pPr>
            <w:r>
              <w:rPr>
                <w:rFonts w:cs="Arial"/>
              </w:rPr>
              <w:t>09:00-18:00</w:t>
            </w:r>
          </w:p>
        </w:tc>
        <w:tc>
          <w:tcPr>
            <w:tcW w:w="1205" w:type="dxa"/>
            <w:tcBorders>
              <w:top w:val="single" w:sz="4" w:space="0" w:color="auto"/>
              <w:left w:val="single" w:sz="4" w:space="0" w:color="auto"/>
              <w:bottom w:val="single" w:sz="4" w:space="0" w:color="auto"/>
              <w:right w:val="single" w:sz="4" w:space="0" w:color="auto"/>
            </w:tcBorders>
          </w:tcPr>
          <w:p w14:paraId="4DA1CDD9" w14:textId="269D4B2F" w:rsidR="007371FD" w:rsidRPr="003C1CBF" w:rsidRDefault="007371FD" w:rsidP="007371FD">
            <w:pPr>
              <w:rPr>
                <w:rFonts w:eastAsia="MS Mincho" w:cs="Arial"/>
                <w:kern w:val="0"/>
                <w:lang w:val="en-US"/>
                <w14:ligatures w14:val="none"/>
              </w:rPr>
            </w:pPr>
            <w:r>
              <w:rPr>
                <w:rFonts w:cs="Arial"/>
              </w:rPr>
              <w:t>09:00-18:00</w:t>
            </w:r>
          </w:p>
        </w:tc>
        <w:tc>
          <w:tcPr>
            <w:tcW w:w="1244" w:type="dxa"/>
            <w:tcBorders>
              <w:top w:val="single" w:sz="4" w:space="0" w:color="auto"/>
              <w:left w:val="single" w:sz="4" w:space="0" w:color="auto"/>
              <w:bottom w:val="single" w:sz="4" w:space="0" w:color="auto"/>
              <w:right w:val="single" w:sz="4" w:space="0" w:color="auto"/>
            </w:tcBorders>
          </w:tcPr>
          <w:p w14:paraId="5362E89B" w14:textId="475530E7" w:rsidR="007371FD" w:rsidRPr="003C1CBF" w:rsidRDefault="007371FD" w:rsidP="007371FD">
            <w:pPr>
              <w:rPr>
                <w:rFonts w:eastAsia="MS Mincho" w:cs="Arial"/>
                <w:kern w:val="0"/>
                <w:lang w:val="en-US"/>
                <w14:ligatures w14:val="none"/>
              </w:rPr>
            </w:pPr>
            <w:r>
              <w:rPr>
                <w:rFonts w:cs="Arial"/>
              </w:rPr>
              <w:t>Closed</w:t>
            </w:r>
          </w:p>
        </w:tc>
        <w:tc>
          <w:tcPr>
            <w:tcW w:w="1378" w:type="dxa"/>
            <w:tcBorders>
              <w:top w:val="single" w:sz="4" w:space="0" w:color="auto"/>
              <w:left w:val="single" w:sz="4" w:space="0" w:color="auto"/>
              <w:bottom w:val="single" w:sz="4" w:space="0" w:color="auto"/>
              <w:right w:val="single" w:sz="4" w:space="0" w:color="auto"/>
            </w:tcBorders>
          </w:tcPr>
          <w:p w14:paraId="148255EE" w14:textId="3C95D876" w:rsidR="007371FD" w:rsidRPr="003C1CBF" w:rsidRDefault="007371FD" w:rsidP="007371FD">
            <w:pPr>
              <w:rPr>
                <w:rFonts w:eastAsia="MS Mincho" w:cs="Arial"/>
                <w:kern w:val="0"/>
                <w:lang w:val="en-US"/>
                <w14:ligatures w14:val="none"/>
              </w:rPr>
            </w:pPr>
            <w:r>
              <w:rPr>
                <w:rFonts w:cs="Arial"/>
              </w:rPr>
              <w:t>Closed</w:t>
            </w:r>
          </w:p>
        </w:tc>
      </w:tr>
      <w:tr w:rsidR="003C1CBF" w:rsidRPr="003C1CBF" w14:paraId="4473FAC1" w14:textId="77777777" w:rsidTr="00B84D31">
        <w:tc>
          <w:tcPr>
            <w:tcW w:w="1270" w:type="dxa"/>
            <w:vMerge w:val="restart"/>
          </w:tcPr>
          <w:p w14:paraId="6BBC9FC8" w14:textId="77777777" w:rsidR="003C1CBF" w:rsidRPr="003C1CBF" w:rsidRDefault="003C1CBF" w:rsidP="003C1CBF">
            <w:pPr>
              <w:rPr>
                <w:rFonts w:eastAsia="MS Mincho" w:cs="Arial"/>
                <w:kern w:val="0"/>
                <w:lang w:val="en-US"/>
                <w14:ligatures w14:val="none"/>
              </w:rPr>
            </w:pPr>
          </w:p>
          <w:p w14:paraId="3E4AB78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Cwmtawe</w:t>
            </w:r>
          </w:p>
        </w:tc>
        <w:tc>
          <w:tcPr>
            <w:tcW w:w="1551" w:type="dxa"/>
            <w:vMerge w:val="restart"/>
          </w:tcPr>
          <w:p w14:paraId="536F002B" w14:textId="77777777" w:rsidR="003C1CBF" w:rsidRPr="003C1CBF" w:rsidRDefault="003C1CBF" w:rsidP="003C1CBF">
            <w:pPr>
              <w:rPr>
                <w:rFonts w:eastAsia="MS Mincho" w:cs="Arial"/>
                <w:kern w:val="0"/>
                <w:lang w:val="en-US"/>
                <w14:ligatures w14:val="none"/>
              </w:rPr>
            </w:pPr>
          </w:p>
          <w:p w14:paraId="64665AD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Central Pharmacy</w:t>
            </w:r>
          </w:p>
        </w:tc>
        <w:tc>
          <w:tcPr>
            <w:tcW w:w="1197" w:type="dxa"/>
            <w:shd w:val="clear" w:color="auto" w:fill="D9D9D9"/>
          </w:tcPr>
          <w:p w14:paraId="45B7050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Core</w:t>
            </w:r>
          </w:p>
        </w:tc>
        <w:tc>
          <w:tcPr>
            <w:tcW w:w="1204" w:type="dxa"/>
            <w:shd w:val="clear" w:color="auto" w:fill="D9D9D9"/>
          </w:tcPr>
          <w:p w14:paraId="1948B61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157F1E7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550" w:type="dxa"/>
            <w:shd w:val="clear" w:color="auto" w:fill="D9D9D9"/>
          </w:tcPr>
          <w:p w14:paraId="48C0DAA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374" w:type="dxa"/>
            <w:shd w:val="clear" w:color="auto" w:fill="D9D9D9"/>
          </w:tcPr>
          <w:p w14:paraId="29920D1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630C266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44" w:type="dxa"/>
            <w:shd w:val="clear" w:color="auto" w:fill="D9D9D9"/>
          </w:tcPr>
          <w:p w14:paraId="642B415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6A75CE3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71C7A185" w14:textId="77777777" w:rsidTr="00B84D31">
        <w:tc>
          <w:tcPr>
            <w:tcW w:w="1270" w:type="dxa"/>
            <w:vMerge/>
          </w:tcPr>
          <w:p w14:paraId="3067867F" w14:textId="77777777" w:rsidR="003C1CBF" w:rsidRPr="003C1CBF" w:rsidRDefault="003C1CBF" w:rsidP="003C1CBF">
            <w:pPr>
              <w:rPr>
                <w:rFonts w:eastAsia="MS Mincho" w:cs="Arial"/>
                <w:kern w:val="0"/>
                <w:lang w:val="en-US"/>
                <w14:ligatures w14:val="none"/>
              </w:rPr>
            </w:pPr>
          </w:p>
        </w:tc>
        <w:tc>
          <w:tcPr>
            <w:tcW w:w="1551" w:type="dxa"/>
            <w:vMerge/>
          </w:tcPr>
          <w:p w14:paraId="0E9F7B73" w14:textId="77777777" w:rsidR="003C1CBF" w:rsidRPr="003C1CBF" w:rsidRDefault="003C1CBF" w:rsidP="003C1CBF">
            <w:pPr>
              <w:rPr>
                <w:rFonts w:eastAsia="MS Mincho" w:cs="Arial"/>
                <w:kern w:val="0"/>
                <w:lang w:val="en-US"/>
                <w14:ligatures w14:val="none"/>
              </w:rPr>
            </w:pPr>
          </w:p>
        </w:tc>
        <w:tc>
          <w:tcPr>
            <w:tcW w:w="1197" w:type="dxa"/>
          </w:tcPr>
          <w:p w14:paraId="174F9EE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6490D41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232683E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550" w:type="dxa"/>
          </w:tcPr>
          <w:p w14:paraId="179FECB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4" w:type="dxa"/>
          </w:tcPr>
          <w:p w14:paraId="6D483B1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070F8D5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tcPr>
          <w:p w14:paraId="7AAE0E0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025E2BE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412EE713" w14:textId="77777777" w:rsidTr="00B84D31">
        <w:tc>
          <w:tcPr>
            <w:tcW w:w="1270" w:type="dxa"/>
            <w:vMerge w:val="restart"/>
          </w:tcPr>
          <w:p w14:paraId="128C72A4" w14:textId="77777777" w:rsidR="003C1CBF" w:rsidRPr="003C1CBF" w:rsidRDefault="003C1CBF" w:rsidP="003C1CBF">
            <w:pPr>
              <w:rPr>
                <w:rFonts w:eastAsia="MS Mincho" w:cs="Arial"/>
                <w:kern w:val="0"/>
                <w:lang w:val="en-US"/>
                <w14:ligatures w14:val="none"/>
              </w:rPr>
            </w:pPr>
          </w:p>
          <w:p w14:paraId="3116C9C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Cwmtawe</w:t>
            </w:r>
          </w:p>
        </w:tc>
        <w:tc>
          <w:tcPr>
            <w:tcW w:w="1551" w:type="dxa"/>
            <w:vMerge w:val="restart"/>
          </w:tcPr>
          <w:p w14:paraId="5247CD14" w14:textId="77777777" w:rsidR="003C1CBF" w:rsidRPr="003C1CBF" w:rsidRDefault="003C1CBF" w:rsidP="003C1CBF">
            <w:pPr>
              <w:rPr>
                <w:rFonts w:eastAsia="MS Mincho" w:cs="Arial"/>
                <w:kern w:val="0"/>
                <w:lang w:val="en-US"/>
                <w14:ligatures w14:val="none"/>
              </w:rPr>
            </w:pPr>
          </w:p>
          <w:p w14:paraId="279366C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Clydach Health Centre Pharmacy</w:t>
            </w:r>
          </w:p>
        </w:tc>
        <w:tc>
          <w:tcPr>
            <w:tcW w:w="1197" w:type="dxa"/>
            <w:shd w:val="clear" w:color="auto" w:fill="D9D9D9"/>
          </w:tcPr>
          <w:p w14:paraId="5CDB03C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592D1CE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09:00-12:30 / 13:30-17:30</w:t>
            </w:r>
          </w:p>
        </w:tc>
        <w:tc>
          <w:tcPr>
            <w:tcW w:w="1205" w:type="dxa"/>
            <w:shd w:val="clear" w:color="auto" w:fill="D9D9D9"/>
          </w:tcPr>
          <w:p w14:paraId="32BA661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09:00-12:30 / 13:30-17:30</w:t>
            </w:r>
          </w:p>
        </w:tc>
        <w:tc>
          <w:tcPr>
            <w:tcW w:w="1550" w:type="dxa"/>
            <w:shd w:val="clear" w:color="auto" w:fill="D9D9D9"/>
          </w:tcPr>
          <w:p w14:paraId="33EB6596" w14:textId="201EBF96"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09:00-12:30 13:30-17:30</w:t>
            </w:r>
          </w:p>
        </w:tc>
        <w:tc>
          <w:tcPr>
            <w:tcW w:w="1374" w:type="dxa"/>
            <w:shd w:val="clear" w:color="auto" w:fill="D9D9D9"/>
          </w:tcPr>
          <w:p w14:paraId="68A4EE2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09:00-12:30 / 13:30-17:30</w:t>
            </w:r>
          </w:p>
        </w:tc>
        <w:tc>
          <w:tcPr>
            <w:tcW w:w="1205" w:type="dxa"/>
            <w:shd w:val="clear" w:color="auto" w:fill="D9D9D9"/>
          </w:tcPr>
          <w:p w14:paraId="1A52278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shd w:val="clear" w:color="auto" w:fill="D9D9D9"/>
          </w:tcPr>
          <w:p w14:paraId="5CC2AD6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09:00-11:30</w:t>
            </w:r>
          </w:p>
        </w:tc>
        <w:tc>
          <w:tcPr>
            <w:tcW w:w="1378" w:type="dxa"/>
            <w:shd w:val="clear" w:color="auto" w:fill="D9D9D9"/>
          </w:tcPr>
          <w:p w14:paraId="3382EF9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77861C86" w14:textId="77777777" w:rsidTr="00B84D31">
        <w:tc>
          <w:tcPr>
            <w:tcW w:w="1270" w:type="dxa"/>
            <w:vMerge/>
          </w:tcPr>
          <w:p w14:paraId="3F638E9B" w14:textId="77777777" w:rsidR="003C1CBF" w:rsidRPr="003C1CBF" w:rsidRDefault="003C1CBF" w:rsidP="003C1CBF">
            <w:pPr>
              <w:rPr>
                <w:rFonts w:eastAsia="MS Mincho" w:cs="Arial"/>
                <w:kern w:val="0"/>
                <w:lang w:val="en-US"/>
                <w14:ligatures w14:val="none"/>
              </w:rPr>
            </w:pPr>
          </w:p>
        </w:tc>
        <w:tc>
          <w:tcPr>
            <w:tcW w:w="1551" w:type="dxa"/>
            <w:vMerge/>
          </w:tcPr>
          <w:p w14:paraId="6962ADD1" w14:textId="77777777" w:rsidR="003C1CBF" w:rsidRPr="003C1CBF" w:rsidRDefault="003C1CBF" w:rsidP="003C1CBF">
            <w:pPr>
              <w:rPr>
                <w:rFonts w:eastAsia="MS Mincho" w:cs="Arial"/>
                <w:kern w:val="0"/>
                <w:lang w:val="en-US"/>
                <w14:ligatures w14:val="none"/>
              </w:rPr>
            </w:pPr>
          </w:p>
        </w:tc>
        <w:tc>
          <w:tcPr>
            <w:tcW w:w="1197" w:type="dxa"/>
          </w:tcPr>
          <w:p w14:paraId="09B31F2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37BE775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20F5984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550" w:type="dxa"/>
          </w:tcPr>
          <w:p w14:paraId="08DFBAC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4" w:type="dxa"/>
          </w:tcPr>
          <w:p w14:paraId="0A0E309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5D6B4D8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tcPr>
          <w:p w14:paraId="7889F5C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tcPr>
          <w:p w14:paraId="5FA5D26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5A08CC94" w14:textId="77777777" w:rsidTr="00B84D31">
        <w:tc>
          <w:tcPr>
            <w:tcW w:w="1270" w:type="dxa"/>
            <w:vMerge w:val="restart"/>
          </w:tcPr>
          <w:p w14:paraId="6F012FB9" w14:textId="77777777" w:rsidR="003C1CBF" w:rsidRPr="003C1CBF" w:rsidRDefault="003C1CBF" w:rsidP="003C1CBF">
            <w:pPr>
              <w:rPr>
                <w:rFonts w:eastAsia="MS Mincho" w:cs="Arial"/>
                <w:kern w:val="0"/>
                <w:lang w:val="en-US"/>
                <w14:ligatures w14:val="none"/>
              </w:rPr>
            </w:pPr>
          </w:p>
          <w:p w14:paraId="1B90AD8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Cwmtawe</w:t>
            </w:r>
          </w:p>
        </w:tc>
        <w:tc>
          <w:tcPr>
            <w:tcW w:w="1551" w:type="dxa"/>
            <w:vMerge w:val="restart"/>
          </w:tcPr>
          <w:p w14:paraId="185E5F2D" w14:textId="77777777" w:rsidR="003C1CBF" w:rsidRPr="003C1CBF" w:rsidRDefault="003C1CBF" w:rsidP="003C1CBF">
            <w:pPr>
              <w:rPr>
                <w:rFonts w:eastAsia="MS Mincho" w:cs="Arial"/>
                <w:kern w:val="0"/>
                <w:lang w:val="en-US"/>
                <w14:ligatures w14:val="none"/>
              </w:rPr>
            </w:pPr>
          </w:p>
          <w:p w14:paraId="7776053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Llansamlet Pharmacy</w:t>
            </w:r>
          </w:p>
        </w:tc>
        <w:tc>
          <w:tcPr>
            <w:tcW w:w="1197" w:type="dxa"/>
            <w:shd w:val="clear" w:color="auto" w:fill="D9D9D9"/>
          </w:tcPr>
          <w:p w14:paraId="05B3980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55DB23A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52F457F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550" w:type="dxa"/>
            <w:shd w:val="clear" w:color="auto" w:fill="D9D9D9"/>
          </w:tcPr>
          <w:p w14:paraId="02E0BBA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374" w:type="dxa"/>
            <w:shd w:val="clear" w:color="auto" w:fill="D9D9D9"/>
          </w:tcPr>
          <w:p w14:paraId="028C1D1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54439A0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44" w:type="dxa"/>
            <w:shd w:val="clear" w:color="auto" w:fill="D9D9D9"/>
          </w:tcPr>
          <w:p w14:paraId="4079A7C7" w14:textId="77777777" w:rsidR="003C1CBF" w:rsidRPr="003C1CBF" w:rsidRDefault="003C1CBF" w:rsidP="003C1CBF">
            <w:pPr>
              <w:rPr>
                <w:rFonts w:eastAsia="MS Mincho" w:cs="Arial"/>
                <w:kern w:val="0"/>
                <w:lang w:val="en-US"/>
                <w14:ligatures w14:val="none"/>
              </w:rPr>
            </w:pPr>
          </w:p>
        </w:tc>
        <w:tc>
          <w:tcPr>
            <w:tcW w:w="1378" w:type="dxa"/>
            <w:shd w:val="clear" w:color="auto" w:fill="D9D9D9"/>
          </w:tcPr>
          <w:p w14:paraId="1626654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44520F91" w14:textId="77777777" w:rsidTr="00B84D31">
        <w:tc>
          <w:tcPr>
            <w:tcW w:w="1270" w:type="dxa"/>
            <w:vMerge/>
          </w:tcPr>
          <w:p w14:paraId="1E9D3DE8" w14:textId="77777777" w:rsidR="003C1CBF" w:rsidRPr="003C1CBF" w:rsidRDefault="003C1CBF" w:rsidP="003C1CBF">
            <w:pPr>
              <w:rPr>
                <w:rFonts w:eastAsia="MS Mincho" w:cs="Arial"/>
                <w:kern w:val="0"/>
                <w:lang w:val="en-US"/>
                <w14:ligatures w14:val="none"/>
              </w:rPr>
            </w:pPr>
          </w:p>
        </w:tc>
        <w:tc>
          <w:tcPr>
            <w:tcW w:w="1551" w:type="dxa"/>
            <w:vMerge/>
          </w:tcPr>
          <w:p w14:paraId="115CB597" w14:textId="77777777" w:rsidR="003C1CBF" w:rsidRPr="003C1CBF" w:rsidRDefault="003C1CBF" w:rsidP="003C1CBF">
            <w:pPr>
              <w:rPr>
                <w:rFonts w:eastAsia="MS Mincho" w:cs="Arial"/>
                <w:kern w:val="0"/>
                <w:lang w:val="en-US"/>
                <w14:ligatures w14:val="none"/>
              </w:rPr>
            </w:pPr>
          </w:p>
        </w:tc>
        <w:tc>
          <w:tcPr>
            <w:tcW w:w="1197" w:type="dxa"/>
          </w:tcPr>
          <w:p w14:paraId="2CAF203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5572FCC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05" w:type="dxa"/>
          </w:tcPr>
          <w:p w14:paraId="375907C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550" w:type="dxa"/>
          </w:tcPr>
          <w:p w14:paraId="6D8B7BA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374" w:type="dxa"/>
          </w:tcPr>
          <w:p w14:paraId="1B13E89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05" w:type="dxa"/>
          </w:tcPr>
          <w:p w14:paraId="65CF062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44" w:type="dxa"/>
          </w:tcPr>
          <w:p w14:paraId="522B03F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tcPr>
          <w:p w14:paraId="57431A3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72B1E384" w14:textId="77777777" w:rsidTr="00B84D31">
        <w:tc>
          <w:tcPr>
            <w:tcW w:w="1270" w:type="dxa"/>
            <w:vMerge w:val="restart"/>
          </w:tcPr>
          <w:p w14:paraId="1B2C081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Cwmtawe</w:t>
            </w:r>
          </w:p>
        </w:tc>
        <w:tc>
          <w:tcPr>
            <w:tcW w:w="1551" w:type="dxa"/>
            <w:vMerge w:val="restart"/>
          </w:tcPr>
          <w:p w14:paraId="0340239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Morriston Pharmacy</w:t>
            </w:r>
          </w:p>
        </w:tc>
        <w:tc>
          <w:tcPr>
            <w:tcW w:w="1197" w:type="dxa"/>
            <w:shd w:val="clear" w:color="auto" w:fill="D9D9D9"/>
          </w:tcPr>
          <w:p w14:paraId="4EA236A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401702C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4DD35F6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550" w:type="dxa"/>
            <w:shd w:val="clear" w:color="auto" w:fill="D9D9D9"/>
          </w:tcPr>
          <w:p w14:paraId="410069C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374" w:type="dxa"/>
            <w:shd w:val="clear" w:color="auto" w:fill="D9D9D9"/>
          </w:tcPr>
          <w:p w14:paraId="47E601C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5DE01CD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44" w:type="dxa"/>
            <w:shd w:val="clear" w:color="auto" w:fill="D9D9D9"/>
          </w:tcPr>
          <w:p w14:paraId="79C0531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6241003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8065A9E" w14:textId="77777777" w:rsidTr="00B84D31">
        <w:tc>
          <w:tcPr>
            <w:tcW w:w="1270" w:type="dxa"/>
            <w:vMerge/>
          </w:tcPr>
          <w:p w14:paraId="2D723F3B" w14:textId="77777777" w:rsidR="003C1CBF" w:rsidRPr="003C1CBF" w:rsidRDefault="003C1CBF" w:rsidP="003C1CBF">
            <w:pPr>
              <w:rPr>
                <w:rFonts w:eastAsia="MS Mincho" w:cs="Arial"/>
                <w:kern w:val="0"/>
                <w:lang w:val="en-US"/>
                <w14:ligatures w14:val="none"/>
              </w:rPr>
            </w:pPr>
          </w:p>
        </w:tc>
        <w:tc>
          <w:tcPr>
            <w:tcW w:w="1551" w:type="dxa"/>
            <w:vMerge/>
          </w:tcPr>
          <w:p w14:paraId="12F09314" w14:textId="77777777" w:rsidR="003C1CBF" w:rsidRPr="003C1CBF" w:rsidRDefault="003C1CBF" w:rsidP="003C1CBF">
            <w:pPr>
              <w:rPr>
                <w:rFonts w:eastAsia="MS Mincho" w:cs="Arial"/>
                <w:kern w:val="0"/>
                <w:lang w:val="en-US"/>
                <w14:ligatures w14:val="none"/>
              </w:rPr>
            </w:pPr>
          </w:p>
        </w:tc>
        <w:tc>
          <w:tcPr>
            <w:tcW w:w="1197" w:type="dxa"/>
          </w:tcPr>
          <w:p w14:paraId="3247152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6C04079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71A3CDB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550" w:type="dxa"/>
          </w:tcPr>
          <w:p w14:paraId="34180FF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4" w:type="dxa"/>
          </w:tcPr>
          <w:p w14:paraId="1A28736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1CDF407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tcPr>
          <w:p w14:paraId="3BB98C4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584707E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C631575" w14:textId="77777777" w:rsidTr="00B84D31">
        <w:tc>
          <w:tcPr>
            <w:tcW w:w="1270" w:type="dxa"/>
            <w:vMerge w:val="restart"/>
          </w:tcPr>
          <w:p w14:paraId="66CF405B" w14:textId="77777777" w:rsidR="003C1CBF" w:rsidRPr="003C1CBF" w:rsidRDefault="003C1CBF" w:rsidP="003C1CBF">
            <w:pPr>
              <w:rPr>
                <w:rFonts w:eastAsia="MS Mincho" w:cs="Arial"/>
                <w:kern w:val="0"/>
                <w:lang w:val="en-US"/>
                <w14:ligatures w14:val="none"/>
              </w:rPr>
            </w:pPr>
          </w:p>
          <w:p w14:paraId="37E4BE8C" w14:textId="77777777" w:rsidR="003C1CBF" w:rsidRPr="003C1CBF" w:rsidRDefault="003C1CBF" w:rsidP="003C1CBF">
            <w:pPr>
              <w:rPr>
                <w:rFonts w:eastAsia="MS Mincho" w:cs="Arial"/>
                <w:kern w:val="0"/>
                <w:lang w:val="en-US"/>
                <w14:ligatures w14:val="none"/>
              </w:rPr>
            </w:pPr>
          </w:p>
          <w:p w14:paraId="5D6ED26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Cwmtawe</w:t>
            </w:r>
          </w:p>
        </w:tc>
        <w:tc>
          <w:tcPr>
            <w:tcW w:w="1551" w:type="dxa"/>
            <w:vMerge w:val="restart"/>
          </w:tcPr>
          <w:p w14:paraId="7F89C50D" w14:textId="77777777" w:rsidR="003C1CBF" w:rsidRPr="003C1CBF" w:rsidRDefault="003C1CBF" w:rsidP="003C1CBF">
            <w:pPr>
              <w:rPr>
                <w:rFonts w:eastAsia="MS Mincho" w:cs="Arial"/>
                <w:kern w:val="0"/>
                <w:lang w:val="en-US"/>
                <w14:ligatures w14:val="none"/>
              </w:rPr>
            </w:pPr>
          </w:p>
          <w:p w14:paraId="6359808D" w14:textId="77777777" w:rsidR="003C1CBF" w:rsidRPr="003C1CBF" w:rsidRDefault="003C1CBF" w:rsidP="003C1CBF">
            <w:pPr>
              <w:rPr>
                <w:rFonts w:eastAsia="MS Mincho" w:cs="Arial"/>
                <w:kern w:val="0"/>
                <w:lang w:val="en-US"/>
                <w14:ligatures w14:val="none"/>
              </w:rPr>
            </w:pPr>
          </w:p>
          <w:p w14:paraId="7BA592B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Strawberry Place</w:t>
            </w:r>
          </w:p>
        </w:tc>
        <w:tc>
          <w:tcPr>
            <w:tcW w:w="1197" w:type="dxa"/>
            <w:shd w:val="clear" w:color="auto" w:fill="D9D9D9"/>
          </w:tcPr>
          <w:p w14:paraId="19FB3D9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5677B20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08:30-13:00 / 14:00-17:30</w:t>
            </w:r>
          </w:p>
        </w:tc>
        <w:tc>
          <w:tcPr>
            <w:tcW w:w="1205" w:type="dxa"/>
            <w:shd w:val="clear" w:color="auto" w:fill="D9D9D9"/>
          </w:tcPr>
          <w:p w14:paraId="48F5E2B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08:30-13:00 / 14:00-17:30</w:t>
            </w:r>
          </w:p>
        </w:tc>
        <w:tc>
          <w:tcPr>
            <w:tcW w:w="1550" w:type="dxa"/>
            <w:shd w:val="clear" w:color="auto" w:fill="D9D9D9"/>
          </w:tcPr>
          <w:p w14:paraId="1C07E326" w14:textId="1E01B26C"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08:30-13:00 14:00-17:30</w:t>
            </w:r>
          </w:p>
        </w:tc>
        <w:tc>
          <w:tcPr>
            <w:tcW w:w="1374" w:type="dxa"/>
            <w:shd w:val="clear" w:color="auto" w:fill="D9D9D9"/>
          </w:tcPr>
          <w:p w14:paraId="75A1D9A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08:30-13:00 / 14:00-17:30</w:t>
            </w:r>
          </w:p>
        </w:tc>
        <w:tc>
          <w:tcPr>
            <w:tcW w:w="1205" w:type="dxa"/>
            <w:shd w:val="clear" w:color="auto" w:fill="D9D9D9"/>
          </w:tcPr>
          <w:p w14:paraId="5D27EC5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08:30-17:30</w:t>
            </w:r>
          </w:p>
        </w:tc>
        <w:tc>
          <w:tcPr>
            <w:tcW w:w="1244" w:type="dxa"/>
            <w:shd w:val="clear" w:color="auto" w:fill="D9D9D9"/>
          </w:tcPr>
          <w:p w14:paraId="5FA32F4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125AB1C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4780CD31" w14:textId="77777777" w:rsidTr="00B84D31">
        <w:tc>
          <w:tcPr>
            <w:tcW w:w="1270" w:type="dxa"/>
            <w:vMerge/>
          </w:tcPr>
          <w:p w14:paraId="403AEE23" w14:textId="77777777" w:rsidR="003C1CBF" w:rsidRPr="003C1CBF" w:rsidRDefault="003C1CBF" w:rsidP="003C1CBF">
            <w:pPr>
              <w:rPr>
                <w:rFonts w:eastAsia="MS Mincho" w:cs="Arial"/>
                <w:kern w:val="0"/>
                <w:lang w:val="en-US"/>
                <w14:ligatures w14:val="none"/>
              </w:rPr>
            </w:pPr>
          </w:p>
        </w:tc>
        <w:tc>
          <w:tcPr>
            <w:tcW w:w="1551" w:type="dxa"/>
            <w:vMerge/>
          </w:tcPr>
          <w:p w14:paraId="2FCE9D3E" w14:textId="77777777" w:rsidR="003C1CBF" w:rsidRPr="003C1CBF" w:rsidRDefault="003C1CBF" w:rsidP="003C1CBF">
            <w:pPr>
              <w:rPr>
                <w:rFonts w:eastAsia="MS Mincho" w:cs="Arial"/>
                <w:kern w:val="0"/>
                <w:lang w:val="en-US"/>
                <w14:ligatures w14:val="none"/>
              </w:rPr>
            </w:pPr>
          </w:p>
        </w:tc>
        <w:tc>
          <w:tcPr>
            <w:tcW w:w="1197" w:type="dxa"/>
          </w:tcPr>
          <w:p w14:paraId="247315E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6E1C62E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08:30-17:30</w:t>
            </w:r>
          </w:p>
        </w:tc>
        <w:tc>
          <w:tcPr>
            <w:tcW w:w="1205" w:type="dxa"/>
          </w:tcPr>
          <w:p w14:paraId="520C5C1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08:30-17:30</w:t>
            </w:r>
          </w:p>
        </w:tc>
        <w:tc>
          <w:tcPr>
            <w:tcW w:w="1550" w:type="dxa"/>
          </w:tcPr>
          <w:p w14:paraId="3F36B6F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08:30-17:30</w:t>
            </w:r>
          </w:p>
        </w:tc>
        <w:tc>
          <w:tcPr>
            <w:tcW w:w="1374" w:type="dxa"/>
          </w:tcPr>
          <w:p w14:paraId="3115702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08:30-17:30</w:t>
            </w:r>
          </w:p>
        </w:tc>
        <w:tc>
          <w:tcPr>
            <w:tcW w:w="1205" w:type="dxa"/>
          </w:tcPr>
          <w:p w14:paraId="1E7B726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08:30-17:30</w:t>
            </w:r>
          </w:p>
        </w:tc>
        <w:tc>
          <w:tcPr>
            <w:tcW w:w="1244" w:type="dxa"/>
          </w:tcPr>
          <w:p w14:paraId="00E015F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2FB82C1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7D4EFB1E" w14:textId="77777777" w:rsidTr="00B84D31">
        <w:tc>
          <w:tcPr>
            <w:tcW w:w="1270" w:type="dxa"/>
            <w:vMerge w:val="restart"/>
          </w:tcPr>
          <w:p w14:paraId="334CBDC9" w14:textId="77777777" w:rsidR="003C1CBF" w:rsidRPr="003C1CBF" w:rsidRDefault="003C1CBF" w:rsidP="003C1CBF">
            <w:pPr>
              <w:rPr>
                <w:rFonts w:eastAsia="MS Mincho" w:cs="Arial"/>
                <w:kern w:val="0"/>
                <w:lang w:val="en-US"/>
                <w14:ligatures w14:val="none"/>
              </w:rPr>
            </w:pPr>
          </w:p>
          <w:p w14:paraId="2219963F" w14:textId="77777777" w:rsidR="003C1CBF" w:rsidRPr="003C1CBF" w:rsidRDefault="003C1CBF" w:rsidP="003C1CBF">
            <w:pPr>
              <w:rPr>
                <w:rFonts w:eastAsia="MS Mincho" w:cs="Arial"/>
                <w:kern w:val="0"/>
                <w:lang w:val="en-US"/>
                <w14:ligatures w14:val="none"/>
              </w:rPr>
            </w:pPr>
          </w:p>
          <w:p w14:paraId="4AA5BAA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Cwmtawe</w:t>
            </w:r>
          </w:p>
        </w:tc>
        <w:tc>
          <w:tcPr>
            <w:tcW w:w="1551" w:type="dxa"/>
            <w:vMerge w:val="restart"/>
          </w:tcPr>
          <w:p w14:paraId="52F5F18E" w14:textId="77777777" w:rsidR="003C1CBF" w:rsidRPr="003C1CBF" w:rsidRDefault="003C1CBF" w:rsidP="003C1CBF">
            <w:pPr>
              <w:rPr>
                <w:rFonts w:eastAsia="MS Mincho" w:cs="Arial"/>
                <w:kern w:val="0"/>
                <w:lang w:val="en-US"/>
                <w14:ligatures w14:val="none"/>
              </w:rPr>
            </w:pPr>
          </w:p>
          <w:p w14:paraId="4040B578" w14:textId="77777777" w:rsidR="003C1CBF" w:rsidRPr="003C1CBF" w:rsidRDefault="003C1CBF" w:rsidP="003C1CBF">
            <w:pPr>
              <w:rPr>
                <w:rFonts w:eastAsia="MS Mincho" w:cs="Arial"/>
                <w:kern w:val="0"/>
                <w:lang w:val="en-US"/>
                <w14:ligatures w14:val="none"/>
              </w:rPr>
            </w:pPr>
          </w:p>
          <w:p w14:paraId="0D7E911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Clase</w:t>
            </w:r>
          </w:p>
        </w:tc>
        <w:tc>
          <w:tcPr>
            <w:tcW w:w="1197" w:type="dxa"/>
            <w:shd w:val="clear" w:color="auto" w:fill="D9D9D9"/>
          </w:tcPr>
          <w:p w14:paraId="4B91DB2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35923EC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467FA55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29F80D1F" w14:textId="5B8F382F"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shd w:val="clear" w:color="auto" w:fill="D9D9D9"/>
          </w:tcPr>
          <w:p w14:paraId="2C1C2F6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50539E1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32E5CFF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35684C9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5C50A368" w14:textId="77777777" w:rsidTr="00B84D31">
        <w:tc>
          <w:tcPr>
            <w:tcW w:w="1270" w:type="dxa"/>
            <w:vMerge/>
          </w:tcPr>
          <w:p w14:paraId="5A04ABED" w14:textId="77777777" w:rsidR="003C1CBF" w:rsidRPr="003C1CBF" w:rsidRDefault="003C1CBF" w:rsidP="003C1CBF">
            <w:pPr>
              <w:rPr>
                <w:rFonts w:eastAsia="MS Mincho" w:cs="Arial"/>
                <w:kern w:val="0"/>
                <w:lang w:val="en-US"/>
                <w14:ligatures w14:val="none"/>
              </w:rPr>
            </w:pPr>
          </w:p>
        </w:tc>
        <w:tc>
          <w:tcPr>
            <w:tcW w:w="1551" w:type="dxa"/>
            <w:vMerge/>
          </w:tcPr>
          <w:p w14:paraId="00449106" w14:textId="77777777" w:rsidR="003C1CBF" w:rsidRPr="003C1CBF" w:rsidRDefault="003C1CBF" w:rsidP="003C1CBF">
            <w:pPr>
              <w:rPr>
                <w:rFonts w:eastAsia="MS Mincho" w:cs="Arial"/>
                <w:kern w:val="0"/>
                <w:lang w:val="en-US"/>
                <w14:ligatures w14:val="none"/>
              </w:rPr>
            </w:pPr>
          </w:p>
        </w:tc>
        <w:tc>
          <w:tcPr>
            <w:tcW w:w="1197" w:type="dxa"/>
          </w:tcPr>
          <w:p w14:paraId="617C323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749EB00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13:30-18:00</w:t>
            </w:r>
          </w:p>
        </w:tc>
        <w:tc>
          <w:tcPr>
            <w:tcW w:w="1205" w:type="dxa"/>
          </w:tcPr>
          <w:p w14:paraId="06D3310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13:30-18:00</w:t>
            </w:r>
          </w:p>
        </w:tc>
        <w:tc>
          <w:tcPr>
            <w:tcW w:w="1550" w:type="dxa"/>
          </w:tcPr>
          <w:p w14:paraId="6F0C3CB1" w14:textId="50BB8443"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13:30-18:00</w:t>
            </w:r>
          </w:p>
        </w:tc>
        <w:tc>
          <w:tcPr>
            <w:tcW w:w="1374" w:type="dxa"/>
          </w:tcPr>
          <w:p w14:paraId="4381552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13:30-18:00</w:t>
            </w:r>
          </w:p>
        </w:tc>
        <w:tc>
          <w:tcPr>
            <w:tcW w:w="1205" w:type="dxa"/>
          </w:tcPr>
          <w:p w14:paraId="53AB8C2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772CCB1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0C776B0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1A577BC9" w14:textId="77777777" w:rsidTr="00B84D31">
        <w:tc>
          <w:tcPr>
            <w:tcW w:w="1270" w:type="dxa"/>
            <w:vMerge w:val="restart"/>
          </w:tcPr>
          <w:p w14:paraId="1C99C6C4" w14:textId="77777777" w:rsidR="003C1CBF" w:rsidRPr="003C1CBF" w:rsidRDefault="003C1CBF" w:rsidP="003C1CBF">
            <w:pPr>
              <w:rPr>
                <w:rFonts w:eastAsia="MS Mincho" w:cs="Arial"/>
                <w:kern w:val="0"/>
                <w:lang w:val="en-US"/>
                <w14:ligatures w14:val="none"/>
              </w:rPr>
            </w:pPr>
          </w:p>
          <w:p w14:paraId="526B1BF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Cwmtawe</w:t>
            </w:r>
          </w:p>
        </w:tc>
        <w:tc>
          <w:tcPr>
            <w:tcW w:w="1551" w:type="dxa"/>
            <w:vMerge w:val="restart"/>
          </w:tcPr>
          <w:p w14:paraId="721C35CE" w14:textId="77777777" w:rsidR="003C1CBF" w:rsidRPr="003C1CBF" w:rsidRDefault="003C1CBF" w:rsidP="003C1CBF">
            <w:pPr>
              <w:rPr>
                <w:rFonts w:eastAsia="MS Mincho" w:cs="Arial"/>
                <w:kern w:val="0"/>
                <w:lang w:val="en-US"/>
                <w14:ligatures w14:val="none"/>
              </w:rPr>
            </w:pPr>
          </w:p>
          <w:p w14:paraId="3F491BB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Morriston</w:t>
            </w:r>
          </w:p>
        </w:tc>
        <w:tc>
          <w:tcPr>
            <w:tcW w:w="1197" w:type="dxa"/>
            <w:shd w:val="clear" w:color="auto" w:fill="D9D9D9"/>
          </w:tcPr>
          <w:p w14:paraId="72B838E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206AF8F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09:00-13:30 / 14:00-17:30</w:t>
            </w:r>
          </w:p>
        </w:tc>
        <w:tc>
          <w:tcPr>
            <w:tcW w:w="1205" w:type="dxa"/>
            <w:shd w:val="clear" w:color="auto" w:fill="D9D9D9"/>
          </w:tcPr>
          <w:p w14:paraId="42DCE9E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09:00-13:30 / 14:00-17:30</w:t>
            </w:r>
          </w:p>
        </w:tc>
        <w:tc>
          <w:tcPr>
            <w:tcW w:w="1550" w:type="dxa"/>
            <w:shd w:val="clear" w:color="auto" w:fill="D9D9D9"/>
          </w:tcPr>
          <w:p w14:paraId="300701AA" w14:textId="2680FEAE"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09:00-13:30 14:00-17:30</w:t>
            </w:r>
          </w:p>
        </w:tc>
        <w:tc>
          <w:tcPr>
            <w:tcW w:w="1374" w:type="dxa"/>
            <w:shd w:val="clear" w:color="auto" w:fill="D9D9D9"/>
          </w:tcPr>
          <w:p w14:paraId="17D7A51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09:00-13:30 / 14:00-17:30</w:t>
            </w:r>
          </w:p>
        </w:tc>
        <w:tc>
          <w:tcPr>
            <w:tcW w:w="1205" w:type="dxa"/>
            <w:shd w:val="clear" w:color="auto" w:fill="D9D9D9"/>
          </w:tcPr>
          <w:p w14:paraId="46E4032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shd w:val="clear" w:color="auto" w:fill="D9D9D9"/>
          </w:tcPr>
          <w:p w14:paraId="345A76D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0D8DF75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046EBA69" w14:textId="77777777" w:rsidTr="00B84D31">
        <w:tc>
          <w:tcPr>
            <w:tcW w:w="1270" w:type="dxa"/>
            <w:vMerge/>
          </w:tcPr>
          <w:p w14:paraId="29348F0F" w14:textId="77777777" w:rsidR="003C1CBF" w:rsidRPr="003C1CBF" w:rsidRDefault="003C1CBF" w:rsidP="003C1CBF">
            <w:pPr>
              <w:rPr>
                <w:rFonts w:eastAsia="MS Mincho" w:cs="Arial"/>
                <w:kern w:val="0"/>
                <w:lang w:val="en-US"/>
                <w14:ligatures w14:val="none"/>
              </w:rPr>
            </w:pPr>
          </w:p>
        </w:tc>
        <w:tc>
          <w:tcPr>
            <w:tcW w:w="1551" w:type="dxa"/>
            <w:vMerge/>
          </w:tcPr>
          <w:p w14:paraId="6060FF66" w14:textId="77777777" w:rsidR="003C1CBF" w:rsidRPr="003C1CBF" w:rsidRDefault="003C1CBF" w:rsidP="003C1CBF">
            <w:pPr>
              <w:rPr>
                <w:rFonts w:eastAsia="MS Mincho" w:cs="Arial"/>
                <w:kern w:val="0"/>
                <w:lang w:val="en-US"/>
                <w14:ligatures w14:val="none"/>
              </w:rPr>
            </w:pPr>
          </w:p>
        </w:tc>
        <w:tc>
          <w:tcPr>
            <w:tcW w:w="1197" w:type="dxa"/>
          </w:tcPr>
          <w:p w14:paraId="0432DAC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2E00AFC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6B64662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550" w:type="dxa"/>
          </w:tcPr>
          <w:p w14:paraId="05B069A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4" w:type="dxa"/>
          </w:tcPr>
          <w:p w14:paraId="5BD1B9A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17CD20C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tcPr>
          <w:p w14:paraId="336F409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4E0DD9F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49D447E8" w14:textId="77777777" w:rsidTr="00B84D31">
        <w:tc>
          <w:tcPr>
            <w:tcW w:w="1270" w:type="dxa"/>
            <w:vMerge w:val="restart"/>
          </w:tcPr>
          <w:p w14:paraId="26F2090A" w14:textId="77777777" w:rsidR="003C1CBF" w:rsidRPr="003C1CBF" w:rsidRDefault="003C1CBF" w:rsidP="003C1CBF">
            <w:pPr>
              <w:rPr>
                <w:rFonts w:eastAsia="MS Mincho" w:cs="Arial"/>
                <w:kern w:val="0"/>
                <w:lang w:val="en-US"/>
                <w14:ligatures w14:val="none"/>
              </w:rPr>
            </w:pPr>
          </w:p>
          <w:p w14:paraId="2E5195A2" w14:textId="77777777" w:rsidR="003C1CBF" w:rsidRPr="003C1CBF" w:rsidRDefault="003C1CBF" w:rsidP="003C1CBF">
            <w:pPr>
              <w:rPr>
                <w:rFonts w:eastAsia="MS Mincho" w:cs="Arial"/>
                <w:kern w:val="0"/>
                <w:lang w:val="en-US"/>
                <w14:ligatures w14:val="none"/>
              </w:rPr>
            </w:pPr>
          </w:p>
          <w:p w14:paraId="0AE628E5" w14:textId="77777777" w:rsidR="003C1CBF" w:rsidRPr="003C1CBF" w:rsidRDefault="003C1CBF" w:rsidP="003C1CBF">
            <w:pPr>
              <w:rPr>
                <w:rFonts w:eastAsia="MS Mincho" w:cs="Arial"/>
                <w:kern w:val="0"/>
                <w:lang w:val="en-US"/>
                <w14:ligatures w14:val="none"/>
              </w:rPr>
            </w:pPr>
          </w:p>
          <w:p w14:paraId="3ABB7FC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Llwchwr</w:t>
            </w:r>
          </w:p>
        </w:tc>
        <w:tc>
          <w:tcPr>
            <w:tcW w:w="1551" w:type="dxa"/>
            <w:vMerge w:val="restart"/>
          </w:tcPr>
          <w:p w14:paraId="4621E409" w14:textId="77777777" w:rsidR="003C1CBF" w:rsidRPr="003C1CBF" w:rsidRDefault="003C1CBF" w:rsidP="003C1CBF">
            <w:pPr>
              <w:rPr>
                <w:rFonts w:eastAsia="MS Mincho" w:cs="Arial"/>
                <w:kern w:val="0"/>
                <w:lang w:val="en-US"/>
                <w14:ligatures w14:val="none"/>
              </w:rPr>
            </w:pPr>
          </w:p>
          <w:p w14:paraId="1D3618F2" w14:textId="77777777" w:rsidR="003C1CBF" w:rsidRPr="003C1CBF" w:rsidRDefault="003C1CBF" w:rsidP="003C1CBF">
            <w:pPr>
              <w:rPr>
                <w:rFonts w:eastAsia="MS Mincho" w:cs="Arial"/>
                <w:kern w:val="0"/>
                <w:lang w:val="en-US"/>
                <w14:ligatures w14:val="none"/>
              </w:rPr>
            </w:pPr>
          </w:p>
          <w:p w14:paraId="3F67B011" w14:textId="77777777" w:rsidR="003C1CBF" w:rsidRPr="003C1CBF" w:rsidRDefault="003C1CBF" w:rsidP="003C1CBF">
            <w:pPr>
              <w:rPr>
                <w:rFonts w:eastAsia="MS Mincho" w:cs="Arial"/>
                <w:kern w:val="0"/>
                <w:lang w:val="en-US"/>
                <w14:ligatures w14:val="none"/>
              </w:rPr>
            </w:pPr>
          </w:p>
          <w:p w14:paraId="07DA3FD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Gorseinon Pharmacy</w:t>
            </w:r>
          </w:p>
        </w:tc>
        <w:tc>
          <w:tcPr>
            <w:tcW w:w="1197" w:type="dxa"/>
            <w:shd w:val="clear" w:color="auto" w:fill="D9D9D9"/>
          </w:tcPr>
          <w:p w14:paraId="5ACFCF6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71549A6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15:00-18:00</w:t>
            </w:r>
          </w:p>
        </w:tc>
        <w:tc>
          <w:tcPr>
            <w:tcW w:w="1205" w:type="dxa"/>
            <w:shd w:val="clear" w:color="auto" w:fill="D9D9D9"/>
          </w:tcPr>
          <w:p w14:paraId="55B34DA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15:00-18:00</w:t>
            </w:r>
          </w:p>
        </w:tc>
        <w:tc>
          <w:tcPr>
            <w:tcW w:w="1550" w:type="dxa"/>
            <w:shd w:val="clear" w:color="auto" w:fill="D9D9D9"/>
          </w:tcPr>
          <w:p w14:paraId="5AB71EBD" w14:textId="3570EAF3"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15:00-18:00</w:t>
            </w:r>
          </w:p>
        </w:tc>
        <w:tc>
          <w:tcPr>
            <w:tcW w:w="1374" w:type="dxa"/>
            <w:shd w:val="clear" w:color="auto" w:fill="D9D9D9"/>
          </w:tcPr>
          <w:p w14:paraId="3E232A6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15:00-18:00</w:t>
            </w:r>
          </w:p>
        </w:tc>
        <w:tc>
          <w:tcPr>
            <w:tcW w:w="1205" w:type="dxa"/>
            <w:shd w:val="clear" w:color="auto" w:fill="D9D9D9"/>
          </w:tcPr>
          <w:p w14:paraId="661E80E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3B44867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 / 13:30-15:30</w:t>
            </w:r>
          </w:p>
        </w:tc>
        <w:tc>
          <w:tcPr>
            <w:tcW w:w="1378" w:type="dxa"/>
            <w:shd w:val="clear" w:color="auto" w:fill="D9D9D9"/>
          </w:tcPr>
          <w:p w14:paraId="4EE888C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4EA41ABD" w14:textId="77777777" w:rsidTr="00B84D31">
        <w:tc>
          <w:tcPr>
            <w:tcW w:w="1270" w:type="dxa"/>
            <w:vMerge/>
          </w:tcPr>
          <w:p w14:paraId="6FD774A8" w14:textId="77777777" w:rsidR="003C1CBF" w:rsidRPr="003C1CBF" w:rsidRDefault="003C1CBF" w:rsidP="003C1CBF">
            <w:pPr>
              <w:rPr>
                <w:rFonts w:eastAsia="MS Mincho" w:cs="Arial"/>
                <w:kern w:val="0"/>
                <w:lang w:val="en-US"/>
                <w14:ligatures w14:val="none"/>
              </w:rPr>
            </w:pPr>
          </w:p>
        </w:tc>
        <w:tc>
          <w:tcPr>
            <w:tcW w:w="1551" w:type="dxa"/>
            <w:vMerge/>
          </w:tcPr>
          <w:p w14:paraId="37A34805" w14:textId="77777777" w:rsidR="003C1CBF" w:rsidRPr="003C1CBF" w:rsidRDefault="003C1CBF" w:rsidP="003C1CBF">
            <w:pPr>
              <w:rPr>
                <w:rFonts w:eastAsia="MS Mincho" w:cs="Arial"/>
                <w:kern w:val="0"/>
                <w:lang w:val="en-US"/>
                <w14:ligatures w14:val="none"/>
              </w:rPr>
            </w:pPr>
          </w:p>
        </w:tc>
        <w:tc>
          <w:tcPr>
            <w:tcW w:w="1197" w:type="dxa"/>
          </w:tcPr>
          <w:p w14:paraId="0E0EAC6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63F7C06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329E28D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78914A4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78DC140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2DFA642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79E225B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09:00-16:00</w:t>
            </w:r>
          </w:p>
        </w:tc>
        <w:tc>
          <w:tcPr>
            <w:tcW w:w="1378" w:type="dxa"/>
          </w:tcPr>
          <w:p w14:paraId="73CE5BC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6B238911" w14:textId="77777777" w:rsidTr="00B84D31">
        <w:tc>
          <w:tcPr>
            <w:tcW w:w="1270" w:type="dxa"/>
            <w:vMerge w:val="restart"/>
          </w:tcPr>
          <w:p w14:paraId="08A2B41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Llwchwr</w:t>
            </w:r>
          </w:p>
        </w:tc>
        <w:tc>
          <w:tcPr>
            <w:tcW w:w="1551" w:type="dxa"/>
            <w:vMerge w:val="restart"/>
          </w:tcPr>
          <w:p w14:paraId="64E340E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Gowerton Pharmacy</w:t>
            </w:r>
          </w:p>
        </w:tc>
        <w:tc>
          <w:tcPr>
            <w:tcW w:w="1197" w:type="dxa"/>
            <w:shd w:val="clear" w:color="auto" w:fill="D9D9D9"/>
          </w:tcPr>
          <w:p w14:paraId="7D3E9FE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66888E7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1FCF7F7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shd w:val="clear" w:color="auto" w:fill="D9D9D9"/>
          </w:tcPr>
          <w:p w14:paraId="7659F68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shd w:val="clear" w:color="auto" w:fill="D9D9D9"/>
          </w:tcPr>
          <w:p w14:paraId="7454AF3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6FD337D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1511D8A6" w14:textId="77777777" w:rsidR="003C1CBF" w:rsidRPr="003C1CBF" w:rsidRDefault="003C1CBF" w:rsidP="003C1CBF">
            <w:pPr>
              <w:rPr>
                <w:rFonts w:eastAsia="MS Mincho" w:cs="Arial"/>
                <w:kern w:val="0"/>
                <w:lang w:val="en-US"/>
                <w14:ligatures w14:val="none"/>
              </w:rPr>
            </w:pPr>
          </w:p>
        </w:tc>
        <w:tc>
          <w:tcPr>
            <w:tcW w:w="1378" w:type="dxa"/>
            <w:shd w:val="clear" w:color="auto" w:fill="D9D9D9"/>
          </w:tcPr>
          <w:p w14:paraId="68B10BE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6D45F689" w14:textId="77777777" w:rsidTr="00B84D31">
        <w:tc>
          <w:tcPr>
            <w:tcW w:w="1270" w:type="dxa"/>
            <w:vMerge/>
          </w:tcPr>
          <w:p w14:paraId="4D4E48B0" w14:textId="77777777" w:rsidR="003C1CBF" w:rsidRPr="003C1CBF" w:rsidRDefault="003C1CBF" w:rsidP="003C1CBF">
            <w:pPr>
              <w:rPr>
                <w:rFonts w:eastAsia="MS Mincho" w:cs="Arial"/>
                <w:kern w:val="0"/>
                <w:lang w:val="en-US"/>
                <w14:ligatures w14:val="none"/>
              </w:rPr>
            </w:pPr>
          </w:p>
        </w:tc>
        <w:tc>
          <w:tcPr>
            <w:tcW w:w="1551" w:type="dxa"/>
            <w:vMerge/>
          </w:tcPr>
          <w:p w14:paraId="4F4756FC" w14:textId="77777777" w:rsidR="003C1CBF" w:rsidRPr="003C1CBF" w:rsidRDefault="003C1CBF" w:rsidP="003C1CBF">
            <w:pPr>
              <w:rPr>
                <w:rFonts w:eastAsia="MS Mincho" w:cs="Arial"/>
                <w:kern w:val="0"/>
                <w:lang w:val="en-US"/>
                <w14:ligatures w14:val="none"/>
              </w:rPr>
            </w:pPr>
          </w:p>
        </w:tc>
        <w:tc>
          <w:tcPr>
            <w:tcW w:w="1197" w:type="dxa"/>
          </w:tcPr>
          <w:p w14:paraId="7EE0F39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16EDACD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05" w:type="dxa"/>
          </w:tcPr>
          <w:p w14:paraId="370D7F5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550" w:type="dxa"/>
          </w:tcPr>
          <w:p w14:paraId="1BDBEDE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374" w:type="dxa"/>
          </w:tcPr>
          <w:p w14:paraId="5F42659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05" w:type="dxa"/>
          </w:tcPr>
          <w:p w14:paraId="11407EA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44" w:type="dxa"/>
          </w:tcPr>
          <w:p w14:paraId="72472E2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w:t>
            </w:r>
          </w:p>
        </w:tc>
        <w:tc>
          <w:tcPr>
            <w:tcW w:w="1378" w:type="dxa"/>
          </w:tcPr>
          <w:p w14:paraId="2FC32A9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2AD11D7B" w14:textId="77777777" w:rsidTr="00B84D31">
        <w:tc>
          <w:tcPr>
            <w:tcW w:w="1270" w:type="dxa"/>
            <w:vMerge w:val="restart"/>
          </w:tcPr>
          <w:p w14:paraId="300FE67F" w14:textId="77777777" w:rsidR="003C1CBF" w:rsidRPr="003C1CBF" w:rsidRDefault="003C1CBF" w:rsidP="003C1CBF">
            <w:pPr>
              <w:rPr>
                <w:rFonts w:eastAsia="MS Mincho" w:cs="Arial"/>
                <w:kern w:val="0"/>
                <w:lang w:val="en-US"/>
                <w14:ligatures w14:val="none"/>
              </w:rPr>
            </w:pPr>
          </w:p>
          <w:p w14:paraId="6D0A725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Llwchwr</w:t>
            </w:r>
          </w:p>
        </w:tc>
        <w:tc>
          <w:tcPr>
            <w:tcW w:w="1551" w:type="dxa"/>
            <w:vMerge w:val="restart"/>
          </w:tcPr>
          <w:p w14:paraId="44D2975B" w14:textId="77777777" w:rsidR="003C1CBF" w:rsidRPr="003C1CBF" w:rsidRDefault="003C1CBF" w:rsidP="003C1CBF">
            <w:pPr>
              <w:rPr>
                <w:rFonts w:eastAsia="MS Mincho" w:cs="Arial"/>
                <w:kern w:val="0"/>
                <w:lang w:val="en-US"/>
                <w14:ligatures w14:val="none"/>
              </w:rPr>
            </w:pPr>
          </w:p>
          <w:p w14:paraId="5E0546D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Medihub, Pontardulais</w:t>
            </w:r>
          </w:p>
        </w:tc>
        <w:tc>
          <w:tcPr>
            <w:tcW w:w="1197" w:type="dxa"/>
            <w:shd w:val="clear" w:color="auto" w:fill="D9D9D9"/>
          </w:tcPr>
          <w:p w14:paraId="0B7A81B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75CF0F6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shd w:val="clear" w:color="auto" w:fill="D9D9D9"/>
          </w:tcPr>
          <w:p w14:paraId="238E34D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550" w:type="dxa"/>
            <w:shd w:val="clear" w:color="auto" w:fill="D9D9D9"/>
          </w:tcPr>
          <w:p w14:paraId="218ECB5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4" w:type="dxa"/>
            <w:shd w:val="clear" w:color="auto" w:fill="D9D9D9"/>
          </w:tcPr>
          <w:p w14:paraId="7E1BA64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shd w:val="clear" w:color="auto" w:fill="D9D9D9"/>
          </w:tcPr>
          <w:p w14:paraId="05C65A7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shd w:val="clear" w:color="auto" w:fill="D9D9D9"/>
          </w:tcPr>
          <w:p w14:paraId="258A5AE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47CD520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7918B59C" w14:textId="77777777" w:rsidTr="00B84D31">
        <w:tc>
          <w:tcPr>
            <w:tcW w:w="1270" w:type="dxa"/>
            <w:vMerge/>
          </w:tcPr>
          <w:p w14:paraId="3364B4FA" w14:textId="77777777" w:rsidR="003C1CBF" w:rsidRPr="003C1CBF" w:rsidRDefault="003C1CBF" w:rsidP="003C1CBF">
            <w:pPr>
              <w:rPr>
                <w:rFonts w:eastAsia="MS Mincho" w:cs="Arial"/>
                <w:kern w:val="0"/>
                <w:lang w:val="en-US"/>
                <w14:ligatures w14:val="none"/>
              </w:rPr>
            </w:pPr>
          </w:p>
        </w:tc>
        <w:tc>
          <w:tcPr>
            <w:tcW w:w="1551" w:type="dxa"/>
            <w:vMerge/>
          </w:tcPr>
          <w:p w14:paraId="397FA4A0" w14:textId="77777777" w:rsidR="003C1CBF" w:rsidRPr="003C1CBF" w:rsidRDefault="003C1CBF" w:rsidP="003C1CBF">
            <w:pPr>
              <w:rPr>
                <w:rFonts w:eastAsia="MS Mincho" w:cs="Arial"/>
                <w:kern w:val="0"/>
                <w:lang w:val="en-US"/>
                <w14:ligatures w14:val="none"/>
              </w:rPr>
            </w:pPr>
          </w:p>
        </w:tc>
        <w:tc>
          <w:tcPr>
            <w:tcW w:w="1197" w:type="dxa"/>
          </w:tcPr>
          <w:p w14:paraId="70DB64B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2BB4A5F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4C4FBF9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550" w:type="dxa"/>
          </w:tcPr>
          <w:p w14:paraId="2A75A29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4" w:type="dxa"/>
          </w:tcPr>
          <w:p w14:paraId="7DEACD5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33D5ABE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tcPr>
          <w:p w14:paraId="2730701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084924E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0BB64CDE" w14:textId="77777777" w:rsidTr="00B84D31">
        <w:tc>
          <w:tcPr>
            <w:tcW w:w="1270" w:type="dxa"/>
            <w:vMerge w:val="restart"/>
          </w:tcPr>
          <w:p w14:paraId="43FC14C3" w14:textId="77777777" w:rsidR="003C1CBF" w:rsidRPr="003C1CBF" w:rsidRDefault="003C1CBF" w:rsidP="003C1CBF">
            <w:pPr>
              <w:rPr>
                <w:rFonts w:eastAsia="MS Mincho" w:cs="Arial"/>
                <w:kern w:val="0"/>
                <w:lang w:val="en-US"/>
                <w14:ligatures w14:val="none"/>
              </w:rPr>
            </w:pPr>
          </w:p>
          <w:p w14:paraId="38B556AE" w14:textId="77777777" w:rsidR="003C1CBF" w:rsidRPr="003C1CBF" w:rsidRDefault="003C1CBF" w:rsidP="003C1CBF">
            <w:pPr>
              <w:rPr>
                <w:rFonts w:eastAsia="MS Mincho" w:cs="Arial"/>
                <w:kern w:val="0"/>
                <w:lang w:val="en-US"/>
                <w14:ligatures w14:val="none"/>
              </w:rPr>
            </w:pPr>
          </w:p>
          <w:p w14:paraId="1FCB22E3" w14:textId="77777777" w:rsidR="003C1CBF" w:rsidRPr="003C1CBF" w:rsidRDefault="003C1CBF" w:rsidP="003C1CBF">
            <w:pPr>
              <w:rPr>
                <w:rFonts w:eastAsia="MS Mincho" w:cs="Arial"/>
                <w:kern w:val="0"/>
                <w:lang w:val="en-US"/>
                <w14:ligatures w14:val="none"/>
              </w:rPr>
            </w:pPr>
          </w:p>
          <w:p w14:paraId="4F06117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Llwchwr</w:t>
            </w:r>
          </w:p>
        </w:tc>
        <w:tc>
          <w:tcPr>
            <w:tcW w:w="1551" w:type="dxa"/>
            <w:vMerge w:val="restart"/>
          </w:tcPr>
          <w:p w14:paraId="36D9DD00" w14:textId="77777777" w:rsidR="003C1CBF" w:rsidRPr="003C1CBF" w:rsidRDefault="003C1CBF" w:rsidP="003C1CBF">
            <w:pPr>
              <w:rPr>
                <w:rFonts w:eastAsia="MS Mincho" w:cs="Arial"/>
                <w:kern w:val="0"/>
                <w:lang w:val="en-US"/>
                <w14:ligatures w14:val="none"/>
              </w:rPr>
            </w:pPr>
          </w:p>
          <w:p w14:paraId="5F0014C0" w14:textId="77777777" w:rsidR="003C1CBF" w:rsidRPr="003C1CBF" w:rsidRDefault="003C1CBF" w:rsidP="003C1CBF">
            <w:pPr>
              <w:rPr>
                <w:rFonts w:eastAsia="MS Mincho" w:cs="Arial"/>
                <w:kern w:val="0"/>
                <w:lang w:val="en-US"/>
                <w14:ligatures w14:val="none"/>
              </w:rPr>
            </w:pPr>
          </w:p>
          <w:p w14:paraId="2128FC1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The Pharmacy Sea View / Penclawdd</w:t>
            </w:r>
          </w:p>
        </w:tc>
        <w:tc>
          <w:tcPr>
            <w:tcW w:w="1197" w:type="dxa"/>
            <w:shd w:val="clear" w:color="auto" w:fill="D9D9D9"/>
          </w:tcPr>
          <w:p w14:paraId="3C5BDF3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2B8FFBA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4DB717D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041AF7A4" w14:textId="07D1FEDF"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 xml:space="preserve">09:00-13:00 </w:t>
            </w:r>
            <w:r w:rsidR="00DA2EE0">
              <w:rPr>
                <w:rFonts w:eastAsia="MS Mincho" w:cs="Arial"/>
                <w:kern w:val="0"/>
                <w:lang w:val="en-US"/>
                <w14:ligatures w14:val="none"/>
              </w:rPr>
              <w:t>1</w:t>
            </w:r>
            <w:r w:rsidRPr="003C1CBF">
              <w:rPr>
                <w:rFonts w:eastAsia="MS Mincho" w:cs="Arial"/>
                <w:kern w:val="0"/>
                <w:lang w:val="en-US"/>
                <w14:ligatures w14:val="none"/>
              </w:rPr>
              <w:t>4:00-18:00</w:t>
            </w:r>
          </w:p>
        </w:tc>
        <w:tc>
          <w:tcPr>
            <w:tcW w:w="1374" w:type="dxa"/>
            <w:shd w:val="clear" w:color="auto" w:fill="D9D9D9"/>
          </w:tcPr>
          <w:p w14:paraId="199B023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6AB0647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0C0C53A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shd w:val="clear" w:color="auto" w:fill="D9D9D9"/>
          </w:tcPr>
          <w:p w14:paraId="4FF1D647" w14:textId="77777777" w:rsidR="003C1CBF" w:rsidRPr="003C1CBF" w:rsidRDefault="003C1CBF" w:rsidP="003C1CBF">
            <w:pPr>
              <w:rPr>
                <w:rFonts w:eastAsia="MS Mincho" w:cs="Arial"/>
                <w:kern w:val="0"/>
                <w:lang w:val="en-US"/>
                <w14:ligatures w14:val="none"/>
              </w:rPr>
            </w:pPr>
          </w:p>
        </w:tc>
      </w:tr>
      <w:tr w:rsidR="003C1CBF" w:rsidRPr="003C1CBF" w14:paraId="25FC1AF2" w14:textId="77777777" w:rsidTr="00B84D31">
        <w:tc>
          <w:tcPr>
            <w:tcW w:w="1270" w:type="dxa"/>
            <w:vMerge/>
          </w:tcPr>
          <w:p w14:paraId="6BAFA9C7" w14:textId="77777777" w:rsidR="003C1CBF" w:rsidRPr="003C1CBF" w:rsidRDefault="003C1CBF" w:rsidP="003C1CBF">
            <w:pPr>
              <w:rPr>
                <w:rFonts w:eastAsia="MS Mincho" w:cs="Arial"/>
                <w:kern w:val="0"/>
                <w:lang w:val="en-US"/>
                <w14:ligatures w14:val="none"/>
              </w:rPr>
            </w:pPr>
          </w:p>
        </w:tc>
        <w:tc>
          <w:tcPr>
            <w:tcW w:w="1551" w:type="dxa"/>
            <w:vMerge/>
          </w:tcPr>
          <w:p w14:paraId="4D111BEC" w14:textId="77777777" w:rsidR="003C1CBF" w:rsidRPr="003C1CBF" w:rsidRDefault="003C1CBF" w:rsidP="003C1CBF">
            <w:pPr>
              <w:rPr>
                <w:rFonts w:eastAsia="MS Mincho" w:cs="Arial"/>
                <w:kern w:val="0"/>
                <w:lang w:val="en-US"/>
                <w14:ligatures w14:val="none"/>
              </w:rPr>
            </w:pPr>
          </w:p>
        </w:tc>
        <w:tc>
          <w:tcPr>
            <w:tcW w:w="1197" w:type="dxa"/>
          </w:tcPr>
          <w:p w14:paraId="2469047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6BDD8AB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tcPr>
          <w:p w14:paraId="2D1EA85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tcPr>
          <w:p w14:paraId="0C2D6EDF" w14:textId="49B2160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 xml:space="preserve">09:00-13:00 </w:t>
            </w:r>
            <w:r w:rsidR="00DA2EE0">
              <w:rPr>
                <w:rFonts w:eastAsia="MS Mincho" w:cs="Arial"/>
                <w:kern w:val="0"/>
                <w:lang w:val="en-US"/>
                <w14:ligatures w14:val="none"/>
              </w:rPr>
              <w:t>1</w:t>
            </w:r>
            <w:r w:rsidRPr="003C1CBF">
              <w:rPr>
                <w:rFonts w:eastAsia="MS Mincho" w:cs="Arial"/>
                <w:kern w:val="0"/>
                <w:lang w:val="en-US"/>
                <w14:ligatures w14:val="none"/>
              </w:rPr>
              <w:t>4:00-18:00</w:t>
            </w:r>
          </w:p>
        </w:tc>
        <w:tc>
          <w:tcPr>
            <w:tcW w:w="1374" w:type="dxa"/>
          </w:tcPr>
          <w:p w14:paraId="4603234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tcPr>
          <w:p w14:paraId="016C179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2AD2687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tcPr>
          <w:p w14:paraId="64FF01F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11:00-13:00</w:t>
            </w:r>
          </w:p>
        </w:tc>
      </w:tr>
      <w:tr w:rsidR="003C1CBF" w:rsidRPr="003C1CBF" w14:paraId="379AD364" w14:textId="77777777" w:rsidTr="00B84D31">
        <w:tc>
          <w:tcPr>
            <w:tcW w:w="1270" w:type="dxa"/>
            <w:vMerge w:val="restart"/>
          </w:tcPr>
          <w:p w14:paraId="53A27168" w14:textId="77777777" w:rsidR="003C1CBF" w:rsidRPr="003C1CBF" w:rsidRDefault="003C1CBF" w:rsidP="003C1CBF">
            <w:pPr>
              <w:rPr>
                <w:rFonts w:eastAsia="MS Mincho" w:cs="Arial"/>
                <w:kern w:val="0"/>
                <w:lang w:val="en-US"/>
                <w14:ligatures w14:val="none"/>
              </w:rPr>
            </w:pPr>
          </w:p>
          <w:p w14:paraId="19E5852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Llwchwr</w:t>
            </w:r>
          </w:p>
        </w:tc>
        <w:tc>
          <w:tcPr>
            <w:tcW w:w="1551" w:type="dxa"/>
            <w:vMerge w:val="restart"/>
          </w:tcPr>
          <w:p w14:paraId="153262B1" w14:textId="77777777" w:rsidR="003C1CBF" w:rsidRPr="003C1CBF" w:rsidRDefault="003C1CBF" w:rsidP="003C1CBF">
            <w:pPr>
              <w:rPr>
                <w:rFonts w:eastAsia="MS Mincho" w:cs="Arial"/>
                <w:kern w:val="0"/>
                <w:lang w:val="en-US"/>
                <w14:ligatures w14:val="none"/>
              </w:rPr>
            </w:pPr>
          </w:p>
          <w:p w14:paraId="4900F04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Tyr Felin Pharmacy</w:t>
            </w:r>
          </w:p>
        </w:tc>
        <w:tc>
          <w:tcPr>
            <w:tcW w:w="1197" w:type="dxa"/>
            <w:shd w:val="clear" w:color="auto" w:fill="D9D9D9"/>
          </w:tcPr>
          <w:p w14:paraId="440D99D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Core</w:t>
            </w:r>
          </w:p>
        </w:tc>
        <w:tc>
          <w:tcPr>
            <w:tcW w:w="1204" w:type="dxa"/>
            <w:shd w:val="clear" w:color="auto" w:fill="D9D9D9"/>
          </w:tcPr>
          <w:p w14:paraId="58D2ED9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2EF0E38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shd w:val="clear" w:color="auto" w:fill="D9D9D9"/>
          </w:tcPr>
          <w:p w14:paraId="6A55F56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shd w:val="clear" w:color="auto" w:fill="D9D9D9"/>
          </w:tcPr>
          <w:p w14:paraId="7EB378A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4629A15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4620A49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6D56D79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5F2C6339" w14:textId="77777777" w:rsidTr="00B84D31">
        <w:tc>
          <w:tcPr>
            <w:tcW w:w="1270" w:type="dxa"/>
            <w:vMerge/>
          </w:tcPr>
          <w:p w14:paraId="49AC7B12" w14:textId="77777777" w:rsidR="003C1CBF" w:rsidRPr="003C1CBF" w:rsidRDefault="003C1CBF" w:rsidP="003C1CBF">
            <w:pPr>
              <w:rPr>
                <w:rFonts w:eastAsia="MS Mincho" w:cs="Arial"/>
                <w:kern w:val="0"/>
                <w:lang w:val="en-US"/>
                <w14:ligatures w14:val="none"/>
              </w:rPr>
            </w:pPr>
          </w:p>
        </w:tc>
        <w:tc>
          <w:tcPr>
            <w:tcW w:w="1551" w:type="dxa"/>
            <w:vMerge/>
          </w:tcPr>
          <w:p w14:paraId="78FA2FE9" w14:textId="77777777" w:rsidR="003C1CBF" w:rsidRPr="003C1CBF" w:rsidRDefault="003C1CBF" w:rsidP="003C1CBF">
            <w:pPr>
              <w:rPr>
                <w:rFonts w:eastAsia="MS Mincho" w:cs="Arial"/>
                <w:kern w:val="0"/>
                <w:lang w:val="en-US"/>
                <w14:ligatures w14:val="none"/>
              </w:rPr>
            </w:pPr>
          </w:p>
        </w:tc>
        <w:tc>
          <w:tcPr>
            <w:tcW w:w="1197" w:type="dxa"/>
          </w:tcPr>
          <w:p w14:paraId="310CFDB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5A6D7FD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35CE1D5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3F48825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5BBC7D5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6920A47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2451E50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74CC5D8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25323A6" w14:textId="77777777" w:rsidTr="00B84D31">
        <w:tc>
          <w:tcPr>
            <w:tcW w:w="1270" w:type="dxa"/>
            <w:vMerge w:val="restart"/>
          </w:tcPr>
          <w:p w14:paraId="44E76CA1" w14:textId="77777777" w:rsidR="003C1CBF" w:rsidRPr="003C1CBF" w:rsidRDefault="003C1CBF" w:rsidP="003C1CBF">
            <w:pPr>
              <w:rPr>
                <w:rFonts w:eastAsia="MS Mincho" w:cs="Arial"/>
                <w:kern w:val="0"/>
                <w:lang w:val="en-US"/>
                <w14:ligatures w14:val="none"/>
              </w:rPr>
            </w:pPr>
          </w:p>
          <w:p w14:paraId="7D3F3E0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Llwchwr</w:t>
            </w:r>
          </w:p>
        </w:tc>
        <w:tc>
          <w:tcPr>
            <w:tcW w:w="1551" w:type="dxa"/>
            <w:vMerge w:val="restart"/>
          </w:tcPr>
          <w:p w14:paraId="7E3C18DD" w14:textId="77777777" w:rsidR="003C1CBF" w:rsidRPr="003C1CBF" w:rsidRDefault="003C1CBF" w:rsidP="003C1CBF">
            <w:pPr>
              <w:rPr>
                <w:rFonts w:eastAsia="MS Mincho" w:cs="Arial"/>
                <w:kern w:val="0"/>
                <w:lang w:val="en-US"/>
                <w14:ligatures w14:val="none"/>
              </w:rPr>
            </w:pPr>
          </w:p>
          <w:p w14:paraId="6292D3A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Village Pharmacy</w:t>
            </w:r>
          </w:p>
        </w:tc>
        <w:tc>
          <w:tcPr>
            <w:tcW w:w="1197" w:type="dxa"/>
            <w:shd w:val="clear" w:color="auto" w:fill="D9D9D9"/>
          </w:tcPr>
          <w:p w14:paraId="35CE101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3D4B660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1096963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shd w:val="clear" w:color="auto" w:fill="D9D9D9"/>
          </w:tcPr>
          <w:p w14:paraId="7C0E0DE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shd w:val="clear" w:color="auto" w:fill="D9D9D9"/>
          </w:tcPr>
          <w:p w14:paraId="42393BA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28B2479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5A704D9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shd w:val="clear" w:color="auto" w:fill="D9D9D9"/>
          </w:tcPr>
          <w:p w14:paraId="215E1B8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67F8FA51" w14:textId="77777777" w:rsidTr="00B84D31">
        <w:tc>
          <w:tcPr>
            <w:tcW w:w="1270" w:type="dxa"/>
            <w:vMerge/>
          </w:tcPr>
          <w:p w14:paraId="3A8B58B8" w14:textId="77777777" w:rsidR="003C1CBF" w:rsidRPr="003C1CBF" w:rsidRDefault="003C1CBF" w:rsidP="003C1CBF">
            <w:pPr>
              <w:rPr>
                <w:rFonts w:eastAsia="MS Mincho" w:cs="Arial"/>
                <w:kern w:val="0"/>
                <w:lang w:val="en-US"/>
                <w14:ligatures w14:val="none"/>
              </w:rPr>
            </w:pPr>
          </w:p>
        </w:tc>
        <w:tc>
          <w:tcPr>
            <w:tcW w:w="1551" w:type="dxa"/>
            <w:vMerge/>
          </w:tcPr>
          <w:p w14:paraId="0ED75447" w14:textId="77777777" w:rsidR="003C1CBF" w:rsidRPr="003C1CBF" w:rsidRDefault="003C1CBF" w:rsidP="003C1CBF">
            <w:pPr>
              <w:rPr>
                <w:rFonts w:eastAsia="MS Mincho" w:cs="Arial"/>
                <w:kern w:val="0"/>
                <w:lang w:val="en-US"/>
                <w14:ligatures w14:val="none"/>
              </w:rPr>
            </w:pPr>
          </w:p>
        </w:tc>
        <w:tc>
          <w:tcPr>
            <w:tcW w:w="1197" w:type="dxa"/>
          </w:tcPr>
          <w:p w14:paraId="75C8DB9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359C373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44FF4EC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117D6C8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13B8464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1F6D4BE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3F06315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tcPr>
          <w:p w14:paraId="6B9FAE9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62DE995E" w14:textId="77777777" w:rsidTr="00B84D31">
        <w:tc>
          <w:tcPr>
            <w:tcW w:w="1270" w:type="dxa"/>
            <w:vMerge w:val="restart"/>
          </w:tcPr>
          <w:p w14:paraId="55A7E930" w14:textId="77777777" w:rsidR="003C1CBF" w:rsidRPr="003C1CBF" w:rsidRDefault="003C1CBF" w:rsidP="003C1CBF">
            <w:pPr>
              <w:rPr>
                <w:rFonts w:eastAsia="MS Mincho" w:cs="Arial"/>
                <w:kern w:val="0"/>
                <w:lang w:val="en-US"/>
                <w14:ligatures w14:val="none"/>
              </w:rPr>
            </w:pPr>
          </w:p>
          <w:p w14:paraId="25A9C8A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Llwchwr</w:t>
            </w:r>
          </w:p>
        </w:tc>
        <w:tc>
          <w:tcPr>
            <w:tcW w:w="1551" w:type="dxa"/>
            <w:vMerge w:val="restart"/>
          </w:tcPr>
          <w:p w14:paraId="7D829B6E" w14:textId="77777777" w:rsidR="003C1CBF" w:rsidRPr="003C1CBF" w:rsidRDefault="003C1CBF" w:rsidP="003C1CBF">
            <w:pPr>
              <w:rPr>
                <w:rFonts w:eastAsia="MS Mincho" w:cs="Arial"/>
                <w:kern w:val="0"/>
                <w:lang w:val="en-US"/>
                <w14:ligatures w14:val="none"/>
              </w:rPr>
            </w:pPr>
          </w:p>
          <w:p w14:paraId="1691CE1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2 Alex Rd, Gorseinon</w:t>
            </w:r>
          </w:p>
        </w:tc>
        <w:tc>
          <w:tcPr>
            <w:tcW w:w="1197" w:type="dxa"/>
            <w:shd w:val="clear" w:color="auto" w:fill="D9D9D9"/>
          </w:tcPr>
          <w:p w14:paraId="729BF70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6460F45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13:30-17:30</w:t>
            </w:r>
          </w:p>
        </w:tc>
        <w:tc>
          <w:tcPr>
            <w:tcW w:w="1205" w:type="dxa"/>
            <w:shd w:val="clear" w:color="auto" w:fill="D9D9D9"/>
          </w:tcPr>
          <w:p w14:paraId="768A0F4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13:30-17:30</w:t>
            </w:r>
          </w:p>
        </w:tc>
        <w:tc>
          <w:tcPr>
            <w:tcW w:w="1550" w:type="dxa"/>
            <w:shd w:val="clear" w:color="auto" w:fill="D9D9D9"/>
          </w:tcPr>
          <w:p w14:paraId="29784187" w14:textId="3DDF31FC"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13:30-17:30</w:t>
            </w:r>
          </w:p>
        </w:tc>
        <w:tc>
          <w:tcPr>
            <w:tcW w:w="1374" w:type="dxa"/>
            <w:shd w:val="clear" w:color="auto" w:fill="D9D9D9"/>
          </w:tcPr>
          <w:p w14:paraId="057696E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13:30-17:30</w:t>
            </w:r>
          </w:p>
        </w:tc>
        <w:tc>
          <w:tcPr>
            <w:tcW w:w="1205" w:type="dxa"/>
            <w:shd w:val="clear" w:color="auto" w:fill="D9D9D9"/>
          </w:tcPr>
          <w:p w14:paraId="31882B5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shd w:val="clear" w:color="auto" w:fill="D9D9D9"/>
          </w:tcPr>
          <w:p w14:paraId="4FF328AE" w14:textId="77777777" w:rsidR="003C1CBF" w:rsidRPr="003C1CBF" w:rsidRDefault="003C1CBF" w:rsidP="003C1CBF">
            <w:pPr>
              <w:rPr>
                <w:rFonts w:eastAsia="MS Mincho" w:cs="Arial"/>
                <w:kern w:val="0"/>
                <w:lang w:val="en-US"/>
                <w14:ligatures w14:val="none"/>
              </w:rPr>
            </w:pPr>
          </w:p>
        </w:tc>
        <w:tc>
          <w:tcPr>
            <w:tcW w:w="1378" w:type="dxa"/>
            <w:shd w:val="clear" w:color="auto" w:fill="D9D9D9"/>
          </w:tcPr>
          <w:p w14:paraId="3E6C7C0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2186E387" w14:textId="77777777" w:rsidTr="00B84D31">
        <w:tc>
          <w:tcPr>
            <w:tcW w:w="1270" w:type="dxa"/>
            <w:vMerge/>
          </w:tcPr>
          <w:p w14:paraId="10AE84EA" w14:textId="77777777" w:rsidR="003C1CBF" w:rsidRPr="003C1CBF" w:rsidRDefault="003C1CBF" w:rsidP="003C1CBF">
            <w:pPr>
              <w:rPr>
                <w:rFonts w:eastAsia="MS Mincho" w:cs="Arial"/>
                <w:kern w:val="0"/>
                <w:lang w:val="en-US"/>
                <w14:ligatures w14:val="none"/>
              </w:rPr>
            </w:pPr>
          </w:p>
        </w:tc>
        <w:tc>
          <w:tcPr>
            <w:tcW w:w="1551" w:type="dxa"/>
            <w:vMerge/>
          </w:tcPr>
          <w:p w14:paraId="122DCFB7" w14:textId="77777777" w:rsidR="003C1CBF" w:rsidRPr="003C1CBF" w:rsidRDefault="003C1CBF" w:rsidP="003C1CBF">
            <w:pPr>
              <w:rPr>
                <w:rFonts w:eastAsia="MS Mincho" w:cs="Arial"/>
                <w:kern w:val="0"/>
                <w:lang w:val="en-US"/>
                <w14:ligatures w14:val="none"/>
              </w:rPr>
            </w:pPr>
          </w:p>
        </w:tc>
        <w:tc>
          <w:tcPr>
            <w:tcW w:w="1197" w:type="dxa"/>
          </w:tcPr>
          <w:p w14:paraId="028656A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76B62C5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45CFD4E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550" w:type="dxa"/>
          </w:tcPr>
          <w:p w14:paraId="5126B36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4" w:type="dxa"/>
          </w:tcPr>
          <w:p w14:paraId="54BD2CF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7872E28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tcPr>
          <w:p w14:paraId="6A6A783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w:t>
            </w:r>
          </w:p>
        </w:tc>
        <w:tc>
          <w:tcPr>
            <w:tcW w:w="1378" w:type="dxa"/>
          </w:tcPr>
          <w:p w14:paraId="1191CD8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FFECCA7" w14:textId="77777777" w:rsidTr="00B84D31">
        <w:tc>
          <w:tcPr>
            <w:tcW w:w="1270" w:type="dxa"/>
            <w:vMerge w:val="restart"/>
          </w:tcPr>
          <w:p w14:paraId="4ED374F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Llwchwr</w:t>
            </w:r>
          </w:p>
        </w:tc>
        <w:tc>
          <w:tcPr>
            <w:tcW w:w="1551" w:type="dxa"/>
            <w:vMerge w:val="restart"/>
          </w:tcPr>
          <w:p w14:paraId="213A965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63 Alex Rd, Gorseinon</w:t>
            </w:r>
          </w:p>
        </w:tc>
        <w:tc>
          <w:tcPr>
            <w:tcW w:w="1197" w:type="dxa"/>
            <w:shd w:val="clear" w:color="auto" w:fill="D9D9D9"/>
          </w:tcPr>
          <w:p w14:paraId="5FA6A8C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17A5A8F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4950014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shd w:val="clear" w:color="auto" w:fill="D9D9D9"/>
          </w:tcPr>
          <w:p w14:paraId="1D4E73D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shd w:val="clear" w:color="auto" w:fill="D9D9D9"/>
          </w:tcPr>
          <w:p w14:paraId="65BFA20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03B8B27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5FA3BF6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27F3688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2B7EDD46" w14:textId="77777777" w:rsidTr="00B84D31">
        <w:tc>
          <w:tcPr>
            <w:tcW w:w="1270" w:type="dxa"/>
            <w:vMerge/>
          </w:tcPr>
          <w:p w14:paraId="2CFDFDEF" w14:textId="77777777" w:rsidR="003C1CBF" w:rsidRPr="003C1CBF" w:rsidRDefault="003C1CBF" w:rsidP="003C1CBF">
            <w:pPr>
              <w:rPr>
                <w:rFonts w:eastAsia="MS Mincho" w:cs="Arial"/>
                <w:kern w:val="0"/>
                <w:lang w:val="en-US"/>
                <w14:ligatures w14:val="none"/>
              </w:rPr>
            </w:pPr>
          </w:p>
        </w:tc>
        <w:tc>
          <w:tcPr>
            <w:tcW w:w="1551" w:type="dxa"/>
            <w:vMerge/>
          </w:tcPr>
          <w:p w14:paraId="27037671" w14:textId="77777777" w:rsidR="003C1CBF" w:rsidRPr="003C1CBF" w:rsidRDefault="003C1CBF" w:rsidP="003C1CBF">
            <w:pPr>
              <w:rPr>
                <w:rFonts w:eastAsia="MS Mincho" w:cs="Arial"/>
                <w:kern w:val="0"/>
                <w:lang w:val="en-US"/>
                <w14:ligatures w14:val="none"/>
              </w:rPr>
            </w:pPr>
          </w:p>
        </w:tc>
        <w:tc>
          <w:tcPr>
            <w:tcW w:w="1197" w:type="dxa"/>
          </w:tcPr>
          <w:p w14:paraId="4AE3A4D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1A38ADF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0B77BED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0BE1289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57DE93E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10DBD79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5CEB505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4A75FD2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8C049B1" w14:textId="77777777" w:rsidTr="00B84D31">
        <w:tc>
          <w:tcPr>
            <w:tcW w:w="1270" w:type="dxa"/>
            <w:vMerge w:val="restart"/>
          </w:tcPr>
          <w:p w14:paraId="3CFBA12B" w14:textId="77777777" w:rsidR="003C1CBF" w:rsidRPr="003C1CBF" w:rsidRDefault="003C1CBF" w:rsidP="003C1CBF">
            <w:pPr>
              <w:rPr>
                <w:rFonts w:eastAsia="MS Mincho" w:cs="Arial"/>
                <w:kern w:val="0"/>
                <w:lang w:val="en-US"/>
                <w14:ligatures w14:val="none"/>
              </w:rPr>
            </w:pPr>
          </w:p>
          <w:p w14:paraId="1C62C730" w14:textId="77777777" w:rsidR="003C1CBF" w:rsidRPr="003C1CBF" w:rsidRDefault="003C1CBF" w:rsidP="003C1CBF">
            <w:pPr>
              <w:rPr>
                <w:rFonts w:eastAsia="MS Mincho" w:cs="Arial"/>
                <w:kern w:val="0"/>
                <w:lang w:val="en-US"/>
                <w14:ligatures w14:val="none"/>
              </w:rPr>
            </w:pPr>
          </w:p>
          <w:p w14:paraId="14804AB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Llwchwr</w:t>
            </w:r>
          </w:p>
        </w:tc>
        <w:tc>
          <w:tcPr>
            <w:tcW w:w="1551" w:type="dxa"/>
            <w:vMerge w:val="restart"/>
          </w:tcPr>
          <w:p w14:paraId="18C00762" w14:textId="77777777" w:rsidR="003C1CBF" w:rsidRPr="003C1CBF" w:rsidRDefault="003C1CBF" w:rsidP="003C1CBF">
            <w:pPr>
              <w:rPr>
                <w:rFonts w:eastAsia="MS Mincho" w:cs="Arial"/>
                <w:kern w:val="0"/>
                <w:lang w:val="en-US"/>
                <w14:ligatures w14:val="none"/>
              </w:rPr>
            </w:pPr>
          </w:p>
          <w:p w14:paraId="19E8027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Gowerton</w:t>
            </w:r>
          </w:p>
        </w:tc>
        <w:tc>
          <w:tcPr>
            <w:tcW w:w="1197" w:type="dxa"/>
            <w:shd w:val="clear" w:color="auto" w:fill="D9D9D9"/>
          </w:tcPr>
          <w:p w14:paraId="74B323C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176FC0D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3545B93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4EDF6D43" w14:textId="6945B47F"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shd w:val="clear" w:color="auto" w:fill="D9D9D9"/>
          </w:tcPr>
          <w:p w14:paraId="6C6F8DF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0EA6026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11B773A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45DC8AA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1BDFF98C" w14:textId="77777777" w:rsidTr="00B84D31">
        <w:tc>
          <w:tcPr>
            <w:tcW w:w="1270" w:type="dxa"/>
            <w:vMerge/>
          </w:tcPr>
          <w:p w14:paraId="43D7CC0A" w14:textId="77777777" w:rsidR="003C1CBF" w:rsidRPr="003C1CBF" w:rsidRDefault="003C1CBF" w:rsidP="003C1CBF">
            <w:pPr>
              <w:rPr>
                <w:rFonts w:eastAsia="MS Mincho" w:cs="Arial"/>
                <w:kern w:val="0"/>
                <w:lang w:val="en-US"/>
                <w14:ligatures w14:val="none"/>
              </w:rPr>
            </w:pPr>
          </w:p>
        </w:tc>
        <w:tc>
          <w:tcPr>
            <w:tcW w:w="1551" w:type="dxa"/>
            <w:vMerge/>
          </w:tcPr>
          <w:p w14:paraId="48BB7313" w14:textId="77777777" w:rsidR="003C1CBF" w:rsidRPr="003C1CBF" w:rsidRDefault="003C1CBF" w:rsidP="003C1CBF">
            <w:pPr>
              <w:rPr>
                <w:rFonts w:eastAsia="MS Mincho" w:cs="Arial"/>
                <w:kern w:val="0"/>
                <w:lang w:val="en-US"/>
                <w14:ligatures w14:val="none"/>
              </w:rPr>
            </w:pPr>
          </w:p>
        </w:tc>
        <w:tc>
          <w:tcPr>
            <w:tcW w:w="1197" w:type="dxa"/>
          </w:tcPr>
          <w:p w14:paraId="5A3A78C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1037E16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05" w:type="dxa"/>
          </w:tcPr>
          <w:p w14:paraId="4ACE087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550" w:type="dxa"/>
          </w:tcPr>
          <w:p w14:paraId="5D27F9A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374" w:type="dxa"/>
          </w:tcPr>
          <w:p w14:paraId="61A2350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05" w:type="dxa"/>
          </w:tcPr>
          <w:p w14:paraId="26D8CC1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44" w:type="dxa"/>
          </w:tcPr>
          <w:p w14:paraId="661B89C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498203F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241906A0" w14:textId="77777777" w:rsidTr="00B84D31">
        <w:tc>
          <w:tcPr>
            <w:tcW w:w="1270" w:type="dxa"/>
            <w:vMerge w:val="restart"/>
          </w:tcPr>
          <w:p w14:paraId="7A753444" w14:textId="77777777" w:rsidR="003C1CBF" w:rsidRPr="003C1CBF" w:rsidRDefault="003C1CBF" w:rsidP="003C1CBF">
            <w:pPr>
              <w:rPr>
                <w:rFonts w:eastAsia="MS Mincho" w:cs="Arial"/>
                <w:kern w:val="0"/>
                <w:lang w:val="en-US"/>
                <w14:ligatures w14:val="none"/>
              </w:rPr>
            </w:pPr>
          </w:p>
          <w:p w14:paraId="7D630EAF" w14:textId="77777777" w:rsidR="003C1CBF" w:rsidRPr="003C1CBF" w:rsidRDefault="003C1CBF" w:rsidP="003C1CBF">
            <w:pPr>
              <w:rPr>
                <w:rFonts w:eastAsia="MS Mincho" w:cs="Arial"/>
                <w:kern w:val="0"/>
                <w:lang w:val="en-US"/>
                <w14:ligatures w14:val="none"/>
              </w:rPr>
            </w:pPr>
          </w:p>
          <w:p w14:paraId="5C3744B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Neath</w:t>
            </w:r>
          </w:p>
        </w:tc>
        <w:tc>
          <w:tcPr>
            <w:tcW w:w="1551" w:type="dxa"/>
            <w:vMerge w:val="restart"/>
          </w:tcPr>
          <w:p w14:paraId="4F52EA2E" w14:textId="77777777" w:rsidR="003C1CBF" w:rsidRPr="003C1CBF" w:rsidRDefault="003C1CBF" w:rsidP="003C1CBF">
            <w:pPr>
              <w:rPr>
                <w:rFonts w:eastAsia="MS Mincho" w:cs="Arial"/>
                <w:kern w:val="0"/>
                <w:lang w:val="en-US"/>
                <w14:ligatures w14:val="none"/>
              </w:rPr>
            </w:pPr>
          </w:p>
          <w:p w14:paraId="3AEEC32C" w14:textId="77777777" w:rsidR="003C1CBF" w:rsidRPr="003C1CBF" w:rsidRDefault="003C1CBF" w:rsidP="003C1CBF">
            <w:pPr>
              <w:rPr>
                <w:rFonts w:eastAsia="MS Mincho" w:cs="Arial"/>
                <w:kern w:val="0"/>
                <w:lang w:val="en-US"/>
                <w14:ligatures w14:val="none"/>
              </w:rPr>
            </w:pPr>
          </w:p>
          <w:p w14:paraId="74C24E5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Boots, Neath</w:t>
            </w:r>
          </w:p>
        </w:tc>
        <w:tc>
          <w:tcPr>
            <w:tcW w:w="1197" w:type="dxa"/>
            <w:shd w:val="clear" w:color="auto" w:fill="D9D9D9"/>
          </w:tcPr>
          <w:p w14:paraId="5D454EC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46EB1D7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09:30-14:30 / 15:30-17:30</w:t>
            </w:r>
          </w:p>
        </w:tc>
        <w:tc>
          <w:tcPr>
            <w:tcW w:w="1205" w:type="dxa"/>
            <w:shd w:val="clear" w:color="auto" w:fill="D9D9D9"/>
          </w:tcPr>
          <w:p w14:paraId="44D5AEB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09:30-14:30 / 15:30-17:30</w:t>
            </w:r>
          </w:p>
        </w:tc>
        <w:tc>
          <w:tcPr>
            <w:tcW w:w="1550" w:type="dxa"/>
            <w:shd w:val="clear" w:color="auto" w:fill="D9D9D9"/>
          </w:tcPr>
          <w:p w14:paraId="549CE944" w14:textId="209C5681"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09:30-14:30 15:30-17:30</w:t>
            </w:r>
          </w:p>
        </w:tc>
        <w:tc>
          <w:tcPr>
            <w:tcW w:w="1374" w:type="dxa"/>
            <w:shd w:val="clear" w:color="auto" w:fill="D9D9D9"/>
          </w:tcPr>
          <w:p w14:paraId="22ADAB6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09:30-14:30 / 15:30-17:30</w:t>
            </w:r>
          </w:p>
        </w:tc>
        <w:tc>
          <w:tcPr>
            <w:tcW w:w="1205" w:type="dxa"/>
            <w:shd w:val="clear" w:color="auto" w:fill="D9D9D9"/>
          </w:tcPr>
          <w:p w14:paraId="7B96204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09:30-17:30</w:t>
            </w:r>
          </w:p>
        </w:tc>
        <w:tc>
          <w:tcPr>
            <w:tcW w:w="1244" w:type="dxa"/>
            <w:shd w:val="clear" w:color="auto" w:fill="D9D9D9"/>
          </w:tcPr>
          <w:p w14:paraId="4961400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09:30-14:30 / 15:30-15:30</w:t>
            </w:r>
          </w:p>
        </w:tc>
        <w:tc>
          <w:tcPr>
            <w:tcW w:w="1378" w:type="dxa"/>
            <w:shd w:val="clear" w:color="auto" w:fill="D9D9D9"/>
          </w:tcPr>
          <w:p w14:paraId="32E20650" w14:textId="77777777" w:rsidR="003C1CBF" w:rsidRPr="003C1CBF" w:rsidRDefault="003C1CBF" w:rsidP="003C1CBF">
            <w:pPr>
              <w:rPr>
                <w:rFonts w:eastAsia="MS Mincho" w:cs="Arial"/>
                <w:kern w:val="0"/>
                <w:lang w:val="en-US"/>
                <w14:ligatures w14:val="none"/>
              </w:rPr>
            </w:pPr>
          </w:p>
        </w:tc>
      </w:tr>
      <w:tr w:rsidR="003C1CBF" w:rsidRPr="003C1CBF" w14:paraId="15138EF2" w14:textId="77777777" w:rsidTr="00B84D31">
        <w:tc>
          <w:tcPr>
            <w:tcW w:w="1270" w:type="dxa"/>
            <w:vMerge/>
          </w:tcPr>
          <w:p w14:paraId="6F20009D" w14:textId="77777777" w:rsidR="003C1CBF" w:rsidRPr="003C1CBF" w:rsidRDefault="003C1CBF" w:rsidP="003C1CBF">
            <w:pPr>
              <w:rPr>
                <w:rFonts w:eastAsia="MS Mincho" w:cs="Arial"/>
                <w:kern w:val="0"/>
                <w:lang w:val="en-US"/>
                <w14:ligatures w14:val="none"/>
              </w:rPr>
            </w:pPr>
          </w:p>
        </w:tc>
        <w:tc>
          <w:tcPr>
            <w:tcW w:w="1551" w:type="dxa"/>
            <w:vMerge/>
          </w:tcPr>
          <w:p w14:paraId="39C474BB" w14:textId="77777777" w:rsidR="003C1CBF" w:rsidRPr="003C1CBF" w:rsidRDefault="003C1CBF" w:rsidP="003C1CBF">
            <w:pPr>
              <w:rPr>
                <w:rFonts w:eastAsia="MS Mincho" w:cs="Arial"/>
                <w:kern w:val="0"/>
                <w:lang w:val="en-US"/>
                <w14:ligatures w14:val="none"/>
              </w:rPr>
            </w:pPr>
          </w:p>
        </w:tc>
        <w:tc>
          <w:tcPr>
            <w:tcW w:w="1197" w:type="dxa"/>
          </w:tcPr>
          <w:p w14:paraId="40BF00C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7A8D99C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255125B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550" w:type="dxa"/>
          </w:tcPr>
          <w:p w14:paraId="3520766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4" w:type="dxa"/>
          </w:tcPr>
          <w:p w14:paraId="396C467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09D7D0F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tcPr>
          <w:p w14:paraId="3777909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378" w:type="dxa"/>
          </w:tcPr>
          <w:p w14:paraId="00F3691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10:00-16:00</w:t>
            </w:r>
          </w:p>
        </w:tc>
      </w:tr>
      <w:tr w:rsidR="003C1CBF" w:rsidRPr="003C1CBF" w14:paraId="4DD9B5C1" w14:textId="77777777" w:rsidTr="00B84D31">
        <w:tc>
          <w:tcPr>
            <w:tcW w:w="1270" w:type="dxa"/>
            <w:vMerge w:val="restart"/>
          </w:tcPr>
          <w:p w14:paraId="2A5F897F" w14:textId="77777777" w:rsidR="003C1CBF" w:rsidRPr="003C1CBF" w:rsidRDefault="003C1CBF" w:rsidP="003C1CBF">
            <w:pPr>
              <w:rPr>
                <w:rFonts w:eastAsia="MS Mincho" w:cs="Arial"/>
                <w:kern w:val="0"/>
                <w:lang w:val="en-US"/>
                <w14:ligatures w14:val="none"/>
              </w:rPr>
            </w:pPr>
          </w:p>
          <w:p w14:paraId="2E2A993A" w14:textId="77777777" w:rsidR="003C1CBF" w:rsidRPr="003C1CBF" w:rsidRDefault="003C1CBF" w:rsidP="003C1CBF">
            <w:pPr>
              <w:rPr>
                <w:rFonts w:eastAsia="MS Mincho" w:cs="Arial"/>
                <w:kern w:val="0"/>
                <w:lang w:val="en-US"/>
                <w14:ligatures w14:val="none"/>
              </w:rPr>
            </w:pPr>
          </w:p>
          <w:p w14:paraId="33451E39" w14:textId="77777777" w:rsidR="003C1CBF" w:rsidRPr="003C1CBF" w:rsidRDefault="003C1CBF" w:rsidP="003C1CBF">
            <w:pPr>
              <w:rPr>
                <w:rFonts w:eastAsia="MS Mincho" w:cs="Arial"/>
                <w:kern w:val="0"/>
                <w:lang w:val="en-US"/>
                <w14:ligatures w14:val="none"/>
              </w:rPr>
            </w:pPr>
          </w:p>
          <w:p w14:paraId="7DA5523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Neath</w:t>
            </w:r>
          </w:p>
        </w:tc>
        <w:tc>
          <w:tcPr>
            <w:tcW w:w="1551" w:type="dxa"/>
            <w:vMerge w:val="restart"/>
          </w:tcPr>
          <w:p w14:paraId="4A505146" w14:textId="77777777" w:rsidR="003C1CBF" w:rsidRPr="003C1CBF" w:rsidRDefault="003C1CBF" w:rsidP="003C1CBF">
            <w:pPr>
              <w:rPr>
                <w:rFonts w:eastAsia="MS Mincho" w:cs="Arial"/>
                <w:kern w:val="0"/>
                <w:lang w:val="en-US"/>
                <w14:ligatures w14:val="none"/>
              </w:rPr>
            </w:pPr>
          </w:p>
          <w:p w14:paraId="064AD6B4" w14:textId="77777777" w:rsidR="003C1CBF" w:rsidRPr="003C1CBF" w:rsidRDefault="003C1CBF" w:rsidP="003C1CBF">
            <w:pPr>
              <w:rPr>
                <w:rFonts w:eastAsia="MS Mincho" w:cs="Arial"/>
                <w:kern w:val="0"/>
                <w:lang w:val="en-US"/>
                <w14:ligatures w14:val="none"/>
              </w:rPr>
            </w:pPr>
          </w:p>
          <w:p w14:paraId="001B7CEE" w14:textId="77777777" w:rsidR="003C1CBF" w:rsidRPr="003C1CBF" w:rsidRDefault="003C1CBF" w:rsidP="003C1CBF">
            <w:pPr>
              <w:rPr>
                <w:rFonts w:eastAsia="MS Mincho" w:cs="Arial"/>
                <w:kern w:val="0"/>
                <w:lang w:val="en-US"/>
                <w14:ligatures w14:val="none"/>
              </w:rPr>
            </w:pPr>
          </w:p>
          <w:p w14:paraId="3994592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Castle Pharmacy</w:t>
            </w:r>
          </w:p>
        </w:tc>
        <w:tc>
          <w:tcPr>
            <w:tcW w:w="1197" w:type="dxa"/>
            <w:shd w:val="clear" w:color="auto" w:fill="D9D9D9"/>
          </w:tcPr>
          <w:p w14:paraId="0B2D0AD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Core</w:t>
            </w:r>
          </w:p>
        </w:tc>
        <w:tc>
          <w:tcPr>
            <w:tcW w:w="1204" w:type="dxa"/>
            <w:shd w:val="clear" w:color="auto" w:fill="D9D9D9"/>
          </w:tcPr>
          <w:p w14:paraId="5A05513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 xml:space="preserve">09:00-13:00 / </w:t>
            </w:r>
            <w:r w:rsidRPr="003C1CBF">
              <w:rPr>
                <w:rFonts w:eastAsia="MS Mincho" w:cs="Arial"/>
                <w:kern w:val="0"/>
                <w:lang w:val="en-US"/>
                <w14:ligatures w14:val="none"/>
              </w:rPr>
              <w:lastRenderedPageBreak/>
              <w:t>13:30-17:30</w:t>
            </w:r>
          </w:p>
        </w:tc>
        <w:tc>
          <w:tcPr>
            <w:tcW w:w="1205" w:type="dxa"/>
            <w:shd w:val="clear" w:color="auto" w:fill="D9D9D9"/>
          </w:tcPr>
          <w:p w14:paraId="1908870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 xml:space="preserve">09:00-13:00 / </w:t>
            </w:r>
            <w:r w:rsidRPr="003C1CBF">
              <w:rPr>
                <w:rFonts w:eastAsia="MS Mincho" w:cs="Arial"/>
                <w:kern w:val="0"/>
                <w:lang w:val="en-US"/>
                <w14:ligatures w14:val="none"/>
              </w:rPr>
              <w:lastRenderedPageBreak/>
              <w:t>13:30-17:30</w:t>
            </w:r>
          </w:p>
        </w:tc>
        <w:tc>
          <w:tcPr>
            <w:tcW w:w="1550" w:type="dxa"/>
            <w:shd w:val="clear" w:color="auto" w:fill="D9D9D9"/>
          </w:tcPr>
          <w:p w14:paraId="773153FC" w14:textId="69243284"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09:00-13:00 13:30-17:30</w:t>
            </w:r>
          </w:p>
        </w:tc>
        <w:tc>
          <w:tcPr>
            <w:tcW w:w="1374" w:type="dxa"/>
            <w:shd w:val="clear" w:color="auto" w:fill="D9D9D9"/>
          </w:tcPr>
          <w:p w14:paraId="3A6FE41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 xml:space="preserve">09:00-13:00 / </w:t>
            </w:r>
            <w:r w:rsidRPr="003C1CBF">
              <w:rPr>
                <w:rFonts w:eastAsia="MS Mincho" w:cs="Arial"/>
                <w:kern w:val="0"/>
                <w:lang w:val="en-US"/>
                <w14:ligatures w14:val="none"/>
              </w:rPr>
              <w:lastRenderedPageBreak/>
              <w:t>13:30-17:30</w:t>
            </w:r>
          </w:p>
        </w:tc>
        <w:tc>
          <w:tcPr>
            <w:tcW w:w="1205" w:type="dxa"/>
            <w:shd w:val="clear" w:color="auto" w:fill="D9D9D9"/>
          </w:tcPr>
          <w:p w14:paraId="718DC51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09:00-17:30</w:t>
            </w:r>
          </w:p>
        </w:tc>
        <w:tc>
          <w:tcPr>
            <w:tcW w:w="1244" w:type="dxa"/>
            <w:shd w:val="clear" w:color="auto" w:fill="D9D9D9"/>
          </w:tcPr>
          <w:p w14:paraId="66CE8D1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1D07C33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25D83741" w14:textId="77777777" w:rsidTr="00B84D31">
        <w:tc>
          <w:tcPr>
            <w:tcW w:w="1270" w:type="dxa"/>
            <w:vMerge/>
          </w:tcPr>
          <w:p w14:paraId="341E889A" w14:textId="77777777" w:rsidR="003C1CBF" w:rsidRPr="003C1CBF" w:rsidRDefault="003C1CBF" w:rsidP="003C1CBF">
            <w:pPr>
              <w:rPr>
                <w:rFonts w:eastAsia="MS Mincho" w:cs="Arial"/>
                <w:kern w:val="0"/>
                <w:lang w:val="en-US"/>
                <w14:ligatures w14:val="none"/>
              </w:rPr>
            </w:pPr>
          </w:p>
        </w:tc>
        <w:tc>
          <w:tcPr>
            <w:tcW w:w="1551" w:type="dxa"/>
            <w:vMerge/>
          </w:tcPr>
          <w:p w14:paraId="126B4D78" w14:textId="77777777" w:rsidR="003C1CBF" w:rsidRPr="003C1CBF" w:rsidRDefault="003C1CBF" w:rsidP="003C1CBF">
            <w:pPr>
              <w:rPr>
                <w:rFonts w:eastAsia="MS Mincho" w:cs="Arial"/>
                <w:kern w:val="0"/>
                <w:lang w:val="en-US"/>
                <w14:ligatures w14:val="none"/>
              </w:rPr>
            </w:pPr>
          </w:p>
        </w:tc>
        <w:tc>
          <w:tcPr>
            <w:tcW w:w="1197" w:type="dxa"/>
          </w:tcPr>
          <w:p w14:paraId="3987C00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27DF62D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13:30-17:30</w:t>
            </w:r>
          </w:p>
        </w:tc>
        <w:tc>
          <w:tcPr>
            <w:tcW w:w="1205" w:type="dxa"/>
          </w:tcPr>
          <w:p w14:paraId="3FDF2A0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13:30-17:30</w:t>
            </w:r>
          </w:p>
        </w:tc>
        <w:tc>
          <w:tcPr>
            <w:tcW w:w="1550" w:type="dxa"/>
          </w:tcPr>
          <w:p w14:paraId="6F5BD4D6" w14:textId="62B9B6FC"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13:30-17:30</w:t>
            </w:r>
          </w:p>
        </w:tc>
        <w:tc>
          <w:tcPr>
            <w:tcW w:w="1374" w:type="dxa"/>
          </w:tcPr>
          <w:p w14:paraId="3100F97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13:30-17:30</w:t>
            </w:r>
          </w:p>
        </w:tc>
        <w:tc>
          <w:tcPr>
            <w:tcW w:w="1205" w:type="dxa"/>
          </w:tcPr>
          <w:p w14:paraId="0D6F67C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tcPr>
          <w:p w14:paraId="05EE234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1BCD162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0ACAE950" w14:textId="77777777" w:rsidTr="00B84D31">
        <w:tc>
          <w:tcPr>
            <w:tcW w:w="1270" w:type="dxa"/>
            <w:vMerge w:val="restart"/>
          </w:tcPr>
          <w:p w14:paraId="72CC84F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Neath</w:t>
            </w:r>
          </w:p>
        </w:tc>
        <w:tc>
          <w:tcPr>
            <w:tcW w:w="1551" w:type="dxa"/>
            <w:vMerge w:val="restart"/>
          </w:tcPr>
          <w:p w14:paraId="2B15D51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Davies Chemist, Baglan</w:t>
            </w:r>
          </w:p>
        </w:tc>
        <w:tc>
          <w:tcPr>
            <w:tcW w:w="1197" w:type="dxa"/>
            <w:shd w:val="clear" w:color="auto" w:fill="D9D9D9"/>
          </w:tcPr>
          <w:p w14:paraId="7F9CB9C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3A90131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4439F0E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550" w:type="dxa"/>
            <w:shd w:val="clear" w:color="auto" w:fill="D9D9D9"/>
          </w:tcPr>
          <w:p w14:paraId="7DDC0F6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374" w:type="dxa"/>
            <w:shd w:val="clear" w:color="auto" w:fill="D9D9D9"/>
          </w:tcPr>
          <w:p w14:paraId="7E46FC4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04498D0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44" w:type="dxa"/>
            <w:shd w:val="clear" w:color="auto" w:fill="D9D9D9"/>
          </w:tcPr>
          <w:p w14:paraId="14B53AC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079C1B2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690D7FA5" w14:textId="77777777" w:rsidTr="00B84D31">
        <w:tc>
          <w:tcPr>
            <w:tcW w:w="1270" w:type="dxa"/>
            <w:vMerge/>
          </w:tcPr>
          <w:p w14:paraId="25654761" w14:textId="77777777" w:rsidR="003C1CBF" w:rsidRPr="003C1CBF" w:rsidRDefault="003C1CBF" w:rsidP="003C1CBF">
            <w:pPr>
              <w:rPr>
                <w:rFonts w:eastAsia="MS Mincho" w:cs="Arial"/>
                <w:kern w:val="0"/>
                <w:lang w:val="en-US"/>
                <w14:ligatures w14:val="none"/>
              </w:rPr>
            </w:pPr>
          </w:p>
        </w:tc>
        <w:tc>
          <w:tcPr>
            <w:tcW w:w="1551" w:type="dxa"/>
            <w:vMerge/>
          </w:tcPr>
          <w:p w14:paraId="3970193F" w14:textId="77777777" w:rsidR="003C1CBF" w:rsidRPr="003C1CBF" w:rsidRDefault="003C1CBF" w:rsidP="003C1CBF">
            <w:pPr>
              <w:rPr>
                <w:rFonts w:eastAsia="MS Mincho" w:cs="Arial"/>
                <w:kern w:val="0"/>
                <w:lang w:val="en-US"/>
                <w14:ligatures w14:val="none"/>
              </w:rPr>
            </w:pPr>
          </w:p>
        </w:tc>
        <w:tc>
          <w:tcPr>
            <w:tcW w:w="1197" w:type="dxa"/>
          </w:tcPr>
          <w:p w14:paraId="1C856AE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456280F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05" w:type="dxa"/>
          </w:tcPr>
          <w:p w14:paraId="6EFAA99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550" w:type="dxa"/>
          </w:tcPr>
          <w:p w14:paraId="214A187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374" w:type="dxa"/>
          </w:tcPr>
          <w:p w14:paraId="3298A59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05" w:type="dxa"/>
          </w:tcPr>
          <w:p w14:paraId="2515FD2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44" w:type="dxa"/>
          </w:tcPr>
          <w:p w14:paraId="579CC25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33D7636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4C90F856" w14:textId="77777777" w:rsidTr="00B84D31">
        <w:tc>
          <w:tcPr>
            <w:tcW w:w="1270" w:type="dxa"/>
            <w:vMerge w:val="restart"/>
          </w:tcPr>
          <w:p w14:paraId="45E6C83D" w14:textId="77777777" w:rsidR="003C1CBF" w:rsidRPr="003C1CBF" w:rsidRDefault="003C1CBF" w:rsidP="003C1CBF">
            <w:pPr>
              <w:rPr>
                <w:rFonts w:eastAsia="MS Mincho" w:cs="Arial"/>
                <w:kern w:val="0"/>
                <w:lang w:val="en-US"/>
                <w14:ligatures w14:val="none"/>
              </w:rPr>
            </w:pPr>
          </w:p>
          <w:p w14:paraId="419CAA32" w14:textId="77777777" w:rsidR="003C1CBF" w:rsidRPr="003C1CBF" w:rsidRDefault="003C1CBF" w:rsidP="003C1CBF">
            <w:pPr>
              <w:rPr>
                <w:rFonts w:eastAsia="MS Mincho" w:cs="Arial"/>
                <w:kern w:val="0"/>
                <w:lang w:val="en-US"/>
                <w14:ligatures w14:val="none"/>
              </w:rPr>
            </w:pPr>
          </w:p>
          <w:p w14:paraId="323A186E" w14:textId="77777777" w:rsidR="003C1CBF" w:rsidRPr="003C1CBF" w:rsidRDefault="003C1CBF" w:rsidP="003C1CBF">
            <w:pPr>
              <w:rPr>
                <w:rFonts w:eastAsia="MS Mincho" w:cs="Arial"/>
                <w:kern w:val="0"/>
                <w:lang w:val="en-US"/>
                <w14:ligatures w14:val="none"/>
              </w:rPr>
            </w:pPr>
          </w:p>
          <w:p w14:paraId="79C80CB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Neath</w:t>
            </w:r>
          </w:p>
        </w:tc>
        <w:tc>
          <w:tcPr>
            <w:tcW w:w="1551" w:type="dxa"/>
            <w:vMerge w:val="restart"/>
          </w:tcPr>
          <w:p w14:paraId="0A9E04F5" w14:textId="77777777" w:rsidR="003C1CBF" w:rsidRPr="003C1CBF" w:rsidRDefault="003C1CBF" w:rsidP="003C1CBF">
            <w:pPr>
              <w:rPr>
                <w:rFonts w:eastAsia="MS Mincho" w:cs="Arial"/>
                <w:kern w:val="0"/>
                <w:lang w:val="en-US"/>
                <w14:ligatures w14:val="none"/>
              </w:rPr>
            </w:pPr>
          </w:p>
          <w:p w14:paraId="6B30F15C" w14:textId="77777777" w:rsidR="003C1CBF" w:rsidRPr="003C1CBF" w:rsidRDefault="003C1CBF" w:rsidP="003C1CBF">
            <w:pPr>
              <w:rPr>
                <w:rFonts w:eastAsia="MS Mincho" w:cs="Arial"/>
                <w:kern w:val="0"/>
                <w:lang w:val="en-US"/>
                <w14:ligatures w14:val="none"/>
              </w:rPr>
            </w:pPr>
          </w:p>
          <w:p w14:paraId="4FA845C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Davies Chemist, Briton Ferry</w:t>
            </w:r>
          </w:p>
        </w:tc>
        <w:tc>
          <w:tcPr>
            <w:tcW w:w="1197" w:type="dxa"/>
            <w:shd w:val="clear" w:color="auto" w:fill="D9D9D9"/>
          </w:tcPr>
          <w:p w14:paraId="0589470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7E775ED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205" w:type="dxa"/>
            <w:shd w:val="clear" w:color="auto" w:fill="D9D9D9"/>
          </w:tcPr>
          <w:p w14:paraId="447E42E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550" w:type="dxa"/>
            <w:shd w:val="clear" w:color="auto" w:fill="D9D9D9"/>
          </w:tcPr>
          <w:p w14:paraId="3AD8BDC8" w14:textId="6BB7F714"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14:00-17:30</w:t>
            </w:r>
          </w:p>
        </w:tc>
        <w:tc>
          <w:tcPr>
            <w:tcW w:w="1374" w:type="dxa"/>
            <w:shd w:val="clear" w:color="auto" w:fill="D9D9D9"/>
          </w:tcPr>
          <w:p w14:paraId="27F567C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205" w:type="dxa"/>
            <w:shd w:val="clear" w:color="auto" w:fill="D9D9D9"/>
          </w:tcPr>
          <w:p w14:paraId="0C9B8AD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shd w:val="clear" w:color="auto" w:fill="D9D9D9"/>
          </w:tcPr>
          <w:p w14:paraId="46297D5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09:00-11:30</w:t>
            </w:r>
          </w:p>
        </w:tc>
        <w:tc>
          <w:tcPr>
            <w:tcW w:w="1378" w:type="dxa"/>
            <w:shd w:val="clear" w:color="auto" w:fill="D9D9D9"/>
          </w:tcPr>
          <w:p w14:paraId="40BA77C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7A288975" w14:textId="77777777" w:rsidTr="00B84D31">
        <w:tc>
          <w:tcPr>
            <w:tcW w:w="1270" w:type="dxa"/>
            <w:vMerge/>
          </w:tcPr>
          <w:p w14:paraId="7093D12F" w14:textId="77777777" w:rsidR="003C1CBF" w:rsidRPr="003C1CBF" w:rsidRDefault="003C1CBF" w:rsidP="003C1CBF">
            <w:pPr>
              <w:rPr>
                <w:rFonts w:eastAsia="MS Mincho" w:cs="Arial"/>
                <w:kern w:val="0"/>
                <w:lang w:val="en-US"/>
                <w14:ligatures w14:val="none"/>
              </w:rPr>
            </w:pPr>
          </w:p>
        </w:tc>
        <w:tc>
          <w:tcPr>
            <w:tcW w:w="1551" w:type="dxa"/>
            <w:vMerge/>
          </w:tcPr>
          <w:p w14:paraId="71CCDF06" w14:textId="77777777" w:rsidR="003C1CBF" w:rsidRPr="003C1CBF" w:rsidRDefault="003C1CBF" w:rsidP="003C1CBF">
            <w:pPr>
              <w:rPr>
                <w:rFonts w:eastAsia="MS Mincho" w:cs="Arial"/>
                <w:kern w:val="0"/>
                <w:lang w:val="en-US"/>
                <w14:ligatures w14:val="none"/>
              </w:rPr>
            </w:pPr>
          </w:p>
        </w:tc>
        <w:tc>
          <w:tcPr>
            <w:tcW w:w="1197" w:type="dxa"/>
          </w:tcPr>
          <w:p w14:paraId="5B94D93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785D424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205" w:type="dxa"/>
          </w:tcPr>
          <w:p w14:paraId="2CC4AC4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550" w:type="dxa"/>
          </w:tcPr>
          <w:p w14:paraId="101318C3" w14:textId="7C4CAE15"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14:00-17:30</w:t>
            </w:r>
          </w:p>
        </w:tc>
        <w:tc>
          <w:tcPr>
            <w:tcW w:w="1374" w:type="dxa"/>
          </w:tcPr>
          <w:p w14:paraId="47A99DF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205" w:type="dxa"/>
          </w:tcPr>
          <w:p w14:paraId="511D341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tcPr>
          <w:p w14:paraId="686434C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09:00-11:30</w:t>
            </w:r>
          </w:p>
        </w:tc>
        <w:tc>
          <w:tcPr>
            <w:tcW w:w="1378" w:type="dxa"/>
          </w:tcPr>
          <w:p w14:paraId="674917F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5C181C11" w14:textId="77777777" w:rsidTr="00B84D31">
        <w:tc>
          <w:tcPr>
            <w:tcW w:w="1270" w:type="dxa"/>
            <w:vMerge w:val="restart"/>
          </w:tcPr>
          <w:p w14:paraId="002E58F3" w14:textId="77777777" w:rsidR="003C1CBF" w:rsidRPr="003C1CBF" w:rsidRDefault="003C1CBF" w:rsidP="003C1CBF">
            <w:pPr>
              <w:rPr>
                <w:rFonts w:eastAsia="MS Mincho" w:cs="Arial"/>
                <w:kern w:val="0"/>
                <w:lang w:val="en-US"/>
                <w14:ligatures w14:val="none"/>
              </w:rPr>
            </w:pPr>
          </w:p>
          <w:p w14:paraId="0D17171B" w14:textId="77777777" w:rsidR="003C1CBF" w:rsidRPr="003C1CBF" w:rsidRDefault="003C1CBF" w:rsidP="003C1CBF">
            <w:pPr>
              <w:rPr>
                <w:rFonts w:eastAsia="MS Mincho" w:cs="Arial"/>
                <w:kern w:val="0"/>
                <w:lang w:val="en-US"/>
                <w14:ligatures w14:val="none"/>
              </w:rPr>
            </w:pPr>
          </w:p>
          <w:p w14:paraId="49DE1C7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Neath</w:t>
            </w:r>
          </w:p>
        </w:tc>
        <w:tc>
          <w:tcPr>
            <w:tcW w:w="1551" w:type="dxa"/>
            <w:vMerge w:val="restart"/>
          </w:tcPr>
          <w:p w14:paraId="68F69ED1" w14:textId="77777777" w:rsidR="003C1CBF" w:rsidRPr="003C1CBF" w:rsidRDefault="003C1CBF" w:rsidP="003C1CBF">
            <w:pPr>
              <w:rPr>
                <w:rFonts w:eastAsia="MS Mincho" w:cs="Arial"/>
                <w:kern w:val="0"/>
                <w:lang w:val="en-US"/>
                <w14:ligatures w14:val="none"/>
              </w:rPr>
            </w:pPr>
          </w:p>
          <w:p w14:paraId="58379F2D" w14:textId="77777777" w:rsidR="003C1CBF" w:rsidRPr="003C1CBF" w:rsidRDefault="003C1CBF" w:rsidP="003C1CBF">
            <w:pPr>
              <w:rPr>
                <w:rFonts w:eastAsia="MS Mincho" w:cs="Arial"/>
                <w:kern w:val="0"/>
                <w:lang w:val="en-US"/>
                <w14:ligatures w14:val="none"/>
              </w:rPr>
            </w:pPr>
          </w:p>
          <w:p w14:paraId="68E266B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Dyfed Road Pharmacy</w:t>
            </w:r>
          </w:p>
        </w:tc>
        <w:tc>
          <w:tcPr>
            <w:tcW w:w="1197" w:type="dxa"/>
            <w:shd w:val="clear" w:color="auto" w:fill="D9D9D9"/>
          </w:tcPr>
          <w:p w14:paraId="508BBE3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1C0C48B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08:30-13:00 / 14:00-18:00</w:t>
            </w:r>
          </w:p>
        </w:tc>
        <w:tc>
          <w:tcPr>
            <w:tcW w:w="1205" w:type="dxa"/>
            <w:shd w:val="clear" w:color="auto" w:fill="D9D9D9"/>
          </w:tcPr>
          <w:p w14:paraId="1E4EC2C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08:30-13:00 / 14:00-18:00</w:t>
            </w:r>
          </w:p>
        </w:tc>
        <w:tc>
          <w:tcPr>
            <w:tcW w:w="1550" w:type="dxa"/>
            <w:shd w:val="clear" w:color="auto" w:fill="D9D9D9"/>
          </w:tcPr>
          <w:p w14:paraId="4E929FB6" w14:textId="58D752B8"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08:30-13:00 14:00-18:00</w:t>
            </w:r>
          </w:p>
        </w:tc>
        <w:tc>
          <w:tcPr>
            <w:tcW w:w="1374" w:type="dxa"/>
            <w:shd w:val="clear" w:color="auto" w:fill="D9D9D9"/>
          </w:tcPr>
          <w:p w14:paraId="6A05E00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08:30-13:00 / 14:00-18:00</w:t>
            </w:r>
          </w:p>
        </w:tc>
        <w:tc>
          <w:tcPr>
            <w:tcW w:w="1205" w:type="dxa"/>
            <w:shd w:val="clear" w:color="auto" w:fill="D9D9D9"/>
          </w:tcPr>
          <w:p w14:paraId="7E7087B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44" w:type="dxa"/>
            <w:shd w:val="clear" w:color="auto" w:fill="D9D9D9"/>
          </w:tcPr>
          <w:p w14:paraId="3E137E8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0CE8DAA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70FD25BD" w14:textId="77777777" w:rsidTr="00B84D31">
        <w:tc>
          <w:tcPr>
            <w:tcW w:w="1270" w:type="dxa"/>
            <w:vMerge/>
          </w:tcPr>
          <w:p w14:paraId="23F9A041" w14:textId="77777777" w:rsidR="003C1CBF" w:rsidRPr="003C1CBF" w:rsidRDefault="003C1CBF" w:rsidP="003C1CBF">
            <w:pPr>
              <w:rPr>
                <w:rFonts w:eastAsia="MS Mincho" w:cs="Arial"/>
                <w:kern w:val="0"/>
                <w:lang w:val="en-US"/>
                <w14:ligatures w14:val="none"/>
              </w:rPr>
            </w:pPr>
          </w:p>
        </w:tc>
        <w:tc>
          <w:tcPr>
            <w:tcW w:w="1551" w:type="dxa"/>
            <w:vMerge/>
          </w:tcPr>
          <w:p w14:paraId="3A859C8E" w14:textId="77777777" w:rsidR="003C1CBF" w:rsidRPr="003C1CBF" w:rsidRDefault="003C1CBF" w:rsidP="003C1CBF">
            <w:pPr>
              <w:rPr>
                <w:rFonts w:eastAsia="MS Mincho" w:cs="Arial"/>
                <w:kern w:val="0"/>
                <w:lang w:val="en-US"/>
                <w14:ligatures w14:val="none"/>
              </w:rPr>
            </w:pPr>
          </w:p>
        </w:tc>
        <w:tc>
          <w:tcPr>
            <w:tcW w:w="1197" w:type="dxa"/>
          </w:tcPr>
          <w:p w14:paraId="32D3BD3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000FBC3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08:30-13:00 / 14:00-18:00</w:t>
            </w:r>
          </w:p>
        </w:tc>
        <w:tc>
          <w:tcPr>
            <w:tcW w:w="1205" w:type="dxa"/>
          </w:tcPr>
          <w:p w14:paraId="76B3F81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08:30-13:00 / 14:00-18:00</w:t>
            </w:r>
          </w:p>
        </w:tc>
        <w:tc>
          <w:tcPr>
            <w:tcW w:w="1550" w:type="dxa"/>
          </w:tcPr>
          <w:p w14:paraId="7140BAEE" w14:textId="6015C222"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08:30-13:00 14:00-18:00</w:t>
            </w:r>
          </w:p>
        </w:tc>
        <w:tc>
          <w:tcPr>
            <w:tcW w:w="1374" w:type="dxa"/>
          </w:tcPr>
          <w:p w14:paraId="5B5035C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08:30-13:00 / 14:00-18:00</w:t>
            </w:r>
          </w:p>
        </w:tc>
        <w:tc>
          <w:tcPr>
            <w:tcW w:w="1205" w:type="dxa"/>
          </w:tcPr>
          <w:p w14:paraId="2F2BA36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44" w:type="dxa"/>
          </w:tcPr>
          <w:p w14:paraId="3828824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051AD22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69786771" w14:textId="77777777" w:rsidTr="00B84D31">
        <w:tc>
          <w:tcPr>
            <w:tcW w:w="1270" w:type="dxa"/>
            <w:vMerge w:val="restart"/>
          </w:tcPr>
          <w:p w14:paraId="3A9DC25D" w14:textId="77777777" w:rsidR="003C1CBF" w:rsidRPr="003C1CBF" w:rsidRDefault="003C1CBF" w:rsidP="003C1CBF">
            <w:pPr>
              <w:rPr>
                <w:rFonts w:eastAsia="MS Mincho" w:cs="Arial"/>
                <w:kern w:val="0"/>
                <w:lang w:val="en-US"/>
                <w14:ligatures w14:val="none"/>
              </w:rPr>
            </w:pPr>
          </w:p>
          <w:p w14:paraId="5136499E" w14:textId="77777777" w:rsidR="003C1CBF" w:rsidRPr="003C1CBF" w:rsidRDefault="003C1CBF" w:rsidP="003C1CBF">
            <w:pPr>
              <w:rPr>
                <w:rFonts w:eastAsia="MS Mincho" w:cs="Arial"/>
                <w:kern w:val="0"/>
                <w:lang w:val="en-US"/>
                <w14:ligatures w14:val="none"/>
              </w:rPr>
            </w:pPr>
          </w:p>
          <w:p w14:paraId="2AB3187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Neath</w:t>
            </w:r>
          </w:p>
        </w:tc>
        <w:tc>
          <w:tcPr>
            <w:tcW w:w="1551" w:type="dxa"/>
            <w:vMerge w:val="restart"/>
          </w:tcPr>
          <w:p w14:paraId="33BDDCC1" w14:textId="77777777" w:rsidR="003C1CBF" w:rsidRPr="003C1CBF" w:rsidRDefault="003C1CBF" w:rsidP="003C1CBF">
            <w:pPr>
              <w:rPr>
                <w:rFonts w:eastAsia="MS Mincho" w:cs="Arial"/>
                <w:kern w:val="0"/>
                <w:lang w:val="en-US"/>
                <w14:ligatures w14:val="none"/>
              </w:rPr>
            </w:pPr>
          </w:p>
          <w:p w14:paraId="15CA9DF3" w14:textId="77777777" w:rsidR="003C1CBF" w:rsidRPr="003C1CBF" w:rsidRDefault="003C1CBF" w:rsidP="003C1CBF">
            <w:pPr>
              <w:rPr>
                <w:rFonts w:eastAsia="MS Mincho" w:cs="Arial"/>
                <w:kern w:val="0"/>
                <w:lang w:val="en-US"/>
                <w14:ligatures w14:val="none"/>
              </w:rPr>
            </w:pPr>
          </w:p>
          <w:p w14:paraId="191A31D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Neath Pharmacy</w:t>
            </w:r>
          </w:p>
        </w:tc>
        <w:tc>
          <w:tcPr>
            <w:tcW w:w="1197" w:type="dxa"/>
            <w:shd w:val="clear" w:color="auto" w:fill="D9D9D9"/>
          </w:tcPr>
          <w:p w14:paraId="1CF6F8A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49ADAF3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14:30-17:30</w:t>
            </w:r>
          </w:p>
        </w:tc>
        <w:tc>
          <w:tcPr>
            <w:tcW w:w="1205" w:type="dxa"/>
            <w:shd w:val="clear" w:color="auto" w:fill="D9D9D9"/>
          </w:tcPr>
          <w:p w14:paraId="2728236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14:30-17:30</w:t>
            </w:r>
          </w:p>
        </w:tc>
        <w:tc>
          <w:tcPr>
            <w:tcW w:w="1550" w:type="dxa"/>
            <w:shd w:val="clear" w:color="auto" w:fill="D9D9D9"/>
          </w:tcPr>
          <w:p w14:paraId="49E21BE0" w14:textId="5A4A402B"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14:30-17:30</w:t>
            </w:r>
          </w:p>
        </w:tc>
        <w:tc>
          <w:tcPr>
            <w:tcW w:w="1374" w:type="dxa"/>
            <w:shd w:val="clear" w:color="auto" w:fill="D9D9D9"/>
          </w:tcPr>
          <w:p w14:paraId="02543FD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14:30-17:30</w:t>
            </w:r>
          </w:p>
        </w:tc>
        <w:tc>
          <w:tcPr>
            <w:tcW w:w="1205" w:type="dxa"/>
            <w:shd w:val="clear" w:color="auto" w:fill="D9D9D9"/>
          </w:tcPr>
          <w:p w14:paraId="7521B7F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shd w:val="clear" w:color="auto" w:fill="D9D9D9"/>
          </w:tcPr>
          <w:p w14:paraId="299AE2D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35FDECF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74A66DD" w14:textId="77777777" w:rsidTr="00B84D31">
        <w:tc>
          <w:tcPr>
            <w:tcW w:w="1270" w:type="dxa"/>
            <w:vMerge/>
          </w:tcPr>
          <w:p w14:paraId="4B253E3B" w14:textId="77777777" w:rsidR="003C1CBF" w:rsidRPr="003C1CBF" w:rsidRDefault="003C1CBF" w:rsidP="003C1CBF">
            <w:pPr>
              <w:rPr>
                <w:rFonts w:eastAsia="MS Mincho" w:cs="Arial"/>
                <w:kern w:val="0"/>
                <w:lang w:val="en-US"/>
                <w14:ligatures w14:val="none"/>
              </w:rPr>
            </w:pPr>
          </w:p>
        </w:tc>
        <w:tc>
          <w:tcPr>
            <w:tcW w:w="1551" w:type="dxa"/>
            <w:vMerge/>
          </w:tcPr>
          <w:p w14:paraId="6ED131A7" w14:textId="77777777" w:rsidR="003C1CBF" w:rsidRPr="003C1CBF" w:rsidRDefault="003C1CBF" w:rsidP="003C1CBF">
            <w:pPr>
              <w:rPr>
                <w:rFonts w:eastAsia="MS Mincho" w:cs="Arial"/>
                <w:kern w:val="0"/>
                <w:lang w:val="en-US"/>
                <w14:ligatures w14:val="none"/>
              </w:rPr>
            </w:pPr>
          </w:p>
        </w:tc>
        <w:tc>
          <w:tcPr>
            <w:tcW w:w="1197" w:type="dxa"/>
          </w:tcPr>
          <w:p w14:paraId="6A6AB3C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1A809B1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52CB60A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550" w:type="dxa"/>
          </w:tcPr>
          <w:p w14:paraId="5F46EA1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4" w:type="dxa"/>
          </w:tcPr>
          <w:p w14:paraId="3E8E3F0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7214D9D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tcPr>
          <w:p w14:paraId="24F6E9D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2F7504E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4FC37653" w14:textId="77777777" w:rsidTr="00B84D31">
        <w:tc>
          <w:tcPr>
            <w:tcW w:w="1270" w:type="dxa"/>
            <w:vMerge w:val="restart"/>
          </w:tcPr>
          <w:p w14:paraId="3C590EAB" w14:textId="77777777" w:rsidR="003C1CBF" w:rsidRPr="003C1CBF" w:rsidRDefault="003C1CBF" w:rsidP="003C1CBF">
            <w:pPr>
              <w:rPr>
                <w:rFonts w:eastAsia="MS Mincho" w:cs="Arial"/>
                <w:kern w:val="0"/>
                <w:lang w:val="en-US"/>
                <w14:ligatures w14:val="none"/>
              </w:rPr>
            </w:pPr>
          </w:p>
          <w:p w14:paraId="3F947C8E" w14:textId="77777777" w:rsidR="003C1CBF" w:rsidRPr="003C1CBF" w:rsidRDefault="003C1CBF" w:rsidP="003C1CBF">
            <w:pPr>
              <w:rPr>
                <w:rFonts w:eastAsia="MS Mincho" w:cs="Arial"/>
                <w:kern w:val="0"/>
                <w:lang w:val="en-US"/>
                <w14:ligatures w14:val="none"/>
              </w:rPr>
            </w:pPr>
          </w:p>
          <w:p w14:paraId="3E7B238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Neath</w:t>
            </w:r>
          </w:p>
        </w:tc>
        <w:tc>
          <w:tcPr>
            <w:tcW w:w="1551" w:type="dxa"/>
            <w:vMerge w:val="restart"/>
          </w:tcPr>
          <w:p w14:paraId="150F1158" w14:textId="77777777" w:rsidR="003C1CBF" w:rsidRPr="003C1CBF" w:rsidRDefault="003C1CBF" w:rsidP="003C1CBF">
            <w:pPr>
              <w:rPr>
                <w:rFonts w:eastAsia="MS Mincho" w:cs="Arial"/>
                <w:kern w:val="0"/>
                <w:lang w:val="en-US"/>
                <w14:ligatures w14:val="none"/>
              </w:rPr>
            </w:pPr>
          </w:p>
          <w:p w14:paraId="7E1916E3" w14:textId="77777777" w:rsidR="003C1CBF" w:rsidRPr="003C1CBF" w:rsidRDefault="003C1CBF" w:rsidP="003C1CBF">
            <w:pPr>
              <w:rPr>
                <w:rFonts w:eastAsia="MS Mincho" w:cs="Arial"/>
                <w:kern w:val="0"/>
                <w:lang w:val="en-US"/>
                <w14:ligatures w14:val="none"/>
              </w:rPr>
            </w:pPr>
          </w:p>
          <w:p w14:paraId="238FEBF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Queens Road Pharmacy</w:t>
            </w:r>
          </w:p>
        </w:tc>
        <w:tc>
          <w:tcPr>
            <w:tcW w:w="1197" w:type="dxa"/>
            <w:shd w:val="clear" w:color="auto" w:fill="D9D9D9"/>
          </w:tcPr>
          <w:p w14:paraId="635C32F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631C8F4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59B0F38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747A607F" w14:textId="472A78DF"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shd w:val="clear" w:color="auto" w:fill="D9D9D9"/>
          </w:tcPr>
          <w:p w14:paraId="15D4D0A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2055CC3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16885E9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08A2271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49C578E0" w14:textId="77777777" w:rsidTr="00B84D31">
        <w:tc>
          <w:tcPr>
            <w:tcW w:w="1270" w:type="dxa"/>
            <w:vMerge/>
          </w:tcPr>
          <w:p w14:paraId="189F327C" w14:textId="77777777" w:rsidR="003C1CBF" w:rsidRPr="003C1CBF" w:rsidRDefault="003C1CBF" w:rsidP="003C1CBF">
            <w:pPr>
              <w:rPr>
                <w:rFonts w:eastAsia="MS Mincho" w:cs="Arial"/>
                <w:kern w:val="0"/>
                <w:lang w:val="en-US"/>
                <w14:ligatures w14:val="none"/>
              </w:rPr>
            </w:pPr>
          </w:p>
        </w:tc>
        <w:tc>
          <w:tcPr>
            <w:tcW w:w="1551" w:type="dxa"/>
            <w:vMerge/>
          </w:tcPr>
          <w:p w14:paraId="2E607AD7" w14:textId="77777777" w:rsidR="003C1CBF" w:rsidRPr="003C1CBF" w:rsidRDefault="003C1CBF" w:rsidP="003C1CBF">
            <w:pPr>
              <w:rPr>
                <w:rFonts w:eastAsia="MS Mincho" w:cs="Arial"/>
                <w:kern w:val="0"/>
                <w:lang w:val="en-US"/>
                <w14:ligatures w14:val="none"/>
              </w:rPr>
            </w:pPr>
          </w:p>
        </w:tc>
        <w:tc>
          <w:tcPr>
            <w:tcW w:w="1197" w:type="dxa"/>
          </w:tcPr>
          <w:p w14:paraId="465561F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549D4FF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tcPr>
          <w:p w14:paraId="3210EEB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tcPr>
          <w:p w14:paraId="4EA31A0E" w14:textId="1B46B168"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tcPr>
          <w:p w14:paraId="622B65A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tcPr>
          <w:p w14:paraId="35E8687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2FFCE6D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14317E4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610A17C9" w14:textId="77777777" w:rsidTr="00B84D31">
        <w:tc>
          <w:tcPr>
            <w:tcW w:w="1270" w:type="dxa"/>
            <w:vMerge w:val="restart"/>
          </w:tcPr>
          <w:p w14:paraId="37BB0D7B" w14:textId="77777777" w:rsidR="003C1CBF" w:rsidRPr="003C1CBF" w:rsidRDefault="003C1CBF" w:rsidP="003C1CBF">
            <w:pPr>
              <w:rPr>
                <w:rFonts w:eastAsia="MS Mincho" w:cs="Arial"/>
                <w:kern w:val="0"/>
                <w:lang w:val="en-US"/>
                <w14:ligatures w14:val="none"/>
              </w:rPr>
            </w:pPr>
          </w:p>
          <w:p w14:paraId="1E00F4F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Neath</w:t>
            </w:r>
          </w:p>
        </w:tc>
        <w:tc>
          <w:tcPr>
            <w:tcW w:w="1551" w:type="dxa"/>
            <w:vMerge w:val="restart"/>
          </w:tcPr>
          <w:p w14:paraId="25C15915" w14:textId="77777777" w:rsidR="003C1CBF" w:rsidRPr="003C1CBF" w:rsidRDefault="003C1CBF" w:rsidP="003C1CBF">
            <w:pPr>
              <w:rPr>
                <w:rFonts w:eastAsia="MS Mincho" w:cs="Arial"/>
                <w:kern w:val="0"/>
                <w:lang w:val="en-US"/>
                <w14:ligatures w14:val="none"/>
              </w:rPr>
            </w:pPr>
          </w:p>
          <w:p w14:paraId="05832F7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The Health Dispensary</w:t>
            </w:r>
          </w:p>
        </w:tc>
        <w:tc>
          <w:tcPr>
            <w:tcW w:w="1197" w:type="dxa"/>
            <w:shd w:val="clear" w:color="auto" w:fill="D9D9D9"/>
          </w:tcPr>
          <w:p w14:paraId="14C0512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30F6211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09:30-17:30</w:t>
            </w:r>
          </w:p>
        </w:tc>
        <w:tc>
          <w:tcPr>
            <w:tcW w:w="1205" w:type="dxa"/>
            <w:shd w:val="clear" w:color="auto" w:fill="D9D9D9"/>
          </w:tcPr>
          <w:p w14:paraId="6D60DDC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09:30-17:30</w:t>
            </w:r>
          </w:p>
        </w:tc>
        <w:tc>
          <w:tcPr>
            <w:tcW w:w="1550" w:type="dxa"/>
            <w:shd w:val="clear" w:color="auto" w:fill="D9D9D9"/>
          </w:tcPr>
          <w:p w14:paraId="3828F46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09:30-17:30</w:t>
            </w:r>
          </w:p>
        </w:tc>
        <w:tc>
          <w:tcPr>
            <w:tcW w:w="1374" w:type="dxa"/>
            <w:shd w:val="clear" w:color="auto" w:fill="D9D9D9"/>
          </w:tcPr>
          <w:p w14:paraId="16342C6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09:30-17:30</w:t>
            </w:r>
          </w:p>
        </w:tc>
        <w:tc>
          <w:tcPr>
            <w:tcW w:w="1205" w:type="dxa"/>
            <w:shd w:val="clear" w:color="auto" w:fill="D9D9D9"/>
          </w:tcPr>
          <w:p w14:paraId="6A97DB8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09:30-17:30</w:t>
            </w:r>
          </w:p>
        </w:tc>
        <w:tc>
          <w:tcPr>
            <w:tcW w:w="1244" w:type="dxa"/>
            <w:shd w:val="clear" w:color="auto" w:fill="D9D9D9"/>
          </w:tcPr>
          <w:p w14:paraId="5ECDDD2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1AA903F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572A6DB9" w14:textId="77777777" w:rsidTr="00B84D31">
        <w:tc>
          <w:tcPr>
            <w:tcW w:w="1270" w:type="dxa"/>
            <w:vMerge/>
          </w:tcPr>
          <w:p w14:paraId="5B3F59ED" w14:textId="77777777" w:rsidR="003C1CBF" w:rsidRPr="003C1CBF" w:rsidRDefault="003C1CBF" w:rsidP="003C1CBF">
            <w:pPr>
              <w:rPr>
                <w:rFonts w:eastAsia="MS Mincho" w:cs="Arial"/>
                <w:kern w:val="0"/>
                <w:lang w:val="en-US"/>
                <w14:ligatures w14:val="none"/>
              </w:rPr>
            </w:pPr>
          </w:p>
        </w:tc>
        <w:tc>
          <w:tcPr>
            <w:tcW w:w="1551" w:type="dxa"/>
            <w:vMerge/>
          </w:tcPr>
          <w:p w14:paraId="2869C61F" w14:textId="77777777" w:rsidR="003C1CBF" w:rsidRPr="003C1CBF" w:rsidRDefault="003C1CBF" w:rsidP="003C1CBF">
            <w:pPr>
              <w:rPr>
                <w:rFonts w:eastAsia="MS Mincho" w:cs="Arial"/>
                <w:kern w:val="0"/>
                <w:lang w:val="en-US"/>
                <w14:ligatures w14:val="none"/>
              </w:rPr>
            </w:pPr>
          </w:p>
        </w:tc>
        <w:tc>
          <w:tcPr>
            <w:tcW w:w="1197" w:type="dxa"/>
          </w:tcPr>
          <w:p w14:paraId="7CE251C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11671F5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09:30-17:30</w:t>
            </w:r>
          </w:p>
        </w:tc>
        <w:tc>
          <w:tcPr>
            <w:tcW w:w="1205" w:type="dxa"/>
          </w:tcPr>
          <w:p w14:paraId="3C296E4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09:30-17:30</w:t>
            </w:r>
          </w:p>
        </w:tc>
        <w:tc>
          <w:tcPr>
            <w:tcW w:w="1550" w:type="dxa"/>
          </w:tcPr>
          <w:p w14:paraId="1C7832F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09:30-17:30</w:t>
            </w:r>
          </w:p>
        </w:tc>
        <w:tc>
          <w:tcPr>
            <w:tcW w:w="1374" w:type="dxa"/>
          </w:tcPr>
          <w:p w14:paraId="4A482F2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09:30-17:30</w:t>
            </w:r>
          </w:p>
        </w:tc>
        <w:tc>
          <w:tcPr>
            <w:tcW w:w="1205" w:type="dxa"/>
          </w:tcPr>
          <w:p w14:paraId="4E44F96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09:30-17:30</w:t>
            </w:r>
          </w:p>
        </w:tc>
        <w:tc>
          <w:tcPr>
            <w:tcW w:w="1244" w:type="dxa"/>
          </w:tcPr>
          <w:p w14:paraId="4721AEC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723ADC8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01E7C03B" w14:textId="77777777" w:rsidTr="00B84D31">
        <w:tc>
          <w:tcPr>
            <w:tcW w:w="1270" w:type="dxa"/>
            <w:vMerge w:val="restart"/>
          </w:tcPr>
          <w:p w14:paraId="11C02DD9" w14:textId="77777777" w:rsidR="003C1CBF" w:rsidRPr="003C1CBF" w:rsidRDefault="003C1CBF" w:rsidP="003C1CBF">
            <w:pPr>
              <w:rPr>
                <w:rFonts w:eastAsia="MS Mincho" w:cs="Arial"/>
                <w:kern w:val="0"/>
                <w:lang w:val="en-US"/>
                <w14:ligatures w14:val="none"/>
              </w:rPr>
            </w:pPr>
          </w:p>
          <w:p w14:paraId="14AB96E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Neath</w:t>
            </w:r>
          </w:p>
        </w:tc>
        <w:tc>
          <w:tcPr>
            <w:tcW w:w="1551" w:type="dxa"/>
            <w:vMerge w:val="restart"/>
          </w:tcPr>
          <w:p w14:paraId="15C9EBAD" w14:textId="77777777" w:rsidR="003C1CBF" w:rsidRPr="003C1CBF" w:rsidRDefault="003C1CBF" w:rsidP="003C1CBF">
            <w:pPr>
              <w:rPr>
                <w:rFonts w:eastAsia="MS Mincho" w:cs="Arial"/>
                <w:kern w:val="0"/>
                <w:lang w:val="en-US"/>
                <w14:ligatures w14:val="none"/>
              </w:rPr>
            </w:pPr>
          </w:p>
          <w:p w14:paraId="7E62FCB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Neath</w:t>
            </w:r>
          </w:p>
        </w:tc>
        <w:tc>
          <w:tcPr>
            <w:tcW w:w="1197" w:type="dxa"/>
            <w:shd w:val="clear" w:color="auto" w:fill="D9D9D9"/>
          </w:tcPr>
          <w:p w14:paraId="3685495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325BD1F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0791F90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060A1E70" w14:textId="51D42E79"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shd w:val="clear" w:color="auto" w:fill="D9D9D9"/>
          </w:tcPr>
          <w:p w14:paraId="4D3E735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6FDAF95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3E9B5AD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shd w:val="clear" w:color="auto" w:fill="D9D9D9"/>
          </w:tcPr>
          <w:p w14:paraId="68F7B50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1CC0A8AE" w14:textId="77777777" w:rsidTr="00B84D31">
        <w:tc>
          <w:tcPr>
            <w:tcW w:w="1270" w:type="dxa"/>
            <w:vMerge/>
          </w:tcPr>
          <w:p w14:paraId="32C65B3F" w14:textId="77777777" w:rsidR="003C1CBF" w:rsidRPr="003C1CBF" w:rsidRDefault="003C1CBF" w:rsidP="003C1CBF">
            <w:pPr>
              <w:rPr>
                <w:rFonts w:eastAsia="MS Mincho" w:cs="Arial"/>
                <w:kern w:val="0"/>
                <w:lang w:val="en-US"/>
                <w14:ligatures w14:val="none"/>
              </w:rPr>
            </w:pPr>
          </w:p>
        </w:tc>
        <w:tc>
          <w:tcPr>
            <w:tcW w:w="1551" w:type="dxa"/>
            <w:vMerge/>
          </w:tcPr>
          <w:p w14:paraId="7EA7421F" w14:textId="77777777" w:rsidR="003C1CBF" w:rsidRPr="003C1CBF" w:rsidRDefault="003C1CBF" w:rsidP="003C1CBF">
            <w:pPr>
              <w:rPr>
                <w:rFonts w:eastAsia="MS Mincho" w:cs="Arial"/>
                <w:kern w:val="0"/>
                <w:lang w:val="en-US"/>
                <w14:ligatures w14:val="none"/>
              </w:rPr>
            </w:pPr>
          </w:p>
        </w:tc>
        <w:tc>
          <w:tcPr>
            <w:tcW w:w="1197" w:type="dxa"/>
          </w:tcPr>
          <w:p w14:paraId="71A0A5F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3B0C7EC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tcPr>
          <w:p w14:paraId="6969589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tcPr>
          <w:p w14:paraId="09794638" w14:textId="4A365A01"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tcPr>
          <w:p w14:paraId="0C879B4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tcPr>
          <w:p w14:paraId="495BB5F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5E60F57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tcPr>
          <w:p w14:paraId="48B682B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063A7462" w14:textId="77777777" w:rsidTr="00B84D31">
        <w:tc>
          <w:tcPr>
            <w:tcW w:w="1270" w:type="dxa"/>
            <w:vMerge w:val="restart"/>
          </w:tcPr>
          <w:p w14:paraId="2613CFAA" w14:textId="77777777" w:rsidR="003C1CBF" w:rsidRPr="003C1CBF" w:rsidRDefault="003C1CBF" w:rsidP="003C1CBF">
            <w:pPr>
              <w:rPr>
                <w:rFonts w:eastAsia="MS Mincho" w:cs="Arial"/>
                <w:kern w:val="0"/>
                <w:lang w:val="en-US"/>
                <w14:ligatures w14:val="none"/>
              </w:rPr>
            </w:pPr>
          </w:p>
          <w:p w14:paraId="611265E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Neath</w:t>
            </w:r>
          </w:p>
        </w:tc>
        <w:tc>
          <w:tcPr>
            <w:tcW w:w="1551" w:type="dxa"/>
            <w:vMerge w:val="restart"/>
          </w:tcPr>
          <w:p w14:paraId="19DD25A5" w14:textId="77777777" w:rsidR="003C1CBF" w:rsidRPr="003C1CBF" w:rsidRDefault="003C1CBF" w:rsidP="003C1CBF">
            <w:pPr>
              <w:rPr>
                <w:rFonts w:eastAsia="MS Mincho" w:cs="Arial"/>
                <w:kern w:val="0"/>
                <w:lang w:val="en-US"/>
                <w14:ligatures w14:val="none"/>
              </w:rPr>
            </w:pPr>
          </w:p>
          <w:p w14:paraId="53F9D7A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Skewen</w:t>
            </w:r>
          </w:p>
        </w:tc>
        <w:tc>
          <w:tcPr>
            <w:tcW w:w="1197" w:type="dxa"/>
            <w:shd w:val="clear" w:color="auto" w:fill="D9D9D9"/>
          </w:tcPr>
          <w:p w14:paraId="32D3CC2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024CF3B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5D2EF97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550" w:type="dxa"/>
            <w:shd w:val="clear" w:color="auto" w:fill="D9D9D9"/>
          </w:tcPr>
          <w:p w14:paraId="6E2439D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374" w:type="dxa"/>
            <w:shd w:val="clear" w:color="auto" w:fill="D9D9D9"/>
          </w:tcPr>
          <w:p w14:paraId="7ECC037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73AE9B2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44" w:type="dxa"/>
            <w:shd w:val="clear" w:color="auto" w:fill="D9D9D9"/>
          </w:tcPr>
          <w:p w14:paraId="0C83827D" w14:textId="77777777" w:rsidR="003C1CBF" w:rsidRPr="003C1CBF" w:rsidRDefault="003C1CBF" w:rsidP="003C1CBF">
            <w:pPr>
              <w:rPr>
                <w:rFonts w:eastAsia="MS Mincho" w:cs="Arial"/>
                <w:kern w:val="0"/>
                <w:lang w:val="en-US"/>
                <w14:ligatures w14:val="none"/>
              </w:rPr>
            </w:pPr>
          </w:p>
        </w:tc>
        <w:tc>
          <w:tcPr>
            <w:tcW w:w="1378" w:type="dxa"/>
            <w:shd w:val="clear" w:color="auto" w:fill="D9D9D9"/>
          </w:tcPr>
          <w:p w14:paraId="2C319C0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25E34149" w14:textId="77777777" w:rsidTr="00B84D31">
        <w:tc>
          <w:tcPr>
            <w:tcW w:w="1270" w:type="dxa"/>
            <w:vMerge/>
          </w:tcPr>
          <w:p w14:paraId="0B8F98EA" w14:textId="77777777" w:rsidR="003C1CBF" w:rsidRPr="003C1CBF" w:rsidRDefault="003C1CBF" w:rsidP="003C1CBF">
            <w:pPr>
              <w:rPr>
                <w:rFonts w:eastAsia="MS Mincho" w:cs="Arial"/>
                <w:kern w:val="0"/>
                <w:lang w:val="en-US"/>
                <w14:ligatures w14:val="none"/>
              </w:rPr>
            </w:pPr>
          </w:p>
        </w:tc>
        <w:tc>
          <w:tcPr>
            <w:tcW w:w="1551" w:type="dxa"/>
            <w:vMerge/>
          </w:tcPr>
          <w:p w14:paraId="1EE9FD29" w14:textId="77777777" w:rsidR="003C1CBF" w:rsidRPr="003C1CBF" w:rsidRDefault="003C1CBF" w:rsidP="003C1CBF">
            <w:pPr>
              <w:rPr>
                <w:rFonts w:eastAsia="MS Mincho" w:cs="Arial"/>
                <w:kern w:val="0"/>
                <w:lang w:val="en-US"/>
                <w14:ligatures w14:val="none"/>
              </w:rPr>
            </w:pPr>
          </w:p>
        </w:tc>
        <w:tc>
          <w:tcPr>
            <w:tcW w:w="1197" w:type="dxa"/>
          </w:tcPr>
          <w:p w14:paraId="11A1D18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07F10F4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45E2DBD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2B18E64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75461DF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1DF831B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55993C0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09:00-12:30</w:t>
            </w:r>
          </w:p>
        </w:tc>
        <w:tc>
          <w:tcPr>
            <w:tcW w:w="1378" w:type="dxa"/>
          </w:tcPr>
          <w:p w14:paraId="72A1025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1AF3D84F" w14:textId="77777777" w:rsidTr="00B84D31">
        <w:tc>
          <w:tcPr>
            <w:tcW w:w="1270" w:type="dxa"/>
            <w:vMerge w:val="restart"/>
          </w:tcPr>
          <w:p w14:paraId="1A4C4F3C" w14:textId="77777777" w:rsidR="003C1CBF" w:rsidRPr="003C1CBF" w:rsidRDefault="003C1CBF" w:rsidP="003C1CBF">
            <w:pPr>
              <w:rPr>
                <w:rFonts w:eastAsia="MS Mincho" w:cs="Arial"/>
                <w:kern w:val="0"/>
                <w:lang w:val="en-US"/>
                <w14:ligatures w14:val="none"/>
              </w:rPr>
            </w:pPr>
          </w:p>
          <w:p w14:paraId="7C886FBC" w14:textId="77777777" w:rsidR="003C1CBF" w:rsidRPr="003C1CBF" w:rsidRDefault="003C1CBF" w:rsidP="003C1CBF">
            <w:pPr>
              <w:rPr>
                <w:rFonts w:eastAsia="MS Mincho" w:cs="Arial"/>
                <w:kern w:val="0"/>
                <w:lang w:val="en-US"/>
                <w14:ligatures w14:val="none"/>
              </w:rPr>
            </w:pPr>
          </w:p>
          <w:p w14:paraId="19336F5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Penderi</w:t>
            </w:r>
          </w:p>
        </w:tc>
        <w:tc>
          <w:tcPr>
            <w:tcW w:w="1551" w:type="dxa"/>
            <w:vMerge w:val="restart"/>
          </w:tcPr>
          <w:p w14:paraId="65423F2E" w14:textId="77777777" w:rsidR="003C1CBF" w:rsidRPr="003C1CBF" w:rsidRDefault="003C1CBF" w:rsidP="003C1CBF">
            <w:pPr>
              <w:rPr>
                <w:rFonts w:eastAsia="MS Mincho" w:cs="Arial"/>
                <w:kern w:val="0"/>
                <w:lang w:val="en-US"/>
                <w14:ligatures w14:val="none"/>
              </w:rPr>
            </w:pPr>
          </w:p>
          <w:p w14:paraId="397EAFDD" w14:textId="77777777" w:rsidR="003C1CBF" w:rsidRPr="003C1CBF" w:rsidRDefault="003C1CBF" w:rsidP="003C1CBF">
            <w:pPr>
              <w:rPr>
                <w:rFonts w:eastAsia="MS Mincho" w:cs="Arial"/>
                <w:kern w:val="0"/>
                <w:lang w:val="en-US"/>
                <w14:ligatures w14:val="none"/>
              </w:rPr>
            </w:pPr>
          </w:p>
          <w:p w14:paraId="4C2D773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Boots, Morfa</w:t>
            </w:r>
          </w:p>
        </w:tc>
        <w:tc>
          <w:tcPr>
            <w:tcW w:w="1197" w:type="dxa"/>
            <w:shd w:val="clear" w:color="auto" w:fill="D9D9D9"/>
          </w:tcPr>
          <w:p w14:paraId="07427EB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1D03621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09:30-13:00 / 14:00-17:30</w:t>
            </w:r>
          </w:p>
        </w:tc>
        <w:tc>
          <w:tcPr>
            <w:tcW w:w="1205" w:type="dxa"/>
            <w:shd w:val="clear" w:color="auto" w:fill="D9D9D9"/>
          </w:tcPr>
          <w:p w14:paraId="25D69D4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09:30-13:00 / 14:00-17:30</w:t>
            </w:r>
          </w:p>
        </w:tc>
        <w:tc>
          <w:tcPr>
            <w:tcW w:w="1550" w:type="dxa"/>
            <w:shd w:val="clear" w:color="auto" w:fill="D9D9D9"/>
          </w:tcPr>
          <w:p w14:paraId="355CFBAC" w14:textId="6656F8CC"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09:30-13:00 14:00-17:30</w:t>
            </w:r>
          </w:p>
        </w:tc>
        <w:tc>
          <w:tcPr>
            <w:tcW w:w="1374" w:type="dxa"/>
            <w:shd w:val="clear" w:color="auto" w:fill="D9D9D9"/>
          </w:tcPr>
          <w:p w14:paraId="4B2FBC8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09:30-13:00 / 14:00-17:30</w:t>
            </w:r>
          </w:p>
        </w:tc>
        <w:tc>
          <w:tcPr>
            <w:tcW w:w="1205" w:type="dxa"/>
            <w:shd w:val="clear" w:color="auto" w:fill="D9D9D9"/>
          </w:tcPr>
          <w:p w14:paraId="015FF54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09:30-17:30</w:t>
            </w:r>
          </w:p>
        </w:tc>
        <w:tc>
          <w:tcPr>
            <w:tcW w:w="1244" w:type="dxa"/>
            <w:shd w:val="clear" w:color="auto" w:fill="D9D9D9"/>
          </w:tcPr>
          <w:p w14:paraId="5951C97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09:30-13:00 / 14:00-15:30</w:t>
            </w:r>
          </w:p>
        </w:tc>
        <w:tc>
          <w:tcPr>
            <w:tcW w:w="1378" w:type="dxa"/>
            <w:shd w:val="clear" w:color="auto" w:fill="D9D9D9"/>
          </w:tcPr>
          <w:p w14:paraId="31AB7D54" w14:textId="77777777" w:rsidR="003C1CBF" w:rsidRPr="003C1CBF" w:rsidRDefault="003C1CBF" w:rsidP="003C1CBF">
            <w:pPr>
              <w:rPr>
                <w:rFonts w:eastAsia="MS Mincho" w:cs="Arial"/>
                <w:kern w:val="0"/>
                <w:lang w:val="en-US"/>
                <w14:ligatures w14:val="none"/>
              </w:rPr>
            </w:pPr>
          </w:p>
        </w:tc>
      </w:tr>
      <w:tr w:rsidR="003C1CBF" w:rsidRPr="003C1CBF" w14:paraId="13D5FFAC" w14:textId="77777777" w:rsidTr="00B84D31">
        <w:tc>
          <w:tcPr>
            <w:tcW w:w="1270" w:type="dxa"/>
            <w:vMerge/>
          </w:tcPr>
          <w:p w14:paraId="17BE0B8B" w14:textId="77777777" w:rsidR="003C1CBF" w:rsidRPr="003C1CBF" w:rsidRDefault="003C1CBF" w:rsidP="003C1CBF">
            <w:pPr>
              <w:rPr>
                <w:rFonts w:eastAsia="MS Mincho" w:cs="Arial"/>
                <w:kern w:val="0"/>
                <w:lang w:val="en-US"/>
                <w14:ligatures w14:val="none"/>
              </w:rPr>
            </w:pPr>
          </w:p>
        </w:tc>
        <w:tc>
          <w:tcPr>
            <w:tcW w:w="1551" w:type="dxa"/>
            <w:vMerge/>
          </w:tcPr>
          <w:p w14:paraId="70CD99DA" w14:textId="77777777" w:rsidR="003C1CBF" w:rsidRPr="003C1CBF" w:rsidRDefault="003C1CBF" w:rsidP="003C1CBF">
            <w:pPr>
              <w:rPr>
                <w:rFonts w:eastAsia="MS Mincho" w:cs="Arial"/>
                <w:kern w:val="0"/>
                <w:lang w:val="en-US"/>
                <w14:ligatures w14:val="none"/>
              </w:rPr>
            </w:pPr>
          </w:p>
        </w:tc>
        <w:tc>
          <w:tcPr>
            <w:tcW w:w="1197" w:type="dxa"/>
          </w:tcPr>
          <w:p w14:paraId="1A942F8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41F097F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09:00-22:30</w:t>
            </w:r>
          </w:p>
        </w:tc>
        <w:tc>
          <w:tcPr>
            <w:tcW w:w="1205" w:type="dxa"/>
          </w:tcPr>
          <w:p w14:paraId="4603194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09:00--22:30</w:t>
            </w:r>
          </w:p>
        </w:tc>
        <w:tc>
          <w:tcPr>
            <w:tcW w:w="1550" w:type="dxa"/>
          </w:tcPr>
          <w:p w14:paraId="7FEE83B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09:00-22:30</w:t>
            </w:r>
          </w:p>
        </w:tc>
        <w:tc>
          <w:tcPr>
            <w:tcW w:w="1374" w:type="dxa"/>
          </w:tcPr>
          <w:p w14:paraId="7C41425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09:00-22:30</w:t>
            </w:r>
          </w:p>
        </w:tc>
        <w:tc>
          <w:tcPr>
            <w:tcW w:w="1205" w:type="dxa"/>
          </w:tcPr>
          <w:p w14:paraId="6E9B5C3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09:00-22:30</w:t>
            </w:r>
          </w:p>
        </w:tc>
        <w:tc>
          <w:tcPr>
            <w:tcW w:w="1244" w:type="dxa"/>
          </w:tcPr>
          <w:p w14:paraId="592DD55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09:00-22:30</w:t>
            </w:r>
          </w:p>
        </w:tc>
        <w:tc>
          <w:tcPr>
            <w:tcW w:w="1378" w:type="dxa"/>
          </w:tcPr>
          <w:p w14:paraId="4E5E545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11:00-17:00</w:t>
            </w:r>
          </w:p>
        </w:tc>
      </w:tr>
      <w:tr w:rsidR="003C1CBF" w:rsidRPr="003C1CBF" w14:paraId="42C33ACF" w14:textId="77777777" w:rsidTr="00B84D31">
        <w:tc>
          <w:tcPr>
            <w:tcW w:w="1270" w:type="dxa"/>
            <w:vMerge w:val="restart"/>
          </w:tcPr>
          <w:p w14:paraId="13BE2535" w14:textId="77777777" w:rsidR="003C1CBF" w:rsidRPr="003C1CBF" w:rsidRDefault="003C1CBF" w:rsidP="003C1CBF">
            <w:pPr>
              <w:rPr>
                <w:rFonts w:eastAsia="MS Mincho" w:cs="Arial"/>
                <w:kern w:val="0"/>
                <w:lang w:val="en-US"/>
                <w14:ligatures w14:val="none"/>
              </w:rPr>
            </w:pPr>
          </w:p>
          <w:p w14:paraId="00A60CD1" w14:textId="77777777" w:rsidR="003C1CBF" w:rsidRPr="003C1CBF" w:rsidRDefault="003C1CBF" w:rsidP="003C1CBF">
            <w:pPr>
              <w:rPr>
                <w:rFonts w:eastAsia="MS Mincho" w:cs="Arial"/>
                <w:kern w:val="0"/>
                <w:lang w:val="en-US"/>
                <w14:ligatures w14:val="none"/>
              </w:rPr>
            </w:pPr>
          </w:p>
          <w:p w14:paraId="7D4667F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Penderi</w:t>
            </w:r>
          </w:p>
        </w:tc>
        <w:tc>
          <w:tcPr>
            <w:tcW w:w="1551" w:type="dxa"/>
            <w:vMerge w:val="restart"/>
          </w:tcPr>
          <w:p w14:paraId="111072B7" w14:textId="77777777" w:rsidR="003C1CBF" w:rsidRPr="003C1CBF" w:rsidRDefault="003C1CBF" w:rsidP="003C1CBF">
            <w:pPr>
              <w:rPr>
                <w:rFonts w:eastAsia="MS Mincho" w:cs="Arial"/>
                <w:kern w:val="0"/>
                <w:lang w:val="en-US"/>
                <w14:ligatures w14:val="none"/>
              </w:rPr>
            </w:pPr>
          </w:p>
          <w:p w14:paraId="3F0D83AA" w14:textId="77777777" w:rsidR="003C1CBF" w:rsidRPr="003C1CBF" w:rsidRDefault="003C1CBF" w:rsidP="003C1CBF">
            <w:pPr>
              <w:rPr>
                <w:rFonts w:eastAsia="MS Mincho" w:cs="Arial"/>
                <w:kern w:val="0"/>
                <w:lang w:val="en-US"/>
                <w14:ligatures w14:val="none"/>
              </w:rPr>
            </w:pPr>
          </w:p>
          <w:p w14:paraId="0480D88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Cwmfelin Pharmacy</w:t>
            </w:r>
          </w:p>
        </w:tc>
        <w:tc>
          <w:tcPr>
            <w:tcW w:w="1197" w:type="dxa"/>
            <w:shd w:val="clear" w:color="auto" w:fill="D9D9D9"/>
          </w:tcPr>
          <w:p w14:paraId="5E00006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411D045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113CD7B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662CA4AE" w14:textId="04002A08"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shd w:val="clear" w:color="auto" w:fill="D9D9D9"/>
          </w:tcPr>
          <w:p w14:paraId="59B6843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49FA5BF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24A6D87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2FCC115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407BA758" w14:textId="77777777" w:rsidTr="00B84D31">
        <w:tc>
          <w:tcPr>
            <w:tcW w:w="1270" w:type="dxa"/>
            <w:vMerge/>
          </w:tcPr>
          <w:p w14:paraId="56B3F41C" w14:textId="77777777" w:rsidR="003C1CBF" w:rsidRPr="003C1CBF" w:rsidRDefault="003C1CBF" w:rsidP="003C1CBF">
            <w:pPr>
              <w:rPr>
                <w:rFonts w:eastAsia="MS Mincho" w:cs="Arial"/>
                <w:kern w:val="0"/>
                <w:lang w:val="en-US"/>
                <w14:ligatures w14:val="none"/>
              </w:rPr>
            </w:pPr>
          </w:p>
        </w:tc>
        <w:tc>
          <w:tcPr>
            <w:tcW w:w="1551" w:type="dxa"/>
            <w:vMerge/>
          </w:tcPr>
          <w:p w14:paraId="50A8B900" w14:textId="77777777" w:rsidR="003C1CBF" w:rsidRPr="003C1CBF" w:rsidRDefault="003C1CBF" w:rsidP="003C1CBF">
            <w:pPr>
              <w:rPr>
                <w:rFonts w:eastAsia="MS Mincho" w:cs="Arial"/>
                <w:kern w:val="0"/>
                <w:lang w:val="en-US"/>
                <w14:ligatures w14:val="none"/>
              </w:rPr>
            </w:pPr>
          </w:p>
        </w:tc>
        <w:tc>
          <w:tcPr>
            <w:tcW w:w="1197" w:type="dxa"/>
          </w:tcPr>
          <w:p w14:paraId="73CE253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4677991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05" w:type="dxa"/>
          </w:tcPr>
          <w:p w14:paraId="75399C1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550" w:type="dxa"/>
          </w:tcPr>
          <w:p w14:paraId="3E250A4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374" w:type="dxa"/>
          </w:tcPr>
          <w:p w14:paraId="2E08E27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05" w:type="dxa"/>
          </w:tcPr>
          <w:p w14:paraId="25E40B4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44" w:type="dxa"/>
          </w:tcPr>
          <w:p w14:paraId="389170C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3EA0F8F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5827881A" w14:textId="77777777" w:rsidTr="00B84D31">
        <w:tc>
          <w:tcPr>
            <w:tcW w:w="1270" w:type="dxa"/>
            <w:vMerge w:val="restart"/>
          </w:tcPr>
          <w:p w14:paraId="62CFBABA" w14:textId="77777777" w:rsidR="003C1CBF" w:rsidRPr="003C1CBF" w:rsidRDefault="003C1CBF" w:rsidP="003C1CBF">
            <w:pPr>
              <w:rPr>
                <w:rFonts w:eastAsia="MS Mincho" w:cs="Arial"/>
                <w:kern w:val="0"/>
                <w:lang w:val="en-US"/>
                <w14:ligatures w14:val="none"/>
              </w:rPr>
            </w:pPr>
          </w:p>
          <w:p w14:paraId="563B50A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Penderi</w:t>
            </w:r>
          </w:p>
        </w:tc>
        <w:tc>
          <w:tcPr>
            <w:tcW w:w="1551" w:type="dxa"/>
            <w:vMerge w:val="restart"/>
          </w:tcPr>
          <w:p w14:paraId="3C9203C4" w14:textId="77777777" w:rsidR="003C1CBF" w:rsidRPr="003C1CBF" w:rsidRDefault="003C1CBF" w:rsidP="003C1CBF">
            <w:pPr>
              <w:rPr>
                <w:rFonts w:eastAsia="MS Mincho" w:cs="Arial"/>
                <w:kern w:val="0"/>
                <w:lang w:val="en-US"/>
                <w14:ligatures w14:val="none"/>
              </w:rPr>
            </w:pPr>
          </w:p>
          <w:p w14:paraId="48A73BA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 xml:space="preserve">Lewis Chemist </w:t>
            </w:r>
          </w:p>
        </w:tc>
        <w:tc>
          <w:tcPr>
            <w:tcW w:w="1197" w:type="dxa"/>
            <w:shd w:val="clear" w:color="auto" w:fill="D9D9D9"/>
          </w:tcPr>
          <w:p w14:paraId="52A8AAD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2BAF024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73F62CA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461C4050" w14:textId="15FF455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shd w:val="clear" w:color="auto" w:fill="D9D9D9"/>
          </w:tcPr>
          <w:p w14:paraId="44DC0CB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48E07F2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677BD21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14388A8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0CD20C37" w14:textId="77777777" w:rsidTr="00B84D31">
        <w:tc>
          <w:tcPr>
            <w:tcW w:w="1270" w:type="dxa"/>
            <w:vMerge/>
          </w:tcPr>
          <w:p w14:paraId="7F9D4195" w14:textId="77777777" w:rsidR="003C1CBF" w:rsidRPr="003C1CBF" w:rsidRDefault="003C1CBF" w:rsidP="003C1CBF">
            <w:pPr>
              <w:rPr>
                <w:rFonts w:eastAsia="MS Mincho" w:cs="Arial"/>
                <w:kern w:val="0"/>
                <w:lang w:val="en-US"/>
                <w14:ligatures w14:val="none"/>
              </w:rPr>
            </w:pPr>
          </w:p>
        </w:tc>
        <w:tc>
          <w:tcPr>
            <w:tcW w:w="1551" w:type="dxa"/>
            <w:vMerge/>
          </w:tcPr>
          <w:p w14:paraId="4EE9DFCC" w14:textId="77777777" w:rsidR="003C1CBF" w:rsidRPr="003C1CBF" w:rsidRDefault="003C1CBF" w:rsidP="003C1CBF">
            <w:pPr>
              <w:rPr>
                <w:rFonts w:eastAsia="MS Mincho" w:cs="Arial"/>
                <w:kern w:val="0"/>
                <w:lang w:val="en-US"/>
                <w14:ligatures w14:val="none"/>
              </w:rPr>
            </w:pPr>
          </w:p>
        </w:tc>
        <w:tc>
          <w:tcPr>
            <w:tcW w:w="1197" w:type="dxa"/>
          </w:tcPr>
          <w:p w14:paraId="7D3B79E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6DBFDF1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tcPr>
          <w:p w14:paraId="74DD74B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tcPr>
          <w:p w14:paraId="6ED2FC06" w14:textId="7D8D9983"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tcPr>
          <w:p w14:paraId="2F1B5BE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tcPr>
          <w:p w14:paraId="47A1922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1C707E7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22B1749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198AF55C" w14:textId="77777777" w:rsidTr="00B84D31">
        <w:tc>
          <w:tcPr>
            <w:tcW w:w="1270" w:type="dxa"/>
            <w:vMerge w:val="restart"/>
          </w:tcPr>
          <w:p w14:paraId="712B412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Penderi</w:t>
            </w:r>
          </w:p>
        </w:tc>
        <w:tc>
          <w:tcPr>
            <w:tcW w:w="1551" w:type="dxa"/>
            <w:vMerge w:val="restart"/>
          </w:tcPr>
          <w:p w14:paraId="236FE86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Penlan Pharmacy</w:t>
            </w:r>
          </w:p>
        </w:tc>
        <w:tc>
          <w:tcPr>
            <w:tcW w:w="1197" w:type="dxa"/>
            <w:shd w:val="clear" w:color="auto" w:fill="D9D9D9"/>
          </w:tcPr>
          <w:p w14:paraId="1732E8D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171A856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6F7B797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550" w:type="dxa"/>
            <w:shd w:val="clear" w:color="auto" w:fill="D9D9D9"/>
          </w:tcPr>
          <w:p w14:paraId="6EF05A1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374" w:type="dxa"/>
            <w:shd w:val="clear" w:color="auto" w:fill="D9D9D9"/>
          </w:tcPr>
          <w:p w14:paraId="15BC3E1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71A6618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44" w:type="dxa"/>
            <w:shd w:val="clear" w:color="auto" w:fill="D9D9D9"/>
          </w:tcPr>
          <w:p w14:paraId="16F75C5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2A9E64B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0CB72714" w14:textId="77777777" w:rsidTr="00B84D31">
        <w:tc>
          <w:tcPr>
            <w:tcW w:w="1270" w:type="dxa"/>
            <w:vMerge/>
          </w:tcPr>
          <w:p w14:paraId="02F39056" w14:textId="77777777" w:rsidR="003C1CBF" w:rsidRPr="003C1CBF" w:rsidRDefault="003C1CBF" w:rsidP="003C1CBF">
            <w:pPr>
              <w:rPr>
                <w:rFonts w:eastAsia="MS Mincho" w:cs="Arial"/>
                <w:kern w:val="0"/>
                <w:lang w:val="en-US"/>
                <w14:ligatures w14:val="none"/>
              </w:rPr>
            </w:pPr>
          </w:p>
        </w:tc>
        <w:tc>
          <w:tcPr>
            <w:tcW w:w="1551" w:type="dxa"/>
            <w:vMerge/>
          </w:tcPr>
          <w:p w14:paraId="54F4D269" w14:textId="77777777" w:rsidR="003C1CBF" w:rsidRPr="003C1CBF" w:rsidRDefault="003C1CBF" w:rsidP="003C1CBF">
            <w:pPr>
              <w:rPr>
                <w:rFonts w:eastAsia="MS Mincho" w:cs="Arial"/>
                <w:kern w:val="0"/>
                <w:lang w:val="en-US"/>
                <w14:ligatures w14:val="none"/>
              </w:rPr>
            </w:pPr>
          </w:p>
        </w:tc>
        <w:tc>
          <w:tcPr>
            <w:tcW w:w="1197" w:type="dxa"/>
          </w:tcPr>
          <w:p w14:paraId="4F38F59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573189F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22870E8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3245B25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36D807F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18B5ECA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1644109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4C3E4A5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4AE46EAE" w14:textId="77777777" w:rsidTr="00B84D31">
        <w:tc>
          <w:tcPr>
            <w:tcW w:w="1270" w:type="dxa"/>
            <w:vMerge w:val="restart"/>
          </w:tcPr>
          <w:p w14:paraId="6962EF92" w14:textId="77777777" w:rsidR="003C1CBF" w:rsidRPr="003C1CBF" w:rsidRDefault="003C1CBF" w:rsidP="003C1CBF">
            <w:pPr>
              <w:rPr>
                <w:rFonts w:eastAsia="MS Mincho" w:cs="Arial"/>
                <w:kern w:val="0"/>
                <w:lang w:val="en-US"/>
                <w14:ligatures w14:val="none"/>
              </w:rPr>
            </w:pPr>
          </w:p>
          <w:p w14:paraId="138DB4EB" w14:textId="77777777" w:rsidR="003C1CBF" w:rsidRPr="003C1CBF" w:rsidRDefault="003C1CBF" w:rsidP="003C1CBF">
            <w:pPr>
              <w:rPr>
                <w:rFonts w:eastAsia="MS Mincho" w:cs="Arial"/>
                <w:kern w:val="0"/>
                <w:lang w:val="en-US"/>
                <w14:ligatures w14:val="none"/>
              </w:rPr>
            </w:pPr>
          </w:p>
          <w:p w14:paraId="3E625F0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Penderi</w:t>
            </w:r>
          </w:p>
        </w:tc>
        <w:tc>
          <w:tcPr>
            <w:tcW w:w="1551" w:type="dxa"/>
            <w:vMerge w:val="restart"/>
          </w:tcPr>
          <w:p w14:paraId="5EE49091" w14:textId="77777777" w:rsidR="003C1CBF" w:rsidRPr="003C1CBF" w:rsidRDefault="003C1CBF" w:rsidP="003C1CBF">
            <w:pPr>
              <w:rPr>
                <w:rFonts w:eastAsia="MS Mincho" w:cs="Arial"/>
                <w:kern w:val="0"/>
                <w:lang w:val="en-US"/>
                <w14:ligatures w14:val="none"/>
              </w:rPr>
            </w:pPr>
          </w:p>
          <w:p w14:paraId="018B02A4" w14:textId="77777777" w:rsidR="003C1CBF" w:rsidRPr="003C1CBF" w:rsidRDefault="003C1CBF" w:rsidP="003C1CBF">
            <w:pPr>
              <w:rPr>
                <w:rFonts w:eastAsia="MS Mincho" w:cs="Arial"/>
                <w:kern w:val="0"/>
                <w:lang w:val="en-US"/>
                <w14:ligatures w14:val="none"/>
              </w:rPr>
            </w:pPr>
          </w:p>
          <w:p w14:paraId="4CF0F9A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Tesco Pharmacy</w:t>
            </w:r>
          </w:p>
        </w:tc>
        <w:tc>
          <w:tcPr>
            <w:tcW w:w="1197" w:type="dxa"/>
            <w:shd w:val="clear" w:color="auto" w:fill="D9D9D9"/>
          </w:tcPr>
          <w:p w14:paraId="53A5B49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170CCF2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14:00-20:00</w:t>
            </w:r>
          </w:p>
        </w:tc>
        <w:tc>
          <w:tcPr>
            <w:tcW w:w="1205" w:type="dxa"/>
            <w:shd w:val="clear" w:color="auto" w:fill="D9D9D9"/>
          </w:tcPr>
          <w:p w14:paraId="6173F90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14:00-20:00</w:t>
            </w:r>
          </w:p>
        </w:tc>
        <w:tc>
          <w:tcPr>
            <w:tcW w:w="1550" w:type="dxa"/>
            <w:shd w:val="clear" w:color="auto" w:fill="D9D9D9"/>
          </w:tcPr>
          <w:p w14:paraId="3924CCDE" w14:textId="107E78FB"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14:00-20:00</w:t>
            </w:r>
          </w:p>
        </w:tc>
        <w:tc>
          <w:tcPr>
            <w:tcW w:w="1374" w:type="dxa"/>
            <w:shd w:val="clear" w:color="auto" w:fill="D9D9D9"/>
          </w:tcPr>
          <w:p w14:paraId="53D4464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14:00-20:00</w:t>
            </w:r>
          </w:p>
        </w:tc>
        <w:tc>
          <w:tcPr>
            <w:tcW w:w="1205" w:type="dxa"/>
            <w:shd w:val="clear" w:color="auto" w:fill="D9D9D9"/>
          </w:tcPr>
          <w:p w14:paraId="1197EAC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09:00-20:00</w:t>
            </w:r>
          </w:p>
        </w:tc>
        <w:tc>
          <w:tcPr>
            <w:tcW w:w="1244" w:type="dxa"/>
            <w:shd w:val="clear" w:color="auto" w:fill="D9D9D9"/>
          </w:tcPr>
          <w:p w14:paraId="0C16B2D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14:00-20:00</w:t>
            </w:r>
          </w:p>
        </w:tc>
        <w:tc>
          <w:tcPr>
            <w:tcW w:w="1378" w:type="dxa"/>
            <w:shd w:val="clear" w:color="auto" w:fill="D9D9D9"/>
          </w:tcPr>
          <w:p w14:paraId="5DD837E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10:00-16:00</w:t>
            </w:r>
          </w:p>
        </w:tc>
      </w:tr>
      <w:tr w:rsidR="003C1CBF" w:rsidRPr="003C1CBF" w14:paraId="79BB634C" w14:textId="77777777" w:rsidTr="00B84D31">
        <w:tc>
          <w:tcPr>
            <w:tcW w:w="1270" w:type="dxa"/>
            <w:vMerge/>
          </w:tcPr>
          <w:p w14:paraId="3876EF0A" w14:textId="77777777" w:rsidR="003C1CBF" w:rsidRPr="003C1CBF" w:rsidRDefault="003C1CBF" w:rsidP="003C1CBF">
            <w:pPr>
              <w:rPr>
                <w:rFonts w:eastAsia="MS Mincho" w:cs="Arial"/>
                <w:kern w:val="0"/>
                <w:lang w:val="en-US"/>
                <w14:ligatures w14:val="none"/>
              </w:rPr>
            </w:pPr>
          </w:p>
        </w:tc>
        <w:tc>
          <w:tcPr>
            <w:tcW w:w="1551" w:type="dxa"/>
            <w:vMerge/>
          </w:tcPr>
          <w:p w14:paraId="45BD26B4" w14:textId="77777777" w:rsidR="003C1CBF" w:rsidRPr="003C1CBF" w:rsidRDefault="003C1CBF" w:rsidP="003C1CBF">
            <w:pPr>
              <w:rPr>
                <w:rFonts w:eastAsia="MS Mincho" w:cs="Arial"/>
                <w:kern w:val="0"/>
                <w:lang w:val="en-US"/>
                <w14:ligatures w14:val="none"/>
              </w:rPr>
            </w:pPr>
          </w:p>
        </w:tc>
        <w:tc>
          <w:tcPr>
            <w:tcW w:w="1197" w:type="dxa"/>
          </w:tcPr>
          <w:p w14:paraId="0482999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214AF34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08:00-20:00</w:t>
            </w:r>
          </w:p>
        </w:tc>
        <w:tc>
          <w:tcPr>
            <w:tcW w:w="1205" w:type="dxa"/>
          </w:tcPr>
          <w:p w14:paraId="5364825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08:00-20:00</w:t>
            </w:r>
          </w:p>
        </w:tc>
        <w:tc>
          <w:tcPr>
            <w:tcW w:w="1550" w:type="dxa"/>
          </w:tcPr>
          <w:p w14:paraId="51E9851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08:00-20:00</w:t>
            </w:r>
          </w:p>
        </w:tc>
        <w:tc>
          <w:tcPr>
            <w:tcW w:w="1374" w:type="dxa"/>
          </w:tcPr>
          <w:p w14:paraId="06A2DD3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08:00-20:00</w:t>
            </w:r>
          </w:p>
        </w:tc>
        <w:tc>
          <w:tcPr>
            <w:tcW w:w="1205" w:type="dxa"/>
          </w:tcPr>
          <w:p w14:paraId="310DE42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08:00-20:00</w:t>
            </w:r>
          </w:p>
        </w:tc>
        <w:tc>
          <w:tcPr>
            <w:tcW w:w="1244" w:type="dxa"/>
          </w:tcPr>
          <w:p w14:paraId="7CF7274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08:00-20:00</w:t>
            </w:r>
          </w:p>
        </w:tc>
        <w:tc>
          <w:tcPr>
            <w:tcW w:w="1378" w:type="dxa"/>
          </w:tcPr>
          <w:p w14:paraId="30A9B61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10:00-16:00</w:t>
            </w:r>
          </w:p>
        </w:tc>
      </w:tr>
      <w:tr w:rsidR="003C1CBF" w:rsidRPr="003C1CBF" w14:paraId="09434226" w14:textId="77777777" w:rsidTr="00B84D31">
        <w:tc>
          <w:tcPr>
            <w:tcW w:w="1270" w:type="dxa"/>
            <w:vMerge w:val="restart"/>
          </w:tcPr>
          <w:p w14:paraId="24DD5DBC" w14:textId="77777777" w:rsidR="003C1CBF" w:rsidRPr="003C1CBF" w:rsidRDefault="003C1CBF" w:rsidP="003C1CBF">
            <w:pPr>
              <w:rPr>
                <w:rFonts w:eastAsia="MS Mincho" w:cs="Arial"/>
                <w:kern w:val="0"/>
                <w:lang w:val="en-US"/>
                <w14:ligatures w14:val="none"/>
              </w:rPr>
            </w:pPr>
          </w:p>
          <w:p w14:paraId="5B61CA5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Penderi</w:t>
            </w:r>
          </w:p>
        </w:tc>
        <w:tc>
          <w:tcPr>
            <w:tcW w:w="1551" w:type="dxa"/>
            <w:vMerge w:val="restart"/>
          </w:tcPr>
          <w:p w14:paraId="519C4BAA" w14:textId="77777777" w:rsidR="003C1CBF" w:rsidRPr="003C1CBF" w:rsidRDefault="003C1CBF" w:rsidP="003C1CBF">
            <w:pPr>
              <w:rPr>
                <w:rFonts w:eastAsia="MS Mincho" w:cs="Arial"/>
                <w:kern w:val="0"/>
                <w:lang w:val="en-US"/>
                <w14:ligatures w14:val="none"/>
              </w:rPr>
            </w:pPr>
          </w:p>
          <w:p w14:paraId="740F8D5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Treboeth Pharmacy</w:t>
            </w:r>
          </w:p>
        </w:tc>
        <w:tc>
          <w:tcPr>
            <w:tcW w:w="1197" w:type="dxa"/>
            <w:shd w:val="clear" w:color="auto" w:fill="D9D9D9"/>
          </w:tcPr>
          <w:p w14:paraId="13AE924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2B2FA7A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5E3FB26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550" w:type="dxa"/>
            <w:shd w:val="clear" w:color="auto" w:fill="D9D9D9"/>
          </w:tcPr>
          <w:p w14:paraId="4CABA8C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374" w:type="dxa"/>
            <w:shd w:val="clear" w:color="auto" w:fill="D9D9D9"/>
          </w:tcPr>
          <w:p w14:paraId="7076BD3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16451E6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44" w:type="dxa"/>
            <w:shd w:val="clear" w:color="auto" w:fill="D9D9D9"/>
          </w:tcPr>
          <w:p w14:paraId="74AB226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645418A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26C4AC83" w14:textId="77777777" w:rsidTr="00B84D31">
        <w:tc>
          <w:tcPr>
            <w:tcW w:w="1270" w:type="dxa"/>
            <w:vMerge/>
          </w:tcPr>
          <w:p w14:paraId="744D601A" w14:textId="77777777" w:rsidR="003C1CBF" w:rsidRPr="003C1CBF" w:rsidRDefault="003C1CBF" w:rsidP="003C1CBF">
            <w:pPr>
              <w:rPr>
                <w:rFonts w:eastAsia="MS Mincho" w:cs="Arial"/>
                <w:kern w:val="0"/>
                <w:lang w:val="en-US"/>
                <w14:ligatures w14:val="none"/>
              </w:rPr>
            </w:pPr>
          </w:p>
        </w:tc>
        <w:tc>
          <w:tcPr>
            <w:tcW w:w="1551" w:type="dxa"/>
            <w:vMerge/>
          </w:tcPr>
          <w:p w14:paraId="576CBD68" w14:textId="77777777" w:rsidR="003C1CBF" w:rsidRPr="003C1CBF" w:rsidRDefault="003C1CBF" w:rsidP="003C1CBF">
            <w:pPr>
              <w:rPr>
                <w:rFonts w:eastAsia="MS Mincho" w:cs="Arial"/>
                <w:kern w:val="0"/>
                <w:lang w:val="en-US"/>
                <w14:ligatures w14:val="none"/>
              </w:rPr>
            </w:pPr>
          </w:p>
        </w:tc>
        <w:tc>
          <w:tcPr>
            <w:tcW w:w="1197" w:type="dxa"/>
          </w:tcPr>
          <w:p w14:paraId="01AB114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1AC2AA1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3904BB6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059751D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192B67A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3133E3C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2EB73EE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46F4574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20FE0BD2" w14:textId="77777777" w:rsidTr="00B84D31">
        <w:tc>
          <w:tcPr>
            <w:tcW w:w="1270" w:type="dxa"/>
            <w:vMerge w:val="restart"/>
          </w:tcPr>
          <w:p w14:paraId="621AEB2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Penderi</w:t>
            </w:r>
          </w:p>
        </w:tc>
        <w:tc>
          <w:tcPr>
            <w:tcW w:w="1551" w:type="dxa"/>
            <w:vMerge w:val="restart"/>
          </w:tcPr>
          <w:p w14:paraId="3DBB9DD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Caereithin</w:t>
            </w:r>
          </w:p>
        </w:tc>
        <w:tc>
          <w:tcPr>
            <w:tcW w:w="1197" w:type="dxa"/>
            <w:shd w:val="clear" w:color="auto" w:fill="D9D9D9"/>
          </w:tcPr>
          <w:p w14:paraId="61A3322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4CC89F7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479B98F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550" w:type="dxa"/>
            <w:shd w:val="clear" w:color="auto" w:fill="D9D9D9"/>
          </w:tcPr>
          <w:p w14:paraId="3748F12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374" w:type="dxa"/>
            <w:shd w:val="clear" w:color="auto" w:fill="D9D9D9"/>
          </w:tcPr>
          <w:p w14:paraId="045978A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7776A40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44" w:type="dxa"/>
            <w:shd w:val="clear" w:color="auto" w:fill="D9D9D9"/>
          </w:tcPr>
          <w:p w14:paraId="1D7FF9C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519D777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D340E1B" w14:textId="77777777" w:rsidTr="00B84D31">
        <w:tc>
          <w:tcPr>
            <w:tcW w:w="1270" w:type="dxa"/>
            <w:vMerge/>
          </w:tcPr>
          <w:p w14:paraId="4D18321B" w14:textId="77777777" w:rsidR="003C1CBF" w:rsidRPr="003C1CBF" w:rsidRDefault="003C1CBF" w:rsidP="003C1CBF">
            <w:pPr>
              <w:rPr>
                <w:rFonts w:eastAsia="MS Mincho" w:cs="Arial"/>
                <w:kern w:val="0"/>
                <w:lang w:val="en-US"/>
                <w14:ligatures w14:val="none"/>
              </w:rPr>
            </w:pPr>
          </w:p>
        </w:tc>
        <w:tc>
          <w:tcPr>
            <w:tcW w:w="1551" w:type="dxa"/>
            <w:vMerge/>
          </w:tcPr>
          <w:p w14:paraId="34472634" w14:textId="77777777" w:rsidR="003C1CBF" w:rsidRPr="003C1CBF" w:rsidRDefault="003C1CBF" w:rsidP="003C1CBF">
            <w:pPr>
              <w:rPr>
                <w:rFonts w:eastAsia="MS Mincho" w:cs="Arial"/>
                <w:kern w:val="0"/>
                <w:lang w:val="en-US"/>
                <w14:ligatures w14:val="none"/>
              </w:rPr>
            </w:pPr>
          </w:p>
        </w:tc>
        <w:tc>
          <w:tcPr>
            <w:tcW w:w="1197" w:type="dxa"/>
          </w:tcPr>
          <w:p w14:paraId="28915E0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6BD1E54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6E5686D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0881195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5BB6E47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1267A7B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2D99BBF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7DCD048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6C75F111" w14:textId="77777777" w:rsidTr="00B84D31">
        <w:tc>
          <w:tcPr>
            <w:tcW w:w="1270" w:type="dxa"/>
            <w:vMerge w:val="restart"/>
          </w:tcPr>
          <w:p w14:paraId="110DF1E9" w14:textId="77777777" w:rsidR="003C1CBF" w:rsidRPr="003C1CBF" w:rsidRDefault="003C1CBF" w:rsidP="003C1CBF">
            <w:pPr>
              <w:rPr>
                <w:rFonts w:eastAsia="MS Mincho" w:cs="Arial"/>
                <w:kern w:val="0"/>
                <w:lang w:val="en-US"/>
                <w14:ligatures w14:val="none"/>
              </w:rPr>
            </w:pPr>
          </w:p>
          <w:p w14:paraId="5F0631C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Penderi</w:t>
            </w:r>
          </w:p>
        </w:tc>
        <w:tc>
          <w:tcPr>
            <w:tcW w:w="1551" w:type="dxa"/>
            <w:vMerge w:val="restart"/>
          </w:tcPr>
          <w:p w14:paraId="0BB0EA6D" w14:textId="77777777" w:rsidR="003C1CBF" w:rsidRPr="003C1CBF" w:rsidRDefault="003C1CBF" w:rsidP="003C1CBF">
            <w:pPr>
              <w:rPr>
                <w:rFonts w:eastAsia="MS Mincho" w:cs="Arial"/>
                <w:kern w:val="0"/>
                <w:lang w:val="en-US"/>
                <w14:ligatures w14:val="none"/>
              </w:rPr>
            </w:pPr>
          </w:p>
          <w:p w14:paraId="1D1E1B7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Gendros</w:t>
            </w:r>
          </w:p>
        </w:tc>
        <w:tc>
          <w:tcPr>
            <w:tcW w:w="1197" w:type="dxa"/>
            <w:shd w:val="clear" w:color="auto" w:fill="D9D9D9"/>
          </w:tcPr>
          <w:p w14:paraId="27112D4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5901DBD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375BE76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5BC83C05" w14:textId="51FFE139"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shd w:val="clear" w:color="auto" w:fill="D9D9D9"/>
          </w:tcPr>
          <w:p w14:paraId="2BB3661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1C60EEE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4DBAE12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155B591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476031EF" w14:textId="77777777" w:rsidTr="00B84D31">
        <w:tc>
          <w:tcPr>
            <w:tcW w:w="1270" w:type="dxa"/>
            <w:vMerge/>
          </w:tcPr>
          <w:p w14:paraId="03AE02FB" w14:textId="77777777" w:rsidR="003C1CBF" w:rsidRPr="003C1CBF" w:rsidRDefault="003C1CBF" w:rsidP="003C1CBF">
            <w:pPr>
              <w:rPr>
                <w:rFonts w:eastAsia="MS Mincho" w:cs="Arial"/>
                <w:kern w:val="0"/>
                <w:lang w:val="en-US"/>
                <w14:ligatures w14:val="none"/>
              </w:rPr>
            </w:pPr>
          </w:p>
        </w:tc>
        <w:tc>
          <w:tcPr>
            <w:tcW w:w="1551" w:type="dxa"/>
            <w:vMerge/>
          </w:tcPr>
          <w:p w14:paraId="45B4F694" w14:textId="77777777" w:rsidR="003C1CBF" w:rsidRPr="003C1CBF" w:rsidRDefault="003C1CBF" w:rsidP="003C1CBF">
            <w:pPr>
              <w:rPr>
                <w:rFonts w:eastAsia="MS Mincho" w:cs="Arial"/>
                <w:kern w:val="0"/>
                <w:lang w:val="en-US"/>
                <w14:ligatures w14:val="none"/>
              </w:rPr>
            </w:pPr>
          </w:p>
        </w:tc>
        <w:tc>
          <w:tcPr>
            <w:tcW w:w="1197" w:type="dxa"/>
          </w:tcPr>
          <w:p w14:paraId="4A6469B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0938D5D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05" w:type="dxa"/>
          </w:tcPr>
          <w:p w14:paraId="6471828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550" w:type="dxa"/>
          </w:tcPr>
          <w:p w14:paraId="71AA8AC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374" w:type="dxa"/>
          </w:tcPr>
          <w:p w14:paraId="369AE48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05" w:type="dxa"/>
          </w:tcPr>
          <w:p w14:paraId="6F3E398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08:30-18:00</w:t>
            </w:r>
          </w:p>
        </w:tc>
        <w:tc>
          <w:tcPr>
            <w:tcW w:w="1244" w:type="dxa"/>
          </w:tcPr>
          <w:p w14:paraId="4130EC9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0CF252D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42594474" w14:textId="77777777" w:rsidTr="00B84D31">
        <w:tc>
          <w:tcPr>
            <w:tcW w:w="1270" w:type="dxa"/>
            <w:vMerge w:val="restart"/>
          </w:tcPr>
          <w:p w14:paraId="50686A07" w14:textId="77777777" w:rsidR="003C1CBF" w:rsidRPr="003C1CBF" w:rsidRDefault="003C1CBF" w:rsidP="003C1CBF">
            <w:pPr>
              <w:rPr>
                <w:rFonts w:eastAsia="MS Mincho" w:cs="Arial"/>
                <w:kern w:val="0"/>
                <w:lang w:val="en-US"/>
                <w14:ligatures w14:val="none"/>
              </w:rPr>
            </w:pPr>
          </w:p>
          <w:p w14:paraId="50B85DF7" w14:textId="77777777" w:rsidR="003C1CBF" w:rsidRPr="003C1CBF" w:rsidRDefault="003C1CBF" w:rsidP="003C1CBF">
            <w:pPr>
              <w:rPr>
                <w:rFonts w:eastAsia="MS Mincho" w:cs="Arial"/>
                <w:kern w:val="0"/>
                <w:lang w:val="en-US"/>
                <w14:ligatures w14:val="none"/>
              </w:rPr>
            </w:pPr>
          </w:p>
          <w:p w14:paraId="4BF9BB4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Penderi</w:t>
            </w:r>
          </w:p>
        </w:tc>
        <w:tc>
          <w:tcPr>
            <w:tcW w:w="1551" w:type="dxa"/>
            <w:vMerge w:val="restart"/>
          </w:tcPr>
          <w:p w14:paraId="46915D04" w14:textId="77777777" w:rsidR="003C1CBF" w:rsidRPr="003C1CBF" w:rsidRDefault="003C1CBF" w:rsidP="003C1CBF">
            <w:pPr>
              <w:rPr>
                <w:rFonts w:eastAsia="MS Mincho" w:cs="Arial"/>
                <w:kern w:val="0"/>
                <w:lang w:val="en-US"/>
                <w14:ligatures w14:val="none"/>
              </w:rPr>
            </w:pPr>
          </w:p>
          <w:p w14:paraId="51AA495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Manselton</w:t>
            </w:r>
          </w:p>
        </w:tc>
        <w:tc>
          <w:tcPr>
            <w:tcW w:w="1197" w:type="dxa"/>
            <w:shd w:val="clear" w:color="auto" w:fill="D9D9D9"/>
          </w:tcPr>
          <w:p w14:paraId="0CCC046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09D23BB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614A845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02C41723" w14:textId="4C0E03A3"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shd w:val="clear" w:color="auto" w:fill="D9D9D9"/>
          </w:tcPr>
          <w:p w14:paraId="37B8542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3581767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42A9E42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0AA3A0B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181235CD" w14:textId="77777777" w:rsidTr="00B84D31">
        <w:tc>
          <w:tcPr>
            <w:tcW w:w="1270" w:type="dxa"/>
            <w:vMerge/>
          </w:tcPr>
          <w:p w14:paraId="75A3E3EA" w14:textId="77777777" w:rsidR="003C1CBF" w:rsidRPr="003C1CBF" w:rsidRDefault="003C1CBF" w:rsidP="003C1CBF">
            <w:pPr>
              <w:rPr>
                <w:rFonts w:eastAsia="MS Mincho" w:cs="Arial"/>
                <w:kern w:val="0"/>
                <w:lang w:val="en-US"/>
                <w14:ligatures w14:val="none"/>
              </w:rPr>
            </w:pPr>
          </w:p>
        </w:tc>
        <w:tc>
          <w:tcPr>
            <w:tcW w:w="1551" w:type="dxa"/>
            <w:vMerge/>
          </w:tcPr>
          <w:p w14:paraId="2B6B76AE" w14:textId="77777777" w:rsidR="003C1CBF" w:rsidRPr="003C1CBF" w:rsidRDefault="003C1CBF" w:rsidP="003C1CBF">
            <w:pPr>
              <w:rPr>
                <w:rFonts w:eastAsia="MS Mincho" w:cs="Arial"/>
                <w:kern w:val="0"/>
                <w:lang w:val="en-US"/>
                <w14:ligatures w14:val="none"/>
              </w:rPr>
            </w:pPr>
          </w:p>
        </w:tc>
        <w:tc>
          <w:tcPr>
            <w:tcW w:w="1197" w:type="dxa"/>
          </w:tcPr>
          <w:p w14:paraId="54B4AFA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32C272B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68B82F1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7CF3B0A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2BCC664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5B7BD45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388E93D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50CB088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78778503" w14:textId="77777777" w:rsidTr="00B84D31">
        <w:tc>
          <w:tcPr>
            <w:tcW w:w="1270" w:type="dxa"/>
            <w:vMerge w:val="restart"/>
          </w:tcPr>
          <w:p w14:paraId="0DA6B365" w14:textId="77777777" w:rsidR="003C1CBF" w:rsidRPr="003C1CBF" w:rsidRDefault="003C1CBF" w:rsidP="003C1CBF">
            <w:pPr>
              <w:rPr>
                <w:rFonts w:eastAsia="MS Mincho" w:cs="Arial"/>
                <w:kern w:val="0"/>
                <w:lang w:val="en-US"/>
                <w14:ligatures w14:val="none"/>
              </w:rPr>
            </w:pPr>
          </w:p>
          <w:p w14:paraId="4F3CECD4" w14:textId="77777777" w:rsidR="003C1CBF" w:rsidRPr="003C1CBF" w:rsidRDefault="003C1CBF" w:rsidP="003C1CBF">
            <w:pPr>
              <w:rPr>
                <w:rFonts w:eastAsia="MS Mincho" w:cs="Arial"/>
                <w:kern w:val="0"/>
                <w:lang w:val="en-US"/>
                <w14:ligatures w14:val="none"/>
              </w:rPr>
            </w:pPr>
          </w:p>
          <w:p w14:paraId="6F565143" w14:textId="77777777" w:rsidR="003C1CBF" w:rsidRPr="003C1CBF" w:rsidRDefault="003C1CBF" w:rsidP="003C1CBF">
            <w:pPr>
              <w:rPr>
                <w:rFonts w:eastAsia="MS Mincho" w:cs="Arial"/>
                <w:kern w:val="0"/>
                <w:lang w:val="en-US"/>
                <w14:ligatures w14:val="none"/>
              </w:rPr>
            </w:pPr>
          </w:p>
          <w:p w14:paraId="5D7865C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Upper Valleys</w:t>
            </w:r>
          </w:p>
        </w:tc>
        <w:tc>
          <w:tcPr>
            <w:tcW w:w="1551" w:type="dxa"/>
            <w:vMerge w:val="restart"/>
          </w:tcPr>
          <w:p w14:paraId="6EE59FF7" w14:textId="77777777" w:rsidR="003C1CBF" w:rsidRPr="003C1CBF" w:rsidRDefault="003C1CBF" w:rsidP="003C1CBF">
            <w:pPr>
              <w:rPr>
                <w:rFonts w:eastAsia="MS Mincho" w:cs="Arial"/>
                <w:kern w:val="0"/>
                <w:lang w:val="en-US"/>
                <w14:ligatures w14:val="none"/>
              </w:rPr>
            </w:pPr>
          </w:p>
          <w:p w14:paraId="7A36BFA9" w14:textId="77777777" w:rsidR="003C1CBF" w:rsidRPr="003C1CBF" w:rsidRDefault="003C1CBF" w:rsidP="003C1CBF">
            <w:pPr>
              <w:rPr>
                <w:rFonts w:eastAsia="MS Mincho" w:cs="Arial"/>
                <w:kern w:val="0"/>
                <w:lang w:val="en-US"/>
                <w14:ligatures w14:val="none"/>
              </w:rPr>
            </w:pPr>
          </w:p>
          <w:p w14:paraId="2163BD3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Davies Chemist, Ystalyfera</w:t>
            </w:r>
          </w:p>
        </w:tc>
        <w:tc>
          <w:tcPr>
            <w:tcW w:w="1197" w:type="dxa"/>
            <w:shd w:val="clear" w:color="auto" w:fill="D9D9D9"/>
          </w:tcPr>
          <w:p w14:paraId="0A5DD1F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4C4C264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205" w:type="dxa"/>
            <w:shd w:val="clear" w:color="auto" w:fill="D9D9D9"/>
          </w:tcPr>
          <w:p w14:paraId="2064505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550" w:type="dxa"/>
            <w:shd w:val="clear" w:color="auto" w:fill="D9D9D9"/>
          </w:tcPr>
          <w:p w14:paraId="436A4948" w14:textId="4F4F0EBF"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14:00-17:30</w:t>
            </w:r>
          </w:p>
        </w:tc>
        <w:tc>
          <w:tcPr>
            <w:tcW w:w="1374" w:type="dxa"/>
            <w:shd w:val="clear" w:color="auto" w:fill="D9D9D9"/>
          </w:tcPr>
          <w:p w14:paraId="5F8A33C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205" w:type="dxa"/>
            <w:shd w:val="clear" w:color="auto" w:fill="D9D9D9"/>
          </w:tcPr>
          <w:p w14:paraId="53F17DA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shd w:val="clear" w:color="auto" w:fill="D9D9D9"/>
          </w:tcPr>
          <w:p w14:paraId="726F905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09:00-11:30</w:t>
            </w:r>
          </w:p>
        </w:tc>
        <w:tc>
          <w:tcPr>
            <w:tcW w:w="1378" w:type="dxa"/>
            <w:shd w:val="clear" w:color="auto" w:fill="D9D9D9"/>
          </w:tcPr>
          <w:p w14:paraId="3D015DC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12158854" w14:textId="77777777" w:rsidTr="00B84D31">
        <w:tc>
          <w:tcPr>
            <w:tcW w:w="1270" w:type="dxa"/>
            <w:vMerge/>
          </w:tcPr>
          <w:p w14:paraId="1C36CF9C" w14:textId="77777777" w:rsidR="003C1CBF" w:rsidRPr="003C1CBF" w:rsidRDefault="003C1CBF" w:rsidP="003C1CBF">
            <w:pPr>
              <w:rPr>
                <w:rFonts w:eastAsia="MS Mincho" w:cs="Arial"/>
                <w:kern w:val="0"/>
                <w:lang w:val="en-US"/>
                <w14:ligatures w14:val="none"/>
              </w:rPr>
            </w:pPr>
          </w:p>
        </w:tc>
        <w:tc>
          <w:tcPr>
            <w:tcW w:w="1551" w:type="dxa"/>
            <w:vMerge/>
          </w:tcPr>
          <w:p w14:paraId="7DC74F89" w14:textId="77777777" w:rsidR="003C1CBF" w:rsidRPr="003C1CBF" w:rsidRDefault="003C1CBF" w:rsidP="003C1CBF">
            <w:pPr>
              <w:rPr>
                <w:rFonts w:eastAsia="MS Mincho" w:cs="Arial"/>
                <w:kern w:val="0"/>
                <w:lang w:val="en-US"/>
                <w14:ligatures w14:val="none"/>
              </w:rPr>
            </w:pPr>
          </w:p>
        </w:tc>
        <w:tc>
          <w:tcPr>
            <w:tcW w:w="1197" w:type="dxa"/>
          </w:tcPr>
          <w:p w14:paraId="62433FF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48FACB9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205" w:type="dxa"/>
          </w:tcPr>
          <w:p w14:paraId="586225C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550" w:type="dxa"/>
          </w:tcPr>
          <w:p w14:paraId="4850BBD4" w14:textId="34006734"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14:00-17:30</w:t>
            </w:r>
          </w:p>
        </w:tc>
        <w:tc>
          <w:tcPr>
            <w:tcW w:w="1374" w:type="dxa"/>
          </w:tcPr>
          <w:p w14:paraId="5C42A11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205" w:type="dxa"/>
          </w:tcPr>
          <w:p w14:paraId="032B9AF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tcPr>
          <w:p w14:paraId="3AE5EAB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09:00-11:30</w:t>
            </w:r>
          </w:p>
        </w:tc>
        <w:tc>
          <w:tcPr>
            <w:tcW w:w="1378" w:type="dxa"/>
          </w:tcPr>
          <w:p w14:paraId="216A9CF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0C456A2B" w14:textId="77777777" w:rsidTr="00B84D31">
        <w:tc>
          <w:tcPr>
            <w:tcW w:w="1270" w:type="dxa"/>
            <w:vMerge w:val="restart"/>
          </w:tcPr>
          <w:p w14:paraId="5F1BC00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Upper Valleys</w:t>
            </w:r>
          </w:p>
        </w:tc>
        <w:tc>
          <w:tcPr>
            <w:tcW w:w="1551" w:type="dxa"/>
            <w:vMerge w:val="restart"/>
          </w:tcPr>
          <w:p w14:paraId="46A1B6C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Dyffryn Pharmacy</w:t>
            </w:r>
          </w:p>
        </w:tc>
        <w:tc>
          <w:tcPr>
            <w:tcW w:w="1197" w:type="dxa"/>
            <w:shd w:val="clear" w:color="auto" w:fill="D9D9D9"/>
          </w:tcPr>
          <w:p w14:paraId="44ED2CD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59DEBB7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shd w:val="clear" w:color="auto" w:fill="D9D9D9"/>
          </w:tcPr>
          <w:p w14:paraId="50CB231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w:t>
            </w:r>
          </w:p>
        </w:tc>
        <w:tc>
          <w:tcPr>
            <w:tcW w:w="1550" w:type="dxa"/>
            <w:shd w:val="clear" w:color="auto" w:fill="D9D9D9"/>
          </w:tcPr>
          <w:p w14:paraId="1C0D24A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4" w:type="dxa"/>
            <w:shd w:val="clear" w:color="auto" w:fill="D9D9D9"/>
          </w:tcPr>
          <w:p w14:paraId="3F4426E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shd w:val="clear" w:color="auto" w:fill="D9D9D9"/>
          </w:tcPr>
          <w:p w14:paraId="349679D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shd w:val="clear" w:color="auto" w:fill="D9D9D9"/>
          </w:tcPr>
          <w:p w14:paraId="0BCDE15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08:30-11:00</w:t>
            </w:r>
          </w:p>
        </w:tc>
        <w:tc>
          <w:tcPr>
            <w:tcW w:w="1378" w:type="dxa"/>
            <w:shd w:val="clear" w:color="auto" w:fill="D9D9D9"/>
          </w:tcPr>
          <w:p w14:paraId="744B6A9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3F813CF" w14:textId="77777777" w:rsidTr="00B84D31">
        <w:tc>
          <w:tcPr>
            <w:tcW w:w="1270" w:type="dxa"/>
            <w:vMerge/>
          </w:tcPr>
          <w:p w14:paraId="5E06AD64" w14:textId="77777777" w:rsidR="003C1CBF" w:rsidRPr="003C1CBF" w:rsidRDefault="003C1CBF" w:rsidP="003C1CBF">
            <w:pPr>
              <w:rPr>
                <w:rFonts w:eastAsia="MS Mincho" w:cs="Arial"/>
                <w:kern w:val="0"/>
                <w:lang w:val="en-US"/>
                <w14:ligatures w14:val="none"/>
              </w:rPr>
            </w:pPr>
          </w:p>
        </w:tc>
        <w:tc>
          <w:tcPr>
            <w:tcW w:w="1551" w:type="dxa"/>
            <w:vMerge/>
          </w:tcPr>
          <w:p w14:paraId="4136B0E4" w14:textId="77777777" w:rsidR="003C1CBF" w:rsidRPr="003C1CBF" w:rsidRDefault="003C1CBF" w:rsidP="003C1CBF">
            <w:pPr>
              <w:rPr>
                <w:rFonts w:eastAsia="MS Mincho" w:cs="Arial"/>
                <w:kern w:val="0"/>
                <w:lang w:val="en-US"/>
                <w14:ligatures w14:val="none"/>
              </w:rPr>
            </w:pPr>
          </w:p>
        </w:tc>
        <w:tc>
          <w:tcPr>
            <w:tcW w:w="1197" w:type="dxa"/>
          </w:tcPr>
          <w:p w14:paraId="6A2CF35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597F581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0564741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w:t>
            </w:r>
          </w:p>
        </w:tc>
        <w:tc>
          <w:tcPr>
            <w:tcW w:w="1550" w:type="dxa"/>
          </w:tcPr>
          <w:p w14:paraId="79C6F74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374" w:type="dxa"/>
          </w:tcPr>
          <w:p w14:paraId="6109B6A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05" w:type="dxa"/>
          </w:tcPr>
          <w:p w14:paraId="4CB1571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tcPr>
          <w:p w14:paraId="4A663A0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08:30-11:00</w:t>
            </w:r>
          </w:p>
        </w:tc>
        <w:tc>
          <w:tcPr>
            <w:tcW w:w="1378" w:type="dxa"/>
          </w:tcPr>
          <w:p w14:paraId="4ECD45B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267A9E53" w14:textId="77777777" w:rsidTr="00B84D31">
        <w:tc>
          <w:tcPr>
            <w:tcW w:w="1270" w:type="dxa"/>
            <w:vMerge w:val="restart"/>
          </w:tcPr>
          <w:p w14:paraId="4F1CCAFC" w14:textId="77777777" w:rsidR="003C1CBF" w:rsidRPr="003C1CBF" w:rsidRDefault="003C1CBF" w:rsidP="003C1CBF">
            <w:pPr>
              <w:rPr>
                <w:rFonts w:eastAsia="MS Mincho" w:cs="Arial"/>
                <w:kern w:val="0"/>
                <w:lang w:val="en-US"/>
                <w14:ligatures w14:val="none"/>
              </w:rPr>
            </w:pPr>
          </w:p>
          <w:p w14:paraId="1EA3F6C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Upper Valleys</w:t>
            </w:r>
          </w:p>
        </w:tc>
        <w:tc>
          <w:tcPr>
            <w:tcW w:w="1551" w:type="dxa"/>
            <w:vMerge w:val="restart"/>
          </w:tcPr>
          <w:p w14:paraId="133EB983" w14:textId="77777777" w:rsidR="003C1CBF" w:rsidRPr="003C1CBF" w:rsidRDefault="003C1CBF" w:rsidP="003C1CBF">
            <w:pPr>
              <w:rPr>
                <w:rFonts w:eastAsia="MS Mincho" w:cs="Arial"/>
                <w:kern w:val="0"/>
                <w:lang w:val="en-US"/>
                <w14:ligatures w14:val="none"/>
              </w:rPr>
            </w:pPr>
          </w:p>
          <w:p w14:paraId="685F972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GCG Pharmacy</w:t>
            </w:r>
          </w:p>
        </w:tc>
        <w:tc>
          <w:tcPr>
            <w:tcW w:w="1197" w:type="dxa"/>
            <w:shd w:val="clear" w:color="auto" w:fill="D9D9D9"/>
          </w:tcPr>
          <w:p w14:paraId="3637893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lastRenderedPageBreak/>
              <w:t>Core</w:t>
            </w:r>
          </w:p>
        </w:tc>
        <w:tc>
          <w:tcPr>
            <w:tcW w:w="1204" w:type="dxa"/>
            <w:shd w:val="clear" w:color="auto" w:fill="D9D9D9"/>
          </w:tcPr>
          <w:p w14:paraId="0B97E41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5D16096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shd w:val="clear" w:color="auto" w:fill="D9D9D9"/>
          </w:tcPr>
          <w:p w14:paraId="3174172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374" w:type="dxa"/>
            <w:shd w:val="clear" w:color="auto" w:fill="D9D9D9"/>
          </w:tcPr>
          <w:p w14:paraId="4DA8FF5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6759AEE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7698F55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09:00-11:30</w:t>
            </w:r>
          </w:p>
        </w:tc>
        <w:tc>
          <w:tcPr>
            <w:tcW w:w="1378" w:type="dxa"/>
            <w:shd w:val="clear" w:color="auto" w:fill="D9D9D9"/>
          </w:tcPr>
          <w:p w14:paraId="650907B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3394DDFE" w14:textId="77777777" w:rsidTr="00B84D31">
        <w:tc>
          <w:tcPr>
            <w:tcW w:w="1270" w:type="dxa"/>
            <w:vMerge/>
          </w:tcPr>
          <w:p w14:paraId="4918A6A0" w14:textId="77777777" w:rsidR="003C1CBF" w:rsidRPr="003C1CBF" w:rsidRDefault="003C1CBF" w:rsidP="003C1CBF">
            <w:pPr>
              <w:rPr>
                <w:rFonts w:eastAsia="MS Mincho" w:cs="Arial"/>
                <w:kern w:val="0"/>
                <w:lang w:val="en-US"/>
                <w14:ligatures w14:val="none"/>
              </w:rPr>
            </w:pPr>
          </w:p>
        </w:tc>
        <w:tc>
          <w:tcPr>
            <w:tcW w:w="1551" w:type="dxa"/>
            <w:vMerge/>
          </w:tcPr>
          <w:p w14:paraId="51BD251C" w14:textId="77777777" w:rsidR="003C1CBF" w:rsidRPr="003C1CBF" w:rsidRDefault="003C1CBF" w:rsidP="003C1CBF">
            <w:pPr>
              <w:rPr>
                <w:rFonts w:eastAsia="MS Mincho" w:cs="Arial"/>
                <w:kern w:val="0"/>
                <w:lang w:val="en-US"/>
                <w14:ligatures w14:val="none"/>
              </w:rPr>
            </w:pPr>
          </w:p>
        </w:tc>
        <w:tc>
          <w:tcPr>
            <w:tcW w:w="1197" w:type="dxa"/>
          </w:tcPr>
          <w:p w14:paraId="60458CF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673DF23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4E8205F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6D2ABFD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374" w:type="dxa"/>
          </w:tcPr>
          <w:p w14:paraId="1C0EC4B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7D9E8FD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47018E7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tcPr>
          <w:p w14:paraId="21C23C6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2DE94C39" w14:textId="77777777" w:rsidTr="00B84D31">
        <w:tc>
          <w:tcPr>
            <w:tcW w:w="1270" w:type="dxa"/>
            <w:vMerge w:val="restart"/>
          </w:tcPr>
          <w:p w14:paraId="71151C2F" w14:textId="77777777" w:rsidR="003C1CBF" w:rsidRPr="003C1CBF" w:rsidRDefault="003C1CBF" w:rsidP="003C1CBF">
            <w:pPr>
              <w:rPr>
                <w:rFonts w:eastAsia="MS Mincho" w:cs="Arial"/>
                <w:kern w:val="0"/>
                <w:lang w:val="en-US"/>
                <w14:ligatures w14:val="none"/>
              </w:rPr>
            </w:pPr>
          </w:p>
          <w:p w14:paraId="51E718C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Upper Valleys</w:t>
            </w:r>
          </w:p>
        </w:tc>
        <w:tc>
          <w:tcPr>
            <w:tcW w:w="1551" w:type="dxa"/>
            <w:vMerge w:val="restart"/>
          </w:tcPr>
          <w:p w14:paraId="29AE851A" w14:textId="77777777" w:rsidR="003C1CBF" w:rsidRPr="003C1CBF" w:rsidRDefault="003C1CBF" w:rsidP="003C1CBF">
            <w:pPr>
              <w:rPr>
                <w:rFonts w:eastAsia="MS Mincho" w:cs="Arial"/>
                <w:kern w:val="0"/>
                <w:lang w:val="en-US"/>
                <w14:ligatures w14:val="none"/>
              </w:rPr>
            </w:pPr>
          </w:p>
          <w:p w14:paraId="2735051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MW Phillips, Crynant</w:t>
            </w:r>
          </w:p>
        </w:tc>
        <w:tc>
          <w:tcPr>
            <w:tcW w:w="1197" w:type="dxa"/>
            <w:shd w:val="clear" w:color="auto" w:fill="D9D9D9"/>
          </w:tcPr>
          <w:p w14:paraId="3812457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2FFF997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7BAFE6C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w:t>
            </w:r>
          </w:p>
        </w:tc>
        <w:tc>
          <w:tcPr>
            <w:tcW w:w="1550" w:type="dxa"/>
            <w:shd w:val="clear" w:color="auto" w:fill="D9D9D9"/>
          </w:tcPr>
          <w:p w14:paraId="26369F5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shd w:val="clear" w:color="auto" w:fill="D9D9D9"/>
          </w:tcPr>
          <w:p w14:paraId="188AB3A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1C1BD81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733E38A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350F7AD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4BA46EF5" w14:textId="77777777" w:rsidTr="00B84D31">
        <w:tc>
          <w:tcPr>
            <w:tcW w:w="1270" w:type="dxa"/>
            <w:vMerge/>
          </w:tcPr>
          <w:p w14:paraId="6A1DFBAC" w14:textId="77777777" w:rsidR="003C1CBF" w:rsidRPr="003C1CBF" w:rsidRDefault="003C1CBF" w:rsidP="003C1CBF">
            <w:pPr>
              <w:rPr>
                <w:rFonts w:eastAsia="MS Mincho" w:cs="Arial"/>
                <w:kern w:val="0"/>
                <w:lang w:val="en-US"/>
                <w14:ligatures w14:val="none"/>
              </w:rPr>
            </w:pPr>
          </w:p>
        </w:tc>
        <w:tc>
          <w:tcPr>
            <w:tcW w:w="1551" w:type="dxa"/>
            <w:vMerge/>
          </w:tcPr>
          <w:p w14:paraId="1B4CF4F1" w14:textId="77777777" w:rsidR="003C1CBF" w:rsidRPr="003C1CBF" w:rsidRDefault="003C1CBF" w:rsidP="003C1CBF">
            <w:pPr>
              <w:rPr>
                <w:rFonts w:eastAsia="MS Mincho" w:cs="Arial"/>
                <w:kern w:val="0"/>
                <w:lang w:val="en-US"/>
                <w14:ligatures w14:val="none"/>
              </w:rPr>
            </w:pPr>
          </w:p>
        </w:tc>
        <w:tc>
          <w:tcPr>
            <w:tcW w:w="1197" w:type="dxa"/>
          </w:tcPr>
          <w:p w14:paraId="725D73E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0634412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1DB4661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w:t>
            </w:r>
          </w:p>
        </w:tc>
        <w:tc>
          <w:tcPr>
            <w:tcW w:w="1550" w:type="dxa"/>
          </w:tcPr>
          <w:p w14:paraId="2CBD299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6FF075C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76E2D51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7715BAF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17B3111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6C83F6B0" w14:textId="77777777" w:rsidTr="00B84D31">
        <w:tc>
          <w:tcPr>
            <w:tcW w:w="1270" w:type="dxa"/>
            <w:vMerge w:val="restart"/>
          </w:tcPr>
          <w:p w14:paraId="7E419CA5" w14:textId="77777777" w:rsidR="003C1CBF" w:rsidRPr="003C1CBF" w:rsidRDefault="003C1CBF" w:rsidP="003C1CBF">
            <w:pPr>
              <w:rPr>
                <w:rFonts w:eastAsia="MS Mincho" w:cs="Arial"/>
                <w:kern w:val="0"/>
                <w:lang w:val="en-US"/>
                <w14:ligatures w14:val="none"/>
              </w:rPr>
            </w:pPr>
          </w:p>
          <w:p w14:paraId="36235882" w14:textId="77777777" w:rsidR="003C1CBF" w:rsidRPr="003C1CBF" w:rsidRDefault="003C1CBF" w:rsidP="003C1CBF">
            <w:pPr>
              <w:rPr>
                <w:rFonts w:eastAsia="MS Mincho" w:cs="Arial"/>
                <w:kern w:val="0"/>
                <w:lang w:val="en-US"/>
                <w14:ligatures w14:val="none"/>
              </w:rPr>
            </w:pPr>
          </w:p>
          <w:p w14:paraId="050742BB" w14:textId="77777777" w:rsidR="003C1CBF" w:rsidRPr="003C1CBF" w:rsidRDefault="003C1CBF" w:rsidP="003C1CBF">
            <w:pPr>
              <w:rPr>
                <w:rFonts w:eastAsia="MS Mincho" w:cs="Arial"/>
                <w:kern w:val="0"/>
                <w:lang w:val="en-US"/>
                <w14:ligatures w14:val="none"/>
              </w:rPr>
            </w:pPr>
          </w:p>
          <w:p w14:paraId="0297A8B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Upper Valleys</w:t>
            </w:r>
          </w:p>
        </w:tc>
        <w:tc>
          <w:tcPr>
            <w:tcW w:w="1551" w:type="dxa"/>
            <w:vMerge w:val="restart"/>
          </w:tcPr>
          <w:p w14:paraId="0F2F8750" w14:textId="77777777" w:rsidR="003C1CBF" w:rsidRPr="003C1CBF" w:rsidRDefault="003C1CBF" w:rsidP="003C1CBF">
            <w:pPr>
              <w:rPr>
                <w:rFonts w:eastAsia="MS Mincho" w:cs="Arial"/>
                <w:kern w:val="0"/>
                <w:lang w:val="en-US"/>
                <w14:ligatures w14:val="none"/>
              </w:rPr>
            </w:pPr>
          </w:p>
          <w:p w14:paraId="2D66C8F4" w14:textId="77777777" w:rsidR="003C1CBF" w:rsidRPr="003C1CBF" w:rsidRDefault="003C1CBF" w:rsidP="003C1CBF">
            <w:pPr>
              <w:rPr>
                <w:rFonts w:eastAsia="MS Mincho" w:cs="Arial"/>
                <w:kern w:val="0"/>
                <w:lang w:val="en-US"/>
                <w14:ligatures w14:val="none"/>
              </w:rPr>
            </w:pPr>
          </w:p>
          <w:p w14:paraId="5B380EA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MW Phillips, Seven Sisters</w:t>
            </w:r>
          </w:p>
        </w:tc>
        <w:tc>
          <w:tcPr>
            <w:tcW w:w="1197" w:type="dxa"/>
            <w:shd w:val="clear" w:color="auto" w:fill="D9D9D9"/>
          </w:tcPr>
          <w:p w14:paraId="109730F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133DC60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43E2B5A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6B5FFA4B" w14:textId="786E0C5B"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shd w:val="clear" w:color="auto" w:fill="D9D9D9"/>
          </w:tcPr>
          <w:p w14:paraId="5C1210A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3C157E7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1FA1134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shd w:val="clear" w:color="auto" w:fill="D9D9D9"/>
          </w:tcPr>
          <w:p w14:paraId="016DCDF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12716EF6" w14:textId="77777777" w:rsidTr="00B84D31">
        <w:tc>
          <w:tcPr>
            <w:tcW w:w="1270" w:type="dxa"/>
            <w:vMerge/>
          </w:tcPr>
          <w:p w14:paraId="1D9BBC58" w14:textId="77777777" w:rsidR="003C1CBF" w:rsidRPr="003C1CBF" w:rsidRDefault="003C1CBF" w:rsidP="003C1CBF">
            <w:pPr>
              <w:rPr>
                <w:rFonts w:eastAsia="MS Mincho" w:cs="Arial"/>
                <w:kern w:val="0"/>
                <w:lang w:val="en-US"/>
                <w14:ligatures w14:val="none"/>
              </w:rPr>
            </w:pPr>
          </w:p>
        </w:tc>
        <w:tc>
          <w:tcPr>
            <w:tcW w:w="1551" w:type="dxa"/>
            <w:vMerge/>
          </w:tcPr>
          <w:p w14:paraId="7A954B77" w14:textId="77777777" w:rsidR="003C1CBF" w:rsidRPr="003C1CBF" w:rsidRDefault="003C1CBF" w:rsidP="003C1CBF">
            <w:pPr>
              <w:rPr>
                <w:rFonts w:eastAsia="MS Mincho" w:cs="Arial"/>
                <w:kern w:val="0"/>
                <w:lang w:val="en-US"/>
                <w14:ligatures w14:val="none"/>
              </w:rPr>
            </w:pPr>
          </w:p>
        </w:tc>
        <w:tc>
          <w:tcPr>
            <w:tcW w:w="1197" w:type="dxa"/>
          </w:tcPr>
          <w:p w14:paraId="4C7D09B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73EAAA7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tcPr>
          <w:p w14:paraId="0C9B64A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tcPr>
          <w:p w14:paraId="40718CEC" w14:textId="295EDD55"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tcPr>
          <w:p w14:paraId="5F38184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tcPr>
          <w:p w14:paraId="0608D7E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1C50816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c>
          <w:tcPr>
            <w:tcW w:w="1378" w:type="dxa"/>
          </w:tcPr>
          <w:p w14:paraId="5781323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4680E4E6" w14:textId="77777777" w:rsidTr="00B84D31">
        <w:tc>
          <w:tcPr>
            <w:tcW w:w="1270" w:type="dxa"/>
            <w:vMerge w:val="restart"/>
          </w:tcPr>
          <w:p w14:paraId="24BA7F3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Upper Valleys</w:t>
            </w:r>
          </w:p>
        </w:tc>
        <w:tc>
          <w:tcPr>
            <w:tcW w:w="1551" w:type="dxa"/>
            <w:vMerge w:val="restart"/>
          </w:tcPr>
          <w:p w14:paraId="21AEAB5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Pontardawe Pharmacy</w:t>
            </w:r>
          </w:p>
        </w:tc>
        <w:tc>
          <w:tcPr>
            <w:tcW w:w="1197" w:type="dxa"/>
            <w:shd w:val="clear" w:color="auto" w:fill="D9D9D9"/>
          </w:tcPr>
          <w:p w14:paraId="44EFB39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3ACAA92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shd w:val="clear" w:color="auto" w:fill="D9D9D9"/>
          </w:tcPr>
          <w:p w14:paraId="0BC77D6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shd w:val="clear" w:color="auto" w:fill="D9D9D9"/>
          </w:tcPr>
          <w:p w14:paraId="7F22C283" w14:textId="2503A28C"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shd w:val="clear" w:color="auto" w:fill="D9D9D9"/>
          </w:tcPr>
          <w:p w14:paraId="738D239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205" w:type="dxa"/>
            <w:shd w:val="clear" w:color="auto" w:fill="D9D9D9"/>
          </w:tcPr>
          <w:p w14:paraId="089AFF0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3D3722D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shd w:val="clear" w:color="auto" w:fill="D9D9D9"/>
          </w:tcPr>
          <w:p w14:paraId="07403D6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7A1AFC87" w14:textId="77777777" w:rsidTr="00B84D31">
        <w:tc>
          <w:tcPr>
            <w:tcW w:w="1270" w:type="dxa"/>
            <w:vMerge/>
          </w:tcPr>
          <w:p w14:paraId="59DA19C7" w14:textId="77777777" w:rsidR="003C1CBF" w:rsidRPr="003C1CBF" w:rsidRDefault="003C1CBF" w:rsidP="003C1CBF">
            <w:pPr>
              <w:rPr>
                <w:rFonts w:eastAsia="MS Mincho" w:cs="Arial"/>
                <w:kern w:val="0"/>
                <w:lang w:val="en-US"/>
                <w14:ligatures w14:val="none"/>
              </w:rPr>
            </w:pPr>
          </w:p>
        </w:tc>
        <w:tc>
          <w:tcPr>
            <w:tcW w:w="1551" w:type="dxa"/>
            <w:vMerge/>
          </w:tcPr>
          <w:p w14:paraId="1F1BD969" w14:textId="77777777" w:rsidR="003C1CBF" w:rsidRPr="003C1CBF" w:rsidRDefault="003C1CBF" w:rsidP="003C1CBF">
            <w:pPr>
              <w:rPr>
                <w:rFonts w:eastAsia="MS Mincho" w:cs="Arial"/>
                <w:kern w:val="0"/>
                <w:lang w:val="en-US"/>
                <w14:ligatures w14:val="none"/>
              </w:rPr>
            </w:pPr>
          </w:p>
        </w:tc>
        <w:tc>
          <w:tcPr>
            <w:tcW w:w="1197" w:type="dxa"/>
          </w:tcPr>
          <w:p w14:paraId="0A705D2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13B14F2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tcPr>
          <w:p w14:paraId="143612F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tcPr>
          <w:p w14:paraId="79823D02" w14:textId="1524DFD2"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tcPr>
          <w:p w14:paraId="146B672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205" w:type="dxa"/>
          </w:tcPr>
          <w:p w14:paraId="7761B6C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7AAD1E0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tcPr>
          <w:p w14:paraId="5E65953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2700F0EB" w14:textId="77777777" w:rsidTr="00B84D31">
        <w:tc>
          <w:tcPr>
            <w:tcW w:w="1270" w:type="dxa"/>
            <w:vMerge w:val="restart"/>
          </w:tcPr>
          <w:p w14:paraId="7856D029" w14:textId="77777777" w:rsidR="003C1CBF" w:rsidRPr="003C1CBF" w:rsidRDefault="003C1CBF" w:rsidP="003C1CBF">
            <w:pPr>
              <w:rPr>
                <w:rFonts w:eastAsia="MS Mincho" w:cs="Arial"/>
                <w:kern w:val="0"/>
                <w:lang w:val="en-US"/>
                <w14:ligatures w14:val="none"/>
              </w:rPr>
            </w:pPr>
          </w:p>
          <w:p w14:paraId="357C9E52" w14:textId="77777777" w:rsidR="003C1CBF" w:rsidRPr="003C1CBF" w:rsidRDefault="003C1CBF" w:rsidP="003C1CBF">
            <w:pPr>
              <w:rPr>
                <w:rFonts w:eastAsia="MS Mincho" w:cs="Arial"/>
                <w:kern w:val="0"/>
                <w:lang w:val="en-US"/>
                <w14:ligatures w14:val="none"/>
              </w:rPr>
            </w:pPr>
          </w:p>
          <w:p w14:paraId="08D27926" w14:textId="77777777" w:rsidR="003C1CBF" w:rsidRPr="003C1CBF" w:rsidRDefault="003C1CBF" w:rsidP="003C1CBF">
            <w:pPr>
              <w:rPr>
                <w:rFonts w:eastAsia="MS Mincho" w:cs="Arial"/>
                <w:kern w:val="0"/>
                <w:lang w:val="en-US"/>
                <w14:ligatures w14:val="none"/>
              </w:rPr>
            </w:pPr>
          </w:p>
          <w:p w14:paraId="0D7E539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Upper Valleys</w:t>
            </w:r>
          </w:p>
        </w:tc>
        <w:tc>
          <w:tcPr>
            <w:tcW w:w="1551" w:type="dxa"/>
            <w:vMerge w:val="restart"/>
          </w:tcPr>
          <w:p w14:paraId="425A7957" w14:textId="77777777" w:rsidR="003C1CBF" w:rsidRPr="003C1CBF" w:rsidRDefault="003C1CBF" w:rsidP="003C1CBF">
            <w:pPr>
              <w:rPr>
                <w:rFonts w:eastAsia="MS Mincho" w:cs="Arial"/>
                <w:kern w:val="0"/>
                <w:lang w:val="en-US"/>
                <w14:ligatures w14:val="none"/>
              </w:rPr>
            </w:pPr>
          </w:p>
          <w:p w14:paraId="23EDC723" w14:textId="77777777" w:rsidR="003C1CBF" w:rsidRPr="003C1CBF" w:rsidRDefault="003C1CBF" w:rsidP="003C1CBF">
            <w:pPr>
              <w:rPr>
                <w:rFonts w:eastAsia="MS Mincho" w:cs="Arial"/>
                <w:kern w:val="0"/>
                <w:lang w:val="en-US"/>
                <w14:ligatures w14:val="none"/>
              </w:rPr>
            </w:pPr>
          </w:p>
          <w:p w14:paraId="73FD5CF5" w14:textId="77777777" w:rsidR="003C1CBF" w:rsidRPr="003C1CBF" w:rsidRDefault="003C1CBF" w:rsidP="003C1CBF">
            <w:pPr>
              <w:rPr>
                <w:rFonts w:eastAsia="MS Mincho" w:cs="Arial"/>
                <w:kern w:val="0"/>
                <w:lang w:val="en-US"/>
                <w14:ligatures w14:val="none"/>
              </w:rPr>
            </w:pPr>
          </w:p>
          <w:p w14:paraId="59E41BA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Resolven Pharmacy</w:t>
            </w:r>
          </w:p>
        </w:tc>
        <w:tc>
          <w:tcPr>
            <w:tcW w:w="1197" w:type="dxa"/>
            <w:shd w:val="clear" w:color="auto" w:fill="D9D9D9"/>
          </w:tcPr>
          <w:p w14:paraId="1F05272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23BB4B4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205" w:type="dxa"/>
            <w:shd w:val="clear" w:color="auto" w:fill="D9D9D9"/>
          </w:tcPr>
          <w:p w14:paraId="634382E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550" w:type="dxa"/>
            <w:shd w:val="clear" w:color="auto" w:fill="D9D9D9"/>
          </w:tcPr>
          <w:p w14:paraId="3003081B" w14:textId="3B2292E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14:00-17:30</w:t>
            </w:r>
          </w:p>
        </w:tc>
        <w:tc>
          <w:tcPr>
            <w:tcW w:w="1374" w:type="dxa"/>
            <w:shd w:val="clear" w:color="auto" w:fill="D9D9D9"/>
          </w:tcPr>
          <w:p w14:paraId="7F5AC241"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205" w:type="dxa"/>
            <w:shd w:val="clear" w:color="auto" w:fill="D9D9D9"/>
          </w:tcPr>
          <w:p w14:paraId="57DB3EA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shd w:val="clear" w:color="auto" w:fill="D9D9D9"/>
          </w:tcPr>
          <w:p w14:paraId="10FEB2F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09:00-11:30</w:t>
            </w:r>
          </w:p>
        </w:tc>
        <w:tc>
          <w:tcPr>
            <w:tcW w:w="1378" w:type="dxa"/>
            <w:shd w:val="clear" w:color="auto" w:fill="D9D9D9"/>
          </w:tcPr>
          <w:p w14:paraId="162510C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18D0D4B4" w14:textId="77777777" w:rsidTr="00B84D31">
        <w:tc>
          <w:tcPr>
            <w:tcW w:w="1270" w:type="dxa"/>
            <w:vMerge/>
          </w:tcPr>
          <w:p w14:paraId="6A27264F" w14:textId="77777777" w:rsidR="003C1CBF" w:rsidRPr="003C1CBF" w:rsidRDefault="003C1CBF" w:rsidP="003C1CBF">
            <w:pPr>
              <w:rPr>
                <w:rFonts w:eastAsia="MS Mincho" w:cs="Arial"/>
                <w:kern w:val="0"/>
                <w:lang w:val="en-US"/>
                <w14:ligatures w14:val="none"/>
              </w:rPr>
            </w:pPr>
          </w:p>
        </w:tc>
        <w:tc>
          <w:tcPr>
            <w:tcW w:w="1551" w:type="dxa"/>
            <w:vMerge/>
          </w:tcPr>
          <w:p w14:paraId="7AF594B7" w14:textId="77777777" w:rsidR="003C1CBF" w:rsidRPr="003C1CBF" w:rsidRDefault="003C1CBF" w:rsidP="003C1CBF">
            <w:pPr>
              <w:rPr>
                <w:rFonts w:eastAsia="MS Mincho" w:cs="Arial"/>
                <w:kern w:val="0"/>
                <w:lang w:val="en-US"/>
                <w14:ligatures w14:val="none"/>
              </w:rPr>
            </w:pPr>
          </w:p>
        </w:tc>
        <w:tc>
          <w:tcPr>
            <w:tcW w:w="1197" w:type="dxa"/>
          </w:tcPr>
          <w:p w14:paraId="3A571F8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3B61390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205" w:type="dxa"/>
          </w:tcPr>
          <w:p w14:paraId="1BD5000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550" w:type="dxa"/>
          </w:tcPr>
          <w:p w14:paraId="556FFC5D" w14:textId="68E12292"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14:00-17:30</w:t>
            </w:r>
          </w:p>
        </w:tc>
        <w:tc>
          <w:tcPr>
            <w:tcW w:w="1374" w:type="dxa"/>
          </w:tcPr>
          <w:p w14:paraId="44316F7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205" w:type="dxa"/>
          </w:tcPr>
          <w:p w14:paraId="378E602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tcPr>
          <w:p w14:paraId="6C0C9BC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09:00-11:30</w:t>
            </w:r>
          </w:p>
        </w:tc>
        <w:tc>
          <w:tcPr>
            <w:tcW w:w="1378" w:type="dxa"/>
          </w:tcPr>
          <w:p w14:paraId="3AC0FDA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5AE50765" w14:textId="77777777" w:rsidTr="00B84D31">
        <w:tc>
          <w:tcPr>
            <w:tcW w:w="1270" w:type="dxa"/>
            <w:vMerge w:val="restart"/>
          </w:tcPr>
          <w:p w14:paraId="1E7CC4BA" w14:textId="77777777" w:rsidR="003C1CBF" w:rsidRPr="003C1CBF" w:rsidRDefault="003C1CBF" w:rsidP="003C1CBF">
            <w:pPr>
              <w:rPr>
                <w:rFonts w:eastAsia="MS Mincho" w:cs="Arial"/>
                <w:kern w:val="0"/>
                <w:lang w:val="en-US"/>
                <w14:ligatures w14:val="none"/>
              </w:rPr>
            </w:pPr>
          </w:p>
          <w:p w14:paraId="3393C40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Upper Valleys</w:t>
            </w:r>
          </w:p>
        </w:tc>
        <w:tc>
          <w:tcPr>
            <w:tcW w:w="1551" w:type="dxa"/>
            <w:vMerge w:val="restart"/>
          </w:tcPr>
          <w:p w14:paraId="46D4EE34" w14:textId="77777777" w:rsidR="003C1CBF" w:rsidRPr="003C1CBF" w:rsidRDefault="003C1CBF" w:rsidP="003C1CBF">
            <w:pPr>
              <w:rPr>
                <w:rFonts w:eastAsia="MS Mincho" w:cs="Arial"/>
                <w:kern w:val="0"/>
                <w:lang w:val="en-US"/>
                <w14:ligatures w14:val="none"/>
              </w:rPr>
            </w:pPr>
          </w:p>
          <w:p w14:paraId="71C325A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Vale of Neath Pharmacy</w:t>
            </w:r>
          </w:p>
        </w:tc>
        <w:tc>
          <w:tcPr>
            <w:tcW w:w="1197" w:type="dxa"/>
            <w:shd w:val="clear" w:color="auto" w:fill="D9D9D9"/>
          </w:tcPr>
          <w:p w14:paraId="6688F6B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2F6DFCB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298596D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shd w:val="clear" w:color="auto" w:fill="D9D9D9"/>
          </w:tcPr>
          <w:p w14:paraId="04F9323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shd w:val="clear" w:color="auto" w:fill="D9D9D9"/>
          </w:tcPr>
          <w:p w14:paraId="6709307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shd w:val="clear" w:color="auto" w:fill="D9D9D9"/>
          </w:tcPr>
          <w:p w14:paraId="66952B0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shd w:val="clear" w:color="auto" w:fill="D9D9D9"/>
          </w:tcPr>
          <w:p w14:paraId="03A1B28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shd w:val="clear" w:color="auto" w:fill="D9D9D9"/>
          </w:tcPr>
          <w:p w14:paraId="6D4A6A83" w14:textId="77777777" w:rsidR="003C1CBF" w:rsidRPr="003C1CBF" w:rsidRDefault="003C1CBF" w:rsidP="003C1CBF">
            <w:pPr>
              <w:rPr>
                <w:rFonts w:eastAsia="MS Mincho" w:cs="Arial"/>
                <w:kern w:val="0"/>
                <w:lang w:val="en-US"/>
                <w14:ligatures w14:val="none"/>
              </w:rPr>
            </w:pPr>
          </w:p>
        </w:tc>
      </w:tr>
      <w:tr w:rsidR="003C1CBF" w:rsidRPr="003C1CBF" w14:paraId="2865EC30" w14:textId="77777777" w:rsidTr="00B84D31">
        <w:tc>
          <w:tcPr>
            <w:tcW w:w="1270" w:type="dxa"/>
            <w:vMerge/>
          </w:tcPr>
          <w:p w14:paraId="1F59856F" w14:textId="77777777" w:rsidR="003C1CBF" w:rsidRPr="003C1CBF" w:rsidRDefault="003C1CBF" w:rsidP="003C1CBF">
            <w:pPr>
              <w:rPr>
                <w:rFonts w:eastAsia="MS Mincho" w:cs="Arial"/>
                <w:kern w:val="0"/>
                <w:lang w:val="en-US"/>
                <w14:ligatures w14:val="none"/>
              </w:rPr>
            </w:pPr>
          </w:p>
        </w:tc>
        <w:tc>
          <w:tcPr>
            <w:tcW w:w="1551" w:type="dxa"/>
            <w:vMerge/>
          </w:tcPr>
          <w:p w14:paraId="4860C1B3" w14:textId="77777777" w:rsidR="003C1CBF" w:rsidRPr="003C1CBF" w:rsidRDefault="003C1CBF" w:rsidP="003C1CBF">
            <w:pPr>
              <w:rPr>
                <w:rFonts w:eastAsia="MS Mincho" w:cs="Arial"/>
                <w:kern w:val="0"/>
                <w:lang w:val="en-US"/>
                <w14:ligatures w14:val="none"/>
              </w:rPr>
            </w:pPr>
          </w:p>
        </w:tc>
        <w:tc>
          <w:tcPr>
            <w:tcW w:w="1197" w:type="dxa"/>
          </w:tcPr>
          <w:p w14:paraId="42F3C9B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1D8E5B9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795C1E6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5E06FC8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4D12C05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636A197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785F726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tcPr>
          <w:p w14:paraId="00B4852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15:00-17:00</w:t>
            </w:r>
          </w:p>
        </w:tc>
      </w:tr>
      <w:tr w:rsidR="003C1CBF" w:rsidRPr="003C1CBF" w14:paraId="0D5AA2F9" w14:textId="77777777" w:rsidTr="00B84D31">
        <w:tc>
          <w:tcPr>
            <w:tcW w:w="1270" w:type="dxa"/>
            <w:vMerge w:val="restart"/>
          </w:tcPr>
          <w:p w14:paraId="6922A2EF" w14:textId="77777777" w:rsidR="003C1CBF" w:rsidRPr="003C1CBF" w:rsidRDefault="003C1CBF" w:rsidP="003C1CBF">
            <w:pPr>
              <w:rPr>
                <w:rFonts w:eastAsia="MS Mincho" w:cs="Arial"/>
                <w:kern w:val="0"/>
                <w:lang w:val="en-US"/>
                <w14:ligatures w14:val="none"/>
              </w:rPr>
            </w:pPr>
          </w:p>
          <w:p w14:paraId="70D1AAB0" w14:textId="77777777" w:rsidR="003C1CBF" w:rsidRPr="003C1CBF" w:rsidRDefault="003C1CBF" w:rsidP="003C1CBF">
            <w:pPr>
              <w:rPr>
                <w:rFonts w:eastAsia="MS Mincho" w:cs="Arial"/>
                <w:kern w:val="0"/>
                <w:lang w:val="en-US"/>
                <w14:ligatures w14:val="none"/>
              </w:rPr>
            </w:pPr>
          </w:p>
          <w:p w14:paraId="368E0DD6" w14:textId="77777777" w:rsidR="003C1CBF" w:rsidRPr="003C1CBF" w:rsidRDefault="003C1CBF" w:rsidP="003C1CBF">
            <w:pPr>
              <w:rPr>
                <w:rFonts w:eastAsia="MS Mincho" w:cs="Arial"/>
                <w:kern w:val="0"/>
                <w:lang w:val="en-US"/>
                <w14:ligatures w14:val="none"/>
              </w:rPr>
            </w:pPr>
          </w:p>
          <w:p w14:paraId="02B593C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Upper Valleys</w:t>
            </w:r>
          </w:p>
        </w:tc>
        <w:tc>
          <w:tcPr>
            <w:tcW w:w="1551" w:type="dxa"/>
            <w:vMerge w:val="restart"/>
          </w:tcPr>
          <w:p w14:paraId="0AF3D6C6" w14:textId="77777777" w:rsidR="003C1CBF" w:rsidRPr="003C1CBF" w:rsidRDefault="003C1CBF" w:rsidP="003C1CBF">
            <w:pPr>
              <w:rPr>
                <w:rFonts w:eastAsia="MS Mincho" w:cs="Arial"/>
                <w:kern w:val="0"/>
                <w:lang w:val="en-US"/>
                <w14:ligatures w14:val="none"/>
              </w:rPr>
            </w:pPr>
          </w:p>
          <w:p w14:paraId="47831F5B" w14:textId="77777777" w:rsidR="003C1CBF" w:rsidRPr="003C1CBF" w:rsidRDefault="003C1CBF" w:rsidP="003C1CBF">
            <w:pPr>
              <w:rPr>
                <w:rFonts w:eastAsia="MS Mincho" w:cs="Arial"/>
                <w:kern w:val="0"/>
                <w:lang w:val="en-US"/>
                <w14:ligatures w14:val="none"/>
              </w:rPr>
            </w:pPr>
          </w:p>
          <w:p w14:paraId="0C56C41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Cwmllynfell</w:t>
            </w:r>
          </w:p>
        </w:tc>
        <w:tc>
          <w:tcPr>
            <w:tcW w:w="1197" w:type="dxa"/>
            <w:shd w:val="clear" w:color="auto" w:fill="D9D9D9"/>
          </w:tcPr>
          <w:p w14:paraId="77AD48F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4DD54F26"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205" w:type="dxa"/>
            <w:shd w:val="clear" w:color="auto" w:fill="D9D9D9"/>
          </w:tcPr>
          <w:p w14:paraId="0B4A44C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550" w:type="dxa"/>
            <w:shd w:val="clear" w:color="auto" w:fill="D9D9D9"/>
          </w:tcPr>
          <w:p w14:paraId="3B3DC702" w14:textId="0C3FE22A"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14:00-17:30</w:t>
            </w:r>
          </w:p>
        </w:tc>
        <w:tc>
          <w:tcPr>
            <w:tcW w:w="1374" w:type="dxa"/>
            <w:shd w:val="clear" w:color="auto" w:fill="D9D9D9"/>
          </w:tcPr>
          <w:p w14:paraId="4C08787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14:00-17:30</w:t>
            </w:r>
          </w:p>
        </w:tc>
        <w:tc>
          <w:tcPr>
            <w:tcW w:w="1205" w:type="dxa"/>
            <w:shd w:val="clear" w:color="auto" w:fill="D9D9D9"/>
          </w:tcPr>
          <w:p w14:paraId="7C020D7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09:00-17:30</w:t>
            </w:r>
          </w:p>
        </w:tc>
        <w:tc>
          <w:tcPr>
            <w:tcW w:w="1244" w:type="dxa"/>
            <w:shd w:val="clear" w:color="auto" w:fill="D9D9D9"/>
          </w:tcPr>
          <w:p w14:paraId="75CAD2A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shd w:val="clear" w:color="auto" w:fill="D9D9D9"/>
          </w:tcPr>
          <w:p w14:paraId="01008E2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0C6666FA" w14:textId="77777777" w:rsidTr="00B84D31">
        <w:tc>
          <w:tcPr>
            <w:tcW w:w="1270" w:type="dxa"/>
            <w:vMerge/>
          </w:tcPr>
          <w:p w14:paraId="692AE965" w14:textId="77777777" w:rsidR="003C1CBF" w:rsidRPr="003C1CBF" w:rsidRDefault="003C1CBF" w:rsidP="003C1CBF">
            <w:pPr>
              <w:rPr>
                <w:rFonts w:eastAsia="MS Mincho" w:cs="Arial"/>
                <w:kern w:val="0"/>
                <w:lang w:val="en-US"/>
                <w14:ligatures w14:val="none"/>
              </w:rPr>
            </w:pPr>
          </w:p>
        </w:tc>
        <w:tc>
          <w:tcPr>
            <w:tcW w:w="1551" w:type="dxa"/>
            <w:vMerge/>
          </w:tcPr>
          <w:p w14:paraId="2E48C336" w14:textId="77777777" w:rsidR="003C1CBF" w:rsidRPr="003C1CBF" w:rsidRDefault="003C1CBF" w:rsidP="003C1CBF">
            <w:pPr>
              <w:rPr>
                <w:rFonts w:eastAsia="MS Mincho" w:cs="Arial"/>
                <w:kern w:val="0"/>
                <w:lang w:val="en-US"/>
                <w14:ligatures w14:val="none"/>
              </w:rPr>
            </w:pPr>
          </w:p>
        </w:tc>
        <w:tc>
          <w:tcPr>
            <w:tcW w:w="1197" w:type="dxa"/>
          </w:tcPr>
          <w:p w14:paraId="3875C5F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1939267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tcPr>
          <w:p w14:paraId="4084AB5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550" w:type="dxa"/>
          </w:tcPr>
          <w:p w14:paraId="3CAE3732" w14:textId="26B7ADA3"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14:00-18:00</w:t>
            </w:r>
          </w:p>
        </w:tc>
        <w:tc>
          <w:tcPr>
            <w:tcW w:w="1374" w:type="dxa"/>
          </w:tcPr>
          <w:p w14:paraId="0288460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 / 14:00-18:00</w:t>
            </w:r>
          </w:p>
        </w:tc>
        <w:tc>
          <w:tcPr>
            <w:tcW w:w="1205" w:type="dxa"/>
          </w:tcPr>
          <w:p w14:paraId="40F3D569"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654EE69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09:00-12:00</w:t>
            </w:r>
          </w:p>
        </w:tc>
        <w:tc>
          <w:tcPr>
            <w:tcW w:w="1378" w:type="dxa"/>
          </w:tcPr>
          <w:p w14:paraId="1EF0868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0D9A1D06" w14:textId="77777777" w:rsidTr="00B84D31">
        <w:tc>
          <w:tcPr>
            <w:tcW w:w="1270" w:type="dxa"/>
            <w:vMerge w:val="restart"/>
          </w:tcPr>
          <w:p w14:paraId="4F894E8D" w14:textId="77777777" w:rsidR="003C1CBF" w:rsidRPr="003C1CBF" w:rsidRDefault="003C1CBF" w:rsidP="003C1CBF">
            <w:pPr>
              <w:rPr>
                <w:rFonts w:eastAsia="MS Mincho" w:cs="Arial"/>
                <w:kern w:val="0"/>
                <w:lang w:val="en-US"/>
                <w14:ligatures w14:val="none"/>
              </w:rPr>
            </w:pPr>
          </w:p>
          <w:p w14:paraId="619746DF" w14:textId="77777777" w:rsidR="003C1CBF" w:rsidRPr="003C1CBF" w:rsidRDefault="003C1CBF" w:rsidP="003C1CBF">
            <w:pPr>
              <w:rPr>
                <w:rFonts w:eastAsia="MS Mincho" w:cs="Arial"/>
                <w:kern w:val="0"/>
                <w:lang w:val="en-US"/>
                <w14:ligatures w14:val="none"/>
              </w:rPr>
            </w:pPr>
          </w:p>
          <w:p w14:paraId="0386B614" w14:textId="77777777" w:rsidR="003C1CBF" w:rsidRPr="003C1CBF" w:rsidRDefault="003C1CBF" w:rsidP="003C1CBF">
            <w:pPr>
              <w:rPr>
                <w:rFonts w:eastAsia="MS Mincho" w:cs="Arial"/>
                <w:kern w:val="0"/>
                <w:lang w:val="en-US"/>
                <w14:ligatures w14:val="none"/>
              </w:rPr>
            </w:pPr>
          </w:p>
          <w:p w14:paraId="6203C14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Upper Valleys</w:t>
            </w:r>
          </w:p>
        </w:tc>
        <w:tc>
          <w:tcPr>
            <w:tcW w:w="1551" w:type="dxa"/>
            <w:vMerge w:val="restart"/>
          </w:tcPr>
          <w:p w14:paraId="451BB556" w14:textId="77777777" w:rsidR="003C1CBF" w:rsidRPr="003C1CBF" w:rsidRDefault="003C1CBF" w:rsidP="003C1CBF">
            <w:pPr>
              <w:rPr>
                <w:rFonts w:eastAsia="MS Mincho" w:cs="Arial"/>
                <w:kern w:val="0"/>
                <w:lang w:val="en-US"/>
                <w14:ligatures w14:val="none"/>
              </w:rPr>
            </w:pPr>
          </w:p>
          <w:p w14:paraId="53088293" w14:textId="77777777" w:rsidR="003C1CBF" w:rsidRPr="003C1CBF" w:rsidRDefault="003C1CBF" w:rsidP="003C1CBF">
            <w:pPr>
              <w:rPr>
                <w:rFonts w:eastAsia="MS Mincho" w:cs="Arial"/>
                <w:kern w:val="0"/>
                <w:lang w:val="en-US"/>
                <w14:ligatures w14:val="none"/>
              </w:rPr>
            </w:pPr>
          </w:p>
          <w:p w14:paraId="0886358B"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Well Pharmacy, Pontardawe</w:t>
            </w:r>
          </w:p>
        </w:tc>
        <w:tc>
          <w:tcPr>
            <w:tcW w:w="1197" w:type="dxa"/>
            <w:shd w:val="clear" w:color="auto" w:fill="D9D9D9"/>
          </w:tcPr>
          <w:p w14:paraId="1FC0DDC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Core</w:t>
            </w:r>
          </w:p>
        </w:tc>
        <w:tc>
          <w:tcPr>
            <w:tcW w:w="1204" w:type="dxa"/>
            <w:shd w:val="clear" w:color="auto" w:fill="D9D9D9"/>
          </w:tcPr>
          <w:p w14:paraId="4509E62D"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27D02AFC"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550" w:type="dxa"/>
            <w:shd w:val="clear" w:color="auto" w:fill="D9D9D9"/>
          </w:tcPr>
          <w:p w14:paraId="780DC8D4"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374" w:type="dxa"/>
            <w:shd w:val="clear" w:color="auto" w:fill="D9D9D9"/>
          </w:tcPr>
          <w:p w14:paraId="43DE7190"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05" w:type="dxa"/>
            <w:shd w:val="clear" w:color="auto" w:fill="D9D9D9"/>
          </w:tcPr>
          <w:p w14:paraId="47B7879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09:00-17:00</w:t>
            </w:r>
          </w:p>
        </w:tc>
        <w:tc>
          <w:tcPr>
            <w:tcW w:w="1244" w:type="dxa"/>
            <w:shd w:val="clear" w:color="auto" w:fill="D9D9D9"/>
          </w:tcPr>
          <w:p w14:paraId="66D9835F" w14:textId="77777777" w:rsidR="003C1CBF" w:rsidRPr="003C1CBF" w:rsidRDefault="003C1CBF" w:rsidP="003C1CBF">
            <w:pPr>
              <w:rPr>
                <w:rFonts w:eastAsia="MS Mincho" w:cs="Arial"/>
                <w:kern w:val="0"/>
                <w:lang w:val="en-US"/>
                <w14:ligatures w14:val="none"/>
              </w:rPr>
            </w:pPr>
          </w:p>
        </w:tc>
        <w:tc>
          <w:tcPr>
            <w:tcW w:w="1378" w:type="dxa"/>
            <w:shd w:val="clear" w:color="auto" w:fill="D9D9D9"/>
          </w:tcPr>
          <w:p w14:paraId="4191B358"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r w:rsidR="003C1CBF" w:rsidRPr="003C1CBF" w14:paraId="0FF334FD" w14:textId="77777777" w:rsidTr="00B84D31">
        <w:tc>
          <w:tcPr>
            <w:tcW w:w="1270" w:type="dxa"/>
            <w:vMerge/>
          </w:tcPr>
          <w:p w14:paraId="6C5831CA" w14:textId="77777777" w:rsidR="003C1CBF" w:rsidRPr="003C1CBF" w:rsidRDefault="003C1CBF" w:rsidP="003C1CBF">
            <w:pPr>
              <w:rPr>
                <w:rFonts w:eastAsia="MS Mincho" w:cs="Arial"/>
                <w:kern w:val="0"/>
                <w:lang w:val="en-US"/>
                <w14:ligatures w14:val="none"/>
              </w:rPr>
            </w:pPr>
          </w:p>
        </w:tc>
        <w:tc>
          <w:tcPr>
            <w:tcW w:w="1551" w:type="dxa"/>
            <w:vMerge/>
          </w:tcPr>
          <w:p w14:paraId="0E7AFE95" w14:textId="77777777" w:rsidR="003C1CBF" w:rsidRPr="003C1CBF" w:rsidRDefault="003C1CBF" w:rsidP="003C1CBF">
            <w:pPr>
              <w:rPr>
                <w:rFonts w:eastAsia="MS Mincho" w:cs="Arial"/>
                <w:kern w:val="0"/>
                <w:lang w:val="en-US"/>
                <w14:ligatures w14:val="none"/>
              </w:rPr>
            </w:pPr>
          </w:p>
        </w:tc>
        <w:tc>
          <w:tcPr>
            <w:tcW w:w="1197" w:type="dxa"/>
          </w:tcPr>
          <w:p w14:paraId="1F8558B2"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Total</w:t>
            </w:r>
          </w:p>
        </w:tc>
        <w:tc>
          <w:tcPr>
            <w:tcW w:w="1204" w:type="dxa"/>
          </w:tcPr>
          <w:p w14:paraId="59A871D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2E242265"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550" w:type="dxa"/>
          </w:tcPr>
          <w:p w14:paraId="3B4835A3"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374" w:type="dxa"/>
          </w:tcPr>
          <w:p w14:paraId="5C3E89DA"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05" w:type="dxa"/>
          </w:tcPr>
          <w:p w14:paraId="663B4FA7"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09:00-18:00</w:t>
            </w:r>
          </w:p>
        </w:tc>
        <w:tc>
          <w:tcPr>
            <w:tcW w:w="1244" w:type="dxa"/>
          </w:tcPr>
          <w:p w14:paraId="0C6BA33F"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09:00-13:00</w:t>
            </w:r>
          </w:p>
        </w:tc>
        <w:tc>
          <w:tcPr>
            <w:tcW w:w="1378" w:type="dxa"/>
          </w:tcPr>
          <w:p w14:paraId="186258BE" w14:textId="77777777" w:rsidR="003C1CBF" w:rsidRPr="003C1CBF" w:rsidRDefault="003C1CBF" w:rsidP="003C1CBF">
            <w:pPr>
              <w:rPr>
                <w:rFonts w:eastAsia="MS Mincho" w:cs="Arial"/>
                <w:kern w:val="0"/>
                <w:lang w:val="en-US"/>
                <w14:ligatures w14:val="none"/>
              </w:rPr>
            </w:pPr>
            <w:r w:rsidRPr="003C1CBF">
              <w:rPr>
                <w:rFonts w:eastAsia="MS Mincho" w:cs="Arial"/>
                <w:kern w:val="0"/>
                <w:lang w:val="en-US"/>
                <w14:ligatures w14:val="none"/>
              </w:rPr>
              <w:t>Closed</w:t>
            </w:r>
          </w:p>
        </w:tc>
      </w:tr>
    </w:tbl>
    <w:p w14:paraId="17195D87" w14:textId="63E4759E" w:rsidR="009142AA" w:rsidRPr="009142AA" w:rsidRDefault="009142AA" w:rsidP="009142AA">
      <w:pPr>
        <w:rPr>
          <w:rFonts w:cs="Arial"/>
        </w:rPr>
      </w:pPr>
    </w:p>
    <w:sectPr w:rsidR="009142AA" w:rsidRPr="009142AA" w:rsidSect="00924C9C">
      <w:type w:val="continuous"/>
      <w:pgSz w:w="16838" w:h="11906" w:orient="landscape"/>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959BF1" w14:textId="77777777" w:rsidR="00247A6E" w:rsidRDefault="00247A6E" w:rsidP="00824B25">
      <w:r>
        <w:separator/>
      </w:r>
    </w:p>
  </w:endnote>
  <w:endnote w:type="continuationSeparator" w:id="0">
    <w:p w14:paraId="0C30ED26" w14:textId="77777777" w:rsidR="00247A6E" w:rsidRDefault="00247A6E" w:rsidP="00824B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18878154"/>
      <w:docPartObj>
        <w:docPartGallery w:val="Page Numbers (Bottom of Page)"/>
        <w:docPartUnique/>
      </w:docPartObj>
    </w:sdtPr>
    <w:sdtContent>
      <w:p w14:paraId="61BDEFCD" w14:textId="3F81E24E" w:rsidR="00824B25" w:rsidRDefault="00824B25">
        <w:pPr>
          <w:pStyle w:val="Footer"/>
          <w:jc w:val="right"/>
        </w:pPr>
        <w:r>
          <w:fldChar w:fldCharType="begin"/>
        </w:r>
        <w:r>
          <w:instrText>PAGE   \* MERGEFORMAT</w:instrText>
        </w:r>
        <w:r>
          <w:fldChar w:fldCharType="separate"/>
        </w:r>
        <w:r>
          <w:t>2</w:t>
        </w:r>
        <w:r>
          <w:fldChar w:fldCharType="end"/>
        </w:r>
      </w:p>
    </w:sdtContent>
  </w:sdt>
  <w:p w14:paraId="3A8217FE" w14:textId="77777777" w:rsidR="00824B25" w:rsidRDefault="00824B2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C7A372" w14:textId="77777777" w:rsidR="00247A6E" w:rsidRDefault="00247A6E" w:rsidP="00824B25">
      <w:r>
        <w:separator/>
      </w:r>
    </w:p>
  </w:footnote>
  <w:footnote w:type="continuationSeparator" w:id="0">
    <w:p w14:paraId="205E761E" w14:textId="77777777" w:rsidR="00247A6E" w:rsidRDefault="00247A6E" w:rsidP="00824B25">
      <w:r>
        <w:continuationSeparator/>
      </w:r>
    </w:p>
  </w:footnote>
  <w:footnote w:id="1">
    <w:p w14:paraId="2CCAEBB4" w14:textId="77777777" w:rsidR="00460384" w:rsidRPr="00ED77F9" w:rsidRDefault="00460384" w:rsidP="006C6C38">
      <w:pPr>
        <w:pStyle w:val="Myfootnote"/>
      </w:pPr>
      <w:r w:rsidRPr="00ED77F9">
        <w:rPr>
          <w:rStyle w:val="FootnoteReference"/>
          <w:sz w:val="20"/>
        </w:rPr>
        <w:footnoteRef/>
      </w:r>
      <w:r w:rsidRPr="00ED77F9">
        <w:t xml:space="preserve"> </w:t>
      </w:r>
      <w:r w:rsidRPr="00ED77F9">
        <w:rPr>
          <w:rStyle w:val="Hyperlink1"/>
          <w:color w:val="auto"/>
          <w:u w:val="none"/>
        </w:rPr>
        <w:t>Office of National Statistics -</w:t>
      </w:r>
      <w:r w:rsidRPr="00ED77F9">
        <w:rPr>
          <w:rStyle w:val="Hyperlink1"/>
          <w:color w:val="auto"/>
        </w:rPr>
        <w:t xml:space="preserve"> </w:t>
      </w:r>
      <w:hyperlink r:id="rId1" w:history="1">
        <w:r w:rsidRPr="00ED77F9">
          <w:rPr>
            <w:rStyle w:val="Hyperlink1"/>
          </w:rPr>
          <w:t>How the population changed in Swansea: Census 2021</w:t>
        </w:r>
      </w:hyperlink>
    </w:p>
  </w:footnote>
  <w:footnote w:id="2">
    <w:p w14:paraId="7FC11288" w14:textId="77777777" w:rsidR="00460384" w:rsidRPr="00ED77F9" w:rsidRDefault="00460384" w:rsidP="00460384">
      <w:pPr>
        <w:pStyle w:val="PNAfootnote"/>
        <w:rPr>
          <w:szCs w:val="20"/>
        </w:rPr>
      </w:pPr>
      <w:r w:rsidRPr="00ED77F9">
        <w:rPr>
          <w:rStyle w:val="FootnoteReference"/>
          <w:sz w:val="20"/>
          <w:szCs w:val="20"/>
        </w:rPr>
        <w:footnoteRef/>
      </w:r>
      <w:r w:rsidRPr="00ED77F9">
        <w:rPr>
          <w:szCs w:val="20"/>
        </w:rPr>
        <w:t xml:space="preserve"> Swansea Council - </w:t>
      </w:r>
      <w:hyperlink r:id="rId2" w:anchor=":~:text=Agriculture:%20Around%2020%2C900%20hectares%20of,24" w:history="1">
        <w:r w:rsidRPr="00ED77F9">
          <w:rPr>
            <w:rStyle w:val="Hyperlink"/>
            <w:color w:val="0000FF"/>
            <w:szCs w:val="20"/>
          </w:rPr>
          <w:t>Key facts Swansea</w:t>
        </w:r>
      </w:hyperlink>
      <w:r w:rsidRPr="00ED77F9">
        <w:rPr>
          <w:color w:val="0000FF"/>
          <w:szCs w:val="20"/>
          <w:u w:val="single"/>
        </w:rPr>
        <w:t xml:space="preserve"> (February 2026)</w:t>
      </w:r>
    </w:p>
  </w:footnote>
  <w:footnote w:id="3">
    <w:p w14:paraId="2CF0E9D0" w14:textId="77777777" w:rsidR="00460384" w:rsidRPr="00ED77F9" w:rsidRDefault="00460384" w:rsidP="00460384">
      <w:pPr>
        <w:pStyle w:val="PNAfootnote"/>
        <w:rPr>
          <w:szCs w:val="20"/>
        </w:rPr>
      </w:pPr>
      <w:r w:rsidRPr="00ED77F9">
        <w:rPr>
          <w:rStyle w:val="FootnoteReference"/>
          <w:sz w:val="20"/>
          <w:szCs w:val="20"/>
        </w:rPr>
        <w:footnoteRef/>
      </w:r>
      <w:r w:rsidRPr="00ED77F9">
        <w:rPr>
          <w:szCs w:val="20"/>
        </w:rPr>
        <w:t xml:space="preserve"> Swansea Council - </w:t>
      </w:r>
      <w:hyperlink r:id="rId3" w:history="1">
        <w:r w:rsidRPr="00ED77F9">
          <w:rPr>
            <w:rStyle w:val="Hyperlink"/>
            <w:color w:val="0000FF"/>
            <w:szCs w:val="20"/>
          </w:rPr>
          <w:t>Conservation areas Swansea</w:t>
        </w:r>
      </w:hyperlink>
      <w:r w:rsidRPr="00ED77F9">
        <w:rPr>
          <w:szCs w:val="20"/>
        </w:rPr>
        <w:t xml:space="preserve"> (February 2025)</w:t>
      </w:r>
    </w:p>
  </w:footnote>
  <w:footnote w:id="4">
    <w:p w14:paraId="31469486" w14:textId="77777777" w:rsidR="00460384" w:rsidRPr="00ED77F9" w:rsidRDefault="00460384" w:rsidP="00460384">
      <w:pPr>
        <w:pStyle w:val="PNAfootnote"/>
        <w:rPr>
          <w:szCs w:val="20"/>
        </w:rPr>
      </w:pPr>
      <w:r w:rsidRPr="00ED77F9">
        <w:rPr>
          <w:rStyle w:val="FootnoteReference"/>
          <w:sz w:val="20"/>
          <w:szCs w:val="20"/>
        </w:rPr>
        <w:footnoteRef/>
      </w:r>
      <w:r w:rsidRPr="00ED77F9">
        <w:rPr>
          <w:szCs w:val="20"/>
        </w:rPr>
        <w:t xml:space="preserve"> Swansea Council - </w:t>
      </w:r>
      <w:hyperlink r:id="rId4" w:history="1">
        <w:r w:rsidRPr="00ED77F9">
          <w:rPr>
            <w:rStyle w:val="Hyperlink"/>
            <w:color w:val="0000FF"/>
            <w:szCs w:val="20"/>
          </w:rPr>
          <w:t>Ancient monuments Swansea</w:t>
        </w:r>
      </w:hyperlink>
      <w:r w:rsidRPr="00ED77F9">
        <w:rPr>
          <w:szCs w:val="20"/>
        </w:rPr>
        <w:t xml:space="preserve"> (February 2023)</w:t>
      </w:r>
    </w:p>
  </w:footnote>
  <w:footnote w:id="5">
    <w:p w14:paraId="7BBCA8DA" w14:textId="77777777" w:rsidR="00460384" w:rsidRPr="00ED77F9" w:rsidRDefault="00460384" w:rsidP="00460384">
      <w:pPr>
        <w:pStyle w:val="PNAfootnote"/>
        <w:rPr>
          <w:szCs w:val="20"/>
        </w:rPr>
      </w:pPr>
      <w:r w:rsidRPr="00ED77F9">
        <w:rPr>
          <w:rStyle w:val="FootnoteReference"/>
          <w:sz w:val="20"/>
          <w:szCs w:val="20"/>
        </w:rPr>
        <w:footnoteRef/>
      </w:r>
      <w:r w:rsidRPr="00ED77F9">
        <w:rPr>
          <w:szCs w:val="20"/>
        </w:rPr>
        <w:t xml:space="preserve"> Swansea Council - </w:t>
      </w:r>
      <w:hyperlink r:id="rId5" w:history="1">
        <w:r w:rsidRPr="00ED77F9">
          <w:rPr>
            <w:rStyle w:val="Hyperlink"/>
            <w:color w:val="0000FF"/>
            <w:szCs w:val="20"/>
          </w:rPr>
          <w:t>Listed buildings Swansea</w:t>
        </w:r>
      </w:hyperlink>
      <w:r w:rsidRPr="00ED77F9">
        <w:rPr>
          <w:szCs w:val="20"/>
        </w:rPr>
        <w:t xml:space="preserve"> (February 2023) </w:t>
      </w:r>
    </w:p>
  </w:footnote>
  <w:footnote w:id="6">
    <w:p w14:paraId="0FA69AAD" w14:textId="77777777" w:rsidR="00460384" w:rsidRPr="00ED77F9" w:rsidRDefault="00460384" w:rsidP="00460384">
      <w:pPr>
        <w:pStyle w:val="PNAfootnote"/>
        <w:rPr>
          <w:color w:val="0000FF"/>
          <w:szCs w:val="20"/>
          <w:u w:val="single"/>
        </w:rPr>
      </w:pPr>
      <w:r w:rsidRPr="00ED77F9">
        <w:rPr>
          <w:rStyle w:val="FootnoteReference"/>
          <w:sz w:val="20"/>
          <w:szCs w:val="20"/>
        </w:rPr>
        <w:footnoteRef/>
      </w:r>
      <w:r w:rsidRPr="00ED77F9">
        <w:rPr>
          <w:szCs w:val="20"/>
        </w:rPr>
        <w:t xml:space="preserve"> Swansea University - </w:t>
      </w:r>
      <w:hyperlink r:id="rId6" w:history="1">
        <w:r w:rsidRPr="00ED77F9">
          <w:rPr>
            <w:rStyle w:val="Hyperlink"/>
            <w:color w:val="0000FF"/>
            <w:szCs w:val="20"/>
          </w:rPr>
          <w:t>Swansea University</w:t>
        </w:r>
      </w:hyperlink>
      <w:r w:rsidRPr="00ED77F9">
        <w:rPr>
          <w:color w:val="0000FF"/>
          <w:szCs w:val="20"/>
          <w:u w:val="single"/>
        </w:rPr>
        <w:t xml:space="preserve"> </w:t>
      </w:r>
    </w:p>
  </w:footnote>
  <w:footnote w:id="7">
    <w:p w14:paraId="05888C7C" w14:textId="77777777" w:rsidR="00460384" w:rsidRPr="00ED77F9" w:rsidRDefault="00460384" w:rsidP="00460384">
      <w:pPr>
        <w:pStyle w:val="PNAfootnote"/>
        <w:rPr>
          <w:szCs w:val="20"/>
        </w:rPr>
      </w:pPr>
      <w:r w:rsidRPr="00ED77F9">
        <w:rPr>
          <w:rStyle w:val="FootnoteReference"/>
          <w:sz w:val="20"/>
          <w:szCs w:val="20"/>
        </w:rPr>
        <w:footnoteRef/>
      </w:r>
      <w:r w:rsidRPr="00ED77F9">
        <w:rPr>
          <w:szCs w:val="20"/>
        </w:rPr>
        <w:t xml:space="preserve"> </w:t>
      </w:r>
      <w:r w:rsidRPr="00ED77F9">
        <w:rPr>
          <w:rStyle w:val="Hyperlink1"/>
          <w:color w:val="auto"/>
          <w:szCs w:val="20"/>
          <w:u w:val="none"/>
        </w:rPr>
        <w:t>University of Wales Trinity Saint David -</w:t>
      </w:r>
      <w:r w:rsidRPr="00ED77F9">
        <w:rPr>
          <w:rStyle w:val="Hyperlink1"/>
          <w:color w:val="auto"/>
          <w:szCs w:val="20"/>
        </w:rPr>
        <w:t xml:space="preserve"> </w:t>
      </w:r>
      <w:hyperlink r:id="rId7" w:history="1">
        <w:r w:rsidRPr="00ED77F9">
          <w:rPr>
            <w:rStyle w:val="Hyperlink1"/>
            <w:szCs w:val="20"/>
          </w:rPr>
          <w:t>The University of Wales Trinity Saint David</w:t>
        </w:r>
      </w:hyperlink>
    </w:p>
  </w:footnote>
  <w:footnote w:id="8">
    <w:p w14:paraId="628215E9" w14:textId="77777777" w:rsidR="00460384" w:rsidRPr="00ED77F9" w:rsidRDefault="00460384" w:rsidP="00460384">
      <w:pPr>
        <w:pStyle w:val="PNAfootnote"/>
        <w:rPr>
          <w:szCs w:val="20"/>
        </w:rPr>
      </w:pPr>
      <w:r w:rsidRPr="00ED77F9">
        <w:rPr>
          <w:rStyle w:val="FootnoteReference"/>
          <w:sz w:val="20"/>
          <w:szCs w:val="20"/>
        </w:rPr>
        <w:footnoteRef/>
      </w:r>
      <w:r w:rsidRPr="00ED77F9">
        <w:rPr>
          <w:szCs w:val="20"/>
        </w:rPr>
        <w:t xml:space="preserve"> Gower College Swansea - </w:t>
      </w:r>
      <w:hyperlink r:id="rId8" w:history="1">
        <w:r w:rsidRPr="00ED77F9">
          <w:rPr>
            <w:rStyle w:val="Hyperlink"/>
            <w:color w:val="0000FF"/>
            <w:szCs w:val="20"/>
          </w:rPr>
          <w:t>Gower College Swansea</w:t>
        </w:r>
      </w:hyperlink>
      <w:r w:rsidRPr="00ED77F9">
        <w:rPr>
          <w:color w:val="0000FF"/>
          <w:szCs w:val="20"/>
          <w:u w:val="single"/>
        </w:rPr>
        <w:t xml:space="preserve"> </w:t>
      </w:r>
    </w:p>
  </w:footnote>
  <w:footnote w:id="9">
    <w:p w14:paraId="338F7392" w14:textId="77777777" w:rsidR="00460384" w:rsidRPr="00ED77F9" w:rsidRDefault="00460384" w:rsidP="00460384">
      <w:pPr>
        <w:pStyle w:val="PNAfootnote"/>
        <w:rPr>
          <w:szCs w:val="20"/>
        </w:rPr>
      </w:pPr>
      <w:r w:rsidRPr="00ED77F9">
        <w:rPr>
          <w:rStyle w:val="FootnoteReference"/>
          <w:sz w:val="20"/>
          <w:szCs w:val="20"/>
        </w:rPr>
        <w:footnoteRef/>
      </w:r>
      <w:r w:rsidRPr="00ED77F9">
        <w:rPr>
          <w:szCs w:val="20"/>
        </w:rPr>
        <w:t xml:space="preserve"> Swansea Council - </w:t>
      </w:r>
      <w:hyperlink r:id="rId9" w:history="1">
        <w:r w:rsidRPr="00ED77F9">
          <w:rPr>
            <w:rStyle w:val="Hyperlink"/>
            <w:color w:val="0000FF"/>
            <w:szCs w:val="20"/>
          </w:rPr>
          <w:t>Statistics on students in Swansea</w:t>
        </w:r>
      </w:hyperlink>
    </w:p>
  </w:footnote>
  <w:footnote w:id="10">
    <w:p w14:paraId="21517F68" w14:textId="77777777" w:rsidR="00460384" w:rsidRPr="00ED77F9" w:rsidRDefault="00460384" w:rsidP="00460384">
      <w:pPr>
        <w:pStyle w:val="PNAfootnote"/>
        <w:rPr>
          <w:szCs w:val="20"/>
        </w:rPr>
      </w:pPr>
      <w:r w:rsidRPr="00ED77F9">
        <w:rPr>
          <w:rStyle w:val="FootnoteReference"/>
          <w:sz w:val="20"/>
          <w:szCs w:val="20"/>
        </w:rPr>
        <w:footnoteRef/>
      </w:r>
      <w:r w:rsidRPr="00ED77F9">
        <w:rPr>
          <w:szCs w:val="20"/>
        </w:rPr>
        <w:t xml:space="preserve"> </w:t>
      </w:r>
      <w:r w:rsidRPr="00ED77F9">
        <w:rPr>
          <w:rStyle w:val="Hyperlink1"/>
          <w:color w:val="auto"/>
          <w:szCs w:val="20"/>
          <w:u w:val="none"/>
        </w:rPr>
        <w:t>Swansea Council -</w:t>
      </w:r>
      <w:r w:rsidRPr="00ED77F9">
        <w:t xml:space="preserve"> </w:t>
      </w:r>
      <w:hyperlink r:id="rId10" w:history="1">
        <w:r w:rsidRPr="00ED77F9">
          <w:rPr>
            <w:rStyle w:val="Hyperlink1"/>
            <w:szCs w:val="20"/>
          </w:rPr>
          <w:t xml:space="preserve">Swansea Destination management plan 2023-2026 </w:t>
        </w:r>
      </w:hyperlink>
    </w:p>
  </w:footnote>
  <w:footnote w:id="11">
    <w:p w14:paraId="4E918AAD" w14:textId="77777777" w:rsidR="00460384" w:rsidRDefault="00460384" w:rsidP="00460384">
      <w:pPr>
        <w:pStyle w:val="PNAfootnote"/>
      </w:pPr>
      <w:r w:rsidRPr="00ED77F9">
        <w:rPr>
          <w:rStyle w:val="FootnoteReference"/>
          <w:sz w:val="20"/>
          <w:szCs w:val="20"/>
        </w:rPr>
        <w:footnoteRef/>
      </w:r>
      <w:r w:rsidRPr="00ED77F9">
        <w:rPr>
          <w:szCs w:val="20"/>
        </w:rPr>
        <w:t xml:space="preserve"> Swansea Council - </w:t>
      </w:r>
      <w:hyperlink r:id="rId11" w:anchor=":~:text=Agriculture:%20Around%2020%2C900%20hectares%20of,24" w:history="1">
        <w:r w:rsidRPr="00ED77F9">
          <w:rPr>
            <w:rStyle w:val="Hyperlink"/>
            <w:color w:val="0000FF"/>
            <w:szCs w:val="20"/>
          </w:rPr>
          <w:t>Key facts Swansea</w:t>
        </w:r>
      </w:hyperlink>
      <w:r w:rsidRPr="00ED77F9">
        <w:rPr>
          <w:color w:val="0000FF"/>
          <w:szCs w:val="20"/>
          <w:u w:val="single"/>
        </w:rPr>
        <w:t xml:space="preserve"> (February 2026)</w:t>
      </w:r>
    </w:p>
  </w:footnote>
  <w:footnote w:id="12">
    <w:p w14:paraId="4081FD24" w14:textId="77777777" w:rsidR="00460384" w:rsidRPr="00977D0F" w:rsidRDefault="00460384" w:rsidP="00977D0F">
      <w:pPr>
        <w:pStyle w:val="Footnote"/>
      </w:pPr>
      <w:r w:rsidRPr="00977D0F">
        <w:rPr>
          <w:rStyle w:val="FootnoteReference"/>
          <w:sz w:val="20"/>
        </w:rPr>
        <w:footnoteRef/>
      </w:r>
      <w:r w:rsidRPr="00977D0F">
        <w:t xml:space="preserve"> </w:t>
      </w:r>
      <w:r w:rsidRPr="00977D0F">
        <w:rPr>
          <w:rStyle w:val="Hyperlink1"/>
          <w:color w:val="auto"/>
          <w:u w:val="none"/>
        </w:rPr>
        <w:t>Swansea Council -</w:t>
      </w:r>
      <w:r w:rsidRPr="00977D0F">
        <w:rPr>
          <w:rStyle w:val="Hyperlink1"/>
          <w:color w:val="auto"/>
        </w:rPr>
        <w:t xml:space="preserve"> </w:t>
      </w:r>
      <w:hyperlink r:id="rId12" w:history="1">
        <w:r w:rsidRPr="00977D0F">
          <w:rPr>
            <w:rStyle w:val="Hyperlink1"/>
          </w:rPr>
          <w:t>Swansea Economic Profile - Business Activity (February 2026)</w:t>
        </w:r>
      </w:hyperlink>
    </w:p>
  </w:footnote>
  <w:footnote w:id="13">
    <w:p w14:paraId="55D9364D" w14:textId="77777777" w:rsidR="00460384" w:rsidRPr="00977D0F" w:rsidRDefault="00460384" w:rsidP="00977D0F">
      <w:pPr>
        <w:pStyle w:val="Footnote"/>
      </w:pPr>
      <w:r w:rsidRPr="00977D0F">
        <w:rPr>
          <w:rStyle w:val="FootnoteReference"/>
          <w:sz w:val="20"/>
        </w:rPr>
        <w:footnoteRef/>
      </w:r>
      <w:r w:rsidRPr="00977D0F">
        <w:t xml:space="preserve"> Office of National Statistics - How life has changed in Neath Port Talbot: Census 2021</w:t>
      </w:r>
    </w:p>
  </w:footnote>
  <w:footnote w:id="14">
    <w:p w14:paraId="09051B37" w14:textId="77777777" w:rsidR="00460384" w:rsidRPr="00977D0F" w:rsidRDefault="00460384" w:rsidP="00977D0F">
      <w:pPr>
        <w:pStyle w:val="Footnote"/>
      </w:pPr>
      <w:r w:rsidRPr="00977D0F">
        <w:rPr>
          <w:rStyle w:val="FootnoteReference"/>
          <w:sz w:val="20"/>
        </w:rPr>
        <w:footnoteRef/>
      </w:r>
      <w:r w:rsidRPr="00977D0F">
        <w:t xml:space="preserve"> </w:t>
      </w:r>
      <w:r w:rsidRPr="00977D0F">
        <w:rPr>
          <w:rStyle w:val="Hyperlink1"/>
          <w:color w:val="auto"/>
          <w:u w:val="none"/>
        </w:rPr>
        <w:t>Neath Port Talbot County Borough Council -</w:t>
      </w:r>
      <w:r w:rsidRPr="00977D0F">
        <w:rPr>
          <w:rStyle w:val="Hyperlink1"/>
          <w:color w:val="auto"/>
        </w:rPr>
        <w:t xml:space="preserve"> </w:t>
      </w:r>
      <w:hyperlink r:id="rId13" w:history="1">
        <w:r w:rsidRPr="00977D0F">
          <w:rPr>
            <w:rStyle w:val="Hyperlink"/>
            <w:rFonts w:cs="Arial"/>
            <w:color w:val="0000FF"/>
          </w:rPr>
          <w:t>Local development plan 2011-2026 landscape and seascape, supplementary planning guidance (May 2018)</w:t>
        </w:r>
      </w:hyperlink>
    </w:p>
  </w:footnote>
  <w:footnote w:id="15">
    <w:p w14:paraId="23F1CE65" w14:textId="77777777" w:rsidR="00460384" w:rsidRPr="00977D0F" w:rsidRDefault="00460384" w:rsidP="00977D0F">
      <w:pPr>
        <w:pStyle w:val="Footnote"/>
      </w:pPr>
      <w:r w:rsidRPr="00977D0F">
        <w:rPr>
          <w:rStyle w:val="FootnoteReference"/>
          <w:sz w:val="20"/>
        </w:rPr>
        <w:footnoteRef/>
      </w:r>
      <w:r w:rsidRPr="00977D0F">
        <w:t xml:space="preserve"> </w:t>
      </w:r>
      <w:r w:rsidRPr="00977D0F">
        <w:rPr>
          <w:rStyle w:val="Hyperlink1"/>
          <w:color w:val="auto"/>
          <w:u w:val="none"/>
        </w:rPr>
        <w:t xml:space="preserve">Neath Port Talbot County Borough Council - </w:t>
      </w:r>
      <w:hyperlink r:id="rId14" w:history="1">
        <w:r w:rsidRPr="00977D0F">
          <w:rPr>
            <w:rStyle w:val="Hyperlink1"/>
          </w:rPr>
          <w:t>Flood risk management plan 2015</w:t>
        </w:r>
      </w:hyperlink>
    </w:p>
  </w:footnote>
  <w:footnote w:id="16">
    <w:p w14:paraId="0E87C220" w14:textId="77777777" w:rsidR="00460384" w:rsidRPr="00977D0F" w:rsidRDefault="00460384" w:rsidP="00977D0F">
      <w:pPr>
        <w:pStyle w:val="Footnote"/>
      </w:pPr>
      <w:r w:rsidRPr="00977D0F">
        <w:rPr>
          <w:rStyle w:val="FootnoteReference"/>
          <w:sz w:val="20"/>
        </w:rPr>
        <w:footnoteRef/>
      </w:r>
      <w:r w:rsidRPr="00977D0F">
        <w:t xml:space="preserve"> Office of National Statistics - </w:t>
      </w:r>
      <w:hyperlink r:id="rId15" w:history="1">
        <w:r w:rsidRPr="00977D0F">
          <w:rPr>
            <w:rStyle w:val="Hyperlink"/>
            <w:color w:val="0000FF"/>
          </w:rPr>
          <w:t>Nomis official census and labour market statistics</w:t>
        </w:r>
      </w:hyperlink>
      <w:r w:rsidRPr="00977D0F">
        <w:rPr>
          <w:color w:val="0000FF"/>
        </w:rPr>
        <w:t xml:space="preserve"> </w:t>
      </w:r>
    </w:p>
  </w:footnote>
  <w:footnote w:id="17">
    <w:p w14:paraId="092EF967" w14:textId="77777777" w:rsidR="00460384" w:rsidRPr="00977D0F" w:rsidRDefault="00460384" w:rsidP="00977D0F">
      <w:pPr>
        <w:pStyle w:val="Footnote"/>
      </w:pPr>
      <w:r w:rsidRPr="00977D0F">
        <w:rPr>
          <w:rStyle w:val="FootnoteReference"/>
          <w:sz w:val="20"/>
        </w:rPr>
        <w:footnoteRef/>
      </w:r>
      <w:r w:rsidRPr="00977D0F">
        <w:t xml:space="preserve"> Office of National Statistics - </w:t>
      </w:r>
      <w:hyperlink r:id="rId16" w:history="1">
        <w:r w:rsidRPr="00977D0F">
          <w:rPr>
            <w:rStyle w:val="Hyperlink"/>
            <w:color w:val="0000FF"/>
          </w:rPr>
          <w:t>Nomis official census and labour market statistics</w:t>
        </w:r>
      </w:hyperlink>
      <w:r w:rsidRPr="00977D0F">
        <w:rPr>
          <w:color w:val="0000FF"/>
        </w:rPr>
        <w:t xml:space="preserve"> </w:t>
      </w:r>
    </w:p>
  </w:footnote>
  <w:footnote w:id="18">
    <w:p w14:paraId="6A22AB99" w14:textId="77777777" w:rsidR="00460384" w:rsidRPr="00AF7148" w:rsidRDefault="00460384" w:rsidP="00977D0F">
      <w:pPr>
        <w:pStyle w:val="Footnote"/>
        <w:rPr>
          <w:color w:val="0000FF"/>
        </w:rPr>
      </w:pPr>
      <w:r w:rsidRPr="00977D0F">
        <w:rPr>
          <w:rStyle w:val="FootnoteReference"/>
          <w:sz w:val="20"/>
        </w:rPr>
        <w:footnoteRef/>
      </w:r>
      <w:r w:rsidRPr="00977D0F">
        <w:t xml:space="preserve"> Welsh Government Stats Wales - </w:t>
      </w:r>
      <w:hyperlink r:id="rId17" w:history="1">
        <w:r w:rsidRPr="00977D0F">
          <w:rPr>
            <w:rStyle w:val="Hyperlink"/>
            <w:color w:val="0000FF"/>
          </w:rPr>
          <w:t>2022-based population projections by local authority, age, sex, year and variant</w:t>
        </w:r>
      </w:hyperlink>
    </w:p>
  </w:footnote>
  <w:footnote w:id="19">
    <w:p w14:paraId="4F1DFBDA" w14:textId="77777777" w:rsidR="00460384" w:rsidRPr="00977D0F" w:rsidRDefault="00460384" w:rsidP="00977D0F">
      <w:pPr>
        <w:pStyle w:val="Footnote"/>
      </w:pPr>
      <w:r w:rsidRPr="00977D0F">
        <w:rPr>
          <w:rStyle w:val="FootnoteReference"/>
          <w:sz w:val="20"/>
        </w:rPr>
        <w:footnoteRef/>
      </w:r>
      <w:r w:rsidRPr="00977D0F">
        <w:rPr>
          <w:rFonts w:cs="Arial"/>
        </w:rPr>
        <w:t xml:space="preserve"> </w:t>
      </w:r>
      <w:r w:rsidRPr="00977D0F">
        <w:rPr>
          <w:rStyle w:val="Hyperlink1"/>
          <w:color w:val="auto"/>
          <w:u w:val="none"/>
        </w:rPr>
        <w:t xml:space="preserve">Office of National Statistics - </w:t>
      </w:r>
      <w:hyperlink r:id="rId18" w:anchor=":~:text=It%20does%20not%20classify%20geographies,or%20Smaller%20rural%20settlement%20categories" w:history="1">
        <w:r w:rsidRPr="00977D0F">
          <w:rPr>
            <w:rStyle w:val="Hyperlink1"/>
          </w:rPr>
          <w:t>2021 Rural urban classification - Census 2021</w:t>
        </w:r>
      </w:hyperlink>
    </w:p>
  </w:footnote>
  <w:footnote w:id="20">
    <w:p w14:paraId="4C53A9EB" w14:textId="77777777" w:rsidR="00460384" w:rsidRDefault="00460384" w:rsidP="00977D0F">
      <w:pPr>
        <w:pStyle w:val="Footnote"/>
        <w:rPr>
          <w:rFonts w:cs="Arial"/>
        </w:rPr>
      </w:pPr>
      <w:r w:rsidRPr="00977D0F">
        <w:rPr>
          <w:rStyle w:val="FootnoteReference"/>
          <w:sz w:val="20"/>
        </w:rPr>
        <w:footnoteRef/>
      </w:r>
      <w:r w:rsidRPr="00977D0F">
        <w:rPr>
          <w:rFonts w:cs="Arial"/>
        </w:rPr>
        <w:t xml:space="preserve"> </w:t>
      </w:r>
      <w:r w:rsidRPr="00977D0F">
        <w:rPr>
          <w:rFonts w:cs="Arial"/>
          <w:kern w:val="0"/>
          <w14:ligatures w14:val="none"/>
        </w:rPr>
        <w:t xml:space="preserve">Digital Health and Care Wales – </w:t>
      </w:r>
      <w:hyperlink r:id="rId19" w:history="1">
        <w:r w:rsidRPr="00977D0F">
          <w:rPr>
            <w:rStyle w:val="Hyperlink"/>
            <w:rFonts w:cs="Arial"/>
            <w:color w:val="0000FF"/>
            <w:kern w:val="0"/>
            <w14:ligatures w14:val="none"/>
          </w:rPr>
          <w:t>Health Maps Wales</w:t>
        </w:r>
      </w:hyperlink>
    </w:p>
  </w:footnote>
  <w:footnote w:id="21">
    <w:p w14:paraId="40AA8067" w14:textId="77777777" w:rsidR="00460384" w:rsidRPr="00E57AD9" w:rsidRDefault="00460384" w:rsidP="00460384">
      <w:pPr>
        <w:rPr>
          <w:rFonts w:cs="Arial"/>
          <w:sz w:val="20"/>
          <w:szCs w:val="20"/>
        </w:rPr>
      </w:pPr>
      <w:r w:rsidRPr="00E57AD9">
        <w:rPr>
          <w:rStyle w:val="FootnoteReference"/>
          <w:sz w:val="20"/>
          <w:szCs w:val="20"/>
        </w:rPr>
        <w:footnoteRef/>
      </w:r>
      <w:r w:rsidRPr="00E57AD9">
        <w:rPr>
          <w:rFonts w:cs="Arial"/>
          <w:sz w:val="20"/>
          <w:szCs w:val="20"/>
        </w:rPr>
        <w:t xml:space="preserve"> Swansea Council - </w:t>
      </w:r>
      <w:hyperlink r:id="rId20" w:anchor=":~:text=A%20summary%20of%20the%20physical,Swansea%20from%20its%20northern%20suburbs" w:history="1">
        <w:r w:rsidRPr="00E57AD9">
          <w:rPr>
            <w:rStyle w:val="Hyperlink"/>
            <w:rFonts w:cs="Arial"/>
            <w:color w:val="0000FF"/>
            <w:sz w:val="20"/>
            <w:szCs w:val="20"/>
          </w:rPr>
          <w:t>A summary of the physical geography of our City and County (Swansea)</w:t>
        </w:r>
      </w:hyperlink>
      <w:r w:rsidRPr="00E57AD9">
        <w:rPr>
          <w:rFonts w:cs="Arial"/>
          <w:sz w:val="20"/>
          <w:szCs w:val="20"/>
        </w:rPr>
        <w:t xml:space="preserve"> </w:t>
      </w:r>
    </w:p>
  </w:footnote>
  <w:footnote w:id="22">
    <w:p w14:paraId="680CB5B3" w14:textId="77777777" w:rsidR="00460384" w:rsidRPr="00E57AD9" w:rsidRDefault="00460384" w:rsidP="00460384">
      <w:pPr>
        <w:pStyle w:val="FootnoteText"/>
        <w:rPr>
          <w:rFonts w:cs="Arial"/>
        </w:rPr>
      </w:pPr>
      <w:r w:rsidRPr="00E57AD9">
        <w:rPr>
          <w:rStyle w:val="FootnoteReference"/>
          <w:sz w:val="20"/>
        </w:rPr>
        <w:footnoteRef/>
      </w:r>
      <w:r w:rsidRPr="00E57AD9">
        <w:rPr>
          <w:rFonts w:cs="Arial"/>
        </w:rPr>
        <w:t xml:space="preserve"> Nomis - </w:t>
      </w:r>
      <w:hyperlink r:id="rId21" w:history="1">
        <w:r w:rsidRPr="00E57AD9">
          <w:rPr>
            <w:rStyle w:val="Hyperlink"/>
            <w:rFonts w:cs="Arial"/>
            <w:color w:val="0000FF"/>
          </w:rPr>
          <w:t>Population estimates - local authority based by single year of age</w:t>
        </w:r>
      </w:hyperlink>
    </w:p>
  </w:footnote>
  <w:footnote w:id="23">
    <w:p w14:paraId="4AA37C67" w14:textId="77777777" w:rsidR="00460384" w:rsidRDefault="00460384" w:rsidP="00460384">
      <w:pPr>
        <w:pStyle w:val="FootnoteText"/>
      </w:pPr>
      <w:r w:rsidRPr="00E57AD9">
        <w:rPr>
          <w:rStyle w:val="FootnoteReference"/>
          <w:sz w:val="20"/>
        </w:rPr>
        <w:footnoteRef/>
      </w:r>
      <w:r w:rsidRPr="00E57AD9">
        <w:rPr>
          <w:rFonts w:cs="Arial"/>
        </w:rPr>
        <w:t xml:space="preserve"> Office for National Statistics - </w:t>
      </w:r>
      <w:hyperlink r:id="rId22" w:history="1">
        <w:r w:rsidRPr="00E57AD9">
          <w:rPr>
            <w:rStyle w:val="Hyperlink"/>
            <w:rFonts w:cs="Arial"/>
            <w:color w:val="0000FF"/>
          </w:rPr>
          <w:t>Population estimates for local authorities in England and Wales (2024)</w:t>
        </w:r>
      </w:hyperlink>
      <w:r>
        <w:rPr>
          <w:rFonts w:cs="Arial"/>
          <w:color w:val="0000FF"/>
        </w:rPr>
        <w:t xml:space="preserve"> </w:t>
      </w:r>
    </w:p>
  </w:footnote>
  <w:footnote w:id="24">
    <w:p w14:paraId="7CE8563A" w14:textId="77777777" w:rsidR="00460384" w:rsidRPr="00E57AD9" w:rsidRDefault="00460384" w:rsidP="00460384">
      <w:pPr>
        <w:ind w:left="142" w:hanging="142"/>
        <w:rPr>
          <w:rFonts w:cs="Arial"/>
          <w:sz w:val="20"/>
          <w:szCs w:val="20"/>
        </w:rPr>
      </w:pPr>
      <w:r w:rsidRPr="00E57AD9">
        <w:rPr>
          <w:rStyle w:val="FootnoteReference"/>
          <w:sz w:val="20"/>
          <w:szCs w:val="20"/>
        </w:rPr>
        <w:footnoteRef/>
      </w:r>
      <w:r w:rsidRPr="00E57AD9">
        <w:rPr>
          <w:rFonts w:cs="Arial"/>
          <w:sz w:val="20"/>
          <w:szCs w:val="20"/>
        </w:rPr>
        <w:t xml:space="preserve"> Office for National Statistics – Census 2021 </w:t>
      </w:r>
      <w:r w:rsidRPr="00E57AD9">
        <w:rPr>
          <w:rFonts w:cs="Arial"/>
          <w:color w:val="0000FF"/>
          <w:sz w:val="20"/>
          <w:szCs w:val="20"/>
        </w:rPr>
        <w:t xml:space="preserve">- </w:t>
      </w:r>
      <w:hyperlink r:id="rId23" w:history="1">
        <w:r w:rsidRPr="00E57AD9">
          <w:rPr>
            <w:rStyle w:val="Hyperlink"/>
            <w:rFonts w:cs="Arial"/>
            <w:color w:val="0000FF"/>
            <w:sz w:val="20"/>
            <w:szCs w:val="20"/>
          </w:rPr>
          <w:t>People by ethnic group, for Wales and local authorities</w:t>
        </w:r>
      </w:hyperlink>
      <w:r w:rsidRPr="00E57AD9">
        <w:rPr>
          <w:rFonts w:cs="Arial"/>
          <w:sz w:val="20"/>
          <w:szCs w:val="20"/>
        </w:rPr>
        <w:t xml:space="preserve"> </w:t>
      </w:r>
    </w:p>
  </w:footnote>
  <w:footnote w:id="25">
    <w:p w14:paraId="7840F4F7" w14:textId="77777777" w:rsidR="00460384" w:rsidRPr="00185793" w:rsidRDefault="00460384" w:rsidP="00460384">
      <w:pPr>
        <w:pStyle w:val="FootnoteText"/>
        <w:rPr>
          <w:rFonts w:cs="Arial"/>
        </w:rPr>
      </w:pPr>
      <w:r w:rsidRPr="00E57AD9">
        <w:rPr>
          <w:rStyle w:val="FootnoteReference"/>
          <w:sz w:val="20"/>
        </w:rPr>
        <w:footnoteRef/>
      </w:r>
      <w:r w:rsidRPr="00E57AD9">
        <w:rPr>
          <w:rFonts w:cs="Arial"/>
        </w:rPr>
        <w:t xml:space="preserve"> Nomis 2021 Census - </w:t>
      </w:r>
      <w:hyperlink r:id="rId24" w:history="1">
        <w:r w:rsidRPr="00E57AD9">
          <w:rPr>
            <w:rStyle w:val="Hyperlink"/>
            <w:rFonts w:cs="Arial"/>
            <w:color w:val="0000FF"/>
          </w:rPr>
          <w:t>language bulletin</w:t>
        </w:r>
      </w:hyperlink>
      <w:r w:rsidRPr="00E57AD9">
        <w:rPr>
          <w:rFonts w:cs="Arial"/>
          <w:color w:val="0000FF"/>
        </w:rPr>
        <w:t xml:space="preserve"> </w:t>
      </w:r>
    </w:p>
  </w:footnote>
  <w:footnote w:id="26">
    <w:p w14:paraId="6F029858" w14:textId="77777777" w:rsidR="00460384" w:rsidRPr="00185793" w:rsidRDefault="00460384" w:rsidP="00460384">
      <w:pPr>
        <w:pStyle w:val="FootnoteText"/>
      </w:pPr>
      <w:r w:rsidRPr="00185793">
        <w:rPr>
          <w:rStyle w:val="FootnoteReference"/>
          <w:sz w:val="20"/>
        </w:rPr>
        <w:footnoteRef/>
      </w:r>
      <w:r w:rsidRPr="00185793">
        <w:rPr>
          <w:rFonts w:cs="Arial"/>
        </w:rPr>
        <w:t xml:space="preserve"> Nomis 2021 Census – TS033 – </w:t>
      </w:r>
      <w:hyperlink r:id="rId25" w:history="1">
        <w:r w:rsidRPr="00185793">
          <w:rPr>
            <w:rStyle w:val="Hyperlink"/>
            <w:rFonts w:cs="Arial"/>
            <w:color w:val="0000FF"/>
          </w:rPr>
          <w:t>Welsh language skills</w:t>
        </w:r>
      </w:hyperlink>
    </w:p>
  </w:footnote>
  <w:footnote w:id="27">
    <w:p w14:paraId="519B6878" w14:textId="77777777" w:rsidR="00460384" w:rsidRDefault="00460384" w:rsidP="00460384">
      <w:pPr>
        <w:pStyle w:val="FootnoteText"/>
        <w:rPr>
          <w:rFonts w:cs="Arial"/>
        </w:rPr>
      </w:pPr>
      <w:r w:rsidRPr="00185793">
        <w:rPr>
          <w:rStyle w:val="FootnoteReference"/>
          <w:sz w:val="20"/>
        </w:rPr>
        <w:footnoteRef/>
      </w:r>
      <w:r w:rsidRPr="00185793">
        <w:rPr>
          <w:rFonts w:cs="Arial"/>
        </w:rPr>
        <w:t xml:space="preserve"> Swansea Council – </w:t>
      </w:r>
      <w:hyperlink r:id="rId26" w:history="1">
        <w:r w:rsidRPr="00185793">
          <w:rPr>
            <w:rStyle w:val="Hyperlink"/>
            <w:rFonts w:cs="Arial"/>
            <w:color w:val="0000FF"/>
          </w:rPr>
          <w:t>Swansea Welsh language profile, August 2024</w:t>
        </w:r>
      </w:hyperlink>
    </w:p>
  </w:footnote>
  <w:footnote w:id="28">
    <w:p w14:paraId="5203B137" w14:textId="77777777" w:rsidR="00460384" w:rsidRPr="00185793" w:rsidRDefault="00460384" w:rsidP="00460384">
      <w:pPr>
        <w:pStyle w:val="FootnoteText"/>
      </w:pPr>
      <w:r w:rsidRPr="00185793">
        <w:rPr>
          <w:rStyle w:val="FootnoteReference"/>
          <w:sz w:val="20"/>
        </w:rPr>
        <w:footnoteRef/>
      </w:r>
      <w:r w:rsidRPr="00185793">
        <w:t xml:space="preserve"> </w:t>
      </w:r>
      <w:r w:rsidRPr="00185793">
        <w:rPr>
          <w:rStyle w:val="Hyperlink1"/>
          <w:color w:val="auto"/>
          <w:u w:val="none"/>
        </w:rPr>
        <w:t xml:space="preserve">Neath Port Talbot County Borough Council – </w:t>
      </w:r>
      <w:hyperlink r:id="rId27" w:history="1">
        <w:r w:rsidRPr="00185793">
          <w:rPr>
            <w:rStyle w:val="Hyperlink"/>
            <w:rFonts w:cs="Arial"/>
            <w:color w:val="0000FF"/>
          </w:rPr>
          <w:t>Development and the Welsh language, supplementary planning guidance (May 2018)</w:t>
        </w:r>
      </w:hyperlink>
    </w:p>
  </w:footnote>
  <w:footnote w:id="29">
    <w:p w14:paraId="72B25ADA" w14:textId="77777777" w:rsidR="00460384" w:rsidRPr="00185793" w:rsidRDefault="00460384" w:rsidP="00460384">
      <w:pPr>
        <w:pStyle w:val="FootnoteText"/>
        <w:rPr>
          <w:rFonts w:cs="Arial"/>
        </w:rPr>
      </w:pPr>
      <w:r w:rsidRPr="00185793">
        <w:rPr>
          <w:rStyle w:val="FootnoteReference"/>
          <w:sz w:val="20"/>
        </w:rPr>
        <w:footnoteRef/>
      </w:r>
      <w:r w:rsidRPr="00185793">
        <w:rPr>
          <w:rFonts w:cs="Arial"/>
        </w:rPr>
        <w:t xml:space="preserve"> Welsh Government - </w:t>
      </w:r>
      <w:hyperlink r:id="rId28" w:anchor=":~:text=Material%20deprivation:%20having%20insufficient%20physical,super%20output%20areas%20or%20LSOAs)." w:history="1">
        <w:r w:rsidRPr="00185793">
          <w:rPr>
            <w:rStyle w:val="Hyperlink"/>
            <w:rFonts w:cs="Arial"/>
            <w:color w:val="0000FF"/>
          </w:rPr>
          <w:t>Welsh Index of Multiple deprivation 2025: guidance</w:t>
        </w:r>
      </w:hyperlink>
    </w:p>
  </w:footnote>
  <w:footnote w:id="30">
    <w:p w14:paraId="3F544F29" w14:textId="77777777" w:rsidR="00460384" w:rsidRPr="00185793" w:rsidRDefault="00460384" w:rsidP="00185793">
      <w:pPr>
        <w:pStyle w:val="FootnoteText"/>
      </w:pPr>
      <w:r w:rsidRPr="00185793">
        <w:rPr>
          <w:rStyle w:val="FootnoteReference"/>
          <w:sz w:val="20"/>
        </w:rPr>
        <w:footnoteRef/>
      </w:r>
      <w:r w:rsidRPr="00185793">
        <w:rPr>
          <w:rFonts w:cs="Arial"/>
        </w:rPr>
        <w:t xml:space="preserve"> Welsh Government – </w:t>
      </w:r>
      <w:hyperlink r:id="rId29" w:history="1">
        <w:r w:rsidRPr="00185793">
          <w:rPr>
            <w:rStyle w:val="Hyperlink"/>
            <w:rFonts w:cs="Arial"/>
            <w:color w:val="0000FF"/>
          </w:rPr>
          <w:t>Welsh Index of Multiple Deprivation 2025 results report</w:t>
        </w:r>
      </w:hyperlink>
    </w:p>
  </w:footnote>
  <w:footnote w:id="31">
    <w:p w14:paraId="206DBC60" w14:textId="77777777" w:rsidR="00460384" w:rsidRDefault="00460384" w:rsidP="00185793">
      <w:pPr>
        <w:pStyle w:val="FootnoteText"/>
      </w:pPr>
      <w:r w:rsidRPr="00185793">
        <w:rPr>
          <w:rStyle w:val="FootnoteReference"/>
          <w:sz w:val="20"/>
        </w:rPr>
        <w:footnoteRef/>
      </w:r>
      <w:r w:rsidRPr="00185793">
        <w:rPr>
          <w:rFonts w:cs="Arial"/>
        </w:rPr>
        <w:t xml:space="preserve"> Welsh Government - Welsh Index of Multiple Deprivation </w:t>
      </w:r>
      <w:hyperlink r:id="rId30" w:anchor="189215" w:history="1">
        <w:r w:rsidRPr="00185793">
          <w:rPr>
            <w:rStyle w:val="Hyperlink1"/>
          </w:rPr>
          <w:t>Deep rooted deprivation 2025</w:t>
        </w:r>
      </w:hyperlink>
    </w:p>
  </w:footnote>
  <w:footnote w:id="32">
    <w:p w14:paraId="2CE0789B" w14:textId="77777777" w:rsidR="00460384" w:rsidRPr="0045574A" w:rsidRDefault="00460384" w:rsidP="00460384">
      <w:pPr>
        <w:pStyle w:val="FootnoteText"/>
        <w:rPr>
          <w:rFonts w:cs="Arial"/>
        </w:rPr>
      </w:pPr>
      <w:r w:rsidRPr="0045574A">
        <w:rPr>
          <w:rStyle w:val="FootnoteReference"/>
          <w:sz w:val="20"/>
        </w:rPr>
        <w:footnoteRef/>
      </w:r>
      <w:r w:rsidRPr="0045574A">
        <w:rPr>
          <w:rFonts w:cs="Arial"/>
        </w:rPr>
        <w:t xml:space="preserve"> Office for National Statistics - </w:t>
      </w:r>
      <w:hyperlink r:id="rId31" w:history="1">
        <w:r w:rsidRPr="0045574A">
          <w:rPr>
            <w:rStyle w:val="Hyperlink"/>
            <w:rFonts w:cs="Arial"/>
            <w:color w:val="0000FF"/>
          </w:rPr>
          <w:t>Births in England and Wales: summary tables</w:t>
        </w:r>
      </w:hyperlink>
    </w:p>
  </w:footnote>
  <w:footnote w:id="33">
    <w:p w14:paraId="3A7FA1F5" w14:textId="77777777" w:rsidR="00460384" w:rsidRPr="0045574A" w:rsidRDefault="00460384" w:rsidP="00460384">
      <w:pPr>
        <w:pStyle w:val="FootnoteText"/>
        <w:rPr>
          <w:rFonts w:cs="Arial"/>
          <w:color w:val="0000FF"/>
        </w:rPr>
      </w:pPr>
      <w:r w:rsidRPr="0045574A">
        <w:rPr>
          <w:rStyle w:val="FootnoteReference"/>
          <w:sz w:val="20"/>
        </w:rPr>
        <w:footnoteRef/>
      </w:r>
      <w:r w:rsidRPr="0045574A">
        <w:rPr>
          <w:rFonts w:cs="Arial"/>
        </w:rPr>
        <w:t xml:space="preserve"> Office for National Statistics - </w:t>
      </w:r>
      <w:hyperlink r:id="rId32" w:history="1">
        <w:r w:rsidRPr="0045574A">
          <w:rPr>
            <w:rStyle w:val="Hyperlink"/>
            <w:rFonts w:cs="Arial"/>
            <w:color w:val="0000FF"/>
          </w:rPr>
          <w:t>Birth summary tables 2024</w:t>
        </w:r>
      </w:hyperlink>
    </w:p>
  </w:footnote>
  <w:footnote w:id="34">
    <w:p w14:paraId="4D751110" w14:textId="77777777" w:rsidR="00460384" w:rsidRDefault="00460384" w:rsidP="00460384">
      <w:pPr>
        <w:pStyle w:val="FootnoteText"/>
        <w:rPr>
          <w:rFonts w:cs="Arial"/>
        </w:rPr>
      </w:pPr>
      <w:r w:rsidRPr="0045574A">
        <w:rPr>
          <w:rStyle w:val="FootnoteReference"/>
          <w:sz w:val="20"/>
        </w:rPr>
        <w:footnoteRef/>
      </w:r>
      <w:r w:rsidRPr="0045574A">
        <w:rPr>
          <w:rFonts w:cs="Arial"/>
        </w:rPr>
        <w:t xml:space="preserve"> Public Health Wales – </w:t>
      </w:r>
      <w:hyperlink r:id="rId33" w:history="1">
        <w:r w:rsidRPr="0045574A">
          <w:rPr>
            <w:rStyle w:val="Hyperlink"/>
            <w:rFonts w:cs="Arial"/>
            <w:color w:val="0000FF"/>
          </w:rPr>
          <w:t>Public Health Outcomes Framework</w:t>
        </w:r>
      </w:hyperlink>
    </w:p>
  </w:footnote>
  <w:footnote w:id="35">
    <w:p w14:paraId="1F1C8395" w14:textId="77777777" w:rsidR="00460384" w:rsidRPr="00E51D7D" w:rsidRDefault="00460384" w:rsidP="00460384">
      <w:pPr>
        <w:pStyle w:val="FootnoteText"/>
        <w:rPr>
          <w:rFonts w:cs="Arial"/>
        </w:rPr>
      </w:pPr>
      <w:r w:rsidRPr="00E51D7D">
        <w:rPr>
          <w:rStyle w:val="FootnoteReference"/>
          <w:sz w:val="20"/>
        </w:rPr>
        <w:footnoteRef/>
      </w:r>
      <w:r w:rsidRPr="00E51D7D">
        <w:rPr>
          <w:rFonts w:cs="Arial"/>
        </w:rPr>
        <w:t xml:space="preserve"> Public Health Wales - </w:t>
      </w:r>
      <w:hyperlink r:id="rId34" w:history="1">
        <w:r w:rsidRPr="00E51D7D">
          <w:rPr>
            <w:rStyle w:val="Hyperlink"/>
            <w:rFonts w:cs="Arial"/>
            <w:color w:val="0000FF"/>
          </w:rPr>
          <w:t>Life expectancy and mortality in Wales report 2020</w:t>
        </w:r>
      </w:hyperlink>
    </w:p>
  </w:footnote>
  <w:footnote w:id="36">
    <w:p w14:paraId="23F0ACC5" w14:textId="77777777" w:rsidR="00460384" w:rsidRPr="00E51D7D" w:rsidRDefault="00460384" w:rsidP="00460384">
      <w:pPr>
        <w:pStyle w:val="FootnoteText"/>
        <w:rPr>
          <w:rFonts w:cs="Arial"/>
        </w:rPr>
      </w:pPr>
      <w:r w:rsidRPr="00E51D7D">
        <w:rPr>
          <w:rStyle w:val="FootnoteReference"/>
          <w:sz w:val="20"/>
        </w:rPr>
        <w:footnoteRef/>
      </w:r>
      <w:r w:rsidRPr="00E51D7D">
        <w:rPr>
          <w:rFonts w:cs="Arial"/>
        </w:rPr>
        <w:t xml:space="preserve"> Info base Cymru -</w:t>
      </w:r>
      <w:r w:rsidRPr="00E51D7D">
        <w:rPr>
          <w:rFonts w:cs="Arial"/>
          <w:color w:val="0000FF"/>
        </w:rPr>
        <w:t xml:space="preserve"> </w:t>
      </w:r>
      <w:hyperlink r:id="rId35" w:history="1">
        <w:r w:rsidRPr="00E51D7D">
          <w:rPr>
            <w:rStyle w:val="Hyperlink"/>
            <w:rFonts w:cs="Arial"/>
            <w:color w:val="0000FF"/>
          </w:rPr>
          <w:t>Life expectancy database</w:t>
        </w:r>
      </w:hyperlink>
    </w:p>
  </w:footnote>
  <w:footnote w:id="37">
    <w:p w14:paraId="6320B989" w14:textId="77777777" w:rsidR="00460384" w:rsidRDefault="00460384" w:rsidP="00460384">
      <w:pPr>
        <w:pStyle w:val="FootnoteText"/>
        <w:rPr>
          <w:rFonts w:cs="Arial"/>
        </w:rPr>
      </w:pPr>
      <w:r w:rsidRPr="00E51D7D">
        <w:rPr>
          <w:rStyle w:val="FootnoteReference"/>
          <w:sz w:val="20"/>
        </w:rPr>
        <w:footnoteRef/>
      </w:r>
      <w:r w:rsidRPr="00E51D7D">
        <w:rPr>
          <w:rFonts w:cs="Arial"/>
        </w:rPr>
        <w:t xml:space="preserve"> Office for National Statistics </w:t>
      </w:r>
      <w:r w:rsidRPr="00E51D7D">
        <w:rPr>
          <w:rFonts w:cs="Arial"/>
          <w:color w:val="0000FF"/>
        </w:rPr>
        <w:t xml:space="preserve">- </w:t>
      </w:r>
      <w:hyperlink r:id="rId36" w:history="1">
        <w:r w:rsidRPr="00E51D7D">
          <w:rPr>
            <w:rStyle w:val="Hyperlink"/>
            <w:rFonts w:cs="Arial"/>
            <w:color w:val="0000FF"/>
          </w:rPr>
          <w:t>Healthy Life expectancy in Wales</w:t>
        </w:r>
      </w:hyperlink>
    </w:p>
  </w:footnote>
  <w:footnote w:id="38">
    <w:p w14:paraId="797AB0E8" w14:textId="77777777" w:rsidR="00460384" w:rsidRPr="00E51D7D" w:rsidRDefault="00460384" w:rsidP="00460384">
      <w:pPr>
        <w:pStyle w:val="FootnoteText"/>
      </w:pPr>
      <w:r w:rsidRPr="00E51D7D">
        <w:rPr>
          <w:rStyle w:val="FootnoteReference"/>
          <w:sz w:val="20"/>
        </w:rPr>
        <w:footnoteRef/>
      </w:r>
      <w:r w:rsidRPr="00E51D7D">
        <w:rPr>
          <w:rFonts w:cs="Arial"/>
        </w:rPr>
        <w:t xml:space="preserve"> Office for National Statistics - </w:t>
      </w:r>
      <w:hyperlink r:id="rId37" w:history="1">
        <w:r w:rsidRPr="00E51D7D">
          <w:rPr>
            <w:rStyle w:val="Hyperlink"/>
            <w:rFonts w:cs="Arial"/>
            <w:color w:val="0000FF"/>
          </w:rPr>
          <w:t>Deaths registered in England and Wales</w:t>
        </w:r>
      </w:hyperlink>
      <w:r w:rsidRPr="00E51D7D">
        <w:rPr>
          <w:rFonts w:cs="Arial"/>
          <w:color w:val="0000FF"/>
        </w:rPr>
        <w:t xml:space="preserve"> </w:t>
      </w:r>
    </w:p>
  </w:footnote>
  <w:footnote w:id="39">
    <w:p w14:paraId="72E1A2F3" w14:textId="77777777" w:rsidR="00460384" w:rsidRPr="00E51D7D" w:rsidRDefault="00460384" w:rsidP="00460384">
      <w:pPr>
        <w:pStyle w:val="FootnoteText"/>
        <w:rPr>
          <w:rFonts w:cs="Arial"/>
        </w:rPr>
      </w:pPr>
      <w:r w:rsidRPr="00E51D7D">
        <w:rPr>
          <w:rStyle w:val="FootnoteReference"/>
          <w:sz w:val="20"/>
        </w:rPr>
        <w:footnoteRef/>
      </w:r>
      <w:r w:rsidRPr="00E51D7D">
        <w:rPr>
          <w:rFonts w:cs="Arial"/>
        </w:rPr>
        <w:t xml:space="preserve"> Office for National Statistics - </w:t>
      </w:r>
      <w:hyperlink r:id="rId38" w:history="1">
        <w:r w:rsidRPr="00E51D7D">
          <w:rPr>
            <w:rStyle w:val="Hyperlink"/>
            <w:rFonts w:cs="Arial"/>
            <w:color w:val="0000FF"/>
          </w:rPr>
          <w:t>Avoidable mortality by Integrated Care Boards in England and Health Boards in Wales</w:t>
        </w:r>
      </w:hyperlink>
    </w:p>
  </w:footnote>
  <w:footnote w:id="40">
    <w:p w14:paraId="5535290E" w14:textId="77777777" w:rsidR="00460384" w:rsidRPr="00E51D7D" w:rsidRDefault="00460384" w:rsidP="00460384">
      <w:pPr>
        <w:pStyle w:val="FootnoteText"/>
        <w:rPr>
          <w:rFonts w:cs="Arial"/>
        </w:rPr>
      </w:pPr>
      <w:r w:rsidRPr="00E51D7D">
        <w:rPr>
          <w:rStyle w:val="FootnoteReference"/>
          <w:sz w:val="20"/>
        </w:rPr>
        <w:footnoteRef/>
      </w:r>
      <w:r w:rsidRPr="00E51D7D">
        <w:rPr>
          <w:rFonts w:cs="Arial"/>
        </w:rPr>
        <w:t xml:space="preserve"> Census 2021- </w:t>
      </w:r>
      <w:hyperlink r:id="rId39" w:history="1">
        <w:r w:rsidRPr="00E51D7D">
          <w:rPr>
            <w:rStyle w:val="Hyperlink"/>
            <w:rFonts w:cs="Arial"/>
            <w:color w:val="0000FF"/>
          </w:rPr>
          <w:t>Disability, England and Wales</w:t>
        </w:r>
      </w:hyperlink>
    </w:p>
  </w:footnote>
  <w:footnote w:id="41">
    <w:p w14:paraId="7374E3C3" w14:textId="77777777" w:rsidR="00460384" w:rsidRPr="00E51D7D" w:rsidRDefault="00460384" w:rsidP="00460384">
      <w:pPr>
        <w:pStyle w:val="FootnoteText"/>
        <w:rPr>
          <w:rFonts w:cs="Arial"/>
        </w:rPr>
      </w:pPr>
      <w:r w:rsidRPr="00E51D7D">
        <w:rPr>
          <w:rStyle w:val="FootnoteReference"/>
          <w:sz w:val="20"/>
        </w:rPr>
        <w:footnoteRef/>
      </w:r>
      <w:r w:rsidRPr="00E51D7D">
        <w:rPr>
          <w:rFonts w:cs="Arial"/>
        </w:rPr>
        <w:t xml:space="preserve"> Office for National Statistics - </w:t>
      </w:r>
      <w:hyperlink r:id="rId40" w:history="1">
        <w:r w:rsidRPr="00E51D7D">
          <w:rPr>
            <w:rStyle w:val="Hyperlink"/>
            <w:rFonts w:cs="Arial"/>
            <w:color w:val="0000FF"/>
          </w:rPr>
          <w:t>Sexual orientation in the UK in 2024</w:t>
        </w:r>
      </w:hyperlink>
    </w:p>
  </w:footnote>
  <w:footnote w:id="42">
    <w:p w14:paraId="66529C56" w14:textId="77777777" w:rsidR="00460384" w:rsidRPr="00A26545" w:rsidRDefault="00460384" w:rsidP="00460384">
      <w:pPr>
        <w:pStyle w:val="FootnoteText"/>
        <w:rPr>
          <w:rFonts w:cs="Arial"/>
        </w:rPr>
      </w:pPr>
      <w:r w:rsidRPr="00A26545">
        <w:rPr>
          <w:rStyle w:val="FootnoteReference"/>
          <w:sz w:val="20"/>
        </w:rPr>
        <w:footnoteRef/>
      </w:r>
      <w:r w:rsidRPr="00A26545">
        <w:rPr>
          <w:rFonts w:cs="Arial"/>
        </w:rPr>
        <w:t xml:space="preserve"> Census 2021 - </w:t>
      </w:r>
      <w:hyperlink r:id="rId41" w:history="1">
        <w:r w:rsidRPr="00A26545">
          <w:rPr>
            <w:rStyle w:val="Hyperlink"/>
            <w:rFonts w:cs="Arial"/>
            <w:color w:val="0000FF"/>
          </w:rPr>
          <w:t>NOMIS - Sexual orientation</w:t>
        </w:r>
      </w:hyperlink>
    </w:p>
  </w:footnote>
  <w:footnote w:id="43">
    <w:p w14:paraId="5FD01BE7" w14:textId="77777777" w:rsidR="00A26545" w:rsidRDefault="00A26545" w:rsidP="00A26545">
      <w:pPr>
        <w:pStyle w:val="FootnoteText"/>
        <w:rPr>
          <w:rFonts w:cs="Arial"/>
        </w:rPr>
      </w:pPr>
      <w:r w:rsidRPr="00A26545">
        <w:rPr>
          <w:rStyle w:val="FootnoteReference"/>
          <w:sz w:val="20"/>
        </w:rPr>
        <w:footnoteRef/>
      </w:r>
      <w:r w:rsidRPr="00A26545">
        <w:rPr>
          <w:rFonts w:cs="Arial"/>
        </w:rPr>
        <w:t xml:space="preserve"> Nomis – </w:t>
      </w:r>
      <w:hyperlink r:id="rId42" w:history="1">
        <w:r w:rsidRPr="00A26545">
          <w:rPr>
            <w:rStyle w:val="Hyperlink"/>
            <w:rFonts w:cs="Arial"/>
            <w:color w:val="0000FF"/>
          </w:rPr>
          <w:t>Provision of unpaid care by age RM113</w:t>
        </w:r>
      </w:hyperlink>
      <w:r>
        <w:rPr>
          <w:rFonts w:cs="Arial"/>
          <w:color w:val="0000FF"/>
        </w:rPr>
        <w:t xml:space="preserve"> </w:t>
      </w:r>
    </w:p>
  </w:footnote>
  <w:footnote w:id="44">
    <w:p w14:paraId="7D971B43" w14:textId="77777777" w:rsidR="00460384" w:rsidRPr="00427491" w:rsidRDefault="00460384" w:rsidP="00460384">
      <w:pPr>
        <w:pStyle w:val="FootnoteText"/>
        <w:rPr>
          <w:rFonts w:cs="Arial"/>
        </w:rPr>
      </w:pPr>
      <w:r w:rsidRPr="00427491">
        <w:rPr>
          <w:rStyle w:val="FootnoteReference"/>
          <w:sz w:val="20"/>
        </w:rPr>
        <w:footnoteRef/>
      </w:r>
      <w:r w:rsidRPr="00427491">
        <w:rPr>
          <w:rFonts w:cs="Arial"/>
        </w:rPr>
        <w:t xml:space="preserve"> Social Care Wales – </w:t>
      </w:r>
      <w:hyperlink r:id="rId43" w:history="1">
        <w:r w:rsidRPr="00427491">
          <w:rPr>
            <w:rStyle w:val="Hyperlink"/>
            <w:rFonts w:cs="Arial"/>
            <w:color w:val="0000FF"/>
          </w:rPr>
          <w:t>National social care data portal for Wales projections</w:t>
        </w:r>
      </w:hyperlink>
    </w:p>
  </w:footnote>
  <w:footnote w:id="45">
    <w:p w14:paraId="7DBC52AD" w14:textId="77777777" w:rsidR="00370535" w:rsidRPr="00364344" w:rsidRDefault="00370535" w:rsidP="00370535">
      <w:pPr>
        <w:rPr>
          <w:rFonts w:eastAsia="Times New Roman" w:cs="Arial"/>
          <w:kern w:val="0"/>
          <w:sz w:val="20"/>
          <w:szCs w:val="20"/>
          <w:lang w:eastAsia="en-GB"/>
          <w14:ligatures w14:val="none"/>
        </w:rPr>
      </w:pPr>
      <w:r w:rsidRPr="00364344">
        <w:rPr>
          <w:rStyle w:val="FootnoteReference"/>
          <w:sz w:val="20"/>
          <w:szCs w:val="20"/>
        </w:rPr>
        <w:footnoteRef/>
      </w:r>
      <w:r w:rsidRPr="00364344">
        <w:rPr>
          <w:rFonts w:cs="Arial"/>
          <w:sz w:val="20"/>
          <w:szCs w:val="20"/>
        </w:rPr>
        <w:t xml:space="preserve"> Welsh Government StatsWales - </w:t>
      </w:r>
      <w:hyperlink r:id="rId44" w:history="1">
        <w:r w:rsidRPr="00364344">
          <w:rPr>
            <w:rStyle w:val="Hyperlink"/>
            <w:rFonts w:cs="Arial"/>
            <w:color w:val="0000FF"/>
            <w:sz w:val="20"/>
            <w:szCs w:val="20"/>
          </w:rPr>
          <w:t>Disease registers by local health board, cluster and GP practice</w:t>
        </w:r>
      </w:hyperlink>
    </w:p>
    <w:p w14:paraId="3CBCBF12" w14:textId="77777777" w:rsidR="00370535" w:rsidRDefault="00370535" w:rsidP="00370535">
      <w:pPr>
        <w:pStyle w:val="FootnoteText"/>
        <w:rPr>
          <w:rFonts w:asciiTheme="minorHAnsi" w:eastAsiaTheme="minorHAnsi" w:hAnsiTheme="minorHAnsi" w:cstheme="minorBidi"/>
        </w:rPr>
      </w:pPr>
    </w:p>
  </w:footnote>
  <w:footnote w:id="46">
    <w:p w14:paraId="2FFAE8A3" w14:textId="77777777" w:rsidR="00370535" w:rsidRPr="00C7745D" w:rsidRDefault="00370535" w:rsidP="00370535">
      <w:pPr>
        <w:rPr>
          <w:rFonts w:cs="Arial"/>
          <w:sz w:val="20"/>
          <w:szCs w:val="20"/>
        </w:rPr>
      </w:pPr>
      <w:r w:rsidRPr="00C7745D">
        <w:rPr>
          <w:rStyle w:val="FootnoteReference"/>
          <w:sz w:val="20"/>
          <w:szCs w:val="20"/>
        </w:rPr>
        <w:footnoteRef/>
      </w:r>
      <w:r w:rsidRPr="00C7745D">
        <w:rPr>
          <w:rFonts w:cs="Arial"/>
          <w:sz w:val="20"/>
          <w:szCs w:val="20"/>
        </w:rPr>
        <w:t xml:space="preserve"> Welsh Government StatsWales - </w:t>
      </w:r>
      <w:hyperlink r:id="rId45" w:history="1">
        <w:r w:rsidRPr="00C7745D">
          <w:rPr>
            <w:rStyle w:val="Hyperlink"/>
            <w:rFonts w:cs="Arial"/>
            <w:color w:val="0000FF"/>
            <w:sz w:val="20"/>
            <w:szCs w:val="20"/>
          </w:rPr>
          <w:t>Disease registers by local health board, cluster and GP practice</w:t>
        </w:r>
      </w:hyperlink>
    </w:p>
  </w:footnote>
  <w:footnote w:id="47">
    <w:p w14:paraId="47BB798D" w14:textId="77777777" w:rsidR="00370535" w:rsidRPr="00C7745D" w:rsidRDefault="00370535" w:rsidP="00370535">
      <w:pPr>
        <w:rPr>
          <w:rFonts w:asciiTheme="minorHAnsi" w:hAnsiTheme="minorHAnsi"/>
          <w:sz w:val="20"/>
          <w:szCs w:val="20"/>
        </w:rPr>
      </w:pPr>
      <w:r w:rsidRPr="00C7745D">
        <w:rPr>
          <w:rStyle w:val="FootnoteReference"/>
          <w:sz w:val="20"/>
          <w:szCs w:val="20"/>
        </w:rPr>
        <w:footnoteRef/>
      </w:r>
      <w:r w:rsidRPr="00C7745D">
        <w:rPr>
          <w:rFonts w:cs="Arial"/>
          <w:sz w:val="20"/>
          <w:szCs w:val="20"/>
        </w:rPr>
        <w:t xml:space="preserve"> Welsh Government StatsWales - </w:t>
      </w:r>
      <w:hyperlink r:id="rId46" w:history="1">
        <w:r w:rsidRPr="00C7745D">
          <w:rPr>
            <w:rStyle w:val="Hyperlink"/>
            <w:rFonts w:cs="Arial"/>
            <w:color w:val="0000FF"/>
            <w:sz w:val="20"/>
            <w:szCs w:val="20"/>
          </w:rPr>
          <w:t>Disease registers by local health board, cluster and GP practice</w:t>
        </w:r>
      </w:hyperlink>
    </w:p>
  </w:footnote>
  <w:footnote w:id="48">
    <w:p w14:paraId="7E32E2DF" w14:textId="77777777" w:rsidR="00370535" w:rsidRPr="00C7745D" w:rsidRDefault="00370535" w:rsidP="00370535">
      <w:pPr>
        <w:pStyle w:val="FootnoteText"/>
        <w:rPr>
          <w:rFonts w:cs="Arial"/>
        </w:rPr>
      </w:pPr>
      <w:r w:rsidRPr="00C7745D">
        <w:rPr>
          <w:rStyle w:val="FootnoteReference"/>
          <w:sz w:val="20"/>
        </w:rPr>
        <w:footnoteRef/>
      </w:r>
      <w:r w:rsidRPr="00C7745D">
        <w:rPr>
          <w:rFonts w:cs="Arial"/>
        </w:rPr>
        <w:t xml:space="preserve"> Welsh Government - </w:t>
      </w:r>
      <w:hyperlink r:id="rId47" w:anchor=":~:text=to%202022%2D23.-,Wellbeing,2022%2D23%20was%2050.7" w:history="1">
        <w:r w:rsidRPr="00C7745D">
          <w:rPr>
            <w:rStyle w:val="Hyperlink"/>
            <w:rFonts w:cs="Arial"/>
            <w:color w:val="0000FF"/>
          </w:rPr>
          <w:t>National Survey for Wales headline results: April 2024 to March 2025</w:t>
        </w:r>
      </w:hyperlink>
    </w:p>
  </w:footnote>
  <w:footnote w:id="49">
    <w:p w14:paraId="01367E40" w14:textId="77777777" w:rsidR="00370535" w:rsidRDefault="00370535" w:rsidP="00370535">
      <w:pPr>
        <w:pStyle w:val="FootnoteText"/>
        <w:rPr>
          <w:rFonts w:asciiTheme="minorHAnsi" w:hAnsiTheme="minorHAnsi" w:cstheme="minorBidi"/>
        </w:rPr>
      </w:pPr>
      <w:r w:rsidRPr="00C7745D">
        <w:rPr>
          <w:rStyle w:val="FootnoteReference"/>
          <w:sz w:val="20"/>
        </w:rPr>
        <w:footnoteRef/>
      </w:r>
      <w:r w:rsidRPr="00C7745D">
        <w:rPr>
          <w:rFonts w:cs="Arial"/>
        </w:rPr>
        <w:t xml:space="preserve"> Welsh Government - </w:t>
      </w:r>
      <w:hyperlink r:id="rId48" w:anchor="183251" w:history="1">
        <w:r w:rsidRPr="00C7745D">
          <w:rPr>
            <w:rStyle w:val="Hyperlink"/>
            <w:rFonts w:cs="Arial"/>
            <w:color w:val="0000FF"/>
          </w:rPr>
          <w:t>Wellbeing of Wales 2025</w:t>
        </w:r>
      </w:hyperlink>
    </w:p>
  </w:footnote>
  <w:footnote w:id="50">
    <w:p w14:paraId="22960CD5" w14:textId="77777777" w:rsidR="00370535" w:rsidRPr="00C7745D" w:rsidRDefault="00370535" w:rsidP="00370535">
      <w:pPr>
        <w:pStyle w:val="FootnoteText"/>
        <w:rPr>
          <w:rFonts w:cs="Arial"/>
        </w:rPr>
      </w:pPr>
      <w:r w:rsidRPr="00C7745D">
        <w:rPr>
          <w:rStyle w:val="FootnoteReference"/>
          <w:sz w:val="20"/>
        </w:rPr>
        <w:footnoteRef/>
      </w:r>
      <w:r w:rsidRPr="00C7745D">
        <w:rPr>
          <w:rFonts w:cs="Arial"/>
        </w:rPr>
        <w:t xml:space="preserve"> Welsh Government - </w:t>
      </w:r>
      <w:hyperlink r:id="rId49" w:history="1">
        <w:r w:rsidRPr="00C7745D">
          <w:rPr>
            <w:rStyle w:val="Hyperlink"/>
            <w:rFonts w:cs="Arial"/>
            <w:color w:val="0000FF"/>
          </w:rPr>
          <w:t>Understanding: The Suicide Prevention and Self-harm strategy for Wales (2025-2035)</w:t>
        </w:r>
      </w:hyperlink>
    </w:p>
  </w:footnote>
  <w:footnote w:id="51">
    <w:p w14:paraId="717707F7" w14:textId="77777777" w:rsidR="00370535" w:rsidRPr="00C7745D" w:rsidRDefault="00370535" w:rsidP="00370535">
      <w:pPr>
        <w:pStyle w:val="FootnoteText"/>
        <w:rPr>
          <w:rFonts w:cs="Arial"/>
        </w:rPr>
      </w:pPr>
      <w:r w:rsidRPr="00C7745D">
        <w:rPr>
          <w:rStyle w:val="FootnoteReference"/>
          <w:sz w:val="20"/>
        </w:rPr>
        <w:footnoteRef/>
      </w:r>
      <w:r w:rsidRPr="00C7745D">
        <w:rPr>
          <w:rFonts w:cs="Arial"/>
        </w:rPr>
        <w:t xml:space="preserve">Welsh Government - </w:t>
      </w:r>
      <w:hyperlink r:id="rId50" w:history="1">
        <w:r w:rsidRPr="00C7745D">
          <w:rPr>
            <w:rStyle w:val="Hyperlink"/>
            <w:rFonts w:cs="Arial"/>
            <w:color w:val="0000FF"/>
          </w:rPr>
          <w:t>The Mental Health and Wellbeing Strategy 2025-2035</w:t>
        </w:r>
      </w:hyperlink>
      <w:r w:rsidRPr="00C7745D">
        <w:rPr>
          <w:rFonts w:cs="Arial"/>
        </w:rPr>
        <w:t xml:space="preserve"> </w:t>
      </w:r>
    </w:p>
  </w:footnote>
  <w:footnote w:id="52">
    <w:p w14:paraId="7E798A19" w14:textId="77777777" w:rsidR="00370535" w:rsidRPr="00C7745D" w:rsidRDefault="00370535" w:rsidP="00370535">
      <w:pPr>
        <w:pStyle w:val="FootnoteText"/>
        <w:rPr>
          <w:rFonts w:cs="Arial"/>
        </w:rPr>
      </w:pPr>
      <w:r w:rsidRPr="00C7745D">
        <w:rPr>
          <w:rStyle w:val="FootnoteReference"/>
          <w:sz w:val="20"/>
        </w:rPr>
        <w:footnoteRef/>
      </w:r>
      <w:r w:rsidRPr="00C7745D">
        <w:rPr>
          <w:rFonts w:cs="Arial"/>
        </w:rPr>
        <w:t xml:space="preserve"> Welsh Government - </w:t>
      </w:r>
      <w:hyperlink r:id="rId51" w:history="1">
        <w:r w:rsidRPr="00C7745D">
          <w:rPr>
            <w:rStyle w:val="Hyperlink"/>
            <w:rFonts w:cs="Arial"/>
            <w:color w:val="0000FF"/>
          </w:rPr>
          <w:t xml:space="preserve">Understanding: The Suicide Prevention and Self-harm Delivery Plan for Wales 2025-2028 </w:t>
        </w:r>
      </w:hyperlink>
    </w:p>
  </w:footnote>
  <w:footnote w:id="53">
    <w:p w14:paraId="17B3D0F4" w14:textId="77777777" w:rsidR="00370535" w:rsidRPr="00C7745D" w:rsidRDefault="00370535" w:rsidP="00370535">
      <w:pPr>
        <w:pStyle w:val="FootnoteText"/>
        <w:rPr>
          <w:rFonts w:cs="Arial"/>
        </w:rPr>
      </w:pPr>
      <w:r w:rsidRPr="00C7745D">
        <w:rPr>
          <w:rStyle w:val="FootnoteReference"/>
          <w:sz w:val="20"/>
        </w:rPr>
        <w:footnoteRef/>
      </w:r>
      <w:r w:rsidRPr="00C7745D">
        <w:rPr>
          <w:rFonts w:cs="Arial"/>
        </w:rPr>
        <w:t xml:space="preserve"> Public Health Wales – </w:t>
      </w:r>
      <w:r w:rsidRPr="00C7745D">
        <w:rPr>
          <w:rFonts w:cs="Arial"/>
          <w:color w:val="0000FF"/>
        </w:rPr>
        <w:t>Public Health Outcomes Framework</w:t>
      </w:r>
    </w:p>
  </w:footnote>
  <w:footnote w:id="54">
    <w:p w14:paraId="6863DB75" w14:textId="77777777" w:rsidR="00370535" w:rsidRPr="00C7745D" w:rsidRDefault="00370535" w:rsidP="00370535">
      <w:pPr>
        <w:pStyle w:val="FootnoteText"/>
        <w:rPr>
          <w:rFonts w:asciiTheme="minorHAnsi" w:hAnsiTheme="minorHAnsi" w:cstheme="minorBidi"/>
        </w:rPr>
      </w:pPr>
      <w:r w:rsidRPr="00C7745D">
        <w:rPr>
          <w:rStyle w:val="FootnoteReference"/>
          <w:sz w:val="20"/>
        </w:rPr>
        <w:footnoteRef/>
      </w:r>
      <w:r w:rsidRPr="00C7745D">
        <w:t xml:space="preserve"> NHS Wales Public Health Wales - </w:t>
      </w:r>
      <w:hyperlink r:id="rId52" w:history="1">
        <w:r w:rsidRPr="00C7745D">
          <w:rPr>
            <w:rStyle w:val="Hyperlink"/>
            <w:color w:val="0000FF"/>
          </w:rPr>
          <w:t>Public Health Outcomes Framework for Wales reporting tool</w:t>
        </w:r>
      </w:hyperlink>
    </w:p>
  </w:footnote>
  <w:footnote w:id="55">
    <w:p w14:paraId="59E707E5" w14:textId="77777777" w:rsidR="00370535" w:rsidRPr="00C7745D" w:rsidRDefault="00370535" w:rsidP="00370535">
      <w:pPr>
        <w:rPr>
          <w:rFonts w:cs="Arial"/>
          <w:sz w:val="20"/>
          <w:szCs w:val="20"/>
        </w:rPr>
      </w:pPr>
      <w:r w:rsidRPr="00C7745D">
        <w:rPr>
          <w:rStyle w:val="FootnoteReference"/>
          <w:sz w:val="20"/>
          <w:szCs w:val="20"/>
        </w:rPr>
        <w:footnoteRef/>
      </w:r>
      <w:r w:rsidRPr="00C7745D">
        <w:rPr>
          <w:rFonts w:cs="Arial"/>
          <w:sz w:val="20"/>
          <w:szCs w:val="20"/>
        </w:rPr>
        <w:t xml:space="preserve"> Public Health Wales - </w:t>
      </w:r>
      <w:hyperlink r:id="rId53" w:history="1">
        <w:r w:rsidRPr="00C7745D">
          <w:rPr>
            <w:rStyle w:val="Hyperlink"/>
            <w:rFonts w:cs="Arial"/>
            <w:color w:val="0000FF"/>
            <w:sz w:val="20"/>
            <w:szCs w:val="20"/>
          </w:rPr>
          <w:t>A summary of trends in risk factors for non-communicable diseases (February 2025)</w:t>
        </w:r>
      </w:hyperlink>
      <w:r w:rsidRPr="00C7745D">
        <w:rPr>
          <w:rFonts w:cs="Arial"/>
          <w:color w:val="0000FF"/>
          <w:sz w:val="20"/>
          <w:szCs w:val="20"/>
          <w:u w:val="single"/>
        </w:rPr>
        <w:t xml:space="preserve"> </w:t>
      </w:r>
    </w:p>
  </w:footnote>
  <w:footnote w:id="56">
    <w:p w14:paraId="0F26C7B8" w14:textId="77777777" w:rsidR="00370535" w:rsidRPr="00C7745D" w:rsidRDefault="00370535" w:rsidP="00370535">
      <w:pPr>
        <w:rPr>
          <w:rFonts w:cs="Arial"/>
          <w:sz w:val="20"/>
          <w:szCs w:val="20"/>
        </w:rPr>
      </w:pPr>
      <w:r w:rsidRPr="00C7745D">
        <w:rPr>
          <w:rStyle w:val="FootnoteReference"/>
          <w:sz w:val="20"/>
          <w:szCs w:val="20"/>
        </w:rPr>
        <w:footnoteRef/>
      </w:r>
      <w:r w:rsidRPr="00C7745D">
        <w:rPr>
          <w:rFonts w:cs="Arial"/>
          <w:sz w:val="20"/>
          <w:szCs w:val="20"/>
        </w:rPr>
        <w:t xml:space="preserve"> Welsh Government StatsWales - </w:t>
      </w:r>
      <w:hyperlink r:id="rId54" w:anchor="dataset-nav" w:history="1">
        <w:r w:rsidRPr="00C7745D">
          <w:rPr>
            <w:rStyle w:val="Hyperlink"/>
            <w:rFonts w:cs="Arial"/>
            <w:color w:val="0000FF"/>
            <w:sz w:val="20"/>
            <w:szCs w:val="20"/>
          </w:rPr>
          <w:t>Disease register for hypertension Wales</w:t>
        </w:r>
      </w:hyperlink>
    </w:p>
  </w:footnote>
  <w:footnote w:id="57">
    <w:p w14:paraId="5DC8840E" w14:textId="77777777" w:rsidR="00370535" w:rsidRDefault="00370535" w:rsidP="00370535">
      <w:pPr>
        <w:rPr>
          <w:rFonts w:cs="Arial"/>
          <w:sz w:val="20"/>
          <w:szCs w:val="20"/>
        </w:rPr>
      </w:pPr>
      <w:r w:rsidRPr="00C7745D">
        <w:rPr>
          <w:rStyle w:val="FootnoteReference"/>
          <w:sz w:val="20"/>
          <w:szCs w:val="20"/>
        </w:rPr>
        <w:footnoteRef/>
      </w:r>
      <w:r w:rsidRPr="00C7745D">
        <w:rPr>
          <w:rFonts w:cs="Arial"/>
          <w:sz w:val="20"/>
          <w:szCs w:val="20"/>
        </w:rPr>
        <w:t xml:space="preserve"> British Heart Foundation - </w:t>
      </w:r>
      <w:hyperlink r:id="rId55" w:anchor=":~:text=Page%2011-,Risk%20Factors,have%20been%20diagnosed%20with%20diabetes" w:history="1">
        <w:r w:rsidRPr="00C7745D">
          <w:rPr>
            <w:rStyle w:val="Hyperlink"/>
            <w:rFonts w:cs="Arial"/>
            <w:color w:val="0000FF"/>
            <w:sz w:val="20"/>
            <w:szCs w:val="20"/>
          </w:rPr>
          <w:t>Wales Cardiovascular Disease Factsheet (v2) January 2026</w:t>
        </w:r>
      </w:hyperlink>
    </w:p>
  </w:footnote>
  <w:footnote w:id="58">
    <w:p w14:paraId="707EFF59" w14:textId="77777777" w:rsidR="00370535" w:rsidRPr="00C34E73" w:rsidRDefault="00370535" w:rsidP="00370535">
      <w:pPr>
        <w:rPr>
          <w:rFonts w:cs="Arial"/>
          <w:sz w:val="20"/>
          <w:szCs w:val="20"/>
        </w:rPr>
      </w:pPr>
      <w:r w:rsidRPr="00C34E73">
        <w:rPr>
          <w:rStyle w:val="FootnoteReference"/>
          <w:sz w:val="20"/>
          <w:szCs w:val="20"/>
        </w:rPr>
        <w:footnoteRef/>
      </w:r>
      <w:r w:rsidRPr="00C34E73">
        <w:rPr>
          <w:rFonts w:cs="Arial"/>
          <w:sz w:val="20"/>
          <w:szCs w:val="20"/>
        </w:rPr>
        <w:t xml:space="preserve"> Public Health Wales - </w:t>
      </w:r>
      <w:hyperlink r:id="rId56" w:history="1">
        <w:r w:rsidRPr="00C34E73">
          <w:rPr>
            <w:rStyle w:val="Hyperlink"/>
            <w:rFonts w:cs="Arial"/>
            <w:color w:val="0000FF"/>
            <w:sz w:val="20"/>
            <w:szCs w:val="20"/>
          </w:rPr>
          <w:t>Cardiovascular disease prevalence – trends, risk factors, and 10-year projections (April 2025)</w:t>
        </w:r>
      </w:hyperlink>
      <w:r w:rsidRPr="00C34E73">
        <w:rPr>
          <w:rFonts w:cs="Arial"/>
          <w:color w:val="0000FF"/>
          <w:sz w:val="20"/>
          <w:szCs w:val="20"/>
          <w:u w:val="single"/>
        </w:rPr>
        <w:t xml:space="preserve"> </w:t>
      </w:r>
    </w:p>
  </w:footnote>
  <w:footnote w:id="59">
    <w:p w14:paraId="5316F99C" w14:textId="77777777" w:rsidR="00370535" w:rsidRPr="00C34E73" w:rsidRDefault="00370535" w:rsidP="00370535">
      <w:pPr>
        <w:rPr>
          <w:rFonts w:cs="Arial"/>
          <w:sz w:val="20"/>
          <w:szCs w:val="20"/>
        </w:rPr>
      </w:pPr>
      <w:r w:rsidRPr="00C34E73">
        <w:rPr>
          <w:rStyle w:val="FootnoteReference"/>
          <w:sz w:val="20"/>
          <w:szCs w:val="20"/>
        </w:rPr>
        <w:footnoteRef/>
      </w:r>
      <w:r w:rsidRPr="00C34E73">
        <w:rPr>
          <w:rFonts w:cs="Arial"/>
          <w:sz w:val="20"/>
          <w:szCs w:val="20"/>
        </w:rPr>
        <w:t xml:space="preserve"> Welsh Government StatsWales - </w:t>
      </w:r>
      <w:hyperlink r:id="rId57" w:anchor="dataset-nav" w:history="1">
        <w:r w:rsidRPr="00C34E73">
          <w:rPr>
            <w:rStyle w:val="Hyperlink"/>
            <w:rFonts w:cs="Arial"/>
            <w:color w:val="0000FF"/>
            <w:sz w:val="20"/>
            <w:szCs w:val="20"/>
          </w:rPr>
          <w:t>Disease register for hypertension Wales</w:t>
        </w:r>
      </w:hyperlink>
    </w:p>
  </w:footnote>
  <w:footnote w:id="60">
    <w:p w14:paraId="3372AE50" w14:textId="77777777" w:rsidR="00370535" w:rsidRPr="00C34E73" w:rsidRDefault="00370535" w:rsidP="00370535">
      <w:pPr>
        <w:pStyle w:val="FootnoteText1"/>
        <w:rPr>
          <w:rFonts w:ascii="Arial" w:hAnsi="Arial" w:cs="Arial"/>
        </w:rPr>
      </w:pPr>
      <w:r w:rsidRPr="00C34E73">
        <w:rPr>
          <w:rStyle w:val="FootnoteReference"/>
          <w:sz w:val="20"/>
        </w:rPr>
        <w:footnoteRef/>
      </w:r>
      <w:r w:rsidRPr="00C34E73">
        <w:rPr>
          <w:rFonts w:ascii="Arial" w:hAnsi="Arial" w:cs="Arial"/>
        </w:rPr>
        <w:t xml:space="preserve"> Public Health England (2017). </w:t>
      </w:r>
      <w:hyperlink r:id="rId58" w:history="1">
        <w:r w:rsidRPr="00C34E73">
          <w:rPr>
            <w:rStyle w:val="Hyperlink"/>
            <w:rFonts w:ascii="Arial" w:hAnsi="Arial" w:cs="Arial"/>
            <w:color w:val="0000FF"/>
          </w:rPr>
          <w:t>Guidance Health matters: combating high blood pressure</w:t>
        </w:r>
      </w:hyperlink>
    </w:p>
  </w:footnote>
  <w:footnote w:id="61">
    <w:p w14:paraId="51960855" w14:textId="77777777" w:rsidR="00370535" w:rsidRPr="00C34E73" w:rsidRDefault="00370535" w:rsidP="00370535">
      <w:pPr>
        <w:rPr>
          <w:rFonts w:asciiTheme="minorHAnsi" w:hAnsiTheme="minorHAnsi"/>
          <w:sz w:val="20"/>
          <w:szCs w:val="20"/>
        </w:rPr>
      </w:pPr>
      <w:r w:rsidRPr="00C34E73">
        <w:rPr>
          <w:rStyle w:val="FootnoteReference"/>
          <w:sz w:val="20"/>
          <w:szCs w:val="20"/>
        </w:rPr>
        <w:footnoteRef/>
      </w:r>
      <w:r w:rsidRPr="00C34E73">
        <w:rPr>
          <w:rFonts w:cs="Arial"/>
          <w:sz w:val="20"/>
          <w:szCs w:val="20"/>
        </w:rPr>
        <w:t xml:space="preserve"> Welsh Government StatsWales - </w:t>
      </w:r>
      <w:hyperlink r:id="rId59" w:history="1">
        <w:r w:rsidRPr="00C34E73">
          <w:rPr>
            <w:rStyle w:val="Hyperlink"/>
            <w:rFonts w:cs="Arial"/>
            <w:color w:val="0000FF"/>
            <w:sz w:val="20"/>
            <w:szCs w:val="20"/>
          </w:rPr>
          <w:t>Disease registers by local health board, cluster and GP practice</w:t>
        </w:r>
      </w:hyperlink>
    </w:p>
  </w:footnote>
  <w:footnote w:id="62">
    <w:p w14:paraId="03CA737C" w14:textId="77777777" w:rsidR="00370535" w:rsidRDefault="00370535" w:rsidP="00370535">
      <w:pPr>
        <w:rPr>
          <w:rFonts w:cs="Arial"/>
          <w:sz w:val="20"/>
          <w:szCs w:val="20"/>
        </w:rPr>
      </w:pPr>
      <w:r w:rsidRPr="00C34E73">
        <w:rPr>
          <w:rStyle w:val="FootnoteReference"/>
          <w:sz w:val="20"/>
          <w:szCs w:val="20"/>
        </w:rPr>
        <w:footnoteRef/>
      </w:r>
      <w:r w:rsidRPr="00C34E73">
        <w:rPr>
          <w:rFonts w:cs="Arial"/>
          <w:sz w:val="20"/>
          <w:szCs w:val="20"/>
        </w:rPr>
        <w:t xml:space="preserve"> NHS Wales Public Health Wales - </w:t>
      </w:r>
      <w:hyperlink r:id="rId60" w:anchor="9.1%20Atrial%20Fibrillation" w:history="1">
        <w:r w:rsidRPr="00C34E73">
          <w:rPr>
            <w:rStyle w:val="Hyperlink"/>
            <w:rFonts w:cs="Arial"/>
            <w:color w:val="0000FF"/>
            <w:sz w:val="20"/>
            <w:szCs w:val="20"/>
          </w:rPr>
          <w:t>Cardiovascular disease prevalence – trends, risk factors, and 10-year projections</w:t>
        </w:r>
      </w:hyperlink>
      <w:r w:rsidRPr="00C34E73">
        <w:rPr>
          <w:rFonts w:cs="Arial"/>
          <w:sz w:val="20"/>
          <w:szCs w:val="20"/>
        </w:rPr>
        <w:t xml:space="preserve"> (April 2025)</w:t>
      </w:r>
    </w:p>
  </w:footnote>
  <w:footnote w:id="63">
    <w:p w14:paraId="08BCFDEB" w14:textId="77777777" w:rsidR="00370535" w:rsidRPr="00C34E73" w:rsidRDefault="00370535" w:rsidP="00370535">
      <w:pPr>
        <w:rPr>
          <w:rFonts w:asciiTheme="minorHAnsi" w:hAnsiTheme="minorHAnsi"/>
          <w:sz w:val="20"/>
          <w:szCs w:val="20"/>
        </w:rPr>
      </w:pPr>
      <w:r w:rsidRPr="00C34E73">
        <w:rPr>
          <w:rStyle w:val="FootnoteReference"/>
          <w:sz w:val="20"/>
          <w:szCs w:val="20"/>
        </w:rPr>
        <w:footnoteRef/>
      </w:r>
      <w:r w:rsidRPr="00C34E73">
        <w:rPr>
          <w:rFonts w:cs="Arial"/>
          <w:sz w:val="20"/>
          <w:szCs w:val="20"/>
        </w:rPr>
        <w:t xml:space="preserve"> Welsh Government StatsWales - </w:t>
      </w:r>
      <w:hyperlink r:id="rId61" w:history="1">
        <w:r w:rsidRPr="00C34E73">
          <w:rPr>
            <w:rStyle w:val="Hyperlink"/>
            <w:rFonts w:cs="Arial"/>
            <w:color w:val="0000FF"/>
            <w:sz w:val="20"/>
            <w:szCs w:val="20"/>
          </w:rPr>
          <w:t>Disease registers by local health board, cluster and GP practice</w:t>
        </w:r>
      </w:hyperlink>
    </w:p>
  </w:footnote>
  <w:footnote w:id="64">
    <w:p w14:paraId="5565D7BE" w14:textId="77777777" w:rsidR="00370535" w:rsidRDefault="00370535" w:rsidP="00370535">
      <w:pPr>
        <w:rPr>
          <w:sz w:val="20"/>
          <w:szCs w:val="20"/>
        </w:rPr>
      </w:pPr>
      <w:r w:rsidRPr="00C34E73">
        <w:rPr>
          <w:rStyle w:val="FootnoteReference"/>
          <w:sz w:val="20"/>
          <w:szCs w:val="20"/>
        </w:rPr>
        <w:footnoteRef/>
      </w:r>
      <w:r w:rsidRPr="00C34E73">
        <w:rPr>
          <w:sz w:val="20"/>
          <w:szCs w:val="20"/>
        </w:rPr>
        <w:t xml:space="preserve"> Public Health Wales - </w:t>
      </w:r>
      <w:hyperlink r:id="rId62" w:history="1">
        <w:r w:rsidRPr="00C34E73">
          <w:rPr>
            <w:rStyle w:val="Hyperlink"/>
            <w:color w:val="0000FF"/>
            <w:sz w:val="20"/>
            <w:szCs w:val="20"/>
          </w:rPr>
          <w:t>A summary of trends in risk factors for non-communicable diseases (February 2025)</w:t>
        </w:r>
      </w:hyperlink>
      <w:r>
        <w:rPr>
          <w:color w:val="0000FF"/>
          <w:sz w:val="20"/>
          <w:szCs w:val="20"/>
          <w:u w:val="single"/>
        </w:rPr>
        <w:t xml:space="preserve"> </w:t>
      </w:r>
    </w:p>
  </w:footnote>
  <w:footnote w:id="65">
    <w:p w14:paraId="3F1276C8" w14:textId="77777777" w:rsidR="00370535" w:rsidRPr="003F1F07" w:rsidRDefault="00370535" w:rsidP="00370535">
      <w:pPr>
        <w:rPr>
          <w:rFonts w:cs="Arial"/>
          <w:sz w:val="20"/>
          <w:szCs w:val="20"/>
        </w:rPr>
      </w:pPr>
      <w:r w:rsidRPr="003F1F07">
        <w:rPr>
          <w:rStyle w:val="FootnoteReference"/>
          <w:sz w:val="20"/>
          <w:szCs w:val="20"/>
        </w:rPr>
        <w:footnoteRef/>
      </w:r>
      <w:r w:rsidRPr="003F1F07">
        <w:rPr>
          <w:rFonts w:cs="Arial"/>
          <w:sz w:val="20"/>
          <w:szCs w:val="20"/>
        </w:rPr>
        <w:t xml:space="preserve"> </w:t>
      </w:r>
      <w:r w:rsidRPr="003F1F07">
        <w:rPr>
          <w:rFonts w:cs="Arial"/>
          <w:color w:val="222222"/>
          <w:sz w:val="20"/>
          <w:szCs w:val="20"/>
          <w:shd w:val="clear" w:color="auto" w:fill="FFFFFF"/>
        </w:rPr>
        <w:t>Lewer, D., Meier, P., Beard, E. et al. </w:t>
      </w:r>
      <w:hyperlink r:id="rId63" w:history="1">
        <w:r w:rsidRPr="003F1F07">
          <w:rPr>
            <w:rStyle w:val="Hyperlink"/>
            <w:rFonts w:cs="Arial"/>
            <w:color w:val="0000FF"/>
            <w:sz w:val="20"/>
            <w:szCs w:val="20"/>
            <w:shd w:val="clear" w:color="auto" w:fill="FFFFFF"/>
          </w:rPr>
          <w:t>Unravelling the alcohol harm paradox: a population-based study of social gradients across very heavy drinking thresholds</w:t>
        </w:r>
      </w:hyperlink>
      <w:r w:rsidRPr="003F1F07">
        <w:rPr>
          <w:rFonts w:cs="Arial"/>
          <w:color w:val="222222"/>
          <w:sz w:val="20"/>
          <w:szCs w:val="20"/>
          <w:shd w:val="clear" w:color="auto" w:fill="FFFFFF"/>
        </w:rPr>
        <w:t>. BMC Public Health </w:t>
      </w:r>
      <w:r w:rsidRPr="003F1F07">
        <w:rPr>
          <w:rFonts w:cs="Arial"/>
          <w:b/>
          <w:bCs/>
          <w:color w:val="222222"/>
          <w:sz w:val="20"/>
          <w:szCs w:val="20"/>
          <w:shd w:val="clear" w:color="auto" w:fill="FFFFFF"/>
        </w:rPr>
        <w:t>16</w:t>
      </w:r>
      <w:r w:rsidRPr="003F1F07">
        <w:rPr>
          <w:rFonts w:cs="Arial"/>
          <w:color w:val="222222"/>
          <w:sz w:val="20"/>
          <w:szCs w:val="20"/>
          <w:shd w:val="clear" w:color="auto" w:fill="FFFFFF"/>
        </w:rPr>
        <w:t>, 599 (2016) </w:t>
      </w:r>
    </w:p>
  </w:footnote>
  <w:footnote w:id="66">
    <w:p w14:paraId="42639991" w14:textId="77777777" w:rsidR="00370535" w:rsidRPr="003F1F07" w:rsidRDefault="00370535" w:rsidP="00370535">
      <w:pPr>
        <w:pStyle w:val="FootnoteText"/>
        <w:rPr>
          <w:rFonts w:cs="Arial"/>
        </w:rPr>
      </w:pPr>
      <w:r w:rsidRPr="003F1F07">
        <w:rPr>
          <w:rStyle w:val="FootnoteReference"/>
          <w:sz w:val="20"/>
        </w:rPr>
        <w:footnoteRef/>
      </w:r>
      <w:r w:rsidRPr="003F1F07">
        <w:rPr>
          <w:rFonts w:cs="Arial"/>
        </w:rPr>
        <w:t xml:space="preserve"> InfoBaseCymru data for an intelligent Wales - </w:t>
      </w:r>
      <w:hyperlink r:id="rId64" w:history="1">
        <w:r w:rsidRPr="003F1F07">
          <w:rPr>
            <w:rStyle w:val="Hyperlink"/>
            <w:rFonts w:cs="Arial"/>
            <w:color w:val="0000FF"/>
          </w:rPr>
          <w:t xml:space="preserve">Adults reporting lifestyle behaviours </w:t>
        </w:r>
      </w:hyperlink>
      <w:r w:rsidRPr="003F1F07">
        <w:rPr>
          <w:rFonts w:cs="Arial"/>
        </w:rPr>
        <w:t>(2021 to 2023)</w:t>
      </w:r>
    </w:p>
  </w:footnote>
  <w:footnote w:id="67">
    <w:p w14:paraId="02073163" w14:textId="77777777" w:rsidR="00370535" w:rsidRPr="003F1F07" w:rsidRDefault="00370535" w:rsidP="00370535">
      <w:pPr>
        <w:rPr>
          <w:rFonts w:cs="Arial"/>
          <w:sz w:val="20"/>
          <w:szCs w:val="20"/>
        </w:rPr>
      </w:pPr>
      <w:r w:rsidRPr="003F1F07">
        <w:rPr>
          <w:rStyle w:val="FootnoteReference"/>
          <w:sz w:val="20"/>
          <w:szCs w:val="20"/>
        </w:rPr>
        <w:footnoteRef/>
      </w:r>
      <w:r w:rsidRPr="003F1F07">
        <w:rPr>
          <w:rFonts w:cs="Arial"/>
          <w:sz w:val="20"/>
          <w:szCs w:val="20"/>
        </w:rPr>
        <w:t xml:space="preserve"> InfoBaseCymru data for an intelligent Wales - </w:t>
      </w:r>
      <w:hyperlink r:id="rId65" w:history="1">
        <w:r w:rsidRPr="003F1F07">
          <w:rPr>
            <w:rStyle w:val="Hyperlink"/>
            <w:rFonts w:cs="Arial"/>
            <w:color w:val="0000FF"/>
            <w:sz w:val="20"/>
            <w:szCs w:val="20"/>
          </w:rPr>
          <w:t xml:space="preserve">Adults reporting lifestyle behaviours </w:t>
        </w:r>
      </w:hyperlink>
      <w:r w:rsidRPr="003F1F07">
        <w:rPr>
          <w:rFonts w:cs="Arial"/>
          <w:sz w:val="20"/>
          <w:szCs w:val="20"/>
        </w:rPr>
        <w:t>(2021 to 2023)</w:t>
      </w:r>
    </w:p>
  </w:footnote>
  <w:footnote w:id="68">
    <w:p w14:paraId="68FE510B" w14:textId="77777777" w:rsidR="00370535" w:rsidRPr="003F1F07" w:rsidRDefault="00370535" w:rsidP="00370535">
      <w:pPr>
        <w:rPr>
          <w:rFonts w:cs="Arial"/>
          <w:sz w:val="20"/>
          <w:szCs w:val="20"/>
        </w:rPr>
      </w:pPr>
      <w:r w:rsidRPr="003F1F07">
        <w:rPr>
          <w:rStyle w:val="FootnoteReference"/>
          <w:sz w:val="20"/>
          <w:szCs w:val="20"/>
        </w:rPr>
        <w:footnoteRef/>
      </w:r>
      <w:r w:rsidRPr="003F1F07">
        <w:rPr>
          <w:rFonts w:cs="Arial"/>
          <w:sz w:val="20"/>
          <w:szCs w:val="20"/>
        </w:rPr>
        <w:t xml:space="preserve"> </w:t>
      </w:r>
      <w:r w:rsidRPr="003F1F07">
        <w:rPr>
          <w:rFonts w:eastAsia="Aptos" w:cs="Arial"/>
          <w:kern w:val="0"/>
          <w:sz w:val="20"/>
          <w:szCs w:val="20"/>
        </w:rPr>
        <w:t xml:space="preserve">Office of National Statistics Census 2021 - </w:t>
      </w:r>
      <w:hyperlink r:id="rId66" w:history="1">
        <w:r w:rsidRPr="003F1F07">
          <w:rPr>
            <w:rStyle w:val="Hyperlink"/>
            <w:rFonts w:cs="Arial"/>
            <w:color w:val="0000FF"/>
            <w:sz w:val="20"/>
            <w:szCs w:val="20"/>
          </w:rPr>
          <w:t>Population estimates for England and Wales: mid 2024</w:t>
        </w:r>
      </w:hyperlink>
    </w:p>
  </w:footnote>
  <w:footnote w:id="69">
    <w:p w14:paraId="7F780808" w14:textId="77777777" w:rsidR="00370535" w:rsidRPr="003F1F07" w:rsidRDefault="00370535" w:rsidP="00370535">
      <w:pPr>
        <w:rPr>
          <w:rFonts w:cs="Arial"/>
          <w:sz w:val="20"/>
          <w:szCs w:val="20"/>
        </w:rPr>
      </w:pPr>
      <w:r w:rsidRPr="003F1F07">
        <w:rPr>
          <w:rStyle w:val="FootnoteReference"/>
          <w:sz w:val="20"/>
          <w:szCs w:val="20"/>
        </w:rPr>
        <w:footnoteRef/>
      </w:r>
      <w:r w:rsidRPr="003F1F07">
        <w:rPr>
          <w:rFonts w:cs="Arial"/>
          <w:sz w:val="20"/>
          <w:szCs w:val="20"/>
        </w:rPr>
        <w:t xml:space="preserve"> </w:t>
      </w:r>
      <w:r w:rsidRPr="003F1F07">
        <w:rPr>
          <w:rFonts w:eastAsia="Aptos" w:cs="Arial"/>
          <w:kern w:val="0"/>
          <w:sz w:val="20"/>
          <w:szCs w:val="20"/>
        </w:rPr>
        <w:t xml:space="preserve">Office of National Statistics Census 2021 - </w:t>
      </w:r>
      <w:hyperlink r:id="rId67" w:history="1">
        <w:r w:rsidRPr="003F1F07">
          <w:rPr>
            <w:rStyle w:val="Hyperlink"/>
            <w:rFonts w:cs="Arial"/>
            <w:color w:val="0000FF"/>
            <w:sz w:val="20"/>
            <w:szCs w:val="20"/>
          </w:rPr>
          <w:t>Population estimates for England and Wales: mid 2024</w:t>
        </w:r>
      </w:hyperlink>
    </w:p>
  </w:footnote>
  <w:footnote w:id="70">
    <w:p w14:paraId="3AD92779" w14:textId="77777777" w:rsidR="00370535" w:rsidRDefault="00370535" w:rsidP="00370535">
      <w:pPr>
        <w:rPr>
          <w:rFonts w:cs="Arial"/>
          <w:sz w:val="20"/>
          <w:szCs w:val="20"/>
        </w:rPr>
      </w:pPr>
      <w:r w:rsidRPr="003F1F07">
        <w:rPr>
          <w:rStyle w:val="FootnoteReference"/>
          <w:sz w:val="20"/>
          <w:szCs w:val="20"/>
        </w:rPr>
        <w:footnoteRef/>
      </w:r>
      <w:r w:rsidRPr="003F1F07">
        <w:rPr>
          <w:rFonts w:cs="Arial"/>
          <w:sz w:val="20"/>
          <w:szCs w:val="20"/>
        </w:rPr>
        <w:t xml:space="preserve"> </w:t>
      </w:r>
      <w:r w:rsidRPr="003F1F07">
        <w:rPr>
          <w:rFonts w:eastAsia="Aptos" w:cs="Arial"/>
          <w:kern w:val="0"/>
          <w:sz w:val="20"/>
          <w:szCs w:val="20"/>
        </w:rPr>
        <w:t xml:space="preserve">Welsh Government July 2025 - </w:t>
      </w:r>
      <w:hyperlink r:id="rId68" w:history="1">
        <w:r w:rsidRPr="003F1F07">
          <w:rPr>
            <w:rStyle w:val="Hyperlink"/>
            <w:rFonts w:cs="Arial"/>
            <w:color w:val="0000FF"/>
            <w:sz w:val="20"/>
            <w:szCs w:val="20"/>
          </w:rPr>
          <w:t>Mid-year estimates of the population: 2024</w:t>
        </w:r>
      </w:hyperlink>
    </w:p>
  </w:footnote>
  <w:footnote w:id="71">
    <w:p w14:paraId="37CC1D81" w14:textId="77777777" w:rsidR="00370535" w:rsidRPr="003F1F07" w:rsidRDefault="00370535" w:rsidP="00370535">
      <w:pPr>
        <w:pStyle w:val="FootnoteText"/>
        <w:rPr>
          <w:rFonts w:cs="Arial"/>
        </w:rPr>
      </w:pPr>
      <w:r w:rsidRPr="003F1F07">
        <w:rPr>
          <w:rStyle w:val="FootnoteReference"/>
          <w:sz w:val="20"/>
        </w:rPr>
        <w:footnoteRef/>
      </w:r>
      <w:r w:rsidRPr="003F1F07">
        <w:rPr>
          <w:rFonts w:cs="Arial"/>
        </w:rPr>
        <w:t xml:space="preserve"> Doll, R., et al. (2004). </w:t>
      </w:r>
      <w:hyperlink r:id="rId69" w:history="1">
        <w:r w:rsidRPr="003F1F07">
          <w:rPr>
            <w:rStyle w:val="Hyperlink"/>
            <w:rFonts w:cs="Arial"/>
            <w:color w:val="0000FF"/>
          </w:rPr>
          <w:t>Mortality in relation to smoking: 50 years' observations on male British doctors</w:t>
        </w:r>
      </w:hyperlink>
    </w:p>
  </w:footnote>
  <w:footnote w:id="72">
    <w:p w14:paraId="2C94C1D2" w14:textId="77777777" w:rsidR="00370535" w:rsidRPr="003F1F07" w:rsidRDefault="00370535" w:rsidP="00370535">
      <w:pPr>
        <w:rPr>
          <w:rFonts w:cs="Arial"/>
          <w:sz w:val="20"/>
          <w:szCs w:val="20"/>
        </w:rPr>
      </w:pPr>
      <w:r w:rsidRPr="003F1F07">
        <w:rPr>
          <w:rStyle w:val="FootnoteReference"/>
          <w:sz w:val="20"/>
          <w:szCs w:val="20"/>
        </w:rPr>
        <w:footnoteRef/>
      </w:r>
      <w:r w:rsidRPr="003F1F07">
        <w:rPr>
          <w:rFonts w:cs="Arial"/>
          <w:sz w:val="20"/>
          <w:szCs w:val="20"/>
        </w:rPr>
        <w:t xml:space="preserve"> World Health Organization 2022 - </w:t>
      </w:r>
      <w:hyperlink r:id="rId70" w:history="1">
        <w:r w:rsidRPr="003F1F07">
          <w:rPr>
            <w:rStyle w:val="Hyperlink"/>
            <w:rFonts w:cs="Arial"/>
            <w:color w:val="0000FF"/>
            <w:sz w:val="20"/>
            <w:szCs w:val="20"/>
          </w:rPr>
          <w:t>Tabacco: Fact sheet (June 2025)</w:t>
        </w:r>
      </w:hyperlink>
    </w:p>
  </w:footnote>
  <w:footnote w:id="73">
    <w:p w14:paraId="61DC549A" w14:textId="77777777" w:rsidR="00370535" w:rsidRPr="003F1F07" w:rsidRDefault="00370535" w:rsidP="00370535">
      <w:pPr>
        <w:rPr>
          <w:rFonts w:asciiTheme="minorHAnsi" w:hAnsiTheme="minorHAnsi"/>
          <w:sz w:val="20"/>
          <w:szCs w:val="20"/>
        </w:rPr>
      </w:pPr>
      <w:r w:rsidRPr="003F1F07">
        <w:rPr>
          <w:rStyle w:val="FootnoteReference"/>
          <w:sz w:val="20"/>
          <w:szCs w:val="20"/>
        </w:rPr>
        <w:footnoteRef/>
      </w:r>
      <w:r w:rsidRPr="003F1F07">
        <w:rPr>
          <w:rFonts w:cs="Arial"/>
          <w:sz w:val="20"/>
          <w:szCs w:val="20"/>
        </w:rPr>
        <w:t xml:space="preserve"> NHS Wales Public Health Wales - </w:t>
      </w:r>
      <w:hyperlink r:id="rId71" w:history="1">
        <w:r w:rsidRPr="003F1F07">
          <w:rPr>
            <w:rStyle w:val="Hyperlink"/>
            <w:rFonts w:cs="Arial"/>
            <w:color w:val="0000FF"/>
            <w:sz w:val="20"/>
            <w:szCs w:val="20"/>
          </w:rPr>
          <w:t>Smoking attributable mortality and hospital admissions for Wales, 2020-22</w:t>
        </w:r>
      </w:hyperlink>
      <w:r w:rsidRPr="003F1F07">
        <w:rPr>
          <w:rFonts w:cs="Arial"/>
          <w:color w:val="0000FF"/>
          <w:sz w:val="20"/>
          <w:szCs w:val="20"/>
          <w:u w:val="single"/>
        </w:rPr>
        <w:t xml:space="preserve"> (new analysis)</w:t>
      </w:r>
    </w:p>
  </w:footnote>
  <w:footnote w:id="74">
    <w:p w14:paraId="5CA68471" w14:textId="77777777" w:rsidR="00370535" w:rsidRPr="00C95FAA" w:rsidRDefault="00370535" w:rsidP="00370535">
      <w:pPr>
        <w:rPr>
          <w:sz w:val="20"/>
          <w:szCs w:val="20"/>
        </w:rPr>
      </w:pPr>
      <w:r w:rsidRPr="00C95FAA">
        <w:rPr>
          <w:rStyle w:val="FootnoteReference"/>
          <w:sz w:val="20"/>
          <w:szCs w:val="20"/>
        </w:rPr>
        <w:footnoteRef/>
      </w:r>
      <w:r w:rsidRPr="00C95FAA">
        <w:rPr>
          <w:sz w:val="20"/>
          <w:szCs w:val="20"/>
        </w:rPr>
        <w:t xml:space="preserve"> NHS Wales Public Health Wales - </w:t>
      </w:r>
      <w:hyperlink r:id="rId72" w:history="1">
        <w:r w:rsidRPr="00C95FAA">
          <w:rPr>
            <w:rStyle w:val="Hyperlink"/>
            <w:color w:val="0000FF"/>
            <w:sz w:val="20"/>
            <w:szCs w:val="20"/>
          </w:rPr>
          <w:t>Smoking attributable mortality and hospital admissions for Wales, 2020-22</w:t>
        </w:r>
      </w:hyperlink>
      <w:r w:rsidRPr="00C95FAA">
        <w:rPr>
          <w:color w:val="0000FF"/>
          <w:sz w:val="20"/>
          <w:szCs w:val="20"/>
          <w:u w:val="single"/>
        </w:rPr>
        <w:t xml:space="preserve"> (new analysis)</w:t>
      </w:r>
    </w:p>
  </w:footnote>
  <w:footnote w:id="75">
    <w:p w14:paraId="7B33BD7C" w14:textId="77777777" w:rsidR="00370535" w:rsidRPr="00C95FAA" w:rsidRDefault="00370535" w:rsidP="00370535">
      <w:pPr>
        <w:pStyle w:val="FootnoteText"/>
      </w:pPr>
      <w:r w:rsidRPr="00C95FAA">
        <w:rPr>
          <w:rStyle w:val="FootnoteReference"/>
          <w:sz w:val="20"/>
        </w:rPr>
        <w:footnoteRef/>
      </w:r>
      <w:r w:rsidRPr="00C95FAA">
        <w:t xml:space="preserve"> NHS 2018 - </w:t>
      </w:r>
      <w:hyperlink r:id="rId73" w:history="1">
        <w:r w:rsidRPr="00C95FAA">
          <w:rPr>
            <w:rStyle w:val="Hyperlink"/>
            <w:color w:val="0000FF"/>
          </w:rPr>
          <w:t>What are the health risks of smoking?</w:t>
        </w:r>
      </w:hyperlink>
    </w:p>
  </w:footnote>
  <w:footnote w:id="76">
    <w:p w14:paraId="0AF94778" w14:textId="77777777" w:rsidR="00370535" w:rsidRPr="00C95FAA" w:rsidRDefault="00370535" w:rsidP="00370535">
      <w:pPr>
        <w:pStyle w:val="FootnoteText"/>
        <w:rPr>
          <w:rFonts w:cs="Arial"/>
        </w:rPr>
      </w:pPr>
      <w:r w:rsidRPr="00C95FAA">
        <w:rPr>
          <w:rStyle w:val="FootnoteReference"/>
          <w:sz w:val="20"/>
        </w:rPr>
        <w:footnoteRef/>
      </w:r>
      <w:r w:rsidRPr="00C95FAA">
        <w:rPr>
          <w:rFonts w:cs="Arial"/>
        </w:rPr>
        <w:t xml:space="preserve"> </w:t>
      </w:r>
      <w:r w:rsidRPr="00C95FAA">
        <w:rPr>
          <w:rFonts w:eastAsia="Times New Roman" w:cs="Arial"/>
          <w:color w:val="1F1F1F"/>
          <w:kern w:val="0"/>
          <w:lang w:eastAsia="en-GB"/>
          <w14:ligatures w14:val="none"/>
        </w:rPr>
        <w:t>Department of Health Scientific Committee on Tobacco and Health (SCOTH) 2004. </w:t>
      </w:r>
      <w:hyperlink r:id="rId74" w:history="1">
        <w:r w:rsidRPr="00C95FAA">
          <w:rPr>
            <w:rStyle w:val="Hyperlink"/>
            <w:rFonts w:eastAsia="Times New Roman" w:cs="Arial"/>
            <w:color w:val="0000FF"/>
            <w:kern w:val="0"/>
            <w:lang w:eastAsia="en-GB"/>
            <w14:ligatures w14:val="none"/>
          </w:rPr>
          <w:t>Secondhand Smoke: Review of the evidence since 1998</w:t>
        </w:r>
      </w:hyperlink>
    </w:p>
  </w:footnote>
  <w:footnote w:id="77">
    <w:p w14:paraId="18377F2B" w14:textId="77777777" w:rsidR="00370535" w:rsidRPr="00C95FAA" w:rsidRDefault="00370535" w:rsidP="00370535">
      <w:pPr>
        <w:pStyle w:val="FootnoteText"/>
        <w:rPr>
          <w:rFonts w:cs="Arial"/>
        </w:rPr>
      </w:pPr>
      <w:r w:rsidRPr="00C95FAA">
        <w:rPr>
          <w:rStyle w:val="FootnoteReference"/>
          <w:sz w:val="20"/>
        </w:rPr>
        <w:footnoteRef/>
      </w:r>
      <w:r w:rsidRPr="00C95FAA">
        <w:rPr>
          <w:rFonts w:cs="Arial"/>
        </w:rPr>
        <w:t xml:space="preserve"> Royal College of Physicians London - </w:t>
      </w:r>
      <w:hyperlink r:id="rId75" w:history="1">
        <w:r w:rsidRPr="00C95FAA">
          <w:rPr>
            <w:rStyle w:val="Hyperlink"/>
            <w:rFonts w:cs="Arial"/>
            <w:color w:val="0000FF"/>
          </w:rPr>
          <w:t>Passive smoking and children (March 2010)</w:t>
        </w:r>
      </w:hyperlink>
    </w:p>
  </w:footnote>
  <w:footnote w:id="78">
    <w:p w14:paraId="24164D6B" w14:textId="77777777" w:rsidR="00370535" w:rsidRDefault="00370535" w:rsidP="00370535">
      <w:pPr>
        <w:pStyle w:val="FootnoteText"/>
        <w:rPr>
          <w:rFonts w:cs="Arial"/>
        </w:rPr>
      </w:pPr>
      <w:r w:rsidRPr="00C95FAA">
        <w:rPr>
          <w:rStyle w:val="FootnoteReference"/>
          <w:sz w:val="20"/>
        </w:rPr>
        <w:footnoteRef/>
      </w:r>
      <w:r w:rsidRPr="00C95FAA">
        <w:rPr>
          <w:rFonts w:cs="Arial"/>
        </w:rPr>
        <w:t xml:space="preserve"> Royal College of Obstetricians and Gynaecologists - </w:t>
      </w:r>
      <w:hyperlink r:id="rId76" w:history="1">
        <w:r w:rsidRPr="00C95FAA">
          <w:rPr>
            <w:rStyle w:val="Hyperlink"/>
            <w:rFonts w:cs="Arial"/>
            <w:color w:val="0000FF"/>
          </w:rPr>
          <w:t>Smoking and pregnancy (2021)</w:t>
        </w:r>
      </w:hyperlink>
    </w:p>
  </w:footnote>
  <w:footnote w:id="79">
    <w:p w14:paraId="06A4CF93" w14:textId="77777777" w:rsidR="00370535" w:rsidRPr="00C95FAA" w:rsidRDefault="00370535" w:rsidP="00370535">
      <w:pPr>
        <w:rPr>
          <w:rFonts w:asciiTheme="minorHAnsi" w:hAnsiTheme="minorHAnsi"/>
          <w:sz w:val="20"/>
          <w:szCs w:val="20"/>
        </w:rPr>
      </w:pPr>
      <w:r w:rsidRPr="00C95FAA">
        <w:rPr>
          <w:rStyle w:val="FootnoteReference"/>
          <w:sz w:val="20"/>
          <w:szCs w:val="20"/>
        </w:rPr>
        <w:footnoteRef/>
      </w:r>
      <w:r w:rsidRPr="00C95FAA">
        <w:rPr>
          <w:rFonts w:cs="Arial"/>
          <w:sz w:val="20"/>
          <w:szCs w:val="20"/>
        </w:rPr>
        <w:t xml:space="preserve"> Office of National Statistics - </w:t>
      </w:r>
      <w:hyperlink r:id="rId77" w:history="1">
        <w:r w:rsidRPr="00C95FAA">
          <w:rPr>
            <w:rStyle w:val="Hyperlink"/>
            <w:rFonts w:cs="Arial"/>
            <w:color w:val="0000FF"/>
            <w:sz w:val="20"/>
            <w:szCs w:val="20"/>
          </w:rPr>
          <w:t>Adult smoking habits in the UK: 2024</w:t>
        </w:r>
        <w:r w:rsidRPr="00C95FAA">
          <w:rPr>
            <w:rStyle w:val="Hyperlink"/>
            <w:color w:val="0000FF"/>
            <w:sz w:val="20"/>
            <w:szCs w:val="20"/>
          </w:rPr>
          <w:t xml:space="preserve"> </w:t>
        </w:r>
      </w:hyperlink>
    </w:p>
  </w:footnote>
  <w:footnote w:id="80">
    <w:p w14:paraId="7BBBFBBD" w14:textId="77777777" w:rsidR="00370535" w:rsidRDefault="00370535" w:rsidP="00370535">
      <w:pPr>
        <w:pStyle w:val="FootnoteText"/>
        <w:rPr>
          <w:rFonts w:cs="Arial"/>
        </w:rPr>
      </w:pPr>
      <w:r w:rsidRPr="00C95FAA">
        <w:rPr>
          <w:rStyle w:val="FootnoteReference"/>
          <w:sz w:val="20"/>
        </w:rPr>
        <w:footnoteRef/>
      </w:r>
      <w:r w:rsidRPr="00C95FAA">
        <w:rPr>
          <w:rFonts w:cs="Arial"/>
        </w:rPr>
        <w:t xml:space="preserve"> InfoBaseCymru data for an intelligent Wales - </w:t>
      </w:r>
      <w:hyperlink r:id="rId78" w:history="1">
        <w:r w:rsidRPr="00C95FAA">
          <w:rPr>
            <w:rStyle w:val="Hyperlink"/>
            <w:rFonts w:cs="Arial"/>
            <w:color w:val="0000FF"/>
          </w:rPr>
          <w:t xml:space="preserve">Adults reporting lifestyle behaviours </w:t>
        </w:r>
      </w:hyperlink>
      <w:r w:rsidRPr="00C95FAA">
        <w:rPr>
          <w:rFonts w:cs="Arial"/>
        </w:rPr>
        <w:t>(2021 to 2023)</w:t>
      </w:r>
    </w:p>
  </w:footnote>
  <w:footnote w:id="81">
    <w:p w14:paraId="75B56A7B" w14:textId="77777777" w:rsidR="00370535" w:rsidRPr="00C95FAA" w:rsidRDefault="00370535" w:rsidP="00370535">
      <w:pPr>
        <w:rPr>
          <w:rFonts w:cs="Arial"/>
          <w:sz w:val="20"/>
          <w:szCs w:val="20"/>
        </w:rPr>
      </w:pPr>
      <w:r w:rsidRPr="00C95FAA">
        <w:rPr>
          <w:rStyle w:val="FootnoteReference"/>
          <w:sz w:val="20"/>
          <w:szCs w:val="20"/>
        </w:rPr>
        <w:footnoteRef/>
      </w:r>
      <w:r w:rsidRPr="00C95FAA">
        <w:rPr>
          <w:rFonts w:cs="Arial"/>
          <w:sz w:val="20"/>
          <w:szCs w:val="20"/>
        </w:rPr>
        <w:t xml:space="preserve"> InfoBaseCymru data for an intelligent Wales - </w:t>
      </w:r>
      <w:hyperlink r:id="rId79" w:history="1">
        <w:r w:rsidRPr="00C95FAA">
          <w:rPr>
            <w:rStyle w:val="Hyperlink"/>
            <w:rFonts w:cs="Arial"/>
            <w:color w:val="0000FF"/>
            <w:sz w:val="20"/>
            <w:szCs w:val="20"/>
          </w:rPr>
          <w:t xml:space="preserve">Adults reporting lifestyle behaviours </w:t>
        </w:r>
      </w:hyperlink>
      <w:r w:rsidRPr="00C95FAA">
        <w:rPr>
          <w:rFonts w:cs="Arial"/>
          <w:sz w:val="20"/>
          <w:szCs w:val="20"/>
        </w:rPr>
        <w:t>(2021 to 2023)</w:t>
      </w:r>
    </w:p>
  </w:footnote>
  <w:footnote w:id="82">
    <w:p w14:paraId="4BC2F562" w14:textId="77777777" w:rsidR="00370535" w:rsidRPr="00C95FAA" w:rsidRDefault="00370535" w:rsidP="00370535">
      <w:pPr>
        <w:rPr>
          <w:rFonts w:cs="Arial"/>
          <w:sz w:val="20"/>
          <w:szCs w:val="20"/>
        </w:rPr>
      </w:pPr>
      <w:r w:rsidRPr="00C95FAA">
        <w:rPr>
          <w:rStyle w:val="FootnoteReference"/>
          <w:sz w:val="20"/>
          <w:szCs w:val="20"/>
        </w:rPr>
        <w:footnoteRef/>
      </w:r>
      <w:r w:rsidRPr="00C95FAA">
        <w:rPr>
          <w:rFonts w:cs="Arial"/>
          <w:sz w:val="20"/>
          <w:szCs w:val="20"/>
        </w:rPr>
        <w:t xml:space="preserve"> </w:t>
      </w:r>
      <w:r w:rsidRPr="00C95FAA">
        <w:rPr>
          <w:rFonts w:eastAsia="Aptos" w:cs="Arial"/>
          <w:kern w:val="0"/>
          <w:sz w:val="20"/>
          <w:szCs w:val="20"/>
        </w:rPr>
        <w:t xml:space="preserve">Office of National Statistics Census 2021 - </w:t>
      </w:r>
      <w:hyperlink r:id="rId80" w:history="1">
        <w:r w:rsidRPr="00C95FAA">
          <w:rPr>
            <w:rStyle w:val="Hyperlink"/>
            <w:rFonts w:cs="Arial"/>
            <w:color w:val="0000FF"/>
            <w:sz w:val="20"/>
            <w:szCs w:val="20"/>
          </w:rPr>
          <w:t>Population estimates for England and Wales: mid 2024</w:t>
        </w:r>
      </w:hyperlink>
    </w:p>
  </w:footnote>
  <w:footnote w:id="83">
    <w:p w14:paraId="114C7E75" w14:textId="77777777" w:rsidR="00370535" w:rsidRPr="00C95FAA" w:rsidRDefault="00370535" w:rsidP="00370535">
      <w:pPr>
        <w:rPr>
          <w:rFonts w:cs="Arial"/>
          <w:sz w:val="20"/>
          <w:szCs w:val="20"/>
        </w:rPr>
      </w:pPr>
      <w:r w:rsidRPr="00C95FAA">
        <w:rPr>
          <w:rStyle w:val="FootnoteReference"/>
          <w:sz w:val="20"/>
          <w:szCs w:val="20"/>
        </w:rPr>
        <w:footnoteRef/>
      </w:r>
      <w:r w:rsidRPr="00C95FAA">
        <w:rPr>
          <w:rFonts w:cs="Arial"/>
          <w:sz w:val="20"/>
          <w:szCs w:val="20"/>
        </w:rPr>
        <w:t xml:space="preserve"> </w:t>
      </w:r>
      <w:r w:rsidRPr="00C95FAA">
        <w:rPr>
          <w:rFonts w:eastAsia="Aptos" w:cs="Arial"/>
          <w:kern w:val="0"/>
          <w:sz w:val="20"/>
          <w:szCs w:val="20"/>
        </w:rPr>
        <w:t xml:space="preserve">Office of National Statistics Census 2021 - </w:t>
      </w:r>
      <w:hyperlink r:id="rId81" w:history="1">
        <w:r w:rsidRPr="00C95FAA">
          <w:rPr>
            <w:rStyle w:val="Hyperlink"/>
            <w:rFonts w:cs="Arial"/>
            <w:color w:val="0000FF"/>
            <w:sz w:val="20"/>
            <w:szCs w:val="20"/>
          </w:rPr>
          <w:t>Population estimates for England and Wales: mid 2024</w:t>
        </w:r>
      </w:hyperlink>
    </w:p>
  </w:footnote>
  <w:footnote w:id="84">
    <w:p w14:paraId="3E9BF76A" w14:textId="77777777" w:rsidR="00370535" w:rsidRPr="00C95FAA" w:rsidRDefault="00370535" w:rsidP="00370535">
      <w:pPr>
        <w:rPr>
          <w:rFonts w:cs="Arial"/>
          <w:sz w:val="20"/>
          <w:szCs w:val="20"/>
        </w:rPr>
      </w:pPr>
      <w:r w:rsidRPr="00C95FAA">
        <w:rPr>
          <w:rStyle w:val="FootnoteReference"/>
          <w:sz w:val="20"/>
          <w:szCs w:val="20"/>
        </w:rPr>
        <w:footnoteRef/>
      </w:r>
      <w:r w:rsidRPr="00C95FAA">
        <w:rPr>
          <w:rFonts w:cs="Arial"/>
          <w:sz w:val="20"/>
          <w:szCs w:val="20"/>
        </w:rPr>
        <w:t xml:space="preserve"> </w:t>
      </w:r>
      <w:r w:rsidRPr="00C95FAA">
        <w:rPr>
          <w:rFonts w:eastAsia="Aptos" w:cs="Arial"/>
          <w:kern w:val="0"/>
          <w:sz w:val="20"/>
          <w:szCs w:val="20"/>
        </w:rPr>
        <w:t xml:space="preserve">Welsh Government July 2025 - </w:t>
      </w:r>
      <w:hyperlink r:id="rId82" w:history="1">
        <w:r w:rsidRPr="00C95FAA">
          <w:rPr>
            <w:rStyle w:val="Hyperlink"/>
            <w:rFonts w:cs="Arial"/>
            <w:color w:val="0000FF"/>
            <w:sz w:val="20"/>
            <w:szCs w:val="20"/>
          </w:rPr>
          <w:t>Mid-year estimates of the population: 2024</w:t>
        </w:r>
      </w:hyperlink>
    </w:p>
  </w:footnote>
  <w:footnote w:id="85">
    <w:p w14:paraId="006F7E18" w14:textId="77777777" w:rsidR="00370535" w:rsidRDefault="00370535" w:rsidP="00370535">
      <w:pPr>
        <w:rPr>
          <w:rFonts w:asciiTheme="minorHAnsi" w:hAnsiTheme="minorHAnsi"/>
        </w:rPr>
      </w:pPr>
      <w:r w:rsidRPr="00C95FAA">
        <w:rPr>
          <w:rStyle w:val="FootnoteReference"/>
          <w:sz w:val="20"/>
          <w:szCs w:val="20"/>
        </w:rPr>
        <w:footnoteRef/>
      </w:r>
      <w:r w:rsidRPr="00C95FAA">
        <w:rPr>
          <w:rFonts w:cs="Arial"/>
          <w:sz w:val="20"/>
          <w:szCs w:val="20"/>
        </w:rPr>
        <w:t xml:space="preserve"> NHS Wales Public Health Wales and The School Health Research Network - </w:t>
      </w:r>
      <w:hyperlink r:id="rId83" w:history="1">
        <w:r w:rsidRPr="00C95FAA">
          <w:rPr>
            <w:rStyle w:val="Hyperlink"/>
            <w:rFonts w:cs="Arial"/>
            <w:color w:val="0000FF"/>
            <w:sz w:val="20"/>
            <w:szCs w:val="20"/>
          </w:rPr>
          <w:t xml:space="preserve">Vaping and Smoking amongst Learners in Year seven to 11 in Wales - Analysis from The School Health Research Network Student Health and Well-being Survey in secondary schools, 2023 </w:t>
        </w:r>
      </w:hyperlink>
    </w:p>
  </w:footnote>
  <w:footnote w:id="86">
    <w:p w14:paraId="5045175D" w14:textId="77777777" w:rsidR="00370535" w:rsidRPr="00C95FAA" w:rsidRDefault="00370535" w:rsidP="00370535">
      <w:pPr>
        <w:pStyle w:val="FootnoteText"/>
        <w:rPr>
          <w:rFonts w:cs="Arial"/>
        </w:rPr>
      </w:pPr>
      <w:r w:rsidRPr="00C95FAA">
        <w:rPr>
          <w:rStyle w:val="FootnoteReference"/>
          <w:sz w:val="20"/>
        </w:rPr>
        <w:footnoteRef/>
      </w:r>
      <w:r w:rsidRPr="00C95FAA">
        <w:rPr>
          <w:rFonts w:cs="Arial"/>
        </w:rPr>
        <w:t xml:space="preserve"> NHS Wales Public Health Wales - </w:t>
      </w:r>
      <w:hyperlink r:id="rId84" w:history="1">
        <w:r w:rsidRPr="00C95FAA">
          <w:rPr>
            <w:rStyle w:val="Hyperlink"/>
            <w:rFonts w:cs="Arial"/>
            <w:color w:val="0000FF"/>
          </w:rPr>
          <w:t>Secondary School Children's Health and Well-being Dashboard: School Health Research Network Survey Data</w:t>
        </w:r>
      </w:hyperlink>
    </w:p>
  </w:footnote>
  <w:footnote w:id="87">
    <w:p w14:paraId="059E30EB" w14:textId="77777777" w:rsidR="00370535" w:rsidRPr="00C95FAA" w:rsidRDefault="00370535" w:rsidP="00370535">
      <w:pPr>
        <w:rPr>
          <w:rFonts w:cs="Arial"/>
          <w:sz w:val="20"/>
          <w:szCs w:val="20"/>
        </w:rPr>
      </w:pPr>
      <w:r w:rsidRPr="00C95FAA">
        <w:rPr>
          <w:rStyle w:val="FootnoteReference"/>
          <w:sz w:val="20"/>
          <w:szCs w:val="20"/>
        </w:rPr>
        <w:footnoteRef/>
      </w:r>
      <w:r w:rsidRPr="00C95FAA">
        <w:rPr>
          <w:rFonts w:cs="Arial"/>
          <w:sz w:val="20"/>
          <w:szCs w:val="20"/>
        </w:rPr>
        <w:t xml:space="preserve"> NHS Wales Public Health Wales - </w:t>
      </w:r>
      <w:hyperlink r:id="rId85" w:history="1">
        <w:r w:rsidRPr="00C95FAA">
          <w:rPr>
            <w:rStyle w:val="Hyperlink"/>
            <w:rFonts w:cs="Arial"/>
            <w:color w:val="0000FF"/>
            <w:sz w:val="20"/>
            <w:szCs w:val="20"/>
          </w:rPr>
          <w:t>Secondary School Children's Health and Well-being Dashboard: School Health Research Network (SHRN) Survey Data</w:t>
        </w:r>
      </w:hyperlink>
    </w:p>
  </w:footnote>
  <w:footnote w:id="88">
    <w:p w14:paraId="20C7560E" w14:textId="77777777" w:rsidR="00370535" w:rsidRDefault="00370535" w:rsidP="00370535">
      <w:pPr>
        <w:rPr>
          <w:color w:val="0000FF"/>
          <w:sz w:val="20"/>
          <w:u w:val="single"/>
        </w:rPr>
      </w:pPr>
      <w:r w:rsidRPr="00C95FAA">
        <w:rPr>
          <w:rStyle w:val="FootnoteReference"/>
          <w:sz w:val="20"/>
          <w:szCs w:val="20"/>
        </w:rPr>
        <w:footnoteRef/>
      </w:r>
      <w:r w:rsidRPr="00C95FAA">
        <w:rPr>
          <w:rFonts w:cs="Arial"/>
          <w:sz w:val="20"/>
          <w:szCs w:val="20"/>
        </w:rPr>
        <w:t xml:space="preserve"> NHS Wales Public Health Wales - </w:t>
      </w:r>
      <w:hyperlink r:id="rId86" w:history="1">
        <w:r w:rsidRPr="00C95FAA">
          <w:rPr>
            <w:rStyle w:val="Hyperlink"/>
            <w:rFonts w:cs="Arial"/>
            <w:color w:val="0000FF"/>
            <w:sz w:val="20"/>
            <w:szCs w:val="20"/>
          </w:rPr>
          <w:t>Overweight and obesity</w:t>
        </w:r>
      </w:hyperlink>
      <w:r>
        <w:rPr>
          <w:color w:val="0000FF"/>
          <w:sz w:val="20"/>
          <w:u w:val="single"/>
        </w:rPr>
        <w:t xml:space="preserve"> </w:t>
      </w:r>
    </w:p>
  </w:footnote>
  <w:footnote w:id="89">
    <w:p w14:paraId="1A3D10C9" w14:textId="77777777" w:rsidR="00370535" w:rsidRPr="00001F0F" w:rsidRDefault="00370535" w:rsidP="00370535">
      <w:pPr>
        <w:pStyle w:val="FootnoteText"/>
        <w:rPr>
          <w:rFonts w:cs="Arial"/>
        </w:rPr>
      </w:pPr>
      <w:r w:rsidRPr="00001F0F">
        <w:rPr>
          <w:rStyle w:val="FootnoteReference"/>
          <w:sz w:val="20"/>
        </w:rPr>
        <w:footnoteRef/>
      </w:r>
      <w:r w:rsidRPr="00001F0F">
        <w:rPr>
          <w:rFonts w:cs="Arial"/>
        </w:rPr>
        <w:t xml:space="preserve"> InfoBaseCymru data for an intelligent Wales - </w:t>
      </w:r>
      <w:hyperlink r:id="rId87" w:history="1">
        <w:r w:rsidRPr="00001F0F">
          <w:rPr>
            <w:rStyle w:val="Hyperlink"/>
            <w:rFonts w:cs="Arial"/>
            <w:color w:val="0000FF"/>
          </w:rPr>
          <w:t xml:space="preserve">Adults reporting lifestyle behaviours </w:t>
        </w:r>
      </w:hyperlink>
      <w:r w:rsidRPr="00001F0F">
        <w:rPr>
          <w:rFonts w:cs="Arial"/>
        </w:rPr>
        <w:t>(2021 to 2023)</w:t>
      </w:r>
    </w:p>
  </w:footnote>
  <w:footnote w:id="90">
    <w:p w14:paraId="33B99D40" w14:textId="77777777" w:rsidR="00370535" w:rsidRPr="00001F0F" w:rsidRDefault="00370535" w:rsidP="00370535">
      <w:pPr>
        <w:rPr>
          <w:rFonts w:cs="Arial"/>
          <w:sz w:val="20"/>
          <w:szCs w:val="20"/>
        </w:rPr>
      </w:pPr>
      <w:r w:rsidRPr="00001F0F">
        <w:rPr>
          <w:rStyle w:val="FootnoteReference"/>
          <w:sz w:val="20"/>
          <w:szCs w:val="20"/>
        </w:rPr>
        <w:footnoteRef/>
      </w:r>
      <w:r w:rsidRPr="00001F0F">
        <w:rPr>
          <w:rFonts w:cs="Arial"/>
          <w:sz w:val="20"/>
          <w:szCs w:val="20"/>
        </w:rPr>
        <w:t xml:space="preserve"> InfoBaseCymru data for an intelligent Wales - </w:t>
      </w:r>
      <w:hyperlink r:id="rId88" w:history="1">
        <w:r w:rsidRPr="00001F0F">
          <w:rPr>
            <w:rStyle w:val="Hyperlink"/>
            <w:rFonts w:cs="Arial"/>
            <w:color w:val="0000FF"/>
            <w:sz w:val="20"/>
            <w:szCs w:val="20"/>
          </w:rPr>
          <w:t xml:space="preserve">Adults reporting lifestyle behaviours </w:t>
        </w:r>
      </w:hyperlink>
      <w:r w:rsidRPr="00001F0F">
        <w:rPr>
          <w:rFonts w:cs="Arial"/>
          <w:sz w:val="20"/>
          <w:szCs w:val="20"/>
        </w:rPr>
        <w:t>(2021 to 2023)</w:t>
      </w:r>
    </w:p>
  </w:footnote>
  <w:footnote w:id="91">
    <w:p w14:paraId="7D0BE2CF" w14:textId="69AEE01A" w:rsidR="0056343F" w:rsidRPr="00001F0F" w:rsidRDefault="0056343F">
      <w:pPr>
        <w:pStyle w:val="FootnoteText"/>
      </w:pPr>
      <w:r w:rsidRPr="00001F0F">
        <w:rPr>
          <w:rStyle w:val="FootnoteReference"/>
          <w:sz w:val="20"/>
        </w:rPr>
        <w:footnoteRef/>
      </w:r>
      <w:r w:rsidRPr="00001F0F">
        <w:t xml:space="preserve"> </w:t>
      </w:r>
      <w:r w:rsidRPr="00001F0F">
        <w:rPr>
          <w:rFonts w:cs="Arial"/>
          <w:kern w:val="0"/>
        </w:rPr>
        <w:t xml:space="preserve">Office of National Statistics Census 2021 - </w:t>
      </w:r>
      <w:hyperlink r:id="rId89" w:history="1">
        <w:r w:rsidRPr="00001F0F">
          <w:rPr>
            <w:rStyle w:val="Hyperlink"/>
            <w:rFonts w:cs="Arial"/>
            <w:color w:val="0000FF"/>
          </w:rPr>
          <w:t>Population estimates for England and Wales: mid 2024</w:t>
        </w:r>
      </w:hyperlink>
    </w:p>
  </w:footnote>
  <w:footnote w:id="92">
    <w:p w14:paraId="31AF047B" w14:textId="5FF81757" w:rsidR="0056343F" w:rsidRDefault="0056343F">
      <w:pPr>
        <w:pStyle w:val="FootnoteText"/>
      </w:pPr>
      <w:r w:rsidRPr="00001F0F">
        <w:rPr>
          <w:rStyle w:val="FootnoteReference"/>
          <w:sz w:val="20"/>
        </w:rPr>
        <w:footnoteRef/>
      </w:r>
      <w:r w:rsidRPr="00001F0F">
        <w:t xml:space="preserve"> Welsh Government July 2025 - </w:t>
      </w:r>
      <w:hyperlink r:id="rId90" w:history="1">
        <w:r w:rsidRPr="00001F0F">
          <w:rPr>
            <w:rStyle w:val="Hyperlink"/>
            <w:color w:val="0000FF"/>
          </w:rPr>
          <w:t>Mid-year estimates of the population: 2024</w:t>
        </w:r>
      </w:hyperlink>
    </w:p>
  </w:footnote>
  <w:footnote w:id="93">
    <w:p w14:paraId="32AB0D6C" w14:textId="77777777" w:rsidR="00370535" w:rsidRPr="00001F0F" w:rsidRDefault="00370535" w:rsidP="00370535">
      <w:pPr>
        <w:pStyle w:val="FootnoteText"/>
        <w:rPr>
          <w:rFonts w:cs="Arial"/>
        </w:rPr>
      </w:pPr>
      <w:r w:rsidRPr="00001F0F">
        <w:rPr>
          <w:rStyle w:val="FootnoteReference"/>
          <w:sz w:val="20"/>
        </w:rPr>
        <w:footnoteRef/>
      </w:r>
      <w:r w:rsidRPr="00001F0F">
        <w:rPr>
          <w:rFonts w:cs="Arial"/>
        </w:rPr>
        <w:t xml:space="preserve"> InfoBaseCymru data for an intelligent Wales - </w:t>
      </w:r>
      <w:hyperlink r:id="rId91" w:history="1">
        <w:r w:rsidRPr="00001F0F">
          <w:rPr>
            <w:rStyle w:val="Hyperlink"/>
            <w:rFonts w:cs="Arial"/>
            <w:color w:val="0000FF"/>
          </w:rPr>
          <w:t xml:space="preserve">Adults reporting lifestyle behaviours </w:t>
        </w:r>
      </w:hyperlink>
      <w:r w:rsidRPr="00001F0F">
        <w:rPr>
          <w:rFonts w:cs="Arial"/>
        </w:rPr>
        <w:t>(2021 to 2023)</w:t>
      </w:r>
    </w:p>
  </w:footnote>
  <w:footnote w:id="94">
    <w:p w14:paraId="672EC704" w14:textId="77777777" w:rsidR="00370535" w:rsidRDefault="00370535" w:rsidP="00370535">
      <w:pPr>
        <w:rPr>
          <w:rFonts w:cs="Arial"/>
        </w:rPr>
      </w:pPr>
      <w:r w:rsidRPr="00001F0F">
        <w:rPr>
          <w:rStyle w:val="FootnoteReference"/>
          <w:sz w:val="20"/>
          <w:szCs w:val="20"/>
        </w:rPr>
        <w:footnoteRef/>
      </w:r>
      <w:r w:rsidRPr="00001F0F">
        <w:rPr>
          <w:rFonts w:cs="Arial"/>
          <w:sz w:val="20"/>
          <w:szCs w:val="20"/>
        </w:rPr>
        <w:t xml:space="preserve"> Welsh Government StatsWales - </w:t>
      </w:r>
      <w:hyperlink r:id="rId92" w:history="1">
        <w:r w:rsidRPr="00001F0F">
          <w:rPr>
            <w:rStyle w:val="Hyperlink"/>
            <w:rFonts w:cs="Arial"/>
            <w:color w:val="0000FF"/>
            <w:sz w:val="20"/>
            <w:szCs w:val="20"/>
          </w:rPr>
          <w:t>Disease registers by local health board, cluster and GP practice</w:t>
        </w:r>
      </w:hyperlink>
    </w:p>
  </w:footnote>
  <w:footnote w:id="95">
    <w:p w14:paraId="0895DC0B" w14:textId="77777777" w:rsidR="00370535" w:rsidRPr="00E32D12" w:rsidRDefault="00370535" w:rsidP="00370535">
      <w:pPr>
        <w:pStyle w:val="FootnoteText"/>
        <w:rPr>
          <w:rFonts w:cs="Arial"/>
        </w:rPr>
      </w:pPr>
      <w:r w:rsidRPr="00E32D12">
        <w:rPr>
          <w:rStyle w:val="FootnoteReference"/>
          <w:sz w:val="20"/>
        </w:rPr>
        <w:footnoteRef/>
      </w:r>
      <w:r w:rsidRPr="00E32D12">
        <w:rPr>
          <w:rFonts w:cs="Arial"/>
        </w:rPr>
        <w:t xml:space="preserve"> Welsh Government StatsWales - </w:t>
      </w:r>
      <w:hyperlink r:id="rId93" w:history="1">
        <w:r w:rsidRPr="00E32D12">
          <w:rPr>
            <w:rStyle w:val="Hyperlink"/>
            <w:rFonts w:cs="Arial"/>
            <w:color w:val="0000FF"/>
          </w:rPr>
          <w:t>Disease registers by local health board, cluster and GP practice</w:t>
        </w:r>
      </w:hyperlink>
    </w:p>
  </w:footnote>
  <w:footnote w:id="96">
    <w:p w14:paraId="78274193" w14:textId="77777777" w:rsidR="00370535" w:rsidRPr="00E32D12" w:rsidRDefault="00370535" w:rsidP="00370535">
      <w:pPr>
        <w:rPr>
          <w:rFonts w:cs="Arial"/>
          <w:sz w:val="20"/>
          <w:szCs w:val="20"/>
        </w:rPr>
      </w:pPr>
      <w:r w:rsidRPr="00E32D12">
        <w:rPr>
          <w:rStyle w:val="FootnoteReference"/>
          <w:sz w:val="20"/>
          <w:szCs w:val="20"/>
        </w:rPr>
        <w:footnoteRef/>
      </w:r>
      <w:r w:rsidRPr="00E32D12">
        <w:rPr>
          <w:rFonts w:cs="Arial"/>
          <w:sz w:val="20"/>
          <w:szCs w:val="20"/>
        </w:rPr>
        <w:t xml:space="preserve"> NHS Wales Public Health Wales - </w:t>
      </w:r>
      <w:hyperlink r:id="rId94" w:history="1">
        <w:r w:rsidRPr="00E32D12">
          <w:rPr>
            <w:rStyle w:val="Hyperlink"/>
            <w:rFonts w:cs="Arial"/>
            <w:color w:val="0000FF"/>
            <w:sz w:val="20"/>
            <w:szCs w:val="20"/>
          </w:rPr>
          <w:t>Alcohol</w:t>
        </w:r>
        <w:r w:rsidRPr="00E32D12">
          <w:rPr>
            <w:rStyle w:val="Hyperlink"/>
            <w:rFonts w:cs="Arial"/>
            <w:sz w:val="20"/>
            <w:szCs w:val="20"/>
          </w:rPr>
          <w:t xml:space="preserve"> </w:t>
        </w:r>
      </w:hyperlink>
    </w:p>
  </w:footnote>
  <w:footnote w:id="97">
    <w:p w14:paraId="150B8B5B" w14:textId="77777777" w:rsidR="00370535" w:rsidRPr="00E32D12" w:rsidRDefault="00370535" w:rsidP="00370535">
      <w:pPr>
        <w:rPr>
          <w:rFonts w:cs="Arial"/>
          <w:sz w:val="20"/>
          <w:szCs w:val="20"/>
        </w:rPr>
      </w:pPr>
      <w:r w:rsidRPr="00E32D12">
        <w:rPr>
          <w:rStyle w:val="FootnoteReference"/>
          <w:sz w:val="20"/>
          <w:szCs w:val="20"/>
        </w:rPr>
        <w:footnoteRef/>
      </w:r>
      <w:r w:rsidRPr="00E32D12">
        <w:rPr>
          <w:rFonts w:cs="Arial"/>
          <w:sz w:val="20"/>
          <w:szCs w:val="20"/>
        </w:rPr>
        <w:t xml:space="preserve"> NHS Wales Public Health Wales - </w:t>
      </w:r>
      <w:hyperlink r:id="rId95" w:history="1">
        <w:r w:rsidRPr="00E32D12">
          <w:rPr>
            <w:rStyle w:val="Hyperlink"/>
            <w:rFonts w:cs="Arial"/>
            <w:color w:val="0000FF"/>
            <w:sz w:val="20"/>
            <w:szCs w:val="20"/>
          </w:rPr>
          <w:t>Record high alcohol related deaths in Wales highlight urgent public health concerns (March 2025)</w:t>
        </w:r>
      </w:hyperlink>
      <w:r w:rsidRPr="00E32D12">
        <w:rPr>
          <w:rFonts w:cs="Arial"/>
          <w:color w:val="0000FF"/>
          <w:sz w:val="20"/>
          <w:szCs w:val="20"/>
          <w:u w:val="single"/>
        </w:rPr>
        <w:t xml:space="preserve"> </w:t>
      </w:r>
    </w:p>
  </w:footnote>
  <w:footnote w:id="98">
    <w:p w14:paraId="76EDEBB6" w14:textId="77777777" w:rsidR="00370535" w:rsidRPr="00E32D12" w:rsidRDefault="00370535" w:rsidP="00370535">
      <w:pPr>
        <w:rPr>
          <w:rFonts w:cs="Arial"/>
          <w:color w:val="0000FF"/>
          <w:sz w:val="20"/>
          <w:szCs w:val="20"/>
          <w:u w:val="single"/>
        </w:rPr>
      </w:pPr>
      <w:r w:rsidRPr="00E32D12">
        <w:rPr>
          <w:rStyle w:val="FootnoteReference"/>
          <w:sz w:val="20"/>
          <w:szCs w:val="20"/>
        </w:rPr>
        <w:footnoteRef/>
      </w:r>
      <w:r w:rsidRPr="00E32D12">
        <w:rPr>
          <w:rFonts w:cs="Arial"/>
          <w:sz w:val="20"/>
          <w:szCs w:val="20"/>
        </w:rPr>
        <w:t xml:space="preserve"> Department of Health and Social Care - </w:t>
      </w:r>
      <w:r w:rsidRPr="00E32D12">
        <w:rPr>
          <w:rFonts w:cs="Arial"/>
          <w:color w:val="0000FF"/>
          <w:sz w:val="20"/>
          <w:szCs w:val="20"/>
          <w:u w:val="single"/>
        </w:rPr>
        <w:t>UK Chief Medical Officers’ Low Risk Drinking Guidelines (2016)</w:t>
      </w:r>
    </w:p>
  </w:footnote>
  <w:footnote w:id="99">
    <w:p w14:paraId="2078942A" w14:textId="77777777" w:rsidR="00370535" w:rsidRDefault="00370535" w:rsidP="00370535">
      <w:pPr>
        <w:rPr>
          <w:rFonts w:asciiTheme="minorHAnsi" w:hAnsiTheme="minorHAnsi"/>
        </w:rPr>
      </w:pPr>
      <w:r w:rsidRPr="00E32D12">
        <w:rPr>
          <w:rStyle w:val="FootnoteReference"/>
          <w:sz w:val="20"/>
          <w:szCs w:val="20"/>
        </w:rPr>
        <w:footnoteRef/>
      </w:r>
      <w:r w:rsidRPr="00E32D12">
        <w:rPr>
          <w:rFonts w:cs="Arial"/>
          <w:sz w:val="20"/>
          <w:szCs w:val="20"/>
        </w:rPr>
        <w:t xml:space="preserve"> Alcohol Change UK - </w:t>
      </w:r>
      <w:hyperlink r:id="rId96" w:history="1">
        <w:r w:rsidRPr="00E32D12">
          <w:rPr>
            <w:rStyle w:val="Hyperlink"/>
            <w:rFonts w:cs="Arial"/>
            <w:color w:val="0000FF"/>
            <w:sz w:val="20"/>
            <w:szCs w:val="20"/>
          </w:rPr>
          <w:t>Alcohol, crime and disorder</w:t>
        </w:r>
      </w:hyperlink>
      <w:r>
        <w:rPr>
          <w:color w:val="0000FF"/>
          <w:sz w:val="20"/>
          <w:u w:val="single"/>
        </w:rPr>
        <w:t xml:space="preserve"> </w:t>
      </w:r>
    </w:p>
  </w:footnote>
  <w:footnote w:id="100">
    <w:p w14:paraId="4CD8CA3A" w14:textId="77777777" w:rsidR="00370535" w:rsidRPr="00E32D12" w:rsidRDefault="00370535" w:rsidP="00370535">
      <w:pPr>
        <w:pStyle w:val="FootnoteText"/>
        <w:rPr>
          <w:rFonts w:cs="Arial"/>
        </w:rPr>
      </w:pPr>
      <w:r w:rsidRPr="00E32D12">
        <w:rPr>
          <w:rStyle w:val="FootnoteReference"/>
          <w:sz w:val="20"/>
        </w:rPr>
        <w:footnoteRef/>
      </w:r>
      <w:r w:rsidRPr="00E32D12">
        <w:rPr>
          <w:rFonts w:cs="Arial"/>
        </w:rPr>
        <w:t xml:space="preserve"> InfoBaseCymru data for an intelligent Wales - </w:t>
      </w:r>
      <w:hyperlink r:id="rId97" w:history="1">
        <w:r w:rsidRPr="00E32D12">
          <w:rPr>
            <w:rStyle w:val="Hyperlink"/>
            <w:rFonts w:cs="Arial"/>
            <w:color w:val="0000FF"/>
          </w:rPr>
          <w:t xml:space="preserve">Adults reporting lifestyle behaviours </w:t>
        </w:r>
      </w:hyperlink>
      <w:r w:rsidRPr="00E32D12">
        <w:rPr>
          <w:rFonts w:cs="Arial"/>
        </w:rPr>
        <w:t>(2021 to 2023)</w:t>
      </w:r>
    </w:p>
  </w:footnote>
  <w:footnote w:id="101">
    <w:p w14:paraId="7282A604" w14:textId="4EC74A08" w:rsidR="00E32D12" w:rsidRPr="00E32D12" w:rsidRDefault="00E32D12">
      <w:pPr>
        <w:pStyle w:val="FootnoteText"/>
      </w:pPr>
      <w:r w:rsidRPr="00E32D12">
        <w:rPr>
          <w:rStyle w:val="FootnoteReference"/>
          <w:sz w:val="20"/>
        </w:rPr>
        <w:footnoteRef/>
      </w:r>
      <w:r w:rsidRPr="00E32D12">
        <w:t xml:space="preserve"> </w:t>
      </w:r>
      <w:r w:rsidRPr="00E32D12">
        <w:rPr>
          <w:rFonts w:cs="Arial"/>
          <w:kern w:val="0"/>
        </w:rPr>
        <w:t xml:space="preserve">Office of National Statistics Census 2021 - </w:t>
      </w:r>
      <w:hyperlink r:id="rId98" w:history="1">
        <w:r w:rsidRPr="00E32D12">
          <w:rPr>
            <w:rStyle w:val="Hyperlink"/>
            <w:rFonts w:cs="Arial"/>
            <w:color w:val="0000FF"/>
          </w:rPr>
          <w:t>Population estimates for England and Wales: mid 2024</w:t>
        </w:r>
      </w:hyperlink>
    </w:p>
  </w:footnote>
  <w:footnote w:id="102">
    <w:p w14:paraId="419B217C" w14:textId="2E485961" w:rsidR="00E32D12" w:rsidRDefault="00E32D12">
      <w:pPr>
        <w:pStyle w:val="FootnoteText"/>
      </w:pPr>
      <w:r w:rsidRPr="00E32D12">
        <w:rPr>
          <w:rStyle w:val="FootnoteReference"/>
          <w:sz w:val="20"/>
        </w:rPr>
        <w:footnoteRef/>
      </w:r>
      <w:r w:rsidRPr="00E32D12">
        <w:t xml:space="preserve"> </w:t>
      </w:r>
      <w:r w:rsidRPr="00E32D12">
        <w:rPr>
          <w:rFonts w:cs="Arial"/>
          <w:kern w:val="0"/>
        </w:rPr>
        <w:t xml:space="preserve">Welsh Government July 2025 - </w:t>
      </w:r>
      <w:hyperlink r:id="rId99" w:history="1">
        <w:r w:rsidRPr="00E32D12">
          <w:rPr>
            <w:rStyle w:val="Hyperlink"/>
            <w:rFonts w:cs="Arial"/>
            <w:color w:val="0000FF"/>
          </w:rPr>
          <w:t>Mid-year estimates of the population: 2024</w:t>
        </w:r>
      </w:hyperlink>
    </w:p>
  </w:footnote>
  <w:footnote w:id="103">
    <w:p w14:paraId="10C46FB3" w14:textId="77777777" w:rsidR="00370535" w:rsidRPr="00CD0092" w:rsidRDefault="00370535" w:rsidP="00370535">
      <w:pPr>
        <w:rPr>
          <w:rFonts w:asciiTheme="minorHAnsi" w:hAnsiTheme="minorHAnsi"/>
          <w:sz w:val="20"/>
          <w:szCs w:val="20"/>
        </w:rPr>
      </w:pPr>
      <w:r w:rsidRPr="00CD0092">
        <w:rPr>
          <w:rStyle w:val="FootnoteReference"/>
          <w:sz w:val="20"/>
          <w:szCs w:val="20"/>
        </w:rPr>
        <w:footnoteRef/>
      </w:r>
      <w:r w:rsidRPr="00CD0092">
        <w:rPr>
          <w:rFonts w:cs="Arial"/>
          <w:sz w:val="20"/>
          <w:szCs w:val="20"/>
        </w:rPr>
        <w:t xml:space="preserve"> Social Care Wales - </w:t>
      </w:r>
      <w:hyperlink r:id="rId100" w:history="1">
        <w:r w:rsidRPr="00CD0092">
          <w:rPr>
            <w:rStyle w:val="Hyperlink"/>
            <w:rFonts w:cs="Arial"/>
            <w:color w:val="0000FF"/>
            <w:sz w:val="20"/>
            <w:szCs w:val="20"/>
          </w:rPr>
          <w:t>National social care data portal for Wales - Drinking</w:t>
        </w:r>
      </w:hyperlink>
    </w:p>
  </w:footnote>
  <w:footnote w:id="104">
    <w:p w14:paraId="5AFDDC33" w14:textId="77777777" w:rsidR="00370535" w:rsidRDefault="00370535" w:rsidP="00370535">
      <w:pPr>
        <w:rPr>
          <w:color w:val="0000FF"/>
          <w:sz w:val="20"/>
          <w:u w:val="single"/>
        </w:rPr>
      </w:pPr>
      <w:r w:rsidRPr="00CD0092">
        <w:rPr>
          <w:rStyle w:val="FootnoteReference"/>
          <w:sz w:val="20"/>
          <w:szCs w:val="20"/>
        </w:rPr>
        <w:footnoteRef/>
      </w:r>
      <w:r w:rsidRPr="00CD0092">
        <w:rPr>
          <w:sz w:val="20"/>
          <w:szCs w:val="20"/>
        </w:rPr>
        <w:t xml:space="preserve"> NHS Wales Public Health Wales - </w:t>
      </w:r>
      <w:hyperlink r:id="rId101" w:history="1">
        <w:r w:rsidRPr="00CD0092">
          <w:rPr>
            <w:rStyle w:val="Hyperlink"/>
            <w:color w:val="0000FF"/>
            <w:sz w:val="20"/>
            <w:szCs w:val="20"/>
          </w:rPr>
          <w:t>Data mining Wales: The annual profile for substance misuse 2023/24</w:t>
        </w:r>
      </w:hyperlink>
      <w:r>
        <w:rPr>
          <w:color w:val="0000FF"/>
          <w:sz w:val="20"/>
          <w:u w:val="single"/>
        </w:rPr>
        <w:t xml:space="preserve"> </w:t>
      </w:r>
    </w:p>
  </w:footnote>
  <w:footnote w:id="105">
    <w:p w14:paraId="57F576E1" w14:textId="77777777" w:rsidR="00370535" w:rsidRPr="00CD0092" w:rsidRDefault="00370535" w:rsidP="00370535">
      <w:pPr>
        <w:pStyle w:val="FootnoteText"/>
        <w:rPr>
          <w:rFonts w:cs="Arial"/>
        </w:rPr>
      </w:pPr>
      <w:r w:rsidRPr="00CD0092">
        <w:rPr>
          <w:rStyle w:val="FootnoteReference"/>
          <w:sz w:val="20"/>
        </w:rPr>
        <w:footnoteRef/>
      </w:r>
      <w:r w:rsidRPr="00CD0092">
        <w:rPr>
          <w:rFonts w:cs="Arial"/>
        </w:rPr>
        <w:t xml:space="preserve"> Welsh Government - </w:t>
      </w:r>
      <w:hyperlink r:id="rId102" w:anchor="177944" w:history="1">
        <w:r w:rsidRPr="00CD0092">
          <w:rPr>
            <w:rStyle w:val="Hyperlink"/>
            <w:rFonts w:cs="Arial"/>
            <w:color w:val="0000FF"/>
          </w:rPr>
          <w:t>Maternity and birth statistics: 2024</w:t>
        </w:r>
      </w:hyperlink>
    </w:p>
  </w:footnote>
  <w:footnote w:id="106">
    <w:p w14:paraId="7EDE7438" w14:textId="77777777" w:rsidR="00370535" w:rsidRPr="00CD0092" w:rsidRDefault="00370535" w:rsidP="00370535">
      <w:pPr>
        <w:rPr>
          <w:rFonts w:cs="Arial"/>
          <w:sz w:val="20"/>
          <w:szCs w:val="20"/>
        </w:rPr>
      </w:pPr>
      <w:r w:rsidRPr="00CD0092">
        <w:rPr>
          <w:rStyle w:val="FootnoteReference"/>
          <w:sz w:val="20"/>
          <w:szCs w:val="20"/>
        </w:rPr>
        <w:footnoteRef/>
      </w:r>
      <w:r w:rsidRPr="00CD0092">
        <w:rPr>
          <w:rFonts w:cs="Arial"/>
          <w:sz w:val="20"/>
          <w:szCs w:val="20"/>
        </w:rPr>
        <w:t xml:space="preserve"> NHS Wales Public Health Wales - </w:t>
      </w:r>
      <w:hyperlink r:id="rId103" w:history="1">
        <w:r w:rsidRPr="00CD0092">
          <w:rPr>
            <w:rStyle w:val="Hyperlink"/>
            <w:rFonts w:cs="Arial"/>
            <w:color w:val="0000FF"/>
            <w:sz w:val="20"/>
            <w:szCs w:val="20"/>
          </w:rPr>
          <w:t>Low Birth Weight - Review of risk factors and interventions summary report (2014)</w:t>
        </w:r>
      </w:hyperlink>
      <w:r w:rsidRPr="00CD0092">
        <w:rPr>
          <w:rFonts w:cs="Arial"/>
          <w:color w:val="0000FF"/>
          <w:sz w:val="20"/>
          <w:szCs w:val="20"/>
          <w:u w:val="single"/>
        </w:rPr>
        <w:t xml:space="preserve"> </w:t>
      </w:r>
    </w:p>
  </w:footnote>
  <w:footnote w:id="107">
    <w:p w14:paraId="371D8A6C" w14:textId="77777777" w:rsidR="00370535" w:rsidRPr="00CD0092" w:rsidRDefault="00370535" w:rsidP="00370535">
      <w:pPr>
        <w:pStyle w:val="FootnoteText"/>
        <w:rPr>
          <w:rFonts w:asciiTheme="minorHAnsi" w:hAnsiTheme="minorHAnsi" w:cstheme="minorBidi"/>
        </w:rPr>
      </w:pPr>
      <w:r w:rsidRPr="00CD0092">
        <w:rPr>
          <w:rStyle w:val="FootnoteReference"/>
          <w:sz w:val="20"/>
        </w:rPr>
        <w:footnoteRef/>
      </w:r>
      <w:r w:rsidRPr="00CD0092">
        <w:rPr>
          <w:rFonts w:cs="Arial"/>
        </w:rPr>
        <w:t xml:space="preserve"> Public Health Wales – </w:t>
      </w:r>
      <w:hyperlink r:id="rId104" w:history="1">
        <w:r w:rsidRPr="00CD0092">
          <w:rPr>
            <w:rStyle w:val="Hyperlink"/>
            <w:rFonts w:cs="Arial"/>
            <w:color w:val="0000FF"/>
          </w:rPr>
          <w:t>Public Health Outcomes Framework</w:t>
        </w:r>
      </w:hyperlink>
    </w:p>
  </w:footnote>
  <w:footnote w:id="108">
    <w:p w14:paraId="0354114D" w14:textId="77777777" w:rsidR="00370535" w:rsidRPr="00CD0092" w:rsidRDefault="00370535" w:rsidP="00370535">
      <w:pPr>
        <w:rPr>
          <w:sz w:val="20"/>
          <w:szCs w:val="20"/>
        </w:rPr>
      </w:pPr>
      <w:r w:rsidRPr="00CD0092">
        <w:rPr>
          <w:rStyle w:val="FootnoteReference"/>
          <w:sz w:val="20"/>
          <w:szCs w:val="20"/>
        </w:rPr>
        <w:footnoteRef/>
      </w:r>
      <w:r w:rsidRPr="00CD0092">
        <w:rPr>
          <w:rFonts w:cs="Arial"/>
          <w:sz w:val="20"/>
          <w:szCs w:val="20"/>
        </w:rPr>
        <w:t xml:space="preserve"> Welsh Government StatsWales - </w:t>
      </w:r>
      <w:hyperlink r:id="rId105" w:anchor="dataset-nav" w:history="1">
        <w:r w:rsidRPr="00CD0092">
          <w:rPr>
            <w:rStyle w:val="Hyperlink"/>
            <w:rFonts w:cs="Arial"/>
            <w:color w:val="0000FF"/>
            <w:sz w:val="20"/>
            <w:szCs w:val="20"/>
          </w:rPr>
          <w:t>Breastfeeding by age of baby, type of breastfeeding and local health board</w:t>
        </w:r>
      </w:hyperlink>
      <w:r w:rsidRPr="00CD0092">
        <w:rPr>
          <w:sz w:val="20"/>
          <w:szCs w:val="20"/>
        </w:rPr>
        <w:t xml:space="preserve"> </w:t>
      </w:r>
    </w:p>
  </w:footnote>
  <w:footnote w:id="109">
    <w:p w14:paraId="4B287610" w14:textId="77777777" w:rsidR="00370535" w:rsidRPr="00CD0092" w:rsidRDefault="00370535" w:rsidP="00370535">
      <w:pPr>
        <w:pStyle w:val="FootnoteText"/>
        <w:rPr>
          <w:rFonts w:cs="Arial"/>
        </w:rPr>
      </w:pPr>
      <w:r w:rsidRPr="00CD0092">
        <w:rPr>
          <w:rStyle w:val="FootnoteReference"/>
          <w:sz w:val="20"/>
        </w:rPr>
        <w:footnoteRef/>
      </w:r>
      <w:r w:rsidRPr="00CD0092">
        <w:rPr>
          <w:rFonts w:cs="Arial"/>
        </w:rPr>
        <w:t xml:space="preserve"> Welsh Government - </w:t>
      </w:r>
      <w:hyperlink r:id="rId106" w:history="1">
        <w:r w:rsidRPr="00CD0092">
          <w:rPr>
            <w:rStyle w:val="Hyperlink"/>
            <w:rFonts w:cs="Arial"/>
            <w:color w:val="0000FF"/>
          </w:rPr>
          <w:t xml:space="preserve">Child Poverty Strategy for Wales 2024 </w:t>
        </w:r>
      </w:hyperlink>
    </w:p>
  </w:footnote>
  <w:footnote w:id="110">
    <w:p w14:paraId="6A461B67" w14:textId="77777777" w:rsidR="00370535" w:rsidRDefault="00370535" w:rsidP="00370535">
      <w:pPr>
        <w:pStyle w:val="FootnoteText"/>
        <w:rPr>
          <w:rFonts w:cs="Arial"/>
        </w:rPr>
      </w:pPr>
      <w:r w:rsidRPr="00CD0092">
        <w:rPr>
          <w:rStyle w:val="FootnoteReference"/>
          <w:sz w:val="20"/>
        </w:rPr>
        <w:footnoteRef/>
      </w:r>
      <w:r w:rsidRPr="00CD0092">
        <w:rPr>
          <w:rFonts w:cs="Arial"/>
        </w:rPr>
        <w:t xml:space="preserve"> Welsh Government - </w:t>
      </w:r>
      <w:hyperlink r:id="rId107" w:history="1">
        <w:r w:rsidRPr="00CD0092">
          <w:rPr>
            <w:rStyle w:val="Hyperlink"/>
            <w:rFonts w:cs="Arial"/>
            <w:color w:val="0000FF"/>
          </w:rPr>
          <w:t>Child Poverty Strategy Monitoring Framework 2025</w:t>
        </w:r>
        <w:r>
          <w:rPr>
            <w:rStyle w:val="Hyperlink"/>
            <w:rFonts w:cs="Arial"/>
            <w:szCs w:val="24"/>
          </w:rPr>
          <w:t xml:space="preserve"> </w:t>
        </w:r>
      </w:hyperlink>
    </w:p>
  </w:footnote>
  <w:footnote w:id="111">
    <w:p w14:paraId="1E963C3A" w14:textId="77777777" w:rsidR="00370535" w:rsidRPr="00CD0092" w:rsidRDefault="00370535" w:rsidP="00370535">
      <w:pPr>
        <w:rPr>
          <w:rFonts w:cs="Arial"/>
          <w:sz w:val="20"/>
          <w:szCs w:val="20"/>
        </w:rPr>
      </w:pPr>
      <w:r w:rsidRPr="00CD0092">
        <w:rPr>
          <w:rStyle w:val="FootnoteReference"/>
          <w:sz w:val="20"/>
          <w:szCs w:val="20"/>
        </w:rPr>
        <w:footnoteRef/>
      </w:r>
      <w:r w:rsidRPr="00CD0092">
        <w:rPr>
          <w:rFonts w:cs="Arial"/>
          <w:sz w:val="20"/>
          <w:szCs w:val="20"/>
        </w:rPr>
        <w:t xml:space="preserve"> Welsh Government - </w:t>
      </w:r>
      <w:hyperlink r:id="rId108" w:anchor="200252" w:history="1">
        <w:r w:rsidRPr="00CD0092">
          <w:rPr>
            <w:rStyle w:val="Hyperlink"/>
            <w:rFonts w:cs="Arial"/>
            <w:color w:val="0000FF"/>
            <w:sz w:val="20"/>
            <w:szCs w:val="20"/>
          </w:rPr>
          <w:t>Relative income poverty: April 2023 to March 2025 (Official Statistics in development)</w:t>
        </w:r>
      </w:hyperlink>
      <w:r w:rsidRPr="00CD0092">
        <w:rPr>
          <w:rFonts w:cs="Arial"/>
          <w:color w:val="0000FF"/>
          <w:sz w:val="20"/>
          <w:szCs w:val="20"/>
          <w:u w:val="single"/>
        </w:rPr>
        <w:t xml:space="preserve"> </w:t>
      </w:r>
    </w:p>
  </w:footnote>
  <w:footnote w:id="112">
    <w:p w14:paraId="04912F93" w14:textId="77777777" w:rsidR="00370535" w:rsidRPr="00CD0092" w:rsidRDefault="00370535" w:rsidP="00370535">
      <w:pPr>
        <w:rPr>
          <w:rFonts w:cs="Arial"/>
          <w:sz w:val="20"/>
          <w:szCs w:val="20"/>
        </w:rPr>
      </w:pPr>
      <w:r w:rsidRPr="00CD0092">
        <w:rPr>
          <w:rStyle w:val="FootnoteReference"/>
          <w:sz w:val="20"/>
          <w:szCs w:val="20"/>
        </w:rPr>
        <w:footnoteRef/>
      </w:r>
      <w:r w:rsidRPr="00CD0092">
        <w:rPr>
          <w:rFonts w:cs="Arial"/>
          <w:sz w:val="20"/>
          <w:szCs w:val="20"/>
        </w:rPr>
        <w:t xml:space="preserve"> Faith In Families Swansea - </w:t>
      </w:r>
      <w:hyperlink r:id="rId109" w:history="1">
        <w:r w:rsidRPr="00CD0092">
          <w:rPr>
            <w:rStyle w:val="Hyperlink"/>
            <w:rFonts w:cs="Arial"/>
            <w:color w:val="0000FF"/>
            <w:sz w:val="20"/>
            <w:szCs w:val="20"/>
          </w:rPr>
          <w:t xml:space="preserve">Our Commitment to the UN International Day for the Eradication of Poverty </w:t>
        </w:r>
      </w:hyperlink>
    </w:p>
  </w:footnote>
  <w:footnote w:id="113">
    <w:p w14:paraId="50DADE36" w14:textId="77777777" w:rsidR="00370535" w:rsidRPr="00CD0092" w:rsidRDefault="00370535" w:rsidP="00370535">
      <w:pPr>
        <w:pStyle w:val="FootnoteText1"/>
        <w:rPr>
          <w:rFonts w:ascii="Arial" w:hAnsi="Arial" w:cs="Arial"/>
        </w:rPr>
      </w:pPr>
      <w:r w:rsidRPr="00CD0092">
        <w:rPr>
          <w:rStyle w:val="FootnoteReference"/>
          <w:sz w:val="20"/>
        </w:rPr>
        <w:footnoteRef/>
      </w:r>
      <w:r w:rsidRPr="00CD0092">
        <w:rPr>
          <w:rFonts w:ascii="Arial" w:hAnsi="Arial" w:cs="Arial"/>
        </w:rPr>
        <w:t xml:space="preserve"> Public Health England. Health Matters: Child dental health. From: </w:t>
      </w:r>
      <w:hyperlink r:id="rId110" w:history="1">
        <w:r w:rsidRPr="00CD0092">
          <w:rPr>
            <w:rStyle w:val="Hyperlink1"/>
          </w:rPr>
          <w:t>Health Matters: Child dental health - Public health matters (blog.gov.uk)</w:t>
        </w:r>
      </w:hyperlink>
    </w:p>
  </w:footnote>
  <w:footnote w:id="114">
    <w:p w14:paraId="778BA637" w14:textId="77777777" w:rsidR="00370535" w:rsidRPr="00CD0092" w:rsidRDefault="00370535" w:rsidP="00370535">
      <w:pPr>
        <w:pStyle w:val="FootnoteText"/>
        <w:rPr>
          <w:rFonts w:cs="Arial"/>
        </w:rPr>
      </w:pPr>
      <w:r w:rsidRPr="00CD0092">
        <w:rPr>
          <w:rStyle w:val="FootnoteReference"/>
          <w:sz w:val="20"/>
        </w:rPr>
        <w:footnoteRef/>
      </w:r>
      <w:r w:rsidRPr="00CD0092">
        <w:rPr>
          <w:rFonts w:cs="Arial"/>
        </w:rPr>
        <w:t xml:space="preserve"> Public Health Wales – </w:t>
      </w:r>
      <w:hyperlink r:id="rId111" w:history="1">
        <w:r w:rsidRPr="00CD0092">
          <w:rPr>
            <w:rStyle w:val="Hyperlink"/>
            <w:rFonts w:cs="Arial"/>
            <w:color w:val="0000FF"/>
          </w:rPr>
          <w:t>Oral health of school year one (5-year-old) children in 2024-25</w:t>
        </w:r>
      </w:hyperlink>
    </w:p>
  </w:footnote>
  <w:footnote w:id="115">
    <w:p w14:paraId="43747BB3" w14:textId="77777777" w:rsidR="00370535" w:rsidRDefault="00370535" w:rsidP="00370535">
      <w:pPr>
        <w:pStyle w:val="FootnoteText"/>
        <w:rPr>
          <w:rFonts w:cs="Arial"/>
        </w:rPr>
      </w:pPr>
      <w:r w:rsidRPr="00CD0092">
        <w:rPr>
          <w:rStyle w:val="FootnoteReference"/>
          <w:sz w:val="20"/>
        </w:rPr>
        <w:footnoteRef/>
      </w:r>
      <w:r w:rsidRPr="00CD0092">
        <w:rPr>
          <w:rFonts w:cs="Arial"/>
        </w:rPr>
        <w:t xml:space="preserve"> NHS Wales Public Health Wales - </w:t>
      </w:r>
      <w:hyperlink r:id="rId112" w:history="1">
        <w:r w:rsidRPr="00CD0092">
          <w:rPr>
            <w:rStyle w:val="Hyperlink"/>
            <w:rFonts w:cs="Arial"/>
            <w:color w:val="0000FF"/>
          </w:rPr>
          <w:t>Picture of oral health 2023 - Swansea Bay University Health Board</w:t>
        </w:r>
        <w:r>
          <w:rPr>
            <w:rStyle w:val="Hyperlink"/>
            <w:rFonts w:cs="Arial"/>
            <w:color w:val="0000FF"/>
            <w:szCs w:val="24"/>
          </w:rPr>
          <w:t xml:space="preserve"> </w:t>
        </w:r>
      </w:hyperlink>
    </w:p>
  </w:footnote>
  <w:footnote w:id="116">
    <w:p w14:paraId="66BA5545" w14:textId="77777777" w:rsidR="00370535" w:rsidRPr="00CD0092" w:rsidRDefault="00370535" w:rsidP="00370535">
      <w:pPr>
        <w:pStyle w:val="FootnoteText"/>
        <w:rPr>
          <w:rFonts w:cs="Arial"/>
        </w:rPr>
      </w:pPr>
      <w:r w:rsidRPr="00CD0092">
        <w:rPr>
          <w:rStyle w:val="FootnoteReference"/>
          <w:sz w:val="20"/>
        </w:rPr>
        <w:footnoteRef/>
      </w:r>
      <w:r w:rsidRPr="00CD0092">
        <w:rPr>
          <w:rFonts w:cs="Arial"/>
        </w:rPr>
        <w:t xml:space="preserve"> Royal College of Midwives – </w:t>
      </w:r>
      <w:hyperlink r:id="rId113" w:history="1">
        <w:r w:rsidRPr="00CD0092">
          <w:rPr>
            <w:rStyle w:val="Hyperlink"/>
            <w:rFonts w:cs="Arial"/>
            <w:color w:val="0000FF"/>
          </w:rPr>
          <w:t>Wales state of maternity services 2023</w:t>
        </w:r>
      </w:hyperlink>
    </w:p>
  </w:footnote>
  <w:footnote w:id="117">
    <w:p w14:paraId="156630B4" w14:textId="77777777" w:rsidR="00370535" w:rsidRPr="00CD0092" w:rsidRDefault="00370535" w:rsidP="00370535">
      <w:pPr>
        <w:pStyle w:val="FootnoteText"/>
        <w:rPr>
          <w:rFonts w:asciiTheme="minorHAnsi" w:hAnsiTheme="minorHAnsi" w:cstheme="minorBidi"/>
        </w:rPr>
      </w:pPr>
      <w:r w:rsidRPr="00CD0092">
        <w:rPr>
          <w:rStyle w:val="FootnoteReference"/>
          <w:sz w:val="20"/>
        </w:rPr>
        <w:footnoteRef/>
      </w:r>
      <w:r w:rsidRPr="00CD0092">
        <w:rPr>
          <w:rFonts w:cs="Arial"/>
        </w:rPr>
        <w:t xml:space="preserve"> Office of National Statistics - </w:t>
      </w:r>
      <w:hyperlink r:id="rId114" w:history="1">
        <w:r w:rsidRPr="00CD0092">
          <w:rPr>
            <w:rStyle w:val="Hyperlink"/>
            <w:rFonts w:cs="Arial"/>
            <w:color w:val="0000FF"/>
          </w:rPr>
          <w:t>Conceptions in England and Wales</w:t>
        </w:r>
      </w:hyperlink>
    </w:p>
  </w:footnote>
  <w:footnote w:id="118">
    <w:p w14:paraId="0C672DCE" w14:textId="77777777" w:rsidR="00370535" w:rsidRPr="00CD0092" w:rsidRDefault="00370535" w:rsidP="00370535">
      <w:pPr>
        <w:rPr>
          <w:rFonts w:cs="Arial"/>
          <w:sz w:val="20"/>
          <w:szCs w:val="20"/>
        </w:rPr>
      </w:pPr>
      <w:r w:rsidRPr="00CD0092">
        <w:rPr>
          <w:rStyle w:val="FootnoteReference"/>
          <w:sz w:val="20"/>
          <w:szCs w:val="20"/>
        </w:rPr>
        <w:footnoteRef/>
      </w:r>
      <w:r w:rsidRPr="00CD0092">
        <w:rPr>
          <w:rFonts w:cs="Arial"/>
          <w:sz w:val="20"/>
          <w:szCs w:val="20"/>
        </w:rPr>
        <w:t xml:space="preserve"> NHS Wales Public Health Wales - </w:t>
      </w:r>
      <w:hyperlink r:id="rId115" w:history="1">
        <w:r w:rsidRPr="00CD0092">
          <w:rPr>
            <w:rStyle w:val="Hyperlink"/>
            <w:rFonts w:cs="Arial"/>
            <w:color w:val="0000FF"/>
            <w:sz w:val="20"/>
            <w:szCs w:val="20"/>
          </w:rPr>
          <w:t xml:space="preserve">Sexual Health Trends in Wales: Sexually Transmitted Infections, Emergency and Long-acting Reversible Contraception provision and Termination of Pregnancy Annual report 2024 (Data to end of 2023) </w:t>
        </w:r>
      </w:hyperlink>
      <w:r w:rsidRPr="00CD0092">
        <w:rPr>
          <w:rFonts w:cs="Arial"/>
          <w:color w:val="0000FF"/>
          <w:sz w:val="20"/>
          <w:szCs w:val="20"/>
          <w:u w:val="single"/>
        </w:rPr>
        <w:t xml:space="preserve"> </w:t>
      </w:r>
    </w:p>
  </w:footnote>
  <w:footnote w:id="119">
    <w:p w14:paraId="6D54E517" w14:textId="77777777" w:rsidR="00370535" w:rsidRPr="00CD0092" w:rsidRDefault="00370535" w:rsidP="00370535">
      <w:pPr>
        <w:pStyle w:val="FootnoteText"/>
        <w:rPr>
          <w:rFonts w:cs="Arial"/>
        </w:rPr>
      </w:pPr>
      <w:r w:rsidRPr="00CD0092">
        <w:rPr>
          <w:rStyle w:val="FootnoteReference"/>
          <w:sz w:val="20"/>
        </w:rPr>
        <w:footnoteRef/>
      </w:r>
      <w:r w:rsidRPr="00CD0092">
        <w:rPr>
          <w:rFonts w:cs="Arial"/>
        </w:rPr>
        <w:t xml:space="preserve"> NHS Wales Public Health Wales - </w:t>
      </w:r>
      <w:hyperlink r:id="rId116" w:history="1">
        <w:r w:rsidRPr="00CD0092">
          <w:rPr>
            <w:rStyle w:val="Hyperlink"/>
            <w:rFonts w:cs="Arial"/>
            <w:color w:val="0000FF"/>
          </w:rPr>
          <w:t>Sexual transmitted infection cases climb in Wales: Increases in Gonorrhoea and Syphilis reported (August 2024)</w:t>
        </w:r>
      </w:hyperlink>
    </w:p>
  </w:footnote>
  <w:footnote w:id="120">
    <w:p w14:paraId="6CE59877" w14:textId="77777777" w:rsidR="00370535" w:rsidRDefault="00370535" w:rsidP="00370535">
      <w:pPr>
        <w:pStyle w:val="FootnoteText"/>
        <w:rPr>
          <w:rFonts w:asciiTheme="minorHAnsi" w:hAnsiTheme="minorHAnsi" w:cstheme="minorBidi"/>
        </w:rPr>
      </w:pPr>
      <w:r w:rsidRPr="00CD0092">
        <w:rPr>
          <w:rStyle w:val="FootnoteReference"/>
          <w:sz w:val="20"/>
        </w:rPr>
        <w:footnoteRef/>
      </w:r>
      <w:r w:rsidRPr="00CD0092">
        <w:rPr>
          <w:rFonts w:cs="Arial"/>
        </w:rPr>
        <w:t xml:space="preserve"> NHS Wales Sexual Health Wales - </w:t>
      </w:r>
      <w:hyperlink r:id="rId117" w:history="1">
        <w:r w:rsidRPr="00CD0092">
          <w:rPr>
            <w:rStyle w:val="Hyperlink"/>
            <w:rFonts w:cs="Arial"/>
            <w:color w:val="0000FF"/>
          </w:rPr>
          <w:t>Test and Post: Home testing for sexually transmitted infections</w:t>
        </w:r>
      </w:hyperlink>
    </w:p>
  </w:footnote>
  <w:footnote w:id="121">
    <w:p w14:paraId="3F1709D6" w14:textId="77777777" w:rsidR="00370535" w:rsidRPr="00CD0092" w:rsidRDefault="00370535" w:rsidP="00370535">
      <w:pPr>
        <w:rPr>
          <w:sz w:val="20"/>
          <w:szCs w:val="20"/>
        </w:rPr>
      </w:pPr>
      <w:r w:rsidRPr="00CD0092">
        <w:rPr>
          <w:rStyle w:val="FootnoteReference"/>
          <w:sz w:val="20"/>
          <w:szCs w:val="20"/>
        </w:rPr>
        <w:footnoteRef/>
      </w:r>
      <w:r w:rsidRPr="00CD0092">
        <w:rPr>
          <w:rFonts w:cs="Arial"/>
          <w:sz w:val="20"/>
          <w:szCs w:val="20"/>
        </w:rPr>
        <w:t xml:space="preserve"> Welsh Government StatsWales - </w:t>
      </w:r>
      <w:hyperlink r:id="rId118" w:history="1">
        <w:r w:rsidRPr="00CD0092">
          <w:rPr>
            <w:rStyle w:val="Hyperlink"/>
            <w:rFonts w:cs="Arial"/>
            <w:color w:val="0000FF"/>
            <w:sz w:val="20"/>
            <w:szCs w:val="20"/>
          </w:rPr>
          <w:t>Disease registers by local health board, cluster and GP practice</w:t>
        </w:r>
      </w:hyperlink>
    </w:p>
  </w:footnote>
  <w:footnote w:id="122">
    <w:p w14:paraId="71E13347" w14:textId="77777777" w:rsidR="00370535" w:rsidRPr="00A9466B" w:rsidRDefault="00370535" w:rsidP="00370535">
      <w:pPr>
        <w:pStyle w:val="FootnoteText"/>
      </w:pPr>
      <w:r w:rsidRPr="00A9466B">
        <w:rPr>
          <w:rStyle w:val="FootnoteReference"/>
          <w:sz w:val="20"/>
        </w:rPr>
        <w:footnoteRef/>
      </w:r>
      <w:r w:rsidRPr="00A9466B">
        <w:rPr>
          <w:rFonts w:cs="Arial"/>
        </w:rPr>
        <w:t xml:space="preserve"> NHS Wales Public Health Wales - </w:t>
      </w:r>
      <w:hyperlink r:id="rId119" w:history="1">
        <w:r w:rsidRPr="00A9466B">
          <w:rPr>
            <w:rStyle w:val="Hyperlink"/>
            <w:rFonts w:cs="Arial"/>
            <w:color w:val="0000FF"/>
          </w:rPr>
          <w:t>Almost Half of Dementia Cases Could Be Prevented Through Lifestyle Changes (March 2026)</w:t>
        </w:r>
      </w:hyperlink>
    </w:p>
  </w:footnote>
  <w:footnote w:id="123">
    <w:p w14:paraId="67791125" w14:textId="77777777" w:rsidR="00370535" w:rsidRPr="00A9466B" w:rsidRDefault="00370535" w:rsidP="00370535">
      <w:pPr>
        <w:rPr>
          <w:sz w:val="20"/>
          <w:szCs w:val="20"/>
        </w:rPr>
      </w:pPr>
      <w:r w:rsidRPr="00A9466B">
        <w:rPr>
          <w:rStyle w:val="FootnoteReference"/>
          <w:sz w:val="20"/>
          <w:szCs w:val="20"/>
        </w:rPr>
        <w:footnoteRef/>
      </w:r>
      <w:r w:rsidRPr="00A9466B">
        <w:rPr>
          <w:rFonts w:cs="Arial"/>
          <w:sz w:val="20"/>
          <w:szCs w:val="20"/>
        </w:rPr>
        <w:t xml:space="preserve"> Welsh Government StatsWales - </w:t>
      </w:r>
      <w:hyperlink r:id="rId120" w:history="1">
        <w:r w:rsidRPr="00A9466B">
          <w:rPr>
            <w:rStyle w:val="Hyperlink"/>
            <w:rFonts w:cs="Arial"/>
            <w:color w:val="0000FF"/>
            <w:sz w:val="20"/>
            <w:szCs w:val="20"/>
          </w:rPr>
          <w:t>Disease registers by local health board, cluster and GP practice</w:t>
        </w:r>
      </w:hyperlink>
    </w:p>
  </w:footnote>
  <w:footnote w:id="124">
    <w:p w14:paraId="2A939714" w14:textId="77777777" w:rsidR="00370535" w:rsidRDefault="00370535" w:rsidP="00370535">
      <w:pPr>
        <w:pStyle w:val="FootnoteText"/>
      </w:pPr>
      <w:r w:rsidRPr="00A9466B">
        <w:rPr>
          <w:rStyle w:val="FootnoteReference"/>
          <w:sz w:val="20"/>
        </w:rPr>
        <w:footnoteRef/>
      </w:r>
      <w:r w:rsidRPr="00A9466B">
        <w:rPr>
          <w:rFonts w:cs="Arial"/>
        </w:rPr>
        <w:t xml:space="preserve"> NHS Wales Public Health Wales - </w:t>
      </w:r>
      <w:hyperlink r:id="rId121" w:history="1">
        <w:r w:rsidRPr="00A9466B">
          <w:rPr>
            <w:rStyle w:val="Hyperlink"/>
            <w:rFonts w:cs="Arial"/>
            <w:color w:val="0000FF"/>
          </w:rPr>
          <w:t>Cancer in Wales – trends and projections (September 2025)</w:t>
        </w:r>
      </w:hyperlink>
    </w:p>
  </w:footnote>
  <w:footnote w:id="125">
    <w:p w14:paraId="7B179D8C" w14:textId="77777777" w:rsidR="00370535" w:rsidRPr="00A9466B" w:rsidRDefault="00370535" w:rsidP="00370535">
      <w:pPr>
        <w:pStyle w:val="FootnoteText"/>
        <w:rPr>
          <w:rFonts w:cs="Arial"/>
        </w:rPr>
      </w:pPr>
      <w:r w:rsidRPr="00A9466B">
        <w:rPr>
          <w:rStyle w:val="FootnoteReference"/>
          <w:sz w:val="20"/>
        </w:rPr>
        <w:footnoteRef/>
      </w:r>
      <w:r w:rsidRPr="00A9466B">
        <w:rPr>
          <w:rFonts w:cs="Arial"/>
        </w:rPr>
        <w:t xml:space="preserve"> Brown, K.F., Rumgay, H., Dunlop, C. </w:t>
      </w:r>
      <w:r w:rsidRPr="00A9466B">
        <w:rPr>
          <w:rFonts w:cs="Arial"/>
          <w:i/>
          <w:iCs/>
        </w:rPr>
        <w:t>et al.</w:t>
      </w:r>
      <w:r w:rsidRPr="00A9466B">
        <w:rPr>
          <w:rFonts w:cs="Arial"/>
        </w:rPr>
        <w:t> The fraction of cancer attributable to modifiable risk factors in England, Wales, Scotland, Northern Ireland, and the United Kingdom in 2015. </w:t>
      </w:r>
      <w:hyperlink r:id="rId122" w:history="1">
        <w:r w:rsidRPr="00A9466B">
          <w:rPr>
            <w:rStyle w:val="Hyperlink"/>
            <w:rFonts w:cs="Arial"/>
            <w:color w:val="0000FF"/>
          </w:rPr>
          <w:t>Br J Cancer </w:t>
        </w:r>
        <w:r w:rsidRPr="00A9466B">
          <w:rPr>
            <w:rStyle w:val="Hyperlink"/>
            <w:rFonts w:cs="Arial"/>
            <w:b/>
            <w:bCs/>
            <w:color w:val="0000FF"/>
          </w:rPr>
          <w:t>118</w:t>
        </w:r>
        <w:r w:rsidRPr="00A9466B">
          <w:rPr>
            <w:rStyle w:val="Hyperlink"/>
            <w:rFonts w:cs="Arial"/>
            <w:color w:val="0000FF"/>
          </w:rPr>
          <w:t>, 1130–1141 (2018)</w:t>
        </w:r>
      </w:hyperlink>
    </w:p>
  </w:footnote>
  <w:footnote w:id="126">
    <w:p w14:paraId="54040868" w14:textId="77777777" w:rsidR="00370535" w:rsidRDefault="00370535" w:rsidP="00370535">
      <w:pPr>
        <w:pStyle w:val="FootnoteText"/>
        <w:rPr>
          <w:rFonts w:cs="Arial"/>
        </w:rPr>
      </w:pPr>
      <w:r w:rsidRPr="00A9466B">
        <w:rPr>
          <w:rStyle w:val="FootnoteReference"/>
          <w:sz w:val="20"/>
        </w:rPr>
        <w:footnoteRef/>
      </w:r>
      <w:r w:rsidRPr="00A9466B">
        <w:rPr>
          <w:rFonts w:cs="Arial"/>
        </w:rPr>
        <w:t xml:space="preserve"> NHS Wales Public Health Wales - </w:t>
      </w:r>
      <w:hyperlink r:id="rId123" w:history="1">
        <w:r w:rsidRPr="00A9466B">
          <w:rPr>
            <w:rStyle w:val="Hyperlink"/>
            <w:rFonts w:cs="Arial"/>
            <w:color w:val="0000FF"/>
          </w:rPr>
          <w:t>Cancer reporting tool Wales (March 2026)</w:t>
        </w:r>
      </w:hyperlink>
    </w:p>
  </w:footnote>
  <w:footnote w:id="127">
    <w:p w14:paraId="39C3640F" w14:textId="77777777" w:rsidR="00370535" w:rsidRPr="00472864" w:rsidRDefault="00370535" w:rsidP="00370535">
      <w:pPr>
        <w:pStyle w:val="FootnoteText"/>
        <w:rPr>
          <w:rFonts w:asciiTheme="minorHAnsi" w:hAnsiTheme="minorHAnsi" w:cstheme="minorBidi"/>
        </w:rPr>
      </w:pPr>
      <w:r w:rsidRPr="00472864">
        <w:rPr>
          <w:rStyle w:val="FootnoteReference"/>
          <w:sz w:val="20"/>
        </w:rPr>
        <w:footnoteRef/>
      </w:r>
      <w:r w:rsidRPr="00472864">
        <w:rPr>
          <w:rFonts w:cs="Arial"/>
        </w:rPr>
        <w:t xml:space="preserve"> NHS Wales Public Health Wales - </w:t>
      </w:r>
      <w:hyperlink r:id="rId124" w:history="1">
        <w:r w:rsidRPr="00472864">
          <w:rPr>
            <w:rStyle w:val="Hyperlink"/>
            <w:rFonts w:cs="Arial"/>
            <w:color w:val="0000FF"/>
          </w:rPr>
          <w:t>Cancer reporting tool Wales (March 2026)</w:t>
        </w:r>
      </w:hyperlink>
    </w:p>
  </w:footnote>
  <w:footnote w:id="128">
    <w:p w14:paraId="17E26AF8" w14:textId="77777777" w:rsidR="00370535" w:rsidRPr="00A87D95" w:rsidRDefault="00370535" w:rsidP="00370535">
      <w:pPr>
        <w:pStyle w:val="FootnoteText"/>
        <w:rPr>
          <w:rFonts w:cs="Arial"/>
        </w:rPr>
      </w:pPr>
      <w:r w:rsidRPr="00A87D95">
        <w:rPr>
          <w:rStyle w:val="FootnoteReference"/>
          <w:sz w:val="20"/>
        </w:rPr>
        <w:footnoteRef/>
      </w:r>
      <w:r w:rsidRPr="00A87D95">
        <w:rPr>
          <w:rFonts w:cs="Arial"/>
        </w:rPr>
        <w:t xml:space="preserve"> NHS Wales Public Health Wales - </w:t>
      </w:r>
      <w:hyperlink r:id="rId125" w:history="1">
        <w:r w:rsidRPr="00A87D95">
          <w:rPr>
            <w:rStyle w:val="Hyperlink"/>
            <w:rFonts w:cs="Arial"/>
            <w:color w:val="0000FF"/>
          </w:rPr>
          <w:t>Cancer reporting tool Wales (March 2026)</w:t>
        </w:r>
      </w:hyperlink>
    </w:p>
  </w:footnote>
  <w:footnote w:id="129">
    <w:p w14:paraId="642E6590" w14:textId="77777777" w:rsidR="00370535" w:rsidRPr="0024588B" w:rsidRDefault="00370535" w:rsidP="00370535">
      <w:pPr>
        <w:rPr>
          <w:rFonts w:cs="Arial"/>
          <w:sz w:val="20"/>
          <w:szCs w:val="20"/>
        </w:rPr>
      </w:pPr>
      <w:r w:rsidRPr="0024588B">
        <w:rPr>
          <w:rStyle w:val="FootnoteReference"/>
          <w:sz w:val="20"/>
          <w:szCs w:val="20"/>
        </w:rPr>
        <w:footnoteRef/>
      </w:r>
      <w:r w:rsidRPr="0024588B">
        <w:rPr>
          <w:rFonts w:cs="Arial"/>
          <w:sz w:val="20"/>
          <w:szCs w:val="20"/>
        </w:rPr>
        <w:t xml:space="preserve"> Welsh Government StatsWales - </w:t>
      </w:r>
      <w:hyperlink r:id="rId126" w:history="1">
        <w:r w:rsidRPr="0024588B">
          <w:rPr>
            <w:rStyle w:val="Hyperlink"/>
            <w:rFonts w:cs="Arial"/>
            <w:color w:val="0000FF"/>
            <w:sz w:val="20"/>
            <w:szCs w:val="20"/>
          </w:rPr>
          <w:t>Disease registers by local health board, cluster and GP practice</w:t>
        </w:r>
      </w:hyperlink>
    </w:p>
  </w:footnote>
  <w:footnote w:id="130">
    <w:p w14:paraId="62FB2B5D" w14:textId="77777777" w:rsidR="00370535" w:rsidRPr="0024588B" w:rsidRDefault="00370535" w:rsidP="00370535">
      <w:pPr>
        <w:pStyle w:val="FootnoteText"/>
        <w:rPr>
          <w:rFonts w:asciiTheme="minorHAnsi" w:hAnsiTheme="minorHAnsi" w:cstheme="minorBidi"/>
        </w:rPr>
      </w:pPr>
      <w:r w:rsidRPr="0024588B">
        <w:rPr>
          <w:rStyle w:val="FootnoteReference"/>
          <w:sz w:val="20"/>
        </w:rPr>
        <w:footnoteRef/>
      </w:r>
      <w:r w:rsidRPr="0024588B">
        <w:rPr>
          <w:rFonts w:cs="Arial"/>
        </w:rPr>
        <w:t xml:space="preserve"> NHS Wales Digital Health and Care Wales - </w:t>
      </w:r>
      <w:hyperlink r:id="rId127" w:history="1">
        <w:r w:rsidRPr="0024588B">
          <w:rPr>
            <w:rStyle w:val="Hyperlink"/>
            <w:rFonts w:cs="Arial"/>
            <w:color w:val="0000FF"/>
          </w:rPr>
          <w:t>Cancer mortality dashboard</w:t>
        </w:r>
      </w:hyperlink>
    </w:p>
  </w:footnote>
  <w:footnote w:id="131">
    <w:p w14:paraId="58BB77C2" w14:textId="77777777" w:rsidR="00370535" w:rsidRPr="00914B43" w:rsidRDefault="00370535" w:rsidP="00370535">
      <w:pPr>
        <w:pStyle w:val="FootnoteText"/>
        <w:rPr>
          <w:rFonts w:cs="Arial"/>
        </w:rPr>
      </w:pPr>
      <w:r w:rsidRPr="00914B43">
        <w:rPr>
          <w:rStyle w:val="FootnoteReference"/>
          <w:sz w:val="20"/>
        </w:rPr>
        <w:footnoteRef/>
      </w:r>
      <w:r w:rsidRPr="00914B43">
        <w:rPr>
          <w:rFonts w:cs="Arial"/>
        </w:rPr>
        <w:t xml:space="preserve"> NHS Wales Digital Health and Care Wales - </w:t>
      </w:r>
      <w:hyperlink r:id="rId128" w:history="1">
        <w:r w:rsidRPr="00914B43">
          <w:rPr>
            <w:rStyle w:val="Hyperlink"/>
            <w:rFonts w:cs="Arial"/>
            <w:color w:val="0000FF"/>
          </w:rPr>
          <w:t>Cancer mortality dashboard</w:t>
        </w:r>
      </w:hyperlink>
    </w:p>
  </w:footnote>
  <w:footnote w:id="132">
    <w:p w14:paraId="2AEE39AD" w14:textId="77777777" w:rsidR="00370535" w:rsidRPr="00914B43" w:rsidRDefault="00370535" w:rsidP="00370535">
      <w:pPr>
        <w:pStyle w:val="FootnoteText"/>
        <w:rPr>
          <w:rFonts w:asciiTheme="minorHAnsi" w:hAnsiTheme="minorHAnsi" w:cstheme="minorBidi"/>
        </w:rPr>
      </w:pPr>
      <w:r w:rsidRPr="00914B43">
        <w:rPr>
          <w:rStyle w:val="FootnoteReference"/>
          <w:sz w:val="20"/>
        </w:rPr>
        <w:footnoteRef/>
      </w:r>
      <w:r w:rsidRPr="00914B43">
        <w:rPr>
          <w:rFonts w:cs="Arial"/>
        </w:rPr>
        <w:t xml:space="preserve"> NHS Wales Public Health Wales - </w:t>
      </w:r>
      <w:hyperlink r:id="rId129" w:history="1">
        <w:r w:rsidRPr="00914B43">
          <w:rPr>
            <w:rStyle w:val="Hyperlink"/>
            <w:rFonts w:cs="Arial"/>
            <w:color w:val="0000FF"/>
          </w:rPr>
          <w:t>Bowel Screening Wales</w:t>
        </w:r>
      </w:hyperlink>
    </w:p>
  </w:footnote>
  <w:footnote w:id="133">
    <w:p w14:paraId="1027606B" w14:textId="77777777" w:rsidR="00370535" w:rsidRPr="005763A0" w:rsidRDefault="00370535" w:rsidP="00370535">
      <w:pPr>
        <w:pStyle w:val="FootnoteText"/>
        <w:rPr>
          <w:rFonts w:cs="Arial"/>
        </w:rPr>
      </w:pPr>
      <w:r w:rsidRPr="005763A0">
        <w:rPr>
          <w:rStyle w:val="FootnoteReference"/>
          <w:sz w:val="20"/>
        </w:rPr>
        <w:footnoteRef/>
      </w:r>
      <w:r w:rsidRPr="005763A0">
        <w:rPr>
          <w:rFonts w:cs="Arial"/>
        </w:rPr>
        <w:t xml:space="preserve"> NHS Wales Public Health Wales - </w:t>
      </w:r>
      <w:hyperlink r:id="rId130" w:history="1">
        <w:r w:rsidRPr="005763A0">
          <w:rPr>
            <w:rStyle w:val="Hyperlink"/>
            <w:rFonts w:cs="Arial"/>
            <w:color w:val="0000FF"/>
          </w:rPr>
          <w:t xml:space="preserve">Bowel Screening Wales - Programme reports </w:t>
        </w:r>
      </w:hyperlink>
    </w:p>
  </w:footnote>
  <w:footnote w:id="134">
    <w:p w14:paraId="51AA8FAF" w14:textId="77777777" w:rsidR="00370535" w:rsidRPr="005763A0" w:rsidRDefault="00370535" w:rsidP="00370535">
      <w:pPr>
        <w:pStyle w:val="FootnoteText"/>
        <w:rPr>
          <w:rFonts w:cs="Arial"/>
        </w:rPr>
      </w:pPr>
      <w:r w:rsidRPr="005763A0">
        <w:rPr>
          <w:rStyle w:val="FootnoteReference"/>
          <w:sz w:val="20"/>
        </w:rPr>
        <w:footnoteRef/>
      </w:r>
      <w:r w:rsidRPr="005763A0">
        <w:rPr>
          <w:rFonts w:cs="Arial"/>
        </w:rPr>
        <w:t xml:space="preserve"> NHS Wales Public Health Wales - </w:t>
      </w:r>
      <w:hyperlink r:id="rId131" w:history="1">
        <w:r w:rsidRPr="005763A0">
          <w:rPr>
            <w:rStyle w:val="Hyperlink"/>
            <w:rFonts w:cs="Arial"/>
            <w:color w:val="0000FF"/>
          </w:rPr>
          <w:t>Diabetic Eye Screening Wales Annual Statistical Report 2023-24</w:t>
        </w:r>
      </w:hyperlink>
    </w:p>
  </w:footnote>
  <w:footnote w:id="135">
    <w:p w14:paraId="175709DD" w14:textId="77777777" w:rsidR="00370535" w:rsidRPr="005763A0" w:rsidRDefault="00370535" w:rsidP="00370535">
      <w:pPr>
        <w:pStyle w:val="FootnoteText"/>
        <w:rPr>
          <w:rFonts w:asciiTheme="minorHAnsi" w:hAnsiTheme="minorHAnsi" w:cstheme="minorBidi"/>
        </w:rPr>
      </w:pPr>
      <w:r w:rsidRPr="005763A0">
        <w:rPr>
          <w:rStyle w:val="FootnoteReference"/>
          <w:sz w:val="20"/>
        </w:rPr>
        <w:footnoteRef/>
      </w:r>
      <w:r w:rsidRPr="005763A0">
        <w:rPr>
          <w:rFonts w:cs="Arial"/>
        </w:rPr>
        <w:t xml:space="preserve"> NHS Wales Public Health Wales - </w:t>
      </w:r>
      <w:hyperlink r:id="rId132" w:history="1">
        <w:r w:rsidRPr="005763A0">
          <w:rPr>
            <w:rStyle w:val="Hyperlink"/>
            <w:rFonts w:cs="Arial"/>
            <w:color w:val="0000FF"/>
          </w:rPr>
          <w:t>Cervical Screening Wales Annual Statistical Report 2022-2023</w:t>
        </w:r>
      </w:hyperlink>
    </w:p>
  </w:footnote>
  <w:footnote w:id="136">
    <w:p w14:paraId="01221C3C" w14:textId="77777777" w:rsidR="00370535" w:rsidRDefault="00370535" w:rsidP="00370535">
      <w:pPr>
        <w:rPr>
          <w:rFonts w:cs="Arial"/>
          <w:sz w:val="20"/>
          <w:szCs w:val="20"/>
        </w:rPr>
      </w:pPr>
      <w:r w:rsidRPr="005763A0">
        <w:rPr>
          <w:rStyle w:val="FootnoteReference"/>
          <w:sz w:val="20"/>
          <w:szCs w:val="20"/>
        </w:rPr>
        <w:footnoteRef/>
      </w:r>
      <w:r w:rsidRPr="005763A0">
        <w:rPr>
          <w:rFonts w:cs="Arial"/>
          <w:sz w:val="20"/>
          <w:szCs w:val="20"/>
        </w:rPr>
        <w:t xml:space="preserve"> NHS Wales Public Health Wales - </w:t>
      </w:r>
      <w:hyperlink r:id="rId133" w:history="1">
        <w:r w:rsidRPr="005763A0">
          <w:rPr>
            <w:rStyle w:val="Hyperlink"/>
            <w:rFonts w:cs="Arial"/>
            <w:color w:val="0000FF"/>
            <w:sz w:val="20"/>
            <w:szCs w:val="20"/>
          </w:rPr>
          <w:t>Breast Test Wales Annual Statistical Report 2023-24</w:t>
        </w:r>
      </w:hyperlink>
      <w:r>
        <w:rPr>
          <w:rFonts w:cs="Arial"/>
          <w:sz w:val="20"/>
          <w:szCs w:val="20"/>
        </w:rPr>
        <w:t xml:space="preserve"> </w:t>
      </w:r>
    </w:p>
  </w:footnote>
  <w:footnote w:id="137">
    <w:p w14:paraId="14A1DF13" w14:textId="77777777" w:rsidR="00370535" w:rsidRDefault="00370535" w:rsidP="00370535">
      <w:pPr>
        <w:rPr>
          <w:rFonts w:cs="Arial"/>
          <w:sz w:val="20"/>
          <w:szCs w:val="20"/>
        </w:rPr>
      </w:pPr>
      <w:r>
        <w:rPr>
          <w:rStyle w:val="FootnoteReference"/>
          <w:sz w:val="20"/>
          <w:szCs w:val="20"/>
        </w:rPr>
        <w:footnoteRef/>
      </w:r>
      <w:r>
        <w:rPr>
          <w:rFonts w:cs="Arial"/>
          <w:sz w:val="20"/>
          <w:szCs w:val="20"/>
        </w:rPr>
        <w:t xml:space="preserve"> NHS Wales Public Health Wales - </w:t>
      </w:r>
      <w:hyperlink r:id="rId134" w:history="1">
        <w:r>
          <w:rPr>
            <w:rStyle w:val="Hyperlink"/>
            <w:rFonts w:cs="Arial"/>
            <w:color w:val="0000FF"/>
            <w:sz w:val="20"/>
            <w:szCs w:val="20"/>
          </w:rPr>
          <w:t>Swansea Bay University Health Board: Childhood Immunisation (December 2025)</w:t>
        </w:r>
      </w:hyperlink>
      <w:r>
        <w:rPr>
          <w:rFonts w:cs="Arial"/>
          <w:color w:val="0000FF"/>
          <w:sz w:val="20"/>
          <w:szCs w:val="20"/>
          <w:u w:val="single"/>
        </w:rPr>
        <w:t xml:space="preserve"> </w:t>
      </w:r>
    </w:p>
  </w:footnote>
  <w:footnote w:id="138">
    <w:p w14:paraId="20F79500" w14:textId="77777777" w:rsidR="00370535" w:rsidRPr="005763A0" w:rsidRDefault="00370535" w:rsidP="00370535">
      <w:pPr>
        <w:rPr>
          <w:rFonts w:cs="Arial"/>
          <w:sz w:val="20"/>
          <w:szCs w:val="20"/>
        </w:rPr>
      </w:pPr>
      <w:r w:rsidRPr="005763A0">
        <w:rPr>
          <w:rStyle w:val="FootnoteReference"/>
          <w:sz w:val="20"/>
          <w:szCs w:val="20"/>
        </w:rPr>
        <w:footnoteRef/>
      </w:r>
      <w:r w:rsidRPr="005763A0">
        <w:rPr>
          <w:rFonts w:cs="Arial"/>
          <w:sz w:val="20"/>
          <w:szCs w:val="20"/>
        </w:rPr>
        <w:t xml:space="preserve"> NHS Wales Public Health Wales - </w:t>
      </w:r>
      <w:hyperlink r:id="rId135" w:history="1">
        <w:r w:rsidRPr="005763A0">
          <w:rPr>
            <w:rStyle w:val="Hyperlink"/>
            <w:rFonts w:cs="Arial"/>
            <w:color w:val="0000FF"/>
            <w:sz w:val="20"/>
            <w:szCs w:val="20"/>
          </w:rPr>
          <w:t>Vaccine uptake in children in Wales - COVER annual report 2025- year ending 31 March 2025</w:t>
        </w:r>
      </w:hyperlink>
    </w:p>
  </w:footnote>
  <w:footnote w:id="139">
    <w:p w14:paraId="551BEFB6" w14:textId="77777777" w:rsidR="00370535" w:rsidRDefault="00370535" w:rsidP="00370535">
      <w:pPr>
        <w:pStyle w:val="FootnoteText"/>
        <w:rPr>
          <w:rStyle w:val="Hyperlink1"/>
          <w:rFonts w:asciiTheme="minorHAnsi" w:hAnsiTheme="minorHAnsi" w:cstheme="minorBidi"/>
        </w:rPr>
      </w:pPr>
      <w:r w:rsidRPr="005763A0">
        <w:rPr>
          <w:rStyle w:val="FootnoteReference"/>
          <w:sz w:val="20"/>
        </w:rPr>
        <w:footnoteRef/>
      </w:r>
      <w:r w:rsidRPr="005763A0">
        <w:rPr>
          <w:rFonts w:cs="Arial"/>
        </w:rPr>
        <w:t xml:space="preserve"> Public Health Wales – </w:t>
      </w:r>
      <w:hyperlink r:id="rId136" w:history="1">
        <w:r w:rsidRPr="005763A0">
          <w:rPr>
            <w:rStyle w:val="Hyperlink1"/>
          </w:rPr>
          <w:t>Annual influenza surveillance and influenza vaccination uptake report 2024/25</w:t>
        </w:r>
      </w:hyperlink>
      <w:r>
        <w:rPr>
          <w:rStyle w:val="Hyperlink1"/>
        </w:rPr>
        <w:t xml:space="preserve"> </w:t>
      </w:r>
    </w:p>
  </w:footnote>
  <w:footnote w:id="140">
    <w:p w14:paraId="1824A92F" w14:textId="77777777" w:rsidR="00477B14" w:rsidRPr="00AF0839" w:rsidRDefault="00477B14" w:rsidP="00477B14">
      <w:pPr>
        <w:pStyle w:val="FootnoteText"/>
        <w:rPr>
          <w:rStyle w:val="Hyperlink1"/>
          <w:rFonts w:cs="Times New Roman"/>
        </w:rPr>
      </w:pPr>
      <w:r w:rsidRPr="00AF0839">
        <w:rPr>
          <w:rStyle w:val="FootnoteReference"/>
          <w:sz w:val="20"/>
        </w:rPr>
        <w:footnoteRef/>
      </w:r>
      <w:r w:rsidRPr="00AF0839">
        <w:t xml:space="preserve"> Census 2021 - </w:t>
      </w:r>
      <w:hyperlink r:id="rId137" w:history="1">
        <w:r w:rsidRPr="00AF0839">
          <w:rPr>
            <w:rStyle w:val="Hyperlink1"/>
          </w:rPr>
          <w:t>How life has changed in Swansea</w:t>
        </w:r>
      </w:hyperlink>
      <w:r w:rsidRPr="00AF0839">
        <w:rPr>
          <w:rStyle w:val="Hyperlink1"/>
        </w:rPr>
        <w:t xml:space="preserve"> </w:t>
      </w:r>
    </w:p>
  </w:footnote>
  <w:footnote w:id="141">
    <w:p w14:paraId="517B3395" w14:textId="77777777" w:rsidR="00477B14" w:rsidRPr="00AF0839" w:rsidRDefault="00477B14" w:rsidP="00477B14">
      <w:pPr>
        <w:rPr>
          <w:rStyle w:val="Hyperlink1"/>
          <w:rFonts w:cs="Times New Roman"/>
          <w:szCs w:val="20"/>
        </w:rPr>
      </w:pPr>
      <w:r w:rsidRPr="00AF0839">
        <w:rPr>
          <w:rStyle w:val="FootnoteReference"/>
          <w:sz w:val="20"/>
          <w:szCs w:val="20"/>
        </w:rPr>
        <w:footnoteRef/>
      </w:r>
      <w:r w:rsidRPr="00AF0839">
        <w:rPr>
          <w:sz w:val="20"/>
          <w:szCs w:val="20"/>
        </w:rPr>
        <w:t xml:space="preserve"> Census 2021 - </w:t>
      </w:r>
      <w:hyperlink r:id="rId138" w:history="1">
        <w:r w:rsidRPr="00AF0839">
          <w:rPr>
            <w:rStyle w:val="Hyperlink1"/>
            <w:rFonts w:cs="Times New Roman"/>
            <w:szCs w:val="20"/>
          </w:rPr>
          <w:t>How life has changed in Neath Port Talbot</w:t>
        </w:r>
      </w:hyperlink>
      <w:r w:rsidRPr="00AF0839">
        <w:rPr>
          <w:rStyle w:val="Hyperlink1"/>
          <w:rFonts w:cs="Times New Roman"/>
          <w:szCs w:val="20"/>
        </w:rPr>
        <w:t xml:space="preserve"> </w:t>
      </w:r>
    </w:p>
  </w:footnote>
  <w:footnote w:id="142">
    <w:p w14:paraId="4CB57987" w14:textId="4A09D20D" w:rsidR="00AF0839" w:rsidRPr="00AF0839" w:rsidRDefault="00AF0839">
      <w:pPr>
        <w:pStyle w:val="FootnoteText"/>
      </w:pPr>
      <w:r w:rsidRPr="00AF0839">
        <w:rPr>
          <w:rStyle w:val="FootnoteReference"/>
          <w:sz w:val="20"/>
        </w:rPr>
        <w:footnoteRef/>
      </w:r>
      <w:r w:rsidRPr="00AF0839">
        <w:t xml:space="preserve"> National Assembly for Wales - </w:t>
      </w:r>
      <w:hyperlink r:id="rId139" w:tgtFrame="_blank" w:history="1">
        <w:r w:rsidRPr="00C61EA5">
          <w:rPr>
            <w:rStyle w:val="Hyperlink1"/>
          </w:rPr>
          <w:t>A profile of long-term conditions in Wales</w:t>
        </w:r>
        <w:r w:rsidRPr="00C61EA5">
          <w:rPr>
            <w:rStyle w:val="Hyperlink1"/>
            <w:u w:val="none"/>
          </w:rPr>
          <w:t xml:space="preserve"> </w:t>
        </w:r>
      </w:hyperlink>
    </w:p>
  </w:footnote>
  <w:footnote w:id="143">
    <w:p w14:paraId="738890CA" w14:textId="2363C882" w:rsidR="00AF0839" w:rsidRPr="00AF0839" w:rsidRDefault="00AF0839">
      <w:pPr>
        <w:pStyle w:val="FootnoteText"/>
        <w:rPr>
          <w:color w:val="0000FF"/>
        </w:rPr>
      </w:pPr>
      <w:r w:rsidRPr="00AF0839">
        <w:rPr>
          <w:rStyle w:val="FootnoteReference"/>
          <w:sz w:val="20"/>
        </w:rPr>
        <w:footnoteRef/>
      </w:r>
      <w:r w:rsidRPr="00AF0839">
        <w:t xml:space="preserve"> Health and Social care Committee - </w:t>
      </w:r>
      <w:hyperlink r:id="rId140" w:history="1">
        <w:r w:rsidRPr="00AF0839">
          <w:rPr>
            <w:rStyle w:val="Hyperlink"/>
            <w:color w:val="0000FF"/>
          </w:rPr>
          <w:t>Supporting people with chronic conditions Public Health Wales written response June 2023</w:t>
        </w:r>
      </w:hyperlink>
    </w:p>
  </w:footnote>
  <w:footnote w:id="144">
    <w:p w14:paraId="2BC0F8A6" w14:textId="77777777" w:rsidR="00477B14" w:rsidRPr="00C61EA5" w:rsidRDefault="00477B14" w:rsidP="00477B14">
      <w:pPr>
        <w:rPr>
          <w:rFonts w:cs="Arial"/>
          <w:color w:val="163E64"/>
          <w:sz w:val="20"/>
          <w:szCs w:val="20"/>
        </w:rPr>
      </w:pPr>
      <w:r w:rsidRPr="00C61EA5">
        <w:rPr>
          <w:rStyle w:val="FootnoteReference"/>
          <w:sz w:val="20"/>
          <w:szCs w:val="20"/>
        </w:rPr>
        <w:footnoteRef/>
      </w:r>
      <w:r w:rsidRPr="00C61EA5">
        <w:rPr>
          <w:sz w:val="20"/>
          <w:szCs w:val="20"/>
        </w:rPr>
        <w:t xml:space="preserve"> Age Cymru - </w:t>
      </w:r>
      <w:hyperlink r:id="rId141" w:history="1">
        <w:r w:rsidRPr="00C61EA5">
          <w:rPr>
            <w:rStyle w:val="Hyperlink"/>
            <w:color w:val="0000FF"/>
            <w:sz w:val="20"/>
            <w:szCs w:val="20"/>
          </w:rPr>
          <w:t>Falls amongst older people can have a devastating impact but they are not an inevitable part of ageing</w:t>
        </w:r>
      </w:hyperlink>
      <w:r w:rsidRPr="00C61EA5">
        <w:rPr>
          <w:rFonts w:cs="Arial"/>
          <w:color w:val="163E64"/>
          <w:sz w:val="20"/>
          <w:szCs w:val="20"/>
        </w:rPr>
        <w:t xml:space="preserve"> </w:t>
      </w:r>
    </w:p>
  </w:footnote>
  <w:footnote w:id="145">
    <w:p w14:paraId="250FC269" w14:textId="77777777" w:rsidR="00477B14" w:rsidRPr="00C61EA5" w:rsidRDefault="00477B14" w:rsidP="00477B14">
      <w:pPr>
        <w:pStyle w:val="FootnoteText"/>
        <w:rPr>
          <w:rStyle w:val="Hyperlink"/>
        </w:rPr>
      </w:pPr>
      <w:r w:rsidRPr="00C61EA5">
        <w:rPr>
          <w:rStyle w:val="FootnoteReference"/>
          <w:sz w:val="20"/>
        </w:rPr>
        <w:footnoteRef/>
      </w:r>
      <w:r w:rsidRPr="00C61EA5">
        <w:rPr>
          <w:rFonts w:cs="Arial"/>
        </w:rPr>
        <w:t xml:space="preserve"> NOMIS TS003 - </w:t>
      </w:r>
      <w:hyperlink r:id="rId142" w:history="1">
        <w:r w:rsidRPr="00C61EA5">
          <w:rPr>
            <w:rStyle w:val="Hyperlink"/>
            <w:rFonts w:cs="Arial"/>
            <w:color w:val="0000FF"/>
          </w:rPr>
          <w:t>Household composition</w:t>
        </w:r>
      </w:hyperlink>
    </w:p>
  </w:footnote>
  <w:footnote w:id="146">
    <w:p w14:paraId="68A20245" w14:textId="77777777" w:rsidR="00477B14" w:rsidRPr="00C61EA5" w:rsidRDefault="00477B14" w:rsidP="00477B14">
      <w:pPr>
        <w:rPr>
          <w:sz w:val="20"/>
          <w:szCs w:val="20"/>
        </w:rPr>
      </w:pPr>
      <w:r w:rsidRPr="00C61EA5">
        <w:rPr>
          <w:rStyle w:val="FootnoteReference"/>
          <w:sz w:val="20"/>
          <w:szCs w:val="20"/>
        </w:rPr>
        <w:footnoteRef/>
      </w:r>
      <w:r w:rsidRPr="00C61EA5">
        <w:rPr>
          <w:sz w:val="20"/>
          <w:szCs w:val="20"/>
        </w:rPr>
        <w:t xml:space="preserve"> Age Cymru - </w:t>
      </w:r>
      <w:hyperlink r:id="rId143" w:history="1">
        <w:r w:rsidRPr="00C61EA5">
          <w:rPr>
            <w:rStyle w:val="Hyperlink"/>
            <w:color w:val="0000FF"/>
            <w:sz w:val="20"/>
            <w:szCs w:val="20"/>
          </w:rPr>
          <w:t>Welsh Government consults on mental health and wellbeing, and suicide prevention strategies (2024)</w:t>
        </w:r>
      </w:hyperlink>
    </w:p>
  </w:footnote>
  <w:footnote w:id="147">
    <w:p w14:paraId="2A3DFFE3" w14:textId="77777777" w:rsidR="00477B14" w:rsidRDefault="00477B14" w:rsidP="00477B14">
      <w:pPr>
        <w:rPr>
          <w:rFonts w:cs="Arial"/>
          <w:color w:val="163E64"/>
          <w:sz w:val="20"/>
          <w:szCs w:val="20"/>
        </w:rPr>
      </w:pPr>
      <w:r w:rsidRPr="00C61EA5">
        <w:rPr>
          <w:rStyle w:val="FootnoteReference"/>
          <w:sz w:val="20"/>
          <w:szCs w:val="20"/>
        </w:rPr>
        <w:footnoteRef/>
      </w:r>
      <w:r w:rsidRPr="00C61EA5">
        <w:rPr>
          <w:sz w:val="20"/>
          <w:szCs w:val="20"/>
        </w:rPr>
        <w:t xml:space="preserve"> Alzheimer’s Society Cymru - </w:t>
      </w:r>
      <w:hyperlink r:id="rId144" w:history="1">
        <w:r w:rsidRPr="00C61EA5">
          <w:rPr>
            <w:rStyle w:val="Hyperlink1"/>
            <w:rFonts w:cs="Times New Roman"/>
            <w:szCs w:val="20"/>
          </w:rPr>
          <w:t>A new dementia action plan for Wales (2025)</w:t>
        </w:r>
      </w:hyperlink>
      <w:r>
        <w:rPr>
          <w:sz w:val="20"/>
          <w:szCs w:val="20"/>
        </w:rPr>
        <w:t xml:space="preserve"> </w:t>
      </w:r>
    </w:p>
  </w:footnote>
  <w:footnote w:id="148">
    <w:p w14:paraId="278E73BE" w14:textId="77777777" w:rsidR="00477B14" w:rsidRPr="00C61EA5" w:rsidRDefault="00477B14" w:rsidP="00477B14">
      <w:pPr>
        <w:pStyle w:val="FootnoteText"/>
      </w:pPr>
      <w:r w:rsidRPr="00C61EA5">
        <w:rPr>
          <w:rStyle w:val="FootnoteReference"/>
          <w:sz w:val="20"/>
        </w:rPr>
        <w:footnoteRef/>
      </w:r>
      <w:r w:rsidRPr="00C61EA5">
        <w:t xml:space="preserve"> Welsh Government - </w:t>
      </w:r>
      <w:hyperlink r:id="rId145" w:history="1">
        <w:r w:rsidRPr="00C61EA5">
          <w:rPr>
            <w:rStyle w:val="Hyperlink1"/>
          </w:rPr>
          <w:t>Dementia action plan 2018 - 2022</w:t>
        </w:r>
      </w:hyperlink>
    </w:p>
  </w:footnote>
  <w:footnote w:id="149">
    <w:p w14:paraId="1EFB166B" w14:textId="77777777" w:rsidR="00477B14" w:rsidRPr="00C61EA5" w:rsidRDefault="00477B14" w:rsidP="00477B14">
      <w:pPr>
        <w:rPr>
          <w:rFonts w:cs="Arial"/>
          <w:color w:val="163E64"/>
          <w:sz w:val="20"/>
          <w:szCs w:val="20"/>
        </w:rPr>
      </w:pPr>
      <w:r w:rsidRPr="00C61EA5">
        <w:rPr>
          <w:rStyle w:val="FootnoteReference"/>
          <w:sz w:val="20"/>
          <w:szCs w:val="20"/>
        </w:rPr>
        <w:footnoteRef/>
      </w:r>
      <w:r w:rsidRPr="00C61EA5">
        <w:rPr>
          <w:sz w:val="20"/>
          <w:szCs w:val="20"/>
        </w:rPr>
        <w:t xml:space="preserve"> Health and Care Research Wales - </w:t>
      </w:r>
      <w:hyperlink r:id="rId146" w:anchor=":~:text=support%20and%20services-,Research%20into%20pathway%20for%20older%20people%20with%20vision%20impairment%20to,up%20for%20more%20efficient%20use." w:history="1">
        <w:r w:rsidRPr="00C61EA5">
          <w:rPr>
            <w:rStyle w:val="Hyperlink"/>
            <w:rFonts w:cs="Arial"/>
            <w:color w:val="0000FF"/>
            <w:sz w:val="20"/>
            <w:szCs w:val="20"/>
          </w:rPr>
          <w:t>Research into pathway for older people with vision impairment to navigate support and services</w:t>
        </w:r>
      </w:hyperlink>
      <w:r w:rsidRPr="00C61EA5">
        <w:rPr>
          <w:sz w:val="20"/>
          <w:szCs w:val="20"/>
        </w:rPr>
        <w:t xml:space="preserve"> 18 September 2025</w:t>
      </w:r>
    </w:p>
  </w:footnote>
  <w:footnote w:id="150">
    <w:p w14:paraId="2197CAE8" w14:textId="77777777" w:rsidR="00477B14" w:rsidRPr="00C61EA5" w:rsidRDefault="00477B14" w:rsidP="00477B14">
      <w:pPr>
        <w:rPr>
          <w:rFonts w:cs="Arial"/>
          <w:color w:val="163E64"/>
          <w:sz w:val="20"/>
          <w:szCs w:val="20"/>
        </w:rPr>
      </w:pPr>
      <w:r w:rsidRPr="00C61EA5">
        <w:rPr>
          <w:rStyle w:val="FootnoteReference"/>
          <w:sz w:val="20"/>
          <w:szCs w:val="20"/>
        </w:rPr>
        <w:footnoteRef/>
      </w:r>
      <w:r w:rsidRPr="00C61EA5">
        <w:rPr>
          <w:sz w:val="20"/>
          <w:szCs w:val="20"/>
        </w:rPr>
        <w:t xml:space="preserve"> Health and Care Research Wales - </w:t>
      </w:r>
      <w:hyperlink r:id="rId147" w:history="1">
        <w:r w:rsidRPr="00C61EA5">
          <w:rPr>
            <w:rStyle w:val="Hyperlink"/>
            <w:color w:val="0000FF"/>
            <w:sz w:val="20"/>
            <w:szCs w:val="20"/>
          </w:rPr>
          <w:t>A preventative approach to ensuring access to a sustainable, whole system pathway for older people with vision impairment (ASSIST)</w:t>
        </w:r>
      </w:hyperlink>
    </w:p>
  </w:footnote>
  <w:footnote w:id="151">
    <w:p w14:paraId="574FFD6C" w14:textId="5947B4D0" w:rsidR="00477B14" w:rsidRDefault="00477B14" w:rsidP="00477B14">
      <w:pPr>
        <w:pStyle w:val="FootnoteText"/>
        <w:rPr>
          <w:kern w:val="0"/>
          <w14:ligatures w14:val="none"/>
        </w:rPr>
      </w:pPr>
      <w:r w:rsidRPr="00C61EA5">
        <w:rPr>
          <w:rStyle w:val="FootnoteReference"/>
          <w:sz w:val="20"/>
        </w:rPr>
        <w:footnoteRef/>
      </w:r>
      <w:r w:rsidRPr="00C61EA5">
        <w:t xml:space="preserve"> </w:t>
      </w:r>
      <w:r w:rsidRPr="00C61EA5">
        <w:rPr>
          <w:kern w:val="0"/>
          <w14:ligatures w14:val="none"/>
        </w:rPr>
        <w:t xml:space="preserve">Public Health Wales - </w:t>
      </w:r>
      <w:hyperlink r:id="rId148" w:history="1">
        <w:r w:rsidRPr="00C61EA5">
          <w:rPr>
            <w:rStyle w:val="Hyperlink"/>
            <w:color w:val="0000FF"/>
            <w:kern w:val="0"/>
            <w14:ligatures w14:val="none"/>
          </w:rPr>
          <w:t>The First 1000 Days programme</w:t>
        </w:r>
      </w:hyperlink>
      <w:r w:rsidR="00C61EA5" w:rsidRPr="00C61EA5">
        <w:rPr>
          <w:kern w:val="0"/>
          <w14:ligatures w14:val="none"/>
        </w:rPr>
        <w:t xml:space="preserve"> O</w:t>
      </w:r>
      <w:r w:rsidRPr="00C61EA5">
        <w:rPr>
          <w:kern w:val="0"/>
          <w14:ligatures w14:val="none"/>
        </w:rPr>
        <w:t>ctober 2023</w:t>
      </w:r>
    </w:p>
  </w:footnote>
  <w:footnote w:id="152">
    <w:p w14:paraId="32B9FB97" w14:textId="77777777" w:rsidR="00477B14" w:rsidRPr="00C61EA5" w:rsidRDefault="00477B14" w:rsidP="00477B14">
      <w:pPr>
        <w:pStyle w:val="FootnoteText"/>
      </w:pPr>
      <w:r w:rsidRPr="00C61EA5">
        <w:rPr>
          <w:rStyle w:val="FootnoteReference"/>
          <w:sz w:val="20"/>
        </w:rPr>
        <w:footnoteRef/>
      </w:r>
      <w:r w:rsidRPr="00C61EA5">
        <w:t xml:space="preserve"> Public Health Wales - </w:t>
      </w:r>
      <w:hyperlink r:id="rId149" w:history="1">
        <w:r w:rsidRPr="00C61EA5">
          <w:rPr>
            <w:rStyle w:val="Hyperlink1"/>
          </w:rPr>
          <w:t>Adverse Childhood Experiences</w:t>
        </w:r>
      </w:hyperlink>
      <w:r w:rsidRPr="00C61EA5">
        <w:t xml:space="preserve"> </w:t>
      </w:r>
    </w:p>
  </w:footnote>
  <w:footnote w:id="153">
    <w:p w14:paraId="23F5A427" w14:textId="77777777" w:rsidR="00477B14" w:rsidRPr="00C61EA5" w:rsidRDefault="00477B14" w:rsidP="00477B14">
      <w:pPr>
        <w:rPr>
          <w:sz w:val="20"/>
          <w:szCs w:val="20"/>
        </w:rPr>
      </w:pPr>
      <w:r w:rsidRPr="00C61EA5">
        <w:rPr>
          <w:rStyle w:val="FootnoteReference"/>
          <w:sz w:val="20"/>
          <w:szCs w:val="20"/>
        </w:rPr>
        <w:footnoteRef/>
      </w:r>
      <w:r w:rsidRPr="00C61EA5">
        <w:rPr>
          <w:sz w:val="20"/>
          <w:szCs w:val="20"/>
        </w:rPr>
        <w:t xml:space="preserve"> Chemisy4u - </w:t>
      </w:r>
      <w:hyperlink r:id="rId150" w:anchor=":~:text=25%25%20of%20men%20and%2027,28" w:history="1">
        <w:r w:rsidRPr="00C61EA5">
          <w:rPr>
            <w:rStyle w:val="Hyperlink1"/>
            <w:rFonts w:cs="Times New Roman"/>
            <w:szCs w:val="20"/>
          </w:rPr>
          <w:t>Obesity Statistics Report 2025</w:t>
        </w:r>
      </w:hyperlink>
      <w:r w:rsidRPr="00C61EA5">
        <w:rPr>
          <w:rStyle w:val="Hyperlink1"/>
          <w:rFonts w:cs="Times New Roman"/>
          <w:szCs w:val="20"/>
        </w:rPr>
        <w:t xml:space="preserve"> </w:t>
      </w:r>
    </w:p>
  </w:footnote>
  <w:footnote w:id="154">
    <w:p w14:paraId="21A72CE8" w14:textId="77777777" w:rsidR="00477B14" w:rsidRPr="00C61EA5" w:rsidRDefault="00477B14" w:rsidP="00477B14">
      <w:pPr>
        <w:rPr>
          <w:rFonts w:ascii="Aptos" w:hAnsi="Aptos"/>
          <w:sz w:val="20"/>
          <w:szCs w:val="20"/>
        </w:rPr>
      </w:pPr>
      <w:r w:rsidRPr="00C61EA5">
        <w:rPr>
          <w:rStyle w:val="FootnoteReference"/>
          <w:sz w:val="20"/>
          <w:szCs w:val="20"/>
        </w:rPr>
        <w:footnoteRef/>
      </w:r>
      <w:r w:rsidRPr="00C61EA5">
        <w:rPr>
          <w:sz w:val="20"/>
          <w:szCs w:val="20"/>
        </w:rPr>
        <w:t xml:space="preserve"> Obesity Alliance Cymru Response - </w:t>
      </w:r>
      <w:hyperlink r:id="rId151" w:history="1">
        <w:r w:rsidRPr="00C61EA5">
          <w:rPr>
            <w:rStyle w:val="Hyperlink"/>
            <w:color w:val="0000FF"/>
            <w:sz w:val="20"/>
            <w:szCs w:val="20"/>
          </w:rPr>
          <w:t>Healthy eating and drinking in maintained schools in Wales (2025)</w:t>
        </w:r>
      </w:hyperlink>
    </w:p>
  </w:footnote>
  <w:footnote w:id="155">
    <w:p w14:paraId="257297B9" w14:textId="77777777" w:rsidR="00477B14" w:rsidRPr="00C61EA5" w:rsidRDefault="00477B14" w:rsidP="00477B14">
      <w:pPr>
        <w:rPr>
          <w:rFonts w:cs="Arial"/>
          <w:color w:val="163E64"/>
          <w:sz w:val="20"/>
          <w:szCs w:val="20"/>
        </w:rPr>
      </w:pPr>
      <w:r w:rsidRPr="00C61EA5">
        <w:rPr>
          <w:rStyle w:val="FootnoteReference"/>
          <w:sz w:val="20"/>
          <w:szCs w:val="20"/>
        </w:rPr>
        <w:footnoteRef/>
      </w:r>
      <w:r w:rsidRPr="00C61EA5">
        <w:rPr>
          <w:sz w:val="20"/>
          <w:szCs w:val="20"/>
        </w:rPr>
        <w:t xml:space="preserve"> Public Health Wales - </w:t>
      </w:r>
      <w:hyperlink r:id="rId152" w:history="1">
        <w:r w:rsidRPr="00C61EA5">
          <w:rPr>
            <w:rStyle w:val="Hyperlink1"/>
            <w:rFonts w:cs="Times New Roman"/>
            <w:szCs w:val="20"/>
          </w:rPr>
          <w:t xml:space="preserve">Child Measurement Programme 2022-2023 </w:t>
        </w:r>
      </w:hyperlink>
      <w:r w:rsidRPr="00C61EA5">
        <w:rPr>
          <w:rFonts w:cs="Arial"/>
          <w:color w:val="163E64"/>
          <w:sz w:val="20"/>
          <w:szCs w:val="20"/>
        </w:rPr>
        <w:t xml:space="preserve"> </w:t>
      </w:r>
    </w:p>
  </w:footnote>
  <w:footnote w:id="156">
    <w:p w14:paraId="38336D13" w14:textId="77777777" w:rsidR="00477B14" w:rsidRPr="00C61EA5" w:rsidRDefault="00477B14" w:rsidP="00477B14">
      <w:pPr>
        <w:rPr>
          <w:rFonts w:cs="Times New Roman"/>
          <w:sz w:val="20"/>
          <w:szCs w:val="20"/>
        </w:rPr>
      </w:pPr>
      <w:r w:rsidRPr="00C61EA5">
        <w:rPr>
          <w:rStyle w:val="FootnoteReference"/>
          <w:sz w:val="20"/>
          <w:szCs w:val="20"/>
        </w:rPr>
        <w:footnoteRef/>
      </w:r>
      <w:r w:rsidRPr="00C61EA5">
        <w:rPr>
          <w:sz w:val="20"/>
          <w:szCs w:val="20"/>
        </w:rPr>
        <w:t xml:space="preserve"> Cancer Research UK - </w:t>
      </w:r>
      <w:hyperlink r:id="rId153" w:history="1">
        <w:r w:rsidRPr="00C61EA5">
          <w:rPr>
            <w:rStyle w:val="Hyperlink1"/>
            <w:rFonts w:cs="Times New Roman"/>
            <w:szCs w:val="20"/>
          </w:rPr>
          <w:t>Around 350 young adults start smoking every day in the UK - Cancer News</w:t>
        </w:r>
      </w:hyperlink>
      <w:r w:rsidRPr="00C61EA5">
        <w:rPr>
          <w:sz w:val="20"/>
          <w:szCs w:val="20"/>
        </w:rPr>
        <w:t xml:space="preserve"> </w:t>
      </w:r>
    </w:p>
  </w:footnote>
  <w:footnote w:id="157">
    <w:p w14:paraId="27EC35B7" w14:textId="77777777" w:rsidR="00477B14" w:rsidRPr="00C61EA5" w:rsidRDefault="00477B14" w:rsidP="00477B14">
      <w:pPr>
        <w:rPr>
          <w:sz w:val="20"/>
          <w:szCs w:val="20"/>
        </w:rPr>
      </w:pPr>
      <w:r w:rsidRPr="00C61EA5">
        <w:rPr>
          <w:rStyle w:val="FootnoteReference"/>
          <w:sz w:val="20"/>
          <w:szCs w:val="20"/>
        </w:rPr>
        <w:footnoteRef/>
      </w:r>
      <w:r w:rsidRPr="00C61EA5">
        <w:rPr>
          <w:sz w:val="20"/>
          <w:szCs w:val="20"/>
        </w:rPr>
        <w:t xml:space="preserve"> Public Health Network Cymru - </w:t>
      </w:r>
      <w:hyperlink r:id="rId154" w:tgtFrame="_blank" w:history="1">
        <w:r w:rsidRPr="00C61EA5">
          <w:rPr>
            <w:rStyle w:val="Hyperlink"/>
            <w:color w:val="0000FF"/>
            <w:sz w:val="20"/>
            <w:szCs w:val="20"/>
          </w:rPr>
          <w:t>Smoking and vaping</w:t>
        </w:r>
      </w:hyperlink>
      <w:r w:rsidRPr="00C61EA5">
        <w:rPr>
          <w:rFonts w:ascii="Aptos" w:hAnsi="Aptos"/>
          <w:color w:val="0000FF"/>
          <w:sz w:val="20"/>
          <w:szCs w:val="20"/>
          <w:shd w:val="clear" w:color="auto" w:fill="FFFFFF"/>
        </w:rPr>
        <w:t> </w:t>
      </w:r>
    </w:p>
  </w:footnote>
  <w:footnote w:id="158">
    <w:p w14:paraId="2BD56FB8" w14:textId="77777777" w:rsidR="00477B14" w:rsidRPr="00C61EA5" w:rsidRDefault="00477B14" w:rsidP="00477B14">
      <w:pPr>
        <w:pStyle w:val="FootnoteText"/>
      </w:pPr>
      <w:r w:rsidRPr="00C61EA5">
        <w:rPr>
          <w:rStyle w:val="FootnoteReference"/>
          <w:sz w:val="20"/>
        </w:rPr>
        <w:footnoteRef/>
      </w:r>
      <w:r w:rsidRPr="00C61EA5">
        <w:t xml:space="preserve"> The Children’s Society - </w:t>
      </w:r>
      <w:hyperlink r:id="rId155" w:history="1">
        <w:r w:rsidRPr="00C61EA5">
          <w:rPr>
            <w:rStyle w:val="Hyperlink1"/>
          </w:rPr>
          <w:t>Children's mental health statistics</w:t>
        </w:r>
      </w:hyperlink>
      <w:r w:rsidRPr="00C61EA5">
        <w:rPr>
          <w:rFonts w:cs="Arial"/>
        </w:rPr>
        <w:t xml:space="preserve"> </w:t>
      </w:r>
    </w:p>
  </w:footnote>
  <w:footnote w:id="159">
    <w:p w14:paraId="362BAF33" w14:textId="77777777" w:rsidR="00477B14" w:rsidRPr="00C61EA5" w:rsidRDefault="00477B14" w:rsidP="00477B14">
      <w:pPr>
        <w:rPr>
          <w:color w:val="0000FF"/>
          <w:sz w:val="20"/>
          <w:szCs w:val="20"/>
          <w:u w:val="single"/>
        </w:rPr>
      </w:pPr>
      <w:r w:rsidRPr="00C61EA5">
        <w:rPr>
          <w:rStyle w:val="FootnoteReference"/>
          <w:sz w:val="20"/>
          <w:szCs w:val="20"/>
        </w:rPr>
        <w:footnoteRef/>
      </w:r>
      <w:r w:rsidRPr="00C61EA5">
        <w:rPr>
          <w:sz w:val="20"/>
          <w:szCs w:val="20"/>
        </w:rPr>
        <w:t xml:space="preserve"> Wales Centre for Evidence Based Care - </w:t>
      </w:r>
      <w:hyperlink r:id="rId156" w:tgtFrame="_blank" w:history="1">
        <w:r w:rsidRPr="00C61EA5">
          <w:rPr>
            <w:rStyle w:val="Hyperlink"/>
            <w:color w:val="0000FF"/>
            <w:sz w:val="20"/>
            <w:szCs w:val="20"/>
          </w:rPr>
          <w:t>Forecasted prevalence and incidence of long-term conditions in Wales (2023)</w:t>
        </w:r>
      </w:hyperlink>
      <w:r w:rsidRPr="00C61EA5">
        <w:rPr>
          <w:rFonts w:cs="Arial"/>
          <w:color w:val="0000FF"/>
          <w:sz w:val="20"/>
          <w:szCs w:val="20"/>
          <w:shd w:val="clear" w:color="auto" w:fill="FFFFFF"/>
        </w:rPr>
        <w:t> </w:t>
      </w:r>
    </w:p>
  </w:footnote>
  <w:footnote w:id="160">
    <w:p w14:paraId="44ED0AB3" w14:textId="77777777" w:rsidR="00477B14" w:rsidRDefault="00477B14" w:rsidP="00477B14">
      <w:pPr>
        <w:pStyle w:val="FootnoteText"/>
      </w:pPr>
      <w:r>
        <w:rPr>
          <w:rStyle w:val="FootnoteReference"/>
        </w:rPr>
        <w:footnoteRef/>
      </w:r>
      <w:r>
        <w:t xml:space="preserve"> World Health Organization - </w:t>
      </w:r>
      <w:hyperlink r:id="rId157" w:tgtFrame="_blank" w:history="1">
        <w:r>
          <w:rPr>
            <w:rStyle w:val="normaltextrun"/>
            <w:rFonts w:cs="Arial"/>
            <w:color w:val="0000FF"/>
            <w:u w:val="single"/>
            <w:shd w:val="clear" w:color="auto" w:fill="FFFFFF"/>
          </w:rPr>
          <w:t>Disability factsheet 2023</w:t>
        </w:r>
      </w:hyperlink>
    </w:p>
  </w:footnote>
  <w:footnote w:id="161">
    <w:p w14:paraId="54C04054" w14:textId="77777777" w:rsidR="00477B14" w:rsidRDefault="00477B14" w:rsidP="00477B14">
      <w:pPr>
        <w:pStyle w:val="FootnoteText"/>
        <w:rPr>
          <w:kern w:val="0"/>
          <w14:ligatures w14:val="none"/>
        </w:rPr>
      </w:pPr>
      <w:r>
        <w:rPr>
          <w:rStyle w:val="FootnoteReference"/>
        </w:rPr>
        <w:footnoteRef/>
      </w:r>
      <w:r>
        <w:t xml:space="preserve"> </w:t>
      </w:r>
      <w:r>
        <w:rPr>
          <w:kern w:val="0"/>
          <w14:ligatures w14:val="none"/>
        </w:rPr>
        <w:t>StatsWales -</w:t>
      </w:r>
      <w:r>
        <w:rPr>
          <w:color w:val="2206CA"/>
          <w:kern w:val="0"/>
          <w14:ligatures w14:val="none"/>
        </w:rPr>
        <w:t xml:space="preserve"> </w:t>
      </w:r>
      <w:hyperlink r:id="rId158" w:tgtFrame="_blank" w:history="1">
        <w:r w:rsidRPr="00C61EA5">
          <w:rPr>
            <w:rStyle w:val="Hyperlink"/>
            <w:color w:val="0000FF"/>
            <w:kern w:val="0"/>
            <w14:ligatures w14:val="none"/>
          </w:rPr>
          <w:t>Adult general health and illness by local authority and health board, 2020-21 onwards</w:t>
        </w:r>
      </w:hyperlink>
      <w:r>
        <w:rPr>
          <w:color w:val="0000FF"/>
          <w:kern w:val="0"/>
          <w:u w:val="single"/>
          <w14:ligatures w14:val="none"/>
        </w:rPr>
        <w:t xml:space="preserve"> </w:t>
      </w:r>
    </w:p>
  </w:footnote>
  <w:footnote w:id="162">
    <w:p w14:paraId="6E70C568" w14:textId="1060F617" w:rsidR="00477B14" w:rsidRDefault="00477B14" w:rsidP="00477B14">
      <w:pPr>
        <w:rPr>
          <w:sz w:val="20"/>
          <w:szCs w:val="20"/>
        </w:rPr>
      </w:pPr>
      <w:r>
        <w:rPr>
          <w:rStyle w:val="FootnoteReference"/>
          <w:sz w:val="20"/>
          <w:szCs w:val="20"/>
        </w:rPr>
        <w:footnoteRef/>
      </w:r>
      <w:r>
        <w:rPr>
          <w:sz w:val="20"/>
          <w:szCs w:val="20"/>
        </w:rPr>
        <w:t xml:space="preserve"> R</w:t>
      </w:r>
      <w:r w:rsidR="008C2143">
        <w:rPr>
          <w:sz w:val="20"/>
          <w:szCs w:val="20"/>
        </w:rPr>
        <w:t xml:space="preserve">oyal </w:t>
      </w:r>
      <w:r>
        <w:rPr>
          <w:sz w:val="20"/>
          <w:szCs w:val="20"/>
        </w:rPr>
        <w:t>N</w:t>
      </w:r>
      <w:r w:rsidR="008C2143">
        <w:rPr>
          <w:sz w:val="20"/>
          <w:szCs w:val="20"/>
        </w:rPr>
        <w:t xml:space="preserve">ational </w:t>
      </w:r>
      <w:r>
        <w:rPr>
          <w:sz w:val="20"/>
          <w:szCs w:val="20"/>
        </w:rPr>
        <w:t>I</w:t>
      </w:r>
      <w:r w:rsidR="008C2143">
        <w:rPr>
          <w:sz w:val="20"/>
          <w:szCs w:val="20"/>
        </w:rPr>
        <w:t xml:space="preserve">nstitute of </w:t>
      </w:r>
      <w:r>
        <w:rPr>
          <w:sz w:val="20"/>
          <w:szCs w:val="20"/>
        </w:rPr>
        <w:t>B</w:t>
      </w:r>
      <w:r w:rsidR="008C2143">
        <w:rPr>
          <w:sz w:val="20"/>
          <w:szCs w:val="20"/>
        </w:rPr>
        <w:t>lind People</w:t>
      </w:r>
      <w:r>
        <w:rPr>
          <w:sz w:val="20"/>
          <w:szCs w:val="20"/>
        </w:rPr>
        <w:t xml:space="preserve"> - </w:t>
      </w:r>
      <w:hyperlink r:id="rId159" w:history="1">
        <w:r w:rsidRPr="00C61EA5">
          <w:rPr>
            <w:rStyle w:val="Hyperlink"/>
            <w:color w:val="0000FF"/>
            <w:sz w:val="20"/>
            <w:szCs w:val="20"/>
          </w:rPr>
          <w:t>RNIB Sight Loss Data Tool - statistics on sight loss</w:t>
        </w:r>
      </w:hyperlink>
    </w:p>
    <w:p w14:paraId="77522063" w14:textId="77777777" w:rsidR="00477B14" w:rsidRDefault="00477B14" w:rsidP="00477B14">
      <w:pPr>
        <w:pStyle w:val="FootnoteText"/>
      </w:pPr>
    </w:p>
  </w:footnote>
  <w:footnote w:id="163">
    <w:p w14:paraId="24B16EAD" w14:textId="77777777" w:rsidR="00477B14" w:rsidRPr="008C2143" w:rsidRDefault="00477B14" w:rsidP="00477B14">
      <w:pPr>
        <w:pStyle w:val="FootnoteText"/>
      </w:pPr>
      <w:r w:rsidRPr="008C2143">
        <w:rPr>
          <w:rStyle w:val="FootnoteReference"/>
          <w:sz w:val="20"/>
        </w:rPr>
        <w:footnoteRef/>
      </w:r>
      <w:r w:rsidRPr="008C2143">
        <w:rPr>
          <w:rFonts w:cs="Arial"/>
        </w:rPr>
        <w:t xml:space="preserve"> StatsWales - </w:t>
      </w:r>
      <w:hyperlink r:id="rId160" w:tgtFrame="_blank" w:history="1">
        <w:r w:rsidRPr="008C2143">
          <w:rPr>
            <w:rStyle w:val="Hyperlink1"/>
          </w:rPr>
          <w:t>Physically/sensory disabled persons by local authority, disability and age range</w:t>
        </w:r>
      </w:hyperlink>
      <w:r w:rsidRPr="008C2143">
        <w:rPr>
          <w:rStyle w:val="Hyperlink1"/>
        </w:rPr>
        <w:t xml:space="preserve"> </w:t>
      </w:r>
    </w:p>
  </w:footnote>
  <w:footnote w:id="164">
    <w:p w14:paraId="45EFAE4D" w14:textId="77777777" w:rsidR="00477B14" w:rsidRPr="008C2143" w:rsidRDefault="00477B14" w:rsidP="00477B14">
      <w:pPr>
        <w:rPr>
          <w:rFonts w:cs="Arial"/>
          <w:color w:val="163E64"/>
          <w:sz w:val="20"/>
          <w:szCs w:val="20"/>
        </w:rPr>
      </w:pPr>
      <w:r w:rsidRPr="008C2143">
        <w:rPr>
          <w:rStyle w:val="FootnoteReference"/>
          <w:sz w:val="20"/>
          <w:szCs w:val="20"/>
        </w:rPr>
        <w:footnoteRef/>
      </w:r>
      <w:r w:rsidRPr="008C2143">
        <w:rPr>
          <w:sz w:val="20"/>
          <w:szCs w:val="20"/>
        </w:rPr>
        <w:t xml:space="preserve"> StatsWales - </w:t>
      </w:r>
      <w:hyperlink r:id="rId161" w:history="1">
        <w:r w:rsidRPr="008C2143">
          <w:rPr>
            <w:rStyle w:val="Hyperlink1"/>
            <w:rFonts w:cs="Times New Roman"/>
            <w:szCs w:val="20"/>
          </w:rPr>
          <w:t>Persons with learning disabilities by local authority, service and age range</w:t>
        </w:r>
      </w:hyperlink>
      <w:r w:rsidRPr="008C2143">
        <w:rPr>
          <w:rFonts w:cs="Arial"/>
          <w:color w:val="163E64"/>
          <w:sz w:val="20"/>
          <w:szCs w:val="20"/>
        </w:rPr>
        <w:t xml:space="preserve"> </w:t>
      </w:r>
    </w:p>
  </w:footnote>
  <w:footnote w:id="165">
    <w:p w14:paraId="16FE9671" w14:textId="77777777" w:rsidR="00477B14" w:rsidRPr="008C2143" w:rsidRDefault="00477B14" w:rsidP="00477B14">
      <w:pPr>
        <w:rPr>
          <w:rFonts w:cs="Arial"/>
          <w:color w:val="0000FF"/>
          <w:sz w:val="20"/>
          <w:szCs w:val="20"/>
          <w:u w:val="single"/>
        </w:rPr>
      </w:pPr>
      <w:r w:rsidRPr="008C2143">
        <w:rPr>
          <w:rStyle w:val="FootnoteReference"/>
          <w:sz w:val="20"/>
          <w:szCs w:val="20"/>
        </w:rPr>
        <w:footnoteRef/>
      </w:r>
      <w:r w:rsidRPr="008C2143">
        <w:rPr>
          <w:rFonts w:cs="Arial"/>
          <w:sz w:val="20"/>
          <w:szCs w:val="20"/>
        </w:rPr>
        <w:t xml:space="preserve"> </w:t>
      </w:r>
      <w:r w:rsidRPr="008C2143">
        <w:rPr>
          <w:rFonts w:cs="Arial"/>
          <w:kern w:val="0"/>
          <w:sz w:val="20"/>
          <w:szCs w:val="20"/>
          <w14:ligatures w14:val="none"/>
        </w:rPr>
        <w:t xml:space="preserve">National Institute for Health and Care Excellence - </w:t>
      </w:r>
      <w:hyperlink r:id="rId162" w:anchor=":~:text=been%20fully%20quantified.-,Health%20and%20social%20issues%20of%20older%20people%20with%20learning%20disabilities,in%20some%20instances%2C%20premature%20death" w:history="1">
        <w:r w:rsidRPr="008C2143">
          <w:rPr>
            <w:rStyle w:val="Hyperlink"/>
            <w:color w:val="0000FF"/>
            <w:sz w:val="20"/>
            <w:szCs w:val="20"/>
          </w:rPr>
          <w:t>Care and support of people growing older with learning disabilities (2018)</w:t>
        </w:r>
      </w:hyperlink>
    </w:p>
  </w:footnote>
  <w:footnote w:id="166">
    <w:p w14:paraId="3FDE380E" w14:textId="77777777" w:rsidR="00477B14" w:rsidRPr="008C2143" w:rsidRDefault="00477B14" w:rsidP="00477B14">
      <w:pPr>
        <w:pStyle w:val="FootnoteText"/>
      </w:pPr>
      <w:r w:rsidRPr="008C2143">
        <w:rPr>
          <w:rStyle w:val="FootnoteReference"/>
          <w:sz w:val="20"/>
        </w:rPr>
        <w:footnoteRef/>
      </w:r>
      <w:r w:rsidRPr="008C2143">
        <w:t xml:space="preserve"> Mencap - </w:t>
      </w:r>
      <w:hyperlink r:id="rId163" w:history="1">
        <w:r w:rsidRPr="008C2143">
          <w:rPr>
            <w:rStyle w:val="Hyperlink"/>
            <w:color w:val="0000FF"/>
          </w:rPr>
          <w:t>How Common Is Learning Disability In The UK?</w:t>
        </w:r>
      </w:hyperlink>
    </w:p>
  </w:footnote>
  <w:footnote w:id="167">
    <w:p w14:paraId="4B19441B" w14:textId="1F1BB4B4" w:rsidR="00477B14" w:rsidRPr="008C2143" w:rsidRDefault="00477B14" w:rsidP="00477B14">
      <w:pPr>
        <w:rPr>
          <w:sz w:val="20"/>
          <w:szCs w:val="20"/>
        </w:rPr>
      </w:pPr>
      <w:r w:rsidRPr="008C2143">
        <w:rPr>
          <w:rStyle w:val="FootnoteReference"/>
          <w:sz w:val="20"/>
          <w:szCs w:val="20"/>
        </w:rPr>
        <w:footnoteRef/>
      </w:r>
      <w:r w:rsidRPr="008C2143">
        <w:rPr>
          <w:sz w:val="20"/>
          <w:szCs w:val="20"/>
        </w:rPr>
        <w:t xml:space="preserve"> National Institute for Health and Care Excellence - </w:t>
      </w:r>
      <w:hyperlink r:id="rId164" w:history="1">
        <w:r w:rsidRPr="008C2143">
          <w:rPr>
            <w:rStyle w:val="Hyperlink"/>
            <w:color w:val="0000FF"/>
            <w:sz w:val="20"/>
            <w:szCs w:val="20"/>
          </w:rPr>
          <w:t>Antenatal and postnatal mental health: clinical management and service guidance</w:t>
        </w:r>
      </w:hyperlink>
      <w:r w:rsidRPr="008C2143">
        <w:rPr>
          <w:color w:val="0000FF"/>
          <w:sz w:val="20"/>
          <w:szCs w:val="20"/>
          <w:u w:val="single"/>
        </w:rPr>
        <w:t>, 2020</w:t>
      </w:r>
    </w:p>
  </w:footnote>
  <w:footnote w:id="168">
    <w:p w14:paraId="2356A38A" w14:textId="77777777" w:rsidR="00477B14" w:rsidRPr="008C2143" w:rsidRDefault="00477B14" w:rsidP="00477B14">
      <w:pPr>
        <w:pStyle w:val="FootnoteText"/>
      </w:pPr>
      <w:r w:rsidRPr="008C2143">
        <w:rPr>
          <w:rStyle w:val="FootnoteReference"/>
          <w:sz w:val="20"/>
        </w:rPr>
        <w:footnoteRef/>
      </w:r>
      <w:r w:rsidRPr="008C2143">
        <w:t xml:space="preserve"> Royal College of Midwives - </w:t>
      </w:r>
      <w:hyperlink r:id="rId165" w:history="1">
        <w:r w:rsidRPr="008C2143">
          <w:rPr>
            <w:rStyle w:val="Hyperlink1"/>
          </w:rPr>
          <w:t>Strengthening perinatal mental health, a roadmap to the right support at the right time</w:t>
        </w:r>
      </w:hyperlink>
    </w:p>
  </w:footnote>
  <w:footnote w:id="169">
    <w:p w14:paraId="4DCCB5E8" w14:textId="77777777" w:rsidR="00477B14" w:rsidRDefault="00477B14" w:rsidP="00477B14">
      <w:pPr>
        <w:rPr>
          <w:sz w:val="20"/>
          <w:szCs w:val="20"/>
        </w:rPr>
      </w:pPr>
      <w:r w:rsidRPr="008C2143">
        <w:rPr>
          <w:rStyle w:val="FootnoteReference"/>
          <w:sz w:val="20"/>
          <w:szCs w:val="20"/>
        </w:rPr>
        <w:footnoteRef/>
      </w:r>
      <w:r w:rsidRPr="008C2143">
        <w:rPr>
          <w:sz w:val="20"/>
          <w:szCs w:val="20"/>
        </w:rPr>
        <w:t xml:space="preserve"> Institute of Health Visiting - </w:t>
      </w:r>
      <w:hyperlink r:id="rId166" w:history="1">
        <w:r w:rsidRPr="008C2143">
          <w:rPr>
            <w:rStyle w:val="Hyperlink1"/>
            <w:rFonts w:cs="Times New Roman"/>
            <w:szCs w:val="20"/>
          </w:rPr>
          <w:t>Supporting Perinatal Mental Health Through the Power of Reading</w:t>
        </w:r>
      </w:hyperlink>
    </w:p>
  </w:footnote>
  <w:footnote w:id="170">
    <w:p w14:paraId="416B57C7" w14:textId="77777777" w:rsidR="00477B14" w:rsidRPr="008C2143" w:rsidRDefault="00477B14" w:rsidP="00477B14">
      <w:pPr>
        <w:pStyle w:val="FootnoteText"/>
      </w:pPr>
      <w:r w:rsidRPr="008C2143">
        <w:rPr>
          <w:rStyle w:val="FootnoteReference"/>
          <w:sz w:val="20"/>
        </w:rPr>
        <w:footnoteRef/>
      </w:r>
      <w:r w:rsidRPr="008C2143">
        <w:t xml:space="preserve"> Welsh Government - </w:t>
      </w:r>
      <w:hyperlink r:id="rId167" w:anchor=":~:text=mental%20health%20condition.-,Number%20and%20percentage%20of%20women%20at%20initial%20assessment%20who%20had,explained%20in%20the%20quality%20report" w:history="1">
        <w:r w:rsidRPr="008C2143">
          <w:rPr>
            <w:rStyle w:val="Hyperlink1"/>
          </w:rPr>
          <w:t>Wales maternity and birth statistics 2023</w:t>
        </w:r>
      </w:hyperlink>
      <w:r w:rsidRPr="008C2143">
        <w:t xml:space="preserve"> </w:t>
      </w:r>
    </w:p>
  </w:footnote>
  <w:footnote w:id="171">
    <w:p w14:paraId="4E13469B" w14:textId="77777777" w:rsidR="00477B14" w:rsidRPr="008C2143" w:rsidRDefault="00477B14" w:rsidP="00477B14">
      <w:pPr>
        <w:pStyle w:val="FootnoteText"/>
      </w:pPr>
      <w:r w:rsidRPr="008C2143">
        <w:rPr>
          <w:rStyle w:val="FootnoteReference"/>
          <w:sz w:val="20"/>
        </w:rPr>
        <w:footnoteRef/>
      </w:r>
      <w:r w:rsidRPr="008C2143">
        <w:t xml:space="preserve"> Welsh Government - </w:t>
      </w:r>
      <w:hyperlink r:id="rId168" w:anchor=":~:text=mental%20health%20condition.-,Number%20and%20percentage%20of%20women%20at%20initial%20assessment%20who%20had,explained%20in%20the%20quality%20report" w:history="1">
        <w:r w:rsidRPr="008C2143">
          <w:rPr>
            <w:rStyle w:val="Hyperlink1"/>
          </w:rPr>
          <w:t>Wales maternity and birth statistics 2023</w:t>
        </w:r>
      </w:hyperlink>
    </w:p>
  </w:footnote>
  <w:footnote w:id="172">
    <w:p w14:paraId="548895EE" w14:textId="77777777" w:rsidR="00477B14" w:rsidRPr="008C2143" w:rsidRDefault="00477B14" w:rsidP="00477B14">
      <w:pPr>
        <w:pStyle w:val="FootnoteText"/>
      </w:pPr>
      <w:r w:rsidRPr="008C2143">
        <w:rPr>
          <w:rStyle w:val="FootnoteReference"/>
          <w:sz w:val="20"/>
        </w:rPr>
        <w:footnoteRef/>
      </w:r>
      <w:r w:rsidRPr="008C2143">
        <w:t xml:space="preserve"> </w:t>
      </w:r>
      <w:r w:rsidRPr="008C2143">
        <w:rPr>
          <w:rFonts w:cs="Arial"/>
        </w:rPr>
        <w:t xml:space="preserve">Royal College of Obstetricians &amp; Gynaecologists 2018 - </w:t>
      </w:r>
      <w:hyperlink r:id="rId169" w:history="1">
        <w:r w:rsidRPr="008C2143">
          <w:rPr>
            <w:rStyle w:val="Hyperlink1"/>
          </w:rPr>
          <w:t>Alcohol and pregnancy patient information</w:t>
        </w:r>
      </w:hyperlink>
      <w:r w:rsidRPr="008C2143">
        <w:rPr>
          <w:rFonts w:cs="Arial"/>
        </w:rPr>
        <w:t xml:space="preserve"> </w:t>
      </w:r>
    </w:p>
  </w:footnote>
  <w:footnote w:id="173">
    <w:p w14:paraId="16EC9B56" w14:textId="77777777" w:rsidR="00477B14" w:rsidRDefault="00477B14" w:rsidP="00477B14">
      <w:pPr>
        <w:pStyle w:val="FootnoteText"/>
      </w:pPr>
      <w:r w:rsidRPr="008C2143">
        <w:rPr>
          <w:rStyle w:val="FootnoteReference"/>
          <w:sz w:val="20"/>
        </w:rPr>
        <w:footnoteRef/>
      </w:r>
      <w:r w:rsidRPr="008C2143">
        <w:t xml:space="preserve"> Welsh Government - </w:t>
      </w:r>
      <w:hyperlink r:id="rId170" w:anchor=":~:text=mental%20health%20condition.-,Number%20and%20percentage%20of%20women%20at%20initial%20assessment%20who%20had,explained%20in%20the%20quality%20report" w:history="1">
        <w:r w:rsidRPr="008C2143">
          <w:rPr>
            <w:rStyle w:val="Hyperlink1"/>
          </w:rPr>
          <w:t>Wales maternity and birth statistics 2023</w:t>
        </w:r>
      </w:hyperlink>
    </w:p>
  </w:footnote>
  <w:footnote w:id="174">
    <w:p w14:paraId="0E0FFDD9" w14:textId="77777777" w:rsidR="00477B14" w:rsidRPr="008C2143" w:rsidRDefault="00477B14" w:rsidP="00477B14">
      <w:pPr>
        <w:rPr>
          <w:rFonts w:cs="Arial"/>
          <w:color w:val="0070C0"/>
          <w:sz w:val="20"/>
          <w:szCs w:val="20"/>
        </w:rPr>
      </w:pPr>
      <w:r w:rsidRPr="008C2143">
        <w:rPr>
          <w:rStyle w:val="FootnoteReference"/>
          <w:sz w:val="20"/>
          <w:szCs w:val="20"/>
        </w:rPr>
        <w:footnoteRef/>
      </w:r>
      <w:r w:rsidRPr="008C2143">
        <w:rPr>
          <w:sz w:val="20"/>
          <w:szCs w:val="20"/>
        </w:rPr>
        <w:t xml:space="preserve"> Welsh Government - </w:t>
      </w:r>
      <w:hyperlink r:id="rId171" w:history="1">
        <w:r w:rsidRPr="008C2143">
          <w:rPr>
            <w:rStyle w:val="Hyperlink1"/>
            <w:rFonts w:cs="Times New Roman"/>
            <w:szCs w:val="20"/>
          </w:rPr>
          <w:t>Breastfeeding data: 2024 (Wales)</w:t>
        </w:r>
      </w:hyperlink>
      <w:r w:rsidRPr="008C2143">
        <w:rPr>
          <w:rFonts w:cs="Arial"/>
          <w:color w:val="0070C0"/>
          <w:sz w:val="20"/>
          <w:szCs w:val="20"/>
        </w:rPr>
        <w:t xml:space="preserve"> </w:t>
      </w:r>
    </w:p>
  </w:footnote>
  <w:footnote w:id="175">
    <w:p w14:paraId="168A2BE0" w14:textId="77777777" w:rsidR="00477B14" w:rsidRPr="008C2143" w:rsidRDefault="00477B14" w:rsidP="00477B14">
      <w:pPr>
        <w:rPr>
          <w:rFonts w:cs="Times New Roman"/>
          <w:sz w:val="20"/>
          <w:szCs w:val="20"/>
        </w:rPr>
      </w:pPr>
      <w:r w:rsidRPr="008C2143">
        <w:rPr>
          <w:rStyle w:val="FootnoteReference"/>
          <w:sz w:val="20"/>
          <w:szCs w:val="20"/>
        </w:rPr>
        <w:footnoteRef/>
      </w:r>
      <w:r w:rsidRPr="008C2143">
        <w:rPr>
          <w:sz w:val="20"/>
          <w:szCs w:val="20"/>
        </w:rPr>
        <w:t xml:space="preserve"> Welsh Government - </w:t>
      </w:r>
      <w:hyperlink r:id="rId172" w:history="1">
        <w:r w:rsidRPr="008C2143">
          <w:rPr>
            <w:rStyle w:val="Hyperlink1"/>
            <w:rFonts w:cs="Times New Roman"/>
            <w:szCs w:val="20"/>
          </w:rPr>
          <w:t xml:space="preserve">The Wellbeing of Future Generations </w:t>
        </w:r>
      </w:hyperlink>
      <w:r w:rsidRPr="008C2143">
        <w:rPr>
          <w:rFonts w:cs="Arial"/>
          <w:color w:val="0070C0"/>
          <w:sz w:val="20"/>
          <w:szCs w:val="20"/>
        </w:rPr>
        <w:t xml:space="preserve"> </w:t>
      </w:r>
    </w:p>
  </w:footnote>
  <w:footnote w:id="176">
    <w:p w14:paraId="4DC1F323" w14:textId="77777777" w:rsidR="00477B14" w:rsidRDefault="00477B14" w:rsidP="00477B14">
      <w:r w:rsidRPr="008C2143">
        <w:rPr>
          <w:rStyle w:val="FootnoteReference"/>
          <w:sz w:val="20"/>
          <w:szCs w:val="20"/>
        </w:rPr>
        <w:footnoteRef/>
      </w:r>
      <w:r w:rsidRPr="008C2143">
        <w:rPr>
          <w:sz w:val="20"/>
          <w:szCs w:val="20"/>
        </w:rPr>
        <w:t xml:space="preserve"> Welsh Government - </w:t>
      </w:r>
      <w:hyperlink r:id="rId173" w:history="1">
        <w:r w:rsidRPr="008C2143">
          <w:rPr>
            <w:rStyle w:val="Hyperlink"/>
            <w:color w:val="0000FF"/>
            <w:sz w:val="20"/>
            <w:szCs w:val="20"/>
          </w:rPr>
          <w:t>Breastfeeding data: 2024 (Wales)</w:t>
        </w:r>
      </w:hyperlink>
    </w:p>
  </w:footnote>
  <w:footnote w:id="177">
    <w:p w14:paraId="2499597D" w14:textId="77777777" w:rsidR="00477B14" w:rsidRPr="00080102" w:rsidRDefault="00477B14" w:rsidP="00477B14">
      <w:pPr>
        <w:pStyle w:val="FootnoteText"/>
      </w:pPr>
      <w:r w:rsidRPr="00080102">
        <w:rPr>
          <w:rStyle w:val="FootnoteReference"/>
          <w:sz w:val="20"/>
        </w:rPr>
        <w:footnoteRef/>
      </w:r>
      <w:r w:rsidRPr="00080102">
        <w:t xml:space="preserve"> </w:t>
      </w:r>
      <w:r w:rsidRPr="00080102">
        <w:rPr>
          <w:rStyle w:val="normaltextrun"/>
          <w:rFonts w:cs="Arial"/>
          <w:color w:val="000000"/>
          <w:shd w:val="clear" w:color="auto" w:fill="FFFFFF"/>
        </w:rPr>
        <w:t>The King’s Fund, 2023</w:t>
      </w:r>
      <w:r w:rsidRPr="00080102">
        <w:rPr>
          <w:rStyle w:val="eop"/>
          <w:rFonts w:cs="Arial"/>
          <w:color w:val="000000"/>
          <w:shd w:val="clear" w:color="auto" w:fill="FFFFFF"/>
        </w:rPr>
        <w:t xml:space="preserve"> - </w:t>
      </w:r>
      <w:hyperlink r:id="rId174" w:tgtFrame="_blank" w:history="1">
        <w:r w:rsidRPr="00080102">
          <w:rPr>
            <w:rStyle w:val="normaltextrun"/>
            <w:rFonts w:cs="Arial"/>
            <w:color w:val="0000FF"/>
            <w:u w:val="single"/>
            <w:shd w:val="clear" w:color="auto" w:fill="FFFFFF"/>
          </w:rPr>
          <w:t>The health of people from ethnic minority groups in England</w:t>
        </w:r>
      </w:hyperlink>
    </w:p>
  </w:footnote>
  <w:footnote w:id="178">
    <w:p w14:paraId="2A0AC6BC" w14:textId="77777777" w:rsidR="00477B14" w:rsidRPr="00080102" w:rsidRDefault="00477B14" w:rsidP="00477B14">
      <w:pPr>
        <w:pStyle w:val="FootnoteText"/>
      </w:pPr>
      <w:r w:rsidRPr="00080102">
        <w:rPr>
          <w:rStyle w:val="FootnoteReference"/>
          <w:sz w:val="20"/>
        </w:rPr>
        <w:footnoteRef/>
      </w:r>
      <w:r w:rsidRPr="00080102">
        <w:t xml:space="preserve"> </w:t>
      </w:r>
      <w:r w:rsidRPr="00080102">
        <w:rPr>
          <w:rFonts w:cs="Arial"/>
          <w:bCs/>
        </w:rPr>
        <w:t>Government UK -</w:t>
      </w:r>
      <w:r w:rsidRPr="00080102">
        <w:rPr>
          <w:rFonts w:cs="Arial"/>
          <w:b/>
        </w:rPr>
        <w:t xml:space="preserve"> </w:t>
      </w:r>
      <w:hyperlink r:id="rId175" w:history="1">
        <w:r w:rsidRPr="00080102">
          <w:rPr>
            <w:rStyle w:val="Hyperlink"/>
            <w:bCs/>
            <w:color w:val="0000FF"/>
          </w:rPr>
          <w:t>Culture, spirituality and religion: migrant health guide</w:t>
        </w:r>
      </w:hyperlink>
      <w:r w:rsidRPr="00080102">
        <w:rPr>
          <w:rFonts w:cs="Arial"/>
          <w:color w:val="0070C0"/>
        </w:rPr>
        <w:t xml:space="preserve"> </w:t>
      </w:r>
    </w:p>
  </w:footnote>
  <w:footnote w:id="179">
    <w:p w14:paraId="7A76E838" w14:textId="77777777" w:rsidR="00477B14" w:rsidRDefault="00477B14" w:rsidP="00477B14">
      <w:pPr>
        <w:pStyle w:val="FootnoteText"/>
      </w:pPr>
      <w:r w:rsidRPr="00080102">
        <w:rPr>
          <w:rStyle w:val="FootnoteReference"/>
          <w:sz w:val="20"/>
        </w:rPr>
        <w:footnoteRef/>
      </w:r>
      <w:r w:rsidRPr="00080102">
        <w:t xml:space="preserve"> Swansea Bay University Health Board - </w:t>
      </w:r>
      <w:hyperlink r:id="rId176" w:tgtFrame="_blank" w:history="1">
        <w:r w:rsidRPr="00080102">
          <w:rPr>
            <w:rStyle w:val="Hyperlink1"/>
          </w:rPr>
          <w:t>Mortality report 2025</w:t>
        </w:r>
      </w:hyperlink>
      <w:r>
        <w:rPr>
          <w:rStyle w:val="normaltextrun"/>
          <w:rFonts w:ascii="Aptos" w:hAnsi="Aptos"/>
          <w:color w:val="000000"/>
          <w:shd w:val="clear" w:color="auto" w:fill="FFFFFF"/>
        </w:rPr>
        <w:t xml:space="preserve"> </w:t>
      </w:r>
    </w:p>
  </w:footnote>
  <w:footnote w:id="180">
    <w:p w14:paraId="3EB7A8F3" w14:textId="77777777" w:rsidR="00477B14" w:rsidRPr="000149A7" w:rsidRDefault="00477B14" w:rsidP="00477B14">
      <w:pPr>
        <w:pStyle w:val="FootnoteText"/>
      </w:pPr>
      <w:r w:rsidRPr="000149A7">
        <w:rPr>
          <w:rStyle w:val="FootnoteReference"/>
          <w:sz w:val="20"/>
        </w:rPr>
        <w:footnoteRef/>
      </w:r>
      <w:r w:rsidRPr="000149A7">
        <w:t xml:space="preserve"> </w:t>
      </w:r>
      <w:r w:rsidRPr="000149A7">
        <w:rPr>
          <w:rFonts w:cs="Arial"/>
        </w:rPr>
        <w:t xml:space="preserve">Pharmacy consumer research - </w:t>
      </w:r>
      <w:hyperlink r:id="rId177" w:history="1">
        <w:r w:rsidRPr="000149A7">
          <w:rPr>
            <w:rStyle w:val="Hyperlink1"/>
          </w:rPr>
          <w:t>Pharmacy usage and communications mapping – Executive summary. June 2009</w:t>
        </w:r>
      </w:hyperlink>
    </w:p>
  </w:footnote>
  <w:footnote w:id="181">
    <w:p w14:paraId="26D94ED1" w14:textId="77777777" w:rsidR="00477B14" w:rsidRPr="000149A7" w:rsidRDefault="00477B14" w:rsidP="00477B14">
      <w:pPr>
        <w:pStyle w:val="FootnoteText"/>
      </w:pPr>
      <w:r w:rsidRPr="000149A7">
        <w:rPr>
          <w:rStyle w:val="FootnoteReference"/>
          <w:sz w:val="20"/>
        </w:rPr>
        <w:footnoteRef/>
      </w:r>
      <w:r w:rsidRPr="000149A7">
        <w:t xml:space="preserve"> British Heart Foundation Cymru Wales - </w:t>
      </w:r>
      <w:hyperlink r:id="rId178" w:history="1">
        <w:r w:rsidRPr="000149A7">
          <w:rPr>
            <w:rStyle w:val="Hyperlink1"/>
          </w:rPr>
          <w:t>Cardiovascular Disease Factsheet August 2025</w:t>
        </w:r>
      </w:hyperlink>
    </w:p>
  </w:footnote>
  <w:footnote w:id="182">
    <w:p w14:paraId="79B167E9" w14:textId="77777777" w:rsidR="00477B14" w:rsidRDefault="00477B14" w:rsidP="00477B14">
      <w:pPr>
        <w:rPr>
          <w:rFonts w:ascii="Aptos" w:hAnsi="Aptos"/>
          <w:sz w:val="20"/>
          <w:szCs w:val="20"/>
        </w:rPr>
      </w:pPr>
      <w:r w:rsidRPr="000149A7">
        <w:rPr>
          <w:rStyle w:val="FootnoteReference"/>
          <w:sz w:val="20"/>
          <w:szCs w:val="20"/>
        </w:rPr>
        <w:footnoteRef/>
      </w:r>
      <w:r w:rsidRPr="000149A7">
        <w:rPr>
          <w:sz w:val="20"/>
          <w:szCs w:val="20"/>
        </w:rPr>
        <w:t xml:space="preserve"> Chemist4u - </w:t>
      </w:r>
      <w:hyperlink r:id="rId179" w:anchor=":~:text=25%25%20of%20men%20and%2027,28" w:history="1">
        <w:r w:rsidRPr="000149A7">
          <w:rPr>
            <w:rStyle w:val="Hyperlink1"/>
            <w:rFonts w:cs="Times New Roman"/>
            <w:szCs w:val="20"/>
          </w:rPr>
          <w:t>Obesity Statistics Report 2025</w:t>
        </w:r>
      </w:hyperlink>
      <w:r>
        <w:rPr>
          <w:rFonts w:ascii="Aptos" w:hAnsi="Aptos"/>
          <w:sz w:val="20"/>
          <w:szCs w:val="20"/>
        </w:rPr>
        <w:t xml:space="preserve"> </w:t>
      </w:r>
    </w:p>
  </w:footnote>
  <w:footnote w:id="183">
    <w:p w14:paraId="25EC5A7F" w14:textId="77777777" w:rsidR="00477B14" w:rsidRPr="000149A7" w:rsidRDefault="00477B14" w:rsidP="00477B14">
      <w:pPr>
        <w:rPr>
          <w:sz w:val="20"/>
          <w:szCs w:val="20"/>
        </w:rPr>
      </w:pPr>
      <w:r w:rsidRPr="000149A7">
        <w:rPr>
          <w:rStyle w:val="FootnoteReference"/>
          <w:sz w:val="20"/>
          <w:szCs w:val="20"/>
        </w:rPr>
        <w:footnoteRef/>
      </w:r>
      <w:r w:rsidRPr="000149A7">
        <w:rPr>
          <w:sz w:val="20"/>
          <w:szCs w:val="20"/>
        </w:rPr>
        <w:t xml:space="preserve"> Welsh Government - </w:t>
      </w:r>
      <w:hyperlink r:id="rId180" w:history="1">
        <w:r w:rsidRPr="00836AA3">
          <w:rPr>
            <w:rStyle w:val="Hyperlink"/>
            <w:color w:val="0000FF"/>
            <w:sz w:val="20"/>
            <w:szCs w:val="20"/>
          </w:rPr>
          <w:t>New modelling of alcohol pricing policies, alcohol consumption and harm in Wales</w:t>
        </w:r>
      </w:hyperlink>
    </w:p>
  </w:footnote>
  <w:footnote w:id="184">
    <w:p w14:paraId="77586F8F" w14:textId="77777777" w:rsidR="00477B14" w:rsidRPr="000149A7" w:rsidRDefault="00477B14" w:rsidP="00477B14">
      <w:pPr>
        <w:pStyle w:val="FootnoteText"/>
      </w:pPr>
      <w:r w:rsidRPr="000149A7">
        <w:rPr>
          <w:rStyle w:val="FootnoteReference"/>
          <w:sz w:val="20"/>
        </w:rPr>
        <w:footnoteRef/>
      </w:r>
      <w:r w:rsidRPr="000149A7">
        <w:t xml:space="preserve"> </w:t>
      </w:r>
      <w:r w:rsidRPr="000149A7">
        <w:rPr>
          <w:rFonts w:eastAsia="MS Mincho" w:cs="Arial"/>
          <w:lang w:eastAsia="en-GB"/>
        </w:rPr>
        <w:t>Department of Health and Social Care “</w:t>
      </w:r>
      <w:hyperlink r:id="rId181" w:history="1">
        <w:r w:rsidRPr="000149A7">
          <w:rPr>
            <w:rStyle w:val="Hyperlink1"/>
          </w:rPr>
          <w:t>The Gender and Access to Health Services Study</w:t>
        </w:r>
      </w:hyperlink>
      <w:r w:rsidRPr="000149A7">
        <w:rPr>
          <w:rFonts w:eastAsia="MS Mincho" w:cs="Arial"/>
          <w:lang w:eastAsia="en-GB"/>
        </w:rPr>
        <w:t>” 2008</w:t>
      </w:r>
    </w:p>
  </w:footnote>
  <w:footnote w:id="185">
    <w:p w14:paraId="16BCAE59" w14:textId="77777777" w:rsidR="00477B14" w:rsidRDefault="00477B14" w:rsidP="00477B14">
      <w:pPr>
        <w:pStyle w:val="FootnoteText"/>
      </w:pPr>
      <w:r w:rsidRPr="000149A7">
        <w:rPr>
          <w:rStyle w:val="FootnoteReference"/>
          <w:sz w:val="20"/>
        </w:rPr>
        <w:footnoteRef/>
      </w:r>
      <w:r w:rsidRPr="000149A7">
        <w:t xml:space="preserve"> LGBT Foundation - </w:t>
      </w:r>
      <w:hyperlink r:id="rId182" w:history="1">
        <w:r w:rsidRPr="00836AA3">
          <w:rPr>
            <w:rStyle w:val="Hyperlink"/>
            <w:color w:val="0000FF"/>
          </w:rPr>
          <w:t xml:space="preserve">Hidden Figures: LGBT Health Inequalities in the UK </w:t>
        </w:r>
      </w:hyperlink>
    </w:p>
  </w:footnote>
  <w:footnote w:id="186">
    <w:p w14:paraId="5F79474D" w14:textId="77777777" w:rsidR="00477B14" w:rsidRPr="005B6AE7" w:rsidRDefault="00477B14" w:rsidP="00477B14">
      <w:pPr>
        <w:pStyle w:val="FootnoteText"/>
        <w:rPr>
          <w:rFonts w:cs="Arial"/>
          <w:color w:val="0000FF"/>
        </w:rPr>
      </w:pPr>
      <w:r w:rsidRPr="005B6AE7">
        <w:rPr>
          <w:rStyle w:val="FootnoteReference"/>
          <w:sz w:val="20"/>
        </w:rPr>
        <w:footnoteRef/>
      </w:r>
      <w:r w:rsidRPr="005B6AE7">
        <w:t xml:space="preserve"> </w:t>
      </w:r>
      <w:r w:rsidRPr="005B6AE7">
        <w:rPr>
          <w:rFonts w:cs="Arial"/>
          <w:color w:val="000000"/>
          <w:kern w:val="0"/>
          <w:shd w:val="clear" w:color="auto" w:fill="FFFFFF"/>
          <w14:ligatures w14:val="none"/>
        </w:rPr>
        <w:t>UK wide data from ONS data reported </w:t>
      </w:r>
      <w:hyperlink r:id="rId183" w:tgtFrame="_blank" w:history="1">
        <w:r w:rsidRPr="005B6AE7">
          <w:rPr>
            <w:rStyle w:val="Hyperlink"/>
            <w:color w:val="0000FF"/>
            <w:kern w:val="0"/>
            <w14:ligatures w14:val="none"/>
          </w:rPr>
          <w:t>ONS Data: LGB+ Community Facing Higher Mental Health Risks | LGBT HERO</w:t>
        </w:r>
      </w:hyperlink>
    </w:p>
  </w:footnote>
  <w:footnote w:id="187">
    <w:p w14:paraId="4AB12CF0" w14:textId="77777777" w:rsidR="00477B14" w:rsidRDefault="00477B14" w:rsidP="00477B14">
      <w:pPr>
        <w:pStyle w:val="FootnoteText"/>
      </w:pPr>
      <w:r w:rsidRPr="005B6AE7">
        <w:rPr>
          <w:rStyle w:val="FootnoteReference"/>
          <w:sz w:val="20"/>
        </w:rPr>
        <w:footnoteRef/>
      </w:r>
      <w:r w:rsidRPr="005B6AE7">
        <w:t xml:space="preserve"> </w:t>
      </w:r>
      <w:r w:rsidRPr="005B6AE7">
        <w:rPr>
          <w:rFonts w:cs="Arial"/>
        </w:rPr>
        <w:t xml:space="preserve">Gender Identity Research and Education Society. From: </w:t>
      </w:r>
      <w:hyperlink r:id="rId184" w:history="1">
        <w:r w:rsidRPr="005B6AE7">
          <w:rPr>
            <w:rStyle w:val="Hyperlink1"/>
          </w:rPr>
          <w:t>Trans Health Factsheets</w:t>
        </w:r>
      </w:hyperlink>
      <w:r>
        <w:rPr>
          <w:rFonts w:cs="Arial"/>
        </w:rPr>
        <w:t xml:space="preserve"> </w:t>
      </w:r>
    </w:p>
  </w:footnote>
  <w:footnote w:id="188">
    <w:p w14:paraId="0A15D679" w14:textId="77777777" w:rsidR="00477B14" w:rsidRPr="00C51BE1" w:rsidRDefault="00477B14" w:rsidP="00477B14">
      <w:pPr>
        <w:pStyle w:val="FootnoteText"/>
      </w:pPr>
      <w:r w:rsidRPr="00C51BE1">
        <w:rPr>
          <w:rStyle w:val="FootnoteReference"/>
          <w:sz w:val="20"/>
        </w:rPr>
        <w:footnoteRef/>
      </w:r>
      <w:r w:rsidRPr="00C51BE1">
        <w:t xml:space="preserve"> Unite Students - </w:t>
      </w:r>
      <w:hyperlink r:id="rId185" w:history="1">
        <w:r w:rsidRPr="00C51BE1">
          <w:rPr>
            <w:rStyle w:val="Hyperlink1"/>
          </w:rPr>
          <w:t>The New Realists Unite Students Insight Report 2019</w:t>
        </w:r>
      </w:hyperlink>
    </w:p>
  </w:footnote>
  <w:footnote w:id="189">
    <w:p w14:paraId="02D186EC" w14:textId="77777777" w:rsidR="00477B14" w:rsidRPr="00C51BE1" w:rsidRDefault="00477B14" w:rsidP="00477B14">
      <w:pPr>
        <w:pStyle w:val="FootnoteText"/>
      </w:pPr>
      <w:r w:rsidRPr="00C51BE1">
        <w:rPr>
          <w:rStyle w:val="FootnoteReference"/>
          <w:sz w:val="20"/>
        </w:rPr>
        <w:footnoteRef/>
      </w:r>
      <w:r w:rsidRPr="00C51BE1">
        <w:t xml:space="preserve"> Education - </w:t>
      </w:r>
      <w:hyperlink r:id="rId186" w:history="1">
        <w:r w:rsidRPr="00C51BE1">
          <w:rPr>
            <w:rStyle w:val="Hyperlink1"/>
          </w:rPr>
          <w:t>Health and Wellbeing Services for Students in UK Universities</w:t>
        </w:r>
      </w:hyperlink>
      <w:r w:rsidRPr="00C51BE1">
        <w:t xml:space="preserve"> 2024</w:t>
      </w:r>
    </w:p>
  </w:footnote>
  <w:footnote w:id="190">
    <w:p w14:paraId="3B31D098" w14:textId="77777777" w:rsidR="00477B14" w:rsidRPr="00C51BE1" w:rsidRDefault="00477B14" w:rsidP="00477B14">
      <w:pPr>
        <w:rPr>
          <w:rFonts w:cs="Arial"/>
          <w:color w:val="163E64"/>
          <w:sz w:val="20"/>
          <w:szCs w:val="20"/>
        </w:rPr>
      </w:pPr>
      <w:r w:rsidRPr="00C51BE1">
        <w:rPr>
          <w:rStyle w:val="FootnoteReference"/>
          <w:sz w:val="20"/>
          <w:szCs w:val="20"/>
        </w:rPr>
        <w:footnoteRef/>
      </w:r>
      <w:r w:rsidRPr="00C51BE1">
        <w:rPr>
          <w:rFonts w:cs="Arial"/>
          <w:sz w:val="20"/>
          <w:szCs w:val="20"/>
        </w:rPr>
        <w:t xml:space="preserve"> Transforming Access and Students outcomes in Higher Education - </w:t>
      </w:r>
      <w:hyperlink r:id="rId187" w:tgtFrame="_blank" w:history="1">
        <w:r w:rsidRPr="00C51BE1">
          <w:rPr>
            <w:rStyle w:val="Hyperlink1"/>
            <w:rFonts w:cs="Times New Roman"/>
            <w:szCs w:val="20"/>
          </w:rPr>
          <w:t>Report Student mental health in 2024: How the situation is changing for LGBTQ+ students</w:t>
        </w:r>
      </w:hyperlink>
      <w:r w:rsidRPr="00C51BE1">
        <w:rPr>
          <w:rFonts w:cs="Arial"/>
          <w:i/>
          <w:iCs/>
          <w:color w:val="000000"/>
          <w:sz w:val="20"/>
          <w:szCs w:val="20"/>
          <w:shd w:val="clear" w:color="auto" w:fill="FFFFFF"/>
        </w:rPr>
        <w:t> </w:t>
      </w:r>
    </w:p>
    <w:p w14:paraId="011C2E4B" w14:textId="77777777" w:rsidR="00477B14" w:rsidRDefault="00477B14" w:rsidP="00477B14">
      <w:pPr>
        <w:pStyle w:val="FootnoteText"/>
      </w:pPr>
    </w:p>
  </w:footnote>
  <w:footnote w:id="191">
    <w:p w14:paraId="312899E9" w14:textId="77777777" w:rsidR="00477B14" w:rsidRDefault="00477B14" w:rsidP="00477B14">
      <w:pPr>
        <w:rPr>
          <w:sz w:val="20"/>
          <w:szCs w:val="20"/>
        </w:rPr>
      </w:pPr>
      <w:r>
        <w:rPr>
          <w:rStyle w:val="FootnoteReference"/>
          <w:sz w:val="20"/>
          <w:szCs w:val="20"/>
        </w:rPr>
        <w:footnoteRef/>
      </w:r>
      <w:r>
        <w:rPr>
          <w:sz w:val="20"/>
          <w:szCs w:val="20"/>
        </w:rPr>
        <w:t xml:space="preserve"> HMP Swansea - </w:t>
      </w:r>
      <w:hyperlink r:id="rId188" w:history="1">
        <w:r w:rsidRPr="00C51BE1">
          <w:rPr>
            <w:rStyle w:val="Hyperlink"/>
            <w:color w:val="0000FF"/>
            <w:sz w:val="20"/>
            <w:szCs w:val="20"/>
          </w:rPr>
          <w:t>Annual Report of the Independent Monitoring Board at HMP Swansea (2023)</w:t>
        </w:r>
      </w:hyperlink>
    </w:p>
  </w:footnote>
  <w:footnote w:id="192">
    <w:p w14:paraId="7DA54EFE" w14:textId="77777777" w:rsidR="00477B14" w:rsidRDefault="00477B14" w:rsidP="00477B14">
      <w:pPr>
        <w:pStyle w:val="FootnoteText"/>
      </w:pPr>
      <w:r>
        <w:rPr>
          <w:rStyle w:val="FootnoteReference"/>
        </w:rPr>
        <w:footnoteRef/>
      </w:r>
      <w:r>
        <w:t xml:space="preserve"> Public Health Wales - </w:t>
      </w:r>
      <w:hyperlink r:id="rId189" w:history="1">
        <w:r w:rsidRPr="00C51BE1">
          <w:rPr>
            <w:rStyle w:val="Hyperlink"/>
            <w:color w:val="0000FF"/>
          </w:rPr>
          <w:t>Public Health Wales Response to the Health, Social Care and Sport Committee inquiry into provision of health and social care in the adult prison estate</w:t>
        </w:r>
      </w:hyperlink>
      <w:r>
        <w:t xml:space="preserve"> 2019</w:t>
      </w:r>
    </w:p>
  </w:footnote>
  <w:footnote w:id="193">
    <w:p w14:paraId="49D45953" w14:textId="77777777" w:rsidR="00477B14" w:rsidRPr="00C51BE1" w:rsidRDefault="00477B14" w:rsidP="00477B14">
      <w:pPr>
        <w:pStyle w:val="FootnoteText"/>
      </w:pPr>
      <w:r w:rsidRPr="00C51BE1">
        <w:rPr>
          <w:rStyle w:val="FootnoteReference"/>
          <w:sz w:val="20"/>
        </w:rPr>
        <w:footnoteRef/>
      </w:r>
      <w:r w:rsidRPr="00C51BE1">
        <w:t xml:space="preserve"> Welsh Dental Committee - </w:t>
      </w:r>
      <w:hyperlink r:id="rId190" w:history="1">
        <w:r w:rsidRPr="00C51BE1">
          <w:rPr>
            <w:rStyle w:val="Hyperlink"/>
            <w:color w:val="0000FF"/>
          </w:rPr>
          <w:t>Dental care for vulnerable people in Wales: position statement</w:t>
        </w:r>
      </w:hyperlink>
      <w:r w:rsidRPr="00C51BE1">
        <w:t xml:space="preserve"> 2025</w:t>
      </w:r>
    </w:p>
  </w:footnote>
  <w:footnote w:id="194">
    <w:p w14:paraId="7273AEB9" w14:textId="77777777" w:rsidR="00477B14" w:rsidRPr="00C51BE1" w:rsidRDefault="00477B14" w:rsidP="00477B14">
      <w:pPr>
        <w:pStyle w:val="FootnoteText"/>
      </w:pPr>
      <w:r w:rsidRPr="00C51BE1">
        <w:rPr>
          <w:rStyle w:val="FootnoteReference"/>
          <w:sz w:val="20"/>
        </w:rPr>
        <w:footnoteRef/>
      </w:r>
      <w:r w:rsidRPr="00C51BE1">
        <w:t xml:space="preserve"> University of Oxford - </w:t>
      </w:r>
      <w:hyperlink r:id="rId191" w:history="1">
        <w:r w:rsidRPr="00C51BE1">
          <w:rPr>
            <w:rStyle w:val="Hyperlink"/>
            <w:color w:val="0000FF"/>
          </w:rPr>
          <w:t>Mental and physical health morbidity among people in prisons: an umbrella review</w:t>
        </w:r>
      </w:hyperlink>
      <w:r w:rsidRPr="00C51BE1">
        <w:t xml:space="preserve"> 2024</w:t>
      </w:r>
    </w:p>
  </w:footnote>
  <w:footnote w:id="195">
    <w:p w14:paraId="5B02ECC9" w14:textId="77777777" w:rsidR="00477B14" w:rsidRPr="00C51BE1" w:rsidRDefault="00477B14" w:rsidP="00477B14">
      <w:pPr>
        <w:rPr>
          <w:rStyle w:val="Hyperlink1"/>
          <w:rFonts w:cs="Times New Roman"/>
          <w:szCs w:val="20"/>
        </w:rPr>
      </w:pPr>
      <w:r w:rsidRPr="00C51BE1">
        <w:rPr>
          <w:rStyle w:val="FootnoteReference"/>
          <w:sz w:val="20"/>
          <w:szCs w:val="20"/>
        </w:rPr>
        <w:footnoteRef/>
      </w:r>
      <w:r w:rsidRPr="00C51BE1">
        <w:rPr>
          <w:sz w:val="20"/>
          <w:szCs w:val="20"/>
        </w:rPr>
        <w:t xml:space="preserve"> Youth Justice Board - </w:t>
      </w:r>
      <w:hyperlink r:id="rId192" w:anchor=":~:text=Of%20the%20children%20assessed%20who%20received%20custodial,(72%25)%20and%20Speech%2C%20Language%20and%20Communication%20(71%25)." w:history="1">
        <w:r w:rsidRPr="00C51BE1">
          <w:rPr>
            <w:rStyle w:val="Hyperlink1"/>
            <w:rFonts w:cs="Times New Roman"/>
            <w:szCs w:val="20"/>
          </w:rPr>
          <w:t>Assessing the needs of sentenced children in the Youth Justice System 2019/20 England and Wales (2021)</w:t>
        </w:r>
      </w:hyperlink>
      <w:r w:rsidRPr="00C51BE1">
        <w:rPr>
          <w:rStyle w:val="Hyperlink1"/>
          <w:rFonts w:cs="Times New Roman"/>
          <w:szCs w:val="20"/>
        </w:rPr>
        <w:t xml:space="preserve"> </w:t>
      </w:r>
    </w:p>
    <w:p w14:paraId="1A42C558" w14:textId="77777777" w:rsidR="00477B14" w:rsidRDefault="00477B14" w:rsidP="00477B14">
      <w:pPr>
        <w:pStyle w:val="FootnoteText"/>
      </w:pPr>
    </w:p>
  </w:footnote>
  <w:footnote w:id="196">
    <w:p w14:paraId="0E999125" w14:textId="77777777" w:rsidR="00477B14" w:rsidRPr="00C51BE1" w:rsidRDefault="00477B14" w:rsidP="00477B14">
      <w:pPr>
        <w:pStyle w:val="FootnoteText"/>
        <w:rPr>
          <w:rFonts w:cs="Arial"/>
        </w:rPr>
      </w:pPr>
      <w:r w:rsidRPr="00C51BE1">
        <w:rPr>
          <w:rStyle w:val="FootnoteReference"/>
          <w:sz w:val="20"/>
        </w:rPr>
        <w:footnoteRef/>
      </w:r>
      <w:r w:rsidRPr="00C51BE1">
        <w:rPr>
          <w:rFonts w:cs="Arial"/>
        </w:rPr>
        <w:t xml:space="preserve"> Crisis, Sanders, B. &amp; Albanese, F. - </w:t>
      </w:r>
      <w:hyperlink r:id="rId193" w:history="1">
        <w:r w:rsidRPr="00C51BE1">
          <w:rPr>
            <w:rStyle w:val="Hyperlink1"/>
          </w:rPr>
          <w:t>"It's no life at all" - Rough sleepers' experiences of violence and abuse on the streets of England and Wales (2016)</w:t>
        </w:r>
      </w:hyperlink>
    </w:p>
  </w:footnote>
  <w:footnote w:id="197">
    <w:p w14:paraId="3461F98E" w14:textId="77777777" w:rsidR="00477B14" w:rsidRPr="00C51BE1" w:rsidRDefault="00477B14" w:rsidP="00477B14">
      <w:pPr>
        <w:pStyle w:val="FootnoteText"/>
      </w:pPr>
      <w:r w:rsidRPr="00C51BE1">
        <w:rPr>
          <w:rStyle w:val="FootnoteReference"/>
          <w:sz w:val="20"/>
        </w:rPr>
        <w:footnoteRef/>
      </w:r>
      <w:r w:rsidRPr="00C51BE1">
        <w:t xml:space="preserve"> Museum of Homelessness – </w:t>
      </w:r>
      <w:hyperlink r:id="rId194" w:tgtFrame="_blank" w:history="1">
        <w:r w:rsidRPr="00C51BE1">
          <w:rPr>
            <w:rStyle w:val="Hyperlink1"/>
          </w:rPr>
          <w:t>The Wallich homeless deaths (2025)</w:t>
        </w:r>
      </w:hyperlink>
    </w:p>
  </w:footnote>
  <w:footnote w:id="198">
    <w:p w14:paraId="2DAF9082" w14:textId="77777777" w:rsidR="00477B14" w:rsidRPr="00C51BE1" w:rsidRDefault="00477B14" w:rsidP="00477B14">
      <w:pPr>
        <w:pStyle w:val="FootnoteText"/>
      </w:pPr>
      <w:r w:rsidRPr="00C51BE1">
        <w:rPr>
          <w:rStyle w:val="FootnoteReference"/>
          <w:sz w:val="20"/>
        </w:rPr>
        <w:footnoteRef/>
      </w:r>
      <w:r w:rsidRPr="00C51BE1">
        <w:t xml:space="preserve"> StatsWales - </w:t>
      </w:r>
      <w:hyperlink r:id="rId195" w:tgtFrame="_blank" w:history="1">
        <w:r w:rsidRPr="00C51BE1">
          <w:rPr>
            <w:rStyle w:val="Hyperlink1"/>
          </w:rPr>
          <w:t>Rough sleepers by local authority</w:t>
        </w:r>
      </w:hyperlink>
      <w:r w:rsidRPr="00C51BE1">
        <w:rPr>
          <w:rFonts w:cs="Arial"/>
          <w:color w:val="153D63"/>
        </w:rPr>
        <w:t xml:space="preserve"> </w:t>
      </w:r>
    </w:p>
  </w:footnote>
  <w:footnote w:id="199">
    <w:p w14:paraId="43478F7D" w14:textId="77777777" w:rsidR="00477B14" w:rsidRDefault="00477B14" w:rsidP="00477B14">
      <w:pPr>
        <w:pStyle w:val="FootnoteText"/>
      </w:pPr>
      <w:r w:rsidRPr="00C51BE1">
        <w:rPr>
          <w:rStyle w:val="FootnoteReference"/>
          <w:sz w:val="20"/>
        </w:rPr>
        <w:footnoteRef/>
      </w:r>
      <w:r w:rsidRPr="00C51BE1">
        <w:t xml:space="preserve"> </w:t>
      </w:r>
      <w:r w:rsidRPr="00C51BE1">
        <w:rPr>
          <w:rFonts w:cs="Arial"/>
        </w:rPr>
        <w:t xml:space="preserve">Centrepoint - </w:t>
      </w:r>
      <w:hyperlink r:id="rId196" w:history="1">
        <w:r w:rsidRPr="00C51BE1">
          <w:rPr>
            <w:rStyle w:val="Hyperlink1"/>
          </w:rPr>
          <w:t>Toxic Mix: The health needs of homeless young people</w:t>
        </w:r>
      </w:hyperlink>
    </w:p>
  </w:footnote>
  <w:footnote w:id="200">
    <w:p w14:paraId="2B587418" w14:textId="77777777" w:rsidR="00477B14" w:rsidRPr="00C51BE1" w:rsidRDefault="00477B14" w:rsidP="00477B14">
      <w:pPr>
        <w:pStyle w:val="FootnoteText"/>
        <w:rPr>
          <w:color w:val="0000FF"/>
          <w:kern w:val="0"/>
          <w14:ligatures w14:val="none"/>
        </w:rPr>
      </w:pPr>
      <w:r w:rsidRPr="00C51BE1">
        <w:rPr>
          <w:rStyle w:val="FootnoteReference"/>
          <w:sz w:val="20"/>
        </w:rPr>
        <w:footnoteRef/>
      </w:r>
      <w:r w:rsidRPr="00C51BE1">
        <w:t xml:space="preserve"> </w:t>
      </w:r>
      <w:r w:rsidRPr="00C51BE1">
        <w:rPr>
          <w:kern w:val="0"/>
          <w14:ligatures w14:val="none"/>
        </w:rPr>
        <w:t xml:space="preserve">Homeless Link - </w:t>
      </w:r>
      <w:hyperlink r:id="rId197" w:history="1">
        <w:r w:rsidRPr="00C51BE1">
          <w:rPr>
            <w:rStyle w:val="Hyperlink"/>
            <w:color w:val="0000FF"/>
            <w:kern w:val="0"/>
            <w14:ligatures w14:val="none"/>
          </w:rPr>
          <w:t>The unhealthy state of homelessness 2024: Findings from the homeless health needs audit</w:t>
        </w:r>
      </w:hyperlink>
      <w:r w:rsidRPr="00C51BE1">
        <w:rPr>
          <w:rFonts w:eastAsia="MS Mincho"/>
          <w:color w:val="0000FF"/>
          <w:kern w:val="0"/>
          <w:lang w:eastAsia="en-GB"/>
          <w14:ligatures w14:val="none"/>
        </w:rPr>
        <w:t xml:space="preserve"> </w:t>
      </w:r>
    </w:p>
    <w:p w14:paraId="7B6A93B5" w14:textId="77777777" w:rsidR="00477B14" w:rsidRDefault="00477B14" w:rsidP="00477B14">
      <w:pPr>
        <w:pStyle w:val="FootnoteText"/>
      </w:pPr>
    </w:p>
  </w:footnote>
  <w:footnote w:id="201">
    <w:p w14:paraId="42B18289" w14:textId="77777777" w:rsidR="00477B14" w:rsidRPr="00C51BE1" w:rsidRDefault="00477B14" w:rsidP="00477B14">
      <w:pPr>
        <w:pStyle w:val="FootnoteText"/>
      </w:pPr>
      <w:r w:rsidRPr="00C51BE1">
        <w:rPr>
          <w:rStyle w:val="FootnoteReference"/>
          <w:sz w:val="20"/>
        </w:rPr>
        <w:footnoteRef/>
      </w:r>
      <w:r w:rsidRPr="00C51BE1">
        <w:t xml:space="preserve"> Groundswell - </w:t>
      </w:r>
      <w:hyperlink r:id="rId198" w:history="1">
        <w:r w:rsidRPr="00C51BE1">
          <w:rPr>
            <w:rStyle w:val="Hyperlink"/>
            <w:rFonts w:eastAsia="MS Mincho"/>
            <w:color w:val="0000FF"/>
            <w:lang w:eastAsia="en-GB"/>
          </w:rPr>
          <w:t>Healthy Mouths</w:t>
        </w:r>
      </w:hyperlink>
    </w:p>
  </w:footnote>
  <w:footnote w:id="202">
    <w:p w14:paraId="2EE99E4F" w14:textId="77777777" w:rsidR="00477B14" w:rsidRPr="00C51BE1" w:rsidRDefault="00477B14" w:rsidP="00477B14">
      <w:pPr>
        <w:rPr>
          <w:sz w:val="20"/>
          <w:szCs w:val="20"/>
        </w:rPr>
      </w:pPr>
      <w:r w:rsidRPr="00C51BE1">
        <w:rPr>
          <w:rStyle w:val="FootnoteReference"/>
          <w:sz w:val="20"/>
          <w:szCs w:val="20"/>
        </w:rPr>
        <w:footnoteRef/>
      </w:r>
      <w:r w:rsidRPr="00C51BE1">
        <w:rPr>
          <w:sz w:val="20"/>
          <w:szCs w:val="20"/>
        </w:rPr>
        <w:t xml:space="preserve"> </w:t>
      </w:r>
      <w:r w:rsidRPr="00C51BE1">
        <w:rPr>
          <w:rFonts w:cs="Arial"/>
          <w:sz w:val="20"/>
          <w:szCs w:val="20"/>
        </w:rPr>
        <w:t>Welsh Government -</w:t>
      </w:r>
      <w:r w:rsidRPr="00C51BE1">
        <w:rPr>
          <w:rFonts w:ascii="Aptos" w:hAnsi="Aptos"/>
          <w:sz w:val="20"/>
          <w:szCs w:val="20"/>
        </w:rPr>
        <w:t xml:space="preserve"> </w:t>
      </w:r>
      <w:hyperlink r:id="rId199" w:history="1">
        <w:r w:rsidRPr="00C51BE1">
          <w:rPr>
            <w:rStyle w:val="Hyperlink1"/>
            <w:rFonts w:cs="Times New Roman"/>
            <w:szCs w:val="20"/>
          </w:rPr>
          <w:t>Travelling to Better Health Policy Implementation Guidance for Healthcare Practitioners on working effectively with Gypsies and Travellers (2015)</w:t>
        </w:r>
      </w:hyperlink>
    </w:p>
  </w:footnote>
  <w:footnote w:id="203">
    <w:p w14:paraId="536AFCB0" w14:textId="77777777" w:rsidR="00477B14" w:rsidRDefault="00477B14" w:rsidP="00477B14">
      <w:pPr>
        <w:pStyle w:val="FootnoteText"/>
      </w:pPr>
      <w:r w:rsidRPr="00C51BE1">
        <w:rPr>
          <w:rStyle w:val="FootnoteReference"/>
          <w:sz w:val="20"/>
        </w:rPr>
        <w:footnoteRef/>
      </w:r>
      <w:r w:rsidRPr="00C51BE1">
        <w:rPr>
          <w:rStyle w:val="eop"/>
          <w:rFonts w:ascii="Aptos" w:hAnsi="Aptos"/>
          <w:color w:val="000000"/>
          <w:shd w:val="clear" w:color="auto" w:fill="FFFFFF"/>
        </w:rPr>
        <w:t> </w:t>
      </w:r>
      <w:r w:rsidRPr="00C51BE1">
        <w:rPr>
          <w:rFonts w:cs="Arial"/>
          <w:kern w:val="0"/>
          <w:shd w:val="clear" w:color="auto" w:fill="FFFFFF"/>
          <w14:ligatures w14:val="none"/>
        </w:rPr>
        <w:t>Census 2021 </w:t>
      </w:r>
      <w:hyperlink r:id="rId200" w:tgtFrame="_blank" w:history="1">
        <w:r w:rsidRPr="00C51BE1">
          <w:rPr>
            <w:rStyle w:val="Hyperlink"/>
            <w:color w:val="0000FF"/>
            <w:kern w:val="0"/>
            <w14:ligatures w14:val="none"/>
          </w:rPr>
          <w:t>Gypsy or Irish Traveller populations, England and Wales - Office for National Statistics</w:t>
        </w:r>
      </w:hyperlink>
    </w:p>
  </w:footnote>
  <w:footnote w:id="204">
    <w:p w14:paraId="4A6CCA6C" w14:textId="77777777" w:rsidR="00477B14" w:rsidRDefault="00477B14" w:rsidP="00477B14">
      <w:pPr>
        <w:pStyle w:val="FootnoteText"/>
      </w:pPr>
      <w:r>
        <w:rPr>
          <w:rStyle w:val="FootnoteReference"/>
        </w:rPr>
        <w:footnoteRef/>
      </w:r>
      <w:r>
        <w:t xml:space="preserve"> </w:t>
      </w:r>
      <w:r>
        <w:rPr>
          <w:rFonts w:eastAsia="MS Mincho"/>
          <w:kern w:val="0"/>
          <w:lang w:eastAsia="en-GB"/>
          <w14:ligatures w14:val="none"/>
        </w:rPr>
        <w:t xml:space="preserve">Doncaster Health and Wellbeing Board meeting (Item 11) - </w:t>
      </w:r>
      <w:hyperlink r:id="rId201" w:history="1">
        <w:r w:rsidRPr="00B3595C">
          <w:rPr>
            <w:rStyle w:val="Hyperlink"/>
            <w:rFonts w:eastAsia="MS Mincho"/>
            <w:color w:val="0000FF"/>
            <w:kern w:val="0"/>
            <w:lang w:eastAsia="en-GB"/>
            <w14:ligatures w14:val="none"/>
          </w:rPr>
          <w:t>Health inequalities – a focus on Gypsy Roma Traveller communities</w:t>
        </w:r>
      </w:hyperlink>
    </w:p>
  </w:footnote>
  <w:footnote w:id="205">
    <w:p w14:paraId="4A9E6CF2" w14:textId="77777777" w:rsidR="00477B14" w:rsidRPr="00B3595C" w:rsidRDefault="00477B14" w:rsidP="00477B14">
      <w:pPr>
        <w:pStyle w:val="FootnoteText"/>
        <w:rPr>
          <w:color w:val="0000FF"/>
        </w:rPr>
      </w:pPr>
      <w:r w:rsidRPr="00B3595C">
        <w:rPr>
          <w:rStyle w:val="FootnoteReference"/>
          <w:sz w:val="20"/>
        </w:rPr>
        <w:footnoteRef/>
      </w:r>
      <w:r w:rsidRPr="00B3595C">
        <w:t xml:space="preserve"> </w:t>
      </w:r>
      <w:r w:rsidRPr="00B3595C">
        <w:rPr>
          <w:rFonts w:cs="Arial"/>
          <w:kern w:val="0"/>
          <w14:ligatures w14:val="none"/>
        </w:rPr>
        <w:t xml:space="preserve">Evidence for Equality National Survey, Centre on the Dynamics of Ethnicity - </w:t>
      </w:r>
      <w:hyperlink r:id="rId202" w:history="1">
        <w:r w:rsidRPr="00B3595C">
          <w:rPr>
            <w:rStyle w:val="Hyperlink"/>
            <w:color w:val="0000FF"/>
            <w:kern w:val="0"/>
            <w14:ligatures w14:val="none"/>
          </w:rPr>
          <w:t>Racism and ethnic inequality in a time of crisis</w:t>
        </w:r>
      </w:hyperlink>
    </w:p>
  </w:footnote>
  <w:footnote w:id="206">
    <w:p w14:paraId="3AC66657" w14:textId="77777777" w:rsidR="00477B14" w:rsidRPr="00B3595C" w:rsidRDefault="00477B14" w:rsidP="00477B14">
      <w:pPr>
        <w:rPr>
          <w:sz w:val="20"/>
          <w:szCs w:val="20"/>
        </w:rPr>
      </w:pPr>
      <w:r w:rsidRPr="00B3595C">
        <w:rPr>
          <w:rStyle w:val="FootnoteReference"/>
          <w:sz w:val="20"/>
          <w:szCs w:val="20"/>
        </w:rPr>
        <w:footnoteRef/>
      </w:r>
      <w:r w:rsidRPr="00B3595C">
        <w:rPr>
          <w:sz w:val="20"/>
          <w:szCs w:val="20"/>
        </w:rPr>
        <w:t xml:space="preserve"> Welsh Government - </w:t>
      </w:r>
      <w:hyperlink r:id="rId203" w:history="1">
        <w:r w:rsidRPr="00B3595C">
          <w:rPr>
            <w:rStyle w:val="Hyperlink1"/>
            <w:rFonts w:cs="Times New Roman"/>
            <w:szCs w:val="20"/>
          </w:rPr>
          <w:t>Health and wellbeing provision for refugees and asylum seekers (2018)</w:t>
        </w:r>
      </w:hyperlink>
    </w:p>
  </w:footnote>
  <w:footnote w:id="207">
    <w:p w14:paraId="6850FD0E" w14:textId="77777777" w:rsidR="00477B14" w:rsidRPr="00B3595C" w:rsidRDefault="00477B14" w:rsidP="00477B14">
      <w:pPr>
        <w:pStyle w:val="FootnoteText"/>
      </w:pPr>
      <w:r w:rsidRPr="00B3595C">
        <w:rPr>
          <w:rStyle w:val="FootnoteReference"/>
          <w:sz w:val="20"/>
        </w:rPr>
        <w:footnoteRef/>
      </w:r>
      <w:r w:rsidRPr="00B3595C">
        <w:t xml:space="preserve"> Welsh Government - </w:t>
      </w:r>
      <w:hyperlink r:id="rId204" w:history="1">
        <w:r w:rsidRPr="00B3595C">
          <w:rPr>
            <w:rStyle w:val="Hyperlink1"/>
          </w:rPr>
          <w:t>Nation of Sanctuary – Refugee and Asylum Seeker Plan (2019)</w:t>
        </w:r>
      </w:hyperlink>
      <w:r w:rsidRPr="00B3595C">
        <w:rPr>
          <w:rFonts w:cs="Arial"/>
          <w:color w:val="163E64"/>
        </w:rPr>
        <w:t xml:space="preserve"> </w:t>
      </w:r>
    </w:p>
  </w:footnote>
  <w:footnote w:id="208">
    <w:p w14:paraId="0609000B" w14:textId="77777777" w:rsidR="00477B14" w:rsidRPr="00B3595C" w:rsidRDefault="00477B14" w:rsidP="00477B14">
      <w:pPr>
        <w:pStyle w:val="FootnoteText"/>
      </w:pPr>
      <w:r w:rsidRPr="00B3595C">
        <w:rPr>
          <w:rStyle w:val="FootnoteReference"/>
          <w:sz w:val="20"/>
        </w:rPr>
        <w:footnoteRef/>
      </w:r>
      <w:r w:rsidRPr="00B3595C">
        <w:t xml:space="preserve"> Ministry of Defence - </w:t>
      </w:r>
      <w:hyperlink r:id="rId205" w:history="1">
        <w:r w:rsidRPr="00B3595C">
          <w:rPr>
            <w:rStyle w:val="Hyperlink1"/>
          </w:rPr>
          <w:t>Veterans Key Facts</w:t>
        </w:r>
      </w:hyperlink>
      <w:r w:rsidRPr="00B3595C">
        <w:t xml:space="preserve"> </w:t>
      </w:r>
    </w:p>
  </w:footnote>
  <w:footnote w:id="209">
    <w:p w14:paraId="22536670" w14:textId="77777777" w:rsidR="00477B14" w:rsidRDefault="00477B14" w:rsidP="00477B14">
      <w:pPr>
        <w:rPr>
          <w:rFonts w:cs="Arial"/>
          <w:color w:val="163E64"/>
          <w:sz w:val="20"/>
          <w:szCs w:val="20"/>
        </w:rPr>
      </w:pPr>
      <w:r w:rsidRPr="00B3595C">
        <w:rPr>
          <w:rStyle w:val="FootnoteReference"/>
          <w:sz w:val="20"/>
          <w:szCs w:val="20"/>
        </w:rPr>
        <w:footnoteRef/>
      </w:r>
      <w:r w:rsidRPr="00B3595C">
        <w:rPr>
          <w:rFonts w:cs="Arial"/>
          <w:sz w:val="20"/>
          <w:szCs w:val="20"/>
        </w:rPr>
        <w:t xml:space="preserve"> Census 2021 - </w:t>
      </w:r>
      <w:hyperlink r:id="rId206" w:history="1">
        <w:r w:rsidRPr="00B3595C">
          <w:rPr>
            <w:rStyle w:val="Hyperlink1"/>
            <w:rFonts w:cs="Times New Roman"/>
            <w:szCs w:val="20"/>
          </w:rPr>
          <w:t>UK armed forces veterans, England and Wales - Office for National Statistics</w:t>
        </w:r>
      </w:hyperlink>
      <w:r>
        <w:rPr>
          <w:rFonts w:cs="Arial"/>
          <w:color w:val="163E64"/>
          <w:sz w:val="20"/>
          <w:szCs w:val="20"/>
        </w:rPr>
        <w:t xml:space="preserve"> </w:t>
      </w:r>
    </w:p>
  </w:footnote>
  <w:footnote w:id="210">
    <w:p w14:paraId="748D9241" w14:textId="77777777" w:rsidR="00477B14" w:rsidRPr="00B3595C" w:rsidRDefault="00477B14" w:rsidP="00477B14">
      <w:pPr>
        <w:pStyle w:val="FootnoteText"/>
      </w:pPr>
      <w:r w:rsidRPr="00B3595C">
        <w:rPr>
          <w:rStyle w:val="FootnoteReference"/>
          <w:sz w:val="20"/>
        </w:rPr>
        <w:footnoteRef/>
      </w:r>
      <w:r w:rsidRPr="00B3595C">
        <w:t xml:space="preserve"> </w:t>
      </w:r>
      <w:r w:rsidRPr="00B3595C">
        <w:rPr>
          <w:rFonts w:cs="Arial"/>
          <w:color w:val="000000"/>
        </w:rPr>
        <w:t xml:space="preserve">NOMIS TS071 – </w:t>
      </w:r>
      <w:hyperlink r:id="rId207" w:history="1">
        <w:r w:rsidRPr="00B3595C">
          <w:rPr>
            <w:rStyle w:val="Hyperlink"/>
            <w:rFonts w:cs="Arial"/>
            <w:color w:val="0000FF"/>
          </w:rPr>
          <w:t>previously served in UK armed Forces</w:t>
        </w:r>
      </w:hyperlink>
    </w:p>
  </w:footnote>
  <w:footnote w:id="211">
    <w:p w14:paraId="7630B0F6" w14:textId="77777777" w:rsidR="00477B14" w:rsidRPr="00B3595C" w:rsidRDefault="00477B14" w:rsidP="00477B14">
      <w:pPr>
        <w:rPr>
          <w:sz w:val="20"/>
          <w:szCs w:val="20"/>
        </w:rPr>
      </w:pPr>
      <w:r w:rsidRPr="00B3595C">
        <w:rPr>
          <w:rStyle w:val="FootnoteReference"/>
          <w:sz w:val="20"/>
          <w:szCs w:val="20"/>
        </w:rPr>
        <w:footnoteRef/>
      </w:r>
      <w:r w:rsidRPr="00B3595C">
        <w:rPr>
          <w:sz w:val="20"/>
          <w:szCs w:val="20"/>
        </w:rPr>
        <w:t xml:space="preserve"> </w:t>
      </w:r>
      <w:r w:rsidRPr="00B3595C">
        <w:rPr>
          <w:rFonts w:cs="Arial"/>
          <w:sz w:val="20"/>
          <w:szCs w:val="20"/>
        </w:rPr>
        <w:t xml:space="preserve">Public Health Wales - </w:t>
      </w:r>
      <w:hyperlink r:id="rId208" w:history="1">
        <w:r w:rsidRPr="00B3595C">
          <w:rPr>
            <w:rStyle w:val="Hyperlink1"/>
            <w:rFonts w:cs="Times New Roman"/>
            <w:szCs w:val="20"/>
          </w:rPr>
          <w:t>Health and Wellbeing Needs of armed Forces Veterans</w:t>
        </w:r>
      </w:hyperlink>
    </w:p>
  </w:footnote>
  <w:footnote w:id="212">
    <w:p w14:paraId="4501B631" w14:textId="77777777" w:rsidR="00477B14" w:rsidRPr="00B3595C" w:rsidRDefault="00477B14" w:rsidP="00477B14">
      <w:pPr>
        <w:rPr>
          <w:rFonts w:cs="Arial"/>
          <w:sz w:val="20"/>
          <w:szCs w:val="20"/>
        </w:rPr>
      </w:pPr>
      <w:r w:rsidRPr="00B3595C">
        <w:rPr>
          <w:rStyle w:val="FootnoteReference"/>
          <w:sz w:val="20"/>
          <w:szCs w:val="20"/>
        </w:rPr>
        <w:footnoteRef/>
      </w:r>
      <w:r w:rsidRPr="00B3595C">
        <w:rPr>
          <w:sz w:val="20"/>
          <w:szCs w:val="20"/>
        </w:rPr>
        <w:t xml:space="preserve"> GOV.UK - </w:t>
      </w:r>
      <w:hyperlink r:id="rId209" w:tgtFrame="_blank" w:history="1">
        <w:r w:rsidRPr="00B3595C">
          <w:rPr>
            <w:rStyle w:val="Hyperlink1"/>
            <w:rFonts w:cs="Times New Roman"/>
            <w:szCs w:val="20"/>
          </w:rPr>
          <w:t>Health and wellbeing of UK armed Forces veterans: Veterans’ Survey 2022, UK</w:t>
        </w:r>
      </w:hyperlink>
    </w:p>
  </w:footnote>
  <w:footnote w:id="213">
    <w:p w14:paraId="6DB75422" w14:textId="77777777" w:rsidR="00477B14" w:rsidRPr="00B3595C" w:rsidRDefault="00477B14" w:rsidP="00477B14">
      <w:pPr>
        <w:pStyle w:val="FootnoteText"/>
        <w:rPr>
          <w:rFonts w:cs="Arial"/>
        </w:rPr>
      </w:pPr>
      <w:r w:rsidRPr="00B3595C">
        <w:rPr>
          <w:rStyle w:val="FootnoteReference"/>
          <w:sz w:val="20"/>
        </w:rPr>
        <w:footnoteRef/>
      </w:r>
      <w:r w:rsidRPr="00B3595C">
        <w:t xml:space="preserve"> Forward Assist - </w:t>
      </w:r>
      <w:hyperlink r:id="rId210" w:tgtFrame="_blank" w:history="1">
        <w:r w:rsidRPr="00B3595C">
          <w:rPr>
            <w:rStyle w:val="Hyperlink1"/>
          </w:rPr>
          <w:t>Alone After Service: Addressing the Crisis of Isolation Among UK Veterans with Musculoskeletal Mobility Issues</w:t>
        </w:r>
      </w:hyperlink>
      <w:r w:rsidRPr="00B3595C">
        <w:rPr>
          <w:rStyle w:val="Hyperlink1"/>
        </w:rPr>
        <w:t xml:space="preserve"> </w:t>
      </w:r>
    </w:p>
  </w:footnote>
  <w:footnote w:id="214">
    <w:p w14:paraId="2D23907E" w14:textId="77777777" w:rsidR="00477B14" w:rsidRDefault="00477B14" w:rsidP="00477B14">
      <w:pPr>
        <w:pStyle w:val="FootnoteText"/>
      </w:pPr>
      <w:r w:rsidRPr="00B3595C">
        <w:rPr>
          <w:rStyle w:val="FootnoteReference"/>
          <w:sz w:val="20"/>
        </w:rPr>
        <w:footnoteRef/>
      </w:r>
      <w:r w:rsidRPr="00B3595C">
        <w:t xml:space="preserve"> Office for Veterans’ Affairs - </w:t>
      </w:r>
      <w:hyperlink r:id="rId211" w:history="1">
        <w:r w:rsidRPr="00B3595C">
          <w:rPr>
            <w:rStyle w:val="Hyperlink"/>
            <w:color w:val="0000FF"/>
          </w:rPr>
          <w:t>Office for Veterans’ Affairs Final Report. Health and Wellbeing Study of Serving and Ex-Serving UK armed Forces Personnel: Phase 4</w:t>
        </w:r>
      </w:hyperlink>
    </w:p>
  </w:footnote>
  <w:footnote w:id="215">
    <w:p w14:paraId="486AFA3B" w14:textId="77777777" w:rsidR="00477B14" w:rsidRPr="00B3595C" w:rsidRDefault="00477B14" w:rsidP="00477B14">
      <w:pPr>
        <w:rPr>
          <w:rStyle w:val="Hyperlink1"/>
          <w:rFonts w:cs="Times New Roman"/>
          <w:szCs w:val="20"/>
        </w:rPr>
      </w:pPr>
      <w:r w:rsidRPr="00B3595C">
        <w:rPr>
          <w:rStyle w:val="FootnoteReference"/>
          <w:sz w:val="20"/>
          <w:szCs w:val="20"/>
        </w:rPr>
        <w:footnoteRef/>
      </w:r>
      <w:r w:rsidRPr="00B3595C">
        <w:rPr>
          <w:sz w:val="20"/>
          <w:szCs w:val="20"/>
        </w:rPr>
        <w:t xml:space="preserve"> Census 2021- </w:t>
      </w:r>
      <w:hyperlink r:id="rId212" w:history="1">
        <w:r w:rsidRPr="00B3595C">
          <w:rPr>
            <w:rStyle w:val="Hyperlink1"/>
            <w:rFonts w:cs="Times New Roman"/>
            <w:szCs w:val="20"/>
          </w:rPr>
          <w:t>Suicides in UK armed forces veterans, England and Wales - Office for National Statistics</w:t>
        </w:r>
      </w:hyperlink>
    </w:p>
  </w:footnote>
  <w:footnote w:id="216">
    <w:p w14:paraId="4B0E75B6" w14:textId="77777777" w:rsidR="00477B14" w:rsidRPr="00B3595C" w:rsidRDefault="00477B14" w:rsidP="00477B14">
      <w:pPr>
        <w:rPr>
          <w:rFonts w:ascii="Aptos" w:hAnsi="Aptos"/>
          <w:sz w:val="20"/>
          <w:szCs w:val="20"/>
        </w:rPr>
      </w:pPr>
      <w:r w:rsidRPr="00B3595C">
        <w:rPr>
          <w:rStyle w:val="FootnoteReference"/>
          <w:sz w:val="20"/>
          <w:szCs w:val="20"/>
        </w:rPr>
        <w:footnoteRef/>
      </w:r>
      <w:r w:rsidRPr="00B3595C">
        <w:rPr>
          <w:sz w:val="20"/>
          <w:szCs w:val="20"/>
        </w:rPr>
        <w:t xml:space="preserve"> National Confidential Inquiry into Suicide and Safety in Mental Health, The University of Manchester - </w:t>
      </w:r>
      <w:hyperlink r:id="rId213" w:history="1">
        <w:r w:rsidRPr="00B3595C">
          <w:rPr>
            <w:rStyle w:val="Hyperlink"/>
            <w:color w:val="0000FF"/>
            <w:sz w:val="20"/>
            <w:szCs w:val="20"/>
          </w:rPr>
          <w:t xml:space="preserve">Suicide after leaving the UK armed Forces 1996–2018: A cohort study </w:t>
        </w:r>
      </w:hyperlink>
      <w:r w:rsidRPr="00B3595C">
        <w:rPr>
          <w:rFonts w:ascii="Aptos" w:hAnsi="Aptos"/>
          <w:color w:val="0000FF"/>
          <w:sz w:val="20"/>
          <w:szCs w:val="20"/>
        </w:rPr>
        <w:t xml:space="preserve"> </w:t>
      </w:r>
    </w:p>
  </w:footnote>
  <w:footnote w:id="217">
    <w:p w14:paraId="04C69D83" w14:textId="77777777" w:rsidR="00477B14" w:rsidRPr="00B3595C" w:rsidRDefault="00477B14" w:rsidP="00477B14">
      <w:pPr>
        <w:rPr>
          <w:rFonts w:ascii="Aptos" w:hAnsi="Aptos"/>
          <w:color w:val="163E64"/>
          <w:sz w:val="20"/>
          <w:szCs w:val="20"/>
        </w:rPr>
      </w:pPr>
      <w:r w:rsidRPr="00B3595C">
        <w:rPr>
          <w:rStyle w:val="FootnoteReference"/>
          <w:sz w:val="20"/>
          <w:szCs w:val="20"/>
        </w:rPr>
        <w:footnoteRef/>
      </w:r>
      <w:r w:rsidRPr="00B3595C">
        <w:rPr>
          <w:sz w:val="20"/>
          <w:szCs w:val="20"/>
        </w:rPr>
        <w:t xml:space="preserve"> </w:t>
      </w:r>
      <w:r w:rsidRPr="00B3595C">
        <w:rPr>
          <w:rFonts w:cs="Arial"/>
          <w:sz w:val="20"/>
          <w:szCs w:val="20"/>
        </w:rPr>
        <w:t xml:space="preserve">Samaritans - </w:t>
      </w:r>
      <w:hyperlink r:id="rId214" w:history="1">
        <w:r w:rsidRPr="00B3595C">
          <w:rPr>
            <w:rStyle w:val="Hyperlink1"/>
            <w:rFonts w:cs="Times New Roman"/>
            <w:szCs w:val="20"/>
          </w:rPr>
          <w:t>Armed Forces and Veteran Suicide</w:t>
        </w:r>
      </w:hyperlink>
      <w:r w:rsidRPr="00B3595C">
        <w:rPr>
          <w:sz w:val="20"/>
          <w:szCs w:val="20"/>
        </w:rPr>
        <w:t xml:space="preserve"> </w:t>
      </w:r>
    </w:p>
  </w:footnote>
  <w:footnote w:id="218">
    <w:p w14:paraId="52956EA0" w14:textId="77777777" w:rsidR="00477B14" w:rsidRDefault="00477B14" w:rsidP="00477B14">
      <w:pPr>
        <w:rPr>
          <w:rFonts w:ascii="Aptos" w:hAnsi="Aptos"/>
          <w:color w:val="163E64"/>
        </w:rPr>
      </w:pPr>
      <w:r w:rsidRPr="00B3595C">
        <w:rPr>
          <w:rStyle w:val="FootnoteReference"/>
          <w:sz w:val="20"/>
          <w:szCs w:val="20"/>
        </w:rPr>
        <w:footnoteRef/>
      </w:r>
      <w:r w:rsidRPr="00B3595C">
        <w:rPr>
          <w:sz w:val="20"/>
          <w:szCs w:val="20"/>
        </w:rPr>
        <w:t xml:space="preserve"> Swansea University - </w:t>
      </w:r>
      <w:hyperlink r:id="rId215" w:tgtFrame="_blank" w:history="1">
        <w:r w:rsidRPr="00B3595C">
          <w:rPr>
            <w:rStyle w:val="Hyperlink1"/>
            <w:rFonts w:cs="Times New Roman"/>
            <w:szCs w:val="20"/>
          </w:rPr>
          <w:t>The United Kingdom armed Forces Veterans’ Health and Gambling Study</w:t>
        </w:r>
      </w:hyperlink>
      <w:r>
        <w:t xml:space="preserve"> </w:t>
      </w:r>
    </w:p>
  </w:footnote>
  <w:footnote w:id="219">
    <w:p w14:paraId="0CEBAA7A" w14:textId="77777777" w:rsidR="003F0408" w:rsidRPr="00FC387E" w:rsidRDefault="003F0408" w:rsidP="003F0408">
      <w:pPr>
        <w:pStyle w:val="PNAfootnote"/>
        <w:rPr>
          <w:szCs w:val="20"/>
        </w:rPr>
      </w:pPr>
      <w:r w:rsidRPr="00FC387E">
        <w:rPr>
          <w:rStyle w:val="FootnoteReference"/>
          <w:sz w:val="20"/>
          <w:szCs w:val="20"/>
        </w:rPr>
        <w:footnoteRef/>
      </w:r>
      <w:r w:rsidRPr="00FC387E">
        <w:rPr>
          <w:szCs w:val="20"/>
        </w:rPr>
        <w:t xml:space="preserve"> </w:t>
      </w:r>
      <w:r w:rsidRPr="00FC387E">
        <w:rPr>
          <w:rFonts w:cs="Arial"/>
          <w:szCs w:val="20"/>
        </w:rPr>
        <w:t xml:space="preserve">NHS Wales Shared Services Partnership - </w:t>
      </w:r>
      <w:hyperlink r:id="rId216" w:history="1">
        <w:r w:rsidRPr="00FC387E">
          <w:rPr>
            <w:rStyle w:val="Hyperlink"/>
            <w:rFonts w:cs="Arial"/>
            <w:color w:val="0000FF"/>
            <w:szCs w:val="20"/>
          </w:rPr>
          <w:t>GP practice analysis and patient registrations by practice</w:t>
        </w:r>
        <w:r w:rsidRPr="00FC387E">
          <w:rPr>
            <w:rStyle w:val="Hyperlink"/>
            <w:color w:val="0000FF"/>
            <w:szCs w:val="20"/>
          </w:rPr>
          <w:t xml:space="preserve"> </w:t>
        </w:r>
      </w:hyperlink>
    </w:p>
  </w:footnote>
  <w:footnote w:id="220">
    <w:p w14:paraId="19112E15" w14:textId="77777777" w:rsidR="004B4C37" w:rsidRPr="00712D8C" w:rsidRDefault="004B4C37" w:rsidP="004B4C37">
      <w:pPr>
        <w:rPr>
          <w:rFonts w:cs="Arial"/>
          <w:sz w:val="20"/>
          <w:szCs w:val="20"/>
        </w:rPr>
      </w:pPr>
      <w:r w:rsidRPr="00712D8C">
        <w:rPr>
          <w:rStyle w:val="FootnoteReference"/>
          <w:sz w:val="20"/>
          <w:szCs w:val="20"/>
        </w:rPr>
        <w:footnoteRef/>
      </w:r>
      <w:r w:rsidRPr="00712D8C">
        <w:rPr>
          <w:rFonts w:cs="Arial"/>
          <w:sz w:val="20"/>
          <w:szCs w:val="20"/>
        </w:rPr>
        <w:t xml:space="preserve"> Community Pharmacy Wales (2020) </w:t>
      </w:r>
      <w:hyperlink r:id="rId217" w:history="1">
        <w:r w:rsidRPr="00712D8C">
          <w:rPr>
            <w:rStyle w:val="Hyperlink"/>
            <w:rFonts w:cs="Arial"/>
            <w:color w:val="0000FF"/>
            <w:sz w:val="20"/>
            <w:szCs w:val="20"/>
          </w:rPr>
          <w:t>Pharmacy advice audit (full report)</w:t>
        </w:r>
      </w:hyperlink>
      <w:r w:rsidRPr="00712D8C">
        <w:rPr>
          <w:rFonts w:cs="Arial"/>
          <w:sz w:val="20"/>
          <w:szCs w:val="20"/>
        </w:rPr>
        <w:t xml:space="preserve"> Richard Brown PhD, FRPharmS</w:t>
      </w:r>
    </w:p>
    <w:p w14:paraId="4321A9DB" w14:textId="77777777" w:rsidR="004B4C37" w:rsidRDefault="004B4C37" w:rsidP="004B4C37">
      <w:pPr>
        <w:pStyle w:val="FootnoteText"/>
        <w:rPr>
          <w:rFonts w:ascii="Aptos" w:hAnsi="Aptos"/>
        </w:rPr>
      </w:pPr>
    </w:p>
  </w:footnote>
  <w:footnote w:id="221">
    <w:p w14:paraId="7D7E024F" w14:textId="77777777" w:rsidR="004B4C37" w:rsidRPr="00712D8C" w:rsidRDefault="004B4C37" w:rsidP="004B4C37">
      <w:pPr>
        <w:pStyle w:val="FootnoteText"/>
        <w:rPr>
          <w:rFonts w:cs="Arial"/>
        </w:rPr>
      </w:pPr>
      <w:r w:rsidRPr="00712D8C">
        <w:rPr>
          <w:rStyle w:val="FootnoteReference"/>
          <w:sz w:val="20"/>
        </w:rPr>
        <w:footnoteRef/>
      </w:r>
      <w:r w:rsidRPr="00712D8C">
        <w:rPr>
          <w:rFonts w:cs="Arial"/>
        </w:rPr>
        <w:t xml:space="preserve"> Welsh Government January 2023 - </w:t>
      </w:r>
      <w:hyperlink r:id="rId218" w:history="1">
        <w:r w:rsidRPr="00712D8C">
          <w:rPr>
            <w:rStyle w:val="Hyperlink"/>
            <w:rFonts w:cs="Arial"/>
            <w:color w:val="0000FF"/>
          </w:rPr>
          <w:t xml:space="preserve">Eliminating hepatitis (B and C) as a public health threat in Wales - Actions for 2022-2023 and 2023-2024 </w:t>
        </w:r>
      </w:hyperlink>
      <w:r w:rsidRPr="00712D8C">
        <w:rPr>
          <w:rFonts w:cs="Arial"/>
        </w:rPr>
        <w:t>(Welsh Health Circular WHC/2023/001)</w:t>
      </w:r>
    </w:p>
  </w:footnote>
  <w:footnote w:id="222">
    <w:p w14:paraId="662B830A" w14:textId="77777777" w:rsidR="004B4C37" w:rsidRPr="00712D8C" w:rsidRDefault="004B4C37" w:rsidP="004B4C37">
      <w:pPr>
        <w:pStyle w:val="FootnoteText"/>
        <w:rPr>
          <w:rFonts w:cs="Arial"/>
        </w:rPr>
      </w:pPr>
      <w:r w:rsidRPr="00712D8C">
        <w:rPr>
          <w:rStyle w:val="FootnoteReference"/>
          <w:sz w:val="20"/>
        </w:rPr>
        <w:footnoteRef/>
      </w:r>
      <w:r w:rsidRPr="00712D8C">
        <w:rPr>
          <w:rFonts w:cs="Arial"/>
        </w:rPr>
        <w:t xml:space="preserve"> Welsh Government - </w:t>
      </w:r>
      <w:hyperlink r:id="rId219" w:history="1">
        <w:r w:rsidRPr="00712D8C">
          <w:rPr>
            <w:rStyle w:val="Hyperlink"/>
            <w:rFonts w:cs="Arial"/>
            <w:color w:val="0000FF"/>
          </w:rPr>
          <w:t xml:space="preserve">Written Statement: World Hepatitis Day 2024 (26 July 2024) </w:t>
        </w:r>
      </w:hyperlink>
    </w:p>
  </w:footnote>
  <w:footnote w:id="223">
    <w:p w14:paraId="2E4EF7AB" w14:textId="77777777" w:rsidR="004B4C37" w:rsidRDefault="004B4C37" w:rsidP="004B4C37">
      <w:pPr>
        <w:pStyle w:val="FootnoteText"/>
        <w:rPr>
          <w:rFonts w:ascii="Aptos" w:hAnsi="Aptos"/>
        </w:rPr>
      </w:pPr>
      <w:r w:rsidRPr="00712D8C">
        <w:rPr>
          <w:rStyle w:val="FootnoteReference"/>
          <w:sz w:val="20"/>
        </w:rPr>
        <w:footnoteRef/>
      </w:r>
      <w:r w:rsidRPr="00712D8C">
        <w:rPr>
          <w:rFonts w:cs="Arial"/>
        </w:rPr>
        <w:t xml:space="preserve"> Welsh Government - </w:t>
      </w:r>
      <w:hyperlink r:id="rId220" w:history="1">
        <w:r w:rsidRPr="00712D8C">
          <w:rPr>
            <w:rStyle w:val="Hyperlink"/>
            <w:rFonts w:cs="Arial"/>
            <w:color w:val="0000FF"/>
          </w:rPr>
          <w:t>Written Statement: Eliminating hepatitis B and C in Wales (7 August 2025)</w:t>
        </w:r>
        <w:r>
          <w:rPr>
            <w:rStyle w:val="Hyperlink"/>
            <w:rFonts w:cs="Arial"/>
            <w:color w:val="0000FF"/>
          </w:rPr>
          <w:t xml:space="preserve"> </w:t>
        </w:r>
      </w:hyperlink>
    </w:p>
  </w:footnote>
  <w:footnote w:id="224">
    <w:p w14:paraId="26801737" w14:textId="77777777" w:rsidR="004B4C37" w:rsidRPr="00626D0F" w:rsidRDefault="004B4C37" w:rsidP="004B4C37">
      <w:pPr>
        <w:pStyle w:val="Footnote"/>
        <w:rPr>
          <w:rFonts w:cs="Arial"/>
        </w:rPr>
      </w:pPr>
      <w:r w:rsidRPr="00626D0F">
        <w:rPr>
          <w:rStyle w:val="FootnoteReference"/>
          <w:sz w:val="20"/>
        </w:rPr>
        <w:footnoteRef/>
      </w:r>
      <w:r w:rsidRPr="00626D0F">
        <w:rPr>
          <w:rFonts w:cs="Arial"/>
        </w:rPr>
        <w:t xml:space="preserve"> Royal Pharmaceutical Society - </w:t>
      </w:r>
      <w:hyperlink r:id="rId221" w:history="1">
        <w:r w:rsidRPr="00626D0F">
          <w:rPr>
            <w:rStyle w:val="Hyperlink"/>
            <w:rFonts w:cs="Arial"/>
            <w:color w:val="0000FF"/>
          </w:rPr>
          <w:t>Pharmacy: Delivering a healthier Wales</w:t>
        </w:r>
      </w:hyperlink>
    </w:p>
  </w:footnote>
  <w:footnote w:id="225">
    <w:p w14:paraId="6556D852" w14:textId="77777777" w:rsidR="00037037" w:rsidRPr="00D202E7" w:rsidRDefault="00037037" w:rsidP="00037037">
      <w:pPr>
        <w:pStyle w:val="FootnoteText"/>
        <w:rPr>
          <w:rFonts w:cs="Arial"/>
        </w:rPr>
      </w:pPr>
      <w:r w:rsidRPr="00D202E7">
        <w:rPr>
          <w:rStyle w:val="FootnoteReference"/>
          <w:sz w:val="20"/>
        </w:rPr>
        <w:footnoteRef/>
      </w:r>
      <w:r w:rsidRPr="00D202E7">
        <w:rPr>
          <w:rFonts w:cs="Arial"/>
        </w:rPr>
        <w:t xml:space="preserve"> NHS Wales Shared Services Partnership - </w:t>
      </w:r>
      <w:hyperlink r:id="rId222" w:history="1">
        <w:r w:rsidRPr="00D202E7">
          <w:rPr>
            <w:rStyle w:val="Hyperlink"/>
            <w:rFonts w:cs="Arial"/>
            <w:color w:val="0000FF"/>
          </w:rPr>
          <w:t>GP practice analysis and patient registrations by practice</w:t>
        </w:r>
      </w:hyperlink>
    </w:p>
  </w:footnote>
  <w:footnote w:id="226">
    <w:p w14:paraId="4FB5AAC3" w14:textId="77777777" w:rsidR="00037037" w:rsidRPr="00D202E7" w:rsidRDefault="00037037" w:rsidP="00037037">
      <w:pPr>
        <w:rPr>
          <w:rFonts w:cs="Arial"/>
          <w:sz w:val="20"/>
          <w:szCs w:val="20"/>
        </w:rPr>
      </w:pPr>
      <w:r w:rsidRPr="00D202E7">
        <w:rPr>
          <w:rStyle w:val="FootnoteReference"/>
          <w:sz w:val="20"/>
          <w:szCs w:val="20"/>
        </w:rPr>
        <w:footnoteRef/>
      </w:r>
      <w:r w:rsidRPr="00D202E7">
        <w:rPr>
          <w:rFonts w:cs="Arial"/>
          <w:sz w:val="20"/>
          <w:szCs w:val="20"/>
        </w:rPr>
        <w:t xml:space="preserve"> Office of National Statistics - </w:t>
      </w:r>
      <w:hyperlink r:id="rId223" w:history="1">
        <w:r w:rsidRPr="00D202E7">
          <w:rPr>
            <w:rStyle w:val="Hyperlink"/>
            <w:rFonts w:cs="Arial"/>
            <w:color w:val="0000FF"/>
            <w:sz w:val="20"/>
            <w:szCs w:val="20"/>
          </w:rPr>
          <w:t>How life has changed in Swansea: Census 2021</w:t>
        </w:r>
      </w:hyperlink>
    </w:p>
  </w:footnote>
  <w:footnote w:id="227">
    <w:p w14:paraId="0764E70A" w14:textId="77777777" w:rsidR="00037037" w:rsidRPr="00D202E7" w:rsidRDefault="00037037" w:rsidP="00037037">
      <w:pPr>
        <w:pStyle w:val="FootnoteText"/>
        <w:rPr>
          <w:rFonts w:cs="Arial"/>
        </w:rPr>
      </w:pPr>
      <w:r w:rsidRPr="00D202E7">
        <w:rPr>
          <w:rStyle w:val="FootnoteReference"/>
          <w:sz w:val="20"/>
        </w:rPr>
        <w:footnoteRef/>
      </w:r>
      <w:r w:rsidRPr="00D202E7">
        <w:rPr>
          <w:rFonts w:cs="Arial"/>
        </w:rPr>
        <w:t xml:space="preserve"> Welsh Government November 2025 - </w:t>
      </w:r>
      <w:hyperlink r:id="rId224" w:anchor=":~:text=the%20local%20authorities%20projected%20to,0%20to%2015%20years%20old" w:history="1">
        <w:r w:rsidRPr="00D202E7">
          <w:rPr>
            <w:rStyle w:val="Hyperlink"/>
            <w:rFonts w:cs="Arial"/>
            <w:color w:val="0000FF"/>
          </w:rPr>
          <w:t xml:space="preserve">Local authority population projections: 2022-based </w:t>
        </w:r>
      </w:hyperlink>
    </w:p>
  </w:footnote>
  <w:footnote w:id="228">
    <w:p w14:paraId="45002933" w14:textId="77777777" w:rsidR="00037037" w:rsidRDefault="00037037" w:rsidP="00037037">
      <w:pPr>
        <w:rPr>
          <w:rFonts w:cs="Arial"/>
          <w:sz w:val="20"/>
          <w:szCs w:val="20"/>
        </w:rPr>
      </w:pPr>
      <w:r w:rsidRPr="00D202E7">
        <w:rPr>
          <w:rStyle w:val="FootnoteReference"/>
          <w:sz w:val="20"/>
          <w:szCs w:val="20"/>
        </w:rPr>
        <w:footnoteRef/>
      </w:r>
      <w:r w:rsidRPr="00D202E7">
        <w:rPr>
          <w:rFonts w:cs="Arial"/>
          <w:sz w:val="20"/>
          <w:szCs w:val="20"/>
        </w:rPr>
        <w:t xml:space="preserve"> Welsh Government StatsWales - </w:t>
      </w:r>
      <w:hyperlink r:id="rId225" w:history="1">
        <w:r w:rsidRPr="00D202E7">
          <w:rPr>
            <w:rStyle w:val="Hyperlink"/>
            <w:rFonts w:cs="Arial"/>
            <w:color w:val="0000FF"/>
            <w:sz w:val="20"/>
            <w:szCs w:val="20"/>
          </w:rPr>
          <w:t>Welsh Index of Multiple Deprivation 2025 local authority deprivation profiles</w:t>
        </w:r>
        <w:r>
          <w:rPr>
            <w:rStyle w:val="Hyperlink"/>
            <w:rFonts w:cs="Arial"/>
            <w:color w:val="0000FF"/>
            <w:sz w:val="20"/>
            <w:szCs w:val="20"/>
          </w:rPr>
          <w:t xml:space="preserve"> </w:t>
        </w:r>
      </w:hyperlink>
      <w:r>
        <w:rPr>
          <w:rFonts w:cs="Arial"/>
          <w:sz w:val="20"/>
          <w:szCs w:val="20"/>
        </w:rPr>
        <w:t xml:space="preserve"> </w:t>
      </w:r>
    </w:p>
  </w:footnote>
  <w:footnote w:id="229">
    <w:p w14:paraId="323956B4" w14:textId="77777777" w:rsidR="00037037" w:rsidRPr="00D202E7" w:rsidRDefault="00037037" w:rsidP="00037037">
      <w:pPr>
        <w:rPr>
          <w:rFonts w:cs="Arial"/>
          <w:sz w:val="20"/>
          <w:szCs w:val="20"/>
        </w:rPr>
      </w:pPr>
      <w:r w:rsidRPr="00D202E7">
        <w:rPr>
          <w:rStyle w:val="FootnoteReference"/>
          <w:sz w:val="20"/>
          <w:szCs w:val="20"/>
        </w:rPr>
        <w:footnoteRef/>
      </w:r>
      <w:r w:rsidRPr="00D202E7">
        <w:rPr>
          <w:rFonts w:cs="Arial"/>
          <w:sz w:val="20"/>
          <w:szCs w:val="20"/>
        </w:rPr>
        <w:t xml:space="preserve"> Welsh Government - </w:t>
      </w:r>
      <w:hyperlink r:id="rId226" w:anchor=":~:text=variant%2C%20on%20StatsWales-,It%20is%20projected%20that%20all%20local%20authorities%2C%20other%20than%20Newport,and%20Bridgend%20(up%2023.1%25)." w:history="1">
        <w:r w:rsidRPr="00D202E7">
          <w:rPr>
            <w:rStyle w:val="Hyperlink"/>
            <w:rFonts w:cs="Arial"/>
            <w:color w:val="0000FF"/>
            <w:sz w:val="20"/>
            <w:szCs w:val="20"/>
          </w:rPr>
          <w:t>Local authority population projections: 2022-based</w:t>
        </w:r>
      </w:hyperlink>
    </w:p>
  </w:footnote>
  <w:footnote w:id="230">
    <w:p w14:paraId="5CC014AD" w14:textId="77777777" w:rsidR="00037037" w:rsidRPr="00D202E7" w:rsidRDefault="00037037" w:rsidP="00037037">
      <w:pPr>
        <w:rPr>
          <w:rFonts w:ascii="Aptos" w:hAnsi="Aptos" w:cs="Arial"/>
          <w:sz w:val="20"/>
          <w:szCs w:val="20"/>
        </w:rPr>
      </w:pPr>
      <w:r w:rsidRPr="00D202E7">
        <w:rPr>
          <w:rStyle w:val="FootnoteReference"/>
          <w:sz w:val="20"/>
          <w:szCs w:val="20"/>
        </w:rPr>
        <w:footnoteRef/>
      </w:r>
      <w:r w:rsidRPr="00D202E7">
        <w:rPr>
          <w:rFonts w:cs="Arial"/>
          <w:sz w:val="20"/>
          <w:szCs w:val="20"/>
        </w:rPr>
        <w:t xml:space="preserve"> Office of National Statistics Census 2021 -</w:t>
      </w:r>
      <w:r w:rsidRPr="00D202E7">
        <w:rPr>
          <w:rFonts w:cs="Arial"/>
          <w:color w:val="0000FF"/>
          <w:sz w:val="20"/>
          <w:szCs w:val="20"/>
        </w:rPr>
        <w:t xml:space="preserve"> </w:t>
      </w:r>
      <w:hyperlink r:id="rId227" w:history="1">
        <w:r w:rsidRPr="00D202E7">
          <w:rPr>
            <w:rStyle w:val="Hyperlink"/>
            <w:rFonts w:cs="Arial"/>
            <w:color w:val="0000FF"/>
            <w:sz w:val="20"/>
            <w:szCs w:val="20"/>
          </w:rPr>
          <w:t>Healthy life expectancy, UK: between 2011 to 2013 and 2022 to 2024</w:t>
        </w:r>
      </w:hyperlink>
      <w:r w:rsidRPr="00D202E7">
        <w:rPr>
          <w:rFonts w:cs="Arial"/>
          <w:color w:val="0000FF"/>
          <w:sz w:val="20"/>
          <w:szCs w:val="20"/>
          <w:u w:val="single"/>
        </w:rPr>
        <w:t xml:space="preserve"> </w:t>
      </w:r>
    </w:p>
  </w:footnote>
  <w:footnote w:id="231">
    <w:p w14:paraId="4FE61028" w14:textId="77777777" w:rsidR="00037037" w:rsidRPr="00D202E7" w:rsidRDefault="00037037" w:rsidP="00037037">
      <w:pPr>
        <w:pStyle w:val="FootnoteText"/>
        <w:rPr>
          <w:rFonts w:cs="Arial"/>
        </w:rPr>
      </w:pPr>
      <w:r w:rsidRPr="00D202E7">
        <w:rPr>
          <w:rStyle w:val="FootnoteReference"/>
          <w:sz w:val="20"/>
        </w:rPr>
        <w:footnoteRef/>
      </w:r>
      <w:r w:rsidRPr="00D202E7">
        <w:rPr>
          <w:rFonts w:cs="Arial"/>
        </w:rPr>
        <w:t xml:space="preserve"> Public Health Wales - </w:t>
      </w:r>
      <w:hyperlink r:id="rId228" w:history="1">
        <w:r w:rsidRPr="00D202E7">
          <w:rPr>
            <w:rStyle w:val="Hyperlink"/>
            <w:rFonts w:cs="Arial"/>
            <w:color w:val="0000FF"/>
          </w:rPr>
          <w:t>Public Health Outcomes Framework 2025</w:t>
        </w:r>
      </w:hyperlink>
    </w:p>
  </w:footnote>
  <w:footnote w:id="232">
    <w:p w14:paraId="4806AA2B" w14:textId="77777777" w:rsidR="00037037" w:rsidRDefault="00037037" w:rsidP="00037037">
      <w:pPr>
        <w:rPr>
          <w:rFonts w:cs="Arial"/>
          <w:sz w:val="20"/>
          <w:szCs w:val="20"/>
        </w:rPr>
      </w:pPr>
      <w:r w:rsidRPr="00D202E7">
        <w:rPr>
          <w:rStyle w:val="FootnoteReference"/>
          <w:sz w:val="20"/>
          <w:szCs w:val="20"/>
        </w:rPr>
        <w:footnoteRef/>
      </w:r>
      <w:r w:rsidRPr="00D202E7">
        <w:rPr>
          <w:rFonts w:cs="Arial"/>
          <w:sz w:val="20"/>
          <w:szCs w:val="20"/>
        </w:rPr>
        <w:t xml:space="preserve"> InfoBaseCymru data for an intelligent Wales - </w:t>
      </w:r>
      <w:hyperlink r:id="rId229" w:history="1">
        <w:r w:rsidRPr="00D202E7">
          <w:rPr>
            <w:rStyle w:val="Hyperlink"/>
            <w:rFonts w:cs="Arial"/>
            <w:color w:val="0000FF"/>
            <w:sz w:val="20"/>
            <w:szCs w:val="20"/>
          </w:rPr>
          <w:t>Life expectancy in males and females</w:t>
        </w:r>
      </w:hyperlink>
      <w:r w:rsidRPr="00D202E7">
        <w:rPr>
          <w:rFonts w:cs="Arial"/>
          <w:sz w:val="20"/>
          <w:szCs w:val="20"/>
        </w:rPr>
        <w:t xml:space="preserve"> (2020 to 2022)</w:t>
      </w:r>
    </w:p>
  </w:footnote>
  <w:footnote w:id="233">
    <w:p w14:paraId="42BB1314" w14:textId="77777777" w:rsidR="00037037" w:rsidRPr="00D202E7" w:rsidRDefault="00037037" w:rsidP="00037037">
      <w:pPr>
        <w:rPr>
          <w:rFonts w:cs="Arial"/>
          <w:sz w:val="20"/>
          <w:szCs w:val="20"/>
        </w:rPr>
      </w:pPr>
      <w:r w:rsidRPr="00D202E7">
        <w:rPr>
          <w:rStyle w:val="FootnoteReference"/>
          <w:sz w:val="20"/>
          <w:szCs w:val="20"/>
        </w:rPr>
        <w:footnoteRef/>
      </w:r>
      <w:r w:rsidRPr="00D202E7">
        <w:rPr>
          <w:rFonts w:cs="Arial"/>
          <w:sz w:val="20"/>
          <w:szCs w:val="20"/>
        </w:rPr>
        <w:t xml:space="preserve"> Welsh Government December 2025 - </w:t>
      </w:r>
      <w:hyperlink r:id="rId230" w:history="1">
        <w:r w:rsidRPr="00D202E7">
          <w:rPr>
            <w:rStyle w:val="Hyperlink"/>
            <w:rFonts w:cs="Arial"/>
            <w:color w:val="0000FF"/>
            <w:sz w:val="20"/>
            <w:szCs w:val="20"/>
          </w:rPr>
          <w:t xml:space="preserve">Welsh Index of Multiple Deprivation 2025 results report: overall index </w:t>
        </w:r>
      </w:hyperlink>
    </w:p>
  </w:footnote>
  <w:footnote w:id="234">
    <w:p w14:paraId="1DD7CFD8" w14:textId="77777777" w:rsidR="00037037" w:rsidRPr="00D202E7" w:rsidRDefault="00037037" w:rsidP="00037037">
      <w:pPr>
        <w:pStyle w:val="FootnoteText"/>
        <w:rPr>
          <w:rFonts w:ascii="Aptos" w:hAnsi="Aptos"/>
        </w:rPr>
      </w:pPr>
      <w:r w:rsidRPr="00D202E7">
        <w:rPr>
          <w:rStyle w:val="FootnoteReference"/>
          <w:sz w:val="20"/>
        </w:rPr>
        <w:footnoteRef/>
      </w:r>
      <w:r w:rsidRPr="00D202E7">
        <w:rPr>
          <w:rFonts w:cs="Arial"/>
        </w:rPr>
        <w:t xml:space="preserve"> Public Health Wales - </w:t>
      </w:r>
      <w:hyperlink r:id="rId231" w:history="1">
        <w:r w:rsidRPr="00D202E7">
          <w:rPr>
            <w:rStyle w:val="Hyperlink"/>
            <w:rFonts w:cs="Arial"/>
            <w:color w:val="0000FF"/>
          </w:rPr>
          <w:t>Primary care localities dashboard</w:t>
        </w:r>
      </w:hyperlink>
    </w:p>
  </w:footnote>
  <w:footnote w:id="235">
    <w:p w14:paraId="7B4D4252" w14:textId="77777777" w:rsidR="00037037" w:rsidRDefault="00037037" w:rsidP="00037037">
      <w:pPr>
        <w:rPr>
          <w:rFonts w:cs="Arial"/>
          <w:sz w:val="20"/>
          <w:szCs w:val="20"/>
        </w:rPr>
      </w:pPr>
      <w:r w:rsidRPr="00D202E7">
        <w:rPr>
          <w:rStyle w:val="FootnoteReference"/>
          <w:sz w:val="20"/>
          <w:szCs w:val="20"/>
        </w:rPr>
        <w:footnoteRef/>
      </w:r>
      <w:r w:rsidRPr="00D202E7">
        <w:rPr>
          <w:rFonts w:cs="Arial"/>
          <w:sz w:val="20"/>
          <w:szCs w:val="20"/>
        </w:rPr>
        <w:t xml:space="preserve"> Welsh Government StatsWales - </w:t>
      </w:r>
      <w:hyperlink r:id="rId232" w:history="1">
        <w:r w:rsidRPr="00D202E7">
          <w:rPr>
            <w:rStyle w:val="Hyperlink"/>
            <w:rFonts w:cs="Arial"/>
            <w:color w:val="0000FF"/>
            <w:sz w:val="20"/>
            <w:szCs w:val="20"/>
          </w:rPr>
          <w:t xml:space="preserve">Disease registers by local health board, locality and GP practice </w:t>
        </w:r>
      </w:hyperlink>
    </w:p>
  </w:footnote>
  <w:footnote w:id="236">
    <w:p w14:paraId="5DF62E1C" w14:textId="77777777" w:rsidR="00037037" w:rsidRPr="00D202E7" w:rsidRDefault="00037037" w:rsidP="00037037">
      <w:pPr>
        <w:pStyle w:val="FootnoteText"/>
        <w:rPr>
          <w:rFonts w:ascii="Aptos" w:hAnsi="Aptos"/>
        </w:rPr>
      </w:pPr>
      <w:r w:rsidRPr="00D202E7">
        <w:rPr>
          <w:rStyle w:val="FootnoteReference"/>
          <w:sz w:val="20"/>
        </w:rPr>
        <w:footnoteRef/>
      </w:r>
      <w:r w:rsidRPr="00D202E7">
        <w:rPr>
          <w:rFonts w:cs="Arial"/>
        </w:rPr>
        <w:t xml:space="preserve"> Welsh Government StatsWales - </w:t>
      </w:r>
      <w:hyperlink r:id="rId233" w:history="1">
        <w:r w:rsidRPr="00D202E7">
          <w:rPr>
            <w:rStyle w:val="Hyperlink"/>
            <w:rFonts w:cs="Arial"/>
            <w:color w:val="0000FF"/>
          </w:rPr>
          <w:t>Disease registers by local health board, locality and GP practice</w:t>
        </w:r>
        <w:r w:rsidRPr="00D202E7">
          <w:rPr>
            <w:rStyle w:val="Hyperlink"/>
            <w:color w:val="0000FF"/>
          </w:rPr>
          <w:t xml:space="preserve"> </w:t>
        </w:r>
      </w:hyperlink>
    </w:p>
  </w:footnote>
  <w:footnote w:id="237">
    <w:p w14:paraId="4853DEC8" w14:textId="77777777" w:rsidR="00037037" w:rsidRPr="00D202E7" w:rsidRDefault="00037037" w:rsidP="00037037">
      <w:pPr>
        <w:pStyle w:val="FootnoteText"/>
        <w:rPr>
          <w:rFonts w:cs="Arial"/>
        </w:rPr>
      </w:pPr>
      <w:r w:rsidRPr="00D202E7">
        <w:rPr>
          <w:rStyle w:val="FootnoteReference"/>
          <w:sz w:val="20"/>
        </w:rPr>
        <w:footnoteRef/>
      </w:r>
      <w:r w:rsidRPr="00D202E7">
        <w:rPr>
          <w:rFonts w:cs="Arial"/>
        </w:rPr>
        <w:t xml:space="preserve"> Welsh Government StatsWales - </w:t>
      </w:r>
      <w:hyperlink r:id="rId234" w:history="1">
        <w:r w:rsidRPr="00D202E7">
          <w:rPr>
            <w:rStyle w:val="Hyperlink"/>
            <w:rFonts w:cs="Arial"/>
            <w:color w:val="0000FF"/>
          </w:rPr>
          <w:t xml:space="preserve">Disease registers by local health board, locality and GP practice </w:t>
        </w:r>
      </w:hyperlink>
    </w:p>
  </w:footnote>
  <w:footnote w:id="238">
    <w:p w14:paraId="54968D1A" w14:textId="77777777" w:rsidR="00037037" w:rsidRDefault="00037037" w:rsidP="00037037">
      <w:pPr>
        <w:pStyle w:val="FootnoteText"/>
        <w:rPr>
          <w:rFonts w:ascii="Aptos" w:hAnsi="Aptos" w:cs="Arial"/>
        </w:rPr>
      </w:pPr>
      <w:r w:rsidRPr="00D202E7">
        <w:rPr>
          <w:rStyle w:val="FootnoteReference"/>
          <w:sz w:val="20"/>
        </w:rPr>
        <w:footnoteRef/>
      </w:r>
      <w:r w:rsidRPr="00D202E7">
        <w:rPr>
          <w:rFonts w:cs="Arial"/>
        </w:rPr>
        <w:t xml:space="preserve"> InfoBaseCymru data for an intelligent Wales - </w:t>
      </w:r>
      <w:hyperlink r:id="rId235" w:history="1">
        <w:r w:rsidRPr="00D202E7">
          <w:rPr>
            <w:rStyle w:val="Hyperlink"/>
            <w:rFonts w:cs="Arial"/>
            <w:color w:val="0000FF"/>
          </w:rPr>
          <w:t xml:space="preserve">Adults reporting lifestyle behaviours </w:t>
        </w:r>
      </w:hyperlink>
      <w:r w:rsidRPr="00D202E7">
        <w:rPr>
          <w:rFonts w:cs="Arial"/>
        </w:rPr>
        <w:t>(2021 to 2023)</w:t>
      </w:r>
    </w:p>
  </w:footnote>
  <w:footnote w:id="239">
    <w:p w14:paraId="2EAFEE3F" w14:textId="77777777" w:rsidR="00037037" w:rsidRPr="00D202E7" w:rsidRDefault="00037037" w:rsidP="00037037">
      <w:pPr>
        <w:rPr>
          <w:rFonts w:cs="Arial"/>
          <w:sz w:val="20"/>
          <w:szCs w:val="20"/>
        </w:rPr>
      </w:pPr>
      <w:r w:rsidRPr="00D202E7">
        <w:rPr>
          <w:rStyle w:val="FootnoteReference"/>
          <w:sz w:val="20"/>
          <w:szCs w:val="20"/>
        </w:rPr>
        <w:footnoteRef/>
      </w:r>
      <w:r w:rsidRPr="00D202E7">
        <w:rPr>
          <w:rFonts w:cs="Arial"/>
          <w:sz w:val="20"/>
          <w:szCs w:val="20"/>
        </w:rPr>
        <w:t xml:space="preserve"> </w:t>
      </w:r>
      <w:r w:rsidRPr="00D202E7">
        <w:rPr>
          <w:rFonts w:cs="Arial"/>
          <w:kern w:val="0"/>
          <w:sz w:val="20"/>
          <w:szCs w:val="20"/>
        </w:rPr>
        <w:t xml:space="preserve">Office of National Statistics Census 2021 - </w:t>
      </w:r>
      <w:hyperlink r:id="rId236" w:history="1">
        <w:r w:rsidRPr="00D202E7">
          <w:rPr>
            <w:rStyle w:val="Hyperlink"/>
            <w:rFonts w:cs="Arial"/>
            <w:color w:val="0000FF"/>
            <w:sz w:val="20"/>
            <w:szCs w:val="20"/>
          </w:rPr>
          <w:t>Population estimates for England and Wales: mid 2024</w:t>
        </w:r>
      </w:hyperlink>
    </w:p>
  </w:footnote>
  <w:footnote w:id="240">
    <w:p w14:paraId="2E53AB86" w14:textId="77777777" w:rsidR="00037037" w:rsidRPr="00D202E7" w:rsidRDefault="00037037" w:rsidP="00037037">
      <w:pPr>
        <w:rPr>
          <w:rFonts w:cs="Arial"/>
          <w:color w:val="0000FF"/>
          <w:sz w:val="20"/>
          <w:szCs w:val="20"/>
          <w:u w:val="single"/>
        </w:rPr>
      </w:pPr>
      <w:r w:rsidRPr="00D202E7">
        <w:rPr>
          <w:rStyle w:val="FootnoteReference"/>
          <w:sz w:val="20"/>
          <w:szCs w:val="20"/>
        </w:rPr>
        <w:footnoteRef/>
      </w:r>
      <w:r w:rsidRPr="00D202E7">
        <w:rPr>
          <w:rFonts w:cs="Arial"/>
          <w:sz w:val="20"/>
          <w:szCs w:val="20"/>
        </w:rPr>
        <w:t xml:space="preserve"> </w:t>
      </w:r>
      <w:r w:rsidRPr="00D202E7">
        <w:rPr>
          <w:rFonts w:cs="Arial"/>
          <w:kern w:val="0"/>
          <w:sz w:val="20"/>
          <w:szCs w:val="20"/>
        </w:rPr>
        <w:t xml:space="preserve">Welsh Government July 2025 - </w:t>
      </w:r>
      <w:hyperlink r:id="rId237" w:history="1">
        <w:r w:rsidRPr="00D202E7">
          <w:rPr>
            <w:rStyle w:val="Hyperlink"/>
            <w:rFonts w:cs="Arial"/>
            <w:color w:val="0000FF"/>
            <w:sz w:val="20"/>
            <w:szCs w:val="20"/>
          </w:rPr>
          <w:t>Mid-year estimates of the population: 2024</w:t>
        </w:r>
      </w:hyperlink>
    </w:p>
    <w:p w14:paraId="5AE7F5D7" w14:textId="77777777" w:rsidR="00037037" w:rsidRDefault="00037037" w:rsidP="00037037">
      <w:pPr>
        <w:pStyle w:val="FootnoteText"/>
        <w:rPr>
          <w:rFonts w:ascii="Aptos" w:hAnsi="Aptos"/>
        </w:rPr>
      </w:pPr>
    </w:p>
    <w:p w14:paraId="0FCF21DC" w14:textId="77777777" w:rsidR="00037037" w:rsidRDefault="00037037" w:rsidP="00037037">
      <w:pPr>
        <w:pStyle w:val="FootnoteText"/>
      </w:pPr>
    </w:p>
  </w:footnote>
  <w:footnote w:id="241">
    <w:p w14:paraId="069DA507" w14:textId="77777777" w:rsidR="00B84219" w:rsidRPr="00B84219" w:rsidRDefault="00B84219" w:rsidP="00B84219">
      <w:pPr>
        <w:pStyle w:val="FootnoteText"/>
        <w:rPr>
          <w:rFonts w:cs="Arial"/>
        </w:rPr>
      </w:pPr>
      <w:r w:rsidRPr="00B84219">
        <w:rPr>
          <w:rStyle w:val="FootnoteReference"/>
          <w:sz w:val="20"/>
        </w:rPr>
        <w:footnoteRef/>
      </w:r>
      <w:r w:rsidRPr="00B84219">
        <w:rPr>
          <w:rFonts w:cs="Arial"/>
        </w:rPr>
        <w:t xml:space="preserve"> NHS Wales Shared Services Partnership - </w:t>
      </w:r>
      <w:hyperlink r:id="rId238" w:history="1">
        <w:r w:rsidRPr="00B84219">
          <w:rPr>
            <w:rStyle w:val="Hyperlink"/>
            <w:rFonts w:cs="Arial"/>
            <w:color w:val="0000FF"/>
          </w:rPr>
          <w:t>GP practice analysis and patient registrations by practice</w:t>
        </w:r>
      </w:hyperlink>
    </w:p>
  </w:footnote>
  <w:footnote w:id="242">
    <w:p w14:paraId="68D0BD74" w14:textId="77777777" w:rsidR="00B84219" w:rsidRPr="00B84219" w:rsidRDefault="00B84219" w:rsidP="00B84219">
      <w:pPr>
        <w:rPr>
          <w:rFonts w:cs="Arial"/>
          <w:sz w:val="20"/>
          <w:szCs w:val="20"/>
        </w:rPr>
      </w:pPr>
      <w:r w:rsidRPr="00B84219">
        <w:rPr>
          <w:rStyle w:val="FootnoteReference"/>
          <w:sz w:val="20"/>
          <w:szCs w:val="20"/>
        </w:rPr>
        <w:footnoteRef/>
      </w:r>
      <w:r w:rsidRPr="00B84219">
        <w:rPr>
          <w:rFonts w:cs="Arial"/>
          <w:sz w:val="20"/>
          <w:szCs w:val="20"/>
        </w:rPr>
        <w:t xml:space="preserve"> Office of National Statistics - </w:t>
      </w:r>
      <w:hyperlink r:id="rId239" w:history="1">
        <w:r w:rsidRPr="00B84219">
          <w:rPr>
            <w:rStyle w:val="Hyperlink"/>
            <w:rFonts w:cs="Arial"/>
            <w:color w:val="0000FF"/>
            <w:sz w:val="20"/>
            <w:szCs w:val="20"/>
          </w:rPr>
          <w:t>How life has changed in Swansea: Census 2021</w:t>
        </w:r>
      </w:hyperlink>
    </w:p>
  </w:footnote>
  <w:footnote w:id="243">
    <w:p w14:paraId="2B010906" w14:textId="77777777" w:rsidR="00B84219" w:rsidRPr="00B84219" w:rsidRDefault="00B84219" w:rsidP="00B84219">
      <w:pPr>
        <w:pStyle w:val="FootnoteText"/>
        <w:rPr>
          <w:rFonts w:cs="Arial"/>
        </w:rPr>
      </w:pPr>
      <w:r w:rsidRPr="00B84219">
        <w:rPr>
          <w:rStyle w:val="FootnoteReference"/>
          <w:sz w:val="20"/>
        </w:rPr>
        <w:footnoteRef/>
      </w:r>
      <w:r w:rsidRPr="00B84219">
        <w:rPr>
          <w:rFonts w:cs="Arial"/>
        </w:rPr>
        <w:t xml:space="preserve"> Welsh Government November 2025 - </w:t>
      </w:r>
      <w:hyperlink r:id="rId240" w:anchor=":~:text=the%20local%20authorities%20projected%20to,0%20to%2015%20years%20old" w:history="1">
        <w:r w:rsidRPr="00B84219">
          <w:rPr>
            <w:rStyle w:val="Hyperlink"/>
            <w:rFonts w:cs="Arial"/>
            <w:color w:val="0000FF"/>
          </w:rPr>
          <w:t xml:space="preserve">Local authority population projections: 2022-based </w:t>
        </w:r>
      </w:hyperlink>
    </w:p>
  </w:footnote>
  <w:footnote w:id="244">
    <w:p w14:paraId="61C3E4A6" w14:textId="77777777" w:rsidR="00B84219" w:rsidRPr="00B84219" w:rsidRDefault="00B84219" w:rsidP="00B84219">
      <w:pPr>
        <w:rPr>
          <w:rFonts w:cs="Arial"/>
          <w:sz w:val="20"/>
          <w:szCs w:val="20"/>
        </w:rPr>
      </w:pPr>
      <w:r w:rsidRPr="00B84219">
        <w:rPr>
          <w:rStyle w:val="FootnoteReference"/>
          <w:sz w:val="20"/>
          <w:szCs w:val="20"/>
        </w:rPr>
        <w:footnoteRef/>
      </w:r>
      <w:r w:rsidRPr="00B84219">
        <w:rPr>
          <w:rFonts w:cs="Arial"/>
          <w:sz w:val="20"/>
          <w:szCs w:val="20"/>
        </w:rPr>
        <w:t xml:space="preserve"> Welsh Government StatsWales - </w:t>
      </w:r>
      <w:hyperlink r:id="rId241" w:history="1">
        <w:r w:rsidRPr="00B84219">
          <w:rPr>
            <w:rStyle w:val="Hyperlink"/>
            <w:rFonts w:cs="Arial"/>
            <w:color w:val="0000FF"/>
            <w:sz w:val="20"/>
            <w:szCs w:val="20"/>
          </w:rPr>
          <w:t xml:space="preserve">Welsh Index of Multiple Deprivation 2025 local authority deprivation profiles </w:t>
        </w:r>
      </w:hyperlink>
      <w:r w:rsidRPr="00B84219">
        <w:rPr>
          <w:rFonts w:cs="Arial"/>
          <w:sz w:val="20"/>
          <w:szCs w:val="20"/>
        </w:rPr>
        <w:t xml:space="preserve"> </w:t>
      </w:r>
    </w:p>
  </w:footnote>
  <w:footnote w:id="245">
    <w:p w14:paraId="33279A5C" w14:textId="77777777" w:rsidR="00B84219" w:rsidRDefault="00B84219" w:rsidP="00B84219">
      <w:pPr>
        <w:rPr>
          <w:rFonts w:cs="Arial"/>
          <w:sz w:val="20"/>
          <w:szCs w:val="20"/>
        </w:rPr>
      </w:pPr>
      <w:r w:rsidRPr="00B84219">
        <w:rPr>
          <w:rStyle w:val="FootnoteReference"/>
          <w:sz w:val="20"/>
          <w:szCs w:val="20"/>
        </w:rPr>
        <w:footnoteRef/>
      </w:r>
      <w:r w:rsidRPr="00B84219">
        <w:rPr>
          <w:rFonts w:cs="Arial"/>
          <w:sz w:val="20"/>
          <w:szCs w:val="20"/>
        </w:rPr>
        <w:t xml:space="preserve"> Welsh Government - </w:t>
      </w:r>
      <w:hyperlink r:id="rId242" w:anchor=":~:text=variant%2C%20on%20StatsWales-,It%20is%20projected%20that%20all%20local%20authorities%2C%20other%20than%20Newport,and%20Bridgend%20(up%2023.1%25)." w:history="1">
        <w:r w:rsidRPr="00B84219">
          <w:rPr>
            <w:rStyle w:val="Hyperlink"/>
            <w:rFonts w:cs="Arial"/>
            <w:color w:val="0000FF"/>
            <w:sz w:val="20"/>
            <w:szCs w:val="20"/>
          </w:rPr>
          <w:t>Local authority population projections: 2022-based</w:t>
        </w:r>
      </w:hyperlink>
    </w:p>
  </w:footnote>
  <w:footnote w:id="246">
    <w:p w14:paraId="11597E09" w14:textId="77777777" w:rsidR="00B84219" w:rsidRPr="00283FB4" w:rsidRDefault="00B84219" w:rsidP="00B84219">
      <w:pPr>
        <w:rPr>
          <w:rFonts w:cs="Arial"/>
          <w:sz w:val="20"/>
          <w:szCs w:val="20"/>
        </w:rPr>
      </w:pPr>
      <w:r w:rsidRPr="00283FB4">
        <w:rPr>
          <w:rStyle w:val="FootnoteReference"/>
          <w:sz w:val="20"/>
          <w:szCs w:val="20"/>
        </w:rPr>
        <w:footnoteRef/>
      </w:r>
      <w:r w:rsidRPr="00283FB4">
        <w:rPr>
          <w:rFonts w:cs="Arial"/>
          <w:sz w:val="20"/>
          <w:szCs w:val="20"/>
        </w:rPr>
        <w:t xml:space="preserve"> Office of National Statistics Census 2021 -</w:t>
      </w:r>
      <w:r w:rsidRPr="00283FB4">
        <w:rPr>
          <w:rFonts w:cs="Arial"/>
          <w:color w:val="0000FF"/>
          <w:sz w:val="20"/>
          <w:szCs w:val="20"/>
        </w:rPr>
        <w:t xml:space="preserve"> </w:t>
      </w:r>
      <w:hyperlink r:id="rId243" w:history="1">
        <w:r w:rsidRPr="00283FB4">
          <w:rPr>
            <w:rStyle w:val="Hyperlink"/>
            <w:rFonts w:cs="Arial"/>
            <w:color w:val="0000FF"/>
            <w:sz w:val="20"/>
            <w:szCs w:val="20"/>
          </w:rPr>
          <w:t>Healthy life expectancy, UK: between 2011 to 2013 and 2022 to 2024</w:t>
        </w:r>
      </w:hyperlink>
      <w:r w:rsidRPr="00283FB4">
        <w:rPr>
          <w:rFonts w:cs="Arial"/>
          <w:color w:val="0000FF"/>
          <w:sz w:val="20"/>
          <w:szCs w:val="20"/>
          <w:u w:val="single"/>
        </w:rPr>
        <w:t xml:space="preserve"> </w:t>
      </w:r>
    </w:p>
  </w:footnote>
  <w:footnote w:id="247">
    <w:p w14:paraId="3144E51B" w14:textId="77777777" w:rsidR="00B84219" w:rsidRPr="00283FB4" w:rsidRDefault="00B84219" w:rsidP="00B84219">
      <w:pPr>
        <w:pStyle w:val="FootnoteText"/>
        <w:rPr>
          <w:rFonts w:cs="Arial"/>
        </w:rPr>
      </w:pPr>
      <w:r w:rsidRPr="00283FB4">
        <w:rPr>
          <w:rStyle w:val="FootnoteReference"/>
          <w:sz w:val="20"/>
        </w:rPr>
        <w:footnoteRef/>
      </w:r>
      <w:r w:rsidRPr="00283FB4">
        <w:rPr>
          <w:rFonts w:cs="Arial"/>
        </w:rPr>
        <w:t xml:space="preserve"> Public Health Wales - </w:t>
      </w:r>
      <w:hyperlink r:id="rId244" w:history="1">
        <w:r w:rsidRPr="00283FB4">
          <w:rPr>
            <w:rStyle w:val="Hyperlink"/>
            <w:rFonts w:cs="Arial"/>
            <w:color w:val="0000FF"/>
          </w:rPr>
          <w:t>Public Health Outcomes Framework 2025</w:t>
        </w:r>
      </w:hyperlink>
    </w:p>
  </w:footnote>
  <w:footnote w:id="248">
    <w:p w14:paraId="3B15FB60" w14:textId="77777777" w:rsidR="00B84219" w:rsidRPr="00283FB4" w:rsidRDefault="00B84219" w:rsidP="00B84219">
      <w:pPr>
        <w:rPr>
          <w:rFonts w:cs="Arial"/>
          <w:sz w:val="20"/>
          <w:szCs w:val="20"/>
        </w:rPr>
      </w:pPr>
      <w:r w:rsidRPr="00283FB4">
        <w:rPr>
          <w:rStyle w:val="FootnoteReference"/>
          <w:sz w:val="20"/>
          <w:szCs w:val="20"/>
        </w:rPr>
        <w:footnoteRef/>
      </w:r>
      <w:r w:rsidRPr="00283FB4">
        <w:rPr>
          <w:rFonts w:cs="Arial"/>
          <w:sz w:val="20"/>
          <w:szCs w:val="20"/>
        </w:rPr>
        <w:t xml:space="preserve"> InfoBaseCymru data for an intelligent Wales - </w:t>
      </w:r>
      <w:hyperlink r:id="rId245" w:history="1">
        <w:r w:rsidRPr="00283FB4">
          <w:rPr>
            <w:rStyle w:val="Hyperlink"/>
            <w:rFonts w:cs="Arial"/>
            <w:color w:val="0000FF"/>
            <w:sz w:val="20"/>
            <w:szCs w:val="20"/>
          </w:rPr>
          <w:t>Life expectancy in males and females</w:t>
        </w:r>
      </w:hyperlink>
      <w:r w:rsidRPr="00283FB4">
        <w:rPr>
          <w:rFonts w:cs="Arial"/>
          <w:sz w:val="20"/>
          <w:szCs w:val="20"/>
        </w:rPr>
        <w:t xml:space="preserve"> (2020 to 2022)</w:t>
      </w:r>
    </w:p>
  </w:footnote>
  <w:footnote w:id="249">
    <w:p w14:paraId="55595F0D" w14:textId="77777777" w:rsidR="00B84219" w:rsidRDefault="00B84219" w:rsidP="00B84219">
      <w:pPr>
        <w:rPr>
          <w:rFonts w:cs="Arial"/>
          <w:sz w:val="20"/>
          <w:szCs w:val="20"/>
        </w:rPr>
      </w:pPr>
      <w:r w:rsidRPr="00283FB4">
        <w:rPr>
          <w:rStyle w:val="FootnoteReference"/>
          <w:sz w:val="20"/>
          <w:szCs w:val="20"/>
        </w:rPr>
        <w:footnoteRef/>
      </w:r>
      <w:r w:rsidRPr="00283FB4">
        <w:rPr>
          <w:rFonts w:cs="Arial"/>
          <w:sz w:val="20"/>
          <w:szCs w:val="20"/>
        </w:rPr>
        <w:t xml:space="preserve"> Welsh Government December 2025 - </w:t>
      </w:r>
      <w:hyperlink r:id="rId246" w:history="1">
        <w:r w:rsidRPr="00283FB4">
          <w:rPr>
            <w:rStyle w:val="Hyperlink"/>
            <w:rFonts w:cs="Arial"/>
            <w:color w:val="0000FF"/>
            <w:sz w:val="20"/>
            <w:szCs w:val="20"/>
          </w:rPr>
          <w:t>Welsh Index of Multiple Deprivation 2025 results report: overall index</w:t>
        </w:r>
        <w:r>
          <w:rPr>
            <w:rStyle w:val="Hyperlink"/>
            <w:rFonts w:cs="Arial"/>
            <w:color w:val="0000FF"/>
            <w:sz w:val="20"/>
            <w:szCs w:val="20"/>
          </w:rPr>
          <w:t xml:space="preserve"> </w:t>
        </w:r>
      </w:hyperlink>
    </w:p>
  </w:footnote>
  <w:footnote w:id="250">
    <w:p w14:paraId="60A05302" w14:textId="77777777" w:rsidR="00B84219" w:rsidRPr="00283FB4" w:rsidRDefault="00B84219" w:rsidP="00B84219">
      <w:pPr>
        <w:pStyle w:val="FootnoteText"/>
        <w:rPr>
          <w:rFonts w:ascii="Aptos" w:hAnsi="Aptos"/>
        </w:rPr>
      </w:pPr>
      <w:r w:rsidRPr="00283FB4">
        <w:rPr>
          <w:rStyle w:val="FootnoteReference"/>
          <w:sz w:val="20"/>
        </w:rPr>
        <w:footnoteRef/>
      </w:r>
      <w:r w:rsidRPr="00283FB4">
        <w:rPr>
          <w:rFonts w:cs="Arial"/>
        </w:rPr>
        <w:t xml:space="preserve"> Public Health Wales - </w:t>
      </w:r>
      <w:hyperlink r:id="rId247" w:history="1">
        <w:r w:rsidRPr="00283FB4">
          <w:rPr>
            <w:rStyle w:val="Hyperlink"/>
            <w:rFonts w:cs="Arial"/>
            <w:color w:val="0000FF"/>
          </w:rPr>
          <w:t>Primary care localities dashboard</w:t>
        </w:r>
      </w:hyperlink>
    </w:p>
  </w:footnote>
  <w:footnote w:id="251">
    <w:p w14:paraId="019D530A" w14:textId="77777777" w:rsidR="00B84219" w:rsidRDefault="00B84219" w:rsidP="00B84219">
      <w:pPr>
        <w:rPr>
          <w:rFonts w:cs="Arial"/>
          <w:sz w:val="20"/>
          <w:szCs w:val="20"/>
        </w:rPr>
      </w:pPr>
      <w:r w:rsidRPr="00283FB4">
        <w:rPr>
          <w:rStyle w:val="FootnoteReference"/>
          <w:sz w:val="20"/>
          <w:szCs w:val="20"/>
        </w:rPr>
        <w:footnoteRef/>
      </w:r>
      <w:r w:rsidRPr="00283FB4">
        <w:rPr>
          <w:rFonts w:cs="Arial"/>
          <w:sz w:val="20"/>
          <w:szCs w:val="20"/>
        </w:rPr>
        <w:t xml:space="preserve"> Welsh Government StatsWales - </w:t>
      </w:r>
      <w:hyperlink r:id="rId248" w:history="1">
        <w:r w:rsidRPr="00283FB4">
          <w:rPr>
            <w:rStyle w:val="Hyperlink"/>
            <w:rFonts w:cs="Arial"/>
            <w:color w:val="0000FF"/>
            <w:sz w:val="20"/>
            <w:szCs w:val="20"/>
          </w:rPr>
          <w:t xml:space="preserve">Disease registers by local health board, locality and GP practice </w:t>
        </w:r>
      </w:hyperlink>
    </w:p>
  </w:footnote>
  <w:footnote w:id="252">
    <w:p w14:paraId="0B875BE9" w14:textId="77777777" w:rsidR="00B84219" w:rsidRPr="00283FB4" w:rsidRDefault="00B84219" w:rsidP="00B84219">
      <w:pPr>
        <w:pStyle w:val="FootnoteText"/>
        <w:rPr>
          <w:rFonts w:cs="Arial"/>
        </w:rPr>
      </w:pPr>
      <w:r w:rsidRPr="00283FB4">
        <w:rPr>
          <w:rStyle w:val="FootnoteReference"/>
          <w:sz w:val="20"/>
        </w:rPr>
        <w:footnoteRef/>
      </w:r>
      <w:r w:rsidRPr="00283FB4">
        <w:rPr>
          <w:rFonts w:cs="Arial"/>
        </w:rPr>
        <w:t xml:space="preserve"> Welsh Government StatsWales - </w:t>
      </w:r>
      <w:hyperlink r:id="rId249" w:history="1">
        <w:r w:rsidRPr="00283FB4">
          <w:rPr>
            <w:rStyle w:val="Hyperlink"/>
            <w:rFonts w:cs="Arial"/>
            <w:color w:val="0000FF"/>
          </w:rPr>
          <w:t xml:space="preserve">Disease registers by local health board, locality and GP practice </w:t>
        </w:r>
      </w:hyperlink>
    </w:p>
  </w:footnote>
  <w:footnote w:id="253">
    <w:p w14:paraId="62DDB2BD" w14:textId="77777777" w:rsidR="00B84219" w:rsidRPr="00283FB4" w:rsidRDefault="00B84219" w:rsidP="00B84219">
      <w:pPr>
        <w:pStyle w:val="FootnoteText"/>
        <w:rPr>
          <w:rFonts w:cs="Arial"/>
        </w:rPr>
      </w:pPr>
      <w:r w:rsidRPr="00283FB4">
        <w:rPr>
          <w:rStyle w:val="FootnoteReference"/>
          <w:sz w:val="20"/>
        </w:rPr>
        <w:footnoteRef/>
      </w:r>
      <w:r w:rsidRPr="00283FB4">
        <w:rPr>
          <w:rFonts w:cs="Arial"/>
        </w:rPr>
        <w:t xml:space="preserve"> Welsh Government StatsWales - </w:t>
      </w:r>
      <w:hyperlink r:id="rId250" w:history="1">
        <w:r w:rsidRPr="00283FB4">
          <w:rPr>
            <w:rStyle w:val="Hyperlink"/>
            <w:rFonts w:cs="Arial"/>
            <w:color w:val="0000FF"/>
          </w:rPr>
          <w:t xml:space="preserve">Disease registers by local health board, locality and GP practice </w:t>
        </w:r>
      </w:hyperlink>
    </w:p>
  </w:footnote>
  <w:footnote w:id="254">
    <w:p w14:paraId="6E1EF1BC" w14:textId="77777777" w:rsidR="00B84219" w:rsidRPr="00283FB4" w:rsidRDefault="00B84219" w:rsidP="00B84219">
      <w:pPr>
        <w:pStyle w:val="FootnoteText"/>
        <w:rPr>
          <w:rFonts w:cs="Arial"/>
        </w:rPr>
      </w:pPr>
      <w:r w:rsidRPr="00283FB4">
        <w:rPr>
          <w:rStyle w:val="FootnoteReference"/>
          <w:sz w:val="20"/>
        </w:rPr>
        <w:footnoteRef/>
      </w:r>
      <w:r w:rsidRPr="00283FB4">
        <w:rPr>
          <w:rFonts w:cs="Arial"/>
        </w:rPr>
        <w:t xml:space="preserve"> InfoBaseCymru data for an intelligent Wales - </w:t>
      </w:r>
      <w:hyperlink r:id="rId251" w:history="1">
        <w:r w:rsidRPr="00283FB4">
          <w:rPr>
            <w:rStyle w:val="Hyperlink"/>
            <w:rFonts w:cs="Arial"/>
            <w:color w:val="0000FF"/>
          </w:rPr>
          <w:t xml:space="preserve">Adults reporting lifestyle behaviours </w:t>
        </w:r>
      </w:hyperlink>
      <w:r w:rsidRPr="00283FB4">
        <w:rPr>
          <w:rFonts w:cs="Arial"/>
        </w:rPr>
        <w:t>(2021 to 2023)</w:t>
      </w:r>
    </w:p>
  </w:footnote>
  <w:footnote w:id="255">
    <w:p w14:paraId="13AEAC94" w14:textId="77777777" w:rsidR="00004334" w:rsidRPr="00D202E7" w:rsidRDefault="00004334" w:rsidP="00004334">
      <w:pPr>
        <w:rPr>
          <w:rFonts w:cs="Arial"/>
          <w:sz w:val="20"/>
          <w:szCs w:val="20"/>
        </w:rPr>
      </w:pPr>
      <w:r w:rsidRPr="00D202E7">
        <w:rPr>
          <w:rStyle w:val="FootnoteReference"/>
          <w:sz w:val="20"/>
          <w:szCs w:val="20"/>
        </w:rPr>
        <w:footnoteRef/>
      </w:r>
      <w:r w:rsidRPr="00D202E7">
        <w:rPr>
          <w:rFonts w:cs="Arial"/>
          <w:sz w:val="20"/>
          <w:szCs w:val="20"/>
        </w:rPr>
        <w:t xml:space="preserve"> </w:t>
      </w:r>
      <w:r w:rsidRPr="00D202E7">
        <w:rPr>
          <w:rFonts w:cs="Arial"/>
          <w:kern w:val="0"/>
          <w:sz w:val="20"/>
          <w:szCs w:val="20"/>
        </w:rPr>
        <w:t xml:space="preserve">Office of National Statistics Census 2021 - </w:t>
      </w:r>
      <w:hyperlink r:id="rId252" w:history="1">
        <w:r w:rsidRPr="00D202E7">
          <w:rPr>
            <w:rStyle w:val="Hyperlink"/>
            <w:rFonts w:cs="Arial"/>
            <w:color w:val="0000FF"/>
            <w:sz w:val="20"/>
            <w:szCs w:val="20"/>
          </w:rPr>
          <w:t>Population estimates for England and Wales: mid 2024</w:t>
        </w:r>
      </w:hyperlink>
    </w:p>
  </w:footnote>
  <w:footnote w:id="256">
    <w:p w14:paraId="2F1F730C" w14:textId="77777777" w:rsidR="00004334" w:rsidRPr="00D202E7" w:rsidRDefault="00004334" w:rsidP="00004334">
      <w:pPr>
        <w:rPr>
          <w:rFonts w:cs="Arial"/>
          <w:color w:val="0000FF"/>
          <w:sz w:val="20"/>
          <w:szCs w:val="20"/>
          <w:u w:val="single"/>
        </w:rPr>
      </w:pPr>
      <w:r w:rsidRPr="00D202E7">
        <w:rPr>
          <w:rStyle w:val="FootnoteReference"/>
          <w:sz w:val="20"/>
          <w:szCs w:val="20"/>
        </w:rPr>
        <w:footnoteRef/>
      </w:r>
      <w:r w:rsidRPr="00D202E7">
        <w:rPr>
          <w:rFonts w:cs="Arial"/>
          <w:sz w:val="20"/>
          <w:szCs w:val="20"/>
        </w:rPr>
        <w:t xml:space="preserve"> </w:t>
      </w:r>
      <w:r w:rsidRPr="00D202E7">
        <w:rPr>
          <w:rFonts w:cs="Arial"/>
          <w:kern w:val="0"/>
          <w:sz w:val="20"/>
          <w:szCs w:val="20"/>
        </w:rPr>
        <w:t xml:space="preserve">Welsh Government July 2025 - </w:t>
      </w:r>
      <w:hyperlink r:id="rId253" w:history="1">
        <w:r w:rsidRPr="00D202E7">
          <w:rPr>
            <w:rStyle w:val="Hyperlink"/>
            <w:rFonts w:cs="Arial"/>
            <w:color w:val="0000FF"/>
            <w:sz w:val="20"/>
            <w:szCs w:val="20"/>
          </w:rPr>
          <w:t>Mid-year estimates of the population: 2024</w:t>
        </w:r>
      </w:hyperlink>
    </w:p>
    <w:p w14:paraId="648D5F8F" w14:textId="77777777" w:rsidR="00004334" w:rsidRDefault="00004334" w:rsidP="00004334">
      <w:pPr>
        <w:pStyle w:val="FootnoteText"/>
        <w:rPr>
          <w:rFonts w:ascii="Aptos" w:hAnsi="Aptos"/>
        </w:rPr>
      </w:pPr>
    </w:p>
    <w:p w14:paraId="1E97E6BD" w14:textId="77777777" w:rsidR="00004334" w:rsidRDefault="00004334" w:rsidP="00004334">
      <w:pPr>
        <w:pStyle w:val="FootnoteText"/>
      </w:pPr>
    </w:p>
  </w:footnote>
  <w:footnote w:id="257">
    <w:p w14:paraId="1EA6D3FB" w14:textId="77777777" w:rsidR="00197EC0" w:rsidRPr="00107F42" w:rsidRDefault="00197EC0" w:rsidP="00197EC0">
      <w:pPr>
        <w:pStyle w:val="FootnoteText"/>
        <w:rPr>
          <w:rFonts w:cs="Arial"/>
        </w:rPr>
      </w:pPr>
      <w:r w:rsidRPr="00107F42">
        <w:rPr>
          <w:rStyle w:val="FootnoteReference"/>
          <w:sz w:val="20"/>
        </w:rPr>
        <w:footnoteRef/>
      </w:r>
      <w:r w:rsidRPr="00107F42">
        <w:rPr>
          <w:rFonts w:cs="Arial"/>
        </w:rPr>
        <w:t xml:space="preserve"> NHS Wales Shared Services Partnership - </w:t>
      </w:r>
      <w:hyperlink r:id="rId254" w:history="1">
        <w:r w:rsidRPr="00107F42">
          <w:rPr>
            <w:rStyle w:val="Hyperlink"/>
            <w:rFonts w:cs="Arial"/>
            <w:color w:val="0000FF"/>
          </w:rPr>
          <w:t>GP practice analysis and patient registrations by practice</w:t>
        </w:r>
      </w:hyperlink>
    </w:p>
  </w:footnote>
  <w:footnote w:id="258">
    <w:p w14:paraId="011F1410" w14:textId="77777777" w:rsidR="00197EC0" w:rsidRPr="00107F42" w:rsidRDefault="00197EC0" w:rsidP="00197EC0">
      <w:pPr>
        <w:rPr>
          <w:rFonts w:cs="Arial"/>
          <w:sz w:val="20"/>
          <w:szCs w:val="20"/>
        </w:rPr>
      </w:pPr>
      <w:r w:rsidRPr="00107F42">
        <w:rPr>
          <w:rStyle w:val="FootnoteReference"/>
          <w:sz w:val="20"/>
          <w:szCs w:val="20"/>
        </w:rPr>
        <w:footnoteRef/>
      </w:r>
      <w:r w:rsidRPr="00107F42">
        <w:rPr>
          <w:rFonts w:cs="Arial"/>
          <w:sz w:val="20"/>
          <w:szCs w:val="20"/>
        </w:rPr>
        <w:t xml:space="preserve"> Office of National Statistics - </w:t>
      </w:r>
      <w:hyperlink r:id="rId255" w:history="1">
        <w:r w:rsidRPr="00107F42">
          <w:rPr>
            <w:rStyle w:val="Hyperlink"/>
            <w:rFonts w:cs="Arial"/>
            <w:color w:val="0000FF"/>
            <w:sz w:val="20"/>
            <w:szCs w:val="20"/>
          </w:rPr>
          <w:t>How life has changed in Swansea: Census 2021</w:t>
        </w:r>
      </w:hyperlink>
    </w:p>
  </w:footnote>
  <w:footnote w:id="259">
    <w:p w14:paraId="20514F0E" w14:textId="77777777" w:rsidR="00197EC0" w:rsidRPr="00107F42" w:rsidRDefault="00197EC0" w:rsidP="00197EC0">
      <w:pPr>
        <w:pStyle w:val="FootnoteText"/>
        <w:rPr>
          <w:rFonts w:cs="Arial"/>
        </w:rPr>
      </w:pPr>
      <w:r w:rsidRPr="00107F42">
        <w:rPr>
          <w:rStyle w:val="FootnoteReference"/>
          <w:sz w:val="20"/>
        </w:rPr>
        <w:footnoteRef/>
      </w:r>
      <w:r w:rsidRPr="00107F42">
        <w:rPr>
          <w:rFonts w:cs="Arial"/>
        </w:rPr>
        <w:t xml:space="preserve"> Welsh Government November 2025 - </w:t>
      </w:r>
      <w:hyperlink r:id="rId256" w:anchor=":~:text=the%20local%20authorities%20projected%20to,0%20to%2015%20years%20old" w:history="1">
        <w:r w:rsidRPr="00107F42">
          <w:rPr>
            <w:rStyle w:val="Hyperlink"/>
            <w:rFonts w:cs="Arial"/>
            <w:color w:val="0000FF"/>
          </w:rPr>
          <w:t xml:space="preserve">Local authority population projections: 2022-based </w:t>
        </w:r>
      </w:hyperlink>
    </w:p>
  </w:footnote>
  <w:footnote w:id="260">
    <w:p w14:paraId="6A528A20" w14:textId="77777777" w:rsidR="00197EC0" w:rsidRPr="00107F42" w:rsidRDefault="00197EC0" w:rsidP="00197EC0">
      <w:pPr>
        <w:rPr>
          <w:rFonts w:cs="Arial"/>
          <w:sz w:val="20"/>
          <w:szCs w:val="20"/>
        </w:rPr>
      </w:pPr>
      <w:r w:rsidRPr="00107F42">
        <w:rPr>
          <w:rStyle w:val="FootnoteReference"/>
          <w:sz w:val="20"/>
          <w:szCs w:val="20"/>
        </w:rPr>
        <w:footnoteRef/>
      </w:r>
      <w:r w:rsidRPr="00107F42">
        <w:rPr>
          <w:rFonts w:cs="Arial"/>
          <w:sz w:val="20"/>
          <w:szCs w:val="20"/>
        </w:rPr>
        <w:t xml:space="preserve"> Welsh Government StatsWales - </w:t>
      </w:r>
      <w:hyperlink r:id="rId257" w:history="1">
        <w:r w:rsidRPr="00107F42">
          <w:rPr>
            <w:rStyle w:val="Hyperlink"/>
            <w:rFonts w:cs="Arial"/>
            <w:color w:val="0000FF"/>
            <w:sz w:val="20"/>
            <w:szCs w:val="20"/>
          </w:rPr>
          <w:t xml:space="preserve">Welsh Index of Multiple Deprivation 2025 local authority deprivation profiles </w:t>
        </w:r>
      </w:hyperlink>
      <w:r w:rsidRPr="00107F42">
        <w:rPr>
          <w:rFonts w:cs="Arial"/>
          <w:sz w:val="20"/>
          <w:szCs w:val="20"/>
        </w:rPr>
        <w:t xml:space="preserve"> </w:t>
      </w:r>
    </w:p>
  </w:footnote>
  <w:footnote w:id="261">
    <w:p w14:paraId="7B89E23F" w14:textId="77777777" w:rsidR="00197EC0" w:rsidRDefault="00197EC0" w:rsidP="00197EC0">
      <w:pPr>
        <w:rPr>
          <w:rFonts w:cs="Arial"/>
          <w:sz w:val="20"/>
          <w:szCs w:val="20"/>
        </w:rPr>
      </w:pPr>
      <w:r w:rsidRPr="00107F42">
        <w:rPr>
          <w:rStyle w:val="FootnoteReference"/>
          <w:sz w:val="20"/>
          <w:szCs w:val="20"/>
        </w:rPr>
        <w:footnoteRef/>
      </w:r>
      <w:r w:rsidRPr="00107F42">
        <w:rPr>
          <w:rFonts w:cs="Arial"/>
          <w:sz w:val="20"/>
          <w:szCs w:val="20"/>
        </w:rPr>
        <w:t xml:space="preserve"> Welsh Government - </w:t>
      </w:r>
      <w:hyperlink r:id="rId258" w:anchor=":~:text=variant%2C%20on%20StatsWales-,It%20is%20projected%20that%20all%20local%20authorities%2C%20other%20than%20Newport,and%20Bridgend%20(up%2023.1%25)." w:history="1">
        <w:r w:rsidRPr="00107F42">
          <w:rPr>
            <w:rStyle w:val="Hyperlink"/>
            <w:rFonts w:cs="Arial"/>
            <w:color w:val="0000FF"/>
            <w:sz w:val="20"/>
            <w:szCs w:val="20"/>
          </w:rPr>
          <w:t>Local authority population projections: 2022-based</w:t>
        </w:r>
      </w:hyperlink>
    </w:p>
  </w:footnote>
  <w:footnote w:id="262">
    <w:p w14:paraId="73B993B4" w14:textId="77777777" w:rsidR="00197EC0" w:rsidRPr="00107F42" w:rsidRDefault="00197EC0" w:rsidP="00197EC0">
      <w:pPr>
        <w:rPr>
          <w:rFonts w:cs="Arial"/>
          <w:sz w:val="20"/>
          <w:szCs w:val="20"/>
        </w:rPr>
      </w:pPr>
      <w:r w:rsidRPr="00107F42">
        <w:rPr>
          <w:rStyle w:val="FootnoteReference"/>
          <w:sz w:val="20"/>
          <w:szCs w:val="20"/>
        </w:rPr>
        <w:footnoteRef/>
      </w:r>
      <w:r w:rsidRPr="00107F42">
        <w:rPr>
          <w:rFonts w:cs="Arial"/>
          <w:sz w:val="20"/>
          <w:szCs w:val="20"/>
        </w:rPr>
        <w:t xml:space="preserve"> Office of National Statistics Census 2021 -</w:t>
      </w:r>
      <w:r w:rsidRPr="00107F42">
        <w:rPr>
          <w:rFonts w:cs="Arial"/>
          <w:color w:val="0000FF"/>
          <w:sz w:val="20"/>
          <w:szCs w:val="20"/>
        </w:rPr>
        <w:t xml:space="preserve"> </w:t>
      </w:r>
      <w:hyperlink r:id="rId259" w:history="1">
        <w:r w:rsidRPr="00107F42">
          <w:rPr>
            <w:rStyle w:val="Hyperlink"/>
            <w:rFonts w:cs="Arial"/>
            <w:color w:val="0000FF"/>
            <w:sz w:val="20"/>
            <w:szCs w:val="20"/>
          </w:rPr>
          <w:t>Healthy life expectancy, UK: between 2011 to 2013 and 2022 to 2024</w:t>
        </w:r>
      </w:hyperlink>
      <w:r w:rsidRPr="00107F42">
        <w:rPr>
          <w:rFonts w:cs="Arial"/>
          <w:color w:val="0000FF"/>
          <w:sz w:val="20"/>
          <w:szCs w:val="20"/>
          <w:u w:val="single"/>
        </w:rPr>
        <w:t xml:space="preserve"> </w:t>
      </w:r>
    </w:p>
  </w:footnote>
  <w:footnote w:id="263">
    <w:p w14:paraId="3164544E" w14:textId="77777777" w:rsidR="00197EC0" w:rsidRPr="00107F42" w:rsidRDefault="00197EC0" w:rsidP="00197EC0">
      <w:pPr>
        <w:pStyle w:val="FootnoteText"/>
        <w:rPr>
          <w:rFonts w:cs="Arial"/>
        </w:rPr>
      </w:pPr>
      <w:r w:rsidRPr="00107F42">
        <w:rPr>
          <w:rStyle w:val="FootnoteReference"/>
          <w:sz w:val="20"/>
        </w:rPr>
        <w:footnoteRef/>
      </w:r>
      <w:r w:rsidRPr="00107F42">
        <w:rPr>
          <w:rFonts w:cs="Arial"/>
        </w:rPr>
        <w:t xml:space="preserve"> Public Health Wales - </w:t>
      </w:r>
      <w:hyperlink r:id="rId260" w:history="1">
        <w:r w:rsidRPr="00107F42">
          <w:rPr>
            <w:rStyle w:val="Hyperlink"/>
            <w:rFonts w:cs="Arial"/>
            <w:color w:val="0000FF"/>
          </w:rPr>
          <w:t>Public Health Outcomes Framework 2025</w:t>
        </w:r>
      </w:hyperlink>
    </w:p>
  </w:footnote>
  <w:footnote w:id="264">
    <w:p w14:paraId="71030E2C" w14:textId="77777777" w:rsidR="00197EC0" w:rsidRPr="00107F42" w:rsidRDefault="00197EC0" w:rsidP="00197EC0">
      <w:pPr>
        <w:rPr>
          <w:rFonts w:ascii="Aptos" w:hAnsi="Aptos" w:cs="Arial"/>
          <w:sz w:val="20"/>
          <w:szCs w:val="20"/>
        </w:rPr>
      </w:pPr>
      <w:r w:rsidRPr="00107F42">
        <w:rPr>
          <w:rStyle w:val="FootnoteReference"/>
          <w:sz w:val="20"/>
          <w:szCs w:val="20"/>
        </w:rPr>
        <w:footnoteRef/>
      </w:r>
      <w:r w:rsidRPr="00107F42">
        <w:rPr>
          <w:rFonts w:cs="Arial"/>
          <w:sz w:val="20"/>
          <w:szCs w:val="20"/>
        </w:rPr>
        <w:t xml:space="preserve"> InfoBaseCymru data for an intelligent Wales - </w:t>
      </w:r>
      <w:hyperlink r:id="rId261" w:history="1">
        <w:r w:rsidRPr="00107F42">
          <w:rPr>
            <w:rStyle w:val="Hyperlink"/>
            <w:rFonts w:cs="Arial"/>
            <w:color w:val="0000FF"/>
            <w:sz w:val="20"/>
            <w:szCs w:val="20"/>
          </w:rPr>
          <w:t>Life expectancy in males and females</w:t>
        </w:r>
      </w:hyperlink>
      <w:r w:rsidRPr="00107F42">
        <w:rPr>
          <w:rFonts w:cs="Arial"/>
          <w:sz w:val="20"/>
          <w:szCs w:val="20"/>
        </w:rPr>
        <w:t xml:space="preserve"> (2020 to 2022)</w:t>
      </w:r>
    </w:p>
  </w:footnote>
  <w:footnote w:id="265">
    <w:p w14:paraId="1D43A606" w14:textId="77777777" w:rsidR="00197EC0" w:rsidRDefault="00197EC0" w:rsidP="00197EC0">
      <w:pPr>
        <w:rPr>
          <w:rFonts w:cs="Arial"/>
          <w:sz w:val="20"/>
          <w:szCs w:val="20"/>
        </w:rPr>
      </w:pPr>
      <w:r w:rsidRPr="00107F42">
        <w:rPr>
          <w:rStyle w:val="FootnoteReference"/>
          <w:sz w:val="20"/>
          <w:szCs w:val="20"/>
        </w:rPr>
        <w:footnoteRef/>
      </w:r>
      <w:r w:rsidRPr="00107F42">
        <w:rPr>
          <w:rFonts w:cs="Arial"/>
          <w:sz w:val="20"/>
          <w:szCs w:val="20"/>
        </w:rPr>
        <w:t xml:space="preserve"> Welsh Government December 2025 - </w:t>
      </w:r>
      <w:hyperlink r:id="rId262" w:history="1">
        <w:r w:rsidRPr="00107F42">
          <w:rPr>
            <w:rStyle w:val="Hyperlink"/>
            <w:rFonts w:cs="Arial"/>
            <w:color w:val="0000FF"/>
            <w:sz w:val="20"/>
            <w:szCs w:val="20"/>
          </w:rPr>
          <w:t>Welsh Index of Multiple Deprivation 2025 results report: overall index</w:t>
        </w:r>
        <w:r>
          <w:rPr>
            <w:rStyle w:val="Hyperlink"/>
            <w:rFonts w:cs="Arial"/>
            <w:color w:val="0000FF"/>
            <w:sz w:val="20"/>
            <w:szCs w:val="20"/>
          </w:rPr>
          <w:t xml:space="preserve"> </w:t>
        </w:r>
      </w:hyperlink>
    </w:p>
  </w:footnote>
  <w:footnote w:id="266">
    <w:p w14:paraId="4744E75B" w14:textId="77777777" w:rsidR="00197EC0" w:rsidRPr="00161673" w:rsidRDefault="00197EC0" w:rsidP="00197EC0">
      <w:pPr>
        <w:pStyle w:val="FootnoteText"/>
        <w:rPr>
          <w:rFonts w:ascii="Aptos" w:hAnsi="Aptos"/>
        </w:rPr>
      </w:pPr>
      <w:r w:rsidRPr="00161673">
        <w:rPr>
          <w:rStyle w:val="FootnoteReference"/>
          <w:sz w:val="20"/>
        </w:rPr>
        <w:footnoteRef/>
      </w:r>
      <w:r w:rsidRPr="00161673">
        <w:rPr>
          <w:rFonts w:cs="Arial"/>
        </w:rPr>
        <w:t xml:space="preserve"> Public Health Wales - </w:t>
      </w:r>
      <w:hyperlink r:id="rId263" w:history="1">
        <w:r w:rsidRPr="00161673">
          <w:rPr>
            <w:rStyle w:val="Hyperlink"/>
            <w:rFonts w:cs="Arial"/>
            <w:color w:val="0000FF"/>
          </w:rPr>
          <w:t>Primary care localities dashboard</w:t>
        </w:r>
      </w:hyperlink>
    </w:p>
  </w:footnote>
  <w:footnote w:id="267">
    <w:p w14:paraId="396C6A39" w14:textId="77777777" w:rsidR="00197EC0" w:rsidRDefault="00197EC0" w:rsidP="00197EC0">
      <w:pPr>
        <w:rPr>
          <w:rFonts w:eastAsia="Times New Roman" w:cs="Arial"/>
          <w:kern w:val="0"/>
          <w:sz w:val="20"/>
          <w:szCs w:val="20"/>
          <w:lang w:eastAsia="en-GB"/>
          <w14:ligatures w14:val="none"/>
        </w:rPr>
      </w:pPr>
      <w:bookmarkStart w:id="35" w:name="_Hlk229154258"/>
      <w:r w:rsidRPr="00161673">
        <w:rPr>
          <w:rStyle w:val="FootnoteReference"/>
          <w:sz w:val="20"/>
          <w:szCs w:val="20"/>
        </w:rPr>
        <w:footnoteRef/>
      </w:r>
      <w:r w:rsidRPr="00161673">
        <w:rPr>
          <w:rFonts w:cs="Arial"/>
          <w:sz w:val="20"/>
          <w:szCs w:val="20"/>
        </w:rPr>
        <w:t xml:space="preserve"> Welsh Government StatsWales - </w:t>
      </w:r>
      <w:hyperlink r:id="rId264" w:history="1">
        <w:r w:rsidRPr="00161673">
          <w:rPr>
            <w:rStyle w:val="Hyperlink"/>
            <w:rFonts w:cs="Arial"/>
            <w:color w:val="0000FF"/>
            <w:sz w:val="20"/>
            <w:szCs w:val="20"/>
          </w:rPr>
          <w:t xml:space="preserve">Disease registers by local health board, locality and GP practice </w:t>
        </w:r>
      </w:hyperlink>
      <w:bookmarkEnd w:id="35"/>
    </w:p>
  </w:footnote>
  <w:footnote w:id="268">
    <w:p w14:paraId="0F33D039" w14:textId="77777777" w:rsidR="00197EC0" w:rsidRPr="00161673" w:rsidRDefault="00197EC0" w:rsidP="00197EC0">
      <w:pPr>
        <w:pStyle w:val="FootnoteText"/>
        <w:rPr>
          <w:rFonts w:ascii="Aptos" w:hAnsi="Aptos"/>
        </w:rPr>
      </w:pPr>
      <w:r w:rsidRPr="00161673">
        <w:rPr>
          <w:rStyle w:val="FootnoteReference"/>
          <w:sz w:val="20"/>
        </w:rPr>
        <w:footnoteRef/>
      </w:r>
      <w:r w:rsidRPr="00161673">
        <w:rPr>
          <w:rFonts w:cs="Arial"/>
        </w:rPr>
        <w:t xml:space="preserve"> Welsh Government StatsWales - </w:t>
      </w:r>
      <w:hyperlink r:id="rId265" w:history="1">
        <w:r w:rsidRPr="00161673">
          <w:rPr>
            <w:rStyle w:val="Hyperlink"/>
            <w:rFonts w:cs="Arial"/>
            <w:color w:val="0000FF"/>
          </w:rPr>
          <w:t xml:space="preserve">Disease registers by local health board, locality and GP practice </w:t>
        </w:r>
      </w:hyperlink>
    </w:p>
  </w:footnote>
  <w:footnote w:id="269">
    <w:p w14:paraId="51C7C112" w14:textId="77777777" w:rsidR="00197EC0" w:rsidRPr="00161673" w:rsidRDefault="00197EC0" w:rsidP="00197EC0">
      <w:pPr>
        <w:pStyle w:val="FootnoteText"/>
        <w:rPr>
          <w:rFonts w:cs="Arial"/>
        </w:rPr>
      </w:pPr>
      <w:r w:rsidRPr="00161673">
        <w:rPr>
          <w:rStyle w:val="FootnoteReference"/>
          <w:sz w:val="20"/>
        </w:rPr>
        <w:footnoteRef/>
      </w:r>
      <w:r w:rsidRPr="00161673">
        <w:rPr>
          <w:rFonts w:cs="Arial"/>
        </w:rPr>
        <w:t xml:space="preserve"> Welsh Government StatsWales - </w:t>
      </w:r>
      <w:hyperlink r:id="rId266" w:history="1">
        <w:r w:rsidRPr="00161673">
          <w:rPr>
            <w:rStyle w:val="Hyperlink"/>
            <w:rFonts w:cs="Arial"/>
            <w:color w:val="0000FF"/>
          </w:rPr>
          <w:t xml:space="preserve">Disease registers by local health board, locality and GP practice </w:t>
        </w:r>
      </w:hyperlink>
    </w:p>
  </w:footnote>
  <w:footnote w:id="270">
    <w:p w14:paraId="7746A960" w14:textId="77777777" w:rsidR="00197EC0" w:rsidRPr="00161673" w:rsidRDefault="00197EC0" w:rsidP="00197EC0">
      <w:pPr>
        <w:pStyle w:val="FootnoteText"/>
        <w:rPr>
          <w:rFonts w:cs="Arial"/>
        </w:rPr>
      </w:pPr>
      <w:r w:rsidRPr="00161673">
        <w:rPr>
          <w:rStyle w:val="FootnoteReference"/>
          <w:sz w:val="20"/>
        </w:rPr>
        <w:footnoteRef/>
      </w:r>
      <w:r w:rsidRPr="00161673">
        <w:rPr>
          <w:rFonts w:cs="Arial"/>
        </w:rPr>
        <w:t xml:space="preserve"> InfoBaseCymru data for an intelligent Wales - </w:t>
      </w:r>
      <w:hyperlink r:id="rId267" w:history="1">
        <w:r w:rsidRPr="00161673">
          <w:rPr>
            <w:rStyle w:val="Hyperlink"/>
            <w:rFonts w:cs="Arial"/>
            <w:color w:val="0000FF"/>
          </w:rPr>
          <w:t xml:space="preserve">Adults reporting lifestyle behaviours </w:t>
        </w:r>
      </w:hyperlink>
      <w:r w:rsidRPr="00161673">
        <w:rPr>
          <w:rFonts w:cs="Arial"/>
        </w:rPr>
        <w:t>(2021 to 2023)</w:t>
      </w:r>
    </w:p>
  </w:footnote>
  <w:footnote w:id="271">
    <w:p w14:paraId="65DF5D33" w14:textId="77777777" w:rsidR="00B72FC3" w:rsidRPr="00D202E7" w:rsidRDefault="00B72FC3" w:rsidP="00B72FC3">
      <w:pPr>
        <w:rPr>
          <w:rFonts w:cs="Arial"/>
          <w:sz w:val="20"/>
          <w:szCs w:val="20"/>
        </w:rPr>
      </w:pPr>
      <w:r w:rsidRPr="00D202E7">
        <w:rPr>
          <w:rStyle w:val="FootnoteReference"/>
          <w:sz w:val="20"/>
          <w:szCs w:val="20"/>
        </w:rPr>
        <w:footnoteRef/>
      </w:r>
      <w:r w:rsidRPr="00D202E7">
        <w:rPr>
          <w:rFonts w:cs="Arial"/>
          <w:sz w:val="20"/>
          <w:szCs w:val="20"/>
        </w:rPr>
        <w:t xml:space="preserve"> </w:t>
      </w:r>
      <w:r w:rsidRPr="00D202E7">
        <w:rPr>
          <w:rFonts w:cs="Arial"/>
          <w:kern w:val="0"/>
          <w:sz w:val="20"/>
          <w:szCs w:val="20"/>
        </w:rPr>
        <w:t xml:space="preserve">Office of National Statistics Census 2021 - </w:t>
      </w:r>
      <w:hyperlink r:id="rId268" w:history="1">
        <w:r w:rsidRPr="00D202E7">
          <w:rPr>
            <w:rStyle w:val="Hyperlink"/>
            <w:rFonts w:cs="Arial"/>
            <w:color w:val="0000FF"/>
            <w:sz w:val="20"/>
            <w:szCs w:val="20"/>
          </w:rPr>
          <w:t>Population estimates for England and Wales: mid 2024</w:t>
        </w:r>
      </w:hyperlink>
    </w:p>
  </w:footnote>
  <w:footnote w:id="272">
    <w:p w14:paraId="45074C89" w14:textId="77777777" w:rsidR="00B72FC3" w:rsidRPr="00D202E7" w:rsidRDefault="00B72FC3" w:rsidP="00B72FC3">
      <w:pPr>
        <w:rPr>
          <w:rFonts w:cs="Arial"/>
          <w:color w:val="0000FF"/>
          <w:sz w:val="20"/>
          <w:szCs w:val="20"/>
          <w:u w:val="single"/>
        </w:rPr>
      </w:pPr>
      <w:r w:rsidRPr="00D202E7">
        <w:rPr>
          <w:rStyle w:val="FootnoteReference"/>
          <w:sz w:val="20"/>
          <w:szCs w:val="20"/>
        </w:rPr>
        <w:footnoteRef/>
      </w:r>
      <w:r w:rsidRPr="00D202E7">
        <w:rPr>
          <w:rFonts w:cs="Arial"/>
          <w:sz w:val="20"/>
          <w:szCs w:val="20"/>
        </w:rPr>
        <w:t xml:space="preserve"> </w:t>
      </w:r>
      <w:r w:rsidRPr="00D202E7">
        <w:rPr>
          <w:rFonts w:cs="Arial"/>
          <w:kern w:val="0"/>
          <w:sz w:val="20"/>
          <w:szCs w:val="20"/>
        </w:rPr>
        <w:t xml:space="preserve">Welsh Government July 2025 - </w:t>
      </w:r>
      <w:hyperlink r:id="rId269" w:history="1">
        <w:r w:rsidRPr="00D202E7">
          <w:rPr>
            <w:rStyle w:val="Hyperlink"/>
            <w:rFonts w:cs="Arial"/>
            <w:color w:val="0000FF"/>
            <w:sz w:val="20"/>
            <w:szCs w:val="20"/>
          </w:rPr>
          <w:t>Mid-year estimates of the population: 2024</w:t>
        </w:r>
      </w:hyperlink>
    </w:p>
    <w:p w14:paraId="441009E6" w14:textId="77777777" w:rsidR="00B72FC3" w:rsidRDefault="00B72FC3" w:rsidP="00B72FC3">
      <w:pPr>
        <w:pStyle w:val="FootnoteText"/>
        <w:rPr>
          <w:rFonts w:ascii="Aptos" w:hAnsi="Aptos"/>
        </w:rPr>
      </w:pPr>
    </w:p>
    <w:p w14:paraId="36588623" w14:textId="77777777" w:rsidR="00B72FC3" w:rsidRDefault="00B72FC3" w:rsidP="00B72FC3">
      <w:pPr>
        <w:pStyle w:val="FootnoteText"/>
      </w:pPr>
    </w:p>
  </w:footnote>
  <w:footnote w:id="273">
    <w:p w14:paraId="43D3687A" w14:textId="77777777" w:rsidR="00AA5968" w:rsidRPr="00741989" w:rsidRDefault="00AA5968" w:rsidP="00AA5968">
      <w:pPr>
        <w:pStyle w:val="FootnoteText"/>
        <w:rPr>
          <w:rFonts w:cs="Arial"/>
        </w:rPr>
      </w:pPr>
      <w:r w:rsidRPr="00741989">
        <w:rPr>
          <w:rStyle w:val="FootnoteReference"/>
          <w:sz w:val="20"/>
        </w:rPr>
        <w:footnoteRef/>
      </w:r>
      <w:r w:rsidRPr="00741989">
        <w:rPr>
          <w:rFonts w:cs="Arial"/>
        </w:rPr>
        <w:t xml:space="preserve"> NHS Wales Shared Services Partnership - </w:t>
      </w:r>
      <w:hyperlink r:id="rId270" w:history="1">
        <w:r w:rsidRPr="00741989">
          <w:rPr>
            <w:rStyle w:val="Hyperlink"/>
            <w:rFonts w:cs="Arial"/>
            <w:color w:val="0000FF"/>
          </w:rPr>
          <w:t>GP practice analysis and patient registrations by practice</w:t>
        </w:r>
      </w:hyperlink>
    </w:p>
  </w:footnote>
  <w:footnote w:id="274">
    <w:p w14:paraId="205BF82C" w14:textId="77777777" w:rsidR="00AA5968" w:rsidRPr="00741989" w:rsidRDefault="00AA5968" w:rsidP="00AA5968">
      <w:pPr>
        <w:rPr>
          <w:rFonts w:cs="Arial"/>
          <w:sz w:val="20"/>
          <w:szCs w:val="20"/>
        </w:rPr>
      </w:pPr>
      <w:r w:rsidRPr="00741989">
        <w:rPr>
          <w:rStyle w:val="FootnoteReference"/>
          <w:sz w:val="20"/>
          <w:szCs w:val="20"/>
        </w:rPr>
        <w:footnoteRef/>
      </w:r>
      <w:r w:rsidRPr="00741989">
        <w:rPr>
          <w:rFonts w:cs="Arial"/>
          <w:sz w:val="20"/>
          <w:szCs w:val="20"/>
        </w:rPr>
        <w:t xml:space="preserve"> Office of National Statistics - </w:t>
      </w:r>
      <w:hyperlink r:id="rId271" w:history="1">
        <w:r w:rsidRPr="00741989">
          <w:rPr>
            <w:rStyle w:val="Hyperlink"/>
            <w:rFonts w:cs="Arial"/>
            <w:color w:val="0000FF"/>
            <w:sz w:val="20"/>
            <w:szCs w:val="20"/>
          </w:rPr>
          <w:t>How life has changed in Swansea: Census 2021</w:t>
        </w:r>
      </w:hyperlink>
    </w:p>
  </w:footnote>
  <w:footnote w:id="275">
    <w:p w14:paraId="034C8063" w14:textId="77777777" w:rsidR="00AA5968" w:rsidRPr="00741989" w:rsidRDefault="00AA5968" w:rsidP="00AA5968">
      <w:pPr>
        <w:pStyle w:val="FootnoteText"/>
        <w:rPr>
          <w:rFonts w:cs="Arial"/>
        </w:rPr>
      </w:pPr>
      <w:r w:rsidRPr="00741989">
        <w:rPr>
          <w:rStyle w:val="FootnoteReference"/>
          <w:sz w:val="20"/>
        </w:rPr>
        <w:footnoteRef/>
      </w:r>
      <w:r w:rsidRPr="00741989">
        <w:rPr>
          <w:rFonts w:cs="Arial"/>
        </w:rPr>
        <w:t xml:space="preserve"> Welsh Government November 2025 - </w:t>
      </w:r>
      <w:hyperlink r:id="rId272" w:anchor=":~:text=the%20local%20authorities%20projected%20to,0%20to%2015%20years%20old" w:history="1">
        <w:r w:rsidRPr="00741989">
          <w:rPr>
            <w:rStyle w:val="Hyperlink"/>
            <w:rFonts w:cs="Arial"/>
            <w:color w:val="0000FF"/>
          </w:rPr>
          <w:t xml:space="preserve">Local authority population projections: 2022-based </w:t>
        </w:r>
      </w:hyperlink>
    </w:p>
  </w:footnote>
  <w:footnote w:id="276">
    <w:p w14:paraId="28E6059F" w14:textId="77777777" w:rsidR="00AA5968" w:rsidRPr="00741989" w:rsidRDefault="00AA5968" w:rsidP="00AA5968">
      <w:pPr>
        <w:rPr>
          <w:rFonts w:cs="Arial"/>
          <w:sz w:val="20"/>
          <w:szCs w:val="20"/>
        </w:rPr>
      </w:pPr>
      <w:r w:rsidRPr="00741989">
        <w:rPr>
          <w:rStyle w:val="FootnoteReference"/>
          <w:sz w:val="20"/>
          <w:szCs w:val="20"/>
        </w:rPr>
        <w:footnoteRef/>
      </w:r>
      <w:r w:rsidRPr="00741989">
        <w:rPr>
          <w:rFonts w:cs="Arial"/>
          <w:sz w:val="20"/>
          <w:szCs w:val="20"/>
        </w:rPr>
        <w:t xml:space="preserve"> Welsh Government StatsWales - </w:t>
      </w:r>
      <w:hyperlink r:id="rId273" w:history="1">
        <w:r w:rsidRPr="00741989">
          <w:rPr>
            <w:rStyle w:val="Hyperlink"/>
            <w:rFonts w:cs="Arial"/>
            <w:color w:val="0000FF"/>
            <w:sz w:val="20"/>
            <w:szCs w:val="20"/>
          </w:rPr>
          <w:t xml:space="preserve">Welsh Index of Multiple Deprivation 2025 local authority deprivation profiles </w:t>
        </w:r>
      </w:hyperlink>
      <w:r w:rsidRPr="00741989">
        <w:rPr>
          <w:rFonts w:cs="Arial"/>
          <w:sz w:val="20"/>
          <w:szCs w:val="20"/>
        </w:rPr>
        <w:t xml:space="preserve"> </w:t>
      </w:r>
    </w:p>
  </w:footnote>
  <w:footnote w:id="277">
    <w:p w14:paraId="1B726C53" w14:textId="77777777" w:rsidR="00AA5968" w:rsidRDefault="00AA5968" w:rsidP="00AA5968">
      <w:pPr>
        <w:pStyle w:val="FootnoteText"/>
        <w:rPr>
          <w:rFonts w:ascii="Aptos" w:hAnsi="Aptos"/>
        </w:rPr>
      </w:pPr>
      <w:r w:rsidRPr="00741989">
        <w:rPr>
          <w:rStyle w:val="FootnoteReference"/>
          <w:sz w:val="20"/>
        </w:rPr>
        <w:footnoteRef/>
      </w:r>
      <w:r w:rsidRPr="00741989">
        <w:rPr>
          <w:rFonts w:cs="Arial"/>
        </w:rPr>
        <w:t xml:space="preserve"> Welsh Government StatsWales - </w:t>
      </w:r>
      <w:hyperlink r:id="rId274" w:history="1">
        <w:r w:rsidRPr="00741989">
          <w:rPr>
            <w:rStyle w:val="Hyperlink"/>
            <w:rFonts w:cs="Arial"/>
            <w:color w:val="0000FF"/>
          </w:rPr>
          <w:t>Welsh Index of Multiple Deprivation 2025 local authority deprivation profiles</w:t>
        </w:r>
        <w:r>
          <w:rPr>
            <w:rStyle w:val="Hyperlink"/>
            <w:rFonts w:cs="Arial"/>
            <w:color w:val="0000FF"/>
          </w:rPr>
          <w:t xml:space="preserve"> </w:t>
        </w:r>
      </w:hyperlink>
    </w:p>
  </w:footnote>
  <w:footnote w:id="278">
    <w:p w14:paraId="0FB2622E" w14:textId="77777777" w:rsidR="00AA5968" w:rsidRPr="00741989" w:rsidRDefault="00AA5968" w:rsidP="00AA5968">
      <w:pPr>
        <w:rPr>
          <w:rFonts w:cs="Arial"/>
          <w:sz w:val="20"/>
          <w:szCs w:val="20"/>
        </w:rPr>
      </w:pPr>
      <w:r w:rsidRPr="00741989">
        <w:rPr>
          <w:rStyle w:val="FootnoteReference"/>
          <w:sz w:val="20"/>
          <w:szCs w:val="20"/>
        </w:rPr>
        <w:footnoteRef/>
      </w:r>
      <w:r w:rsidRPr="00741989">
        <w:rPr>
          <w:rFonts w:cs="Arial"/>
          <w:sz w:val="20"/>
          <w:szCs w:val="20"/>
        </w:rPr>
        <w:t xml:space="preserve"> Welsh Government - </w:t>
      </w:r>
      <w:hyperlink r:id="rId275" w:anchor=":~:text=variant%2C%20on%20StatsWales-,It%20is%20projected%20that%20all%20local%20authorities%2C%20other%20than%20Newport,and%20Bridgend%20(up%2023.1%25)." w:history="1">
        <w:r w:rsidRPr="00741989">
          <w:rPr>
            <w:rStyle w:val="Hyperlink"/>
            <w:rFonts w:cs="Arial"/>
            <w:color w:val="0000FF"/>
            <w:sz w:val="20"/>
            <w:szCs w:val="20"/>
          </w:rPr>
          <w:t>Local authority population projections: 2022-based</w:t>
        </w:r>
      </w:hyperlink>
    </w:p>
  </w:footnote>
  <w:footnote w:id="279">
    <w:p w14:paraId="496D30C3" w14:textId="77777777" w:rsidR="00AA5968" w:rsidRPr="00741989" w:rsidRDefault="00AA5968" w:rsidP="00AA5968">
      <w:pPr>
        <w:rPr>
          <w:rFonts w:cs="Arial"/>
          <w:sz w:val="20"/>
          <w:szCs w:val="20"/>
        </w:rPr>
      </w:pPr>
      <w:r w:rsidRPr="00741989">
        <w:rPr>
          <w:rStyle w:val="FootnoteReference"/>
          <w:sz w:val="20"/>
          <w:szCs w:val="20"/>
        </w:rPr>
        <w:footnoteRef/>
      </w:r>
      <w:r w:rsidRPr="00741989">
        <w:rPr>
          <w:rFonts w:cs="Arial"/>
          <w:sz w:val="20"/>
          <w:szCs w:val="20"/>
        </w:rPr>
        <w:t xml:space="preserve"> Office of National Statistics Census 2021 -</w:t>
      </w:r>
      <w:r w:rsidRPr="00741989">
        <w:rPr>
          <w:rFonts w:cs="Arial"/>
          <w:color w:val="0000FF"/>
          <w:sz w:val="20"/>
          <w:szCs w:val="20"/>
        </w:rPr>
        <w:t xml:space="preserve"> </w:t>
      </w:r>
      <w:hyperlink r:id="rId276" w:history="1">
        <w:r w:rsidRPr="00741989">
          <w:rPr>
            <w:rStyle w:val="Hyperlink"/>
            <w:rFonts w:cs="Arial"/>
            <w:color w:val="0000FF"/>
            <w:sz w:val="20"/>
            <w:szCs w:val="20"/>
          </w:rPr>
          <w:t>Healthy life expectancy, UK: between 2011 to 2013 and 2022 to 2024</w:t>
        </w:r>
      </w:hyperlink>
      <w:r w:rsidRPr="00741989">
        <w:rPr>
          <w:rFonts w:cs="Arial"/>
          <w:color w:val="0000FF"/>
          <w:sz w:val="20"/>
          <w:szCs w:val="20"/>
          <w:u w:val="single"/>
        </w:rPr>
        <w:t xml:space="preserve"> </w:t>
      </w:r>
    </w:p>
  </w:footnote>
  <w:footnote w:id="280">
    <w:p w14:paraId="7CF48F90" w14:textId="77777777" w:rsidR="00AA5968" w:rsidRPr="00741989" w:rsidRDefault="00AA5968" w:rsidP="00AA5968">
      <w:pPr>
        <w:pStyle w:val="FootnoteText"/>
        <w:rPr>
          <w:rFonts w:cs="Arial"/>
        </w:rPr>
      </w:pPr>
      <w:r w:rsidRPr="00741989">
        <w:rPr>
          <w:rStyle w:val="FootnoteReference"/>
          <w:sz w:val="20"/>
        </w:rPr>
        <w:footnoteRef/>
      </w:r>
      <w:r w:rsidRPr="00741989">
        <w:rPr>
          <w:rFonts w:cs="Arial"/>
        </w:rPr>
        <w:t xml:space="preserve"> Public Health Wales - </w:t>
      </w:r>
      <w:hyperlink r:id="rId277" w:history="1">
        <w:r w:rsidRPr="00741989">
          <w:rPr>
            <w:rStyle w:val="Hyperlink"/>
            <w:rFonts w:cs="Arial"/>
            <w:color w:val="0000FF"/>
          </w:rPr>
          <w:t>Public Health Outcomes Framework 2025</w:t>
        </w:r>
      </w:hyperlink>
    </w:p>
  </w:footnote>
  <w:footnote w:id="281">
    <w:p w14:paraId="4D3488A3" w14:textId="77777777" w:rsidR="00AA5968" w:rsidRDefault="00AA5968" w:rsidP="00AA5968">
      <w:pPr>
        <w:rPr>
          <w:rFonts w:ascii="Aptos" w:hAnsi="Aptos" w:cs="Arial"/>
          <w:sz w:val="20"/>
          <w:szCs w:val="20"/>
        </w:rPr>
      </w:pPr>
      <w:r w:rsidRPr="00741989">
        <w:rPr>
          <w:rStyle w:val="FootnoteReference"/>
          <w:sz w:val="20"/>
          <w:szCs w:val="20"/>
        </w:rPr>
        <w:footnoteRef/>
      </w:r>
      <w:r w:rsidRPr="00741989">
        <w:rPr>
          <w:rFonts w:cs="Arial"/>
          <w:sz w:val="20"/>
          <w:szCs w:val="20"/>
        </w:rPr>
        <w:t xml:space="preserve"> InfoBaseCymru data for an intelligent Wales - </w:t>
      </w:r>
      <w:hyperlink r:id="rId278" w:history="1">
        <w:r w:rsidRPr="00741989">
          <w:rPr>
            <w:rStyle w:val="Hyperlink"/>
            <w:rFonts w:cs="Arial"/>
            <w:color w:val="0000FF"/>
            <w:sz w:val="20"/>
            <w:szCs w:val="20"/>
          </w:rPr>
          <w:t>Life expectancy in males and females</w:t>
        </w:r>
      </w:hyperlink>
      <w:r w:rsidRPr="00741989">
        <w:rPr>
          <w:rFonts w:cs="Arial"/>
          <w:sz w:val="20"/>
          <w:szCs w:val="20"/>
        </w:rPr>
        <w:t xml:space="preserve"> (2020 to 2022)</w:t>
      </w:r>
    </w:p>
  </w:footnote>
  <w:footnote w:id="282">
    <w:p w14:paraId="736AC2D5" w14:textId="77777777" w:rsidR="00AA5968" w:rsidRPr="00741989" w:rsidRDefault="00AA5968" w:rsidP="00AA5968">
      <w:pPr>
        <w:rPr>
          <w:rFonts w:cs="Arial"/>
          <w:sz w:val="20"/>
          <w:szCs w:val="20"/>
        </w:rPr>
      </w:pPr>
      <w:r w:rsidRPr="00741989">
        <w:rPr>
          <w:rStyle w:val="FootnoteReference"/>
          <w:sz w:val="20"/>
          <w:szCs w:val="20"/>
        </w:rPr>
        <w:footnoteRef/>
      </w:r>
      <w:r w:rsidRPr="00741989">
        <w:rPr>
          <w:rFonts w:cs="Arial"/>
          <w:sz w:val="20"/>
          <w:szCs w:val="20"/>
        </w:rPr>
        <w:t xml:space="preserve"> Welsh Government December 2025 - </w:t>
      </w:r>
      <w:hyperlink r:id="rId279" w:history="1">
        <w:r w:rsidRPr="00741989">
          <w:rPr>
            <w:rStyle w:val="Hyperlink"/>
            <w:rFonts w:cs="Arial"/>
            <w:color w:val="0000FF"/>
            <w:sz w:val="20"/>
            <w:szCs w:val="20"/>
          </w:rPr>
          <w:t xml:space="preserve">Welsh Index of Multiple Deprivation 2025 results report: overall index </w:t>
        </w:r>
      </w:hyperlink>
    </w:p>
  </w:footnote>
  <w:footnote w:id="283">
    <w:p w14:paraId="61C15B9D" w14:textId="77777777" w:rsidR="00AA5968" w:rsidRPr="00741989" w:rsidRDefault="00AA5968" w:rsidP="00AA5968">
      <w:pPr>
        <w:pStyle w:val="FootnoteText"/>
        <w:rPr>
          <w:rFonts w:ascii="Aptos" w:hAnsi="Aptos"/>
        </w:rPr>
      </w:pPr>
      <w:r w:rsidRPr="00741989">
        <w:rPr>
          <w:rStyle w:val="FootnoteReference"/>
          <w:sz w:val="20"/>
        </w:rPr>
        <w:footnoteRef/>
      </w:r>
      <w:r w:rsidRPr="00741989">
        <w:rPr>
          <w:rFonts w:cs="Arial"/>
        </w:rPr>
        <w:t xml:space="preserve"> Public Health Wales - </w:t>
      </w:r>
      <w:hyperlink r:id="rId280" w:history="1">
        <w:r w:rsidRPr="00741989">
          <w:rPr>
            <w:rStyle w:val="Hyperlink"/>
            <w:rFonts w:cs="Arial"/>
            <w:color w:val="0000FF"/>
          </w:rPr>
          <w:t>Primary care localities dashboard</w:t>
        </w:r>
      </w:hyperlink>
    </w:p>
  </w:footnote>
  <w:footnote w:id="284">
    <w:p w14:paraId="51E48826" w14:textId="77777777" w:rsidR="00AA5968" w:rsidRDefault="00AA5968" w:rsidP="00AA5968">
      <w:pPr>
        <w:rPr>
          <w:rFonts w:cs="Arial"/>
          <w:sz w:val="20"/>
          <w:szCs w:val="20"/>
        </w:rPr>
      </w:pPr>
      <w:r w:rsidRPr="00741989">
        <w:rPr>
          <w:rStyle w:val="FootnoteReference"/>
          <w:sz w:val="20"/>
          <w:szCs w:val="20"/>
        </w:rPr>
        <w:footnoteRef/>
      </w:r>
      <w:r w:rsidRPr="00741989">
        <w:rPr>
          <w:rFonts w:cs="Arial"/>
          <w:sz w:val="20"/>
          <w:szCs w:val="20"/>
        </w:rPr>
        <w:t xml:space="preserve"> Welsh Government StatsWales - </w:t>
      </w:r>
      <w:hyperlink r:id="rId281" w:history="1">
        <w:r w:rsidRPr="00741989">
          <w:rPr>
            <w:rStyle w:val="Hyperlink"/>
            <w:rFonts w:cs="Arial"/>
            <w:color w:val="0000FF"/>
            <w:sz w:val="20"/>
            <w:szCs w:val="20"/>
          </w:rPr>
          <w:t>Disease registers by local health board, locality and GP practice</w:t>
        </w:r>
        <w:r>
          <w:rPr>
            <w:rStyle w:val="Hyperlink"/>
            <w:rFonts w:cs="Arial"/>
            <w:color w:val="0000FF"/>
            <w:sz w:val="20"/>
            <w:szCs w:val="20"/>
          </w:rPr>
          <w:t xml:space="preserve"> </w:t>
        </w:r>
      </w:hyperlink>
    </w:p>
  </w:footnote>
  <w:footnote w:id="285">
    <w:p w14:paraId="47480C25" w14:textId="77777777" w:rsidR="00AA5968" w:rsidRPr="00741989" w:rsidRDefault="00AA5968" w:rsidP="00AA5968">
      <w:pPr>
        <w:pStyle w:val="FootnoteText"/>
        <w:rPr>
          <w:rFonts w:ascii="Aptos" w:hAnsi="Aptos"/>
        </w:rPr>
      </w:pPr>
      <w:r w:rsidRPr="00741989">
        <w:rPr>
          <w:rStyle w:val="FootnoteReference"/>
          <w:sz w:val="20"/>
        </w:rPr>
        <w:footnoteRef/>
      </w:r>
      <w:r w:rsidRPr="00741989">
        <w:rPr>
          <w:rFonts w:cs="Arial"/>
        </w:rPr>
        <w:t xml:space="preserve"> Welsh Government StatsWales - </w:t>
      </w:r>
      <w:hyperlink r:id="rId282" w:history="1">
        <w:r w:rsidRPr="00741989">
          <w:rPr>
            <w:rStyle w:val="Hyperlink"/>
            <w:rFonts w:cs="Arial"/>
            <w:color w:val="0000FF"/>
          </w:rPr>
          <w:t>Disease registers by local health board, locality and GP practice</w:t>
        </w:r>
        <w:r w:rsidRPr="00741989">
          <w:rPr>
            <w:rStyle w:val="Hyperlink"/>
            <w:color w:val="0000FF"/>
          </w:rPr>
          <w:t xml:space="preserve"> </w:t>
        </w:r>
      </w:hyperlink>
    </w:p>
  </w:footnote>
  <w:footnote w:id="286">
    <w:p w14:paraId="3206C853" w14:textId="77777777" w:rsidR="00AA5968" w:rsidRPr="00741989" w:rsidRDefault="00AA5968" w:rsidP="00AA5968">
      <w:pPr>
        <w:pStyle w:val="FootnoteText"/>
        <w:rPr>
          <w:rFonts w:cs="Arial"/>
        </w:rPr>
      </w:pPr>
      <w:r w:rsidRPr="00741989">
        <w:rPr>
          <w:rStyle w:val="FootnoteReference"/>
          <w:sz w:val="20"/>
        </w:rPr>
        <w:footnoteRef/>
      </w:r>
      <w:r w:rsidRPr="00741989">
        <w:rPr>
          <w:rFonts w:cs="Arial"/>
        </w:rPr>
        <w:t xml:space="preserve"> Welsh Government StatsWales - </w:t>
      </w:r>
      <w:hyperlink r:id="rId283" w:history="1">
        <w:r w:rsidRPr="00741989">
          <w:rPr>
            <w:rStyle w:val="Hyperlink"/>
            <w:rFonts w:cs="Arial"/>
            <w:color w:val="0000FF"/>
          </w:rPr>
          <w:t xml:space="preserve">Disease registers by local health board, locality and GP practice </w:t>
        </w:r>
      </w:hyperlink>
    </w:p>
  </w:footnote>
  <w:footnote w:id="287">
    <w:p w14:paraId="493FECAC" w14:textId="77777777" w:rsidR="00AA5968" w:rsidRDefault="00AA5968" w:rsidP="00AA5968">
      <w:pPr>
        <w:pStyle w:val="FootnoteText"/>
        <w:rPr>
          <w:rFonts w:cs="Arial"/>
        </w:rPr>
      </w:pPr>
      <w:r w:rsidRPr="00741989">
        <w:rPr>
          <w:rStyle w:val="FootnoteReference"/>
          <w:sz w:val="20"/>
        </w:rPr>
        <w:footnoteRef/>
      </w:r>
      <w:r w:rsidRPr="00741989">
        <w:rPr>
          <w:rFonts w:cs="Arial"/>
        </w:rPr>
        <w:t xml:space="preserve"> InfoBaseCymru data for an intelligent Wales - </w:t>
      </w:r>
      <w:hyperlink r:id="rId284" w:history="1">
        <w:r w:rsidRPr="00741989">
          <w:rPr>
            <w:rStyle w:val="Hyperlink"/>
            <w:rFonts w:cs="Arial"/>
            <w:color w:val="0000FF"/>
          </w:rPr>
          <w:t xml:space="preserve">Adults reporting lifestyle behaviours </w:t>
        </w:r>
      </w:hyperlink>
      <w:r w:rsidRPr="00741989">
        <w:rPr>
          <w:rFonts w:cs="Arial"/>
        </w:rPr>
        <w:t>(2021 to 2023)</w:t>
      </w:r>
    </w:p>
  </w:footnote>
  <w:footnote w:id="288">
    <w:p w14:paraId="2A36F0CC" w14:textId="77777777" w:rsidR="007B106A" w:rsidRPr="00D202E7" w:rsidRDefault="007B106A" w:rsidP="007B106A">
      <w:pPr>
        <w:rPr>
          <w:rFonts w:cs="Arial"/>
          <w:sz w:val="20"/>
          <w:szCs w:val="20"/>
        </w:rPr>
      </w:pPr>
      <w:r w:rsidRPr="00D202E7">
        <w:rPr>
          <w:rStyle w:val="FootnoteReference"/>
          <w:sz w:val="20"/>
          <w:szCs w:val="20"/>
        </w:rPr>
        <w:footnoteRef/>
      </w:r>
      <w:r w:rsidRPr="00D202E7">
        <w:rPr>
          <w:rFonts w:cs="Arial"/>
          <w:sz w:val="20"/>
          <w:szCs w:val="20"/>
        </w:rPr>
        <w:t xml:space="preserve"> </w:t>
      </w:r>
      <w:r w:rsidRPr="00D202E7">
        <w:rPr>
          <w:rFonts w:cs="Arial"/>
          <w:kern w:val="0"/>
          <w:sz w:val="20"/>
          <w:szCs w:val="20"/>
        </w:rPr>
        <w:t xml:space="preserve">Office of National Statistics Census 2021 - </w:t>
      </w:r>
      <w:hyperlink r:id="rId285" w:history="1">
        <w:r w:rsidRPr="00D202E7">
          <w:rPr>
            <w:rStyle w:val="Hyperlink"/>
            <w:rFonts w:cs="Arial"/>
            <w:color w:val="0000FF"/>
            <w:sz w:val="20"/>
            <w:szCs w:val="20"/>
          </w:rPr>
          <w:t>Population estimates for England and Wales: mid 2024</w:t>
        </w:r>
      </w:hyperlink>
    </w:p>
  </w:footnote>
  <w:footnote w:id="289">
    <w:p w14:paraId="18C08493" w14:textId="77777777" w:rsidR="007B106A" w:rsidRPr="00D202E7" w:rsidRDefault="007B106A" w:rsidP="007B106A">
      <w:pPr>
        <w:rPr>
          <w:rFonts w:cs="Arial"/>
          <w:color w:val="0000FF"/>
          <w:sz w:val="20"/>
          <w:szCs w:val="20"/>
          <w:u w:val="single"/>
        </w:rPr>
      </w:pPr>
      <w:r w:rsidRPr="00D202E7">
        <w:rPr>
          <w:rStyle w:val="FootnoteReference"/>
          <w:sz w:val="20"/>
          <w:szCs w:val="20"/>
        </w:rPr>
        <w:footnoteRef/>
      </w:r>
      <w:r w:rsidRPr="00D202E7">
        <w:rPr>
          <w:rFonts w:cs="Arial"/>
          <w:sz w:val="20"/>
          <w:szCs w:val="20"/>
        </w:rPr>
        <w:t xml:space="preserve"> </w:t>
      </w:r>
      <w:r w:rsidRPr="00D202E7">
        <w:rPr>
          <w:rFonts w:cs="Arial"/>
          <w:kern w:val="0"/>
          <w:sz w:val="20"/>
          <w:szCs w:val="20"/>
        </w:rPr>
        <w:t xml:space="preserve">Welsh Government July 2025 - </w:t>
      </w:r>
      <w:hyperlink r:id="rId286" w:history="1">
        <w:r w:rsidRPr="00D202E7">
          <w:rPr>
            <w:rStyle w:val="Hyperlink"/>
            <w:rFonts w:cs="Arial"/>
            <w:color w:val="0000FF"/>
            <w:sz w:val="20"/>
            <w:szCs w:val="20"/>
          </w:rPr>
          <w:t>Mid-year estimates of the population: 2024</w:t>
        </w:r>
      </w:hyperlink>
    </w:p>
    <w:p w14:paraId="2CAAB34D" w14:textId="77777777" w:rsidR="007B106A" w:rsidRDefault="007B106A" w:rsidP="007B106A">
      <w:pPr>
        <w:pStyle w:val="FootnoteText"/>
        <w:rPr>
          <w:rFonts w:ascii="Aptos" w:hAnsi="Aptos"/>
        </w:rPr>
      </w:pPr>
    </w:p>
    <w:p w14:paraId="2BAD57C8" w14:textId="77777777" w:rsidR="007B106A" w:rsidRDefault="007B106A" w:rsidP="007B106A">
      <w:pPr>
        <w:pStyle w:val="FootnoteText"/>
      </w:pPr>
    </w:p>
  </w:footnote>
  <w:footnote w:id="290">
    <w:p w14:paraId="1C785945" w14:textId="77777777" w:rsidR="00122285" w:rsidRPr="00122285" w:rsidRDefault="00122285" w:rsidP="00122285">
      <w:pPr>
        <w:pStyle w:val="FootnoteText"/>
        <w:rPr>
          <w:rFonts w:cs="Arial"/>
        </w:rPr>
      </w:pPr>
      <w:r w:rsidRPr="00122285">
        <w:rPr>
          <w:rStyle w:val="FootnoteReference"/>
          <w:sz w:val="20"/>
        </w:rPr>
        <w:footnoteRef/>
      </w:r>
      <w:r w:rsidRPr="00122285">
        <w:rPr>
          <w:rFonts w:cs="Arial"/>
        </w:rPr>
        <w:t xml:space="preserve"> NHS Wales Shared Services Partnership - </w:t>
      </w:r>
      <w:hyperlink r:id="rId287" w:history="1">
        <w:r w:rsidRPr="00122285">
          <w:rPr>
            <w:rStyle w:val="Hyperlink"/>
            <w:rFonts w:cs="Arial"/>
            <w:color w:val="0000FF"/>
          </w:rPr>
          <w:t>GP practice analysis and patient registrations by practice</w:t>
        </w:r>
      </w:hyperlink>
    </w:p>
  </w:footnote>
  <w:footnote w:id="291">
    <w:p w14:paraId="5005781E" w14:textId="77777777" w:rsidR="00122285" w:rsidRPr="00122285" w:rsidRDefault="00122285" w:rsidP="00122285">
      <w:pPr>
        <w:rPr>
          <w:rFonts w:cs="Arial"/>
          <w:sz w:val="20"/>
          <w:szCs w:val="20"/>
        </w:rPr>
      </w:pPr>
      <w:r w:rsidRPr="00122285">
        <w:rPr>
          <w:rStyle w:val="FootnoteReference"/>
          <w:sz w:val="20"/>
          <w:szCs w:val="20"/>
        </w:rPr>
        <w:footnoteRef/>
      </w:r>
      <w:r w:rsidRPr="00122285">
        <w:rPr>
          <w:rFonts w:cs="Arial"/>
          <w:sz w:val="20"/>
          <w:szCs w:val="20"/>
        </w:rPr>
        <w:t xml:space="preserve"> Office of National Statistics - </w:t>
      </w:r>
      <w:hyperlink r:id="rId288" w:history="1">
        <w:r w:rsidRPr="00122285">
          <w:rPr>
            <w:rStyle w:val="Hyperlink"/>
            <w:rFonts w:cs="Arial"/>
            <w:color w:val="0000FF"/>
            <w:sz w:val="20"/>
            <w:szCs w:val="20"/>
          </w:rPr>
          <w:t>How life has changed in Swansea: Census 2021</w:t>
        </w:r>
      </w:hyperlink>
    </w:p>
  </w:footnote>
  <w:footnote w:id="292">
    <w:p w14:paraId="7CDDFEBF" w14:textId="77777777" w:rsidR="00122285" w:rsidRPr="00122285" w:rsidRDefault="00122285" w:rsidP="00122285">
      <w:pPr>
        <w:pStyle w:val="FootnoteText"/>
        <w:rPr>
          <w:rFonts w:cs="Arial"/>
        </w:rPr>
      </w:pPr>
      <w:r w:rsidRPr="00122285">
        <w:rPr>
          <w:rStyle w:val="FootnoteReference"/>
          <w:sz w:val="20"/>
        </w:rPr>
        <w:footnoteRef/>
      </w:r>
      <w:r w:rsidRPr="00122285">
        <w:rPr>
          <w:rFonts w:cs="Arial"/>
        </w:rPr>
        <w:t xml:space="preserve"> Welsh Government November 2025 - </w:t>
      </w:r>
      <w:hyperlink r:id="rId289" w:anchor=":~:text=the%20local%20authorities%20projected%20to,0%20to%2015%20years%20old" w:history="1">
        <w:r w:rsidRPr="00122285">
          <w:rPr>
            <w:rStyle w:val="Hyperlink"/>
            <w:rFonts w:cs="Arial"/>
            <w:color w:val="0000FF"/>
          </w:rPr>
          <w:t xml:space="preserve">Local authority population projections: 2022-based </w:t>
        </w:r>
      </w:hyperlink>
    </w:p>
  </w:footnote>
  <w:footnote w:id="293">
    <w:p w14:paraId="6B82DC25" w14:textId="77777777" w:rsidR="00122285" w:rsidRDefault="00122285" w:rsidP="00122285">
      <w:pPr>
        <w:rPr>
          <w:rFonts w:cs="Arial"/>
          <w:sz w:val="20"/>
          <w:szCs w:val="20"/>
        </w:rPr>
      </w:pPr>
      <w:r w:rsidRPr="00122285">
        <w:rPr>
          <w:rStyle w:val="FootnoteReference"/>
          <w:sz w:val="20"/>
          <w:szCs w:val="20"/>
        </w:rPr>
        <w:footnoteRef/>
      </w:r>
      <w:r w:rsidRPr="00122285">
        <w:rPr>
          <w:rFonts w:cs="Arial"/>
          <w:sz w:val="20"/>
          <w:szCs w:val="20"/>
        </w:rPr>
        <w:t xml:space="preserve"> Welsh Government StatsWales - </w:t>
      </w:r>
      <w:hyperlink r:id="rId290" w:history="1">
        <w:r w:rsidRPr="00122285">
          <w:rPr>
            <w:rStyle w:val="Hyperlink"/>
            <w:rFonts w:cs="Arial"/>
            <w:color w:val="0000FF"/>
            <w:sz w:val="20"/>
            <w:szCs w:val="20"/>
          </w:rPr>
          <w:t xml:space="preserve">Welsh Index of Multiple Deprivation 2025 local authority deprivation profiles </w:t>
        </w:r>
      </w:hyperlink>
      <w:r w:rsidRPr="00122285">
        <w:rPr>
          <w:rFonts w:cs="Arial"/>
          <w:sz w:val="20"/>
          <w:szCs w:val="20"/>
        </w:rPr>
        <w:t xml:space="preserve"> </w:t>
      </w:r>
    </w:p>
  </w:footnote>
  <w:footnote w:id="294">
    <w:p w14:paraId="164473E6" w14:textId="77777777" w:rsidR="00122285" w:rsidRPr="00122285" w:rsidRDefault="00122285" w:rsidP="00122285">
      <w:pPr>
        <w:rPr>
          <w:rFonts w:cs="Arial"/>
          <w:sz w:val="20"/>
          <w:szCs w:val="20"/>
        </w:rPr>
      </w:pPr>
      <w:r w:rsidRPr="00122285">
        <w:rPr>
          <w:rStyle w:val="FootnoteReference"/>
          <w:sz w:val="20"/>
          <w:szCs w:val="20"/>
        </w:rPr>
        <w:footnoteRef/>
      </w:r>
      <w:r w:rsidRPr="00122285">
        <w:rPr>
          <w:rFonts w:cs="Arial"/>
          <w:sz w:val="20"/>
          <w:szCs w:val="20"/>
        </w:rPr>
        <w:t xml:space="preserve"> Welsh Government - </w:t>
      </w:r>
      <w:hyperlink r:id="rId291" w:anchor=":~:text=variant%2C%20on%20StatsWales-,It%20is%20projected%20that%20all%20local%20authorities%2C%20other%20than%20Newport,and%20Bridgend%20(up%2023.1%25)." w:history="1">
        <w:r w:rsidRPr="00122285">
          <w:rPr>
            <w:rStyle w:val="Hyperlink"/>
            <w:rFonts w:cs="Arial"/>
            <w:color w:val="0000FF"/>
            <w:sz w:val="20"/>
            <w:szCs w:val="20"/>
          </w:rPr>
          <w:t>Local authority population projections: 2022-based</w:t>
        </w:r>
      </w:hyperlink>
    </w:p>
  </w:footnote>
  <w:footnote w:id="295">
    <w:p w14:paraId="5B1F0D27" w14:textId="77777777" w:rsidR="00122285" w:rsidRPr="00122285" w:rsidRDefault="00122285" w:rsidP="00122285">
      <w:pPr>
        <w:rPr>
          <w:rFonts w:cs="Arial"/>
          <w:sz w:val="20"/>
          <w:szCs w:val="20"/>
        </w:rPr>
      </w:pPr>
      <w:r w:rsidRPr="00122285">
        <w:rPr>
          <w:rStyle w:val="FootnoteReference"/>
          <w:sz w:val="20"/>
          <w:szCs w:val="20"/>
        </w:rPr>
        <w:footnoteRef/>
      </w:r>
      <w:r w:rsidRPr="00122285">
        <w:rPr>
          <w:rFonts w:cs="Arial"/>
          <w:sz w:val="20"/>
          <w:szCs w:val="20"/>
        </w:rPr>
        <w:t xml:space="preserve"> Office of National Statistics Census 2021 -</w:t>
      </w:r>
      <w:r w:rsidRPr="00122285">
        <w:rPr>
          <w:rFonts w:cs="Arial"/>
          <w:color w:val="0000FF"/>
          <w:sz w:val="20"/>
          <w:szCs w:val="20"/>
        </w:rPr>
        <w:t xml:space="preserve"> </w:t>
      </w:r>
      <w:hyperlink r:id="rId292" w:history="1">
        <w:r w:rsidRPr="00122285">
          <w:rPr>
            <w:rStyle w:val="Hyperlink"/>
            <w:rFonts w:cs="Arial"/>
            <w:color w:val="0000FF"/>
            <w:sz w:val="20"/>
            <w:szCs w:val="20"/>
          </w:rPr>
          <w:t>Healthy life expectancy, UK: between 2011 to 2013 and 2022 to 2024</w:t>
        </w:r>
      </w:hyperlink>
      <w:r w:rsidRPr="00122285">
        <w:rPr>
          <w:rFonts w:cs="Arial"/>
          <w:color w:val="0000FF"/>
          <w:sz w:val="20"/>
          <w:szCs w:val="20"/>
          <w:u w:val="single"/>
        </w:rPr>
        <w:t xml:space="preserve"> </w:t>
      </w:r>
    </w:p>
  </w:footnote>
  <w:footnote w:id="296">
    <w:p w14:paraId="51487FC3" w14:textId="77777777" w:rsidR="00122285" w:rsidRPr="00122285" w:rsidRDefault="00122285" w:rsidP="00122285">
      <w:pPr>
        <w:pStyle w:val="FootnoteText"/>
        <w:rPr>
          <w:rFonts w:cs="Arial"/>
        </w:rPr>
      </w:pPr>
      <w:r w:rsidRPr="00122285">
        <w:rPr>
          <w:rStyle w:val="FootnoteReference"/>
          <w:sz w:val="20"/>
        </w:rPr>
        <w:footnoteRef/>
      </w:r>
      <w:r w:rsidRPr="00122285">
        <w:rPr>
          <w:rFonts w:cs="Arial"/>
        </w:rPr>
        <w:t xml:space="preserve"> Public Health Wales - </w:t>
      </w:r>
      <w:hyperlink r:id="rId293" w:history="1">
        <w:r w:rsidRPr="00122285">
          <w:rPr>
            <w:rStyle w:val="Hyperlink"/>
            <w:rFonts w:cs="Arial"/>
            <w:color w:val="0000FF"/>
          </w:rPr>
          <w:t>Public Health Outcomes Framework 2025</w:t>
        </w:r>
      </w:hyperlink>
    </w:p>
  </w:footnote>
  <w:footnote w:id="297">
    <w:p w14:paraId="655A3993" w14:textId="77777777" w:rsidR="00122285" w:rsidRDefault="00122285" w:rsidP="00122285">
      <w:pPr>
        <w:rPr>
          <w:rFonts w:ascii="Aptos" w:hAnsi="Aptos" w:cs="Arial"/>
          <w:sz w:val="20"/>
          <w:szCs w:val="20"/>
        </w:rPr>
      </w:pPr>
      <w:r w:rsidRPr="00122285">
        <w:rPr>
          <w:rStyle w:val="FootnoteReference"/>
          <w:sz w:val="20"/>
          <w:szCs w:val="20"/>
        </w:rPr>
        <w:footnoteRef/>
      </w:r>
      <w:r w:rsidRPr="00122285">
        <w:rPr>
          <w:rFonts w:cs="Arial"/>
          <w:sz w:val="20"/>
          <w:szCs w:val="20"/>
        </w:rPr>
        <w:t xml:space="preserve"> InfoBaseCymru data for an intelligent Wales - </w:t>
      </w:r>
      <w:hyperlink r:id="rId294" w:history="1">
        <w:r w:rsidRPr="00122285">
          <w:rPr>
            <w:rStyle w:val="Hyperlink"/>
            <w:rFonts w:cs="Arial"/>
            <w:color w:val="0000FF"/>
            <w:sz w:val="20"/>
            <w:szCs w:val="20"/>
          </w:rPr>
          <w:t>Life expectancy in males and females</w:t>
        </w:r>
      </w:hyperlink>
      <w:r w:rsidRPr="00122285">
        <w:rPr>
          <w:rFonts w:cs="Arial"/>
          <w:sz w:val="20"/>
          <w:szCs w:val="20"/>
        </w:rPr>
        <w:t xml:space="preserve"> (2020 to 2022)</w:t>
      </w:r>
    </w:p>
  </w:footnote>
  <w:footnote w:id="298">
    <w:p w14:paraId="515F9F28" w14:textId="77777777" w:rsidR="00122285" w:rsidRPr="00122285" w:rsidRDefault="00122285" w:rsidP="00122285">
      <w:pPr>
        <w:rPr>
          <w:rFonts w:cs="Arial"/>
          <w:sz w:val="20"/>
          <w:szCs w:val="20"/>
        </w:rPr>
      </w:pPr>
      <w:r w:rsidRPr="00122285">
        <w:rPr>
          <w:rStyle w:val="FootnoteReference"/>
          <w:sz w:val="20"/>
          <w:szCs w:val="20"/>
        </w:rPr>
        <w:footnoteRef/>
      </w:r>
      <w:r w:rsidRPr="00122285">
        <w:rPr>
          <w:rFonts w:cs="Arial"/>
          <w:sz w:val="20"/>
          <w:szCs w:val="20"/>
        </w:rPr>
        <w:t xml:space="preserve"> Welsh Government December 2025 - </w:t>
      </w:r>
      <w:hyperlink r:id="rId295" w:history="1">
        <w:r w:rsidRPr="00122285">
          <w:rPr>
            <w:rStyle w:val="Hyperlink"/>
            <w:rFonts w:cs="Arial"/>
            <w:color w:val="0000FF"/>
            <w:sz w:val="20"/>
            <w:szCs w:val="20"/>
          </w:rPr>
          <w:t xml:space="preserve">Welsh Index of Multiple Deprivation 2025 results report: overall index </w:t>
        </w:r>
      </w:hyperlink>
    </w:p>
  </w:footnote>
  <w:footnote w:id="299">
    <w:p w14:paraId="5C69AACE" w14:textId="77777777" w:rsidR="00122285" w:rsidRPr="00122285" w:rsidRDefault="00122285" w:rsidP="00122285">
      <w:pPr>
        <w:pStyle w:val="FootnoteText"/>
        <w:rPr>
          <w:rFonts w:ascii="Aptos" w:hAnsi="Aptos"/>
        </w:rPr>
      </w:pPr>
      <w:r w:rsidRPr="00122285">
        <w:rPr>
          <w:rStyle w:val="FootnoteReference"/>
          <w:sz w:val="20"/>
        </w:rPr>
        <w:footnoteRef/>
      </w:r>
      <w:r w:rsidRPr="00122285">
        <w:rPr>
          <w:rFonts w:cs="Arial"/>
        </w:rPr>
        <w:t xml:space="preserve"> Public Health Wales - </w:t>
      </w:r>
      <w:hyperlink r:id="rId296" w:history="1">
        <w:r w:rsidRPr="00122285">
          <w:rPr>
            <w:rStyle w:val="Hyperlink"/>
            <w:rFonts w:cs="Arial"/>
            <w:color w:val="0000FF"/>
          </w:rPr>
          <w:t>Primary care localities dashboard</w:t>
        </w:r>
      </w:hyperlink>
    </w:p>
  </w:footnote>
  <w:footnote w:id="300">
    <w:p w14:paraId="5CCA828A" w14:textId="77777777" w:rsidR="00122285" w:rsidRDefault="00122285" w:rsidP="00122285">
      <w:pPr>
        <w:rPr>
          <w:rFonts w:eastAsia="Times New Roman" w:cs="Arial"/>
          <w:kern w:val="0"/>
          <w:sz w:val="20"/>
          <w:szCs w:val="20"/>
          <w:lang w:eastAsia="en-GB"/>
          <w14:ligatures w14:val="none"/>
        </w:rPr>
      </w:pPr>
      <w:r w:rsidRPr="00122285">
        <w:rPr>
          <w:rStyle w:val="FootnoteReference"/>
          <w:sz w:val="20"/>
          <w:szCs w:val="20"/>
        </w:rPr>
        <w:footnoteRef/>
      </w:r>
      <w:r w:rsidRPr="00122285">
        <w:rPr>
          <w:rFonts w:cs="Arial"/>
          <w:sz w:val="20"/>
          <w:szCs w:val="20"/>
        </w:rPr>
        <w:t xml:space="preserve"> Welsh Government StatsWales - </w:t>
      </w:r>
      <w:hyperlink r:id="rId297" w:history="1">
        <w:r w:rsidRPr="00122285">
          <w:rPr>
            <w:rStyle w:val="Hyperlink"/>
            <w:rFonts w:cs="Arial"/>
            <w:color w:val="0000FF"/>
            <w:sz w:val="20"/>
            <w:szCs w:val="20"/>
          </w:rPr>
          <w:t xml:space="preserve">Disease registers by local health board, locality and GP practice </w:t>
        </w:r>
      </w:hyperlink>
    </w:p>
  </w:footnote>
  <w:footnote w:id="301">
    <w:p w14:paraId="5FFEE2F0" w14:textId="77777777" w:rsidR="00122285" w:rsidRPr="00D7495C" w:rsidRDefault="00122285" w:rsidP="00122285">
      <w:pPr>
        <w:pStyle w:val="FootnoteText"/>
        <w:rPr>
          <w:rFonts w:ascii="Aptos" w:hAnsi="Aptos"/>
        </w:rPr>
      </w:pPr>
      <w:r w:rsidRPr="00D7495C">
        <w:rPr>
          <w:rStyle w:val="FootnoteReference"/>
          <w:sz w:val="20"/>
        </w:rPr>
        <w:footnoteRef/>
      </w:r>
      <w:r w:rsidRPr="00D7495C">
        <w:rPr>
          <w:rFonts w:cs="Arial"/>
        </w:rPr>
        <w:t xml:space="preserve"> Welsh Government StatsWales - </w:t>
      </w:r>
      <w:hyperlink r:id="rId298" w:history="1">
        <w:r w:rsidRPr="00D7495C">
          <w:rPr>
            <w:rStyle w:val="Hyperlink"/>
            <w:rFonts w:cs="Arial"/>
            <w:color w:val="0000FF"/>
          </w:rPr>
          <w:t>Disease registers by local health board, locality and GP practice</w:t>
        </w:r>
        <w:r w:rsidRPr="00D7495C">
          <w:rPr>
            <w:rStyle w:val="Hyperlink"/>
            <w:color w:val="0000FF"/>
          </w:rPr>
          <w:t xml:space="preserve"> </w:t>
        </w:r>
      </w:hyperlink>
    </w:p>
  </w:footnote>
  <w:footnote w:id="302">
    <w:p w14:paraId="5055063A" w14:textId="77777777" w:rsidR="00122285" w:rsidRPr="00D7495C" w:rsidRDefault="00122285" w:rsidP="00122285">
      <w:pPr>
        <w:pStyle w:val="FootnoteText"/>
        <w:rPr>
          <w:rFonts w:cs="Arial"/>
        </w:rPr>
      </w:pPr>
      <w:r w:rsidRPr="00D7495C">
        <w:rPr>
          <w:rStyle w:val="FootnoteReference"/>
          <w:sz w:val="20"/>
        </w:rPr>
        <w:footnoteRef/>
      </w:r>
      <w:r w:rsidRPr="00D7495C">
        <w:rPr>
          <w:rFonts w:cs="Arial"/>
        </w:rPr>
        <w:t xml:space="preserve"> Welsh Government StatsWales - </w:t>
      </w:r>
      <w:hyperlink r:id="rId299" w:history="1">
        <w:r w:rsidRPr="00D7495C">
          <w:rPr>
            <w:rStyle w:val="Hyperlink"/>
            <w:rFonts w:cs="Arial"/>
            <w:color w:val="0000FF"/>
          </w:rPr>
          <w:t xml:space="preserve">Disease registers by local health board, locality and GP practice </w:t>
        </w:r>
      </w:hyperlink>
    </w:p>
  </w:footnote>
  <w:footnote w:id="303">
    <w:p w14:paraId="68DCAE44" w14:textId="77777777" w:rsidR="00122285" w:rsidRDefault="00122285" w:rsidP="00122285">
      <w:pPr>
        <w:pStyle w:val="FootnoteText"/>
        <w:rPr>
          <w:rFonts w:cs="Arial"/>
        </w:rPr>
      </w:pPr>
      <w:r w:rsidRPr="00D7495C">
        <w:rPr>
          <w:rStyle w:val="FootnoteReference"/>
          <w:sz w:val="20"/>
        </w:rPr>
        <w:footnoteRef/>
      </w:r>
      <w:r w:rsidRPr="00D7495C">
        <w:rPr>
          <w:rFonts w:cs="Arial"/>
        </w:rPr>
        <w:t xml:space="preserve"> InfoBaseCymru data for an intelligent Wales - </w:t>
      </w:r>
      <w:hyperlink r:id="rId300" w:history="1">
        <w:r w:rsidRPr="00D7495C">
          <w:rPr>
            <w:rStyle w:val="Hyperlink"/>
            <w:rFonts w:cs="Arial"/>
            <w:color w:val="0000FF"/>
          </w:rPr>
          <w:t xml:space="preserve">Adults reporting lifestyle behaviours </w:t>
        </w:r>
      </w:hyperlink>
      <w:r w:rsidRPr="00D7495C">
        <w:rPr>
          <w:rFonts w:cs="Arial"/>
        </w:rPr>
        <w:t>(2021 to 2023)</w:t>
      </w:r>
    </w:p>
  </w:footnote>
  <w:footnote w:id="304">
    <w:p w14:paraId="54296712" w14:textId="77777777" w:rsidR="007B106A" w:rsidRPr="00D202E7" w:rsidRDefault="007B106A" w:rsidP="007B106A">
      <w:pPr>
        <w:rPr>
          <w:rFonts w:cs="Arial"/>
          <w:sz w:val="20"/>
          <w:szCs w:val="20"/>
        </w:rPr>
      </w:pPr>
      <w:r w:rsidRPr="00D202E7">
        <w:rPr>
          <w:rStyle w:val="FootnoteReference"/>
          <w:sz w:val="20"/>
          <w:szCs w:val="20"/>
        </w:rPr>
        <w:footnoteRef/>
      </w:r>
      <w:r w:rsidRPr="00D202E7">
        <w:rPr>
          <w:rFonts w:cs="Arial"/>
          <w:sz w:val="20"/>
          <w:szCs w:val="20"/>
        </w:rPr>
        <w:t xml:space="preserve"> </w:t>
      </w:r>
      <w:r w:rsidRPr="00D202E7">
        <w:rPr>
          <w:rFonts w:cs="Arial"/>
          <w:kern w:val="0"/>
          <w:sz w:val="20"/>
          <w:szCs w:val="20"/>
        </w:rPr>
        <w:t xml:space="preserve">Office of National Statistics Census 2021 - </w:t>
      </w:r>
      <w:hyperlink r:id="rId301" w:history="1">
        <w:r w:rsidRPr="00D202E7">
          <w:rPr>
            <w:rStyle w:val="Hyperlink"/>
            <w:rFonts w:cs="Arial"/>
            <w:color w:val="0000FF"/>
            <w:sz w:val="20"/>
            <w:szCs w:val="20"/>
          </w:rPr>
          <w:t>Population estimates for England and Wales: mid 2024</w:t>
        </w:r>
      </w:hyperlink>
    </w:p>
  </w:footnote>
  <w:footnote w:id="305">
    <w:p w14:paraId="53640E61" w14:textId="77777777" w:rsidR="007B106A" w:rsidRPr="00D202E7" w:rsidRDefault="007B106A" w:rsidP="007B106A">
      <w:pPr>
        <w:rPr>
          <w:rFonts w:cs="Arial"/>
          <w:color w:val="0000FF"/>
          <w:sz w:val="20"/>
          <w:szCs w:val="20"/>
          <w:u w:val="single"/>
        </w:rPr>
      </w:pPr>
      <w:r w:rsidRPr="00D202E7">
        <w:rPr>
          <w:rStyle w:val="FootnoteReference"/>
          <w:sz w:val="20"/>
          <w:szCs w:val="20"/>
        </w:rPr>
        <w:footnoteRef/>
      </w:r>
      <w:r w:rsidRPr="00D202E7">
        <w:rPr>
          <w:rFonts w:cs="Arial"/>
          <w:sz w:val="20"/>
          <w:szCs w:val="20"/>
        </w:rPr>
        <w:t xml:space="preserve"> </w:t>
      </w:r>
      <w:r w:rsidRPr="00D202E7">
        <w:rPr>
          <w:rFonts w:cs="Arial"/>
          <w:kern w:val="0"/>
          <w:sz w:val="20"/>
          <w:szCs w:val="20"/>
        </w:rPr>
        <w:t xml:space="preserve">Welsh Government July 2025 - </w:t>
      </w:r>
      <w:hyperlink r:id="rId302" w:history="1">
        <w:r w:rsidRPr="00D202E7">
          <w:rPr>
            <w:rStyle w:val="Hyperlink"/>
            <w:rFonts w:cs="Arial"/>
            <w:color w:val="0000FF"/>
            <w:sz w:val="20"/>
            <w:szCs w:val="20"/>
          </w:rPr>
          <w:t>Mid-year estimates of the population: 2024</w:t>
        </w:r>
      </w:hyperlink>
    </w:p>
    <w:p w14:paraId="40888E35" w14:textId="77777777" w:rsidR="007B106A" w:rsidRDefault="007B106A" w:rsidP="007B106A">
      <w:pPr>
        <w:pStyle w:val="FootnoteText"/>
        <w:rPr>
          <w:rFonts w:ascii="Aptos" w:hAnsi="Aptos"/>
        </w:rPr>
      </w:pPr>
    </w:p>
    <w:p w14:paraId="51C46178" w14:textId="77777777" w:rsidR="007B106A" w:rsidRDefault="007B106A" w:rsidP="007B106A">
      <w:pPr>
        <w:pStyle w:val="FootnoteText"/>
      </w:pPr>
    </w:p>
  </w:footnote>
  <w:footnote w:id="306">
    <w:p w14:paraId="7C395B74" w14:textId="77777777" w:rsidR="00BB14FD" w:rsidRPr="00BD4BBA" w:rsidRDefault="00BB14FD" w:rsidP="00BB14FD">
      <w:pPr>
        <w:rPr>
          <w:rFonts w:cs="Arial"/>
          <w:sz w:val="20"/>
          <w:szCs w:val="20"/>
        </w:rPr>
      </w:pPr>
      <w:r w:rsidRPr="00BD4BBA">
        <w:rPr>
          <w:rStyle w:val="FootnoteReference"/>
          <w:sz w:val="20"/>
          <w:szCs w:val="20"/>
        </w:rPr>
        <w:footnoteRef/>
      </w:r>
      <w:r w:rsidRPr="00BD4BBA">
        <w:rPr>
          <w:rFonts w:cs="Arial"/>
          <w:sz w:val="20"/>
          <w:szCs w:val="20"/>
        </w:rPr>
        <w:t xml:space="preserve"> NHS Wales Shared Services Partnership - </w:t>
      </w:r>
      <w:hyperlink r:id="rId303" w:history="1">
        <w:r w:rsidRPr="00BD4BBA">
          <w:rPr>
            <w:rStyle w:val="Hyperlink"/>
            <w:rFonts w:cs="Arial"/>
            <w:color w:val="0000FF"/>
            <w:sz w:val="20"/>
            <w:szCs w:val="20"/>
          </w:rPr>
          <w:t>GP practice analysis and patient registrations by practice</w:t>
        </w:r>
      </w:hyperlink>
      <w:r w:rsidRPr="00BD4BBA">
        <w:rPr>
          <w:rFonts w:cs="Arial"/>
          <w:sz w:val="20"/>
          <w:szCs w:val="20"/>
        </w:rPr>
        <w:t xml:space="preserve"> </w:t>
      </w:r>
    </w:p>
  </w:footnote>
  <w:footnote w:id="307">
    <w:p w14:paraId="3F7669A0" w14:textId="77777777" w:rsidR="00BB14FD" w:rsidRPr="00BD4BBA" w:rsidRDefault="00BB14FD" w:rsidP="00BB14FD">
      <w:pPr>
        <w:rPr>
          <w:rFonts w:cs="Arial"/>
          <w:sz w:val="20"/>
          <w:szCs w:val="20"/>
        </w:rPr>
      </w:pPr>
      <w:r w:rsidRPr="00BD4BBA">
        <w:rPr>
          <w:rStyle w:val="FootnoteReference"/>
          <w:sz w:val="20"/>
          <w:szCs w:val="20"/>
        </w:rPr>
        <w:footnoteRef/>
      </w:r>
      <w:r w:rsidRPr="00BD4BBA">
        <w:rPr>
          <w:rFonts w:cs="Arial"/>
          <w:sz w:val="20"/>
          <w:szCs w:val="20"/>
        </w:rPr>
        <w:t xml:space="preserve"> Office for National Statistics - </w:t>
      </w:r>
      <w:hyperlink r:id="rId304" w:history="1">
        <w:r w:rsidRPr="00BD4BBA">
          <w:rPr>
            <w:rStyle w:val="Hyperlink"/>
            <w:rFonts w:cs="Arial"/>
            <w:color w:val="0000FF"/>
            <w:sz w:val="20"/>
            <w:szCs w:val="20"/>
          </w:rPr>
          <w:t>How life has changed in Neath Port Talbot: Census 2021</w:t>
        </w:r>
      </w:hyperlink>
      <w:r w:rsidRPr="00BD4BBA">
        <w:rPr>
          <w:rFonts w:cs="Arial"/>
          <w:sz w:val="20"/>
          <w:szCs w:val="20"/>
        </w:rPr>
        <w:t xml:space="preserve"> </w:t>
      </w:r>
    </w:p>
  </w:footnote>
  <w:footnote w:id="308">
    <w:p w14:paraId="3CBEFBF6" w14:textId="77777777" w:rsidR="00BB14FD" w:rsidRPr="00BD4BBA" w:rsidRDefault="00BB14FD" w:rsidP="00BB14FD">
      <w:pPr>
        <w:pStyle w:val="FootnoteText"/>
        <w:rPr>
          <w:rFonts w:cs="Arial"/>
        </w:rPr>
      </w:pPr>
      <w:r w:rsidRPr="00BD4BBA">
        <w:rPr>
          <w:rStyle w:val="FootnoteReference"/>
          <w:sz w:val="20"/>
        </w:rPr>
        <w:footnoteRef/>
      </w:r>
      <w:r w:rsidRPr="00BD4BBA">
        <w:rPr>
          <w:rFonts w:cs="Arial"/>
        </w:rPr>
        <w:t xml:space="preserve"> Welsh Government November 2025 - </w:t>
      </w:r>
      <w:hyperlink r:id="rId305" w:anchor=":~:text=the%20local%20authorities%20projected%20to,0%20to%2015%20years%20old" w:history="1">
        <w:r w:rsidRPr="00BD4BBA">
          <w:rPr>
            <w:rStyle w:val="Hyperlink"/>
            <w:rFonts w:cs="Arial"/>
            <w:color w:val="0000FF"/>
          </w:rPr>
          <w:t xml:space="preserve">Local authority population projections: 2022-based </w:t>
        </w:r>
      </w:hyperlink>
    </w:p>
  </w:footnote>
  <w:footnote w:id="309">
    <w:p w14:paraId="05D4E83C" w14:textId="77777777" w:rsidR="00BB14FD" w:rsidRPr="00BD4BBA" w:rsidRDefault="00BB14FD" w:rsidP="00BB14FD">
      <w:pPr>
        <w:rPr>
          <w:rFonts w:cs="Arial"/>
          <w:sz w:val="20"/>
          <w:szCs w:val="20"/>
        </w:rPr>
      </w:pPr>
      <w:r w:rsidRPr="00BD4BBA">
        <w:rPr>
          <w:rStyle w:val="FootnoteReference"/>
          <w:sz w:val="20"/>
          <w:szCs w:val="20"/>
        </w:rPr>
        <w:footnoteRef/>
      </w:r>
      <w:r w:rsidRPr="00BD4BBA">
        <w:rPr>
          <w:rFonts w:cs="Arial"/>
          <w:sz w:val="20"/>
          <w:szCs w:val="20"/>
        </w:rPr>
        <w:t xml:space="preserve"> Welsh Government StatsWales - </w:t>
      </w:r>
      <w:hyperlink r:id="rId306" w:history="1">
        <w:r w:rsidRPr="00BD4BBA">
          <w:rPr>
            <w:rStyle w:val="Hyperlink"/>
            <w:rFonts w:cs="Arial"/>
            <w:color w:val="0000FF"/>
            <w:sz w:val="20"/>
            <w:szCs w:val="20"/>
          </w:rPr>
          <w:t xml:space="preserve">Welsh Index of Multiple Deprivation 2025 local authority deprivation profiles </w:t>
        </w:r>
      </w:hyperlink>
      <w:r w:rsidRPr="00BD4BBA">
        <w:rPr>
          <w:rFonts w:cs="Arial"/>
          <w:sz w:val="20"/>
          <w:szCs w:val="20"/>
        </w:rPr>
        <w:t xml:space="preserve"> </w:t>
      </w:r>
    </w:p>
  </w:footnote>
  <w:footnote w:id="310">
    <w:p w14:paraId="53DDED6F" w14:textId="77777777" w:rsidR="00BB14FD" w:rsidRDefault="00BB14FD" w:rsidP="00BB14FD">
      <w:pPr>
        <w:rPr>
          <w:rFonts w:cs="Arial"/>
          <w:sz w:val="20"/>
          <w:szCs w:val="20"/>
        </w:rPr>
      </w:pPr>
      <w:r w:rsidRPr="00BD4BBA">
        <w:rPr>
          <w:rStyle w:val="FootnoteReference"/>
          <w:sz w:val="20"/>
          <w:szCs w:val="20"/>
        </w:rPr>
        <w:footnoteRef/>
      </w:r>
      <w:r w:rsidRPr="00BD4BBA">
        <w:rPr>
          <w:rFonts w:cs="Arial"/>
          <w:sz w:val="20"/>
          <w:szCs w:val="20"/>
        </w:rPr>
        <w:t xml:space="preserve"> Welsh Government - </w:t>
      </w:r>
      <w:hyperlink r:id="rId307" w:anchor=":~:text=variant%2C%20on%20StatsWales-,It%20is%20projected%20that%20all%20local%20authorities%2C%20other%20than%20Newport,and%20Bridgend%20(up%2023.1%25)." w:history="1">
        <w:r w:rsidRPr="00BD4BBA">
          <w:rPr>
            <w:rStyle w:val="Hyperlink"/>
            <w:rFonts w:cs="Arial"/>
            <w:color w:val="0000FF"/>
            <w:sz w:val="20"/>
            <w:szCs w:val="20"/>
          </w:rPr>
          <w:t>Local authority population projections: 2022-based</w:t>
        </w:r>
      </w:hyperlink>
    </w:p>
  </w:footnote>
  <w:footnote w:id="311">
    <w:p w14:paraId="03EA988A" w14:textId="77777777" w:rsidR="00BB14FD" w:rsidRPr="00BD4BBA" w:rsidRDefault="00BB14FD" w:rsidP="00BB14FD">
      <w:pPr>
        <w:rPr>
          <w:rFonts w:cs="Arial"/>
          <w:sz w:val="20"/>
          <w:szCs w:val="20"/>
        </w:rPr>
      </w:pPr>
      <w:r w:rsidRPr="00BD4BBA">
        <w:rPr>
          <w:rStyle w:val="FootnoteReference"/>
          <w:sz w:val="20"/>
          <w:szCs w:val="20"/>
        </w:rPr>
        <w:footnoteRef/>
      </w:r>
      <w:r w:rsidRPr="00BD4BBA">
        <w:rPr>
          <w:rFonts w:cs="Arial"/>
          <w:sz w:val="20"/>
          <w:szCs w:val="20"/>
        </w:rPr>
        <w:t xml:space="preserve"> Office for National Statistics Census 2021 -</w:t>
      </w:r>
      <w:r w:rsidRPr="00BD4BBA">
        <w:rPr>
          <w:rFonts w:cs="Arial"/>
          <w:color w:val="0000FF"/>
          <w:sz w:val="20"/>
          <w:szCs w:val="20"/>
        </w:rPr>
        <w:t xml:space="preserve"> </w:t>
      </w:r>
      <w:hyperlink r:id="rId308" w:history="1">
        <w:r w:rsidRPr="00BD4BBA">
          <w:rPr>
            <w:rStyle w:val="Hyperlink"/>
            <w:rFonts w:cs="Arial"/>
            <w:color w:val="0000FF"/>
            <w:sz w:val="20"/>
            <w:szCs w:val="20"/>
          </w:rPr>
          <w:t>Healthy life expectancy, UK: between 2011 to 2013 and 2022 to 2024</w:t>
        </w:r>
      </w:hyperlink>
      <w:r w:rsidRPr="00BD4BBA">
        <w:rPr>
          <w:rFonts w:cs="Arial"/>
          <w:color w:val="0000FF"/>
          <w:sz w:val="20"/>
          <w:szCs w:val="20"/>
          <w:u w:val="single"/>
        </w:rPr>
        <w:t xml:space="preserve"> </w:t>
      </w:r>
    </w:p>
  </w:footnote>
  <w:footnote w:id="312">
    <w:p w14:paraId="59EA981C" w14:textId="77777777" w:rsidR="00BB14FD" w:rsidRPr="00BD4BBA" w:rsidRDefault="00BB14FD" w:rsidP="00BB14FD">
      <w:pPr>
        <w:pStyle w:val="FootnoteText"/>
        <w:rPr>
          <w:rFonts w:cs="Arial"/>
        </w:rPr>
      </w:pPr>
      <w:r w:rsidRPr="00BD4BBA">
        <w:rPr>
          <w:rStyle w:val="FootnoteReference"/>
          <w:sz w:val="20"/>
        </w:rPr>
        <w:footnoteRef/>
      </w:r>
      <w:r w:rsidRPr="00BD4BBA">
        <w:rPr>
          <w:rFonts w:cs="Arial"/>
        </w:rPr>
        <w:t xml:space="preserve"> Public Health Wales - </w:t>
      </w:r>
      <w:hyperlink r:id="rId309" w:history="1">
        <w:r w:rsidRPr="00BD4BBA">
          <w:rPr>
            <w:rStyle w:val="Hyperlink"/>
            <w:rFonts w:cs="Arial"/>
            <w:color w:val="0000FF"/>
          </w:rPr>
          <w:t>Public Health Outcomes Framework 2025</w:t>
        </w:r>
      </w:hyperlink>
    </w:p>
  </w:footnote>
  <w:footnote w:id="313">
    <w:p w14:paraId="17DA49EF" w14:textId="77777777" w:rsidR="00BB14FD" w:rsidRPr="00BD4BBA" w:rsidRDefault="00BB14FD" w:rsidP="00BB14FD">
      <w:pPr>
        <w:rPr>
          <w:rFonts w:cs="Arial"/>
          <w:sz w:val="20"/>
          <w:szCs w:val="20"/>
        </w:rPr>
      </w:pPr>
      <w:r w:rsidRPr="00BD4BBA">
        <w:rPr>
          <w:rStyle w:val="FootnoteReference"/>
          <w:sz w:val="20"/>
          <w:szCs w:val="20"/>
        </w:rPr>
        <w:footnoteRef/>
      </w:r>
      <w:r w:rsidRPr="00BD4BBA">
        <w:rPr>
          <w:rFonts w:cs="Arial"/>
          <w:sz w:val="20"/>
          <w:szCs w:val="20"/>
        </w:rPr>
        <w:t xml:space="preserve"> InfoBaseCymru data for an intelligent Wales - </w:t>
      </w:r>
      <w:hyperlink r:id="rId310" w:history="1">
        <w:r w:rsidRPr="00BD4BBA">
          <w:rPr>
            <w:rStyle w:val="Hyperlink"/>
            <w:rFonts w:cs="Arial"/>
            <w:color w:val="0000FF"/>
            <w:sz w:val="20"/>
            <w:szCs w:val="20"/>
          </w:rPr>
          <w:t>Life expectancy in males and females</w:t>
        </w:r>
      </w:hyperlink>
      <w:r w:rsidRPr="00BD4BBA">
        <w:rPr>
          <w:rFonts w:cs="Arial"/>
          <w:sz w:val="20"/>
          <w:szCs w:val="20"/>
        </w:rPr>
        <w:t xml:space="preserve"> (2020 to 2022)</w:t>
      </w:r>
    </w:p>
  </w:footnote>
  <w:footnote w:id="314">
    <w:p w14:paraId="2C530E8C" w14:textId="77777777" w:rsidR="00BB14FD" w:rsidRDefault="00BB14FD" w:rsidP="00BB14FD">
      <w:pPr>
        <w:rPr>
          <w:rFonts w:cs="Arial"/>
          <w:sz w:val="20"/>
          <w:szCs w:val="20"/>
        </w:rPr>
      </w:pPr>
      <w:r w:rsidRPr="00BD4BBA">
        <w:rPr>
          <w:rStyle w:val="FootnoteReference"/>
          <w:sz w:val="20"/>
          <w:szCs w:val="20"/>
        </w:rPr>
        <w:footnoteRef/>
      </w:r>
      <w:r w:rsidRPr="00BD4BBA">
        <w:rPr>
          <w:rFonts w:cs="Arial"/>
          <w:sz w:val="20"/>
          <w:szCs w:val="20"/>
        </w:rPr>
        <w:t xml:space="preserve"> Welsh Government December 2025 - </w:t>
      </w:r>
      <w:hyperlink r:id="rId311" w:history="1">
        <w:r w:rsidRPr="00BD4BBA">
          <w:rPr>
            <w:rStyle w:val="Hyperlink"/>
            <w:rFonts w:cs="Arial"/>
            <w:color w:val="0000FF"/>
            <w:sz w:val="20"/>
            <w:szCs w:val="20"/>
          </w:rPr>
          <w:t>Welsh Index of Multiple Deprivation 2025 results report: overall index</w:t>
        </w:r>
        <w:r>
          <w:rPr>
            <w:rStyle w:val="Hyperlink"/>
            <w:rFonts w:cs="Arial"/>
            <w:color w:val="0000FF"/>
            <w:sz w:val="20"/>
            <w:szCs w:val="20"/>
          </w:rPr>
          <w:t xml:space="preserve"> </w:t>
        </w:r>
      </w:hyperlink>
    </w:p>
  </w:footnote>
  <w:footnote w:id="315">
    <w:p w14:paraId="0961D798" w14:textId="77777777" w:rsidR="00BB14FD" w:rsidRPr="00BD4BBA" w:rsidRDefault="00BB14FD" w:rsidP="00BB14FD">
      <w:pPr>
        <w:rPr>
          <w:rFonts w:cs="Arial"/>
          <w:sz w:val="20"/>
          <w:szCs w:val="20"/>
        </w:rPr>
      </w:pPr>
      <w:r w:rsidRPr="00BD4BBA">
        <w:rPr>
          <w:rStyle w:val="FootnoteReference"/>
          <w:sz w:val="20"/>
          <w:szCs w:val="20"/>
        </w:rPr>
        <w:footnoteRef/>
      </w:r>
      <w:r w:rsidRPr="00BD4BBA">
        <w:rPr>
          <w:rFonts w:cs="Arial"/>
          <w:sz w:val="20"/>
          <w:szCs w:val="20"/>
        </w:rPr>
        <w:t xml:space="preserve"> Public Health Wales - </w:t>
      </w:r>
      <w:hyperlink r:id="rId312" w:history="1">
        <w:r w:rsidRPr="00BD4BBA">
          <w:rPr>
            <w:rStyle w:val="Hyperlink"/>
            <w:rFonts w:cs="Arial"/>
            <w:color w:val="0000FF"/>
            <w:sz w:val="20"/>
            <w:szCs w:val="20"/>
          </w:rPr>
          <w:t>Primary care localities dashboard</w:t>
        </w:r>
      </w:hyperlink>
    </w:p>
  </w:footnote>
  <w:footnote w:id="316">
    <w:p w14:paraId="0998A7AE" w14:textId="77777777" w:rsidR="00BB14FD" w:rsidRPr="00BD4BBA" w:rsidRDefault="00BB14FD" w:rsidP="00BB14FD">
      <w:pPr>
        <w:rPr>
          <w:rFonts w:cs="Arial"/>
          <w:sz w:val="20"/>
          <w:szCs w:val="20"/>
        </w:rPr>
      </w:pPr>
      <w:r w:rsidRPr="00BD4BBA">
        <w:rPr>
          <w:rStyle w:val="FootnoteReference"/>
          <w:sz w:val="20"/>
          <w:szCs w:val="20"/>
        </w:rPr>
        <w:footnoteRef/>
      </w:r>
      <w:r w:rsidRPr="00BD4BBA">
        <w:rPr>
          <w:rFonts w:cs="Arial"/>
          <w:sz w:val="20"/>
          <w:szCs w:val="20"/>
        </w:rPr>
        <w:t xml:space="preserve"> Welsh Government StatsWales - </w:t>
      </w:r>
      <w:hyperlink r:id="rId313" w:history="1">
        <w:r w:rsidRPr="00BD4BBA">
          <w:rPr>
            <w:rStyle w:val="Hyperlink"/>
            <w:rFonts w:cs="Arial"/>
            <w:color w:val="0000FF"/>
            <w:sz w:val="20"/>
            <w:szCs w:val="20"/>
          </w:rPr>
          <w:t>Disease registers by local health board, locality and GP practice</w:t>
        </w:r>
      </w:hyperlink>
    </w:p>
  </w:footnote>
  <w:footnote w:id="317">
    <w:p w14:paraId="4065804C" w14:textId="77777777" w:rsidR="00BB14FD" w:rsidRPr="00BD4BBA" w:rsidRDefault="00BB14FD" w:rsidP="00BB14FD">
      <w:pPr>
        <w:rPr>
          <w:rFonts w:ascii="Aptos" w:hAnsi="Aptos" w:cs="Times New Roman"/>
          <w:sz w:val="20"/>
          <w:szCs w:val="20"/>
        </w:rPr>
      </w:pPr>
      <w:r w:rsidRPr="00BD4BBA">
        <w:rPr>
          <w:rStyle w:val="FootnoteReference"/>
          <w:sz w:val="20"/>
          <w:szCs w:val="20"/>
        </w:rPr>
        <w:footnoteRef/>
      </w:r>
      <w:r w:rsidRPr="00BD4BBA">
        <w:rPr>
          <w:rFonts w:cs="Arial"/>
          <w:sz w:val="20"/>
          <w:szCs w:val="20"/>
        </w:rPr>
        <w:t xml:space="preserve"> Welsh Government StatsWales - </w:t>
      </w:r>
      <w:hyperlink r:id="rId314" w:history="1">
        <w:r w:rsidRPr="00BD4BBA">
          <w:rPr>
            <w:rStyle w:val="Hyperlink"/>
            <w:rFonts w:cs="Arial"/>
            <w:color w:val="0000FF"/>
            <w:sz w:val="20"/>
            <w:szCs w:val="20"/>
          </w:rPr>
          <w:t xml:space="preserve">Disease registers by local health board, locality and GP practice </w:t>
        </w:r>
      </w:hyperlink>
    </w:p>
  </w:footnote>
  <w:footnote w:id="318">
    <w:p w14:paraId="10F7C565" w14:textId="77777777" w:rsidR="00BB14FD" w:rsidRPr="00BD4BBA" w:rsidRDefault="00BB14FD" w:rsidP="00BB14FD">
      <w:pPr>
        <w:rPr>
          <w:rFonts w:eastAsia="Times New Roman" w:cs="Arial"/>
          <w:kern w:val="0"/>
          <w:sz w:val="20"/>
          <w:szCs w:val="20"/>
          <w:lang w:eastAsia="en-GB"/>
          <w14:ligatures w14:val="none"/>
        </w:rPr>
      </w:pPr>
      <w:r w:rsidRPr="00BD4BBA">
        <w:rPr>
          <w:rStyle w:val="FootnoteReference"/>
          <w:sz w:val="20"/>
          <w:szCs w:val="20"/>
        </w:rPr>
        <w:footnoteRef/>
      </w:r>
      <w:r w:rsidRPr="00BD4BBA">
        <w:rPr>
          <w:rFonts w:cs="Arial"/>
          <w:sz w:val="20"/>
          <w:szCs w:val="20"/>
        </w:rPr>
        <w:t xml:space="preserve"> Welsh Government StatsWales - </w:t>
      </w:r>
      <w:hyperlink r:id="rId315" w:history="1">
        <w:r w:rsidRPr="00BD4BBA">
          <w:rPr>
            <w:rStyle w:val="Hyperlink"/>
            <w:rFonts w:cs="Arial"/>
            <w:color w:val="0000FF"/>
            <w:sz w:val="20"/>
            <w:szCs w:val="20"/>
          </w:rPr>
          <w:t xml:space="preserve">Disease registers by local health board, locality and GP practice </w:t>
        </w:r>
      </w:hyperlink>
    </w:p>
  </w:footnote>
  <w:footnote w:id="319">
    <w:p w14:paraId="0C5C68BE" w14:textId="77777777" w:rsidR="00BB14FD" w:rsidRDefault="00BB14FD" w:rsidP="00BB14FD">
      <w:pPr>
        <w:pStyle w:val="FootnoteText"/>
        <w:rPr>
          <w:rFonts w:cs="Arial"/>
        </w:rPr>
      </w:pPr>
      <w:r w:rsidRPr="00BD4BBA">
        <w:rPr>
          <w:rStyle w:val="FootnoteReference"/>
          <w:sz w:val="20"/>
        </w:rPr>
        <w:footnoteRef/>
      </w:r>
      <w:r w:rsidRPr="00BD4BBA">
        <w:rPr>
          <w:rFonts w:cs="Arial"/>
        </w:rPr>
        <w:t xml:space="preserve"> InfoBaseCymru data for an intelligent Wales - </w:t>
      </w:r>
      <w:hyperlink r:id="rId316" w:history="1">
        <w:r w:rsidRPr="00BD4BBA">
          <w:rPr>
            <w:rStyle w:val="Hyperlink"/>
            <w:rFonts w:cs="Arial"/>
            <w:color w:val="0000FF"/>
          </w:rPr>
          <w:t xml:space="preserve">Adults reporting lifestyle behaviours </w:t>
        </w:r>
      </w:hyperlink>
      <w:r w:rsidRPr="00BD4BBA">
        <w:rPr>
          <w:rFonts w:cs="Arial"/>
        </w:rPr>
        <w:t>(2021 to 2023)</w:t>
      </w:r>
    </w:p>
  </w:footnote>
  <w:footnote w:id="320">
    <w:p w14:paraId="5280F619" w14:textId="77777777" w:rsidR="000114F0" w:rsidRPr="00BD4BBA" w:rsidRDefault="000114F0" w:rsidP="00BB14FD">
      <w:pPr>
        <w:rPr>
          <w:rFonts w:cs="Arial"/>
          <w:sz w:val="20"/>
          <w:szCs w:val="20"/>
        </w:rPr>
      </w:pPr>
      <w:r w:rsidRPr="00BD4BBA">
        <w:rPr>
          <w:rStyle w:val="FootnoteReference"/>
          <w:sz w:val="20"/>
          <w:szCs w:val="20"/>
        </w:rPr>
        <w:footnoteRef/>
      </w:r>
      <w:r w:rsidRPr="00BD4BBA">
        <w:rPr>
          <w:rFonts w:cs="Arial"/>
          <w:sz w:val="20"/>
          <w:szCs w:val="20"/>
        </w:rPr>
        <w:t xml:space="preserve"> </w:t>
      </w:r>
      <w:r w:rsidRPr="00BD4BBA">
        <w:rPr>
          <w:rFonts w:cs="Arial"/>
          <w:kern w:val="0"/>
          <w:sz w:val="20"/>
          <w:szCs w:val="20"/>
        </w:rPr>
        <w:t xml:space="preserve">Office for National Statistics Census 2021 - </w:t>
      </w:r>
      <w:hyperlink r:id="rId317" w:history="1">
        <w:r w:rsidRPr="00BD4BBA">
          <w:rPr>
            <w:rStyle w:val="Hyperlink"/>
            <w:rFonts w:cs="Arial"/>
            <w:color w:val="0000FF"/>
            <w:sz w:val="20"/>
            <w:szCs w:val="20"/>
          </w:rPr>
          <w:t>Population estimates for England and Wales: mid 2024</w:t>
        </w:r>
      </w:hyperlink>
    </w:p>
  </w:footnote>
  <w:footnote w:id="321">
    <w:p w14:paraId="45CA2121" w14:textId="77777777" w:rsidR="000114F0" w:rsidRPr="00BD4BBA" w:rsidRDefault="000114F0" w:rsidP="00BB14FD">
      <w:pPr>
        <w:rPr>
          <w:rFonts w:cs="Arial"/>
          <w:color w:val="0000FF"/>
          <w:sz w:val="20"/>
          <w:szCs w:val="20"/>
          <w:u w:val="single"/>
        </w:rPr>
      </w:pPr>
      <w:r w:rsidRPr="00BD4BBA">
        <w:rPr>
          <w:rStyle w:val="FootnoteReference"/>
          <w:sz w:val="20"/>
          <w:szCs w:val="20"/>
        </w:rPr>
        <w:footnoteRef/>
      </w:r>
      <w:r w:rsidRPr="00BD4BBA">
        <w:rPr>
          <w:rFonts w:cs="Arial"/>
          <w:sz w:val="20"/>
          <w:szCs w:val="20"/>
        </w:rPr>
        <w:t xml:space="preserve"> </w:t>
      </w:r>
      <w:r w:rsidRPr="00BD4BBA">
        <w:rPr>
          <w:rFonts w:cs="Arial"/>
          <w:kern w:val="0"/>
          <w:sz w:val="20"/>
          <w:szCs w:val="20"/>
        </w:rPr>
        <w:t xml:space="preserve">Welsh Government July 2025 - </w:t>
      </w:r>
      <w:hyperlink r:id="rId318" w:history="1">
        <w:r w:rsidRPr="00BD4BBA">
          <w:rPr>
            <w:rStyle w:val="Hyperlink"/>
            <w:rFonts w:cs="Arial"/>
            <w:color w:val="0000FF"/>
            <w:sz w:val="20"/>
            <w:szCs w:val="20"/>
          </w:rPr>
          <w:t>Mid-year estimates of the population: 2024</w:t>
        </w:r>
      </w:hyperlink>
    </w:p>
    <w:p w14:paraId="7665C561" w14:textId="77777777" w:rsidR="000114F0" w:rsidRDefault="000114F0" w:rsidP="00BB14FD">
      <w:pPr>
        <w:pStyle w:val="FootnoteText"/>
        <w:rPr>
          <w:rFonts w:ascii="Aptos" w:hAnsi="Aptos"/>
        </w:rPr>
      </w:pPr>
    </w:p>
    <w:p w14:paraId="395204A3" w14:textId="77777777" w:rsidR="000114F0" w:rsidRDefault="000114F0" w:rsidP="00BB14FD">
      <w:pPr>
        <w:pStyle w:val="FootnoteText"/>
      </w:pPr>
    </w:p>
  </w:footnote>
  <w:footnote w:id="322">
    <w:p w14:paraId="66CE4363" w14:textId="77777777" w:rsidR="00487A56" w:rsidRPr="00B519BF" w:rsidRDefault="00487A56" w:rsidP="00487A56">
      <w:pPr>
        <w:pStyle w:val="FootnoteText"/>
        <w:rPr>
          <w:rFonts w:cs="Arial"/>
        </w:rPr>
      </w:pPr>
      <w:r w:rsidRPr="00B519BF">
        <w:rPr>
          <w:rStyle w:val="FootnoteReference"/>
          <w:sz w:val="20"/>
        </w:rPr>
        <w:footnoteRef/>
      </w:r>
      <w:r w:rsidRPr="00B519BF">
        <w:rPr>
          <w:rFonts w:cs="Arial"/>
        </w:rPr>
        <w:t xml:space="preserve"> NHS Wales Shared Services Partnership - </w:t>
      </w:r>
      <w:hyperlink r:id="rId319" w:history="1">
        <w:r w:rsidRPr="00B519BF">
          <w:rPr>
            <w:rStyle w:val="Hyperlink"/>
            <w:rFonts w:cs="Arial"/>
            <w:color w:val="0000FF"/>
          </w:rPr>
          <w:t>GP practice analysis and patient registrations by practice</w:t>
        </w:r>
      </w:hyperlink>
    </w:p>
  </w:footnote>
  <w:footnote w:id="323">
    <w:p w14:paraId="11FC16B1" w14:textId="77777777" w:rsidR="00487A56" w:rsidRPr="00B519BF" w:rsidRDefault="00487A56" w:rsidP="00487A56">
      <w:pPr>
        <w:rPr>
          <w:rFonts w:cs="Arial"/>
          <w:sz w:val="20"/>
          <w:szCs w:val="20"/>
        </w:rPr>
      </w:pPr>
      <w:r w:rsidRPr="00B519BF">
        <w:rPr>
          <w:rStyle w:val="FootnoteReference"/>
          <w:sz w:val="20"/>
          <w:szCs w:val="20"/>
        </w:rPr>
        <w:footnoteRef/>
      </w:r>
      <w:r w:rsidRPr="00B519BF">
        <w:rPr>
          <w:rFonts w:cs="Arial"/>
          <w:sz w:val="20"/>
          <w:szCs w:val="20"/>
        </w:rPr>
        <w:t xml:space="preserve"> Office of National Statistics - </w:t>
      </w:r>
      <w:hyperlink r:id="rId320" w:history="1">
        <w:r w:rsidRPr="00B519BF">
          <w:rPr>
            <w:rStyle w:val="Hyperlink"/>
            <w:rFonts w:cs="Arial"/>
            <w:color w:val="0000FF"/>
            <w:sz w:val="20"/>
            <w:szCs w:val="20"/>
          </w:rPr>
          <w:t>How life has changed in Neath Port Talbot: Census 2021</w:t>
        </w:r>
      </w:hyperlink>
      <w:r w:rsidRPr="00B519BF">
        <w:rPr>
          <w:rFonts w:cs="Arial"/>
          <w:sz w:val="20"/>
          <w:szCs w:val="20"/>
        </w:rPr>
        <w:t xml:space="preserve"> </w:t>
      </w:r>
    </w:p>
  </w:footnote>
  <w:footnote w:id="324">
    <w:p w14:paraId="0EFF4318" w14:textId="77777777" w:rsidR="00487A56" w:rsidRPr="00B519BF" w:rsidRDefault="00487A56" w:rsidP="00487A56">
      <w:pPr>
        <w:pStyle w:val="FootnoteText"/>
        <w:rPr>
          <w:rFonts w:cs="Arial"/>
        </w:rPr>
      </w:pPr>
      <w:r w:rsidRPr="00B519BF">
        <w:rPr>
          <w:rStyle w:val="FootnoteReference"/>
          <w:sz w:val="20"/>
        </w:rPr>
        <w:footnoteRef/>
      </w:r>
      <w:r w:rsidRPr="00B519BF">
        <w:rPr>
          <w:rFonts w:cs="Arial"/>
        </w:rPr>
        <w:t xml:space="preserve"> Welsh Government November 2025 - </w:t>
      </w:r>
      <w:hyperlink r:id="rId321" w:anchor=":~:text=the%20local%20authorities%20projected%20to,0%20to%2015%20years%20old" w:history="1">
        <w:r w:rsidRPr="00B519BF">
          <w:rPr>
            <w:rStyle w:val="Hyperlink"/>
            <w:rFonts w:cs="Arial"/>
            <w:color w:val="0000FF"/>
          </w:rPr>
          <w:t xml:space="preserve">Local authority population projections: 2022-based </w:t>
        </w:r>
      </w:hyperlink>
    </w:p>
  </w:footnote>
  <w:footnote w:id="325">
    <w:p w14:paraId="71BDAB6F" w14:textId="77777777" w:rsidR="00487A56" w:rsidRDefault="00487A56" w:rsidP="00487A56">
      <w:pPr>
        <w:rPr>
          <w:rFonts w:cs="Arial"/>
          <w:sz w:val="20"/>
          <w:szCs w:val="20"/>
        </w:rPr>
      </w:pPr>
      <w:r w:rsidRPr="00B519BF">
        <w:rPr>
          <w:rStyle w:val="FootnoteReference"/>
          <w:sz w:val="20"/>
          <w:szCs w:val="20"/>
        </w:rPr>
        <w:footnoteRef/>
      </w:r>
      <w:r w:rsidRPr="00B519BF">
        <w:rPr>
          <w:rFonts w:cs="Arial"/>
          <w:sz w:val="20"/>
          <w:szCs w:val="20"/>
        </w:rPr>
        <w:t xml:space="preserve"> Welsh Government - </w:t>
      </w:r>
      <w:hyperlink r:id="rId322" w:anchor=":~:text=variant%2C%20on%20StatsWales-,It%20is%20projected%20that%20all%20local%20authorities%2C%20other%20than%20Newport,and%20Bridgend%20(up%2023.1%25)." w:history="1">
        <w:r w:rsidRPr="00B519BF">
          <w:rPr>
            <w:rStyle w:val="Hyperlink"/>
            <w:rFonts w:cs="Arial"/>
            <w:color w:val="0000FF"/>
            <w:sz w:val="20"/>
            <w:szCs w:val="20"/>
          </w:rPr>
          <w:t>Local authority population projections: 2022-based</w:t>
        </w:r>
      </w:hyperlink>
    </w:p>
  </w:footnote>
  <w:footnote w:id="326">
    <w:p w14:paraId="1466B89D" w14:textId="77777777" w:rsidR="00487A56" w:rsidRPr="00B519BF" w:rsidRDefault="00487A56" w:rsidP="00487A56">
      <w:pPr>
        <w:rPr>
          <w:rFonts w:cs="Arial"/>
          <w:sz w:val="20"/>
          <w:szCs w:val="20"/>
        </w:rPr>
      </w:pPr>
      <w:r w:rsidRPr="00B519BF">
        <w:rPr>
          <w:rStyle w:val="FootnoteReference"/>
          <w:sz w:val="20"/>
          <w:szCs w:val="20"/>
        </w:rPr>
        <w:footnoteRef/>
      </w:r>
      <w:r w:rsidRPr="00B519BF">
        <w:rPr>
          <w:rFonts w:cs="Arial"/>
          <w:sz w:val="20"/>
          <w:szCs w:val="20"/>
        </w:rPr>
        <w:t xml:space="preserve"> Office of National Statistics Census 2021 -</w:t>
      </w:r>
      <w:r w:rsidRPr="00B519BF">
        <w:rPr>
          <w:rFonts w:cs="Arial"/>
          <w:color w:val="0000FF"/>
          <w:sz w:val="20"/>
          <w:szCs w:val="20"/>
        </w:rPr>
        <w:t xml:space="preserve"> </w:t>
      </w:r>
      <w:hyperlink r:id="rId323" w:history="1">
        <w:r w:rsidRPr="00B519BF">
          <w:rPr>
            <w:rStyle w:val="Hyperlink"/>
            <w:rFonts w:cs="Arial"/>
            <w:color w:val="0000FF"/>
            <w:sz w:val="20"/>
            <w:szCs w:val="20"/>
          </w:rPr>
          <w:t>Healthy life expectancy, UK: between 2011 to 2013 and 2022 to 2024</w:t>
        </w:r>
      </w:hyperlink>
      <w:r w:rsidRPr="00B519BF">
        <w:rPr>
          <w:rFonts w:cs="Arial"/>
          <w:color w:val="0000FF"/>
          <w:sz w:val="20"/>
          <w:szCs w:val="20"/>
          <w:u w:val="single"/>
        </w:rPr>
        <w:t xml:space="preserve"> </w:t>
      </w:r>
    </w:p>
  </w:footnote>
  <w:footnote w:id="327">
    <w:p w14:paraId="43C5191B" w14:textId="77777777" w:rsidR="00487A56" w:rsidRPr="00B519BF" w:rsidRDefault="00487A56" w:rsidP="00487A56">
      <w:pPr>
        <w:pStyle w:val="FootnoteText"/>
        <w:rPr>
          <w:rFonts w:cs="Arial"/>
        </w:rPr>
      </w:pPr>
      <w:r w:rsidRPr="00B519BF">
        <w:rPr>
          <w:rStyle w:val="FootnoteReference"/>
          <w:sz w:val="20"/>
        </w:rPr>
        <w:footnoteRef/>
      </w:r>
      <w:r w:rsidRPr="00B519BF">
        <w:rPr>
          <w:rFonts w:cs="Arial"/>
        </w:rPr>
        <w:t xml:space="preserve"> Public Health Wales - </w:t>
      </w:r>
      <w:hyperlink r:id="rId324" w:history="1">
        <w:r w:rsidRPr="00B519BF">
          <w:rPr>
            <w:rStyle w:val="Hyperlink"/>
            <w:rFonts w:cs="Arial"/>
            <w:color w:val="0000FF"/>
          </w:rPr>
          <w:t>Public Health Outcomes Framework 2025</w:t>
        </w:r>
      </w:hyperlink>
    </w:p>
  </w:footnote>
  <w:footnote w:id="328">
    <w:p w14:paraId="7B60F1E1" w14:textId="77777777" w:rsidR="00487A56" w:rsidRPr="00B519BF" w:rsidRDefault="00487A56" w:rsidP="00487A56">
      <w:pPr>
        <w:rPr>
          <w:rFonts w:cs="Arial"/>
          <w:sz w:val="20"/>
          <w:szCs w:val="20"/>
        </w:rPr>
      </w:pPr>
      <w:r w:rsidRPr="00B519BF">
        <w:rPr>
          <w:rStyle w:val="FootnoteReference"/>
          <w:sz w:val="20"/>
          <w:szCs w:val="20"/>
        </w:rPr>
        <w:footnoteRef/>
      </w:r>
      <w:r w:rsidRPr="00B519BF">
        <w:rPr>
          <w:rFonts w:cs="Arial"/>
          <w:sz w:val="20"/>
          <w:szCs w:val="20"/>
        </w:rPr>
        <w:t xml:space="preserve"> InfoBaseCymru data for an intelligent Wales - </w:t>
      </w:r>
      <w:hyperlink r:id="rId325" w:history="1">
        <w:r w:rsidRPr="00B519BF">
          <w:rPr>
            <w:rStyle w:val="Hyperlink"/>
            <w:rFonts w:cs="Arial"/>
            <w:color w:val="0000FF"/>
            <w:sz w:val="20"/>
            <w:szCs w:val="20"/>
          </w:rPr>
          <w:t>Life expectancy in males and females</w:t>
        </w:r>
      </w:hyperlink>
      <w:r w:rsidRPr="00B519BF">
        <w:rPr>
          <w:rFonts w:cs="Arial"/>
          <w:sz w:val="20"/>
          <w:szCs w:val="20"/>
        </w:rPr>
        <w:t xml:space="preserve"> (2020 to 2022)</w:t>
      </w:r>
    </w:p>
  </w:footnote>
  <w:footnote w:id="329">
    <w:p w14:paraId="512C331B" w14:textId="77777777" w:rsidR="00487A56" w:rsidRDefault="00487A56" w:rsidP="00487A56">
      <w:pPr>
        <w:rPr>
          <w:rFonts w:cs="Arial"/>
          <w:sz w:val="20"/>
          <w:szCs w:val="20"/>
        </w:rPr>
      </w:pPr>
      <w:r w:rsidRPr="00B519BF">
        <w:rPr>
          <w:rStyle w:val="FootnoteReference"/>
          <w:sz w:val="20"/>
          <w:szCs w:val="20"/>
        </w:rPr>
        <w:footnoteRef/>
      </w:r>
      <w:r w:rsidRPr="00B519BF">
        <w:rPr>
          <w:rFonts w:cs="Arial"/>
          <w:sz w:val="20"/>
          <w:szCs w:val="20"/>
        </w:rPr>
        <w:t xml:space="preserve"> Welsh Government December 2025 - </w:t>
      </w:r>
      <w:hyperlink r:id="rId326" w:history="1">
        <w:r w:rsidRPr="00B519BF">
          <w:rPr>
            <w:rStyle w:val="Hyperlink"/>
            <w:rFonts w:cs="Arial"/>
            <w:color w:val="0000FF"/>
            <w:sz w:val="20"/>
            <w:szCs w:val="20"/>
          </w:rPr>
          <w:t>Welsh Index of Multiple Deprivation 2025 results report: overall index</w:t>
        </w:r>
        <w:r>
          <w:rPr>
            <w:rStyle w:val="Hyperlink"/>
            <w:rFonts w:cs="Arial"/>
            <w:color w:val="0000FF"/>
            <w:sz w:val="20"/>
            <w:szCs w:val="20"/>
          </w:rPr>
          <w:t xml:space="preserve"> </w:t>
        </w:r>
      </w:hyperlink>
    </w:p>
  </w:footnote>
  <w:footnote w:id="330">
    <w:p w14:paraId="27B18214" w14:textId="77777777" w:rsidR="00487A56" w:rsidRPr="00B519BF" w:rsidRDefault="00487A56" w:rsidP="00487A56">
      <w:pPr>
        <w:rPr>
          <w:rFonts w:cs="Times New Roman"/>
          <w:sz w:val="20"/>
          <w:szCs w:val="20"/>
        </w:rPr>
      </w:pPr>
      <w:r w:rsidRPr="00B519BF">
        <w:rPr>
          <w:rStyle w:val="FootnoteReference"/>
          <w:sz w:val="20"/>
          <w:szCs w:val="20"/>
        </w:rPr>
        <w:footnoteRef/>
      </w:r>
      <w:r w:rsidRPr="00B519BF">
        <w:rPr>
          <w:rFonts w:cs="Arial"/>
          <w:sz w:val="20"/>
          <w:szCs w:val="20"/>
        </w:rPr>
        <w:t xml:space="preserve"> Public Health Wales - </w:t>
      </w:r>
      <w:hyperlink r:id="rId327" w:history="1">
        <w:r w:rsidRPr="00B519BF">
          <w:rPr>
            <w:rStyle w:val="Hyperlink"/>
            <w:rFonts w:cs="Arial"/>
            <w:color w:val="0000FF"/>
            <w:sz w:val="20"/>
            <w:szCs w:val="20"/>
          </w:rPr>
          <w:t>Primary care localities dashboard</w:t>
        </w:r>
      </w:hyperlink>
      <w:r w:rsidRPr="00B519BF">
        <w:rPr>
          <w:sz w:val="20"/>
          <w:szCs w:val="20"/>
        </w:rPr>
        <w:t xml:space="preserve"> </w:t>
      </w:r>
    </w:p>
  </w:footnote>
  <w:footnote w:id="331">
    <w:p w14:paraId="5FD808FD" w14:textId="77777777" w:rsidR="00487A56" w:rsidRPr="00B519BF" w:rsidRDefault="00487A56" w:rsidP="00487A56">
      <w:pPr>
        <w:rPr>
          <w:rFonts w:cs="Arial"/>
          <w:sz w:val="20"/>
          <w:szCs w:val="20"/>
        </w:rPr>
      </w:pPr>
      <w:r w:rsidRPr="00B519BF">
        <w:rPr>
          <w:rStyle w:val="FootnoteReference"/>
          <w:sz w:val="20"/>
          <w:szCs w:val="20"/>
        </w:rPr>
        <w:footnoteRef/>
      </w:r>
      <w:r w:rsidRPr="00B519BF">
        <w:rPr>
          <w:rFonts w:cs="Arial"/>
          <w:sz w:val="20"/>
          <w:szCs w:val="20"/>
        </w:rPr>
        <w:t xml:space="preserve"> Welsh Government StatsWales - </w:t>
      </w:r>
      <w:hyperlink r:id="rId328" w:history="1">
        <w:r w:rsidRPr="00B519BF">
          <w:rPr>
            <w:rStyle w:val="Hyperlink"/>
            <w:rFonts w:cs="Arial"/>
            <w:color w:val="0000FF"/>
            <w:sz w:val="20"/>
            <w:szCs w:val="20"/>
          </w:rPr>
          <w:t xml:space="preserve">Disease registers by local health board, locality and GP practice </w:t>
        </w:r>
      </w:hyperlink>
    </w:p>
  </w:footnote>
  <w:footnote w:id="332">
    <w:p w14:paraId="7DDDB5F0" w14:textId="77777777" w:rsidR="00487A56" w:rsidRDefault="00487A56" w:rsidP="00487A56">
      <w:pPr>
        <w:rPr>
          <w:rFonts w:ascii="Aptos" w:hAnsi="Aptos" w:cs="Times New Roman"/>
        </w:rPr>
      </w:pPr>
      <w:r w:rsidRPr="00B519BF">
        <w:rPr>
          <w:rStyle w:val="FootnoteReference"/>
          <w:sz w:val="20"/>
          <w:szCs w:val="20"/>
        </w:rPr>
        <w:footnoteRef/>
      </w:r>
      <w:r w:rsidRPr="00B519BF">
        <w:rPr>
          <w:rFonts w:cs="Arial"/>
          <w:sz w:val="20"/>
          <w:szCs w:val="20"/>
        </w:rPr>
        <w:t xml:space="preserve"> Welsh Government StatsWales - </w:t>
      </w:r>
      <w:hyperlink r:id="rId329" w:history="1">
        <w:r w:rsidRPr="00B519BF">
          <w:rPr>
            <w:rStyle w:val="Hyperlink"/>
            <w:rFonts w:cs="Arial"/>
            <w:color w:val="0000FF"/>
            <w:sz w:val="20"/>
            <w:szCs w:val="20"/>
          </w:rPr>
          <w:t>Disease registers by local health board, locality and GP practice</w:t>
        </w:r>
      </w:hyperlink>
    </w:p>
  </w:footnote>
  <w:footnote w:id="333">
    <w:p w14:paraId="3D99A4D6" w14:textId="77777777" w:rsidR="00487A56" w:rsidRPr="00B519BF" w:rsidRDefault="00487A56" w:rsidP="00487A56">
      <w:pPr>
        <w:rPr>
          <w:rFonts w:eastAsia="Times New Roman" w:cs="Arial"/>
          <w:bCs/>
          <w:kern w:val="0"/>
          <w:sz w:val="20"/>
          <w:szCs w:val="20"/>
          <w14:ligatures w14:val="none"/>
        </w:rPr>
      </w:pPr>
      <w:r w:rsidRPr="00B519BF">
        <w:rPr>
          <w:rStyle w:val="FootnoteReference"/>
          <w:sz w:val="20"/>
          <w:szCs w:val="20"/>
        </w:rPr>
        <w:footnoteRef/>
      </w:r>
      <w:r w:rsidRPr="00B519BF">
        <w:rPr>
          <w:rFonts w:cs="Arial"/>
          <w:sz w:val="20"/>
          <w:szCs w:val="20"/>
        </w:rPr>
        <w:t xml:space="preserve"> Welsh Government StatsWales - </w:t>
      </w:r>
      <w:hyperlink r:id="rId330" w:history="1">
        <w:r w:rsidRPr="00B519BF">
          <w:rPr>
            <w:rStyle w:val="Hyperlink"/>
            <w:rFonts w:cs="Arial"/>
            <w:color w:val="0000FF"/>
            <w:sz w:val="20"/>
            <w:szCs w:val="20"/>
          </w:rPr>
          <w:t xml:space="preserve">Disease registers by local health board, locality and GP practice </w:t>
        </w:r>
      </w:hyperlink>
    </w:p>
  </w:footnote>
  <w:footnote w:id="334">
    <w:p w14:paraId="4A5567E7" w14:textId="77777777" w:rsidR="00487A56" w:rsidRPr="00B519BF" w:rsidRDefault="00487A56" w:rsidP="00487A56">
      <w:pPr>
        <w:pStyle w:val="FootnoteText"/>
        <w:rPr>
          <w:rFonts w:cs="Arial"/>
        </w:rPr>
      </w:pPr>
      <w:r w:rsidRPr="00B519BF">
        <w:rPr>
          <w:rStyle w:val="FootnoteReference"/>
          <w:sz w:val="20"/>
        </w:rPr>
        <w:footnoteRef/>
      </w:r>
      <w:r w:rsidRPr="00B519BF">
        <w:rPr>
          <w:rFonts w:cs="Arial"/>
        </w:rPr>
        <w:t xml:space="preserve"> InfoBaseCymru data for an intelligent Wales - </w:t>
      </w:r>
      <w:hyperlink r:id="rId331" w:history="1">
        <w:r w:rsidRPr="00B519BF">
          <w:rPr>
            <w:rStyle w:val="Hyperlink"/>
            <w:rFonts w:cs="Arial"/>
            <w:color w:val="0000FF"/>
          </w:rPr>
          <w:t xml:space="preserve">Adults reporting lifestyle behaviours </w:t>
        </w:r>
      </w:hyperlink>
      <w:r w:rsidRPr="00B519BF">
        <w:rPr>
          <w:rFonts w:cs="Arial"/>
        </w:rPr>
        <w:t>(2021 to 2023)</w:t>
      </w:r>
    </w:p>
  </w:footnote>
  <w:footnote w:id="335">
    <w:p w14:paraId="0212713F" w14:textId="77777777" w:rsidR="00282E39" w:rsidRPr="00BD4BBA" w:rsidRDefault="00282E39" w:rsidP="00282E39">
      <w:pPr>
        <w:rPr>
          <w:rFonts w:cs="Arial"/>
          <w:sz w:val="20"/>
          <w:szCs w:val="20"/>
        </w:rPr>
      </w:pPr>
      <w:r w:rsidRPr="00BD4BBA">
        <w:rPr>
          <w:rStyle w:val="FootnoteReference"/>
          <w:sz w:val="20"/>
          <w:szCs w:val="20"/>
        </w:rPr>
        <w:footnoteRef/>
      </w:r>
      <w:r w:rsidRPr="00BD4BBA">
        <w:rPr>
          <w:rFonts w:cs="Arial"/>
          <w:sz w:val="20"/>
          <w:szCs w:val="20"/>
        </w:rPr>
        <w:t xml:space="preserve"> </w:t>
      </w:r>
      <w:r w:rsidRPr="00BD4BBA">
        <w:rPr>
          <w:rFonts w:cs="Arial"/>
          <w:kern w:val="0"/>
          <w:sz w:val="20"/>
          <w:szCs w:val="20"/>
        </w:rPr>
        <w:t xml:space="preserve">Office for National Statistics Census 2021 - </w:t>
      </w:r>
      <w:hyperlink r:id="rId332" w:history="1">
        <w:r w:rsidRPr="00BD4BBA">
          <w:rPr>
            <w:rStyle w:val="Hyperlink"/>
            <w:rFonts w:cs="Arial"/>
            <w:color w:val="0000FF"/>
            <w:sz w:val="20"/>
            <w:szCs w:val="20"/>
          </w:rPr>
          <w:t>Population estimates for England and Wales: mid 2024</w:t>
        </w:r>
      </w:hyperlink>
    </w:p>
  </w:footnote>
  <w:footnote w:id="336">
    <w:p w14:paraId="188F2D3E" w14:textId="77777777" w:rsidR="00282E39" w:rsidRPr="00BD4BBA" w:rsidRDefault="00282E39" w:rsidP="00282E39">
      <w:pPr>
        <w:rPr>
          <w:rFonts w:cs="Arial"/>
          <w:color w:val="0000FF"/>
          <w:sz w:val="20"/>
          <w:szCs w:val="20"/>
          <w:u w:val="single"/>
        </w:rPr>
      </w:pPr>
      <w:r w:rsidRPr="00BD4BBA">
        <w:rPr>
          <w:rStyle w:val="FootnoteReference"/>
          <w:sz w:val="20"/>
          <w:szCs w:val="20"/>
        </w:rPr>
        <w:footnoteRef/>
      </w:r>
      <w:r w:rsidRPr="00BD4BBA">
        <w:rPr>
          <w:rFonts w:cs="Arial"/>
          <w:sz w:val="20"/>
          <w:szCs w:val="20"/>
        </w:rPr>
        <w:t xml:space="preserve"> </w:t>
      </w:r>
      <w:r w:rsidRPr="00BD4BBA">
        <w:rPr>
          <w:rFonts w:cs="Arial"/>
          <w:kern w:val="0"/>
          <w:sz w:val="20"/>
          <w:szCs w:val="20"/>
        </w:rPr>
        <w:t xml:space="preserve">Welsh Government July 2025 - </w:t>
      </w:r>
      <w:hyperlink r:id="rId333" w:history="1">
        <w:r w:rsidRPr="00BD4BBA">
          <w:rPr>
            <w:rStyle w:val="Hyperlink"/>
            <w:rFonts w:cs="Arial"/>
            <w:color w:val="0000FF"/>
            <w:sz w:val="20"/>
            <w:szCs w:val="20"/>
          </w:rPr>
          <w:t>Mid-year estimates of the population: 2024</w:t>
        </w:r>
      </w:hyperlink>
    </w:p>
    <w:p w14:paraId="47C77592" w14:textId="77777777" w:rsidR="00282E39" w:rsidRDefault="00282E39" w:rsidP="00282E39">
      <w:pPr>
        <w:pStyle w:val="FootnoteText"/>
        <w:rPr>
          <w:rFonts w:ascii="Aptos" w:hAnsi="Aptos"/>
        </w:rPr>
      </w:pPr>
    </w:p>
    <w:p w14:paraId="49F64EE9" w14:textId="77777777" w:rsidR="00282E39" w:rsidRDefault="00282E39" w:rsidP="00282E39">
      <w:pPr>
        <w:pStyle w:val="FootnoteText"/>
      </w:pPr>
    </w:p>
  </w:footnote>
  <w:footnote w:id="337">
    <w:p w14:paraId="475FC79E" w14:textId="77777777" w:rsidR="00944076" w:rsidRPr="009A3C7F" w:rsidRDefault="00944076" w:rsidP="00944076">
      <w:pPr>
        <w:pStyle w:val="FootnoteText"/>
        <w:rPr>
          <w:rFonts w:cs="Arial"/>
        </w:rPr>
      </w:pPr>
      <w:r w:rsidRPr="009A3C7F">
        <w:rPr>
          <w:rStyle w:val="FootnoteReference"/>
          <w:sz w:val="20"/>
        </w:rPr>
        <w:footnoteRef/>
      </w:r>
      <w:r w:rsidRPr="009A3C7F">
        <w:rPr>
          <w:rFonts w:cs="Arial"/>
        </w:rPr>
        <w:t xml:space="preserve"> NHS Wales Shared Services Partnership - </w:t>
      </w:r>
      <w:hyperlink r:id="rId334" w:history="1">
        <w:r w:rsidRPr="009A3C7F">
          <w:rPr>
            <w:rStyle w:val="Hyperlink"/>
            <w:rFonts w:cs="Arial"/>
            <w:color w:val="0000FF"/>
          </w:rPr>
          <w:t>GP practice analysis and patient registrations by practice</w:t>
        </w:r>
      </w:hyperlink>
    </w:p>
  </w:footnote>
  <w:footnote w:id="338">
    <w:p w14:paraId="4079E4F8" w14:textId="77777777" w:rsidR="00944076" w:rsidRPr="009A3C7F" w:rsidRDefault="00944076" w:rsidP="00944076">
      <w:pPr>
        <w:rPr>
          <w:rFonts w:cs="Arial"/>
          <w:sz w:val="20"/>
          <w:szCs w:val="20"/>
        </w:rPr>
      </w:pPr>
      <w:r w:rsidRPr="009A3C7F">
        <w:rPr>
          <w:rStyle w:val="FootnoteReference"/>
          <w:sz w:val="20"/>
          <w:szCs w:val="20"/>
        </w:rPr>
        <w:footnoteRef/>
      </w:r>
      <w:r w:rsidRPr="009A3C7F">
        <w:rPr>
          <w:rFonts w:cs="Arial"/>
          <w:sz w:val="20"/>
          <w:szCs w:val="20"/>
        </w:rPr>
        <w:t xml:space="preserve"> Office for National Statistics - </w:t>
      </w:r>
      <w:hyperlink r:id="rId335" w:history="1">
        <w:r w:rsidRPr="009A3C7F">
          <w:rPr>
            <w:rStyle w:val="Hyperlink"/>
            <w:rFonts w:cs="Arial"/>
            <w:color w:val="0000FF"/>
            <w:sz w:val="20"/>
            <w:szCs w:val="20"/>
          </w:rPr>
          <w:t>How life has changed in Neath Port Talbot: Census 2021</w:t>
        </w:r>
      </w:hyperlink>
    </w:p>
  </w:footnote>
  <w:footnote w:id="339">
    <w:p w14:paraId="1F51DF81" w14:textId="77777777" w:rsidR="00944076" w:rsidRPr="009A3C7F" w:rsidRDefault="00944076" w:rsidP="00944076">
      <w:pPr>
        <w:pStyle w:val="FootnoteText"/>
        <w:rPr>
          <w:rFonts w:cs="Arial"/>
        </w:rPr>
      </w:pPr>
      <w:r w:rsidRPr="009A3C7F">
        <w:rPr>
          <w:rStyle w:val="FootnoteReference"/>
          <w:sz w:val="20"/>
        </w:rPr>
        <w:footnoteRef/>
      </w:r>
      <w:r w:rsidRPr="009A3C7F">
        <w:rPr>
          <w:rFonts w:cs="Arial"/>
        </w:rPr>
        <w:t xml:space="preserve"> Welsh Government November 2025 - </w:t>
      </w:r>
      <w:hyperlink r:id="rId336" w:anchor=":~:text=the%20local%20authorities%20projected%20to,0%20to%2015%20years%20old" w:history="1">
        <w:r w:rsidRPr="009A3C7F">
          <w:rPr>
            <w:rStyle w:val="Hyperlink"/>
            <w:rFonts w:cs="Arial"/>
            <w:color w:val="0000FF"/>
          </w:rPr>
          <w:t xml:space="preserve">Local authority population projections: 2022-based </w:t>
        </w:r>
      </w:hyperlink>
    </w:p>
  </w:footnote>
  <w:footnote w:id="340">
    <w:p w14:paraId="22F81070" w14:textId="77777777" w:rsidR="00944076" w:rsidRPr="009A3C7F" w:rsidRDefault="00944076" w:rsidP="00944076">
      <w:pPr>
        <w:rPr>
          <w:rFonts w:cs="Arial"/>
          <w:sz w:val="20"/>
          <w:szCs w:val="20"/>
        </w:rPr>
      </w:pPr>
      <w:r w:rsidRPr="009A3C7F">
        <w:rPr>
          <w:rStyle w:val="FootnoteReference"/>
          <w:sz w:val="20"/>
          <w:szCs w:val="20"/>
        </w:rPr>
        <w:footnoteRef/>
      </w:r>
      <w:r w:rsidRPr="009A3C7F">
        <w:rPr>
          <w:rFonts w:cs="Arial"/>
          <w:sz w:val="20"/>
          <w:szCs w:val="20"/>
        </w:rPr>
        <w:t xml:space="preserve"> Welsh Government StatsWales - </w:t>
      </w:r>
      <w:hyperlink r:id="rId337" w:history="1">
        <w:r w:rsidRPr="009A3C7F">
          <w:rPr>
            <w:rStyle w:val="Hyperlink"/>
            <w:rFonts w:cs="Arial"/>
            <w:color w:val="0000FF"/>
            <w:sz w:val="20"/>
            <w:szCs w:val="20"/>
          </w:rPr>
          <w:t xml:space="preserve">Welsh Index of Multiple Deprivation 2025 local authority deprivation profiles </w:t>
        </w:r>
      </w:hyperlink>
      <w:r w:rsidRPr="009A3C7F">
        <w:rPr>
          <w:rFonts w:cs="Arial"/>
          <w:sz w:val="20"/>
          <w:szCs w:val="20"/>
        </w:rPr>
        <w:t xml:space="preserve"> </w:t>
      </w:r>
    </w:p>
  </w:footnote>
  <w:footnote w:id="341">
    <w:p w14:paraId="219B517C" w14:textId="77777777" w:rsidR="00944076" w:rsidRDefault="00944076" w:rsidP="00944076">
      <w:pPr>
        <w:rPr>
          <w:rFonts w:cs="Arial"/>
          <w:sz w:val="20"/>
          <w:szCs w:val="20"/>
        </w:rPr>
      </w:pPr>
      <w:r w:rsidRPr="009A3C7F">
        <w:rPr>
          <w:rStyle w:val="FootnoteReference"/>
          <w:sz w:val="20"/>
          <w:szCs w:val="20"/>
        </w:rPr>
        <w:footnoteRef/>
      </w:r>
      <w:r w:rsidRPr="009A3C7F">
        <w:rPr>
          <w:rFonts w:cs="Arial"/>
          <w:sz w:val="20"/>
          <w:szCs w:val="20"/>
        </w:rPr>
        <w:t xml:space="preserve"> Welsh Government - </w:t>
      </w:r>
      <w:hyperlink r:id="rId338" w:anchor=":~:text=variant%2C%20on%20StatsWales-,It%20is%20projected%20that%20all%20local%20authorities%2C%20other%20than%20Newport,and%20Bridgend%20(up%2023.1%25)." w:history="1">
        <w:r w:rsidRPr="009A3C7F">
          <w:rPr>
            <w:rStyle w:val="Hyperlink"/>
            <w:rFonts w:cs="Arial"/>
            <w:color w:val="0000FF"/>
            <w:sz w:val="20"/>
            <w:szCs w:val="20"/>
          </w:rPr>
          <w:t>Local authority population projections: 2022-based</w:t>
        </w:r>
      </w:hyperlink>
    </w:p>
  </w:footnote>
  <w:footnote w:id="342">
    <w:p w14:paraId="5E91CFBF" w14:textId="77777777" w:rsidR="00944076" w:rsidRPr="000E169A" w:rsidRDefault="00944076" w:rsidP="00944076">
      <w:pPr>
        <w:rPr>
          <w:rFonts w:cs="Arial"/>
          <w:sz w:val="20"/>
          <w:szCs w:val="20"/>
        </w:rPr>
      </w:pPr>
      <w:r w:rsidRPr="000E169A">
        <w:rPr>
          <w:rStyle w:val="FootnoteReference"/>
          <w:sz w:val="20"/>
          <w:szCs w:val="20"/>
        </w:rPr>
        <w:footnoteRef/>
      </w:r>
      <w:r w:rsidRPr="000E169A">
        <w:rPr>
          <w:rFonts w:cs="Arial"/>
          <w:sz w:val="20"/>
          <w:szCs w:val="20"/>
        </w:rPr>
        <w:t xml:space="preserve"> Office for National Statistics Census 2021 -</w:t>
      </w:r>
      <w:r w:rsidRPr="000E169A">
        <w:rPr>
          <w:rFonts w:cs="Arial"/>
          <w:color w:val="0000FF"/>
          <w:sz w:val="20"/>
          <w:szCs w:val="20"/>
        </w:rPr>
        <w:t xml:space="preserve"> </w:t>
      </w:r>
      <w:hyperlink r:id="rId339" w:history="1">
        <w:r w:rsidRPr="000E169A">
          <w:rPr>
            <w:rStyle w:val="Hyperlink"/>
            <w:rFonts w:cs="Arial"/>
            <w:color w:val="0000FF"/>
            <w:sz w:val="20"/>
            <w:szCs w:val="20"/>
          </w:rPr>
          <w:t>Healthy life expectancy, UK: between 2011 to 2013 and 2022 to 2024</w:t>
        </w:r>
      </w:hyperlink>
      <w:r w:rsidRPr="000E169A">
        <w:rPr>
          <w:rFonts w:cs="Arial"/>
          <w:color w:val="0000FF"/>
          <w:sz w:val="20"/>
          <w:szCs w:val="20"/>
          <w:u w:val="single"/>
        </w:rPr>
        <w:t xml:space="preserve"> </w:t>
      </w:r>
    </w:p>
  </w:footnote>
  <w:footnote w:id="343">
    <w:p w14:paraId="1ADBBA17" w14:textId="77777777" w:rsidR="00944076" w:rsidRPr="000E169A" w:rsidRDefault="00944076" w:rsidP="00944076">
      <w:pPr>
        <w:pStyle w:val="FootnoteText"/>
        <w:rPr>
          <w:rFonts w:cs="Arial"/>
        </w:rPr>
      </w:pPr>
      <w:r w:rsidRPr="000E169A">
        <w:rPr>
          <w:rStyle w:val="FootnoteReference"/>
          <w:sz w:val="20"/>
        </w:rPr>
        <w:footnoteRef/>
      </w:r>
      <w:r w:rsidRPr="000E169A">
        <w:rPr>
          <w:rFonts w:cs="Arial"/>
        </w:rPr>
        <w:t xml:space="preserve"> Public Health Wales - </w:t>
      </w:r>
      <w:hyperlink r:id="rId340" w:history="1">
        <w:r w:rsidRPr="000E169A">
          <w:rPr>
            <w:rStyle w:val="Hyperlink"/>
            <w:rFonts w:cs="Arial"/>
            <w:color w:val="0000FF"/>
          </w:rPr>
          <w:t>Public Health Outcomes Framework 2025</w:t>
        </w:r>
      </w:hyperlink>
    </w:p>
  </w:footnote>
  <w:footnote w:id="344">
    <w:p w14:paraId="7A7EC6D0" w14:textId="77777777" w:rsidR="00944076" w:rsidRPr="000E169A" w:rsidRDefault="00944076" w:rsidP="00944076">
      <w:pPr>
        <w:rPr>
          <w:rFonts w:cs="Arial"/>
          <w:sz w:val="20"/>
          <w:szCs w:val="20"/>
        </w:rPr>
      </w:pPr>
      <w:r w:rsidRPr="000E169A">
        <w:rPr>
          <w:rStyle w:val="FootnoteReference"/>
          <w:sz w:val="20"/>
          <w:szCs w:val="20"/>
        </w:rPr>
        <w:footnoteRef/>
      </w:r>
      <w:r w:rsidRPr="000E169A">
        <w:rPr>
          <w:rFonts w:cs="Arial"/>
          <w:sz w:val="20"/>
          <w:szCs w:val="20"/>
        </w:rPr>
        <w:t xml:space="preserve"> InfoBaseCymru data for an intelligent Wales - </w:t>
      </w:r>
      <w:hyperlink r:id="rId341" w:history="1">
        <w:r w:rsidRPr="000E169A">
          <w:rPr>
            <w:rStyle w:val="Hyperlink"/>
            <w:rFonts w:cs="Arial"/>
            <w:color w:val="0000FF"/>
            <w:sz w:val="20"/>
            <w:szCs w:val="20"/>
          </w:rPr>
          <w:t>Life expectancy in males and females</w:t>
        </w:r>
      </w:hyperlink>
      <w:r w:rsidRPr="000E169A">
        <w:rPr>
          <w:rFonts w:cs="Arial"/>
          <w:sz w:val="20"/>
          <w:szCs w:val="20"/>
        </w:rPr>
        <w:t xml:space="preserve"> (2020 to 2022)</w:t>
      </w:r>
    </w:p>
  </w:footnote>
  <w:footnote w:id="345">
    <w:p w14:paraId="6C9E1E2F" w14:textId="77777777" w:rsidR="00944076" w:rsidRDefault="00944076" w:rsidP="00944076">
      <w:pPr>
        <w:rPr>
          <w:rFonts w:cs="Arial"/>
          <w:sz w:val="20"/>
          <w:szCs w:val="20"/>
        </w:rPr>
      </w:pPr>
      <w:r w:rsidRPr="000E169A">
        <w:rPr>
          <w:rStyle w:val="FootnoteReference"/>
          <w:sz w:val="20"/>
          <w:szCs w:val="20"/>
        </w:rPr>
        <w:footnoteRef/>
      </w:r>
      <w:r w:rsidRPr="000E169A">
        <w:rPr>
          <w:rFonts w:cs="Arial"/>
          <w:sz w:val="20"/>
          <w:szCs w:val="20"/>
        </w:rPr>
        <w:t xml:space="preserve"> Welsh Government December 2025 - </w:t>
      </w:r>
      <w:hyperlink r:id="rId342" w:history="1">
        <w:r w:rsidRPr="000E169A">
          <w:rPr>
            <w:rStyle w:val="Hyperlink"/>
            <w:rFonts w:cs="Arial"/>
            <w:color w:val="0000FF"/>
            <w:sz w:val="20"/>
            <w:szCs w:val="20"/>
          </w:rPr>
          <w:t>Welsh Index of Multiple Deprivation 2025 results report: overall index</w:t>
        </w:r>
        <w:r>
          <w:rPr>
            <w:rStyle w:val="Hyperlink"/>
            <w:rFonts w:cs="Arial"/>
            <w:color w:val="0000FF"/>
            <w:sz w:val="20"/>
            <w:szCs w:val="20"/>
          </w:rPr>
          <w:t xml:space="preserve"> </w:t>
        </w:r>
      </w:hyperlink>
    </w:p>
  </w:footnote>
  <w:footnote w:id="346">
    <w:p w14:paraId="08F8DE66" w14:textId="77777777" w:rsidR="00944076" w:rsidRPr="004962D9" w:rsidRDefault="00944076" w:rsidP="004962D9">
      <w:pPr>
        <w:rPr>
          <w:rFonts w:ascii="Aptos" w:hAnsi="Aptos" w:cs="Times New Roman"/>
          <w:sz w:val="20"/>
          <w:szCs w:val="20"/>
        </w:rPr>
      </w:pPr>
      <w:r w:rsidRPr="004962D9">
        <w:rPr>
          <w:rStyle w:val="FootnoteReference"/>
          <w:sz w:val="20"/>
          <w:szCs w:val="20"/>
        </w:rPr>
        <w:footnoteRef/>
      </w:r>
      <w:r w:rsidRPr="004962D9">
        <w:rPr>
          <w:rFonts w:cs="Arial"/>
          <w:sz w:val="20"/>
          <w:szCs w:val="20"/>
        </w:rPr>
        <w:t xml:space="preserve"> Public Health Wales - </w:t>
      </w:r>
      <w:hyperlink r:id="rId343" w:history="1">
        <w:r w:rsidRPr="004962D9">
          <w:rPr>
            <w:rStyle w:val="Hyperlink"/>
            <w:rFonts w:cs="Arial"/>
            <w:color w:val="0000FF"/>
            <w:sz w:val="20"/>
            <w:szCs w:val="20"/>
          </w:rPr>
          <w:t>Primary care localities dashboard</w:t>
        </w:r>
      </w:hyperlink>
    </w:p>
  </w:footnote>
  <w:footnote w:id="347">
    <w:p w14:paraId="4E78A321" w14:textId="77777777" w:rsidR="00944076" w:rsidRPr="004962D9" w:rsidRDefault="00944076" w:rsidP="004962D9">
      <w:pPr>
        <w:rPr>
          <w:rFonts w:cs="Arial"/>
          <w:sz w:val="20"/>
          <w:szCs w:val="20"/>
        </w:rPr>
      </w:pPr>
      <w:r w:rsidRPr="004962D9">
        <w:rPr>
          <w:rStyle w:val="FootnoteReference"/>
          <w:sz w:val="20"/>
          <w:szCs w:val="20"/>
        </w:rPr>
        <w:footnoteRef/>
      </w:r>
      <w:r w:rsidRPr="004962D9">
        <w:rPr>
          <w:rFonts w:cs="Arial"/>
          <w:sz w:val="20"/>
          <w:szCs w:val="20"/>
        </w:rPr>
        <w:t xml:space="preserve"> Welsh Government StatsWales - </w:t>
      </w:r>
      <w:hyperlink r:id="rId344" w:history="1">
        <w:r w:rsidRPr="004962D9">
          <w:rPr>
            <w:rStyle w:val="Hyperlink"/>
            <w:rFonts w:cs="Arial"/>
            <w:color w:val="0000FF"/>
            <w:sz w:val="20"/>
            <w:szCs w:val="20"/>
          </w:rPr>
          <w:t xml:space="preserve">Disease registers by local health board, locality and GP practice </w:t>
        </w:r>
      </w:hyperlink>
    </w:p>
  </w:footnote>
  <w:footnote w:id="348">
    <w:p w14:paraId="05170C0C" w14:textId="77777777" w:rsidR="00944076" w:rsidRPr="004962D9" w:rsidRDefault="00944076" w:rsidP="004962D9">
      <w:pPr>
        <w:pStyle w:val="FootnoteText"/>
        <w:rPr>
          <w:rFonts w:cs="Arial"/>
        </w:rPr>
      </w:pPr>
      <w:r w:rsidRPr="004962D9">
        <w:rPr>
          <w:rStyle w:val="FootnoteReference"/>
          <w:sz w:val="20"/>
        </w:rPr>
        <w:footnoteRef/>
      </w:r>
      <w:r w:rsidRPr="004962D9">
        <w:rPr>
          <w:rFonts w:cs="Arial"/>
        </w:rPr>
        <w:t xml:space="preserve"> Welsh Government StatsWales - </w:t>
      </w:r>
      <w:hyperlink r:id="rId345" w:history="1">
        <w:r w:rsidRPr="004962D9">
          <w:rPr>
            <w:rStyle w:val="Hyperlink"/>
            <w:rFonts w:cs="Arial"/>
            <w:color w:val="0000FF"/>
          </w:rPr>
          <w:t xml:space="preserve">Disease registers by local health board, locality and GP practice </w:t>
        </w:r>
      </w:hyperlink>
    </w:p>
  </w:footnote>
  <w:footnote w:id="349">
    <w:p w14:paraId="6035E0C7" w14:textId="77777777" w:rsidR="00944076" w:rsidRPr="004962D9" w:rsidRDefault="00944076" w:rsidP="00944076">
      <w:pPr>
        <w:pStyle w:val="FootnoteText"/>
        <w:rPr>
          <w:rFonts w:cs="Arial"/>
        </w:rPr>
      </w:pPr>
      <w:r w:rsidRPr="004962D9">
        <w:rPr>
          <w:rStyle w:val="FootnoteReference"/>
          <w:sz w:val="20"/>
        </w:rPr>
        <w:footnoteRef/>
      </w:r>
      <w:r w:rsidRPr="004962D9">
        <w:rPr>
          <w:rFonts w:cs="Arial"/>
        </w:rPr>
        <w:t xml:space="preserve"> Welsh Government StatsWales - </w:t>
      </w:r>
      <w:hyperlink r:id="rId346" w:history="1">
        <w:r w:rsidRPr="004962D9">
          <w:rPr>
            <w:rStyle w:val="Hyperlink"/>
            <w:rFonts w:cs="Arial"/>
            <w:color w:val="0000FF"/>
          </w:rPr>
          <w:t xml:space="preserve">Disease registers by local health board, locality and GP practice </w:t>
        </w:r>
      </w:hyperlink>
    </w:p>
  </w:footnote>
  <w:footnote w:id="350">
    <w:p w14:paraId="0DFD29E2" w14:textId="77777777" w:rsidR="00944076" w:rsidRDefault="00944076" w:rsidP="00944076">
      <w:pPr>
        <w:pStyle w:val="FootnoteText"/>
        <w:rPr>
          <w:rFonts w:cs="Arial"/>
        </w:rPr>
      </w:pPr>
      <w:r w:rsidRPr="004962D9">
        <w:rPr>
          <w:rStyle w:val="FootnoteReference"/>
          <w:sz w:val="20"/>
        </w:rPr>
        <w:footnoteRef/>
      </w:r>
      <w:r w:rsidRPr="004962D9">
        <w:rPr>
          <w:rFonts w:cs="Arial"/>
        </w:rPr>
        <w:t xml:space="preserve"> InfoBaseCymru data for an intelligent Wales - </w:t>
      </w:r>
      <w:hyperlink r:id="rId347" w:history="1">
        <w:r w:rsidRPr="004962D9">
          <w:rPr>
            <w:rStyle w:val="Hyperlink"/>
            <w:rFonts w:cs="Arial"/>
            <w:color w:val="0000FF"/>
          </w:rPr>
          <w:t xml:space="preserve">Adults reporting lifestyle behaviours </w:t>
        </w:r>
      </w:hyperlink>
      <w:r w:rsidRPr="004962D9">
        <w:rPr>
          <w:rFonts w:cs="Arial"/>
        </w:rPr>
        <w:t>(2021 to 2023)</w:t>
      </w:r>
    </w:p>
  </w:footnote>
  <w:footnote w:id="351">
    <w:p w14:paraId="6D7CB19E" w14:textId="77777777" w:rsidR="00042E43" w:rsidRPr="00BD4BBA" w:rsidRDefault="00042E43" w:rsidP="00042E43">
      <w:pPr>
        <w:rPr>
          <w:rFonts w:cs="Arial"/>
          <w:sz w:val="20"/>
          <w:szCs w:val="20"/>
        </w:rPr>
      </w:pPr>
      <w:r w:rsidRPr="00BD4BBA">
        <w:rPr>
          <w:rStyle w:val="FootnoteReference"/>
          <w:sz w:val="20"/>
          <w:szCs w:val="20"/>
        </w:rPr>
        <w:footnoteRef/>
      </w:r>
      <w:r w:rsidRPr="00BD4BBA">
        <w:rPr>
          <w:rFonts w:cs="Arial"/>
          <w:sz w:val="20"/>
          <w:szCs w:val="20"/>
        </w:rPr>
        <w:t xml:space="preserve"> </w:t>
      </w:r>
      <w:r w:rsidRPr="00BD4BBA">
        <w:rPr>
          <w:rFonts w:cs="Arial"/>
          <w:kern w:val="0"/>
          <w:sz w:val="20"/>
          <w:szCs w:val="20"/>
        </w:rPr>
        <w:t xml:space="preserve">Office for National Statistics Census 2021 - </w:t>
      </w:r>
      <w:hyperlink r:id="rId348" w:history="1">
        <w:r w:rsidRPr="00BD4BBA">
          <w:rPr>
            <w:rStyle w:val="Hyperlink"/>
            <w:rFonts w:cs="Arial"/>
            <w:color w:val="0000FF"/>
            <w:sz w:val="20"/>
            <w:szCs w:val="20"/>
          </w:rPr>
          <w:t>Population estimates for England and Wales: mid 2024</w:t>
        </w:r>
      </w:hyperlink>
    </w:p>
  </w:footnote>
  <w:footnote w:id="352">
    <w:p w14:paraId="63B6FBCC" w14:textId="77777777" w:rsidR="00042E43" w:rsidRPr="00BD4BBA" w:rsidRDefault="00042E43" w:rsidP="00042E43">
      <w:pPr>
        <w:rPr>
          <w:rFonts w:cs="Arial"/>
          <w:color w:val="0000FF"/>
          <w:sz w:val="20"/>
          <w:szCs w:val="20"/>
          <w:u w:val="single"/>
        </w:rPr>
      </w:pPr>
      <w:r w:rsidRPr="00BD4BBA">
        <w:rPr>
          <w:rStyle w:val="FootnoteReference"/>
          <w:sz w:val="20"/>
          <w:szCs w:val="20"/>
        </w:rPr>
        <w:footnoteRef/>
      </w:r>
      <w:r w:rsidRPr="00BD4BBA">
        <w:rPr>
          <w:rFonts w:cs="Arial"/>
          <w:sz w:val="20"/>
          <w:szCs w:val="20"/>
        </w:rPr>
        <w:t xml:space="preserve"> </w:t>
      </w:r>
      <w:r w:rsidRPr="00BD4BBA">
        <w:rPr>
          <w:rFonts w:cs="Arial"/>
          <w:kern w:val="0"/>
          <w:sz w:val="20"/>
          <w:szCs w:val="20"/>
        </w:rPr>
        <w:t xml:space="preserve">Welsh Government July 2025 - </w:t>
      </w:r>
      <w:hyperlink r:id="rId349" w:history="1">
        <w:r w:rsidRPr="00BD4BBA">
          <w:rPr>
            <w:rStyle w:val="Hyperlink"/>
            <w:rFonts w:cs="Arial"/>
            <w:color w:val="0000FF"/>
            <w:sz w:val="20"/>
            <w:szCs w:val="20"/>
          </w:rPr>
          <w:t>Mid-year estimates of the population: 2024</w:t>
        </w:r>
      </w:hyperlink>
    </w:p>
    <w:p w14:paraId="7DE6B59F" w14:textId="77777777" w:rsidR="00042E43" w:rsidRDefault="00042E43" w:rsidP="00042E43">
      <w:pPr>
        <w:pStyle w:val="FootnoteText"/>
        <w:rPr>
          <w:rFonts w:ascii="Aptos" w:hAnsi="Aptos"/>
        </w:rPr>
      </w:pPr>
    </w:p>
    <w:p w14:paraId="16D27FE9" w14:textId="77777777" w:rsidR="00042E43" w:rsidRDefault="00042E43" w:rsidP="00042E43">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4AD8CF2C"/>
    <w:lvl w:ilvl="0">
      <w:start w:val="1"/>
      <w:numFmt w:val="bullet"/>
      <w:pStyle w:val="ListBullet2"/>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DDEC4674"/>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13F08AC"/>
    <w:multiLevelType w:val="hybridMultilevel"/>
    <w:tmpl w:val="98EE8D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01B06BB8"/>
    <w:multiLevelType w:val="hybridMultilevel"/>
    <w:tmpl w:val="8C5874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01C805B1"/>
    <w:multiLevelType w:val="hybridMultilevel"/>
    <w:tmpl w:val="10364A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02080CFF"/>
    <w:multiLevelType w:val="hybridMultilevel"/>
    <w:tmpl w:val="449EC668"/>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3" w15:restartNumberingAfterBreak="0">
    <w:nsid w:val="024F2F87"/>
    <w:multiLevelType w:val="hybridMultilevel"/>
    <w:tmpl w:val="6EE4A29A"/>
    <w:lvl w:ilvl="0" w:tplc="B77A49EA">
      <w:start w:val="1"/>
      <w:numFmt w:val="bullet"/>
      <w:lvlText w:val=""/>
      <w:lvlJc w:val="left"/>
      <w:pPr>
        <w:ind w:left="720" w:hanging="360"/>
      </w:pPr>
      <w:rPr>
        <w:rFonts w:ascii="Symbol" w:hAnsi="Symbol" w:hint="default"/>
        <w:caps w:val="0"/>
        <w:strike w:val="0"/>
        <w:dstrike w:val="0"/>
        <w:vanish w:val="0"/>
        <w:webHidden w:val="0"/>
        <w:color w:val="auto"/>
        <w:u w:val="none"/>
        <w:effect w:val="none"/>
        <w:vertAlign w:val="baseline"/>
        <w:specVanish w:val="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02EC5948"/>
    <w:multiLevelType w:val="hybridMultilevel"/>
    <w:tmpl w:val="E7126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033B1810"/>
    <w:multiLevelType w:val="hybridMultilevel"/>
    <w:tmpl w:val="C37637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03DC4A49"/>
    <w:multiLevelType w:val="hybridMultilevel"/>
    <w:tmpl w:val="42BEE7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042E7B7A"/>
    <w:multiLevelType w:val="hybridMultilevel"/>
    <w:tmpl w:val="B83A38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04310CFE"/>
    <w:multiLevelType w:val="hybridMultilevel"/>
    <w:tmpl w:val="322620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04A0216C"/>
    <w:multiLevelType w:val="hybridMultilevel"/>
    <w:tmpl w:val="B0CAE5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04FE462B"/>
    <w:multiLevelType w:val="hybridMultilevel"/>
    <w:tmpl w:val="564E4B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056A5B64"/>
    <w:multiLevelType w:val="hybridMultilevel"/>
    <w:tmpl w:val="90A0DB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05943482"/>
    <w:multiLevelType w:val="hybridMultilevel"/>
    <w:tmpl w:val="4F443D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05D03CB4"/>
    <w:multiLevelType w:val="hybridMultilevel"/>
    <w:tmpl w:val="148A50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069126BD"/>
    <w:multiLevelType w:val="hybridMultilevel"/>
    <w:tmpl w:val="C3AC24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076D0256"/>
    <w:multiLevelType w:val="hybridMultilevel"/>
    <w:tmpl w:val="881644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07741A2A"/>
    <w:multiLevelType w:val="hybridMultilevel"/>
    <w:tmpl w:val="D898BB0E"/>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07D34B8A"/>
    <w:multiLevelType w:val="hybridMultilevel"/>
    <w:tmpl w:val="7D4689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08857C95"/>
    <w:multiLevelType w:val="hybridMultilevel"/>
    <w:tmpl w:val="1C0659E6"/>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9" w15:restartNumberingAfterBreak="0">
    <w:nsid w:val="08BD6239"/>
    <w:multiLevelType w:val="hybridMultilevel"/>
    <w:tmpl w:val="146828E8"/>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0" w15:restartNumberingAfterBreak="0">
    <w:nsid w:val="08F971B8"/>
    <w:multiLevelType w:val="hybridMultilevel"/>
    <w:tmpl w:val="31BA02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09193380"/>
    <w:multiLevelType w:val="hybridMultilevel"/>
    <w:tmpl w:val="C22823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092C0AF4"/>
    <w:multiLevelType w:val="hybridMultilevel"/>
    <w:tmpl w:val="E41ED4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15:restartNumberingAfterBreak="0">
    <w:nsid w:val="09A6570A"/>
    <w:multiLevelType w:val="hybridMultilevel"/>
    <w:tmpl w:val="4E1A8F20"/>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4" w15:restartNumberingAfterBreak="0">
    <w:nsid w:val="0ADC4885"/>
    <w:multiLevelType w:val="hybridMultilevel"/>
    <w:tmpl w:val="5636E8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0AF515D3"/>
    <w:multiLevelType w:val="hybridMultilevel"/>
    <w:tmpl w:val="5DE226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6" w15:restartNumberingAfterBreak="0">
    <w:nsid w:val="0B0F7EC8"/>
    <w:multiLevelType w:val="hybridMultilevel"/>
    <w:tmpl w:val="108C47B6"/>
    <w:lvl w:ilvl="0" w:tplc="08090001">
      <w:start w:val="1"/>
      <w:numFmt w:val="bullet"/>
      <w:lvlText w:val=""/>
      <w:lvlJc w:val="left"/>
      <w:pPr>
        <w:ind w:left="847" w:hanging="360"/>
      </w:pPr>
      <w:rPr>
        <w:rFonts w:ascii="Symbol" w:hAnsi="Symbol" w:hint="default"/>
      </w:rPr>
    </w:lvl>
    <w:lvl w:ilvl="1" w:tplc="08090003">
      <w:start w:val="1"/>
      <w:numFmt w:val="bullet"/>
      <w:lvlText w:val="o"/>
      <w:lvlJc w:val="left"/>
      <w:pPr>
        <w:ind w:left="1567" w:hanging="360"/>
      </w:pPr>
      <w:rPr>
        <w:rFonts w:ascii="Courier New" w:hAnsi="Courier New" w:cs="Courier New" w:hint="default"/>
      </w:rPr>
    </w:lvl>
    <w:lvl w:ilvl="2" w:tplc="08090005">
      <w:start w:val="1"/>
      <w:numFmt w:val="bullet"/>
      <w:lvlText w:val=""/>
      <w:lvlJc w:val="left"/>
      <w:pPr>
        <w:ind w:left="2287" w:hanging="360"/>
      </w:pPr>
      <w:rPr>
        <w:rFonts w:ascii="Wingdings" w:hAnsi="Wingdings" w:hint="default"/>
      </w:rPr>
    </w:lvl>
    <w:lvl w:ilvl="3" w:tplc="08090001">
      <w:start w:val="1"/>
      <w:numFmt w:val="bullet"/>
      <w:lvlText w:val=""/>
      <w:lvlJc w:val="left"/>
      <w:pPr>
        <w:ind w:left="3007" w:hanging="360"/>
      </w:pPr>
      <w:rPr>
        <w:rFonts w:ascii="Symbol" w:hAnsi="Symbol" w:hint="default"/>
      </w:rPr>
    </w:lvl>
    <w:lvl w:ilvl="4" w:tplc="08090003">
      <w:start w:val="1"/>
      <w:numFmt w:val="bullet"/>
      <w:lvlText w:val="o"/>
      <w:lvlJc w:val="left"/>
      <w:pPr>
        <w:ind w:left="3727" w:hanging="360"/>
      </w:pPr>
      <w:rPr>
        <w:rFonts w:ascii="Courier New" w:hAnsi="Courier New" w:cs="Courier New" w:hint="default"/>
      </w:rPr>
    </w:lvl>
    <w:lvl w:ilvl="5" w:tplc="08090005">
      <w:start w:val="1"/>
      <w:numFmt w:val="bullet"/>
      <w:lvlText w:val=""/>
      <w:lvlJc w:val="left"/>
      <w:pPr>
        <w:ind w:left="4447" w:hanging="360"/>
      </w:pPr>
      <w:rPr>
        <w:rFonts w:ascii="Wingdings" w:hAnsi="Wingdings" w:hint="default"/>
      </w:rPr>
    </w:lvl>
    <w:lvl w:ilvl="6" w:tplc="08090001">
      <w:start w:val="1"/>
      <w:numFmt w:val="bullet"/>
      <w:lvlText w:val=""/>
      <w:lvlJc w:val="left"/>
      <w:pPr>
        <w:ind w:left="5167" w:hanging="360"/>
      </w:pPr>
      <w:rPr>
        <w:rFonts w:ascii="Symbol" w:hAnsi="Symbol" w:hint="default"/>
      </w:rPr>
    </w:lvl>
    <w:lvl w:ilvl="7" w:tplc="08090003">
      <w:start w:val="1"/>
      <w:numFmt w:val="bullet"/>
      <w:lvlText w:val="o"/>
      <w:lvlJc w:val="left"/>
      <w:pPr>
        <w:ind w:left="5887" w:hanging="360"/>
      </w:pPr>
      <w:rPr>
        <w:rFonts w:ascii="Courier New" w:hAnsi="Courier New" w:cs="Courier New" w:hint="default"/>
      </w:rPr>
    </w:lvl>
    <w:lvl w:ilvl="8" w:tplc="08090005">
      <w:start w:val="1"/>
      <w:numFmt w:val="bullet"/>
      <w:lvlText w:val=""/>
      <w:lvlJc w:val="left"/>
      <w:pPr>
        <w:ind w:left="6607" w:hanging="360"/>
      </w:pPr>
      <w:rPr>
        <w:rFonts w:ascii="Wingdings" w:hAnsi="Wingdings" w:hint="default"/>
      </w:rPr>
    </w:lvl>
  </w:abstractNum>
  <w:abstractNum w:abstractNumId="37" w15:restartNumberingAfterBreak="0">
    <w:nsid w:val="0B515204"/>
    <w:multiLevelType w:val="hybridMultilevel"/>
    <w:tmpl w:val="6AA267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8" w15:restartNumberingAfterBreak="0">
    <w:nsid w:val="0B6C57C3"/>
    <w:multiLevelType w:val="hybridMultilevel"/>
    <w:tmpl w:val="48DEDF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9" w15:restartNumberingAfterBreak="0">
    <w:nsid w:val="0BCA6703"/>
    <w:multiLevelType w:val="hybridMultilevel"/>
    <w:tmpl w:val="722C80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0" w15:restartNumberingAfterBreak="0">
    <w:nsid w:val="0C2D4A26"/>
    <w:multiLevelType w:val="hybridMultilevel"/>
    <w:tmpl w:val="1CE4BC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1" w15:restartNumberingAfterBreak="0">
    <w:nsid w:val="0C55516E"/>
    <w:multiLevelType w:val="hybridMultilevel"/>
    <w:tmpl w:val="66D43A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2" w15:restartNumberingAfterBreak="0">
    <w:nsid w:val="0DE84291"/>
    <w:multiLevelType w:val="hybridMultilevel"/>
    <w:tmpl w:val="078843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3" w15:restartNumberingAfterBreak="0">
    <w:nsid w:val="0E4358A1"/>
    <w:multiLevelType w:val="hybridMultilevel"/>
    <w:tmpl w:val="0408EEA2"/>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44" w15:restartNumberingAfterBreak="0">
    <w:nsid w:val="10235032"/>
    <w:multiLevelType w:val="hybridMultilevel"/>
    <w:tmpl w:val="A5E249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5" w15:restartNumberingAfterBreak="0">
    <w:nsid w:val="124A4267"/>
    <w:multiLevelType w:val="hybridMultilevel"/>
    <w:tmpl w:val="440629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6" w15:restartNumberingAfterBreak="0">
    <w:nsid w:val="126B3E3D"/>
    <w:multiLevelType w:val="hybridMultilevel"/>
    <w:tmpl w:val="C2E443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7" w15:restartNumberingAfterBreak="0">
    <w:nsid w:val="12B269EC"/>
    <w:multiLevelType w:val="hybridMultilevel"/>
    <w:tmpl w:val="8E3631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8" w15:restartNumberingAfterBreak="0">
    <w:nsid w:val="12D35244"/>
    <w:multiLevelType w:val="hybridMultilevel"/>
    <w:tmpl w:val="98A2F0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9" w15:restartNumberingAfterBreak="0">
    <w:nsid w:val="1306056D"/>
    <w:multiLevelType w:val="hybridMultilevel"/>
    <w:tmpl w:val="A5E85E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0" w15:restartNumberingAfterBreak="0">
    <w:nsid w:val="13531BBD"/>
    <w:multiLevelType w:val="hybridMultilevel"/>
    <w:tmpl w:val="7824858E"/>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51" w15:restartNumberingAfterBreak="0">
    <w:nsid w:val="13846D34"/>
    <w:multiLevelType w:val="hybridMultilevel"/>
    <w:tmpl w:val="69F671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2" w15:restartNumberingAfterBreak="0">
    <w:nsid w:val="13931182"/>
    <w:multiLevelType w:val="hybridMultilevel"/>
    <w:tmpl w:val="A2D099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3" w15:restartNumberingAfterBreak="0">
    <w:nsid w:val="149E31FD"/>
    <w:multiLevelType w:val="hybridMultilevel"/>
    <w:tmpl w:val="0A6057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4" w15:restartNumberingAfterBreak="0">
    <w:nsid w:val="14F52567"/>
    <w:multiLevelType w:val="hybridMultilevel"/>
    <w:tmpl w:val="22D0CE6C"/>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55" w15:restartNumberingAfterBreak="0">
    <w:nsid w:val="15033A82"/>
    <w:multiLevelType w:val="hybridMultilevel"/>
    <w:tmpl w:val="840E945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6" w15:restartNumberingAfterBreak="0">
    <w:nsid w:val="150772E6"/>
    <w:multiLevelType w:val="hybridMultilevel"/>
    <w:tmpl w:val="85C2F3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7" w15:restartNumberingAfterBreak="0">
    <w:nsid w:val="15BA30D9"/>
    <w:multiLevelType w:val="hybridMultilevel"/>
    <w:tmpl w:val="F2A89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8" w15:restartNumberingAfterBreak="0">
    <w:nsid w:val="15C317C7"/>
    <w:multiLevelType w:val="hybridMultilevel"/>
    <w:tmpl w:val="EA5EC9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9" w15:restartNumberingAfterBreak="0">
    <w:nsid w:val="164474A8"/>
    <w:multiLevelType w:val="hybridMultilevel"/>
    <w:tmpl w:val="5442CB50"/>
    <w:lvl w:ilvl="0" w:tplc="B77A49EA">
      <w:start w:val="1"/>
      <w:numFmt w:val="bullet"/>
      <w:lvlText w:val=""/>
      <w:lvlJc w:val="left"/>
      <w:pPr>
        <w:ind w:left="720" w:hanging="360"/>
      </w:pPr>
      <w:rPr>
        <w:rFonts w:ascii="Symbol" w:hAnsi="Symbol" w:hint="default"/>
        <w:caps w:val="0"/>
        <w:strike w:val="0"/>
        <w:dstrike w:val="0"/>
        <w:vanish w:val="0"/>
        <w:webHidden w:val="0"/>
        <w:color w:val="auto"/>
        <w:u w:val="none"/>
        <w:effect w:val="none"/>
        <w:vertAlign w:val="baseline"/>
        <w:specVanish w:val="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0" w15:restartNumberingAfterBreak="0">
    <w:nsid w:val="16770E90"/>
    <w:multiLevelType w:val="hybridMultilevel"/>
    <w:tmpl w:val="E8D61D9C"/>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61" w15:restartNumberingAfterBreak="0">
    <w:nsid w:val="167B212B"/>
    <w:multiLevelType w:val="hybridMultilevel"/>
    <w:tmpl w:val="2DA0C2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2" w15:restartNumberingAfterBreak="0">
    <w:nsid w:val="16A910BB"/>
    <w:multiLevelType w:val="hybridMultilevel"/>
    <w:tmpl w:val="22B00D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3" w15:restartNumberingAfterBreak="0">
    <w:nsid w:val="16AD1F2E"/>
    <w:multiLevelType w:val="hybridMultilevel"/>
    <w:tmpl w:val="E4B6C968"/>
    <w:lvl w:ilvl="0" w:tplc="55F6194E">
      <w:start w:val="1"/>
      <w:numFmt w:val="decimal"/>
      <w:lvlText w:val="%1."/>
      <w:lvlJc w:val="left"/>
      <w:pPr>
        <w:ind w:left="1058" w:hanging="284"/>
      </w:pPr>
      <w:rPr>
        <w:spacing w:val="-1"/>
        <w:w w:val="100"/>
        <w:lang w:val="en-US" w:eastAsia="en-US" w:bidi="ar-SA"/>
      </w:rPr>
    </w:lvl>
    <w:lvl w:ilvl="1" w:tplc="093E078E">
      <w:numFmt w:val="bullet"/>
      <w:lvlText w:val="•"/>
      <w:lvlJc w:val="left"/>
      <w:pPr>
        <w:ind w:left="1714" w:hanging="360"/>
      </w:pPr>
      <w:rPr>
        <w:rFonts w:ascii="Arial" w:eastAsia="Arial" w:hAnsi="Arial" w:cs="Arial" w:hint="default"/>
        <w:b w:val="0"/>
        <w:bCs w:val="0"/>
        <w:i w:val="0"/>
        <w:iCs w:val="0"/>
        <w:spacing w:val="0"/>
        <w:w w:val="100"/>
        <w:sz w:val="22"/>
        <w:szCs w:val="22"/>
        <w:lang w:val="en-US" w:eastAsia="en-US" w:bidi="ar-SA"/>
      </w:rPr>
    </w:lvl>
    <w:lvl w:ilvl="2" w:tplc="0C380864">
      <w:numFmt w:val="bullet"/>
      <w:lvlText w:val="•"/>
      <w:lvlJc w:val="left"/>
      <w:pPr>
        <w:ind w:left="2756" w:hanging="360"/>
      </w:pPr>
      <w:rPr>
        <w:lang w:val="en-US" w:eastAsia="en-US" w:bidi="ar-SA"/>
      </w:rPr>
    </w:lvl>
    <w:lvl w:ilvl="3" w:tplc="455436BA">
      <w:numFmt w:val="bullet"/>
      <w:lvlText w:val="•"/>
      <w:lvlJc w:val="left"/>
      <w:pPr>
        <w:ind w:left="3793" w:hanging="360"/>
      </w:pPr>
      <w:rPr>
        <w:lang w:val="en-US" w:eastAsia="en-US" w:bidi="ar-SA"/>
      </w:rPr>
    </w:lvl>
    <w:lvl w:ilvl="4" w:tplc="D3BC5B04">
      <w:numFmt w:val="bullet"/>
      <w:lvlText w:val="•"/>
      <w:lvlJc w:val="left"/>
      <w:pPr>
        <w:ind w:left="4830" w:hanging="360"/>
      </w:pPr>
      <w:rPr>
        <w:lang w:val="en-US" w:eastAsia="en-US" w:bidi="ar-SA"/>
      </w:rPr>
    </w:lvl>
    <w:lvl w:ilvl="5" w:tplc="41ACC2A0">
      <w:numFmt w:val="bullet"/>
      <w:lvlText w:val="•"/>
      <w:lvlJc w:val="left"/>
      <w:pPr>
        <w:ind w:left="5866" w:hanging="360"/>
      </w:pPr>
      <w:rPr>
        <w:lang w:val="en-US" w:eastAsia="en-US" w:bidi="ar-SA"/>
      </w:rPr>
    </w:lvl>
    <w:lvl w:ilvl="6" w:tplc="2F7CF7FA">
      <w:numFmt w:val="bullet"/>
      <w:lvlText w:val="•"/>
      <w:lvlJc w:val="left"/>
      <w:pPr>
        <w:ind w:left="6903" w:hanging="360"/>
      </w:pPr>
      <w:rPr>
        <w:lang w:val="en-US" w:eastAsia="en-US" w:bidi="ar-SA"/>
      </w:rPr>
    </w:lvl>
    <w:lvl w:ilvl="7" w:tplc="C6402C88">
      <w:numFmt w:val="bullet"/>
      <w:lvlText w:val="•"/>
      <w:lvlJc w:val="left"/>
      <w:pPr>
        <w:ind w:left="7940" w:hanging="360"/>
      </w:pPr>
      <w:rPr>
        <w:lang w:val="en-US" w:eastAsia="en-US" w:bidi="ar-SA"/>
      </w:rPr>
    </w:lvl>
    <w:lvl w:ilvl="8" w:tplc="C556306C">
      <w:numFmt w:val="bullet"/>
      <w:lvlText w:val="•"/>
      <w:lvlJc w:val="left"/>
      <w:pPr>
        <w:ind w:left="8976" w:hanging="360"/>
      </w:pPr>
      <w:rPr>
        <w:lang w:val="en-US" w:eastAsia="en-US" w:bidi="ar-SA"/>
      </w:rPr>
    </w:lvl>
  </w:abstractNum>
  <w:abstractNum w:abstractNumId="64" w15:restartNumberingAfterBreak="0">
    <w:nsid w:val="16BF46AA"/>
    <w:multiLevelType w:val="hybridMultilevel"/>
    <w:tmpl w:val="AA5AC2C0"/>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65" w15:restartNumberingAfterBreak="0">
    <w:nsid w:val="1783301D"/>
    <w:multiLevelType w:val="hybridMultilevel"/>
    <w:tmpl w:val="0F3847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6" w15:restartNumberingAfterBreak="0">
    <w:nsid w:val="17844939"/>
    <w:multiLevelType w:val="hybridMultilevel"/>
    <w:tmpl w:val="B67C52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7" w15:restartNumberingAfterBreak="0">
    <w:nsid w:val="17CC2347"/>
    <w:multiLevelType w:val="hybridMultilevel"/>
    <w:tmpl w:val="20D25C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8" w15:restartNumberingAfterBreak="0">
    <w:nsid w:val="180B14C9"/>
    <w:multiLevelType w:val="hybridMultilevel"/>
    <w:tmpl w:val="4852F3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9" w15:restartNumberingAfterBreak="0">
    <w:nsid w:val="180D6513"/>
    <w:multiLevelType w:val="hybridMultilevel"/>
    <w:tmpl w:val="3D1A9AA8"/>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70" w15:restartNumberingAfterBreak="0">
    <w:nsid w:val="18953C89"/>
    <w:multiLevelType w:val="hybridMultilevel"/>
    <w:tmpl w:val="26DC1E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1" w15:restartNumberingAfterBreak="0">
    <w:nsid w:val="192B409A"/>
    <w:multiLevelType w:val="hybridMultilevel"/>
    <w:tmpl w:val="31C022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2" w15:restartNumberingAfterBreak="0">
    <w:nsid w:val="19FA30C1"/>
    <w:multiLevelType w:val="hybridMultilevel"/>
    <w:tmpl w:val="38A0D8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3" w15:restartNumberingAfterBreak="0">
    <w:nsid w:val="1A3D4620"/>
    <w:multiLevelType w:val="hybridMultilevel"/>
    <w:tmpl w:val="E208EB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4" w15:restartNumberingAfterBreak="0">
    <w:nsid w:val="1A4329CD"/>
    <w:multiLevelType w:val="hybridMultilevel"/>
    <w:tmpl w:val="D292D8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5" w15:restartNumberingAfterBreak="0">
    <w:nsid w:val="1A4D3FB6"/>
    <w:multiLevelType w:val="hybridMultilevel"/>
    <w:tmpl w:val="EE4A34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6" w15:restartNumberingAfterBreak="0">
    <w:nsid w:val="1A7F2126"/>
    <w:multiLevelType w:val="hybridMultilevel"/>
    <w:tmpl w:val="28082A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7" w15:restartNumberingAfterBreak="0">
    <w:nsid w:val="1AF314BA"/>
    <w:multiLevelType w:val="hybridMultilevel"/>
    <w:tmpl w:val="AEEAFC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8" w15:restartNumberingAfterBreak="0">
    <w:nsid w:val="1CB330C8"/>
    <w:multiLevelType w:val="hybridMultilevel"/>
    <w:tmpl w:val="34BC91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9" w15:restartNumberingAfterBreak="0">
    <w:nsid w:val="1D42207D"/>
    <w:multiLevelType w:val="hybridMultilevel"/>
    <w:tmpl w:val="3D7AD6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0" w15:restartNumberingAfterBreak="0">
    <w:nsid w:val="1D462FCB"/>
    <w:multiLevelType w:val="hybridMultilevel"/>
    <w:tmpl w:val="630AE6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1" w15:restartNumberingAfterBreak="0">
    <w:nsid w:val="1DF14C93"/>
    <w:multiLevelType w:val="hybridMultilevel"/>
    <w:tmpl w:val="A3C43A64"/>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82" w15:restartNumberingAfterBreak="0">
    <w:nsid w:val="1E09073C"/>
    <w:multiLevelType w:val="hybridMultilevel"/>
    <w:tmpl w:val="8F9829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3" w15:restartNumberingAfterBreak="0">
    <w:nsid w:val="1E2F3828"/>
    <w:multiLevelType w:val="hybridMultilevel"/>
    <w:tmpl w:val="38B01F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4" w15:restartNumberingAfterBreak="0">
    <w:nsid w:val="1E490CFC"/>
    <w:multiLevelType w:val="hybridMultilevel"/>
    <w:tmpl w:val="A12A6E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5" w15:restartNumberingAfterBreak="0">
    <w:nsid w:val="1E600DE4"/>
    <w:multiLevelType w:val="hybridMultilevel"/>
    <w:tmpl w:val="0672B6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6" w15:restartNumberingAfterBreak="0">
    <w:nsid w:val="1E6A04C8"/>
    <w:multiLevelType w:val="hybridMultilevel"/>
    <w:tmpl w:val="41863610"/>
    <w:lvl w:ilvl="0" w:tplc="B77A49EA">
      <w:start w:val="1"/>
      <w:numFmt w:val="bullet"/>
      <w:lvlText w:val=""/>
      <w:lvlJc w:val="left"/>
      <w:pPr>
        <w:ind w:left="720" w:hanging="360"/>
      </w:pPr>
      <w:rPr>
        <w:rFonts w:ascii="Symbol" w:hAnsi="Symbol" w:hint="default"/>
        <w:caps w:val="0"/>
        <w:strike w:val="0"/>
        <w:dstrike w:val="0"/>
        <w:vanish w:val="0"/>
        <w:webHidden w:val="0"/>
        <w:color w:val="auto"/>
        <w:u w:val="none"/>
        <w:effect w:val="none"/>
        <w:vertAlign w:val="baseline"/>
        <w:specVanish w:val="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7" w15:restartNumberingAfterBreak="0">
    <w:nsid w:val="1F9716D0"/>
    <w:multiLevelType w:val="hybridMultilevel"/>
    <w:tmpl w:val="DB8E79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8" w15:restartNumberingAfterBreak="0">
    <w:nsid w:val="21433EFD"/>
    <w:multiLevelType w:val="hybridMultilevel"/>
    <w:tmpl w:val="588411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9" w15:restartNumberingAfterBreak="0">
    <w:nsid w:val="220C53DD"/>
    <w:multiLevelType w:val="hybridMultilevel"/>
    <w:tmpl w:val="08305B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0" w15:restartNumberingAfterBreak="0">
    <w:nsid w:val="23135A08"/>
    <w:multiLevelType w:val="hybridMultilevel"/>
    <w:tmpl w:val="41607E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1" w15:restartNumberingAfterBreak="0">
    <w:nsid w:val="231A610C"/>
    <w:multiLevelType w:val="hybridMultilevel"/>
    <w:tmpl w:val="B610F2EC"/>
    <w:lvl w:ilvl="0" w:tplc="B77A49EA">
      <w:start w:val="1"/>
      <w:numFmt w:val="bullet"/>
      <w:lvlText w:val=""/>
      <w:lvlJc w:val="left"/>
      <w:pPr>
        <w:ind w:left="774" w:hanging="360"/>
      </w:pPr>
      <w:rPr>
        <w:rFonts w:ascii="Symbol" w:hAnsi="Symbol" w:hint="default"/>
        <w:caps w:val="0"/>
        <w:strike w:val="0"/>
        <w:dstrike w:val="0"/>
        <w:vanish w:val="0"/>
        <w:webHidden w:val="0"/>
        <w:color w:val="auto"/>
        <w:u w:val="none"/>
        <w:effect w:val="none"/>
        <w:vertAlign w:val="baseline"/>
        <w:specVanish w:val="0"/>
      </w:rPr>
    </w:lvl>
    <w:lvl w:ilvl="1" w:tplc="08090003">
      <w:start w:val="1"/>
      <w:numFmt w:val="bullet"/>
      <w:lvlText w:val="o"/>
      <w:lvlJc w:val="left"/>
      <w:pPr>
        <w:ind w:left="1494" w:hanging="360"/>
      </w:pPr>
      <w:rPr>
        <w:rFonts w:ascii="Courier New" w:hAnsi="Courier New" w:cs="Courier New" w:hint="default"/>
      </w:rPr>
    </w:lvl>
    <w:lvl w:ilvl="2" w:tplc="08090005">
      <w:start w:val="1"/>
      <w:numFmt w:val="bullet"/>
      <w:lvlText w:val=""/>
      <w:lvlJc w:val="left"/>
      <w:pPr>
        <w:ind w:left="2214" w:hanging="360"/>
      </w:pPr>
      <w:rPr>
        <w:rFonts w:ascii="Wingdings" w:hAnsi="Wingdings" w:hint="default"/>
      </w:rPr>
    </w:lvl>
    <w:lvl w:ilvl="3" w:tplc="08090001">
      <w:start w:val="1"/>
      <w:numFmt w:val="bullet"/>
      <w:lvlText w:val=""/>
      <w:lvlJc w:val="left"/>
      <w:pPr>
        <w:ind w:left="2934" w:hanging="360"/>
      </w:pPr>
      <w:rPr>
        <w:rFonts w:ascii="Symbol" w:hAnsi="Symbol" w:hint="default"/>
      </w:rPr>
    </w:lvl>
    <w:lvl w:ilvl="4" w:tplc="08090003">
      <w:start w:val="1"/>
      <w:numFmt w:val="bullet"/>
      <w:lvlText w:val="o"/>
      <w:lvlJc w:val="left"/>
      <w:pPr>
        <w:ind w:left="3654" w:hanging="360"/>
      </w:pPr>
      <w:rPr>
        <w:rFonts w:ascii="Courier New" w:hAnsi="Courier New" w:cs="Courier New" w:hint="default"/>
      </w:rPr>
    </w:lvl>
    <w:lvl w:ilvl="5" w:tplc="08090005">
      <w:start w:val="1"/>
      <w:numFmt w:val="bullet"/>
      <w:lvlText w:val=""/>
      <w:lvlJc w:val="left"/>
      <w:pPr>
        <w:ind w:left="4374" w:hanging="360"/>
      </w:pPr>
      <w:rPr>
        <w:rFonts w:ascii="Wingdings" w:hAnsi="Wingdings" w:hint="default"/>
      </w:rPr>
    </w:lvl>
    <w:lvl w:ilvl="6" w:tplc="08090001">
      <w:start w:val="1"/>
      <w:numFmt w:val="bullet"/>
      <w:lvlText w:val=""/>
      <w:lvlJc w:val="left"/>
      <w:pPr>
        <w:ind w:left="5094" w:hanging="360"/>
      </w:pPr>
      <w:rPr>
        <w:rFonts w:ascii="Symbol" w:hAnsi="Symbol" w:hint="default"/>
      </w:rPr>
    </w:lvl>
    <w:lvl w:ilvl="7" w:tplc="08090003">
      <w:start w:val="1"/>
      <w:numFmt w:val="bullet"/>
      <w:lvlText w:val="o"/>
      <w:lvlJc w:val="left"/>
      <w:pPr>
        <w:ind w:left="5814" w:hanging="360"/>
      </w:pPr>
      <w:rPr>
        <w:rFonts w:ascii="Courier New" w:hAnsi="Courier New" w:cs="Courier New" w:hint="default"/>
      </w:rPr>
    </w:lvl>
    <w:lvl w:ilvl="8" w:tplc="08090005">
      <w:start w:val="1"/>
      <w:numFmt w:val="bullet"/>
      <w:lvlText w:val=""/>
      <w:lvlJc w:val="left"/>
      <w:pPr>
        <w:ind w:left="6534" w:hanging="360"/>
      </w:pPr>
      <w:rPr>
        <w:rFonts w:ascii="Wingdings" w:hAnsi="Wingdings" w:hint="default"/>
      </w:rPr>
    </w:lvl>
  </w:abstractNum>
  <w:abstractNum w:abstractNumId="92" w15:restartNumberingAfterBreak="0">
    <w:nsid w:val="235F3F81"/>
    <w:multiLevelType w:val="hybridMultilevel"/>
    <w:tmpl w:val="F454BB8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3" w15:restartNumberingAfterBreak="0">
    <w:nsid w:val="236509A8"/>
    <w:multiLevelType w:val="hybridMultilevel"/>
    <w:tmpl w:val="4F9EB7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4" w15:restartNumberingAfterBreak="0">
    <w:nsid w:val="23831E6A"/>
    <w:multiLevelType w:val="hybridMultilevel"/>
    <w:tmpl w:val="F842C0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5" w15:restartNumberingAfterBreak="0">
    <w:nsid w:val="24DA7978"/>
    <w:multiLevelType w:val="hybridMultilevel"/>
    <w:tmpl w:val="7E90DF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6" w15:restartNumberingAfterBreak="0">
    <w:nsid w:val="255273EA"/>
    <w:multiLevelType w:val="hybridMultilevel"/>
    <w:tmpl w:val="6CB6E0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7" w15:restartNumberingAfterBreak="0">
    <w:nsid w:val="2572474A"/>
    <w:multiLevelType w:val="hybridMultilevel"/>
    <w:tmpl w:val="7004D73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8" w15:restartNumberingAfterBreak="0">
    <w:nsid w:val="26007906"/>
    <w:multiLevelType w:val="hybridMultilevel"/>
    <w:tmpl w:val="651697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9" w15:restartNumberingAfterBreak="0">
    <w:nsid w:val="26012EB5"/>
    <w:multiLevelType w:val="hybridMultilevel"/>
    <w:tmpl w:val="427850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0" w15:restartNumberingAfterBreak="0">
    <w:nsid w:val="260A799F"/>
    <w:multiLevelType w:val="hybridMultilevel"/>
    <w:tmpl w:val="2062CB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1" w15:restartNumberingAfterBreak="0">
    <w:nsid w:val="262A4C3D"/>
    <w:multiLevelType w:val="hybridMultilevel"/>
    <w:tmpl w:val="B34E4A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2" w15:restartNumberingAfterBreak="0">
    <w:nsid w:val="26CE6D5E"/>
    <w:multiLevelType w:val="hybridMultilevel"/>
    <w:tmpl w:val="FCEEEF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3" w15:restartNumberingAfterBreak="0">
    <w:nsid w:val="27A94222"/>
    <w:multiLevelType w:val="hybridMultilevel"/>
    <w:tmpl w:val="A3BE6328"/>
    <w:lvl w:ilvl="0" w:tplc="08090001">
      <w:start w:val="1"/>
      <w:numFmt w:val="bullet"/>
      <w:lvlText w:val=""/>
      <w:lvlJc w:val="left"/>
      <w:pPr>
        <w:ind w:left="804" w:hanging="360"/>
      </w:pPr>
      <w:rPr>
        <w:rFonts w:ascii="Symbol" w:hAnsi="Symbol" w:hint="default"/>
      </w:rPr>
    </w:lvl>
    <w:lvl w:ilvl="1" w:tplc="08090003">
      <w:start w:val="1"/>
      <w:numFmt w:val="bullet"/>
      <w:lvlText w:val="o"/>
      <w:lvlJc w:val="left"/>
      <w:pPr>
        <w:ind w:left="1524" w:hanging="360"/>
      </w:pPr>
      <w:rPr>
        <w:rFonts w:ascii="Courier New" w:hAnsi="Courier New" w:cs="Courier New" w:hint="default"/>
      </w:rPr>
    </w:lvl>
    <w:lvl w:ilvl="2" w:tplc="08090005">
      <w:start w:val="1"/>
      <w:numFmt w:val="bullet"/>
      <w:lvlText w:val=""/>
      <w:lvlJc w:val="left"/>
      <w:pPr>
        <w:ind w:left="2244" w:hanging="360"/>
      </w:pPr>
      <w:rPr>
        <w:rFonts w:ascii="Wingdings" w:hAnsi="Wingdings" w:hint="default"/>
      </w:rPr>
    </w:lvl>
    <w:lvl w:ilvl="3" w:tplc="08090001">
      <w:start w:val="1"/>
      <w:numFmt w:val="bullet"/>
      <w:lvlText w:val=""/>
      <w:lvlJc w:val="left"/>
      <w:pPr>
        <w:ind w:left="2964" w:hanging="360"/>
      </w:pPr>
      <w:rPr>
        <w:rFonts w:ascii="Symbol" w:hAnsi="Symbol" w:hint="default"/>
      </w:rPr>
    </w:lvl>
    <w:lvl w:ilvl="4" w:tplc="08090003">
      <w:start w:val="1"/>
      <w:numFmt w:val="bullet"/>
      <w:lvlText w:val="o"/>
      <w:lvlJc w:val="left"/>
      <w:pPr>
        <w:ind w:left="3684" w:hanging="360"/>
      </w:pPr>
      <w:rPr>
        <w:rFonts w:ascii="Courier New" w:hAnsi="Courier New" w:cs="Courier New" w:hint="default"/>
      </w:rPr>
    </w:lvl>
    <w:lvl w:ilvl="5" w:tplc="08090005">
      <w:start w:val="1"/>
      <w:numFmt w:val="bullet"/>
      <w:lvlText w:val=""/>
      <w:lvlJc w:val="left"/>
      <w:pPr>
        <w:ind w:left="4404" w:hanging="360"/>
      </w:pPr>
      <w:rPr>
        <w:rFonts w:ascii="Wingdings" w:hAnsi="Wingdings" w:hint="default"/>
      </w:rPr>
    </w:lvl>
    <w:lvl w:ilvl="6" w:tplc="08090001">
      <w:start w:val="1"/>
      <w:numFmt w:val="bullet"/>
      <w:lvlText w:val=""/>
      <w:lvlJc w:val="left"/>
      <w:pPr>
        <w:ind w:left="5124" w:hanging="360"/>
      </w:pPr>
      <w:rPr>
        <w:rFonts w:ascii="Symbol" w:hAnsi="Symbol" w:hint="default"/>
      </w:rPr>
    </w:lvl>
    <w:lvl w:ilvl="7" w:tplc="08090003">
      <w:start w:val="1"/>
      <w:numFmt w:val="bullet"/>
      <w:lvlText w:val="o"/>
      <w:lvlJc w:val="left"/>
      <w:pPr>
        <w:ind w:left="5844" w:hanging="360"/>
      </w:pPr>
      <w:rPr>
        <w:rFonts w:ascii="Courier New" w:hAnsi="Courier New" w:cs="Courier New" w:hint="default"/>
      </w:rPr>
    </w:lvl>
    <w:lvl w:ilvl="8" w:tplc="08090005">
      <w:start w:val="1"/>
      <w:numFmt w:val="bullet"/>
      <w:lvlText w:val=""/>
      <w:lvlJc w:val="left"/>
      <w:pPr>
        <w:ind w:left="6564" w:hanging="360"/>
      </w:pPr>
      <w:rPr>
        <w:rFonts w:ascii="Wingdings" w:hAnsi="Wingdings" w:hint="default"/>
      </w:rPr>
    </w:lvl>
  </w:abstractNum>
  <w:abstractNum w:abstractNumId="104" w15:restartNumberingAfterBreak="0">
    <w:nsid w:val="27FD4356"/>
    <w:multiLevelType w:val="hybridMultilevel"/>
    <w:tmpl w:val="B074DB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5" w15:restartNumberingAfterBreak="0">
    <w:nsid w:val="285B6D3D"/>
    <w:multiLevelType w:val="hybridMultilevel"/>
    <w:tmpl w:val="FE1653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6" w15:restartNumberingAfterBreak="0">
    <w:nsid w:val="2936408A"/>
    <w:multiLevelType w:val="hybridMultilevel"/>
    <w:tmpl w:val="5B4E42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7" w15:restartNumberingAfterBreak="0">
    <w:nsid w:val="294B67B2"/>
    <w:multiLevelType w:val="hybridMultilevel"/>
    <w:tmpl w:val="AE98A7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8" w15:restartNumberingAfterBreak="0">
    <w:nsid w:val="2B767E57"/>
    <w:multiLevelType w:val="hybridMultilevel"/>
    <w:tmpl w:val="35AEAD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9" w15:restartNumberingAfterBreak="0">
    <w:nsid w:val="2BF04125"/>
    <w:multiLevelType w:val="hybridMultilevel"/>
    <w:tmpl w:val="F5AA23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0" w15:restartNumberingAfterBreak="0">
    <w:nsid w:val="2CB55713"/>
    <w:multiLevelType w:val="hybridMultilevel"/>
    <w:tmpl w:val="727C96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1" w15:restartNumberingAfterBreak="0">
    <w:nsid w:val="2CB66D28"/>
    <w:multiLevelType w:val="hybridMultilevel"/>
    <w:tmpl w:val="BB4A83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2" w15:restartNumberingAfterBreak="0">
    <w:nsid w:val="2CF26A07"/>
    <w:multiLevelType w:val="hybridMultilevel"/>
    <w:tmpl w:val="9E443E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3" w15:restartNumberingAfterBreak="0">
    <w:nsid w:val="2DA25B38"/>
    <w:multiLevelType w:val="hybridMultilevel"/>
    <w:tmpl w:val="709A3BA2"/>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14" w15:restartNumberingAfterBreak="0">
    <w:nsid w:val="2E396A01"/>
    <w:multiLevelType w:val="hybridMultilevel"/>
    <w:tmpl w:val="E9B41C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5" w15:restartNumberingAfterBreak="0">
    <w:nsid w:val="2E6759F8"/>
    <w:multiLevelType w:val="hybridMultilevel"/>
    <w:tmpl w:val="AA201D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6" w15:restartNumberingAfterBreak="0">
    <w:nsid w:val="2E7462E6"/>
    <w:multiLevelType w:val="hybridMultilevel"/>
    <w:tmpl w:val="9B72CD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7" w15:restartNumberingAfterBreak="0">
    <w:nsid w:val="2F3F3DCE"/>
    <w:multiLevelType w:val="hybridMultilevel"/>
    <w:tmpl w:val="33E8D2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8" w15:restartNumberingAfterBreak="0">
    <w:nsid w:val="2F6273B4"/>
    <w:multiLevelType w:val="hybridMultilevel"/>
    <w:tmpl w:val="344A8A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9" w15:restartNumberingAfterBreak="0">
    <w:nsid w:val="31C35500"/>
    <w:multiLevelType w:val="hybridMultilevel"/>
    <w:tmpl w:val="66CE8A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0" w15:restartNumberingAfterBreak="0">
    <w:nsid w:val="32B930C4"/>
    <w:multiLevelType w:val="hybridMultilevel"/>
    <w:tmpl w:val="24F8B2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1" w15:restartNumberingAfterBreak="0">
    <w:nsid w:val="340E4D98"/>
    <w:multiLevelType w:val="hybridMultilevel"/>
    <w:tmpl w:val="FC2A84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2" w15:restartNumberingAfterBreak="0">
    <w:nsid w:val="357D43A3"/>
    <w:multiLevelType w:val="hybridMultilevel"/>
    <w:tmpl w:val="18E0CF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3" w15:restartNumberingAfterBreak="0">
    <w:nsid w:val="367C7A86"/>
    <w:multiLevelType w:val="hybridMultilevel"/>
    <w:tmpl w:val="8FD44A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4" w15:restartNumberingAfterBreak="0">
    <w:nsid w:val="36D8292C"/>
    <w:multiLevelType w:val="hybridMultilevel"/>
    <w:tmpl w:val="749295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5" w15:restartNumberingAfterBreak="0">
    <w:nsid w:val="37C42392"/>
    <w:multiLevelType w:val="hybridMultilevel"/>
    <w:tmpl w:val="8668BD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6" w15:restartNumberingAfterBreak="0">
    <w:nsid w:val="37F15C27"/>
    <w:multiLevelType w:val="hybridMultilevel"/>
    <w:tmpl w:val="F77AAE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7" w15:restartNumberingAfterBreak="0">
    <w:nsid w:val="388A3906"/>
    <w:multiLevelType w:val="hybridMultilevel"/>
    <w:tmpl w:val="D80E52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8" w15:restartNumberingAfterBreak="0">
    <w:nsid w:val="38F7163B"/>
    <w:multiLevelType w:val="hybridMultilevel"/>
    <w:tmpl w:val="F9BC3C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9" w15:restartNumberingAfterBreak="0">
    <w:nsid w:val="3925745C"/>
    <w:multiLevelType w:val="hybridMultilevel"/>
    <w:tmpl w:val="92208062"/>
    <w:lvl w:ilvl="0" w:tplc="B77A49EA">
      <w:start w:val="1"/>
      <w:numFmt w:val="bullet"/>
      <w:lvlText w:val=""/>
      <w:lvlJc w:val="left"/>
      <w:pPr>
        <w:ind w:left="720" w:hanging="360"/>
      </w:pPr>
      <w:rPr>
        <w:rFonts w:ascii="Symbol" w:hAnsi="Symbol" w:hint="default"/>
        <w:caps w:val="0"/>
        <w:strike w:val="0"/>
        <w:dstrike w:val="0"/>
        <w:vanish w:val="0"/>
        <w:webHidden w:val="0"/>
        <w:color w:val="auto"/>
        <w:u w:val="none"/>
        <w:effect w:val="none"/>
        <w:vertAlign w:val="baseline"/>
        <w:specVanish w:val="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0" w15:restartNumberingAfterBreak="0">
    <w:nsid w:val="39547EA4"/>
    <w:multiLevelType w:val="hybridMultilevel"/>
    <w:tmpl w:val="65862C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1" w15:restartNumberingAfterBreak="0">
    <w:nsid w:val="39E83109"/>
    <w:multiLevelType w:val="hybridMultilevel"/>
    <w:tmpl w:val="BF2EF1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2" w15:restartNumberingAfterBreak="0">
    <w:nsid w:val="3A661CC9"/>
    <w:multiLevelType w:val="hybridMultilevel"/>
    <w:tmpl w:val="1966A992"/>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33" w15:restartNumberingAfterBreak="0">
    <w:nsid w:val="3A8D739A"/>
    <w:multiLevelType w:val="hybridMultilevel"/>
    <w:tmpl w:val="E18A2E42"/>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34" w15:restartNumberingAfterBreak="0">
    <w:nsid w:val="3B126A33"/>
    <w:multiLevelType w:val="hybridMultilevel"/>
    <w:tmpl w:val="F56E18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5" w15:restartNumberingAfterBreak="0">
    <w:nsid w:val="3BBE1A0B"/>
    <w:multiLevelType w:val="hybridMultilevel"/>
    <w:tmpl w:val="3A66A2E0"/>
    <w:lvl w:ilvl="0" w:tplc="08090003">
      <w:start w:val="1"/>
      <w:numFmt w:val="bullet"/>
      <w:lvlText w:val="o"/>
      <w:lvlJc w:val="left"/>
      <w:pPr>
        <w:ind w:left="1440" w:hanging="360"/>
      </w:pPr>
      <w:rPr>
        <w:rFonts w:ascii="Courier New" w:hAnsi="Courier New" w:cs="Courier New" w:hint="default"/>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start w:val="1"/>
      <w:numFmt w:val="bullet"/>
      <w:lvlText w:val=""/>
      <w:lvlJc w:val="left"/>
      <w:pPr>
        <w:ind w:left="3600" w:hanging="360"/>
      </w:pPr>
      <w:rPr>
        <w:rFonts w:ascii="Symbol" w:hAnsi="Symbol" w:hint="default"/>
      </w:rPr>
    </w:lvl>
    <w:lvl w:ilvl="4" w:tplc="FFFFFFFF">
      <w:start w:val="1"/>
      <w:numFmt w:val="bullet"/>
      <w:lvlText w:val="o"/>
      <w:lvlJc w:val="left"/>
      <w:pPr>
        <w:ind w:left="4320" w:hanging="360"/>
      </w:pPr>
      <w:rPr>
        <w:rFonts w:ascii="Courier New" w:hAnsi="Courier New" w:cs="Courier New" w:hint="default"/>
      </w:rPr>
    </w:lvl>
    <w:lvl w:ilvl="5" w:tplc="FFFFFFFF">
      <w:start w:val="1"/>
      <w:numFmt w:val="bullet"/>
      <w:lvlText w:val=""/>
      <w:lvlJc w:val="left"/>
      <w:pPr>
        <w:ind w:left="5040" w:hanging="360"/>
      </w:pPr>
      <w:rPr>
        <w:rFonts w:ascii="Wingdings" w:hAnsi="Wingdings" w:hint="default"/>
      </w:rPr>
    </w:lvl>
    <w:lvl w:ilvl="6" w:tplc="FFFFFFFF">
      <w:start w:val="1"/>
      <w:numFmt w:val="bullet"/>
      <w:lvlText w:val=""/>
      <w:lvlJc w:val="left"/>
      <w:pPr>
        <w:ind w:left="5760" w:hanging="360"/>
      </w:pPr>
      <w:rPr>
        <w:rFonts w:ascii="Symbol" w:hAnsi="Symbol" w:hint="default"/>
      </w:rPr>
    </w:lvl>
    <w:lvl w:ilvl="7" w:tplc="FFFFFFFF">
      <w:start w:val="1"/>
      <w:numFmt w:val="bullet"/>
      <w:lvlText w:val="o"/>
      <w:lvlJc w:val="left"/>
      <w:pPr>
        <w:ind w:left="6480" w:hanging="360"/>
      </w:pPr>
      <w:rPr>
        <w:rFonts w:ascii="Courier New" w:hAnsi="Courier New" w:cs="Courier New" w:hint="default"/>
      </w:rPr>
    </w:lvl>
    <w:lvl w:ilvl="8" w:tplc="FFFFFFFF">
      <w:start w:val="1"/>
      <w:numFmt w:val="bullet"/>
      <w:lvlText w:val=""/>
      <w:lvlJc w:val="left"/>
      <w:pPr>
        <w:ind w:left="7200" w:hanging="360"/>
      </w:pPr>
      <w:rPr>
        <w:rFonts w:ascii="Wingdings" w:hAnsi="Wingdings" w:hint="default"/>
      </w:rPr>
    </w:lvl>
  </w:abstractNum>
  <w:abstractNum w:abstractNumId="136" w15:restartNumberingAfterBreak="0">
    <w:nsid w:val="3C460B77"/>
    <w:multiLevelType w:val="hybridMultilevel"/>
    <w:tmpl w:val="1FDEEA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7" w15:restartNumberingAfterBreak="0">
    <w:nsid w:val="3C902FF2"/>
    <w:multiLevelType w:val="hybridMultilevel"/>
    <w:tmpl w:val="4C9A3D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8" w15:restartNumberingAfterBreak="0">
    <w:nsid w:val="3D28659A"/>
    <w:multiLevelType w:val="hybridMultilevel"/>
    <w:tmpl w:val="6826E2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9" w15:restartNumberingAfterBreak="0">
    <w:nsid w:val="3D3D171A"/>
    <w:multiLevelType w:val="multilevel"/>
    <w:tmpl w:val="CDD88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0" w15:restartNumberingAfterBreak="0">
    <w:nsid w:val="3D4429E5"/>
    <w:multiLevelType w:val="hybridMultilevel"/>
    <w:tmpl w:val="F62EF7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1" w15:restartNumberingAfterBreak="0">
    <w:nsid w:val="3DA51846"/>
    <w:multiLevelType w:val="hybridMultilevel"/>
    <w:tmpl w:val="B7DE66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2" w15:restartNumberingAfterBreak="0">
    <w:nsid w:val="3DA81B71"/>
    <w:multiLevelType w:val="hybridMultilevel"/>
    <w:tmpl w:val="E990BFE8"/>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start w:val="1"/>
      <w:numFmt w:val="bullet"/>
      <w:lvlText w:val=""/>
      <w:lvlJc w:val="left"/>
      <w:pPr>
        <w:ind w:left="5100" w:hanging="360"/>
      </w:pPr>
      <w:rPr>
        <w:rFonts w:ascii="Symbol" w:hAnsi="Symbol" w:hint="default"/>
      </w:rPr>
    </w:lvl>
    <w:lvl w:ilvl="7" w:tplc="08090003">
      <w:start w:val="1"/>
      <w:numFmt w:val="bullet"/>
      <w:lvlText w:val="o"/>
      <w:lvlJc w:val="left"/>
      <w:pPr>
        <w:ind w:left="5820" w:hanging="360"/>
      </w:pPr>
      <w:rPr>
        <w:rFonts w:ascii="Courier New" w:hAnsi="Courier New" w:cs="Courier New" w:hint="default"/>
      </w:rPr>
    </w:lvl>
    <w:lvl w:ilvl="8" w:tplc="08090005">
      <w:start w:val="1"/>
      <w:numFmt w:val="bullet"/>
      <w:lvlText w:val=""/>
      <w:lvlJc w:val="left"/>
      <w:pPr>
        <w:ind w:left="6540" w:hanging="360"/>
      </w:pPr>
      <w:rPr>
        <w:rFonts w:ascii="Wingdings" w:hAnsi="Wingdings" w:hint="default"/>
      </w:rPr>
    </w:lvl>
  </w:abstractNum>
  <w:abstractNum w:abstractNumId="143" w15:restartNumberingAfterBreak="0">
    <w:nsid w:val="3DCE3630"/>
    <w:multiLevelType w:val="hybridMultilevel"/>
    <w:tmpl w:val="1DB875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4" w15:restartNumberingAfterBreak="0">
    <w:nsid w:val="3DF47949"/>
    <w:multiLevelType w:val="hybridMultilevel"/>
    <w:tmpl w:val="694E3C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5" w15:restartNumberingAfterBreak="0">
    <w:nsid w:val="3E09259A"/>
    <w:multiLevelType w:val="hybridMultilevel"/>
    <w:tmpl w:val="995600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6" w15:restartNumberingAfterBreak="0">
    <w:nsid w:val="3F0A33A7"/>
    <w:multiLevelType w:val="hybridMultilevel"/>
    <w:tmpl w:val="9056C7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7" w15:restartNumberingAfterBreak="0">
    <w:nsid w:val="3FC23C41"/>
    <w:multiLevelType w:val="hybridMultilevel"/>
    <w:tmpl w:val="6A4C7636"/>
    <w:lvl w:ilvl="0" w:tplc="C7AEF7E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8" w15:restartNumberingAfterBreak="0">
    <w:nsid w:val="4010584C"/>
    <w:multiLevelType w:val="hybridMultilevel"/>
    <w:tmpl w:val="864477AC"/>
    <w:lvl w:ilvl="0" w:tplc="08090001">
      <w:start w:val="1"/>
      <w:numFmt w:val="bullet"/>
      <w:lvlText w:val=""/>
      <w:lvlJc w:val="left"/>
      <w:pPr>
        <w:ind w:left="862" w:hanging="360"/>
      </w:pPr>
      <w:rPr>
        <w:rFonts w:ascii="Symbol" w:hAnsi="Symbol" w:hint="default"/>
      </w:rPr>
    </w:lvl>
    <w:lvl w:ilvl="1" w:tplc="08090003">
      <w:start w:val="1"/>
      <w:numFmt w:val="bullet"/>
      <w:lvlText w:val="o"/>
      <w:lvlJc w:val="left"/>
      <w:pPr>
        <w:ind w:left="1582" w:hanging="360"/>
      </w:pPr>
      <w:rPr>
        <w:rFonts w:ascii="Courier New" w:hAnsi="Courier New" w:cs="Courier New" w:hint="default"/>
      </w:rPr>
    </w:lvl>
    <w:lvl w:ilvl="2" w:tplc="08090005">
      <w:start w:val="1"/>
      <w:numFmt w:val="bullet"/>
      <w:lvlText w:val=""/>
      <w:lvlJc w:val="left"/>
      <w:pPr>
        <w:ind w:left="2302" w:hanging="360"/>
      </w:pPr>
      <w:rPr>
        <w:rFonts w:ascii="Wingdings" w:hAnsi="Wingdings" w:hint="default"/>
      </w:rPr>
    </w:lvl>
    <w:lvl w:ilvl="3" w:tplc="08090001">
      <w:start w:val="1"/>
      <w:numFmt w:val="bullet"/>
      <w:lvlText w:val=""/>
      <w:lvlJc w:val="left"/>
      <w:pPr>
        <w:ind w:left="3022" w:hanging="360"/>
      </w:pPr>
      <w:rPr>
        <w:rFonts w:ascii="Symbol" w:hAnsi="Symbol" w:hint="default"/>
      </w:rPr>
    </w:lvl>
    <w:lvl w:ilvl="4" w:tplc="08090003">
      <w:start w:val="1"/>
      <w:numFmt w:val="bullet"/>
      <w:lvlText w:val="o"/>
      <w:lvlJc w:val="left"/>
      <w:pPr>
        <w:ind w:left="3742" w:hanging="360"/>
      </w:pPr>
      <w:rPr>
        <w:rFonts w:ascii="Courier New" w:hAnsi="Courier New" w:cs="Courier New" w:hint="default"/>
      </w:rPr>
    </w:lvl>
    <w:lvl w:ilvl="5" w:tplc="08090005">
      <w:start w:val="1"/>
      <w:numFmt w:val="bullet"/>
      <w:lvlText w:val=""/>
      <w:lvlJc w:val="left"/>
      <w:pPr>
        <w:ind w:left="4462" w:hanging="360"/>
      </w:pPr>
      <w:rPr>
        <w:rFonts w:ascii="Wingdings" w:hAnsi="Wingdings" w:hint="default"/>
      </w:rPr>
    </w:lvl>
    <w:lvl w:ilvl="6" w:tplc="08090001">
      <w:start w:val="1"/>
      <w:numFmt w:val="bullet"/>
      <w:lvlText w:val=""/>
      <w:lvlJc w:val="left"/>
      <w:pPr>
        <w:ind w:left="5182" w:hanging="360"/>
      </w:pPr>
      <w:rPr>
        <w:rFonts w:ascii="Symbol" w:hAnsi="Symbol" w:hint="default"/>
      </w:rPr>
    </w:lvl>
    <w:lvl w:ilvl="7" w:tplc="08090003">
      <w:start w:val="1"/>
      <w:numFmt w:val="bullet"/>
      <w:lvlText w:val="o"/>
      <w:lvlJc w:val="left"/>
      <w:pPr>
        <w:ind w:left="5902" w:hanging="360"/>
      </w:pPr>
      <w:rPr>
        <w:rFonts w:ascii="Courier New" w:hAnsi="Courier New" w:cs="Courier New" w:hint="default"/>
      </w:rPr>
    </w:lvl>
    <w:lvl w:ilvl="8" w:tplc="08090005">
      <w:start w:val="1"/>
      <w:numFmt w:val="bullet"/>
      <w:lvlText w:val=""/>
      <w:lvlJc w:val="left"/>
      <w:pPr>
        <w:ind w:left="6622" w:hanging="360"/>
      </w:pPr>
      <w:rPr>
        <w:rFonts w:ascii="Wingdings" w:hAnsi="Wingdings" w:hint="default"/>
      </w:rPr>
    </w:lvl>
  </w:abstractNum>
  <w:abstractNum w:abstractNumId="149" w15:restartNumberingAfterBreak="0">
    <w:nsid w:val="40C90F8D"/>
    <w:multiLevelType w:val="hybridMultilevel"/>
    <w:tmpl w:val="731ECA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0" w15:restartNumberingAfterBreak="0">
    <w:nsid w:val="40EA1AE1"/>
    <w:multiLevelType w:val="hybridMultilevel"/>
    <w:tmpl w:val="ADE604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1" w15:restartNumberingAfterBreak="0">
    <w:nsid w:val="41436E40"/>
    <w:multiLevelType w:val="hybridMultilevel"/>
    <w:tmpl w:val="9F9E0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2" w15:restartNumberingAfterBreak="0">
    <w:nsid w:val="41DE2F31"/>
    <w:multiLevelType w:val="hybridMultilevel"/>
    <w:tmpl w:val="65E68E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3" w15:restartNumberingAfterBreak="0">
    <w:nsid w:val="42475A6F"/>
    <w:multiLevelType w:val="hybridMultilevel"/>
    <w:tmpl w:val="481E22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4" w15:restartNumberingAfterBreak="0">
    <w:nsid w:val="4297674A"/>
    <w:multiLevelType w:val="hybridMultilevel"/>
    <w:tmpl w:val="B802A0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5" w15:restartNumberingAfterBreak="0">
    <w:nsid w:val="43D3266F"/>
    <w:multiLevelType w:val="hybridMultilevel"/>
    <w:tmpl w:val="302A27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6" w15:restartNumberingAfterBreak="0">
    <w:nsid w:val="44B069E3"/>
    <w:multiLevelType w:val="hybridMultilevel"/>
    <w:tmpl w:val="F6A0F5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7" w15:restartNumberingAfterBreak="0">
    <w:nsid w:val="469A38DF"/>
    <w:multiLevelType w:val="hybridMultilevel"/>
    <w:tmpl w:val="068EE4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8" w15:restartNumberingAfterBreak="0">
    <w:nsid w:val="469E71D5"/>
    <w:multiLevelType w:val="hybridMultilevel"/>
    <w:tmpl w:val="6D747A84"/>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59" w15:restartNumberingAfterBreak="0">
    <w:nsid w:val="476B13CB"/>
    <w:multiLevelType w:val="hybridMultilevel"/>
    <w:tmpl w:val="FE04A2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0" w15:restartNumberingAfterBreak="0">
    <w:nsid w:val="47FB18F9"/>
    <w:multiLevelType w:val="hybridMultilevel"/>
    <w:tmpl w:val="601C8C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1" w15:restartNumberingAfterBreak="0">
    <w:nsid w:val="496C6D91"/>
    <w:multiLevelType w:val="hybridMultilevel"/>
    <w:tmpl w:val="39C466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2" w15:restartNumberingAfterBreak="0">
    <w:nsid w:val="4A056B5A"/>
    <w:multiLevelType w:val="hybridMultilevel"/>
    <w:tmpl w:val="3642FBB6"/>
    <w:lvl w:ilvl="0" w:tplc="B77A49EA">
      <w:start w:val="1"/>
      <w:numFmt w:val="bullet"/>
      <w:lvlText w:val=""/>
      <w:lvlJc w:val="left"/>
      <w:pPr>
        <w:ind w:left="720" w:hanging="360"/>
      </w:pPr>
      <w:rPr>
        <w:rFonts w:ascii="Symbol" w:hAnsi="Symbol" w:hint="default"/>
        <w:caps w:val="0"/>
        <w:strike w:val="0"/>
        <w:dstrike w:val="0"/>
        <w:vanish w:val="0"/>
        <w:webHidden w:val="0"/>
        <w:color w:val="auto"/>
        <w:u w:val="none"/>
        <w:effect w:val="none"/>
        <w:vertAlign w:val="baseline"/>
        <w:specVanish w:val="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3" w15:restartNumberingAfterBreak="0">
    <w:nsid w:val="4A515305"/>
    <w:multiLevelType w:val="hybridMultilevel"/>
    <w:tmpl w:val="7CFE80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4" w15:restartNumberingAfterBreak="0">
    <w:nsid w:val="4B193921"/>
    <w:multiLevelType w:val="hybridMultilevel"/>
    <w:tmpl w:val="EC24A5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5" w15:restartNumberingAfterBreak="0">
    <w:nsid w:val="4B4D15A4"/>
    <w:multiLevelType w:val="hybridMultilevel"/>
    <w:tmpl w:val="D70EC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6" w15:restartNumberingAfterBreak="0">
    <w:nsid w:val="4BF35F3D"/>
    <w:multiLevelType w:val="hybridMultilevel"/>
    <w:tmpl w:val="DE480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7" w15:restartNumberingAfterBreak="0">
    <w:nsid w:val="4C9C43CB"/>
    <w:multiLevelType w:val="hybridMultilevel"/>
    <w:tmpl w:val="0A9A3B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8" w15:restartNumberingAfterBreak="0">
    <w:nsid w:val="4CDE1D56"/>
    <w:multiLevelType w:val="hybridMultilevel"/>
    <w:tmpl w:val="54D4AE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9" w15:restartNumberingAfterBreak="0">
    <w:nsid w:val="4D2E3265"/>
    <w:multiLevelType w:val="hybridMultilevel"/>
    <w:tmpl w:val="380447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0" w15:restartNumberingAfterBreak="0">
    <w:nsid w:val="4D9E6639"/>
    <w:multiLevelType w:val="hybridMultilevel"/>
    <w:tmpl w:val="A9E410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1" w15:restartNumberingAfterBreak="0">
    <w:nsid w:val="4EEC6CB0"/>
    <w:multiLevelType w:val="hybridMultilevel"/>
    <w:tmpl w:val="FA4035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2" w15:restartNumberingAfterBreak="0">
    <w:nsid w:val="4FB067AE"/>
    <w:multiLevelType w:val="hybridMultilevel"/>
    <w:tmpl w:val="A724AEA2"/>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73" w15:restartNumberingAfterBreak="0">
    <w:nsid w:val="4FBB090C"/>
    <w:multiLevelType w:val="hybridMultilevel"/>
    <w:tmpl w:val="831C5E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4" w15:restartNumberingAfterBreak="0">
    <w:nsid w:val="4FC90629"/>
    <w:multiLevelType w:val="hybridMultilevel"/>
    <w:tmpl w:val="21286A2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5" w15:restartNumberingAfterBreak="0">
    <w:nsid w:val="50907283"/>
    <w:multiLevelType w:val="hybridMultilevel"/>
    <w:tmpl w:val="CFFCA88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6" w15:restartNumberingAfterBreak="0">
    <w:nsid w:val="50A35143"/>
    <w:multiLevelType w:val="hybridMultilevel"/>
    <w:tmpl w:val="232A7914"/>
    <w:lvl w:ilvl="0" w:tplc="08090001">
      <w:start w:val="1"/>
      <w:numFmt w:val="bullet"/>
      <w:lvlText w:val=""/>
      <w:lvlJc w:val="left"/>
      <w:pPr>
        <w:ind w:left="928" w:hanging="360"/>
      </w:pPr>
      <w:rPr>
        <w:rFonts w:ascii="Symbol" w:hAnsi="Symbol" w:hint="default"/>
      </w:rPr>
    </w:lvl>
    <w:lvl w:ilvl="1" w:tplc="08090003">
      <w:start w:val="1"/>
      <w:numFmt w:val="bullet"/>
      <w:lvlText w:val="o"/>
      <w:lvlJc w:val="left"/>
      <w:pPr>
        <w:ind w:left="1503" w:hanging="360"/>
      </w:pPr>
      <w:rPr>
        <w:rFonts w:ascii="Courier New" w:hAnsi="Courier New" w:cs="Courier New" w:hint="default"/>
      </w:rPr>
    </w:lvl>
    <w:lvl w:ilvl="2" w:tplc="08090005">
      <w:start w:val="1"/>
      <w:numFmt w:val="bullet"/>
      <w:lvlText w:val=""/>
      <w:lvlJc w:val="left"/>
      <w:pPr>
        <w:ind w:left="2223" w:hanging="360"/>
      </w:pPr>
      <w:rPr>
        <w:rFonts w:ascii="Wingdings" w:hAnsi="Wingdings" w:hint="default"/>
      </w:rPr>
    </w:lvl>
    <w:lvl w:ilvl="3" w:tplc="08090001">
      <w:start w:val="1"/>
      <w:numFmt w:val="bullet"/>
      <w:lvlText w:val=""/>
      <w:lvlJc w:val="left"/>
      <w:pPr>
        <w:ind w:left="2943" w:hanging="360"/>
      </w:pPr>
      <w:rPr>
        <w:rFonts w:ascii="Symbol" w:hAnsi="Symbol" w:hint="default"/>
      </w:rPr>
    </w:lvl>
    <w:lvl w:ilvl="4" w:tplc="08090003">
      <w:start w:val="1"/>
      <w:numFmt w:val="bullet"/>
      <w:lvlText w:val="o"/>
      <w:lvlJc w:val="left"/>
      <w:pPr>
        <w:ind w:left="3663" w:hanging="360"/>
      </w:pPr>
      <w:rPr>
        <w:rFonts w:ascii="Courier New" w:hAnsi="Courier New" w:cs="Courier New" w:hint="default"/>
      </w:rPr>
    </w:lvl>
    <w:lvl w:ilvl="5" w:tplc="08090005">
      <w:start w:val="1"/>
      <w:numFmt w:val="bullet"/>
      <w:lvlText w:val=""/>
      <w:lvlJc w:val="left"/>
      <w:pPr>
        <w:ind w:left="4383" w:hanging="360"/>
      </w:pPr>
      <w:rPr>
        <w:rFonts w:ascii="Wingdings" w:hAnsi="Wingdings" w:hint="default"/>
      </w:rPr>
    </w:lvl>
    <w:lvl w:ilvl="6" w:tplc="08090001">
      <w:start w:val="1"/>
      <w:numFmt w:val="bullet"/>
      <w:lvlText w:val=""/>
      <w:lvlJc w:val="left"/>
      <w:pPr>
        <w:ind w:left="5103" w:hanging="360"/>
      </w:pPr>
      <w:rPr>
        <w:rFonts w:ascii="Symbol" w:hAnsi="Symbol" w:hint="default"/>
      </w:rPr>
    </w:lvl>
    <w:lvl w:ilvl="7" w:tplc="08090003">
      <w:start w:val="1"/>
      <w:numFmt w:val="bullet"/>
      <w:lvlText w:val="o"/>
      <w:lvlJc w:val="left"/>
      <w:pPr>
        <w:ind w:left="5823" w:hanging="360"/>
      </w:pPr>
      <w:rPr>
        <w:rFonts w:ascii="Courier New" w:hAnsi="Courier New" w:cs="Courier New" w:hint="default"/>
      </w:rPr>
    </w:lvl>
    <w:lvl w:ilvl="8" w:tplc="08090005">
      <w:start w:val="1"/>
      <w:numFmt w:val="bullet"/>
      <w:lvlText w:val=""/>
      <w:lvlJc w:val="left"/>
      <w:pPr>
        <w:ind w:left="6543" w:hanging="360"/>
      </w:pPr>
      <w:rPr>
        <w:rFonts w:ascii="Wingdings" w:hAnsi="Wingdings" w:hint="default"/>
      </w:rPr>
    </w:lvl>
  </w:abstractNum>
  <w:abstractNum w:abstractNumId="177" w15:restartNumberingAfterBreak="0">
    <w:nsid w:val="50D70E56"/>
    <w:multiLevelType w:val="hybridMultilevel"/>
    <w:tmpl w:val="F9DAB5F6"/>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78" w15:restartNumberingAfterBreak="0">
    <w:nsid w:val="51043F7C"/>
    <w:multiLevelType w:val="hybridMultilevel"/>
    <w:tmpl w:val="9440D4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9" w15:restartNumberingAfterBreak="0">
    <w:nsid w:val="52BF4007"/>
    <w:multiLevelType w:val="hybridMultilevel"/>
    <w:tmpl w:val="3080E7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0" w15:restartNumberingAfterBreak="0">
    <w:nsid w:val="538C5AE7"/>
    <w:multiLevelType w:val="hybridMultilevel"/>
    <w:tmpl w:val="2B7A438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81" w15:restartNumberingAfterBreak="0">
    <w:nsid w:val="543B1986"/>
    <w:multiLevelType w:val="hybridMultilevel"/>
    <w:tmpl w:val="D4ECD9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2" w15:restartNumberingAfterBreak="0">
    <w:nsid w:val="546E43E6"/>
    <w:multiLevelType w:val="hybridMultilevel"/>
    <w:tmpl w:val="3A1472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3" w15:restartNumberingAfterBreak="0">
    <w:nsid w:val="54BB545C"/>
    <w:multiLevelType w:val="hybridMultilevel"/>
    <w:tmpl w:val="DD14EA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4" w15:restartNumberingAfterBreak="0">
    <w:nsid w:val="54D2477A"/>
    <w:multiLevelType w:val="hybridMultilevel"/>
    <w:tmpl w:val="AC28F4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5" w15:restartNumberingAfterBreak="0">
    <w:nsid w:val="55600CF5"/>
    <w:multiLevelType w:val="hybridMultilevel"/>
    <w:tmpl w:val="98B83A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6" w15:restartNumberingAfterBreak="0">
    <w:nsid w:val="55846AE4"/>
    <w:multiLevelType w:val="hybridMultilevel"/>
    <w:tmpl w:val="5080D874"/>
    <w:lvl w:ilvl="0" w:tplc="4FBA0756">
      <w:start w:val="1"/>
      <w:numFmt w:val="bullet"/>
      <w:pStyle w:val="BulletedList2"/>
      <w:lvlText w:val="o"/>
      <w:lvlJc w:val="left"/>
      <w:pPr>
        <w:ind w:left="1077"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87" w15:restartNumberingAfterBreak="0">
    <w:nsid w:val="55AD10C4"/>
    <w:multiLevelType w:val="hybridMultilevel"/>
    <w:tmpl w:val="B7EC86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8" w15:restartNumberingAfterBreak="0">
    <w:nsid w:val="57134467"/>
    <w:multiLevelType w:val="hybridMultilevel"/>
    <w:tmpl w:val="BA829E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9" w15:restartNumberingAfterBreak="0">
    <w:nsid w:val="571743EA"/>
    <w:multiLevelType w:val="hybridMultilevel"/>
    <w:tmpl w:val="4AFAC2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0" w15:restartNumberingAfterBreak="0">
    <w:nsid w:val="580922A8"/>
    <w:multiLevelType w:val="hybridMultilevel"/>
    <w:tmpl w:val="6E0EAA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1" w15:restartNumberingAfterBreak="0">
    <w:nsid w:val="58A02F5E"/>
    <w:multiLevelType w:val="hybridMultilevel"/>
    <w:tmpl w:val="D6C276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2" w15:restartNumberingAfterBreak="0">
    <w:nsid w:val="58F31808"/>
    <w:multiLevelType w:val="hybridMultilevel"/>
    <w:tmpl w:val="578E79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3" w15:restartNumberingAfterBreak="0">
    <w:nsid w:val="590A124F"/>
    <w:multiLevelType w:val="hybridMultilevel"/>
    <w:tmpl w:val="4258BC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4" w15:restartNumberingAfterBreak="0">
    <w:nsid w:val="59334DA6"/>
    <w:multiLevelType w:val="hybridMultilevel"/>
    <w:tmpl w:val="4A0C46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5" w15:restartNumberingAfterBreak="0">
    <w:nsid w:val="59B77BD0"/>
    <w:multiLevelType w:val="hybridMultilevel"/>
    <w:tmpl w:val="A5DC9906"/>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96" w15:restartNumberingAfterBreak="0">
    <w:nsid w:val="59D7503E"/>
    <w:multiLevelType w:val="hybridMultilevel"/>
    <w:tmpl w:val="25F4848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7" w15:restartNumberingAfterBreak="0">
    <w:nsid w:val="59E74578"/>
    <w:multiLevelType w:val="hybridMultilevel"/>
    <w:tmpl w:val="BBE244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8" w15:restartNumberingAfterBreak="0">
    <w:nsid w:val="5A536432"/>
    <w:multiLevelType w:val="hybridMultilevel"/>
    <w:tmpl w:val="CB9A7B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9" w15:restartNumberingAfterBreak="0">
    <w:nsid w:val="5CEF7872"/>
    <w:multiLevelType w:val="hybridMultilevel"/>
    <w:tmpl w:val="DE7CDC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0" w15:restartNumberingAfterBreak="0">
    <w:nsid w:val="5CF20396"/>
    <w:multiLevelType w:val="hybridMultilevel"/>
    <w:tmpl w:val="7F125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1" w15:restartNumberingAfterBreak="0">
    <w:nsid w:val="5DE73CA1"/>
    <w:multiLevelType w:val="hybridMultilevel"/>
    <w:tmpl w:val="4FA4C0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2" w15:restartNumberingAfterBreak="0">
    <w:nsid w:val="5EF226F8"/>
    <w:multiLevelType w:val="hybridMultilevel"/>
    <w:tmpl w:val="7AA0EF16"/>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03" w15:restartNumberingAfterBreak="0">
    <w:nsid w:val="5EFA6D65"/>
    <w:multiLevelType w:val="hybridMultilevel"/>
    <w:tmpl w:val="23EEEC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4" w15:restartNumberingAfterBreak="0">
    <w:nsid w:val="609A4F8A"/>
    <w:multiLevelType w:val="hybridMultilevel"/>
    <w:tmpl w:val="A87ACDE6"/>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05" w15:restartNumberingAfterBreak="0">
    <w:nsid w:val="61454EF9"/>
    <w:multiLevelType w:val="hybridMultilevel"/>
    <w:tmpl w:val="DE783C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6" w15:restartNumberingAfterBreak="0">
    <w:nsid w:val="616C2817"/>
    <w:multiLevelType w:val="hybridMultilevel"/>
    <w:tmpl w:val="5134CB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7" w15:restartNumberingAfterBreak="0">
    <w:nsid w:val="61DB4785"/>
    <w:multiLevelType w:val="hybridMultilevel"/>
    <w:tmpl w:val="0F50AE8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8" w15:restartNumberingAfterBreak="0">
    <w:nsid w:val="624D5F93"/>
    <w:multiLevelType w:val="hybridMultilevel"/>
    <w:tmpl w:val="9F9A7F3E"/>
    <w:lvl w:ilvl="0" w:tplc="B77A49EA">
      <w:start w:val="1"/>
      <w:numFmt w:val="bullet"/>
      <w:lvlText w:val=""/>
      <w:lvlJc w:val="left"/>
      <w:pPr>
        <w:ind w:left="720" w:hanging="360"/>
      </w:pPr>
      <w:rPr>
        <w:rFonts w:ascii="Symbol" w:hAnsi="Symbol" w:hint="default"/>
        <w:caps w:val="0"/>
        <w:strike w:val="0"/>
        <w:dstrike w:val="0"/>
        <w:vanish w:val="0"/>
        <w:webHidden w:val="0"/>
        <w:color w:val="auto"/>
        <w:u w:val="none"/>
        <w:effect w:val="none"/>
        <w:vertAlign w:val="baseline"/>
        <w:specVanish w:val="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9" w15:restartNumberingAfterBreak="0">
    <w:nsid w:val="62E546BC"/>
    <w:multiLevelType w:val="hybridMultilevel"/>
    <w:tmpl w:val="A67458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0" w15:restartNumberingAfterBreak="0">
    <w:nsid w:val="631C04FA"/>
    <w:multiLevelType w:val="hybridMultilevel"/>
    <w:tmpl w:val="58E4A0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1" w15:restartNumberingAfterBreak="0">
    <w:nsid w:val="640D04C6"/>
    <w:multiLevelType w:val="hybridMultilevel"/>
    <w:tmpl w:val="A628E1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2" w15:restartNumberingAfterBreak="0">
    <w:nsid w:val="65291692"/>
    <w:multiLevelType w:val="hybridMultilevel"/>
    <w:tmpl w:val="077207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3" w15:restartNumberingAfterBreak="0">
    <w:nsid w:val="652B708A"/>
    <w:multiLevelType w:val="hybridMultilevel"/>
    <w:tmpl w:val="5058A3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4" w15:restartNumberingAfterBreak="0">
    <w:nsid w:val="655F2A6A"/>
    <w:multiLevelType w:val="hybridMultilevel"/>
    <w:tmpl w:val="5D4460D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15" w15:restartNumberingAfterBreak="0">
    <w:nsid w:val="65787E0E"/>
    <w:multiLevelType w:val="hybridMultilevel"/>
    <w:tmpl w:val="49C2EC5A"/>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16" w15:restartNumberingAfterBreak="0">
    <w:nsid w:val="66620B3F"/>
    <w:multiLevelType w:val="hybridMultilevel"/>
    <w:tmpl w:val="36B4ECC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7" w15:restartNumberingAfterBreak="0">
    <w:nsid w:val="66D82D95"/>
    <w:multiLevelType w:val="hybridMultilevel"/>
    <w:tmpl w:val="B9046C1C"/>
    <w:lvl w:ilvl="0" w:tplc="B77A49EA">
      <w:start w:val="1"/>
      <w:numFmt w:val="bullet"/>
      <w:lvlText w:val=""/>
      <w:lvlJc w:val="left"/>
      <w:pPr>
        <w:ind w:left="720" w:hanging="360"/>
      </w:pPr>
      <w:rPr>
        <w:rFonts w:ascii="Symbol" w:hAnsi="Symbol" w:hint="default"/>
        <w:caps w:val="0"/>
        <w:strike w:val="0"/>
        <w:dstrike w:val="0"/>
        <w:vanish w:val="0"/>
        <w:webHidden w:val="0"/>
        <w:color w:val="auto"/>
        <w:u w:val="none"/>
        <w:effect w:val="none"/>
        <w:vertAlign w:val="baseline"/>
        <w:specVanish w:val="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8" w15:restartNumberingAfterBreak="0">
    <w:nsid w:val="66EB2563"/>
    <w:multiLevelType w:val="hybridMultilevel"/>
    <w:tmpl w:val="F81CF2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9" w15:restartNumberingAfterBreak="0">
    <w:nsid w:val="67601A50"/>
    <w:multiLevelType w:val="hybridMultilevel"/>
    <w:tmpl w:val="40E048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0" w15:restartNumberingAfterBreak="0">
    <w:nsid w:val="67BE21B4"/>
    <w:multiLevelType w:val="hybridMultilevel"/>
    <w:tmpl w:val="7570E4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1" w15:restartNumberingAfterBreak="0">
    <w:nsid w:val="67F609F6"/>
    <w:multiLevelType w:val="hybridMultilevel"/>
    <w:tmpl w:val="943A0314"/>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2" w15:restartNumberingAfterBreak="0">
    <w:nsid w:val="67F90989"/>
    <w:multiLevelType w:val="hybridMultilevel"/>
    <w:tmpl w:val="0750FC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3" w15:restartNumberingAfterBreak="0">
    <w:nsid w:val="683A5692"/>
    <w:multiLevelType w:val="hybridMultilevel"/>
    <w:tmpl w:val="B38C9A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4" w15:restartNumberingAfterBreak="0">
    <w:nsid w:val="68D80345"/>
    <w:multiLevelType w:val="hybridMultilevel"/>
    <w:tmpl w:val="5622A9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5" w15:restartNumberingAfterBreak="0">
    <w:nsid w:val="6A0633B4"/>
    <w:multiLevelType w:val="hybridMultilevel"/>
    <w:tmpl w:val="5E823E8C"/>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start w:val="1"/>
      <w:numFmt w:val="bullet"/>
      <w:lvlText w:val=""/>
      <w:lvlJc w:val="left"/>
      <w:pPr>
        <w:ind w:left="5100" w:hanging="360"/>
      </w:pPr>
      <w:rPr>
        <w:rFonts w:ascii="Symbol" w:hAnsi="Symbol" w:hint="default"/>
      </w:rPr>
    </w:lvl>
    <w:lvl w:ilvl="7" w:tplc="08090003">
      <w:start w:val="1"/>
      <w:numFmt w:val="bullet"/>
      <w:lvlText w:val="o"/>
      <w:lvlJc w:val="left"/>
      <w:pPr>
        <w:ind w:left="5820" w:hanging="360"/>
      </w:pPr>
      <w:rPr>
        <w:rFonts w:ascii="Courier New" w:hAnsi="Courier New" w:cs="Courier New" w:hint="default"/>
      </w:rPr>
    </w:lvl>
    <w:lvl w:ilvl="8" w:tplc="08090005">
      <w:start w:val="1"/>
      <w:numFmt w:val="bullet"/>
      <w:lvlText w:val=""/>
      <w:lvlJc w:val="left"/>
      <w:pPr>
        <w:ind w:left="6540" w:hanging="360"/>
      </w:pPr>
      <w:rPr>
        <w:rFonts w:ascii="Wingdings" w:hAnsi="Wingdings" w:hint="default"/>
      </w:rPr>
    </w:lvl>
  </w:abstractNum>
  <w:abstractNum w:abstractNumId="226" w15:restartNumberingAfterBreak="0">
    <w:nsid w:val="6A993D50"/>
    <w:multiLevelType w:val="hybridMultilevel"/>
    <w:tmpl w:val="D74282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7" w15:restartNumberingAfterBreak="0">
    <w:nsid w:val="6AE46911"/>
    <w:multiLevelType w:val="hybridMultilevel"/>
    <w:tmpl w:val="185E25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8" w15:restartNumberingAfterBreak="0">
    <w:nsid w:val="6B556628"/>
    <w:multiLevelType w:val="hybridMultilevel"/>
    <w:tmpl w:val="CFD245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9" w15:restartNumberingAfterBreak="0">
    <w:nsid w:val="6C0417E5"/>
    <w:multiLevelType w:val="hybridMultilevel"/>
    <w:tmpl w:val="BC8827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0" w15:restartNumberingAfterBreak="0">
    <w:nsid w:val="6C5A7942"/>
    <w:multiLevelType w:val="hybridMultilevel"/>
    <w:tmpl w:val="4198E9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1" w15:restartNumberingAfterBreak="0">
    <w:nsid w:val="6C8D2C49"/>
    <w:multiLevelType w:val="hybridMultilevel"/>
    <w:tmpl w:val="7652CA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2" w15:restartNumberingAfterBreak="0">
    <w:nsid w:val="6CD45993"/>
    <w:multiLevelType w:val="hybridMultilevel"/>
    <w:tmpl w:val="7A3E04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3" w15:restartNumberingAfterBreak="0">
    <w:nsid w:val="6CEA210F"/>
    <w:multiLevelType w:val="hybridMultilevel"/>
    <w:tmpl w:val="C6F082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4" w15:restartNumberingAfterBreak="0">
    <w:nsid w:val="6D0A61E5"/>
    <w:multiLevelType w:val="hybridMultilevel"/>
    <w:tmpl w:val="C6427514"/>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35" w15:restartNumberingAfterBreak="0">
    <w:nsid w:val="6D3B4B0F"/>
    <w:multiLevelType w:val="hybridMultilevel"/>
    <w:tmpl w:val="93BC31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6" w15:restartNumberingAfterBreak="0">
    <w:nsid w:val="6D580C35"/>
    <w:multiLevelType w:val="hybridMultilevel"/>
    <w:tmpl w:val="E9202E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7" w15:restartNumberingAfterBreak="0">
    <w:nsid w:val="6DC615EF"/>
    <w:multiLevelType w:val="hybridMultilevel"/>
    <w:tmpl w:val="53DA66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8" w15:restartNumberingAfterBreak="0">
    <w:nsid w:val="6E840840"/>
    <w:multiLevelType w:val="hybridMultilevel"/>
    <w:tmpl w:val="42DEA4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9" w15:restartNumberingAfterBreak="0">
    <w:nsid w:val="6EB97B95"/>
    <w:multiLevelType w:val="hybridMultilevel"/>
    <w:tmpl w:val="B0A66D8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0" w15:restartNumberingAfterBreak="0">
    <w:nsid w:val="6F991A21"/>
    <w:multiLevelType w:val="hybridMultilevel"/>
    <w:tmpl w:val="2A2C43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1" w15:restartNumberingAfterBreak="0">
    <w:nsid w:val="700361E7"/>
    <w:multiLevelType w:val="hybridMultilevel"/>
    <w:tmpl w:val="95288B40"/>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42" w15:restartNumberingAfterBreak="0">
    <w:nsid w:val="70E674E1"/>
    <w:multiLevelType w:val="hybridMultilevel"/>
    <w:tmpl w:val="5FBAC788"/>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3" w15:restartNumberingAfterBreak="0">
    <w:nsid w:val="719B1CD4"/>
    <w:multiLevelType w:val="hybridMultilevel"/>
    <w:tmpl w:val="291A553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4" w15:restartNumberingAfterBreak="0">
    <w:nsid w:val="71C73F61"/>
    <w:multiLevelType w:val="hybridMultilevel"/>
    <w:tmpl w:val="631EE1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5" w15:restartNumberingAfterBreak="0">
    <w:nsid w:val="71CD0630"/>
    <w:multiLevelType w:val="hybridMultilevel"/>
    <w:tmpl w:val="23CCB0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6" w15:restartNumberingAfterBreak="0">
    <w:nsid w:val="7231240D"/>
    <w:multiLevelType w:val="hybridMultilevel"/>
    <w:tmpl w:val="99EEEE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7" w15:restartNumberingAfterBreak="0">
    <w:nsid w:val="723654C9"/>
    <w:multiLevelType w:val="hybridMultilevel"/>
    <w:tmpl w:val="E7A8B18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8" w15:restartNumberingAfterBreak="0">
    <w:nsid w:val="72AE4125"/>
    <w:multiLevelType w:val="hybridMultilevel"/>
    <w:tmpl w:val="DBC245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9" w15:restartNumberingAfterBreak="0">
    <w:nsid w:val="72DD67AB"/>
    <w:multiLevelType w:val="hybridMultilevel"/>
    <w:tmpl w:val="B0264D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0" w15:restartNumberingAfterBreak="0">
    <w:nsid w:val="733800B8"/>
    <w:multiLevelType w:val="hybridMultilevel"/>
    <w:tmpl w:val="6BECDF50"/>
    <w:lvl w:ilvl="0" w:tplc="B77A49EA">
      <w:start w:val="1"/>
      <w:numFmt w:val="bullet"/>
      <w:lvlText w:val=""/>
      <w:lvlJc w:val="left"/>
      <w:pPr>
        <w:ind w:left="720" w:hanging="360"/>
      </w:pPr>
      <w:rPr>
        <w:rFonts w:ascii="Symbol" w:hAnsi="Symbol" w:hint="default"/>
        <w:caps w:val="0"/>
        <w:strike w:val="0"/>
        <w:dstrike w:val="0"/>
        <w:vanish w:val="0"/>
        <w:webHidden w:val="0"/>
        <w:color w:val="auto"/>
        <w:u w:val="none"/>
        <w:effect w:val="none"/>
        <w:vertAlign w:val="baseline"/>
        <w:specVanish w:val="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1" w15:restartNumberingAfterBreak="0">
    <w:nsid w:val="73BC3C55"/>
    <w:multiLevelType w:val="hybridMultilevel"/>
    <w:tmpl w:val="191E0F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2" w15:restartNumberingAfterBreak="0">
    <w:nsid w:val="73EB6261"/>
    <w:multiLevelType w:val="hybridMultilevel"/>
    <w:tmpl w:val="F3AEF1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3" w15:restartNumberingAfterBreak="0">
    <w:nsid w:val="7431575D"/>
    <w:multiLevelType w:val="hybridMultilevel"/>
    <w:tmpl w:val="AE22F4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4" w15:restartNumberingAfterBreak="0">
    <w:nsid w:val="743E4BA3"/>
    <w:multiLevelType w:val="hybridMultilevel"/>
    <w:tmpl w:val="EAAC85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5" w15:restartNumberingAfterBreak="0">
    <w:nsid w:val="744F5DD8"/>
    <w:multiLevelType w:val="hybridMultilevel"/>
    <w:tmpl w:val="E6EA1D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6" w15:restartNumberingAfterBreak="0">
    <w:nsid w:val="74A23B2F"/>
    <w:multiLevelType w:val="hybridMultilevel"/>
    <w:tmpl w:val="97341C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7" w15:restartNumberingAfterBreak="0">
    <w:nsid w:val="74A6444A"/>
    <w:multiLevelType w:val="hybridMultilevel"/>
    <w:tmpl w:val="3E22FB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8" w15:restartNumberingAfterBreak="0">
    <w:nsid w:val="7504699B"/>
    <w:multiLevelType w:val="hybridMultilevel"/>
    <w:tmpl w:val="4648AD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9" w15:restartNumberingAfterBreak="0">
    <w:nsid w:val="758252B2"/>
    <w:multiLevelType w:val="hybridMultilevel"/>
    <w:tmpl w:val="9FCE3408"/>
    <w:lvl w:ilvl="0" w:tplc="08090001">
      <w:start w:val="1"/>
      <w:numFmt w:val="bullet"/>
      <w:lvlText w:val=""/>
      <w:lvlJc w:val="left"/>
      <w:pPr>
        <w:ind w:left="847" w:hanging="360"/>
      </w:pPr>
      <w:rPr>
        <w:rFonts w:ascii="Symbol" w:hAnsi="Symbol" w:hint="default"/>
      </w:rPr>
    </w:lvl>
    <w:lvl w:ilvl="1" w:tplc="08090003">
      <w:start w:val="1"/>
      <w:numFmt w:val="bullet"/>
      <w:lvlText w:val="o"/>
      <w:lvlJc w:val="left"/>
      <w:pPr>
        <w:ind w:left="1567" w:hanging="360"/>
      </w:pPr>
      <w:rPr>
        <w:rFonts w:ascii="Courier New" w:hAnsi="Courier New" w:cs="Courier New" w:hint="default"/>
      </w:rPr>
    </w:lvl>
    <w:lvl w:ilvl="2" w:tplc="08090005">
      <w:start w:val="1"/>
      <w:numFmt w:val="bullet"/>
      <w:lvlText w:val=""/>
      <w:lvlJc w:val="left"/>
      <w:pPr>
        <w:ind w:left="2287" w:hanging="360"/>
      </w:pPr>
      <w:rPr>
        <w:rFonts w:ascii="Wingdings" w:hAnsi="Wingdings" w:hint="default"/>
      </w:rPr>
    </w:lvl>
    <w:lvl w:ilvl="3" w:tplc="08090001">
      <w:start w:val="1"/>
      <w:numFmt w:val="bullet"/>
      <w:lvlText w:val=""/>
      <w:lvlJc w:val="left"/>
      <w:pPr>
        <w:ind w:left="3007" w:hanging="360"/>
      </w:pPr>
      <w:rPr>
        <w:rFonts w:ascii="Symbol" w:hAnsi="Symbol" w:hint="default"/>
      </w:rPr>
    </w:lvl>
    <w:lvl w:ilvl="4" w:tplc="08090003">
      <w:start w:val="1"/>
      <w:numFmt w:val="bullet"/>
      <w:lvlText w:val="o"/>
      <w:lvlJc w:val="left"/>
      <w:pPr>
        <w:ind w:left="3727" w:hanging="360"/>
      </w:pPr>
      <w:rPr>
        <w:rFonts w:ascii="Courier New" w:hAnsi="Courier New" w:cs="Courier New" w:hint="default"/>
      </w:rPr>
    </w:lvl>
    <w:lvl w:ilvl="5" w:tplc="08090005">
      <w:start w:val="1"/>
      <w:numFmt w:val="bullet"/>
      <w:lvlText w:val=""/>
      <w:lvlJc w:val="left"/>
      <w:pPr>
        <w:ind w:left="4447" w:hanging="360"/>
      </w:pPr>
      <w:rPr>
        <w:rFonts w:ascii="Wingdings" w:hAnsi="Wingdings" w:hint="default"/>
      </w:rPr>
    </w:lvl>
    <w:lvl w:ilvl="6" w:tplc="08090001">
      <w:start w:val="1"/>
      <w:numFmt w:val="bullet"/>
      <w:lvlText w:val=""/>
      <w:lvlJc w:val="left"/>
      <w:pPr>
        <w:ind w:left="5167" w:hanging="360"/>
      </w:pPr>
      <w:rPr>
        <w:rFonts w:ascii="Symbol" w:hAnsi="Symbol" w:hint="default"/>
      </w:rPr>
    </w:lvl>
    <w:lvl w:ilvl="7" w:tplc="08090003">
      <w:start w:val="1"/>
      <w:numFmt w:val="bullet"/>
      <w:lvlText w:val="o"/>
      <w:lvlJc w:val="left"/>
      <w:pPr>
        <w:ind w:left="5887" w:hanging="360"/>
      </w:pPr>
      <w:rPr>
        <w:rFonts w:ascii="Courier New" w:hAnsi="Courier New" w:cs="Courier New" w:hint="default"/>
      </w:rPr>
    </w:lvl>
    <w:lvl w:ilvl="8" w:tplc="08090005">
      <w:start w:val="1"/>
      <w:numFmt w:val="bullet"/>
      <w:lvlText w:val=""/>
      <w:lvlJc w:val="left"/>
      <w:pPr>
        <w:ind w:left="6607" w:hanging="360"/>
      </w:pPr>
      <w:rPr>
        <w:rFonts w:ascii="Wingdings" w:hAnsi="Wingdings" w:hint="default"/>
      </w:rPr>
    </w:lvl>
  </w:abstractNum>
  <w:abstractNum w:abstractNumId="260" w15:restartNumberingAfterBreak="0">
    <w:nsid w:val="75E114E6"/>
    <w:multiLevelType w:val="hybridMultilevel"/>
    <w:tmpl w:val="E93059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1" w15:restartNumberingAfterBreak="0">
    <w:nsid w:val="761E3E38"/>
    <w:multiLevelType w:val="hybridMultilevel"/>
    <w:tmpl w:val="4AA071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2" w15:restartNumberingAfterBreak="0">
    <w:nsid w:val="76D7660E"/>
    <w:multiLevelType w:val="hybridMultilevel"/>
    <w:tmpl w:val="EFA6412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3" w15:restartNumberingAfterBreak="0">
    <w:nsid w:val="771C38F6"/>
    <w:multiLevelType w:val="hybridMultilevel"/>
    <w:tmpl w:val="EAAA34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4" w15:restartNumberingAfterBreak="0">
    <w:nsid w:val="771C42AE"/>
    <w:multiLevelType w:val="hybridMultilevel"/>
    <w:tmpl w:val="3F02A5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5" w15:restartNumberingAfterBreak="0">
    <w:nsid w:val="772938B9"/>
    <w:multiLevelType w:val="hybridMultilevel"/>
    <w:tmpl w:val="E93093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6" w15:restartNumberingAfterBreak="0">
    <w:nsid w:val="773C09D9"/>
    <w:multiLevelType w:val="hybridMultilevel"/>
    <w:tmpl w:val="F690BD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7" w15:restartNumberingAfterBreak="0">
    <w:nsid w:val="775A079E"/>
    <w:multiLevelType w:val="hybridMultilevel"/>
    <w:tmpl w:val="F2BA51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8" w15:restartNumberingAfterBreak="0">
    <w:nsid w:val="77B07617"/>
    <w:multiLevelType w:val="hybridMultilevel"/>
    <w:tmpl w:val="648E08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9" w15:restartNumberingAfterBreak="0">
    <w:nsid w:val="78231E5F"/>
    <w:multiLevelType w:val="hybridMultilevel"/>
    <w:tmpl w:val="6DAE24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0" w15:restartNumberingAfterBreak="0">
    <w:nsid w:val="78505915"/>
    <w:multiLevelType w:val="hybridMultilevel"/>
    <w:tmpl w:val="3CC273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1" w15:restartNumberingAfterBreak="0">
    <w:nsid w:val="79A3461C"/>
    <w:multiLevelType w:val="hybridMultilevel"/>
    <w:tmpl w:val="CD386D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2" w15:restartNumberingAfterBreak="0">
    <w:nsid w:val="79AE6CFA"/>
    <w:multiLevelType w:val="hybridMultilevel"/>
    <w:tmpl w:val="E1D440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3" w15:restartNumberingAfterBreak="0">
    <w:nsid w:val="79B97B67"/>
    <w:multiLevelType w:val="hybridMultilevel"/>
    <w:tmpl w:val="D528E6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4" w15:restartNumberingAfterBreak="0">
    <w:nsid w:val="79D838E2"/>
    <w:multiLevelType w:val="hybridMultilevel"/>
    <w:tmpl w:val="D0F4E0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5" w15:restartNumberingAfterBreak="0">
    <w:nsid w:val="7A1E2491"/>
    <w:multiLevelType w:val="hybridMultilevel"/>
    <w:tmpl w:val="2C90F8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6" w15:restartNumberingAfterBreak="0">
    <w:nsid w:val="7A35188B"/>
    <w:multiLevelType w:val="hybridMultilevel"/>
    <w:tmpl w:val="76D09E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7" w15:restartNumberingAfterBreak="0">
    <w:nsid w:val="7B153385"/>
    <w:multiLevelType w:val="hybridMultilevel"/>
    <w:tmpl w:val="4AAAD980"/>
    <w:lvl w:ilvl="0" w:tplc="08090001">
      <w:start w:val="1"/>
      <w:numFmt w:val="bullet"/>
      <w:lvlText w:val=""/>
      <w:lvlJc w:val="left"/>
      <w:pPr>
        <w:ind w:left="1080" w:hanging="72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8" w15:restartNumberingAfterBreak="0">
    <w:nsid w:val="7BBD4AFF"/>
    <w:multiLevelType w:val="hybridMultilevel"/>
    <w:tmpl w:val="9F8EAC82"/>
    <w:lvl w:ilvl="0" w:tplc="B77A49EA">
      <w:start w:val="1"/>
      <w:numFmt w:val="bullet"/>
      <w:lvlText w:val=""/>
      <w:lvlJc w:val="left"/>
      <w:pPr>
        <w:ind w:left="720" w:hanging="360"/>
      </w:pPr>
      <w:rPr>
        <w:rFonts w:ascii="Symbol" w:hAnsi="Symbol" w:hint="default"/>
        <w:caps w:val="0"/>
        <w:strike w:val="0"/>
        <w:dstrike w:val="0"/>
        <w:vanish w:val="0"/>
        <w:webHidden w:val="0"/>
        <w:color w:val="auto"/>
        <w:u w:val="none"/>
        <w:effect w:val="none"/>
        <w:vertAlign w:val="baseline"/>
        <w:specVanish w:val="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9" w15:restartNumberingAfterBreak="0">
    <w:nsid w:val="7C325316"/>
    <w:multiLevelType w:val="hybridMultilevel"/>
    <w:tmpl w:val="5288B0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0" w15:restartNumberingAfterBreak="0">
    <w:nsid w:val="7C521704"/>
    <w:multiLevelType w:val="hybridMultilevel"/>
    <w:tmpl w:val="589242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1" w15:restartNumberingAfterBreak="0">
    <w:nsid w:val="7C6B588E"/>
    <w:multiLevelType w:val="hybridMultilevel"/>
    <w:tmpl w:val="FCE0C0A2"/>
    <w:lvl w:ilvl="0" w:tplc="08090001">
      <w:start w:val="1"/>
      <w:numFmt w:val="bullet"/>
      <w:lvlText w:val=""/>
      <w:lvlJc w:val="left"/>
      <w:pPr>
        <w:ind w:left="717"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82" w15:restartNumberingAfterBreak="0">
    <w:nsid w:val="7CDE1FF9"/>
    <w:multiLevelType w:val="hybridMultilevel"/>
    <w:tmpl w:val="085634FE"/>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83" w15:restartNumberingAfterBreak="0">
    <w:nsid w:val="7CF92F15"/>
    <w:multiLevelType w:val="hybridMultilevel"/>
    <w:tmpl w:val="FC561F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4" w15:restartNumberingAfterBreak="0">
    <w:nsid w:val="7D8532CC"/>
    <w:multiLevelType w:val="hybridMultilevel"/>
    <w:tmpl w:val="FDC63E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5" w15:restartNumberingAfterBreak="0">
    <w:nsid w:val="7DDE7FD4"/>
    <w:multiLevelType w:val="hybridMultilevel"/>
    <w:tmpl w:val="7BC21D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6" w15:restartNumberingAfterBreak="0">
    <w:nsid w:val="7E584B0F"/>
    <w:multiLevelType w:val="hybridMultilevel"/>
    <w:tmpl w:val="81AC43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7" w15:restartNumberingAfterBreak="0">
    <w:nsid w:val="7EC63BE5"/>
    <w:multiLevelType w:val="hybridMultilevel"/>
    <w:tmpl w:val="789EAB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8" w15:restartNumberingAfterBreak="0">
    <w:nsid w:val="7ED63AE9"/>
    <w:multiLevelType w:val="hybridMultilevel"/>
    <w:tmpl w:val="93FEF2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056783391">
    <w:abstractNumId w:val="103"/>
  </w:num>
  <w:num w:numId="2" w16cid:durableId="291594594">
    <w:abstractNumId w:val="39"/>
  </w:num>
  <w:num w:numId="3" w16cid:durableId="1438912501">
    <w:abstractNumId w:val="98"/>
  </w:num>
  <w:num w:numId="4" w16cid:durableId="1441726980">
    <w:abstractNumId w:val="142"/>
  </w:num>
  <w:num w:numId="5" w16cid:durableId="1327443608">
    <w:abstractNumId w:val="79"/>
  </w:num>
  <w:num w:numId="6" w16cid:durableId="129640928">
    <w:abstractNumId w:val="110"/>
  </w:num>
  <w:num w:numId="7" w16cid:durableId="505897705">
    <w:abstractNumId w:val="170"/>
  </w:num>
  <w:num w:numId="8" w16cid:durableId="929781045">
    <w:abstractNumId w:val="239"/>
  </w:num>
  <w:num w:numId="9" w16cid:durableId="1959018881">
    <w:abstractNumId w:val="35"/>
  </w:num>
  <w:num w:numId="10" w16cid:durableId="369964804">
    <w:abstractNumId w:val="116"/>
  </w:num>
  <w:num w:numId="11" w16cid:durableId="1389186487">
    <w:abstractNumId w:val="157"/>
  </w:num>
  <w:num w:numId="12" w16cid:durableId="1712074564">
    <w:abstractNumId w:val="209"/>
  </w:num>
  <w:num w:numId="13" w16cid:durableId="1867910358">
    <w:abstractNumId w:val="265"/>
  </w:num>
  <w:num w:numId="14" w16cid:durableId="668140394">
    <w:abstractNumId w:val="247"/>
  </w:num>
  <w:num w:numId="15" w16cid:durableId="1406295462">
    <w:abstractNumId w:val="273"/>
  </w:num>
  <w:num w:numId="16" w16cid:durableId="217085749">
    <w:abstractNumId w:val="68"/>
  </w:num>
  <w:num w:numId="17" w16cid:durableId="435638117">
    <w:abstractNumId w:val="275"/>
  </w:num>
  <w:num w:numId="18" w16cid:durableId="1817869793">
    <w:abstractNumId w:val="266"/>
  </w:num>
  <w:num w:numId="19" w16cid:durableId="1377200863">
    <w:abstractNumId w:val="216"/>
  </w:num>
  <w:num w:numId="20" w16cid:durableId="1453938741">
    <w:abstractNumId w:val="271"/>
  </w:num>
  <w:num w:numId="21" w16cid:durableId="1051728057">
    <w:abstractNumId w:val="152"/>
  </w:num>
  <w:num w:numId="22" w16cid:durableId="1291282006">
    <w:abstractNumId w:val="75"/>
  </w:num>
  <w:num w:numId="23" w16cid:durableId="1473250023">
    <w:abstractNumId w:val="156"/>
  </w:num>
  <w:num w:numId="24" w16cid:durableId="384137009">
    <w:abstractNumId w:val="89"/>
  </w:num>
  <w:num w:numId="25" w16cid:durableId="790976500">
    <w:abstractNumId w:val="188"/>
  </w:num>
  <w:num w:numId="26" w16cid:durableId="1001931877">
    <w:abstractNumId w:val="84"/>
  </w:num>
  <w:num w:numId="27" w16cid:durableId="1344161891">
    <w:abstractNumId w:val="286"/>
  </w:num>
  <w:num w:numId="28" w16cid:durableId="1382169127">
    <w:abstractNumId w:val="246"/>
  </w:num>
  <w:num w:numId="29" w16cid:durableId="1292783784">
    <w:abstractNumId w:val="272"/>
  </w:num>
  <w:num w:numId="30" w16cid:durableId="1771469527">
    <w:abstractNumId w:val="37"/>
  </w:num>
  <w:num w:numId="31" w16cid:durableId="1313753678">
    <w:abstractNumId w:val="280"/>
  </w:num>
  <w:num w:numId="32" w16cid:durableId="1570458353">
    <w:abstractNumId w:val="117"/>
  </w:num>
  <w:num w:numId="33" w16cid:durableId="1783258630">
    <w:abstractNumId w:val="8"/>
  </w:num>
  <w:num w:numId="34" w16cid:durableId="90199450">
    <w:abstractNumId w:val="131"/>
  </w:num>
  <w:num w:numId="35" w16cid:durableId="817962797">
    <w:abstractNumId w:val="224"/>
  </w:num>
  <w:num w:numId="36" w16cid:durableId="148068231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950041271">
    <w:abstractNumId w:val="178"/>
  </w:num>
  <w:num w:numId="38" w16cid:durableId="1229417428">
    <w:abstractNumId w:val="125"/>
  </w:num>
  <w:num w:numId="39" w16cid:durableId="2030988050">
    <w:abstractNumId w:val="159"/>
  </w:num>
  <w:num w:numId="40" w16cid:durableId="1836677721">
    <w:abstractNumId w:val="17"/>
  </w:num>
  <w:num w:numId="41" w16cid:durableId="1613047589">
    <w:abstractNumId w:val="97"/>
  </w:num>
  <w:num w:numId="42" w16cid:durableId="1674608204">
    <w:abstractNumId w:val="139"/>
  </w:num>
  <w:num w:numId="43" w16cid:durableId="1453479865">
    <w:abstractNumId w:val="74"/>
  </w:num>
  <w:num w:numId="44" w16cid:durableId="238485661">
    <w:abstractNumId w:val="163"/>
  </w:num>
  <w:num w:numId="45" w16cid:durableId="903299025">
    <w:abstractNumId w:val="73"/>
  </w:num>
  <w:num w:numId="46" w16cid:durableId="714810952">
    <w:abstractNumId w:val="13"/>
  </w:num>
  <w:num w:numId="47" w16cid:durableId="836074898">
    <w:abstractNumId w:val="162"/>
  </w:num>
  <w:num w:numId="48" w16cid:durableId="379868233">
    <w:abstractNumId w:val="208"/>
  </w:num>
  <w:num w:numId="49" w16cid:durableId="591471987">
    <w:abstractNumId w:val="278"/>
  </w:num>
  <w:num w:numId="50" w16cid:durableId="327102119">
    <w:abstractNumId w:val="138"/>
  </w:num>
  <w:num w:numId="51" w16cid:durableId="2108689699">
    <w:abstractNumId w:val="226"/>
  </w:num>
  <w:num w:numId="52" w16cid:durableId="1135871201">
    <w:abstractNumId w:val="240"/>
  </w:num>
  <w:num w:numId="53" w16cid:durableId="153187488">
    <w:abstractNumId w:val="107"/>
  </w:num>
  <w:num w:numId="54" w16cid:durableId="1951204315">
    <w:abstractNumId w:val="67"/>
  </w:num>
  <w:num w:numId="55" w16cid:durableId="1633170184">
    <w:abstractNumId w:val="190"/>
  </w:num>
  <w:num w:numId="56" w16cid:durableId="1964847319">
    <w:abstractNumId w:val="203"/>
  </w:num>
  <w:num w:numId="57" w16cid:durableId="1291666967">
    <w:abstractNumId w:val="145"/>
  </w:num>
  <w:num w:numId="58" w16cid:durableId="894705756">
    <w:abstractNumId w:val="248"/>
  </w:num>
  <w:num w:numId="59" w16cid:durableId="2040232970">
    <w:abstractNumId w:val="269"/>
  </w:num>
  <w:num w:numId="60" w16cid:durableId="1732531773">
    <w:abstractNumId w:val="176"/>
  </w:num>
  <w:num w:numId="61" w16cid:durableId="1291741383">
    <w:abstractNumId w:val="270"/>
  </w:num>
  <w:num w:numId="62" w16cid:durableId="343096808">
    <w:abstractNumId w:val="6"/>
  </w:num>
  <w:num w:numId="63" w16cid:durableId="1081683752">
    <w:abstractNumId w:val="186"/>
  </w:num>
  <w:num w:numId="64" w16cid:durableId="1665159345">
    <w:abstractNumId w:val="238"/>
  </w:num>
  <w:num w:numId="65" w16cid:durableId="1954709369">
    <w:abstractNumId w:val="281"/>
  </w:num>
  <w:num w:numId="66" w16cid:durableId="1394038465">
    <w:abstractNumId w:val="23"/>
  </w:num>
  <w:num w:numId="67" w16cid:durableId="467282038">
    <w:abstractNumId w:val="234"/>
  </w:num>
  <w:num w:numId="68" w16cid:durableId="547231242">
    <w:abstractNumId w:val="154"/>
  </w:num>
  <w:num w:numId="69" w16cid:durableId="1785660821">
    <w:abstractNumId w:val="158"/>
  </w:num>
  <w:num w:numId="70" w16cid:durableId="1248534314">
    <w:abstractNumId w:val="50"/>
  </w:num>
  <w:num w:numId="71" w16cid:durableId="999770293">
    <w:abstractNumId w:val="102"/>
  </w:num>
  <w:num w:numId="72" w16cid:durableId="39788929">
    <w:abstractNumId w:val="181"/>
  </w:num>
  <w:num w:numId="73" w16cid:durableId="268975739">
    <w:abstractNumId w:val="25"/>
  </w:num>
  <w:num w:numId="74" w16cid:durableId="286008916">
    <w:abstractNumId w:val="21"/>
  </w:num>
  <w:num w:numId="75" w16cid:durableId="67698788">
    <w:abstractNumId w:val="195"/>
  </w:num>
  <w:num w:numId="76" w16cid:durableId="1585525467">
    <w:abstractNumId w:val="133"/>
  </w:num>
  <w:num w:numId="77" w16cid:durableId="1960255201">
    <w:abstractNumId w:val="96"/>
  </w:num>
  <w:num w:numId="78" w16cid:durableId="666129242">
    <w:abstractNumId w:val="60"/>
  </w:num>
  <w:num w:numId="79" w16cid:durableId="77099241">
    <w:abstractNumId w:val="202"/>
  </w:num>
  <w:num w:numId="80" w16cid:durableId="842207949">
    <w:abstractNumId w:val="69"/>
  </w:num>
  <w:num w:numId="81" w16cid:durableId="1621103319">
    <w:abstractNumId w:val="43"/>
  </w:num>
  <w:num w:numId="82" w16cid:durableId="1488939879">
    <w:abstractNumId w:val="28"/>
  </w:num>
  <w:num w:numId="83" w16cid:durableId="540872195">
    <w:abstractNumId w:val="282"/>
  </w:num>
  <w:num w:numId="84" w16cid:durableId="1581715295">
    <w:abstractNumId w:val="54"/>
  </w:num>
  <w:num w:numId="85" w16cid:durableId="1179587126">
    <w:abstractNumId w:val="204"/>
  </w:num>
  <w:num w:numId="86" w16cid:durableId="370569997">
    <w:abstractNumId w:val="132"/>
  </w:num>
  <w:num w:numId="87" w16cid:durableId="112597654">
    <w:abstractNumId w:val="12"/>
  </w:num>
  <w:num w:numId="88" w16cid:durableId="775909988">
    <w:abstractNumId w:val="241"/>
  </w:num>
  <w:num w:numId="89" w16cid:durableId="851069158">
    <w:abstractNumId w:val="64"/>
  </w:num>
  <w:num w:numId="90" w16cid:durableId="1013068751">
    <w:abstractNumId w:val="215"/>
  </w:num>
  <w:num w:numId="91" w16cid:durableId="2129468258">
    <w:abstractNumId w:val="82"/>
  </w:num>
  <w:num w:numId="92" w16cid:durableId="252053180">
    <w:abstractNumId w:val="101"/>
  </w:num>
  <w:num w:numId="93" w16cid:durableId="1107771919">
    <w:abstractNumId w:val="177"/>
  </w:num>
  <w:num w:numId="94" w16cid:durableId="123961267">
    <w:abstractNumId w:val="113"/>
  </w:num>
  <w:num w:numId="95" w16cid:durableId="965433274">
    <w:abstractNumId w:val="153"/>
  </w:num>
  <w:num w:numId="96" w16cid:durableId="1766728061">
    <w:abstractNumId w:val="164"/>
  </w:num>
  <w:num w:numId="97" w16cid:durableId="1230926175">
    <w:abstractNumId w:val="33"/>
  </w:num>
  <w:num w:numId="98" w16cid:durableId="1367102492">
    <w:abstractNumId w:val="172"/>
  </w:num>
  <w:num w:numId="99" w16cid:durableId="1380862837">
    <w:abstractNumId w:val="90"/>
  </w:num>
  <w:num w:numId="100" w16cid:durableId="1358392142">
    <w:abstractNumId w:val="45"/>
  </w:num>
  <w:num w:numId="101" w16cid:durableId="1897350751">
    <w:abstractNumId w:val="29"/>
  </w:num>
  <w:num w:numId="102" w16cid:durableId="860125939">
    <w:abstractNumId w:val="81"/>
  </w:num>
  <w:num w:numId="103" w16cid:durableId="625085984">
    <w:abstractNumId w:val="194"/>
  </w:num>
  <w:num w:numId="104" w16cid:durableId="1716078880">
    <w:abstractNumId w:val="135"/>
  </w:num>
  <w:num w:numId="105" w16cid:durableId="394282114">
    <w:abstractNumId w:val="242"/>
  </w:num>
  <w:num w:numId="106" w16cid:durableId="967126556">
    <w:abstractNumId w:val="26"/>
  </w:num>
  <w:num w:numId="107" w16cid:durableId="1259488116">
    <w:abstractNumId w:val="221"/>
  </w:num>
  <w:num w:numId="108" w16cid:durableId="1113018869">
    <w:abstractNumId w:val="274"/>
  </w:num>
  <w:num w:numId="109" w16cid:durableId="1718242963">
    <w:abstractNumId w:val="66"/>
  </w:num>
  <w:num w:numId="110" w16cid:durableId="24865324">
    <w:abstractNumId w:val="49"/>
  </w:num>
  <w:num w:numId="111" w16cid:durableId="917984819">
    <w:abstractNumId w:val="229"/>
  </w:num>
  <w:num w:numId="112" w16cid:durableId="436609096">
    <w:abstractNumId w:val="237"/>
  </w:num>
  <w:num w:numId="113" w16cid:durableId="1728146105">
    <w:abstractNumId w:val="199"/>
  </w:num>
  <w:num w:numId="114" w16cid:durableId="887305529">
    <w:abstractNumId w:val="196"/>
  </w:num>
  <w:num w:numId="115" w16cid:durableId="1411124697">
    <w:abstractNumId w:val="140"/>
  </w:num>
  <w:num w:numId="116" w16cid:durableId="1533616788">
    <w:abstractNumId w:val="166"/>
  </w:num>
  <w:num w:numId="117" w16cid:durableId="1465349149">
    <w:abstractNumId w:val="200"/>
  </w:num>
  <w:num w:numId="118" w16cid:durableId="1676031124">
    <w:abstractNumId w:val="151"/>
  </w:num>
  <w:num w:numId="119" w16cid:durableId="360321700">
    <w:abstractNumId w:val="149"/>
  </w:num>
  <w:num w:numId="120" w16cid:durableId="2013869017">
    <w:abstractNumId w:val="150"/>
  </w:num>
  <w:num w:numId="121" w16cid:durableId="99878017">
    <w:abstractNumId w:val="252"/>
  </w:num>
  <w:num w:numId="122" w16cid:durableId="466748722">
    <w:abstractNumId w:val="276"/>
  </w:num>
  <w:num w:numId="123" w16cid:durableId="1566599690">
    <w:abstractNumId w:val="165"/>
  </w:num>
  <w:num w:numId="124" w16cid:durableId="1296789143">
    <w:abstractNumId w:val="10"/>
  </w:num>
  <w:num w:numId="125" w16cid:durableId="2008895274">
    <w:abstractNumId w:val="143"/>
  </w:num>
  <w:num w:numId="126" w16cid:durableId="334918025">
    <w:abstractNumId w:val="99"/>
  </w:num>
  <w:num w:numId="127" w16cid:durableId="587928516">
    <w:abstractNumId w:val="130"/>
  </w:num>
  <w:num w:numId="128" w16cid:durableId="1864587737">
    <w:abstractNumId w:val="267"/>
  </w:num>
  <w:num w:numId="129" w16cid:durableId="1519655320">
    <w:abstractNumId w:val="235"/>
  </w:num>
  <w:num w:numId="130" w16cid:durableId="1484354157">
    <w:abstractNumId w:val="65"/>
  </w:num>
  <w:num w:numId="131" w16cid:durableId="1059135429">
    <w:abstractNumId w:val="78"/>
  </w:num>
  <w:num w:numId="132" w16cid:durableId="134883196">
    <w:abstractNumId w:val="256"/>
  </w:num>
  <w:num w:numId="133" w16cid:durableId="1017586252">
    <w:abstractNumId w:val="20"/>
  </w:num>
  <w:num w:numId="134" w16cid:durableId="2085567375">
    <w:abstractNumId w:val="182"/>
  </w:num>
  <w:num w:numId="135" w16cid:durableId="257520415">
    <w:abstractNumId w:val="255"/>
  </w:num>
  <w:num w:numId="136" w16cid:durableId="903567467">
    <w:abstractNumId w:val="40"/>
  </w:num>
  <w:num w:numId="137" w16cid:durableId="1590501896">
    <w:abstractNumId w:val="184"/>
  </w:num>
  <w:num w:numId="138" w16cid:durableId="1224680399">
    <w:abstractNumId w:val="136"/>
  </w:num>
  <w:num w:numId="139" w16cid:durableId="559482434">
    <w:abstractNumId w:val="277"/>
  </w:num>
  <w:num w:numId="140" w16cid:durableId="964309523">
    <w:abstractNumId w:val="57"/>
  </w:num>
  <w:num w:numId="141" w16cid:durableId="1368605358">
    <w:abstractNumId w:val="250"/>
  </w:num>
  <w:num w:numId="142" w16cid:durableId="1977947896">
    <w:abstractNumId w:val="230"/>
  </w:num>
  <w:num w:numId="143" w16cid:durableId="733351696">
    <w:abstractNumId w:val="127"/>
  </w:num>
  <w:num w:numId="144" w16cid:durableId="1641883845">
    <w:abstractNumId w:val="287"/>
  </w:num>
  <w:num w:numId="145" w16cid:durableId="107942809">
    <w:abstractNumId w:val="86"/>
  </w:num>
  <w:num w:numId="146" w16cid:durableId="1071855009">
    <w:abstractNumId w:val="198"/>
  </w:num>
  <w:num w:numId="147" w16cid:durableId="484856837">
    <w:abstractNumId w:val="148"/>
  </w:num>
  <w:num w:numId="148" w16cid:durableId="592511419">
    <w:abstractNumId w:val="62"/>
  </w:num>
  <w:num w:numId="149" w16cid:durableId="1147549342">
    <w:abstractNumId w:val="59"/>
  </w:num>
  <w:num w:numId="150" w16cid:durableId="782653277">
    <w:abstractNumId w:val="76"/>
  </w:num>
  <w:num w:numId="151" w16cid:durableId="2042974268">
    <w:abstractNumId w:val="51"/>
  </w:num>
  <w:num w:numId="152" w16cid:durableId="842668338">
    <w:abstractNumId w:val="91"/>
  </w:num>
  <w:num w:numId="153" w16cid:durableId="379792862">
    <w:abstractNumId w:val="41"/>
  </w:num>
  <w:num w:numId="154" w16cid:durableId="1780103536">
    <w:abstractNumId w:val="53"/>
  </w:num>
  <w:num w:numId="155" w16cid:durableId="329717384">
    <w:abstractNumId w:val="34"/>
  </w:num>
  <w:num w:numId="156" w16cid:durableId="133528530">
    <w:abstractNumId w:val="61"/>
  </w:num>
  <w:num w:numId="157" w16cid:durableId="515846815">
    <w:abstractNumId w:val="214"/>
  </w:num>
  <w:num w:numId="158" w16cid:durableId="962341998">
    <w:abstractNumId w:val="180"/>
  </w:num>
  <w:num w:numId="159" w16cid:durableId="1931700043">
    <w:abstractNumId w:val="173"/>
  </w:num>
  <w:num w:numId="160" w16cid:durableId="1523468924">
    <w:abstractNumId w:val="38"/>
  </w:num>
  <w:num w:numId="161" w16cid:durableId="1175338015">
    <w:abstractNumId w:val="268"/>
  </w:num>
  <w:num w:numId="162" w16cid:durableId="724252912">
    <w:abstractNumId w:val="112"/>
  </w:num>
  <w:num w:numId="163" w16cid:durableId="1309633374">
    <w:abstractNumId w:val="212"/>
  </w:num>
  <w:num w:numId="164" w16cid:durableId="1186018610">
    <w:abstractNumId w:val="24"/>
  </w:num>
  <w:num w:numId="165" w16cid:durableId="145124366">
    <w:abstractNumId w:val="114"/>
  </w:num>
  <w:num w:numId="166" w16cid:durableId="1275478457">
    <w:abstractNumId w:val="169"/>
  </w:num>
  <w:num w:numId="167" w16cid:durableId="441729218">
    <w:abstractNumId w:val="264"/>
  </w:num>
  <w:num w:numId="168" w16cid:durableId="452135739">
    <w:abstractNumId w:val="146"/>
  </w:num>
  <w:num w:numId="169" w16cid:durableId="647638323">
    <w:abstractNumId w:val="16"/>
  </w:num>
  <w:num w:numId="170" w16cid:durableId="1162163087">
    <w:abstractNumId w:val="207"/>
  </w:num>
  <w:num w:numId="171" w16cid:durableId="32506831">
    <w:abstractNumId w:val="9"/>
  </w:num>
  <w:num w:numId="172" w16cid:durableId="145515680">
    <w:abstractNumId w:val="205"/>
  </w:num>
  <w:num w:numId="173" w16cid:durableId="139621625">
    <w:abstractNumId w:val="104"/>
  </w:num>
  <w:num w:numId="174" w16cid:durableId="921597510">
    <w:abstractNumId w:val="211"/>
  </w:num>
  <w:num w:numId="175" w16cid:durableId="1402405517">
    <w:abstractNumId w:val="105"/>
  </w:num>
  <w:num w:numId="176" w16cid:durableId="1609897540">
    <w:abstractNumId w:val="120"/>
  </w:num>
  <w:num w:numId="177" w16cid:durableId="1290935036">
    <w:abstractNumId w:val="30"/>
  </w:num>
  <w:num w:numId="178" w16cid:durableId="1139420155">
    <w:abstractNumId w:val="56"/>
  </w:num>
  <w:num w:numId="179" w16cid:durableId="2083016506">
    <w:abstractNumId w:val="261"/>
  </w:num>
  <w:num w:numId="180" w16cid:durableId="226847386">
    <w:abstractNumId w:val="171"/>
  </w:num>
  <w:num w:numId="181" w16cid:durableId="791287643">
    <w:abstractNumId w:val="191"/>
  </w:num>
  <w:num w:numId="182" w16cid:durableId="208034845">
    <w:abstractNumId w:val="228"/>
  </w:num>
  <w:num w:numId="183" w16cid:durableId="2116362348">
    <w:abstractNumId w:val="251"/>
  </w:num>
  <w:num w:numId="184" w16cid:durableId="126512226">
    <w:abstractNumId w:val="46"/>
  </w:num>
  <w:num w:numId="185" w16cid:durableId="343216232">
    <w:abstractNumId w:val="22"/>
  </w:num>
  <w:num w:numId="186" w16cid:durableId="1240366769">
    <w:abstractNumId w:val="52"/>
  </w:num>
  <w:num w:numId="187" w16cid:durableId="878586865">
    <w:abstractNumId w:val="128"/>
  </w:num>
  <w:num w:numId="188" w16cid:durableId="1139028719">
    <w:abstractNumId w:val="227"/>
  </w:num>
  <w:num w:numId="189" w16cid:durableId="1539318546">
    <w:abstractNumId w:val="201"/>
  </w:num>
  <w:num w:numId="190" w16cid:durableId="132791441">
    <w:abstractNumId w:val="19"/>
  </w:num>
  <w:num w:numId="191" w16cid:durableId="234824567">
    <w:abstractNumId w:val="183"/>
  </w:num>
  <w:num w:numId="192" w16cid:durableId="872426705">
    <w:abstractNumId w:val="11"/>
  </w:num>
  <w:num w:numId="193" w16cid:durableId="1901668087">
    <w:abstractNumId w:val="279"/>
  </w:num>
  <w:num w:numId="194" w16cid:durableId="1903297299">
    <w:abstractNumId w:val="245"/>
  </w:num>
  <w:num w:numId="195" w16cid:durableId="275261463">
    <w:abstractNumId w:val="122"/>
  </w:num>
  <w:num w:numId="196" w16cid:durableId="829715765">
    <w:abstractNumId w:val="80"/>
  </w:num>
  <w:num w:numId="197" w16cid:durableId="2025084859">
    <w:abstractNumId w:val="193"/>
  </w:num>
  <w:num w:numId="198" w16cid:durableId="64500895">
    <w:abstractNumId w:val="192"/>
  </w:num>
  <w:num w:numId="199" w16cid:durableId="836264378">
    <w:abstractNumId w:val="129"/>
  </w:num>
  <w:num w:numId="200" w16cid:durableId="2068187173">
    <w:abstractNumId w:val="167"/>
  </w:num>
  <w:num w:numId="201" w16cid:durableId="1204169781">
    <w:abstractNumId w:val="217"/>
  </w:num>
  <w:num w:numId="202" w16cid:durableId="1786654436">
    <w:abstractNumId w:val="141"/>
  </w:num>
  <w:num w:numId="203" w16cid:durableId="1721711087">
    <w:abstractNumId w:val="58"/>
  </w:num>
  <w:num w:numId="204" w16cid:durableId="413401481">
    <w:abstractNumId w:val="106"/>
  </w:num>
  <w:num w:numId="205" w16cid:durableId="746610870">
    <w:abstractNumId w:val="249"/>
  </w:num>
  <w:num w:numId="206" w16cid:durableId="1769738602">
    <w:abstractNumId w:val="47"/>
  </w:num>
  <w:num w:numId="207" w16cid:durableId="277881807">
    <w:abstractNumId w:val="233"/>
  </w:num>
  <w:num w:numId="208" w16cid:durableId="1097560850">
    <w:abstractNumId w:val="118"/>
  </w:num>
  <w:num w:numId="209" w16cid:durableId="774323939">
    <w:abstractNumId w:val="115"/>
  </w:num>
  <w:num w:numId="210" w16cid:durableId="1052508396">
    <w:abstractNumId w:val="213"/>
  </w:num>
  <w:num w:numId="211" w16cid:durableId="1910117225">
    <w:abstractNumId w:val="98"/>
  </w:num>
  <w:num w:numId="212" w16cid:durableId="435518746">
    <w:abstractNumId w:val="1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16cid:durableId="937054863">
    <w:abstractNumId w:val="210"/>
  </w:num>
  <w:num w:numId="214" w16cid:durableId="888759982">
    <w:abstractNumId w:val="93"/>
  </w:num>
  <w:num w:numId="215" w16cid:durableId="67730920">
    <w:abstractNumId w:val="284"/>
  </w:num>
  <w:num w:numId="216" w16cid:durableId="826288113">
    <w:abstractNumId w:val="189"/>
  </w:num>
  <w:num w:numId="217" w16cid:durableId="1222206558">
    <w:abstractNumId w:val="14"/>
  </w:num>
  <w:num w:numId="218" w16cid:durableId="704791560">
    <w:abstractNumId w:val="94"/>
  </w:num>
  <w:num w:numId="219" w16cid:durableId="323167483">
    <w:abstractNumId w:val="134"/>
  </w:num>
  <w:num w:numId="220" w16cid:durableId="1639799638">
    <w:abstractNumId w:val="262"/>
  </w:num>
  <w:num w:numId="221" w16cid:durableId="1434937648">
    <w:abstractNumId w:val="254"/>
  </w:num>
  <w:num w:numId="222" w16cid:durableId="612053644">
    <w:abstractNumId w:val="206"/>
  </w:num>
  <w:num w:numId="223" w16cid:durableId="1509757605">
    <w:abstractNumId w:val="123"/>
  </w:num>
  <w:num w:numId="224" w16cid:durableId="556011492">
    <w:abstractNumId w:val="70"/>
  </w:num>
  <w:num w:numId="225" w16cid:durableId="1606615986">
    <w:abstractNumId w:val="218"/>
  </w:num>
  <w:num w:numId="226" w16cid:durableId="1500317364">
    <w:abstractNumId w:val="71"/>
  </w:num>
  <w:num w:numId="227" w16cid:durableId="1881935445">
    <w:abstractNumId w:val="257"/>
  </w:num>
  <w:num w:numId="228" w16cid:durableId="1588686768">
    <w:abstractNumId w:val="225"/>
  </w:num>
  <w:num w:numId="229" w16cid:durableId="1028991119">
    <w:abstractNumId w:val="155"/>
  </w:num>
  <w:num w:numId="230" w16cid:durableId="27877375">
    <w:abstractNumId w:val="31"/>
  </w:num>
  <w:num w:numId="231" w16cid:durableId="144976467">
    <w:abstractNumId w:val="285"/>
  </w:num>
  <w:num w:numId="232" w16cid:durableId="136774065">
    <w:abstractNumId w:val="144"/>
  </w:num>
  <w:num w:numId="233" w16cid:durableId="2065375161">
    <w:abstractNumId w:val="63"/>
    <w:lvlOverride w:ilvl="0">
      <w:startOverride w:val="1"/>
    </w:lvlOverride>
    <w:lvlOverride w:ilvl="1"/>
    <w:lvlOverride w:ilvl="2"/>
    <w:lvlOverride w:ilvl="3"/>
    <w:lvlOverride w:ilvl="4"/>
    <w:lvlOverride w:ilvl="5"/>
    <w:lvlOverride w:ilvl="6"/>
    <w:lvlOverride w:ilvl="7"/>
    <w:lvlOverride w:ilvl="8"/>
  </w:num>
  <w:num w:numId="234" w16cid:durableId="1847092156">
    <w:abstractNumId w:val="121"/>
  </w:num>
  <w:num w:numId="235" w16cid:durableId="162405232">
    <w:abstractNumId w:val="244"/>
  </w:num>
  <w:num w:numId="236" w16cid:durableId="395709003">
    <w:abstractNumId w:val="111"/>
  </w:num>
  <w:num w:numId="237" w16cid:durableId="2064480839">
    <w:abstractNumId w:val="160"/>
  </w:num>
  <w:num w:numId="238" w16cid:durableId="1186484793">
    <w:abstractNumId w:val="119"/>
  </w:num>
  <w:num w:numId="239" w16cid:durableId="799298837">
    <w:abstractNumId w:val="288"/>
  </w:num>
  <w:num w:numId="240" w16cid:durableId="1774326135">
    <w:abstractNumId w:val="108"/>
  </w:num>
  <w:num w:numId="241" w16cid:durableId="28188534">
    <w:abstractNumId w:val="15"/>
  </w:num>
  <w:num w:numId="242" w16cid:durableId="533925830">
    <w:abstractNumId w:val="85"/>
  </w:num>
  <w:num w:numId="243" w16cid:durableId="1588618125">
    <w:abstractNumId w:val="88"/>
  </w:num>
  <w:num w:numId="244" w16cid:durableId="1715931418">
    <w:abstractNumId w:val="174"/>
  </w:num>
  <w:num w:numId="245" w16cid:durableId="1757479317">
    <w:abstractNumId w:val="161"/>
  </w:num>
  <w:num w:numId="246" w16cid:durableId="1104108969">
    <w:abstractNumId w:val="124"/>
  </w:num>
  <w:num w:numId="247" w16cid:durableId="1954701976">
    <w:abstractNumId w:val="27"/>
  </w:num>
  <w:num w:numId="248" w16cid:durableId="131144005">
    <w:abstractNumId w:val="220"/>
  </w:num>
  <w:num w:numId="249" w16cid:durableId="1189179264">
    <w:abstractNumId w:val="263"/>
  </w:num>
  <w:num w:numId="250" w16cid:durableId="1482385379">
    <w:abstractNumId w:val="185"/>
  </w:num>
  <w:num w:numId="251" w16cid:durableId="865364523">
    <w:abstractNumId w:val="18"/>
  </w:num>
  <w:num w:numId="252" w16cid:durableId="376516090">
    <w:abstractNumId w:val="77"/>
  </w:num>
  <w:num w:numId="253" w16cid:durableId="1376343785">
    <w:abstractNumId w:val="95"/>
  </w:num>
  <w:num w:numId="254" w16cid:durableId="730352624">
    <w:abstractNumId w:val="83"/>
  </w:num>
  <w:num w:numId="255" w16cid:durableId="1421632966">
    <w:abstractNumId w:val="48"/>
  </w:num>
  <w:num w:numId="256" w16cid:durableId="1620138222">
    <w:abstractNumId w:val="44"/>
  </w:num>
  <w:num w:numId="257" w16cid:durableId="1183980955">
    <w:abstractNumId w:val="92"/>
  </w:num>
  <w:num w:numId="258" w16cid:durableId="2053574887">
    <w:abstractNumId w:val="258"/>
  </w:num>
  <w:num w:numId="259" w16cid:durableId="214702651">
    <w:abstractNumId w:val="126"/>
  </w:num>
  <w:num w:numId="260" w16cid:durableId="219902680">
    <w:abstractNumId w:val="187"/>
  </w:num>
  <w:num w:numId="261" w16cid:durableId="137114286">
    <w:abstractNumId w:val="283"/>
  </w:num>
  <w:num w:numId="262" w16cid:durableId="1710490001">
    <w:abstractNumId w:val="197"/>
  </w:num>
  <w:num w:numId="263" w16cid:durableId="1717973718">
    <w:abstractNumId w:val="175"/>
  </w:num>
  <w:num w:numId="264" w16cid:durableId="958074737">
    <w:abstractNumId w:val="109"/>
  </w:num>
  <w:num w:numId="265" w16cid:durableId="386534162">
    <w:abstractNumId w:val="243"/>
  </w:num>
  <w:num w:numId="266" w16cid:durableId="30804907">
    <w:abstractNumId w:val="179"/>
  </w:num>
  <w:num w:numId="267" w16cid:durableId="1971785642">
    <w:abstractNumId w:val="223"/>
  </w:num>
  <w:num w:numId="268" w16cid:durableId="1772430326">
    <w:abstractNumId w:val="32"/>
  </w:num>
  <w:num w:numId="269" w16cid:durableId="900099724">
    <w:abstractNumId w:val="72"/>
  </w:num>
  <w:num w:numId="270" w16cid:durableId="1306930047">
    <w:abstractNumId w:val="137"/>
  </w:num>
  <w:num w:numId="271" w16cid:durableId="245041469">
    <w:abstractNumId w:val="236"/>
  </w:num>
  <w:num w:numId="272" w16cid:durableId="2106145136">
    <w:abstractNumId w:val="42"/>
  </w:num>
  <w:num w:numId="273" w16cid:durableId="132329880">
    <w:abstractNumId w:val="168"/>
  </w:num>
  <w:num w:numId="274" w16cid:durableId="837765534">
    <w:abstractNumId w:val="87"/>
  </w:num>
  <w:num w:numId="275" w16cid:durableId="783039652">
    <w:abstractNumId w:val="260"/>
  </w:num>
  <w:num w:numId="276" w16cid:durableId="1597403676">
    <w:abstractNumId w:val="100"/>
  </w:num>
  <w:num w:numId="277" w16cid:durableId="1301807360">
    <w:abstractNumId w:val="222"/>
  </w:num>
  <w:num w:numId="278" w16cid:durableId="1010329779">
    <w:abstractNumId w:val="232"/>
  </w:num>
  <w:num w:numId="279" w16cid:durableId="444664458">
    <w:abstractNumId w:val="231"/>
  </w:num>
  <w:num w:numId="280" w16cid:durableId="1883319684">
    <w:abstractNumId w:val="219"/>
  </w:num>
  <w:num w:numId="281" w16cid:durableId="1480879793">
    <w:abstractNumId w:val="259"/>
  </w:num>
  <w:num w:numId="282" w16cid:durableId="1854108246">
    <w:abstractNumId w:val="36"/>
  </w:num>
  <w:num w:numId="283" w16cid:durableId="623266818">
    <w:abstractNumId w:val="253"/>
  </w:num>
  <w:num w:numId="284" w16cid:durableId="1014770656">
    <w:abstractNumId w:val="5"/>
  </w:num>
  <w:num w:numId="285" w16cid:durableId="2125808616">
    <w:abstractNumId w:val="4"/>
  </w:num>
  <w:num w:numId="286" w16cid:durableId="1323389351">
    <w:abstractNumId w:val="7"/>
  </w:num>
  <w:num w:numId="287" w16cid:durableId="581724281">
    <w:abstractNumId w:val="3"/>
  </w:num>
  <w:num w:numId="288" w16cid:durableId="315765039">
    <w:abstractNumId w:val="2"/>
  </w:num>
  <w:num w:numId="289" w16cid:durableId="36778088">
    <w:abstractNumId w:val="1"/>
  </w:num>
  <w:num w:numId="290" w16cid:durableId="1947619964">
    <w:abstractNumId w:val="0"/>
  </w:num>
  <w:numIdMacAtCleanup w:val="2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4B25"/>
    <w:rsid w:val="00001F0F"/>
    <w:rsid w:val="00004334"/>
    <w:rsid w:val="00004B49"/>
    <w:rsid w:val="000114F0"/>
    <w:rsid w:val="000149A7"/>
    <w:rsid w:val="00017C11"/>
    <w:rsid w:val="000213EE"/>
    <w:rsid w:val="00027D58"/>
    <w:rsid w:val="00036B52"/>
    <w:rsid w:val="00037037"/>
    <w:rsid w:val="00042E43"/>
    <w:rsid w:val="00046968"/>
    <w:rsid w:val="000537CC"/>
    <w:rsid w:val="00056A22"/>
    <w:rsid w:val="00061BC5"/>
    <w:rsid w:val="0006246B"/>
    <w:rsid w:val="0006435A"/>
    <w:rsid w:val="0006470A"/>
    <w:rsid w:val="00080102"/>
    <w:rsid w:val="000804EE"/>
    <w:rsid w:val="00086AC9"/>
    <w:rsid w:val="00097D07"/>
    <w:rsid w:val="000C7D2C"/>
    <w:rsid w:val="000D0B1A"/>
    <w:rsid w:val="000D0CC5"/>
    <w:rsid w:val="000E169A"/>
    <w:rsid w:val="000E3671"/>
    <w:rsid w:val="000E4FD4"/>
    <w:rsid w:val="000F1BC3"/>
    <w:rsid w:val="000F1E23"/>
    <w:rsid w:val="000F4AA2"/>
    <w:rsid w:val="000F4F61"/>
    <w:rsid w:val="00107F42"/>
    <w:rsid w:val="00122285"/>
    <w:rsid w:val="00152555"/>
    <w:rsid w:val="00161673"/>
    <w:rsid w:val="00180EE4"/>
    <w:rsid w:val="00185793"/>
    <w:rsid w:val="001946BF"/>
    <w:rsid w:val="001956A0"/>
    <w:rsid w:val="00197EC0"/>
    <w:rsid w:val="001A2D29"/>
    <w:rsid w:val="001C2A8B"/>
    <w:rsid w:val="001C3F10"/>
    <w:rsid w:val="001C494D"/>
    <w:rsid w:val="001D1BCC"/>
    <w:rsid w:val="001D3DA6"/>
    <w:rsid w:val="001D3F00"/>
    <w:rsid w:val="001D6631"/>
    <w:rsid w:val="001F2A37"/>
    <w:rsid w:val="00201A8E"/>
    <w:rsid w:val="002353D8"/>
    <w:rsid w:val="00243304"/>
    <w:rsid w:val="0024588B"/>
    <w:rsid w:val="00247A6E"/>
    <w:rsid w:val="002508B4"/>
    <w:rsid w:val="00270CB9"/>
    <w:rsid w:val="00270CC7"/>
    <w:rsid w:val="00272D48"/>
    <w:rsid w:val="00273563"/>
    <w:rsid w:val="00277B48"/>
    <w:rsid w:val="00282E39"/>
    <w:rsid w:val="00283FB4"/>
    <w:rsid w:val="002C1B7A"/>
    <w:rsid w:val="002E0D08"/>
    <w:rsid w:val="002E1E0B"/>
    <w:rsid w:val="002F3565"/>
    <w:rsid w:val="002F6357"/>
    <w:rsid w:val="00303F44"/>
    <w:rsid w:val="0030684E"/>
    <w:rsid w:val="00312298"/>
    <w:rsid w:val="00332786"/>
    <w:rsid w:val="003345AD"/>
    <w:rsid w:val="003350E1"/>
    <w:rsid w:val="00335F08"/>
    <w:rsid w:val="0034079A"/>
    <w:rsid w:val="00356B30"/>
    <w:rsid w:val="00356C60"/>
    <w:rsid w:val="00364344"/>
    <w:rsid w:val="00365B11"/>
    <w:rsid w:val="00366274"/>
    <w:rsid w:val="00370535"/>
    <w:rsid w:val="003733AC"/>
    <w:rsid w:val="00383690"/>
    <w:rsid w:val="00385FE2"/>
    <w:rsid w:val="0038739D"/>
    <w:rsid w:val="0039122B"/>
    <w:rsid w:val="0039781D"/>
    <w:rsid w:val="003A1CEC"/>
    <w:rsid w:val="003A57EA"/>
    <w:rsid w:val="003C1CBF"/>
    <w:rsid w:val="003C4F25"/>
    <w:rsid w:val="003D3844"/>
    <w:rsid w:val="003D7D89"/>
    <w:rsid w:val="003E5FD2"/>
    <w:rsid w:val="003E6FC5"/>
    <w:rsid w:val="003F0408"/>
    <w:rsid w:val="003F1F07"/>
    <w:rsid w:val="003F2A9F"/>
    <w:rsid w:val="0040641B"/>
    <w:rsid w:val="00406CD8"/>
    <w:rsid w:val="00420534"/>
    <w:rsid w:val="00422C06"/>
    <w:rsid w:val="00424475"/>
    <w:rsid w:val="004259E4"/>
    <w:rsid w:val="00427491"/>
    <w:rsid w:val="00432193"/>
    <w:rsid w:val="00432349"/>
    <w:rsid w:val="00436A59"/>
    <w:rsid w:val="00437231"/>
    <w:rsid w:val="0044378F"/>
    <w:rsid w:val="00443EEB"/>
    <w:rsid w:val="00445816"/>
    <w:rsid w:val="004464DE"/>
    <w:rsid w:val="0045574A"/>
    <w:rsid w:val="00460384"/>
    <w:rsid w:val="00461373"/>
    <w:rsid w:val="004629B3"/>
    <w:rsid w:val="0046634C"/>
    <w:rsid w:val="00466EE5"/>
    <w:rsid w:val="0047265C"/>
    <w:rsid w:val="00472864"/>
    <w:rsid w:val="00476F51"/>
    <w:rsid w:val="00477B14"/>
    <w:rsid w:val="004829B0"/>
    <w:rsid w:val="00487A56"/>
    <w:rsid w:val="004962D9"/>
    <w:rsid w:val="004A603E"/>
    <w:rsid w:val="004B4C37"/>
    <w:rsid w:val="004C1D18"/>
    <w:rsid w:val="004C457D"/>
    <w:rsid w:val="004C629C"/>
    <w:rsid w:val="004D057F"/>
    <w:rsid w:val="004D24D2"/>
    <w:rsid w:val="004F08E9"/>
    <w:rsid w:val="004F20AA"/>
    <w:rsid w:val="004F212F"/>
    <w:rsid w:val="004F50FE"/>
    <w:rsid w:val="00504D6E"/>
    <w:rsid w:val="0050681C"/>
    <w:rsid w:val="005114C5"/>
    <w:rsid w:val="00512640"/>
    <w:rsid w:val="005136D8"/>
    <w:rsid w:val="00514B8C"/>
    <w:rsid w:val="0052414A"/>
    <w:rsid w:val="00527DAF"/>
    <w:rsid w:val="00543522"/>
    <w:rsid w:val="00543D89"/>
    <w:rsid w:val="00556861"/>
    <w:rsid w:val="0056343F"/>
    <w:rsid w:val="00563D31"/>
    <w:rsid w:val="005763A0"/>
    <w:rsid w:val="00585E80"/>
    <w:rsid w:val="00591F05"/>
    <w:rsid w:val="00592C1C"/>
    <w:rsid w:val="00593656"/>
    <w:rsid w:val="00597057"/>
    <w:rsid w:val="005B6AE7"/>
    <w:rsid w:val="005D014D"/>
    <w:rsid w:val="005D0420"/>
    <w:rsid w:val="0060083C"/>
    <w:rsid w:val="006037B5"/>
    <w:rsid w:val="00607A6E"/>
    <w:rsid w:val="00620E59"/>
    <w:rsid w:val="00626D0F"/>
    <w:rsid w:val="006341BE"/>
    <w:rsid w:val="0064729F"/>
    <w:rsid w:val="006665AD"/>
    <w:rsid w:val="0067222B"/>
    <w:rsid w:val="006759E9"/>
    <w:rsid w:val="00677FCC"/>
    <w:rsid w:val="006A5407"/>
    <w:rsid w:val="006A5C6B"/>
    <w:rsid w:val="006B0BCD"/>
    <w:rsid w:val="006C6C38"/>
    <w:rsid w:val="006C7AA7"/>
    <w:rsid w:val="006D3951"/>
    <w:rsid w:val="006D63D1"/>
    <w:rsid w:val="00712D8C"/>
    <w:rsid w:val="00722E36"/>
    <w:rsid w:val="00723D64"/>
    <w:rsid w:val="00734C99"/>
    <w:rsid w:val="007371FD"/>
    <w:rsid w:val="00741989"/>
    <w:rsid w:val="007459BB"/>
    <w:rsid w:val="00761513"/>
    <w:rsid w:val="00763972"/>
    <w:rsid w:val="00770B09"/>
    <w:rsid w:val="00777746"/>
    <w:rsid w:val="00794C07"/>
    <w:rsid w:val="007B106A"/>
    <w:rsid w:val="007B2728"/>
    <w:rsid w:val="007B620D"/>
    <w:rsid w:val="007C64CF"/>
    <w:rsid w:val="007E5A2E"/>
    <w:rsid w:val="0081663B"/>
    <w:rsid w:val="00824B25"/>
    <w:rsid w:val="00836AA3"/>
    <w:rsid w:val="008537B3"/>
    <w:rsid w:val="00870EA4"/>
    <w:rsid w:val="008729D9"/>
    <w:rsid w:val="00877934"/>
    <w:rsid w:val="0089066F"/>
    <w:rsid w:val="008A7297"/>
    <w:rsid w:val="008C2143"/>
    <w:rsid w:val="008C44E1"/>
    <w:rsid w:val="00900457"/>
    <w:rsid w:val="00903E25"/>
    <w:rsid w:val="00910AD7"/>
    <w:rsid w:val="009142AA"/>
    <w:rsid w:val="00914B43"/>
    <w:rsid w:val="009162B8"/>
    <w:rsid w:val="009175F3"/>
    <w:rsid w:val="00924C9C"/>
    <w:rsid w:val="009375E4"/>
    <w:rsid w:val="00944076"/>
    <w:rsid w:val="009445D3"/>
    <w:rsid w:val="00955BFF"/>
    <w:rsid w:val="009663C3"/>
    <w:rsid w:val="0096754F"/>
    <w:rsid w:val="00977D0F"/>
    <w:rsid w:val="00982041"/>
    <w:rsid w:val="009A3C7F"/>
    <w:rsid w:val="009B0343"/>
    <w:rsid w:val="009B214B"/>
    <w:rsid w:val="009C14D5"/>
    <w:rsid w:val="009D0CD4"/>
    <w:rsid w:val="009F451D"/>
    <w:rsid w:val="00A01296"/>
    <w:rsid w:val="00A049BE"/>
    <w:rsid w:val="00A13EBD"/>
    <w:rsid w:val="00A14CF8"/>
    <w:rsid w:val="00A20A02"/>
    <w:rsid w:val="00A26545"/>
    <w:rsid w:val="00A41309"/>
    <w:rsid w:val="00A502DF"/>
    <w:rsid w:val="00A521C5"/>
    <w:rsid w:val="00A87D95"/>
    <w:rsid w:val="00A9466B"/>
    <w:rsid w:val="00A95814"/>
    <w:rsid w:val="00A9775A"/>
    <w:rsid w:val="00AA0949"/>
    <w:rsid w:val="00AA21F8"/>
    <w:rsid w:val="00AA5511"/>
    <w:rsid w:val="00AA5968"/>
    <w:rsid w:val="00AC086E"/>
    <w:rsid w:val="00AC7421"/>
    <w:rsid w:val="00AD4F60"/>
    <w:rsid w:val="00AF0839"/>
    <w:rsid w:val="00AF7148"/>
    <w:rsid w:val="00B0633D"/>
    <w:rsid w:val="00B10C4F"/>
    <w:rsid w:val="00B1552F"/>
    <w:rsid w:val="00B3595C"/>
    <w:rsid w:val="00B366FF"/>
    <w:rsid w:val="00B36CFB"/>
    <w:rsid w:val="00B43279"/>
    <w:rsid w:val="00B4615D"/>
    <w:rsid w:val="00B47F0E"/>
    <w:rsid w:val="00B519BF"/>
    <w:rsid w:val="00B5606E"/>
    <w:rsid w:val="00B72FC3"/>
    <w:rsid w:val="00B73515"/>
    <w:rsid w:val="00B752F8"/>
    <w:rsid w:val="00B752FC"/>
    <w:rsid w:val="00B76905"/>
    <w:rsid w:val="00B81B2F"/>
    <w:rsid w:val="00B84219"/>
    <w:rsid w:val="00B84D31"/>
    <w:rsid w:val="00B92D59"/>
    <w:rsid w:val="00B95DAA"/>
    <w:rsid w:val="00BA1A40"/>
    <w:rsid w:val="00BB14FD"/>
    <w:rsid w:val="00BC47EB"/>
    <w:rsid w:val="00BD4BBA"/>
    <w:rsid w:val="00BE43C1"/>
    <w:rsid w:val="00BF2D0B"/>
    <w:rsid w:val="00BF6EE9"/>
    <w:rsid w:val="00C21034"/>
    <w:rsid w:val="00C34E73"/>
    <w:rsid w:val="00C41F9A"/>
    <w:rsid w:val="00C42203"/>
    <w:rsid w:val="00C51BE1"/>
    <w:rsid w:val="00C61EA5"/>
    <w:rsid w:val="00C660CA"/>
    <w:rsid w:val="00C7745D"/>
    <w:rsid w:val="00C95FAA"/>
    <w:rsid w:val="00CA2B00"/>
    <w:rsid w:val="00CA7E34"/>
    <w:rsid w:val="00CD0092"/>
    <w:rsid w:val="00CD03F7"/>
    <w:rsid w:val="00CE242D"/>
    <w:rsid w:val="00CE41CB"/>
    <w:rsid w:val="00CF37F2"/>
    <w:rsid w:val="00D0306F"/>
    <w:rsid w:val="00D15B69"/>
    <w:rsid w:val="00D202E7"/>
    <w:rsid w:val="00D33F81"/>
    <w:rsid w:val="00D3409F"/>
    <w:rsid w:val="00D36520"/>
    <w:rsid w:val="00D53DDF"/>
    <w:rsid w:val="00D635FC"/>
    <w:rsid w:val="00D65B85"/>
    <w:rsid w:val="00D7495C"/>
    <w:rsid w:val="00D841F8"/>
    <w:rsid w:val="00D92F0E"/>
    <w:rsid w:val="00D95877"/>
    <w:rsid w:val="00DA2EE0"/>
    <w:rsid w:val="00DB0023"/>
    <w:rsid w:val="00DC21C1"/>
    <w:rsid w:val="00DD1EC2"/>
    <w:rsid w:val="00DE4AA9"/>
    <w:rsid w:val="00DF262F"/>
    <w:rsid w:val="00DF669D"/>
    <w:rsid w:val="00E13FC6"/>
    <w:rsid w:val="00E15BF3"/>
    <w:rsid w:val="00E15BF7"/>
    <w:rsid w:val="00E232AA"/>
    <w:rsid w:val="00E3097A"/>
    <w:rsid w:val="00E32D12"/>
    <w:rsid w:val="00E46AE7"/>
    <w:rsid w:val="00E51D7D"/>
    <w:rsid w:val="00E57AD9"/>
    <w:rsid w:val="00E61C29"/>
    <w:rsid w:val="00E96A92"/>
    <w:rsid w:val="00EA1824"/>
    <w:rsid w:val="00EB7992"/>
    <w:rsid w:val="00EC39BA"/>
    <w:rsid w:val="00ED2186"/>
    <w:rsid w:val="00ED57F2"/>
    <w:rsid w:val="00ED639F"/>
    <w:rsid w:val="00ED77F9"/>
    <w:rsid w:val="00EE145D"/>
    <w:rsid w:val="00EF280B"/>
    <w:rsid w:val="00EF3717"/>
    <w:rsid w:val="00EF4F31"/>
    <w:rsid w:val="00F022BB"/>
    <w:rsid w:val="00F030A0"/>
    <w:rsid w:val="00F0458C"/>
    <w:rsid w:val="00F067B5"/>
    <w:rsid w:val="00F06AA5"/>
    <w:rsid w:val="00F10A08"/>
    <w:rsid w:val="00F21034"/>
    <w:rsid w:val="00F2342E"/>
    <w:rsid w:val="00F3234A"/>
    <w:rsid w:val="00F35659"/>
    <w:rsid w:val="00F65716"/>
    <w:rsid w:val="00F71DF6"/>
    <w:rsid w:val="00F755A5"/>
    <w:rsid w:val="00F834C5"/>
    <w:rsid w:val="00F85555"/>
    <w:rsid w:val="00F92A45"/>
    <w:rsid w:val="00FA6E46"/>
    <w:rsid w:val="00FC387E"/>
    <w:rsid w:val="00FD1FA6"/>
    <w:rsid w:val="00FE388B"/>
    <w:rsid w:val="00FE5B05"/>
    <w:rsid w:val="00FF3A53"/>
    <w:rsid w:val="00FF55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497617"/>
  <w15:chartTrackingRefBased/>
  <w15:docId w15:val="{E5DEE565-1862-4FDB-9182-4D99EA3B63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4B25"/>
    <w:pPr>
      <w:spacing w:after="0" w:line="240" w:lineRule="auto"/>
    </w:pPr>
    <w:rPr>
      <w:rFonts w:ascii="Arial" w:hAnsi="Arial"/>
    </w:rPr>
  </w:style>
  <w:style w:type="paragraph" w:styleId="Heading1">
    <w:name w:val="heading 1"/>
    <w:basedOn w:val="Normal"/>
    <w:next w:val="Normal"/>
    <w:link w:val="Heading1Char"/>
    <w:uiPriority w:val="9"/>
    <w:qFormat/>
    <w:rsid w:val="001946BF"/>
    <w:pPr>
      <w:keepNext/>
      <w:keepLines/>
      <w:outlineLvl w:val="0"/>
    </w:pPr>
    <w:rPr>
      <w:rFonts w:eastAsiaTheme="majorEastAsia" w:cstheme="majorBidi"/>
      <w:b/>
      <w:sz w:val="40"/>
      <w:szCs w:val="40"/>
    </w:rPr>
  </w:style>
  <w:style w:type="paragraph" w:styleId="Heading2">
    <w:name w:val="heading 2"/>
    <w:basedOn w:val="Normal"/>
    <w:next w:val="Normal"/>
    <w:link w:val="Heading2Char"/>
    <w:uiPriority w:val="9"/>
    <w:unhideWhenUsed/>
    <w:qFormat/>
    <w:rsid w:val="001946BF"/>
    <w:pPr>
      <w:keepNext/>
      <w:keepLines/>
      <w:outlineLvl w:val="1"/>
    </w:pPr>
    <w:rPr>
      <w:rFonts w:eastAsiaTheme="majorEastAsia" w:cstheme="majorBidi"/>
      <w:b/>
      <w:sz w:val="32"/>
      <w:szCs w:val="32"/>
    </w:rPr>
  </w:style>
  <w:style w:type="paragraph" w:styleId="Heading3">
    <w:name w:val="heading 3"/>
    <w:basedOn w:val="Normal"/>
    <w:next w:val="Normal"/>
    <w:link w:val="Heading3Char"/>
    <w:uiPriority w:val="9"/>
    <w:unhideWhenUsed/>
    <w:qFormat/>
    <w:rsid w:val="001946BF"/>
    <w:pPr>
      <w:keepNext/>
      <w:keepLines/>
      <w:outlineLvl w:val="2"/>
    </w:pPr>
    <w:rPr>
      <w:rFonts w:eastAsiaTheme="majorEastAsia" w:cstheme="majorBidi"/>
      <w:b/>
      <w:sz w:val="28"/>
      <w:szCs w:val="28"/>
    </w:rPr>
  </w:style>
  <w:style w:type="paragraph" w:styleId="Heading4">
    <w:name w:val="heading 4"/>
    <w:basedOn w:val="Normal"/>
    <w:next w:val="Normal"/>
    <w:link w:val="Heading4Char"/>
    <w:uiPriority w:val="9"/>
    <w:semiHidden/>
    <w:unhideWhenUsed/>
    <w:qFormat/>
    <w:rsid w:val="001946B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946B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946BF"/>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946BF"/>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946BF"/>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946BF"/>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946BF"/>
    <w:rPr>
      <w:rFonts w:ascii="Arial" w:eastAsiaTheme="majorEastAsia" w:hAnsi="Arial" w:cstheme="majorBidi"/>
      <w:b/>
      <w:sz w:val="40"/>
      <w:szCs w:val="40"/>
    </w:rPr>
  </w:style>
  <w:style w:type="character" w:customStyle="1" w:styleId="Heading2Char">
    <w:name w:val="Heading 2 Char"/>
    <w:basedOn w:val="DefaultParagraphFont"/>
    <w:link w:val="Heading2"/>
    <w:uiPriority w:val="9"/>
    <w:rsid w:val="001946BF"/>
    <w:rPr>
      <w:rFonts w:ascii="Arial" w:eastAsiaTheme="majorEastAsia" w:hAnsi="Arial" w:cstheme="majorBidi"/>
      <w:b/>
      <w:sz w:val="32"/>
      <w:szCs w:val="32"/>
    </w:rPr>
  </w:style>
  <w:style w:type="character" w:customStyle="1" w:styleId="Heading3Char">
    <w:name w:val="Heading 3 Char"/>
    <w:basedOn w:val="DefaultParagraphFont"/>
    <w:link w:val="Heading3"/>
    <w:uiPriority w:val="9"/>
    <w:rsid w:val="001946BF"/>
    <w:rPr>
      <w:rFonts w:ascii="Arial" w:eastAsiaTheme="majorEastAsia" w:hAnsi="Arial" w:cstheme="majorBidi"/>
      <w:b/>
      <w:sz w:val="28"/>
      <w:szCs w:val="28"/>
    </w:rPr>
  </w:style>
  <w:style w:type="character" w:customStyle="1" w:styleId="Heading4Char">
    <w:name w:val="Heading 4 Char"/>
    <w:basedOn w:val="DefaultParagraphFont"/>
    <w:link w:val="Heading4"/>
    <w:uiPriority w:val="9"/>
    <w:semiHidden/>
    <w:rsid w:val="001946BF"/>
    <w:rPr>
      <w:rFonts w:ascii="Arial" w:eastAsiaTheme="majorEastAsia" w:hAnsi="Arial" w:cstheme="majorBidi"/>
      <w:i/>
      <w:iCs/>
      <w:color w:val="0F4761" w:themeColor="accent1" w:themeShade="BF"/>
    </w:rPr>
  </w:style>
  <w:style w:type="character" w:customStyle="1" w:styleId="Heading5Char">
    <w:name w:val="Heading 5 Char"/>
    <w:basedOn w:val="DefaultParagraphFont"/>
    <w:link w:val="Heading5"/>
    <w:uiPriority w:val="9"/>
    <w:semiHidden/>
    <w:rsid w:val="001946BF"/>
    <w:rPr>
      <w:rFonts w:ascii="Arial" w:eastAsiaTheme="majorEastAsia" w:hAnsi="Arial" w:cstheme="majorBidi"/>
      <w:color w:val="0F4761" w:themeColor="accent1" w:themeShade="BF"/>
    </w:rPr>
  </w:style>
  <w:style w:type="character" w:customStyle="1" w:styleId="Heading6Char">
    <w:name w:val="Heading 6 Char"/>
    <w:basedOn w:val="DefaultParagraphFont"/>
    <w:link w:val="Heading6"/>
    <w:uiPriority w:val="9"/>
    <w:semiHidden/>
    <w:rsid w:val="001946BF"/>
    <w:rPr>
      <w:rFonts w:ascii="Arial" w:eastAsiaTheme="majorEastAsia" w:hAnsi="Arial" w:cstheme="majorBidi"/>
      <w:i/>
      <w:iCs/>
      <w:color w:val="595959" w:themeColor="text1" w:themeTint="A6"/>
    </w:rPr>
  </w:style>
  <w:style w:type="character" w:customStyle="1" w:styleId="Heading7Char">
    <w:name w:val="Heading 7 Char"/>
    <w:basedOn w:val="DefaultParagraphFont"/>
    <w:link w:val="Heading7"/>
    <w:uiPriority w:val="9"/>
    <w:semiHidden/>
    <w:rsid w:val="001946BF"/>
    <w:rPr>
      <w:rFonts w:ascii="Arial" w:eastAsiaTheme="majorEastAsia" w:hAnsi="Arial" w:cstheme="majorBidi"/>
      <w:color w:val="595959" w:themeColor="text1" w:themeTint="A6"/>
    </w:rPr>
  </w:style>
  <w:style w:type="character" w:customStyle="1" w:styleId="Heading8Char">
    <w:name w:val="Heading 8 Char"/>
    <w:basedOn w:val="DefaultParagraphFont"/>
    <w:link w:val="Heading8"/>
    <w:uiPriority w:val="9"/>
    <w:semiHidden/>
    <w:rsid w:val="001946BF"/>
    <w:rPr>
      <w:rFonts w:ascii="Arial" w:eastAsiaTheme="majorEastAsia" w:hAnsi="Arial" w:cstheme="majorBidi"/>
      <w:i/>
      <w:iCs/>
      <w:color w:val="272727" w:themeColor="text1" w:themeTint="D8"/>
    </w:rPr>
  </w:style>
  <w:style w:type="character" w:customStyle="1" w:styleId="Heading9Char">
    <w:name w:val="Heading 9 Char"/>
    <w:basedOn w:val="DefaultParagraphFont"/>
    <w:link w:val="Heading9"/>
    <w:uiPriority w:val="9"/>
    <w:semiHidden/>
    <w:rsid w:val="001946BF"/>
    <w:rPr>
      <w:rFonts w:ascii="Arial" w:eastAsiaTheme="majorEastAsia" w:hAnsi="Arial" w:cstheme="majorBidi"/>
      <w:color w:val="272727" w:themeColor="text1" w:themeTint="D8"/>
    </w:rPr>
  </w:style>
  <w:style w:type="paragraph" w:styleId="CommentText">
    <w:name w:val="annotation text"/>
    <w:basedOn w:val="Normal"/>
    <w:link w:val="CommentTextChar"/>
    <w:uiPriority w:val="99"/>
    <w:unhideWhenUsed/>
    <w:rsid w:val="001946BF"/>
    <w:rPr>
      <w:sz w:val="20"/>
      <w:szCs w:val="20"/>
    </w:rPr>
  </w:style>
  <w:style w:type="character" w:customStyle="1" w:styleId="CommentTextChar">
    <w:name w:val="Comment Text Char"/>
    <w:basedOn w:val="DefaultParagraphFont"/>
    <w:link w:val="CommentText"/>
    <w:uiPriority w:val="99"/>
    <w:rsid w:val="001946BF"/>
    <w:rPr>
      <w:rFonts w:ascii="Arial" w:hAnsi="Arial"/>
      <w:sz w:val="20"/>
      <w:szCs w:val="20"/>
    </w:rPr>
  </w:style>
  <w:style w:type="character" w:styleId="CommentReference">
    <w:name w:val="annotation reference"/>
    <w:basedOn w:val="DefaultParagraphFont"/>
    <w:uiPriority w:val="99"/>
    <w:semiHidden/>
    <w:unhideWhenUsed/>
    <w:rsid w:val="001946BF"/>
    <w:rPr>
      <w:sz w:val="16"/>
      <w:szCs w:val="16"/>
    </w:rPr>
  </w:style>
  <w:style w:type="paragraph" w:styleId="Title">
    <w:name w:val="Title"/>
    <w:basedOn w:val="Normal"/>
    <w:next w:val="Normal"/>
    <w:link w:val="TitleChar"/>
    <w:uiPriority w:val="10"/>
    <w:qFormat/>
    <w:rsid w:val="001946BF"/>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946B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946B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946BF"/>
    <w:rPr>
      <w:rFonts w:ascii="Arial" w:eastAsiaTheme="majorEastAsia" w:hAnsi="Arial" w:cstheme="majorBidi"/>
      <w:color w:val="595959" w:themeColor="text1" w:themeTint="A6"/>
      <w:spacing w:val="15"/>
      <w:sz w:val="28"/>
      <w:szCs w:val="28"/>
    </w:rPr>
  </w:style>
  <w:style w:type="character" w:styleId="Hyperlink">
    <w:name w:val="Hyperlink"/>
    <w:basedOn w:val="DefaultParagraphFont"/>
    <w:uiPriority w:val="99"/>
    <w:unhideWhenUsed/>
    <w:rsid w:val="001946BF"/>
    <w:rPr>
      <w:color w:val="467886" w:themeColor="hyperlink"/>
      <w:u w:val="single"/>
    </w:rPr>
  </w:style>
  <w:style w:type="paragraph" w:styleId="CommentSubject">
    <w:name w:val="annotation subject"/>
    <w:basedOn w:val="CommentText"/>
    <w:next w:val="CommentText"/>
    <w:link w:val="CommentSubjectChar"/>
    <w:uiPriority w:val="99"/>
    <w:semiHidden/>
    <w:unhideWhenUsed/>
    <w:rsid w:val="001946BF"/>
    <w:rPr>
      <w:b/>
      <w:bCs/>
    </w:rPr>
  </w:style>
  <w:style w:type="character" w:customStyle="1" w:styleId="CommentSubjectChar">
    <w:name w:val="Comment Subject Char"/>
    <w:basedOn w:val="CommentTextChar"/>
    <w:link w:val="CommentSubject"/>
    <w:uiPriority w:val="99"/>
    <w:semiHidden/>
    <w:rsid w:val="001946BF"/>
    <w:rPr>
      <w:rFonts w:ascii="Arial" w:hAnsi="Arial"/>
      <w:b/>
      <w:bCs/>
      <w:sz w:val="20"/>
      <w:szCs w:val="20"/>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1946BF"/>
    <w:pPr>
      <w:ind w:left="720"/>
      <w:contextualSpacing/>
    </w:pPr>
  </w:style>
  <w:style w:type="paragraph" w:styleId="Quote">
    <w:name w:val="Quote"/>
    <w:basedOn w:val="Normal"/>
    <w:next w:val="Normal"/>
    <w:link w:val="QuoteChar"/>
    <w:uiPriority w:val="29"/>
    <w:qFormat/>
    <w:rsid w:val="001946BF"/>
    <w:pPr>
      <w:spacing w:before="160"/>
      <w:jc w:val="center"/>
    </w:pPr>
    <w:rPr>
      <w:i/>
      <w:iCs/>
      <w:color w:val="404040" w:themeColor="text1" w:themeTint="BF"/>
    </w:rPr>
  </w:style>
  <w:style w:type="character" w:customStyle="1" w:styleId="QuoteChar">
    <w:name w:val="Quote Char"/>
    <w:basedOn w:val="DefaultParagraphFont"/>
    <w:link w:val="Quote"/>
    <w:uiPriority w:val="29"/>
    <w:rsid w:val="001946BF"/>
    <w:rPr>
      <w:rFonts w:ascii="Arial" w:hAnsi="Arial"/>
      <w:i/>
      <w:iCs/>
      <w:color w:val="404040" w:themeColor="text1" w:themeTint="BF"/>
    </w:rPr>
  </w:style>
  <w:style w:type="paragraph" w:styleId="IntenseQuote">
    <w:name w:val="Intense Quote"/>
    <w:basedOn w:val="Normal"/>
    <w:next w:val="Normal"/>
    <w:link w:val="IntenseQuoteChar"/>
    <w:uiPriority w:val="30"/>
    <w:qFormat/>
    <w:rsid w:val="001946B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946BF"/>
    <w:rPr>
      <w:rFonts w:ascii="Arial" w:hAnsi="Arial"/>
      <w:i/>
      <w:iCs/>
      <w:color w:val="0F4761" w:themeColor="accent1" w:themeShade="BF"/>
    </w:rPr>
  </w:style>
  <w:style w:type="character" w:styleId="IntenseEmphasis">
    <w:name w:val="Intense Emphasis"/>
    <w:basedOn w:val="DefaultParagraphFont"/>
    <w:uiPriority w:val="21"/>
    <w:qFormat/>
    <w:rsid w:val="001946BF"/>
    <w:rPr>
      <w:i/>
      <w:iCs/>
      <w:color w:val="0F4761" w:themeColor="accent1" w:themeShade="BF"/>
    </w:rPr>
  </w:style>
  <w:style w:type="character" w:styleId="IntenseReference">
    <w:name w:val="Intense Reference"/>
    <w:basedOn w:val="DefaultParagraphFont"/>
    <w:uiPriority w:val="32"/>
    <w:qFormat/>
    <w:rsid w:val="001946BF"/>
    <w:rPr>
      <w:b/>
      <w:bCs/>
      <w:smallCaps/>
      <w:color w:val="0F4761" w:themeColor="accent1" w:themeShade="BF"/>
      <w:spacing w:val="5"/>
    </w:rPr>
  </w:style>
  <w:style w:type="character" w:styleId="UnresolvedMention">
    <w:name w:val="Unresolved Mention"/>
    <w:basedOn w:val="DefaultParagraphFont"/>
    <w:uiPriority w:val="99"/>
    <w:semiHidden/>
    <w:unhideWhenUsed/>
    <w:rsid w:val="001946BF"/>
    <w:rPr>
      <w:color w:val="605E5C"/>
      <w:shd w:val="clear" w:color="auto" w:fill="E1DFDD"/>
    </w:rPr>
  </w:style>
  <w:style w:type="paragraph" w:styleId="TOC1">
    <w:name w:val="toc 1"/>
    <w:basedOn w:val="Normal"/>
    <w:next w:val="Normal"/>
    <w:autoRedefine/>
    <w:uiPriority w:val="39"/>
    <w:unhideWhenUsed/>
    <w:rsid w:val="00824B25"/>
    <w:pPr>
      <w:spacing w:after="100"/>
    </w:pPr>
  </w:style>
  <w:style w:type="paragraph" w:styleId="Header">
    <w:name w:val="header"/>
    <w:basedOn w:val="Normal"/>
    <w:link w:val="HeaderChar"/>
    <w:uiPriority w:val="99"/>
    <w:unhideWhenUsed/>
    <w:rsid w:val="00824B25"/>
    <w:pPr>
      <w:tabs>
        <w:tab w:val="center" w:pos="4513"/>
        <w:tab w:val="right" w:pos="9026"/>
      </w:tabs>
    </w:pPr>
  </w:style>
  <w:style w:type="character" w:customStyle="1" w:styleId="HeaderChar">
    <w:name w:val="Header Char"/>
    <w:basedOn w:val="DefaultParagraphFont"/>
    <w:link w:val="Header"/>
    <w:uiPriority w:val="99"/>
    <w:rsid w:val="00824B25"/>
    <w:rPr>
      <w:rFonts w:ascii="Arial" w:hAnsi="Arial"/>
    </w:rPr>
  </w:style>
  <w:style w:type="paragraph" w:styleId="Footer">
    <w:name w:val="footer"/>
    <w:basedOn w:val="Normal"/>
    <w:link w:val="FooterChar"/>
    <w:uiPriority w:val="99"/>
    <w:unhideWhenUsed/>
    <w:rsid w:val="00824B25"/>
    <w:pPr>
      <w:tabs>
        <w:tab w:val="center" w:pos="4513"/>
        <w:tab w:val="right" w:pos="9026"/>
      </w:tabs>
    </w:pPr>
  </w:style>
  <w:style w:type="character" w:customStyle="1" w:styleId="FooterChar">
    <w:name w:val="Footer Char"/>
    <w:basedOn w:val="DefaultParagraphFont"/>
    <w:link w:val="Footer"/>
    <w:uiPriority w:val="99"/>
    <w:rsid w:val="00824B25"/>
    <w:rPr>
      <w:rFonts w:ascii="Arial" w:hAnsi="Arial"/>
    </w:rPr>
  </w:style>
  <w:style w:type="numbering" w:customStyle="1" w:styleId="NoList1">
    <w:name w:val="No List1"/>
    <w:next w:val="NoList"/>
    <w:uiPriority w:val="99"/>
    <w:semiHidden/>
    <w:unhideWhenUsed/>
    <w:rsid w:val="00460384"/>
  </w:style>
  <w:style w:type="character" w:customStyle="1" w:styleId="FollowedHyperlink1">
    <w:name w:val="FollowedHyperlink1"/>
    <w:basedOn w:val="DefaultParagraphFont"/>
    <w:uiPriority w:val="99"/>
    <w:semiHidden/>
    <w:unhideWhenUsed/>
    <w:rsid w:val="00460384"/>
    <w:rPr>
      <w:color w:val="96607D"/>
      <w:u w:val="single"/>
    </w:rPr>
  </w:style>
  <w:style w:type="paragraph" w:customStyle="1" w:styleId="msonormal0">
    <w:name w:val="msonormal"/>
    <w:basedOn w:val="Normal"/>
    <w:rsid w:val="00460384"/>
    <w:pPr>
      <w:spacing w:before="100" w:beforeAutospacing="1" w:after="100" w:afterAutospacing="1"/>
    </w:pPr>
    <w:rPr>
      <w:rFonts w:ascii="Times New Roman" w:eastAsia="Times New Roman" w:hAnsi="Times New Roman" w:cs="Times New Roman"/>
      <w:kern w:val="0"/>
      <w:lang w:eastAsia="en-GB"/>
      <w14:ligatures w14:val="none"/>
    </w:rPr>
  </w:style>
  <w:style w:type="paragraph" w:styleId="FootnoteText">
    <w:name w:val="footnote text"/>
    <w:basedOn w:val="Normal"/>
    <w:link w:val="FootnoteTextChar"/>
    <w:uiPriority w:val="99"/>
    <w:semiHidden/>
    <w:unhideWhenUsed/>
    <w:rsid w:val="00460384"/>
    <w:rPr>
      <w:rFonts w:eastAsia="Aptos" w:cs="Times New Roman"/>
      <w:sz w:val="20"/>
      <w:szCs w:val="20"/>
    </w:rPr>
  </w:style>
  <w:style w:type="character" w:customStyle="1" w:styleId="FootnoteTextChar">
    <w:name w:val="Footnote Text Char"/>
    <w:basedOn w:val="DefaultParagraphFont"/>
    <w:link w:val="FootnoteText"/>
    <w:uiPriority w:val="99"/>
    <w:semiHidden/>
    <w:rsid w:val="00460384"/>
    <w:rPr>
      <w:rFonts w:ascii="Arial" w:eastAsia="Aptos" w:hAnsi="Arial" w:cs="Times New Roman"/>
      <w:sz w:val="20"/>
      <w:szCs w:val="20"/>
    </w:rPr>
  </w:style>
  <w:style w:type="paragraph" w:styleId="EndnoteText">
    <w:name w:val="endnote text"/>
    <w:basedOn w:val="Normal"/>
    <w:link w:val="EndnoteTextChar"/>
    <w:uiPriority w:val="99"/>
    <w:semiHidden/>
    <w:unhideWhenUsed/>
    <w:rsid w:val="00460384"/>
    <w:rPr>
      <w:rFonts w:ascii="Aptos" w:eastAsia="Aptos" w:hAnsi="Aptos" w:cs="Times New Roman"/>
      <w:sz w:val="20"/>
      <w:szCs w:val="20"/>
    </w:rPr>
  </w:style>
  <w:style w:type="character" w:customStyle="1" w:styleId="EndnoteTextChar">
    <w:name w:val="Endnote Text Char"/>
    <w:basedOn w:val="DefaultParagraphFont"/>
    <w:link w:val="EndnoteText"/>
    <w:uiPriority w:val="99"/>
    <w:semiHidden/>
    <w:rsid w:val="00460384"/>
    <w:rPr>
      <w:rFonts w:ascii="Aptos" w:eastAsia="Aptos" w:hAnsi="Aptos" w:cs="Times New Roman"/>
      <w:sz w:val="20"/>
      <w:szCs w:val="20"/>
    </w:rPr>
  </w:style>
  <w:style w:type="paragraph" w:styleId="ListBullet">
    <w:name w:val="List Bullet"/>
    <w:basedOn w:val="Normal"/>
    <w:uiPriority w:val="99"/>
    <w:unhideWhenUsed/>
    <w:rsid w:val="00460384"/>
    <w:pPr>
      <w:numPr>
        <w:numId w:val="33"/>
      </w:numPr>
      <w:spacing w:after="160" w:line="256" w:lineRule="auto"/>
      <w:contextualSpacing/>
    </w:pPr>
    <w:rPr>
      <w:rFonts w:ascii="Aptos" w:eastAsia="Aptos" w:hAnsi="Aptos" w:cs="Times New Roman"/>
      <w:sz w:val="22"/>
      <w:szCs w:val="22"/>
    </w:rPr>
  </w:style>
  <w:style w:type="paragraph" w:styleId="Revision">
    <w:name w:val="Revision"/>
    <w:uiPriority w:val="99"/>
    <w:semiHidden/>
    <w:rsid w:val="00460384"/>
    <w:pPr>
      <w:spacing w:after="0" w:line="240" w:lineRule="auto"/>
    </w:pPr>
    <w:rPr>
      <w:rFonts w:ascii="Aptos" w:eastAsia="Aptos" w:hAnsi="Aptos" w:cs="Times New Roman"/>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460384"/>
    <w:rPr>
      <w:rFonts w:ascii="Arial" w:hAnsi="Arial"/>
    </w:rPr>
  </w:style>
  <w:style w:type="paragraph" w:customStyle="1" w:styleId="PNAtitle">
    <w:name w:val="PNA title"/>
    <w:basedOn w:val="Normal"/>
    <w:link w:val="PNAtitleChar"/>
    <w:qFormat/>
    <w:rsid w:val="00460384"/>
    <w:rPr>
      <w:rFonts w:eastAsia="Aptos" w:cs="Times New Roman"/>
      <w:b/>
      <w:sz w:val="28"/>
      <w:szCs w:val="22"/>
    </w:rPr>
  </w:style>
  <w:style w:type="paragraph" w:customStyle="1" w:styleId="PNAsubheading">
    <w:name w:val="PNA sub heading"/>
    <w:basedOn w:val="PNAtitle"/>
    <w:link w:val="PNAsubheadingChar"/>
    <w:rsid w:val="00460384"/>
    <w:rPr>
      <w:sz w:val="26"/>
    </w:rPr>
  </w:style>
  <w:style w:type="paragraph" w:customStyle="1" w:styleId="PNAtext">
    <w:name w:val="PNA text"/>
    <w:basedOn w:val="PNAsubheading"/>
    <w:link w:val="PNAtextChar"/>
    <w:qFormat/>
    <w:rsid w:val="00460384"/>
    <w:rPr>
      <w:b w:val="0"/>
      <w:sz w:val="24"/>
    </w:rPr>
  </w:style>
  <w:style w:type="paragraph" w:customStyle="1" w:styleId="PNAfootnote">
    <w:name w:val="PNA footnote"/>
    <w:basedOn w:val="PNAtext"/>
    <w:link w:val="PNAfootnoteChar"/>
    <w:qFormat/>
    <w:rsid w:val="00460384"/>
    <w:rPr>
      <w:sz w:val="20"/>
    </w:rPr>
  </w:style>
  <w:style w:type="paragraph" w:customStyle="1" w:styleId="z1qcye">
    <w:name w:val="z1qcye"/>
    <w:basedOn w:val="Normal"/>
    <w:rsid w:val="00460384"/>
    <w:pPr>
      <w:spacing w:before="100" w:beforeAutospacing="1" w:after="100" w:afterAutospacing="1"/>
    </w:pPr>
    <w:rPr>
      <w:rFonts w:ascii="Times New Roman" w:eastAsia="Times New Roman" w:hAnsi="Times New Roman" w:cs="Times New Roman"/>
      <w:kern w:val="0"/>
      <w:lang w:eastAsia="en-GB"/>
      <w14:ligatures w14:val="none"/>
    </w:rPr>
  </w:style>
  <w:style w:type="paragraph" w:customStyle="1" w:styleId="PNAbulletpoints">
    <w:name w:val="PNA bullet points"/>
    <w:basedOn w:val="PNAtext"/>
    <w:next w:val="ListBullet"/>
    <w:qFormat/>
    <w:rsid w:val="00460384"/>
  </w:style>
  <w:style w:type="character" w:styleId="FootnoteReference">
    <w:name w:val="footnote reference"/>
    <w:basedOn w:val="DefaultParagraphFont"/>
    <w:uiPriority w:val="99"/>
    <w:semiHidden/>
    <w:unhideWhenUsed/>
    <w:rsid w:val="00460384"/>
    <w:rPr>
      <w:rFonts w:ascii="Arial" w:hAnsi="Arial" w:cs="Arial" w:hint="default"/>
      <w:sz w:val="24"/>
      <w:vertAlign w:val="superscript"/>
    </w:rPr>
  </w:style>
  <w:style w:type="character" w:styleId="EndnoteReference">
    <w:name w:val="endnote reference"/>
    <w:basedOn w:val="DefaultParagraphFont"/>
    <w:semiHidden/>
    <w:unhideWhenUsed/>
    <w:rsid w:val="00460384"/>
    <w:rPr>
      <w:vertAlign w:val="superscript"/>
    </w:rPr>
  </w:style>
  <w:style w:type="character" w:customStyle="1" w:styleId="Hyperlink1">
    <w:name w:val="Hyperlink1"/>
    <w:basedOn w:val="DefaultParagraphFont"/>
    <w:uiPriority w:val="99"/>
    <w:rsid w:val="00460384"/>
    <w:rPr>
      <w:rFonts w:ascii="Arial" w:hAnsi="Arial" w:cs="Arial" w:hint="default"/>
      <w:color w:val="0000FF"/>
      <w:sz w:val="20"/>
      <w:u w:val="single"/>
    </w:rPr>
  </w:style>
  <w:style w:type="character" w:customStyle="1" w:styleId="t286pc">
    <w:name w:val="t286pc"/>
    <w:basedOn w:val="DefaultParagraphFont"/>
    <w:rsid w:val="00460384"/>
  </w:style>
  <w:style w:type="table" w:styleId="TableGrid">
    <w:name w:val="Table Grid"/>
    <w:basedOn w:val="TableNormal"/>
    <w:uiPriority w:val="39"/>
    <w:rsid w:val="00460384"/>
    <w:pPr>
      <w:spacing w:after="0" w:line="240" w:lineRule="auto"/>
    </w:pPr>
    <w:rPr>
      <w:rFonts w:ascii="Aptos" w:eastAsia="Aptos" w:hAnsi="Aptos"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460384"/>
    <w:rPr>
      <w:color w:val="96607D" w:themeColor="followedHyperlink"/>
      <w:u w:val="single"/>
    </w:rPr>
  </w:style>
  <w:style w:type="paragraph" w:styleId="TOCHeading">
    <w:name w:val="TOC Heading"/>
    <w:basedOn w:val="Heading1"/>
    <w:next w:val="Normal"/>
    <w:uiPriority w:val="39"/>
    <w:unhideWhenUsed/>
    <w:qFormat/>
    <w:rsid w:val="00460384"/>
    <w:pPr>
      <w:spacing w:before="240" w:line="259" w:lineRule="auto"/>
      <w:outlineLvl w:val="9"/>
    </w:pPr>
    <w:rPr>
      <w:rFonts w:asciiTheme="majorHAnsi" w:hAnsiTheme="majorHAnsi"/>
      <w:b w:val="0"/>
      <w:color w:val="0F4761" w:themeColor="accent1" w:themeShade="BF"/>
      <w:kern w:val="0"/>
      <w:sz w:val="32"/>
      <w:szCs w:val="32"/>
      <w:lang w:eastAsia="en-GB"/>
      <w14:ligatures w14:val="none"/>
    </w:rPr>
  </w:style>
  <w:style w:type="paragraph" w:customStyle="1" w:styleId="Myfootnote">
    <w:name w:val="My footnote"/>
    <w:basedOn w:val="PNAfootnote"/>
    <w:link w:val="MyfootnoteChar"/>
    <w:rsid w:val="006C6C38"/>
    <w:rPr>
      <w:szCs w:val="20"/>
    </w:rPr>
  </w:style>
  <w:style w:type="paragraph" w:customStyle="1" w:styleId="Footnote">
    <w:name w:val="Footnote"/>
    <w:basedOn w:val="Myfootnote"/>
    <w:link w:val="FootnoteChar"/>
    <w:qFormat/>
    <w:rsid w:val="00AF7148"/>
  </w:style>
  <w:style w:type="character" w:customStyle="1" w:styleId="PNAtitleChar">
    <w:name w:val="PNA title Char"/>
    <w:basedOn w:val="DefaultParagraphFont"/>
    <w:link w:val="PNAtitle"/>
    <w:rsid w:val="00AF7148"/>
    <w:rPr>
      <w:rFonts w:ascii="Arial" w:eastAsia="Aptos" w:hAnsi="Arial" w:cs="Times New Roman"/>
      <w:b/>
      <w:sz w:val="28"/>
      <w:szCs w:val="22"/>
    </w:rPr>
  </w:style>
  <w:style w:type="character" w:customStyle="1" w:styleId="PNAsubheadingChar">
    <w:name w:val="PNA sub heading Char"/>
    <w:basedOn w:val="PNAtitleChar"/>
    <w:link w:val="PNAsubheading"/>
    <w:rsid w:val="00AF7148"/>
    <w:rPr>
      <w:rFonts w:ascii="Arial" w:eastAsia="Aptos" w:hAnsi="Arial" w:cs="Times New Roman"/>
      <w:b/>
      <w:sz w:val="26"/>
      <w:szCs w:val="22"/>
    </w:rPr>
  </w:style>
  <w:style w:type="character" w:customStyle="1" w:styleId="PNAtextChar">
    <w:name w:val="PNA text Char"/>
    <w:basedOn w:val="PNAsubheadingChar"/>
    <w:link w:val="PNAtext"/>
    <w:rsid w:val="00AF7148"/>
    <w:rPr>
      <w:rFonts w:ascii="Arial" w:eastAsia="Aptos" w:hAnsi="Arial" w:cs="Times New Roman"/>
      <w:b w:val="0"/>
      <w:sz w:val="26"/>
      <w:szCs w:val="22"/>
    </w:rPr>
  </w:style>
  <w:style w:type="character" w:customStyle="1" w:styleId="PNAfootnoteChar">
    <w:name w:val="PNA footnote Char"/>
    <w:basedOn w:val="PNAtextChar"/>
    <w:link w:val="PNAfootnote"/>
    <w:rsid w:val="00AF7148"/>
    <w:rPr>
      <w:rFonts w:ascii="Arial" w:eastAsia="Aptos" w:hAnsi="Arial" w:cs="Times New Roman"/>
      <w:b w:val="0"/>
      <w:sz w:val="20"/>
      <w:szCs w:val="22"/>
    </w:rPr>
  </w:style>
  <w:style w:type="character" w:customStyle="1" w:styleId="MyfootnoteChar">
    <w:name w:val="My footnote Char"/>
    <w:basedOn w:val="PNAfootnoteChar"/>
    <w:link w:val="Myfootnote"/>
    <w:rsid w:val="00AF7148"/>
    <w:rPr>
      <w:rFonts w:ascii="Arial" w:eastAsia="Aptos" w:hAnsi="Arial" w:cs="Times New Roman"/>
      <w:b w:val="0"/>
      <w:sz w:val="20"/>
      <w:szCs w:val="20"/>
    </w:rPr>
  </w:style>
  <w:style w:type="character" w:customStyle="1" w:styleId="FootnoteChar">
    <w:name w:val="Footnote Char"/>
    <w:basedOn w:val="MyfootnoteChar"/>
    <w:link w:val="Footnote"/>
    <w:rsid w:val="00AF7148"/>
    <w:rPr>
      <w:rFonts w:ascii="Arial" w:eastAsia="Aptos" w:hAnsi="Arial" w:cs="Times New Roman"/>
      <w:b w:val="0"/>
      <w:sz w:val="20"/>
      <w:szCs w:val="20"/>
    </w:rPr>
  </w:style>
  <w:style w:type="paragraph" w:styleId="NormalWeb">
    <w:name w:val="Normal (Web)"/>
    <w:basedOn w:val="Normal"/>
    <w:uiPriority w:val="99"/>
    <w:semiHidden/>
    <w:unhideWhenUsed/>
    <w:rsid w:val="00370535"/>
    <w:pPr>
      <w:spacing w:before="100" w:beforeAutospacing="1" w:after="100" w:afterAutospacing="1"/>
    </w:pPr>
    <w:rPr>
      <w:rFonts w:ascii="Times New Roman" w:eastAsia="Times New Roman" w:hAnsi="Times New Roman" w:cs="Times New Roman"/>
      <w:kern w:val="0"/>
      <w:lang w:eastAsia="en-GB"/>
      <w14:ligatures w14:val="none"/>
    </w:rPr>
  </w:style>
  <w:style w:type="paragraph" w:styleId="Caption">
    <w:name w:val="caption"/>
    <w:basedOn w:val="Normal"/>
    <w:next w:val="Normal"/>
    <w:uiPriority w:val="35"/>
    <w:semiHidden/>
    <w:unhideWhenUsed/>
    <w:qFormat/>
    <w:rsid w:val="00370535"/>
    <w:pPr>
      <w:keepNext/>
      <w:spacing w:before="120" w:after="120"/>
      <w:jc w:val="center"/>
    </w:pPr>
    <w:rPr>
      <w:rFonts w:ascii="Verdana" w:eastAsia="Times New Roman" w:hAnsi="Verdana" w:cs="Times New Roman"/>
      <w:b/>
      <w:kern w:val="0"/>
      <w:szCs w:val="20"/>
      <w14:ligatures w14:val="none"/>
    </w:rPr>
  </w:style>
  <w:style w:type="paragraph" w:styleId="BalloonText">
    <w:name w:val="Balloon Text"/>
    <w:basedOn w:val="Normal"/>
    <w:link w:val="BalloonTextChar1"/>
    <w:uiPriority w:val="99"/>
    <w:semiHidden/>
    <w:unhideWhenUsed/>
    <w:rsid w:val="00370535"/>
    <w:rPr>
      <w:rFonts w:ascii="Segoe UI" w:hAnsi="Segoe UI" w:cs="Segoe UI"/>
      <w:sz w:val="18"/>
      <w:szCs w:val="18"/>
    </w:rPr>
  </w:style>
  <w:style w:type="character" w:customStyle="1" w:styleId="BalloonTextChar">
    <w:name w:val="Balloon Text Char"/>
    <w:basedOn w:val="DefaultParagraphFont"/>
    <w:link w:val="BalloonText1"/>
    <w:uiPriority w:val="99"/>
    <w:semiHidden/>
    <w:rsid w:val="00370535"/>
    <w:rPr>
      <w:rFonts w:ascii="Segoe UI" w:hAnsi="Segoe UI" w:cs="Segoe UI"/>
      <w:sz w:val="18"/>
      <w:szCs w:val="18"/>
    </w:rPr>
  </w:style>
  <w:style w:type="character" w:customStyle="1" w:styleId="NoSpacingChar">
    <w:name w:val="No Spacing Char"/>
    <w:basedOn w:val="DefaultParagraphFont"/>
    <w:link w:val="NoSpacing"/>
    <w:uiPriority w:val="1"/>
    <w:locked/>
    <w:rsid w:val="00370535"/>
    <w:rPr>
      <w:rFonts w:ascii="Verdana" w:eastAsia="Times New Roman" w:hAnsi="Verdana" w:cs="Times New Roman"/>
      <w:kern w:val="0"/>
      <w:szCs w:val="20"/>
      <w14:ligatures w14:val="none"/>
    </w:rPr>
  </w:style>
  <w:style w:type="paragraph" w:styleId="NoSpacing">
    <w:name w:val="No Spacing"/>
    <w:link w:val="NoSpacingChar"/>
    <w:uiPriority w:val="1"/>
    <w:qFormat/>
    <w:rsid w:val="00370535"/>
    <w:pPr>
      <w:spacing w:after="0" w:line="240" w:lineRule="auto"/>
      <w:jc w:val="both"/>
    </w:pPr>
    <w:rPr>
      <w:rFonts w:ascii="Verdana" w:eastAsia="Times New Roman" w:hAnsi="Verdana" w:cs="Times New Roman"/>
      <w:kern w:val="0"/>
      <w:szCs w:val="20"/>
      <w14:ligatures w14:val="none"/>
    </w:rPr>
  </w:style>
  <w:style w:type="paragraph" w:customStyle="1" w:styleId="FootnoteText1">
    <w:name w:val="Footnote Text1"/>
    <w:basedOn w:val="Normal"/>
    <w:next w:val="FootnoteText"/>
    <w:uiPriority w:val="99"/>
    <w:rsid w:val="00370535"/>
    <w:rPr>
      <w:rFonts w:asciiTheme="minorHAnsi" w:hAnsiTheme="minorHAnsi"/>
      <w:sz w:val="20"/>
      <w:szCs w:val="20"/>
    </w:rPr>
  </w:style>
  <w:style w:type="paragraph" w:customStyle="1" w:styleId="Header1">
    <w:name w:val="Header1"/>
    <w:basedOn w:val="Normal"/>
    <w:next w:val="Header"/>
    <w:uiPriority w:val="99"/>
    <w:rsid w:val="00370535"/>
    <w:pPr>
      <w:tabs>
        <w:tab w:val="center" w:pos="4513"/>
        <w:tab w:val="right" w:pos="9026"/>
      </w:tabs>
    </w:pPr>
    <w:rPr>
      <w:rFonts w:asciiTheme="minorHAnsi" w:hAnsiTheme="minorHAnsi"/>
    </w:rPr>
  </w:style>
  <w:style w:type="paragraph" w:customStyle="1" w:styleId="Footer1">
    <w:name w:val="Footer1"/>
    <w:basedOn w:val="Normal"/>
    <w:next w:val="Footer"/>
    <w:uiPriority w:val="99"/>
    <w:rsid w:val="00370535"/>
    <w:pPr>
      <w:tabs>
        <w:tab w:val="center" w:pos="4513"/>
        <w:tab w:val="right" w:pos="9026"/>
      </w:tabs>
    </w:pPr>
    <w:rPr>
      <w:rFonts w:asciiTheme="minorHAnsi" w:hAnsiTheme="minorHAnsi"/>
    </w:rPr>
  </w:style>
  <w:style w:type="paragraph" w:customStyle="1" w:styleId="CommentText1">
    <w:name w:val="Comment Text1"/>
    <w:basedOn w:val="Normal"/>
    <w:next w:val="CommentText"/>
    <w:uiPriority w:val="99"/>
    <w:rsid w:val="00370535"/>
    <w:pPr>
      <w:spacing w:after="200"/>
    </w:pPr>
    <w:rPr>
      <w:rFonts w:asciiTheme="minorHAnsi" w:hAnsiTheme="minorHAnsi"/>
      <w:sz w:val="20"/>
      <w:szCs w:val="20"/>
    </w:rPr>
  </w:style>
  <w:style w:type="paragraph" w:customStyle="1" w:styleId="BalloonText1">
    <w:name w:val="Balloon Text1"/>
    <w:basedOn w:val="Normal"/>
    <w:next w:val="BalloonText"/>
    <w:link w:val="BalloonTextChar"/>
    <w:uiPriority w:val="99"/>
    <w:semiHidden/>
    <w:rsid w:val="00370535"/>
    <w:rPr>
      <w:rFonts w:ascii="Segoe UI" w:hAnsi="Segoe UI" w:cs="Segoe UI"/>
      <w:sz w:val="18"/>
      <w:szCs w:val="18"/>
    </w:rPr>
  </w:style>
  <w:style w:type="paragraph" w:customStyle="1" w:styleId="Default">
    <w:name w:val="Default"/>
    <w:uiPriority w:val="99"/>
    <w:rsid w:val="00370535"/>
    <w:pPr>
      <w:autoSpaceDE w:val="0"/>
      <w:autoSpaceDN w:val="0"/>
      <w:adjustRightInd w:val="0"/>
      <w:spacing w:after="0" w:line="240" w:lineRule="auto"/>
    </w:pPr>
    <w:rPr>
      <w:rFonts w:ascii="Arial" w:hAnsi="Arial" w:cs="Arial"/>
      <w:color w:val="000000"/>
      <w:kern w:val="0"/>
      <w14:ligatures w14:val="none"/>
    </w:rPr>
  </w:style>
  <w:style w:type="paragraph" w:customStyle="1" w:styleId="TOC11">
    <w:name w:val="TOC 11"/>
    <w:basedOn w:val="Normal"/>
    <w:next w:val="Normal"/>
    <w:autoRedefine/>
    <w:uiPriority w:val="39"/>
    <w:rsid w:val="00370535"/>
    <w:pPr>
      <w:spacing w:after="100" w:line="276" w:lineRule="auto"/>
    </w:pPr>
    <w:rPr>
      <w:rFonts w:asciiTheme="minorHAnsi" w:hAnsiTheme="minorHAnsi"/>
      <w:kern w:val="0"/>
      <w:sz w:val="22"/>
      <w:szCs w:val="22"/>
      <w14:ligatures w14:val="none"/>
    </w:rPr>
  </w:style>
  <w:style w:type="paragraph" w:customStyle="1" w:styleId="TOC21">
    <w:name w:val="TOC 21"/>
    <w:basedOn w:val="Normal"/>
    <w:next w:val="Normal"/>
    <w:autoRedefine/>
    <w:uiPriority w:val="39"/>
    <w:rsid w:val="00370535"/>
    <w:pPr>
      <w:spacing w:after="100" w:line="276" w:lineRule="auto"/>
      <w:ind w:left="220"/>
    </w:pPr>
    <w:rPr>
      <w:rFonts w:asciiTheme="minorHAnsi" w:hAnsiTheme="minorHAnsi"/>
      <w:kern w:val="0"/>
      <w:sz w:val="22"/>
      <w:szCs w:val="22"/>
      <w14:ligatures w14:val="none"/>
    </w:rPr>
  </w:style>
  <w:style w:type="paragraph" w:customStyle="1" w:styleId="TOC31">
    <w:name w:val="TOC 31"/>
    <w:basedOn w:val="Normal"/>
    <w:next w:val="Normal"/>
    <w:autoRedefine/>
    <w:uiPriority w:val="39"/>
    <w:rsid w:val="00370535"/>
    <w:pPr>
      <w:spacing w:after="100" w:line="276" w:lineRule="auto"/>
      <w:ind w:left="440"/>
    </w:pPr>
    <w:rPr>
      <w:rFonts w:asciiTheme="minorHAnsi" w:hAnsiTheme="minorHAnsi"/>
      <w:kern w:val="0"/>
      <w:sz w:val="22"/>
      <w:szCs w:val="22"/>
      <w14:ligatures w14:val="none"/>
    </w:rPr>
  </w:style>
  <w:style w:type="paragraph" w:customStyle="1" w:styleId="TOC41">
    <w:name w:val="TOC 41"/>
    <w:basedOn w:val="Normal"/>
    <w:next w:val="Normal"/>
    <w:autoRedefine/>
    <w:uiPriority w:val="39"/>
    <w:rsid w:val="00370535"/>
    <w:pPr>
      <w:spacing w:after="100" w:line="276" w:lineRule="auto"/>
      <w:ind w:left="660"/>
    </w:pPr>
    <w:rPr>
      <w:rFonts w:asciiTheme="minorHAnsi" w:eastAsia="Times New Roman" w:hAnsiTheme="minorHAnsi"/>
      <w:kern w:val="0"/>
      <w:sz w:val="22"/>
      <w:szCs w:val="22"/>
      <w:lang w:eastAsia="en-GB"/>
      <w14:ligatures w14:val="none"/>
    </w:rPr>
  </w:style>
  <w:style w:type="paragraph" w:customStyle="1" w:styleId="TOC51">
    <w:name w:val="TOC 51"/>
    <w:basedOn w:val="Normal"/>
    <w:next w:val="Normal"/>
    <w:autoRedefine/>
    <w:uiPriority w:val="39"/>
    <w:rsid w:val="00370535"/>
    <w:pPr>
      <w:spacing w:after="100" w:line="276" w:lineRule="auto"/>
      <w:ind w:left="880"/>
    </w:pPr>
    <w:rPr>
      <w:rFonts w:asciiTheme="minorHAnsi" w:eastAsia="Times New Roman" w:hAnsiTheme="minorHAnsi"/>
      <w:kern w:val="0"/>
      <w:sz w:val="22"/>
      <w:szCs w:val="22"/>
      <w:lang w:eastAsia="en-GB"/>
      <w14:ligatures w14:val="none"/>
    </w:rPr>
  </w:style>
  <w:style w:type="paragraph" w:customStyle="1" w:styleId="TOC61">
    <w:name w:val="TOC 61"/>
    <w:basedOn w:val="Normal"/>
    <w:next w:val="Normal"/>
    <w:autoRedefine/>
    <w:uiPriority w:val="39"/>
    <w:rsid w:val="00370535"/>
    <w:pPr>
      <w:spacing w:after="100" w:line="276" w:lineRule="auto"/>
      <w:ind w:left="1100"/>
    </w:pPr>
    <w:rPr>
      <w:rFonts w:asciiTheme="minorHAnsi" w:eastAsia="Times New Roman" w:hAnsiTheme="minorHAnsi"/>
      <w:kern w:val="0"/>
      <w:sz w:val="22"/>
      <w:szCs w:val="22"/>
      <w:lang w:eastAsia="en-GB"/>
      <w14:ligatures w14:val="none"/>
    </w:rPr>
  </w:style>
  <w:style w:type="paragraph" w:customStyle="1" w:styleId="TOC71">
    <w:name w:val="TOC 71"/>
    <w:basedOn w:val="Normal"/>
    <w:next w:val="Normal"/>
    <w:autoRedefine/>
    <w:uiPriority w:val="39"/>
    <w:rsid w:val="00370535"/>
    <w:pPr>
      <w:spacing w:after="100" w:line="276" w:lineRule="auto"/>
      <w:ind w:left="1320"/>
    </w:pPr>
    <w:rPr>
      <w:rFonts w:asciiTheme="minorHAnsi" w:eastAsia="Times New Roman" w:hAnsiTheme="minorHAnsi"/>
      <w:kern w:val="0"/>
      <w:sz w:val="22"/>
      <w:szCs w:val="22"/>
      <w:lang w:eastAsia="en-GB"/>
      <w14:ligatures w14:val="none"/>
    </w:rPr>
  </w:style>
  <w:style w:type="paragraph" w:customStyle="1" w:styleId="TOC81">
    <w:name w:val="TOC 81"/>
    <w:basedOn w:val="Normal"/>
    <w:next w:val="Normal"/>
    <w:autoRedefine/>
    <w:uiPriority w:val="39"/>
    <w:rsid w:val="00370535"/>
    <w:pPr>
      <w:spacing w:after="100" w:line="276" w:lineRule="auto"/>
      <w:ind w:left="1540"/>
    </w:pPr>
    <w:rPr>
      <w:rFonts w:asciiTheme="minorHAnsi" w:eastAsia="Times New Roman" w:hAnsiTheme="minorHAnsi"/>
      <w:kern w:val="0"/>
      <w:sz w:val="22"/>
      <w:szCs w:val="22"/>
      <w:lang w:eastAsia="en-GB"/>
      <w14:ligatures w14:val="none"/>
    </w:rPr>
  </w:style>
  <w:style w:type="paragraph" w:customStyle="1" w:styleId="TOC91">
    <w:name w:val="TOC 91"/>
    <w:basedOn w:val="Normal"/>
    <w:next w:val="Normal"/>
    <w:autoRedefine/>
    <w:uiPriority w:val="39"/>
    <w:rsid w:val="00370535"/>
    <w:pPr>
      <w:spacing w:after="100" w:line="276" w:lineRule="auto"/>
      <w:ind w:left="1760"/>
    </w:pPr>
    <w:rPr>
      <w:rFonts w:asciiTheme="minorHAnsi" w:eastAsia="Times New Roman" w:hAnsiTheme="minorHAnsi"/>
      <w:kern w:val="0"/>
      <w:sz w:val="22"/>
      <w:szCs w:val="22"/>
      <w:lang w:eastAsia="en-GB"/>
      <w14:ligatures w14:val="none"/>
    </w:rPr>
  </w:style>
  <w:style w:type="character" w:customStyle="1" w:styleId="BodyofPNAChar">
    <w:name w:val="Body of PNA Char"/>
    <w:basedOn w:val="DefaultParagraphFont"/>
    <w:link w:val="BodyofPNA"/>
    <w:locked/>
    <w:rsid w:val="00370535"/>
    <w:rPr>
      <w:rFonts w:ascii="Arial" w:hAnsi="Arial" w:cs="Arial"/>
      <w:kern w:val="0"/>
      <w:szCs w:val="22"/>
      <w14:ligatures w14:val="none"/>
    </w:rPr>
  </w:style>
  <w:style w:type="paragraph" w:customStyle="1" w:styleId="BodyofPNA">
    <w:name w:val="Body of PNA"/>
    <w:basedOn w:val="Normal"/>
    <w:link w:val="BodyofPNAChar"/>
    <w:rsid w:val="00370535"/>
    <w:pPr>
      <w:spacing w:after="200" w:line="276" w:lineRule="auto"/>
    </w:pPr>
    <w:rPr>
      <w:rFonts w:cs="Arial"/>
      <w:kern w:val="0"/>
      <w:szCs w:val="22"/>
      <w14:ligatures w14:val="none"/>
    </w:rPr>
  </w:style>
  <w:style w:type="character" w:customStyle="1" w:styleId="NewbodyofPNAChar">
    <w:name w:val="New body of PNA Char"/>
    <w:basedOn w:val="BodyofPNAChar"/>
    <w:link w:val="NewbodyofPNA"/>
    <w:locked/>
    <w:rsid w:val="00370535"/>
    <w:rPr>
      <w:rFonts w:ascii="Arial" w:hAnsi="Arial" w:cs="Arial"/>
      <w:kern w:val="0"/>
      <w:szCs w:val="22"/>
      <w14:ligatures w14:val="none"/>
    </w:rPr>
  </w:style>
  <w:style w:type="paragraph" w:customStyle="1" w:styleId="NewbodyofPNA">
    <w:name w:val="New body of PNA"/>
    <w:basedOn w:val="BodyofPNA"/>
    <w:link w:val="NewbodyofPNAChar"/>
    <w:qFormat/>
    <w:rsid w:val="00370535"/>
  </w:style>
  <w:style w:type="paragraph" w:customStyle="1" w:styleId="xl67">
    <w:name w:val="xl67"/>
    <w:basedOn w:val="Normal"/>
    <w:uiPriority w:val="99"/>
    <w:rsid w:val="00370535"/>
    <w:pPr>
      <w:spacing w:before="100" w:beforeAutospacing="1" w:after="100" w:afterAutospacing="1"/>
    </w:pPr>
    <w:rPr>
      <w:rFonts w:eastAsia="Times New Roman" w:cs="Arial"/>
      <w:kern w:val="0"/>
      <w:lang w:eastAsia="en-GB"/>
      <w14:ligatures w14:val="none"/>
    </w:rPr>
  </w:style>
  <w:style w:type="paragraph" w:customStyle="1" w:styleId="xl68">
    <w:name w:val="xl68"/>
    <w:basedOn w:val="Normal"/>
    <w:uiPriority w:val="99"/>
    <w:rsid w:val="00370535"/>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cs="Arial"/>
      <w:b/>
      <w:bCs/>
      <w:kern w:val="0"/>
      <w:sz w:val="20"/>
      <w:szCs w:val="20"/>
      <w:lang w:eastAsia="en-GB"/>
      <w14:ligatures w14:val="none"/>
    </w:rPr>
  </w:style>
  <w:style w:type="paragraph" w:customStyle="1" w:styleId="xl69">
    <w:name w:val="xl69"/>
    <w:basedOn w:val="Normal"/>
    <w:uiPriority w:val="99"/>
    <w:rsid w:val="00370535"/>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cs="Arial"/>
      <w:color w:val="000000"/>
      <w:kern w:val="0"/>
      <w:sz w:val="20"/>
      <w:szCs w:val="20"/>
      <w:lang w:eastAsia="en-GB"/>
      <w14:ligatures w14:val="none"/>
    </w:rPr>
  </w:style>
  <w:style w:type="paragraph" w:customStyle="1" w:styleId="xl70">
    <w:name w:val="xl70"/>
    <w:basedOn w:val="Normal"/>
    <w:uiPriority w:val="99"/>
    <w:rsid w:val="00370535"/>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cs="Arial"/>
      <w:kern w:val="0"/>
      <w:sz w:val="20"/>
      <w:szCs w:val="20"/>
      <w:lang w:eastAsia="en-GB"/>
      <w14:ligatures w14:val="none"/>
    </w:rPr>
  </w:style>
  <w:style w:type="paragraph" w:customStyle="1" w:styleId="xl71">
    <w:name w:val="xl71"/>
    <w:basedOn w:val="Normal"/>
    <w:uiPriority w:val="99"/>
    <w:rsid w:val="00370535"/>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cs="Arial"/>
      <w:kern w:val="0"/>
      <w:sz w:val="20"/>
      <w:szCs w:val="20"/>
      <w:lang w:eastAsia="en-GB"/>
      <w14:ligatures w14:val="none"/>
    </w:rPr>
  </w:style>
  <w:style w:type="paragraph" w:customStyle="1" w:styleId="xl72">
    <w:name w:val="xl72"/>
    <w:basedOn w:val="Normal"/>
    <w:uiPriority w:val="99"/>
    <w:rsid w:val="00370535"/>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cs="Arial"/>
      <w:color w:val="000000"/>
      <w:kern w:val="0"/>
      <w:sz w:val="20"/>
      <w:szCs w:val="20"/>
      <w:lang w:eastAsia="en-GB"/>
      <w14:ligatures w14:val="none"/>
    </w:rPr>
  </w:style>
  <w:style w:type="paragraph" w:customStyle="1" w:styleId="xl73">
    <w:name w:val="xl73"/>
    <w:basedOn w:val="Normal"/>
    <w:uiPriority w:val="99"/>
    <w:rsid w:val="00370535"/>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cs="Arial"/>
      <w:kern w:val="0"/>
      <w:lang w:eastAsia="en-GB"/>
      <w14:ligatures w14:val="none"/>
    </w:rPr>
  </w:style>
  <w:style w:type="paragraph" w:customStyle="1" w:styleId="xl74">
    <w:name w:val="xl74"/>
    <w:basedOn w:val="Normal"/>
    <w:uiPriority w:val="99"/>
    <w:rsid w:val="00370535"/>
    <w:pPr>
      <w:pBdr>
        <w:top w:val="single" w:sz="4" w:space="0" w:color="auto"/>
        <w:left w:val="single" w:sz="4" w:space="0" w:color="auto"/>
        <w:bottom w:val="single" w:sz="4" w:space="0" w:color="auto"/>
        <w:right w:val="single" w:sz="4" w:space="0" w:color="auto"/>
      </w:pBdr>
      <w:shd w:val="clear" w:color="auto" w:fill="D9D9D9"/>
      <w:spacing w:before="100" w:beforeAutospacing="1" w:after="100" w:afterAutospacing="1"/>
    </w:pPr>
    <w:rPr>
      <w:rFonts w:eastAsia="Times New Roman" w:cs="Arial"/>
      <w:color w:val="000000"/>
      <w:kern w:val="0"/>
      <w:sz w:val="20"/>
      <w:szCs w:val="20"/>
      <w:lang w:eastAsia="en-GB"/>
      <w14:ligatures w14:val="none"/>
    </w:rPr>
  </w:style>
  <w:style w:type="paragraph" w:customStyle="1" w:styleId="xl75">
    <w:name w:val="xl75"/>
    <w:basedOn w:val="Normal"/>
    <w:uiPriority w:val="99"/>
    <w:rsid w:val="00370535"/>
    <w:pPr>
      <w:pBdr>
        <w:top w:val="single" w:sz="4" w:space="0" w:color="auto"/>
        <w:left w:val="single" w:sz="4" w:space="0" w:color="auto"/>
        <w:bottom w:val="single" w:sz="4" w:space="0" w:color="auto"/>
        <w:right w:val="single" w:sz="4" w:space="0" w:color="auto"/>
      </w:pBdr>
      <w:shd w:val="clear" w:color="auto" w:fill="D9D9D9"/>
      <w:spacing w:before="100" w:beforeAutospacing="1" w:after="100" w:afterAutospacing="1"/>
    </w:pPr>
    <w:rPr>
      <w:rFonts w:eastAsia="Times New Roman" w:cs="Arial"/>
      <w:kern w:val="0"/>
      <w:sz w:val="20"/>
      <w:szCs w:val="20"/>
      <w:lang w:eastAsia="en-GB"/>
      <w14:ligatures w14:val="none"/>
    </w:rPr>
  </w:style>
  <w:style w:type="paragraph" w:customStyle="1" w:styleId="xl76">
    <w:name w:val="xl76"/>
    <w:basedOn w:val="Normal"/>
    <w:uiPriority w:val="99"/>
    <w:rsid w:val="00370535"/>
    <w:pPr>
      <w:pBdr>
        <w:top w:val="single" w:sz="4" w:space="0" w:color="auto"/>
        <w:left w:val="single" w:sz="4" w:space="0" w:color="auto"/>
        <w:bottom w:val="single" w:sz="4" w:space="0" w:color="auto"/>
        <w:right w:val="single" w:sz="4" w:space="0" w:color="auto"/>
      </w:pBdr>
      <w:shd w:val="clear" w:color="auto" w:fill="D9D9D9"/>
      <w:spacing w:before="100" w:beforeAutospacing="1" w:after="100" w:afterAutospacing="1"/>
    </w:pPr>
    <w:rPr>
      <w:rFonts w:eastAsia="Times New Roman" w:cs="Arial"/>
      <w:kern w:val="0"/>
      <w:sz w:val="20"/>
      <w:szCs w:val="20"/>
      <w:lang w:eastAsia="en-GB"/>
      <w14:ligatures w14:val="none"/>
    </w:rPr>
  </w:style>
  <w:style w:type="paragraph" w:customStyle="1" w:styleId="xl77">
    <w:name w:val="xl77"/>
    <w:basedOn w:val="Normal"/>
    <w:uiPriority w:val="99"/>
    <w:rsid w:val="00370535"/>
    <w:pPr>
      <w:pBdr>
        <w:top w:val="single" w:sz="4" w:space="0" w:color="auto"/>
        <w:left w:val="single" w:sz="4" w:space="0" w:color="auto"/>
        <w:bottom w:val="single" w:sz="4" w:space="0" w:color="auto"/>
        <w:right w:val="single" w:sz="4" w:space="0" w:color="auto"/>
      </w:pBdr>
      <w:shd w:val="clear" w:color="auto" w:fill="D9D9D9"/>
      <w:spacing w:before="100" w:beforeAutospacing="1" w:after="100" w:afterAutospacing="1"/>
    </w:pPr>
    <w:rPr>
      <w:rFonts w:eastAsia="Times New Roman" w:cs="Arial"/>
      <w:color w:val="000000"/>
      <w:kern w:val="0"/>
      <w:sz w:val="20"/>
      <w:szCs w:val="20"/>
      <w:lang w:eastAsia="en-GB"/>
      <w14:ligatures w14:val="none"/>
    </w:rPr>
  </w:style>
  <w:style w:type="paragraph" w:customStyle="1" w:styleId="xl78">
    <w:name w:val="xl78"/>
    <w:basedOn w:val="Normal"/>
    <w:uiPriority w:val="99"/>
    <w:rsid w:val="00370535"/>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Times New Roman" w:cs="Arial"/>
      <w:b/>
      <w:bCs/>
      <w:kern w:val="0"/>
      <w:sz w:val="20"/>
      <w:szCs w:val="20"/>
      <w:lang w:eastAsia="en-GB"/>
      <w14:ligatures w14:val="none"/>
    </w:rPr>
  </w:style>
  <w:style w:type="paragraph" w:customStyle="1" w:styleId="xl79">
    <w:name w:val="xl79"/>
    <w:basedOn w:val="Normal"/>
    <w:uiPriority w:val="99"/>
    <w:rsid w:val="00370535"/>
    <w:pPr>
      <w:pBdr>
        <w:top w:val="single" w:sz="4" w:space="0" w:color="auto"/>
        <w:left w:val="single" w:sz="4" w:space="0" w:color="auto"/>
        <w:right w:val="single" w:sz="4" w:space="0" w:color="auto"/>
      </w:pBdr>
      <w:spacing w:before="100" w:beforeAutospacing="1" w:after="100" w:afterAutospacing="1"/>
      <w:jc w:val="center"/>
    </w:pPr>
    <w:rPr>
      <w:rFonts w:eastAsia="Times New Roman" w:cs="Arial"/>
      <w:color w:val="000000"/>
      <w:kern w:val="0"/>
      <w:sz w:val="20"/>
      <w:szCs w:val="20"/>
      <w:lang w:eastAsia="en-GB"/>
      <w14:ligatures w14:val="none"/>
    </w:rPr>
  </w:style>
  <w:style w:type="paragraph" w:customStyle="1" w:styleId="xl80">
    <w:name w:val="xl80"/>
    <w:basedOn w:val="Normal"/>
    <w:uiPriority w:val="99"/>
    <w:rsid w:val="00370535"/>
    <w:pPr>
      <w:pBdr>
        <w:top w:val="single" w:sz="4" w:space="0" w:color="auto"/>
        <w:left w:val="single" w:sz="4" w:space="0" w:color="auto"/>
        <w:right w:val="single" w:sz="4" w:space="0" w:color="auto"/>
      </w:pBdr>
      <w:spacing w:before="100" w:beforeAutospacing="1" w:after="100" w:afterAutospacing="1"/>
      <w:jc w:val="center"/>
    </w:pPr>
    <w:rPr>
      <w:rFonts w:eastAsia="Times New Roman" w:cs="Arial"/>
      <w:color w:val="000000"/>
      <w:kern w:val="0"/>
      <w:sz w:val="20"/>
      <w:szCs w:val="20"/>
      <w:lang w:eastAsia="en-GB"/>
      <w14:ligatures w14:val="none"/>
    </w:rPr>
  </w:style>
  <w:style w:type="paragraph" w:customStyle="1" w:styleId="xl81">
    <w:name w:val="xl81"/>
    <w:basedOn w:val="Normal"/>
    <w:uiPriority w:val="99"/>
    <w:rsid w:val="00370535"/>
    <w:pPr>
      <w:pBdr>
        <w:left w:val="single" w:sz="4" w:space="0" w:color="auto"/>
        <w:bottom w:val="single" w:sz="4" w:space="0" w:color="auto"/>
        <w:right w:val="single" w:sz="4" w:space="0" w:color="auto"/>
      </w:pBdr>
      <w:spacing w:before="100" w:beforeAutospacing="1" w:after="100" w:afterAutospacing="1"/>
      <w:jc w:val="center"/>
    </w:pPr>
    <w:rPr>
      <w:rFonts w:eastAsia="Times New Roman" w:cs="Arial"/>
      <w:color w:val="000000"/>
      <w:kern w:val="0"/>
      <w:sz w:val="20"/>
      <w:szCs w:val="20"/>
      <w:lang w:eastAsia="en-GB"/>
      <w14:ligatures w14:val="none"/>
    </w:rPr>
  </w:style>
  <w:style w:type="paragraph" w:customStyle="1" w:styleId="xl82">
    <w:name w:val="xl82"/>
    <w:basedOn w:val="Normal"/>
    <w:uiPriority w:val="99"/>
    <w:rsid w:val="00370535"/>
    <w:pPr>
      <w:pBdr>
        <w:left w:val="single" w:sz="4" w:space="0" w:color="auto"/>
        <w:bottom w:val="single" w:sz="4" w:space="0" w:color="auto"/>
        <w:right w:val="single" w:sz="4" w:space="0" w:color="auto"/>
      </w:pBdr>
      <w:spacing w:before="100" w:beforeAutospacing="1" w:after="100" w:afterAutospacing="1"/>
      <w:jc w:val="center"/>
    </w:pPr>
    <w:rPr>
      <w:rFonts w:eastAsia="Times New Roman" w:cs="Arial"/>
      <w:color w:val="000000"/>
      <w:kern w:val="0"/>
      <w:sz w:val="20"/>
      <w:szCs w:val="20"/>
      <w:lang w:eastAsia="en-GB"/>
      <w14:ligatures w14:val="none"/>
    </w:rPr>
  </w:style>
  <w:style w:type="paragraph" w:customStyle="1" w:styleId="xl83">
    <w:name w:val="xl83"/>
    <w:basedOn w:val="Normal"/>
    <w:uiPriority w:val="99"/>
    <w:rsid w:val="00370535"/>
    <w:pPr>
      <w:pBdr>
        <w:top w:val="single" w:sz="4" w:space="0" w:color="auto"/>
        <w:left w:val="single" w:sz="4" w:space="0" w:color="auto"/>
        <w:right w:val="single" w:sz="4" w:space="0" w:color="auto"/>
      </w:pBdr>
      <w:spacing w:before="100" w:beforeAutospacing="1" w:after="100" w:afterAutospacing="1"/>
      <w:jc w:val="center"/>
    </w:pPr>
    <w:rPr>
      <w:rFonts w:eastAsia="Times New Roman" w:cs="Arial"/>
      <w:kern w:val="0"/>
      <w:sz w:val="20"/>
      <w:szCs w:val="20"/>
      <w:lang w:eastAsia="en-GB"/>
      <w14:ligatures w14:val="none"/>
    </w:rPr>
  </w:style>
  <w:style w:type="paragraph" w:customStyle="1" w:styleId="xl84">
    <w:name w:val="xl84"/>
    <w:basedOn w:val="Normal"/>
    <w:uiPriority w:val="99"/>
    <w:rsid w:val="00370535"/>
    <w:pPr>
      <w:pBdr>
        <w:left w:val="single" w:sz="4" w:space="0" w:color="auto"/>
        <w:bottom w:val="single" w:sz="4" w:space="0" w:color="auto"/>
        <w:right w:val="single" w:sz="4" w:space="0" w:color="auto"/>
      </w:pBdr>
      <w:spacing w:before="100" w:beforeAutospacing="1" w:after="100" w:afterAutospacing="1"/>
      <w:jc w:val="center"/>
    </w:pPr>
    <w:rPr>
      <w:rFonts w:eastAsia="Times New Roman" w:cs="Arial"/>
      <w:kern w:val="0"/>
      <w:sz w:val="20"/>
      <w:szCs w:val="20"/>
      <w:lang w:eastAsia="en-GB"/>
      <w14:ligatures w14:val="none"/>
    </w:rPr>
  </w:style>
  <w:style w:type="paragraph" w:customStyle="1" w:styleId="xl85">
    <w:name w:val="xl85"/>
    <w:basedOn w:val="Normal"/>
    <w:uiPriority w:val="99"/>
    <w:rsid w:val="00370535"/>
    <w:pPr>
      <w:pBdr>
        <w:top w:val="single" w:sz="4" w:space="0" w:color="auto"/>
        <w:left w:val="single" w:sz="4" w:space="0" w:color="auto"/>
        <w:right w:val="single" w:sz="4" w:space="0" w:color="auto"/>
      </w:pBdr>
      <w:spacing w:before="100" w:beforeAutospacing="1" w:after="100" w:afterAutospacing="1"/>
      <w:jc w:val="center"/>
    </w:pPr>
    <w:rPr>
      <w:rFonts w:eastAsia="Times New Roman" w:cs="Arial"/>
      <w:kern w:val="0"/>
      <w:sz w:val="20"/>
      <w:szCs w:val="20"/>
      <w:lang w:eastAsia="en-GB"/>
      <w14:ligatures w14:val="none"/>
    </w:rPr>
  </w:style>
  <w:style w:type="paragraph" w:customStyle="1" w:styleId="xl86">
    <w:name w:val="xl86"/>
    <w:basedOn w:val="Normal"/>
    <w:uiPriority w:val="99"/>
    <w:rsid w:val="00370535"/>
    <w:pPr>
      <w:pBdr>
        <w:left w:val="single" w:sz="4" w:space="0" w:color="auto"/>
        <w:bottom w:val="single" w:sz="4" w:space="0" w:color="auto"/>
        <w:right w:val="single" w:sz="4" w:space="0" w:color="auto"/>
      </w:pBdr>
      <w:spacing w:before="100" w:beforeAutospacing="1" w:after="100" w:afterAutospacing="1"/>
      <w:jc w:val="center"/>
    </w:pPr>
    <w:rPr>
      <w:rFonts w:eastAsia="Times New Roman" w:cs="Arial"/>
      <w:kern w:val="0"/>
      <w:sz w:val="20"/>
      <w:szCs w:val="20"/>
      <w:lang w:eastAsia="en-GB"/>
      <w14:ligatures w14:val="none"/>
    </w:rPr>
  </w:style>
  <w:style w:type="paragraph" w:customStyle="1" w:styleId="xl87">
    <w:name w:val="xl87"/>
    <w:basedOn w:val="Normal"/>
    <w:uiPriority w:val="99"/>
    <w:rsid w:val="00370535"/>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Times New Roman" w:cs="Arial"/>
      <w:kern w:val="0"/>
      <w:lang w:eastAsia="en-GB"/>
      <w14:ligatures w14:val="none"/>
    </w:rPr>
  </w:style>
  <w:style w:type="paragraph" w:customStyle="1" w:styleId="x1095311912msolistparagraph">
    <w:name w:val="x_1095311912msolistparagraph"/>
    <w:basedOn w:val="Normal"/>
    <w:uiPriority w:val="99"/>
    <w:rsid w:val="00370535"/>
    <w:pPr>
      <w:spacing w:before="100" w:beforeAutospacing="1" w:after="100" w:afterAutospacing="1"/>
    </w:pPr>
    <w:rPr>
      <w:rFonts w:ascii="Times New Roman" w:eastAsia="Times New Roman" w:hAnsi="Times New Roman" w:cs="Times New Roman"/>
      <w:kern w:val="0"/>
      <w:lang w:eastAsia="en-GB"/>
      <w14:ligatures w14:val="none"/>
    </w:rPr>
  </w:style>
  <w:style w:type="paragraph" w:customStyle="1" w:styleId="x1471310314default">
    <w:name w:val="x_1471310314default"/>
    <w:basedOn w:val="Normal"/>
    <w:uiPriority w:val="99"/>
    <w:rsid w:val="00370535"/>
    <w:pPr>
      <w:spacing w:before="100" w:beforeAutospacing="1" w:after="100" w:afterAutospacing="1"/>
    </w:pPr>
    <w:rPr>
      <w:rFonts w:ascii="Times New Roman" w:eastAsia="Times New Roman" w:hAnsi="Times New Roman" w:cs="Times New Roman"/>
      <w:kern w:val="0"/>
      <w:lang w:eastAsia="en-GB"/>
      <w14:ligatures w14:val="none"/>
    </w:rPr>
  </w:style>
  <w:style w:type="paragraph" w:customStyle="1" w:styleId="x1352327298default">
    <w:name w:val="x_1352327298default"/>
    <w:basedOn w:val="Normal"/>
    <w:uiPriority w:val="99"/>
    <w:rsid w:val="00370535"/>
    <w:pPr>
      <w:spacing w:before="100" w:beforeAutospacing="1" w:after="100" w:afterAutospacing="1"/>
    </w:pPr>
    <w:rPr>
      <w:rFonts w:ascii="Times New Roman" w:eastAsia="Times New Roman" w:hAnsi="Times New Roman" w:cs="Times New Roman"/>
      <w:kern w:val="0"/>
      <w:lang w:eastAsia="en-GB"/>
      <w14:ligatures w14:val="none"/>
    </w:rPr>
  </w:style>
  <w:style w:type="paragraph" w:customStyle="1" w:styleId="x1421602725x-1554670488msolistparagraph">
    <w:name w:val="x_1421602725x-1554670488msolistparagraph"/>
    <w:basedOn w:val="Normal"/>
    <w:uiPriority w:val="99"/>
    <w:rsid w:val="00370535"/>
    <w:pPr>
      <w:spacing w:before="100" w:beforeAutospacing="1" w:after="100" w:afterAutospacing="1"/>
    </w:pPr>
    <w:rPr>
      <w:rFonts w:ascii="Times New Roman" w:eastAsia="Times New Roman" w:hAnsi="Times New Roman" w:cs="Times New Roman"/>
      <w:kern w:val="0"/>
      <w:lang w:eastAsia="en-GB"/>
      <w14:ligatures w14:val="none"/>
    </w:rPr>
  </w:style>
  <w:style w:type="paragraph" w:customStyle="1" w:styleId="x558386550msonormal">
    <w:name w:val="x_558386550msonormal"/>
    <w:basedOn w:val="Normal"/>
    <w:uiPriority w:val="99"/>
    <w:rsid w:val="00370535"/>
    <w:pPr>
      <w:spacing w:before="100" w:beforeAutospacing="1" w:after="100" w:afterAutospacing="1"/>
    </w:pPr>
    <w:rPr>
      <w:rFonts w:ascii="Times New Roman" w:eastAsia="Times New Roman" w:hAnsi="Times New Roman" w:cs="Times New Roman"/>
      <w:kern w:val="0"/>
      <w:lang w:eastAsia="en-GB"/>
      <w14:ligatures w14:val="none"/>
    </w:rPr>
  </w:style>
  <w:style w:type="character" w:customStyle="1" w:styleId="CommentTextChar1">
    <w:name w:val="Comment Text Char1"/>
    <w:basedOn w:val="DefaultParagraphFont"/>
    <w:uiPriority w:val="99"/>
    <w:semiHidden/>
    <w:locked/>
    <w:rsid w:val="00370535"/>
    <w:rPr>
      <w:sz w:val="20"/>
      <w:szCs w:val="20"/>
    </w:rPr>
  </w:style>
  <w:style w:type="character" w:customStyle="1" w:styleId="UnresolvedMention1">
    <w:name w:val="Unresolved Mention1"/>
    <w:basedOn w:val="DefaultParagraphFont"/>
    <w:uiPriority w:val="99"/>
    <w:semiHidden/>
    <w:rsid w:val="00370535"/>
    <w:rPr>
      <w:color w:val="605E5C"/>
      <w:shd w:val="clear" w:color="auto" w:fill="E1DFDD"/>
    </w:rPr>
  </w:style>
  <w:style w:type="character" w:customStyle="1" w:styleId="x-598485723size">
    <w:name w:val="x_-598485723size"/>
    <w:basedOn w:val="DefaultParagraphFont"/>
    <w:rsid w:val="00370535"/>
  </w:style>
  <w:style w:type="character" w:customStyle="1" w:styleId="x-124932708size">
    <w:name w:val="x_-124932708size"/>
    <w:basedOn w:val="DefaultParagraphFont"/>
    <w:rsid w:val="00370535"/>
  </w:style>
  <w:style w:type="character" w:customStyle="1" w:styleId="x-639508674size">
    <w:name w:val="x_-639508674size"/>
    <w:basedOn w:val="DefaultParagraphFont"/>
    <w:rsid w:val="00370535"/>
  </w:style>
  <w:style w:type="character" w:customStyle="1" w:styleId="x-1859957291size">
    <w:name w:val="x_-1859957291size"/>
    <w:basedOn w:val="DefaultParagraphFont"/>
    <w:rsid w:val="00370535"/>
  </w:style>
  <w:style w:type="character" w:customStyle="1" w:styleId="zminlnk">
    <w:name w:val="zm_inlnk"/>
    <w:basedOn w:val="DefaultParagraphFont"/>
    <w:rsid w:val="00370535"/>
  </w:style>
  <w:style w:type="character" w:customStyle="1" w:styleId="zw-portion">
    <w:name w:val="zw-portion"/>
    <w:basedOn w:val="DefaultParagraphFont"/>
    <w:rsid w:val="00370535"/>
  </w:style>
  <w:style w:type="character" w:customStyle="1" w:styleId="eop">
    <w:name w:val="eop"/>
    <w:basedOn w:val="DefaultParagraphFont"/>
    <w:rsid w:val="00370535"/>
  </w:style>
  <w:style w:type="character" w:customStyle="1" w:styleId="zw-bullet">
    <w:name w:val="zw-bullet"/>
    <w:basedOn w:val="DefaultParagraphFont"/>
    <w:rsid w:val="00370535"/>
  </w:style>
  <w:style w:type="character" w:customStyle="1" w:styleId="x1421602725size">
    <w:name w:val="x_1421602725size"/>
    <w:basedOn w:val="DefaultParagraphFont"/>
    <w:rsid w:val="00370535"/>
  </w:style>
  <w:style w:type="character" w:customStyle="1" w:styleId="x1421602725font">
    <w:name w:val="x_1421602725font"/>
    <w:basedOn w:val="DefaultParagraphFont"/>
    <w:rsid w:val="00370535"/>
  </w:style>
  <w:style w:type="character" w:customStyle="1" w:styleId="FootnoteTextChar1">
    <w:name w:val="Footnote Text Char1"/>
    <w:basedOn w:val="DefaultParagraphFont"/>
    <w:uiPriority w:val="99"/>
    <w:locked/>
    <w:rsid w:val="00370535"/>
    <w:rPr>
      <w:sz w:val="20"/>
      <w:szCs w:val="20"/>
    </w:rPr>
  </w:style>
  <w:style w:type="character" w:customStyle="1" w:styleId="HeaderChar1">
    <w:name w:val="Header Char1"/>
    <w:basedOn w:val="DefaultParagraphFont"/>
    <w:uiPriority w:val="99"/>
    <w:semiHidden/>
    <w:locked/>
    <w:rsid w:val="00370535"/>
  </w:style>
  <w:style w:type="character" w:customStyle="1" w:styleId="FooterChar1">
    <w:name w:val="Footer Char1"/>
    <w:basedOn w:val="DefaultParagraphFont"/>
    <w:uiPriority w:val="99"/>
    <w:semiHidden/>
    <w:locked/>
    <w:rsid w:val="00370535"/>
  </w:style>
  <w:style w:type="character" w:customStyle="1" w:styleId="BalloonTextChar1">
    <w:name w:val="Balloon Text Char1"/>
    <w:basedOn w:val="DefaultParagraphFont"/>
    <w:link w:val="BalloonText"/>
    <w:uiPriority w:val="99"/>
    <w:semiHidden/>
    <w:locked/>
    <w:rsid w:val="00370535"/>
    <w:rPr>
      <w:rFonts w:ascii="Segoe UI" w:hAnsi="Segoe UI" w:cs="Segoe UI"/>
      <w:sz w:val="18"/>
      <w:szCs w:val="18"/>
    </w:rPr>
  </w:style>
  <w:style w:type="table" w:styleId="LightShading-Accent5">
    <w:name w:val="Light Shading Accent 5"/>
    <w:basedOn w:val="TableNormal"/>
    <w:uiPriority w:val="60"/>
    <w:semiHidden/>
    <w:unhideWhenUsed/>
    <w:rsid w:val="00370535"/>
    <w:pPr>
      <w:spacing w:after="0" w:line="240" w:lineRule="auto"/>
    </w:pPr>
    <w:rPr>
      <w:color w:val="77206D" w:themeColor="accent5" w:themeShade="BF"/>
    </w:rPr>
    <w:tblPr>
      <w:tblStyleRowBandSize w:val="1"/>
      <w:tblStyleColBandSize w:val="1"/>
      <w:tblInd w:w="0" w:type="nil"/>
      <w:tblBorders>
        <w:top w:val="single" w:sz="8" w:space="0" w:color="A02B93" w:themeColor="accent5"/>
        <w:bottom w:val="single" w:sz="8" w:space="0" w:color="A02B93" w:themeColor="accent5"/>
      </w:tblBorders>
    </w:tblPr>
    <w:tblStylePr w:type="firstRow">
      <w:pPr>
        <w:spacing w:beforeLines="0" w:before="0" w:beforeAutospacing="0" w:afterLines="0" w:after="0" w:afterAutospacing="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left w:val="nil"/>
          <w:right w:val="nil"/>
          <w:insideH w:val="nil"/>
          <w:insideV w:val="nil"/>
        </w:tcBorders>
        <w:shd w:val="clear" w:color="auto" w:fill="EFC3E9" w:themeFill="accent5" w:themeFillTint="3F"/>
      </w:tcPr>
    </w:tblStylePr>
  </w:style>
  <w:style w:type="table" w:styleId="GridTable4-Accent2">
    <w:name w:val="Grid Table 4 Accent 2"/>
    <w:basedOn w:val="TableNormal"/>
    <w:uiPriority w:val="49"/>
    <w:rsid w:val="00370535"/>
    <w:pPr>
      <w:spacing w:after="0" w:line="240" w:lineRule="auto"/>
    </w:pPr>
    <w:tblPr>
      <w:tblStyleRowBandSize w:val="1"/>
      <w:tblStyleColBandSize w:val="1"/>
      <w:tblInd w:w="0" w:type="nil"/>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color w:val="FFFFFF" w:themeColor="background1"/>
      </w:rPr>
      <w:tblPr/>
      <w:tcPr>
        <w:tcBorders>
          <w:top w:val="single" w:sz="4" w:space="0" w:color="E97132" w:themeColor="accent2"/>
          <w:left w:val="single" w:sz="4" w:space="0" w:color="E97132" w:themeColor="accent2"/>
          <w:bottom w:val="single" w:sz="4" w:space="0" w:color="E97132" w:themeColor="accent2"/>
          <w:right w:val="single" w:sz="4" w:space="0" w:color="E97132" w:themeColor="accent2"/>
          <w:insideH w:val="nil"/>
          <w:insideV w:val="nil"/>
        </w:tcBorders>
        <w:shd w:val="clear" w:color="auto" w:fill="E97132" w:themeFill="accent2"/>
      </w:tcPr>
    </w:tblStylePr>
    <w:tblStylePr w:type="lastRow">
      <w:rPr>
        <w:b/>
        <w:bCs/>
      </w:rPr>
      <w:tblPr/>
      <w:tcPr>
        <w:tcBorders>
          <w:top w:val="double" w:sz="4" w:space="0" w:color="E97132" w:themeColor="accent2"/>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customStyle="1" w:styleId="LightShading-Accent51">
    <w:name w:val="Light Shading - Accent 51"/>
    <w:basedOn w:val="TableNormal"/>
    <w:uiPriority w:val="60"/>
    <w:rsid w:val="00370535"/>
    <w:pPr>
      <w:spacing w:after="0" w:line="240" w:lineRule="auto"/>
    </w:pPr>
    <w:rPr>
      <w:color w:val="31849B"/>
      <w:kern w:val="0"/>
      <w:sz w:val="22"/>
      <w:szCs w:val="22"/>
      <w14:ligatures w14:val="none"/>
    </w:rPr>
    <w:tblPr>
      <w:tblStyleRowBandSize w:val="1"/>
      <w:tblStyleColBandSize w:val="1"/>
      <w:tblInd w:w="0" w:type="nil"/>
      <w:tblBorders>
        <w:top w:val="single" w:sz="8" w:space="0" w:color="4BACC6"/>
        <w:bottom w:val="single" w:sz="8" w:space="0" w:color="4BACC6"/>
      </w:tblBorders>
    </w:tblPr>
    <w:tblStylePr w:type="firstRow">
      <w:pPr>
        <w:spacing w:beforeLines="0" w:before="100" w:beforeAutospacing="1" w:afterLines="0" w:after="100" w:afterAutospacing="1"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100" w:beforeAutospacing="1" w:afterLines="0" w:after="100" w:afterAutospacing="1"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ableGrid1">
    <w:name w:val="Table Grid1"/>
    <w:basedOn w:val="TableNormal"/>
    <w:uiPriority w:val="59"/>
    <w:rsid w:val="00370535"/>
    <w:pPr>
      <w:spacing w:after="0" w:line="240" w:lineRule="auto"/>
    </w:pPr>
    <w:rPr>
      <w:rFonts w:ascii="Times New Roman" w:eastAsia="Times New Roman" w:hAnsi="Times New Roman"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uiPriority w:val="59"/>
    <w:rsid w:val="00370535"/>
    <w:pPr>
      <w:spacing w:after="0" w:line="240" w:lineRule="auto"/>
    </w:pPr>
    <w:rPr>
      <w:rFonts w:ascii="Times New Roman" w:eastAsia="Times New Roman" w:hAnsi="Times New Roman"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21">
    <w:name w:val="Grid Table 4 - Accent 21"/>
    <w:basedOn w:val="TableNormal"/>
    <w:uiPriority w:val="49"/>
    <w:rsid w:val="00370535"/>
    <w:pPr>
      <w:spacing w:after="0" w:line="240" w:lineRule="auto"/>
    </w:pPr>
    <w:rPr>
      <w:rFonts w:ascii="Calibri" w:eastAsia="Calibri" w:hAnsi="Calibri" w:cs="Times New Roman"/>
      <w:kern w:val="0"/>
      <w:sz w:val="22"/>
      <w:szCs w:val="22"/>
      <w14:ligatures w14:val="none"/>
    </w:rPr>
    <w:tblPr>
      <w:tblStyleRowBandSize w:val="1"/>
      <w:tblStyleColBandSize w:val="1"/>
      <w:tblInd w:w="0" w:type="nil"/>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customStyle="1" w:styleId="GridTable4-Accent22">
    <w:name w:val="Grid Table 4 - Accent 22"/>
    <w:basedOn w:val="TableNormal"/>
    <w:uiPriority w:val="49"/>
    <w:rsid w:val="00370535"/>
    <w:pPr>
      <w:spacing w:after="0" w:line="240" w:lineRule="auto"/>
    </w:pPr>
    <w:rPr>
      <w:kern w:val="0"/>
      <w:sz w:val="22"/>
      <w:szCs w:val="22"/>
      <w14:ligatures w14:val="none"/>
    </w:rPr>
    <w:tblPr>
      <w:tblStyleRowBandSize w:val="1"/>
      <w:tblStyleColBandSize w:val="1"/>
      <w:tblInd w:w="0" w:type="nil"/>
      <w:tblBorders>
        <w:top w:val="single" w:sz="4" w:space="0" w:color="D99594"/>
        <w:left w:val="single" w:sz="4" w:space="0" w:color="D99594"/>
        <w:bottom w:val="single" w:sz="4" w:space="0" w:color="D99594"/>
        <w:right w:val="single" w:sz="4" w:space="0" w:color="D99594"/>
        <w:insideH w:val="single" w:sz="4" w:space="0" w:color="D99594"/>
        <w:insideV w:val="single" w:sz="4" w:space="0" w:color="D99594"/>
      </w:tblBorders>
    </w:tblPr>
    <w:tblStylePr w:type="firstRow">
      <w:rPr>
        <w:b/>
        <w:bCs/>
        <w:color w:val="FFFFFF"/>
      </w:rPr>
      <w:tblPr/>
      <w:tcPr>
        <w:tcBorders>
          <w:top w:val="single" w:sz="4" w:space="0" w:color="C0504D"/>
          <w:left w:val="single" w:sz="4" w:space="0" w:color="C0504D"/>
          <w:bottom w:val="single" w:sz="4" w:space="0" w:color="C0504D"/>
          <w:right w:val="single" w:sz="4" w:space="0" w:color="C0504D"/>
          <w:insideH w:val="nil"/>
          <w:insideV w:val="nil"/>
        </w:tcBorders>
        <w:shd w:val="clear" w:color="auto" w:fill="C0504D"/>
      </w:tcPr>
    </w:tblStylePr>
    <w:tblStylePr w:type="lastRow">
      <w:rPr>
        <w:b/>
        <w:bCs/>
      </w:rPr>
      <w:tblPr/>
      <w:tcPr>
        <w:tcBorders>
          <w:top w:val="double" w:sz="4" w:space="0" w:color="C0504D"/>
        </w:tcBorders>
      </w:tcPr>
    </w:tblStylePr>
    <w:tblStylePr w:type="firstCol">
      <w:rPr>
        <w:b/>
        <w:bCs/>
      </w:rPr>
    </w:tblStylePr>
    <w:tblStylePr w:type="lastCol">
      <w:rPr>
        <w:b/>
        <w:bCs/>
      </w:rPr>
    </w:tblStylePr>
    <w:tblStylePr w:type="band1Vert">
      <w:tblPr/>
      <w:tcPr>
        <w:shd w:val="clear" w:color="auto" w:fill="F2DBDB"/>
      </w:tcPr>
    </w:tblStylePr>
    <w:tblStylePr w:type="band1Horz">
      <w:tblPr/>
      <w:tcPr>
        <w:shd w:val="clear" w:color="auto" w:fill="F2DBDB"/>
      </w:tcPr>
    </w:tblStylePr>
  </w:style>
  <w:style w:type="table" w:customStyle="1" w:styleId="TableGrid3">
    <w:name w:val="Table Grid3"/>
    <w:basedOn w:val="TableNormal"/>
    <w:uiPriority w:val="39"/>
    <w:rsid w:val="00370535"/>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uiPriority w:val="39"/>
    <w:rsid w:val="00370535"/>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uiPriority w:val="39"/>
    <w:rsid w:val="00370535"/>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477B14"/>
  </w:style>
  <w:style w:type="paragraph" w:styleId="ListBullet2">
    <w:name w:val="List Bullet 2"/>
    <w:basedOn w:val="Normal"/>
    <w:uiPriority w:val="99"/>
    <w:unhideWhenUsed/>
    <w:rsid w:val="00477B14"/>
    <w:pPr>
      <w:numPr>
        <w:numId w:val="62"/>
      </w:numPr>
      <w:contextualSpacing/>
    </w:pPr>
    <w:rPr>
      <w:rFonts w:eastAsia="Aptos" w:cs="Times New Roman"/>
    </w:rPr>
  </w:style>
  <w:style w:type="paragraph" w:customStyle="1" w:styleId="paragraph">
    <w:name w:val="paragraph"/>
    <w:basedOn w:val="Normal"/>
    <w:rsid w:val="00477B14"/>
    <w:pPr>
      <w:spacing w:before="100" w:beforeAutospacing="1" w:after="100" w:afterAutospacing="1"/>
      <w:contextualSpacing/>
    </w:pPr>
    <w:rPr>
      <w:rFonts w:ascii="Times New Roman" w:eastAsia="Times New Roman" w:hAnsi="Times New Roman" w:cs="Times New Roman"/>
      <w:kern w:val="0"/>
      <w:lang w:eastAsia="en-GB"/>
      <w14:ligatures w14:val="none"/>
    </w:rPr>
  </w:style>
  <w:style w:type="character" w:customStyle="1" w:styleId="Bulletedlist1Char">
    <w:name w:val="Bulleted list 1 Char"/>
    <w:basedOn w:val="ListParagraphChar"/>
    <w:link w:val="Bulletedlist1"/>
    <w:locked/>
    <w:rsid w:val="00477B14"/>
    <w:rPr>
      <w:rFonts w:ascii="Arial" w:hAnsi="Arial" w:cs="Arial"/>
    </w:rPr>
  </w:style>
  <w:style w:type="paragraph" w:customStyle="1" w:styleId="Bulletedlist1">
    <w:name w:val="Bulleted list 1"/>
    <w:basedOn w:val="ListParagraph"/>
    <w:next w:val="ListBullet"/>
    <w:link w:val="Bulletedlist1Char"/>
    <w:qFormat/>
    <w:rsid w:val="00477B14"/>
    <w:pPr>
      <w:ind w:left="0"/>
      <w:contextualSpacing w:val="0"/>
    </w:pPr>
    <w:rPr>
      <w:rFonts w:cs="Arial"/>
    </w:rPr>
  </w:style>
  <w:style w:type="character" w:customStyle="1" w:styleId="BulletedList2Char">
    <w:name w:val="Bulleted List 2 Char"/>
    <w:basedOn w:val="ListParagraphChar"/>
    <w:link w:val="BulletedList2"/>
    <w:locked/>
    <w:rsid w:val="00477B14"/>
    <w:rPr>
      <w:rFonts w:ascii="Arial" w:hAnsi="Arial" w:cs="Arial"/>
    </w:rPr>
  </w:style>
  <w:style w:type="paragraph" w:customStyle="1" w:styleId="BulletedList2">
    <w:name w:val="Bulleted List 2"/>
    <w:basedOn w:val="ListParagraph"/>
    <w:next w:val="ListBullet2"/>
    <w:link w:val="BulletedList2Char"/>
    <w:qFormat/>
    <w:rsid w:val="00477B14"/>
    <w:pPr>
      <w:numPr>
        <w:numId w:val="63"/>
      </w:numPr>
    </w:pPr>
    <w:rPr>
      <w:rFonts w:cs="Arial"/>
    </w:rPr>
  </w:style>
  <w:style w:type="character" w:customStyle="1" w:styleId="normaltextrun">
    <w:name w:val="normaltextrun"/>
    <w:basedOn w:val="DefaultParagraphFont"/>
    <w:rsid w:val="00477B14"/>
  </w:style>
  <w:style w:type="table" w:customStyle="1" w:styleId="GridTable1Light1">
    <w:name w:val="Grid Table 1 Light1"/>
    <w:basedOn w:val="TableNormal"/>
    <w:next w:val="GridTable1Light"/>
    <w:uiPriority w:val="46"/>
    <w:rsid w:val="00477B14"/>
    <w:pPr>
      <w:spacing w:after="0" w:line="240" w:lineRule="auto"/>
    </w:pPr>
    <w:rPr>
      <w:rFonts w:ascii="Aptos" w:eastAsia="Aptos" w:hAnsi="Aptos" w:cs="Times New Roman"/>
    </w:rPr>
    <w:tblPr>
      <w:tblStyleRowBandSize w:val="1"/>
      <w:tblStyleColBandSize w:val="1"/>
      <w:tblInd w:w="0" w:type="nil"/>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styleId="GridTable1Light">
    <w:name w:val="Grid Table 1 Light"/>
    <w:basedOn w:val="TableNormal"/>
    <w:uiPriority w:val="46"/>
    <w:rsid w:val="00477B1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OC2">
    <w:name w:val="toc 2"/>
    <w:basedOn w:val="Normal"/>
    <w:next w:val="Normal"/>
    <w:autoRedefine/>
    <w:uiPriority w:val="39"/>
    <w:unhideWhenUsed/>
    <w:rsid w:val="00477B14"/>
    <w:pPr>
      <w:spacing w:after="100"/>
      <w:ind w:left="240"/>
    </w:pPr>
  </w:style>
  <w:style w:type="paragraph" w:styleId="TOC3">
    <w:name w:val="toc 3"/>
    <w:basedOn w:val="Normal"/>
    <w:next w:val="Normal"/>
    <w:autoRedefine/>
    <w:uiPriority w:val="39"/>
    <w:unhideWhenUsed/>
    <w:rsid w:val="00477B14"/>
    <w:pPr>
      <w:spacing w:after="100"/>
      <w:ind w:left="480"/>
    </w:pPr>
  </w:style>
  <w:style w:type="table" w:customStyle="1" w:styleId="TableGrid6">
    <w:name w:val="Table Grid6"/>
    <w:basedOn w:val="TableNormal"/>
    <w:next w:val="TableGrid"/>
    <w:uiPriority w:val="39"/>
    <w:rsid w:val="00037037"/>
    <w:pPr>
      <w:spacing w:after="0" w:line="240" w:lineRule="auto"/>
    </w:pPr>
    <w:rPr>
      <w:rFonts w:ascii="Arial" w:eastAsia="Aptos" w:hAnsi="Arial" w:cs="Times New Roman"/>
      <w:sz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textraheading">
    <w:name w:val="matextraheading"/>
    <w:basedOn w:val="Normal"/>
    <w:rsid w:val="006C7AA7"/>
    <w:pPr>
      <w:spacing w:before="100" w:beforeAutospacing="1" w:after="100" w:afterAutospacing="1"/>
      <w:jc w:val="center"/>
    </w:pPr>
    <w:rPr>
      <w:rFonts w:ascii="Times New Roman" w:eastAsiaTheme="minorEastAsia" w:hAnsi="Times New Roman" w:cs="Times New Roman"/>
      <w:kern w:val="0"/>
      <w:sz w:val="30"/>
      <w:szCs w:val="30"/>
      <w:lang w:eastAsia="en-GB"/>
      <w14:ligatures w14:val="none"/>
    </w:rPr>
  </w:style>
  <w:style w:type="paragraph" w:customStyle="1" w:styleId="resultbox">
    <w:name w:val="resultbox"/>
    <w:basedOn w:val="Normal"/>
    <w:rsid w:val="006C7AA7"/>
    <w:pPr>
      <w:pBdr>
        <w:left w:val="single" w:sz="6" w:space="0" w:color="CCCCCC"/>
        <w:bottom w:val="single" w:sz="6" w:space="0" w:color="CCCCCC"/>
        <w:right w:val="single" w:sz="6" w:space="0" w:color="CCCCCC"/>
      </w:pBdr>
    </w:pPr>
    <w:rPr>
      <w:rFonts w:ascii="Times New Roman" w:eastAsiaTheme="minorEastAsia" w:hAnsi="Times New Roman" w:cs="Times New Roman"/>
      <w:kern w:val="0"/>
      <w:lang w:eastAsia="en-GB"/>
      <w14:ligatures w14:val="none"/>
    </w:rPr>
  </w:style>
  <w:style w:type="paragraph" w:customStyle="1" w:styleId="matrow">
    <w:name w:val="matrow"/>
    <w:basedOn w:val="Normal"/>
    <w:rsid w:val="006C7AA7"/>
    <w:pPr>
      <w:shd w:val="clear" w:color="auto" w:fill="FFFFFF"/>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matcol">
    <w:name w:val="matcol"/>
    <w:basedOn w:val="Normal"/>
    <w:rsid w:val="006C7AA7"/>
    <w:pPr>
      <w:shd w:val="clear" w:color="auto" w:fill="F5F5F3"/>
      <w:spacing w:before="100" w:beforeAutospacing="1" w:after="100" w:afterAutospacing="1"/>
      <w:jc w:val="center"/>
    </w:pPr>
    <w:rPr>
      <w:rFonts w:ascii="Times New Roman" w:eastAsiaTheme="minorEastAsia" w:hAnsi="Times New Roman" w:cs="Times New Roman"/>
      <w:kern w:val="0"/>
      <w:lang w:eastAsia="en-GB"/>
      <w14:ligatures w14:val="none"/>
    </w:rPr>
  </w:style>
  <w:style w:type="paragraph" w:customStyle="1" w:styleId="matcell">
    <w:name w:val="matcell"/>
    <w:basedOn w:val="Normal"/>
    <w:rsid w:val="006C7AA7"/>
    <w:pPr>
      <w:shd w:val="clear" w:color="auto" w:fill="FFFFFF"/>
      <w:spacing w:before="100" w:beforeAutospacing="1" w:after="100" w:afterAutospacing="1"/>
      <w:jc w:val="center"/>
    </w:pPr>
    <w:rPr>
      <w:rFonts w:ascii="Times New Roman" w:eastAsiaTheme="minorEastAsia" w:hAnsi="Times New Roman" w:cs="Times New Roman"/>
      <w:kern w:val="0"/>
      <w:lang w:eastAsia="en-GB"/>
      <w14:ligatures w14:val="none"/>
    </w:rPr>
  </w:style>
  <w:style w:type="paragraph" w:customStyle="1" w:styleId="mattotal">
    <w:name w:val="mattotal"/>
    <w:basedOn w:val="Normal"/>
    <w:rsid w:val="006C7AA7"/>
    <w:pPr>
      <w:shd w:val="clear" w:color="auto" w:fill="F4F5F4"/>
      <w:spacing w:before="100" w:beforeAutospacing="1" w:after="100" w:afterAutospacing="1"/>
      <w:jc w:val="center"/>
    </w:pPr>
    <w:rPr>
      <w:rFonts w:ascii="Times New Roman" w:eastAsiaTheme="minorEastAsia" w:hAnsi="Times New Roman" w:cs="Times New Roman"/>
      <w:kern w:val="0"/>
      <w:lang w:eastAsia="en-GB"/>
      <w14:ligatures w14:val="none"/>
    </w:rPr>
  </w:style>
  <w:style w:type="paragraph" w:customStyle="1" w:styleId="matcomment">
    <w:name w:val="matcomment"/>
    <w:basedOn w:val="Normal"/>
    <w:rsid w:val="006C7AA7"/>
    <w:pPr>
      <w:shd w:val="clear" w:color="auto" w:fill="EFEFEF"/>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tblcomments">
    <w:name w:val="tblcomments"/>
    <w:basedOn w:val="Normal"/>
    <w:rsid w:val="006C7AA7"/>
    <w:pPr>
      <w:pBdr>
        <w:left w:val="single" w:sz="6" w:space="0" w:color="CCCCCC"/>
      </w:pBd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bargraph">
    <w:name w:val="bargraph"/>
    <w:basedOn w:val="Normal"/>
    <w:rsid w:val="006C7AA7"/>
    <w:pPr>
      <w:spacing w:before="100" w:beforeAutospacing="1" w:after="100" w:afterAutospacing="1" w:line="15" w:lineRule="atLeast"/>
    </w:pPr>
    <w:rPr>
      <w:rFonts w:ascii="Times New Roman" w:eastAsiaTheme="minorEastAsia" w:hAnsi="Times New Roman" w:cs="Times New Roman"/>
      <w:kern w:val="0"/>
      <w:lang w:eastAsia="en-GB"/>
      <w14:ligatures w14:val="none"/>
    </w:rPr>
  </w:style>
  <w:style w:type="paragraph" w:customStyle="1" w:styleId="b0">
    <w:name w:val="b0"/>
    <w:basedOn w:val="Normal"/>
    <w:rsid w:val="006C7AA7"/>
    <w:pPr>
      <w:shd w:val="clear" w:color="auto" w:fill="316184"/>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b1">
    <w:name w:val="b1"/>
    <w:basedOn w:val="Normal"/>
    <w:rsid w:val="006C7AA7"/>
    <w:pPr>
      <w:pBdr>
        <w:top w:val="single" w:sz="6" w:space="0" w:color="1C6FA4"/>
        <w:left w:val="single" w:sz="6" w:space="0" w:color="1C6FA4"/>
        <w:bottom w:val="single" w:sz="6" w:space="0" w:color="1C6FA4"/>
        <w:right w:val="single" w:sz="6" w:space="0" w:color="1C6FA4"/>
      </w:pBdr>
      <w:shd w:val="clear" w:color="auto" w:fill="1C6FA4"/>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b2">
    <w:name w:val="b2"/>
    <w:basedOn w:val="Normal"/>
    <w:rsid w:val="006C7AA7"/>
    <w:pPr>
      <w:pBdr>
        <w:top w:val="single" w:sz="6" w:space="0" w:color="F16732"/>
        <w:left w:val="single" w:sz="6" w:space="0" w:color="F16732"/>
        <w:bottom w:val="single" w:sz="6" w:space="0" w:color="F16732"/>
        <w:right w:val="single" w:sz="6" w:space="0" w:color="F16732"/>
      </w:pBdr>
      <w:shd w:val="clear" w:color="auto" w:fill="F16732"/>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b3">
    <w:name w:val="b3"/>
    <w:basedOn w:val="Normal"/>
    <w:rsid w:val="006C7AA7"/>
    <w:pPr>
      <w:pBdr>
        <w:top w:val="single" w:sz="6" w:space="0" w:color="4CAF50"/>
        <w:left w:val="single" w:sz="6" w:space="0" w:color="4CAF50"/>
        <w:bottom w:val="single" w:sz="6" w:space="0" w:color="4CAF50"/>
        <w:right w:val="single" w:sz="6" w:space="0" w:color="4CAF50"/>
      </w:pBdr>
      <w:shd w:val="clear" w:color="auto" w:fill="4CAF50"/>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b4">
    <w:name w:val="b4"/>
    <w:basedOn w:val="Normal"/>
    <w:rsid w:val="006C7AA7"/>
    <w:pPr>
      <w:pBdr>
        <w:top w:val="single" w:sz="6" w:space="0" w:color="A41C1C"/>
        <w:left w:val="single" w:sz="6" w:space="0" w:color="A41C1C"/>
        <w:bottom w:val="single" w:sz="6" w:space="0" w:color="A41C1C"/>
        <w:right w:val="single" w:sz="6" w:space="0" w:color="A41C1C"/>
      </w:pBdr>
      <w:shd w:val="clear" w:color="auto" w:fill="A41C1C"/>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b5">
    <w:name w:val="b5"/>
    <w:basedOn w:val="Normal"/>
    <w:rsid w:val="006C7AA7"/>
    <w:pPr>
      <w:pBdr>
        <w:top w:val="single" w:sz="6" w:space="0" w:color="FFA500"/>
        <w:left w:val="single" w:sz="6" w:space="0" w:color="FFA500"/>
        <w:bottom w:val="single" w:sz="6" w:space="0" w:color="FFA500"/>
        <w:right w:val="single" w:sz="6" w:space="0" w:color="FFA500"/>
      </w:pBdr>
      <w:shd w:val="clear" w:color="auto" w:fill="FFC107"/>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b6">
    <w:name w:val="b6"/>
    <w:basedOn w:val="Normal"/>
    <w:rsid w:val="006C7AA7"/>
    <w:pPr>
      <w:pBdr>
        <w:top w:val="single" w:sz="6" w:space="0" w:color="00BCD4"/>
        <w:left w:val="single" w:sz="6" w:space="0" w:color="00BCD4"/>
        <w:bottom w:val="single" w:sz="6" w:space="0" w:color="00BCD4"/>
        <w:right w:val="single" w:sz="6" w:space="0" w:color="00BCD4"/>
      </w:pBdr>
      <w:shd w:val="clear" w:color="auto" w:fill="00BCD4"/>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b7">
    <w:name w:val="b7"/>
    <w:basedOn w:val="Normal"/>
    <w:rsid w:val="006C7AA7"/>
    <w:pPr>
      <w:pBdr>
        <w:top w:val="single" w:sz="6" w:space="0" w:color="811CA4"/>
        <w:left w:val="single" w:sz="6" w:space="0" w:color="811CA4"/>
        <w:bottom w:val="single" w:sz="6" w:space="0" w:color="811CA4"/>
        <w:right w:val="single" w:sz="6" w:space="0" w:color="811CA4"/>
      </w:pBdr>
      <w:shd w:val="clear" w:color="auto" w:fill="811CA4"/>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b8">
    <w:name w:val="b8"/>
    <w:basedOn w:val="Normal"/>
    <w:rsid w:val="006C7AA7"/>
    <w:pPr>
      <w:pBdr>
        <w:top w:val="single" w:sz="6" w:space="0" w:color="E91E63"/>
        <w:left w:val="single" w:sz="6" w:space="0" w:color="E91E63"/>
        <w:bottom w:val="single" w:sz="6" w:space="0" w:color="E91E63"/>
        <w:right w:val="single" w:sz="6" w:space="0" w:color="E91E63"/>
      </w:pBdr>
      <w:shd w:val="clear" w:color="auto" w:fill="E91E63"/>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b9">
    <w:name w:val="b9"/>
    <w:basedOn w:val="Normal"/>
    <w:rsid w:val="006C7AA7"/>
    <w:pPr>
      <w:pBdr>
        <w:top w:val="single" w:sz="6" w:space="0" w:color="009688"/>
        <w:left w:val="single" w:sz="6" w:space="0" w:color="009688"/>
        <w:bottom w:val="single" w:sz="6" w:space="0" w:color="009688"/>
        <w:right w:val="single" w:sz="6" w:space="0" w:color="009688"/>
      </w:pBdr>
      <w:shd w:val="clear" w:color="auto" w:fill="009688"/>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b10">
    <w:name w:val="b10"/>
    <w:basedOn w:val="Normal"/>
    <w:rsid w:val="006C7AA7"/>
    <w:pPr>
      <w:pBdr>
        <w:top w:val="single" w:sz="6" w:space="0" w:color="D32F2F"/>
        <w:left w:val="single" w:sz="6" w:space="0" w:color="D32F2F"/>
        <w:bottom w:val="single" w:sz="6" w:space="0" w:color="D32F2F"/>
        <w:right w:val="single" w:sz="6" w:space="0" w:color="D32F2F"/>
      </w:pBdr>
      <w:shd w:val="clear" w:color="auto" w:fill="D32F2F"/>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b11">
    <w:name w:val="b11"/>
    <w:basedOn w:val="Normal"/>
    <w:rsid w:val="006C7AA7"/>
    <w:pPr>
      <w:pBdr>
        <w:top w:val="single" w:sz="6" w:space="0" w:color="2196F3"/>
        <w:left w:val="single" w:sz="6" w:space="0" w:color="2196F3"/>
        <w:bottom w:val="single" w:sz="6" w:space="0" w:color="2196F3"/>
        <w:right w:val="single" w:sz="6" w:space="0" w:color="2196F3"/>
      </w:pBdr>
      <w:shd w:val="clear" w:color="auto" w:fill="2196F3"/>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b12">
    <w:name w:val="b12"/>
    <w:basedOn w:val="Normal"/>
    <w:rsid w:val="006C7AA7"/>
    <w:pPr>
      <w:pBdr>
        <w:top w:val="single" w:sz="6" w:space="0" w:color="CDDC39"/>
        <w:left w:val="single" w:sz="6" w:space="0" w:color="CDDC39"/>
        <w:bottom w:val="single" w:sz="6" w:space="0" w:color="CDDC39"/>
        <w:right w:val="single" w:sz="6" w:space="0" w:color="CDDC39"/>
      </w:pBdr>
      <w:shd w:val="clear" w:color="auto" w:fill="CDDC39"/>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b13">
    <w:name w:val="b13"/>
    <w:basedOn w:val="Normal"/>
    <w:rsid w:val="006C7AA7"/>
    <w:pPr>
      <w:pBdr>
        <w:top w:val="single" w:sz="6" w:space="0" w:color="9C27B0"/>
        <w:left w:val="single" w:sz="6" w:space="0" w:color="9C27B0"/>
        <w:bottom w:val="single" w:sz="6" w:space="0" w:color="9C27B0"/>
        <w:right w:val="single" w:sz="6" w:space="0" w:color="9C27B0"/>
      </w:pBdr>
      <w:shd w:val="clear" w:color="auto" w:fill="9C27B0"/>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barnpsscore">
    <w:name w:val="barnpsscore"/>
    <w:basedOn w:val="Normal"/>
    <w:rsid w:val="006C7AA7"/>
    <w:pPr>
      <w:spacing w:before="100" w:beforeAutospacing="1" w:after="100" w:afterAutospacing="1"/>
    </w:pPr>
    <w:rPr>
      <w:rFonts w:ascii="Times New Roman" w:eastAsiaTheme="minorEastAsia" w:hAnsi="Times New Roman" w:cs="Times New Roman"/>
      <w:b/>
      <w:bCs/>
      <w:kern w:val="0"/>
      <w:lang w:eastAsia="en-GB"/>
      <w14:ligatures w14:val="none"/>
    </w:rPr>
  </w:style>
  <w:style w:type="paragraph" w:customStyle="1" w:styleId="bold">
    <w:name w:val="bold"/>
    <w:basedOn w:val="Normal"/>
    <w:rsid w:val="006C7AA7"/>
    <w:pPr>
      <w:spacing w:before="100" w:beforeAutospacing="1" w:after="100" w:afterAutospacing="1"/>
    </w:pPr>
    <w:rPr>
      <w:rFonts w:ascii="Times New Roman" w:eastAsiaTheme="minorEastAsia" w:hAnsi="Times New Roman" w:cs="Times New Roman"/>
      <w:b/>
      <w:bCs/>
      <w:kern w:val="0"/>
      <w:lang w:eastAsia="en-GB"/>
      <w14:ligatures w14:val="none"/>
    </w:rPr>
  </w:style>
  <w:style w:type="paragraph" w:customStyle="1" w:styleId="pad5">
    <w:name w:val="pad5"/>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txt11">
    <w:name w:val="txt11"/>
    <w:basedOn w:val="Normal"/>
    <w:rsid w:val="006C7AA7"/>
    <w:pPr>
      <w:spacing w:before="100" w:beforeAutospacing="1" w:after="100" w:afterAutospacing="1"/>
    </w:pPr>
    <w:rPr>
      <w:rFonts w:ascii="Times New Roman" w:eastAsiaTheme="minorEastAsia" w:hAnsi="Times New Roman" w:cs="Times New Roman"/>
      <w:kern w:val="0"/>
      <w:sz w:val="17"/>
      <w:szCs w:val="17"/>
      <w:lang w:eastAsia="en-GB"/>
      <w14:ligatures w14:val="none"/>
    </w:rPr>
  </w:style>
  <w:style w:type="paragraph" w:customStyle="1" w:styleId="viewimg">
    <w:name w:val="viewimg"/>
    <w:basedOn w:val="Normal"/>
    <w:rsid w:val="006C7AA7"/>
    <w:pPr>
      <w:spacing w:before="100" w:beforeAutospacing="1" w:after="100" w:afterAutospacing="1"/>
      <w:ind w:right="150"/>
    </w:pPr>
    <w:rPr>
      <w:rFonts w:ascii="Times New Roman" w:eastAsiaTheme="minorEastAsia" w:hAnsi="Times New Roman" w:cs="Times New Roman"/>
      <w:kern w:val="0"/>
      <w:lang w:eastAsia="en-GB"/>
      <w14:ligatures w14:val="none"/>
    </w:rPr>
  </w:style>
  <w:style w:type="paragraph" w:customStyle="1" w:styleId="timedout">
    <w:name w:val="timedout"/>
    <w:basedOn w:val="Normal"/>
    <w:rsid w:val="006C7AA7"/>
    <w:pPr>
      <w:spacing w:before="100" w:beforeAutospacing="1" w:after="100" w:afterAutospacing="1"/>
      <w:jc w:val="center"/>
    </w:pPr>
    <w:rPr>
      <w:rFonts w:eastAsiaTheme="minorEastAsia" w:cs="Arial"/>
      <w:kern w:val="0"/>
      <w:sz w:val="18"/>
      <w:szCs w:val="18"/>
      <w:lang w:eastAsia="en-GB"/>
      <w14:ligatures w14:val="none"/>
    </w:rPr>
  </w:style>
  <w:style w:type="paragraph" w:customStyle="1" w:styleId="red">
    <w:name w:val="red"/>
    <w:basedOn w:val="Normal"/>
    <w:rsid w:val="006C7AA7"/>
    <w:pPr>
      <w:spacing w:before="100" w:beforeAutospacing="1" w:after="100" w:afterAutospacing="1"/>
    </w:pPr>
    <w:rPr>
      <w:rFonts w:ascii="Times New Roman" w:eastAsiaTheme="minorEastAsia" w:hAnsi="Times New Roman" w:cs="Times New Roman"/>
      <w:color w:val="FF0000"/>
      <w:kern w:val="0"/>
      <w:lang w:eastAsia="en-GB"/>
      <w14:ligatures w14:val="none"/>
    </w:rPr>
  </w:style>
  <w:style w:type="paragraph" w:customStyle="1" w:styleId="clear">
    <w:name w:val="clear"/>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npsgaugetablewrapper">
    <w:name w:val="npsgaugetablewrapper"/>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npsgaugetablecontainer">
    <w:name w:val="npsgaugetablecontainer"/>
    <w:basedOn w:val="Normal"/>
    <w:rsid w:val="006C7AA7"/>
    <w:pPr>
      <w:spacing w:before="100" w:beforeAutospacing="1" w:after="100" w:afterAutospacing="1"/>
      <w:textAlignment w:val="center"/>
    </w:pPr>
    <w:rPr>
      <w:rFonts w:ascii="Times New Roman" w:eastAsiaTheme="minorEastAsia" w:hAnsi="Times New Roman" w:cs="Times New Roman"/>
      <w:kern w:val="0"/>
      <w:lang w:eastAsia="en-GB"/>
      <w14:ligatures w14:val="none"/>
    </w:rPr>
  </w:style>
  <w:style w:type="paragraph" w:customStyle="1" w:styleId="npsgaugetable">
    <w:name w:val="npsgaugetable"/>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print-hide">
    <w:name w:val="print-hide"/>
    <w:basedOn w:val="Normal"/>
    <w:rsid w:val="006C7AA7"/>
    <w:pPr>
      <w:spacing w:before="100" w:beforeAutospacing="1" w:after="100" w:afterAutospacing="1"/>
    </w:pPr>
    <w:rPr>
      <w:rFonts w:ascii="Times New Roman" w:eastAsiaTheme="minorEastAsia" w:hAnsi="Times New Roman" w:cs="Times New Roman"/>
      <w:vanish/>
      <w:kern w:val="0"/>
      <w:lang w:eastAsia="en-GB"/>
      <w14:ligatures w14:val="none"/>
    </w:rPr>
  </w:style>
  <w:style w:type="paragraph" w:customStyle="1" w:styleId="headquestion">
    <w:name w:val="headquestion"/>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headsubquestion">
    <w:name w:val="headsubquestion"/>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headvalue">
    <w:name w:val="headvalue"/>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headvalue2">
    <w:name w:val="headvalue2"/>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headitem">
    <w:name w:val="headitem"/>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colrank">
    <w:name w:val="colrank"/>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coloption">
    <w:name w:val="coloption"/>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colview">
    <w:name w:val="colview"/>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colgraph">
    <w:name w:val="colgraph"/>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colvalue">
    <w:name w:val="colvalue"/>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coltotal">
    <w:name w:val="coltotal"/>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colkeyana">
    <w:name w:val="colkeyana"/>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coloptionrank">
    <w:name w:val="coloptionrank"/>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colextra">
    <w:name w:val="colextra"/>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colextraval">
    <w:name w:val="colextraval"/>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colcomment">
    <w:name w:val="colcomment"/>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cr">
    <w:name w:val="cr"/>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cd">
    <w:name w:val="cd"/>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cv">
    <w:name w:val="cv"/>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keyhead">
    <w:name w:val="keyhead"/>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bgeee">
    <w:name w:val="bgeee"/>
    <w:basedOn w:val="Normal"/>
    <w:rsid w:val="006C7AA7"/>
    <w:pPr>
      <w:shd w:val="clear" w:color="auto" w:fill="FFFFFF"/>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bgffffcc">
    <w:name w:val="bgffffcc"/>
    <w:basedOn w:val="Normal"/>
    <w:rsid w:val="006C7AA7"/>
    <w:pPr>
      <w:shd w:val="clear" w:color="auto" w:fill="555555"/>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bordertop">
    <w:name w:val="bordertop"/>
    <w:basedOn w:val="Normal"/>
    <w:rsid w:val="006C7AA7"/>
    <w:pPr>
      <w:pBdr>
        <w:top w:val="single" w:sz="6" w:space="0" w:color="999999"/>
      </w:pBd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noborderbot">
    <w:name w:val="noborderbot"/>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nobordertop">
    <w:name w:val="nobordertop"/>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noborder">
    <w:name w:val="noborder"/>
    <w:basedOn w:val="Normal"/>
    <w:rsid w:val="006C7AA7"/>
    <w:pPr>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hide-for-results">
    <w:name w:val="hide-for-results"/>
    <w:basedOn w:val="Normal"/>
    <w:rsid w:val="006C7AA7"/>
    <w:pPr>
      <w:spacing w:before="100" w:beforeAutospacing="1" w:after="100" w:afterAutospacing="1"/>
    </w:pPr>
    <w:rPr>
      <w:rFonts w:ascii="Times New Roman" w:eastAsiaTheme="minorEastAsia" w:hAnsi="Times New Roman" w:cs="Times New Roman"/>
      <w:vanish/>
      <w:kern w:val="0"/>
      <w:lang w:eastAsia="en-GB"/>
      <w14:ligatures w14:val="none"/>
    </w:rPr>
  </w:style>
  <w:style w:type="paragraph" w:customStyle="1" w:styleId="headquestion1">
    <w:name w:val="headquestion1"/>
    <w:basedOn w:val="Normal"/>
    <w:rsid w:val="006C7AA7"/>
    <w:pPr>
      <w:shd w:val="clear" w:color="auto" w:fill="545555"/>
      <w:spacing w:before="100" w:beforeAutospacing="1" w:after="100" w:afterAutospacing="1"/>
    </w:pPr>
    <w:rPr>
      <w:rFonts w:ascii="Times New Roman" w:eastAsiaTheme="minorEastAsia" w:hAnsi="Times New Roman" w:cs="Times New Roman"/>
      <w:b/>
      <w:bCs/>
      <w:color w:val="FFFFFF"/>
      <w:kern w:val="0"/>
      <w:sz w:val="21"/>
      <w:szCs w:val="21"/>
      <w:lang w:eastAsia="en-GB"/>
      <w14:ligatures w14:val="none"/>
    </w:rPr>
  </w:style>
  <w:style w:type="paragraph" w:customStyle="1" w:styleId="headsubquestion1">
    <w:name w:val="headsubquestion1"/>
    <w:basedOn w:val="Normal"/>
    <w:rsid w:val="006C7AA7"/>
    <w:pPr>
      <w:shd w:val="clear" w:color="auto" w:fill="555555"/>
      <w:spacing w:before="100" w:beforeAutospacing="1" w:after="100" w:afterAutospacing="1"/>
    </w:pPr>
    <w:rPr>
      <w:rFonts w:ascii="Times New Roman" w:eastAsiaTheme="minorEastAsia" w:hAnsi="Times New Roman" w:cs="Times New Roman"/>
      <w:b/>
      <w:bCs/>
      <w:color w:val="FFFFFF"/>
      <w:kern w:val="0"/>
      <w:lang w:eastAsia="en-GB"/>
      <w14:ligatures w14:val="none"/>
    </w:rPr>
  </w:style>
  <w:style w:type="paragraph" w:customStyle="1" w:styleId="headvalue1">
    <w:name w:val="headvalue1"/>
    <w:basedOn w:val="Normal"/>
    <w:rsid w:val="006C7AA7"/>
    <w:pPr>
      <w:shd w:val="clear" w:color="auto" w:fill="F5F5F3"/>
      <w:spacing w:before="100" w:beforeAutospacing="1" w:after="100" w:afterAutospacing="1"/>
      <w:jc w:val="center"/>
    </w:pPr>
    <w:rPr>
      <w:rFonts w:ascii="Times New Roman" w:eastAsiaTheme="minorEastAsia" w:hAnsi="Times New Roman" w:cs="Times New Roman"/>
      <w:b/>
      <w:bCs/>
      <w:kern w:val="0"/>
      <w:lang w:eastAsia="en-GB"/>
      <w14:ligatures w14:val="none"/>
    </w:rPr>
  </w:style>
  <w:style w:type="paragraph" w:customStyle="1" w:styleId="headvalue21">
    <w:name w:val="headvalue21"/>
    <w:basedOn w:val="Normal"/>
    <w:rsid w:val="006C7AA7"/>
    <w:pPr>
      <w:shd w:val="clear" w:color="auto" w:fill="555555"/>
      <w:spacing w:before="100" w:beforeAutospacing="1" w:after="100" w:afterAutospacing="1"/>
      <w:jc w:val="center"/>
    </w:pPr>
    <w:rPr>
      <w:rFonts w:ascii="Times New Roman" w:eastAsiaTheme="minorEastAsia" w:hAnsi="Times New Roman" w:cs="Times New Roman"/>
      <w:b/>
      <w:bCs/>
      <w:color w:val="FFFFFF"/>
      <w:kern w:val="0"/>
      <w:lang w:eastAsia="en-GB"/>
      <w14:ligatures w14:val="none"/>
    </w:rPr>
  </w:style>
  <w:style w:type="paragraph" w:customStyle="1" w:styleId="headitem1">
    <w:name w:val="headitem1"/>
    <w:basedOn w:val="Normal"/>
    <w:rsid w:val="006C7AA7"/>
    <w:pPr>
      <w:shd w:val="clear" w:color="auto" w:fill="F5F5F3"/>
      <w:spacing w:before="100" w:beforeAutospacing="1" w:after="100" w:afterAutospacing="1"/>
    </w:pPr>
    <w:rPr>
      <w:rFonts w:ascii="Times New Roman" w:eastAsiaTheme="minorEastAsia" w:hAnsi="Times New Roman" w:cs="Times New Roman"/>
      <w:b/>
      <w:bCs/>
      <w:kern w:val="0"/>
      <w:lang w:eastAsia="en-GB"/>
      <w14:ligatures w14:val="none"/>
    </w:rPr>
  </w:style>
  <w:style w:type="paragraph" w:customStyle="1" w:styleId="colrank1">
    <w:name w:val="colrank1"/>
    <w:basedOn w:val="Normal"/>
    <w:rsid w:val="006C7AA7"/>
    <w:pPr>
      <w:shd w:val="clear" w:color="auto" w:fill="F5F5F4"/>
      <w:spacing w:before="100" w:beforeAutospacing="1" w:after="100" w:afterAutospacing="1"/>
      <w:jc w:val="center"/>
    </w:pPr>
    <w:rPr>
      <w:rFonts w:ascii="Times New Roman" w:eastAsiaTheme="minorEastAsia" w:hAnsi="Times New Roman" w:cs="Times New Roman"/>
      <w:kern w:val="0"/>
      <w:lang w:eastAsia="en-GB"/>
      <w14:ligatures w14:val="none"/>
    </w:rPr>
  </w:style>
  <w:style w:type="paragraph" w:customStyle="1" w:styleId="coloption1">
    <w:name w:val="coloption1"/>
    <w:basedOn w:val="Normal"/>
    <w:rsid w:val="006C7AA7"/>
    <w:pPr>
      <w:shd w:val="clear" w:color="auto" w:fill="FFFFFF"/>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colview1">
    <w:name w:val="colview1"/>
    <w:basedOn w:val="Normal"/>
    <w:rsid w:val="006C7AA7"/>
    <w:pPr>
      <w:shd w:val="clear" w:color="auto" w:fill="FFFFFF"/>
      <w:spacing w:before="100" w:beforeAutospacing="1" w:after="100" w:afterAutospacing="1"/>
      <w:jc w:val="center"/>
    </w:pPr>
    <w:rPr>
      <w:rFonts w:ascii="Times New Roman" w:eastAsiaTheme="minorEastAsia" w:hAnsi="Times New Roman" w:cs="Times New Roman"/>
      <w:kern w:val="0"/>
      <w:lang w:eastAsia="en-GB"/>
      <w14:ligatures w14:val="none"/>
    </w:rPr>
  </w:style>
  <w:style w:type="paragraph" w:customStyle="1" w:styleId="colgraph1">
    <w:name w:val="colgraph1"/>
    <w:basedOn w:val="Normal"/>
    <w:rsid w:val="006C7AA7"/>
    <w:pPr>
      <w:shd w:val="clear" w:color="auto" w:fill="FFFFFF"/>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colvalue1">
    <w:name w:val="colvalue1"/>
    <w:basedOn w:val="Normal"/>
    <w:rsid w:val="006C7AA7"/>
    <w:pPr>
      <w:shd w:val="clear" w:color="auto" w:fill="F5F5F3"/>
      <w:spacing w:before="100" w:beforeAutospacing="1" w:after="100" w:afterAutospacing="1"/>
      <w:jc w:val="center"/>
    </w:pPr>
    <w:rPr>
      <w:rFonts w:ascii="Times New Roman" w:eastAsiaTheme="minorEastAsia" w:hAnsi="Times New Roman" w:cs="Times New Roman"/>
      <w:kern w:val="0"/>
      <w:lang w:eastAsia="en-GB"/>
      <w14:ligatures w14:val="none"/>
    </w:rPr>
  </w:style>
  <w:style w:type="paragraph" w:customStyle="1" w:styleId="coltotal1">
    <w:name w:val="coltotal1"/>
    <w:basedOn w:val="Normal"/>
    <w:rsid w:val="006C7AA7"/>
    <w:pPr>
      <w:shd w:val="clear" w:color="auto" w:fill="DDDDDD"/>
      <w:spacing w:before="100" w:beforeAutospacing="1" w:after="100" w:afterAutospacing="1"/>
      <w:jc w:val="center"/>
    </w:pPr>
    <w:rPr>
      <w:rFonts w:ascii="Times New Roman" w:eastAsiaTheme="minorEastAsia" w:hAnsi="Times New Roman" w:cs="Times New Roman"/>
      <w:kern w:val="0"/>
      <w:lang w:eastAsia="en-GB"/>
      <w14:ligatures w14:val="none"/>
    </w:rPr>
  </w:style>
  <w:style w:type="paragraph" w:customStyle="1" w:styleId="colkeyana1">
    <w:name w:val="colkeyana1"/>
    <w:basedOn w:val="Normal"/>
    <w:rsid w:val="006C7AA7"/>
    <w:pPr>
      <w:pBdr>
        <w:top w:val="single" w:sz="6" w:space="4" w:color="CCCCCC"/>
        <w:right w:val="single" w:sz="6" w:space="4" w:color="CCCCCC"/>
      </w:pBdr>
      <w:shd w:val="clear" w:color="auto" w:fill="DDDDDD"/>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coloptionrank1">
    <w:name w:val="coloptionrank1"/>
    <w:basedOn w:val="Normal"/>
    <w:rsid w:val="006C7AA7"/>
    <w:pPr>
      <w:shd w:val="clear" w:color="auto" w:fill="FFFFFF"/>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colextra1">
    <w:name w:val="colextra1"/>
    <w:basedOn w:val="Normal"/>
    <w:rsid w:val="006C7AA7"/>
    <w:pPr>
      <w:pBdr>
        <w:top w:val="single" w:sz="6" w:space="6" w:color="CCCCCC"/>
      </w:pBdr>
      <w:shd w:val="clear" w:color="auto" w:fill="FFFFFF"/>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colextraval1">
    <w:name w:val="colextraval1"/>
    <w:basedOn w:val="Normal"/>
    <w:rsid w:val="006C7AA7"/>
    <w:pPr>
      <w:pBdr>
        <w:top w:val="single" w:sz="6" w:space="3" w:color="999999"/>
      </w:pBdr>
      <w:shd w:val="clear" w:color="auto" w:fill="EFEFEF"/>
      <w:spacing w:before="100" w:beforeAutospacing="1" w:after="100" w:afterAutospacing="1"/>
      <w:jc w:val="center"/>
    </w:pPr>
    <w:rPr>
      <w:rFonts w:ascii="Times New Roman" w:eastAsiaTheme="minorEastAsia" w:hAnsi="Times New Roman" w:cs="Times New Roman"/>
      <w:i/>
      <w:iCs/>
      <w:kern w:val="0"/>
      <w:lang w:eastAsia="en-GB"/>
      <w14:ligatures w14:val="none"/>
    </w:rPr>
  </w:style>
  <w:style w:type="paragraph" w:customStyle="1" w:styleId="colcomment1">
    <w:name w:val="colcomment1"/>
    <w:basedOn w:val="Normal"/>
    <w:rsid w:val="006C7AA7"/>
    <w:pPr>
      <w:pBdr>
        <w:bottom w:val="single" w:sz="6" w:space="0" w:color="CCCCCC"/>
      </w:pBdr>
      <w:shd w:val="clear" w:color="auto" w:fill="FFFFFF"/>
      <w:spacing w:before="100" w:beforeAutospacing="1" w:after="100" w:afterAutospacing="1"/>
    </w:pPr>
    <w:rPr>
      <w:rFonts w:ascii="Times New Roman" w:eastAsiaTheme="minorEastAsia" w:hAnsi="Times New Roman" w:cs="Times New Roman"/>
      <w:kern w:val="0"/>
      <w:lang w:eastAsia="en-GB"/>
      <w14:ligatures w14:val="none"/>
    </w:rPr>
  </w:style>
  <w:style w:type="paragraph" w:customStyle="1" w:styleId="cr1">
    <w:name w:val="cr1"/>
    <w:basedOn w:val="Normal"/>
    <w:rsid w:val="006C7AA7"/>
    <w:pPr>
      <w:shd w:val="clear" w:color="auto" w:fill="FFFFFF"/>
      <w:spacing w:before="100" w:beforeAutospacing="1" w:after="100" w:afterAutospacing="1"/>
      <w:jc w:val="center"/>
    </w:pPr>
    <w:rPr>
      <w:rFonts w:ascii="Times New Roman" w:eastAsiaTheme="minorEastAsia" w:hAnsi="Times New Roman" w:cs="Times New Roman"/>
      <w:b/>
      <w:bCs/>
      <w:kern w:val="0"/>
      <w:sz w:val="17"/>
      <w:szCs w:val="17"/>
      <w:lang w:eastAsia="en-GB"/>
      <w14:ligatures w14:val="none"/>
    </w:rPr>
  </w:style>
  <w:style w:type="paragraph" w:customStyle="1" w:styleId="cr2">
    <w:name w:val="cr2"/>
    <w:basedOn w:val="Normal"/>
    <w:rsid w:val="006C7AA7"/>
    <w:pPr>
      <w:pBdr>
        <w:right w:val="single" w:sz="6" w:space="4" w:color="CCCCCC"/>
      </w:pBdr>
      <w:shd w:val="clear" w:color="auto" w:fill="F5F5F4"/>
      <w:spacing w:before="100" w:beforeAutospacing="1" w:after="100" w:afterAutospacing="1"/>
      <w:jc w:val="center"/>
    </w:pPr>
    <w:rPr>
      <w:rFonts w:ascii="Times New Roman" w:eastAsiaTheme="minorEastAsia" w:hAnsi="Times New Roman" w:cs="Times New Roman"/>
      <w:kern w:val="0"/>
      <w:sz w:val="17"/>
      <w:szCs w:val="17"/>
      <w:lang w:eastAsia="en-GB"/>
      <w14:ligatures w14:val="none"/>
    </w:rPr>
  </w:style>
  <w:style w:type="paragraph" w:customStyle="1" w:styleId="cd1">
    <w:name w:val="cd1"/>
    <w:basedOn w:val="Normal"/>
    <w:rsid w:val="006C7AA7"/>
    <w:pPr>
      <w:pBdr>
        <w:right w:val="single" w:sz="6" w:space="4" w:color="CCCCCC"/>
      </w:pBdr>
      <w:shd w:val="clear" w:color="auto" w:fill="FFFFFF"/>
      <w:spacing w:before="100" w:beforeAutospacing="1" w:after="100" w:afterAutospacing="1"/>
      <w:jc w:val="center"/>
    </w:pPr>
    <w:rPr>
      <w:rFonts w:ascii="Times New Roman" w:eastAsiaTheme="minorEastAsia" w:hAnsi="Times New Roman" w:cs="Times New Roman"/>
      <w:kern w:val="0"/>
      <w:sz w:val="17"/>
      <w:szCs w:val="17"/>
      <w:lang w:eastAsia="en-GB"/>
      <w14:ligatures w14:val="none"/>
    </w:rPr>
  </w:style>
  <w:style w:type="paragraph" w:customStyle="1" w:styleId="cv1">
    <w:name w:val="cv1"/>
    <w:basedOn w:val="Normal"/>
    <w:rsid w:val="006C7AA7"/>
    <w:pPr>
      <w:shd w:val="clear" w:color="auto" w:fill="FFFFFF"/>
      <w:spacing w:before="100" w:beforeAutospacing="1" w:after="100" w:afterAutospacing="1"/>
    </w:pPr>
    <w:rPr>
      <w:rFonts w:ascii="Times New Roman" w:eastAsiaTheme="minorEastAsia" w:hAnsi="Times New Roman" w:cs="Times New Roman"/>
      <w:kern w:val="0"/>
      <w:sz w:val="17"/>
      <w:szCs w:val="17"/>
      <w:lang w:eastAsia="en-GB"/>
      <w14:ligatures w14:val="none"/>
    </w:rPr>
  </w:style>
  <w:style w:type="paragraph" w:customStyle="1" w:styleId="mattotal1">
    <w:name w:val="mattotal1"/>
    <w:basedOn w:val="Normal"/>
    <w:rsid w:val="006C7AA7"/>
    <w:pPr>
      <w:shd w:val="clear" w:color="auto" w:fill="F5F5F3"/>
      <w:spacing w:before="100" w:beforeAutospacing="1" w:after="100" w:afterAutospacing="1"/>
      <w:jc w:val="center"/>
    </w:pPr>
    <w:rPr>
      <w:rFonts w:ascii="Times New Roman" w:eastAsiaTheme="minorEastAsia" w:hAnsi="Times New Roman" w:cs="Times New Roman"/>
      <w:kern w:val="0"/>
      <w:lang w:eastAsia="en-GB"/>
      <w14:ligatures w14:val="none"/>
    </w:rPr>
  </w:style>
  <w:style w:type="paragraph" w:customStyle="1" w:styleId="keyhead1">
    <w:name w:val="keyhead1"/>
    <w:basedOn w:val="Normal"/>
    <w:rsid w:val="006C7AA7"/>
    <w:pPr>
      <w:spacing w:before="100" w:beforeAutospacing="1" w:after="100" w:afterAutospacing="1"/>
    </w:pPr>
    <w:rPr>
      <w:rFonts w:ascii="Times New Roman" w:eastAsiaTheme="minorEastAsia" w:hAnsi="Times New Roman" w:cs="Times New Roman"/>
      <w:b/>
      <w:bCs/>
      <w:kern w:val="0"/>
      <w:sz w:val="18"/>
      <w:szCs w:val="18"/>
      <w:lang w:eastAsia="en-GB"/>
      <w14:ligatures w14:val="none"/>
    </w:rPr>
  </w:style>
  <w:style w:type="character" w:styleId="PlaceholderText">
    <w:name w:val="Placeholder Text"/>
    <w:basedOn w:val="DefaultParagraphFont"/>
    <w:uiPriority w:val="99"/>
    <w:semiHidden/>
    <w:rsid w:val="009142AA"/>
  </w:style>
  <w:style w:type="numbering" w:customStyle="1" w:styleId="NoList3">
    <w:name w:val="No List3"/>
    <w:next w:val="NoList"/>
    <w:uiPriority w:val="99"/>
    <w:semiHidden/>
    <w:unhideWhenUsed/>
    <w:rsid w:val="003C1CBF"/>
  </w:style>
  <w:style w:type="paragraph" w:styleId="BodyText">
    <w:name w:val="Body Text"/>
    <w:basedOn w:val="Normal"/>
    <w:link w:val="BodyTextChar"/>
    <w:uiPriority w:val="99"/>
    <w:unhideWhenUsed/>
    <w:rsid w:val="003C1CBF"/>
    <w:pPr>
      <w:spacing w:after="120" w:line="276" w:lineRule="auto"/>
    </w:pPr>
    <w:rPr>
      <w:rFonts w:ascii="Cambria" w:eastAsia="MS Mincho" w:hAnsi="Cambria"/>
      <w:kern w:val="0"/>
      <w:sz w:val="22"/>
      <w:szCs w:val="22"/>
      <w:lang w:val="en-US"/>
      <w14:ligatures w14:val="none"/>
    </w:rPr>
  </w:style>
  <w:style w:type="character" w:customStyle="1" w:styleId="BodyTextChar">
    <w:name w:val="Body Text Char"/>
    <w:basedOn w:val="DefaultParagraphFont"/>
    <w:link w:val="BodyText"/>
    <w:uiPriority w:val="99"/>
    <w:rsid w:val="003C1CBF"/>
    <w:rPr>
      <w:rFonts w:ascii="Cambria" w:eastAsia="MS Mincho" w:hAnsi="Cambria"/>
      <w:kern w:val="0"/>
      <w:sz w:val="22"/>
      <w:szCs w:val="22"/>
      <w:lang w:val="en-US"/>
      <w14:ligatures w14:val="none"/>
    </w:rPr>
  </w:style>
  <w:style w:type="paragraph" w:styleId="BodyText2">
    <w:name w:val="Body Text 2"/>
    <w:basedOn w:val="Normal"/>
    <w:link w:val="BodyText2Char"/>
    <w:uiPriority w:val="99"/>
    <w:unhideWhenUsed/>
    <w:rsid w:val="003C1CBF"/>
    <w:pPr>
      <w:spacing w:after="120" w:line="480" w:lineRule="auto"/>
    </w:pPr>
    <w:rPr>
      <w:rFonts w:ascii="Cambria" w:eastAsia="MS Mincho" w:hAnsi="Cambria"/>
      <w:kern w:val="0"/>
      <w:sz w:val="22"/>
      <w:szCs w:val="22"/>
      <w:lang w:val="en-US"/>
      <w14:ligatures w14:val="none"/>
    </w:rPr>
  </w:style>
  <w:style w:type="character" w:customStyle="1" w:styleId="BodyText2Char">
    <w:name w:val="Body Text 2 Char"/>
    <w:basedOn w:val="DefaultParagraphFont"/>
    <w:link w:val="BodyText2"/>
    <w:uiPriority w:val="99"/>
    <w:rsid w:val="003C1CBF"/>
    <w:rPr>
      <w:rFonts w:ascii="Cambria" w:eastAsia="MS Mincho" w:hAnsi="Cambria"/>
      <w:kern w:val="0"/>
      <w:sz w:val="22"/>
      <w:szCs w:val="22"/>
      <w:lang w:val="en-US"/>
      <w14:ligatures w14:val="none"/>
    </w:rPr>
  </w:style>
  <w:style w:type="paragraph" w:styleId="BodyText3">
    <w:name w:val="Body Text 3"/>
    <w:basedOn w:val="Normal"/>
    <w:link w:val="BodyText3Char"/>
    <w:uiPriority w:val="99"/>
    <w:unhideWhenUsed/>
    <w:rsid w:val="003C1CBF"/>
    <w:pPr>
      <w:spacing w:after="120" w:line="276" w:lineRule="auto"/>
    </w:pPr>
    <w:rPr>
      <w:rFonts w:ascii="Cambria" w:eastAsia="MS Mincho" w:hAnsi="Cambria"/>
      <w:kern w:val="0"/>
      <w:sz w:val="16"/>
      <w:szCs w:val="16"/>
      <w:lang w:val="en-US"/>
      <w14:ligatures w14:val="none"/>
    </w:rPr>
  </w:style>
  <w:style w:type="character" w:customStyle="1" w:styleId="BodyText3Char">
    <w:name w:val="Body Text 3 Char"/>
    <w:basedOn w:val="DefaultParagraphFont"/>
    <w:link w:val="BodyText3"/>
    <w:uiPriority w:val="99"/>
    <w:rsid w:val="003C1CBF"/>
    <w:rPr>
      <w:rFonts w:ascii="Cambria" w:eastAsia="MS Mincho" w:hAnsi="Cambria"/>
      <w:kern w:val="0"/>
      <w:sz w:val="16"/>
      <w:szCs w:val="16"/>
      <w:lang w:val="en-US"/>
      <w14:ligatures w14:val="none"/>
    </w:rPr>
  </w:style>
  <w:style w:type="paragraph" w:styleId="List">
    <w:name w:val="List"/>
    <w:basedOn w:val="Normal"/>
    <w:uiPriority w:val="99"/>
    <w:unhideWhenUsed/>
    <w:rsid w:val="003C1CBF"/>
    <w:pPr>
      <w:spacing w:after="200" w:line="276" w:lineRule="auto"/>
      <w:ind w:left="360" w:hanging="360"/>
      <w:contextualSpacing/>
    </w:pPr>
    <w:rPr>
      <w:rFonts w:ascii="Cambria" w:eastAsia="MS Mincho" w:hAnsi="Cambria"/>
      <w:kern w:val="0"/>
      <w:sz w:val="22"/>
      <w:szCs w:val="22"/>
      <w:lang w:val="en-US"/>
      <w14:ligatures w14:val="none"/>
    </w:rPr>
  </w:style>
  <w:style w:type="paragraph" w:styleId="List2">
    <w:name w:val="List 2"/>
    <w:basedOn w:val="Normal"/>
    <w:uiPriority w:val="99"/>
    <w:unhideWhenUsed/>
    <w:rsid w:val="003C1CBF"/>
    <w:pPr>
      <w:spacing w:after="200" w:line="276" w:lineRule="auto"/>
      <w:ind w:left="720" w:hanging="360"/>
      <w:contextualSpacing/>
    </w:pPr>
    <w:rPr>
      <w:rFonts w:ascii="Cambria" w:eastAsia="MS Mincho" w:hAnsi="Cambria"/>
      <w:kern w:val="0"/>
      <w:sz w:val="22"/>
      <w:szCs w:val="22"/>
      <w:lang w:val="en-US"/>
      <w14:ligatures w14:val="none"/>
    </w:rPr>
  </w:style>
  <w:style w:type="paragraph" w:styleId="List3">
    <w:name w:val="List 3"/>
    <w:basedOn w:val="Normal"/>
    <w:uiPriority w:val="99"/>
    <w:unhideWhenUsed/>
    <w:rsid w:val="003C1CBF"/>
    <w:pPr>
      <w:spacing w:after="200" w:line="276" w:lineRule="auto"/>
      <w:ind w:left="1080" w:hanging="360"/>
      <w:contextualSpacing/>
    </w:pPr>
    <w:rPr>
      <w:rFonts w:ascii="Cambria" w:eastAsia="MS Mincho" w:hAnsi="Cambria"/>
      <w:kern w:val="0"/>
      <w:sz w:val="22"/>
      <w:szCs w:val="22"/>
      <w:lang w:val="en-US"/>
      <w14:ligatures w14:val="none"/>
    </w:rPr>
  </w:style>
  <w:style w:type="paragraph" w:styleId="ListBullet3">
    <w:name w:val="List Bullet 3"/>
    <w:basedOn w:val="Normal"/>
    <w:uiPriority w:val="99"/>
    <w:unhideWhenUsed/>
    <w:rsid w:val="003C1CBF"/>
    <w:pPr>
      <w:numPr>
        <w:numId w:val="284"/>
      </w:numPr>
      <w:tabs>
        <w:tab w:val="clear" w:pos="1080"/>
      </w:tabs>
      <w:spacing w:after="200" w:line="276" w:lineRule="auto"/>
      <w:ind w:left="720"/>
      <w:contextualSpacing/>
    </w:pPr>
    <w:rPr>
      <w:rFonts w:ascii="Cambria" w:eastAsia="MS Mincho" w:hAnsi="Cambria"/>
      <w:kern w:val="0"/>
      <w:sz w:val="22"/>
      <w:szCs w:val="22"/>
      <w:lang w:val="en-US"/>
      <w14:ligatures w14:val="none"/>
    </w:rPr>
  </w:style>
  <w:style w:type="paragraph" w:styleId="ListNumber">
    <w:name w:val="List Number"/>
    <w:basedOn w:val="Normal"/>
    <w:uiPriority w:val="99"/>
    <w:unhideWhenUsed/>
    <w:rsid w:val="003C1CBF"/>
    <w:pPr>
      <w:numPr>
        <w:numId w:val="286"/>
      </w:numPr>
      <w:tabs>
        <w:tab w:val="clear" w:pos="360"/>
      </w:tabs>
      <w:spacing w:after="200" w:line="276" w:lineRule="auto"/>
      <w:ind w:left="720"/>
      <w:contextualSpacing/>
    </w:pPr>
    <w:rPr>
      <w:rFonts w:ascii="Cambria" w:eastAsia="MS Mincho" w:hAnsi="Cambria"/>
      <w:kern w:val="0"/>
      <w:sz w:val="22"/>
      <w:szCs w:val="22"/>
      <w:lang w:val="en-US"/>
      <w14:ligatures w14:val="none"/>
    </w:rPr>
  </w:style>
  <w:style w:type="paragraph" w:styleId="ListNumber2">
    <w:name w:val="List Number 2"/>
    <w:basedOn w:val="Normal"/>
    <w:uiPriority w:val="99"/>
    <w:unhideWhenUsed/>
    <w:rsid w:val="003C1CBF"/>
    <w:pPr>
      <w:numPr>
        <w:numId w:val="287"/>
      </w:numPr>
      <w:tabs>
        <w:tab w:val="clear" w:pos="720"/>
      </w:tabs>
      <w:spacing w:after="200" w:line="276" w:lineRule="auto"/>
      <w:contextualSpacing/>
    </w:pPr>
    <w:rPr>
      <w:rFonts w:ascii="Cambria" w:eastAsia="MS Mincho" w:hAnsi="Cambria"/>
      <w:kern w:val="0"/>
      <w:sz w:val="22"/>
      <w:szCs w:val="22"/>
      <w:lang w:val="en-US"/>
      <w14:ligatures w14:val="none"/>
    </w:rPr>
  </w:style>
  <w:style w:type="paragraph" w:styleId="ListNumber3">
    <w:name w:val="List Number 3"/>
    <w:basedOn w:val="Normal"/>
    <w:uiPriority w:val="99"/>
    <w:unhideWhenUsed/>
    <w:rsid w:val="003C1CBF"/>
    <w:pPr>
      <w:numPr>
        <w:numId w:val="288"/>
      </w:numPr>
      <w:tabs>
        <w:tab w:val="clear" w:pos="1080"/>
      </w:tabs>
      <w:spacing w:after="200" w:line="276" w:lineRule="auto"/>
      <w:ind w:left="720"/>
      <w:contextualSpacing/>
    </w:pPr>
    <w:rPr>
      <w:rFonts w:ascii="Cambria" w:eastAsia="MS Mincho" w:hAnsi="Cambria"/>
      <w:kern w:val="0"/>
      <w:sz w:val="22"/>
      <w:szCs w:val="22"/>
      <w:lang w:val="en-US"/>
      <w14:ligatures w14:val="none"/>
    </w:rPr>
  </w:style>
  <w:style w:type="paragraph" w:styleId="ListContinue">
    <w:name w:val="List Continue"/>
    <w:basedOn w:val="Normal"/>
    <w:uiPriority w:val="99"/>
    <w:unhideWhenUsed/>
    <w:rsid w:val="003C1CBF"/>
    <w:pPr>
      <w:spacing w:after="120" w:line="276" w:lineRule="auto"/>
      <w:ind w:left="360"/>
      <w:contextualSpacing/>
    </w:pPr>
    <w:rPr>
      <w:rFonts w:ascii="Cambria" w:eastAsia="MS Mincho" w:hAnsi="Cambria"/>
      <w:kern w:val="0"/>
      <w:sz w:val="22"/>
      <w:szCs w:val="22"/>
      <w:lang w:val="en-US"/>
      <w14:ligatures w14:val="none"/>
    </w:rPr>
  </w:style>
  <w:style w:type="paragraph" w:styleId="ListContinue2">
    <w:name w:val="List Continue 2"/>
    <w:basedOn w:val="Normal"/>
    <w:uiPriority w:val="99"/>
    <w:unhideWhenUsed/>
    <w:rsid w:val="003C1CBF"/>
    <w:pPr>
      <w:spacing w:after="120" w:line="276" w:lineRule="auto"/>
      <w:ind w:left="720"/>
      <w:contextualSpacing/>
    </w:pPr>
    <w:rPr>
      <w:rFonts w:ascii="Cambria" w:eastAsia="MS Mincho" w:hAnsi="Cambria"/>
      <w:kern w:val="0"/>
      <w:sz w:val="22"/>
      <w:szCs w:val="22"/>
      <w:lang w:val="en-US"/>
      <w14:ligatures w14:val="none"/>
    </w:rPr>
  </w:style>
  <w:style w:type="paragraph" w:styleId="ListContinue3">
    <w:name w:val="List Continue 3"/>
    <w:basedOn w:val="Normal"/>
    <w:uiPriority w:val="99"/>
    <w:unhideWhenUsed/>
    <w:rsid w:val="003C1CBF"/>
    <w:pPr>
      <w:spacing w:after="120" w:line="276" w:lineRule="auto"/>
      <w:ind w:left="1080"/>
      <w:contextualSpacing/>
    </w:pPr>
    <w:rPr>
      <w:rFonts w:ascii="Cambria" w:eastAsia="MS Mincho" w:hAnsi="Cambria"/>
      <w:kern w:val="0"/>
      <w:sz w:val="22"/>
      <w:szCs w:val="22"/>
      <w:lang w:val="en-US"/>
      <w14:ligatures w14:val="none"/>
    </w:rPr>
  </w:style>
  <w:style w:type="paragraph" w:styleId="MacroText">
    <w:name w:val="macro"/>
    <w:link w:val="MacroTextChar"/>
    <w:uiPriority w:val="99"/>
    <w:unhideWhenUsed/>
    <w:rsid w:val="003C1CBF"/>
    <w:pPr>
      <w:tabs>
        <w:tab w:val="left" w:pos="576"/>
        <w:tab w:val="left" w:pos="1152"/>
        <w:tab w:val="left" w:pos="1728"/>
        <w:tab w:val="left" w:pos="2304"/>
        <w:tab w:val="left" w:pos="2880"/>
        <w:tab w:val="left" w:pos="3456"/>
        <w:tab w:val="left" w:pos="4032"/>
      </w:tabs>
      <w:spacing w:after="200" w:line="276" w:lineRule="auto"/>
    </w:pPr>
    <w:rPr>
      <w:rFonts w:ascii="Courier" w:eastAsia="MS Mincho" w:hAnsi="Courier"/>
      <w:kern w:val="0"/>
      <w:sz w:val="20"/>
      <w:szCs w:val="20"/>
      <w:lang w:val="en-US"/>
      <w14:ligatures w14:val="none"/>
    </w:rPr>
  </w:style>
  <w:style w:type="character" w:customStyle="1" w:styleId="MacroTextChar">
    <w:name w:val="Macro Text Char"/>
    <w:basedOn w:val="DefaultParagraphFont"/>
    <w:link w:val="MacroText"/>
    <w:uiPriority w:val="99"/>
    <w:rsid w:val="003C1CBF"/>
    <w:rPr>
      <w:rFonts w:ascii="Courier" w:eastAsia="MS Mincho" w:hAnsi="Courier"/>
      <w:kern w:val="0"/>
      <w:sz w:val="20"/>
      <w:szCs w:val="20"/>
      <w:lang w:val="en-US"/>
      <w14:ligatures w14:val="none"/>
    </w:rPr>
  </w:style>
  <w:style w:type="character" w:styleId="Strong">
    <w:name w:val="Strong"/>
    <w:basedOn w:val="DefaultParagraphFont"/>
    <w:uiPriority w:val="22"/>
    <w:qFormat/>
    <w:rsid w:val="003C1CBF"/>
    <w:rPr>
      <w:b/>
      <w:bCs/>
    </w:rPr>
  </w:style>
  <w:style w:type="character" w:styleId="Emphasis">
    <w:name w:val="Emphasis"/>
    <w:basedOn w:val="DefaultParagraphFont"/>
    <w:uiPriority w:val="20"/>
    <w:qFormat/>
    <w:rsid w:val="003C1CBF"/>
    <w:rPr>
      <w:i/>
      <w:iCs/>
    </w:rPr>
  </w:style>
  <w:style w:type="character" w:customStyle="1" w:styleId="SubtleEmphasis1">
    <w:name w:val="Subtle Emphasis1"/>
    <w:basedOn w:val="DefaultParagraphFont"/>
    <w:uiPriority w:val="19"/>
    <w:qFormat/>
    <w:rsid w:val="003C1CBF"/>
    <w:rPr>
      <w:i/>
      <w:iCs/>
      <w:color w:val="808080"/>
    </w:rPr>
  </w:style>
  <w:style w:type="character" w:customStyle="1" w:styleId="SubtleReference1">
    <w:name w:val="Subtle Reference1"/>
    <w:basedOn w:val="DefaultParagraphFont"/>
    <w:uiPriority w:val="31"/>
    <w:qFormat/>
    <w:rsid w:val="003C1CBF"/>
    <w:rPr>
      <w:smallCaps/>
      <w:color w:val="C0504D"/>
      <w:u w:val="single"/>
    </w:rPr>
  </w:style>
  <w:style w:type="character" w:styleId="BookTitle">
    <w:name w:val="Book Title"/>
    <w:basedOn w:val="DefaultParagraphFont"/>
    <w:uiPriority w:val="33"/>
    <w:qFormat/>
    <w:rsid w:val="003C1CBF"/>
    <w:rPr>
      <w:b/>
      <w:bCs/>
      <w:smallCaps/>
      <w:spacing w:val="5"/>
    </w:rPr>
  </w:style>
  <w:style w:type="table" w:customStyle="1" w:styleId="TableGrid7">
    <w:name w:val="Table Grid7"/>
    <w:basedOn w:val="TableNormal"/>
    <w:next w:val="TableGrid"/>
    <w:uiPriority w:val="59"/>
    <w:rsid w:val="003C1CBF"/>
    <w:pPr>
      <w:spacing w:after="0" w:line="240" w:lineRule="auto"/>
    </w:pPr>
    <w:rPr>
      <w:rFonts w:eastAsia="MS Mincho"/>
      <w:kern w:val="0"/>
      <w:sz w:val="22"/>
      <w:szCs w:val="22"/>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next w:val="LightShading"/>
    <w:uiPriority w:val="60"/>
    <w:rsid w:val="003C1CBF"/>
    <w:pPr>
      <w:spacing w:after="0" w:line="240" w:lineRule="auto"/>
    </w:pPr>
    <w:rPr>
      <w:rFonts w:eastAsia="MS Mincho"/>
      <w:color w:val="000000"/>
      <w:kern w:val="0"/>
      <w:sz w:val="22"/>
      <w:szCs w:val="22"/>
      <w:lang w:val="en-US"/>
      <w14:ligatures w14:val="none"/>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1">
    <w:name w:val="Light Shading - Accent 11"/>
    <w:basedOn w:val="TableNormal"/>
    <w:next w:val="LightShading-Accent1"/>
    <w:uiPriority w:val="60"/>
    <w:rsid w:val="003C1CBF"/>
    <w:pPr>
      <w:spacing w:after="0" w:line="240" w:lineRule="auto"/>
    </w:pPr>
    <w:rPr>
      <w:rFonts w:eastAsia="MS Mincho"/>
      <w:color w:val="365F91"/>
      <w:kern w:val="0"/>
      <w:sz w:val="22"/>
      <w:szCs w:val="22"/>
      <w:lang w:val="en-US"/>
      <w14:ligatures w14:val="none"/>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Shading-Accent21">
    <w:name w:val="Light Shading - Accent 21"/>
    <w:basedOn w:val="TableNormal"/>
    <w:next w:val="LightShading-Accent2"/>
    <w:uiPriority w:val="60"/>
    <w:rsid w:val="003C1CBF"/>
    <w:pPr>
      <w:spacing w:after="0" w:line="240" w:lineRule="auto"/>
    </w:pPr>
    <w:rPr>
      <w:rFonts w:eastAsia="MS Mincho"/>
      <w:color w:val="943634"/>
      <w:kern w:val="0"/>
      <w:sz w:val="22"/>
      <w:szCs w:val="22"/>
      <w:lang w:val="en-US"/>
      <w14:ligatures w14:val="none"/>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LightShading-Accent31">
    <w:name w:val="Light Shading - Accent 31"/>
    <w:basedOn w:val="TableNormal"/>
    <w:next w:val="LightShading-Accent3"/>
    <w:uiPriority w:val="60"/>
    <w:rsid w:val="003C1CBF"/>
    <w:pPr>
      <w:spacing w:after="0" w:line="240" w:lineRule="auto"/>
    </w:pPr>
    <w:rPr>
      <w:rFonts w:eastAsia="MS Mincho"/>
      <w:color w:val="76923C"/>
      <w:kern w:val="0"/>
      <w:sz w:val="22"/>
      <w:szCs w:val="22"/>
      <w:lang w:val="en-US"/>
      <w14:ligatures w14:val="none"/>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ghtShading-Accent41">
    <w:name w:val="Light Shading - Accent 41"/>
    <w:basedOn w:val="TableNormal"/>
    <w:next w:val="LightShading-Accent4"/>
    <w:uiPriority w:val="60"/>
    <w:rsid w:val="003C1CBF"/>
    <w:pPr>
      <w:spacing w:after="0" w:line="240" w:lineRule="auto"/>
    </w:pPr>
    <w:rPr>
      <w:rFonts w:eastAsia="MS Mincho"/>
      <w:color w:val="5F497A"/>
      <w:kern w:val="0"/>
      <w:sz w:val="22"/>
      <w:szCs w:val="22"/>
      <w:lang w:val="en-US"/>
      <w14:ligatures w14:val="none"/>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LightShading-Accent52">
    <w:name w:val="Light Shading - Accent 52"/>
    <w:basedOn w:val="TableNormal"/>
    <w:next w:val="LightShading-Accent5"/>
    <w:uiPriority w:val="60"/>
    <w:rsid w:val="003C1CBF"/>
    <w:pPr>
      <w:spacing w:after="0" w:line="240" w:lineRule="auto"/>
    </w:pPr>
    <w:rPr>
      <w:rFonts w:eastAsia="MS Mincho"/>
      <w:color w:val="31849B"/>
      <w:kern w:val="0"/>
      <w:sz w:val="22"/>
      <w:szCs w:val="22"/>
      <w:lang w:val="en-US"/>
      <w14:ligatures w14:val="none"/>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LightShading-Accent61">
    <w:name w:val="Light Shading - Accent 61"/>
    <w:basedOn w:val="TableNormal"/>
    <w:next w:val="LightShading-Accent6"/>
    <w:uiPriority w:val="60"/>
    <w:rsid w:val="003C1CBF"/>
    <w:pPr>
      <w:spacing w:after="0" w:line="240" w:lineRule="auto"/>
    </w:pPr>
    <w:rPr>
      <w:rFonts w:eastAsia="MS Mincho"/>
      <w:color w:val="E36C0A"/>
      <w:kern w:val="0"/>
      <w:sz w:val="22"/>
      <w:szCs w:val="22"/>
      <w:lang w:val="en-US"/>
      <w14:ligatures w14:val="none"/>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LightList1">
    <w:name w:val="Light List1"/>
    <w:basedOn w:val="TableNormal"/>
    <w:next w:val="LightList"/>
    <w:uiPriority w:val="61"/>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1">
    <w:name w:val="Light List - Accent 11"/>
    <w:basedOn w:val="TableNormal"/>
    <w:next w:val="LightList-Accent1"/>
    <w:uiPriority w:val="61"/>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LightList-Accent21">
    <w:name w:val="Light List - Accent 21"/>
    <w:basedOn w:val="TableNormal"/>
    <w:next w:val="LightList-Accent2"/>
    <w:uiPriority w:val="61"/>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LightList-Accent31">
    <w:name w:val="Light List - Accent 31"/>
    <w:basedOn w:val="TableNormal"/>
    <w:next w:val="LightList-Accent3"/>
    <w:uiPriority w:val="61"/>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LightList-Accent41">
    <w:name w:val="Light List - Accent 41"/>
    <w:basedOn w:val="TableNormal"/>
    <w:next w:val="LightList-Accent4"/>
    <w:uiPriority w:val="61"/>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customStyle="1" w:styleId="LightList-Accent51">
    <w:name w:val="Light List - Accent 51"/>
    <w:basedOn w:val="TableNormal"/>
    <w:next w:val="LightList-Accent5"/>
    <w:uiPriority w:val="61"/>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LightList-Accent61">
    <w:name w:val="Light List - Accent 61"/>
    <w:basedOn w:val="TableNormal"/>
    <w:next w:val="LightList-Accent6"/>
    <w:uiPriority w:val="61"/>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customStyle="1" w:styleId="LightGrid1">
    <w:name w:val="Light Grid1"/>
    <w:basedOn w:val="TableNormal"/>
    <w:next w:val="LightGrid"/>
    <w:uiPriority w:val="62"/>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w:eastAsia="MS Gothic" w:hAnsi="Calibri"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w:eastAsia="MS Gothic" w:hAnsi="Calibri"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Accent11">
    <w:name w:val="Light Grid - Accent 11"/>
    <w:basedOn w:val="TableNormal"/>
    <w:next w:val="LightGrid-Accent1"/>
    <w:uiPriority w:val="62"/>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w:eastAsia="MS Gothic" w:hAnsi="Calibri"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w:eastAsia="MS Gothic" w:hAnsi="Calibri"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LightGrid-Accent21">
    <w:name w:val="Light Grid - Accent 21"/>
    <w:basedOn w:val="TableNormal"/>
    <w:next w:val="LightGrid-Accent2"/>
    <w:uiPriority w:val="62"/>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libri" w:eastAsia="MS Gothic" w:hAnsi="Calibri"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libri" w:eastAsia="MS Gothic" w:hAnsi="Calibri"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LightGrid-Accent31">
    <w:name w:val="Light Grid - Accent 31"/>
    <w:basedOn w:val="TableNormal"/>
    <w:next w:val="LightGrid-Accent3"/>
    <w:uiPriority w:val="62"/>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w:eastAsia="MS Gothic" w:hAnsi="Calibri"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w:eastAsia="MS Gothic" w:hAnsi="Calibri"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LightGrid-Accent41">
    <w:name w:val="Light Grid - Accent 41"/>
    <w:basedOn w:val="TableNormal"/>
    <w:next w:val="LightGrid-Accent4"/>
    <w:uiPriority w:val="62"/>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libri" w:eastAsia="MS Gothic" w:hAnsi="Calibri"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libri" w:eastAsia="MS Gothic" w:hAnsi="Calibri"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LightGrid-Accent51">
    <w:name w:val="Light Grid - Accent 51"/>
    <w:basedOn w:val="TableNormal"/>
    <w:next w:val="LightGrid-Accent5"/>
    <w:uiPriority w:val="62"/>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w:eastAsia="MS Gothic" w:hAnsi="Calibri"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w:eastAsia="MS Gothic" w:hAnsi="Calibri"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LightGrid-Accent61">
    <w:name w:val="Light Grid - Accent 61"/>
    <w:basedOn w:val="TableNormal"/>
    <w:next w:val="LightGrid-Accent6"/>
    <w:uiPriority w:val="62"/>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Calibri" w:eastAsia="MS Gothic" w:hAnsi="Calibri"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libri" w:eastAsia="MS Gothic" w:hAnsi="Calibri"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MediumShading11">
    <w:name w:val="Medium Shading 11"/>
    <w:basedOn w:val="TableNormal"/>
    <w:next w:val="MediumShading1"/>
    <w:uiPriority w:val="63"/>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MediumShading1-Accent11">
    <w:name w:val="Medium Shading 1 - Accent 11"/>
    <w:basedOn w:val="TableNormal"/>
    <w:next w:val="MediumShading1-Accent1"/>
    <w:uiPriority w:val="63"/>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21">
    <w:name w:val="Medium Shading 1 - Accent 21"/>
    <w:basedOn w:val="TableNormal"/>
    <w:next w:val="MediumShading1-Accent2"/>
    <w:uiPriority w:val="63"/>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customStyle="1" w:styleId="MediumShading1-Accent31">
    <w:name w:val="Medium Shading 1 - Accent 31"/>
    <w:basedOn w:val="TableNormal"/>
    <w:next w:val="MediumShading1-Accent3"/>
    <w:uiPriority w:val="63"/>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MediumShading1-Accent41">
    <w:name w:val="Medium Shading 1 - Accent 41"/>
    <w:basedOn w:val="TableNormal"/>
    <w:next w:val="MediumShading1-Accent4"/>
    <w:uiPriority w:val="63"/>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customStyle="1" w:styleId="MediumShading1-Accent51">
    <w:name w:val="Medium Shading 1 - Accent 51"/>
    <w:basedOn w:val="TableNormal"/>
    <w:next w:val="MediumShading1-Accent5"/>
    <w:uiPriority w:val="63"/>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customStyle="1" w:styleId="MediumShading1-Accent61">
    <w:name w:val="Medium Shading 1 - Accent 61"/>
    <w:basedOn w:val="TableNormal"/>
    <w:next w:val="MediumShading1-Accent6"/>
    <w:uiPriority w:val="63"/>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MediumShading21">
    <w:name w:val="Medium Shading 21"/>
    <w:basedOn w:val="TableNormal"/>
    <w:next w:val="MediumShading2"/>
    <w:uiPriority w:val="64"/>
    <w:rsid w:val="003C1CBF"/>
    <w:pPr>
      <w:spacing w:after="0" w:line="240" w:lineRule="auto"/>
    </w:pPr>
    <w:rPr>
      <w:rFonts w:eastAsia="MS Mincho"/>
      <w:kern w:val="0"/>
      <w:sz w:val="22"/>
      <w:szCs w:val="22"/>
      <w:lang w:val="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11">
    <w:name w:val="Medium Shading 2 - Accent 11"/>
    <w:basedOn w:val="TableNormal"/>
    <w:next w:val="MediumShading2-Accent1"/>
    <w:uiPriority w:val="64"/>
    <w:rsid w:val="003C1CBF"/>
    <w:pPr>
      <w:spacing w:after="0" w:line="240" w:lineRule="auto"/>
    </w:pPr>
    <w:rPr>
      <w:rFonts w:eastAsia="MS Mincho"/>
      <w:kern w:val="0"/>
      <w:sz w:val="22"/>
      <w:szCs w:val="22"/>
      <w:lang w:val="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21">
    <w:name w:val="Medium Shading 2 - Accent 21"/>
    <w:basedOn w:val="TableNormal"/>
    <w:next w:val="MediumShading2-Accent2"/>
    <w:uiPriority w:val="64"/>
    <w:rsid w:val="003C1CBF"/>
    <w:pPr>
      <w:spacing w:after="0" w:line="240" w:lineRule="auto"/>
    </w:pPr>
    <w:rPr>
      <w:rFonts w:eastAsia="MS Mincho"/>
      <w:kern w:val="0"/>
      <w:sz w:val="22"/>
      <w:szCs w:val="22"/>
      <w:lang w:val="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31">
    <w:name w:val="Medium Shading 2 - Accent 31"/>
    <w:basedOn w:val="TableNormal"/>
    <w:next w:val="MediumShading2-Accent3"/>
    <w:uiPriority w:val="64"/>
    <w:rsid w:val="003C1CBF"/>
    <w:pPr>
      <w:spacing w:after="0" w:line="240" w:lineRule="auto"/>
    </w:pPr>
    <w:rPr>
      <w:rFonts w:eastAsia="MS Mincho"/>
      <w:kern w:val="0"/>
      <w:sz w:val="22"/>
      <w:szCs w:val="22"/>
      <w:lang w:val="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41">
    <w:name w:val="Medium Shading 2 - Accent 41"/>
    <w:basedOn w:val="TableNormal"/>
    <w:next w:val="MediumShading2-Accent4"/>
    <w:uiPriority w:val="64"/>
    <w:rsid w:val="003C1CBF"/>
    <w:pPr>
      <w:spacing w:after="0" w:line="240" w:lineRule="auto"/>
    </w:pPr>
    <w:rPr>
      <w:rFonts w:eastAsia="MS Mincho"/>
      <w:kern w:val="0"/>
      <w:sz w:val="22"/>
      <w:szCs w:val="22"/>
      <w:lang w:val="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1">
    <w:name w:val="Medium Shading 2 - Accent 51"/>
    <w:basedOn w:val="TableNormal"/>
    <w:next w:val="MediumShading2-Accent5"/>
    <w:uiPriority w:val="64"/>
    <w:rsid w:val="003C1CBF"/>
    <w:pPr>
      <w:spacing w:after="0" w:line="240" w:lineRule="auto"/>
    </w:pPr>
    <w:rPr>
      <w:rFonts w:eastAsia="MS Mincho"/>
      <w:kern w:val="0"/>
      <w:sz w:val="22"/>
      <w:szCs w:val="22"/>
      <w:lang w:val="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61">
    <w:name w:val="Medium Shading 2 - Accent 61"/>
    <w:basedOn w:val="TableNormal"/>
    <w:next w:val="MediumShading2-Accent6"/>
    <w:uiPriority w:val="64"/>
    <w:rsid w:val="003C1CBF"/>
    <w:pPr>
      <w:spacing w:after="0" w:line="240" w:lineRule="auto"/>
    </w:pPr>
    <w:rPr>
      <w:rFonts w:eastAsia="MS Mincho"/>
      <w:kern w:val="0"/>
      <w:sz w:val="22"/>
      <w:szCs w:val="22"/>
      <w:lang w:val="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List11">
    <w:name w:val="Medium List 11"/>
    <w:basedOn w:val="TableNormal"/>
    <w:next w:val="MediumList1"/>
    <w:uiPriority w:val="65"/>
    <w:rsid w:val="003C1CBF"/>
    <w:pPr>
      <w:spacing w:after="0" w:line="240" w:lineRule="auto"/>
    </w:pPr>
    <w:rPr>
      <w:rFonts w:eastAsia="MS Mincho"/>
      <w:color w:val="000000"/>
      <w:kern w:val="0"/>
      <w:sz w:val="22"/>
      <w:szCs w:val="22"/>
      <w:lang w:val="en-US"/>
      <w14:ligatures w14:val="none"/>
    </w:rPr>
    <w:tblPr>
      <w:tblStyleRowBandSize w:val="1"/>
      <w:tblStyleColBandSize w:val="1"/>
      <w:tblBorders>
        <w:top w:val="single" w:sz="8" w:space="0" w:color="000000"/>
        <w:bottom w:val="single" w:sz="8" w:space="0" w:color="000000"/>
      </w:tblBorders>
    </w:tblPr>
    <w:tblStylePr w:type="firstRow">
      <w:rPr>
        <w:rFonts w:ascii="Calibri" w:eastAsia="MS Gothic" w:hAnsi="Calibri"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List1-Accent11">
    <w:name w:val="Medium List 1 - Accent 11"/>
    <w:basedOn w:val="TableNormal"/>
    <w:next w:val="MediumList1-Accent1"/>
    <w:uiPriority w:val="65"/>
    <w:rsid w:val="003C1CBF"/>
    <w:pPr>
      <w:spacing w:after="0" w:line="240" w:lineRule="auto"/>
    </w:pPr>
    <w:rPr>
      <w:rFonts w:eastAsia="MS Mincho"/>
      <w:color w:val="000000"/>
      <w:kern w:val="0"/>
      <w:sz w:val="22"/>
      <w:szCs w:val="22"/>
      <w:lang w:val="en-US"/>
      <w14:ligatures w14:val="none"/>
    </w:rPr>
    <w:tblPr>
      <w:tblStyleRowBandSize w:val="1"/>
      <w:tblStyleColBandSize w:val="1"/>
      <w:tblBorders>
        <w:top w:val="single" w:sz="8" w:space="0" w:color="4F81BD"/>
        <w:bottom w:val="single" w:sz="8" w:space="0" w:color="4F81BD"/>
      </w:tblBorders>
    </w:tblPr>
    <w:tblStylePr w:type="firstRow">
      <w:rPr>
        <w:rFonts w:ascii="Calibri" w:eastAsia="MS Gothic" w:hAnsi="Calibri"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customStyle="1" w:styleId="MediumList1-Accent21">
    <w:name w:val="Medium List 1 - Accent 21"/>
    <w:basedOn w:val="TableNormal"/>
    <w:next w:val="MediumList1-Accent2"/>
    <w:uiPriority w:val="65"/>
    <w:rsid w:val="003C1CBF"/>
    <w:pPr>
      <w:spacing w:after="0" w:line="240" w:lineRule="auto"/>
    </w:pPr>
    <w:rPr>
      <w:rFonts w:eastAsia="MS Mincho"/>
      <w:color w:val="000000"/>
      <w:kern w:val="0"/>
      <w:sz w:val="22"/>
      <w:szCs w:val="22"/>
      <w:lang w:val="en-US"/>
      <w14:ligatures w14:val="none"/>
    </w:rPr>
    <w:tblPr>
      <w:tblStyleRowBandSize w:val="1"/>
      <w:tblStyleColBandSize w:val="1"/>
      <w:tblBorders>
        <w:top w:val="single" w:sz="8" w:space="0" w:color="C0504D"/>
        <w:bottom w:val="single" w:sz="8" w:space="0" w:color="C0504D"/>
      </w:tblBorders>
    </w:tblPr>
    <w:tblStylePr w:type="firstRow">
      <w:rPr>
        <w:rFonts w:ascii="Calibri" w:eastAsia="MS Gothic" w:hAnsi="Calibri" w:cs="Times New Roman"/>
      </w:rPr>
      <w:tblPr/>
      <w:tcPr>
        <w:tcBorders>
          <w:top w:val="nil"/>
          <w:bottom w:val="single" w:sz="8" w:space="0" w:color="C0504D"/>
        </w:tcBorders>
      </w:tcPr>
    </w:tblStylePr>
    <w:tblStylePr w:type="lastRow">
      <w:rPr>
        <w:b/>
        <w:bCs/>
        <w:color w:val="1F497D"/>
      </w:rPr>
      <w:tblPr/>
      <w:tcPr>
        <w:tcBorders>
          <w:top w:val="single" w:sz="8" w:space="0" w:color="C0504D"/>
          <w:bottom w:val="single" w:sz="8" w:space="0" w:color="C0504D"/>
        </w:tcBorders>
      </w:tcPr>
    </w:tblStylePr>
    <w:tblStylePr w:type="firstCol">
      <w:rPr>
        <w:b/>
        <w:bCs/>
      </w:rPr>
    </w:tblStylePr>
    <w:tblStylePr w:type="lastCol">
      <w:rPr>
        <w:b/>
        <w:bCs/>
      </w:rPr>
      <w:tblPr/>
      <w:tcPr>
        <w:tcBorders>
          <w:top w:val="single" w:sz="8" w:space="0" w:color="C0504D"/>
          <w:bottom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customStyle="1" w:styleId="MediumList1-Accent31">
    <w:name w:val="Medium List 1 - Accent 31"/>
    <w:basedOn w:val="TableNormal"/>
    <w:next w:val="MediumList1-Accent3"/>
    <w:uiPriority w:val="65"/>
    <w:rsid w:val="003C1CBF"/>
    <w:pPr>
      <w:spacing w:after="0" w:line="240" w:lineRule="auto"/>
    </w:pPr>
    <w:rPr>
      <w:rFonts w:eastAsia="MS Mincho"/>
      <w:color w:val="000000"/>
      <w:kern w:val="0"/>
      <w:sz w:val="22"/>
      <w:szCs w:val="22"/>
      <w:lang w:val="en-US"/>
      <w14:ligatures w14:val="none"/>
    </w:rPr>
    <w:tblPr>
      <w:tblStyleRowBandSize w:val="1"/>
      <w:tblStyleColBandSize w:val="1"/>
      <w:tblBorders>
        <w:top w:val="single" w:sz="8" w:space="0" w:color="9BBB59"/>
        <w:bottom w:val="single" w:sz="8" w:space="0" w:color="9BBB59"/>
      </w:tblBorders>
    </w:tblPr>
    <w:tblStylePr w:type="firstRow">
      <w:rPr>
        <w:rFonts w:ascii="Calibri" w:eastAsia="MS Gothic" w:hAnsi="Calibri"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customStyle="1" w:styleId="MediumList1-Accent41">
    <w:name w:val="Medium List 1 - Accent 41"/>
    <w:basedOn w:val="TableNormal"/>
    <w:next w:val="MediumList1-Accent4"/>
    <w:uiPriority w:val="65"/>
    <w:rsid w:val="003C1CBF"/>
    <w:pPr>
      <w:spacing w:after="0" w:line="240" w:lineRule="auto"/>
    </w:pPr>
    <w:rPr>
      <w:rFonts w:eastAsia="MS Mincho"/>
      <w:color w:val="000000"/>
      <w:kern w:val="0"/>
      <w:sz w:val="22"/>
      <w:szCs w:val="22"/>
      <w:lang w:val="en-US"/>
      <w14:ligatures w14:val="none"/>
    </w:rPr>
    <w:tblPr>
      <w:tblStyleRowBandSize w:val="1"/>
      <w:tblStyleColBandSize w:val="1"/>
      <w:tblBorders>
        <w:top w:val="single" w:sz="8" w:space="0" w:color="8064A2"/>
        <w:bottom w:val="single" w:sz="8" w:space="0" w:color="8064A2"/>
      </w:tblBorders>
    </w:tblPr>
    <w:tblStylePr w:type="firstRow">
      <w:rPr>
        <w:rFonts w:ascii="Calibri" w:eastAsia="MS Gothic" w:hAnsi="Calibri" w:cs="Times New Roman"/>
      </w:rPr>
      <w:tblPr/>
      <w:tcPr>
        <w:tcBorders>
          <w:top w:val="nil"/>
          <w:bottom w:val="single" w:sz="8" w:space="0" w:color="8064A2"/>
        </w:tcBorders>
      </w:tcPr>
    </w:tblStylePr>
    <w:tblStylePr w:type="lastRow">
      <w:rPr>
        <w:b/>
        <w:bCs/>
        <w:color w:val="1F497D"/>
      </w:rPr>
      <w:tblPr/>
      <w:tcPr>
        <w:tcBorders>
          <w:top w:val="single" w:sz="8" w:space="0" w:color="8064A2"/>
          <w:bottom w:val="single" w:sz="8" w:space="0" w:color="8064A2"/>
        </w:tcBorders>
      </w:tcPr>
    </w:tblStylePr>
    <w:tblStylePr w:type="firstCol">
      <w:rPr>
        <w:b/>
        <w:bCs/>
      </w:rPr>
    </w:tblStylePr>
    <w:tblStylePr w:type="lastCol">
      <w:rPr>
        <w:b/>
        <w:bCs/>
      </w:rPr>
      <w:tblPr/>
      <w:tcPr>
        <w:tcBorders>
          <w:top w:val="single" w:sz="8" w:space="0" w:color="8064A2"/>
          <w:bottom w:val="single" w:sz="8" w:space="0" w:color="8064A2"/>
        </w:tcBorders>
      </w:tcPr>
    </w:tblStylePr>
    <w:tblStylePr w:type="band1Vert">
      <w:tblPr/>
      <w:tcPr>
        <w:shd w:val="clear" w:color="auto" w:fill="DFD8E8"/>
      </w:tcPr>
    </w:tblStylePr>
    <w:tblStylePr w:type="band1Horz">
      <w:tblPr/>
      <w:tcPr>
        <w:shd w:val="clear" w:color="auto" w:fill="DFD8E8"/>
      </w:tcPr>
    </w:tblStylePr>
  </w:style>
  <w:style w:type="table" w:customStyle="1" w:styleId="MediumList1-Accent51">
    <w:name w:val="Medium List 1 - Accent 51"/>
    <w:basedOn w:val="TableNormal"/>
    <w:next w:val="MediumList1-Accent5"/>
    <w:uiPriority w:val="65"/>
    <w:rsid w:val="003C1CBF"/>
    <w:pPr>
      <w:spacing w:after="0" w:line="240" w:lineRule="auto"/>
    </w:pPr>
    <w:rPr>
      <w:rFonts w:eastAsia="MS Mincho"/>
      <w:color w:val="000000"/>
      <w:kern w:val="0"/>
      <w:sz w:val="22"/>
      <w:szCs w:val="22"/>
      <w:lang w:val="en-US"/>
      <w14:ligatures w14:val="none"/>
    </w:rPr>
    <w:tblPr>
      <w:tblStyleRowBandSize w:val="1"/>
      <w:tblStyleColBandSize w:val="1"/>
      <w:tblBorders>
        <w:top w:val="single" w:sz="8" w:space="0" w:color="4BACC6"/>
        <w:bottom w:val="single" w:sz="8" w:space="0" w:color="4BACC6"/>
      </w:tblBorders>
    </w:tblPr>
    <w:tblStylePr w:type="firstRow">
      <w:rPr>
        <w:rFonts w:ascii="Calibri" w:eastAsia="MS Gothic" w:hAnsi="Calibri" w:cs="Times New Roman"/>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customStyle="1" w:styleId="MediumList1-Accent61">
    <w:name w:val="Medium List 1 - Accent 61"/>
    <w:basedOn w:val="TableNormal"/>
    <w:next w:val="MediumList1-Accent6"/>
    <w:uiPriority w:val="65"/>
    <w:rsid w:val="003C1CBF"/>
    <w:pPr>
      <w:spacing w:after="0" w:line="240" w:lineRule="auto"/>
    </w:pPr>
    <w:rPr>
      <w:rFonts w:eastAsia="MS Mincho"/>
      <w:color w:val="000000"/>
      <w:kern w:val="0"/>
      <w:sz w:val="22"/>
      <w:szCs w:val="22"/>
      <w:lang w:val="en-US"/>
      <w14:ligatures w14:val="none"/>
    </w:rPr>
    <w:tblPr>
      <w:tblStyleRowBandSize w:val="1"/>
      <w:tblStyleColBandSize w:val="1"/>
      <w:tblBorders>
        <w:top w:val="single" w:sz="8" w:space="0" w:color="F79646"/>
        <w:bottom w:val="single" w:sz="8" w:space="0" w:color="F79646"/>
      </w:tblBorders>
    </w:tblPr>
    <w:tblStylePr w:type="firstRow">
      <w:rPr>
        <w:rFonts w:ascii="Calibri" w:eastAsia="MS Gothic" w:hAnsi="Calibri" w:cs="Times New Roman"/>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customStyle="1" w:styleId="MediumList21">
    <w:name w:val="Medium List 21"/>
    <w:basedOn w:val="TableNormal"/>
    <w:next w:val="MediumList2"/>
    <w:uiPriority w:val="66"/>
    <w:rsid w:val="003C1CBF"/>
    <w:pPr>
      <w:spacing w:after="0" w:line="240" w:lineRule="auto"/>
    </w:pPr>
    <w:rPr>
      <w:rFonts w:ascii="Calibri" w:eastAsia="MS Gothic" w:hAnsi="Calibri" w:cs="Times New Roman"/>
      <w:color w:val="000000"/>
      <w:kern w:val="0"/>
      <w:sz w:val="22"/>
      <w:szCs w:val="22"/>
      <w:lang w:val="en-US"/>
      <w14:ligatures w14:val="none"/>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MediumList2-Accent11">
    <w:name w:val="Medium List 2 - Accent 11"/>
    <w:basedOn w:val="TableNormal"/>
    <w:next w:val="MediumList2-Accent1"/>
    <w:uiPriority w:val="66"/>
    <w:rsid w:val="003C1CBF"/>
    <w:pPr>
      <w:spacing w:after="0" w:line="240" w:lineRule="auto"/>
    </w:pPr>
    <w:rPr>
      <w:rFonts w:ascii="Calibri" w:eastAsia="MS Gothic" w:hAnsi="Calibri" w:cs="Times New Roman"/>
      <w:color w:val="000000"/>
      <w:kern w:val="0"/>
      <w:sz w:val="22"/>
      <w:szCs w:val="22"/>
      <w:lang w:val="en-US"/>
      <w14:ligatures w14:val="none"/>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customStyle="1" w:styleId="MediumList2-Accent21">
    <w:name w:val="Medium List 2 - Accent 21"/>
    <w:basedOn w:val="TableNormal"/>
    <w:next w:val="MediumList2-Accent2"/>
    <w:uiPriority w:val="66"/>
    <w:rsid w:val="003C1CBF"/>
    <w:pPr>
      <w:spacing w:after="0" w:line="240" w:lineRule="auto"/>
    </w:pPr>
    <w:rPr>
      <w:rFonts w:ascii="Calibri" w:eastAsia="MS Gothic" w:hAnsi="Calibri" w:cs="Times New Roman"/>
      <w:color w:val="000000"/>
      <w:kern w:val="0"/>
      <w:sz w:val="22"/>
      <w:szCs w:val="22"/>
      <w:lang w:val="en-US"/>
      <w14:ligatures w14:val="none"/>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customStyle="1" w:styleId="MediumList2-Accent31">
    <w:name w:val="Medium List 2 - Accent 31"/>
    <w:basedOn w:val="TableNormal"/>
    <w:next w:val="MediumList2-Accent3"/>
    <w:uiPriority w:val="66"/>
    <w:rsid w:val="003C1CBF"/>
    <w:pPr>
      <w:spacing w:after="0" w:line="240" w:lineRule="auto"/>
    </w:pPr>
    <w:rPr>
      <w:rFonts w:ascii="Calibri" w:eastAsia="MS Gothic" w:hAnsi="Calibri" w:cs="Times New Roman"/>
      <w:color w:val="000000"/>
      <w:kern w:val="0"/>
      <w:sz w:val="22"/>
      <w:szCs w:val="22"/>
      <w:lang w:val="en-US"/>
      <w14:ligatures w14:val="none"/>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customStyle="1" w:styleId="MediumList2-Accent41">
    <w:name w:val="Medium List 2 - Accent 41"/>
    <w:basedOn w:val="TableNormal"/>
    <w:next w:val="MediumList2-Accent4"/>
    <w:uiPriority w:val="66"/>
    <w:rsid w:val="003C1CBF"/>
    <w:pPr>
      <w:spacing w:after="0" w:line="240" w:lineRule="auto"/>
    </w:pPr>
    <w:rPr>
      <w:rFonts w:ascii="Calibri" w:eastAsia="MS Gothic" w:hAnsi="Calibri" w:cs="Times New Roman"/>
      <w:color w:val="000000"/>
      <w:kern w:val="0"/>
      <w:sz w:val="22"/>
      <w:szCs w:val="22"/>
      <w:lang w:val="en-US"/>
      <w14:ligatures w14:val="none"/>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nil"/>
          <w:bottom w:val="single" w:sz="24" w:space="0" w:color="8064A2"/>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single" w:sz="8" w:space="0" w:color="8064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customStyle="1" w:styleId="MediumList2-Accent51">
    <w:name w:val="Medium List 2 - Accent 51"/>
    <w:basedOn w:val="TableNormal"/>
    <w:next w:val="MediumList2-Accent5"/>
    <w:uiPriority w:val="66"/>
    <w:rsid w:val="003C1CBF"/>
    <w:pPr>
      <w:spacing w:after="0" w:line="240" w:lineRule="auto"/>
    </w:pPr>
    <w:rPr>
      <w:rFonts w:ascii="Calibri" w:eastAsia="MS Gothic" w:hAnsi="Calibri" w:cs="Times New Roman"/>
      <w:color w:val="000000"/>
      <w:kern w:val="0"/>
      <w:sz w:val="22"/>
      <w:szCs w:val="22"/>
      <w:lang w:val="en-US"/>
      <w14:ligatures w14:val="none"/>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nil"/>
          <w:bottom w:val="single" w:sz="24" w:space="0" w:color="4BACC6"/>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single" w:sz="8" w:space="0" w:color="4BACC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customStyle="1" w:styleId="MediumList2-Accent61">
    <w:name w:val="Medium List 2 - Accent 61"/>
    <w:basedOn w:val="TableNormal"/>
    <w:next w:val="MediumList2-Accent6"/>
    <w:uiPriority w:val="66"/>
    <w:rsid w:val="003C1CBF"/>
    <w:pPr>
      <w:spacing w:after="0" w:line="240" w:lineRule="auto"/>
    </w:pPr>
    <w:rPr>
      <w:rFonts w:ascii="Calibri" w:eastAsia="MS Gothic" w:hAnsi="Calibri" w:cs="Times New Roman"/>
      <w:color w:val="000000"/>
      <w:kern w:val="0"/>
      <w:sz w:val="22"/>
      <w:szCs w:val="22"/>
      <w:lang w:val="en-US"/>
      <w14:ligatures w14:val="none"/>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rPr>
        <w:sz w:val="24"/>
        <w:szCs w:val="24"/>
      </w:rPr>
      <w:tblPr/>
      <w:tcPr>
        <w:tcBorders>
          <w:top w:val="nil"/>
          <w:left w:val="nil"/>
          <w:bottom w:val="single" w:sz="24" w:space="0" w:color="F79646"/>
          <w:right w:val="nil"/>
          <w:insideH w:val="nil"/>
          <w:insideV w:val="nil"/>
        </w:tcBorders>
        <w:shd w:val="clear" w:color="auto" w:fill="FFFFFF"/>
      </w:tcPr>
    </w:tblStylePr>
    <w:tblStylePr w:type="lastRow">
      <w:tblPr/>
      <w:tcPr>
        <w:tcBorders>
          <w:top w:val="single" w:sz="8" w:space="0" w:color="F79646"/>
          <w:left w:val="nil"/>
          <w:bottom w:val="nil"/>
          <w:right w:val="nil"/>
          <w:insideH w:val="nil"/>
          <w:insideV w:val="nil"/>
        </w:tcBorders>
        <w:shd w:val="clear" w:color="auto" w:fill="FFFFFF"/>
      </w:tcPr>
    </w:tblStylePr>
    <w:tblStylePr w:type="firstCol">
      <w:tblPr/>
      <w:tcPr>
        <w:tcBorders>
          <w:top w:val="nil"/>
          <w:left w:val="nil"/>
          <w:bottom w:val="nil"/>
          <w:right w:val="single" w:sz="8" w:space="0" w:color="F79646"/>
          <w:insideH w:val="nil"/>
          <w:insideV w:val="nil"/>
        </w:tcBorders>
        <w:shd w:val="clear" w:color="auto" w:fill="FFFFFF"/>
      </w:tcPr>
    </w:tblStylePr>
    <w:tblStylePr w:type="lastCol">
      <w:tblPr/>
      <w:tcPr>
        <w:tcBorders>
          <w:top w:val="nil"/>
          <w:left w:val="single" w:sz="8" w:space="0" w:color="F7964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DE4D0"/>
      </w:tcPr>
    </w:tblStylePr>
    <w:tblStylePr w:type="band1Horz">
      <w:tblPr/>
      <w:tcPr>
        <w:tcBorders>
          <w:top w:val="nil"/>
          <w:bottom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customStyle="1" w:styleId="MediumGrid11">
    <w:name w:val="Medium Grid 11"/>
    <w:basedOn w:val="TableNormal"/>
    <w:next w:val="MediumGrid1"/>
    <w:uiPriority w:val="67"/>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MediumGrid1-Accent11">
    <w:name w:val="Medium Grid 1 - Accent 11"/>
    <w:basedOn w:val="TableNormal"/>
    <w:next w:val="MediumGrid1-Accent1"/>
    <w:uiPriority w:val="67"/>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MediumGrid1-Accent21">
    <w:name w:val="Medium Grid 1 - Accent 21"/>
    <w:basedOn w:val="TableNormal"/>
    <w:next w:val="MediumGrid1-Accent2"/>
    <w:uiPriority w:val="67"/>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customStyle="1" w:styleId="MediumGrid1-Accent31">
    <w:name w:val="Medium Grid 1 - Accent 31"/>
    <w:basedOn w:val="TableNormal"/>
    <w:next w:val="MediumGrid1-Accent3"/>
    <w:uiPriority w:val="67"/>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MediumGrid1-Accent41">
    <w:name w:val="Medium Grid 1 - Accent 41"/>
    <w:basedOn w:val="TableNormal"/>
    <w:next w:val="MediumGrid1-Accent4"/>
    <w:uiPriority w:val="67"/>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MediumGrid1-Accent51">
    <w:name w:val="Medium Grid 1 - Accent 51"/>
    <w:basedOn w:val="TableNormal"/>
    <w:next w:val="MediumGrid1-Accent5"/>
    <w:uiPriority w:val="67"/>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customStyle="1" w:styleId="MediumGrid1-Accent61">
    <w:name w:val="Medium Grid 1 - Accent 61"/>
    <w:basedOn w:val="TableNormal"/>
    <w:next w:val="MediumGrid1-Accent6"/>
    <w:uiPriority w:val="67"/>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customStyle="1" w:styleId="MediumGrid21">
    <w:name w:val="Medium Grid 21"/>
    <w:basedOn w:val="TableNormal"/>
    <w:next w:val="MediumGrid2"/>
    <w:uiPriority w:val="68"/>
    <w:rsid w:val="003C1CBF"/>
    <w:pPr>
      <w:spacing w:after="0" w:line="240" w:lineRule="auto"/>
    </w:pPr>
    <w:rPr>
      <w:rFonts w:ascii="Calibri" w:eastAsia="MS Gothic" w:hAnsi="Calibri" w:cs="Times New Roman"/>
      <w:color w:val="000000"/>
      <w:kern w:val="0"/>
      <w:sz w:val="22"/>
      <w:szCs w:val="22"/>
      <w:lang w:val="en-US"/>
      <w14:ligatures w14:val="none"/>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MediumGrid2-Accent11">
    <w:name w:val="Medium Grid 2 - Accent 11"/>
    <w:basedOn w:val="TableNormal"/>
    <w:next w:val="MediumGrid2-Accent1"/>
    <w:uiPriority w:val="68"/>
    <w:rsid w:val="003C1CBF"/>
    <w:pPr>
      <w:spacing w:after="0" w:line="240" w:lineRule="auto"/>
    </w:pPr>
    <w:rPr>
      <w:rFonts w:ascii="Calibri" w:eastAsia="MS Gothic" w:hAnsi="Calibri" w:cs="Times New Roman"/>
      <w:color w:val="000000"/>
      <w:kern w:val="0"/>
      <w:sz w:val="22"/>
      <w:szCs w:val="22"/>
      <w:lang w:val="en-US"/>
      <w14:ligatures w14:val="none"/>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table" w:customStyle="1" w:styleId="MediumGrid2-Accent21">
    <w:name w:val="Medium Grid 2 - Accent 21"/>
    <w:basedOn w:val="TableNormal"/>
    <w:next w:val="MediumGrid2-Accent2"/>
    <w:uiPriority w:val="68"/>
    <w:rsid w:val="003C1CBF"/>
    <w:pPr>
      <w:spacing w:after="0" w:line="240" w:lineRule="auto"/>
    </w:pPr>
    <w:rPr>
      <w:rFonts w:ascii="Calibri" w:eastAsia="MS Gothic" w:hAnsi="Calibri" w:cs="Times New Roman"/>
      <w:color w:val="000000"/>
      <w:kern w:val="0"/>
      <w:sz w:val="22"/>
      <w:szCs w:val="22"/>
      <w:lang w:val="en-US"/>
      <w14:ligatures w14:val="none"/>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customStyle="1" w:styleId="MediumGrid2-Accent31">
    <w:name w:val="Medium Grid 2 - Accent 31"/>
    <w:basedOn w:val="TableNormal"/>
    <w:next w:val="MediumGrid2-Accent3"/>
    <w:uiPriority w:val="68"/>
    <w:rsid w:val="003C1CBF"/>
    <w:pPr>
      <w:spacing w:after="0" w:line="240" w:lineRule="auto"/>
    </w:pPr>
    <w:rPr>
      <w:rFonts w:ascii="Calibri" w:eastAsia="MS Gothic" w:hAnsi="Calibri" w:cs="Times New Roman"/>
      <w:color w:val="000000"/>
      <w:kern w:val="0"/>
      <w:sz w:val="22"/>
      <w:szCs w:val="22"/>
      <w:lang w:val="en-US"/>
      <w14:ligatures w14:val="none"/>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customStyle="1" w:styleId="MediumGrid2-Accent41">
    <w:name w:val="Medium Grid 2 - Accent 41"/>
    <w:basedOn w:val="TableNormal"/>
    <w:next w:val="MediumGrid2-Accent4"/>
    <w:uiPriority w:val="68"/>
    <w:rsid w:val="003C1CBF"/>
    <w:pPr>
      <w:spacing w:after="0" w:line="240" w:lineRule="auto"/>
    </w:pPr>
    <w:rPr>
      <w:rFonts w:ascii="Calibri" w:eastAsia="MS Gothic" w:hAnsi="Calibri" w:cs="Times New Roman"/>
      <w:color w:val="000000"/>
      <w:kern w:val="0"/>
      <w:sz w:val="22"/>
      <w:szCs w:val="22"/>
      <w:lang w:val="en-US"/>
      <w14:ligatures w14:val="none"/>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MediumGrid2-Accent51">
    <w:name w:val="Medium Grid 2 - Accent 51"/>
    <w:basedOn w:val="TableNormal"/>
    <w:next w:val="MediumGrid2-Accent5"/>
    <w:uiPriority w:val="68"/>
    <w:rsid w:val="003C1CBF"/>
    <w:pPr>
      <w:spacing w:after="0" w:line="240" w:lineRule="auto"/>
    </w:pPr>
    <w:rPr>
      <w:rFonts w:ascii="Calibri" w:eastAsia="MS Gothic" w:hAnsi="Calibri" w:cs="Times New Roman"/>
      <w:color w:val="000000"/>
      <w:kern w:val="0"/>
      <w:sz w:val="22"/>
      <w:szCs w:val="22"/>
      <w:lang w:val="en-US"/>
      <w14:ligatures w14:val="none"/>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MediumGrid2-Accent61">
    <w:name w:val="Medium Grid 2 - Accent 61"/>
    <w:basedOn w:val="TableNormal"/>
    <w:next w:val="MediumGrid2-Accent6"/>
    <w:uiPriority w:val="68"/>
    <w:rsid w:val="003C1CBF"/>
    <w:pPr>
      <w:spacing w:after="0" w:line="240" w:lineRule="auto"/>
    </w:pPr>
    <w:rPr>
      <w:rFonts w:ascii="Calibri" w:eastAsia="MS Gothic" w:hAnsi="Calibri" w:cs="Times New Roman"/>
      <w:color w:val="000000"/>
      <w:kern w:val="0"/>
      <w:sz w:val="22"/>
      <w:szCs w:val="22"/>
      <w:lang w:val="en-US"/>
      <w14:ligatures w14:val="none"/>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MediumGrid31">
    <w:name w:val="Medium Grid 31"/>
    <w:basedOn w:val="TableNormal"/>
    <w:next w:val="MediumGrid3"/>
    <w:uiPriority w:val="69"/>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MediumGrid3-Accent11">
    <w:name w:val="Medium Grid 3 - Accent 11"/>
    <w:basedOn w:val="TableNormal"/>
    <w:next w:val="MediumGrid3-Accent1"/>
    <w:uiPriority w:val="69"/>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MediumGrid3-Accent21">
    <w:name w:val="Medium Grid 3 - Accent 21"/>
    <w:basedOn w:val="TableNormal"/>
    <w:next w:val="MediumGrid3-Accent2"/>
    <w:uiPriority w:val="69"/>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customStyle="1" w:styleId="MediumGrid3-Accent31">
    <w:name w:val="Medium Grid 3 - Accent 31"/>
    <w:basedOn w:val="TableNormal"/>
    <w:next w:val="MediumGrid3-Accent3"/>
    <w:uiPriority w:val="69"/>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MediumGrid3-Accent41">
    <w:name w:val="Medium Grid 3 - Accent 41"/>
    <w:basedOn w:val="TableNormal"/>
    <w:next w:val="MediumGrid3-Accent4"/>
    <w:uiPriority w:val="69"/>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MediumGrid3-Accent51">
    <w:name w:val="Medium Grid 3 - Accent 51"/>
    <w:basedOn w:val="TableNormal"/>
    <w:next w:val="MediumGrid3-Accent5"/>
    <w:uiPriority w:val="69"/>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MediumGrid3-Accent61">
    <w:name w:val="Medium Grid 3 - Accent 61"/>
    <w:basedOn w:val="TableNormal"/>
    <w:next w:val="MediumGrid3-Accent6"/>
    <w:uiPriority w:val="69"/>
    <w:rsid w:val="003C1CBF"/>
    <w:pPr>
      <w:spacing w:after="0" w:line="240" w:lineRule="auto"/>
    </w:pPr>
    <w:rPr>
      <w:rFonts w:eastAsia="MS Mincho"/>
      <w:kern w:val="0"/>
      <w:sz w:val="22"/>
      <w:szCs w:val="22"/>
      <w:lang w:val="en-US"/>
      <w14:ligatures w14:val="none"/>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DarkList1">
    <w:name w:val="Dark List1"/>
    <w:basedOn w:val="TableNormal"/>
    <w:next w:val="DarkList"/>
    <w:uiPriority w:val="70"/>
    <w:rsid w:val="003C1CBF"/>
    <w:pPr>
      <w:spacing w:after="0" w:line="240" w:lineRule="auto"/>
    </w:pPr>
    <w:rPr>
      <w:rFonts w:eastAsia="MS Mincho"/>
      <w:color w:val="FFFFFF"/>
      <w:kern w:val="0"/>
      <w:sz w:val="22"/>
      <w:szCs w:val="22"/>
      <w:lang w:val="en-US"/>
      <w14:ligatures w14:val="none"/>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DarkList-Accent11">
    <w:name w:val="Dark List - Accent 11"/>
    <w:basedOn w:val="TableNormal"/>
    <w:next w:val="DarkList-Accent1"/>
    <w:uiPriority w:val="70"/>
    <w:rsid w:val="003C1CBF"/>
    <w:pPr>
      <w:spacing w:after="0" w:line="240" w:lineRule="auto"/>
    </w:pPr>
    <w:rPr>
      <w:rFonts w:eastAsia="MS Mincho"/>
      <w:color w:val="FFFFFF"/>
      <w:kern w:val="0"/>
      <w:sz w:val="22"/>
      <w:szCs w:val="22"/>
      <w:lang w:val="en-US"/>
      <w14:ligatures w14:val="none"/>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DarkList-Accent21">
    <w:name w:val="Dark List - Accent 21"/>
    <w:basedOn w:val="TableNormal"/>
    <w:next w:val="DarkList-Accent2"/>
    <w:uiPriority w:val="70"/>
    <w:rsid w:val="003C1CBF"/>
    <w:pPr>
      <w:spacing w:after="0" w:line="240" w:lineRule="auto"/>
    </w:pPr>
    <w:rPr>
      <w:rFonts w:eastAsia="MS Mincho"/>
      <w:color w:val="FFFFFF"/>
      <w:kern w:val="0"/>
      <w:sz w:val="22"/>
      <w:szCs w:val="22"/>
      <w:lang w:val="en-US"/>
      <w14:ligatures w14:val="none"/>
    </w:rPr>
    <w:tblPr>
      <w:tblStyleRowBandSize w:val="1"/>
      <w:tblStyleColBandSize w:val="1"/>
    </w:tblPr>
    <w:tcPr>
      <w:shd w:val="clear" w:color="auto" w:fill="C0504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single" w:sz="18" w:space="0" w:color="FFFFFF"/>
          <w:bottom w:val="nil"/>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customStyle="1" w:styleId="DarkList-Accent31">
    <w:name w:val="Dark List - Accent 31"/>
    <w:basedOn w:val="TableNormal"/>
    <w:next w:val="DarkList-Accent3"/>
    <w:uiPriority w:val="70"/>
    <w:rsid w:val="003C1CBF"/>
    <w:pPr>
      <w:spacing w:after="0" w:line="240" w:lineRule="auto"/>
    </w:pPr>
    <w:rPr>
      <w:rFonts w:eastAsia="MS Mincho"/>
      <w:color w:val="FFFFFF"/>
      <w:kern w:val="0"/>
      <w:sz w:val="22"/>
      <w:szCs w:val="22"/>
      <w:lang w:val="en-US"/>
      <w14:ligatures w14:val="none"/>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DarkList-Accent41">
    <w:name w:val="Dark List - Accent 41"/>
    <w:basedOn w:val="TableNormal"/>
    <w:next w:val="DarkList-Accent4"/>
    <w:uiPriority w:val="70"/>
    <w:rsid w:val="003C1CBF"/>
    <w:pPr>
      <w:spacing w:after="0" w:line="240" w:lineRule="auto"/>
    </w:pPr>
    <w:rPr>
      <w:rFonts w:eastAsia="MS Mincho"/>
      <w:color w:val="FFFFFF"/>
      <w:kern w:val="0"/>
      <w:sz w:val="22"/>
      <w:szCs w:val="22"/>
      <w:lang w:val="en-US"/>
      <w14:ligatures w14:val="none"/>
    </w:rPr>
    <w:tblPr>
      <w:tblStyleRowBandSize w:val="1"/>
      <w:tblStyleColBandSize w:val="1"/>
    </w:tblPr>
    <w:tcPr>
      <w:shd w:val="clear" w:color="auto" w:fill="8064A2"/>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single" w:sz="18" w:space="0" w:color="FFFFFF"/>
          <w:bottom w:val="nil"/>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customStyle="1" w:styleId="DarkList-Accent51">
    <w:name w:val="Dark List - Accent 51"/>
    <w:basedOn w:val="TableNormal"/>
    <w:next w:val="DarkList-Accent5"/>
    <w:uiPriority w:val="70"/>
    <w:rsid w:val="003C1CBF"/>
    <w:pPr>
      <w:spacing w:after="0" w:line="240" w:lineRule="auto"/>
    </w:pPr>
    <w:rPr>
      <w:rFonts w:eastAsia="MS Mincho"/>
      <w:color w:val="FFFFFF"/>
      <w:kern w:val="0"/>
      <w:sz w:val="22"/>
      <w:szCs w:val="22"/>
      <w:lang w:val="en-US"/>
      <w14:ligatures w14:val="none"/>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DarkList-Accent61">
    <w:name w:val="Dark List - Accent 61"/>
    <w:basedOn w:val="TableNormal"/>
    <w:next w:val="DarkList-Accent6"/>
    <w:uiPriority w:val="70"/>
    <w:rsid w:val="003C1CBF"/>
    <w:pPr>
      <w:spacing w:after="0" w:line="240" w:lineRule="auto"/>
    </w:pPr>
    <w:rPr>
      <w:rFonts w:eastAsia="MS Mincho"/>
      <w:color w:val="FFFFFF"/>
      <w:kern w:val="0"/>
      <w:sz w:val="22"/>
      <w:szCs w:val="22"/>
      <w:lang w:val="en-US"/>
      <w14:ligatures w14:val="none"/>
    </w:rPr>
    <w:tblPr>
      <w:tblStyleRowBandSize w:val="1"/>
      <w:tblStyleColBandSize w:val="1"/>
    </w:tblPr>
    <w:tcPr>
      <w:shd w:val="clear" w:color="auto" w:fill="F7964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single" w:sz="18" w:space="0" w:color="FFFFFF"/>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customStyle="1" w:styleId="ColourfulShading1">
    <w:name w:val="Colourful Shading1"/>
    <w:basedOn w:val="TableNormal"/>
    <w:next w:val="ColourfulShading"/>
    <w:uiPriority w:val="71"/>
    <w:rsid w:val="003C1CBF"/>
    <w:pPr>
      <w:spacing w:after="0" w:line="240" w:lineRule="auto"/>
    </w:pPr>
    <w:rPr>
      <w:rFonts w:eastAsia="MS Mincho"/>
      <w:color w:val="000000"/>
      <w:kern w:val="0"/>
      <w:sz w:val="22"/>
      <w:szCs w:val="22"/>
      <w:lang w:val="en-US"/>
      <w14:ligatures w14:val="none"/>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ColourfulShadingAccent11">
    <w:name w:val="Colourful Shading – Accent 11"/>
    <w:basedOn w:val="TableNormal"/>
    <w:next w:val="ColourfulShadingAccent1"/>
    <w:uiPriority w:val="71"/>
    <w:rsid w:val="003C1CBF"/>
    <w:pPr>
      <w:spacing w:after="0" w:line="240" w:lineRule="auto"/>
    </w:pPr>
    <w:rPr>
      <w:rFonts w:eastAsia="MS Mincho"/>
      <w:color w:val="000000"/>
      <w:kern w:val="0"/>
      <w:sz w:val="22"/>
      <w:szCs w:val="22"/>
      <w:lang w:val="en-US"/>
      <w14:ligatures w14:val="none"/>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customStyle="1" w:styleId="ColourfulShadingAccent21">
    <w:name w:val="Colourful Shading – Accent 21"/>
    <w:basedOn w:val="TableNormal"/>
    <w:next w:val="ColourfulShadingAccent2"/>
    <w:uiPriority w:val="71"/>
    <w:rsid w:val="003C1CBF"/>
    <w:pPr>
      <w:spacing w:after="0" w:line="240" w:lineRule="auto"/>
    </w:pPr>
    <w:rPr>
      <w:rFonts w:eastAsia="MS Mincho"/>
      <w:color w:val="000000"/>
      <w:kern w:val="0"/>
      <w:sz w:val="22"/>
      <w:szCs w:val="22"/>
      <w:lang w:val="en-US"/>
      <w14:ligatures w14:val="none"/>
    </w:rPr>
    <w:tblPr>
      <w:tblStyleRowBandSize w:val="1"/>
      <w:tblStyleColBandSize w:val="1"/>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tblPr>
    <w:tcPr>
      <w:shd w:val="clear" w:color="auto" w:fill="F8EDED"/>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772C2A"/>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customStyle="1" w:styleId="ColourfulShadingAccent31">
    <w:name w:val="Colourful Shading – Accent 31"/>
    <w:basedOn w:val="TableNormal"/>
    <w:next w:val="ColourfulShadingAccent3"/>
    <w:uiPriority w:val="71"/>
    <w:rsid w:val="003C1CBF"/>
    <w:pPr>
      <w:spacing w:after="0" w:line="240" w:lineRule="auto"/>
    </w:pPr>
    <w:rPr>
      <w:rFonts w:eastAsia="MS Mincho"/>
      <w:color w:val="000000"/>
      <w:kern w:val="0"/>
      <w:sz w:val="22"/>
      <w:szCs w:val="22"/>
      <w:lang w:val="en-US"/>
      <w14:ligatures w14:val="none"/>
    </w:rPr>
    <w:tblPr>
      <w:tblStyleRowBandSize w:val="1"/>
      <w:tblStyleColBandSize w:val="1"/>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Pr>
    <w:tcPr>
      <w:shd w:val="clear" w:color="auto" w:fill="F5F8EE"/>
    </w:tcPr>
    <w:tblStylePr w:type="firstRow">
      <w:rPr>
        <w:b/>
        <w:bCs/>
      </w:rPr>
      <w:tblPr/>
      <w:tcPr>
        <w:tcBorders>
          <w:top w:val="nil"/>
          <w:left w:val="nil"/>
          <w:bottom w:val="single" w:sz="24" w:space="0" w:color="8064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5E7530"/>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customStyle="1" w:styleId="ColourfulShadingAccent41">
    <w:name w:val="Colourful Shading – Accent 41"/>
    <w:basedOn w:val="TableNormal"/>
    <w:next w:val="ColourfulShadingAccent4"/>
    <w:uiPriority w:val="71"/>
    <w:rsid w:val="003C1CBF"/>
    <w:pPr>
      <w:spacing w:after="0" w:line="240" w:lineRule="auto"/>
    </w:pPr>
    <w:rPr>
      <w:rFonts w:eastAsia="MS Mincho"/>
      <w:color w:val="000000"/>
      <w:kern w:val="0"/>
      <w:sz w:val="22"/>
      <w:szCs w:val="22"/>
      <w:lang w:val="en-US"/>
      <w14:ligatures w14:val="none"/>
    </w:rPr>
    <w:tblPr>
      <w:tblStyleRowBandSize w:val="1"/>
      <w:tblStyleColBandSize w:val="1"/>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Pr>
    <w:tcPr>
      <w:shd w:val="clear" w:color="auto" w:fill="F2EFF6"/>
    </w:tcPr>
    <w:tblStylePr w:type="firstRow">
      <w:rPr>
        <w:b/>
        <w:bCs/>
      </w:rPr>
      <w:tblPr/>
      <w:tcPr>
        <w:tcBorders>
          <w:top w:val="nil"/>
          <w:left w:val="nil"/>
          <w:bottom w:val="single" w:sz="24" w:space="0" w:color="9BBB59"/>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4C3B62"/>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customStyle="1" w:styleId="ColourfulShadingAccent51">
    <w:name w:val="Colourful Shading – Accent 51"/>
    <w:basedOn w:val="TableNormal"/>
    <w:next w:val="ColourfulShadingAccent5"/>
    <w:uiPriority w:val="71"/>
    <w:rsid w:val="003C1CBF"/>
    <w:pPr>
      <w:spacing w:after="0" w:line="240" w:lineRule="auto"/>
    </w:pPr>
    <w:rPr>
      <w:rFonts w:eastAsia="MS Mincho"/>
      <w:color w:val="000000"/>
      <w:kern w:val="0"/>
      <w:sz w:val="22"/>
      <w:szCs w:val="22"/>
      <w:lang w:val="en-US"/>
      <w14:ligatures w14:val="none"/>
    </w:rPr>
    <w:tblPr>
      <w:tblStyleRowBandSize w:val="1"/>
      <w:tblStyleColBandSize w:val="1"/>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Pr>
    <w:tcPr>
      <w:shd w:val="clear" w:color="auto" w:fill="EDF6F9"/>
    </w:tcPr>
    <w:tblStylePr w:type="firstRow">
      <w:rPr>
        <w:b/>
        <w:bCs/>
      </w:rPr>
      <w:tblPr/>
      <w:tcPr>
        <w:tcBorders>
          <w:top w:val="nil"/>
          <w:left w:val="nil"/>
          <w:bottom w:val="single" w:sz="24" w:space="0" w:color="F7964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76A7C"/>
      </w:tcPr>
    </w:tblStylePr>
    <w:tblStylePr w:type="firstCol">
      <w:rPr>
        <w:color w:val="FFFFFF"/>
      </w:rPr>
      <w:tblPr/>
      <w:tcPr>
        <w:tcBorders>
          <w:top w:val="nil"/>
          <w:left w:val="nil"/>
          <w:bottom w:val="nil"/>
          <w:right w:val="nil"/>
          <w:insideH w:val="single" w:sz="4" w:space="0" w:color="276A7C"/>
          <w:insideV w:val="nil"/>
        </w:tcBorders>
        <w:shd w:val="clear" w:color="auto" w:fill="276A7C"/>
      </w:tcPr>
    </w:tblStylePr>
    <w:tblStylePr w:type="lastCol">
      <w:rPr>
        <w:color w:val="FFFFF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customStyle="1" w:styleId="ColourfulShadingAccent61">
    <w:name w:val="Colourful Shading – Accent 61"/>
    <w:basedOn w:val="TableNormal"/>
    <w:next w:val="ColourfulShadingAccent6"/>
    <w:uiPriority w:val="71"/>
    <w:rsid w:val="003C1CBF"/>
    <w:pPr>
      <w:spacing w:after="0" w:line="240" w:lineRule="auto"/>
    </w:pPr>
    <w:rPr>
      <w:rFonts w:eastAsia="MS Mincho"/>
      <w:color w:val="000000"/>
      <w:kern w:val="0"/>
      <w:sz w:val="22"/>
      <w:szCs w:val="22"/>
      <w:lang w:val="en-US"/>
      <w14:ligatures w14:val="none"/>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customStyle="1" w:styleId="ColourfulList1">
    <w:name w:val="Colourful List1"/>
    <w:basedOn w:val="TableNormal"/>
    <w:next w:val="ColourfulList"/>
    <w:uiPriority w:val="72"/>
    <w:rsid w:val="003C1CBF"/>
    <w:pPr>
      <w:spacing w:after="0" w:line="240" w:lineRule="auto"/>
    </w:pPr>
    <w:rPr>
      <w:rFonts w:eastAsia="MS Mincho"/>
      <w:color w:val="000000"/>
      <w:kern w:val="0"/>
      <w:sz w:val="22"/>
      <w:szCs w:val="22"/>
      <w:lang w:val="en-US"/>
      <w14:ligatures w14:val="none"/>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ColourfulListAccent11">
    <w:name w:val="Colourful List – Accent 11"/>
    <w:basedOn w:val="TableNormal"/>
    <w:next w:val="ColourfulListAccent1"/>
    <w:uiPriority w:val="72"/>
    <w:rsid w:val="003C1CBF"/>
    <w:pPr>
      <w:spacing w:after="0" w:line="240" w:lineRule="auto"/>
    </w:pPr>
    <w:rPr>
      <w:rFonts w:eastAsia="MS Mincho"/>
      <w:color w:val="000000"/>
      <w:kern w:val="0"/>
      <w:sz w:val="22"/>
      <w:szCs w:val="22"/>
      <w:lang w:val="en-US"/>
      <w14:ligatures w14:val="none"/>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ColourfulListAccent21">
    <w:name w:val="Colourful List – Accent 21"/>
    <w:basedOn w:val="TableNormal"/>
    <w:next w:val="ColourfulListAccent2"/>
    <w:uiPriority w:val="72"/>
    <w:rsid w:val="003C1CBF"/>
    <w:pPr>
      <w:spacing w:after="0" w:line="240" w:lineRule="auto"/>
    </w:pPr>
    <w:rPr>
      <w:rFonts w:eastAsia="MS Mincho"/>
      <w:color w:val="000000"/>
      <w:kern w:val="0"/>
      <w:sz w:val="22"/>
      <w:szCs w:val="22"/>
      <w:lang w:val="en-US"/>
      <w14:ligatures w14:val="none"/>
    </w:rPr>
    <w:tblPr>
      <w:tblStyleRowBandSize w:val="1"/>
      <w:tblStyleColBandSize w:val="1"/>
    </w:tblPr>
    <w:tcPr>
      <w:shd w:val="clear" w:color="auto" w:fill="F8EDED"/>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customStyle="1" w:styleId="ColourfulListAccent31">
    <w:name w:val="Colourful List – Accent 31"/>
    <w:basedOn w:val="TableNormal"/>
    <w:next w:val="ColourfulListAccent3"/>
    <w:uiPriority w:val="72"/>
    <w:rsid w:val="003C1CBF"/>
    <w:pPr>
      <w:spacing w:after="0" w:line="240" w:lineRule="auto"/>
    </w:pPr>
    <w:rPr>
      <w:rFonts w:eastAsia="MS Mincho"/>
      <w:color w:val="000000"/>
      <w:kern w:val="0"/>
      <w:sz w:val="22"/>
      <w:szCs w:val="22"/>
      <w:lang w:val="en-US"/>
      <w14:ligatures w14:val="none"/>
    </w:rPr>
    <w:tblPr>
      <w:tblStyleRowBandSize w:val="1"/>
      <w:tblStyleColBandSize w:val="1"/>
    </w:tblPr>
    <w:tcPr>
      <w:shd w:val="clear" w:color="auto" w:fill="F5F8EE"/>
    </w:tcPr>
    <w:tblStylePr w:type="firstRow">
      <w:rPr>
        <w:b/>
        <w:bCs/>
        <w:color w:val="FFFFFF"/>
      </w:rPr>
      <w:tblPr/>
      <w:tcPr>
        <w:tcBorders>
          <w:bottom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customStyle="1" w:styleId="ColourfulListAccent41">
    <w:name w:val="Colourful List – Accent 41"/>
    <w:basedOn w:val="TableNormal"/>
    <w:next w:val="ColourfulListAccent4"/>
    <w:uiPriority w:val="72"/>
    <w:rsid w:val="003C1CBF"/>
    <w:pPr>
      <w:spacing w:after="0" w:line="240" w:lineRule="auto"/>
    </w:pPr>
    <w:rPr>
      <w:rFonts w:eastAsia="MS Mincho"/>
      <w:color w:val="000000"/>
      <w:kern w:val="0"/>
      <w:sz w:val="22"/>
      <w:szCs w:val="22"/>
      <w:lang w:val="en-US"/>
      <w14:ligatures w14:val="none"/>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customStyle="1" w:styleId="ColourfulListAccent51">
    <w:name w:val="Colourful List – Accent 51"/>
    <w:basedOn w:val="TableNormal"/>
    <w:next w:val="ColourfulListAccent5"/>
    <w:uiPriority w:val="72"/>
    <w:rsid w:val="003C1CBF"/>
    <w:pPr>
      <w:spacing w:after="0" w:line="240" w:lineRule="auto"/>
    </w:pPr>
    <w:rPr>
      <w:rFonts w:eastAsia="MS Mincho"/>
      <w:color w:val="000000"/>
      <w:kern w:val="0"/>
      <w:sz w:val="22"/>
      <w:szCs w:val="22"/>
      <w:lang w:val="en-US"/>
      <w14:ligatures w14:val="none"/>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customStyle="1" w:styleId="ColourfulListAccent61">
    <w:name w:val="Colourful List – Accent 61"/>
    <w:basedOn w:val="TableNormal"/>
    <w:next w:val="ColourfulListAccent6"/>
    <w:uiPriority w:val="72"/>
    <w:rsid w:val="003C1CBF"/>
    <w:pPr>
      <w:spacing w:after="0" w:line="240" w:lineRule="auto"/>
    </w:pPr>
    <w:rPr>
      <w:rFonts w:eastAsia="MS Mincho"/>
      <w:color w:val="000000"/>
      <w:kern w:val="0"/>
      <w:sz w:val="22"/>
      <w:szCs w:val="22"/>
      <w:lang w:val="en-US"/>
      <w14:ligatures w14:val="none"/>
    </w:rPr>
    <w:tblPr>
      <w:tblStyleRowBandSize w:val="1"/>
      <w:tblStyleColBandSize w:val="1"/>
    </w:tblPr>
    <w:tcPr>
      <w:shd w:val="clear" w:color="auto" w:fill="FEF4EC"/>
    </w:tcPr>
    <w:tblStylePr w:type="firstRow">
      <w:rPr>
        <w:b/>
        <w:bCs/>
        <w:color w:val="FFFFFF"/>
      </w:rPr>
      <w:tblPr/>
      <w:tcPr>
        <w:tcBorders>
          <w:bottom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customStyle="1" w:styleId="ColourfulGrid1">
    <w:name w:val="Colourful Grid1"/>
    <w:basedOn w:val="TableNormal"/>
    <w:next w:val="ColourfulGrid"/>
    <w:uiPriority w:val="73"/>
    <w:rsid w:val="003C1CBF"/>
    <w:pPr>
      <w:spacing w:after="0" w:line="240" w:lineRule="auto"/>
    </w:pPr>
    <w:rPr>
      <w:rFonts w:eastAsia="MS Mincho"/>
      <w:color w:val="000000"/>
      <w:kern w:val="0"/>
      <w:sz w:val="22"/>
      <w:szCs w:val="22"/>
      <w:lang w:val="en-US"/>
      <w14:ligatures w14:val="none"/>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ColourfulGridAccent11">
    <w:name w:val="Colourful Grid – Accent 11"/>
    <w:basedOn w:val="TableNormal"/>
    <w:next w:val="ColourfulGridAccent1"/>
    <w:uiPriority w:val="73"/>
    <w:rsid w:val="003C1CBF"/>
    <w:pPr>
      <w:spacing w:after="0" w:line="240" w:lineRule="auto"/>
    </w:pPr>
    <w:rPr>
      <w:rFonts w:eastAsia="MS Mincho"/>
      <w:color w:val="000000"/>
      <w:kern w:val="0"/>
      <w:sz w:val="22"/>
      <w:szCs w:val="22"/>
      <w:lang w:val="en-US"/>
      <w14:ligatures w14:val="none"/>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ColourfulGridAccent21">
    <w:name w:val="Colourful Grid – Accent 21"/>
    <w:basedOn w:val="TableNormal"/>
    <w:next w:val="ColourfulGridAccent2"/>
    <w:uiPriority w:val="73"/>
    <w:rsid w:val="003C1CBF"/>
    <w:pPr>
      <w:spacing w:after="0" w:line="240" w:lineRule="auto"/>
    </w:pPr>
    <w:rPr>
      <w:rFonts w:eastAsia="MS Mincho"/>
      <w:color w:val="000000"/>
      <w:kern w:val="0"/>
      <w:sz w:val="22"/>
      <w:szCs w:val="22"/>
      <w:lang w:val="en-US"/>
      <w14:ligatures w14:val="none"/>
    </w:rPr>
    <w:tblPr>
      <w:tblStyleRowBandSize w:val="1"/>
      <w:tblStyleColBandSize w:val="1"/>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customStyle="1" w:styleId="ColourfulGridAccent31">
    <w:name w:val="Colourful Grid – Accent 31"/>
    <w:basedOn w:val="TableNormal"/>
    <w:next w:val="ColourfulGridAccent3"/>
    <w:uiPriority w:val="73"/>
    <w:rsid w:val="003C1CBF"/>
    <w:pPr>
      <w:spacing w:after="0" w:line="240" w:lineRule="auto"/>
    </w:pPr>
    <w:rPr>
      <w:rFonts w:eastAsia="MS Mincho"/>
      <w:color w:val="000000"/>
      <w:kern w:val="0"/>
      <w:sz w:val="22"/>
      <w:szCs w:val="22"/>
      <w:lang w:val="en-US"/>
      <w14:ligatures w14:val="none"/>
    </w:rPr>
    <w:tblPr>
      <w:tblStyleRowBandSize w:val="1"/>
      <w:tblStyleColBandSize w:val="1"/>
      <w:tblBorders>
        <w:insideH w:val="single" w:sz="4" w:space="0" w:color="FFFFFF"/>
      </w:tblBorders>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customStyle="1" w:styleId="ColourfulGridAccent41">
    <w:name w:val="Colourful Grid – Accent 41"/>
    <w:basedOn w:val="TableNormal"/>
    <w:next w:val="ColourfulGridAccent4"/>
    <w:uiPriority w:val="73"/>
    <w:rsid w:val="003C1CBF"/>
    <w:pPr>
      <w:spacing w:after="0" w:line="240" w:lineRule="auto"/>
    </w:pPr>
    <w:rPr>
      <w:rFonts w:eastAsia="MS Mincho"/>
      <w:color w:val="000000"/>
      <w:kern w:val="0"/>
      <w:sz w:val="22"/>
      <w:szCs w:val="22"/>
      <w:lang w:val="en-US"/>
      <w14:ligatures w14:val="none"/>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ColourfulGridAccent51">
    <w:name w:val="Colourful Grid – Accent 51"/>
    <w:basedOn w:val="TableNormal"/>
    <w:next w:val="ColourfulGridAccent5"/>
    <w:uiPriority w:val="73"/>
    <w:rsid w:val="003C1CBF"/>
    <w:pPr>
      <w:spacing w:after="0" w:line="240" w:lineRule="auto"/>
    </w:pPr>
    <w:rPr>
      <w:rFonts w:eastAsia="MS Mincho"/>
      <w:color w:val="000000"/>
      <w:kern w:val="0"/>
      <w:sz w:val="22"/>
      <w:szCs w:val="22"/>
      <w:lang w:val="en-US"/>
      <w14:ligatures w14:val="none"/>
    </w:rPr>
    <w:tblPr>
      <w:tblStyleRowBandSize w:val="1"/>
      <w:tblStyleColBandSize w:val="1"/>
      <w:tblBorders>
        <w:insideH w:val="single" w:sz="4" w:space="0" w:color="FFFFFF"/>
      </w:tblBorders>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customStyle="1" w:styleId="ColourfulGridAccent61">
    <w:name w:val="Colourful Grid – Accent 61"/>
    <w:basedOn w:val="TableNormal"/>
    <w:next w:val="ColourfulGridAccent6"/>
    <w:uiPriority w:val="73"/>
    <w:rsid w:val="003C1CBF"/>
    <w:pPr>
      <w:spacing w:after="0" w:line="240" w:lineRule="auto"/>
    </w:pPr>
    <w:rPr>
      <w:rFonts w:eastAsia="MS Mincho"/>
      <w:color w:val="000000"/>
      <w:kern w:val="0"/>
      <w:sz w:val="22"/>
      <w:szCs w:val="22"/>
      <w:lang w:val="en-US"/>
      <w14:ligatures w14:val="none"/>
    </w:rPr>
    <w:tblPr>
      <w:tblStyleRowBandSize w:val="1"/>
      <w:tblStyleColBandSize w:val="1"/>
      <w:tblBorders>
        <w:insideH w:val="single" w:sz="4" w:space="0" w:color="FFFFFF"/>
      </w:tblBorders>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character" w:styleId="SubtleEmphasis">
    <w:name w:val="Subtle Emphasis"/>
    <w:basedOn w:val="DefaultParagraphFont"/>
    <w:uiPriority w:val="19"/>
    <w:qFormat/>
    <w:rsid w:val="003C1CBF"/>
    <w:rPr>
      <w:i/>
      <w:iCs/>
      <w:color w:val="404040" w:themeColor="text1" w:themeTint="BF"/>
    </w:rPr>
  </w:style>
  <w:style w:type="character" w:styleId="SubtleReference">
    <w:name w:val="Subtle Reference"/>
    <w:basedOn w:val="DefaultParagraphFont"/>
    <w:uiPriority w:val="31"/>
    <w:qFormat/>
    <w:rsid w:val="003C1CBF"/>
    <w:rPr>
      <w:smallCaps/>
      <w:color w:val="5A5A5A" w:themeColor="text1" w:themeTint="A5"/>
    </w:rPr>
  </w:style>
  <w:style w:type="table" w:styleId="LightShading">
    <w:name w:val="Light Shading"/>
    <w:basedOn w:val="TableNormal"/>
    <w:uiPriority w:val="60"/>
    <w:semiHidden/>
    <w:unhideWhenUsed/>
    <w:rsid w:val="003C1CB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3C1CBF"/>
    <w:pPr>
      <w:spacing w:after="0" w:line="240" w:lineRule="auto"/>
    </w:pPr>
    <w:rPr>
      <w:color w:val="0F4761" w:themeColor="accent1" w:themeShade="BF"/>
    </w:rPr>
    <w:tblPr>
      <w:tblStyleRowBandSize w:val="1"/>
      <w:tblStyleColBandSize w:val="1"/>
      <w:tblBorders>
        <w:top w:val="single" w:sz="8" w:space="0" w:color="156082" w:themeColor="accent1"/>
        <w:bottom w:val="single" w:sz="8" w:space="0" w:color="156082" w:themeColor="accent1"/>
      </w:tblBorders>
    </w:tblPr>
    <w:tblStylePr w:type="fir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la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left w:val="nil"/>
          <w:right w:val="nil"/>
          <w:insideH w:val="nil"/>
          <w:insideV w:val="nil"/>
        </w:tcBorders>
        <w:shd w:val="clear" w:color="auto" w:fill="B2DEF2" w:themeFill="accent1" w:themeFillTint="3F"/>
      </w:tcPr>
    </w:tblStylePr>
  </w:style>
  <w:style w:type="table" w:styleId="LightShading-Accent2">
    <w:name w:val="Light Shading Accent 2"/>
    <w:basedOn w:val="TableNormal"/>
    <w:uiPriority w:val="60"/>
    <w:semiHidden/>
    <w:unhideWhenUsed/>
    <w:rsid w:val="003C1CBF"/>
    <w:pPr>
      <w:spacing w:after="0" w:line="240" w:lineRule="auto"/>
    </w:pPr>
    <w:rPr>
      <w:color w:val="BF4E14" w:themeColor="accent2" w:themeShade="BF"/>
    </w:rPr>
    <w:tblPr>
      <w:tblStyleRowBandSize w:val="1"/>
      <w:tblStyleColBandSize w:val="1"/>
      <w:tblBorders>
        <w:top w:val="single" w:sz="8" w:space="0" w:color="E97132" w:themeColor="accent2"/>
        <w:bottom w:val="single" w:sz="8" w:space="0" w:color="E97132" w:themeColor="accent2"/>
      </w:tblBorders>
    </w:tblPr>
    <w:tblStylePr w:type="fir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la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left w:val="nil"/>
          <w:right w:val="nil"/>
          <w:insideH w:val="nil"/>
          <w:insideV w:val="nil"/>
        </w:tcBorders>
        <w:shd w:val="clear" w:color="auto" w:fill="F9DBCC" w:themeFill="accent2" w:themeFillTint="3F"/>
      </w:tcPr>
    </w:tblStylePr>
  </w:style>
  <w:style w:type="table" w:styleId="LightShading-Accent3">
    <w:name w:val="Light Shading Accent 3"/>
    <w:basedOn w:val="TableNormal"/>
    <w:uiPriority w:val="60"/>
    <w:semiHidden/>
    <w:unhideWhenUsed/>
    <w:rsid w:val="003C1CBF"/>
    <w:pPr>
      <w:spacing w:after="0" w:line="240" w:lineRule="auto"/>
    </w:pPr>
    <w:rPr>
      <w:color w:val="124F1A" w:themeColor="accent3" w:themeShade="BF"/>
    </w:rPr>
    <w:tblPr>
      <w:tblStyleRowBandSize w:val="1"/>
      <w:tblStyleColBandSize w:val="1"/>
      <w:tblBorders>
        <w:top w:val="single" w:sz="8" w:space="0" w:color="196B24" w:themeColor="accent3"/>
        <w:bottom w:val="single" w:sz="8" w:space="0" w:color="196B24" w:themeColor="accent3"/>
      </w:tblBorders>
    </w:tblPr>
    <w:tblStylePr w:type="fir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la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left w:val="nil"/>
          <w:right w:val="nil"/>
          <w:insideH w:val="nil"/>
          <w:insideV w:val="nil"/>
        </w:tcBorders>
        <w:shd w:val="clear" w:color="auto" w:fill="B3EDBA" w:themeFill="accent3" w:themeFillTint="3F"/>
      </w:tcPr>
    </w:tblStylePr>
  </w:style>
  <w:style w:type="table" w:styleId="LightShading-Accent4">
    <w:name w:val="Light Shading Accent 4"/>
    <w:basedOn w:val="TableNormal"/>
    <w:uiPriority w:val="60"/>
    <w:semiHidden/>
    <w:unhideWhenUsed/>
    <w:rsid w:val="003C1CBF"/>
    <w:pPr>
      <w:spacing w:after="0" w:line="240" w:lineRule="auto"/>
    </w:pPr>
    <w:rPr>
      <w:color w:val="0B769F" w:themeColor="accent4" w:themeShade="BF"/>
    </w:rPr>
    <w:tblPr>
      <w:tblStyleRowBandSize w:val="1"/>
      <w:tblStyleColBandSize w:val="1"/>
      <w:tblBorders>
        <w:top w:val="single" w:sz="8" w:space="0" w:color="0F9ED5" w:themeColor="accent4"/>
        <w:bottom w:val="single" w:sz="8" w:space="0" w:color="0F9ED5" w:themeColor="accent4"/>
      </w:tblBorders>
    </w:tblPr>
    <w:tblStylePr w:type="fir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la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left w:val="nil"/>
          <w:right w:val="nil"/>
          <w:insideH w:val="nil"/>
          <w:insideV w:val="nil"/>
        </w:tcBorders>
        <w:shd w:val="clear" w:color="auto" w:fill="BDE9FA" w:themeFill="accent4" w:themeFillTint="3F"/>
      </w:tcPr>
    </w:tblStylePr>
  </w:style>
  <w:style w:type="table" w:styleId="LightShading-Accent6">
    <w:name w:val="Light Shading Accent 6"/>
    <w:basedOn w:val="TableNormal"/>
    <w:uiPriority w:val="60"/>
    <w:semiHidden/>
    <w:unhideWhenUsed/>
    <w:rsid w:val="003C1CBF"/>
    <w:pPr>
      <w:spacing w:after="0" w:line="240" w:lineRule="auto"/>
    </w:pPr>
    <w:rPr>
      <w:color w:val="3A7C22" w:themeColor="accent6" w:themeShade="BF"/>
    </w:rPr>
    <w:tblPr>
      <w:tblStyleRowBandSize w:val="1"/>
      <w:tblStyleColBandSize w:val="1"/>
      <w:tblBorders>
        <w:top w:val="single" w:sz="8" w:space="0" w:color="4EA72E" w:themeColor="accent6"/>
        <w:bottom w:val="single" w:sz="8" w:space="0" w:color="4EA72E" w:themeColor="accent6"/>
      </w:tblBorders>
    </w:tblPr>
    <w:tblStylePr w:type="fir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la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left w:val="nil"/>
          <w:right w:val="nil"/>
          <w:insideH w:val="nil"/>
          <w:insideV w:val="nil"/>
        </w:tcBorders>
        <w:shd w:val="clear" w:color="auto" w:fill="D0EFC5" w:themeFill="accent6" w:themeFillTint="3F"/>
      </w:tcPr>
    </w:tblStylePr>
  </w:style>
  <w:style w:type="table" w:styleId="LightList">
    <w:name w:val="Light List"/>
    <w:basedOn w:val="TableNormal"/>
    <w:uiPriority w:val="61"/>
    <w:semiHidden/>
    <w:unhideWhenUsed/>
    <w:rsid w:val="003C1CB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semiHidden/>
    <w:unhideWhenUsed/>
    <w:rsid w:val="003C1CBF"/>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pPr>
        <w:spacing w:before="0" w:after="0" w:line="240" w:lineRule="auto"/>
      </w:pPr>
      <w:rPr>
        <w:b/>
        <w:bCs/>
        <w:color w:val="FFFFFF" w:themeColor="background1"/>
      </w:rPr>
      <w:tblPr/>
      <w:tcPr>
        <w:shd w:val="clear" w:color="auto" w:fill="156082" w:themeFill="accent1"/>
      </w:tcPr>
    </w:tblStylePr>
    <w:tblStylePr w:type="lastRow">
      <w:pPr>
        <w:spacing w:before="0" w:after="0" w:line="240" w:lineRule="auto"/>
      </w:pPr>
      <w:rPr>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tcBorders>
      </w:tcPr>
    </w:tblStylePr>
    <w:tblStylePr w:type="firstCol">
      <w:rPr>
        <w:b/>
        <w:bCs/>
      </w:rPr>
    </w:tblStylePr>
    <w:tblStylePr w:type="lastCol">
      <w:rPr>
        <w:b/>
        <w:bCs/>
      </w:r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style>
  <w:style w:type="table" w:styleId="LightList-Accent2">
    <w:name w:val="Light List Accent 2"/>
    <w:basedOn w:val="TableNormal"/>
    <w:uiPriority w:val="61"/>
    <w:semiHidden/>
    <w:unhideWhenUsed/>
    <w:rsid w:val="003C1CBF"/>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pPr>
        <w:spacing w:before="0" w:after="0" w:line="240" w:lineRule="auto"/>
      </w:pPr>
      <w:rPr>
        <w:b/>
        <w:bCs/>
        <w:color w:val="FFFFFF" w:themeColor="background1"/>
      </w:rPr>
      <w:tblPr/>
      <w:tcPr>
        <w:shd w:val="clear" w:color="auto" w:fill="E97132" w:themeFill="accent2"/>
      </w:tcPr>
    </w:tblStylePr>
    <w:tblStylePr w:type="lastRow">
      <w:pPr>
        <w:spacing w:before="0" w:after="0" w:line="240" w:lineRule="auto"/>
      </w:pPr>
      <w:rPr>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tcBorders>
      </w:tcPr>
    </w:tblStylePr>
    <w:tblStylePr w:type="firstCol">
      <w:rPr>
        <w:b/>
        <w:bCs/>
      </w:rPr>
    </w:tblStylePr>
    <w:tblStylePr w:type="lastCol">
      <w:rPr>
        <w:b/>
        <w:bCs/>
      </w:r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style>
  <w:style w:type="table" w:styleId="LightList-Accent3">
    <w:name w:val="Light List Accent 3"/>
    <w:basedOn w:val="TableNormal"/>
    <w:uiPriority w:val="61"/>
    <w:semiHidden/>
    <w:unhideWhenUsed/>
    <w:rsid w:val="003C1CBF"/>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pPr>
        <w:spacing w:before="0" w:after="0" w:line="240" w:lineRule="auto"/>
      </w:pPr>
      <w:rPr>
        <w:b/>
        <w:bCs/>
        <w:color w:val="FFFFFF" w:themeColor="background1"/>
      </w:rPr>
      <w:tblPr/>
      <w:tcPr>
        <w:shd w:val="clear" w:color="auto" w:fill="196B24" w:themeFill="accent3"/>
      </w:tcPr>
    </w:tblStylePr>
    <w:tblStylePr w:type="lastRow">
      <w:pPr>
        <w:spacing w:before="0" w:after="0" w:line="240" w:lineRule="auto"/>
      </w:pPr>
      <w:rPr>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tcBorders>
      </w:tcPr>
    </w:tblStylePr>
    <w:tblStylePr w:type="firstCol">
      <w:rPr>
        <w:b/>
        <w:bCs/>
      </w:rPr>
    </w:tblStylePr>
    <w:tblStylePr w:type="lastCol">
      <w:rPr>
        <w:b/>
        <w:bCs/>
      </w:r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style>
  <w:style w:type="table" w:styleId="LightList-Accent4">
    <w:name w:val="Light List Accent 4"/>
    <w:basedOn w:val="TableNormal"/>
    <w:uiPriority w:val="61"/>
    <w:semiHidden/>
    <w:unhideWhenUsed/>
    <w:rsid w:val="003C1CBF"/>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pPr>
        <w:spacing w:before="0" w:after="0" w:line="240" w:lineRule="auto"/>
      </w:pPr>
      <w:rPr>
        <w:b/>
        <w:bCs/>
        <w:color w:val="FFFFFF" w:themeColor="background1"/>
      </w:rPr>
      <w:tblPr/>
      <w:tcPr>
        <w:shd w:val="clear" w:color="auto" w:fill="0F9ED5" w:themeFill="accent4"/>
      </w:tcPr>
    </w:tblStylePr>
    <w:tblStylePr w:type="lastRow">
      <w:pPr>
        <w:spacing w:before="0" w:after="0" w:line="240" w:lineRule="auto"/>
      </w:pPr>
      <w:rPr>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tcBorders>
      </w:tcPr>
    </w:tblStylePr>
    <w:tblStylePr w:type="firstCol">
      <w:rPr>
        <w:b/>
        <w:bCs/>
      </w:rPr>
    </w:tblStylePr>
    <w:tblStylePr w:type="lastCol">
      <w:rPr>
        <w:b/>
        <w:bCs/>
      </w:r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style>
  <w:style w:type="table" w:styleId="LightList-Accent5">
    <w:name w:val="Light List Accent 5"/>
    <w:basedOn w:val="TableNormal"/>
    <w:uiPriority w:val="61"/>
    <w:semiHidden/>
    <w:unhideWhenUsed/>
    <w:rsid w:val="003C1CBF"/>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pPr>
        <w:spacing w:before="0" w:after="0" w:line="240" w:lineRule="auto"/>
      </w:pPr>
      <w:rPr>
        <w:b/>
        <w:bCs/>
        <w:color w:val="FFFFFF" w:themeColor="background1"/>
      </w:rPr>
      <w:tblPr/>
      <w:tcPr>
        <w:shd w:val="clear" w:color="auto" w:fill="A02B93" w:themeFill="accent5"/>
      </w:tcPr>
    </w:tblStylePr>
    <w:tblStylePr w:type="lastRow">
      <w:pPr>
        <w:spacing w:before="0" w:after="0" w:line="240" w:lineRule="auto"/>
      </w:pPr>
      <w:rPr>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tcBorders>
      </w:tcPr>
    </w:tblStylePr>
    <w:tblStylePr w:type="firstCol">
      <w:rPr>
        <w:b/>
        <w:bCs/>
      </w:rPr>
    </w:tblStylePr>
    <w:tblStylePr w:type="lastCol">
      <w:rPr>
        <w:b/>
        <w:bCs/>
      </w:r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style>
  <w:style w:type="table" w:styleId="LightList-Accent6">
    <w:name w:val="Light List Accent 6"/>
    <w:basedOn w:val="TableNormal"/>
    <w:uiPriority w:val="61"/>
    <w:semiHidden/>
    <w:unhideWhenUsed/>
    <w:rsid w:val="003C1CBF"/>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pPr>
        <w:spacing w:before="0" w:after="0" w:line="240" w:lineRule="auto"/>
      </w:pPr>
      <w:rPr>
        <w:b/>
        <w:bCs/>
        <w:color w:val="FFFFFF" w:themeColor="background1"/>
      </w:rPr>
      <w:tblPr/>
      <w:tcPr>
        <w:shd w:val="clear" w:color="auto" w:fill="4EA72E" w:themeFill="accent6"/>
      </w:tcPr>
    </w:tblStylePr>
    <w:tblStylePr w:type="lastRow">
      <w:pPr>
        <w:spacing w:before="0" w:after="0" w:line="240" w:lineRule="auto"/>
      </w:pPr>
      <w:rPr>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tcBorders>
      </w:tcPr>
    </w:tblStylePr>
    <w:tblStylePr w:type="firstCol">
      <w:rPr>
        <w:b/>
        <w:bCs/>
      </w:rPr>
    </w:tblStylePr>
    <w:tblStylePr w:type="lastCol">
      <w:rPr>
        <w:b/>
        <w:bCs/>
      </w:r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style>
  <w:style w:type="table" w:styleId="LightGrid">
    <w:name w:val="Light Grid"/>
    <w:basedOn w:val="TableNormal"/>
    <w:uiPriority w:val="62"/>
    <w:semiHidden/>
    <w:unhideWhenUsed/>
    <w:rsid w:val="003C1CB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semiHidden/>
    <w:unhideWhenUsed/>
    <w:rsid w:val="003C1CBF"/>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18" w:space="0" w:color="156082" w:themeColor="accent1"/>
          <w:right w:val="single" w:sz="8" w:space="0" w:color="156082" w:themeColor="accent1"/>
          <w:insideH w:val="nil"/>
          <w:insideV w:val="single" w:sz="8" w:space="0" w:color="156082"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insideH w:val="nil"/>
          <w:insideV w:val="single" w:sz="8" w:space="0" w:color="156082"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shd w:val="clear" w:color="auto" w:fill="B2DEF2" w:themeFill="accent1" w:themeFillTint="3F"/>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shd w:val="clear" w:color="auto" w:fill="B2DEF2" w:themeFill="accent1" w:themeFillTint="3F"/>
      </w:tcPr>
    </w:tblStylePr>
    <w:tblStylePr w:type="band2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tcPr>
    </w:tblStylePr>
  </w:style>
  <w:style w:type="table" w:styleId="LightGrid-Accent2">
    <w:name w:val="Light Grid Accent 2"/>
    <w:basedOn w:val="TableNormal"/>
    <w:uiPriority w:val="62"/>
    <w:semiHidden/>
    <w:unhideWhenUsed/>
    <w:rsid w:val="003C1CBF"/>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18" w:space="0" w:color="E97132" w:themeColor="accent2"/>
          <w:right w:val="single" w:sz="8" w:space="0" w:color="E97132" w:themeColor="accent2"/>
          <w:insideH w:val="nil"/>
          <w:insideV w:val="single" w:sz="8" w:space="0" w:color="E97132"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insideH w:val="nil"/>
          <w:insideV w:val="single" w:sz="8" w:space="0" w:color="E97132"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shd w:val="clear" w:color="auto" w:fill="F9DBCC" w:themeFill="accent2" w:themeFillTint="3F"/>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shd w:val="clear" w:color="auto" w:fill="F9DBCC" w:themeFill="accent2" w:themeFillTint="3F"/>
      </w:tcPr>
    </w:tblStylePr>
    <w:tblStylePr w:type="band2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tcPr>
    </w:tblStylePr>
  </w:style>
  <w:style w:type="table" w:styleId="LightGrid-Accent3">
    <w:name w:val="Light Grid Accent 3"/>
    <w:basedOn w:val="TableNormal"/>
    <w:uiPriority w:val="62"/>
    <w:semiHidden/>
    <w:unhideWhenUsed/>
    <w:rsid w:val="003C1CBF"/>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18" w:space="0" w:color="196B24" w:themeColor="accent3"/>
          <w:right w:val="single" w:sz="8" w:space="0" w:color="196B24" w:themeColor="accent3"/>
          <w:insideH w:val="nil"/>
          <w:insideV w:val="single" w:sz="8" w:space="0" w:color="196B2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insideH w:val="nil"/>
          <w:insideV w:val="single" w:sz="8" w:space="0" w:color="196B2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shd w:val="clear" w:color="auto" w:fill="B3EDBA" w:themeFill="accent3" w:themeFillTint="3F"/>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shd w:val="clear" w:color="auto" w:fill="B3EDBA" w:themeFill="accent3" w:themeFillTint="3F"/>
      </w:tcPr>
    </w:tblStylePr>
    <w:tblStylePr w:type="band2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tcPr>
    </w:tblStylePr>
  </w:style>
  <w:style w:type="table" w:styleId="LightGrid-Accent4">
    <w:name w:val="Light Grid Accent 4"/>
    <w:basedOn w:val="TableNormal"/>
    <w:uiPriority w:val="62"/>
    <w:semiHidden/>
    <w:unhideWhenUsed/>
    <w:rsid w:val="003C1CBF"/>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18" w:space="0" w:color="0F9ED5" w:themeColor="accent4"/>
          <w:right w:val="single" w:sz="8" w:space="0" w:color="0F9ED5" w:themeColor="accent4"/>
          <w:insideH w:val="nil"/>
          <w:insideV w:val="single" w:sz="8" w:space="0" w:color="0F9ED5"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insideH w:val="nil"/>
          <w:insideV w:val="single" w:sz="8" w:space="0" w:color="0F9ED5"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shd w:val="clear" w:color="auto" w:fill="BDE9FA" w:themeFill="accent4" w:themeFillTint="3F"/>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shd w:val="clear" w:color="auto" w:fill="BDE9FA" w:themeFill="accent4" w:themeFillTint="3F"/>
      </w:tcPr>
    </w:tblStylePr>
    <w:tblStylePr w:type="band2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tcPr>
    </w:tblStylePr>
  </w:style>
  <w:style w:type="table" w:styleId="LightGrid-Accent5">
    <w:name w:val="Light Grid Accent 5"/>
    <w:basedOn w:val="TableNormal"/>
    <w:uiPriority w:val="62"/>
    <w:semiHidden/>
    <w:unhideWhenUsed/>
    <w:rsid w:val="003C1CBF"/>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18" w:space="0" w:color="A02B93" w:themeColor="accent5"/>
          <w:right w:val="single" w:sz="8" w:space="0" w:color="A02B93" w:themeColor="accent5"/>
          <w:insideH w:val="nil"/>
          <w:insideV w:val="single" w:sz="8" w:space="0" w:color="A02B93"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insideH w:val="nil"/>
          <w:insideV w:val="single" w:sz="8" w:space="0" w:color="A02B93"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shd w:val="clear" w:color="auto" w:fill="EFC3E9" w:themeFill="accent5" w:themeFillTint="3F"/>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shd w:val="clear" w:color="auto" w:fill="EFC3E9" w:themeFill="accent5" w:themeFillTint="3F"/>
      </w:tcPr>
    </w:tblStylePr>
    <w:tblStylePr w:type="band2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tcPr>
    </w:tblStylePr>
  </w:style>
  <w:style w:type="table" w:styleId="LightGrid-Accent6">
    <w:name w:val="Light Grid Accent 6"/>
    <w:basedOn w:val="TableNormal"/>
    <w:uiPriority w:val="62"/>
    <w:semiHidden/>
    <w:unhideWhenUsed/>
    <w:rsid w:val="003C1CBF"/>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18" w:space="0" w:color="4EA72E" w:themeColor="accent6"/>
          <w:right w:val="single" w:sz="8" w:space="0" w:color="4EA72E" w:themeColor="accent6"/>
          <w:insideH w:val="nil"/>
          <w:insideV w:val="single" w:sz="8" w:space="0" w:color="4EA72E"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insideH w:val="nil"/>
          <w:insideV w:val="single" w:sz="8" w:space="0" w:color="4EA72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shd w:val="clear" w:color="auto" w:fill="D0EFC5" w:themeFill="accent6" w:themeFillTint="3F"/>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shd w:val="clear" w:color="auto" w:fill="D0EFC5" w:themeFill="accent6" w:themeFillTint="3F"/>
      </w:tcPr>
    </w:tblStylePr>
    <w:tblStylePr w:type="band2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tcPr>
    </w:tblStylePr>
  </w:style>
  <w:style w:type="table" w:styleId="MediumShading1">
    <w:name w:val="Medium Shading 1"/>
    <w:basedOn w:val="TableNormal"/>
    <w:uiPriority w:val="63"/>
    <w:semiHidden/>
    <w:unhideWhenUsed/>
    <w:rsid w:val="003C1CBF"/>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3C1CBF"/>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tblBorders>
    </w:tblPr>
    <w:tblStylePr w:type="firstRow">
      <w:pPr>
        <w:spacing w:before="0" w:after="0" w:line="240" w:lineRule="auto"/>
      </w:pPr>
      <w:rPr>
        <w:b/>
        <w:bCs/>
        <w:color w:val="FFFFFF" w:themeColor="background1"/>
      </w:rPr>
      <w:tblPr/>
      <w:tcPr>
        <w:tc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shd w:val="clear" w:color="auto" w:fill="156082" w:themeFill="accent1"/>
      </w:tcPr>
    </w:tblStylePr>
    <w:tblStylePr w:type="lastRow">
      <w:pPr>
        <w:spacing w:before="0" w:after="0" w:line="240" w:lineRule="auto"/>
      </w:pPr>
      <w:rPr>
        <w:b/>
        <w:bCs/>
      </w:rPr>
      <w:tblPr/>
      <w:tcPr>
        <w:tcBorders>
          <w:top w:val="double" w:sz="6"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2DEF2" w:themeFill="accent1" w:themeFillTint="3F"/>
      </w:tcPr>
    </w:tblStylePr>
    <w:tblStylePr w:type="band1Horz">
      <w:tblPr/>
      <w:tcPr>
        <w:tcBorders>
          <w:insideH w:val="nil"/>
          <w:insideV w:val="nil"/>
        </w:tcBorders>
        <w:shd w:val="clear" w:color="auto" w:fill="B2DEF2"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3C1CBF"/>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tblBorders>
    </w:tblPr>
    <w:tblStylePr w:type="firstRow">
      <w:pPr>
        <w:spacing w:before="0" w:after="0" w:line="240" w:lineRule="auto"/>
      </w:pPr>
      <w:rPr>
        <w:b/>
        <w:bCs/>
        <w:color w:val="FFFFFF" w:themeColor="background1"/>
      </w:rPr>
      <w:tblPr/>
      <w:tcPr>
        <w:tc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shd w:val="clear" w:color="auto" w:fill="E97132" w:themeFill="accent2"/>
      </w:tcPr>
    </w:tblStylePr>
    <w:tblStylePr w:type="lastRow">
      <w:pPr>
        <w:spacing w:before="0" w:after="0" w:line="240" w:lineRule="auto"/>
      </w:pPr>
      <w:rPr>
        <w:b/>
        <w:bCs/>
      </w:rPr>
      <w:tblPr/>
      <w:tcPr>
        <w:tcBorders>
          <w:top w:val="double" w:sz="6"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tcPr>
    </w:tblStylePr>
    <w:tblStylePr w:type="firstCol">
      <w:rPr>
        <w:b/>
        <w:bCs/>
      </w:rPr>
    </w:tblStylePr>
    <w:tblStylePr w:type="lastCol">
      <w:rPr>
        <w:b/>
        <w:bCs/>
      </w:rPr>
    </w:tblStylePr>
    <w:tblStylePr w:type="band1Vert">
      <w:tblPr/>
      <w:tcPr>
        <w:shd w:val="clear" w:color="auto" w:fill="F9DBCC" w:themeFill="accent2" w:themeFillTint="3F"/>
      </w:tcPr>
    </w:tblStylePr>
    <w:tblStylePr w:type="band1Horz">
      <w:tblPr/>
      <w:tcPr>
        <w:tcBorders>
          <w:insideH w:val="nil"/>
          <w:insideV w:val="nil"/>
        </w:tcBorders>
        <w:shd w:val="clear" w:color="auto" w:fill="F9DBCC"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3C1CBF"/>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tblBorders>
    </w:tblPr>
    <w:tblStylePr w:type="firstRow">
      <w:pPr>
        <w:spacing w:before="0" w:after="0" w:line="240" w:lineRule="auto"/>
      </w:pPr>
      <w:rPr>
        <w:b/>
        <w:bCs/>
        <w:color w:val="FFFFFF" w:themeColor="background1"/>
      </w:rPr>
      <w:tblPr/>
      <w:tcPr>
        <w:tc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shd w:val="clear" w:color="auto" w:fill="196B24" w:themeFill="accent3"/>
      </w:tcPr>
    </w:tblStylePr>
    <w:tblStylePr w:type="lastRow">
      <w:pPr>
        <w:spacing w:before="0" w:after="0" w:line="240" w:lineRule="auto"/>
      </w:pPr>
      <w:rPr>
        <w:b/>
        <w:bCs/>
      </w:rPr>
      <w:tblPr/>
      <w:tcPr>
        <w:tcBorders>
          <w:top w:val="double" w:sz="6"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tcPr>
    </w:tblStylePr>
    <w:tblStylePr w:type="firstCol">
      <w:rPr>
        <w:b/>
        <w:bCs/>
      </w:rPr>
    </w:tblStylePr>
    <w:tblStylePr w:type="lastCol">
      <w:rPr>
        <w:b/>
        <w:bCs/>
      </w:rPr>
    </w:tblStylePr>
    <w:tblStylePr w:type="band1Vert">
      <w:tblPr/>
      <w:tcPr>
        <w:shd w:val="clear" w:color="auto" w:fill="B3EDBA" w:themeFill="accent3" w:themeFillTint="3F"/>
      </w:tcPr>
    </w:tblStylePr>
    <w:tblStylePr w:type="band1Horz">
      <w:tblPr/>
      <w:tcPr>
        <w:tcBorders>
          <w:insideH w:val="nil"/>
          <w:insideV w:val="nil"/>
        </w:tcBorders>
        <w:shd w:val="clear" w:color="auto" w:fill="B3EDBA"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3C1CBF"/>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tblBorders>
    </w:tblPr>
    <w:tblStylePr w:type="firstRow">
      <w:pPr>
        <w:spacing w:before="0" w:after="0" w:line="240" w:lineRule="auto"/>
      </w:pPr>
      <w:rPr>
        <w:b/>
        <w:bCs/>
        <w:color w:val="FFFFFF" w:themeColor="background1"/>
      </w:rPr>
      <w:tblPr/>
      <w:tcPr>
        <w:tc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shd w:val="clear" w:color="auto" w:fill="0F9ED5" w:themeFill="accent4"/>
      </w:tcPr>
    </w:tblStylePr>
    <w:tblStylePr w:type="lastRow">
      <w:pPr>
        <w:spacing w:before="0" w:after="0" w:line="240" w:lineRule="auto"/>
      </w:pPr>
      <w:rPr>
        <w:b/>
        <w:bCs/>
      </w:rPr>
      <w:tblPr/>
      <w:tcPr>
        <w:tcBorders>
          <w:top w:val="double" w:sz="6"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tcPr>
    </w:tblStylePr>
    <w:tblStylePr w:type="firstCol">
      <w:rPr>
        <w:b/>
        <w:bCs/>
      </w:rPr>
    </w:tblStylePr>
    <w:tblStylePr w:type="lastCol">
      <w:rPr>
        <w:b/>
        <w:bCs/>
      </w:rPr>
    </w:tblStylePr>
    <w:tblStylePr w:type="band1Vert">
      <w:tblPr/>
      <w:tcPr>
        <w:shd w:val="clear" w:color="auto" w:fill="BDE9FA" w:themeFill="accent4" w:themeFillTint="3F"/>
      </w:tcPr>
    </w:tblStylePr>
    <w:tblStylePr w:type="band1Horz">
      <w:tblPr/>
      <w:tcPr>
        <w:tcBorders>
          <w:insideH w:val="nil"/>
          <w:insideV w:val="nil"/>
        </w:tcBorders>
        <w:shd w:val="clear" w:color="auto" w:fill="BDE9FA"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3C1CBF"/>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tblBorders>
    </w:tblPr>
    <w:tblStylePr w:type="firstRow">
      <w:pPr>
        <w:spacing w:before="0" w:after="0" w:line="240" w:lineRule="auto"/>
      </w:pPr>
      <w:rPr>
        <w:b/>
        <w:bCs/>
        <w:color w:val="FFFFFF" w:themeColor="background1"/>
      </w:rPr>
      <w:tblPr/>
      <w:tcPr>
        <w:tc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shd w:val="clear" w:color="auto" w:fill="A02B93" w:themeFill="accent5"/>
      </w:tcPr>
    </w:tblStylePr>
    <w:tblStylePr w:type="lastRow">
      <w:pPr>
        <w:spacing w:before="0" w:after="0" w:line="240" w:lineRule="auto"/>
      </w:pPr>
      <w:rPr>
        <w:b/>
        <w:bCs/>
      </w:rPr>
      <w:tblPr/>
      <w:tcPr>
        <w:tcBorders>
          <w:top w:val="double" w:sz="6"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C3E9" w:themeFill="accent5" w:themeFillTint="3F"/>
      </w:tcPr>
    </w:tblStylePr>
    <w:tblStylePr w:type="band1Horz">
      <w:tblPr/>
      <w:tcPr>
        <w:tcBorders>
          <w:insideH w:val="nil"/>
          <w:insideV w:val="nil"/>
        </w:tcBorders>
        <w:shd w:val="clear" w:color="auto" w:fill="EFC3E9"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3C1CBF"/>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tblBorders>
    </w:tblPr>
    <w:tblStylePr w:type="firstRow">
      <w:pPr>
        <w:spacing w:before="0" w:after="0" w:line="240" w:lineRule="auto"/>
      </w:pPr>
      <w:rPr>
        <w:b/>
        <w:bCs/>
        <w:color w:val="FFFFFF" w:themeColor="background1"/>
      </w:rPr>
      <w:tblPr/>
      <w:tcPr>
        <w:tc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shd w:val="clear" w:color="auto" w:fill="4EA72E" w:themeFill="accent6"/>
      </w:tcPr>
    </w:tblStylePr>
    <w:tblStylePr w:type="lastRow">
      <w:pPr>
        <w:spacing w:before="0" w:after="0" w:line="240" w:lineRule="auto"/>
      </w:pPr>
      <w:rPr>
        <w:b/>
        <w:bCs/>
      </w:rPr>
      <w:tblPr/>
      <w:tcPr>
        <w:tcBorders>
          <w:top w:val="double" w:sz="6"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tcPr>
    </w:tblStylePr>
    <w:tblStylePr w:type="firstCol">
      <w:rPr>
        <w:b/>
        <w:bCs/>
      </w:rPr>
    </w:tblStylePr>
    <w:tblStylePr w:type="lastCol">
      <w:rPr>
        <w:b/>
        <w:bCs/>
      </w:rPr>
    </w:tblStylePr>
    <w:tblStylePr w:type="band1Vert">
      <w:tblPr/>
      <w:tcPr>
        <w:shd w:val="clear" w:color="auto" w:fill="D0EFC5" w:themeFill="accent6" w:themeFillTint="3F"/>
      </w:tcPr>
    </w:tblStylePr>
    <w:tblStylePr w:type="band1Horz">
      <w:tblPr/>
      <w:tcPr>
        <w:tcBorders>
          <w:insideH w:val="nil"/>
          <w:insideV w:val="nil"/>
        </w:tcBorders>
        <w:shd w:val="clear" w:color="auto" w:fill="D0EFC5"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3C1CB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semiHidden/>
    <w:unhideWhenUsed/>
    <w:rsid w:val="003C1CB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56082"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56082" w:themeFill="accent1"/>
      </w:tcPr>
    </w:tblStylePr>
    <w:tblStylePr w:type="lastCol">
      <w:rPr>
        <w:b/>
        <w:bCs/>
        <w:color w:val="FFFFFF" w:themeColor="background1"/>
      </w:rPr>
      <w:tblPr/>
      <w:tcPr>
        <w:tcBorders>
          <w:left w:val="nil"/>
          <w:right w:val="nil"/>
          <w:insideH w:val="nil"/>
          <w:insideV w:val="nil"/>
        </w:tcBorders>
        <w:shd w:val="clear" w:color="auto" w:fill="156082"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semiHidden/>
    <w:unhideWhenUsed/>
    <w:rsid w:val="003C1CB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97132"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97132" w:themeFill="accent2"/>
      </w:tcPr>
    </w:tblStylePr>
    <w:tblStylePr w:type="lastCol">
      <w:rPr>
        <w:b/>
        <w:bCs/>
        <w:color w:val="FFFFFF" w:themeColor="background1"/>
      </w:rPr>
      <w:tblPr/>
      <w:tcPr>
        <w:tcBorders>
          <w:left w:val="nil"/>
          <w:right w:val="nil"/>
          <w:insideH w:val="nil"/>
          <w:insideV w:val="nil"/>
        </w:tcBorders>
        <w:shd w:val="clear" w:color="auto" w:fill="E97132"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semiHidden/>
    <w:unhideWhenUsed/>
    <w:rsid w:val="003C1CB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96B2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96B24" w:themeFill="accent3"/>
      </w:tcPr>
    </w:tblStylePr>
    <w:tblStylePr w:type="lastCol">
      <w:rPr>
        <w:b/>
        <w:bCs/>
        <w:color w:val="FFFFFF" w:themeColor="background1"/>
      </w:rPr>
      <w:tblPr/>
      <w:tcPr>
        <w:tcBorders>
          <w:left w:val="nil"/>
          <w:right w:val="nil"/>
          <w:insideH w:val="nil"/>
          <w:insideV w:val="nil"/>
        </w:tcBorders>
        <w:shd w:val="clear" w:color="auto" w:fill="196B2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semiHidden/>
    <w:unhideWhenUsed/>
    <w:rsid w:val="003C1CB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F9ED5"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F9ED5" w:themeFill="accent4"/>
      </w:tcPr>
    </w:tblStylePr>
    <w:tblStylePr w:type="lastCol">
      <w:rPr>
        <w:b/>
        <w:bCs/>
        <w:color w:val="FFFFFF" w:themeColor="background1"/>
      </w:rPr>
      <w:tblPr/>
      <w:tcPr>
        <w:tcBorders>
          <w:left w:val="nil"/>
          <w:right w:val="nil"/>
          <w:insideH w:val="nil"/>
          <w:insideV w:val="nil"/>
        </w:tcBorders>
        <w:shd w:val="clear" w:color="auto" w:fill="0F9ED5"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semiHidden/>
    <w:unhideWhenUsed/>
    <w:rsid w:val="003C1CB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02B93"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02B93" w:themeFill="accent5"/>
      </w:tcPr>
    </w:tblStylePr>
    <w:tblStylePr w:type="lastCol">
      <w:rPr>
        <w:b/>
        <w:bCs/>
        <w:color w:val="FFFFFF" w:themeColor="background1"/>
      </w:rPr>
      <w:tblPr/>
      <w:tcPr>
        <w:tcBorders>
          <w:left w:val="nil"/>
          <w:right w:val="nil"/>
          <w:insideH w:val="nil"/>
          <w:insideV w:val="nil"/>
        </w:tcBorders>
        <w:shd w:val="clear" w:color="auto" w:fill="A02B93"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semiHidden/>
    <w:unhideWhenUsed/>
    <w:rsid w:val="003C1CB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EA72E"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EA72E" w:themeFill="accent6"/>
      </w:tcPr>
    </w:tblStylePr>
    <w:tblStylePr w:type="lastCol">
      <w:rPr>
        <w:b/>
        <w:bCs/>
        <w:color w:val="FFFFFF" w:themeColor="background1"/>
      </w:rPr>
      <w:tblPr/>
      <w:tcPr>
        <w:tcBorders>
          <w:left w:val="nil"/>
          <w:right w:val="nil"/>
          <w:insideH w:val="nil"/>
          <w:insideV w:val="nil"/>
        </w:tcBorders>
        <w:shd w:val="clear" w:color="auto" w:fill="4EA72E"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semiHidden/>
    <w:unhideWhenUsed/>
    <w:rsid w:val="003C1CBF"/>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E2841"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semiHidden/>
    <w:unhideWhenUsed/>
    <w:rsid w:val="003C1CBF"/>
    <w:pPr>
      <w:spacing w:after="0" w:line="240" w:lineRule="auto"/>
    </w:pPr>
    <w:rPr>
      <w:color w:val="000000" w:themeColor="text1"/>
    </w:rPr>
    <w:tblPr>
      <w:tblStyleRowBandSize w:val="1"/>
      <w:tblStyleColBandSize w:val="1"/>
      <w:tblBorders>
        <w:top w:val="single" w:sz="8" w:space="0" w:color="156082" w:themeColor="accent1"/>
        <w:bottom w:val="single" w:sz="8" w:space="0" w:color="156082" w:themeColor="accent1"/>
      </w:tblBorders>
    </w:tblPr>
    <w:tblStylePr w:type="firstRow">
      <w:rPr>
        <w:rFonts w:asciiTheme="majorHAnsi" w:eastAsiaTheme="majorEastAsia" w:hAnsiTheme="majorHAnsi" w:cstheme="majorBidi"/>
      </w:rPr>
      <w:tblPr/>
      <w:tcPr>
        <w:tcBorders>
          <w:top w:val="nil"/>
          <w:bottom w:val="single" w:sz="8" w:space="0" w:color="156082" w:themeColor="accent1"/>
        </w:tcBorders>
      </w:tcPr>
    </w:tblStylePr>
    <w:tblStylePr w:type="lastRow">
      <w:rPr>
        <w:b/>
        <w:bCs/>
        <w:color w:val="0E2841" w:themeColor="text2"/>
      </w:rPr>
      <w:tblPr/>
      <w:tcPr>
        <w:tcBorders>
          <w:top w:val="single" w:sz="8" w:space="0" w:color="156082" w:themeColor="accent1"/>
          <w:bottom w:val="single" w:sz="8" w:space="0" w:color="156082" w:themeColor="accent1"/>
        </w:tcBorders>
      </w:tcPr>
    </w:tblStylePr>
    <w:tblStylePr w:type="firstCol">
      <w:rPr>
        <w:b/>
        <w:bCs/>
      </w:rPr>
    </w:tblStylePr>
    <w:tblStylePr w:type="lastCol">
      <w:rPr>
        <w:b/>
        <w:bCs/>
      </w:rPr>
      <w:tblPr/>
      <w:tcPr>
        <w:tcBorders>
          <w:top w:val="single" w:sz="8" w:space="0" w:color="156082" w:themeColor="accent1"/>
          <w:bottom w:val="single" w:sz="8" w:space="0" w:color="156082" w:themeColor="accent1"/>
        </w:tcBorders>
      </w:tcPr>
    </w:tblStylePr>
    <w:tblStylePr w:type="band1Vert">
      <w:tblPr/>
      <w:tcPr>
        <w:shd w:val="clear" w:color="auto" w:fill="B2DEF2" w:themeFill="accent1" w:themeFillTint="3F"/>
      </w:tcPr>
    </w:tblStylePr>
    <w:tblStylePr w:type="band1Horz">
      <w:tblPr/>
      <w:tcPr>
        <w:shd w:val="clear" w:color="auto" w:fill="B2DEF2" w:themeFill="accent1" w:themeFillTint="3F"/>
      </w:tcPr>
    </w:tblStylePr>
  </w:style>
  <w:style w:type="table" w:styleId="MediumList1-Accent2">
    <w:name w:val="Medium List 1 Accent 2"/>
    <w:basedOn w:val="TableNormal"/>
    <w:uiPriority w:val="65"/>
    <w:semiHidden/>
    <w:unhideWhenUsed/>
    <w:rsid w:val="003C1CBF"/>
    <w:pPr>
      <w:spacing w:after="0" w:line="240" w:lineRule="auto"/>
    </w:pPr>
    <w:rPr>
      <w:color w:val="000000" w:themeColor="text1"/>
    </w:rPr>
    <w:tblPr>
      <w:tblStyleRowBandSize w:val="1"/>
      <w:tblStyleColBandSize w:val="1"/>
      <w:tblBorders>
        <w:top w:val="single" w:sz="8" w:space="0" w:color="E97132" w:themeColor="accent2"/>
        <w:bottom w:val="single" w:sz="8" w:space="0" w:color="E97132" w:themeColor="accent2"/>
      </w:tblBorders>
    </w:tblPr>
    <w:tblStylePr w:type="firstRow">
      <w:rPr>
        <w:rFonts w:asciiTheme="majorHAnsi" w:eastAsiaTheme="majorEastAsia" w:hAnsiTheme="majorHAnsi" w:cstheme="majorBidi"/>
      </w:rPr>
      <w:tblPr/>
      <w:tcPr>
        <w:tcBorders>
          <w:top w:val="nil"/>
          <w:bottom w:val="single" w:sz="8" w:space="0" w:color="E97132" w:themeColor="accent2"/>
        </w:tcBorders>
      </w:tcPr>
    </w:tblStylePr>
    <w:tblStylePr w:type="lastRow">
      <w:rPr>
        <w:b/>
        <w:bCs/>
        <w:color w:val="0E2841" w:themeColor="text2"/>
      </w:rPr>
      <w:tblPr/>
      <w:tcPr>
        <w:tcBorders>
          <w:top w:val="single" w:sz="8" w:space="0" w:color="E97132" w:themeColor="accent2"/>
          <w:bottom w:val="single" w:sz="8" w:space="0" w:color="E97132" w:themeColor="accent2"/>
        </w:tcBorders>
      </w:tcPr>
    </w:tblStylePr>
    <w:tblStylePr w:type="firstCol">
      <w:rPr>
        <w:b/>
        <w:bCs/>
      </w:rPr>
    </w:tblStylePr>
    <w:tblStylePr w:type="lastCol">
      <w:rPr>
        <w:b/>
        <w:bCs/>
      </w:rPr>
      <w:tblPr/>
      <w:tcPr>
        <w:tcBorders>
          <w:top w:val="single" w:sz="8" w:space="0" w:color="E97132" w:themeColor="accent2"/>
          <w:bottom w:val="single" w:sz="8" w:space="0" w:color="E97132" w:themeColor="accent2"/>
        </w:tcBorders>
      </w:tcPr>
    </w:tblStylePr>
    <w:tblStylePr w:type="band1Vert">
      <w:tblPr/>
      <w:tcPr>
        <w:shd w:val="clear" w:color="auto" w:fill="F9DBCC" w:themeFill="accent2" w:themeFillTint="3F"/>
      </w:tcPr>
    </w:tblStylePr>
    <w:tblStylePr w:type="band1Horz">
      <w:tblPr/>
      <w:tcPr>
        <w:shd w:val="clear" w:color="auto" w:fill="F9DBCC" w:themeFill="accent2" w:themeFillTint="3F"/>
      </w:tcPr>
    </w:tblStylePr>
  </w:style>
  <w:style w:type="table" w:styleId="MediumList1-Accent3">
    <w:name w:val="Medium List 1 Accent 3"/>
    <w:basedOn w:val="TableNormal"/>
    <w:uiPriority w:val="65"/>
    <w:semiHidden/>
    <w:unhideWhenUsed/>
    <w:rsid w:val="003C1CBF"/>
    <w:pPr>
      <w:spacing w:after="0" w:line="240" w:lineRule="auto"/>
    </w:pPr>
    <w:rPr>
      <w:color w:val="000000" w:themeColor="text1"/>
    </w:rPr>
    <w:tblPr>
      <w:tblStyleRowBandSize w:val="1"/>
      <w:tblStyleColBandSize w:val="1"/>
      <w:tblBorders>
        <w:top w:val="single" w:sz="8" w:space="0" w:color="196B24" w:themeColor="accent3"/>
        <w:bottom w:val="single" w:sz="8" w:space="0" w:color="196B24" w:themeColor="accent3"/>
      </w:tblBorders>
    </w:tblPr>
    <w:tblStylePr w:type="firstRow">
      <w:rPr>
        <w:rFonts w:asciiTheme="majorHAnsi" w:eastAsiaTheme="majorEastAsia" w:hAnsiTheme="majorHAnsi" w:cstheme="majorBidi"/>
      </w:rPr>
      <w:tblPr/>
      <w:tcPr>
        <w:tcBorders>
          <w:top w:val="nil"/>
          <w:bottom w:val="single" w:sz="8" w:space="0" w:color="196B24" w:themeColor="accent3"/>
        </w:tcBorders>
      </w:tcPr>
    </w:tblStylePr>
    <w:tblStylePr w:type="lastRow">
      <w:rPr>
        <w:b/>
        <w:bCs/>
        <w:color w:val="0E2841" w:themeColor="text2"/>
      </w:rPr>
      <w:tblPr/>
      <w:tcPr>
        <w:tcBorders>
          <w:top w:val="single" w:sz="8" w:space="0" w:color="196B24" w:themeColor="accent3"/>
          <w:bottom w:val="single" w:sz="8" w:space="0" w:color="196B24" w:themeColor="accent3"/>
        </w:tcBorders>
      </w:tcPr>
    </w:tblStylePr>
    <w:tblStylePr w:type="firstCol">
      <w:rPr>
        <w:b/>
        <w:bCs/>
      </w:rPr>
    </w:tblStylePr>
    <w:tblStylePr w:type="lastCol">
      <w:rPr>
        <w:b/>
        <w:bCs/>
      </w:rPr>
      <w:tblPr/>
      <w:tcPr>
        <w:tcBorders>
          <w:top w:val="single" w:sz="8" w:space="0" w:color="196B24" w:themeColor="accent3"/>
          <w:bottom w:val="single" w:sz="8" w:space="0" w:color="196B24" w:themeColor="accent3"/>
        </w:tcBorders>
      </w:tcPr>
    </w:tblStylePr>
    <w:tblStylePr w:type="band1Vert">
      <w:tblPr/>
      <w:tcPr>
        <w:shd w:val="clear" w:color="auto" w:fill="B3EDBA" w:themeFill="accent3" w:themeFillTint="3F"/>
      </w:tcPr>
    </w:tblStylePr>
    <w:tblStylePr w:type="band1Horz">
      <w:tblPr/>
      <w:tcPr>
        <w:shd w:val="clear" w:color="auto" w:fill="B3EDBA" w:themeFill="accent3" w:themeFillTint="3F"/>
      </w:tcPr>
    </w:tblStylePr>
  </w:style>
  <w:style w:type="table" w:styleId="MediumList1-Accent4">
    <w:name w:val="Medium List 1 Accent 4"/>
    <w:basedOn w:val="TableNormal"/>
    <w:uiPriority w:val="65"/>
    <w:semiHidden/>
    <w:unhideWhenUsed/>
    <w:rsid w:val="003C1CBF"/>
    <w:pPr>
      <w:spacing w:after="0" w:line="240" w:lineRule="auto"/>
    </w:pPr>
    <w:rPr>
      <w:color w:val="000000" w:themeColor="text1"/>
    </w:rPr>
    <w:tblPr>
      <w:tblStyleRowBandSize w:val="1"/>
      <w:tblStyleColBandSize w:val="1"/>
      <w:tblBorders>
        <w:top w:val="single" w:sz="8" w:space="0" w:color="0F9ED5" w:themeColor="accent4"/>
        <w:bottom w:val="single" w:sz="8" w:space="0" w:color="0F9ED5" w:themeColor="accent4"/>
      </w:tblBorders>
    </w:tblPr>
    <w:tblStylePr w:type="firstRow">
      <w:rPr>
        <w:rFonts w:asciiTheme="majorHAnsi" w:eastAsiaTheme="majorEastAsia" w:hAnsiTheme="majorHAnsi" w:cstheme="majorBidi"/>
      </w:rPr>
      <w:tblPr/>
      <w:tcPr>
        <w:tcBorders>
          <w:top w:val="nil"/>
          <w:bottom w:val="single" w:sz="8" w:space="0" w:color="0F9ED5" w:themeColor="accent4"/>
        </w:tcBorders>
      </w:tcPr>
    </w:tblStylePr>
    <w:tblStylePr w:type="lastRow">
      <w:rPr>
        <w:b/>
        <w:bCs/>
        <w:color w:val="0E2841" w:themeColor="text2"/>
      </w:rPr>
      <w:tblPr/>
      <w:tcPr>
        <w:tcBorders>
          <w:top w:val="single" w:sz="8" w:space="0" w:color="0F9ED5" w:themeColor="accent4"/>
          <w:bottom w:val="single" w:sz="8" w:space="0" w:color="0F9ED5" w:themeColor="accent4"/>
        </w:tcBorders>
      </w:tcPr>
    </w:tblStylePr>
    <w:tblStylePr w:type="firstCol">
      <w:rPr>
        <w:b/>
        <w:bCs/>
      </w:rPr>
    </w:tblStylePr>
    <w:tblStylePr w:type="lastCol">
      <w:rPr>
        <w:b/>
        <w:bCs/>
      </w:rPr>
      <w:tblPr/>
      <w:tcPr>
        <w:tcBorders>
          <w:top w:val="single" w:sz="8" w:space="0" w:color="0F9ED5" w:themeColor="accent4"/>
          <w:bottom w:val="single" w:sz="8" w:space="0" w:color="0F9ED5" w:themeColor="accent4"/>
        </w:tcBorders>
      </w:tcPr>
    </w:tblStylePr>
    <w:tblStylePr w:type="band1Vert">
      <w:tblPr/>
      <w:tcPr>
        <w:shd w:val="clear" w:color="auto" w:fill="BDE9FA" w:themeFill="accent4" w:themeFillTint="3F"/>
      </w:tcPr>
    </w:tblStylePr>
    <w:tblStylePr w:type="band1Horz">
      <w:tblPr/>
      <w:tcPr>
        <w:shd w:val="clear" w:color="auto" w:fill="BDE9FA" w:themeFill="accent4" w:themeFillTint="3F"/>
      </w:tcPr>
    </w:tblStylePr>
  </w:style>
  <w:style w:type="table" w:styleId="MediumList1-Accent5">
    <w:name w:val="Medium List 1 Accent 5"/>
    <w:basedOn w:val="TableNormal"/>
    <w:uiPriority w:val="65"/>
    <w:semiHidden/>
    <w:unhideWhenUsed/>
    <w:rsid w:val="003C1CBF"/>
    <w:pPr>
      <w:spacing w:after="0" w:line="240" w:lineRule="auto"/>
    </w:pPr>
    <w:rPr>
      <w:color w:val="000000" w:themeColor="text1"/>
    </w:rPr>
    <w:tblPr>
      <w:tblStyleRowBandSize w:val="1"/>
      <w:tblStyleColBandSize w:val="1"/>
      <w:tblBorders>
        <w:top w:val="single" w:sz="8" w:space="0" w:color="A02B93" w:themeColor="accent5"/>
        <w:bottom w:val="single" w:sz="8" w:space="0" w:color="A02B93" w:themeColor="accent5"/>
      </w:tblBorders>
    </w:tblPr>
    <w:tblStylePr w:type="firstRow">
      <w:rPr>
        <w:rFonts w:asciiTheme="majorHAnsi" w:eastAsiaTheme="majorEastAsia" w:hAnsiTheme="majorHAnsi" w:cstheme="majorBidi"/>
      </w:rPr>
      <w:tblPr/>
      <w:tcPr>
        <w:tcBorders>
          <w:top w:val="nil"/>
          <w:bottom w:val="single" w:sz="8" w:space="0" w:color="A02B93" w:themeColor="accent5"/>
        </w:tcBorders>
      </w:tcPr>
    </w:tblStylePr>
    <w:tblStylePr w:type="lastRow">
      <w:rPr>
        <w:b/>
        <w:bCs/>
        <w:color w:val="0E2841" w:themeColor="text2"/>
      </w:rPr>
      <w:tblPr/>
      <w:tcPr>
        <w:tcBorders>
          <w:top w:val="single" w:sz="8" w:space="0" w:color="A02B93" w:themeColor="accent5"/>
          <w:bottom w:val="single" w:sz="8" w:space="0" w:color="A02B93" w:themeColor="accent5"/>
        </w:tcBorders>
      </w:tcPr>
    </w:tblStylePr>
    <w:tblStylePr w:type="firstCol">
      <w:rPr>
        <w:b/>
        <w:bCs/>
      </w:rPr>
    </w:tblStylePr>
    <w:tblStylePr w:type="lastCol">
      <w:rPr>
        <w:b/>
        <w:bCs/>
      </w:rPr>
      <w:tblPr/>
      <w:tcPr>
        <w:tcBorders>
          <w:top w:val="single" w:sz="8" w:space="0" w:color="A02B93" w:themeColor="accent5"/>
          <w:bottom w:val="single" w:sz="8" w:space="0" w:color="A02B93" w:themeColor="accent5"/>
        </w:tcBorders>
      </w:tcPr>
    </w:tblStylePr>
    <w:tblStylePr w:type="band1Vert">
      <w:tblPr/>
      <w:tcPr>
        <w:shd w:val="clear" w:color="auto" w:fill="EFC3E9" w:themeFill="accent5" w:themeFillTint="3F"/>
      </w:tcPr>
    </w:tblStylePr>
    <w:tblStylePr w:type="band1Horz">
      <w:tblPr/>
      <w:tcPr>
        <w:shd w:val="clear" w:color="auto" w:fill="EFC3E9" w:themeFill="accent5" w:themeFillTint="3F"/>
      </w:tcPr>
    </w:tblStylePr>
  </w:style>
  <w:style w:type="table" w:styleId="MediumList1-Accent6">
    <w:name w:val="Medium List 1 Accent 6"/>
    <w:basedOn w:val="TableNormal"/>
    <w:uiPriority w:val="65"/>
    <w:semiHidden/>
    <w:unhideWhenUsed/>
    <w:rsid w:val="003C1CBF"/>
    <w:pPr>
      <w:spacing w:after="0" w:line="240" w:lineRule="auto"/>
    </w:pPr>
    <w:rPr>
      <w:color w:val="000000" w:themeColor="text1"/>
    </w:rPr>
    <w:tblPr>
      <w:tblStyleRowBandSize w:val="1"/>
      <w:tblStyleColBandSize w:val="1"/>
      <w:tblBorders>
        <w:top w:val="single" w:sz="8" w:space="0" w:color="4EA72E" w:themeColor="accent6"/>
        <w:bottom w:val="single" w:sz="8" w:space="0" w:color="4EA72E" w:themeColor="accent6"/>
      </w:tblBorders>
    </w:tblPr>
    <w:tblStylePr w:type="firstRow">
      <w:rPr>
        <w:rFonts w:asciiTheme="majorHAnsi" w:eastAsiaTheme="majorEastAsia" w:hAnsiTheme="majorHAnsi" w:cstheme="majorBidi"/>
      </w:rPr>
      <w:tblPr/>
      <w:tcPr>
        <w:tcBorders>
          <w:top w:val="nil"/>
          <w:bottom w:val="single" w:sz="8" w:space="0" w:color="4EA72E" w:themeColor="accent6"/>
        </w:tcBorders>
      </w:tcPr>
    </w:tblStylePr>
    <w:tblStylePr w:type="lastRow">
      <w:rPr>
        <w:b/>
        <w:bCs/>
        <w:color w:val="0E2841" w:themeColor="text2"/>
      </w:rPr>
      <w:tblPr/>
      <w:tcPr>
        <w:tcBorders>
          <w:top w:val="single" w:sz="8" w:space="0" w:color="4EA72E" w:themeColor="accent6"/>
          <w:bottom w:val="single" w:sz="8" w:space="0" w:color="4EA72E" w:themeColor="accent6"/>
        </w:tcBorders>
      </w:tcPr>
    </w:tblStylePr>
    <w:tblStylePr w:type="firstCol">
      <w:rPr>
        <w:b/>
        <w:bCs/>
      </w:rPr>
    </w:tblStylePr>
    <w:tblStylePr w:type="lastCol">
      <w:rPr>
        <w:b/>
        <w:bCs/>
      </w:rPr>
      <w:tblPr/>
      <w:tcPr>
        <w:tcBorders>
          <w:top w:val="single" w:sz="8" w:space="0" w:color="4EA72E" w:themeColor="accent6"/>
          <w:bottom w:val="single" w:sz="8" w:space="0" w:color="4EA72E" w:themeColor="accent6"/>
        </w:tcBorders>
      </w:tcPr>
    </w:tblStylePr>
    <w:tblStylePr w:type="band1Vert">
      <w:tblPr/>
      <w:tcPr>
        <w:shd w:val="clear" w:color="auto" w:fill="D0EFC5" w:themeFill="accent6" w:themeFillTint="3F"/>
      </w:tcPr>
    </w:tblStylePr>
    <w:tblStylePr w:type="band1Horz">
      <w:tblPr/>
      <w:tcPr>
        <w:shd w:val="clear" w:color="auto" w:fill="D0EFC5" w:themeFill="accent6" w:themeFillTint="3F"/>
      </w:tcPr>
    </w:tblStylePr>
  </w:style>
  <w:style w:type="table" w:styleId="MediumList2">
    <w:name w:val="Medium List 2"/>
    <w:basedOn w:val="TableNormal"/>
    <w:uiPriority w:val="66"/>
    <w:semiHidden/>
    <w:unhideWhenUsed/>
    <w:rsid w:val="003C1CB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3C1CB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rPr>
        <w:sz w:val="24"/>
        <w:szCs w:val="24"/>
      </w:rPr>
      <w:tblPr/>
      <w:tcPr>
        <w:tcBorders>
          <w:top w:val="nil"/>
          <w:left w:val="nil"/>
          <w:bottom w:val="single" w:sz="24" w:space="0" w:color="156082" w:themeColor="accent1"/>
          <w:right w:val="nil"/>
          <w:insideH w:val="nil"/>
          <w:insideV w:val="nil"/>
        </w:tcBorders>
        <w:shd w:val="clear" w:color="auto" w:fill="FFFFFF" w:themeFill="background1"/>
      </w:tcPr>
    </w:tblStylePr>
    <w:tblStylePr w:type="lastRow">
      <w:tblPr/>
      <w:tcPr>
        <w:tcBorders>
          <w:top w:val="single" w:sz="8" w:space="0" w:color="156082"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56082" w:themeColor="accent1"/>
          <w:insideH w:val="nil"/>
          <w:insideV w:val="nil"/>
        </w:tcBorders>
        <w:shd w:val="clear" w:color="auto" w:fill="FFFFFF" w:themeFill="background1"/>
      </w:tcPr>
    </w:tblStylePr>
    <w:tblStylePr w:type="lastCol">
      <w:tblPr/>
      <w:tcPr>
        <w:tcBorders>
          <w:top w:val="nil"/>
          <w:left w:val="single" w:sz="8" w:space="0" w:color="156082"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top w:val="nil"/>
          <w:bottom w:val="nil"/>
          <w:insideH w:val="nil"/>
          <w:insideV w:val="nil"/>
        </w:tcBorders>
        <w:shd w:val="clear" w:color="auto" w:fill="B2DEF2"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3C1CB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rPr>
        <w:sz w:val="24"/>
        <w:szCs w:val="24"/>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tblPr/>
      <w:tcPr>
        <w:tcBorders>
          <w:top w:val="single" w:sz="8" w:space="0" w:color="E97132" w:themeColor="accent2"/>
          <w:left w:val="nil"/>
          <w:right w:val="nil"/>
          <w:insideH w:val="nil"/>
          <w:insideV w:val="nil"/>
        </w:tcBorders>
        <w:shd w:val="clear" w:color="auto" w:fill="FFFFFF" w:themeFill="background1"/>
      </w:tcPr>
    </w:tblStylePr>
    <w:tblStylePr w:type="firstCol">
      <w:tblPr/>
      <w:tcPr>
        <w:tcBorders>
          <w:top w:val="nil"/>
          <w:left w:val="nil"/>
          <w:bottom w:val="nil"/>
          <w:right w:val="single" w:sz="8" w:space="0" w:color="E97132" w:themeColor="accent2"/>
          <w:insideH w:val="nil"/>
          <w:insideV w:val="nil"/>
        </w:tcBorders>
        <w:shd w:val="clear" w:color="auto" w:fill="FFFFFF" w:themeFill="background1"/>
      </w:tcPr>
    </w:tblStylePr>
    <w:tblStylePr w:type="lastCol">
      <w:tblPr/>
      <w:tcPr>
        <w:tcBorders>
          <w:top w:val="nil"/>
          <w:left w:val="single" w:sz="8" w:space="0" w:color="E97132"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top w:val="nil"/>
          <w:bottom w:val="nil"/>
          <w:insideH w:val="nil"/>
          <w:insideV w:val="nil"/>
        </w:tcBorders>
        <w:shd w:val="clear" w:color="auto" w:fill="F9DBCC"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3C1CB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rPr>
        <w:sz w:val="24"/>
        <w:szCs w:val="24"/>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tblPr/>
      <w:tcPr>
        <w:tcBorders>
          <w:top w:val="single" w:sz="8" w:space="0" w:color="196B24"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96B24" w:themeColor="accent3"/>
          <w:insideH w:val="nil"/>
          <w:insideV w:val="nil"/>
        </w:tcBorders>
        <w:shd w:val="clear" w:color="auto" w:fill="FFFFFF" w:themeFill="background1"/>
      </w:tcPr>
    </w:tblStylePr>
    <w:tblStylePr w:type="lastCol">
      <w:tblPr/>
      <w:tcPr>
        <w:tcBorders>
          <w:top w:val="nil"/>
          <w:left w:val="single" w:sz="8" w:space="0" w:color="196B2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top w:val="nil"/>
          <w:bottom w:val="nil"/>
          <w:insideH w:val="nil"/>
          <w:insideV w:val="nil"/>
        </w:tcBorders>
        <w:shd w:val="clear" w:color="auto" w:fill="B3EDBA"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3C1CB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rPr>
        <w:sz w:val="24"/>
        <w:szCs w:val="24"/>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tblPr/>
      <w:tcPr>
        <w:tcBorders>
          <w:top w:val="single" w:sz="8" w:space="0" w:color="0F9ED5"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F9ED5" w:themeColor="accent4"/>
          <w:insideH w:val="nil"/>
          <w:insideV w:val="nil"/>
        </w:tcBorders>
        <w:shd w:val="clear" w:color="auto" w:fill="FFFFFF" w:themeFill="background1"/>
      </w:tcPr>
    </w:tblStylePr>
    <w:tblStylePr w:type="lastCol">
      <w:tblPr/>
      <w:tcPr>
        <w:tcBorders>
          <w:top w:val="nil"/>
          <w:left w:val="single" w:sz="8" w:space="0" w:color="0F9ED5"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top w:val="nil"/>
          <w:bottom w:val="nil"/>
          <w:insideH w:val="nil"/>
          <w:insideV w:val="nil"/>
        </w:tcBorders>
        <w:shd w:val="clear" w:color="auto" w:fill="BDE9FA"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3C1CB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rPr>
        <w:sz w:val="24"/>
        <w:szCs w:val="24"/>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tblPr/>
      <w:tcPr>
        <w:tcBorders>
          <w:top w:val="single" w:sz="8" w:space="0" w:color="A02B93"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02B93" w:themeColor="accent5"/>
          <w:insideH w:val="nil"/>
          <w:insideV w:val="nil"/>
        </w:tcBorders>
        <w:shd w:val="clear" w:color="auto" w:fill="FFFFFF" w:themeFill="background1"/>
      </w:tcPr>
    </w:tblStylePr>
    <w:tblStylePr w:type="lastCol">
      <w:tblPr/>
      <w:tcPr>
        <w:tcBorders>
          <w:top w:val="nil"/>
          <w:left w:val="single" w:sz="8" w:space="0" w:color="A02B93"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top w:val="nil"/>
          <w:bottom w:val="nil"/>
          <w:insideH w:val="nil"/>
          <w:insideV w:val="nil"/>
        </w:tcBorders>
        <w:shd w:val="clear" w:color="auto" w:fill="EFC3E9"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3C1CB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rPr>
        <w:sz w:val="24"/>
        <w:szCs w:val="24"/>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tblPr/>
      <w:tcPr>
        <w:tcBorders>
          <w:top w:val="single" w:sz="8" w:space="0" w:color="4EA72E"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EA72E" w:themeColor="accent6"/>
          <w:insideH w:val="nil"/>
          <w:insideV w:val="nil"/>
        </w:tcBorders>
        <w:shd w:val="clear" w:color="auto" w:fill="FFFFFF" w:themeFill="background1"/>
      </w:tcPr>
    </w:tblStylePr>
    <w:tblStylePr w:type="lastCol">
      <w:tblPr/>
      <w:tcPr>
        <w:tcBorders>
          <w:top w:val="nil"/>
          <w:left w:val="single" w:sz="8" w:space="0" w:color="4EA72E"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top w:val="nil"/>
          <w:bottom w:val="nil"/>
          <w:insideH w:val="nil"/>
          <w:insideV w:val="nil"/>
        </w:tcBorders>
        <w:shd w:val="clear" w:color="auto" w:fill="D0EFC5"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semiHidden/>
    <w:unhideWhenUsed/>
    <w:rsid w:val="003C1CBF"/>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3C1CBF"/>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insideV w:val="single" w:sz="8" w:space="0" w:color="2198CF" w:themeColor="accent1" w:themeTint="BF"/>
      </w:tblBorders>
    </w:tblPr>
    <w:tcPr>
      <w:shd w:val="clear" w:color="auto" w:fill="B2DEF2" w:themeFill="accent1" w:themeFillTint="3F"/>
    </w:tcPr>
    <w:tblStylePr w:type="firstRow">
      <w:rPr>
        <w:b/>
        <w:bCs/>
      </w:rPr>
    </w:tblStylePr>
    <w:tblStylePr w:type="lastRow">
      <w:rPr>
        <w:b/>
        <w:bCs/>
      </w:rPr>
      <w:tblPr/>
      <w:tcPr>
        <w:tcBorders>
          <w:top w:val="single" w:sz="18" w:space="0" w:color="2198CF" w:themeColor="accent1" w:themeTint="BF"/>
        </w:tcBorders>
      </w:tcPr>
    </w:tblStylePr>
    <w:tblStylePr w:type="firstCol">
      <w:rPr>
        <w:b/>
        <w:bCs/>
      </w:rPr>
    </w:tblStylePr>
    <w:tblStylePr w:type="lastCol">
      <w:rPr>
        <w:b/>
        <w:bCs/>
      </w:r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MediumGrid1-Accent2">
    <w:name w:val="Medium Grid 1 Accent 2"/>
    <w:basedOn w:val="TableNormal"/>
    <w:uiPriority w:val="67"/>
    <w:semiHidden/>
    <w:unhideWhenUsed/>
    <w:rsid w:val="003C1CBF"/>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insideV w:val="single" w:sz="8" w:space="0" w:color="EE9465" w:themeColor="accent2" w:themeTint="BF"/>
      </w:tblBorders>
    </w:tblPr>
    <w:tcPr>
      <w:shd w:val="clear" w:color="auto" w:fill="F9DBCC" w:themeFill="accent2" w:themeFillTint="3F"/>
    </w:tcPr>
    <w:tblStylePr w:type="firstRow">
      <w:rPr>
        <w:b/>
        <w:bCs/>
      </w:rPr>
    </w:tblStylePr>
    <w:tblStylePr w:type="lastRow">
      <w:rPr>
        <w:b/>
        <w:bCs/>
      </w:rPr>
      <w:tblPr/>
      <w:tcPr>
        <w:tcBorders>
          <w:top w:val="single" w:sz="18" w:space="0" w:color="EE9465" w:themeColor="accent2" w:themeTint="BF"/>
        </w:tcBorders>
      </w:tcPr>
    </w:tblStylePr>
    <w:tblStylePr w:type="firstCol">
      <w:rPr>
        <w:b/>
        <w:bCs/>
      </w:rPr>
    </w:tblStylePr>
    <w:tblStylePr w:type="lastCol">
      <w:rPr>
        <w:b/>
        <w:bCs/>
      </w:r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MediumGrid1-Accent3">
    <w:name w:val="Medium Grid 1 Accent 3"/>
    <w:basedOn w:val="TableNormal"/>
    <w:uiPriority w:val="67"/>
    <w:semiHidden/>
    <w:unhideWhenUsed/>
    <w:rsid w:val="003C1CBF"/>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insideV w:val="single" w:sz="8" w:space="0" w:color="2BB73D" w:themeColor="accent3" w:themeTint="BF"/>
      </w:tblBorders>
    </w:tblPr>
    <w:tcPr>
      <w:shd w:val="clear" w:color="auto" w:fill="B3EDBA" w:themeFill="accent3" w:themeFillTint="3F"/>
    </w:tcPr>
    <w:tblStylePr w:type="firstRow">
      <w:rPr>
        <w:b/>
        <w:bCs/>
      </w:rPr>
    </w:tblStylePr>
    <w:tblStylePr w:type="lastRow">
      <w:rPr>
        <w:b/>
        <w:bCs/>
      </w:rPr>
      <w:tblPr/>
      <w:tcPr>
        <w:tcBorders>
          <w:top w:val="single" w:sz="18" w:space="0" w:color="2BB73D" w:themeColor="accent3" w:themeTint="BF"/>
        </w:tcBorders>
      </w:tcPr>
    </w:tblStylePr>
    <w:tblStylePr w:type="firstCol">
      <w:rPr>
        <w:b/>
        <w:bCs/>
      </w:rPr>
    </w:tblStylePr>
    <w:tblStylePr w:type="lastCol">
      <w:rPr>
        <w:b/>
        <w:bCs/>
      </w:r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MediumGrid1-Accent4">
    <w:name w:val="Medium Grid 1 Accent 4"/>
    <w:basedOn w:val="TableNormal"/>
    <w:uiPriority w:val="67"/>
    <w:semiHidden/>
    <w:unhideWhenUsed/>
    <w:rsid w:val="003C1CBF"/>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insideV w:val="single" w:sz="8" w:space="0" w:color="39BEF1" w:themeColor="accent4" w:themeTint="BF"/>
      </w:tblBorders>
    </w:tblPr>
    <w:tcPr>
      <w:shd w:val="clear" w:color="auto" w:fill="BDE9FA" w:themeFill="accent4" w:themeFillTint="3F"/>
    </w:tcPr>
    <w:tblStylePr w:type="firstRow">
      <w:rPr>
        <w:b/>
        <w:bCs/>
      </w:rPr>
    </w:tblStylePr>
    <w:tblStylePr w:type="lastRow">
      <w:rPr>
        <w:b/>
        <w:bCs/>
      </w:rPr>
      <w:tblPr/>
      <w:tcPr>
        <w:tcBorders>
          <w:top w:val="single" w:sz="18" w:space="0" w:color="39BEF1" w:themeColor="accent4" w:themeTint="BF"/>
        </w:tcBorders>
      </w:tcPr>
    </w:tblStylePr>
    <w:tblStylePr w:type="firstCol">
      <w:rPr>
        <w:b/>
        <w:bCs/>
      </w:rPr>
    </w:tblStylePr>
    <w:tblStylePr w:type="lastCol">
      <w:rPr>
        <w:b/>
        <w:bCs/>
      </w:r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MediumGrid1-Accent5">
    <w:name w:val="Medium Grid 1 Accent 5"/>
    <w:basedOn w:val="TableNormal"/>
    <w:uiPriority w:val="67"/>
    <w:semiHidden/>
    <w:unhideWhenUsed/>
    <w:rsid w:val="003C1CBF"/>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insideV w:val="single" w:sz="8" w:space="0" w:color="CE49BF" w:themeColor="accent5" w:themeTint="BF"/>
      </w:tblBorders>
    </w:tblPr>
    <w:tcPr>
      <w:shd w:val="clear" w:color="auto" w:fill="EFC3E9" w:themeFill="accent5" w:themeFillTint="3F"/>
    </w:tcPr>
    <w:tblStylePr w:type="firstRow">
      <w:rPr>
        <w:b/>
        <w:bCs/>
      </w:rPr>
    </w:tblStylePr>
    <w:tblStylePr w:type="lastRow">
      <w:rPr>
        <w:b/>
        <w:bCs/>
      </w:rPr>
      <w:tblPr/>
      <w:tcPr>
        <w:tcBorders>
          <w:top w:val="single" w:sz="18" w:space="0" w:color="CE49BF" w:themeColor="accent5" w:themeTint="BF"/>
        </w:tcBorders>
      </w:tcPr>
    </w:tblStylePr>
    <w:tblStylePr w:type="firstCol">
      <w:rPr>
        <w:b/>
        <w:bCs/>
      </w:rPr>
    </w:tblStylePr>
    <w:tblStylePr w:type="lastCol">
      <w:rPr>
        <w:b/>
        <w:bCs/>
      </w:r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MediumGrid1-Accent6">
    <w:name w:val="Medium Grid 1 Accent 6"/>
    <w:basedOn w:val="TableNormal"/>
    <w:uiPriority w:val="67"/>
    <w:semiHidden/>
    <w:unhideWhenUsed/>
    <w:rsid w:val="003C1CBF"/>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insideV w:val="single" w:sz="8" w:space="0" w:color="71CF50" w:themeColor="accent6" w:themeTint="BF"/>
      </w:tblBorders>
    </w:tblPr>
    <w:tcPr>
      <w:shd w:val="clear" w:color="auto" w:fill="D0EFC5" w:themeFill="accent6" w:themeFillTint="3F"/>
    </w:tcPr>
    <w:tblStylePr w:type="firstRow">
      <w:rPr>
        <w:b/>
        <w:bCs/>
      </w:rPr>
    </w:tblStylePr>
    <w:tblStylePr w:type="lastRow">
      <w:rPr>
        <w:b/>
        <w:bCs/>
      </w:rPr>
      <w:tblPr/>
      <w:tcPr>
        <w:tcBorders>
          <w:top w:val="single" w:sz="18" w:space="0" w:color="71CF50" w:themeColor="accent6" w:themeTint="BF"/>
        </w:tcBorders>
      </w:tcPr>
    </w:tblStylePr>
    <w:tblStylePr w:type="firstCol">
      <w:rPr>
        <w:b/>
        <w:bCs/>
      </w:rPr>
    </w:tblStylePr>
    <w:tblStylePr w:type="lastCol">
      <w:rPr>
        <w:b/>
        <w:bCs/>
      </w:r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styleId="MediumGrid2">
    <w:name w:val="Medium Grid 2"/>
    <w:basedOn w:val="TableNormal"/>
    <w:uiPriority w:val="68"/>
    <w:semiHidden/>
    <w:unhideWhenUsed/>
    <w:rsid w:val="003C1CB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3C1CB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cPr>
      <w:shd w:val="clear" w:color="auto" w:fill="B2DEF2" w:themeFill="accent1" w:themeFillTint="3F"/>
    </w:tcPr>
    <w:tblStylePr w:type="firstRow">
      <w:rPr>
        <w:b/>
        <w:bCs/>
        <w:color w:val="000000" w:themeColor="text1"/>
      </w:rPr>
      <w:tblPr/>
      <w:tcPr>
        <w:shd w:val="clear" w:color="auto" w:fill="E0F2FA"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E4F5" w:themeFill="accent1" w:themeFillTint="33"/>
      </w:tcPr>
    </w:tblStylePr>
    <w:tblStylePr w:type="band1Vert">
      <w:tblPr/>
      <w:tcPr>
        <w:shd w:val="clear" w:color="auto" w:fill="64BDE6" w:themeFill="accent1" w:themeFillTint="7F"/>
      </w:tcPr>
    </w:tblStylePr>
    <w:tblStylePr w:type="band1Horz">
      <w:tblPr/>
      <w:tcPr>
        <w:tcBorders>
          <w:insideH w:val="single" w:sz="6" w:space="0" w:color="156082" w:themeColor="accent1"/>
          <w:insideV w:val="single" w:sz="6" w:space="0" w:color="156082" w:themeColor="accent1"/>
        </w:tcBorders>
        <w:shd w:val="clear" w:color="auto" w:fill="64BDE6"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3C1CB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cPr>
      <w:shd w:val="clear" w:color="auto" w:fill="F9DBCC" w:themeFill="accent2" w:themeFillTint="3F"/>
    </w:tcPr>
    <w:tblStylePr w:type="firstRow">
      <w:rPr>
        <w:b/>
        <w:bCs/>
        <w:color w:val="000000" w:themeColor="text1"/>
      </w:rPr>
      <w:tblPr/>
      <w:tcPr>
        <w:shd w:val="clear" w:color="auto" w:fill="FCF0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E2D5" w:themeFill="accent2" w:themeFillTint="33"/>
      </w:tcPr>
    </w:tblStylePr>
    <w:tblStylePr w:type="band1Vert">
      <w:tblPr/>
      <w:tcPr>
        <w:shd w:val="clear" w:color="auto" w:fill="F4B798" w:themeFill="accent2" w:themeFillTint="7F"/>
      </w:tcPr>
    </w:tblStylePr>
    <w:tblStylePr w:type="band1Horz">
      <w:tblPr/>
      <w:tcPr>
        <w:tcBorders>
          <w:insideH w:val="single" w:sz="6" w:space="0" w:color="E97132" w:themeColor="accent2"/>
          <w:insideV w:val="single" w:sz="6" w:space="0" w:color="E97132" w:themeColor="accent2"/>
        </w:tcBorders>
        <w:shd w:val="clear" w:color="auto" w:fill="F4B798"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3C1CB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cPr>
      <w:shd w:val="clear" w:color="auto" w:fill="B3EDBA" w:themeFill="accent3" w:themeFillTint="3F"/>
    </w:tcPr>
    <w:tblStylePr w:type="firstRow">
      <w:rPr>
        <w:b/>
        <w:bCs/>
        <w:color w:val="000000" w:themeColor="text1"/>
      </w:rPr>
      <w:tblPr/>
      <w:tcPr>
        <w:shd w:val="clear" w:color="auto" w:fill="E0F8E3"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0C7" w:themeFill="accent3" w:themeFillTint="33"/>
      </w:tcPr>
    </w:tblStylePr>
    <w:tblStylePr w:type="band1Vert">
      <w:tblPr/>
      <w:tcPr>
        <w:shd w:val="clear" w:color="auto" w:fill="66DB75" w:themeFill="accent3" w:themeFillTint="7F"/>
      </w:tcPr>
    </w:tblStylePr>
    <w:tblStylePr w:type="band1Horz">
      <w:tblPr/>
      <w:tcPr>
        <w:tcBorders>
          <w:insideH w:val="single" w:sz="6" w:space="0" w:color="196B24" w:themeColor="accent3"/>
          <w:insideV w:val="single" w:sz="6" w:space="0" w:color="196B24" w:themeColor="accent3"/>
        </w:tcBorders>
        <w:shd w:val="clear" w:color="auto" w:fill="66DB75"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3C1CB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cPr>
      <w:shd w:val="clear" w:color="auto" w:fill="BDE9FA" w:themeFill="accent4" w:themeFillTint="3F"/>
    </w:tcPr>
    <w:tblStylePr w:type="firstRow">
      <w:rPr>
        <w:b/>
        <w:bCs/>
        <w:color w:val="000000" w:themeColor="text1"/>
      </w:rPr>
      <w:tblPr/>
      <w:tcPr>
        <w:shd w:val="clear" w:color="auto" w:fill="E5F6FD"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AEDFB" w:themeFill="accent4" w:themeFillTint="33"/>
      </w:tcPr>
    </w:tblStylePr>
    <w:tblStylePr w:type="band1Vert">
      <w:tblPr/>
      <w:tcPr>
        <w:shd w:val="clear" w:color="auto" w:fill="7BD3F5" w:themeFill="accent4" w:themeFillTint="7F"/>
      </w:tcPr>
    </w:tblStylePr>
    <w:tblStylePr w:type="band1Horz">
      <w:tblPr/>
      <w:tcPr>
        <w:tcBorders>
          <w:insideH w:val="single" w:sz="6" w:space="0" w:color="0F9ED5" w:themeColor="accent4"/>
          <w:insideV w:val="single" w:sz="6" w:space="0" w:color="0F9ED5" w:themeColor="accent4"/>
        </w:tcBorders>
        <w:shd w:val="clear" w:color="auto" w:fill="7BD3F5"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3C1CB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cPr>
      <w:shd w:val="clear" w:color="auto" w:fill="EFC3E9" w:themeFill="accent5" w:themeFillTint="3F"/>
    </w:tcPr>
    <w:tblStylePr w:type="firstRow">
      <w:rPr>
        <w:b/>
        <w:bCs/>
        <w:color w:val="000000" w:themeColor="text1"/>
      </w:rPr>
      <w:tblPr/>
      <w:tcPr>
        <w:shd w:val="clear" w:color="auto" w:fill="F8E7F6"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CEED" w:themeFill="accent5" w:themeFillTint="33"/>
      </w:tcPr>
    </w:tblStylePr>
    <w:tblStylePr w:type="band1Vert">
      <w:tblPr/>
      <w:tcPr>
        <w:shd w:val="clear" w:color="auto" w:fill="DE86D4" w:themeFill="accent5" w:themeFillTint="7F"/>
      </w:tcPr>
    </w:tblStylePr>
    <w:tblStylePr w:type="band1Horz">
      <w:tblPr/>
      <w:tcPr>
        <w:tcBorders>
          <w:insideH w:val="single" w:sz="6" w:space="0" w:color="A02B93" w:themeColor="accent5"/>
          <w:insideV w:val="single" w:sz="6" w:space="0" w:color="A02B93" w:themeColor="accent5"/>
        </w:tcBorders>
        <w:shd w:val="clear" w:color="auto" w:fill="DE86D4"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3C1CB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cPr>
      <w:shd w:val="clear" w:color="auto" w:fill="D0EFC5" w:themeFill="accent6" w:themeFillTint="3F"/>
    </w:tcPr>
    <w:tblStylePr w:type="firstRow">
      <w:rPr>
        <w:b/>
        <w:bCs/>
        <w:color w:val="000000" w:themeColor="text1"/>
      </w:rPr>
      <w:tblPr/>
      <w:tcPr>
        <w:shd w:val="clear" w:color="auto" w:fill="ECF8E8"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F2D0" w:themeFill="accent6" w:themeFillTint="33"/>
      </w:tcPr>
    </w:tblStylePr>
    <w:tblStylePr w:type="band1Vert">
      <w:tblPr/>
      <w:tcPr>
        <w:shd w:val="clear" w:color="auto" w:fill="A0DF8A" w:themeFill="accent6" w:themeFillTint="7F"/>
      </w:tcPr>
    </w:tblStylePr>
    <w:tblStylePr w:type="band1Horz">
      <w:tblPr/>
      <w:tcPr>
        <w:tcBorders>
          <w:insideH w:val="single" w:sz="6" w:space="0" w:color="4EA72E" w:themeColor="accent6"/>
          <w:insideV w:val="single" w:sz="6" w:space="0" w:color="4EA72E" w:themeColor="accent6"/>
        </w:tcBorders>
        <w:shd w:val="clear" w:color="auto" w:fill="A0DF8A"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3C1CB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semiHidden/>
    <w:unhideWhenUsed/>
    <w:rsid w:val="003C1CB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DEF2"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56082"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56082"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4BDE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4BDE6" w:themeFill="accent1" w:themeFillTint="7F"/>
      </w:tcPr>
    </w:tblStylePr>
  </w:style>
  <w:style w:type="table" w:styleId="MediumGrid3-Accent2">
    <w:name w:val="Medium Grid 3 Accent 2"/>
    <w:basedOn w:val="TableNormal"/>
    <w:uiPriority w:val="69"/>
    <w:semiHidden/>
    <w:unhideWhenUsed/>
    <w:rsid w:val="003C1CB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9DBCC"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97132"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97132"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4B7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4B798" w:themeFill="accent2" w:themeFillTint="7F"/>
      </w:tcPr>
    </w:tblStylePr>
  </w:style>
  <w:style w:type="table" w:styleId="MediumGrid3-Accent3">
    <w:name w:val="Medium Grid 3 Accent 3"/>
    <w:basedOn w:val="TableNormal"/>
    <w:uiPriority w:val="69"/>
    <w:semiHidden/>
    <w:unhideWhenUsed/>
    <w:rsid w:val="003C1CB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3EDBA"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96B2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96B2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6DB75"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6DB75" w:themeFill="accent3" w:themeFillTint="7F"/>
      </w:tcPr>
    </w:tblStylePr>
  </w:style>
  <w:style w:type="table" w:styleId="MediumGrid3-Accent4">
    <w:name w:val="Medium Grid 3 Accent 4"/>
    <w:basedOn w:val="TableNormal"/>
    <w:uiPriority w:val="69"/>
    <w:semiHidden/>
    <w:unhideWhenUsed/>
    <w:rsid w:val="003C1CB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DE9FA"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F9ED5"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F9ED5"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BD3F5"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BD3F5" w:themeFill="accent4" w:themeFillTint="7F"/>
      </w:tcPr>
    </w:tblStylePr>
  </w:style>
  <w:style w:type="table" w:styleId="MediumGrid3-Accent5">
    <w:name w:val="Medium Grid 3 Accent 5"/>
    <w:basedOn w:val="TableNormal"/>
    <w:uiPriority w:val="69"/>
    <w:semiHidden/>
    <w:unhideWhenUsed/>
    <w:rsid w:val="003C1CB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C3E9"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02B93"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02B93"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E86D4"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E86D4" w:themeFill="accent5" w:themeFillTint="7F"/>
      </w:tcPr>
    </w:tblStylePr>
  </w:style>
  <w:style w:type="table" w:styleId="MediumGrid3-Accent6">
    <w:name w:val="Medium Grid 3 Accent 6"/>
    <w:basedOn w:val="TableNormal"/>
    <w:uiPriority w:val="69"/>
    <w:semiHidden/>
    <w:unhideWhenUsed/>
    <w:rsid w:val="003C1CB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EFC5"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EA72E"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EA72E"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0DF8A"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0DF8A" w:themeFill="accent6" w:themeFillTint="7F"/>
      </w:tcPr>
    </w:tblStylePr>
  </w:style>
  <w:style w:type="table" w:styleId="DarkList">
    <w:name w:val="Dark List"/>
    <w:basedOn w:val="TableNormal"/>
    <w:uiPriority w:val="70"/>
    <w:semiHidden/>
    <w:unhideWhenUsed/>
    <w:rsid w:val="003C1CBF"/>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3C1CBF"/>
    <w:pPr>
      <w:spacing w:after="0" w:line="240" w:lineRule="auto"/>
    </w:pPr>
    <w:rPr>
      <w:color w:val="FFFFFF" w:themeColor="background1"/>
    </w:rPr>
    <w:tblPr>
      <w:tblStyleRowBandSize w:val="1"/>
      <w:tblStyleColBandSize w:val="1"/>
    </w:tblPr>
    <w:tcPr>
      <w:shd w:val="clear" w:color="auto" w:fill="156082"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A2F4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F476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F4761" w:themeFill="accent1" w:themeFillShade="BF"/>
      </w:tcPr>
    </w:tblStylePr>
    <w:tblStylePr w:type="band1Vert">
      <w:tblPr/>
      <w:tcPr>
        <w:tcBorders>
          <w:top w:val="nil"/>
          <w:left w:val="nil"/>
          <w:bottom w:val="nil"/>
          <w:right w:val="nil"/>
          <w:insideH w:val="nil"/>
          <w:insideV w:val="nil"/>
        </w:tcBorders>
        <w:shd w:val="clear" w:color="auto" w:fill="0F4761" w:themeFill="accent1" w:themeFillShade="BF"/>
      </w:tcPr>
    </w:tblStylePr>
    <w:tblStylePr w:type="band1Horz">
      <w:tblPr/>
      <w:tcPr>
        <w:tcBorders>
          <w:top w:val="nil"/>
          <w:left w:val="nil"/>
          <w:bottom w:val="nil"/>
          <w:right w:val="nil"/>
          <w:insideH w:val="nil"/>
          <w:insideV w:val="nil"/>
        </w:tcBorders>
        <w:shd w:val="clear" w:color="auto" w:fill="0F4761" w:themeFill="accent1" w:themeFillShade="BF"/>
      </w:tcPr>
    </w:tblStylePr>
  </w:style>
  <w:style w:type="table" w:styleId="DarkList-Accent2">
    <w:name w:val="Dark List Accent 2"/>
    <w:basedOn w:val="TableNormal"/>
    <w:uiPriority w:val="70"/>
    <w:semiHidden/>
    <w:unhideWhenUsed/>
    <w:rsid w:val="003C1CBF"/>
    <w:pPr>
      <w:spacing w:after="0" w:line="240" w:lineRule="auto"/>
    </w:pPr>
    <w:rPr>
      <w:color w:val="FFFFFF" w:themeColor="background1"/>
    </w:rPr>
    <w:tblPr>
      <w:tblStyleRowBandSize w:val="1"/>
      <w:tblStyleColBandSize w:val="1"/>
    </w:tblPr>
    <w:tcPr>
      <w:shd w:val="clear" w:color="auto" w:fill="E97132"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340D"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BF4E1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BF4E14" w:themeFill="accent2" w:themeFillShade="BF"/>
      </w:tcPr>
    </w:tblStylePr>
    <w:tblStylePr w:type="band1Vert">
      <w:tblPr/>
      <w:tcPr>
        <w:tcBorders>
          <w:top w:val="nil"/>
          <w:left w:val="nil"/>
          <w:bottom w:val="nil"/>
          <w:right w:val="nil"/>
          <w:insideH w:val="nil"/>
          <w:insideV w:val="nil"/>
        </w:tcBorders>
        <w:shd w:val="clear" w:color="auto" w:fill="BF4E14" w:themeFill="accent2" w:themeFillShade="BF"/>
      </w:tcPr>
    </w:tblStylePr>
    <w:tblStylePr w:type="band1Horz">
      <w:tblPr/>
      <w:tcPr>
        <w:tcBorders>
          <w:top w:val="nil"/>
          <w:left w:val="nil"/>
          <w:bottom w:val="nil"/>
          <w:right w:val="nil"/>
          <w:insideH w:val="nil"/>
          <w:insideV w:val="nil"/>
        </w:tcBorders>
        <w:shd w:val="clear" w:color="auto" w:fill="BF4E14" w:themeFill="accent2" w:themeFillShade="BF"/>
      </w:tcPr>
    </w:tblStylePr>
  </w:style>
  <w:style w:type="table" w:styleId="DarkList-Accent3">
    <w:name w:val="Dark List Accent 3"/>
    <w:basedOn w:val="TableNormal"/>
    <w:uiPriority w:val="70"/>
    <w:semiHidden/>
    <w:unhideWhenUsed/>
    <w:rsid w:val="003C1CBF"/>
    <w:pPr>
      <w:spacing w:after="0" w:line="240" w:lineRule="auto"/>
    </w:pPr>
    <w:rPr>
      <w:color w:val="FFFFFF" w:themeColor="background1"/>
    </w:rPr>
    <w:tblPr>
      <w:tblStyleRowBandSize w:val="1"/>
      <w:tblStyleColBandSize w:val="1"/>
    </w:tblPr>
    <w:tcPr>
      <w:shd w:val="clear" w:color="auto" w:fill="196B2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C351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124F1A"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124F1A" w:themeFill="accent3" w:themeFillShade="BF"/>
      </w:tcPr>
    </w:tblStylePr>
    <w:tblStylePr w:type="band1Vert">
      <w:tblPr/>
      <w:tcPr>
        <w:tcBorders>
          <w:top w:val="nil"/>
          <w:left w:val="nil"/>
          <w:bottom w:val="nil"/>
          <w:right w:val="nil"/>
          <w:insideH w:val="nil"/>
          <w:insideV w:val="nil"/>
        </w:tcBorders>
        <w:shd w:val="clear" w:color="auto" w:fill="124F1A" w:themeFill="accent3" w:themeFillShade="BF"/>
      </w:tcPr>
    </w:tblStylePr>
    <w:tblStylePr w:type="band1Horz">
      <w:tblPr/>
      <w:tcPr>
        <w:tcBorders>
          <w:top w:val="nil"/>
          <w:left w:val="nil"/>
          <w:bottom w:val="nil"/>
          <w:right w:val="nil"/>
          <w:insideH w:val="nil"/>
          <w:insideV w:val="nil"/>
        </w:tcBorders>
        <w:shd w:val="clear" w:color="auto" w:fill="124F1A" w:themeFill="accent3" w:themeFillShade="BF"/>
      </w:tcPr>
    </w:tblStylePr>
  </w:style>
  <w:style w:type="table" w:styleId="DarkList-Accent4">
    <w:name w:val="Dark List Accent 4"/>
    <w:basedOn w:val="TableNormal"/>
    <w:uiPriority w:val="70"/>
    <w:semiHidden/>
    <w:unhideWhenUsed/>
    <w:rsid w:val="003C1CBF"/>
    <w:pPr>
      <w:spacing w:after="0" w:line="240" w:lineRule="auto"/>
    </w:pPr>
    <w:rPr>
      <w:color w:val="FFFFFF" w:themeColor="background1"/>
    </w:rPr>
    <w:tblPr>
      <w:tblStyleRowBandSize w:val="1"/>
      <w:tblStyleColBandSize w:val="1"/>
    </w:tblPr>
    <w:tcPr>
      <w:shd w:val="clear" w:color="auto" w:fill="0F9ED5"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74E69"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0B769F"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0B769F" w:themeFill="accent4" w:themeFillShade="BF"/>
      </w:tcPr>
    </w:tblStylePr>
    <w:tblStylePr w:type="band1Vert">
      <w:tblPr/>
      <w:tcPr>
        <w:tcBorders>
          <w:top w:val="nil"/>
          <w:left w:val="nil"/>
          <w:bottom w:val="nil"/>
          <w:right w:val="nil"/>
          <w:insideH w:val="nil"/>
          <w:insideV w:val="nil"/>
        </w:tcBorders>
        <w:shd w:val="clear" w:color="auto" w:fill="0B769F" w:themeFill="accent4" w:themeFillShade="BF"/>
      </w:tcPr>
    </w:tblStylePr>
    <w:tblStylePr w:type="band1Horz">
      <w:tblPr/>
      <w:tcPr>
        <w:tcBorders>
          <w:top w:val="nil"/>
          <w:left w:val="nil"/>
          <w:bottom w:val="nil"/>
          <w:right w:val="nil"/>
          <w:insideH w:val="nil"/>
          <w:insideV w:val="nil"/>
        </w:tcBorders>
        <w:shd w:val="clear" w:color="auto" w:fill="0B769F" w:themeFill="accent4" w:themeFillShade="BF"/>
      </w:tcPr>
    </w:tblStylePr>
  </w:style>
  <w:style w:type="table" w:styleId="DarkList-Accent5">
    <w:name w:val="Dark List Accent 5"/>
    <w:basedOn w:val="TableNormal"/>
    <w:uiPriority w:val="70"/>
    <w:semiHidden/>
    <w:unhideWhenUsed/>
    <w:rsid w:val="003C1CBF"/>
    <w:pPr>
      <w:spacing w:after="0" w:line="240" w:lineRule="auto"/>
    </w:pPr>
    <w:rPr>
      <w:color w:val="FFFFFF" w:themeColor="background1"/>
    </w:rPr>
    <w:tblPr>
      <w:tblStyleRowBandSize w:val="1"/>
      <w:tblStyleColBandSize w:val="1"/>
    </w:tblPr>
    <w:tcPr>
      <w:shd w:val="clear" w:color="auto" w:fill="A02B93"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F1548"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77206D"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77206D" w:themeFill="accent5" w:themeFillShade="BF"/>
      </w:tcPr>
    </w:tblStylePr>
    <w:tblStylePr w:type="band1Vert">
      <w:tblPr/>
      <w:tcPr>
        <w:tcBorders>
          <w:top w:val="nil"/>
          <w:left w:val="nil"/>
          <w:bottom w:val="nil"/>
          <w:right w:val="nil"/>
          <w:insideH w:val="nil"/>
          <w:insideV w:val="nil"/>
        </w:tcBorders>
        <w:shd w:val="clear" w:color="auto" w:fill="77206D" w:themeFill="accent5" w:themeFillShade="BF"/>
      </w:tcPr>
    </w:tblStylePr>
    <w:tblStylePr w:type="band1Horz">
      <w:tblPr/>
      <w:tcPr>
        <w:tcBorders>
          <w:top w:val="nil"/>
          <w:left w:val="nil"/>
          <w:bottom w:val="nil"/>
          <w:right w:val="nil"/>
          <w:insideH w:val="nil"/>
          <w:insideV w:val="nil"/>
        </w:tcBorders>
        <w:shd w:val="clear" w:color="auto" w:fill="77206D" w:themeFill="accent5" w:themeFillShade="BF"/>
      </w:tcPr>
    </w:tblStylePr>
  </w:style>
  <w:style w:type="table" w:styleId="DarkList-Accent6">
    <w:name w:val="Dark List Accent 6"/>
    <w:basedOn w:val="TableNormal"/>
    <w:uiPriority w:val="70"/>
    <w:semiHidden/>
    <w:unhideWhenUsed/>
    <w:rsid w:val="003C1CBF"/>
    <w:pPr>
      <w:spacing w:after="0" w:line="240" w:lineRule="auto"/>
    </w:pPr>
    <w:rPr>
      <w:color w:val="FFFFFF" w:themeColor="background1"/>
    </w:rPr>
    <w:tblPr>
      <w:tblStyleRowBandSize w:val="1"/>
      <w:tblStyleColBandSize w:val="1"/>
    </w:tblPr>
    <w:tcPr>
      <w:shd w:val="clear" w:color="auto" w:fill="4EA72E"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65317"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3A7C22"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3A7C22" w:themeFill="accent6" w:themeFillShade="BF"/>
      </w:tcPr>
    </w:tblStylePr>
    <w:tblStylePr w:type="band1Vert">
      <w:tblPr/>
      <w:tcPr>
        <w:tcBorders>
          <w:top w:val="nil"/>
          <w:left w:val="nil"/>
          <w:bottom w:val="nil"/>
          <w:right w:val="nil"/>
          <w:insideH w:val="nil"/>
          <w:insideV w:val="nil"/>
        </w:tcBorders>
        <w:shd w:val="clear" w:color="auto" w:fill="3A7C22" w:themeFill="accent6" w:themeFillShade="BF"/>
      </w:tcPr>
    </w:tblStylePr>
    <w:tblStylePr w:type="band1Horz">
      <w:tblPr/>
      <w:tcPr>
        <w:tcBorders>
          <w:top w:val="nil"/>
          <w:left w:val="nil"/>
          <w:bottom w:val="nil"/>
          <w:right w:val="nil"/>
          <w:insideH w:val="nil"/>
          <w:insideV w:val="nil"/>
        </w:tcBorders>
        <w:shd w:val="clear" w:color="auto" w:fill="3A7C22" w:themeFill="accent6" w:themeFillShade="BF"/>
      </w:tcPr>
    </w:tblStylePr>
  </w:style>
  <w:style w:type="table" w:styleId="ColourfulShading">
    <w:name w:val="Colorful Shading"/>
    <w:basedOn w:val="TableNormal"/>
    <w:uiPriority w:val="71"/>
    <w:semiHidden/>
    <w:unhideWhenUsed/>
    <w:rsid w:val="003C1CBF"/>
    <w:pPr>
      <w:spacing w:after="0" w:line="240" w:lineRule="auto"/>
    </w:pPr>
    <w:rPr>
      <w:color w:val="000000" w:themeColor="text1"/>
    </w:rPr>
    <w:tblPr>
      <w:tblStyleRowBandSize w:val="1"/>
      <w:tblStyleColBandSize w:val="1"/>
      <w:tblBorders>
        <w:top w:val="single" w:sz="24" w:space="0" w:color="E97132"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urfulShadingAccent1">
    <w:name w:val="Colorful Shading Accent 1"/>
    <w:basedOn w:val="TableNormal"/>
    <w:uiPriority w:val="71"/>
    <w:semiHidden/>
    <w:unhideWhenUsed/>
    <w:rsid w:val="003C1CBF"/>
    <w:pPr>
      <w:spacing w:after="0" w:line="240" w:lineRule="auto"/>
    </w:pPr>
    <w:rPr>
      <w:color w:val="000000" w:themeColor="text1"/>
    </w:rPr>
    <w:tblPr>
      <w:tblStyleRowBandSize w:val="1"/>
      <w:tblStyleColBandSize w:val="1"/>
      <w:tblBorders>
        <w:top w:val="single" w:sz="24" w:space="0" w:color="E97132" w:themeColor="accent2"/>
        <w:left w:val="single" w:sz="4" w:space="0" w:color="156082" w:themeColor="accent1"/>
        <w:bottom w:val="single" w:sz="4" w:space="0" w:color="156082" w:themeColor="accent1"/>
        <w:right w:val="single" w:sz="4" w:space="0" w:color="156082" w:themeColor="accent1"/>
        <w:insideH w:val="single" w:sz="4" w:space="0" w:color="FFFFFF" w:themeColor="background1"/>
        <w:insideV w:val="single" w:sz="4" w:space="0" w:color="FFFFFF" w:themeColor="background1"/>
      </w:tblBorders>
    </w:tblPr>
    <w:tcPr>
      <w:shd w:val="clear" w:color="auto" w:fill="E0F2FA" w:themeFill="accen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C394D" w:themeFill="accent1" w:themeFillShade="99"/>
      </w:tcPr>
    </w:tblStylePr>
    <w:tblStylePr w:type="firstCol">
      <w:rPr>
        <w:color w:val="FFFFFF" w:themeColor="background1"/>
      </w:rPr>
      <w:tblPr/>
      <w:tcPr>
        <w:tcBorders>
          <w:top w:val="nil"/>
          <w:left w:val="nil"/>
          <w:bottom w:val="nil"/>
          <w:right w:val="nil"/>
          <w:insideH w:val="single" w:sz="4" w:space="0" w:color="0C394D" w:themeColor="accent1" w:themeShade="99"/>
          <w:insideV w:val="nil"/>
        </w:tcBorders>
        <w:shd w:val="clear" w:color="auto" w:fill="0C394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C394D" w:themeFill="accent1" w:themeFillShade="99"/>
      </w:tcPr>
    </w:tblStylePr>
    <w:tblStylePr w:type="band1Vert">
      <w:tblPr/>
      <w:tcPr>
        <w:shd w:val="clear" w:color="auto" w:fill="83CAEB" w:themeFill="accent1" w:themeFillTint="66"/>
      </w:tcPr>
    </w:tblStylePr>
    <w:tblStylePr w:type="band1Horz">
      <w:tblPr/>
      <w:tcPr>
        <w:shd w:val="clear" w:color="auto" w:fill="64BDE6" w:themeFill="accent1" w:themeFillTint="7F"/>
      </w:tcPr>
    </w:tblStylePr>
    <w:tblStylePr w:type="neCell">
      <w:rPr>
        <w:color w:val="000000" w:themeColor="text1"/>
      </w:rPr>
    </w:tblStylePr>
    <w:tblStylePr w:type="nwCell">
      <w:rPr>
        <w:color w:val="000000" w:themeColor="text1"/>
      </w:rPr>
    </w:tblStylePr>
  </w:style>
  <w:style w:type="table" w:styleId="ColourfulShadingAccent2">
    <w:name w:val="Colorful Shading Accent 2"/>
    <w:basedOn w:val="TableNormal"/>
    <w:uiPriority w:val="71"/>
    <w:semiHidden/>
    <w:unhideWhenUsed/>
    <w:rsid w:val="003C1CBF"/>
    <w:pPr>
      <w:spacing w:after="0" w:line="240" w:lineRule="auto"/>
    </w:pPr>
    <w:rPr>
      <w:color w:val="000000" w:themeColor="text1"/>
    </w:rPr>
    <w:tblPr>
      <w:tblStyleRowBandSize w:val="1"/>
      <w:tblStyleColBandSize w:val="1"/>
      <w:tblBorders>
        <w:top w:val="single" w:sz="24" w:space="0" w:color="E97132" w:themeColor="accent2"/>
        <w:left w:val="single" w:sz="4" w:space="0" w:color="E97132" w:themeColor="accent2"/>
        <w:bottom w:val="single" w:sz="4" w:space="0" w:color="E97132" w:themeColor="accent2"/>
        <w:right w:val="single" w:sz="4" w:space="0" w:color="E97132" w:themeColor="accent2"/>
        <w:insideH w:val="single" w:sz="4" w:space="0" w:color="FFFFFF" w:themeColor="background1"/>
        <w:insideV w:val="single" w:sz="4" w:space="0" w:color="FFFFFF" w:themeColor="background1"/>
      </w:tblBorders>
    </w:tblPr>
    <w:tcPr>
      <w:shd w:val="clear" w:color="auto" w:fill="FCF0EA" w:themeFill="accent2"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3F10" w:themeFill="accent2" w:themeFillShade="99"/>
      </w:tcPr>
    </w:tblStylePr>
    <w:tblStylePr w:type="firstCol">
      <w:rPr>
        <w:color w:val="FFFFFF" w:themeColor="background1"/>
      </w:rPr>
      <w:tblPr/>
      <w:tcPr>
        <w:tcBorders>
          <w:top w:val="nil"/>
          <w:left w:val="nil"/>
          <w:bottom w:val="nil"/>
          <w:right w:val="nil"/>
          <w:insideH w:val="single" w:sz="4" w:space="0" w:color="993F10" w:themeColor="accent2" w:themeShade="99"/>
          <w:insideV w:val="nil"/>
        </w:tcBorders>
        <w:shd w:val="clear" w:color="auto" w:fill="993F10"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93F10" w:themeFill="accent2" w:themeFillShade="99"/>
      </w:tcPr>
    </w:tblStylePr>
    <w:tblStylePr w:type="band1Vert">
      <w:tblPr/>
      <w:tcPr>
        <w:shd w:val="clear" w:color="auto" w:fill="F6C5AC" w:themeFill="accent2" w:themeFillTint="66"/>
      </w:tcPr>
    </w:tblStylePr>
    <w:tblStylePr w:type="band1Horz">
      <w:tblPr/>
      <w:tcPr>
        <w:shd w:val="clear" w:color="auto" w:fill="F4B798" w:themeFill="accent2" w:themeFillTint="7F"/>
      </w:tcPr>
    </w:tblStylePr>
    <w:tblStylePr w:type="neCell">
      <w:rPr>
        <w:color w:val="000000" w:themeColor="text1"/>
      </w:rPr>
    </w:tblStylePr>
    <w:tblStylePr w:type="nwCell">
      <w:rPr>
        <w:color w:val="000000" w:themeColor="text1"/>
      </w:rPr>
    </w:tblStylePr>
  </w:style>
  <w:style w:type="table" w:styleId="ColourfulShadingAccent3">
    <w:name w:val="Colorful Shading Accent 3"/>
    <w:basedOn w:val="TableNormal"/>
    <w:uiPriority w:val="71"/>
    <w:semiHidden/>
    <w:unhideWhenUsed/>
    <w:rsid w:val="003C1CBF"/>
    <w:pPr>
      <w:spacing w:after="0" w:line="240" w:lineRule="auto"/>
    </w:pPr>
    <w:rPr>
      <w:color w:val="000000" w:themeColor="text1"/>
    </w:rPr>
    <w:tblPr>
      <w:tblStyleRowBandSize w:val="1"/>
      <w:tblStyleColBandSize w:val="1"/>
      <w:tblBorders>
        <w:top w:val="single" w:sz="24" w:space="0" w:color="0F9ED5" w:themeColor="accent4"/>
        <w:left w:val="single" w:sz="4" w:space="0" w:color="196B24" w:themeColor="accent3"/>
        <w:bottom w:val="single" w:sz="4" w:space="0" w:color="196B24" w:themeColor="accent3"/>
        <w:right w:val="single" w:sz="4" w:space="0" w:color="196B24" w:themeColor="accent3"/>
        <w:insideH w:val="single" w:sz="4" w:space="0" w:color="FFFFFF" w:themeColor="background1"/>
        <w:insideV w:val="single" w:sz="4" w:space="0" w:color="FFFFFF" w:themeColor="background1"/>
      </w:tblBorders>
    </w:tblPr>
    <w:tcPr>
      <w:shd w:val="clear" w:color="auto" w:fill="E0F8E3" w:themeFill="accent3" w:themeFillTint="19"/>
    </w:tcPr>
    <w:tblStylePr w:type="firstRow">
      <w:rPr>
        <w:b/>
        <w:bCs/>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F4015" w:themeFill="accent3" w:themeFillShade="99"/>
      </w:tcPr>
    </w:tblStylePr>
    <w:tblStylePr w:type="firstCol">
      <w:rPr>
        <w:color w:val="FFFFFF" w:themeColor="background1"/>
      </w:rPr>
      <w:tblPr/>
      <w:tcPr>
        <w:tcBorders>
          <w:top w:val="nil"/>
          <w:left w:val="nil"/>
          <w:bottom w:val="nil"/>
          <w:right w:val="nil"/>
          <w:insideH w:val="single" w:sz="4" w:space="0" w:color="0F4015" w:themeColor="accent3" w:themeShade="99"/>
          <w:insideV w:val="nil"/>
        </w:tcBorders>
        <w:shd w:val="clear" w:color="auto" w:fill="0F4015"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0F4015" w:themeFill="accent3" w:themeFillShade="99"/>
      </w:tcPr>
    </w:tblStylePr>
    <w:tblStylePr w:type="band1Vert">
      <w:tblPr/>
      <w:tcPr>
        <w:shd w:val="clear" w:color="auto" w:fill="84E290" w:themeFill="accent3" w:themeFillTint="66"/>
      </w:tcPr>
    </w:tblStylePr>
    <w:tblStylePr w:type="band1Horz">
      <w:tblPr/>
      <w:tcPr>
        <w:shd w:val="clear" w:color="auto" w:fill="66DB75" w:themeFill="accent3" w:themeFillTint="7F"/>
      </w:tcPr>
    </w:tblStylePr>
  </w:style>
  <w:style w:type="table" w:styleId="ColourfulShadingAccent4">
    <w:name w:val="Colorful Shading Accent 4"/>
    <w:basedOn w:val="TableNormal"/>
    <w:uiPriority w:val="71"/>
    <w:semiHidden/>
    <w:unhideWhenUsed/>
    <w:rsid w:val="003C1CBF"/>
    <w:pPr>
      <w:spacing w:after="0" w:line="240" w:lineRule="auto"/>
    </w:pPr>
    <w:rPr>
      <w:color w:val="000000" w:themeColor="text1"/>
    </w:rPr>
    <w:tblPr>
      <w:tblStyleRowBandSize w:val="1"/>
      <w:tblStyleColBandSize w:val="1"/>
      <w:tblBorders>
        <w:top w:val="single" w:sz="24" w:space="0" w:color="196B24" w:themeColor="accent3"/>
        <w:left w:val="single" w:sz="4" w:space="0" w:color="0F9ED5" w:themeColor="accent4"/>
        <w:bottom w:val="single" w:sz="4" w:space="0" w:color="0F9ED5" w:themeColor="accent4"/>
        <w:right w:val="single" w:sz="4" w:space="0" w:color="0F9ED5" w:themeColor="accent4"/>
        <w:insideH w:val="single" w:sz="4" w:space="0" w:color="FFFFFF" w:themeColor="background1"/>
        <w:insideV w:val="single" w:sz="4" w:space="0" w:color="FFFFFF" w:themeColor="background1"/>
      </w:tblBorders>
    </w:tblPr>
    <w:tcPr>
      <w:shd w:val="clear" w:color="auto" w:fill="E5F6FD" w:themeFill="accent4" w:themeFillTint="19"/>
    </w:tcPr>
    <w:tblStylePr w:type="firstRow">
      <w:rPr>
        <w:b/>
        <w:bCs/>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95E7F" w:themeFill="accent4" w:themeFillShade="99"/>
      </w:tcPr>
    </w:tblStylePr>
    <w:tblStylePr w:type="firstCol">
      <w:rPr>
        <w:color w:val="FFFFFF" w:themeColor="background1"/>
      </w:rPr>
      <w:tblPr/>
      <w:tcPr>
        <w:tcBorders>
          <w:top w:val="nil"/>
          <w:left w:val="nil"/>
          <w:bottom w:val="nil"/>
          <w:right w:val="nil"/>
          <w:insideH w:val="single" w:sz="4" w:space="0" w:color="095E7F" w:themeColor="accent4" w:themeShade="99"/>
          <w:insideV w:val="nil"/>
        </w:tcBorders>
        <w:shd w:val="clear" w:color="auto" w:fill="095E7F"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095E7F" w:themeFill="accent4" w:themeFillShade="99"/>
      </w:tcPr>
    </w:tblStylePr>
    <w:tblStylePr w:type="band1Vert">
      <w:tblPr/>
      <w:tcPr>
        <w:shd w:val="clear" w:color="auto" w:fill="95DCF7" w:themeFill="accent4" w:themeFillTint="66"/>
      </w:tcPr>
    </w:tblStylePr>
    <w:tblStylePr w:type="band1Horz">
      <w:tblPr/>
      <w:tcPr>
        <w:shd w:val="clear" w:color="auto" w:fill="7BD3F5" w:themeFill="accent4" w:themeFillTint="7F"/>
      </w:tcPr>
    </w:tblStylePr>
    <w:tblStylePr w:type="neCell">
      <w:rPr>
        <w:color w:val="000000" w:themeColor="text1"/>
      </w:rPr>
    </w:tblStylePr>
    <w:tblStylePr w:type="nwCell">
      <w:rPr>
        <w:color w:val="000000" w:themeColor="text1"/>
      </w:rPr>
    </w:tblStylePr>
  </w:style>
  <w:style w:type="table" w:styleId="ColourfulShadingAccent5">
    <w:name w:val="Colorful Shading Accent 5"/>
    <w:basedOn w:val="TableNormal"/>
    <w:uiPriority w:val="71"/>
    <w:semiHidden/>
    <w:unhideWhenUsed/>
    <w:rsid w:val="003C1CBF"/>
    <w:pPr>
      <w:spacing w:after="0" w:line="240" w:lineRule="auto"/>
    </w:pPr>
    <w:rPr>
      <w:color w:val="000000" w:themeColor="text1"/>
    </w:rPr>
    <w:tblPr>
      <w:tblStyleRowBandSize w:val="1"/>
      <w:tblStyleColBandSize w:val="1"/>
      <w:tblBorders>
        <w:top w:val="single" w:sz="24" w:space="0" w:color="4EA72E" w:themeColor="accent6"/>
        <w:left w:val="single" w:sz="4" w:space="0" w:color="A02B93" w:themeColor="accent5"/>
        <w:bottom w:val="single" w:sz="4" w:space="0" w:color="A02B93" w:themeColor="accent5"/>
        <w:right w:val="single" w:sz="4" w:space="0" w:color="A02B93" w:themeColor="accent5"/>
        <w:insideH w:val="single" w:sz="4" w:space="0" w:color="FFFFFF" w:themeColor="background1"/>
        <w:insideV w:val="single" w:sz="4" w:space="0" w:color="FFFFFF" w:themeColor="background1"/>
      </w:tblBorders>
    </w:tblPr>
    <w:tcPr>
      <w:shd w:val="clear" w:color="auto" w:fill="F8E7F6" w:themeFill="accent5" w:themeFillTint="19"/>
    </w:tcPr>
    <w:tblStylePr w:type="firstRow">
      <w:rPr>
        <w:b/>
        <w:bCs/>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F1957" w:themeFill="accent5" w:themeFillShade="99"/>
      </w:tcPr>
    </w:tblStylePr>
    <w:tblStylePr w:type="firstCol">
      <w:rPr>
        <w:color w:val="FFFFFF" w:themeColor="background1"/>
      </w:rPr>
      <w:tblPr/>
      <w:tcPr>
        <w:tcBorders>
          <w:top w:val="nil"/>
          <w:left w:val="nil"/>
          <w:bottom w:val="nil"/>
          <w:right w:val="nil"/>
          <w:insideH w:val="single" w:sz="4" w:space="0" w:color="5F1957" w:themeColor="accent5" w:themeShade="99"/>
          <w:insideV w:val="nil"/>
        </w:tcBorders>
        <w:shd w:val="clear" w:color="auto" w:fill="5F1957"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F1957" w:themeFill="accent5" w:themeFillShade="99"/>
      </w:tcPr>
    </w:tblStylePr>
    <w:tblStylePr w:type="band1Vert">
      <w:tblPr/>
      <w:tcPr>
        <w:shd w:val="clear" w:color="auto" w:fill="E59EDC" w:themeFill="accent5" w:themeFillTint="66"/>
      </w:tcPr>
    </w:tblStylePr>
    <w:tblStylePr w:type="band1Horz">
      <w:tblPr/>
      <w:tcPr>
        <w:shd w:val="clear" w:color="auto" w:fill="DE86D4" w:themeFill="accent5" w:themeFillTint="7F"/>
      </w:tcPr>
    </w:tblStylePr>
    <w:tblStylePr w:type="neCell">
      <w:rPr>
        <w:color w:val="000000" w:themeColor="text1"/>
      </w:rPr>
    </w:tblStylePr>
    <w:tblStylePr w:type="nwCell">
      <w:rPr>
        <w:color w:val="000000" w:themeColor="text1"/>
      </w:rPr>
    </w:tblStylePr>
  </w:style>
  <w:style w:type="table" w:styleId="ColourfulShadingAccent6">
    <w:name w:val="Colorful Shading Accent 6"/>
    <w:basedOn w:val="TableNormal"/>
    <w:uiPriority w:val="71"/>
    <w:semiHidden/>
    <w:unhideWhenUsed/>
    <w:rsid w:val="003C1CBF"/>
    <w:pPr>
      <w:spacing w:after="0" w:line="240" w:lineRule="auto"/>
    </w:pPr>
    <w:rPr>
      <w:color w:val="000000" w:themeColor="text1"/>
    </w:rPr>
    <w:tblPr>
      <w:tblStyleRowBandSize w:val="1"/>
      <w:tblStyleColBandSize w:val="1"/>
      <w:tblBorders>
        <w:top w:val="single" w:sz="24" w:space="0" w:color="A02B93" w:themeColor="accent5"/>
        <w:left w:val="single" w:sz="4" w:space="0" w:color="4EA72E" w:themeColor="accent6"/>
        <w:bottom w:val="single" w:sz="4" w:space="0" w:color="4EA72E" w:themeColor="accent6"/>
        <w:right w:val="single" w:sz="4" w:space="0" w:color="4EA72E" w:themeColor="accent6"/>
        <w:insideH w:val="single" w:sz="4" w:space="0" w:color="FFFFFF" w:themeColor="background1"/>
        <w:insideV w:val="single" w:sz="4" w:space="0" w:color="FFFFFF" w:themeColor="background1"/>
      </w:tblBorders>
    </w:tblPr>
    <w:tcPr>
      <w:shd w:val="clear" w:color="auto" w:fill="ECF8E8" w:themeFill="accent6" w:themeFillTint="19"/>
    </w:tcPr>
    <w:tblStylePr w:type="firstRow">
      <w:rPr>
        <w:b/>
        <w:bCs/>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E641B" w:themeFill="accent6" w:themeFillShade="99"/>
      </w:tcPr>
    </w:tblStylePr>
    <w:tblStylePr w:type="firstCol">
      <w:rPr>
        <w:color w:val="FFFFFF" w:themeColor="background1"/>
      </w:rPr>
      <w:tblPr/>
      <w:tcPr>
        <w:tcBorders>
          <w:top w:val="nil"/>
          <w:left w:val="nil"/>
          <w:bottom w:val="nil"/>
          <w:right w:val="nil"/>
          <w:insideH w:val="single" w:sz="4" w:space="0" w:color="2E641B" w:themeColor="accent6" w:themeShade="99"/>
          <w:insideV w:val="nil"/>
        </w:tcBorders>
        <w:shd w:val="clear" w:color="auto" w:fill="2E641B"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2E641B" w:themeFill="accent6" w:themeFillShade="99"/>
      </w:tcPr>
    </w:tblStylePr>
    <w:tblStylePr w:type="band1Vert">
      <w:tblPr/>
      <w:tcPr>
        <w:shd w:val="clear" w:color="auto" w:fill="B3E5A1" w:themeFill="accent6" w:themeFillTint="66"/>
      </w:tcPr>
    </w:tblStylePr>
    <w:tblStylePr w:type="band1Horz">
      <w:tblPr/>
      <w:tcPr>
        <w:shd w:val="clear" w:color="auto" w:fill="A0DF8A" w:themeFill="accent6" w:themeFillTint="7F"/>
      </w:tcPr>
    </w:tblStylePr>
    <w:tblStylePr w:type="neCell">
      <w:rPr>
        <w:color w:val="000000" w:themeColor="text1"/>
      </w:rPr>
    </w:tblStylePr>
    <w:tblStylePr w:type="nwCell">
      <w:rPr>
        <w:color w:val="000000" w:themeColor="text1"/>
      </w:rPr>
    </w:tblStylePr>
  </w:style>
  <w:style w:type="table" w:styleId="ColourfulList">
    <w:name w:val="Colorful List"/>
    <w:basedOn w:val="TableNormal"/>
    <w:uiPriority w:val="72"/>
    <w:semiHidden/>
    <w:unhideWhenUsed/>
    <w:rsid w:val="003C1CBF"/>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urfulListAccent1">
    <w:name w:val="Colorful List Accent 1"/>
    <w:basedOn w:val="TableNormal"/>
    <w:uiPriority w:val="72"/>
    <w:semiHidden/>
    <w:unhideWhenUsed/>
    <w:rsid w:val="003C1CBF"/>
    <w:pPr>
      <w:spacing w:after="0" w:line="240" w:lineRule="auto"/>
    </w:pPr>
    <w:rPr>
      <w:color w:val="000000" w:themeColor="text1"/>
    </w:rPr>
    <w:tblPr>
      <w:tblStyleRowBandSize w:val="1"/>
      <w:tblStyleColBandSize w:val="1"/>
    </w:tblPr>
    <w:tcPr>
      <w:shd w:val="clear" w:color="auto" w:fill="E0F2FA" w:themeFill="accen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DEF2" w:themeFill="accent1" w:themeFillTint="3F"/>
      </w:tcPr>
    </w:tblStylePr>
    <w:tblStylePr w:type="band1Horz">
      <w:tblPr/>
      <w:tcPr>
        <w:shd w:val="clear" w:color="auto" w:fill="C1E4F5" w:themeFill="accent1" w:themeFillTint="33"/>
      </w:tcPr>
    </w:tblStylePr>
  </w:style>
  <w:style w:type="table" w:styleId="ColourfulListAccent2">
    <w:name w:val="Colorful List Accent 2"/>
    <w:basedOn w:val="TableNormal"/>
    <w:uiPriority w:val="72"/>
    <w:semiHidden/>
    <w:unhideWhenUsed/>
    <w:rsid w:val="003C1CBF"/>
    <w:pPr>
      <w:spacing w:after="0" w:line="240" w:lineRule="auto"/>
    </w:pPr>
    <w:rPr>
      <w:color w:val="000000" w:themeColor="text1"/>
    </w:rPr>
    <w:tblPr>
      <w:tblStyleRowBandSize w:val="1"/>
      <w:tblStyleColBandSize w:val="1"/>
    </w:tblPr>
    <w:tcPr>
      <w:shd w:val="clear" w:color="auto" w:fill="FCF0EA" w:themeFill="accent2"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9DBCC" w:themeFill="accent2" w:themeFillTint="3F"/>
      </w:tcPr>
    </w:tblStylePr>
    <w:tblStylePr w:type="band1Horz">
      <w:tblPr/>
      <w:tcPr>
        <w:shd w:val="clear" w:color="auto" w:fill="FAE2D5" w:themeFill="accent2" w:themeFillTint="33"/>
      </w:tcPr>
    </w:tblStylePr>
  </w:style>
  <w:style w:type="table" w:styleId="ColourfulListAccent3">
    <w:name w:val="Colorful List Accent 3"/>
    <w:basedOn w:val="TableNormal"/>
    <w:uiPriority w:val="72"/>
    <w:semiHidden/>
    <w:unhideWhenUsed/>
    <w:rsid w:val="003C1CBF"/>
    <w:pPr>
      <w:spacing w:after="0" w:line="240" w:lineRule="auto"/>
    </w:pPr>
    <w:rPr>
      <w:color w:val="000000" w:themeColor="text1"/>
    </w:rPr>
    <w:tblPr>
      <w:tblStyleRowBandSize w:val="1"/>
      <w:tblStyleColBandSize w:val="1"/>
    </w:tblPr>
    <w:tcPr>
      <w:shd w:val="clear" w:color="auto" w:fill="E0F8E3" w:themeFill="accent3" w:themeFillTint="19"/>
    </w:tcPr>
    <w:tblStylePr w:type="firstRow">
      <w:rPr>
        <w:b/>
        <w:bCs/>
        <w:color w:val="FFFFFF" w:themeColor="background1"/>
      </w:rPr>
      <w:tblPr/>
      <w:tcPr>
        <w:tcBorders>
          <w:bottom w:val="single" w:sz="12" w:space="0" w:color="FFFFFF" w:themeColor="background1"/>
        </w:tcBorders>
        <w:shd w:val="clear" w:color="auto" w:fill="0C7EAA" w:themeFill="accent4" w:themeFillShade="CC"/>
      </w:tcPr>
    </w:tblStylePr>
    <w:tblStylePr w:type="lastRow">
      <w:rPr>
        <w:b/>
        <w:bCs/>
        <w:color w:val="0C7EAA"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3EDBA" w:themeFill="accent3" w:themeFillTint="3F"/>
      </w:tcPr>
    </w:tblStylePr>
    <w:tblStylePr w:type="band1Horz">
      <w:tblPr/>
      <w:tcPr>
        <w:shd w:val="clear" w:color="auto" w:fill="C1F0C7" w:themeFill="accent3" w:themeFillTint="33"/>
      </w:tcPr>
    </w:tblStylePr>
  </w:style>
  <w:style w:type="table" w:styleId="ColourfulListAccent4">
    <w:name w:val="Colorful List Accent 4"/>
    <w:basedOn w:val="TableNormal"/>
    <w:uiPriority w:val="72"/>
    <w:semiHidden/>
    <w:unhideWhenUsed/>
    <w:rsid w:val="003C1CBF"/>
    <w:pPr>
      <w:spacing w:after="0" w:line="240" w:lineRule="auto"/>
    </w:pPr>
    <w:rPr>
      <w:color w:val="000000" w:themeColor="text1"/>
    </w:rPr>
    <w:tblPr>
      <w:tblStyleRowBandSize w:val="1"/>
      <w:tblStyleColBandSize w:val="1"/>
    </w:tblPr>
    <w:tcPr>
      <w:shd w:val="clear" w:color="auto" w:fill="E5F6FD" w:themeFill="accent4" w:themeFillTint="19"/>
    </w:tcPr>
    <w:tblStylePr w:type="firstRow">
      <w:rPr>
        <w:b/>
        <w:bCs/>
        <w:color w:val="FFFFFF" w:themeColor="background1"/>
      </w:rPr>
      <w:tblPr/>
      <w:tcPr>
        <w:tcBorders>
          <w:bottom w:val="single" w:sz="12" w:space="0" w:color="FFFFFF" w:themeColor="background1"/>
        </w:tcBorders>
        <w:shd w:val="clear" w:color="auto" w:fill="14551C" w:themeFill="accent3" w:themeFillShade="CC"/>
      </w:tcPr>
    </w:tblStylePr>
    <w:tblStylePr w:type="lastRow">
      <w:rPr>
        <w:b/>
        <w:bCs/>
        <w:color w:val="14551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DE9FA" w:themeFill="accent4" w:themeFillTint="3F"/>
      </w:tcPr>
    </w:tblStylePr>
    <w:tblStylePr w:type="band1Horz">
      <w:tblPr/>
      <w:tcPr>
        <w:shd w:val="clear" w:color="auto" w:fill="CAEDFB" w:themeFill="accent4" w:themeFillTint="33"/>
      </w:tcPr>
    </w:tblStylePr>
  </w:style>
  <w:style w:type="table" w:styleId="ColourfulListAccent5">
    <w:name w:val="Colorful List Accent 5"/>
    <w:basedOn w:val="TableNormal"/>
    <w:uiPriority w:val="72"/>
    <w:semiHidden/>
    <w:unhideWhenUsed/>
    <w:rsid w:val="003C1CBF"/>
    <w:pPr>
      <w:spacing w:after="0" w:line="240" w:lineRule="auto"/>
    </w:pPr>
    <w:rPr>
      <w:color w:val="000000" w:themeColor="text1"/>
    </w:rPr>
    <w:tblPr>
      <w:tblStyleRowBandSize w:val="1"/>
      <w:tblStyleColBandSize w:val="1"/>
    </w:tblPr>
    <w:tcPr>
      <w:shd w:val="clear" w:color="auto" w:fill="F8E7F6" w:themeFill="accent5" w:themeFillTint="19"/>
    </w:tcPr>
    <w:tblStylePr w:type="firstRow">
      <w:rPr>
        <w:b/>
        <w:bCs/>
        <w:color w:val="FFFFFF" w:themeColor="background1"/>
      </w:rPr>
      <w:tblPr/>
      <w:tcPr>
        <w:tcBorders>
          <w:bottom w:val="single" w:sz="12" w:space="0" w:color="FFFFFF" w:themeColor="background1"/>
        </w:tcBorders>
        <w:shd w:val="clear" w:color="auto" w:fill="3E8524" w:themeFill="accent6" w:themeFillShade="CC"/>
      </w:tcPr>
    </w:tblStylePr>
    <w:tblStylePr w:type="lastRow">
      <w:rPr>
        <w:b/>
        <w:bCs/>
        <w:color w:val="3E8524"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C3E9" w:themeFill="accent5" w:themeFillTint="3F"/>
      </w:tcPr>
    </w:tblStylePr>
    <w:tblStylePr w:type="band1Horz">
      <w:tblPr/>
      <w:tcPr>
        <w:shd w:val="clear" w:color="auto" w:fill="F2CEED" w:themeFill="accent5" w:themeFillTint="33"/>
      </w:tcPr>
    </w:tblStylePr>
  </w:style>
  <w:style w:type="table" w:styleId="ColourfulListAccent6">
    <w:name w:val="Colorful List Accent 6"/>
    <w:basedOn w:val="TableNormal"/>
    <w:uiPriority w:val="72"/>
    <w:semiHidden/>
    <w:unhideWhenUsed/>
    <w:rsid w:val="003C1CBF"/>
    <w:pPr>
      <w:spacing w:after="0" w:line="240" w:lineRule="auto"/>
    </w:pPr>
    <w:rPr>
      <w:color w:val="000000" w:themeColor="text1"/>
    </w:rPr>
    <w:tblPr>
      <w:tblStyleRowBandSize w:val="1"/>
      <w:tblStyleColBandSize w:val="1"/>
    </w:tblPr>
    <w:tcPr>
      <w:shd w:val="clear" w:color="auto" w:fill="ECF8E8" w:themeFill="accent6" w:themeFillTint="19"/>
    </w:tcPr>
    <w:tblStylePr w:type="firstRow">
      <w:rPr>
        <w:b/>
        <w:bCs/>
        <w:color w:val="FFFFFF" w:themeColor="background1"/>
      </w:rPr>
      <w:tblPr/>
      <w:tcPr>
        <w:tcBorders>
          <w:bottom w:val="single" w:sz="12" w:space="0" w:color="FFFFFF" w:themeColor="background1"/>
        </w:tcBorders>
        <w:shd w:val="clear" w:color="auto" w:fill="7F2275" w:themeFill="accent5" w:themeFillShade="CC"/>
      </w:tcPr>
    </w:tblStylePr>
    <w:tblStylePr w:type="lastRow">
      <w:rPr>
        <w:b/>
        <w:bCs/>
        <w:color w:val="7F227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EFC5" w:themeFill="accent6" w:themeFillTint="3F"/>
      </w:tcPr>
    </w:tblStylePr>
    <w:tblStylePr w:type="band1Horz">
      <w:tblPr/>
      <w:tcPr>
        <w:shd w:val="clear" w:color="auto" w:fill="D9F2D0" w:themeFill="accent6" w:themeFillTint="33"/>
      </w:tcPr>
    </w:tblStylePr>
  </w:style>
  <w:style w:type="table" w:styleId="ColourfulGrid">
    <w:name w:val="Colorful Grid"/>
    <w:basedOn w:val="TableNormal"/>
    <w:uiPriority w:val="73"/>
    <w:semiHidden/>
    <w:unhideWhenUsed/>
    <w:rsid w:val="003C1CB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urfulGridAccent1">
    <w:name w:val="Colorful Grid Accent 1"/>
    <w:basedOn w:val="TableNormal"/>
    <w:uiPriority w:val="73"/>
    <w:semiHidden/>
    <w:unhideWhenUsed/>
    <w:rsid w:val="003C1CB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E4F5" w:themeFill="accent1" w:themeFillTint="33"/>
    </w:tcPr>
    <w:tblStylePr w:type="firstRow">
      <w:rPr>
        <w:b/>
        <w:bCs/>
      </w:rPr>
      <w:tblPr/>
      <w:tcPr>
        <w:shd w:val="clear" w:color="auto" w:fill="83CAEB" w:themeFill="accent1" w:themeFillTint="66"/>
      </w:tcPr>
    </w:tblStylePr>
    <w:tblStylePr w:type="lastRow">
      <w:rPr>
        <w:b/>
        <w:bCs/>
        <w:color w:val="000000" w:themeColor="text1"/>
      </w:rPr>
      <w:tblPr/>
      <w:tcPr>
        <w:shd w:val="clear" w:color="auto" w:fill="83CAEB" w:themeFill="accent1" w:themeFillTint="66"/>
      </w:tcPr>
    </w:tblStylePr>
    <w:tblStylePr w:type="firstCol">
      <w:rPr>
        <w:color w:val="FFFFFF" w:themeColor="background1"/>
      </w:rPr>
      <w:tblPr/>
      <w:tcPr>
        <w:shd w:val="clear" w:color="auto" w:fill="0F4761" w:themeFill="accent1" w:themeFillShade="BF"/>
      </w:tcPr>
    </w:tblStylePr>
    <w:tblStylePr w:type="lastCol">
      <w:rPr>
        <w:color w:val="FFFFFF" w:themeColor="background1"/>
      </w:rPr>
      <w:tblPr/>
      <w:tcPr>
        <w:shd w:val="clear" w:color="auto" w:fill="0F4761" w:themeFill="accent1" w:themeFillShade="BF"/>
      </w:tc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ColourfulGridAccent2">
    <w:name w:val="Colorful Grid Accent 2"/>
    <w:basedOn w:val="TableNormal"/>
    <w:uiPriority w:val="73"/>
    <w:semiHidden/>
    <w:unhideWhenUsed/>
    <w:rsid w:val="003C1CB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AE2D5" w:themeFill="accent2" w:themeFillTint="33"/>
    </w:tcPr>
    <w:tblStylePr w:type="firstRow">
      <w:rPr>
        <w:b/>
        <w:bCs/>
      </w:rPr>
      <w:tblPr/>
      <w:tcPr>
        <w:shd w:val="clear" w:color="auto" w:fill="F6C5AC" w:themeFill="accent2" w:themeFillTint="66"/>
      </w:tcPr>
    </w:tblStylePr>
    <w:tblStylePr w:type="lastRow">
      <w:rPr>
        <w:b/>
        <w:bCs/>
        <w:color w:val="000000" w:themeColor="text1"/>
      </w:rPr>
      <w:tblPr/>
      <w:tcPr>
        <w:shd w:val="clear" w:color="auto" w:fill="F6C5AC" w:themeFill="accent2" w:themeFillTint="66"/>
      </w:tcPr>
    </w:tblStylePr>
    <w:tblStylePr w:type="firstCol">
      <w:rPr>
        <w:color w:val="FFFFFF" w:themeColor="background1"/>
      </w:rPr>
      <w:tblPr/>
      <w:tcPr>
        <w:shd w:val="clear" w:color="auto" w:fill="BF4E14" w:themeFill="accent2" w:themeFillShade="BF"/>
      </w:tcPr>
    </w:tblStylePr>
    <w:tblStylePr w:type="lastCol">
      <w:rPr>
        <w:color w:val="FFFFFF" w:themeColor="background1"/>
      </w:rPr>
      <w:tblPr/>
      <w:tcPr>
        <w:shd w:val="clear" w:color="auto" w:fill="BF4E14" w:themeFill="accent2" w:themeFillShade="BF"/>
      </w:tc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ColourfulGridAccent3">
    <w:name w:val="Colorful Grid Accent 3"/>
    <w:basedOn w:val="TableNormal"/>
    <w:uiPriority w:val="73"/>
    <w:semiHidden/>
    <w:unhideWhenUsed/>
    <w:rsid w:val="003C1CB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F0C7" w:themeFill="accent3" w:themeFillTint="33"/>
    </w:tcPr>
    <w:tblStylePr w:type="firstRow">
      <w:rPr>
        <w:b/>
        <w:bCs/>
      </w:rPr>
      <w:tblPr/>
      <w:tcPr>
        <w:shd w:val="clear" w:color="auto" w:fill="84E290" w:themeFill="accent3" w:themeFillTint="66"/>
      </w:tcPr>
    </w:tblStylePr>
    <w:tblStylePr w:type="lastRow">
      <w:rPr>
        <w:b/>
        <w:bCs/>
        <w:color w:val="000000" w:themeColor="text1"/>
      </w:rPr>
      <w:tblPr/>
      <w:tcPr>
        <w:shd w:val="clear" w:color="auto" w:fill="84E290" w:themeFill="accent3" w:themeFillTint="66"/>
      </w:tcPr>
    </w:tblStylePr>
    <w:tblStylePr w:type="firstCol">
      <w:rPr>
        <w:color w:val="FFFFFF" w:themeColor="background1"/>
      </w:rPr>
      <w:tblPr/>
      <w:tcPr>
        <w:shd w:val="clear" w:color="auto" w:fill="124F1A" w:themeFill="accent3" w:themeFillShade="BF"/>
      </w:tcPr>
    </w:tblStylePr>
    <w:tblStylePr w:type="lastCol">
      <w:rPr>
        <w:color w:val="FFFFFF" w:themeColor="background1"/>
      </w:rPr>
      <w:tblPr/>
      <w:tcPr>
        <w:shd w:val="clear" w:color="auto" w:fill="124F1A" w:themeFill="accent3" w:themeFillShade="BF"/>
      </w:tc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ColourfulGridAccent4">
    <w:name w:val="Colorful Grid Accent 4"/>
    <w:basedOn w:val="TableNormal"/>
    <w:uiPriority w:val="73"/>
    <w:semiHidden/>
    <w:unhideWhenUsed/>
    <w:rsid w:val="003C1CB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AEDFB" w:themeFill="accent4" w:themeFillTint="33"/>
    </w:tcPr>
    <w:tblStylePr w:type="firstRow">
      <w:rPr>
        <w:b/>
        <w:bCs/>
      </w:rPr>
      <w:tblPr/>
      <w:tcPr>
        <w:shd w:val="clear" w:color="auto" w:fill="95DCF7" w:themeFill="accent4" w:themeFillTint="66"/>
      </w:tcPr>
    </w:tblStylePr>
    <w:tblStylePr w:type="lastRow">
      <w:rPr>
        <w:b/>
        <w:bCs/>
        <w:color w:val="000000" w:themeColor="text1"/>
      </w:rPr>
      <w:tblPr/>
      <w:tcPr>
        <w:shd w:val="clear" w:color="auto" w:fill="95DCF7" w:themeFill="accent4" w:themeFillTint="66"/>
      </w:tcPr>
    </w:tblStylePr>
    <w:tblStylePr w:type="firstCol">
      <w:rPr>
        <w:color w:val="FFFFFF" w:themeColor="background1"/>
      </w:rPr>
      <w:tblPr/>
      <w:tcPr>
        <w:shd w:val="clear" w:color="auto" w:fill="0B769F" w:themeFill="accent4" w:themeFillShade="BF"/>
      </w:tcPr>
    </w:tblStylePr>
    <w:tblStylePr w:type="lastCol">
      <w:rPr>
        <w:color w:val="FFFFFF" w:themeColor="background1"/>
      </w:rPr>
      <w:tblPr/>
      <w:tcPr>
        <w:shd w:val="clear" w:color="auto" w:fill="0B769F" w:themeFill="accent4" w:themeFillShade="BF"/>
      </w:tc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ColourfulGridAccent5">
    <w:name w:val="Colorful Grid Accent 5"/>
    <w:basedOn w:val="TableNormal"/>
    <w:uiPriority w:val="73"/>
    <w:semiHidden/>
    <w:unhideWhenUsed/>
    <w:rsid w:val="003C1CB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CEED" w:themeFill="accent5" w:themeFillTint="33"/>
    </w:tcPr>
    <w:tblStylePr w:type="firstRow">
      <w:rPr>
        <w:b/>
        <w:bCs/>
      </w:rPr>
      <w:tblPr/>
      <w:tcPr>
        <w:shd w:val="clear" w:color="auto" w:fill="E59EDC" w:themeFill="accent5" w:themeFillTint="66"/>
      </w:tcPr>
    </w:tblStylePr>
    <w:tblStylePr w:type="lastRow">
      <w:rPr>
        <w:b/>
        <w:bCs/>
        <w:color w:val="000000" w:themeColor="text1"/>
      </w:rPr>
      <w:tblPr/>
      <w:tcPr>
        <w:shd w:val="clear" w:color="auto" w:fill="E59EDC" w:themeFill="accent5" w:themeFillTint="66"/>
      </w:tcPr>
    </w:tblStylePr>
    <w:tblStylePr w:type="firstCol">
      <w:rPr>
        <w:color w:val="FFFFFF" w:themeColor="background1"/>
      </w:rPr>
      <w:tblPr/>
      <w:tcPr>
        <w:shd w:val="clear" w:color="auto" w:fill="77206D" w:themeFill="accent5" w:themeFillShade="BF"/>
      </w:tcPr>
    </w:tblStylePr>
    <w:tblStylePr w:type="lastCol">
      <w:rPr>
        <w:color w:val="FFFFFF" w:themeColor="background1"/>
      </w:rPr>
      <w:tblPr/>
      <w:tcPr>
        <w:shd w:val="clear" w:color="auto" w:fill="77206D" w:themeFill="accent5" w:themeFillShade="BF"/>
      </w:tc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ColourfulGridAccent6">
    <w:name w:val="Colorful Grid Accent 6"/>
    <w:basedOn w:val="TableNormal"/>
    <w:uiPriority w:val="73"/>
    <w:semiHidden/>
    <w:unhideWhenUsed/>
    <w:rsid w:val="003C1CB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9F2D0" w:themeFill="accent6" w:themeFillTint="33"/>
    </w:tcPr>
    <w:tblStylePr w:type="firstRow">
      <w:rPr>
        <w:b/>
        <w:bCs/>
      </w:rPr>
      <w:tblPr/>
      <w:tcPr>
        <w:shd w:val="clear" w:color="auto" w:fill="B3E5A1" w:themeFill="accent6" w:themeFillTint="66"/>
      </w:tcPr>
    </w:tblStylePr>
    <w:tblStylePr w:type="lastRow">
      <w:rPr>
        <w:b/>
        <w:bCs/>
        <w:color w:val="000000" w:themeColor="text1"/>
      </w:rPr>
      <w:tblPr/>
      <w:tcPr>
        <w:shd w:val="clear" w:color="auto" w:fill="B3E5A1" w:themeFill="accent6" w:themeFillTint="66"/>
      </w:tcPr>
    </w:tblStylePr>
    <w:tblStylePr w:type="firstCol">
      <w:rPr>
        <w:color w:val="FFFFFF" w:themeColor="background1"/>
      </w:rPr>
      <w:tblPr/>
      <w:tcPr>
        <w:shd w:val="clear" w:color="auto" w:fill="3A7C22" w:themeFill="accent6" w:themeFillShade="BF"/>
      </w:tcPr>
    </w:tblStylePr>
    <w:tblStylePr w:type="lastCol">
      <w:rPr>
        <w:color w:val="FFFFFF" w:themeColor="background1"/>
      </w:rPr>
      <w:tblPr/>
      <w:tcPr>
        <w:shd w:val="clear" w:color="auto" w:fill="3A7C22" w:themeFill="accent6" w:themeFillShade="BF"/>
      </w:tc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895203">
      <w:bodyDiv w:val="1"/>
      <w:marLeft w:val="0"/>
      <w:marRight w:val="0"/>
      <w:marTop w:val="0"/>
      <w:marBottom w:val="0"/>
      <w:divBdr>
        <w:top w:val="none" w:sz="0" w:space="0" w:color="auto"/>
        <w:left w:val="none" w:sz="0" w:space="0" w:color="auto"/>
        <w:bottom w:val="none" w:sz="0" w:space="0" w:color="auto"/>
        <w:right w:val="none" w:sz="0" w:space="0" w:color="auto"/>
      </w:divBdr>
    </w:div>
    <w:div w:id="136917693">
      <w:bodyDiv w:val="1"/>
      <w:marLeft w:val="0"/>
      <w:marRight w:val="0"/>
      <w:marTop w:val="0"/>
      <w:marBottom w:val="0"/>
      <w:divBdr>
        <w:top w:val="none" w:sz="0" w:space="0" w:color="auto"/>
        <w:left w:val="none" w:sz="0" w:space="0" w:color="auto"/>
        <w:bottom w:val="none" w:sz="0" w:space="0" w:color="auto"/>
        <w:right w:val="none" w:sz="0" w:space="0" w:color="auto"/>
      </w:divBdr>
    </w:div>
    <w:div w:id="228200405">
      <w:bodyDiv w:val="1"/>
      <w:marLeft w:val="0"/>
      <w:marRight w:val="0"/>
      <w:marTop w:val="0"/>
      <w:marBottom w:val="0"/>
      <w:divBdr>
        <w:top w:val="none" w:sz="0" w:space="0" w:color="auto"/>
        <w:left w:val="none" w:sz="0" w:space="0" w:color="auto"/>
        <w:bottom w:val="none" w:sz="0" w:space="0" w:color="auto"/>
        <w:right w:val="none" w:sz="0" w:space="0" w:color="auto"/>
      </w:divBdr>
    </w:div>
    <w:div w:id="319579455">
      <w:bodyDiv w:val="1"/>
      <w:marLeft w:val="0"/>
      <w:marRight w:val="0"/>
      <w:marTop w:val="0"/>
      <w:marBottom w:val="0"/>
      <w:divBdr>
        <w:top w:val="none" w:sz="0" w:space="0" w:color="auto"/>
        <w:left w:val="none" w:sz="0" w:space="0" w:color="auto"/>
        <w:bottom w:val="none" w:sz="0" w:space="0" w:color="auto"/>
        <w:right w:val="none" w:sz="0" w:space="0" w:color="auto"/>
      </w:divBdr>
    </w:div>
    <w:div w:id="343435223">
      <w:bodyDiv w:val="1"/>
      <w:marLeft w:val="0"/>
      <w:marRight w:val="0"/>
      <w:marTop w:val="0"/>
      <w:marBottom w:val="0"/>
      <w:divBdr>
        <w:top w:val="none" w:sz="0" w:space="0" w:color="auto"/>
        <w:left w:val="none" w:sz="0" w:space="0" w:color="auto"/>
        <w:bottom w:val="none" w:sz="0" w:space="0" w:color="auto"/>
        <w:right w:val="none" w:sz="0" w:space="0" w:color="auto"/>
      </w:divBdr>
    </w:div>
    <w:div w:id="391850092">
      <w:bodyDiv w:val="1"/>
      <w:marLeft w:val="0"/>
      <w:marRight w:val="0"/>
      <w:marTop w:val="0"/>
      <w:marBottom w:val="0"/>
      <w:divBdr>
        <w:top w:val="none" w:sz="0" w:space="0" w:color="auto"/>
        <w:left w:val="none" w:sz="0" w:space="0" w:color="auto"/>
        <w:bottom w:val="none" w:sz="0" w:space="0" w:color="auto"/>
        <w:right w:val="none" w:sz="0" w:space="0" w:color="auto"/>
      </w:divBdr>
    </w:div>
    <w:div w:id="436559545">
      <w:bodyDiv w:val="1"/>
      <w:marLeft w:val="0"/>
      <w:marRight w:val="0"/>
      <w:marTop w:val="0"/>
      <w:marBottom w:val="0"/>
      <w:divBdr>
        <w:top w:val="none" w:sz="0" w:space="0" w:color="auto"/>
        <w:left w:val="none" w:sz="0" w:space="0" w:color="auto"/>
        <w:bottom w:val="none" w:sz="0" w:space="0" w:color="auto"/>
        <w:right w:val="none" w:sz="0" w:space="0" w:color="auto"/>
      </w:divBdr>
    </w:div>
    <w:div w:id="485362344">
      <w:bodyDiv w:val="1"/>
      <w:marLeft w:val="0"/>
      <w:marRight w:val="0"/>
      <w:marTop w:val="0"/>
      <w:marBottom w:val="0"/>
      <w:divBdr>
        <w:top w:val="none" w:sz="0" w:space="0" w:color="auto"/>
        <w:left w:val="none" w:sz="0" w:space="0" w:color="auto"/>
        <w:bottom w:val="none" w:sz="0" w:space="0" w:color="auto"/>
        <w:right w:val="none" w:sz="0" w:space="0" w:color="auto"/>
      </w:divBdr>
    </w:div>
    <w:div w:id="521823206">
      <w:bodyDiv w:val="1"/>
      <w:marLeft w:val="0"/>
      <w:marRight w:val="0"/>
      <w:marTop w:val="0"/>
      <w:marBottom w:val="0"/>
      <w:divBdr>
        <w:top w:val="none" w:sz="0" w:space="0" w:color="auto"/>
        <w:left w:val="none" w:sz="0" w:space="0" w:color="auto"/>
        <w:bottom w:val="none" w:sz="0" w:space="0" w:color="auto"/>
        <w:right w:val="none" w:sz="0" w:space="0" w:color="auto"/>
      </w:divBdr>
    </w:div>
    <w:div w:id="576136925">
      <w:bodyDiv w:val="1"/>
      <w:marLeft w:val="0"/>
      <w:marRight w:val="0"/>
      <w:marTop w:val="0"/>
      <w:marBottom w:val="0"/>
      <w:divBdr>
        <w:top w:val="none" w:sz="0" w:space="0" w:color="auto"/>
        <w:left w:val="none" w:sz="0" w:space="0" w:color="auto"/>
        <w:bottom w:val="none" w:sz="0" w:space="0" w:color="auto"/>
        <w:right w:val="none" w:sz="0" w:space="0" w:color="auto"/>
      </w:divBdr>
    </w:div>
    <w:div w:id="654837582">
      <w:bodyDiv w:val="1"/>
      <w:marLeft w:val="0"/>
      <w:marRight w:val="0"/>
      <w:marTop w:val="0"/>
      <w:marBottom w:val="0"/>
      <w:divBdr>
        <w:top w:val="none" w:sz="0" w:space="0" w:color="auto"/>
        <w:left w:val="none" w:sz="0" w:space="0" w:color="auto"/>
        <w:bottom w:val="none" w:sz="0" w:space="0" w:color="auto"/>
        <w:right w:val="none" w:sz="0" w:space="0" w:color="auto"/>
      </w:divBdr>
    </w:div>
    <w:div w:id="703865898">
      <w:bodyDiv w:val="1"/>
      <w:marLeft w:val="0"/>
      <w:marRight w:val="0"/>
      <w:marTop w:val="0"/>
      <w:marBottom w:val="0"/>
      <w:divBdr>
        <w:top w:val="none" w:sz="0" w:space="0" w:color="auto"/>
        <w:left w:val="none" w:sz="0" w:space="0" w:color="auto"/>
        <w:bottom w:val="none" w:sz="0" w:space="0" w:color="auto"/>
        <w:right w:val="none" w:sz="0" w:space="0" w:color="auto"/>
      </w:divBdr>
    </w:div>
    <w:div w:id="758988700">
      <w:bodyDiv w:val="1"/>
      <w:marLeft w:val="0"/>
      <w:marRight w:val="0"/>
      <w:marTop w:val="0"/>
      <w:marBottom w:val="0"/>
      <w:divBdr>
        <w:top w:val="none" w:sz="0" w:space="0" w:color="auto"/>
        <w:left w:val="none" w:sz="0" w:space="0" w:color="auto"/>
        <w:bottom w:val="none" w:sz="0" w:space="0" w:color="auto"/>
        <w:right w:val="none" w:sz="0" w:space="0" w:color="auto"/>
      </w:divBdr>
    </w:div>
    <w:div w:id="802626170">
      <w:bodyDiv w:val="1"/>
      <w:marLeft w:val="0"/>
      <w:marRight w:val="0"/>
      <w:marTop w:val="0"/>
      <w:marBottom w:val="0"/>
      <w:divBdr>
        <w:top w:val="none" w:sz="0" w:space="0" w:color="auto"/>
        <w:left w:val="none" w:sz="0" w:space="0" w:color="auto"/>
        <w:bottom w:val="none" w:sz="0" w:space="0" w:color="auto"/>
        <w:right w:val="none" w:sz="0" w:space="0" w:color="auto"/>
      </w:divBdr>
    </w:div>
    <w:div w:id="903177270">
      <w:bodyDiv w:val="1"/>
      <w:marLeft w:val="0"/>
      <w:marRight w:val="0"/>
      <w:marTop w:val="0"/>
      <w:marBottom w:val="0"/>
      <w:divBdr>
        <w:top w:val="none" w:sz="0" w:space="0" w:color="auto"/>
        <w:left w:val="none" w:sz="0" w:space="0" w:color="auto"/>
        <w:bottom w:val="none" w:sz="0" w:space="0" w:color="auto"/>
        <w:right w:val="none" w:sz="0" w:space="0" w:color="auto"/>
      </w:divBdr>
    </w:div>
    <w:div w:id="927615832">
      <w:bodyDiv w:val="1"/>
      <w:marLeft w:val="0"/>
      <w:marRight w:val="0"/>
      <w:marTop w:val="0"/>
      <w:marBottom w:val="0"/>
      <w:divBdr>
        <w:top w:val="none" w:sz="0" w:space="0" w:color="auto"/>
        <w:left w:val="none" w:sz="0" w:space="0" w:color="auto"/>
        <w:bottom w:val="none" w:sz="0" w:space="0" w:color="auto"/>
        <w:right w:val="none" w:sz="0" w:space="0" w:color="auto"/>
      </w:divBdr>
    </w:div>
    <w:div w:id="1019508953">
      <w:bodyDiv w:val="1"/>
      <w:marLeft w:val="0"/>
      <w:marRight w:val="0"/>
      <w:marTop w:val="0"/>
      <w:marBottom w:val="0"/>
      <w:divBdr>
        <w:top w:val="none" w:sz="0" w:space="0" w:color="auto"/>
        <w:left w:val="none" w:sz="0" w:space="0" w:color="auto"/>
        <w:bottom w:val="none" w:sz="0" w:space="0" w:color="auto"/>
        <w:right w:val="none" w:sz="0" w:space="0" w:color="auto"/>
      </w:divBdr>
    </w:div>
    <w:div w:id="1041514956">
      <w:bodyDiv w:val="1"/>
      <w:marLeft w:val="0"/>
      <w:marRight w:val="0"/>
      <w:marTop w:val="0"/>
      <w:marBottom w:val="0"/>
      <w:divBdr>
        <w:top w:val="none" w:sz="0" w:space="0" w:color="auto"/>
        <w:left w:val="none" w:sz="0" w:space="0" w:color="auto"/>
        <w:bottom w:val="none" w:sz="0" w:space="0" w:color="auto"/>
        <w:right w:val="none" w:sz="0" w:space="0" w:color="auto"/>
      </w:divBdr>
    </w:div>
    <w:div w:id="1202943206">
      <w:bodyDiv w:val="1"/>
      <w:marLeft w:val="0"/>
      <w:marRight w:val="0"/>
      <w:marTop w:val="0"/>
      <w:marBottom w:val="0"/>
      <w:divBdr>
        <w:top w:val="none" w:sz="0" w:space="0" w:color="auto"/>
        <w:left w:val="none" w:sz="0" w:space="0" w:color="auto"/>
        <w:bottom w:val="none" w:sz="0" w:space="0" w:color="auto"/>
        <w:right w:val="none" w:sz="0" w:space="0" w:color="auto"/>
      </w:divBdr>
    </w:div>
    <w:div w:id="1245410489">
      <w:bodyDiv w:val="1"/>
      <w:marLeft w:val="0"/>
      <w:marRight w:val="0"/>
      <w:marTop w:val="0"/>
      <w:marBottom w:val="0"/>
      <w:divBdr>
        <w:top w:val="none" w:sz="0" w:space="0" w:color="auto"/>
        <w:left w:val="none" w:sz="0" w:space="0" w:color="auto"/>
        <w:bottom w:val="none" w:sz="0" w:space="0" w:color="auto"/>
        <w:right w:val="none" w:sz="0" w:space="0" w:color="auto"/>
      </w:divBdr>
    </w:div>
    <w:div w:id="1290934359">
      <w:bodyDiv w:val="1"/>
      <w:marLeft w:val="0"/>
      <w:marRight w:val="0"/>
      <w:marTop w:val="0"/>
      <w:marBottom w:val="0"/>
      <w:divBdr>
        <w:top w:val="none" w:sz="0" w:space="0" w:color="auto"/>
        <w:left w:val="none" w:sz="0" w:space="0" w:color="auto"/>
        <w:bottom w:val="none" w:sz="0" w:space="0" w:color="auto"/>
        <w:right w:val="none" w:sz="0" w:space="0" w:color="auto"/>
      </w:divBdr>
    </w:div>
    <w:div w:id="1292395389">
      <w:bodyDiv w:val="1"/>
      <w:marLeft w:val="0"/>
      <w:marRight w:val="0"/>
      <w:marTop w:val="0"/>
      <w:marBottom w:val="0"/>
      <w:divBdr>
        <w:top w:val="none" w:sz="0" w:space="0" w:color="auto"/>
        <w:left w:val="none" w:sz="0" w:space="0" w:color="auto"/>
        <w:bottom w:val="none" w:sz="0" w:space="0" w:color="auto"/>
        <w:right w:val="none" w:sz="0" w:space="0" w:color="auto"/>
      </w:divBdr>
    </w:div>
    <w:div w:id="1311472588">
      <w:bodyDiv w:val="1"/>
      <w:marLeft w:val="0"/>
      <w:marRight w:val="0"/>
      <w:marTop w:val="0"/>
      <w:marBottom w:val="0"/>
      <w:divBdr>
        <w:top w:val="none" w:sz="0" w:space="0" w:color="auto"/>
        <w:left w:val="none" w:sz="0" w:space="0" w:color="auto"/>
        <w:bottom w:val="none" w:sz="0" w:space="0" w:color="auto"/>
        <w:right w:val="none" w:sz="0" w:space="0" w:color="auto"/>
      </w:divBdr>
    </w:div>
    <w:div w:id="1326516465">
      <w:bodyDiv w:val="1"/>
      <w:marLeft w:val="0"/>
      <w:marRight w:val="0"/>
      <w:marTop w:val="0"/>
      <w:marBottom w:val="0"/>
      <w:divBdr>
        <w:top w:val="none" w:sz="0" w:space="0" w:color="auto"/>
        <w:left w:val="none" w:sz="0" w:space="0" w:color="auto"/>
        <w:bottom w:val="none" w:sz="0" w:space="0" w:color="auto"/>
        <w:right w:val="none" w:sz="0" w:space="0" w:color="auto"/>
      </w:divBdr>
    </w:div>
    <w:div w:id="1334797183">
      <w:bodyDiv w:val="1"/>
      <w:marLeft w:val="0"/>
      <w:marRight w:val="0"/>
      <w:marTop w:val="0"/>
      <w:marBottom w:val="0"/>
      <w:divBdr>
        <w:top w:val="none" w:sz="0" w:space="0" w:color="auto"/>
        <w:left w:val="none" w:sz="0" w:space="0" w:color="auto"/>
        <w:bottom w:val="none" w:sz="0" w:space="0" w:color="auto"/>
        <w:right w:val="none" w:sz="0" w:space="0" w:color="auto"/>
      </w:divBdr>
    </w:div>
    <w:div w:id="1391227306">
      <w:bodyDiv w:val="1"/>
      <w:marLeft w:val="0"/>
      <w:marRight w:val="0"/>
      <w:marTop w:val="0"/>
      <w:marBottom w:val="0"/>
      <w:divBdr>
        <w:top w:val="none" w:sz="0" w:space="0" w:color="auto"/>
        <w:left w:val="none" w:sz="0" w:space="0" w:color="auto"/>
        <w:bottom w:val="none" w:sz="0" w:space="0" w:color="auto"/>
        <w:right w:val="none" w:sz="0" w:space="0" w:color="auto"/>
      </w:divBdr>
    </w:div>
    <w:div w:id="1400403113">
      <w:bodyDiv w:val="1"/>
      <w:marLeft w:val="0"/>
      <w:marRight w:val="0"/>
      <w:marTop w:val="0"/>
      <w:marBottom w:val="0"/>
      <w:divBdr>
        <w:top w:val="none" w:sz="0" w:space="0" w:color="auto"/>
        <w:left w:val="none" w:sz="0" w:space="0" w:color="auto"/>
        <w:bottom w:val="none" w:sz="0" w:space="0" w:color="auto"/>
        <w:right w:val="none" w:sz="0" w:space="0" w:color="auto"/>
      </w:divBdr>
    </w:div>
    <w:div w:id="1447581361">
      <w:bodyDiv w:val="1"/>
      <w:marLeft w:val="0"/>
      <w:marRight w:val="0"/>
      <w:marTop w:val="0"/>
      <w:marBottom w:val="0"/>
      <w:divBdr>
        <w:top w:val="none" w:sz="0" w:space="0" w:color="auto"/>
        <w:left w:val="none" w:sz="0" w:space="0" w:color="auto"/>
        <w:bottom w:val="none" w:sz="0" w:space="0" w:color="auto"/>
        <w:right w:val="none" w:sz="0" w:space="0" w:color="auto"/>
      </w:divBdr>
    </w:div>
    <w:div w:id="1477257797">
      <w:bodyDiv w:val="1"/>
      <w:marLeft w:val="0"/>
      <w:marRight w:val="0"/>
      <w:marTop w:val="0"/>
      <w:marBottom w:val="0"/>
      <w:divBdr>
        <w:top w:val="none" w:sz="0" w:space="0" w:color="auto"/>
        <w:left w:val="none" w:sz="0" w:space="0" w:color="auto"/>
        <w:bottom w:val="none" w:sz="0" w:space="0" w:color="auto"/>
        <w:right w:val="none" w:sz="0" w:space="0" w:color="auto"/>
      </w:divBdr>
    </w:div>
    <w:div w:id="1502311776">
      <w:bodyDiv w:val="1"/>
      <w:marLeft w:val="0"/>
      <w:marRight w:val="0"/>
      <w:marTop w:val="0"/>
      <w:marBottom w:val="0"/>
      <w:divBdr>
        <w:top w:val="none" w:sz="0" w:space="0" w:color="auto"/>
        <w:left w:val="none" w:sz="0" w:space="0" w:color="auto"/>
        <w:bottom w:val="none" w:sz="0" w:space="0" w:color="auto"/>
        <w:right w:val="none" w:sz="0" w:space="0" w:color="auto"/>
      </w:divBdr>
    </w:div>
    <w:div w:id="1519811642">
      <w:bodyDiv w:val="1"/>
      <w:marLeft w:val="0"/>
      <w:marRight w:val="0"/>
      <w:marTop w:val="0"/>
      <w:marBottom w:val="0"/>
      <w:divBdr>
        <w:top w:val="none" w:sz="0" w:space="0" w:color="auto"/>
        <w:left w:val="none" w:sz="0" w:space="0" w:color="auto"/>
        <w:bottom w:val="none" w:sz="0" w:space="0" w:color="auto"/>
        <w:right w:val="none" w:sz="0" w:space="0" w:color="auto"/>
      </w:divBdr>
    </w:div>
    <w:div w:id="1525940381">
      <w:bodyDiv w:val="1"/>
      <w:marLeft w:val="0"/>
      <w:marRight w:val="0"/>
      <w:marTop w:val="0"/>
      <w:marBottom w:val="0"/>
      <w:divBdr>
        <w:top w:val="none" w:sz="0" w:space="0" w:color="auto"/>
        <w:left w:val="none" w:sz="0" w:space="0" w:color="auto"/>
        <w:bottom w:val="none" w:sz="0" w:space="0" w:color="auto"/>
        <w:right w:val="none" w:sz="0" w:space="0" w:color="auto"/>
      </w:divBdr>
    </w:div>
    <w:div w:id="1556240512">
      <w:bodyDiv w:val="1"/>
      <w:marLeft w:val="0"/>
      <w:marRight w:val="0"/>
      <w:marTop w:val="0"/>
      <w:marBottom w:val="0"/>
      <w:divBdr>
        <w:top w:val="none" w:sz="0" w:space="0" w:color="auto"/>
        <w:left w:val="none" w:sz="0" w:space="0" w:color="auto"/>
        <w:bottom w:val="none" w:sz="0" w:space="0" w:color="auto"/>
        <w:right w:val="none" w:sz="0" w:space="0" w:color="auto"/>
      </w:divBdr>
    </w:div>
    <w:div w:id="1586845496">
      <w:bodyDiv w:val="1"/>
      <w:marLeft w:val="0"/>
      <w:marRight w:val="0"/>
      <w:marTop w:val="0"/>
      <w:marBottom w:val="0"/>
      <w:divBdr>
        <w:top w:val="none" w:sz="0" w:space="0" w:color="auto"/>
        <w:left w:val="none" w:sz="0" w:space="0" w:color="auto"/>
        <w:bottom w:val="none" w:sz="0" w:space="0" w:color="auto"/>
        <w:right w:val="none" w:sz="0" w:space="0" w:color="auto"/>
      </w:divBdr>
    </w:div>
    <w:div w:id="1601139517">
      <w:bodyDiv w:val="1"/>
      <w:marLeft w:val="0"/>
      <w:marRight w:val="0"/>
      <w:marTop w:val="0"/>
      <w:marBottom w:val="0"/>
      <w:divBdr>
        <w:top w:val="none" w:sz="0" w:space="0" w:color="auto"/>
        <w:left w:val="none" w:sz="0" w:space="0" w:color="auto"/>
        <w:bottom w:val="none" w:sz="0" w:space="0" w:color="auto"/>
        <w:right w:val="none" w:sz="0" w:space="0" w:color="auto"/>
      </w:divBdr>
    </w:div>
    <w:div w:id="1616329090">
      <w:bodyDiv w:val="1"/>
      <w:marLeft w:val="0"/>
      <w:marRight w:val="0"/>
      <w:marTop w:val="0"/>
      <w:marBottom w:val="0"/>
      <w:divBdr>
        <w:top w:val="none" w:sz="0" w:space="0" w:color="auto"/>
        <w:left w:val="none" w:sz="0" w:space="0" w:color="auto"/>
        <w:bottom w:val="none" w:sz="0" w:space="0" w:color="auto"/>
        <w:right w:val="none" w:sz="0" w:space="0" w:color="auto"/>
      </w:divBdr>
    </w:div>
    <w:div w:id="1633293385">
      <w:bodyDiv w:val="1"/>
      <w:marLeft w:val="0"/>
      <w:marRight w:val="0"/>
      <w:marTop w:val="0"/>
      <w:marBottom w:val="0"/>
      <w:divBdr>
        <w:top w:val="none" w:sz="0" w:space="0" w:color="auto"/>
        <w:left w:val="none" w:sz="0" w:space="0" w:color="auto"/>
        <w:bottom w:val="none" w:sz="0" w:space="0" w:color="auto"/>
        <w:right w:val="none" w:sz="0" w:space="0" w:color="auto"/>
      </w:divBdr>
    </w:div>
    <w:div w:id="1638948520">
      <w:bodyDiv w:val="1"/>
      <w:marLeft w:val="0"/>
      <w:marRight w:val="0"/>
      <w:marTop w:val="0"/>
      <w:marBottom w:val="0"/>
      <w:divBdr>
        <w:top w:val="none" w:sz="0" w:space="0" w:color="auto"/>
        <w:left w:val="none" w:sz="0" w:space="0" w:color="auto"/>
        <w:bottom w:val="none" w:sz="0" w:space="0" w:color="auto"/>
        <w:right w:val="none" w:sz="0" w:space="0" w:color="auto"/>
      </w:divBdr>
    </w:div>
    <w:div w:id="1733188998">
      <w:bodyDiv w:val="1"/>
      <w:marLeft w:val="0"/>
      <w:marRight w:val="0"/>
      <w:marTop w:val="0"/>
      <w:marBottom w:val="0"/>
      <w:divBdr>
        <w:top w:val="none" w:sz="0" w:space="0" w:color="auto"/>
        <w:left w:val="none" w:sz="0" w:space="0" w:color="auto"/>
        <w:bottom w:val="none" w:sz="0" w:space="0" w:color="auto"/>
        <w:right w:val="none" w:sz="0" w:space="0" w:color="auto"/>
      </w:divBdr>
    </w:div>
    <w:div w:id="1755544683">
      <w:bodyDiv w:val="1"/>
      <w:marLeft w:val="0"/>
      <w:marRight w:val="0"/>
      <w:marTop w:val="0"/>
      <w:marBottom w:val="0"/>
      <w:divBdr>
        <w:top w:val="none" w:sz="0" w:space="0" w:color="auto"/>
        <w:left w:val="none" w:sz="0" w:space="0" w:color="auto"/>
        <w:bottom w:val="none" w:sz="0" w:space="0" w:color="auto"/>
        <w:right w:val="none" w:sz="0" w:space="0" w:color="auto"/>
      </w:divBdr>
    </w:div>
    <w:div w:id="1759787804">
      <w:bodyDiv w:val="1"/>
      <w:marLeft w:val="0"/>
      <w:marRight w:val="0"/>
      <w:marTop w:val="0"/>
      <w:marBottom w:val="0"/>
      <w:divBdr>
        <w:top w:val="none" w:sz="0" w:space="0" w:color="auto"/>
        <w:left w:val="none" w:sz="0" w:space="0" w:color="auto"/>
        <w:bottom w:val="none" w:sz="0" w:space="0" w:color="auto"/>
        <w:right w:val="none" w:sz="0" w:space="0" w:color="auto"/>
      </w:divBdr>
    </w:div>
    <w:div w:id="1769040629">
      <w:bodyDiv w:val="1"/>
      <w:marLeft w:val="0"/>
      <w:marRight w:val="0"/>
      <w:marTop w:val="0"/>
      <w:marBottom w:val="0"/>
      <w:divBdr>
        <w:top w:val="none" w:sz="0" w:space="0" w:color="auto"/>
        <w:left w:val="none" w:sz="0" w:space="0" w:color="auto"/>
        <w:bottom w:val="none" w:sz="0" w:space="0" w:color="auto"/>
        <w:right w:val="none" w:sz="0" w:space="0" w:color="auto"/>
      </w:divBdr>
    </w:div>
    <w:div w:id="1772777600">
      <w:bodyDiv w:val="1"/>
      <w:marLeft w:val="0"/>
      <w:marRight w:val="0"/>
      <w:marTop w:val="0"/>
      <w:marBottom w:val="0"/>
      <w:divBdr>
        <w:top w:val="none" w:sz="0" w:space="0" w:color="auto"/>
        <w:left w:val="none" w:sz="0" w:space="0" w:color="auto"/>
        <w:bottom w:val="none" w:sz="0" w:space="0" w:color="auto"/>
        <w:right w:val="none" w:sz="0" w:space="0" w:color="auto"/>
      </w:divBdr>
    </w:div>
    <w:div w:id="1849058575">
      <w:bodyDiv w:val="1"/>
      <w:marLeft w:val="0"/>
      <w:marRight w:val="0"/>
      <w:marTop w:val="0"/>
      <w:marBottom w:val="0"/>
      <w:divBdr>
        <w:top w:val="none" w:sz="0" w:space="0" w:color="auto"/>
        <w:left w:val="none" w:sz="0" w:space="0" w:color="auto"/>
        <w:bottom w:val="none" w:sz="0" w:space="0" w:color="auto"/>
        <w:right w:val="none" w:sz="0" w:space="0" w:color="auto"/>
      </w:divBdr>
    </w:div>
    <w:div w:id="2013945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0.xml"/><Relationship Id="rId21" Type="http://schemas.openxmlformats.org/officeDocument/2006/relationships/image" Target="media/image7.png"/><Relationship Id="rId42" Type="http://schemas.openxmlformats.org/officeDocument/2006/relationships/image" Target="media/image21.png"/><Relationship Id="rId47" Type="http://schemas.openxmlformats.org/officeDocument/2006/relationships/image" Target="media/image26.png"/><Relationship Id="rId63" Type="http://schemas.openxmlformats.org/officeDocument/2006/relationships/image" Target="media/image42.png"/><Relationship Id="rId68"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7.xml"/><Relationship Id="rId29" Type="http://schemas.openxmlformats.org/officeDocument/2006/relationships/chart" Target="charts/chart11.xml"/><Relationship Id="rId11" Type="http://schemas.openxmlformats.org/officeDocument/2006/relationships/chart" Target="charts/chart2.xml"/><Relationship Id="rId24" Type="http://schemas.openxmlformats.org/officeDocument/2006/relationships/chart" Target="charts/chart8.xml"/><Relationship Id="rId32" Type="http://schemas.openxmlformats.org/officeDocument/2006/relationships/image" Target="media/image13.png"/><Relationship Id="rId37" Type="http://schemas.openxmlformats.org/officeDocument/2006/relationships/image" Target="media/image16.png"/><Relationship Id="rId40" Type="http://schemas.openxmlformats.org/officeDocument/2006/relationships/image" Target="media/image19.png"/><Relationship Id="rId45" Type="http://schemas.openxmlformats.org/officeDocument/2006/relationships/image" Target="media/image24.png"/><Relationship Id="rId53" Type="http://schemas.openxmlformats.org/officeDocument/2006/relationships/image" Target="media/image32.png"/><Relationship Id="rId58" Type="http://schemas.openxmlformats.org/officeDocument/2006/relationships/image" Target="media/image37.png"/><Relationship Id="rId66" Type="http://schemas.openxmlformats.org/officeDocument/2006/relationships/hyperlink" Target="mailto:SBU.CommunityPharmacyOffice@wales.nhs.uk" TargetMode="External"/><Relationship Id="rId5" Type="http://schemas.openxmlformats.org/officeDocument/2006/relationships/webSettings" Target="webSettings.xml"/><Relationship Id="rId61" Type="http://schemas.openxmlformats.org/officeDocument/2006/relationships/image" Target="media/image40.png"/><Relationship Id="rId19" Type="http://schemas.openxmlformats.org/officeDocument/2006/relationships/image" Target="media/image5.png"/><Relationship Id="rId14" Type="http://schemas.openxmlformats.org/officeDocument/2006/relationships/chart" Target="charts/chart5.xml"/><Relationship Id="rId22" Type="http://schemas.openxmlformats.org/officeDocument/2006/relationships/image" Target="media/image8.png"/><Relationship Id="rId27" Type="http://schemas.openxmlformats.org/officeDocument/2006/relationships/image" Target="media/image10.png"/><Relationship Id="rId30" Type="http://schemas.openxmlformats.org/officeDocument/2006/relationships/footer" Target="footer1.xml"/><Relationship Id="rId35" Type="http://schemas.openxmlformats.org/officeDocument/2006/relationships/image" Target="media/image14.png"/><Relationship Id="rId43" Type="http://schemas.openxmlformats.org/officeDocument/2006/relationships/image" Target="media/image22.png"/><Relationship Id="rId48" Type="http://schemas.openxmlformats.org/officeDocument/2006/relationships/image" Target="media/image27.png"/><Relationship Id="rId56" Type="http://schemas.openxmlformats.org/officeDocument/2006/relationships/image" Target="media/image35.png"/><Relationship Id="rId64" Type="http://schemas.openxmlformats.org/officeDocument/2006/relationships/hyperlink" Target="mailto:SBU.CommunityPharmacyOffice@wales.nhs.uk" TargetMode="External"/><Relationship Id="rId69"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30.png"/><Relationship Id="rId3" Type="http://schemas.openxmlformats.org/officeDocument/2006/relationships/styles" Target="styles.xml"/><Relationship Id="rId12" Type="http://schemas.openxmlformats.org/officeDocument/2006/relationships/chart" Target="charts/chart3.xml"/><Relationship Id="rId17" Type="http://schemas.openxmlformats.org/officeDocument/2006/relationships/image" Target="media/image3.png"/><Relationship Id="rId25" Type="http://schemas.openxmlformats.org/officeDocument/2006/relationships/chart" Target="charts/chart9.xml"/><Relationship Id="rId33" Type="http://schemas.openxmlformats.org/officeDocument/2006/relationships/chart" Target="charts/chart12.xml"/><Relationship Id="rId38" Type="http://schemas.openxmlformats.org/officeDocument/2006/relationships/image" Target="media/image17.png"/><Relationship Id="rId46" Type="http://schemas.openxmlformats.org/officeDocument/2006/relationships/image" Target="media/image25.png"/><Relationship Id="rId59" Type="http://schemas.openxmlformats.org/officeDocument/2006/relationships/image" Target="media/image38.png"/><Relationship Id="rId67" Type="http://schemas.openxmlformats.org/officeDocument/2006/relationships/fontTable" Target="fontTable.xml"/><Relationship Id="rId20" Type="http://schemas.openxmlformats.org/officeDocument/2006/relationships/image" Target="media/image6.png"/><Relationship Id="rId41" Type="http://schemas.openxmlformats.org/officeDocument/2006/relationships/image" Target="media/image20.png"/><Relationship Id="rId54" Type="http://schemas.openxmlformats.org/officeDocument/2006/relationships/image" Target="media/image33.png"/><Relationship Id="rId62" Type="http://schemas.openxmlformats.org/officeDocument/2006/relationships/image" Target="media/image4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image" Target="media/image9.png"/><Relationship Id="rId28" Type="http://schemas.openxmlformats.org/officeDocument/2006/relationships/image" Target="media/image11.png"/><Relationship Id="rId36" Type="http://schemas.openxmlformats.org/officeDocument/2006/relationships/image" Target="media/image15.png"/><Relationship Id="rId49" Type="http://schemas.openxmlformats.org/officeDocument/2006/relationships/image" Target="media/image28.png"/><Relationship Id="rId57" Type="http://schemas.openxmlformats.org/officeDocument/2006/relationships/image" Target="media/image36.png"/><Relationship Id="rId10" Type="http://schemas.openxmlformats.org/officeDocument/2006/relationships/chart" Target="charts/chart1.xml"/><Relationship Id="rId31" Type="http://schemas.openxmlformats.org/officeDocument/2006/relationships/image" Target="media/image12.png"/><Relationship Id="rId44" Type="http://schemas.openxmlformats.org/officeDocument/2006/relationships/image" Target="media/image23.png"/><Relationship Id="rId52" Type="http://schemas.openxmlformats.org/officeDocument/2006/relationships/image" Target="media/image31.png"/><Relationship Id="rId60" Type="http://schemas.openxmlformats.org/officeDocument/2006/relationships/image" Target="media/image39.png"/><Relationship Id="rId65" Type="http://schemas.openxmlformats.org/officeDocument/2006/relationships/hyperlink" Target="mailto:SBU.CommunityPharmacyOffice@wales.nhs.uk"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chart" Target="charts/chart4.xml"/><Relationship Id="rId18" Type="http://schemas.openxmlformats.org/officeDocument/2006/relationships/image" Target="media/image4.png"/><Relationship Id="rId39" Type="http://schemas.openxmlformats.org/officeDocument/2006/relationships/image" Target="media/image18.png"/><Relationship Id="rId34" Type="http://schemas.openxmlformats.org/officeDocument/2006/relationships/chart" Target="charts/chart13.xml"/><Relationship Id="rId50" Type="http://schemas.openxmlformats.org/officeDocument/2006/relationships/image" Target="media/image29.png"/><Relationship Id="rId55" Type="http://schemas.openxmlformats.org/officeDocument/2006/relationships/image" Target="media/image34.jpeg"/></Relationships>
</file>

<file path=word/_rels/footnotes.xml.rels><?xml version="1.0" encoding="UTF-8" standalone="yes"?>
<Relationships xmlns="http://schemas.openxmlformats.org/package/2006/relationships"><Relationship Id="rId117" Type="http://schemas.openxmlformats.org/officeDocument/2006/relationships/hyperlink" Target="https://www.shwales.online/" TargetMode="External"/><Relationship Id="rId299" Type="http://schemas.openxmlformats.org/officeDocument/2006/relationships/hyperlink" Target="https://stats.gov.wales/en-GB/da26395b-945e-4fad-b886-00cbb565a14a/filtered/462pkr1ryspe?page_size=100" TargetMode="External"/><Relationship Id="rId21" Type="http://schemas.openxmlformats.org/officeDocument/2006/relationships/hyperlink" Target="https://www.nomisweb.co.uk/datasets/pestsyoala" TargetMode="External"/><Relationship Id="rId63" Type="http://schemas.openxmlformats.org/officeDocument/2006/relationships/hyperlink" Target="https://link.springer.com/article/10.1186/s12889-016-3265-9" TargetMode="External"/><Relationship Id="rId159" Type="http://schemas.openxmlformats.org/officeDocument/2006/relationships/hyperlink" Target="https://www.rnib.org.uk/professionals/research-and-data/sight-loss-data-tool/" TargetMode="External"/><Relationship Id="rId324" Type="http://schemas.openxmlformats.org/officeDocument/2006/relationships/hyperlink" Target="https://phw.nhs.wales/services-and-teams/observatory/data-and-analysis/public-health-outcomes-framework/" TargetMode="External"/><Relationship Id="rId170" Type="http://schemas.openxmlformats.org/officeDocument/2006/relationships/hyperlink" Target="https://www.gov.wales/maternity-and-birth-statistics-2023-html" TargetMode="External"/><Relationship Id="rId226" Type="http://schemas.openxmlformats.org/officeDocument/2006/relationships/hyperlink" Target="https://www.gov.wales/local-authority-population-projections-2022-based-html" TargetMode="External"/><Relationship Id="rId268" Type="http://schemas.openxmlformats.org/officeDocument/2006/relationships/hyperlink" Target="https://www.ons.gov.uk/peoplepopulationandcommunity/populationandmigration/populationestimates/bulletins/populationestimatesforenglandandwales/mid2024" TargetMode="External"/><Relationship Id="rId32" Type="http://schemas.openxmlformats.org/officeDocument/2006/relationships/hyperlink" Target="https://www.ons.gov.uk/peoplepopulationandcommunity/birthsdeathsandmarriages/livebirths/bulletins/birthsummarytablesenglandandwales/2024refreshedpopulations" TargetMode="External"/><Relationship Id="rId74" Type="http://schemas.openxmlformats.org/officeDocument/2006/relationships/hyperlink" Target="https://www.spacetobreathe.org.uk/assetRoot/04/10/14/75/04101475.pdf" TargetMode="External"/><Relationship Id="rId128" Type="http://schemas.openxmlformats.org/officeDocument/2006/relationships/hyperlink" Target="https://app.powerbi.com/view?r=eyJrIjoiZTRiN2UyMDMtNjFjZi00MTJiLWFiYTgtMjE0MTI1ZTk5ODc4IiwidCI6ImJiNTYyOGI4LWUzMjgtNDA4Mi1hODU2LTQzM2M5ZWRjOGZhZSJ9" TargetMode="External"/><Relationship Id="rId335" Type="http://schemas.openxmlformats.org/officeDocument/2006/relationships/hyperlink" Target="https://www.ons.gov.uk/visualisations/censusareachanges/W06000012/" TargetMode="External"/><Relationship Id="rId5" Type="http://schemas.openxmlformats.org/officeDocument/2006/relationships/hyperlink" Target="https://www.swansea.gov.uk/listedbuildings" TargetMode="External"/><Relationship Id="rId181" Type="http://schemas.openxmlformats.org/officeDocument/2006/relationships/hyperlink" Target="https://www.menshealthforum.org.uk/sites/default/files/pdf/gender_and_access_to_health_services_study_2008.pdf" TargetMode="External"/><Relationship Id="rId237" Type="http://schemas.openxmlformats.org/officeDocument/2006/relationships/hyperlink" Target="https://www.gov.wales/mid-year-estimates-population-2024-html" TargetMode="External"/><Relationship Id="rId279" Type="http://schemas.openxmlformats.org/officeDocument/2006/relationships/hyperlink" Target="https://www.gov.wales/welsh-index-multiple-deprivation-wimd-2025-results-report-overall-index-html" TargetMode="External"/><Relationship Id="rId43" Type="http://schemas.openxmlformats.org/officeDocument/2006/relationships/hyperlink" Target="https://www.socialcaredata.wales/category?c=429" TargetMode="External"/><Relationship Id="rId139" Type="http://schemas.openxmlformats.org/officeDocument/2006/relationships/hyperlink" Target="https://www2.nphs.wales.nhs.uk/HealthServiceQDTDocs.nsf/%28$All%29/835F2A180990379B80257089004FA7C2/$File/Prevalenceflyer.doc?OpenElement" TargetMode="External"/><Relationship Id="rId290" Type="http://schemas.openxmlformats.org/officeDocument/2006/relationships/hyperlink" Target="https://stats.gov.wales/en-GB/f30cc8bc-8e97-449e-96a4-77b0400262d1" TargetMode="External"/><Relationship Id="rId304" Type="http://schemas.openxmlformats.org/officeDocument/2006/relationships/hyperlink" Target="https://www.ons.gov.uk/visualisations/censusareachanges/W06000012/" TargetMode="External"/><Relationship Id="rId346" Type="http://schemas.openxmlformats.org/officeDocument/2006/relationships/hyperlink" Target="https://stats.gov.wales/en-GB/da26395b-945e-4fad-b886-00cbb565a14a/filtered/462pkr1ryspe?page_size=100" TargetMode="External"/><Relationship Id="rId85" Type="http://schemas.openxmlformats.org/officeDocument/2006/relationships/hyperlink" Target="https://phw.nhs.wales/services-and-teams/observatory/data-and-analysis/shrn-data-dashboard/" TargetMode="External"/><Relationship Id="rId150" Type="http://schemas.openxmlformats.org/officeDocument/2006/relationships/hyperlink" Target="https://www.chemist-4-u.com/guides/weight-loss/obesity-statistics/" TargetMode="External"/><Relationship Id="rId192" Type="http://schemas.openxmlformats.org/officeDocument/2006/relationships/hyperlink" Target="https://assets.publishing.service.gov.uk/media/604a3ee28fa8f540179c6ab7/experimental-statistics-assessing-needs-sentenced-children-youth-justice-system-2019-20.pdf" TargetMode="External"/><Relationship Id="rId206" Type="http://schemas.openxmlformats.org/officeDocument/2006/relationships/hyperlink" Target="https://www.ons.gov.uk/peoplepopulationandcommunity/armedforcescommunity/bulletins/ukarmedforcesveteransenglandandwales/census2021" TargetMode="External"/><Relationship Id="rId248" Type="http://schemas.openxmlformats.org/officeDocument/2006/relationships/hyperlink" Target="https://stats.gov.wales/en-GB/da26395b-945e-4fad-b886-00cbb565a14a/filtered/462pkr1ryspe?page_size=100" TargetMode="External"/><Relationship Id="rId12" Type="http://schemas.openxmlformats.org/officeDocument/2006/relationships/hyperlink" Target="https://staff.swansea.gov.uk/economicprofile_business" TargetMode="External"/><Relationship Id="rId108" Type="http://schemas.openxmlformats.org/officeDocument/2006/relationships/hyperlink" Target="https://www.gov.wales/relative-income-poverty-april-2023-march-2025-official-statistics-development-html" TargetMode="External"/><Relationship Id="rId315" Type="http://schemas.openxmlformats.org/officeDocument/2006/relationships/hyperlink" Target="https://stats.gov.wales/en-GB/da26395b-945e-4fad-b886-00cbb565a14a/filtered/462pkr1ryspe?page_size=100" TargetMode="External"/><Relationship Id="rId54" Type="http://schemas.openxmlformats.org/officeDocument/2006/relationships/hyperlink" Target="https://stats.gov.wales/en-GB/da26395b-945e-4fad-b886-00cbb565a14a/filtered/xmmbumkvdx8l?page_size=25" TargetMode="External"/><Relationship Id="rId96" Type="http://schemas.openxmlformats.org/officeDocument/2006/relationships/hyperlink" Target="https://alcoholchange.org.uk/alcohol-facts/fact-sheets/alcohol-crime-and-disorder" TargetMode="External"/><Relationship Id="rId161" Type="http://schemas.openxmlformats.org/officeDocument/2006/relationships/hyperlink" Target="https://statswales.gov.wales/Catalogue/Health-and-Social-Care/Social-Services/Disability-Registers/personswithlearningdisabilities-by-localauthority-service-agerange" TargetMode="External"/><Relationship Id="rId217" Type="http://schemas.openxmlformats.org/officeDocument/2006/relationships/hyperlink" Target="https://cpwales.org.uk/wp-content/uploads/2023/02/CPW-Pharmacy-Advice-Audit-Final.pdf" TargetMode="External"/><Relationship Id="rId259" Type="http://schemas.openxmlformats.org/officeDocument/2006/relationships/hyperlink" Target="https://www.ons.gov.uk/peoplepopulationandcommunity/healthandsocialcare/healthandlifeexpectancies/bulletins/healthstatelifeexpectanciesuk/between2011to2013and2022to2024" TargetMode="External"/><Relationship Id="rId23" Type="http://schemas.openxmlformats.org/officeDocument/2006/relationships/hyperlink" Target="https://www.ons.gov.uk/peoplepopulationandcommunity/culturalidentity/ethnicity/bulletins/ethnicgroupenglandandwales/census2021" TargetMode="External"/><Relationship Id="rId119" Type="http://schemas.openxmlformats.org/officeDocument/2006/relationships/hyperlink" Target="https://phw.nhs.wales/news/almost-half-of-dementia-cases-could-be-prevented-through-lifestyle-changes/" TargetMode="External"/><Relationship Id="rId270" Type="http://schemas.openxmlformats.org/officeDocument/2006/relationships/hyperlink" Target="https://nwssp.nhs.wales/ourservices/primary-care-services/general-information/data-and-publications/prescribing-data-extracts/gp-practice-analysis/" TargetMode="External"/><Relationship Id="rId326" Type="http://schemas.openxmlformats.org/officeDocument/2006/relationships/hyperlink" Target="https://www.gov.wales/welsh-index-multiple-deprivation-wimd-2025-results-report-overall-index-html" TargetMode="External"/><Relationship Id="rId65" Type="http://schemas.openxmlformats.org/officeDocument/2006/relationships/hyperlink" Target="https://www.infobasecymru.net/IAS/themes/healthandsocialcare/generalhealth/tabular?viewId=2621&amp;geoId=1&amp;subsetId=" TargetMode="External"/><Relationship Id="rId130" Type="http://schemas.openxmlformats.org/officeDocument/2006/relationships/hyperlink" Target="https://phw.nhs.wales/services-and-teams/screening/bowel-screening/programme-reports/" TargetMode="External"/><Relationship Id="rId172" Type="http://schemas.openxmlformats.org/officeDocument/2006/relationships/hyperlink" Target="https://www.gov.wales/well-being-of-future-generations-wales" TargetMode="External"/><Relationship Id="rId228" Type="http://schemas.openxmlformats.org/officeDocument/2006/relationships/hyperlink" Target="https://phw.nhs.wales/services-and-teams/observatory/data-and-analysis/public-health-outcomes-framework/" TargetMode="External"/><Relationship Id="rId281" Type="http://schemas.openxmlformats.org/officeDocument/2006/relationships/hyperlink" Target="https://stats.gov.wales/en-GB/da26395b-945e-4fad-b886-00cbb565a14a/filtered/462pkr1ryspe?page_size=100" TargetMode="External"/><Relationship Id="rId337" Type="http://schemas.openxmlformats.org/officeDocument/2006/relationships/hyperlink" Target="https://stats.gov.wales/en-GB/f30cc8bc-8e97-449e-96a4-77b0400262d1" TargetMode="External"/><Relationship Id="rId34" Type="http://schemas.openxmlformats.org/officeDocument/2006/relationships/hyperlink" Target="https://phw.nhs.wales/news/life-expectancy-and-mortality-in-wales-report-published/" TargetMode="External"/><Relationship Id="rId76" Type="http://schemas.openxmlformats.org/officeDocument/2006/relationships/hyperlink" Target="https://www.rcog.org.uk/for-the-public/browse-our-patient-information/smoking-and-pregnancy/" TargetMode="External"/><Relationship Id="rId141" Type="http://schemas.openxmlformats.org/officeDocument/2006/relationships/hyperlink" Target="https://www.agecymru.wales/latest-news/falls-amongst-older-people-can-have-a-devastating-impact-but-they-are-not-an-inevitable-part-of-ageing/" TargetMode="External"/><Relationship Id="rId7" Type="http://schemas.openxmlformats.org/officeDocument/2006/relationships/hyperlink" Target="https://www.uwtsd.ac.uk/" TargetMode="External"/><Relationship Id="rId183" Type="http://schemas.openxmlformats.org/officeDocument/2006/relationships/hyperlink" Target="https://www.lgbthero.org.uk/statement-ons-data-lgb" TargetMode="External"/><Relationship Id="rId239" Type="http://schemas.openxmlformats.org/officeDocument/2006/relationships/hyperlink" Target="https://www.ons.gov.uk/visualisations/censusareachanges/W06000011/" TargetMode="External"/><Relationship Id="rId250" Type="http://schemas.openxmlformats.org/officeDocument/2006/relationships/hyperlink" Target="https://stats.gov.wales/en-GB/da26395b-945e-4fad-b886-00cbb565a14a/filtered/462pkr1ryspe?page_size=100" TargetMode="External"/><Relationship Id="rId292" Type="http://schemas.openxmlformats.org/officeDocument/2006/relationships/hyperlink" Target="https://www.ons.gov.uk/peoplepopulationandcommunity/healthandsocialcare/healthandlifeexpectancies/bulletins/healthstatelifeexpectanciesuk/between2011to2013and2022to2024" TargetMode="External"/><Relationship Id="rId306" Type="http://schemas.openxmlformats.org/officeDocument/2006/relationships/hyperlink" Target="https://stats.gov.wales/en-GB/f30cc8bc-8e97-449e-96a4-77b0400262d1" TargetMode="External"/><Relationship Id="rId45" Type="http://schemas.openxmlformats.org/officeDocument/2006/relationships/hyperlink" Target="https://stats.gov.wales/en-GB/da26395b-945e-4fad-b886-00cbb565a14a/filtered/462pkr1ryspe?page_size=100" TargetMode="External"/><Relationship Id="rId87" Type="http://schemas.openxmlformats.org/officeDocument/2006/relationships/hyperlink" Target="https://www.infobasecymru.net/IAS/themes/healthandsocialcare/generalhealth/tabular?viewId=2621&amp;geoId=1&amp;subsetId=" TargetMode="External"/><Relationship Id="rId110" Type="http://schemas.openxmlformats.org/officeDocument/2006/relationships/hyperlink" Target="https://publichealthmatters.blog.gov.uk/2017/06/14/health-matters-child-dental-health/" TargetMode="External"/><Relationship Id="rId348" Type="http://schemas.openxmlformats.org/officeDocument/2006/relationships/hyperlink" Target="https://www.ons.gov.uk/peoplepopulationandcommunity/populationandmigration/populationestimates/bulletins/populationestimatesforenglandandwales/mid2024" TargetMode="External"/><Relationship Id="rId152" Type="http://schemas.openxmlformats.org/officeDocument/2006/relationships/hyperlink" Target="https://phw.nhs.wales/services-and-teams/child-measurement-programme/cmp-2022-23/1-cmp-report-2022-2023/" TargetMode="External"/><Relationship Id="rId194" Type="http://schemas.openxmlformats.org/officeDocument/2006/relationships/hyperlink" Target="https://thewallich.com/news/homeless-deaths/" TargetMode="External"/><Relationship Id="rId208" Type="http://schemas.openxmlformats.org/officeDocument/2006/relationships/hyperlink" Target="https://abuhb.nhs.wales/files/news/veterans-needs-eng-pdf/" TargetMode="External"/><Relationship Id="rId261" Type="http://schemas.openxmlformats.org/officeDocument/2006/relationships/hyperlink" Target="https://www.infobasecymru.net/IAS/themes/healthandsocialcare/generalhealth/tabular?viewId=47&amp;geoId=1&amp;subsetId=" TargetMode="External"/><Relationship Id="rId14" Type="http://schemas.openxmlformats.org/officeDocument/2006/relationships/hyperlink" Target="https://www.npt.gov.uk/media/f5ofz5vs/floodriskmanagementplan15.pdf?mediaredirect=false&amp;v=2025" TargetMode="External"/><Relationship Id="rId56" Type="http://schemas.openxmlformats.org/officeDocument/2006/relationships/hyperlink" Target="https://phw.nhs.wales/services-and-teams/observatory/data-and-analysis/cardiovascular-disease-prevalence-trends-risk-factors-and-10-year-projections/" TargetMode="External"/><Relationship Id="rId317" Type="http://schemas.openxmlformats.org/officeDocument/2006/relationships/hyperlink" Target="https://www.ons.gov.uk/peoplepopulationandcommunity/populationandmigration/populationestimates/bulletins/populationestimatesforenglandandwales/mid2024" TargetMode="External"/><Relationship Id="rId8" Type="http://schemas.openxmlformats.org/officeDocument/2006/relationships/hyperlink" Target="https://www.gcs.ac.uk/" TargetMode="External"/><Relationship Id="rId98" Type="http://schemas.openxmlformats.org/officeDocument/2006/relationships/hyperlink" Target="https://www.ons.gov.uk/peoplepopulationandcommunity/populationandmigration/populationestimates/bulletins/populationestimatesforenglandandwales/mid2024" TargetMode="External"/><Relationship Id="rId121" Type="http://schemas.openxmlformats.org/officeDocument/2006/relationships/hyperlink" Target="https://phw.nhs.wales/services-and-teams/observatory/data-and-analysis/cancer-in-wales-trends-and-projections/" TargetMode="External"/><Relationship Id="rId142" Type="http://schemas.openxmlformats.org/officeDocument/2006/relationships/hyperlink" Target="https://www.nomisweb.co.uk/datasets/c2021ts003" TargetMode="External"/><Relationship Id="rId163" Type="http://schemas.openxmlformats.org/officeDocument/2006/relationships/hyperlink" Target="https://www.mencap.org.uk/learning-disability-explained/research-and-statistics/how-common-learning-disability" TargetMode="External"/><Relationship Id="rId184" Type="http://schemas.openxmlformats.org/officeDocument/2006/relationships/hyperlink" Target="http://www.gires.org.uk/trans-health-factsheets/" TargetMode="External"/><Relationship Id="rId219" Type="http://schemas.openxmlformats.org/officeDocument/2006/relationships/hyperlink" Target="https://www.gov.wales/written-statement-world-hepatitis-day-2024" TargetMode="External"/><Relationship Id="rId230" Type="http://schemas.openxmlformats.org/officeDocument/2006/relationships/hyperlink" Target="https://www.gov.wales/welsh-index-multiple-deprivation-wimd-2025-results-report-overall-index-html" TargetMode="External"/><Relationship Id="rId251" Type="http://schemas.openxmlformats.org/officeDocument/2006/relationships/hyperlink" Target="https://www.infobasecymru.net/IAS/themes/healthandsocialcare/generalhealth/tabular?viewId=2621&amp;geoId=1&amp;subsetId=" TargetMode="External"/><Relationship Id="rId25" Type="http://schemas.openxmlformats.org/officeDocument/2006/relationships/hyperlink" Target="https://www.nomisweb.co.uk/datasets/c2021ts033" TargetMode="External"/><Relationship Id="rId46" Type="http://schemas.openxmlformats.org/officeDocument/2006/relationships/hyperlink" Target="https://stats.gov.wales/en-GB/da26395b-945e-4fad-b886-00cbb565a14a/filtered/462pkr1ryspe?page_size=100" TargetMode="External"/><Relationship Id="rId67" Type="http://schemas.openxmlformats.org/officeDocument/2006/relationships/hyperlink" Target="https://www.ons.gov.uk/peoplepopulationandcommunity/populationandmigration/populationestimates/bulletins/populationestimatesforenglandandwales/mid2024" TargetMode="External"/><Relationship Id="rId272" Type="http://schemas.openxmlformats.org/officeDocument/2006/relationships/hyperlink" Target="https://www.gov.wales/local-authority-population-projections-2022-based-html" TargetMode="External"/><Relationship Id="rId293" Type="http://schemas.openxmlformats.org/officeDocument/2006/relationships/hyperlink" Target="https://phw.nhs.wales/services-and-teams/observatory/data-and-analysis/public-health-outcomes-framework/" TargetMode="External"/><Relationship Id="rId307" Type="http://schemas.openxmlformats.org/officeDocument/2006/relationships/hyperlink" Target="https://www.gov.wales/local-authority-population-projections-2022-based-html" TargetMode="External"/><Relationship Id="rId328" Type="http://schemas.openxmlformats.org/officeDocument/2006/relationships/hyperlink" Target="https://stats.gov.wales/en-GB/da26395b-945e-4fad-b886-00cbb565a14a/filtered/462pkr1ryspe?page_size=100" TargetMode="External"/><Relationship Id="rId349" Type="http://schemas.openxmlformats.org/officeDocument/2006/relationships/hyperlink" Target="https://www.gov.wales/mid-year-estimates-population-2024-html" TargetMode="External"/><Relationship Id="rId88" Type="http://schemas.openxmlformats.org/officeDocument/2006/relationships/hyperlink" Target="https://www.infobasecymru.net/IAS/themes/healthandsocialcare/generalhealth/tabular?viewId=2621&amp;geoId=1&amp;subsetId=" TargetMode="External"/><Relationship Id="rId111" Type="http://schemas.openxmlformats.org/officeDocument/2006/relationships/hyperlink" Target="https://phw.nhs.wales/services-and-teams/dental-public-health/oral-health-intelligence/" TargetMode="External"/><Relationship Id="rId132" Type="http://schemas.openxmlformats.org/officeDocument/2006/relationships/hyperlink" Target="https://phw.nhs.wales/services-and-teams/cervical-screening-wales/information-resources/programme-reports/annual-statistical-reports/csw-annual-statistical-report-2022-23/?ts=1777253805298" TargetMode="External"/><Relationship Id="rId153" Type="http://schemas.openxmlformats.org/officeDocument/2006/relationships/hyperlink" Target="https://news.cancerresearchuk.org/2024/10/25/350-young-adults-start-smoking-every-day-in-uk/" TargetMode="External"/><Relationship Id="rId174" Type="http://schemas.openxmlformats.org/officeDocument/2006/relationships/hyperlink" Target="https://www.kingsfund.org.uk/insight-and-analysis/long-reads/health-people-ethnic-minority-groups-england" TargetMode="External"/><Relationship Id="rId195" Type="http://schemas.openxmlformats.org/officeDocument/2006/relationships/hyperlink" Target="https://statswales.gov.wales/Catalogue/Housing/Homelessness/homelessness-accommodation-provision-and-rough-sleeping/roughsleepers-by-localauthority" TargetMode="External"/><Relationship Id="rId209" Type="http://schemas.openxmlformats.org/officeDocument/2006/relationships/hyperlink" Target="https://www.gov.uk/government/publications/health-and-wellbeing-of-uk-armed-forces-veterans/health-and-wellbeing-of-uk-armed-forces-veterans-veterans-survey-2022-uk" TargetMode="External"/><Relationship Id="rId220" Type="http://schemas.openxmlformats.org/officeDocument/2006/relationships/hyperlink" Target="https://www.gov.wales/written-statement-eliminating-hepatitis-b-and-c-wales" TargetMode="External"/><Relationship Id="rId241" Type="http://schemas.openxmlformats.org/officeDocument/2006/relationships/hyperlink" Target="https://stats.gov.wales/en-GB/f30cc8bc-8e97-449e-96a4-77b0400262d1" TargetMode="External"/><Relationship Id="rId15" Type="http://schemas.openxmlformats.org/officeDocument/2006/relationships/hyperlink" Target="https://www.nomisweb.co.uk/reports/lmp/lad/contents.aspx" TargetMode="External"/><Relationship Id="rId36" Type="http://schemas.openxmlformats.org/officeDocument/2006/relationships/hyperlink" Target="https://www.ons.gov.uk/peoplepopulationandcommunity/healthandsocialcare/healthandlifeexpectancies/bulletins/healthstatelifeexpectanciesuk/between2011to2013and2022to2024" TargetMode="External"/><Relationship Id="rId57" Type="http://schemas.openxmlformats.org/officeDocument/2006/relationships/hyperlink" Target="https://stats.gov.wales/en-GB/da26395b-945e-4fad-b886-00cbb565a14a/filtered/xmmbumkvdx8l?page_size=25" TargetMode="External"/><Relationship Id="rId262" Type="http://schemas.openxmlformats.org/officeDocument/2006/relationships/hyperlink" Target="https://www.gov.wales/welsh-index-multiple-deprivation-wimd-2025-results-report-overall-index-html" TargetMode="External"/><Relationship Id="rId283" Type="http://schemas.openxmlformats.org/officeDocument/2006/relationships/hyperlink" Target="https://stats.gov.wales/en-GB/da26395b-945e-4fad-b886-00cbb565a14a/filtered/462pkr1ryspe?page_size=100" TargetMode="External"/><Relationship Id="rId318" Type="http://schemas.openxmlformats.org/officeDocument/2006/relationships/hyperlink" Target="https://www.gov.wales/mid-year-estimates-population-2024-html" TargetMode="External"/><Relationship Id="rId339" Type="http://schemas.openxmlformats.org/officeDocument/2006/relationships/hyperlink" Target="https://www.ons.gov.uk/peoplepopulationandcommunity/healthandsocialcare/healthandlifeexpectancies/bulletins/healthstatelifeexpectanciesuk/between2011to2013and2022to2024" TargetMode="External"/><Relationship Id="rId78" Type="http://schemas.openxmlformats.org/officeDocument/2006/relationships/hyperlink" Target="https://www.infobasecymru.net/IAS/themes/healthandsocialcare/generalhealth/tabular?viewId=2621&amp;geoId=1&amp;subsetId=" TargetMode="External"/><Relationship Id="rId99" Type="http://schemas.openxmlformats.org/officeDocument/2006/relationships/hyperlink" Target="https://www.gov.wales/mid-year-estimates-population-2024-html" TargetMode="External"/><Relationship Id="rId101" Type="http://schemas.openxmlformats.org/officeDocument/2006/relationships/hyperlink" Target="https://www.drugsandalcohol.ie/42849/1/Data_mining_report_2023_24.pdf" TargetMode="External"/><Relationship Id="rId122" Type="http://schemas.openxmlformats.org/officeDocument/2006/relationships/hyperlink" Target="https://www.nature.com/articles/s41416-018-0029-6" TargetMode="External"/><Relationship Id="rId143" Type="http://schemas.openxmlformats.org/officeDocument/2006/relationships/hyperlink" Target="https://www.agecymru.wales/latest-news/investment-in-older-peoples-mental-health-not-matching-demand-age-cymru-tells-welsh-government-consultations/" TargetMode="External"/><Relationship Id="rId164" Type="http://schemas.openxmlformats.org/officeDocument/2006/relationships/hyperlink" Target="https://www.nice.org.uk/guidance/cg192" TargetMode="External"/><Relationship Id="rId185" Type="http://schemas.openxmlformats.org/officeDocument/2006/relationships/hyperlink" Target="https://www.unitegroup.com/wp-content/uploads/2022/01/new-realists-insight-report-2019.pdf" TargetMode="External"/><Relationship Id="rId9" Type="http://schemas.openxmlformats.org/officeDocument/2006/relationships/hyperlink" Target="https://www.swansea.gov.uk/article/21533/Statistics-on-students-in-Swansea" TargetMode="External"/><Relationship Id="rId210" Type="http://schemas.openxmlformats.org/officeDocument/2006/relationships/hyperlink" Target="https://www.forward-assist.com/blog/2025/4/25/alone-after-service-addressing-the-crisis-of-isolation-among-uk-veterans-with-musculoskeletal-mobility-issues" TargetMode="External"/><Relationship Id="rId26" Type="http://schemas.openxmlformats.org/officeDocument/2006/relationships/hyperlink" Target="https://swansea.gov.uk/welshlanguagestatistics?lang=en" TargetMode="External"/><Relationship Id="rId231" Type="http://schemas.openxmlformats.org/officeDocument/2006/relationships/hyperlink" Target="https://phw.nhs.wales/services-and-teams/observatory/data-and-analysis/pcc-dashboard/" TargetMode="External"/><Relationship Id="rId252" Type="http://schemas.openxmlformats.org/officeDocument/2006/relationships/hyperlink" Target="https://www.ons.gov.uk/peoplepopulationandcommunity/populationandmigration/populationestimates/bulletins/populationestimatesforenglandandwales/mid2024" TargetMode="External"/><Relationship Id="rId273" Type="http://schemas.openxmlformats.org/officeDocument/2006/relationships/hyperlink" Target="https://stats.gov.wales/en-GB/f30cc8bc-8e97-449e-96a4-77b0400262d1" TargetMode="External"/><Relationship Id="rId294" Type="http://schemas.openxmlformats.org/officeDocument/2006/relationships/hyperlink" Target="https://www.infobasecymru.net/IAS/themes/healthandsocialcare/generalhealth/tabular?viewId=47&amp;geoId=1&amp;subsetId=" TargetMode="External"/><Relationship Id="rId308" Type="http://schemas.openxmlformats.org/officeDocument/2006/relationships/hyperlink" Target="https://www.ons.gov.uk/peoplepopulationandcommunity/healthandsocialcare/healthandlifeexpectancies/bulletins/healthstatelifeexpectanciesuk/between2011to2013and2022to2024" TargetMode="External"/><Relationship Id="rId329" Type="http://schemas.openxmlformats.org/officeDocument/2006/relationships/hyperlink" Target="https://stats.gov.wales/en-GB/da26395b-945e-4fad-b886-00cbb565a14a/filtered/462pkr1ryspe?page_size=100" TargetMode="External"/><Relationship Id="rId47" Type="http://schemas.openxmlformats.org/officeDocument/2006/relationships/hyperlink" Target="https://www.gov.wales/national-survey-wales-headline-results-april-2024-march-2025-html" TargetMode="External"/><Relationship Id="rId68" Type="http://schemas.openxmlformats.org/officeDocument/2006/relationships/hyperlink" Target="https://www.gov.wales/mid-year-estimates-population-2024-html" TargetMode="External"/><Relationship Id="rId89" Type="http://schemas.openxmlformats.org/officeDocument/2006/relationships/hyperlink" Target="https://www.ons.gov.uk/peoplepopulationandcommunity/populationandmigration/populationestimates/bulletins/populationestimatesforenglandandwales/mid2024" TargetMode="External"/><Relationship Id="rId112" Type="http://schemas.openxmlformats.org/officeDocument/2006/relationships/hyperlink" Target="https://phw.nhs.wales/services-and-teams/dental-public-health/dental-epidemiology-programme-for-wales/" TargetMode="External"/><Relationship Id="rId133" Type="http://schemas.openxmlformats.org/officeDocument/2006/relationships/hyperlink" Target="https://phw.nhs.wales/services-and-teams/screening/breast-screening/programme-reports/breast-test-wales-annual-statistical-report-2023-24/?ts=1777255944915" TargetMode="External"/><Relationship Id="rId154" Type="http://schemas.openxmlformats.org/officeDocument/2006/relationships/hyperlink" Target="https://publichealthnetwork.cymru/topic/smoking-and-vaping/" TargetMode="External"/><Relationship Id="rId175" Type="http://schemas.openxmlformats.org/officeDocument/2006/relationships/hyperlink" Target="https://www.gov.uk/guidance/culture-spirituality-and-religion" TargetMode="External"/><Relationship Id="rId340" Type="http://schemas.openxmlformats.org/officeDocument/2006/relationships/hyperlink" Target="https://phw.nhs.wales/services-and-teams/observatory/data-and-analysis/public-health-outcomes-framework/" TargetMode="External"/><Relationship Id="rId196" Type="http://schemas.openxmlformats.org/officeDocument/2006/relationships/hyperlink" Target="https://centrepoint.org.uk/what-we-do/health/" TargetMode="External"/><Relationship Id="rId200" Type="http://schemas.openxmlformats.org/officeDocument/2006/relationships/hyperlink" Target="https://www.ons.gov.uk/peoplepopulationandcommunity/culturalidentity/ethnicity/articles/gypsyoririshtravellerpopulationsenglandandwales/census2021" TargetMode="External"/><Relationship Id="rId16" Type="http://schemas.openxmlformats.org/officeDocument/2006/relationships/hyperlink" Target="https://www.nomisweb.co.uk/reports/lmp/lad/contents.aspx" TargetMode="External"/><Relationship Id="rId221" Type="http://schemas.openxmlformats.org/officeDocument/2006/relationships/hyperlink" Target="https://www.rpharms.com/wales/pharmacy-delivering-a-healthier-wales" TargetMode="External"/><Relationship Id="rId242" Type="http://schemas.openxmlformats.org/officeDocument/2006/relationships/hyperlink" Target="https://www.gov.wales/local-authority-population-projections-2022-based-html" TargetMode="External"/><Relationship Id="rId263" Type="http://schemas.openxmlformats.org/officeDocument/2006/relationships/hyperlink" Target="https://phw.nhs.wales/services-and-teams/observatory/data-and-analysis/pcc-dashboard/" TargetMode="External"/><Relationship Id="rId284" Type="http://schemas.openxmlformats.org/officeDocument/2006/relationships/hyperlink" Target="https://www.infobasecymru.net/IAS/themes/healthandsocialcare/generalhealth/tabular?viewId=2621&amp;geoId=1&amp;subsetId=" TargetMode="External"/><Relationship Id="rId319" Type="http://schemas.openxmlformats.org/officeDocument/2006/relationships/hyperlink" Target="https://nwssp.nhs.wales/ourservices/primary-care-services/general-information/data-and-publications/prescribing-data-extracts/gp-practice-analysis/" TargetMode="External"/><Relationship Id="rId37" Type="http://schemas.openxmlformats.org/officeDocument/2006/relationships/hyperlink" Target="https://www.ons.gov.uk/peoplepopulationandcommunity/birthsdeathsandmarriages/deaths/datasets/deathsregisteredinenglandandwalesseriesdrreferencetables" TargetMode="External"/><Relationship Id="rId58" Type="http://schemas.openxmlformats.org/officeDocument/2006/relationships/hyperlink" Target="https://www.gov.uk/government/publications/health-matters-combating-high-blood-pressure/health-matters-combating-high-blood-pressure" TargetMode="External"/><Relationship Id="rId79" Type="http://schemas.openxmlformats.org/officeDocument/2006/relationships/hyperlink" Target="https://www.infobasecymru.net/IAS/themes/healthandsocialcare/generalhealth/tabular?viewId=2621&amp;geoId=1&amp;subsetId=" TargetMode="External"/><Relationship Id="rId102" Type="http://schemas.openxmlformats.org/officeDocument/2006/relationships/hyperlink" Target="https://www.gov.wales/maternity-and-birth-statistics-2024-html" TargetMode="External"/><Relationship Id="rId123" Type="http://schemas.openxmlformats.org/officeDocument/2006/relationships/hyperlink" Target="https://publichealthwales.shinyapps.io/Cancer_Reporting_Tool_PHW/" TargetMode="External"/><Relationship Id="rId144" Type="http://schemas.openxmlformats.org/officeDocument/2006/relationships/hyperlink" Target="https://www.alzheimers.org.uk/sites/default/files/2025-03/Wales%20Dementia%20Action%20Plan%20ENGLISH.pdf" TargetMode="External"/><Relationship Id="rId330" Type="http://schemas.openxmlformats.org/officeDocument/2006/relationships/hyperlink" Target="https://stats.gov.wales/en-GB/da26395b-945e-4fad-b886-00cbb565a14a/filtered/462pkr1ryspe?page_size=100" TargetMode="External"/><Relationship Id="rId90" Type="http://schemas.openxmlformats.org/officeDocument/2006/relationships/hyperlink" Target="https://www.gov.wales/mid-year-estimates-population-2024-html" TargetMode="External"/><Relationship Id="rId165" Type="http://schemas.openxmlformats.org/officeDocument/2006/relationships/hyperlink" Target="https://rcm.org.uk/wp-content/uploads/2025/10/RCM0208_Strengthening_perinatal_mental_health.pdf" TargetMode="External"/><Relationship Id="rId186" Type="http://schemas.openxmlformats.org/officeDocument/2006/relationships/hyperlink" Target="https://vocal.media/education/health-and-wellbeing-services-for-students-in-uk-universities" TargetMode="External"/><Relationship Id="rId211" Type="http://schemas.openxmlformats.org/officeDocument/2006/relationships/hyperlink" Target="https://kcmhr.org/pdf/Phase_4_Health_and_Wellbeing_Cohort_Study_Report.pdf" TargetMode="External"/><Relationship Id="rId232" Type="http://schemas.openxmlformats.org/officeDocument/2006/relationships/hyperlink" Target="https://stats.gov.wales/en-GB/da26395b-945e-4fad-b886-00cbb565a14a/filtered/462pkr1ryspe?page_size=100" TargetMode="External"/><Relationship Id="rId253" Type="http://schemas.openxmlformats.org/officeDocument/2006/relationships/hyperlink" Target="https://www.gov.wales/mid-year-estimates-population-2024-html" TargetMode="External"/><Relationship Id="rId274" Type="http://schemas.openxmlformats.org/officeDocument/2006/relationships/hyperlink" Target="https://stats.gov.wales/en-GB/f30cc8bc-8e97-449e-96a4-77b0400262d1" TargetMode="External"/><Relationship Id="rId295" Type="http://schemas.openxmlformats.org/officeDocument/2006/relationships/hyperlink" Target="https://www.gov.wales/welsh-index-multiple-deprivation-wimd-2025-results-report-overall-index-html" TargetMode="External"/><Relationship Id="rId309" Type="http://schemas.openxmlformats.org/officeDocument/2006/relationships/hyperlink" Target="https://phw.nhs.wales/services-and-teams/observatory/data-and-analysis/public-health-outcomes-framework/" TargetMode="External"/><Relationship Id="rId27" Type="http://schemas.openxmlformats.org/officeDocument/2006/relationships/hyperlink" Target="https://www.npt.gov.uk/planning-and-building-control/planning-policy/supplementary-guidance/" TargetMode="External"/><Relationship Id="rId48" Type="http://schemas.openxmlformats.org/officeDocument/2006/relationships/hyperlink" Target="https://www.gov.wales/wellbeing-wales-2025-wales-cohesive-communities-html" TargetMode="External"/><Relationship Id="rId69" Type="http://schemas.openxmlformats.org/officeDocument/2006/relationships/hyperlink" Target="https://pubmed.ncbi.nlm.nih.gov/15213107/" TargetMode="External"/><Relationship Id="rId113" Type="http://schemas.openxmlformats.org/officeDocument/2006/relationships/hyperlink" Target="https://rcm.org.uk/wp-content/uploads/2024/06/0246_wales_som_digital.pdf" TargetMode="External"/><Relationship Id="rId134" Type="http://schemas.openxmlformats.org/officeDocument/2006/relationships/hyperlink" Target="https://phw.nhs.wales/topics/immunisation-and-vaccines/cover-national-childhood-immunisation-uptake-data/uptake-reports-at-health-board-level/cover-157-sbuhb-cover-charts/?ts=1777264598118" TargetMode="External"/><Relationship Id="rId320" Type="http://schemas.openxmlformats.org/officeDocument/2006/relationships/hyperlink" Target="https://www.ons.gov.uk/visualisations/censusareachanges/W06000012/" TargetMode="External"/><Relationship Id="rId80" Type="http://schemas.openxmlformats.org/officeDocument/2006/relationships/hyperlink" Target="https://www.ons.gov.uk/peoplepopulationandcommunity/populationandmigration/populationestimates/bulletins/populationestimatesforenglandandwales/mid2024" TargetMode="External"/><Relationship Id="rId155" Type="http://schemas.openxmlformats.org/officeDocument/2006/relationships/hyperlink" Target="https://www.childrenssociety.org.uk/what-we-do/our-work/well-being/mental-health-statistics" TargetMode="External"/><Relationship Id="rId176" Type="http://schemas.openxmlformats.org/officeDocument/2006/relationships/hyperlink" Target="https://view.officeapps.live.com/op/view.aspx?src=https%3A%2F%2Fsbuhb.nhs.wales%2Ffiles%2Fmortality-information%2Fsbu-mortality-december-2025-final-docx%2F&amp;wdOrigin=BROWSELINK" TargetMode="External"/><Relationship Id="rId197" Type="http://schemas.openxmlformats.org/officeDocument/2006/relationships/hyperlink" Target="https://homeless.org.uk/knowledge-hub/unhealthy-state-of-homelessness-2022-findings-from-the-homeless-health-needs-audit/" TargetMode="External"/><Relationship Id="rId341" Type="http://schemas.openxmlformats.org/officeDocument/2006/relationships/hyperlink" Target="https://www.infobasecymru.net/IAS/themes/healthandsocialcare/generalhealth/tabular?viewId=47&amp;geoId=1&amp;subsetId=" TargetMode="External"/><Relationship Id="rId201" Type="http://schemas.openxmlformats.org/officeDocument/2006/relationships/hyperlink" Target="https://doncaster.moderngov.co.uk/ieListDocuments.aspx?CId=149&amp;MId=4299" TargetMode="External"/><Relationship Id="rId222" Type="http://schemas.openxmlformats.org/officeDocument/2006/relationships/hyperlink" Target="https://nwssp.nhs.wales/ourservices/primary-care-services/general-information/data-and-publications/prescribing-data-extracts/gp-practice-analysis/" TargetMode="External"/><Relationship Id="rId243" Type="http://schemas.openxmlformats.org/officeDocument/2006/relationships/hyperlink" Target="https://www.ons.gov.uk/peoplepopulationandcommunity/healthandsocialcare/healthandlifeexpectancies/bulletins/healthstatelifeexpectanciesuk/between2011to2013and2022to2024" TargetMode="External"/><Relationship Id="rId264" Type="http://schemas.openxmlformats.org/officeDocument/2006/relationships/hyperlink" Target="https://stats.gov.wales/en-GB/da26395b-945e-4fad-b886-00cbb565a14a/filtered/462pkr1ryspe?page_size=100" TargetMode="External"/><Relationship Id="rId285" Type="http://schemas.openxmlformats.org/officeDocument/2006/relationships/hyperlink" Target="https://www.ons.gov.uk/peoplepopulationandcommunity/populationandmigration/populationestimates/bulletins/populationestimatesforenglandandwales/mid2024" TargetMode="External"/><Relationship Id="rId17" Type="http://schemas.openxmlformats.org/officeDocument/2006/relationships/hyperlink" Target="https://stats.gov.wales/en-GB/036507d7-6671-4885-b2b4-af7f01e9ed5b" TargetMode="External"/><Relationship Id="rId38" Type="http://schemas.openxmlformats.org/officeDocument/2006/relationships/hyperlink" Target="https://www.ons.gov.uk/peoplepopulationandcommunity/healthandsocialcare/causesofdeath/datasets/avoidablemortalitybyclinicalcommissioninggroupsinenglandandhealthboardsinwales" TargetMode="External"/><Relationship Id="rId59" Type="http://schemas.openxmlformats.org/officeDocument/2006/relationships/hyperlink" Target="https://stats.gov.wales/en-GB/da26395b-945e-4fad-b886-00cbb565a14a/filtered/462pkr1ryspe?page_size=100" TargetMode="External"/><Relationship Id="rId103" Type="http://schemas.openxmlformats.org/officeDocument/2006/relationships/hyperlink" Target="https://www2.nphs.wales.nhs.uk/ChildrenMatFamiliesDocs.nsf/($all)/04BBEF464FB5969F80257D490044B09E/$file/Low%20Birth%20Weight%20summary%20v1.pdf?OpenElement" TargetMode="External"/><Relationship Id="rId124" Type="http://schemas.openxmlformats.org/officeDocument/2006/relationships/hyperlink" Target="https://publichealthwales.shinyapps.io/Cancer_Reporting_Tool_PHW/" TargetMode="External"/><Relationship Id="rId310" Type="http://schemas.openxmlformats.org/officeDocument/2006/relationships/hyperlink" Target="https://www.infobasecymru.net/IAS/themes/healthandsocialcare/generalhealth/tabular?viewId=47&amp;geoId=1&amp;subsetId=" TargetMode="External"/><Relationship Id="rId70" Type="http://schemas.openxmlformats.org/officeDocument/2006/relationships/hyperlink" Target="https://www.who.int/en/news-room/fact-sheets/detail/tobacco" TargetMode="External"/><Relationship Id="rId91" Type="http://schemas.openxmlformats.org/officeDocument/2006/relationships/hyperlink" Target="https://www.infobasecymru.net/IAS/themes/healthandsocialcare/generalhealth/tabular?viewId=2621&amp;geoId=1&amp;subsetId=" TargetMode="External"/><Relationship Id="rId145" Type="http://schemas.openxmlformats.org/officeDocument/2006/relationships/hyperlink" Target="https://www.gov.wales/dementia-action-plan-2018-2022" TargetMode="External"/><Relationship Id="rId166" Type="http://schemas.openxmlformats.org/officeDocument/2006/relationships/hyperlink" Target="https://ihv.org.uk/news-and-views/voices/supporting-perinatal-mental-health-through-the-power-of-reading/" TargetMode="External"/><Relationship Id="rId187" Type="http://schemas.openxmlformats.org/officeDocument/2006/relationships/hyperlink" Target="https://taso.org.uk/libraryitem/report-student-mental-health-in-2024-how-the-situation-is-changing-for-lgbtq-students/" TargetMode="External"/><Relationship Id="rId331" Type="http://schemas.openxmlformats.org/officeDocument/2006/relationships/hyperlink" Target="https://www.infobasecymru.net/IAS/themes/healthandsocialcare/generalhealth/tabular?viewId=2621&amp;geoId=1&amp;subsetId=" TargetMode="External"/><Relationship Id="rId1" Type="http://schemas.openxmlformats.org/officeDocument/2006/relationships/hyperlink" Target="https://www.ons.gov.uk/visualisations/censuspopulationchange/W06000011/" TargetMode="External"/><Relationship Id="rId212" Type="http://schemas.openxmlformats.org/officeDocument/2006/relationships/hyperlink" Target="https://www.ons.gov.uk/peoplepopulationandcommunity/healthandsocialcare/healthandwellbeing/bulletins/suicidesinukarmedforcesveteransenglandandwales/2021" TargetMode="External"/><Relationship Id="rId233" Type="http://schemas.openxmlformats.org/officeDocument/2006/relationships/hyperlink" Target="https://stats.gov.wales/en-GB/da26395b-945e-4fad-b886-00cbb565a14a/filtered/462pkr1ryspe?page_size=100" TargetMode="External"/><Relationship Id="rId254" Type="http://schemas.openxmlformats.org/officeDocument/2006/relationships/hyperlink" Target="https://nwssp.nhs.wales/ourservices/primary-care-services/general-information/data-and-publications/prescribing-data-extracts/gp-practice-analysis/" TargetMode="External"/><Relationship Id="rId28" Type="http://schemas.openxmlformats.org/officeDocument/2006/relationships/hyperlink" Target="https://www.gov.wales/welsh-index-multiple-deprivation-wimd-2025-guidance-html" TargetMode="External"/><Relationship Id="rId49" Type="http://schemas.openxmlformats.org/officeDocument/2006/relationships/hyperlink" Target="https://www.gov.wales/sites/default/files/publications/2025-04/understanding-suicide-prevention-self-harm-strategy.pdf" TargetMode="External"/><Relationship Id="rId114" Type="http://schemas.openxmlformats.org/officeDocument/2006/relationships/hyperlink" Target="https://www.ons.gov.uk/peoplepopulationandcommunity/birthsdeathsandmarriages/conceptionandfertilityrates/datasets/conceptionstatisticsenglandandwalesreferencetables" TargetMode="External"/><Relationship Id="rId275" Type="http://schemas.openxmlformats.org/officeDocument/2006/relationships/hyperlink" Target="https://www.gov.wales/local-authority-population-projections-2022-based-html" TargetMode="External"/><Relationship Id="rId296" Type="http://schemas.openxmlformats.org/officeDocument/2006/relationships/hyperlink" Target="https://phw.nhs.wales/services-and-teams/observatory/data-and-analysis/pcc-dashboard/" TargetMode="External"/><Relationship Id="rId300" Type="http://schemas.openxmlformats.org/officeDocument/2006/relationships/hyperlink" Target="https://www.infobasecymru.net/IAS/themes/healthandsocialcare/generalhealth/tabular?viewId=2621&amp;geoId=1&amp;subsetId=" TargetMode="External"/><Relationship Id="rId60" Type="http://schemas.openxmlformats.org/officeDocument/2006/relationships/hyperlink" Target="https://phw.nhs.wales/services-and-teams/observatory/data-and-analysis/cardiovascular-disease-prevalence-trends-risk-factors-and-10-year-projections/" TargetMode="External"/><Relationship Id="rId81" Type="http://schemas.openxmlformats.org/officeDocument/2006/relationships/hyperlink" Target="https://www.ons.gov.uk/peoplepopulationandcommunity/populationandmigration/populationestimates/bulletins/populationestimatesforenglandandwales/mid2024" TargetMode="External"/><Relationship Id="rId135" Type="http://schemas.openxmlformats.org/officeDocument/2006/relationships/hyperlink" Target="https://phw.nhs.wales/topics/immunisation-and-vaccines/cover-national-childhood-immunisation-uptake-data/cover-archive-folder/annual-reports/annual-cover-report-202425/" TargetMode="External"/><Relationship Id="rId156" Type="http://schemas.openxmlformats.org/officeDocument/2006/relationships/hyperlink" Target="https://orca.cardiff.ac.uk/id/eprint/160640/1/Pre_print_REM_0005_Forecasted%20prevalence%20and%20incidence%20of%20long-term%20conditions_June%202023.pdf" TargetMode="External"/><Relationship Id="rId177" Type="http://schemas.openxmlformats.org/officeDocument/2006/relationships/hyperlink" Target="http://webarchive.nationalarchives.gov.uk/20130105061352/http:/www.dh.gov.uk/prod_consum_dh/groups/dh_digitalassets/documents/digitalasset/dh_101094.pdf" TargetMode="External"/><Relationship Id="rId198" Type="http://schemas.openxmlformats.org/officeDocument/2006/relationships/hyperlink" Target="https://groundswell.org.uk/our-approach-to-research/peer-research/healthy-mouths/" TargetMode="External"/><Relationship Id="rId321" Type="http://schemas.openxmlformats.org/officeDocument/2006/relationships/hyperlink" Target="https://www.gov.wales/local-authority-population-projections-2022-based-html" TargetMode="External"/><Relationship Id="rId342" Type="http://schemas.openxmlformats.org/officeDocument/2006/relationships/hyperlink" Target="https://www.gov.wales/welsh-index-multiple-deprivation-wimd-2025-results-report-overall-index-html" TargetMode="External"/><Relationship Id="rId202" Type="http://schemas.openxmlformats.org/officeDocument/2006/relationships/hyperlink" Target="https://raceequalityfoundation.org.uk/press-release/evens-survey-research-on-racism-and-ethnic-inequalities-published/" TargetMode="External"/><Relationship Id="rId223" Type="http://schemas.openxmlformats.org/officeDocument/2006/relationships/hyperlink" Target="https://www.ons.gov.uk/visualisations/censusareachanges/W06000011/" TargetMode="External"/><Relationship Id="rId244" Type="http://schemas.openxmlformats.org/officeDocument/2006/relationships/hyperlink" Target="https://phw.nhs.wales/services-and-teams/observatory/data-and-analysis/public-health-outcomes-framework/" TargetMode="External"/><Relationship Id="rId18" Type="http://schemas.openxmlformats.org/officeDocument/2006/relationships/hyperlink" Target="https://www.ons.gov.uk/methodology/geography/geographicalproducts/ruralurbanclassifications/2021ruralurbanclassification" TargetMode="External"/><Relationship Id="rId39" Type="http://schemas.openxmlformats.org/officeDocument/2006/relationships/hyperlink" Target="https://www.ons.gov.uk/peoplepopulationandcommunity/healthandsocialcare/healthandwellbeing/bulletins/disabilityenglandandwales/census2021" TargetMode="External"/><Relationship Id="rId265" Type="http://schemas.openxmlformats.org/officeDocument/2006/relationships/hyperlink" Target="https://stats.gov.wales/en-GB/da26395b-945e-4fad-b886-00cbb565a14a/filtered/462pkr1ryspe?page_size=100" TargetMode="External"/><Relationship Id="rId286" Type="http://schemas.openxmlformats.org/officeDocument/2006/relationships/hyperlink" Target="https://www.gov.wales/mid-year-estimates-population-2024-html" TargetMode="External"/><Relationship Id="rId50" Type="http://schemas.openxmlformats.org/officeDocument/2006/relationships/hyperlink" Target="https://www.gov.wales/sites/default/files/publications/2026-04/the-mental-health-and-wellbeing-strategy-2025-to-2035.pdf" TargetMode="External"/><Relationship Id="rId104" Type="http://schemas.openxmlformats.org/officeDocument/2006/relationships/hyperlink" Target="https://publichealthwales.shinyapps.io/PHOF_Dashboard_Eng/" TargetMode="External"/><Relationship Id="rId125" Type="http://schemas.openxmlformats.org/officeDocument/2006/relationships/hyperlink" Target="https://publichealthwales.shinyapps.io/Cancer_Reporting_Tool_PHW/" TargetMode="External"/><Relationship Id="rId146" Type="http://schemas.openxmlformats.org/officeDocument/2006/relationships/hyperlink" Target="https://healthandcareresearchwales.org/withoutresearch/news/research-older-people-vision-impairment-support" TargetMode="External"/><Relationship Id="rId167" Type="http://schemas.openxmlformats.org/officeDocument/2006/relationships/hyperlink" Target="https://www.gov.wales/maternity-and-birth-statistics-2023-html" TargetMode="External"/><Relationship Id="rId188" Type="http://schemas.openxmlformats.org/officeDocument/2006/relationships/hyperlink" Target="https://cdn.websitebuilder.service.justice.gov.uk/uploads/sites/13/2024/11/Swansea-IMB-2022-2023-annual-report.pdf" TargetMode="External"/><Relationship Id="rId311" Type="http://schemas.openxmlformats.org/officeDocument/2006/relationships/hyperlink" Target="https://www.gov.wales/welsh-index-multiple-deprivation-wimd-2025-results-report-overall-index-html" TargetMode="External"/><Relationship Id="rId332" Type="http://schemas.openxmlformats.org/officeDocument/2006/relationships/hyperlink" Target="https://www.ons.gov.uk/peoplepopulationandcommunity/populationandmigration/populationestimates/bulletins/populationestimatesforenglandandwales/mid2024" TargetMode="External"/><Relationship Id="rId71" Type="http://schemas.openxmlformats.org/officeDocument/2006/relationships/hyperlink" Target="https://phw.nhs.wales/news/over-10-percent-of-deaths-in-wales-due-to-smoking/" TargetMode="External"/><Relationship Id="rId92" Type="http://schemas.openxmlformats.org/officeDocument/2006/relationships/hyperlink" Target="https://stats.gov.wales/en-GB/da26395b-945e-4fad-b886-00cbb565a14a/filtered/462pkr1ryspe?page_size=100" TargetMode="External"/><Relationship Id="rId213" Type="http://schemas.openxmlformats.org/officeDocument/2006/relationships/hyperlink" Target="https://journals.plos.org/plosmedicine/article?id=10.1371/journal.pmed.1004273" TargetMode="External"/><Relationship Id="rId234" Type="http://schemas.openxmlformats.org/officeDocument/2006/relationships/hyperlink" Target="https://stats.gov.wales/en-GB/da26395b-945e-4fad-b886-00cbb565a14a/filtered/462pkr1ryspe?page_size=100" TargetMode="External"/><Relationship Id="rId2" Type="http://schemas.openxmlformats.org/officeDocument/2006/relationships/hyperlink" Target="https://www.swansea.gov.uk/keyfacts" TargetMode="External"/><Relationship Id="rId29" Type="http://schemas.openxmlformats.org/officeDocument/2006/relationships/hyperlink" Target="https://www.gov.wales/welsh-index-multiple-deprivation-wimd-2025-results-report-overall-index-html" TargetMode="External"/><Relationship Id="rId255" Type="http://schemas.openxmlformats.org/officeDocument/2006/relationships/hyperlink" Target="https://www.ons.gov.uk/visualisations/censusareachanges/W06000011/" TargetMode="External"/><Relationship Id="rId276" Type="http://schemas.openxmlformats.org/officeDocument/2006/relationships/hyperlink" Target="https://www.ons.gov.uk/peoplepopulationandcommunity/healthandsocialcare/healthandlifeexpectancies/bulletins/healthstatelifeexpectanciesuk/between2011to2013and2022to2024" TargetMode="External"/><Relationship Id="rId297" Type="http://schemas.openxmlformats.org/officeDocument/2006/relationships/hyperlink" Target="https://stats.gov.wales/en-GB/da26395b-945e-4fad-b886-00cbb565a14a/filtered/462pkr1ryspe?page_size=100" TargetMode="External"/><Relationship Id="rId40" Type="http://schemas.openxmlformats.org/officeDocument/2006/relationships/hyperlink" Target="https://www.ons.gov.uk/peoplepopulationandcommunity/culturalidentity/sexuality/bulletins/sexualidentityuk/2024" TargetMode="External"/><Relationship Id="rId115" Type="http://schemas.openxmlformats.org/officeDocument/2006/relationships/hyperlink" Target="https://phw.nhs.wales/publications/publications1/sexual-health-trends-in-wales-annual-report-2024/" TargetMode="External"/><Relationship Id="rId136" Type="http://schemas.openxmlformats.org/officeDocument/2006/relationships/hyperlink" Target="https://phw.nhs.wales/topics/immunisation-and-vaccines/fluvaccine/annual-influenza-surveillance-and-influenza-vaccination-uptake-reports/" TargetMode="External"/><Relationship Id="rId157" Type="http://schemas.openxmlformats.org/officeDocument/2006/relationships/hyperlink" Target="https://www.who.int/news-room/fact-sheets/detail/disability-and-health" TargetMode="External"/><Relationship Id="rId178" Type="http://schemas.openxmlformats.org/officeDocument/2006/relationships/hyperlink" Target="https://ncrn.uk/wp-content/uploads/2025/11/bhf-cvd-statistics-wales-factsheet.pdf" TargetMode="External"/><Relationship Id="rId301" Type="http://schemas.openxmlformats.org/officeDocument/2006/relationships/hyperlink" Target="https://www.ons.gov.uk/peoplepopulationandcommunity/populationandmigration/populationestimates/bulletins/populationestimatesforenglandandwales/mid2024" TargetMode="External"/><Relationship Id="rId322" Type="http://schemas.openxmlformats.org/officeDocument/2006/relationships/hyperlink" Target="https://www.gov.wales/local-authority-population-projections-2022-based-html" TargetMode="External"/><Relationship Id="rId343" Type="http://schemas.openxmlformats.org/officeDocument/2006/relationships/hyperlink" Target="https://phw.nhs.wales/services-and-teams/observatory/data-and-analysis/pcc-dashboard/" TargetMode="External"/><Relationship Id="rId61" Type="http://schemas.openxmlformats.org/officeDocument/2006/relationships/hyperlink" Target="https://stats.gov.wales/en-GB/da26395b-945e-4fad-b886-00cbb565a14a/filtered/462pkr1ryspe?page_size=100" TargetMode="External"/><Relationship Id="rId82" Type="http://schemas.openxmlformats.org/officeDocument/2006/relationships/hyperlink" Target="https://www.gov.wales/mid-year-estimates-population-2024-html" TargetMode="External"/><Relationship Id="rId199" Type="http://schemas.openxmlformats.org/officeDocument/2006/relationships/hyperlink" Target="https://gov.wales/sites/default/files/publications/2019-04/travelling-to-better-health.pdf" TargetMode="External"/><Relationship Id="rId203" Type="http://schemas.openxmlformats.org/officeDocument/2006/relationships/hyperlink" Target="https://www.gov.wales/sites/default/files/publications/2019-03/health-and-wellbeing-provision-for-refugees-and-asylum-seekers_0.pdf" TargetMode="External"/><Relationship Id="rId19" Type="http://schemas.openxmlformats.org/officeDocument/2006/relationships/hyperlink" Target="https://www.healthmapswales.wales.nhs.uk/" TargetMode="External"/><Relationship Id="rId224" Type="http://schemas.openxmlformats.org/officeDocument/2006/relationships/hyperlink" Target="https://www.gov.wales/local-authority-population-projections-2022-based-html" TargetMode="External"/><Relationship Id="rId245" Type="http://schemas.openxmlformats.org/officeDocument/2006/relationships/hyperlink" Target="https://www.infobasecymru.net/IAS/themes/healthandsocialcare/generalhealth/tabular?viewId=47&amp;geoId=1&amp;subsetId=" TargetMode="External"/><Relationship Id="rId266" Type="http://schemas.openxmlformats.org/officeDocument/2006/relationships/hyperlink" Target="https://stats.gov.wales/en-GB/da26395b-945e-4fad-b886-00cbb565a14a/filtered/462pkr1ryspe?page_size=100" TargetMode="External"/><Relationship Id="rId287" Type="http://schemas.openxmlformats.org/officeDocument/2006/relationships/hyperlink" Target="https://nwssp.nhs.wales/ourservices/primary-care-services/general-information/data-and-publications/prescribing-data-extracts/gp-practice-analysis/" TargetMode="External"/><Relationship Id="rId30" Type="http://schemas.openxmlformats.org/officeDocument/2006/relationships/hyperlink" Target="https://www.gov.wales/welsh-index-multiple-deprivation-wimd-2025-results-report-overall-index-html" TargetMode="External"/><Relationship Id="rId105" Type="http://schemas.openxmlformats.org/officeDocument/2006/relationships/hyperlink" Target="https://stats.gov.wales/en-GB/8018695d-ce80-4bf8-99f0-2a76552dc048/filtered/fmuaj7ewtxhl?page_size=25" TargetMode="External"/><Relationship Id="rId126" Type="http://schemas.openxmlformats.org/officeDocument/2006/relationships/hyperlink" Target="https://stats.gov.wales/en-GB/da26395b-945e-4fad-b886-00cbb565a14a/filtered/462pkr1ryspe?page_size=100" TargetMode="External"/><Relationship Id="rId147" Type="http://schemas.openxmlformats.org/officeDocument/2006/relationships/hyperlink" Target="https://healthandcareresearchwales.org/researchers/our-funded-projects/ASSIST" TargetMode="External"/><Relationship Id="rId168" Type="http://schemas.openxmlformats.org/officeDocument/2006/relationships/hyperlink" Target="https://www.gov.wales/maternity-and-birth-statistics-2023-html" TargetMode="External"/><Relationship Id="rId312" Type="http://schemas.openxmlformats.org/officeDocument/2006/relationships/hyperlink" Target="https://phw.nhs.wales/services-and-teams/observatory/data-and-analysis/pcc-dashboard/" TargetMode="External"/><Relationship Id="rId333" Type="http://schemas.openxmlformats.org/officeDocument/2006/relationships/hyperlink" Target="https://www.gov.wales/mid-year-estimates-population-2024-html" TargetMode="External"/><Relationship Id="rId51" Type="http://schemas.openxmlformats.org/officeDocument/2006/relationships/hyperlink" Target="https://www.gov.wales/sites/default/files/publications/2025-04/suicide-prevention-self-harm-strategy-delivery-plan-2025-2028.pdf" TargetMode="External"/><Relationship Id="rId72" Type="http://schemas.openxmlformats.org/officeDocument/2006/relationships/hyperlink" Target="https://phw.nhs.wales/news/over-10-percent-of-deaths-in-wales-due-to-smoking/" TargetMode="External"/><Relationship Id="rId93" Type="http://schemas.openxmlformats.org/officeDocument/2006/relationships/hyperlink" Target="https://stats.gov.wales/en-GB/da26395b-945e-4fad-b886-00cbb565a14a/filtered/462pkr1ryspe?page_size=100" TargetMode="External"/><Relationship Id="rId189" Type="http://schemas.openxmlformats.org/officeDocument/2006/relationships/hyperlink" Target="https://phw.nhs.wales/topics/prison-health-in-wales/hsp09-public-health-wales/" TargetMode="External"/><Relationship Id="rId3" Type="http://schemas.openxmlformats.org/officeDocument/2006/relationships/hyperlink" Target="https://www.swansea.gov.uk/conservationareas" TargetMode="External"/><Relationship Id="rId214" Type="http://schemas.openxmlformats.org/officeDocument/2006/relationships/hyperlink" Target="https://media.samaritans.org/documents/Veterans_and_Armed_Forces_policy_position_April_2024.pdf" TargetMode="External"/><Relationship Id="rId235" Type="http://schemas.openxmlformats.org/officeDocument/2006/relationships/hyperlink" Target="https://www.infobasecymru.net/IAS/themes/healthandsocialcare/generalhealth/tabular?viewId=2621&amp;geoId=1&amp;subsetId=" TargetMode="External"/><Relationship Id="rId256" Type="http://schemas.openxmlformats.org/officeDocument/2006/relationships/hyperlink" Target="https://www.gov.wales/local-authority-population-projections-2022-based-html" TargetMode="External"/><Relationship Id="rId277" Type="http://schemas.openxmlformats.org/officeDocument/2006/relationships/hyperlink" Target="https://phw.nhs.wales/services-and-teams/observatory/data-and-analysis/public-health-outcomes-framework/" TargetMode="External"/><Relationship Id="rId298" Type="http://schemas.openxmlformats.org/officeDocument/2006/relationships/hyperlink" Target="https://stats.gov.wales/en-GB/da26395b-945e-4fad-b886-00cbb565a14a/filtered/462pkr1ryspe?page_size=100" TargetMode="External"/><Relationship Id="rId116" Type="http://schemas.openxmlformats.org/officeDocument/2006/relationships/hyperlink" Target="https://phw.nhs.wales/news/sti-cases-climb-in-wales-increases-in-gonorrhea-and-syphilis-reported/" TargetMode="External"/><Relationship Id="rId137" Type="http://schemas.openxmlformats.org/officeDocument/2006/relationships/hyperlink" Target="https://www.ons.gov.uk/visualisations/censusareachanges/W06000011" TargetMode="External"/><Relationship Id="rId158" Type="http://schemas.openxmlformats.org/officeDocument/2006/relationships/hyperlink" Target="https://statswales.gov.wales/Catalogue/National-Survey-for-Wales/Population-Health/Adult-general-health-and-illness/generalhealthillness-by-healthboard" TargetMode="External"/><Relationship Id="rId302" Type="http://schemas.openxmlformats.org/officeDocument/2006/relationships/hyperlink" Target="https://www.gov.wales/mid-year-estimates-population-2024-html" TargetMode="External"/><Relationship Id="rId323" Type="http://schemas.openxmlformats.org/officeDocument/2006/relationships/hyperlink" Target="https://www.ons.gov.uk/peoplepopulationandcommunity/healthandsocialcare/healthandlifeexpectancies/bulletins/healthstatelifeexpectanciesuk/between2011to2013and2022to2024" TargetMode="External"/><Relationship Id="rId344" Type="http://schemas.openxmlformats.org/officeDocument/2006/relationships/hyperlink" Target="https://stats.gov.wales/en-GB/da26395b-945e-4fad-b886-00cbb565a14a/filtered/462pkr1ryspe?page_size=100" TargetMode="External"/><Relationship Id="rId20" Type="http://schemas.openxmlformats.org/officeDocument/2006/relationships/hyperlink" Target="https://www.swansea.gov.uk/geography" TargetMode="External"/><Relationship Id="rId41" Type="http://schemas.openxmlformats.org/officeDocument/2006/relationships/hyperlink" Target="https://www.nomisweb.co.uk/" TargetMode="External"/><Relationship Id="rId62" Type="http://schemas.openxmlformats.org/officeDocument/2006/relationships/hyperlink" Target="https://phw.nhs.wales/services-and-teams/observatory/data-and-analysis/a-summary-of-trends-in-risk-factors-for-non-communicable-diseases/" TargetMode="External"/><Relationship Id="rId83" Type="http://schemas.openxmlformats.org/officeDocument/2006/relationships/hyperlink" Target="https://phw.nhs.wales/news/new-vaping-regulations-welcomed-as-vape-use-rises-among-young-people/vaping-amongst-children-and-young-people-in-wales-in-2023/" TargetMode="External"/><Relationship Id="rId179" Type="http://schemas.openxmlformats.org/officeDocument/2006/relationships/hyperlink" Target="https://www.chemist-4-u.com/guides/weight-loss/obesity-statistics/" TargetMode="External"/><Relationship Id="rId190" Type="http://schemas.openxmlformats.org/officeDocument/2006/relationships/hyperlink" Target="https://www.gov.wales/dental-care-vulnerable-people-wales-position-statement-html" TargetMode="External"/><Relationship Id="rId204" Type="http://schemas.openxmlformats.org/officeDocument/2006/relationships/hyperlink" Target="https://gov.wales/sites/default/files/publications/2019-03/nation-of-sanctuary-refugee-and-asylum-seeker-plan_0.pdf" TargetMode="External"/><Relationship Id="rId225" Type="http://schemas.openxmlformats.org/officeDocument/2006/relationships/hyperlink" Target="https://stats.gov.wales/en-GB/f30cc8bc-8e97-449e-96a4-77b0400262d1" TargetMode="External"/><Relationship Id="rId246" Type="http://schemas.openxmlformats.org/officeDocument/2006/relationships/hyperlink" Target="https://www.gov.wales/welsh-index-multiple-deprivation-wimd-2025-results-report-overall-index-html" TargetMode="External"/><Relationship Id="rId267" Type="http://schemas.openxmlformats.org/officeDocument/2006/relationships/hyperlink" Target="https://www.infobasecymru.net/IAS/themes/healthandsocialcare/generalhealth/tabular?viewId=2621&amp;geoId=1&amp;subsetId=" TargetMode="External"/><Relationship Id="rId288" Type="http://schemas.openxmlformats.org/officeDocument/2006/relationships/hyperlink" Target="https://www.ons.gov.uk/visualisations/censusareachanges/W06000011/" TargetMode="External"/><Relationship Id="rId106" Type="http://schemas.openxmlformats.org/officeDocument/2006/relationships/hyperlink" Target="https://www.gov.wales/sites/default/files/publications/2024-01/child-poverty-strategy-for-wales-2024.pdf" TargetMode="External"/><Relationship Id="rId127" Type="http://schemas.openxmlformats.org/officeDocument/2006/relationships/hyperlink" Target="https://app.powerbi.com/view?r=eyJrIjoiZTRiN2UyMDMtNjFjZi00MTJiLWFiYTgtMjE0MTI1ZTk5ODc4IiwidCI6ImJiNTYyOGI4LWUzMjgtNDA4Mi1hODU2LTQzM2M5ZWRjOGZhZSJ9" TargetMode="External"/><Relationship Id="rId313" Type="http://schemas.openxmlformats.org/officeDocument/2006/relationships/hyperlink" Target="https://stats.gov.wales/en-GB/da26395b-945e-4fad-b886-00cbb565a14a/filtered/462pkr1ryspe?page_size=100" TargetMode="External"/><Relationship Id="rId10" Type="http://schemas.openxmlformats.org/officeDocument/2006/relationships/hyperlink" Target="file:///C:\Users\sarah\Downloads\DMP_Dec_2025_-_ENG.pdf" TargetMode="External"/><Relationship Id="rId31" Type="http://schemas.openxmlformats.org/officeDocument/2006/relationships/hyperlink" Target="https://www.gov.uk/government/statistics/births-in-england-and-wales-summary-tables" TargetMode="External"/><Relationship Id="rId52" Type="http://schemas.openxmlformats.org/officeDocument/2006/relationships/hyperlink" Target="https://publichealthwales.shinyapps.io/PHOF_Dashboard_Eng/" TargetMode="External"/><Relationship Id="rId73" Type="http://schemas.openxmlformats.org/officeDocument/2006/relationships/hyperlink" Target="https://www.nhs.uk/common-health-questions/lifestyle/what-are-the-health-risks-of-smoking/" TargetMode="External"/><Relationship Id="rId94" Type="http://schemas.openxmlformats.org/officeDocument/2006/relationships/hyperlink" Target="https://phw.nhs.wales/topics/alcohol/" TargetMode="External"/><Relationship Id="rId148" Type="http://schemas.openxmlformats.org/officeDocument/2006/relationships/hyperlink" Target="https://phw.nhs.wales/topics/the-first-1000-days-programme/" TargetMode="External"/><Relationship Id="rId169" Type="http://schemas.openxmlformats.org/officeDocument/2006/relationships/hyperlink" Target="https://www.rcog.org.uk/for-the-public/browse-our-patient-information/alcohol-and-pregnancy/" TargetMode="External"/><Relationship Id="rId334" Type="http://schemas.openxmlformats.org/officeDocument/2006/relationships/hyperlink" Target="https://nwssp.nhs.wales/ourservices/primary-care-services/general-information/data-and-publications/prescribing-data-extracts/gp-practice-analysis/" TargetMode="External"/><Relationship Id="rId4" Type="http://schemas.openxmlformats.org/officeDocument/2006/relationships/hyperlink" Target="https://www.swansea.gov.uk/ancientmonuments" TargetMode="External"/><Relationship Id="rId180" Type="http://schemas.openxmlformats.org/officeDocument/2006/relationships/hyperlink" Target="https://www.gov.wales/new-modelling-alcohol-pricing-policies-alcohol-consumption-and-harm-wales-summary-html" TargetMode="External"/><Relationship Id="rId215" Type="http://schemas.openxmlformats.org/officeDocument/2006/relationships/hyperlink" Target="https://s31949.pcdn.co/wp-content/uploads/20210906-SwanseaUni-Gambling2-Report-v8-FINAL.pdf" TargetMode="External"/><Relationship Id="rId236" Type="http://schemas.openxmlformats.org/officeDocument/2006/relationships/hyperlink" Target="https://www.ons.gov.uk/peoplepopulationandcommunity/populationandmigration/populationestimates/bulletins/populationestimatesforenglandandwales/mid2024" TargetMode="External"/><Relationship Id="rId257" Type="http://schemas.openxmlformats.org/officeDocument/2006/relationships/hyperlink" Target="https://stats.gov.wales/en-GB/f30cc8bc-8e97-449e-96a4-77b0400262d1" TargetMode="External"/><Relationship Id="rId278" Type="http://schemas.openxmlformats.org/officeDocument/2006/relationships/hyperlink" Target="https://www.infobasecymru.net/IAS/themes/healthandsocialcare/generalhealth/tabular?viewId=47&amp;geoId=1&amp;subsetId=" TargetMode="External"/><Relationship Id="rId303" Type="http://schemas.openxmlformats.org/officeDocument/2006/relationships/hyperlink" Target="https://nwssp.nhs.wales/ourservices/primary-care-services/general-information/data-and-publications/prescribing-data-extracts/gp-practice-analysis/" TargetMode="External"/><Relationship Id="rId42" Type="http://schemas.openxmlformats.org/officeDocument/2006/relationships/hyperlink" Target="https://www.nomisweb.co.uk/datasets/c2021rm113" TargetMode="External"/><Relationship Id="rId84" Type="http://schemas.openxmlformats.org/officeDocument/2006/relationships/hyperlink" Target="https://phw.nhs.wales/services-and-teams/observatory/data-and-analysis/shrn-data-dashboard/" TargetMode="External"/><Relationship Id="rId138" Type="http://schemas.openxmlformats.org/officeDocument/2006/relationships/hyperlink" Target="https://www.ons.gov.uk/visualisations/censusareachanges/W06000012/" TargetMode="External"/><Relationship Id="rId345" Type="http://schemas.openxmlformats.org/officeDocument/2006/relationships/hyperlink" Target="https://stats.gov.wales/en-GB/da26395b-945e-4fad-b886-00cbb565a14a/filtered/462pkr1ryspe?page_size=100" TargetMode="External"/><Relationship Id="rId191" Type="http://schemas.openxmlformats.org/officeDocument/2006/relationships/hyperlink" Target="https://www.psych.ox.ac.uk/news/people-in-prison-have-higher-rates-of-mental-illness-infectious-diseases-and-poor-physical-health-2013-new-study" TargetMode="External"/><Relationship Id="rId205" Type="http://schemas.openxmlformats.org/officeDocument/2006/relationships/hyperlink" Target="https://www.armedforcescovenant.gov.uk/wp-content/uploads/2016/02/Veterans-Key-Facts.pdf" TargetMode="External"/><Relationship Id="rId247" Type="http://schemas.openxmlformats.org/officeDocument/2006/relationships/hyperlink" Target="https://phw.nhs.wales/services-and-teams/observatory/data-and-analysis/pcc-dashboard/" TargetMode="External"/><Relationship Id="rId107" Type="http://schemas.openxmlformats.org/officeDocument/2006/relationships/hyperlink" Target="https://www.gov.wales/sites/default/files/statistics-and-research/2026-01/child-poverty-strategy-monitoring-framework-2025-9048.pdf" TargetMode="External"/><Relationship Id="rId289" Type="http://schemas.openxmlformats.org/officeDocument/2006/relationships/hyperlink" Target="https://www.gov.wales/local-authority-population-projections-2022-based-html" TargetMode="External"/><Relationship Id="rId11" Type="http://schemas.openxmlformats.org/officeDocument/2006/relationships/hyperlink" Target="https://www.swansea.gov.uk/keyfacts" TargetMode="External"/><Relationship Id="rId53" Type="http://schemas.openxmlformats.org/officeDocument/2006/relationships/hyperlink" Target="https://phw.nhs.wales/services-and-teams/observatory/data-and-analysis/a-summary-of-trends-in-risk-factors-for-non-communicable-diseases/" TargetMode="External"/><Relationship Id="rId149" Type="http://schemas.openxmlformats.org/officeDocument/2006/relationships/hyperlink" Target="https://phw.nhs.wales/topics/adverse-childhood-experiences/" TargetMode="External"/><Relationship Id="rId314" Type="http://schemas.openxmlformats.org/officeDocument/2006/relationships/hyperlink" Target="https://stats.gov.wales/en-GB/da26395b-945e-4fad-b886-00cbb565a14a/filtered/462pkr1ryspe?page_size=100" TargetMode="External"/><Relationship Id="rId95" Type="http://schemas.openxmlformats.org/officeDocument/2006/relationships/hyperlink" Target="https://phw.nhs.wales/news/record-high-alcohol-related-deaths-in-wales-highlight-urgent-public-health-concerns/" TargetMode="External"/><Relationship Id="rId160" Type="http://schemas.openxmlformats.org/officeDocument/2006/relationships/hyperlink" Target="https://statswales.gov.wales/Catalogue/Health-and-Social-Care/Social-Services/Disability-Registers/physicallysensorydisabledpersons-by-localauthority-agerange-disability" TargetMode="External"/><Relationship Id="rId216" Type="http://schemas.openxmlformats.org/officeDocument/2006/relationships/hyperlink" Target="https://nwssp.nhs.wales/ourservices/primary-care-services/general-information/data-and-publications/prescribing-data-extracts/gp-practice-analysis/" TargetMode="External"/><Relationship Id="rId258" Type="http://schemas.openxmlformats.org/officeDocument/2006/relationships/hyperlink" Target="https://www.gov.wales/local-authority-population-projections-2022-based-html" TargetMode="External"/><Relationship Id="rId22" Type="http://schemas.openxmlformats.org/officeDocument/2006/relationships/hyperlink" Target="https://www.ons.gov.uk/peoplepopulationandcommunity/populationandmigration/populationestimates/datasets/adminbasedpopulationestimatesforlocalauthoritiesinenglandandwales" TargetMode="External"/><Relationship Id="rId64" Type="http://schemas.openxmlformats.org/officeDocument/2006/relationships/hyperlink" Target="https://www.infobasecymru.net/IAS/themes/healthandsocialcare/generalhealth/tabular?viewId=2621&amp;geoId=1&amp;subsetId=" TargetMode="External"/><Relationship Id="rId118" Type="http://schemas.openxmlformats.org/officeDocument/2006/relationships/hyperlink" Target="https://stats.gov.wales/en-GB/da26395b-945e-4fad-b886-00cbb565a14a/filtered/462pkr1ryspe?page_size=100" TargetMode="External"/><Relationship Id="rId325" Type="http://schemas.openxmlformats.org/officeDocument/2006/relationships/hyperlink" Target="https://www.infobasecymru.net/IAS/themes/healthandsocialcare/generalhealth/tabular?viewId=47&amp;geoId=1&amp;subsetId=" TargetMode="External"/><Relationship Id="rId171" Type="http://schemas.openxmlformats.org/officeDocument/2006/relationships/hyperlink" Target="https://www.gov.wales/breastfeeding-data-2024-html" TargetMode="External"/><Relationship Id="rId227" Type="http://schemas.openxmlformats.org/officeDocument/2006/relationships/hyperlink" Target="https://www.ons.gov.uk/peoplepopulationandcommunity/healthandsocialcare/healthandlifeexpectancies/bulletins/healthstatelifeexpectanciesuk/between2011to2013and2022to2024" TargetMode="External"/><Relationship Id="rId269" Type="http://schemas.openxmlformats.org/officeDocument/2006/relationships/hyperlink" Target="https://www.gov.wales/mid-year-estimates-population-2024-html" TargetMode="External"/><Relationship Id="rId33" Type="http://schemas.openxmlformats.org/officeDocument/2006/relationships/hyperlink" Target="https://phw.nhs.wales/news/public-health-outcomes-framework-reporting-tool-updated-with-latest-data3/" TargetMode="External"/><Relationship Id="rId129" Type="http://schemas.openxmlformats.org/officeDocument/2006/relationships/hyperlink" Target="https://phw.nhs.wales/services-and-teams/screening/bowel-screening/" TargetMode="External"/><Relationship Id="rId280" Type="http://schemas.openxmlformats.org/officeDocument/2006/relationships/hyperlink" Target="https://phw.nhs.wales/services-and-teams/observatory/data-and-analysis/pcc-dashboard/" TargetMode="External"/><Relationship Id="rId336" Type="http://schemas.openxmlformats.org/officeDocument/2006/relationships/hyperlink" Target="https://www.gov.wales/local-authority-population-projections-2022-based-html" TargetMode="External"/><Relationship Id="rId75" Type="http://schemas.openxmlformats.org/officeDocument/2006/relationships/hyperlink" Target="https://cdn.shopify.com/s/files/1/0924/4392/files/passive-smoking-and-children.pdf" TargetMode="External"/><Relationship Id="rId140" Type="http://schemas.openxmlformats.org/officeDocument/2006/relationships/hyperlink" Target="http://business.senedd.cymru/documents/s144021/Paper%206%20-%20Public%20Health%20Wales.pdf" TargetMode="External"/><Relationship Id="rId182" Type="http://schemas.openxmlformats.org/officeDocument/2006/relationships/hyperlink" Target="https://lgbt.foundation/help/hidden-figures-lgbt-health-inequalities-in-the-uk/?gad_source=1&amp;gad_campaignid=22473964018&amp;gbraid=0AAAAADiyHpAba3B1d0SpeRH9D9TDAdJP8&amp;gclid=EAIaIQobChMIhIrht46XkgMVPpdQBh0DNSOWEAAYASAAEgJVk_D_BwE" TargetMode="External"/><Relationship Id="rId6" Type="http://schemas.openxmlformats.org/officeDocument/2006/relationships/hyperlink" Target="https://www.swansea.ac.uk/" TargetMode="External"/><Relationship Id="rId238" Type="http://schemas.openxmlformats.org/officeDocument/2006/relationships/hyperlink" Target="https://nwssp.nhs.wales/ourservices/primary-care-services/general-information/data-and-publications/prescribing-data-extracts/gp-practice-analysis/" TargetMode="External"/><Relationship Id="rId291" Type="http://schemas.openxmlformats.org/officeDocument/2006/relationships/hyperlink" Target="https://www.gov.wales/local-authority-population-projections-2022-based-html" TargetMode="External"/><Relationship Id="rId305" Type="http://schemas.openxmlformats.org/officeDocument/2006/relationships/hyperlink" Target="https://www.gov.wales/local-authority-population-projections-2022-based-html" TargetMode="External"/><Relationship Id="rId347" Type="http://schemas.openxmlformats.org/officeDocument/2006/relationships/hyperlink" Target="https://www.infobasecymru.net/IAS/themes/healthandsocialcare/generalhealth/tabular?viewId=2621&amp;geoId=1&amp;subsetId=" TargetMode="External"/><Relationship Id="rId44" Type="http://schemas.openxmlformats.org/officeDocument/2006/relationships/hyperlink" Target="https://stats.gov.wales/en-GB/da26395b-945e-4fad-b886-00cbb565a14a/filtered/462pkr1ryspe?page_size=100" TargetMode="External"/><Relationship Id="rId86" Type="http://schemas.openxmlformats.org/officeDocument/2006/relationships/hyperlink" Target="https://phw.nhs.wales/topics/overweight-and-obesity/" TargetMode="External"/><Relationship Id="rId151" Type="http://schemas.openxmlformats.org/officeDocument/2006/relationships/hyperlink" Target="https://www.nhsconfed.org/system/files/2025-07/oac_response_healthy_eating_and_drinking_in_maintained_schools_in_wales_.pdf" TargetMode="External"/><Relationship Id="rId193" Type="http://schemas.openxmlformats.org/officeDocument/2006/relationships/hyperlink" Target="https://www.crisis.org.uk/media/20502/crisis_its_no_life_at_all2016.pdf" TargetMode="External"/><Relationship Id="rId207" Type="http://schemas.openxmlformats.org/officeDocument/2006/relationships/hyperlink" Target="https://www.nomisweb.co.uk/datasets/c2021ts071" TargetMode="External"/><Relationship Id="rId249" Type="http://schemas.openxmlformats.org/officeDocument/2006/relationships/hyperlink" Target="https://stats.gov.wales/en-GB/da26395b-945e-4fad-b886-00cbb565a14a/filtered/462pkr1ryspe?page_size=100" TargetMode="External"/><Relationship Id="rId13" Type="http://schemas.openxmlformats.org/officeDocument/2006/relationships/hyperlink" Target="https://www.npt.gov.uk/planning-and-building-control/planning-policy/supplementary-guidance/" TargetMode="External"/><Relationship Id="rId109" Type="http://schemas.openxmlformats.org/officeDocument/2006/relationships/hyperlink" Target="https://faithinfamilies.wales/2024/10/16/faith-in-families-swansea-our-commitment-to-the-un-international-day-for-the-eradication-of-poverty/" TargetMode="External"/><Relationship Id="rId260" Type="http://schemas.openxmlformats.org/officeDocument/2006/relationships/hyperlink" Target="https://phw.nhs.wales/services-and-teams/observatory/data-and-analysis/public-health-outcomes-framework/" TargetMode="External"/><Relationship Id="rId316" Type="http://schemas.openxmlformats.org/officeDocument/2006/relationships/hyperlink" Target="https://www.infobasecymru.net/IAS/themes/healthandsocialcare/generalhealth/tabular?viewId=2621&amp;geoId=1&amp;subsetId=" TargetMode="External"/><Relationship Id="rId55" Type="http://schemas.openxmlformats.org/officeDocument/2006/relationships/hyperlink" Target="https://www.bhf.org.uk/-/media/files/for-professionals/research/heart-statistics/bhf-cvd-statistics-wales-factsheet-jan26-v2.pdf?rev=5290fee470f34102a360d73b020ea8b7&amp;hash=625D23B0D0B074A18B8E2E756085C129" TargetMode="External"/><Relationship Id="rId97" Type="http://schemas.openxmlformats.org/officeDocument/2006/relationships/hyperlink" Target="https://www.infobasecymru.net/IAS/themes/healthandsocialcare/generalhealth/tabular?viewId=2621&amp;geoId=1&amp;subsetId=" TargetMode="External"/><Relationship Id="rId120" Type="http://schemas.openxmlformats.org/officeDocument/2006/relationships/hyperlink" Target="https://stats.gov.wales/en-GB/da26395b-945e-4fad-b886-00cbb565a14a/filtered/462pkr1ryspe?page_size=100" TargetMode="External"/><Relationship Id="rId162" Type="http://schemas.openxmlformats.org/officeDocument/2006/relationships/hyperlink" Target="https://www.nice.org.uk/guidance/ng96/chapter/Context" TargetMode="External"/><Relationship Id="rId218" Type="http://schemas.openxmlformats.org/officeDocument/2006/relationships/hyperlink" Target="https://www.gov.wales/sites/default/files/publications/2023-01/WHC%20-%20Eliminating%20Hepatitis%20B%20and%20C%20as%20a%20public%20health%20concern%20in%20Wales%20-%20Actions%20for%2022_23%20and%2023_24.doc%20%28002%29.pdf" TargetMode="External"/><Relationship Id="rId271" Type="http://schemas.openxmlformats.org/officeDocument/2006/relationships/hyperlink" Target="https://www.ons.gov.uk/visualisations/censusareachanges/W06000011/" TargetMode="External"/><Relationship Id="rId24" Type="http://schemas.openxmlformats.org/officeDocument/2006/relationships/hyperlink" Target="https://www.ons.gov.uk/peoplepopulationandcommunity/culturalidentity/language/bulletins/languageenglandandwales/census2021" TargetMode="External"/><Relationship Id="rId66" Type="http://schemas.openxmlformats.org/officeDocument/2006/relationships/hyperlink" Target="https://www.ons.gov.uk/peoplepopulationandcommunity/populationandmigration/populationestimates/bulletins/populationestimatesforenglandandwales/mid2024" TargetMode="External"/><Relationship Id="rId131" Type="http://schemas.openxmlformats.org/officeDocument/2006/relationships/hyperlink" Target="https://phw.nhs.wales/services-and-teams/screening/diabetic-eye-screening-wales/programme-reports/diabetic-eye-screening-wales-annual-statistical-report-2023-24/?ts=1777252071061" TargetMode="External"/><Relationship Id="rId327" Type="http://schemas.openxmlformats.org/officeDocument/2006/relationships/hyperlink" Target="https://phw.nhs.wales/services-and-teams/observatory/data-and-analysis/pcc-dashboard/" TargetMode="External"/><Relationship Id="rId173" Type="http://schemas.openxmlformats.org/officeDocument/2006/relationships/hyperlink" Target="https://www.gov.wales/breastfeeding-data-2024-html" TargetMode="External"/><Relationship Id="rId229" Type="http://schemas.openxmlformats.org/officeDocument/2006/relationships/hyperlink" Target="https://www.infobasecymru.net/IAS/themes/healthandsocialcare/generalhealth/tabular?viewId=47&amp;geoId=1&amp;subsetId=" TargetMode="External"/><Relationship Id="rId240" Type="http://schemas.openxmlformats.org/officeDocument/2006/relationships/hyperlink" Target="https://www.gov.wales/local-authority-population-projections-2022-based-html" TargetMode="External"/><Relationship Id="rId35" Type="http://schemas.openxmlformats.org/officeDocument/2006/relationships/hyperlink" Target="https://www.infobasecymru.net/IAS/themes/healthandsocialcare/generalhealth/tabular?viewId=47&amp;geoId=1&amp;subsetId=" TargetMode="External"/><Relationship Id="rId77" Type="http://schemas.openxmlformats.org/officeDocument/2006/relationships/hyperlink" Target="https://www.ons.gov.uk/peoplepopulationandcommunity/healthandsocialcare/healthandlifeexpectancies/bulletins/adultsmokinghabitsingreatbritain/2024" TargetMode="External"/><Relationship Id="rId100" Type="http://schemas.openxmlformats.org/officeDocument/2006/relationships/hyperlink" Target="https://www.socialcaredata.wales/dataset?c=73&amp;p=2,13&amp;i=71492&amp;d=&amp;dig=&amp;g=10&amp;v=" TargetMode="External"/><Relationship Id="rId282" Type="http://schemas.openxmlformats.org/officeDocument/2006/relationships/hyperlink" Target="https://stats.gov.wales/en-GB/da26395b-945e-4fad-b886-00cbb565a14a/filtered/462pkr1ryspe?page_size=100" TargetMode="External"/><Relationship Id="rId338" Type="http://schemas.openxmlformats.org/officeDocument/2006/relationships/hyperlink" Target="https://www.gov.wales/local-authority-population-projections-2022-based-html"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file:///C:\Users\simmondsh\Downloads\Chapter%202%20-%20Population%20pyramid%20-%20all.xlsx" TargetMode="Externa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https://pccnhs-my.sharepoint.com/personal/helen_simmonds_pcc_nhs_uk/Documents/Documents/Pharmacy/PNA%20Wales%20work/General%20data/Nomis%20TS031%20Religion%202021.xlsx" TargetMode="External"/></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oleObject" Target="file:///C:\Users\simmondsh\Downloads\PHOF_Complete_Data-PHOF_Data_Llawn%20(1).xlsx" TargetMode="Externa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oleObject" Target="file:///C:\Users\simmondsh\Downloads\annualdeaths2024%20(2).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embeddings/oleObject2.bin"/></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embeddings/oleObject3.bin"/></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embeddings/oleObject4.bin"/></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embeddings/oleObject5.bin"/></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embeddings/oleObject6.bin"/></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Book1" TargetMode="Externa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file:///C:\Users\simmondsh\Downloads\Chapter%202%20-%20Population%20pyramid%20-%20al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Sheet1!$D$2</c:f>
              <c:strCache>
                <c:ptCount val="1"/>
                <c:pt idx="0">
                  <c:v>Total responses</c:v>
                </c:pt>
              </c:strCache>
            </c:strRef>
          </c:tx>
          <c:spPr>
            <a:solidFill>
              <a:schemeClr val="accent1"/>
            </a:solidFill>
            <a:ln>
              <a:noFill/>
            </a:ln>
            <a:effectLst/>
          </c:spPr>
          <c:invertIfNegative val="0"/>
          <c:cat>
            <c:strRef>
              <c:f>Sheet1!$A$3:$A$10</c:f>
              <c:strCache>
                <c:ptCount val="8"/>
                <c:pt idx="0">
                  <c:v>0-15 years</c:v>
                </c:pt>
                <c:pt idx="1">
                  <c:v>16-24 years</c:v>
                </c:pt>
                <c:pt idx="2">
                  <c:v>25-34 years</c:v>
                </c:pt>
                <c:pt idx="3">
                  <c:v>35-44 years</c:v>
                </c:pt>
                <c:pt idx="4">
                  <c:v>45-54 years</c:v>
                </c:pt>
                <c:pt idx="5">
                  <c:v>55-64 years</c:v>
                </c:pt>
                <c:pt idx="6">
                  <c:v>65-74 years</c:v>
                </c:pt>
                <c:pt idx="7">
                  <c:v>75 and above</c:v>
                </c:pt>
              </c:strCache>
            </c:strRef>
          </c:cat>
          <c:val>
            <c:numRef>
              <c:f>Sheet1!$D$3:$D$10</c:f>
              <c:numCache>
                <c:formatCode>General</c:formatCode>
                <c:ptCount val="8"/>
                <c:pt idx="0">
                  <c:v>0</c:v>
                </c:pt>
                <c:pt idx="1">
                  <c:v>1</c:v>
                </c:pt>
                <c:pt idx="2">
                  <c:v>7</c:v>
                </c:pt>
                <c:pt idx="3">
                  <c:v>16</c:v>
                </c:pt>
                <c:pt idx="4">
                  <c:v>22</c:v>
                </c:pt>
                <c:pt idx="5">
                  <c:v>32</c:v>
                </c:pt>
                <c:pt idx="6">
                  <c:v>30</c:v>
                </c:pt>
                <c:pt idx="7">
                  <c:v>10</c:v>
                </c:pt>
              </c:numCache>
            </c:numRef>
          </c:val>
          <c:extLst>
            <c:ext xmlns:c16="http://schemas.microsoft.com/office/drawing/2014/chart" uri="{C3380CC4-5D6E-409C-BE32-E72D297353CC}">
              <c16:uniqueId val="{00000000-599E-48E1-BBE8-6905395D239F}"/>
            </c:ext>
          </c:extLst>
        </c:ser>
        <c:dLbls>
          <c:showLegendKey val="0"/>
          <c:showVal val="0"/>
          <c:showCatName val="0"/>
          <c:showSerName val="0"/>
          <c:showPercent val="0"/>
          <c:showBubbleSize val="0"/>
        </c:dLbls>
        <c:gapWidth val="219"/>
        <c:overlap val="-27"/>
        <c:axId val="2071483727"/>
        <c:axId val="2071474607"/>
      </c:barChart>
      <c:catAx>
        <c:axId val="20714837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74607"/>
        <c:crosses val="autoZero"/>
        <c:auto val="1"/>
        <c:lblAlgn val="ctr"/>
        <c:lblOffset val="100"/>
        <c:noMultiLvlLbl val="0"/>
      </c:catAx>
      <c:valAx>
        <c:axId val="20714746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837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Arial" panose="020B0604020202020204" pitchFamily="34" charset="0"/>
          <a:cs typeface="Arial" panose="020B0604020202020204" pitchFamily="34" charset="0"/>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latin typeface="Arial" panose="020B0604020202020204" pitchFamily="34" charset="0"/>
                <a:cs typeface="Arial" panose="020B0604020202020204" pitchFamily="34" charset="0"/>
              </a:rPr>
              <a:t>Percentage of population by age and sex</a:t>
            </a:r>
            <a:r>
              <a:rPr lang="en-GB" baseline="0">
                <a:latin typeface="Arial" panose="020B0604020202020204" pitchFamily="34" charset="0"/>
                <a:cs typeface="Arial" panose="020B0604020202020204" pitchFamily="34" charset="0"/>
              </a:rPr>
              <a:t> - Neath Port Talbot</a:t>
            </a:r>
            <a:endParaRPr lang="en-GB">
              <a:latin typeface="Arial" panose="020B0604020202020204" pitchFamily="34" charset="0"/>
              <a:cs typeface="Arial" panose="020B0604020202020204" pitchFamily="34" charset="0"/>
            </a:endParaRPr>
          </a:p>
        </c:rich>
      </c:tx>
      <c:layout>
        <c:manualLayout>
          <c:xMode val="edge"/>
          <c:yMode val="edge"/>
          <c:x val="0.15850486336266789"/>
          <c:y val="2.446483180428134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0444444444444448E-2"/>
          <c:y val="0.16708333333333336"/>
          <c:w val="0.89071522309711282"/>
          <c:h val="0.6153546952464275"/>
        </c:manualLayout>
      </c:layout>
      <c:barChart>
        <c:barDir val="bar"/>
        <c:grouping val="clustered"/>
        <c:varyColors val="0"/>
        <c:ser>
          <c:idx val="0"/>
          <c:order val="0"/>
          <c:tx>
            <c:strRef>
              <c:f>NPT!$M$1</c:f>
              <c:strCache>
                <c:ptCount val="1"/>
                <c:pt idx="0">
                  <c:v>% male</c:v>
                </c:pt>
              </c:strCache>
            </c:strRef>
          </c:tx>
          <c:spPr>
            <a:solidFill>
              <a:schemeClr val="accent1"/>
            </a:solidFill>
            <a:ln>
              <a:noFill/>
            </a:ln>
            <a:effectLst/>
          </c:spPr>
          <c:invertIfNegative val="0"/>
          <c:cat>
            <c:strRef>
              <c:f>NPT!$H$2:$H$20</c:f>
              <c:strCache>
                <c:ptCount val="19"/>
                <c:pt idx="0">
                  <c:v>0 - 4</c:v>
                </c:pt>
                <c:pt idx="1">
                  <c:v>5 - 9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pt idx="17">
                  <c:v>85-89</c:v>
                </c:pt>
                <c:pt idx="18">
                  <c:v>90 +</c:v>
                </c:pt>
              </c:strCache>
            </c:strRef>
          </c:cat>
          <c:val>
            <c:numRef>
              <c:f>NPT!$M$2:$M$20</c:f>
              <c:numCache>
                <c:formatCode>0%</c:formatCode>
                <c:ptCount val="19"/>
                <c:pt idx="0">
                  <c:v>-4.7091806964862593E-2</c:v>
                </c:pt>
                <c:pt idx="1">
                  <c:v>-5.6513014644143052E-2</c:v>
                </c:pt>
                <c:pt idx="2">
                  <c:v>-6.2091735807704898E-2</c:v>
                </c:pt>
                <c:pt idx="3">
                  <c:v>-7.2366829379367267E-2</c:v>
                </c:pt>
                <c:pt idx="4">
                  <c:v>-5.7708454893477736E-2</c:v>
                </c:pt>
                <c:pt idx="5">
                  <c:v>-5.4022514124695803E-2</c:v>
                </c:pt>
                <c:pt idx="6">
                  <c:v>-6.2789075953150128E-2</c:v>
                </c:pt>
                <c:pt idx="7">
                  <c:v>-6.2846001679308927E-2</c:v>
                </c:pt>
                <c:pt idx="8">
                  <c:v>-6.078244410605263E-2</c:v>
                </c:pt>
                <c:pt idx="9">
                  <c:v>-5.6000683108713908E-2</c:v>
                </c:pt>
                <c:pt idx="10">
                  <c:v>-6.2219818691562186E-2</c:v>
                </c:pt>
                <c:pt idx="11">
                  <c:v>-6.9050905830617501E-2</c:v>
                </c:pt>
                <c:pt idx="12">
                  <c:v>-6.8979748672919006E-2</c:v>
                </c:pt>
                <c:pt idx="13">
                  <c:v>-6.0440889749099863E-2</c:v>
                </c:pt>
                <c:pt idx="14">
                  <c:v>-5.2570908107646551E-2</c:v>
                </c:pt>
                <c:pt idx="15">
                  <c:v>-4.6380235387877666E-2</c:v>
                </c:pt>
                <c:pt idx="16">
                  <c:v>-2.7836680091650419E-2</c:v>
                </c:pt>
                <c:pt idx="17">
                  <c:v>-1.4259894402777976E-2</c:v>
                </c:pt>
                <c:pt idx="18">
                  <c:v>-6.0483584043718955E-3</c:v>
                </c:pt>
              </c:numCache>
            </c:numRef>
          </c:val>
          <c:extLst>
            <c:ext xmlns:c16="http://schemas.microsoft.com/office/drawing/2014/chart" uri="{C3380CC4-5D6E-409C-BE32-E72D297353CC}">
              <c16:uniqueId val="{00000000-0111-4E24-87D3-0715667BE50A}"/>
            </c:ext>
          </c:extLst>
        </c:ser>
        <c:ser>
          <c:idx val="1"/>
          <c:order val="1"/>
          <c:tx>
            <c:strRef>
              <c:f>NPT!$N$1</c:f>
              <c:strCache>
                <c:ptCount val="1"/>
                <c:pt idx="0">
                  <c:v>% female</c:v>
                </c:pt>
              </c:strCache>
            </c:strRef>
          </c:tx>
          <c:spPr>
            <a:solidFill>
              <a:schemeClr val="accent5">
                <a:lumMod val="60000"/>
                <a:lumOff val="40000"/>
              </a:schemeClr>
            </a:solidFill>
            <a:ln>
              <a:noFill/>
            </a:ln>
            <a:effectLst/>
          </c:spPr>
          <c:invertIfNegative val="0"/>
          <c:cat>
            <c:strRef>
              <c:f>NPT!$H$2:$H$20</c:f>
              <c:strCache>
                <c:ptCount val="19"/>
                <c:pt idx="0">
                  <c:v>0 - 4</c:v>
                </c:pt>
                <c:pt idx="1">
                  <c:v>5 - 9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pt idx="17">
                  <c:v>85-89</c:v>
                </c:pt>
                <c:pt idx="18">
                  <c:v>90 +</c:v>
                </c:pt>
              </c:strCache>
            </c:strRef>
          </c:cat>
          <c:val>
            <c:numRef>
              <c:f>NPT!$N$2:$N$20</c:f>
              <c:numCache>
                <c:formatCode>0%</c:formatCode>
                <c:ptCount val="19"/>
                <c:pt idx="0">
                  <c:v>4.3654599764325452E-2</c:v>
                </c:pt>
                <c:pt idx="1">
                  <c:v>5.2177249184730483E-2</c:v>
                </c:pt>
                <c:pt idx="2">
                  <c:v>5.6082321668356583E-2</c:v>
                </c:pt>
                <c:pt idx="3">
                  <c:v>6.02203283001288E-2</c:v>
                </c:pt>
                <c:pt idx="4">
                  <c:v>4.5559178975637826E-2</c:v>
                </c:pt>
                <c:pt idx="5">
                  <c:v>5.8946041489682389E-2</c:v>
                </c:pt>
                <c:pt idx="6">
                  <c:v>6.4933819297909076E-2</c:v>
                </c:pt>
                <c:pt idx="7">
                  <c:v>6.6084788029925193E-2</c:v>
                </c:pt>
                <c:pt idx="8">
                  <c:v>6.2672987860020277E-2</c:v>
                </c:pt>
                <c:pt idx="9">
                  <c:v>5.668521005179359E-2</c:v>
                </c:pt>
                <c:pt idx="10">
                  <c:v>6.1796059302293718E-2</c:v>
                </c:pt>
                <c:pt idx="11">
                  <c:v>7.1264147323997704E-2</c:v>
                </c:pt>
                <c:pt idx="12">
                  <c:v>7.1743717629004417E-2</c:v>
                </c:pt>
                <c:pt idx="13">
                  <c:v>6.0535474500561785E-2</c:v>
                </c:pt>
                <c:pt idx="14">
                  <c:v>5.4876544901482555E-2</c:v>
                </c:pt>
                <c:pt idx="15">
                  <c:v>4.8847661067112441E-2</c:v>
                </c:pt>
                <c:pt idx="16">
                  <c:v>3.1624236113014167E-2</c:v>
                </c:pt>
                <c:pt idx="17">
                  <c:v>2.0251568879997808E-2</c:v>
                </c:pt>
                <c:pt idx="18">
                  <c:v>1.2044065660025759E-2</c:v>
                </c:pt>
              </c:numCache>
            </c:numRef>
          </c:val>
          <c:extLst>
            <c:ext xmlns:c16="http://schemas.microsoft.com/office/drawing/2014/chart" uri="{C3380CC4-5D6E-409C-BE32-E72D297353CC}">
              <c16:uniqueId val="{00000001-0111-4E24-87D3-0715667BE50A}"/>
            </c:ext>
          </c:extLst>
        </c:ser>
        <c:dLbls>
          <c:showLegendKey val="0"/>
          <c:showVal val="0"/>
          <c:showCatName val="0"/>
          <c:showSerName val="0"/>
          <c:showPercent val="0"/>
          <c:showBubbleSize val="0"/>
        </c:dLbls>
        <c:gapWidth val="50"/>
        <c:overlap val="100"/>
        <c:axId val="1181809024"/>
        <c:axId val="1181810464"/>
      </c:barChart>
      <c:catAx>
        <c:axId val="1181809024"/>
        <c:scaling>
          <c:orientation val="minMax"/>
        </c:scaling>
        <c:delete val="0"/>
        <c:axPos val="l"/>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1810464"/>
        <c:crosses val="autoZero"/>
        <c:auto val="1"/>
        <c:lblAlgn val="ctr"/>
        <c:lblOffset val="100"/>
        <c:tickLblSkip val="1"/>
        <c:noMultiLvlLbl val="0"/>
      </c:catAx>
      <c:valAx>
        <c:axId val="1181810464"/>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18090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'Swansea Bay'!$A$8</c:f>
              <c:strCache>
                <c:ptCount val="1"/>
                <c:pt idx="0">
                  <c:v>Swansea</c:v>
                </c:pt>
              </c:strCache>
            </c:strRef>
          </c:tx>
          <c:spPr>
            <a:solidFill>
              <a:schemeClr val="accent1"/>
            </a:solidFill>
            <a:ln>
              <a:noFill/>
            </a:ln>
            <a:effectLst/>
          </c:spPr>
          <c:invertIfNegative val="0"/>
          <c:cat>
            <c:strRef>
              <c:f>'Swansea Bay'!$B$7:$J$7</c:f>
              <c:strCache>
                <c:ptCount val="9"/>
                <c:pt idx="0">
                  <c:v>Christian</c:v>
                </c:pt>
                <c:pt idx="1">
                  <c:v>Buddhist</c:v>
                </c:pt>
                <c:pt idx="2">
                  <c:v>Hindu</c:v>
                </c:pt>
                <c:pt idx="3">
                  <c:v>Jewish</c:v>
                </c:pt>
                <c:pt idx="4">
                  <c:v>Muslim</c:v>
                </c:pt>
                <c:pt idx="5">
                  <c:v>Sikh</c:v>
                </c:pt>
                <c:pt idx="6">
                  <c:v>Other religion</c:v>
                </c:pt>
                <c:pt idx="7">
                  <c:v>No religion</c:v>
                </c:pt>
                <c:pt idx="8">
                  <c:v>Religion not stated</c:v>
                </c:pt>
              </c:strCache>
            </c:strRef>
          </c:cat>
          <c:val>
            <c:numRef>
              <c:f>'Swansea Bay'!$B$8:$J$8</c:f>
              <c:numCache>
                <c:formatCode>#,##0</c:formatCode>
                <c:ptCount val="9"/>
                <c:pt idx="0">
                  <c:v>98492</c:v>
                </c:pt>
                <c:pt idx="1">
                  <c:v>942</c:v>
                </c:pt>
                <c:pt idx="2">
                  <c:v>1010</c:v>
                </c:pt>
                <c:pt idx="3">
                  <c:v>159</c:v>
                </c:pt>
                <c:pt idx="4">
                  <c:v>7694</c:v>
                </c:pt>
                <c:pt idx="5">
                  <c:v>346</c:v>
                </c:pt>
                <c:pt idx="6">
                  <c:v>1170</c:v>
                </c:pt>
                <c:pt idx="7">
                  <c:v>112687</c:v>
                </c:pt>
                <c:pt idx="8">
                  <c:v>15985</c:v>
                </c:pt>
              </c:numCache>
            </c:numRef>
          </c:val>
          <c:extLst>
            <c:ext xmlns:c16="http://schemas.microsoft.com/office/drawing/2014/chart" uri="{C3380CC4-5D6E-409C-BE32-E72D297353CC}">
              <c16:uniqueId val="{00000000-43F1-4656-B7E0-4AB9CDD3C636}"/>
            </c:ext>
          </c:extLst>
        </c:ser>
        <c:ser>
          <c:idx val="1"/>
          <c:order val="1"/>
          <c:tx>
            <c:strRef>
              <c:f>'Swansea Bay'!$A$9</c:f>
              <c:strCache>
                <c:ptCount val="1"/>
                <c:pt idx="0">
                  <c:v>Neath Port Talbot</c:v>
                </c:pt>
              </c:strCache>
            </c:strRef>
          </c:tx>
          <c:spPr>
            <a:solidFill>
              <a:schemeClr val="accent3"/>
            </a:solidFill>
            <a:ln>
              <a:noFill/>
            </a:ln>
            <a:effectLst/>
          </c:spPr>
          <c:invertIfNegative val="0"/>
          <c:cat>
            <c:strRef>
              <c:f>'Swansea Bay'!$B$7:$J$7</c:f>
              <c:strCache>
                <c:ptCount val="9"/>
                <c:pt idx="0">
                  <c:v>Christian</c:v>
                </c:pt>
                <c:pt idx="1">
                  <c:v>Buddhist</c:v>
                </c:pt>
                <c:pt idx="2">
                  <c:v>Hindu</c:v>
                </c:pt>
                <c:pt idx="3">
                  <c:v>Jewish</c:v>
                </c:pt>
                <c:pt idx="4">
                  <c:v>Muslim</c:v>
                </c:pt>
                <c:pt idx="5">
                  <c:v>Sikh</c:v>
                </c:pt>
                <c:pt idx="6">
                  <c:v>Other religion</c:v>
                </c:pt>
                <c:pt idx="7">
                  <c:v>No religion</c:v>
                </c:pt>
                <c:pt idx="8">
                  <c:v>Religion not stated</c:v>
                </c:pt>
              </c:strCache>
            </c:strRef>
          </c:cat>
          <c:val>
            <c:numRef>
              <c:f>'Swansea Bay'!$B$9:$J$9</c:f>
              <c:numCache>
                <c:formatCode>#,##0</c:formatCode>
                <c:ptCount val="9"/>
                <c:pt idx="0">
                  <c:v>59974</c:v>
                </c:pt>
                <c:pt idx="1">
                  <c:v>383</c:v>
                </c:pt>
                <c:pt idx="2">
                  <c:v>400</c:v>
                </c:pt>
                <c:pt idx="3">
                  <c:v>32</c:v>
                </c:pt>
                <c:pt idx="4">
                  <c:v>1062</c:v>
                </c:pt>
                <c:pt idx="5">
                  <c:v>151</c:v>
                </c:pt>
                <c:pt idx="6">
                  <c:v>627</c:v>
                </c:pt>
                <c:pt idx="7">
                  <c:v>70942</c:v>
                </c:pt>
                <c:pt idx="8">
                  <c:v>8716</c:v>
                </c:pt>
              </c:numCache>
            </c:numRef>
          </c:val>
          <c:extLst>
            <c:ext xmlns:c16="http://schemas.microsoft.com/office/drawing/2014/chart" uri="{C3380CC4-5D6E-409C-BE32-E72D297353CC}">
              <c16:uniqueId val="{00000001-43F1-4656-B7E0-4AB9CDD3C636}"/>
            </c:ext>
          </c:extLst>
        </c:ser>
        <c:ser>
          <c:idx val="2"/>
          <c:order val="2"/>
          <c:tx>
            <c:strRef>
              <c:f>'Swansea Bay'!$A$10</c:f>
              <c:strCache>
                <c:ptCount val="1"/>
                <c:pt idx="0">
                  <c:v>Swansea Bay</c:v>
                </c:pt>
              </c:strCache>
            </c:strRef>
          </c:tx>
          <c:spPr>
            <a:solidFill>
              <a:schemeClr val="accent5"/>
            </a:solidFill>
            <a:ln>
              <a:noFill/>
            </a:ln>
            <a:effectLst/>
          </c:spPr>
          <c:invertIfNegative val="0"/>
          <c:cat>
            <c:strRef>
              <c:f>'Swansea Bay'!$B$7:$J$7</c:f>
              <c:strCache>
                <c:ptCount val="9"/>
                <c:pt idx="0">
                  <c:v>Christian</c:v>
                </c:pt>
                <c:pt idx="1">
                  <c:v>Buddhist</c:v>
                </c:pt>
                <c:pt idx="2">
                  <c:v>Hindu</c:v>
                </c:pt>
                <c:pt idx="3">
                  <c:v>Jewish</c:v>
                </c:pt>
                <c:pt idx="4">
                  <c:v>Muslim</c:v>
                </c:pt>
                <c:pt idx="5">
                  <c:v>Sikh</c:v>
                </c:pt>
                <c:pt idx="6">
                  <c:v>Other religion</c:v>
                </c:pt>
                <c:pt idx="7">
                  <c:v>No religion</c:v>
                </c:pt>
                <c:pt idx="8">
                  <c:v>Religion not stated</c:v>
                </c:pt>
              </c:strCache>
            </c:strRef>
          </c:cat>
          <c:val>
            <c:numRef>
              <c:f>'Swansea Bay'!$B$10:$J$10</c:f>
              <c:numCache>
                <c:formatCode>#,##0</c:formatCode>
                <c:ptCount val="9"/>
                <c:pt idx="0">
                  <c:v>158466</c:v>
                </c:pt>
                <c:pt idx="1">
                  <c:v>1325</c:v>
                </c:pt>
                <c:pt idx="2">
                  <c:v>1410</c:v>
                </c:pt>
                <c:pt idx="3">
                  <c:v>191</c:v>
                </c:pt>
                <c:pt idx="4">
                  <c:v>8756</c:v>
                </c:pt>
                <c:pt idx="5">
                  <c:v>497</c:v>
                </c:pt>
                <c:pt idx="6">
                  <c:v>1797</c:v>
                </c:pt>
                <c:pt idx="7">
                  <c:v>183629</c:v>
                </c:pt>
                <c:pt idx="8">
                  <c:v>24701</c:v>
                </c:pt>
              </c:numCache>
            </c:numRef>
          </c:val>
          <c:extLst>
            <c:ext xmlns:c16="http://schemas.microsoft.com/office/drawing/2014/chart" uri="{C3380CC4-5D6E-409C-BE32-E72D297353CC}">
              <c16:uniqueId val="{00000002-43F1-4656-B7E0-4AB9CDD3C636}"/>
            </c:ext>
          </c:extLst>
        </c:ser>
        <c:dLbls>
          <c:showLegendKey val="0"/>
          <c:showVal val="0"/>
          <c:showCatName val="0"/>
          <c:showSerName val="0"/>
          <c:showPercent val="0"/>
          <c:showBubbleSize val="0"/>
        </c:dLbls>
        <c:gapWidth val="182"/>
        <c:axId val="1239244863"/>
        <c:axId val="1240078463"/>
      </c:barChart>
      <c:catAx>
        <c:axId val="123924486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40078463"/>
        <c:crosses val="autoZero"/>
        <c:auto val="1"/>
        <c:lblAlgn val="ctr"/>
        <c:lblOffset val="100"/>
        <c:noMultiLvlLbl val="0"/>
      </c:catAx>
      <c:valAx>
        <c:axId val="1240078463"/>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392448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'Low birth weight'!$A$41</c:f>
              <c:strCache>
                <c:ptCount val="1"/>
                <c:pt idx="0">
                  <c:v>Neath Port Talbot</c:v>
                </c:pt>
              </c:strCache>
            </c:strRef>
          </c:tx>
          <c:spPr>
            <a:ln w="28575" cap="rnd">
              <a:solidFill>
                <a:schemeClr val="accent1"/>
              </a:solidFill>
              <a:round/>
            </a:ln>
            <a:effectLst/>
          </c:spPr>
          <c:marker>
            <c:symbol val="none"/>
          </c:marker>
          <c:cat>
            <c:strRef>
              <c:f>'Low birth weight'!$B$40:$O$40</c:f>
              <c:strCache>
                <c:ptCount val="14"/>
                <c:pt idx="0">
                  <c:v>2011</c:v>
                </c:pt>
                <c:pt idx="1">
                  <c:v>2012</c:v>
                </c:pt>
                <c:pt idx="2">
                  <c:v>2013</c:v>
                </c:pt>
                <c:pt idx="3">
                  <c:v>2014</c:v>
                </c:pt>
                <c:pt idx="4">
                  <c:v>2015</c:v>
                </c:pt>
                <c:pt idx="5">
                  <c:v>2016</c:v>
                </c:pt>
                <c:pt idx="6">
                  <c:v>2017</c:v>
                </c:pt>
                <c:pt idx="7">
                  <c:v>2018</c:v>
                </c:pt>
                <c:pt idx="8">
                  <c:v>2019</c:v>
                </c:pt>
                <c:pt idx="9">
                  <c:v>2020</c:v>
                </c:pt>
                <c:pt idx="10">
                  <c:v>2021</c:v>
                </c:pt>
                <c:pt idx="11">
                  <c:v>2022</c:v>
                </c:pt>
                <c:pt idx="12">
                  <c:v>2023</c:v>
                </c:pt>
                <c:pt idx="13">
                  <c:v>2024</c:v>
                </c:pt>
              </c:strCache>
            </c:strRef>
          </c:cat>
          <c:val>
            <c:numRef>
              <c:f>'Low birth weight'!$B$41:$O$41</c:f>
              <c:numCache>
                <c:formatCode>_-* #,##0.0_-;\-* #,##0.0_-;_-* "-"??_-;_-@_-</c:formatCode>
                <c:ptCount val="14"/>
                <c:pt idx="0">
                  <c:v>5.1480051480051499</c:v>
                </c:pt>
                <c:pt idx="1">
                  <c:v>5.1055139550714799</c:v>
                </c:pt>
                <c:pt idx="2">
                  <c:v>4.6448087431694001</c:v>
                </c:pt>
                <c:pt idx="3">
                  <c:v>4.7978067169293999</c:v>
                </c:pt>
                <c:pt idx="4">
                  <c:v>4.46428571428571</c:v>
                </c:pt>
                <c:pt idx="5">
                  <c:v>5.4221002059025398</c:v>
                </c:pt>
                <c:pt idx="6">
                  <c:v>5.8947368421052602</c:v>
                </c:pt>
                <c:pt idx="7">
                  <c:v>6.3173007896625997</c:v>
                </c:pt>
                <c:pt idx="8">
                  <c:v>6.4955894145950301</c:v>
                </c:pt>
                <c:pt idx="9">
                  <c:v>7.1836734693877604</c:v>
                </c:pt>
                <c:pt idx="10">
                  <c:v>5.2066115702479303</c:v>
                </c:pt>
                <c:pt idx="11">
                  <c:v>5.4718477398889798</c:v>
                </c:pt>
                <c:pt idx="12">
                  <c:v>6.4924114671163604</c:v>
                </c:pt>
                <c:pt idx="13">
                  <c:v>5.9574468085106398</c:v>
                </c:pt>
              </c:numCache>
            </c:numRef>
          </c:val>
          <c:smooth val="0"/>
          <c:extLst>
            <c:ext xmlns:c16="http://schemas.microsoft.com/office/drawing/2014/chart" uri="{C3380CC4-5D6E-409C-BE32-E72D297353CC}">
              <c16:uniqueId val="{00000000-2AB4-4F68-B29C-F4E7E647EE30}"/>
            </c:ext>
          </c:extLst>
        </c:ser>
        <c:ser>
          <c:idx val="1"/>
          <c:order val="1"/>
          <c:tx>
            <c:strRef>
              <c:f>'Low birth weight'!$A$42</c:f>
              <c:strCache>
                <c:ptCount val="1"/>
                <c:pt idx="0">
                  <c:v>Swansea</c:v>
                </c:pt>
              </c:strCache>
            </c:strRef>
          </c:tx>
          <c:spPr>
            <a:ln w="28575" cap="rnd">
              <a:solidFill>
                <a:schemeClr val="accent2"/>
              </a:solidFill>
              <a:round/>
            </a:ln>
            <a:effectLst/>
          </c:spPr>
          <c:marker>
            <c:symbol val="none"/>
          </c:marker>
          <c:cat>
            <c:strRef>
              <c:f>'Low birth weight'!$B$40:$O$40</c:f>
              <c:strCache>
                <c:ptCount val="14"/>
                <c:pt idx="0">
                  <c:v>2011</c:v>
                </c:pt>
                <c:pt idx="1">
                  <c:v>2012</c:v>
                </c:pt>
                <c:pt idx="2">
                  <c:v>2013</c:v>
                </c:pt>
                <c:pt idx="3">
                  <c:v>2014</c:v>
                </c:pt>
                <c:pt idx="4">
                  <c:v>2015</c:v>
                </c:pt>
                <c:pt idx="5">
                  <c:v>2016</c:v>
                </c:pt>
                <c:pt idx="6">
                  <c:v>2017</c:v>
                </c:pt>
                <c:pt idx="7">
                  <c:v>2018</c:v>
                </c:pt>
                <c:pt idx="8">
                  <c:v>2019</c:v>
                </c:pt>
                <c:pt idx="9">
                  <c:v>2020</c:v>
                </c:pt>
                <c:pt idx="10">
                  <c:v>2021</c:v>
                </c:pt>
                <c:pt idx="11">
                  <c:v>2022</c:v>
                </c:pt>
                <c:pt idx="12">
                  <c:v>2023</c:v>
                </c:pt>
                <c:pt idx="13">
                  <c:v>2024</c:v>
                </c:pt>
              </c:strCache>
            </c:strRef>
          </c:cat>
          <c:val>
            <c:numRef>
              <c:f>'Low birth weight'!$B$42:$O$42</c:f>
              <c:numCache>
                <c:formatCode>_-* #,##0.0_-;\-* #,##0.0_-;_-* "-"??_-;_-@_-</c:formatCode>
                <c:ptCount val="14"/>
                <c:pt idx="0">
                  <c:v>5.6221889055472296</c:v>
                </c:pt>
                <c:pt idx="1">
                  <c:v>6.3137996219281698</c:v>
                </c:pt>
                <c:pt idx="2">
                  <c:v>4.8407116259826202</c:v>
                </c:pt>
                <c:pt idx="3">
                  <c:v>4.6103631170950603</c:v>
                </c:pt>
                <c:pt idx="4">
                  <c:v>4.5864045864045897</c:v>
                </c:pt>
                <c:pt idx="5">
                  <c:v>4.8861283643892301</c:v>
                </c:pt>
                <c:pt idx="6">
                  <c:v>5.0905953408110403</c:v>
                </c:pt>
                <c:pt idx="7">
                  <c:v>5.4113506379234497</c:v>
                </c:pt>
                <c:pt idx="8">
                  <c:v>6.1003163126977</c:v>
                </c:pt>
                <c:pt idx="9">
                  <c:v>5.94702648675662</c:v>
                </c:pt>
                <c:pt idx="10">
                  <c:v>5.3747534516765301</c:v>
                </c:pt>
                <c:pt idx="11">
                  <c:v>5.6174089068825896</c:v>
                </c:pt>
                <c:pt idx="12">
                  <c:v>5.9309674282936298</c:v>
                </c:pt>
                <c:pt idx="13">
                  <c:v>7.0316423907584102</c:v>
                </c:pt>
              </c:numCache>
            </c:numRef>
          </c:val>
          <c:smooth val="0"/>
          <c:extLst>
            <c:ext xmlns:c16="http://schemas.microsoft.com/office/drawing/2014/chart" uri="{C3380CC4-5D6E-409C-BE32-E72D297353CC}">
              <c16:uniqueId val="{00000001-2AB4-4F68-B29C-F4E7E647EE30}"/>
            </c:ext>
          </c:extLst>
        </c:ser>
        <c:ser>
          <c:idx val="2"/>
          <c:order val="2"/>
          <c:tx>
            <c:strRef>
              <c:f>'Low birth weight'!$A$43</c:f>
              <c:strCache>
                <c:ptCount val="1"/>
                <c:pt idx="0">
                  <c:v>Swansea Bay UHB</c:v>
                </c:pt>
              </c:strCache>
            </c:strRef>
          </c:tx>
          <c:spPr>
            <a:ln w="28575" cap="rnd">
              <a:solidFill>
                <a:schemeClr val="accent3"/>
              </a:solidFill>
              <a:round/>
            </a:ln>
            <a:effectLst/>
          </c:spPr>
          <c:marker>
            <c:symbol val="none"/>
          </c:marker>
          <c:cat>
            <c:strRef>
              <c:f>'Low birth weight'!$B$40:$O$40</c:f>
              <c:strCache>
                <c:ptCount val="14"/>
                <c:pt idx="0">
                  <c:v>2011</c:v>
                </c:pt>
                <c:pt idx="1">
                  <c:v>2012</c:v>
                </c:pt>
                <c:pt idx="2">
                  <c:v>2013</c:v>
                </c:pt>
                <c:pt idx="3">
                  <c:v>2014</c:v>
                </c:pt>
                <c:pt idx="4">
                  <c:v>2015</c:v>
                </c:pt>
                <c:pt idx="5">
                  <c:v>2016</c:v>
                </c:pt>
                <c:pt idx="6">
                  <c:v>2017</c:v>
                </c:pt>
                <c:pt idx="7">
                  <c:v>2018</c:v>
                </c:pt>
                <c:pt idx="8">
                  <c:v>2019</c:v>
                </c:pt>
                <c:pt idx="9">
                  <c:v>2020</c:v>
                </c:pt>
                <c:pt idx="10">
                  <c:v>2021</c:v>
                </c:pt>
                <c:pt idx="11">
                  <c:v>2022</c:v>
                </c:pt>
                <c:pt idx="12">
                  <c:v>2023</c:v>
                </c:pt>
                <c:pt idx="13">
                  <c:v>2024</c:v>
                </c:pt>
              </c:strCache>
            </c:strRef>
          </c:cat>
          <c:val>
            <c:numRef>
              <c:f>'Low birth weight'!$B$43:$O$43</c:f>
              <c:numCache>
                <c:formatCode>_-* #,##0.0_-;\-* #,##0.0_-;_-* "-"??_-;_-@_-</c:formatCode>
                <c:ptCount val="14"/>
                <c:pt idx="0">
                  <c:v>5.4476551397442003</c:v>
                </c:pt>
                <c:pt idx="1">
                  <c:v>5.8823529411764701</c:v>
                </c:pt>
                <c:pt idx="2">
                  <c:v>4.7668126771450696</c:v>
                </c:pt>
                <c:pt idx="3">
                  <c:v>4.6803069053708404</c:v>
                </c:pt>
                <c:pt idx="4">
                  <c:v>4.5407901487942501</c:v>
                </c:pt>
                <c:pt idx="5">
                  <c:v>5.0878099173553704</c:v>
                </c:pt>
                <c:pt idx="6">
                  <c:v>5.3967405824205201</c:v>
                </c:pt>
                <c:pt idx="7">
                  <c:v>5.7555919258046897</c:v>
                </c:pt>
                <c:pt idx="8">
                  <c:v>6.2427745664739902</c:v>
                </c:pt>
                <c:pt idx="9">
                  <c:v>6.4166150030998104</c:v>
                </c:pt>
                <c:pt idx="10">
                  <c:v>5.3119209388511397</c:v>
                </c:pt>
                <c:pt idx="11">
                  <c:v>5.5607043558850799</c:v>
                </c:pt>
                <c:pt idx="12">
                  <c:v>6.1362935553499796</c:v>
                </c:pt>
                <c:pt idx="13">
                  <c:v>6.6329753632343698</c:v>
                </c:pt>
              </c:numCache>
            </c:numRef>
          </c:val>
          <c:smooth val="0"/>
          <c:extLst>
            <c:ext xmlns:c16="http://schemas.microsoft.com/office/drawing/2014/chart" uri="{C3380CC4-5D6E-409C-BE32-E72D297353CC}">
              <c16:uniqueId val="{00000002-2AB4-4F68-B29C-F4E7E647EE30}"/>
            </c:ext>
          </c:extLst>
        </c:ser>
        <c:ser>
          <c:idx val="3"/>
          <c:order val="3"/>
          <c:tx>
            <c:strRef>
              <c:f>'Low birth weight'!$A$44</c:f>
              <c:strCache>
                <c:ptCount val="1"/>
                <c:pt idx="0">
                  <c:v>Wales</c:v>
                </c:pt>
              </c:strCache>
            </c:strRef>
          </c:tx>
          <c:spPr>
            <a:ln w="28575" cap="rnd">
              <a:solidFill>
                <a:schemeClr val="accent4"/>
              </a:solidFill>
              <a:round/>
            </a:ln>
            <a:effectLst/>
          </c:spPr>
          <c:marker>
            <c:symbol val="none"/>
          </c:marker>
          <c:cat>
            <c:strRef>
              <c:f>'Low birth weight'!$B$40:$O$40</c:f>
              <c:strCache>
                <c:ptCount val="14"/>
                <c:pt idx="0">
                  <c:v>2011</c:v>
                </c:pt>
                <c:pt idx="1">
                  <c:v>2012</c:v>
                </c:pt>
                <c:pt idx="2">
                  <c:v>2013</c:v>
                </c:pt>
                <c:pt idx="3">
                  <c:v>2014</c:v>
                </c:pt>
                <c:pt idx="4">
                  <c:v>2015</c:v>
                </c:pt>
                <c:pt idx="5">
                  <c:v>2016</c:v>
                </c:pt>
                <c:pt idx="6">
                  <c:v>2017</c:v>
                </c:pt>
                <c:pt idx="7">
                  <c:v>2018</c:v>
                </c:pt>
                <c:pt idx="8">
                  <c:v>2019</c:v>
                </c:pt>
                <c:pt idx="9">
                  <c:v>2020</c:v>
                </c:pt>
                <c:pt idx="10">
                  <c:v>2021</c:v>
                </c:pt>
                <c:pt idx="11">
                  <c:v>2022</c:v>
                </c:pt>
                <c:pt idx="12">
                  <c:v>2023</c:v>
                </c:pt>
                <c:pt idx="13">
                  <c:v>2024</c:v>
                </c:pt>
              </c:strCache>
            </c:strRef>
          </c:cat>
          <c:val>
            <c:numRef>
              <c:f>'Low birth weight'!$B$44:$O$44</c:f>
              <c:numCache>
                <c:formatCode>_-* #,##0.0_-;\-* #,##0.0_-;_-* "-"??_-;_-@_-</c:formatCode>
                <c:ptCount val="14"/>
                <c:pt idx="0">
                  <c:v>5.4499550190081001</c:v>
                </c:pt>
                <c:pt idx="1">
                  <c:v>5.5085243974132903</c:v>
                </c:pt>
                <c:pt idx="2">
                  <c:v>5.3804364506921196</c:v>
                </c:pt>
                <c:pt idx="3">
                  <c:v>5.1394373149062202</c:v>
                </c:pt>
                <c:pt idx="4">
                  <c:v>5.1776807980049897</c:v>
                </c:pt>
                <c:pt idx="5">
                  <c:v>5.3634528016153498</c:v>
                </c:pt>
                <c:pt idx="6">
                  <c:v>5.6447735359169204</c:v>
                </c:pt>
                <c:pt idx="7">
                  <c:v>5.6438030448135796</c:v>
                </c:pt>
                <c:pt idx="8">
                  <c:v>5.9206877426511397</c:v>
                </c:pt>
                <c:pt idx="9">
                  <c:v>6.0633160436415698</c:v>
                </c:pt>
                <c:pt idx="10">
                  <c:v>5.7541939152686901</c:v>
                </c:pt>
                <c:pt idx="11">
                  <c:v>6.0938010083789802</c:v>
                </c:pt>
                <c:pt idx="12">
                  <c:v>6.0913515537252003</c:v>
                </c:pt>
                <c:pt idx="13">
                  <c:v>6.2753346080305903</c:v>
                </c:pt>
              </c:numCache>
            </c:numRef>
          </c:val>
          <c:smooth val="0"/>
          <c:extLst>
            <c:ext xmlns:c16="http://schemas.microsoft.com/office/drawing/2014/chart" uri="{C3380CC4-5D6E-409C-BE32-E72D297353CC}">
              <c16:uniqueId val="{00000003-2AB4-4F68-B29C-F4E7E647EE30}"/>
            </c:ext>
          </c:extLst>
        </c:ser>
        <c:dLbls>
          <c:showLegendKey val="0"/>
          <c:showVal val="0"/>
          <c:showCatName val="0"/>
          <c:showSerName val="0"/>
          <c:showPercent val="0"/>
          <c:showBubbleSize val="0"/>
        </c:dLbls>
        <c:smooth val="0"/>
        <c:axId val="1876571120"/>
        <c:axId val="1876571600"/>
      </c:lineChart>
      <c:catAx>
        <c:axId val="1876571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876571600"/>
        <c:crosses val="autoZero"/>
        <c:auto val="1"/>
        <c:lblAlgn val="ctr"/>
        <c:lblOffset val="100"/>
        <c:noMultiLvlLbl val="0"/>
      </c:catAx>
      <c:valAx>
        <c:axId val="18765716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a:latin typeface="Arial" panose="020B0604020202020204" pitchFamily="34" charset="0"/>
                    <a:cs typeface="Arial" panose="020B0604020202020204" pitchFamily="34" charset="0"/>
                  </a:rPr>
                  <a:t>Percentage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_-* #,##0.0_-;\-* #,##0.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876571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'GRAPH '!$B$1</c:f>
              <c:strCache>
                <c:ptCount val="1"/>
                <c:pt idx="0">
                  <c:v>All persons</c:v>
                </c:pt>
              </c:strCache>
            </c:strRef>
          </c:tx>
          <c:spPr>
            <a:solidFill>
              <a:schemeClr val="accent1"/>
            </a:solidFill>
            <a:ln>
              <a:noFill/>
            </a:ln>
            <a:effectLst/>
          </c:spPr>
          <c:invertIfNegative val="0"/>
          <c:cat>
            <c:strRef>
              <c:f>'GRAPH '!$A$2:$A$4</c:f>
              <c:strCache>
                <c:ptCount val="3"/>
                <c:pt idx="0">
                  <c:v>Neath Port Talbot</c:v>
                </c:pt>
                <c:pt idx="1">
                  <c:v>Swansea</c:v>
                </c:pt>
                <c:pt idx="2">
                  <c:v>Wales</c:v>
                </c:pt>
              </c:strCache>
            </c:strRef>
          </c:cat>
          <c:val>
            <c:numRef>
              <c:f>'GRAPH '!$B$2:$B$4</c:f>
              <c:numCache>
                <c:formatCode>General</c:formatCode>
                <c:ptCount val="3"/>
                <c:pt idx="0">
                  <c:v>1054</c:v>
                </c:pt>
                <c:pt idx="1">
                  <c:v>1017</c:v>
                </c:pt>
                <c:pt idx="2">
                  <c:v>1017</c:v>
                </c:pt>
              </c:numCache>
            </c:numRef>
          </c:val>
          <c:extLst>
            <c:ext xmlns:c16="http://schemas.microsoft.com/office/drawing/2014/chart" uri="{C3380CC4-5D6E-409C-BE32-E72D297353CC}">
              <c16:uniqueId val="{00000000-CDA0-4F43-B782-5EC04B9A9793}"/>
            </c:ext>
          </c:extLst>
        </c:ser>
        <c:ser>
          <c:idx val="1"/>
          <c:order val="1"/>
          <c:tx>
            <c:strRef>
              <c:f>'GRAPH '!$C$1</c:f>
              <c:strCache>
                <c:ptCount val="1"/>
                <c:pt idx="0">
                  <c:v>Male</c:v>
                </c:pt>
              </c:strCache>
            </c:strRef>
          </c:tx>
          <c:spPr>
            <a:solidFill>
              <a:schemeClr val="accent2"/>
            </a:solidFill>
            <a:ln>
              <a:noFill/>
            </a:ln>
            <a:effectLst/>
          </c:spPr>
          <c:invertIfNegative val="0"/>
          <c:cat>
            <c:strRef>
              <c:f>'GRAPH '!$A$2:$A$4</c:f>
              <c:strCache>
                <c:ptCount val="3"/>
                <c:pt idx="0">
                  <c:v>Neath Port Talbot</c:v>
                </c:pt>
                <c:pt idx="1">
                  <c:v>Swansea</c:v>
                </c:pt>
                <c:pt idx="2">
                  <c:v>Wales</c:v>
                </c:pt>
              </c:strCache>
            </c:strRef>
          </c:cat>
          <c:val>
            <c:numRef>
              <c:f>'GRAPH '!$C$2:$C$4</c:f>
              <c:numCache>
                <c:formatCode>General</c:formatCode>
                <c:ptCount val="3"/>
                <c:pt idx="0">
                  <c:v>1221</c:v>
                </c:pt>
                <c:pt idx="1">
                  <c:v>1217</c:v>
                </c:pt>
                <c:pt idx="2">
                  <c:v>1190</c:v>
                </c:pt>
              </c:numCache>
            </c:numRef>
          </c:val>
          <c:extLst>
            <c:ext xmlns:c16="http://schemas.microsoft.com/office/drawing/2014/chart" uri="{C3380CC4-5D6E-409C-BE32-E72D297353CC}">
              <c16:uniqueId val="{00000001-CDA0-4F43-B782-5EC04B9A9793}"/>
            </c:ext>
          </c:extLst>
        </c:ser>
        <c:ser>
          <c:idx val="2"/>
          <c:order val="2"/>
          <c:tx>
            <c:strRef>
              <c:f>'GRAPH '!$D$1</c:f>
              <c:strCache>
                <c:ptCount val="1"/>
                <c:pt idx="0">
                  <c:v>Female</c:v>
                </c:pt>
              </c:strCache>
            </c:strRef>
          </c:tx>
          <c:spPr>
            <a:solidFill>
              <a:schemeClr val="accent3"/>
            </a:solidFill>
            <a:ln>
              <a:noFill/>
            </a:ln>
            <a:effectLst/>
          </c:spPr>
          <c:invertIfNegative val="0"/>
          <c:cat>
            <c:strRef>
              <c:f>'GRAPH '!$A$2:$A$4</c:f>
              <c:strCache>
                <c:ptCount val="3"/>
                <c:pt idx="0">
                  <c:v>Neath Port Talbot</c:v>
                </c:pt>
                <c:pt idx="1">
                  <c:v>Swansea</c:v>
                </c:pt>
                <c:pt idx="2">
                  <c:v>Wales</c:v>
                </c:pt>
              </c:strCache>
            </c:strRef>
          </c:cat>
          <c:val>
            <c:numRef>
              <c:f>'GRAPH '!$D$2:$D$4</c:f>
              <c:numCache>
                <c:formatCode>General</c:formatCode>
                <c:ptCount val="3"/>
                <c:pt idx="0">
                  <c:v>922</c:v>
                </c:pt>
                <c:pt idx="1">
                  <c:v>858</c:v>
                </c:pt>
                <c:pt idx="2">
                  <c:v>873</c:v>
                </c:pt>
              </c:numCache>
            </c:numRef>
          </c:val>
          <c:extLst>
            <c:ext xmlns:c16="http://schemas.microsoft.com/office/drawing/2014/chart" uri="{C3380CC4-5D6E-409C-BE32-E72D297353CC}">
              <c16:uniqueId val="{00000002-CDA0-4F43-B782-5EC04B9A9793}"/>
            </c:ext>
          </c:extLst>
        </c:ser>
        <c:dLbls>
          <c:showLegendKey val="0"/>
          <c:showVal val="0"/>
          <c:showCatName val="0"/>
          <c:showSerName val="0"/>
          <c:showPercent val="0"/>
          <c:showBubbleSize val="0"/>
        </c:dLbls>
        <c:gapWidth val="219"/>
        <c:overlap val="-27"/>
        <c:axId val="123327472"/>
        <c:axId val="123326992"/>
      </c:barChart>
      <c:catAx>
        <c:axId val="123327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23326992"/>
        <c:crosses val="autoZero"/>
        <c:auto val="1"/>
        <c:lblAlgn val="ctr"/>
        <c:lblOffset val="100"/>
        <c:noMultiLvlLbl val="0"/>
      </c:catAx>
      <c:valAx>
        <c:axId val="1233269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a:latin typeface="Arial" panose="020B0604020202020204" pitchFamily="34" charset="0"/>
                    <a:cs typeface="Arial" panose="020B0604020202020204" pitchFamily="34" charset="0"/>
                  </a:rPr>
                  <a:t>ASMR</a:t>
                </a:r>
                <a:r>
                  <a:rPr lang="en-GB" baseline="0">
                    <a:latin typeface="Arial" panose="020B0604020202020204" pitchFamily="34" charset="0"/>
                    <a:cs typeface="Arial" panose="020B0604020202020204" pitchFamily="34" charset="0"/>
                  </a:rPr>
                  <a:t> per 100,000 population</a:t>
                </a:r>
                <a:endParaRPr lang="en-GB">
                  <a:latin typeface="Arial" panose="020B0604020202020204" pitchFamily="34" charset="0"/>
                  <a:cs typeface="Arial" panose="020B0604020202020204" pitchFamily="34"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233274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Sheet1!$D$31</c:f>
              <c:strCache>
                <c:ptCount val="1"/>
                <c:pt idx="0">
                  <c:v>Total responses</c:v>
                </c:pt>
              </c:strCache>
            </c:strRef>
          </c:tx>
          <c:spPr>
            <a:solidFill>
              <a:schemeClr val="accent1"/>
            </a:solidFill>
            <a:ln>
              <a:noFill/>
            </a:ln>
            <a:effectLst/>
          </c:spPr>
          <c:invertIfNegative val="0"/>
          <c:cat>
            <c:strRef>
              <c:f>Sheet1!$A$32:$A$39</c:f>
              <c:strCache>
                <c:ptCount val="8"/>
                <c:pt idx="0">
                  <c:v>Daily</c:v>
                </c:pt>
                <c:pt idx="1">
                  <c:v>Weekly</c:v>
                </c:pt>
                <c:pt idx="2">
                  <c:v>Fortnightly</c:v>
                </c:pt>
                <c:pt idx="3">
                  <c:v>Monthly/every four weeks</c:v>
                </c:pt>
                <c:pt idx="4">
                  <c:v>Quarterly/every three months</c:v>
                </c:pt>
                <c:pt idx="5">
                  <c:v>As needed</c:v>
                </c:pt>
                <c:pt idx="6">
                  <c:v>I don’t use a pharmacy</c:v>
                </c:pt>
                <c:pt idx="7">
                  <c:v>Other:</c:v>
                </c:pt>
              </c:strCache>
            </c:strRef>
          </c:cat>
          <c:val>
            <c:numRef>
              <c:f>Sheet1!$D$32:$D$39</c:f>
              <c:numCache>
                <c:formatCode>General</c:formatCode>
                <c:ptCount val="8"/>
                <c:pt idx="0">
                  <c:v>0</c:v>
                </c:pt>
                <c:pt idx="1">
                  <c:v>8</c:v>
                </c:pt>
                <c:pt idx="2">
                  <c:v>14</c:v>
                </c:pt>
                <c:pt idx="3">
                  <c:v>76</c:v>
                </c:pt>
                <c:pt idx="4">
                  <c:v>2</c:v>
                </c:pt>
                <c:pt idx="5">
                  <c:v>19</c:v>
                </c:pt>
                <c:pt idx="6">
                  <c:v>0</c:v>
                </c:pt>
                <c:pt idx="7">
                  <c:v>0</c:v>
                </c:pt>
              </c:numCache>
            </c:numRef>
          </c:val>
          <c:extLst>
            <c:ext xmlns:c16="http://schemas.microsoft.com/office/drawing/2014/chart" uri="{C3380CC4-5D6E-409C-BE32-E72D297353CC}">
              <c16:uniqueId val="{00000000-AD91-4268-A422-5713A18B3B22}"/>
            </c:ext>
          </c:extLst>
        </c:ser>
        <c:dLbls>
          <c:showLegendKey val="0"/>
          <c:showVal val="0"/>
          <c:showCatName val="0"/>
          <c:showSerName val="0"/>
          <c:showPercent val="0"/>
          <c:showBubbleSize val="0"/>
        </c:dLbls>
        <c:gapWidth val="219"/>
        <c:overlap val="-27"/>
        <c:axId val="2071483727"/>
        <c:axId val="2071474607"/>
      </c:barChart>
      <c:catAx>
        <c:axId val="20714837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74607"/>
        <c:crosses val="autoZero"/>
        <c:auto val="1"/>
        <c:lblAlgn val="ctr"/>
        <c:lblOffset val="100"/>
        <c:noMultiLvlLbl val="0"/>
      </c:catAx>
      <c:valAx>
        <c:axId val="20714746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837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Sheet1!$D$42</c:f>
              <c:strCache>
                <c:ptCount val="1"/>
                <c:pt idx="0">
                  <c:v>Total responses</c:v>
                </c:pt>
              </c:strCache>
            </c:strRef>
          </c:tx>
          <c:spPr>
            <a:solidFill>
              <a:schemeClr val="accent1"/>
            </a:solidFill>
            <a:ln>
              <a:noFill/>
            </a:ln>
            <a:effectLst/>
          </c:spPr>
          <c:invertIfNegative val="0"/>
          <c:cat>
            <c:strRef>
              <c:f>Sheet1!$A$43:$A$49</c:f>
              <c:strCache>
                <c:ptCount val="7"/>
                <c:pt idx="0">
                  <c:v>7am to 9am</c:v>
                </c:pt>
                <c:pt idx="1">
                  <c:v>9am to 12 noon</c:v>
                </c:pt>
                <c:pt idx="2">
                  <c:v>12 noon to 2pm</c:v>
                </c:pt>
                <c:pt idx="3">
                  <c:v>2pm to 6pm</c:v>
                </c:pt>
                <c:pt idx="4">
                  <c:v>6pm to 9pm</c:v>
                </c:pt>
                <c:pt idx="5">
                  <c:v>9pm to midnight</c:v>
                </c:pt>
                <c:pt idx="6">
                  <c:v>I don’t have a preference</c:v>
                </c:pt>
              </c:strCache>
            </c:strRef>
          </c:cat>
          <c:val>
            <c:numRef>
              <c:f>Sheet1!$D$43:$D$49</c:f>
              <c:numCache>
                <c:formatCode>General</c:formatCode>
                <c:ptCount val="7"/>
                <c:pt idx="0">
                  <c:v>3</c:v>
                </c:pt>
                <c:pt idx="1">
                  <c:v>30</c:v>
                </c:pt>
                <c:pt idx="2">
                  <c:v>4</c:v>
                </c:pt>
                <c:pt idx="3">
                  <c:v>19</c:v>
                </c:pt>
                <c:pt idx="4">
                  <c:v>21</c:v>
                </c:pt>
                <c:pt idx="5">
                  <c:v>0</c:v>
                </c:pt>
                <c:pt idx="6">
                  <c:v>42</c:v>
                </c:pt>
              </c:numCache>
            </c:numRef>
          </c:val>
          <c:extLst>
            <c:ext xmlns:c16="http://schemas.microsoft.com/office/drawing/2014/chart" uri="{C3380CC4-5D6E-409C-BE32-E72D297353CC}">
              <c16:uniqueId val="{00000000-FF3F-44D6-87BB-2E761173AFDC}"/>
            </c:ext>
          </c:extLst>
        </c:ser>
        <c:dLbls>
          <c:showLegendKey val="0"/>
          <c:showVal val="0"/>
          <c:showCatName val="0"/>
          <c:showSerName val="0"/>
          <c:showPercent val="0"/>
          <c:showBubbleSize val="0"/>
        </c:dLbls>
        <c:gapWidth val="219"/>
        <c:overlap val="-27"/>
        <c:axId val="2071483727"/>
        <c:axId val="2071474607"/>
      </c:barChart>
      <c:catAx>
        <c:axId val="20714837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74607"/>
        <c:crosses val="autoZero"/>
        <c:auto val="1"/>
        <c:lblAlgn val="ctr"/>
        <c:lblOffset val="100"/>
        <c:noMultiLvlLbl val="0"/>
      </c:catAx>
      <c:valAx>
        <c:axId val="20714746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837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Arial" panose="020B0604020202020204" pitchFamily="34" charset="0"/>
          <a:cs typeface="Arial" panose="020B0604020202020204" pitchFamily="34" charset="0"/>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Sheet1!$D$54</c:f>
              <c:strCache>
                <c:ptCount val="1"/>
                <c:pt idx="0">
                  <c:v>Total responses</c:v>
                </c:pt>
              </c:strCache>
            </c:strRef>
          </c:tx>
          <c:spPr>
            <a:solidFill>
              <a:schemeClr val="accent1"/>
            </a:solidFill>
            <a:ln>
              <a:noFill/>
            </a:ln>
            <a:effectLst/>
          </c:spPr>
          <c:invertIfNegative val="0"/>
          <c:cat>
            <c:strRef>
              <c:f>Sheet1!$A$55:$A$64</c:f>
              <c:strCache>
                <c:ptCount val="10"/>
                <c:pt idx="0">
                  <c:v>Monday</c:v>
                </c:pt>
                <c:pt idx="1">
                  <c:v>Tuesday</c:v>
                </c:pt>
                <c:pt idx="2">
                  <c:v>Wednesday</c:v>
                </c:pt>
                <c:pt idx="3">
                  <c:v>Thursday</c:v>
                </c:pt>
                <c:pt idx="4">
                  <c:v>Friday</c:v>
                </c:pt>
                <c:pt idx="5">
                  <c:v>Saturday</c:v>
                </c:pt>
                <c:pt idx="6">
                  <c:v>Sunday</c:v>
                </c:pt>
                <c:pt idx="7">
                  <c:v>Weekdays in general</c:v>
                </c:pt>
                <c:pt idx="8">
                  <c:v>Weekends in general</c:v>
                </c:pt>
                <c:pt idx="9">
                  <c:v>I don’t have a preference</c:v>
                </c:pt>
              </c:strCache>
            </c:strRef>
          </c:cat>
          <c:val>
            <c:numRef>
              <c:f>Sheet1!$D$55:$D$64</c:f>
              <c:numCache>
                <c:formatCode>General</c:formatCode>
                <c:ptCount val="10"/>
                <c:pt idx="0">
                  <c:v>2</c:v>
                </c:pt>
                <c:pt idx="1">
                  <c:v>4</c:v>
                </c:pt>
                <c:pt idx="2">
                  <c:v>5</c:v>
                </c:pt>
                <c:pt idx="3">
                  <c:v>0</c:v>
                </c:pt>
                <c:pt idx="4">
                  <c:v>4</c:v>
                </c:pt>
                <c:pt idx="5">
                  <c:v>3</c:v>
                </c:pt>
                <c:pt idx="6">
                  <c:v>1</c:v>
                </c:pt>
                <c:pt idx="7">
                  <c:v>31</c:v>
                </c:pt>
                <c:pt idx="8">
                  <c:v>13</c:v>
                </c:pt>
                <c:pt idx="9">
                  <c:v>56</c:v>
                </c:pt>
              </c:numCache>
            </c:numRef>
          </c:val>
          <c:extLst>
            <c:ext xmlns:c16="http://schemas.microsoft.com/office/drawing/2014/chart" uri="{C3380CC4-5D6E-409C-BE32-E72D297353CC}">
              <c16:uniqueId val="{00000000-6EF6-4D41-B164-C12E3EB5A827}"/>
            </c:ext>
          </c:extLst>
        </c:ser>
        <c:dLbls>
          <c:showLegendKey val="0"/>
          <c:showVal val="0"/>
          <c:showCatName val="0"/>
          <c:showSerName val="0"/>
          <c:showPercent val="0"/>
          <c:showBubbleSize val="0"/>
        </c:dLbls>
        <c:gapWidth val="219"/>
        <c:overlap val="-27"/>
        <c:axId val="2071483727"/>
        <c:axId val="2071474607"/>
      </c:barChart>
      <c:catAx>
        <c:axId val="20714837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74607"/>
        <c:crosses val="autoZero"/>
        <c:auto val="1"/>
        <c:lblAlgn val="ctr"/>
        <c:lblOffset val="100"/>
        <c:noMultiLvlLbl val="0"/>
      </c:catAx>
      <c:valAx>
        <c:axId val="20714746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837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Sheet1!$E$66</c:f>
              <c:strCache>
                <c:ptCount val="1"/>
                <c:pt idx="0">
                  <c:v>Total responses</c:v>
                </c:pt>
              </c:strCache>
            </c:strRef>
          </c:tx>
          <c:spPr>
            <a:solidFill>
              <a:schemeClr val="accent1"/>
            </a:solidFill>
            <a:ln>
              <a:noFill/>
            </a:ln>
            <a:effectLst/>
          </c:spPr>
          <c:invertIfNegative val="0"/>
          <c:cat>
            <c:strRef>
              <c:f>Sheet1!$B$67:$B$73</c:f>
              <c:strCache>
                <c:ptCount val="7"/>
                <c:pt idx="0">
                  <c:v>Went to another pharmacy</c:v>
                </c:pt>
                <c:pt idx="1">
                  <c:v>Waited until open</c:v>
                </c:pt>
                <c:pt idx="2">
                  <c:v>Went to GP / Out of Hours GP</c:v>
                </c:pt>
                <c:pt idx="3">
                  <c:v>Went to the A&amp;E / emergency department</c:v>
                </c:pt>
                <c:pt idx="4">
                  <c:v>Went to a minor injury unit</c:v>
                </c:pt>
                <c:pt idx="5">
                  <c:v>Called NHS 111 Wales</c:v>
                </c:pt>
                <c:pt idx="6">
                  <c:v>Other:</c:v>
                </c:pt>
              </c:strCache>
            </c:strRef>
          </c:cat>
          <c:val>
            <c:numRef>
              <c:f>Sheet1!$E$67:$E$73</c:f>
              <c:numCache>
                <c:formatCode>General</c:formatCode>
                <c:ptCount val="7"/>
                <c:pt idx="0">
                  <c:v>32</c:v>
                </c:pt>
                <c:pt idx="1">
                  <c:v>9</c:v>
                </c:pt>
                <c:pt idx="2">
                  <c:v>5</c:v>
                </c:pt>
                <c:pt idx="3">
                  <c:v>0</c:v>
                </c:pt>
                <c:pt idx="4">
                  <c:v>0</c:v>
                </c:pt>
                <c:pt idx="5">
                  <c:v>0</c:v>
                </c:pt>
                <c:pt idx="6">
                  <c:v>2</c:v>
                </c:pt>
              </c:numCache>
            </c:numRef>
          </c:val>
          <c:extLst>
            <c:ext xmlns:c16="http://schemas.microsoft.com/office/drawing/2014/chart" uri="{C3380CC4-5D6E-409C-BE32-E72D297353CC}">
              <c16:uniqueId val="{00000000-15E8-4AD3-A781-ADC17668F1F8}"/>
            </c:ext>
          </c:extLst>
        </c:ser>
        <c:dLbls>
          <c:showLegendKey val="0"/>
          <c:showVal val="0"/>
          <c:showCatName val="0"/>
          <c:showSerName val="0"/>
          <c:showPercent val="0"/>
          <c:showBubbleSize val="0"/>
        </c:dLbls>
        <c:gapWidth val="219"/>
        <c:axId val="2071483727"/>
        <c:axId val="2071474607"/>
      </c:barChart>
      <c:catAx>
        <c:axId val="207148372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74607"/>
        <c:crosses val="autoZero"/>
        <c:auto val="1"/>
        <c:lblAlgn val="ctr"/>
        <c:lblOffset val="100"/>
        <c:noMultiLvlLbl val="0"/>
      </c:catAx>
      <c:valAx>
        <c:axId val="207147460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837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Arial" panose="020B0604020202020204" pitchFamily="34" charset="0"/>
          <a:cs typeface="Arial" panose="020B0604020202020204" pitchFamily="34" charset="0"/>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Sheet1!$B$82</c:f>
              <c:strCache>
                <c:ptCount val="1"/>
                <c:pt idx="0">
                  <c:v>Total responses</c:v>
                </c:pt>
              </c:strCache>
            </c:strRef>
          </c:tx>
          <c:spPr>
            <a:solidFill>
              <a:schemeClr val="accent1"/>
            </a:solidFill>
            <a:ln>
              <a:noFill/>
            </a:ln>
            <a:effectLst/>
          </c:spPr>
          <c:invertIfNegative val="0"/>
          <c:cat>
            <c:strRef>
              <c:f>Sheet1!$A$83:$A$86</c:f>
              <c:strCache>
                <c:ptCount val="4"/>
                <c:pt idx="0">
                  <c:v>Less than 5 minutes</c:v>
                </c:pt>
                <c:pt idx="1">
                  <c:v>Between 5 and 15 minutes</c:v>
                </c:pt>
                <c:pt idx="2">
                  <c:v>More than 15 minutes but less than 20 minutes</c:v>
                </c:pt>
                <c:pt idx="3">
                  <c:v>More than 20 minutes</c:v>
                </c:pt>
              </c:strCache>
            </c:strRef>
          </c:cat>
          <c:val>
            <c:numRef>
              <c:f>Sheet1!$B$83:$B$86</c:f>
              <c:numCache>
                <c:formatCode>General</c:formatCode>
                <c:ptCount val="4"/>
                <c:pt idx="0">
                  <c:v>39</c:v>
                </c:pt>
                <c:pt idx="1">
                  <c:v>67</c:v>
                </c:pt>
                <c:pt idx="2">
                  <c:v>8</c:v>
                </c:pt>
                <c:pt idx="3">
                  <c:v>4</c:v>
                </c:pt>
              </c:numCache>
            </c:numRef>
          </c:val>
          <c:extLst>
            <c:ext xmlns:c16="http://schemas.microsoft.com/office/drawing/2014/chart" uri="{C3380CC4-5D6E-409C-BE32-E72D297353CC}">
              <c16:uniqueId val="{00000000-8305-414B-93A2-180438D717A4}"/>
            </c:ext>
          </c:extLst>
        </c:ser>
        <c:dLbls>
          <c:showLegendKey val="0"/>
          <c:showVal val="0"/>
          <c:showCatName val="0"/>
          <c:showSerName val="0"/>
          <c:showPercent val="0"/>
          <c:showBubbleSize val="0"/>
        </c:dLbls>
        <c:gapWidth val="219"/>
        <c:overlap val="-27"/>
        <c:axId val="2071483727"/>
        <c:axId val="2071474607"/>
      </c:barChart>
      <c:catAx>
        <c:axId val="20714837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74607"/>
        <c:crosses val="autoZero"/>
        <c:auto val="1"/>
        <c:lblAlgn val="ctr"/>
        <c:lblOffset val="100"/>
        <c:noMultiLvlLbl val="0"/>
      </c:catAx>
      <c:valAx>
        <c:axId val="20714746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837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Arial" panose="020B0604020202020204" pitchFamily="34" charset="0"/>
          <a:cs typeface="Arial" panose="020B0604020202020204" pitchFamily="34" charset="0"/>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Sheet1!$F$1</c:f>
              <c:strCache>
                <c:ptCount val="1"/>
                <c:pt idx="0">
                  <c:v>Response Percent</c:v>
                </c:pt>
              </c:strCache>
            </c:strRef>
          </c:tx>
          <c:spPr>
            <a:solidFill>
              <a:schemeClr val="accent1"/>
            </a:solidFill>
            <a:ln>
              <a:noFill/>
            </a:ln>
            <a:effectLst/>
          </c:spPr>
          <c:invertIfNegative val="0"/>
          <c:cat>
            <c:strRef>
              <c:f>Sheet1!$E$2:$E$15</c:f>
              <c:strCache>
                <c:ptCount val="14"/>
                <c:pt idx="0">
                  <c:v>Discharge medication review </c:v>
                </c:pt>
                <c:pt idx="1">
                  <c:v>Medicines administration record service </c:v>
                </c:pt>
                <c:pt idx="2">
                  <c:v>Inhaler review service</c:v>
                </c:pt>
                <c:pt idx="3">
                  <c:v>Just in case bag service </c:v>
                </c:pt>
                <c:pt idx="4">
                  <c:v>Urgent medicines service </c:v>
                </c:pt>
                <c:pt idx="5">
                  <c:v>Discharge medicines review service </c:v>
                </c:pt>
                <c:pt idx="6">
                  <c:v>Help to stop smoking</c:v>
                </c:pt>
                <c:pt idx="7">
                  <c:v>Contraception services which includes the ‘morning after pill’</c:v>
                </c:pt>
                <c:pt idx="8">
                  <c:v>Emergency medicines supply </c:v>
                </c:pt>
                <c:pt idx="9">
                  <c:v>No</c:v>
                </c:pt>
                <c:pt idx="10">
                  <c:v>Covid vaccination service</c:v>
                </c:pt>
                <c:pt idx="11">
                  <c:v>Pharmacist independent prescribing service </c:v>
                </c:pt>
                <c:pt idx="12">
                  <c:v>Influenza vaccinations</c:v>
                </c:pt>
                <c:pt idx="13">
                  <c:v>Common ailments service</c:v>
                </c:pt>
              </c:strCache>
            </c:strRef>
          </c:cat>
          <c:val>
            <c:numRef>
              <c:f>Sheet1!$F$2:$F$15</c:f>
              <c:numCache>
                <c:formatCode>0%</c:formatCode>
                <c:ptCount val="14"/>
                <c:pt idx="0">
                  <c:v>8.9999999999999993E-3</c:v>
                </c:pt>
                <c:pt idx="1">
                  <c:v>8.9999999999999993E-3</c:v>
                </c:pt>
                <c:pt idx="2">
                  <c:v>1.9E-2</c:v>
                </c:pt>
                <c:pt idx="3">
                  <c:v>1.9E-2</c:v>
                </c:pt>
                <c:pt idx="4">
                  <c:v>2.8000000000000001E-2</c:v>
                </c:pt>
                <c:pt idx="5">
                  <c:v>4.5999999999999999E-2</c:v>
                </c:pt>
                <c:pt idx="6">
                  <c:v>6.5000000000000002E-2</c:v>
                </c:pt>
                <c:pt idx="7">
                  <c:v>0.10199999999999999</c:v>
                </c:pt>
                <c:pt idx="8">
                  <c:v>0.13900000000000001</c:v>
                </c:pt>
                <c:pt idx="9">
                  <c:v>0.17599999999999999</c:v>
                </c:pt>
                <c:pt idx="10">
                  <c:v>0.19400000000000001</c:v>
                </c:pt>
                <c:pt idx="11">
                  <c:v>0.24099999999999999</c:v>
                </c:pt>
                <c:pt idx="12">
                  <c:v>0.48199999999999998</c:v>
                </c:pt>
                <c:pt idx="13">
                  <c:v>0.59299999999999997</c:v>
                </c:pt>
              </c:numCache>
            </c:numRef>
          </c:val>
          <c:extLst>
            <c:ext xmlns:c16="http://schemas.microsoft.com/office/drawing/2014/chart" uri="{C3380CC4-5D6E-409C-BE32-E72D297353CC}">
              <c16:uniqueId val="{00000000-4257-4FE0-AA6A-1723E31B80DC}"/>
            </c:ext>
          </c:extLst>
        </c:ser>
        <c:dLbls>
          <c:showLegendKey val="0"/>
          <c:showVal val="0"/>
          <c:showCatName val="0"/>
          <c:showSerName val="0"/>
          <c:showPercent val="0"/>
          <c:showBubbleSize val="0"/>
        </c:dLbls>
        <c:gapWidth val="182"/>
        <c:axId val="755619247"/>
        <c:axId val="755620687"/>
      </c:barChart>
      <c:catAx>
        <c:axId val="7556192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755620687"/>
        <c:crosses val="autoZero"/>
        <c:auto val="1"/>
        <c:lblAlgn val="ctr"/>
        <c:lblOffset val="100"/>
        <c:noMultiLvlLbl val="0"/>
      </c:catAx>
      <c:valAx>
        <c:axId val="755620687"/>
        <c:scaling>
          <c:orientation val="minMax"/>
          <c:max val="0.65000000000000013"/>
          <c:min val="0"/>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75561924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Arial" panose="020B0604020202020204" pitchFamily="34" charset="0"/>
          <a:cs typeface="Arial" panose="020B0604020202020204" pitchFamily="34" charset="0"/>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latin typeface="Arial" panose="020B0604020202020204" pitchFamily="34" charset="0"/>
                <a:cs typeface="Arial" panose="020B0604020202020204" pitchFamily="34" charset="0"/>
              </a:rPr>
              <a:t>Percentage of population by age and sex</a:t>
            </a:r>
            <a:r>
              <a:rPr lang="en-GB" baseline="0">
                <a:latin typeface="Arial" panose="020B0604020202020204" pitchFamily="34" charset="0"/>
                <a:cs typeface="Arial" panose="020B0604020202020204" pitchFamily="34" charset="0"/>
              </a:rPr>
              <a:t> - Swansea University Health Board</a:t>
            </a:r>
            <a:endParaRPr lang="en-GB">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0444495908599664E-2"/>
          <c:y val="0.15485082713284692"/>
          <c:w val="0.89071522309711282"/>
          <c:h val="0.6153546952464275"/>
        </c:manualLayout>
      </c:layout>
      <c:barChart>
        <c:barDir val="bar"/>
        <c:grouping val="clustered"/>
        <c:varyColors val="0"/>
        <c:ser>
          <c:idx val="0"/>
          <c:order val="0"/>
          <c:tx>
            <c:strRef>
              <c:f>Swansea!$M$34</c:f>
              <c:strCache>
                <c:ptCount val="1"/>
                <c:pt idx="0">
                  <c:v>% male</c:v>
                </c:pt>
              </c:strCache>
            </c:strRef>
          </c:tx>
          <c:spPr>
            <a:solidFill>
              <a:schemeClr val="accent1"/>
            </a:solidFill>
            <a:ln>
              <a:noFill/>
            </a:ln>
            <a:effectLst/>
          </c:spPr>
          <c:invertIfNegative val="0"/>
          <c:cat>
            <c:strRef>
              <c:f>Swansea!$H$35:$H$53</c:f>
              <c:strCache>
                <c:ptCount val="19"/>
                <c:pt idx="0">
                  <c:v>0 - 4</c:v>
                </c:pt>
                <c:pt idx="1">
                  <c:v>5 - 9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pt idx="17">
                  <c:v>85-89</c:v>
                </c:pt>
                <c:pt idx="18">
                  <c:v>90 +</c:v>
                </c:pt>
              </c:strCache>
            </c:strRef>
          </c:cat>
          <c:val>
            <c:numRef>
              <c:f>Swansea!$M$35:$M$53</c:f>
              <c:numCache>
                <c:formatCode>0%</c:formatCode>
                <c:ptCount val="19"/>
                <c:pt idx="0">
                  <c:v>-4.668516805427074E-2</c:v>
                </c:pt>
                <c:pt idx="1">
                  <c:v>-5.5894747661630176E-2</c:v>
                </c:pt>
                <c:pt idx="2">
                  <c:v>-6.0422448350292937E-2</c:v>
                </c:pt>
                <c:pt idx="3">
                  <c:v>-6.7319354507143589E-2</c:v>
                </c:pt>
                <c:pt idx="4">
                  <c:v>-8.1606537156953443E-2</c:v>
                </c:pt>
                <c:pt idx="5">
                  <c:v>-6.1696988385240001E-2</c:v>
                </c:pt>
                <c:pt idx="6">
                  <c:v>-6.5284201870695863E-2</c:v>
                </c:pt>
                <c:pt idx="7">
                  <c:v>-6.4276904101140925E-2</c:v>
                </c:pt>
                <c:pt idx="8">
                  <c:v>-6.1147086031452358E-2</c:v>
                </c:pt>
                <c:pt idx="9">
                  <c:v>-5.5128995785795047E-2</c:v>
                </c:pt>
                <c:pt idx="10">
                  <c:v>-5.927639017370747E-2</c:v>
                </c:pt>
                <c:pt idx="11">
                  <c:v>-6.5469215746736559E-2</c:v>
                </c:pt>
                <c:pt idx="12">
                  <c:v>-6.3033199712200644E-2</c:v>
                </c:pt>
                <c:pt idx="13">
                  <c:v>-5.4260458423270631E-2</c:v>
                </c:pt>
                <c:pt idx="14">
                  <c:v>-4.772330146983246E-2</c:v>
                </c:pt>
                <c:pt idx="15">
                  <c:v>-4.3246993524514339E-2</c:v>
                </c:pt>
                <c:pt idx="16">
                  <c:v>-2.6924658238256759E-2</c:v>
                </c:pt>
                <c:pt idx="17">
                  <c:v>-1.4297461198478774E-2</c:v>
                </c:pt>
                <c:pt idx="18">
                  <c:v>-6.3058896083872957E-3</c:v>
                </c:pt>
              </c:numCache>
            </c:numRef>
          </c:val>
          <c:extLst>
            <c:ext xmlns:c16="http://schemas.microsoft.com/office/drawing/2014/chart" uri="{C3380CC4-5D6E-409C-BE32-E72D297353CC}">
              <c16:uniqueId val="{00000000-4302-4710-A7C2-E22DB24FCBCE}"/>
            </c:ext>
          </c:extLst>
        </c:ser>
        <c:ser>
          <c:idx val="1"/>
          <c:order val="1"/>
          <c:tx>
            <c:strRef>
              <c:f>Swansea!$N$34</c:f>
              <c:strCache>
                <c:ptCount val="1"/>
                <c:pt idx="0">
                  <c:v>% female</c:v>
                </c:pt>
              </c:strCache>
            </c:strRef>
          </c:tx>
          <c:spPr>
            <a:solidFill>
              <a:schemeClr val="accent5">
                <a:lumMod val="60000"/>
                <a:lumOff val="40000"/>
              </a:schemeClr>
            </a:solidFill>
            <a:ln>
              <a:noFill/>
            </a:ln>
            <a:effectLst/>
          </c:spPr>
          <c:invertIfNegative val="0"/>
          <c:cat>
            <c:strRef>
              <c:f>Swansea!$H$35:$H$53</c:f>
              <c:strCache>
                <c:ptCount val="19"/>
                <c:pt idx="0">
                  <c:v>0 - 4</c:v>
                </c:pt>
                <c:pt idx="1">
                  <c:v>5 - 9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pt idx="17">
                  <c:v>85-89</c:v>
                </c:pt>
                <c:pt idx="18">
                  <c:v>90 +</c:v>
                </c:pt>
              </c:strCache>
            </c:strRef>
          </c:cat>
          <c:val>
            <c:numRef>
              <c:f>Swansea!$N$35:$N$53</c:f>
              <c:numCache>
                <c:formatCode>0%</c:formatCode>
                <c:ptCount val="19"/>
                <c:pt idx="0">
                  <c:v>4.3940932025823484E-2</c:v>
                </c:pt>
                <c:pt idx="1">
                  <c:v>5.2182044576017765E-2</c:v>
                </c:pt>
                <c:pt idx="2">
                  <c:v>5.4812399673955986E-2</c:v>
                </c:pt>
                <c:pt idx="3">
                  <c:v>5.8202857385747077E-2</c:v>
                </c:pt>
                <c:pt idx="4" formatCode="0.0%">
                  <c:v>6.329354462852485E-2</c:v>
                </c:pt>
                <c:pt idx="5">
                  <c:v>6.1658323873722949E-2</c:v>
                </c:pt>
                <c:pt idx="6">
                  <c:v>6.512379171188111E-2</c:v>
                </c:pt>
                <c:pt idx="7">
                  <c:v>6.706905432233351E-2</c:v>
                </c:pt>
                <c:pt idx="8">
                  <c:v>6.2348417036299904E-2</c:v>
                </c:pt>
                <c:pt idx="9">
                  <c:v>5.5307466507978575E-2</c:v>
                </c:pt>
                <c:pt idx="10">
                  <c:v>6.1043240837513064E-2</c:v>
                </c:pt>
                <c:pt idx="11">
                  <c:v>6.6228940907022443E-2</c:v>
                </c:pt>
                <c:pt idx="12">
                  <c:v>6.5278812639706363E-2</c:v>
                </c:pt>
                <c:pt idx="13">
                  <c:v>5.8127847259380014E-2</c:v>
                </c:pt>
                <c:pt idx="14">
                  <c:v>5.0866867027048651E-2</c:v>
                </c:pt>
                <c:pt idx="15">
                  <c:v>4.8946607792051927E-2</c:v>
                </c:pt>
                <c:pt idx="16">
                  <c:v>3.1949313157276234E-2</c:v>
                </c:pt>
                <c:pt idx="17">
                  <c:v>2.0962829982047577E-2</c:v>
                </c:pt>
                <c:pt idx="18">
                  <c:v>1.2656708655668515E-2</c:v>
                </c:pt>
              </c:numCache>
            </c:numRef>
          </c:val>
          <c:extLst>
            <c:ext xmlns:c16="http://schemas.microsoft.com/office/drawing/2014/chart" uri="{C3380CC4-5D6E-409C-BE32-E72D297353CC}">
              <c16:uniqueId val="{00000001-4302-4710-A7C2-E22DB24FCBCE}"/>
            </c:ext>
          </c:extLst>
        </c:ser>
        <c:dLbls>
          <c:showLegendKey val="0"/>
          <c:showVal val="0"/>
          <c:showCatName val="0"/>
          <c:showSerName val="0"/>
          <c:showPercent val="0"/>
          <c:showBubbleSize val="0"/>
        </c:dLbls>
        <c:gapWidth val="50"/>
        <c:overlap val="100"/>
        <c:axId val="1181809024"/>
        <c:axId val="1181810464"/>
      </c:barChart>
      <c:catAx>
        <c:axId val="1181809024"/>
        <c:scaling>
          <c:orientation val="minMax"/>
        </c:scaling>
        <c:delete val="0"/>
        <c:axPos val="l"/>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1810464"/>
        <c:crosses val="autoZero"/>
        <c:auto val="1"/>
        <c:lblAlgn val="ctr"/>
        <c:lblOffset val="100"/>
        <c:tickLblSkip val="1"/>
        <c:noMultiLvlLbl val="0"/>
      </c:catAx>
      <c:valAx>
        <c:axId val="1181810464"/>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1809024"/>
        <c:crosses val="autoZero"/>
        <c:crossBetween val="between"/>
      </c:valAx>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latin typeface="Arial" panose="020B0604020202020204" pitchFamily="34" charset="0"/>
                <a:cs typeface="Arial" panose="020B0604020202020204" pitchFamily="34" charset="0"/>
              </a:rPr>
              <a:t>Percentage of population by age and sex</a:t>
            </a:r>
            <a:r>
              <a:rPr lang="en-GB" baseline="0">
                <a:latin typeface="Arial" panose="020B0604020202020204" pitchFamily="34" charset="0"/>
                <a:cs typeface="Arial" panose="020B0604020202020204" pitchFamily="34" charset="0"/>
              </a:rPr>
              <a:t> - Swansea</a:t>
            </a:r>
            <a:endParaRPr lang="en-GB">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0444444444444448E-2"/>
          <c:y val="0.16708333333333336"/>
          <c:w val="0.89071522309711282"/>
          <c:h val="0.6153546952464275"/>
        </c:manualLayout>
      </c:layout>
      <c:barChart>
        <c:barDir val="bar"/>
        <c:grouping val="clustered"/>
        <c:varyColors val="0"/>
        <c:ser>
          <c:idx val="0"/>
          <c:order val="0"/>
          <c:tx>
            <c:strRef>
              <c:f>Swansea!$M$1</c:f>
              <c:strCache>
                <c:ptCount val="1"/>
                <c:pt idx="0">
                  <c:v>% male</c:v>
                </c:pt>
              </c:strCache>
            </c:strRef>
          </c:tx>
          <c:spPr>
            <a:solidFill>
              <a:schemeClr val="accent1"/>
            </a:solidFill>
            <a:ln>
              <a:noFill/>
            </a:ln>
            <a:effectLst/>
          </c:spPr>
          <c:invertIfNegative val="0"/>
          <c:cat>
            <c:strRef>
              <c:f>Swansea!$H$2:$H$20</c:f>
              <c:strCache>
                <c:ptCount val="19"/>
                <c:pt idx="0">
                  <c:v>0 - 4</c:v>
                </c:pt>
                <c:pt idx="1">
                  <c:v>5 - 9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pt idx="17">
                  <c:v>85-89</c:v>
                </c:pt>
                <c:pt idx="18">
                  <c:v>90 +</c:v>
                </c:pt>
              </c:strCache>
            </c:strRef>
          </c:cat>
          <c:val>
            <c:numRef>
              <c:f>Swansea!$M$2:$M$20</c:f>
              <c:numCache>
                <c:formatCode>0%</c:formatCode>
                <c:ptCount val="19"/>
                <c:pt idx="0">
                  <c:v>-4.6455318430091784E-2</c:v>
                </c:pt>
                <c:pt idx="1">
                  <c:v>-5.5545276841520996E-2</c:v>
                </c:pt>
                <c:pt idx="2">
                  <c:v>-5.9478896012484614E-2</c:v>
                </c:pt>
                <c:pt idx="3">
                  <c:v>-6.446630682229533E-2</c:v>
                </c:pt>
                <c:pt idx="4">
                  <c:v>-9.5114750669680559E-2</c:v>
                </c:pt>
                <c:pt idx="5">
                  <c:v>-6.6034927964090648E-2</c:v>
                </c:pt>
                <c:pt idx="6">
                  <c:v>-6.6694553264743023E-2</c:v>
                </c:pt>
                <c:pt idx="7">
                  <c:v>-6.5085711068029892E-2</c:v>
                </c:pt>
                <c:pt idx="8">
                  <c:v>-6.1353197171655417E-2</c:v>
                </c:pt>
                <c:pt idx="9">
                  <c:v>-5.4636281000378081E-2</c:v>
                </c:pt>
                <c:pt idx="10">
                  <c:v>-5.761263906429738E-2</c:v>
                </c:pt>
                <c:pt idx="11">
                  <c:v>-6.3444692027382496E-2</c:v>
                </c:pt>
                <c:pt idx="12">
                  <c:v>-5.9671957076090194E-2</c:v>
                </c:pt>
                <c:pt idx="13">
                  <c:v>-5.0767015517282986E-2</c:v>
                </c:pt>
                <c:pt idx="14">
                  <c:v>-4.4983227820099267E-2</c:v>
                </c:pt>
                <c:pt idx="15">
                  <c:v>-4.1475951831264631E-2</c:v>
                </c:pt>
                <c:pt idx="16">
                  <c:v>-2.6409144659046119E-2</c:v>
                </c:pt>
                <c:pt idx="17">
                  <c:v>-1.4318695550746906E-2</c:v>
                </c:pt>
                <c:pt idx="18">
                  <c:v>-6.4514572088196732E-3</c:v>
                </c:pt>
              </c:numCache>
            </c:numRef>
          </c:val>
          <c:extLst>
            <c:ext xmlns:c16="http://schemas.microsoft.com/office/drawing/2014/chart" uri="{C3380CC4-5D6E-409C-BE32-E72D297353CC}">
              <c16:uniqueId val="{00000000-3E71-4619-84E6-5F6B53B64395}"/>
            </c:ext>
          </c:extLst>
        </c:ser>
        <c:ser>
          <c:idx val="1"/>
          <c:order val="1"/>
          <c:tx>
            <c:strRef>
              <c:f>Swansea!$N$1</c:f>
              <c:strCache>
                <c:ptCount val="1"/>
                <c:pt idx="0">
                  <c:v>% female</c:v>
                </c:pt>
              </c:strCache>
            </c:strRef>
          </c:tx>
          <c:spPr>
            <a:solidFill>
              <a:schemeClr val="accent5">
                <a:lumMod val="60000"/>
                <a:lumOff val="40000"/>
              </a:schemeClr>
            </a:solidFill>
            <a:ln>
              <a:noFill/>
            </a:ln>
            <a:effectLst/>
          </c:spPr>
          <c:invertIfNegative val="0"/>
          <c:cat>
            <c:strRef>
              <c:f>Swansea!$H$2:$H$20</c:f>
              <c:strCache>
                <c:ptCount val="19"/>
                <c:pt idx="0">
                  <c:v>0 - 4</c:v>
                </c:pt>
                <c:pt idx="1">
                  <c:v>5 - 9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pt idx="17">
                  <c:v>85-89</c:v>
                </c:pt>
                <c:pt idx="18">
                  <c:v>90 +</c:v>
                </c:pt>
              </c:strCache>
            </c:strRef>
          </c:cat>
          <c:val>
            <c:numRef>
              <c:f>Swansea!$N$2:$N$20</c:f>
              <c:numCache>
                <c:formatCode>0%</c:formatCode>
                <c:ptCount val="19"/>
                <c:pt idx="0">
                  <c:v>4.4105487790473338E-2</c:v>
                </c:pt>
                <c:pt idx="1">
                  <c:v>5.2184800497673066E-2</c:v>
                </c:pt>
                <c:pt idx="2">
                  <c:v>5.4082572780748239E-2</c:v>
                </c:pt>
                <c:pt idx="3">
                  <c:v>5.7043412525297071E-2</c:v>
                </c:pt>
                <c:pt idx="4">
                  <c:v>7.3485522596089481E-2</c:v>
                </c:pt>
                <c:pt idx="5">
                  <c:v>6.3217078375632924E-2</c:v>
                </c:pt>
                <c:pt idx="6">
                  <c:v>6.523296926553851E-2</c:v>
                </c:pt>
                <c:pt idx="7">
                  <c:v>6.7634714271090079E-2</c:v>
                </c:pt>
                <c:pt idx="8">
                  <c:v>6.2161885487947967E-2</c:v>
                </c:pt>
                <c:pt idx="9">
                  <c:v>5.4515674339126394E-2</c:v>
                </c:pt>
                <c:pt idx="10">
                  <c:v>6.0610594451575309E-2</c:v>
                </c:pt>
                <c:pt idx="11">
                  <c:v>6.3335196982463329E-2</c:v>
                </c:pt>
                <c:pt idx="12">
                  <c:v>6.1563417880007243E-2</c:v>
                </c:pt>
                <c:pt idx="13">
                  <c:v>5.6744178721326706E-2</c:v>
                </c:pt>
                <c:pt idx="14">
                  <c:v>4.856249655487397E-2</c:v>
                </c:pt>
                <c:pt idx="15">
                  <c:v>4.9003472687040812E-2</c:v>
                </c:pt>
                <c:pt idx="16">
                  <c:v>3.2136135631658937E-2</c:v>
                </c:pt>
                <c:pt idx="17">
                  <c:v>2.1371593262514667E-2</c:v>
                </c:pt>
                <c:pt idx="18">
                  <c:v>1.3008795898921972E-2</c:v>
                </c:pt>
              </c:numCache>
            </c:numRef>
          </c:val>
          <c:extLst>
            <c:ext xmlns:c16="http://schemas.microsoft.com/office/drawing/2014/chart" uri="{C3380CC4-5D6E-409C-BE32-E72D297353CC}">
              <c16:uniqueId val="{00000001-3E71-4619-84E6-5F6B53B64395}"/>
            </c:ext>
          </c:extLst>
        </c:ser>
        <c:dLbls>
          <c:showLegendKey val="0"/>
          <c:showVal val="0"/>
          <c:showCatName val="0"/>
          <c:showSerName val="0"/>
          <c:showPercent val="0"/>
          <c:showBubbleSize val="0"/>
        </c:dLbls>
        <c:gapWidth val="50"/>
        <c:overlap val="100"/>
        <c:axId val="1181809024"/>
        <c:axId val="1181810464"/>
      </c:barChart>
      <c:catAx>
        <c:axId val="1181809024"/>
        <c:scaling>
          <c:orientation val="minMax"/>
        </c:scaling>
        <c:delete val="0"/>
        <c:axPos val="l"/>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1810464"/>
        <c:crosses val="autoZero"/>
        <c:auto val="1"/>
        <c:lblAlgn val="ctr"/>
        <c:lblOffset val="100"/>
        <c:tickLblSkip val="1"/>
        <c:noMultiLvlLbl val="0"/>
      </c:catAx>
      <c:valAx>
        <c:axId val="1181810464"/>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18090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9A08BB2BA814ED4BC4C4C191628D03D"/>
        <w:category>
          <w:name w:val="General"/>
          <w:gallery w:val="placeholder"/>
        </w:category>
        <w:types>
          <w:type w:val="bbPlcHdr"/>
        </w:types>
        <w:behaviors>
          <w:behavior w:val="content"/>
        </w:behaviors>
        <w:guid w:val="{D0AE6D59-30C3-46D2-9B0E-FCE75BF5808E}"/>
      </w:docPartPr>
      <w:docPartBody>
        <w:p w:rsidR="0047439F" w:rsidRDefault="00AF402D" w:rsidP="00AF402D">
          <w:pPr>
            <w:pStyle w:val="C9A08BB2BA814ED4BC4C4C191628D03D"/>
          </w:pPr>
          <w:r>
            <w:rPr>
              <w:rStyle w:val="PlaceholderText"/>
            </w:rPr>
            <w:t>Click or tap here to enter text.</w:t>
          </w:r>
        </w:p>
      </w:docPartBody>
    </w:docPart>
    <w:docPart>
      <w:docPartPr>
        <w:name w:val="73183830FCDA4EA19B6B81F0CF39CEA0"/>
        <w:category>
          <w:name w:val="General"/>
          <w:gallery w:val="placeholder"/>
        </w:category>
        <w:types>
          <w:type w:val="bbPlcHdr"/>
        </w:types>
        <w:behaviors>
          <w:behavior w:val="content"/>
        </w:behaviors>
        <w:guid w:val="{735FAD8C-8C0D-4E00-87C0-0303396C0FD3}"/>
      </w:docPartPr>
      <w:docPartBody>
        <w:p w:rsidR="0047439F" w:rsidRDefault="00AF402D" w:rsidP="00AF402D">
          <w:pPr>
            <w:pStyle w:val="73183830FCDA4EA19B6B81F0CF39CEA0"/>
          </w:pPr>
          <w:r>
            <w:rPr>
              <w:rStyle w:val="PlaceholderText"/>
            </w:rPr>
            <w:t>Click or tap here to enter text.</w:t>
          </w:r>
        </w:p>
      </w:docPartBody>
    </w:docPart>
    <w:docPart>
      <w:docPartPr>
        <w:name w:val="B83D0CA1B04B443BAAC93AF4E30A3BDB"/>
        <w:category>
          <w:name w:val="General"/>
          <w:gallery w:val="placeholder"/>
        </w:category>
        <w:types>
          <w:type w:val="bbPlcHdr"/>
        </w:types>
        <w:behaviors>
          <w:behavior w:val="content"/>
        </w:behaviors>
        <w:guid w:val="{9F531F55-4194-475B-848B-441385FFDDE9}"/>
      </w:docPartPr>
      <w:docPartBody>
        <w:p w:rsidR="0047439F" w:rsidRDefault="00AF402D" w:rsidP="00AF402D">
          <w:pPr>
            <w:pStyle w:val="B83D0CA1B04B443BAAC93AF4E30A3BDB"/>
          </w:pPr>
          <w:r>
            <w:rPr>
              <w:rStyle w:val="PlaceholderText"/>
            </w:rPr>
            <w:t>Click or tap here to enter text.</w:t>
          </w:r>
        </w:p>
      </w:docPartBody>
    </w:docPart>
    <w:docPart>
      <w:docPartPr>
        <w:name w:val="F908250E8F394E7D91F6EFF454B82F4B"/>
        <w:category>
          <w:name w:val="General"/>
          <w:gallery w:val="placeholder"/>
        </w:category>
        <w:types>
          <w:type w:val="bbPlcHdr"/>
        </w:types>
        <w:behaviors>
          <w:behavior w:val="content"/>
        </w:behaviors>
        <w:guid w:val="{CE7E0D07-F799-4FE4-AECB-ACA3BA494B02}"/>
      </w:docPartPr>
      <w:docPartBody>
        <w:p w:rsidR="0047439F" w:rsidRDefault="00AF402D" w:rsidP="00AF402D">
          <w:pPr>
            <w:pStyle w:val="F908250E8F394E7D91F6EFF454B82F4B"/>
          </w:pPr>
          <w:r>
            <w:rPr>
              <w:rStyle w:val="PlaceholderText"/>
            </w:rPr>
            <w:t>Click or tap here to enter text.</w:t>
          </w:r>
        </w:p>
      </w:docPartBody>
    </w:docPart>
    <w:docPart>
      <w:docPartPr>
        <w:name w:val="F93262592A28486097CFF6044BB7568F"/>
        <w:category>
          <w:name w:val="General"/>
          <w:gallery w:val="placeholder"/>
        </w:category>
        <w:types>
          <w:type w:val="bbPlcHdr"/>
        </w:types>
        <w:behaviors>
          <w:behavior w:val="content"/>
        </w:behaviors>
        <w:guid w:val="{18B48D9B-2DDC-4336-8555-16B8B95C456A}"/>
      </w:docPartPr>
      <w:docPartBody>
        <w:p w:rsidR="0047439F" w:rsidRDefault="00AF402D" w:rsidP="00AF402D">
          <w:pPr>
            <w:pStyle w:val="F93262592A28486097CFF6044BB7568F"/>
          </w:pPr>
          <w:r>
            <w:rPr>
              <w:rStyle w:val="PlaceholderText"/>
            </w:rPr>
            <w:t>Click or tap here to enter text.</w:t>
          </w:r>
        </w:p>
      </w:docPartBody>
    </w:docPart>
    <w:docPart>
      <w:docPartPr>
        <w:name w:val="D9491CDC36B645EE8DA62338D25BC98F"/>
        <w:category>
          <w:name w:val="General"/>
          <w:gallery w:val="placeholder"/>
        </w:category>
        <w:types>
          <w:type w:val="bbPlcHdr"/>
        </w:types>
        <w:behaviors>
          <w:behavior w:val="content"/>
        </w:behaviors>
        <w:guid w:val="{46286E0C-DC7D-4858-8B64-56A2FA2DE9E1}"/>
      </w:docPartPr>
      <w:docPartBody>
        <w:p w:rsidR="0047439F" w:rsidRDefault="00AF402D" w:rsidP="00AF402D">
          <w:pPr>
            <w:pStyle w:val="D9491CDC36B645EE8DA62338D25BC98F"/>
          </w:pPr>
          <w:r>
            <w:rPr>
              <w:rStyle w:val="PlaceholderText"/>
            </w:rPr>
            <w:t>Click or tap here to enter text.</w:t>
          </w:r>
        </w:p>
      </w:docPartBody>
    </w:docPart>
    <w:docPart>
      <w:docPartPr>
        <w:name w:val="DB057BF7C4DB49C4829A4C0BCBA0F456"/>
        <w:category>
          <w:name w:val="General"/>
          <w:gallery w:val="placeholder"/>
        </w:category>
        <w:types>
          <w:type w:val="bbPlcHdr"/>
        </w:types>
        <w:behaviors>
          <w:behavior w:val="content"/>
        </w:behaviors>
        <w:guid w:val="{AF21668E-78F1-4A87-97F7-8BF84A45C087}"/>
      </w:docPartPr>
      <w:docPartBody>
        <w:p w:rsidR="0047439F" w:rsidRDefault="00AF402D" w:rsidP="00AF402D">
          <w:pPr>
            <w:pStyle w:val="DB057BF7C4DB49C4829A4C0BCBA0F456"/>
          </w:pPr>
          <w:r>
            <w:rPr>
              <w:rStyle w:val="PlaceholderText"/>
            </w:rPr>
            <w:t>Click or tap here to enter text.</w:t>
          </w:r>
        </w:p>
      </w:docPartBody>
    </w:docPart>
    <w:docPart>
      <w:docPartPr>
        <w:name w:val="736F4F5CD0FF499CA0E7CF3497596F55"/>
        <w:category>
          <w:name w:val="General"/>
          <w:gallery w:val="placeholder"/>
        </w:category>
        <w:types>
          <w:type w:val="bbPlcHdr"/>
        </w:types>
        <w:behaviors>
          <w:behavior w:val="content"/>
        </w:behaviors>
        <w:guid w:val="{195A4C33-4CEE-4908-8CB9-4FE59C292785}"/>
      </w:docPartPr>
      <w:docPartBody>
        <w:p w:rsidR="0047439F" w:rsidRDefault="00AF402D" w:rsidP="00AF402D">
          <w:pPr>
            <w:pStyle w:val="736F4F5CD0FF499CA0E7CF3497596F55"/>
          </w:pPr>
          <w:r>
            <w:rPr>
              <w:rStyle w:val="PlaceholderText"/>
            </w:rPr>
            <w:t>Click or tap here to enter text.</w:t>
          </w:r>
        </w:p>
      </w:docPartBody>
    </w:docPart>
    <w:docPart>
      <w:docPartPr>
        <w:name w:val="31ABF1CEABFF4582BE2C93C6676D5A22"/>
        <w:category>
          <w:name w:val="General"/>
          <w:gallery w:val="placeholder"/>
        </w:category>
        <w:types>
          <w:type w:val="bbPlcHdr"/>
        </w:types>
        <w:behaviors>
          <w:behavior w:val="content"/>
        </w:behaviors>
        <w:guid w:val="{5275C2D6-57D2-42B6-A45C-F2437698C385}"/>
      </w:docPartPr>
      <w:docPartBody>
        <w:p w:rsidR="0047439F" w:rsidRDefault="00AF402D" w:rsidP="00AF402D">
          <w:pPr>
            <w:pStyle w:val="31ABF1CEABFF4582BE2C93C6676D5A22"/>
          </w:pPr>
          <w:r>
            <w:rPr>
              <w:rStyle w:val="PlaceholderText"/>
            </w:rPr>
            <w:t>Click or tap here to enter text.</w:t>
          </w:r>
        </w:p>
      </w:docPartBody>
    </w:docPart>
    <w:docPart>
      <w:docPartPr>
        <w:name w:val="ABE0D7F78286426FA284EDFCD0650F42"/>
        <w:category>
          <w:name w:val="General"/>
          <w:gallery w:val="placeholder"/>
        </w:category>
        <w:types>
          <w:type w:val="bbPlcHdr"/>
        </w:types>
        <w:behaviors>
          <w:behavior w:val="content"/>
        </w:behaviors>
        <w:guid w:val="{7640AE97-C92A-461B-8808-286F2B9554DF}"/>
      </w:docPartPr>
      <w:docPartBody>
        <w:p w:rsidR="0047439F" w:rsidRDefault="00AF402D" w:rsidP="00AF402D">
          <w:pPr>
            <w:pStyle w:val="ABE0D7F78286426FA284EDFCD0650F42"/>
          </w:pPr>
          <w:r>
            <w:rPr>
              <w:rStyle w:val="PlaceholderText"/>
            </w:rPr>
            <w:t>Click or tap here to enter text.</w:t>
          </w:r>
        </w:p>
      </w:docPartBody>
    </w:docPart>
    <w:docPart>
      <w:docPartPr>
        <w:name w:val="72C94589F7C34E0C82D5D48A41169D3B"/>
        <w:category>
          <w:name w:val="General"/>
          <w:gallery w:val="placeholder"/>
        </w:category>
        <w:types>
          <w:type w:val="bbPlcHdr"/>
        </w:types>
        <w:behaviors>
          <w:behavior w:val="content"/>
        </w:behaviors>
        <w:guid w:val="{5AFB996E-A229-4347-92FF-37027344D4A9}"/>
      </w:docPartPr>
      <w:docPartBody>
        <w:p w:rsidR="0047439F" w:rsidRDefault="00AF402D" w:rsidP="00AF402D">
          <w:pPr>
            <w:pStyle w:val="72C94589F7C34E0C82D5D48A41169D3B"/>
          </w:pPr>
          <w:r>
            <w:rPr>
              <w:rStyle w:val="PlaceholderText"/>
            </w:rPr>
            <w:t>Click or tap here to enter text.</w:t>
          </w:r>
        </w:p>
      </w:docPartBody>
    </w:docPart>
    <w:docPart>
      <w:docPartPr>
        <w:name w:val="913B8FA6C36A401884A83BCC971EE91E"/>
        <w:category>
          <w:name w:val="General"/>
          <w:gallery w:val="placeholder"/>
        </w:category>
        <w:types>
          <w:type w:val="bbPlcHdr"/>
        </w:types>
        <w:behaviors>
          <w:behavior w:val="content"/>
        </w:behaviors>
        <w:guid w:val="{22F5F7A2-4FE2-48F6-A6F7-7DAC684E3979}"/>
      </w:docPartPr>
      <w:docPartBody>
        <w:p w:rsidR="0047439F" w:rsidRDefault="00AF402D" w:rsidP="00AF402D">
          <w:pPr>
            <w:pStyle w:val="913B8FA6C36A401884A83BCC971EE91E"/>
          </w:pPr>
          <w:r>
            <w:rPr>
              <w:rStyle w:val="PlaceholderText"/>
            </w:rPr>
            <w:t>Click or tap here to enter text.</w:t>
          </w:r>
        </w:p>
      </w:docPartBody>
    </w:docPart>
    <w:docPart>
      <w:docPartPr>
        <w:name w:val="79EC372AA07340F78FFAB01ABB7945ED"/>
        <w:category>
          <w:name w:val="General"/>
          <w:gallery w:val="placeholder"/>
        </w:category>
        <w:types>
          <w:type w:val="bbPlcHdr"/>
        </w:types>
        <w:behaviors>
          <w:behavior w:val="content"/>
        </w:behaviors>
        <w:guid w:val="{8C394B7C-9AEA-48FD-9A60-B848917D094B}"/>
      </w:docPartPr>
      <w:docPartBody>
        <w:p w:rsidR="0047439F" w:rsidRDefault="00AF402D" w:rsidP="00AF402D">
          <w:pPr>
            <w:pStyle w:val="79EC372AA07340F78FFAB01ABB7945ED"/>
          </w:pPr>
          <w:r>
            <w:rPr>
              <w:rStyle w:val="PlaceholderText"/>
            </w:rPr>
            <w:t>Click or tap here to enter text.</w:t>
          </w:r>
        </w:p>
      </w:docPartBody>
    </w:docPart>
    <w:docPart>
      <w:docPartPr>
        <w:name w:val="241E1E1F6322457F8F31A6855F346609"/>
        <w:category>
          <w:name w:val="General"/>
          <w:gallery w:val="placeholder"/>
        </w:category>
        <w:types>
          <w:type w:val="bbPlcHdr"/>
        </w:types>
        <w:behaviors>
          <w:behavior w:val="content"/>
        </w:behaviors>
        <w:guid w:val="{6AEC10C2-24BC-4BDD-9D71-ACB30221D947}"/>
      </w:docPartPr>
      <w:docPartBody>
        <w:p w:rsidR="0047439F" w:rsidRDefault="00AF402D" w:rsidP="00AF402D">
          <w:pPr>
            <w:pStyle w:val="241E1E1F6322457F8F31A6855F346609"/>
          </w:pPr>
          <w:r>
            <w:rPr>
              <w:rStyle w:val="PlaceholderText"/>
            </w:rPr>
            <w:t>Click or tap here to enter text.</w:t>
          </w:r>
        </w:p>
      </w:docPartBody>
    </w:docPart>
    <w:docPart>
      <w:docPartPr>
        <w:name w:val="BB0CC36303814C72B6C330454A509033"/>
        <w:category>
          <w:name w:val="General"/>
          <w:gallery w:val="placeholder"/>
        </w:category>
        <w:types>
          <w:type w:val="bbPlcHdr"/>
        </w:types>
        <w:behaviors>
          <w:behavior w:val="content"/>
        </w:behaviors>
        <w:guid w:val="{DCD3A0E8-F543-47C0-A5CD-338504A6C820}"/>
      </w:docPartPr>
      <w:docPartBody>
        <w:p w:rsidR="0047439F" w:rsidRDefault="00AF402D" w:rsidP="00AF402D">
          <w:pPr>
            <w:pStyle w:val="BB0CC36303814C72B6C330454A509033"/>
          </w:pPr>
          <w:r>
            <w:rPr>
              <w:rStyle w:val="PlaceholderText"/>
            </w:rPr>
            <w:t>Click or tap here to enter text.</w:t>
          </w:r>
        </w:p>
      </w:docPartBody>
    </w:docPart>
    <w:docPart>
      <w:docPartPr>
        <w:name w:val="B2E9004C78EC4ABDA7730AB35924C815"/>
        <w:category>
          <w:name w:val="General"/>
          <w:gallery w:val="placeholder"/>
        </w:category>
        <w:types>
          <w:type w:val="bbPlcHdr"/>
        </w:types>
        <w:behaviors>
          <w:behavior w:val="content"/>
        </w:behaviors>
        <w:guid w:val="{6380980C-2F88-49CA-BCD1-0B1C0C9E935B}"/>
      </w:docPartPr>
      <w:docPartBody>
        <w:p w:rsidR="0047439F" w:rsidRDefault="00AF402D" w:rsidP="00AF402D">
          <w:pPr>
            <w:pStyle w:val="B2E9004C78EC4ABDA7730AB35924C815"/>
          </w:pPr>
          <w:r>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402D"/>
    <w:rsid w:val="00056A22"/>
    <w:rsid w:val="0006246B"/>
    <w:rsid w:val="000804EE"/>
    <w:rsid w:val="000F1BC3"/>
    <w:rsid w:val="00152555"/>
    <w:rsid w:val="00420534"/>
    <w:rsid w:val="0047439F"/>
    <w:rsid w:val="00504D6E"/>
    <w:rsid w:val="00540287"/>
    <w:rsid w:val="00597057"/>
    <w:rsid w:val="00704347"/>
    <w:rsid w:val="008729D9"/>
    <w:rsid w:val="008D423B"/>
    <w:rsid w:val="00AC086E"/>
    <w:rsid w:val="00AF402D"/>
    <w:rsid w:val="00B02544"/>
    <w:rsid w:val="00BD75AF"/>
    <w:rsid w:val="00C77366"/>
    <w:rsid w:val="00C77C09"/>
    <w:rsid w:val="00C80D90"/>
    <w:rsid w:val="00CE3613"/>
    <w:rsid w:val="00DB7DDC"/>
    <w:rsid w:val="00EB1717"/>
    <w:rsid w:val="00F06AA5"/>
    <w:rsid w:val="00F210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F402D"/>
  </w:style>
  <w:style w:type="paragraph" w:customStyle="1" w:styleId="C9A08BB2BA814ED4BC4C4C191628D03D">
    <w:name w:val="C9A08BB2BA814ED4BC4C4C191628D03D"/>
    <w:rsid w:val="00AF402D"/>
  </w:style>
  <w:style w:type="paragraph" w:customStyle="1" w:styleId="73183830FCDA4EA19B6B81F0CF39CEA0">
    <w:name w:val="73183830FCDA4EA19B6B81F0CF39CEA0"/>
    <w:rsid w:val="00AF402D"/>
  </w:style>
  <w:style w:type="paragraph" w:customStyle="1" w:styleId="B83D0CA1B04B443BAAC93AF4E30A3BDB">
    <w:name w:val="B83D0CA1B04B443BAAC93AF4E30A3BDB"/>
    <w:rsid w:val="00AF402D"/>
  </w:style>
  <w:style w:type="paragraph" w:customStyle="1" w:styleId="F908250E8F394E7D91F6EFF454B82F4B">
    <w:name w:val="F908250E8F394E7D91F6EFF454B82F4B"/>
    <w:rsid w:val="00AF402D"/>
  </w:style>
  <w:style w:type="paragraph" w:customStyle="1" w:styleId="F93262592A28486097CFF6044BB7568F">
    <w:name w:val="F93262592A28486097CFF6044BB7568F"/>
    <w:rsid w:val="00AF402D"/>
  </w:style>
  <w:style w:type="paragraph" w:customStyle="1" w:styleId="D9491CDC36B645EE8DA62338D25BC98F">
    <w:name w:val="D9491CDC36B645EE8DA62338D25BC98F"/>
    <w:rsid w:val="00AF402D"/>
  </w:style>
  <w:style w:type="paragraph" w:customStyle="1" w:styleId="DB057BF7C4DB49C4829A4C0BCBA0F456">
    <w:name w:val="DB057BF7C4DB49C4829A4C0BCBA0F456"/>
    <w:rsid w:val="00AF402D"/>
  </w:style>
  <w:style w:type="paragraph" w:customStyle="1" w:styleId="736F4F5CD0FF499CA0E7CF3497596F55">
    <w:name w:val="736F4F5CD0FF499CA0E7CF3497596F55"/>
    <w:rsid w:val="00AF402D"/>
  </w:style>
  <w:style w:type="paragraph" w:customStyle="1" w:styleId="31ABF1CEABFF4582BE2C93C6676D5A22">
    <w:name w:val="31ABF1CEABFF4582BE2C93C6676D5A22"/>
    <w:rsid w:val="00AF402D"/>
  </w:style>
  <w:style w:type="paragraph" w:customStyle="1" w:styleId="ABE0D7F78286426FA284EDFCD0650F42">
    <w:name w:val="ABE0D7F78286426FA284EDFCD0650F42"/>
    <w:rsid w:val="00AF402D"/>
  </w:style>
  <w:style w:type="paragraph" w:customStyle="1" w:styleId="72C94589F7C34E0C82D5D48A41169D3B">
    <w:name w:val="72C94589F7C34E0C82D5D48A41169D3B"/>
    <w:rsid w:val="00AF402D"/>
  </w:style>
  <w:style w:type="paragraph" w:customStyle="1" w:styleId="913B8FA6C36A401884A83BCC971EE91E">
    <w:name w:val="913B8FA6C36A401884A83BCC971EE91E"/>
    <w:rsid w:val="00AF402D"/>
  </w:style>
  <w:style w:type="paragraph" w:customStyle="1" w:styleId="79EC372AA07340F78FFAB01ABB7945ED">
    <w:name w:val="79EC372AA07340F78FFAB01ABB7945ED"/>
    <w:rsid w:val="00AF402D"/>
  </w:style>
  <w:style w:type="paragraph" w:customStyle="1" w:styleId="241E1E1F6322457F8F31A6855F346609">
    <w:name w:val="241E1E1F6322457F8F31A6855F346609"/>
    <w:rsid w:val="00AF402D"/>
  </w:style>
  <w:style w:type="paragraph" w:customStyle="1" w:styleId="BB0CC36303814C72B6C330454A509033">
    <w:name w:val="BB0CC36303814C72B6C330454A509033"/>
    <w:rsid w:val="00AF402D"/>
  </w:style>
  <w:style w:type="paragraph" w:customStyle="1" w:styleId="B2E9004C78EC4ABDA7730AB35924C815">
    <w:name w:val="B2E9004C78EC4ABDA7730AB35924C815"/>
    <w:rsid w:val="00AF402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FAD1C7-CED4-4B30-8AB3-9C4DEA6F51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396</Pages>
  <Words>106778</Words>
  <Characters>608635</Characters>
  <Application>Microsoft Office Word</Application>
  <DocSecurity>0</DocSecurity>
  <Lines>5071</Lines>
  <Paragraphs>1427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713986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Charlotte Goodson (PCC)</dc:creator>
  <cp:keywords/>
  <dc:description/>
  <cp:lastModifiedBy>Charlotte Goodson (PCC)</cp:lastModifiedBy>
  <cp:revision>4</cp:revision>
  <dcterms:created xsi:type="dcterms:W3CDTF">2026-07-17T11:52:00Z</dcterms:created>
  <dcterms:modified xsi:type="dcterms:W3CDTF">2026-07-17T11:55:00Z</dcterms:modified>
</cp:coreProperties>
</file>